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2AA3" w14:textId="77777777" w:rsidR="00C84BB4" w:rsidRDefault="00C84BB4" w:rsidP="007A6974">
      <w:pPr>
        <w:spacing w:after="0"/>
        <w:jc w:val="center"/>
        <w:rPr>
          <w:rFonts w:ascii="ITC Avant Garde" w:hAnsi="ITC Avant Garde"/>
          <w:b/>
        </w:rPr>
      </w:pPr>
    </w:p>
    <w:p w14:paraId="7C8B9963" w14:textId="77777777" w:rsidR="0038199D" w:rsidRPr="003353FC" w:rsidRDefault="0038199D" w:rsidP="003353FC">
      <w:pPr>
        <w:pStyle w:val="Ttulo1"/>
      </w:pPr>
      <w:r w:rsidRPr="003353FC">
        <w:t>FORMATO PARA PARTICIPAR EN LA CONSULTA PÚBLICA</w:t>
      </w:r>
    </w:p>
    <w:p w14:paraId="128853A5" w14:textId="77777777" w:rsidR="006601AF" w:rsidRPr="00F36A5D" w:rsidRDefault="006601AF" w:rsidP="00C900FF">
      <w:pPr>
        <w:spacing w:after="0"/>
        <w:rPr>
          <w:rFonts w:ascii="ITC Avant Garde" w:hAnsi="ITC Avant Garde"/>
          <w:b/>
        </w:rPr>
      </w:pPr>
    </w:p>
    <w:p w14:paraId="12FD8AF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3C96ED7" w14:textId="77777777" w:rsidR="004970C4" w:rsidRPr="00F36A5D" w:rsidRDefault="004970C4" w:rsidP="007A6974">
      <w:pPr>
        <w:spacing w:after="0"/>
        <w:rPr>
          <w:rFonts w:ascii="ITC Avant Garde" w:hAnsi="ITC Avant Garde"/>
          <w:b/>
          <w:sz w:val="16"/>
        </w:rPr>
      </w:pPr>
    </w:p>
    <w:p w14:paraId="01ADF5AB" w14:textId="52D9B519" w:rsidR="0038199D" w:rsidRPr="00D06A7E" w:rsidRDefault="0038199D" w:rsidP="00D06A7E">
      <w:pPr>
        <w:pStyle w:val="Listavistosa-nfasis110"/>
        <w:numPr>
          <w:ilvl w:val="0"/>
          <w:numId w:val="1"/>
        </w:numPr>
        <w:spacing w:after="0"/>
        <w:ind w:left="426" w:right="49" w:hanging="426"/>
        <w:jc w:val="both"/>
        <w:rPr>
          <w:rFonts w:ascii="ITC Avant Garde" w:hAnsi="ITC Avant Garde"/>
          <w:sz w:val="14"/>
          <w:szCs w:val="14"/>
        </w:rPr>
      </w:pPr>
      <w:r w:rsidRPr="00D06A7E">
        <w:rPr>
          <w:rFonts w:ascii="ITC Avant Garde" w:hAnsi="ITC Avant Garde"/>
          <w:sz w:val="14"/>
          <w:szCs w:val="14"/>
        </w:rPr>
        <w:t>Las opiniones, comentarios y propuestas deberán ser remitidas a la siguiente dirección de correo electrónico:</w:t>
      </w:r>
      <w:r w:rsidR="006F7B29" w:rsidRPr="00D06A7E">
        <w:rPr>
          <w:rFonts w:ascii="ITC Avant Garde" w:hAnsi="ITC Avant Garde"/>
          <w:sz w:val="14"/>
          <w:szCs w:val="14"/>
        </w:rPr>
        <w:t xml:space="preserve"> </w:t>
      </w:r>
      <w:hyperlink r:id="rId11" w:history="1">
        <w:r w:rsidR="00D06A7E" w:rsidRPr="00D06A7E">
          <w:rPr>
            <w:rStyle w:val="Hipervnculo"/>
            <w:rFonts w:ascii="ITC Avant Garde" w:hAnsi="ITC Avant Garde"/>
            <w:sz w:val="14"/>
            <w:szCs w:val="14"/>
          </w:rPr>
          <w:t>revision.icd2021@ift.org.mx</w:t>
        </w:r>
      </w:hyperlink>
      <w:r w:rsidRPr="00D06A7E">
        <w:rPr>
          <w:rFonts w:ascii="ITC Avant Garde" w:hAnsi="ITC Avant Garde"/>
          <w:sz w:val="14"/>
          <w:szCs w:val="14"/>
        </w:rPr>
        <w:t>, en donde</w:t>
      </w:r>
      <w:r w:rsidR="00CC53F7" w:rsidRPr="00D06A7E">
        <w:rPr>
          <w:rFonts w:ascii="ITC Avant Garde" w:hAnsi="ITC Avant Garde"/>
          <w:sz w:val="14"/>
          <w:szCs w:val="14"/>
        </w:rPr>
        <w:t xml:space="preserve"> se deberá </w:t>
      </w:r>
      <w:r w:rsidRPr="00D06A7E">
        <w:rPr>
          <w:rFonts w:ascii="ITC Avant Garde" w:hAnsi="ITC Avant Garde"/>
          <w:sz w:val="14"/>
          <w:szCs w:val="14"/>
        </w:rPr>
        <w:t xml:space="preserve">considerar que la capacidad límite para la </w:t>
      </w:r>
      <w:r w:rsidR="00CC53F7" w:rsidRPr="00D06A7E">
        <w:rPr>
          <w:rFonts w:ascii="ITC Avant Garde" w:hAnsi="ITC Avant Garde"/>
          <w:sz w:val="14"/>
          <w:szCs w:val="14"/>
        </w:rPr>
        <w:t xml:space="preserve">recepción </w:t>
      </w:r>
      <w:r w:rsidRPr="00D06A7E">
        <w:rPr>
          <w:rFonts w:ascii="ITC Avant Garde" w:hAnsi="ITC Avant Garde"/>
          <w:sz w:val="14"/>
          <w:szCs w:val="14"/>
        </w:rPr>
        <w:t xml:space="preserve">de archivos es de </w:t>
      </w:r>
      <w:r w:rsidR="00B533DC" w:rsidRPr="00D06A7E">
        <w:rPr>
          <w:rFonts w:ascii="ITC Avant Garde" w:hAnsi="ITC Avant Garde"/>
          <w:sz w:val="14"/>
          <w:szCs w:val="14"/>
        </w:rPr>
        <w:t>25 Mb</w:t>
      </w:r>
      <w:r w:rsidRPr="00D06A7E">
        <w:rPr>
          <w:rFonts w:ascii="ITC Avant Garde" w:hAnsi="ITC Avant Garde"/>
          <w:sz w:val="14"/>
          <w:szCs w:val="14"/>
        </w:rPr>
        <w:t>.</w:t>
      </w:r>
    </w:p>
    <w:p w14:paraId="09B64025" w14:textId="77777777" w:rsidR="0038199D" w:rsidRPr="00F36A5D"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C78690" w14:textId="77777777" w:rsidR="008200BE" w:rsidRPr="00F36A5D" w:rsidRDefault="008200BE"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48218D9" w14:textId="0B2569BA" w:rsidR="0038199D" w:rsidRPr="00F36A5D"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w:t>
      </w:r>
      <w:r w:rsidR="0034067D">
        <w:rPr>
          <w:rFonts w:ascii="ITC Avant Garde" w:hAnsi="ITC Avant Garde"/>
          <w:sz w:val="14"/>
          <w:szCs w:val="14"/>
        </w:rPr>
        <w:t>V</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5DFFFF8E" w14:textId="77777777"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w:t>
      </w:r>
      <w:r w:rsidRPr="009B2022">
        <w:rPr>
          <w:rFonts w:ascii="ITC Avant Garde" w:hAnsi="ITC Avant Garde"/>
          <w:sz w:val="14"/>
          <w:szCs w:val="14"/>
        </w:rPr>
        <w:t>generales o alguna aportación adicional proporciónelos en el último recuadro.</w:t>
      </w:r>
    </w:p>
    <w:p w14:paraId="40FBCE0E" w14:textId="77777777" w:rsidR="0038199D" w:rsidRPr="009B2022"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En caso de que sea de su interés, podrá</w:t>
      </w:r>
      <w:r w:rsidR="0038199D" w:rsidRPr="009B2022">
        <w:rPr>
          <w:rFonts w:ascii="ITC Avant Garde" w:hAnsi="ITC Avant Garde"/>
          <w:sz w:val="14"/>
          <w:szCs w:val="14"/>
        </w:rPr>
        <w:t xml:space="preserve"> adjuntar a su correo electrónico la documentación que </w:t>
      </w:r>
      <w:r w:rsidRPr="009B2022">
        <w:rPr>
          <w:rFonts w:ascii="ITC Avant Garde" w:hAnsi="ITC Avant Garde"/>
          <w:sz w:val="14"/>
          <w:szCs w:val="14"/>
        </w:rPr>
        <w:t>estime</w:t>
      </w:r>
      <w:r w:rsidR="0038199D" w:rsidRPr="009B2022">
        <w:rPr>
          <w:rFonts w:ascii="ITC Avant Garde" w:hAnsi="ITC Avant Garde"/>
          <w:sz w:val="14"/>
          <w:szCs w:val="14"/>
        </w:rPr>
        <w:t xml:space="preserve"> conveniente.</w:t>
      </w:r>
    </w:p>
    <w:p w14:paraId="171CBA9E" w14:textId="782F92D5"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El período de consulta pública </w:t>
      </w:r>
      <w:r w:rsidR="006F7B29" w:rsidRPr="004510A1">
        <w:rPr>
          <w:rFonts w:ascii="ITC Avant Garde" w:hAnsi="ITC Avant Garde"/>
          <w:sz w:val="14"/>
          <w:szCs w:val="14"/>
        </w:rPr>
        <w:t xml:space="preserve">será del </w:t>
      </w:r>
      <w:r w:rsidR="008654B1" w:rsidRPr="00AD5147">
        <w:rPr>
          <w:rFonts w:ascii="ITC Avant Garde" w:hAnsi="ITC Avant Garde"/>
          <w:sz w:val="14"/>
          <w:szCs w:val="14"/>
        </w:rPr>
        <w:t>1</w:t>
      </w:r>
      <w:r w:rsidR="00970730" w:rsidRPr="00AD5147">
        <w:rPr>
          <w:rFonts w:ascii="ITC Avant Garde" w:hAnsi="ITC Avant Garde"/>
          <w:sz w:val="14"/>
          <w:szCs w:val="14"/>
        </w:rPr>
        <w:t>4</w:t>
      </w:r>
      <w:r w:rsidR="006F7B29" w:rsidRPr="00AD5147">
        <w:rPr>
          <w:rFonts w:ascii="ITC Avant Garde" w:hAnsi="ITC Avant Garde"/>
          <w:sz w:val="14"/>
          <w:szCs w:val="14"/>
        </w:rPr>
        <w:t xml:space="preserve"> de </w:t>
      </w:r>
      <w:r w:rsidR="008654B1" w:rsidRPr="00AD5147">
        <w:rPr>
          <w:rFonts w:ascii="ITC Avant Garde" w:hAnsi="ITC Avant Garde"/>
          <w:sz w:val="14"/>
          <w:szCs w:val="14"/>
        </w:rPr>
        <w:t>octubre</w:t>
      </w:r>
      <w:r w:rsidR="006F7B29" w:rsidRPr="00AD5147">
        <w:rPr>
          <w:rFonts w:ascii="ITC Avant Garde" w:hAnsi="ITC Avant Garde"/>
          <w:sz w:val="14"/>
          <w:szCs w:val="14"/>
        </w:rPr>
        <w:t xml:space="preserve"> al </w:t>
      </w:r>
      <w:r w:rsidR="00970730" w:rsidRPr="00AD5147">
        <w:rPr>
          <w:rFonts w:ascii="ITC Avant Garde" w:hAnsi="ITC Avant Garde"/>
          <w:sz w:val="14"/>
          <w:szCs w:val="14"/>
        </w:rPr>
        <w:t>1</w:t>
      </w:r>
      <w:r w:rsidR="008654B1" w:rsidRPr="00AD5147">
        <w:rPr>
          <w:rFonts w:ascii="ITC Avant Garde" w:hAnsi="ITC Avant Garde"/>
          <w:sz w:val="14"/>
          <w:szCs w:val="14"/>
        </w:rPr>
        <w:t>0</w:t>
      </w:r>
      <w:r w:rsidR="006F7B29" w:rsidRPr="00AD5147">
        <w:rPr>
          <w:rFonts w:ascii="ITC Avant Garde" w:hAnsi="ITC Avant Garde"/>
          <w:sz w:val="14"/>
          <w:szCs w:val="14"/>
        </w:rPr>
        <w:t xml:space="preserve"> de </w:t>
      </w:r>
      <w:r w:rsidR="008654B1" w:rsidRPr="00AD5147">
        <w:rPr>
          <w:rFonts w:ascii="ITC Avant Garde" w:hAnsi="ITC Avant Garde"/>
          <w:sz w:val="14"/>
          <w:szCs w:val="14"/>
        </w:rPr>
        <w:t>noviembre</w:t>
      </w:r>
      <w:r w:rsidR="006F7B29" w:rsidRPr="00AD5147">
        <w:rPr>
          <w:rFonts w:ascii="ITC Avant Garde" w:hAnsi="ITC Avant Garde"/>
          <w:sz w:val="14"/>
          <w:szCs w:val="14"/>
        </w:rPr>
        <w:t xml:space="preserve"> de 2021</w:t>
      </w:r>
      <w:r w:rsidR="0034067D">
        <w:rPr>
          <w:rFonts w:ascii="ITC Avant Garde" w:hAnsi="ITC Avant Garde"/>
          <w:sz w:val="14"/>
          <w:szCs w:val="14"/>
        </w:rPr>
        <w:t xml:space="preserve"> (i.e. 20 días hábiles)</w:t>
      </w:r>
      <w:r w:rsidRPr="007473C3">
        <w:rPr>
          <w:rFonts w:ascii="ITC Avant Garde" w:hAnsi="ITC Avant Garde"/>
          <w:sz w:val="14"/>
          <w:szCs w:val="14"/>
        </w:rPr>
        <w:t>.</w:t>
      </w:r>
      <w:r w:rsidRPr="009B2022">
        <w:rPr>
          <w:rFonts w:ascii="ITC Avant Garde" w:hAnsi="ITC Avant Garde"/>
          <w:sz w:val="14"/>
          <w:szCs w:val="14"/>
        </w:rPr>
        <w:t xml:space="preserve"> Una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14:paraId="442FF679" w14:textId="62EADFA1" w:rsidR="006601AF" w:rsidRPr="00C82970" w:rsidRDefault="000D2838"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A75A67" w:rsidRPr="009B2022">
        <w:rPr>
          <w:rFonts w:ascii="ITC Avant Garde" w:hAnsi="ITC Avant Garde"/>
          <w:sz w:val="14"/>
          <w:szCs w:val="14"/>
        </w:rPr>
        <w:t>el</w:t>
      </w:r>
      <w:r w:rsidRPr="009B2022">
        <w:rPr>
          <w:rFonts w:ascii="ITC Avant Garde" w:hAnsi="ITC Avant Garde"/>
          <w:sz w:val="14"/>
          <w:szCs w:val="14"/>
        </w:rPr>
        <w:t xml:space="preserve"> siguiente punto de </w:t>
      </w:r>
      <w:r w:rsidRPr="00C82970">
        <w:rPr>
          <w:rFonts w:ascii="ITC Avant Garde" w:hAnsi="ITC Avant Garde"/>
          <w:sz w:val="14"/>
          <w:szCs w:val="14"/>
        </w:rPr>
        <w:t xml:space="preserve">contacto: </w:t>
      </w:r>
      <w:r w:rsidR="006F7B29" w:rsidRPr="004510A1">
        <w:rPr>
          <w:rFonts w:ascii="ITC Avant Garde" w:hAnsi="ITC Avant Garde"/>
          <w:sz w:val="14"/>
          <w:szCs w:val="14"/>
        </w:rPr>
        <w:t xml:space="preserve">Eduardo Decle Pulido </w:t>
      </w:r>
      <w:r w:rsidR="0034067D" w:rsidRPr="00755121">
        <w:rPr>
          <w:rFonts w:ascii="ITC Avant Garde" w:hAnsi="ITC Avant Garde"/>
          <w:sz w:val="14"/>
          <w:szCs w:val="14"/>
        </w:rPr>
        <w:t xml:space="preserve">Director de Análisis Funcional de Redes de Telecomunicaciones y Radiodifusión, correo electrónico: </w:t>
      </w:r>
      <w:hyperlink r:id="rId13" w:history="1">
        <w:r w:rsidR="0034067D" w:rsidRPr="00755121">
          <w:rPr>
            <w:rStyle w:val="Hipervnculo"/>
            <w:rFonts w:ascii="ITC Avant Garde" w:hAnsi="ITC Avant Garde"/>
            <w:sz w:val="14"/>
            <w:szCs w:val="14"/>
          </w:rPr>
          <w:t>eduardo.decle@ift.org.mx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4874  o Javier Alejandro Carmona Pérez, Subdirector de Regulación de Redes de Telecomunicaciones y Radiodifusión 1, correo electrónico:</w:t>
      </w:r>
      <w:r w:rsidR="0034067D">
        <w:rPr>
          <w:rFonts w:ascii="ITC Avant Garde" w:hAnsi="ITC Avant Garde"/>
          <w:sz w:val="14"/>
          <w:szCs w:val="14"/>
        </w:rPr>
        <w:t xml:space="preserve"> </w:t>
      </w:r>
      <w:hyperlink r:id="rId14" w:history="1">
        <w:r w:rsidR="0034067D" w:rsidRPr="00755121">
          <w:rPr>
            <w:rStyle w:val="Hipervnculo"/>
            <w:rFonts w:ascii="ITC Avant Garde" w:hAnsi="ITC Avant Garde" w:cs="Calibri Light"/>
            <w:sz w:val="14"/>
            <w:szCs w:val="14"/>
          </w:rPr>
          <w:t>javier.carmona@ift.org.mx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4480</w:t>
      </w:r>
    </w:p>
    <w:p w14:paraId="7F0F46D6" w14:textId="77777777" w:rsidR="006601AF" w:rsidRPr="00F36A5D" w:rsidRDefault="006601AF" w:rsidP="007A6974">
      <w:pPr>
        <w:pStyle w:val="Listavistosa-nfasis110"/>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4063"/>
      </w:tblGrid>
      <w:tr w:rsidR="00DF154A" w:rsidRPr="00F36A5D" w14:paraId="6DCB03C8" w14:textId="77777777" w:rsidTr="00F97305">
        <w:trPr>
          <w:trHeight w:val="600"/>
        </w:trPr>
        <w:tc>
          <w:tcPr>
            <w:tcW w:w="8610" w:type="dxa"/>
            <w:gridSpan w:val="2"/>
            <w:shd w:val="clear" w:color="auto" w:fill="D9D9D9"/>
            <w:vAlign w:val="center"/>
            <w:hideMark/>
          </w:tcPr>
          <w:p w14:paraId="081D7981" w14:textId="77777777" w:rsidR="00DF154A" w:rsidRPr="003353FC" w:rsidRDefault="00DF154A" w:rsidP="00246FA5">
            <w:pPr>
              <w:pStyle w:val="Ttulo2"/>
              <w:ind w:left="783"/>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14:paraId="0F6817BE" w14:textId="77777777" w:rsidTr="00F97305">
        <w:trPr>
          <w:trHeight w:val="509"/>
        </w:trPr>
        <w:tc>
          <w:tcPr>
            <w:tcW w:w="4547" w:type="dxa"/>
            <w:shd w:val="clear" w:color="auto" w:fill="C5E0B3"/>
            <w:vAlign w:val="center"/>
            <w:hideMark/>
          </w:tcPr>
          <w:p w14:paraId="205CF92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9CF43C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DA80307" w14:textId="77777777" w:rsidTr="00F97305">
        <w:trPr>
          <w:trHeight w:val="403"/>
        </w:trPr>
        <w:tc>
          <w:tcPr>
            <w:tcW w:w="4547" w:type="dxa"/>
            <w:shd w:val="clear" w:color="auto" w:fill="E2EFD9"/>
            <w:vAlign w:val="center"/>
            <w:hideMark/>
          </w:tcPr>
          <w:p w14:paraId="27637D76"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ED0DC8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5B46AF0C" w14:textId="77777777" w:rsidTr="00F97305">
        <w:trPr>
          <w:trHeight w:val="523"/>
        </w:trPr>
        <w:tc>
          <w:tcPr>
            <w:tcW w:w="4547" w:type="dxa"/>
            <w:shd w:val="clear" w:color="auto" w:fill="C5E0B3"/>
            <w:vAlign w:val="center"/>
            <w:hideMark/>
          </w:tcPr>
          <w:p w14:paraId="5188E5E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BE9B2C2"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F7B610B" w14:textId="342D6C11" w:rsidR="00DF154A" w:rsidRPr="00F36A5D" w:rsidRDefault="009346DD">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46668F8EA0F84D7995D86D2FF88722F7"/>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06A7E" w:rsidRPr="00B81578">
                  <w:rPr>
                    <w:rFonts w:ascii="ITC Avant Garde" w:eastAsia="Times New Roman" w:hAnsi="ITC Avant Garde" w:cs="Arial"/>
                    <w:color w:val="000000"/>
                    <w:sz w:val="20"/>
                    <w:lang w:eastAsia="es-MX"/>
                  </w:rPr>
                  <w:t>Elija un elemento</w:t>
                </w:r>
                <w:r w:rsidR="00D06A7E">
                  <w:rPr>
                    <w:rFonts w:ascii="ITC Avant Garde" w:eastAsia="Times New Roman" w:hAnsi="ITC Avant Garde" w:cs="Arial"/>
                    <w:color w:val="000000"/>
                    <w:sz w:val="20"/>
                    <w:lang w:eastAsia="es-MX"/>
                  </w:rPr>
                  <w:t>.</w:t>
                </w:r>
              </w:sdtContent>
            </w:sdt>
          </w:p>
        </w:tc>
        <w:bookmarkStart w:id="0" w:name="_GoBack"/>
        <w:bookmarkEnd w:id="0"/>
      </w:tr>
      <w:tr w:rsidR="00DF154A" w:rsidRPr="00F36A5D" w14:paraId="08D6B305" w14:textId="77777777" w:rsidTr="00F97305">
        <w:trPr>
          <w:trHeight w:val="300"/>
        </w:trPr>
        <w:tc>
          <w:tcPr>
            <w:tcW w:w="8610" w:type="dxa"/>
            <w:gridSpan w:val="2"/>
            <w:shd w:val="clear" w:color="auto" w:fill="D9D9D9"/>
            <w:noWrap/>
            <w:vAlign w:val="center"/>
            <w:hideMark/>
          </w:tcPr>
          <w:p w14:paraId="41B64736" w14:textId="77777777"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14:paraId="362E0753" w14:textId="77777777" w:rsidTr="00F97305">
        <w:trPr>
          <w:trHeight w:val="274"/>
        </w:trPr>
        <w:tc>
          <w:tcPr>
            <w:tcW w:w="8610" w:type="dxa"/>
            <w:gridSpan w:val="2"/>
            <w:shd w:val="clear" w:color="auto" w:fill="auto"/>
            <w:vAlign w:val="center"/>
            <w:hideMark/>
          </w:tcPr>
          <w:p w14:paraId="2F9E767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D33C78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w:t>
            </w:r>
            <w:r w:rsidRPr="00A04017">
              <w:rPr>
                <w:rFonts w:ascii="ITC Avant Garde" w:eastAsia="Times New Roman" w:hAnsi="ITC Avant Garde"/>
                <w:b/>
                <w:color w:val="000000"/>
                <w:sz w:val="14"/>
                <w:szCs w:val="16"/>
                <w:lang w:eastAsia="es-MX"/>
              </w:rPr>
              <w:t>LGPDPPSO</w:t>
            </w:r>
            <w:r w:rsidRPr="00F04B09">
              <w:rPr>
                <w:rFonts w:ascii="ITC Avant Garde" w:eastAsia="Times New Roman" w:hAnsi="ITC Avant Garde"/>
                <w:color w:val="000000"/>
                <w:sz w:val="14"/>
                <w:szCs w:val="16"/>
                <w:lang w:eastAsia="es-MX"/>
              </w:rPr>
              <w:t>”); 9, fracción II, 15 y 26 al 45 de los Lineamientos Generales de Protección de Datos Personales para el Sector Público (en lo sucesivo los “</w:t>
            </w:r>
            <w:r w:rsidRPr="00A04017">
              <w:rPr>
                <w:rFonts w:ascii="ITC Avant Garde" w:eastAsia="Times New Roman" w:hAnsi="ITC Avant Garde"/>
                <w:b/>
                <w:color w:val="000000"/>
                <w:sz w:val="14"/>
                <w:szCs w:val="16"/>
                <w:lang w:eastAsia="es-MX"/>
              </w:rPr>
              <w:t>Lineamientos Generales</w:t>
            </w:r>
            <w:r w:rsidRPr="00F04B09">
              <w:rPr>
                <w:rFonts w:ascii="ITC Avant Garde" w:eastAsia="Times New Roman" w:hAnsi="ITC Avant Garde"/>
                <w:color w:val="000000"/>
                <w:sz w:val="14"/>
                <w:szCs w:val="16"/>
                <w:lang w:eastAsia="es-MX"/>
              </w:rPr>
              <w:t>”); 11 de los Lineamientos que establecen los parámetros, modalidades y procedimientos para la portabilidad de datos personales (en lo sucesivo los “</w:t>
            </w:r>
            <w:r w:rsidRPr="00A04017">
              <w:rPr>
                <w:rFonts w:ascii="ITC Avant Garde" w:eastAsia="Times New Roman" w:hAnsi="ITC Avant Garde"/>
                <w:b/>
                <w:color w:val="000000"/>
                <w:sz w:val="14"/>
                <w:szCs w:val="16"/>
                <w:lang w:eastAsia="es-MX"/>
              </w:rPr>
              <w:t>Lineamientos de Portabilidad</w:t>
            </w:r>
            <w:r w:rsidRPr="00F04B09">
              <w:rPr>
                <w:rFonts w:ascii="ITC Avant Garde" w:eastAsia="Times New Roman" w:hAnsi="ITC Avant Garde"/>
                <w:color w:val="000000"/>
                <w:sz w:val="14"/>
                <w:szCs w:val="16"/>
                <w:lang w:eastAsia="es-MX"/>
              </w:rPr>
              <w:t>”), numeral Segundo, punto 5, y numeral Cuarto de la Política de Protección de Datos Personales del Instituto Federal de Telecomunicaciones, se pone a disposición de los titulares de datos personales, el siguiente Aviso de Privacidad Integral:</w:t>
            </w:r>
          </w:p>
          <w:p w14:paraId="7679D8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6D3CE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68C52AE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w:t>
            </w:r>
            <w:r w:rsidRPr="00A04017">
              <w:rPr>
                <w:rFonts w:ascii="ITC Avant Garde" w:eastAsia="Times New Roman" w:hAnsi="ITC Avant Garde"/>
                <w:b/>
                <w:color w:val="000000"/>
                <w:sz w:val="14"/>
                <w:szCs w:val="16"/>
                <w:lang w:eastAsia="es-MX"/>
              </w:rPr>
              <w:t>IFT</w:t>
            </w:r>
            <w:r w:rsidRPr="00F04B09">
              <w:rPr>
                <w:rFonts w:ascii="ITC Avant Garde" w:eastAsia="Times New Roman" w:hAnsi="ITC Avant Garde"/>
                <w:color w:val="000000"/>
                <w:sz w:val="14"/>
                <w:szCs w:val="16"/>
                <w:lang w:eastAsia="es-MX"/>
              </w:rPr>
              <w:t>”).</w:t>
            </w:r>
          </w:p>
          <w:p w14:paraId="6F0C9FD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DABF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6E9BE67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DE66A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A2042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186539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85F71" w:rsidRPr="002E6C4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29409DC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2EF15BF8"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C6204E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5763A4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4B184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239C3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762D04B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81A70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6C8C1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04466E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1D0238B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7945CB6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598CD8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211031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B1584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B94BFD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48F599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6BE2B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7E4AA6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A69B5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46368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4B580E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w:t>
            </w:r>
            <w:r w:rsidRPr="00A04017">
              <w:rPr>
                <w:rFonts w:ascii="ITC Avant Garde" w:eastAsia="Times New Roman" w:hAnsi="ITC Avant Garde"/>
                <w:b/>
                <w:color w:val="000000"/>
                <w:sz w:val="14"/>
                <w:szCs w:val="16"/>
                <w:lang w:eastAsia="es-MX"/>
              </w:rPr>
              <w:t>INAI</w:t>
            </w:r>
            <w:r w:rsidRPr="00F04B09">
              <w:rPr>
                <w:rFonts w:ascii="ITC Avant Garde" w:eastAsia="Times New Roman" w:hAnsi="ITC Avant Garde"/>
                <w:color w:val="000000"/>
                <w:sz w:val="14"/>
                <w:szCs w:val="16"/>
                <w:lang w:eastAsia="es-MX"/>
              </w:rPr>
              <w:t xml:space="preserve">”). </w:t>
            </w:r>
          </w:p>
          <w:p w14:paraId="121E4B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4BC81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9479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CE50D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8000AD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4ADBA6B"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7D577B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35E369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062196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E753B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6F780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95D1D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44E342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733390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531F5CE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53B7C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615EE0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2588B7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9EBD5D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77738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3C524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D0AA7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CD9CC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A89FF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5B0FC1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68BE9B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091C3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2F5DFE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D9BBAF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A60A75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8FFA5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7CAF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745E50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0A518F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E8E0D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207C95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FC3F2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291E8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138541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A2D47F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1EDBD119" w14:textId="77777777" w:rsidR="00DF5B3F" w:rsidRDefault="00DF5B3F" w:rsidP="00DF5B3F">
      <w:pPr>
        <w:spacing w:after="0"/>
        <w:rPr>
          <w:rFonts w:ascii="ITC Avant Garde" w:hAnsi="ITC Avant Garde"/>
        </w:rPr>
      </w:pPr>
    </w:p>
    <w:p w14:paraId="71F16CAB" w14:textId="77777777" w:rsidR="00EA094D" w:rsidRDefault="00EA094D" w:rsidP="00DF5B3F">
      <w:pPr>
        <w:spacing w:after="0"/>
        <w:rPr>
          <w:rFonts w:ascii="ITC Avant Garde" w:hAnsi="ITC Avant Garde"/>
        </w:rPr>
      </w:pPr>
    </w:p>
    <w:tbl>
      <w:tblPr>
        <w:tblW w:w="86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2"/>
      </w:tblGrid>
      <w:tr w:rsidR="000553DD" w:rsidRPr="00E9169D" w14:paraId="78B88A17" w14:textId="77777777" w:rsidTr="00F97305">
        <w:trPr>
          <w:trHeight w:val="600"/>
        </w:trPr>
        <w:tc>
          <w:tcPr>
            <w:tcW w:w="8652" w:type="dxa"/>
            <w:shd w:val="clear" w:color="auto" w:fill="D9D9D9"/>
            <w:vAlign w:val="center"/>
            <w:hideMark/>
          </w:tcPr>
          <w:p w14:paraId="55E2CBFD" w14:textId="77777777" w:rsidR="000553DD" w:rsidRPr="00C0424E" w:rsidRDefault="000553DD" w:rsidP="00246FA5">
            <w:pPr>
              <w:pStyle w:val="Ttulo2"/>
              <w:ind w:left="783"/>
            </w:pPr>
            <w:r w:rsidRPr="00C0424E">
              <w:t>Marco de referencia</w:t>
            </w:r>
          </w:p>
        </w:tc>
      </w:tr>
      <w:tr w:rsidR="000553DD" w:rsidRPr="00E9169D" w14:paraId="39CD3F32" w14:textId="77777777" w:rsidTr="00F97305">
        <w:trPr>
          <w:trHeight w:val="720"/>
        </w:trPr>
        <w:tc>
          <w:tcPr>
            <w:tcW w:w="8652" w:type="dxa"/>
            <w:shd w:val="clear" w:color="000000" w:fill="FFFFFF"/>
            <w:noWrap/>
            <w:hideMark/>
          </w:tcPr>
          <w:p w14:paraId="5E421548" w14:textId="2546546C" w:rsidR="00C32290" w:rsidRPr="004510A1"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El 6 de marzo de 2014, el Pleno del Instituto Federal de Telecomunicaciones (en lo sucesivo, el “</w:t>
            </w:r>
            <w:r w:rsidRPr="004510A1">
              <w:rPr>
                <w:rFonts w:ascii="ITC Avant Garde" w:hAnsi="ITC Avant Garde"/>
                <w:b/>
                <w:sz w:val="20"/>
                <w:szCs w:val="20"/>
              </w:rPr>
              <w:t>Instituto</w:t>
            </w:r>
            <w:r w:rsidRPr="004510A1">
              <w:rPr>
                <w:rFonts w:ascii="ITC Avant Garde" w:hAnsi="ITC Avant Garde"/>
                <w:sz w:val="20"/>
                <w:szCs w:val="20"/>
              </w:rPr>
              <w:t xml:space="preserve">”) </w:t>
            </w:r>
            <w:r w:rsidR="006C672B" w:rsidRPr="004510A1">
              <w:rPr>
                <w:rFonts w:ascii="ITC Avant Garde" w:hAnsi="ITC Avant Garde"/>
                <w:sz w:val="20"/>
                <w:szCs w:val="20"/>
              </w:rPr>
              <w:t>declaró</w:t>
            </w:r>
            <w:r w:rsidRPr="004510A1">
              <w:rPr>
                <w:rFonts w:ascii="ITC Avant Garde" w:hAnsi="ITC Avant Garde"/>
                <w:sz w:val="20"/>
                <w:szCs w:val="20"/>
              </w:rPr>
              <w:t xml:space="preserve"> </w:t>
            </w:r>
            <w:r w:rsidR="00CC2A01">
              <w:rPr>
                <w:rFonts w:ascii="ITC Avant Garde" w:hAnsi="ITC Avant Garde"/>
                <w:sz w:val="20"/>
                <w:szCs w:val="20"/>
              </w:rPr>
              <w:t xml:space="preserve">como </w:t>
            </w:r>
            <w:r w:rsidRPr="004510A1">
              <w:rPr>
                <w:rFonts w:ascii="ITC Avant Garde" w:hAnsi="ITC Avant Garde"/>
                <w:sz w:val="20"/>
                <w:szCs w:val="20"/>
              </w:rPr>
              <w:t xml:space="preserve">Agente Económico Preponderante en el Sector de Telecomunicaciones (en lo sucesivo, el </w:t>
            </w:r>
            <w:r w:rsidRPr="004510A1">
              <w:rPr>
                <w:rFonts w:ascii="ITC Avant Garde" w:hAnsi="ITC Avant Garde"/>
                <w:b/>
                <w:sz w:val="20"/>
                <w:szCs w:val="20"/>
              </w:rPr>
              <w:t>“AEPT”</w:t>
            </w:r>
            <w:r w:rsidRPr="004510A1">
              <w:rPr>
                <w:rFonts w:ascii="ITC Avant Garde" w:hAnsi="ITC Avant Garde"/>
                <w:sz w:val="20"/>
                <w:szCs w:val="20"/>
              </w:rPr>
              <w:t xml:space="preserve">) al grupo de interés económico del que forman parte AMÉRICA MÓVIL S.A.B. DE C.V., TELÉFONOS DE MÉXICO, S.A.B. DE C.V., TELÉFONOS DEL NOROESTE, S.A. DE C.V., RADIOMÓVIL DIPSA, S.A.B. DE C.V., GRUPO CARSO, S.A.B. DE C.V., Y GRUPO FINANCIERO INBURSA. S.A.B. DE C.V. </w:t>
            </w:r>
            <w:r w:rsidR="00CC2A01">
              <w:rPr>
                <w:rFonts w:ascii="ITC Avant Garde" w:hAnsi="ITC Avant Garde"/>
                <w:sz w:val="20"/>
                <w:szCs w:val="20"/>
              </w:rPr>
              <w:t>y le impuso</w:t>
            </w:r>
            <w:r w:rsidRPr="004510A1">
              <w:rPr>
                <w:rFonts w:ascii="ITC Avant Garde" w:hAnsi="ITC Avant Garde"/>
                <w:sz w:val="20"/>
                <w:szCs w:val="20"/>
              </w:rPr>
              <w:t xml:space="preserve"> medidas de regulación asimétrica descritas en cinco anexos. Dichas medidas, entre otras cosas, mandatan obligaciones del AEPT respecto a la provisión de servicios mayoristas regulados (en lo sucesivo, los </w:t>
            </w:r>
            <w:r w:rsidRPr="004510A1">
              <w:rPr>
                <w:rFonts w:ascii="ITC Avant Garde" w:hAnsi="ITC Avant Garde"/>
                <w:b/>
                <w:sz w:val="20"/>
                <w:szCs w:val="20"/>
              </w:rPr>
              <w:t>“SMR”</w:t>
            </w:r>
            <w:r w:rsidRPr="004510A1">
              <w:rPr>
                <w:rFonts w:ascii="ITC Avant Garde" w:hAnsi="ITC Avant Garde"/>
                <w:sz w:val="20"/>
                <w:szCs w:val="20"/>
              </w:rPr>
              <w:t>)</w:t>
            </w:r>
            <w:r w:rsidR="00ED7239">
              <w:rPr>
                <w:rFonts w:ascii="ITC Avant Garde" w:hAnsi="ITC Avant Garde"/>
                <w:sz w:val="20"/>
                <w:szCs w:val="20"/>
              </w:rPr>
              <w:t xml:space="preserve"> de desagregación, enlaces dedicados, compartición de infraestructura pasiva fija y móvil, interconexión fija y móvil, comercialización y reventa de servicios a operadores móviles virtuales y usuario visitante o itinerancia.</w:t>
            </w:r>
            <w:r w:rsidRPr="004510A1">
              <w:rPr>
                <w:rFonts w:ascii="ITC Avant Garde" w:hAnsi="ITC Avant Garde"/>
                <w:sz w:val="20"/>
                <w:szCs w:val="20"/>
              </w:rPr>
              <w:t xml:space="preserve"> </w:t>
            </w:r>
          </w:p>
          <w:p w14:paraId="73F0162B" w14:textId="1D23E739" w:rsidR="00C32290"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 xml:space="preserve">Posteriormente, el 27 de febrero de 2017, </w:t>
            </w:r>
            <w:r w:rsidR="008667C7">
              <w:rPr>
                <w:rFonts w:ascii="ITC Avant Garde" w:hAnsi="ITC Avant Garde"/>
                <w:sz w:val="20"/>
                <w:szCs w:val="20"/>
              </w:rPr>
              <w:t>se</w:t>
            </w:r>
            <w:r w:rsidRPr="004510A1">
              <w:rPr>
                <w:rFonts w:ascii="ITC Avant Garde" w:hAnsi="ITC Avant Garde"/>
                <w:sz w:val="20"/>
                <w:szCs w:val="20"/>
              </w:rPr>
              <w:t xml:space="preserve"> emitió la resolución mediante la cual el Pleno del Instituto suprime, modifica y adiciona las medidas impuestas al Agente Económico Preponderante en el Sector de Telecomunicaciones</w:t>
            </w:r>
            <w:r w:rsidRPr="004510A1">
              <w:rPr>
                <w:rStyle w:val="Refdenotaalpie"/>
                <w:rFonts w:ascii="ITC Avant Garde" w:hAnsi="ITC Avant Garde"/>
                <w:sz w:val="20"/>
                <w:szCs w:val="20"/>
              </w:rPr>
              <w:footnoteReference w:id="3"/>
            </w:r>
            <w:r w:rsidRPr="004510A1">
              <w:rPr>
                <w:rFonts w:ascii="ITC Avant Garde" w:hAnsi="ITC Avant Garde"/>
                <w:sz w:val="20"/>
                <w:szCs w:val="20"/>
              </w:rPr>
              <w:t xml:space="preserve"> (en lo sucesivo, la "</w:t>
            </w:r>
            <w:r w:rsidRPr="004510A1">
              <w:rPr>
                <w:rFonts w:ascii="ITC Avant Garde" w:hAnsi="ITC Avant Garde"/>
                <w:b/>
                <w:sz w:val="20"/>
                <w:szCs w:val="20"/>
              </w:rPr>
              <w:t>Resolución Bienal 2017</w:t>
            </w:r>
            <w:r w:rsidRPr="004510A1">
              <w:rPr>
                <w:rFonts w:ascii="ITC Avant Garde" w:hAnsi="ITC Avant Garde"/>
                <w:sz w:val="20"/>
                <w:szCs w:val="20"/>
              </w:rPr>
              <w:t xml:space="preserve">"). En la medida Septuagésima Octava del Anexo 1 referente a los servicios de telecomunicaciones móviles, así como en las medidas Trigésima Quinta del Anexo 2 y Quincuagésima del Anexo 3 referentes a los servicios de telecomunicaciones fijos, se mandató que el AEPT debe reportar una serie de Indicadores Clave de Desempeño (en lo sucesivo, </w:t>
            </w:r>
            <w:r w:rsidRPr="004510A1">
              <w:rPr>
                <w:rFonts w:ascii="ITC Avant Garde" w:hAnsi="ITC Avant Garde"/>
                <w:b/>
                <w:sz w:val="20"/>
                <w:szCs w:val="20"/>
              </w:rPr>
              <w:t>“ICD”</w:t>
            </w:r>
            <w:r w:rsidRPr="004510A1">
              <w:rPr>
                <w:rFonts w:ascii="ITC Avant Garde" w:hAnsi="ITC Avant Garde"/>
                <w:sz w:val="20"/>
                <w:szCs w:val="20"/>
              </w:rPr>
              <w:t xml:space="preserve">), distinguiendo entre las operaciones internas y externas, bajo los términos, formatos y plazos establecidos por el Instituto. </w:t>
            </w:r>
          </w:p>
          <w:p w14:paraId="03889D02" w14:textId="4DADBC79" w:rsidR="00C32290" w:rsidRPr="004510A1" w:rsidRDefault="00361F92" w:rsidP="007473C3">
            <w:pPr>
              <w:spacing w:line="276" w:lineRule="auto"/>
              <w:jc w:val="both"/>
              <w:rPr>
                <w:rFonts w:ascii="ITC Avant Garde" w:hAnsi="ITC Avant Garde"/>
                <w:sz w:val="20"/>
                <w:szCs w:val="20"/>
              </w:rPr>
            </w:pPr>
            <w:r w:rsidRPr="004510A1">
              <w:rPr>
                <w:rFonts w:ascii="ITC Avant Garde" w:hAnsi="ITC Avant Garde"/>
                <w:sz w:val="20"/>
                <w:szCs w:val="20"/>
              </w:rPr>
              <w:t>Los ICD se establecieron como medida necesaria para evaluar el desempeño global del AEPT con relación a la provisión de los SMR, distinguiendo entre las operaciones con empresas pertenecientes y relacionadas con el mismo AEPT y las operaciones con terceros</w:t>
            </w:r>
            <w:r>
              <w:rPr>
                <w:rFonts w:ascii="ITC Avant Garde" w:hAnsi="ITC Avant Garde"/>
                <w:sz w:val="20"/>
                <w:szCs w:val="20"/>
              </w:rPr>
              <w:t xml:space="preserve">, </w:t>
            </w:r>
            <w:r w:rsidRPr="004510A1">
              <w:rPr>
                <w:rFonts w:ascii="ITC Avant Garde" w:hAnsi="ITC Avant Garde"/>
                <w:sz w:val="20"/>
                <w:szCs w:val="20"/>
              </w:rPr>
              <w:t>como apoyo para monitorear el grado de implementación de la equivalencia de insumos en la provisión de los SM</w:t>
            </w:r>
            <w:r w:rsidR="00B16509">
              <w:rPr>
                <w:rFonts w:ascii="ITC Avant Garde" w:hAnsi="ITC Avant Garde"/>
                <w:sz w:val="20"/>
                <w:szCs w:val="20"/>
              </w:rPr>
              <w:t>R</w:t>
            </w:r>
            <w:r w:rsidRPr="004510A1">
              <w:rPr>
                <w:rFonts w:ascii="ITC Avant Garde" w:hAnsi="ITC Avant Garde"/>
                <w:sz w:val="20"/>
                <w:szCs w:val="20"/>
              </w:rPr>
              <w:t>.</w:t>
            </w:r>
            <w:r>
              <w:rPr>
                <w:rFonts w:ascii="ITC Avant Garde" w:hAnsi="ITC Avant Garde"/>
                <w:sz w:val="20"/>
                <w:szCs w:val="20"/>
              </w:rPr>
              <w:t xml:space="preserve"> Para ello, </w:t>
            </w:r>
            <w:r w:rsidR="00C32290" w:rsidRPr="004510A1">
              <w:rPr>
                <w:rFonts w:ascii="ITC Avant Garde" w:hAnsi="ITC Avant Garde"/>
                <w:sz w:val="20"/>
                <w:szCs w:val="20"/>
              </w:rPr>
              <w:t xml:space="preserve">el 15 de junio de 2017, el Instituto emitió los acuerdos mediante los cuales </w:t>
            </w:r>
            <w:r>
              <w:rPr>
                <w:rFonts w:ascii="ITC Avant Garde" w:hAnsi="ITC Avant Garde"/>
                <w:sz w:val="20"/>
                <w:szCs w:val="20"/>
              </w:rPr>
              <w:t>estableció</w:t>
            </w:r>
            <w:r w:rsidR="00C32290" w:rsidRPr="004510A1">
              <w:rPr>
                <w:rFonts w:ascii="ITC Avant Garde" w:hAnsi="ITC Avant Garde"/>
                <w:sz w:val="20"/>
                <w:szCs w:val="20"/>
              </w:rPr>
              <w:t xml:space="preserve"> los ICD que debe reportar el AEPT de conformidad con lo establecido en la Resolución Bienal 2017. Dichos acuerdos contemplan reportes trimestrales para:</w:t>
            </w:r>
          </w:p>
          <w:p w14:paraId="6DC8F552" w14:textId="77777777" w:rsidR="00D26BAF" w:rsidRPr="004510A1" w:rsidRDefault="00D26BAF" w:rsidP="007473C3">
            <w:pPr>
              <w:pStyle w:val="Prrafodelista"/>
              <w:numPr>
                <w:ilvl w:val="0"/>
                <w:numId w:val="27"/>
              </w:numPr>
              <w:spacing w:after="200" w:line="276" w:lineRule="auto"/>
              <w:ind w:left="709"/>
              <w:contextualSpacing/>
              <w:jc w:val="both"/>
              <w:rPr>
                <w:rFonts w:ascii="ITC Avant Garde" w:hAnsi="ITC Avant Garde"/>
                <w:sz w:val="20"/>
                <w:szCs w:val="20"/>
              </w:rPr>
            </w:pPr>
            <w:r w:rsidRPr="004510A1">
              <w:rPr>
                <w:rFonts w:ascii="ITC Avant Garde" w:hAnsi="ITC Avant Garde"/>
                <w:sz w:val="20"/>
                <w:szCs w:val="20"/>
              </w:rPr>
              <w:t>Servicios de telecomunicaciones fijos</w:t>
            </w:r>
            <w:r>
              <w:rPr>
                <w:rFonts w:ascii="ITC Avant Garde" w:hAnsi="ITC Avant Garde"/>
                <w:sz w:val="20"/>
                <w:szCs w:val="20"/>
              </w:rPr>
              <w:t>:</w:t>
            </w:r>
            <w:r w:rsidRPr="004510A1">
              <w:rPr>
                <w:rFonts w:ascii="ITC Avant Garde" w:hAnsi="ITC Avant Garde"/>
                <w:sz w:val="20"/>
                <w:szCs w:val="20"/>
              </w:rPr>
              <w:t xml:space="preserve"> </w:t>
            </w:r>
          </w:p>
          <w:p w14:paraId="5178338A" w14:textId="77777777" w:rsidR="00D26BAF" w:rsidRPr="004510A1" w:rsidRDefault="00D26BAF" w:rsidP="007473C3">
            <w:pPr>
              <w:pStyle w:val="Prrafodelista"/>
              <w:numPr>
                <w:ilvl w:val="1"/>
                <w:numId w:val="26"/>
              </w:numPr>
              <w:spacing w:after="200" w:line="276" w:lineRule="auto"/>
              <w:contextualSpacing/>
              <w:jc w:val="both"/>
              <w:rPr>
                <w:rFonts w:ascii="ITC Avant Garde" w:hAnsi="ITC Avant Garde"/>
                <w:sz w:val="20"/>
                <w:szCs w:val="20"/>
              </w:rPr>
            </w:pPr>
            <w:r w:rsidRPr="004510A1">
              <w:rPr>
                <w:rFonts w:ascii="ITC Avant Garde" w:hAnsi="ITC Avant Garde"/>
                <w:sz w:val="20"/>
                <w:szCs w:val="20"/>
              </w:rPr>
              <w:lastRenderedPageBreak/>
              <w:t xml:space="preserve">23 ICD que en agregado miden los servicios de: </w:t>
            </w:r>
          </w:p>
          <w:p w14:paraId="0B5E0C94" w14:textId="5A2188BE" w:rsidR="00D26BAF" w:rsidRPr="00D26BAF" w:rsidRDefault="00D26BAF" w:rsidP="007473C3">
            <w:pPr>
              <w:pStyle w:val="Prrafodelista"/>
              <w:numPr>
                <w:ilvl w:val="2"/>
                <w:numId w:val="26"/>
              </w:numPr>
              <w:spacing w:after="200" w:line="276" w:lineRule="auto"/>
              <w:contextualSpacing/>
              <w:jc w:val="both"/>
              <w:rPr>
                <w:rFonts w:ascii="ITC Avant Garde" w:hAnsi="ITC Avant Garde"/>
                <w:sz w:val="20"/>
                <w:szCs w:val="20"/>
              </w:rPr>
            </w:pPr>
            <w:r w:rsidRPr="00D26BAF">
              <w:rPr>
                <w:rFonts w:ascii="ITC Avant Garde" w:hAnsi="ITC Avant Garde"/>
                <w:sz w:val="20"/>
                <w:szCs w:val="20"/>
              </w:rPr>
              <w:t xml:space="preserve">Compartición de Infraestructura, </w:t>
            </w:r>
          </w:p>
          <w:p w14:paraId="5E7D7AC1" w14:textId="5387CC18" w:rsidR="00FD4CCC" w:rsidRDefault="00FD4CCC">
            <w:pPr>
              <w:pStyle w:val="Prrafodelista"/>
              <w:numPr>
                <w:ilvl w:val="2"/>
                <w:numId w:val="26"/>
              </w:numPr>
              <w:spacing w:after="200" w:line="276" w:lineRule="auto"/>
              <w:contextualSpacing/>
              <w:jc w:val="both"/>
              <w:rPr>
                <w:rFonts w:ascii="ITC Avant Garde" w:hAnsi="ITC Avant Garde"/>
                <w:sz w:val="20"/>
                <w:szCs w:val="20"/>
              </w:rPr>
            </w:pPr>
            <w:r>
              <w:rPr>
                <w:rFonts w:ascii="ITC Avant Garde" w:hAnsi="ITC Avant Garde"/>
                <w:sz w:val="20"/>
                <w:szCs w:val="20"/>
              </w:rPr>
              <w:t>Enlaces</w:t>
            </w:r>
            <w:r w:rsidR="00D26BAF" w:rsidRPr="00D26BAF">
              <w:rPr>
                <w:rFonts w:ascii="ITC Avant Garde" w:hAnsi="ITC Avant Garde"/>
                <w:sz w:val="20"/>
                <w:szCs w:val="20"/>
              </w:rPr>
              <w:t xml:space="preserve"> de Interconexión,</w:t>
            </w:r>
          </w:p>
          <w:p w14:paraId="32153C45" w14:textId="3D84A8A5" w:rsidR="00D26BAF" w:rsidRPr="00D26BAF" w:rsidRDefault="00FD4CCC" w:rsidP="007473C3">
            <w:pPr>
              <w:pStyle w:val="Prrafodelista"/>
              <w:numPr>
                <w:ilvl w:val="2"/>
                <w:numId w:val="26"/>
              </w:numPr>
              <w:spacing w:after="200" w:line="276" w:lineRule="auto"/>
              <w:contextualSpacing/>
              <w:jc w:val="both"/>
              <w:rPr>
                <w:rFonts w:ascii="ITC Avant Garde" w:hAnsi="ITC Avant Garde"/>
                <w:sz w:val="20"/>
                <w:szCs w:val="20"/>
              </w:rPr>
            </w:pPr>
            <w:r>
              <w:rPr>
                <w:rFonts w:ascii="ITC Avant Garde" w:hAnsi="ITC Avant Garde"/>
                <w:sz w:val="20"/>
                <w:szCs w:val="20"/>
              </w:rPr>
              <w:t>Interconexión,</w:t>
            </w:r>
            <w:r w:rsidR="00D26BAF" w:rsidRPr="00D26BAF">
              <w:rPr>
                <w:rFonts w:ascii="ITC Avant Garde" w:hAnsi="ITC Avant Garde"/>
                <w:sz w:val="20"/>
                <w:szCs w:val="20"/>
              </w:rPr>
              <w:t xml:space="preserve"> </w:t>
            </w:r>
          </w:p>
          <w:p w14:paraId="73B5E6E0" w14:textId="50999CA1" w:rsidR="00D26BAF" w:rsidRPr="00D26BAF" w:rsidRDefault="00D26BAF" w:rsidP="007473C3">
            <w:pPr>
              <w:pStyle w:val="Prrafodelista"/>
              <w:numPr>
                <w:ilvl w:val="2"/>
                <w:numId w:val="26"/>
              </w:numPr>
              <w:spacing w:after="200" w:line="276" w:lineRule="auto"/>
              <w:contextualSpacing/>
              <w:jc w:val="both"/>
              <w:rPr>
                <w:rFonts w:ascii="ITC Avant Garde" w:hAnsi="ITC Avant Garde"/>
                <w:sz w:val="20"/>
                <w:szCs w:val="20"/>
              </w:rPr>
            </w:pPr>
            <w:r w:rsidRPr="00D26BAF">
              <w:rPr>
                <w:rFonts w:ascii="ITC Avant Garde" w:hAnsi="ITC Avant Garde"/>
                <w:sz w:val="20"/>
                <w:szCs w:val="20"/>
              </w:rPr>
              <w:t>Enlaces Dedicados</w:t>
            </w:r>
            <w:r w:rsidR="0043365D">
              <w:rPr>
                <w:rFonts w:ascii="ITC Avant Garde" w:hAnsi="ITC Avant Garde"/>
                <w:sz w:val="20"/>
                <w:szCs w:val="20"/>
              </w:rPr>
              <w:t>,</w:t>
            </w:r>
            <w:r w:rsidRPr="00D26BAF">
              <w:rPr>
                <w:rFonts w:ascii="ITC Avant Garde" w:hAnsi="ITC Avant Garde"/>
                <w:sz w:val="20"/>
                <w:szCs w:val="20"/>
              </w:rPr>
              <w:t xml:space="preserve"> y</w:t>
            </w:r>
          </w:p>
          <w:p w14:paraId="246707FA" w14:textId="1BADA437" w:rsidR="00D26BAF" w:rsidRPr="00D26BAF" w:rsidRDefault="00FD4CCC" w:rsidP="007473C3">
            <w:pPr>
              <w:pStyle w:val="Prrafodelista"/>
              <w:numPr>
                <w:ilvl w:val="2"/>
                <w:numId w:val="26"/>
              </w:numPr>
              <w:spacing w:after="200" w:line="276" w:lineRule="auto"/>
              <w:contextualSpacing/>
              <w:jc w:val="both"/>
              <w:rPr>
                <w:rFonts w:ascii="ITC Avant Garde" w:hAnsi="ITC Avant Garde"/>
                <w:sz w:val="20"/>
                <w:szCs w:val="20"/>
              </w:rPr>
            </w:pPr>
            <w:r>
              <w:rPr>
                <w:rFonts w:ascii="ITC Avant Garde" w:hAnsi="ITC Avant Garde"/>
                <w:sz w:val="20"/>
                <w:szCs w:val="20"/>
              </w:rPr>
              <w:t>D</w:t>
            </w:r>
            <w:r w:rsidR="00D26BAF" w:rsidRPr="00D26BAF">
              <w:rPr>
                <w:rFonts w:ascii="ITC Avant Garde" w:hAnsi="ITC Avant Garde"/>
                <w:sz w:val="20"/>
                <w:szCs w:val="20"/>
              </w:rPr>
              <w:t>esagregación</w:t>
            </w:r>
            <w:r>
              <w:rPr>
                <w:rFonts w:ascii="ITC Avant Garde" w:hAnsi="ITC Avant Garde"/>
                <w:sz w:val="20"/>
                <w:szCs w:val="20"/>
              </w:rPr>
              <w:t xml:space="preserve"> Reventa</w:t>
            </w:r>
            <w:r w:rsidR="00D26BAF" w:rsidRPr="00D26BAF">
              <w:rPr>
                <w:rFonts w:ascii="ITC Avant Garde" w:hAnsi="ITC Avant Garde"/>
                <w:sz w:val="20"/>
                <w:szCs w:val="20"/>
              </w:rPr>
              <w:t xml:space="preserve">.  </w:t>
            </w:r>
          </w:p>
          <w:p w14:paraId="2AFC1A10" w14:textId="3EDA844E" w:rsidR="00C32290" w:rsidRPr="004510A1" w:rsidRDefault="00C32290" w:rsidP="007473C3">
            <w:pPr>
              <w:pStyle w:val="Prrafodelista"/>
              <w:numPr>
                <w:ilvl w:val="0"/>
                <w:numId w:val="27"/>
              </w:numPr>
              <w:spacing w:after="200" w:line="276" w:lineRule="auto"/>
              <w:ind w:left="709"/>
              <w:contextualSpacing/>
              <w:jc w:val="both"/>
              <w:rPr>
                <w:rFonts w:ascii="ITC Avant Garde" w:hAnsi="ITC Avant Garde"/>
                <w:sz w:val="20"/>
                <w:szCs w:val="20"/>
              </w:rPr>
            </w:pPr>
            <w:r w:rsidRPr="004510A1">
              <w:rPr>
                <w:rFonts w:ascii="ITC Avant Garde" w:hAnsi="ITC Avant Garde"/>
                <w:sz w:val="20"/>
                <w:szCs w:val="20"/>
              </w:rPr>
              <w:t>Servicios de telecomunicaciones móviles</w:t>
            </w:r>
            <w:r w:rsidR="00D26BAF">
              <w:rPr>
                <w:rFonts w:ascii="ITC Avant Garde" w:hAnsi="ITC Avant Garde"/>
                <w:sz w:val="20"/>
                <w:szCs w:val="20"/>
              </w:rPr>
              <w:t>:</w:t>
            </w:r>
          </w:p>
          <w:p w14:paraId="2480A477" w14:textId="77777777" w:rsidR="00C32290" w:rsidRPr="004510A1" w:rsidRDefault="00C32290" w:rsidP="007473C3">
            <w:pPr>
              <w:pStyle w:val="Prrafodelista"/>
              <w:numPr>
                <w:ilvl w:val="1"/>
                <w:numId w:val="26"/>
              </w:numPr>
              <w:spacing w:after="200" w:line="276" w:lineRule="auto"/>
              <w:contextualSpacing/>
              <w:jc w:val="both"/>
              <w:rPr>
                <w:rFonts w:ascii="ITC Avant Garde" w:hAnsi="ITC Avant Garde"/>
                <w:sz w:val="20"/>
                <w:szCs w:val="20"/>
              </w:rPr>
            </w:pPr>
            <w:r w:rsidRPr="004510A1">
              <w:rPr>
                <w:rFonts w:ascii="ITC Avant Garde" w:hAnsi="ITC Avant Garde"/>
                <w:sz w:val="20"/>
                <w:szCs w:val="20"/>
              </w:rPr>
              <w:t>7 ICD que en agregado miden los servicios de:</w:t>
            </w:r>
          </w:p>
          <w:p w14:paraId="76323C19" w14:textId="0A5A1BD4" w:rsidR="00C32290" w:rsidRPr="00D26BAF" w:rsidRDefault="00C32290" w:rsidP="007473C3">
            <w:pPr>
              <w:pStyle w:val="Prrafodelista"/>
              <w:numPr>
                <w:ilvl w:val="2"/>
                <w:numId w:val="26"/>
              </w:numPr>
              <w:spacing w:after="200" w:line="276" w:lineRule="auto"/>
              <w:contextualSpacing/>
              <w:jc w:val="both"/>
              <w:rPr>
                <w:rFonts w:ascii="ITC Avant Garde" w:hAnsi="ITC Avant Garde"/>
                <w:sz w:val="20"/>
                <w:szCs w:val="20"/>
              </w:rPr>
            </w:pPr>
            <w:r w:rsidRPr="00D26BAF">
              <w:rPr>
                <w:rFonts w:ascii="ITC Avant Garde" w:hAnsi="ITC Avant Garde"/>
                <w:sz w:val="20"/>
                <w:szCs w:val="20"/>
              </w:rPr>
              <w:t>Comparti</w:t>
            </w:r>
            <w:r w:rsidR="00FD4CCC">
              <w:rPr>
                <w:rFonts w:ascii="ITC Avant Garde" w:hAnsi="ITC Avant Garde"/>
                <w:sz w:val="20"/>
                <w:szCs w:val="20"/>
              </w:rPr>
              <w:t>ción</w:t>
            </w:r>
            <w:r w:rsidRPr="00D26BAF">
              <w:rPr>
                <w:rFonts w:ascii="ITC Avant Garde" w:hAnsi="ITC Avant Garde"/>
                <w:sz w:val="20"/>
                <w:szCs w:val="20"/>
              </w:rPr>
              <w:t xml:space="preserve"> de Infraestructura</w:t>
            </w:r>
            <w:r w:rsidR="0043365D">
              <w:rPr>
                <w:rFonts w:ascii="ITC Avant Garde" w:hAnsi="ITC Avant Garde"/>
                <w:sz w:val="20"/>
                <w:szCs w:val="20"/>
              </w:rPr>
              <w:t>,</w:t>
            </w:r>
            <w:r w:rsidRPr="00D26BAF">
              <w:rPr>
                <w:rFonts w:ascii="ITC Avant Garde" w:hAnsi="ITC Avant Garde"/>
                <w:sz w:val="20"/>
                <w:szCs w:val="20"/>
              </w:rPr>
              <w:t xml:space="preserve"> </w:t>
            </w:r>
            <w:r w:rsidR="00FD4CCC">
              <w:rPr>
                <w:rFonts w:ascii="ITC Avant Garde" w:hAnsi="ITC Avant Garde"/>
                <w:sz w:val="20"/>
                <w:szCs w:val="20"/>
              </w:rPr>
              <w:t>e</w:t>
            </w:r>
            <w:r w:rsidRPr="00D26BAF">
              <w:rPr>
                <w:rFonts w:ascii="ITC Avant Garde" w:hAnsi="ITC Avant Garde"/>
                <w:sz w:val="20"/>
                <w:szCs w:val="20"/>
              </w:rPr>
              <w:t xml:space="preserve"> </w:t>
            </w:r>
          </w:p>
          <w:p w14:paraId="0038873E" w14:textId="3DEA4F22" w:rsidR="00C32290" w:rsidRPr="00D26BAF" w:rsidRDefault="00C32290" w:rsidP="007473C3">
            <w:pPr>
              <w:pStyle w:val="Prrafodelista"/>
              <w:numPr>
                <w:ilvl w:val="2"/>
                <w:numId w:val="26"/>
              </w:numPr>
              <w:spacing w:after="200" w:line="276" w:lineRule="auto"/>
              <w:contextualSpacing/>
              <w:jc w:val="both"/>
              <w:rPr>
                <w:rFonts w:ascii="ITC Avant Garde" w:hAnsi="ITC Avant Garde"/>
                <w:sz w:val="20"/>
                <w:szCs w:val="20"/>
              </w:rPr>
            </w:pPr>
            <w:r w:rsidRPr="00D26BAF">
              <w:rPr>
                <w:rFonts w:ascii="ITC Avant Garde" w:hAnsi="ITC Avant Garde"/>
                <w:sz w:val="20"/>
                <w:szCs w:val="20"/>
              </w:rPr>
              <w:t>Interconexión.</w:t>
            </w:r>
          </w:p>
          <w:p w14:paraId="2C95B572" w14:textId="42898B85" w:rsidR="00D84343" w:rsidRDefault="00B6657B" w:rsidP="007473C3">
            <w:pPr>
              <w:spacing w:line="276" w:lineRule="auto"/>
              <w:jc w:val="both"/>
              <w:rPr>
                <w:rFonts w:ascii="ITC Avant Garde" w:hAnsi="ITC Avant Garde"/>
                <w:sz w:val="20"/>
                <w:szCs w:val="20"/>
              </w:rPr>
            </w:pPr>
            <w:r>
              <w:rPr>
                <w:rFonts w:ascii="ITC Avant Garde" w:hAnsi="ITC Avant Garde"/>
                <w:sz w:val="20"/>
                <w:szCs w:val="20"/>
              </w:rPr>
              <w:t xml:space="preserve">Para el caso de los servicios de telecomunicaciones fijos debe considerarse que </w:t>
            </w:r>
            <w:r w:rsidR="00361F92" w:rsidRPr="004510A1">
              <w:rPr>
                <w:rFonts w:ascii="ITC Avant Garde" w:hAnsi="ITC Avant Garde"/>
                <w:sz w:val="20"/>
                <w:szCs w:val="20"/>
              </w:rPr>
              <w:t xml:space="preserve">en la Resolución Bienal 2017 se adicionaron las medidas Sexagésima Quinta y Segunda Transitoria del Anexo 2 y Cuadragésima Séptima y Segunda Transitoria del Anexo 3, que mandataron al AEPT separar funcionalmente la provisión de </w:t>
            </w:r>
            <w:r w:rsidR="00361F92">
              <w:rPr>
                <w:rFonts w:ascii="ITC Avant Garde" w:hAnsi="ITC Avant Garde"/>
                <w:sz w:val="20"/>
                <w:szCs w:val="20"/>
              </w:rPr>
              <w:t xml:space="preserve">ciertos </w:t>
            </w:r>
            <w:r w:rsidR="00361F92" w:rsidRPr="004510A1">
              <w:rPr>
                <w:rFonts w:ascii="ITC Avant Garde" w:hAnsi="ITC Avant Garde"/>
                <w:sz w:val="20"/>
                <w:szCs w:val="20"/>
              </w:rPr>
              <w:t xml:space="preserve">servicios mayoristas objeto de las medidas, a través de la creación de una persona moral y de una división mayorista. </w:t>
            </w:r>
            <w:r>
              <w:rPr>
                <w:rFonts w:ascii="ITC Avant Garde" w:hAnsi="ITC Avant Garde"/>
                <w:sz w:val="20"/>
                <w:szCs w:val="20"/>
              </w:rPr>
              <w:t xml:space="preserve">Para tales efectos, </w:t>
            </w:r>
            <w:r w:rsidR="00C32290" w:rsidRPr="004510A1">
              <w:rPr>
                <w:rFonts w:ascii="ITC Avant Garde" w:hAnsi="ITC Avant Garde"/>
                <w:sz w:val="20"/>
                <w:szCs w:val="20"/>
              </w:rPr>
              <w:t>el 27 de febrero de 2018 el Pleno del Instituto aprobó el acuerdo mediante el cual resolvió sobre el plan final de separación funcional</w:t>
            </w:r>
            <w:r w:rsidR="00C32290" w:rsidRPr="004510A1">
              <w:rPr>
                <w:rStyle w:val="Refdenotaalpie"/>
                <w:rFonts w:ascii="ITC Avant Garde" w:hAnsi="ITC Avant Garde"/>
                <w:sz w:val="20"/>
                <w:szCs w:val="20"/>
              </w:rPr>
              <w:footnoteReference w:id="4"/>
            </w:r>
            <w:r>
              <w:rPr>
                <w:rFonts w:ascii="ITC Avant Garde" w:hAnsi="ITC Avant Garde"/>
                <w:sz w:val="20"/>
                <w:szCs w:val="20"/>
              </w:rPr>
              <w:t xml:space="preserve"> que se implementó durante 2 años, culminando </w:t>
            </w:r>
            <w:r w:rsidR="00612A41">
              <w:rPr>
                <w:rFonts w:ascii="ITC Avant Garde" w:hAnsi="ITC Avant Garde"/>
                <w:sz w:val="20"/>
                <w:szCs w:val="20"/>
              </w:rPr>
              <w:t xml:space="preserve">dicho periodo </w:t>
            </w:r>
            <w:r>
              <w:rPr>
                <w:rFonts w:ascii="ITC Avant Garde" w:hAnsi="ITC Avant Garde"/>
                <w:sz w:val="20"/>
                <w:szCs w:val="20"/>
              </w:rPr>
              <w:t>el pasado 6 de marzo 2020</w:t>
            </w:r>
            <w:r w:rsidR="00612A41">
              <w:rPr>
                <w:rFonts w:ascii="ITC Avant Garde" w:hAnsi="ITC Avant Garde"/>
                <w:sz w:val="20"/>
                <w:szCs w:val="20"/>
              </w:rPr>
              <w:t xml:space="preserve">, </w:t>
            </w:r>
            <w:r w:rsidR="00D84343">
              <w:rPr>
                <w:rFonts w:ascii="ITC Avant Garde" w:hAnsi="ITC Avant Garde"/>
                <w:sz w:val="20"/>
                <w:szCs w:val="20"/>
              </w:rPr>
              <w:t>por lo que al día siguiente</w:t>
            </w:r>
            <w:r w:rsidR="00612A41">
              <w:rPr>
                <w:rFonts w:ascii="ITC Avant Garde" w:hAnsi="ITC Avant Garde"/>
                <w:sz w:val="20"/>
                <w:szCs w:val="20"/>
              </w:rPr>
              <w:t xml:space="preserve"> las empresas mayoristas de reciente creación</w:t>
            </w:r>
            <w:r w:rsidR="00D84343">
              <w:rPr>
                <w:rFonts w:ascii="ITC Avant Garde" w:hAnsi="ITC Avant Garde"/>
                <w:sz w:val="20"/>
                <w:szCs w:val="20"/>
              </w:rPr>
              <w:t xml:space="preserve">, </w:t>
            </w:r>
            <w:r w:rsidR="006774EA">
              <w:rPr>
                <w:rFonts w:ascii="ITC Avant Garde" w:hAnsi="ITC Avant Garde"/>
                <w:sz w:val="20"/>
                <w:szCs w:val="20"/>
              </w:rPr>
              <w:t xml:space="preserve">Red Nacional Última Mill, S.A.P.I de C.V. (en los sucesivo, </w:t>
            </w:r>
            <w:r w:rsidR="006774EA">
              <w:rPr>
                <w:rFonts w:ascii="ITC Avant Garde" w:hAnsi="ITC Avant Garde"/>
                <w:b/>
                <w:bCs/>
                <w:sz w:val="20"/>
                <w:szCs w:val="20"/>
              </w:rPr>
              <w:t>“</w:t>
            </w:r>
            <w:r w:rsidR="00D84343">
              <w:rPr>
                <w:rFonts w:ascii="ITC Avant Garde" w:hAnsi="ITC Avant Garde"/>
                <w:b/>
                <w:sz w:val="20"/>
                <w:szCs w:val="20"/>
              </w:rPr>
              <w:t>RNUM</w:t>
            </w:r>
            <w:r w:rsidR="006774EA">
              <w:rPr>
                <w:rFonts w:ascii="ITC Avant Garde" w:hAnsi="ITC Avant Garde"/>
                <w:b/>
                <w:bCs/>
                <w:sz w:val="20"/>
                <w:szCs w:val="20"/>
              </w:rPr>
              <w:t>”</w:t>
            </w:r>
            <w:r w:rsidR="006774EA">
              <w:rPr>
                <w:rFonts w:ascii="ITC Avant Garde" w:hAnsi="ITC Avant Garde"/>
                <w:sz w:val="20"/>
                <w:szCs w:val="20"/>
              </w:rPr>
              <w:t xml:space="preserve">) </w:t>
            </w:r>
            <w:r w:rsidR="00D84343" w:rsidRPr="00380392">
              <w:rPr>
                <w:rFonts w:ascii="ITC Avant Garde" w:hAnsi="ITC Avant Garde"/>
                <w:sz w:val="20"/>
                <w:szCs w:val="20"/>
              </w:rPr>
              <w:t xml:space="preserve">y </w:t>
            </w:r>
            <w:r w:rsidR="006774EA">
              <w:rPr>
                <w:rFonts w:ascii="ITC Avant Garde" w:hAnsi="ITC Avant Garde"/>
                <w:sz w:val="20"/>
                <w:szCs w:val="20"/>
              </w:rPr>
              <w:t>Red Última Milla del Noroeste, S.A.P.I de C.V.</w:t>
            </w:r>
            <w:r w:rsidR="00D84343">
              <w:rPr>
                <w:rFonts w:ascii="ITC Avant Garde" w:hAnsi="ITC Avant Garde"/>
                <w:sz w:val="20"/>
                <w:szCs w:val="20"/>
              </w:rPr>
              <w:t xml:space="preserve"> (</w:t>
            </w:r>
            <w:r w:rsidR="006774EA">
              <w:rPr>
                <w:rFonts w:ascii="ITC Avant Garde" w:hAnsi="ITC Avant Garde"/>
                <w:sz w:val="20"/>
                <w:szCs w:val="20"/>
              </w:rPr>
              <w:t xml:space="preserve">en lo sucesivo, </w:t>
            </w:r>
            <w:r w:rsidR="006774EA">
              <w:rPr>
                <w:rFonts w:ascii="ITC Avant Garde" w:hAnsi="ITC Avant Garde"/>
                <w:b/>
                <w:bCs/>
                <w:sz w:val="20"/>
                <w:szCs w:val="20"/>
              </w:rPr>
              <w:t>“</w:t>
            </w:r>
            <w:r w:rsidR="00D84343">
              <w:rPr>
                <w:rFonts w:ascii="ITC Avant Garde" w:hAnsi="ITC Avant Garde"/>
                <w:b/>
                <w:sz w:val="20"/>
                <w:szCs w:val="20"/>
              </w:rPr>
              <w:t>RUMN</w:t>
            </w:r>
            <w:r w:rsidR="006774EA">
              <w:rPr>
                <w:rFonts w:ascii="ITC Avant Garde" w:hAnsi="ITC Avant Garde"/>
                <w:b/>
                <w:bCs/>
                <w:sz w:val="20"/>
                <w:szCs w:val="20"/>
              </w:rPr>
              <w:t>”</w:t>
            </w:r>
            <w:r w:rsidR="00D84343">
              <w:rPr>
                <w:rFonts w:ascii="ITC Avant Garde" w:hAnsi="ITC Avant Garde"/>
                <w:sz w:val="20"/>
                <w:szCs w:val="20"/>
              </w:rPr>
              <w:t>),</w:t>
            </w:r>
            <w:r w:rsidR="00612A41">
              <w:rPr>
                <w:rFonts w:ascii="ITC Avant Garde" w:hAnsi="ITC Avant Garde"/>
                <w:sz w:val="20"/>
                <w:szCs w:val="20"/>
              </w:rPr>
              <w:t xml:space="preserve"> iniciaron su operación</w:t>
            </w:r>
            <w:r w:rsidR="00D84343">
              <w:rPr>
                <w:rFonts w:ascii="ITC Avant Garde" w:hAnsi="ITC Avant Garde"/>
                <w:sz w:val="20"/>
                <w:szCs w:val="20"/>
              </w:rPr>
              <w:t xml:space="preserve"> de manera independiente</w:t>
            </w:r>
            <w:r w:rsidR="00C32290" w:rsidRPr="004510A1">
              <w:rPr>
                <w:rFonts w:ascii="ITC Avant Garde" w:hAnsi="ITC Avant Garde"/>
                <w:sz w:val="20"/>
                <w:szCs w:val="20"/>
              </w:rPr>
              <w:t xml:space="preserve"> </w:t>
            </w:r>
            <w:r w:rsidR="00D84343">
              <w:rPr>
                <w:rFonts w:ascii="ITC Avant Garde" w:hAnsi="ITC Avant Garde"/>
                <w:sz w:val="20"/>
                <w:szCs w:val="20"/>
              </w:rPr>
              <w:t xml:space="preserve">a </w:t>
            </w:r>
            <w:r w:rsidR="00C32290" w:rsidRPr="004510A1">
              <w:rPr>
                <w:rFonts w:ascii="ITC Avant Garde" w:hAnsi="ITC Avant Garde"/>
                <w:sz w:val="20"/>
                <w:szCs w:val="20"/>
              </w:rPr>
              <w:t xml:space="preserve">Teléfonos de México S.A.B. de C.V. (en lo sucesivo, </w:t>
            </w:r>
            <w:r w:rsidR="00C32290" w:rsidRPr="004510A1">
              <w:rPr>
                <w:rFonts w:ascii="ITC Avant Garde" w:hAnsi="ITC Avant Garde"/>
                <w:b/>
                <w:sz w:val="20"/>
                <w:szCs w:val="20"/>
              </w:rPr>
              <w:t>“Telmex”</w:t>
            </w:r>
            <w:r w:rsidR="00C32290" w:rsidRPr="004510A1">
              <w:rPr>
                <w:rFonts w:ascii="ITC Avant Garde" w:hAnsi="ITC Avant Garde"/>
                <w:sz w:val="20"/>
                <w:szCs w:val="20"/>
              </w:rPr>
              <w:t xml:space="preserve">) y Teléfonos del Noroeste S.A. de C.V. (en lo sucesivo, </w:t>
            </w:r>
            <w:r w:rsidR="00C32290" w:rsidRPr="004510A1">
              <w:rPr>
                <w:rFonts w:ascii="ITC Avant Garde" w:hAnsi="ITC Avant Garde"/>
                <w:b/>
                <w:sz w:val="20"/>
                <w:szCs w:val="20"/>
              </w:rPr>
              <w:t>“Telnor”</w:t>
            </w:r>
            <w:r w:rsidR="00C32290" w:rsidRPr="004510A1">
              <w:rPr>
                <w:rFonts w:ascii="ITC Avant Garde" w:hAnsi="ITC Avant Garde"/>
                <w:sz w:val="20"/>
                <w:szCs w:val="20"/>
              </w:rPr>
              <w:t xml:space="preserve">). </w:t>
            </w:r>
          </w:p>
          <w:p w14:paraId="0FD95FC4" w14:textId="25F2C078" w:rsidR="00C32290" w:rsidRPr="004510A1" w:rsidRDefault="00D84343" w:rsidP="007473C3">
            <w:pPr>
              <w:spacing w:line="276" w:lineRule="auto"/>
              <w:jc w:val="both"/>
              <w:rPr>
                <w:rFonts w:ascii="ITC Avant Garde" w:hAnsi="ITC Avant Garde"/>
                <w:sz w:val="20"/>
                <w:szCs w:val="20"/>
              </w:rPr>
            </w:pPr>
            <w:r>
              <w:rPr>
                <w:rFonts w:ascii="ITC Avant Garde" w:hAnsi="ITC Avant Garde"/>
                <w:sz w:val="20"/>
                <w:szCs w:val="20"/>
              </w:rPr>
              <w:t xml:space="preserve">Tomando en consideración la asignación de SMR definida en el plan final, así como lo determinado a través de </w:t>
            </w:r>
            <w:r w:rsidR="00C32290" w:rsidRPr="004510A1">
              <w:rPr>
                <w:rFonts w:ascii="ITC Avant Garde" w:hAnsi="ITC Avant Garde"/>
                <w:sz w:val="20"/>
                <w:szCs w:val="20"/>
              </w:rPr>
              <w:t>las Ofertas de Referencia vigentes aprobadas por el Instituto</w:t>
            </w:r>
            <w:r w:rsidR="00C32290" w:rsidRPr="004510A1">
              <w:rPr>
                <w:rStyle w:val="Refdenotaalpie"/>
                <w:rFonts w:ascii="ITC Avant Garde" w:hAnsi="ITC Avant Garde"/>
                <w:sz w:val="20"/>
                <w:szCs w:val="20"/>
              </w:rPr>
              <w:footnoteReference w:id="5"/>
            </w:r>
            <w:r>
              <w:rPr>
                <w:rFonts w:ascii="ITC Avant Garde" w:hAnsi="ITC Avant Garde"/>
                <w:sz w:val="20"/>
                <w:szCs w:val="20"/>
              </w:rPr>
              <w:t xml:space="preserve">, </w:t>
            </w:r>
            <w:r w:rsidR="00C32290" w:rsidRPr="004510A1">
              <w:rPr>
                <w:rFonts w:ascii="ITC Avant Garde" w:hAnsi="ITC Avant Garde"/>
                <w:sz w:val="20"/>
                <w:szCs w:val="20"/>
              </w:rPr>
              <w:t xml:space="preserve">la asignación de servicios </w:t>
            </w:r>
            <w:r w:rsidR="00E24F8F">
              <w:rPr>
                <w:rFonts w:ascii="ITC Avant Garde" w:hAnsi="ITC Avant Garde"/>
                <w:sz w:val="20"/>
                <w:szCs w:val="20"/>
              </w:rPr>
              <w:t xml:space="preserve">en el segmento fijo </w:t>
            </w:r>
            <w:r w:rsidR="00C32290" w:rsidRPr="004510A1">
              <w:rPr>
                <w:rFonts w:ascii="ITC Avant Garde" w:hAnsi="ITC Avant Garde"/>
                <w:sz w:val="20"/>
                <w:szCs w:val="20"/>
              </w:rPr>
              <w:t>quedó de la siguiente manera:</w:t>
            </w:r>
          </w:p>
          <w:p w14:paraId="213B9D19" w14:textId="77777777" w:rsidR="00C32290" w:rsidRPr="004510A1" w:rsidRDefault="00C32290">
            <w:pPr>
              <w:pStyle w:val="Prrafodelista"/>
              <w:numPr>
                <w:ilvl w:val="0"/>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Empresas Mayoristas:</w:t>
            </w:r>
          </w:p>
          <w:p w14:paraId="07069915" w14:textId="77777777" w:rsidR="00C32290" w:rsidRPr="004510A1" w:rsidRDefault="00C32290">
            <w:pPr>
              <w:pStyle w:val="Prrafodelista"/>
              <w:numPr>
                <w:ilvl w:val="1"/>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Servicios de desagregación</w:t>
            </w:r>
          </w:p>
          <w:p w14:paraId="232B7BAB" w14:textId="2B2469E4"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 de Acceso Indirecto al Bucle Local</w:t>
            </w:r>
            <w:r w:rsidR="006E48D6">
              <w:rPr>
                <w:rFonts w:ascii="ITC Avant Garde" w:hAnsi="ITC Avant Garde" w:cstheme="minorHAnsi"/>
                <w:sz w:val="20"/>
                <w:szCs w:val="20"/>
              </w:rPr>
              <w:t>,</w:t>
            </w:r>
            <w:r w:rsidRPr="004510A1">
              <w:rPr>
                <w:rFonts w:ascii="ITC Avant Garde" w:hAnsi="ITC Avant Garde" w:cstheme="minorHAnsi"/>
                <w:sz w:val="20"/>
                <w:szCs w:val="20"/>
              </w:rPr>
              <w:t xml:space="preserve"> Regional</w:t>
            </w:r>
            <w:r w:rsidR="006E48D6">
              <w:rPr>
                <w:rFonts w:ascii="ITC Avant Garde" w:hAnsi="ITC Avant Garde" w:cstheme="minorHAnsi"/>
                <w:sz w:val="20"/>
                <w:szCs w:val="20"/>
              </w:rPr>
              <w:t xml:space="preserve"> y Nacional</w:t>
            </w:r>
            <w:r w:rsidR="00AE3C2C">
              <w:rPr>
                <w:rFonts w:ascii="ITC Avant Garde" w:hAnsi="ITC Avant Garde" w:cstheme="minorHAnsi"/>
                <w:sz w:val="20"/>
                <w:szCs w:val="20"/>
              </w:rPr>
              <w:t xml:space="preserve"> (SAIB</w:t>
            </w:r>
            <w:r w:rsidRPr="004510A1">
              <w:rPr>
                <w:rFonts w:ascii="ITC Avant Garde" w:hAnsi="ITC Avant Garde" w:cstheme="minorHAnsi"/>
                <w:sz w:val="20"/>
                <w:szCs w:val="20"/>
              </w:rPr>
              <w:t>);</w:t>
            </w:r>
          </w:p>
          <w:p w14:paraId="56341C12" w14:textId="7C0C36C8"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 de Desagregación Total del Bucle</w:t>
            </w:r>
            <w:r w:rsidR="00AE3C2C">
              <w:rPr>
                <w:rFonts w:ascii="ITC Avant Garde" w:hAnsi="ITC Avant Garde" w:cstheme="minorHAnsi"/>
                <w:sz w:val="20"/>
                <w:szCs w:val="20"/>
              </w:rPr>
              <w:t xml:space="preserve"> Local</w:t>
            </w:r>
            <w:r w:rsidRPr="004510A1">
              <w:rPr>
                <w:rFonts w:ascii="ITC Avant Garde" w:hAnsi="ITC Avant Garde" w:cstheme="minorHAnsi"/>
                <w:sz w:val="20"/>
                <w:szCs w:val="20"/>
              </w:rPr>
              <w:t xml:space="preserve"> (SDTBL);</w:t>
            </w:r>
          </w:p>
          <w:p w14:paraId="2825CD49" w14:textId="1B3F26FA" w:rsidR="00C32290"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 de Desagregación Compartida del Bucle</w:t>
            </w:r>
            <w:r w:rsidR="00AE3C2C">
              <w:rPr>
                <w:rFonts w:ascii="ITC Avant Garde" w:hAnsi="ITC Avant Garde" w:cstheme="minorHAnsi"/>
                <w:sz w:val="20"/>
                <w:szCs w:val="20"/>
              </w:rPr>
              <w:t xml:space="preserve"> Local</w:t>
            </w:r>
            <w:r w:rsidRPr="004510A1">
              <w:rPr>
                <w:rFonts w:ascii="ITC Avant Garde" w:hAnsi="ITC Avant Garde" w:cstheme="minorHAnsi"/>
                <w:sz w:val="20"/>
                <w:szCs w:val="20"/>
              </w:rPr>
              <w:t xml:space="preserve"> (SDCBL);</w:t>
            </w:r>
          </w:p>
          <w:p w14:paraId="60C6F419" w14:textId="1AECFE7F" w:rsidR="00AE3C2C" w:rsidRPr="00AE3C2C" w:rsidRDefault="00AE3C2C" w:rsidP="00AE3C2C">
            <w:pPr>
              <w:pStyle w:val="Prrafodelista"/>
              <w:numPr>
                <w:ilvl w:val="2"/>
                <w:numId w:val="25"/>
              </w:numPr>
              <w:spacing w:after="200" w:line="276" w:lineRule="auto"/>
              <w:contextualSpacing/>
              <w:jc w:val="both"/>
              <w:rPr>
                <w:rFonts w:ascii="ITC Avant Garde" w:hAnsi="ITC Avant Garde" w:cstheme="minorHAnsi"/>
                <w:sz w:val="20"/>
                <w:szCs w:val="20"/>
              </w:rPr>
            </w:pPr>
            <w:r>
              <w:rPr>
                <w:rFonts w:ascii="ITC Avant Garde" w:hAnsi="ITC Avant Garde" w:cstheme="minorHAnsi"/>
                <w:sz w:val="20"/>
                <w:szCs w:val="20"/>
              </w:rPr>
              <w:t>Servicio de Desagregación Total de Fibra Óptica (SDTFO)</w:t>
            </w:r>
            <w:r w:rsidR="004A79E0">
              <w:rPr>
                <w:rFonts w:ascii="ITC Avant Garde" w:hAnsi="ITC Avant Garde" w:cstheme="minorHAnsi"/>
                <w:sz w:val="20"/>
                <w:szCs w:val="20"/>
              </w:rPr>
              <w:t>;</w:t>
            </w:r>
          </w:p>
          <w:p w14:paraId="4D412ED4" w14:textId="0835CA68"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 xml:space="preserve">Servicio de Desagregación Total del </w:t>
            </w:r>
            <w:proofErr w:type="spellStart"/>
            <w:r w:rsidRPr="004510A1">
              <w:rPr>
                <w:rFonts w:ascii="ITC Avant Garde" w:hAnsi="ITC Avant Garde" w:cstheme="minorHAnsi"/>
                <w:sz w:val="20"/>
                <w:szCs w:val="20"/>
              </w:rPr>
              <w:t>Sub-bucle</w:t>
            </w:r>
            <w:proofErr w:type="spellEnd"/>
            <w:r w:rsidRPr="004510A1">
              <w:rPr>
                <w:rFonts w:ascii="ITC Avant Garde" w:hAnsi="ITC Avant Garde" w:cstheme="minorHAnsi"/>
                <w:sz w:val="20"/>
                <w:szCs w:val="20"/>
              </w:rPr>
              <w:t xml:space="preserve"> </w:t>
            </w:r>
            <w:r w:rsidR="00AE3C2C">
              <w:rPr>
                <w:rFonts w:ascii="ITC Avant Garde" w:hAnsi="ITC Avant Garde" w:cstheme="minorHAnsi"/>
                <w:sz w:val="20"/>
                <w:szCs w:val="20"/>
              </w:rPr>
              <w:t xml:space="preserve">Local </w:t>
            </w:r>
            <w:r w:rsidRPr="004510A1">
              <w:rPr>
                <w:rFonts w:ascii="ITC Avant Garde" w:hAnsi="ITC Avant Garde" w:cstheme="minorHAnsi"/>
                <w:sz w:val="20"/>
                <w:szCs w:val="20"/>
              </w:rPr>
              <w:t>(SDTSBL);</w:t>
            </w:r>
          </w:p>
          <w:p w14:paraId="58AE5587" w14:textId="3844127C" w:rsidR="00C32290"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 xml:space="preserve">Servicio de Desagregación Compartida del Sub-Bucle </w:t>
            </w:r>
            <w:r w:rsidR="00AE3C2C">
              <w:rPr>
                <w:rFonts w:ascii="ITC Avant Garde" w:hAnsi="ITC Avant Garde" w:cstheme="minorHAnsi"/>
                <w:sz w:val="20"/>
                <w:szCs w:val="20"/>
              </w:rPr>
              <w:t xml:space="preserve">Local </w:t>
            </w:r>
            <w:r w:rsidRPr="004510A1">
              <w:rPr>
                <w:rFonts w:ascii="ITC Avant Garde" w:hAnsi="ITC Avant Garde" w:cstheme="minorHAnsi"/>
                <w:sz w:val="20"/>
                <w:szCs w:val="20"/>
              </w:rPr>
              <w:t>(SDCSBL);</w:t>
            </w:r>
          </w:p>
          <w:p w14:paraId="2685F225" w14:textId="10EBFC72" w:rsidR="00AE3C2C" w:rsidRPr="00AE3C2C" w:rsidRDefault="00AE3C2C" w:rsidP="00AE3C2C">
            <w:pPr>
              <w:pStyle w:val="Prrafodelista"/>
              <w:numPr>
                <w:ilvl w:val="2"/>
                <w:numId w:val="25"/>
              </w:numPr>
              <w:spacing w:after="200" w:line="276" w:lineRule="auto"/>
              <w:contextualSpacing/>
              <w:jc w:val="both"/>
              <w:rPr>
                <w:rFonts w:ascii="ITC Avant Garde" w:hAnsi="ITC Avant Garde" w:cstheme="minorHAnsi"/>
                <w:sz w:val="20"/>
                <w:szCs w:val="20"/>
              </w:rPr>
            </w:pPr>
            <w:r>
              <w:rPr>
                <w:rFonts w:ascii="ITC Avant Garde" w:hAnsi="ITC Avant Garde" w:cstheme="minorHAnsi"/>
                <w:sz w:val="20"/>
                <w:szCs w:val="20"/>
              </w:rPr>
              <w:t>Servicio de Desagregación Virtual del Bucle Local (SDVBL)</w:t>
            </w:r>
            <w:r w:rsidR="004A79E0">
              <w:rPr>
                <w:rFonts w:ascii="ITC Avant Garde" w:hAnsi="ITC Avant Garde" w:cstheme="minorHAnsi"/>
                <w:sz w:val="20"/>
                <w:szCs w:val="20"/>
              </w:rPr>
              <w:t>;</w:t>
            </w:r>
          </w:p>
          <w:p w14:paraId="33140611" w14:textId="2EFF1F7A"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 xml:space="preserve">Servicio de </w:t>
            </w:r>
            <w:proofErr w:type="spellStart"/>
            <w:r w:rsidRPr="004510A1">
              <w:rPr>
                <w:rFonts w:ascii="ITC Avant Garde" w:hAnsi="ITC Avant Garde" w:cstheme="minorHAnsi"/>
                <w:sz w:val="20"/>
                <w:szCs w:val="20"/>
              </w:rPr>
              <w:t>Coubicación</w:t>
            </w:r>
            <w:proofErr w:type="spellEnd"/>
            <w:r w:rsidRPr="004510A1">
              <w:rPr>
                <w:rFonts w:ascii="ITC Avant Garde" w:hAnsi="ITC Avant Garde" w:cstheme="minorHAnsi"/>
                <w:sz w:val="20"/>
                <w:szCs w:val="20"/>
              </w:rPr>
              <w:t xml:space="preserve"> para Desagregación del Bucle (SCD)</w:t>
            </w:r>
            <w:r w:rsidR="00AD5147">
              <w:rPr>
                <w:rFonts w:ascii="ITC Avant Garde" w:hAnsi="ITC Avant Garde" w:cstheme="minorHAnsi"/>
                <w:sz w:val="20"/>
                <w:szCs w:val="20"/>
              </w:rPr>
              <w:t>;</w:t>
            </w:r>
          </w:p>
          <w:p w14:paraId="160FCDB5" w14:textId="599B6368" w:rsidR="00C32290" w:rsidRPr="006C672B" w:rsidRDefault="00C32290">
            <w:pPr>
              <w:pStyle w:val="Prrafodelista"/>
              <w:numPr>
                <w:ilvl w:val="1"/>
                <w:numId w:val="25"/>
              </w:numPr>
              <w:spacing w:after="200" w:line="276" w:lineRule="auto"/>
              <w:contextualSpacing/>
              <w:jc w:val="both"/>
              <w:rPr>
                <w:rFonts w:ascii="ITC Avant Garde" w:hAnsi="ITC Avant Garde" w:cstheme="minorHAnsi"/>
                <w:sz w:val="20"/>
                <w:szCs w:val="20"/>
              </w:rPr>
            </w:pPr>
            <w:r w:rsidRPr="006C672B">
              <w:rPr>
                <w:rFonts w:ascii="ITC Avant Garde" w:hAnsi="ITC Avant Garde" w:cstheme="minorHAnsi"/>
                <w:sz w:val="20"/>
                <w:szCs w:val="20"/>
              </w:rPr>
              <w:lastRenderedPageBreak/>
              <w:t>Servicios de Compartición de Infraestructura Pasiva (con excepción de torres)</w:t>
            </w:r>
            <w:r w:rsidR="00AD5147">
              <w:rPr>
                <w:rFonts w:ascii="ITC Avant Garde" w:hAnsi="ITC Avant Garde" w:cstheme="minorHAnsi"/>
                <w:sz w:val="20"/>
                <w:szCs w:val="20"/>
              </w:rPr>
              <w:t>, y</w:t>
            </w:r>
          </w:p>
          <w:p w14:paraId="17771A09" w14:textId="1FB9B487" w:rsidR="00AE3C2C" w:rsidRPr="00AE3C2C" w:rsidRDefault="00C32290" w:rsidP="00AE3C2C">
            <w:pPr>
              <w:pStyle w:val="Prrafodelista"/>
              <w:numPr>
                <w:ilvl w:val="1"/>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Servicios de Enlaces Dedicados Locales</w:t>
            </w:r>
            <w:r w:rsidR="00AD5147">
              <w:rPr>
                <w:rFonts w:ascii="ITC Avant Garde" w:hAnsi="ITC Avant Garde" w:cstheme="minorHAnsi"/>
                <w:sz w:val="20"/>
                <w:szCs w:val="20"/>
              </w:rPr>
              <w:t xml:space="preserve"> y de Interconexión.</w:t>
            </w:r>
          </w:p>
          <w:p w14:paraId="674D0318" w14:textId="05D6F45A" w:rsidR="00C32290" w:rsidRPr="004510A1" w:rsidRDefault="00C32290">
            <w:pPr>
              <w:pStyle w:val="Prrafodelista"/>
              <w:numPr>
                <w:ilvl w:val="0"/>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 xml:space="preserve">Divisiones Mayoristas de Telmex y Telnor: </w:t>
            </w:r>
          </w:p>
          <w:p w14:paraId="107CAC8D" w14:textId="77777777" w:rsidR="00C32290" w:rsidRPr="004510A1" w:rsidRDefault="00C32290">
            <w:pPr>
              <w:pStyle w:val="Prrafodelista"/>
              <w:numPr>
                <w:ilvl w:val="1"/>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Servicios de Desagregación</w:t>
            </w:r>
          </w:p>
          <w:p w14:paraId="504F4C17" w14:textId="0C676862"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 de Reventa de Línea Telefónica</w:t>
            </w:r>
            <w:r w:rsidR="00AD5147">
              <w:rPr>
                <w:rFonts w:ascii="ITC Avant Garde" w:hAnsi="ITC Avant Garde" w:cstheme="minorHAnsi"/>
                <w:sz w:val="20"/>
                <w:szCs w:val="20"/>
              </w:rPr>
              <w:t>, y</w:t>
            </w:r>
          </w:p>
          <w:p w14:paraId="0D26F217" w14:textId="761C4201"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 de Reventa de paquetes, Infinitum, Paquetes (SRLT, SRI, SRP)</w:t>
            </w:r>
            <w:r w:rsidR="004A79E0">
              <w:rPr>
                <w:rFonts w:ascii="ITC Avant Garde" w:hAnsi="ITC Avant Garde" w:cstheme="minorHAnsi"/>
                <w:sz w:val="20"/>
                <w:szCs w:val="20"/>
              </w:rPr>
              <w:t>.</w:t>
            </w:r>
          </w:p>
          <w:p w14:paraId="766A5FB2" w14:textId="77777777" w:rsidR="00C32290" w:rsidRPr="004510A1" w:rsidRDefault="00C32290">
            <w:pPr>
              <w:pStyle w:val="Prrafodelista"/>
              <w:numPr>
                <w:ilvl w:val="1"/>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Servicios de Enlaces Dedicados</w:t>
            </w:r>
          </w:p>
          <w:p w14:paraId="69E62F57" w14:textId="77777777"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Enlaces Dedicados entre Localidades, y</w:t>
            </w:r>
          </w:p>
          <w:p w14:paraId="3EB30A3A" w14:textId="77777777" w:rsidR="00C32290" w:rsidRPr="004510A1" w:rsidRDefault="00C32290">
            <w:pPr>
              <w:pStyle w:val="Prrafodelista"/>
              <w:numPr>
                <w:ilvl w:val="2"/>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Enlaces Dedicados de Larga Distancia Internacional.</w:t>
            </w:r>
          </w:p>
          <w:p w14:paraId="759C22F1" w14:textId="2268CB7B" w:rsidR="00C32290" w:rsidRDefault="00C32290">
            <w:pPr>
              <w:pStyle w:val="Prrafodelista"/>
              <w:numPr>
                <w:ilvl w:val="1"/>
                <w:numId w:val="25"/>
              </w:numPr>
              <w:spacing w:after="200" w:line="276" w:lineRule="auto"/>
              <w:contextualSpacing/>
              <w:jc w:val="both"/>
              <w:rPr>
                <w:rFonts w:ascii="ITC Avant Garde" w:hAnsi="ITC Avant Garde" w:cstheme="minorHAnsi"/>
                <w:sz w:val="20"/>
                <w:szCs w:val="20"/>
              </w:rPr>
            </w:pPr>
            <w:r w:rsidRPr="004510A1">
              <w:rPr>
                <w:rFonts w:ascii="ITC Avant Garde" w:hAnsi="ITC Avant Garde" w:cstheme="minorHAnsi"/>
                <w:sz w:val="20"/>
                <w:szCs w:val="20"/>
              </w:rPr>
              <w:t>Servicios de Interconexión</w:t>
            </w:r>
          </w:p>
          <w:p w14:paraId="2952FCA9" w14:textId="53EDB303" w:rsidR="00AE3C2C" w:rsidRPr="004510A1" w:rsidRDefault="00AE3C2C">
            <w:pPr>
              <w:pStyle w:val="Prrafodelista"/>
              <w:numPr>
                <w:ilvl w:val="1"/>
                <w:numId w:val="25"/>
              </w:numPr>
              <w:spacing w:after="200" w:line="276" w:lineRule="auto"/>
              <w:contextualSpacing/>
              <w:jc w:val="both"/>
              <w:rPr>
                <w:rFonts w:ascii="ITC Avant Garde" w:hAnsi="ITC Avant Garde" w:cstheme="minorHAnsi"/>
                <w:sz w:val="20"/>
                <w:szCs w:val="20"/>
              </w:rPr>
            </w:pPr>
            <w:r>
              <w:rPr>
                <w:rFonts w:ascii="ITC Avant Garde" w:hAnsi="ITC Avant Garde" w:cstheme="minorHAnsi"/>
                <w:sz w:val="20"/>
                <w:szCs w:val="20"/>
              </w:rPr>
              <w:t xml:space="preserve">Servicios de </w:t>
            </w:r>
            <w:r w:rsidR="002266C2">
              <w:rPr>
                <w:rFonts w:ascii="ITC Avant Garde" w:hAnsi="ITC Avant Garde" w:cstheme="minorHAnsi"/>
                <w:sz w:val="20"/>
                <w:szCs w:val="20"/>
              </w:rPr>
              <w:t>C</w:t>
            </w:r>
            <w:r>
              <w:rPr>
                <w:rFonts w:ascii="ITC Avant Garde" w:hAnsi="ITC Avant Garde" w:cstheme="minorHAnsi"/>
                <w:sz w:val="20"/>
                <w:szCs w:val="20"/>
              </w:rPr>
              <w:t>ompartición de Infraestructura Pasiva</w:t>
            </w:r>
            <w:r w:rsidR="00AD5147">
              <w:rPr>
                <w:rFonts w:ascii="ITC Avant Garde" w:hAnsi="ITC Avant Garde" w:cstheme="minorHAnsi"/>
                <w:sz w:val="20"/>
                <w:szCs w:val="20"/>
              </w:rPr>
              <w:t xml:space="preserve"> (torres)</w:t>
            </w:r>
          </w:p>
          <w:p w14:paraId="01F56985" w14:textId="7D62BAE1" w:rsidR="00C32290" w:rsidRPr="004510A1"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 xml:space="preserve">Cabe señalar que la separación funcional busca eliminar barreras identificadas en el sector de telecomunicaciones a través de la prestación efectiva de los SMR con el fin de garantizar el acceso de todos los operadores, en condiciones no discriminatorias, a los insumos necesarios para el desarrollo de la competencia y la libre concurrencia. En este contexto, la implementación de la medida cambió la estructura bajo la cual opera el AEPT para prestar los SMR, </w:t>
            </w:r>
            <w:r w:rsidR="00F62889">
              <w:rPr>
                <w:rFonts w:ascii="ITC Avant Garde" w:hAnsi="ITC Avant Garde"/>
                <w:sz w:val="20"/>
                <w:szCs w:val="20"/>
              </w:rPr>
              <w:t>a</w:t>
            </w:r>
            <w:r w:rsidR="00F62889" w:rsidRPr="00F62889">
              <w:rPr>
                <w:rFonts w:ascii="ITC Avant Garde" w:hAnsi="ITC Avant Garde"/>
                <w:sz w:val="20"/>
                <w:szCs w:val="20"/>
              </w:rPr>
              <w:t xml:space="preserve">demás, se han identificado cambios en las condiciones de mercado, así como </w:t>
            </w:r>
            <w:r w:rsidR="006A2672">
              <w:rPr>
                <w:rFonts w:ascii="ITC Avant Garde" w:hAnsi="ITC Avant Garde"/>
                <w:sz w:val="20"/>
                <w:szCs w:val="20"/>
              </w:rPr>
              <w:t>actualizaciones a</w:t>
            </w:r>
            <w:r w:rsidR="00F62889" w:rsidRPr="00F62889">
              <w:rPr>
                <w:rFonts w:ascii="ITC Avant Garde" w:hAnsi="ITC Avant Garde"/>
                <w:sz w:val="20"/>
                <w:szCs w:val="20"/>
              </w:rPr>
              <w:t xml:space="preserve"> las ofertas de referencia </w:t>
            </w:r>
            <w:r w:rsidR="006A2672">
              <w:rPr>
                <w:rFonts w:ascii="ITC Avant Garde" w:hAnsi="ITC Avant Garde"/>
                <w:sz w:val="20"/>
                <w:szCs w:val="20"/>
              </w:rPr>
              <w:t>y la emisión de la Resolución Bienal 2020</w:t>
            </w:r>
            <w:r w:rsidR="006A2672">
              <w:rPr>
                <w:rStyle w:val="Refdenotaalpie"/>
                <w:rFonts w:ascii="ITC Avant Garde" w:hAnsi="ITC Avant Garde"/>
                <w:sz w:val="20"/>
                <w:szCs w:val="20"/>
              </w:rPr>
              <w:footnoteReference w:id="6"/>
            </w:r>
            <w:r w:rsidR="006A2672">
              <w:rPr>
                <w:rFonts w:ascii="ITC Avant Garde" w:hAnsi="ITC Avant Garde"/>
                <w:sz w:val="20"/>
                <w:szCs w:val="20"/>
              </w:rPr>
              <w:t xml:space="preserve"> que derivaron en modificaciones </w:t>
            </w:r>
            <w:r w:rsidR="00F62889" w:rsidRPr="00F62889">
              <w:rPr>
                <w:rFonts w:ascii="ITC Avant Garde" w:hAnsi="ITC Avant Garde"/>
                <w:sz w:val="20"/>
                <w:szCs w:val="20"/>
              </w:rPr>
              <w:t xml:space="preserve">de los SMR y </w:t>
            </w:r>
            <w:r w:rsidR="006A2672">
              <w:rPr>
                <w:rFonts w:ascii="ITC Avant Garde" w:hAnsi="ITC Avant Garde"/>
                <w:sz w:val="20"/>
                <w:szCs w:val="20"/>
              </w:rPr>
              <w:t xml:space="preserve">los procesos asociados a su provisión, situaciones </w:t>
            </w:r>
            <w:r w:rsidR="00F62889" w:rsidRPr="00F62889">
              <w:rPr>
                <w:rFonts w:ascii="ITC Avant Garde" w:hAnsi="ITC Avant Garde"/>
                <w:sz w:val="20"/>
                <w:szCs w:val="20"/>
              </w:rPr>
              <w:t xml:space="preserve">no capturadas por los ICD vigentes. </w:t>
            </w:r>
            <w:r w:rsidR="006A2672">
              <w:rPr>
                <w:rFonts w:ascii="ITC Avant Garde" w:hAnsi="ITC Avant Garde"/>
                <w:sz w:val="20"/>
                <w:szCs w:val="20"/>
              </w:rPr>
              <w:t>L</w:t>
            </w:r>
            <w:r w:rsidRPr="004510A1">
              <w:rPr>
                <w:rFonts w:ascii="ITC Avant Garde" w:hAnsi="ITC Avant Garde"/>
                <w:sz w:val="20"/>
                <w:szCs w:val="20"/>
              </w:rPr>
              <w:t xml:space="preserve">o </w:t>
            </w:r>
            <w:r w:rsidR="00623F6F">
              <w:rPr>
                <w:rFonts w:ascii="ITC Avant Garde" w:hAnsi="ITC Avant Garde"/>
                <w:sz w:val="20"/>
                <w:szCs w:val="20"/>
              </w:rPr>
              <w:t xml:space="preserve">anterior </w:t>
            </w:r>
            <w:r w:rsidRPr="004510A1">
              <w:rPr>
                <w:rFonts w:ascii="ITC Avant Garde" w:hAnsi="ITC Avant Garde"/>
                <w:sz w:val="20"/>
                <w:szCs w:val="20"/>
              </w:rPr>
              <w:t>implica la necesidad de realizar una revisión y actualización de los ICD relacionados con los servicios de telecomunicaciones fijos a efecto de que sean acordes a la realidad operativa de las empresas que proveen los servicios mayoristas y que con ello cumplan con el propósito por el cual se mandataron.</w:t>
            </w:r>
          </w:p>
          <w:p w14:paraId="68B97F65" w14:textId="6640719A" w:rsidR="00BC5050" w:rsidRPr="004510A1" w:rsidRDefault="00BC5050" w:rsidP="007473C3">
            <w:pPr>
              <w:spacing w:line="276" w:lineRule="auto"/>
              <w:jc w:val="both"/>
              <w:rPr>
                <w:rFonts w:ascii="ITC Avant Garde" w:hAnsi="ITC Avant Garde"/>
                <w:sz w:val="20"/>
                <w:szCs w:val="20"/>
              </w:rPr>
            </w:pPr>
            <w:r w:rsidRPr="004510A1">
              <w:rPr>
                <w:rFonts w:ascii="ITC Avant Garde" w:hAnsi="ITC Avant Garde"/>
                <w:sz w:val="20"/>
                <w:szCs w:val="20"/>
              </w:rPr>
              <w:t>Es así que</w:t>
            </w:r>
            <w:r w:rsidR="00C32290" w:rsidRPr="004510A1">
              <w:rPr>
                <w:rFonts w:ascii="ITC Avant Garde" w:hAnsi="ITC Avant Garde"/>
                <w:sz w:val="20"/>
                <w:szCs w:val="20"/>
              </w:rPr>
              <w:t xml:space="preserve">, a </w:t>
            </w:r>
            <w:r w:rsidR="001D4AB1" w:rsidRPr="004510A1">
              <w:rPr>
                <w:rFonts w:ascii="ITC Avant Garde" w:hAnsi="ITC Avant Garde"/>
                <w:sz w:val="20"/>
                <w:szCs w:val="20"/>
              </w:rPr>
              <w:t>4</w:t>
            </w:r>
            <w:r w:rsidR="00C32290" w:rsidRPr="004510A1">
              <w:rPr>
                <w:rFonts w:ascii="ITC Avant Garde" w:hAnsi="ITC Avant Garde"/>
                <w:sz w:val="20"/>
                <w:szCs w:val="20"/>
              </w:rPr>
              <w:t xml:space="preserve"> años de su </w:t>
            </w:r>
            <w:r w:rsidR="001D4AB1" w:rsidRPr="004510A1">
              <w:rPr>
                <w:rFonts w:ascii="ITC Avant Garde" w:hAnsi="ITC Avant Garde"/>
                <w:sz w:val="20"/>
                <w:szCs w:val="20"/>
              </w:rPr>
              <w:t>aprobación</w:t>
            </w:r>
            <w:r w:rsidRPr="004510A1">
              <w:rPr>
                <w:rFonts w:ascii="ITC Avant Garde" w:hAnsi="ITC Avant Garde"/>
                <w:sz w:val="20"/>
                <w:szCs w:val="20"/>
              </w:rPr>
              <w:t xml:space="preserve"> </w:t>
            </w:r>
            <w:r w:rsidR="00F62889">
              <w:rPr>
                <w:rFonts w:ascii="ITC Avant Garde" w:hAnsi="ITC Avant Garde"/>
                <w:sz w:val="20"/>
                <w:szCs w:val="20"/>
              </w:rPr>
              <w:t xml:space="preserve">y dada la alta innovación que caracteriza a los servicios de telecomunicaciones, los ICD presentan áreas de oportunidad para representar de mejor manera los avances y cambios realizados en la provisión de los SMR, </w:t>
            </w:r>
            <w:r w:rsidR="00551194" w:rsidRPr="004510A1">
              <w:rPr>
                <w:rFonts w:ascii="ITC Avant Garde" w:hAnsi="ITC Avant Garde"/>
                <w:sz w:val="20"/>
                <w:szCs w:val="20"/>
              </w:rPr>
              <w:t xml:space="preserve">por lo que se considera necesario realizar una revisión y actualización de </w:t>
            </w:r>
            <w:r w:rsidR="00F62889">
              <w:rPr>
                <w:rFonts w:ascii="ITC Avant Garde" w:hAnsi="ITC Avant Garde"/>
                <w:sz w:val="20"/>
                <w:szCs w:val="20"/>
              </w:rPr>
              <w:t>los ICD a fin de que cumplan con el propósito por el que fueron creados</w:t>
            </w:r>
            <w:r w:rsidR="00551194" w:rsidRPr="004510A1">
              <w:rPr>
                <w:rFonts w:ascii="ITC Avant Garde" w:hAnsi="ITC Avant Garde"/>
                <w:sz w:val="20"/>
                <w:szCs w:val="20"/>
              </w:rPr>
              <w:t>.</w:t>
            </w:r>
          </w:p>
          <w:p w14:paraId="72EE44AB" w14:textId="7CFAA2AC" w:rsidR="000553DD" w:rsidRPr="00C0424E" w:rsidRDefault="00C32290" w:rsidP="007473C3">
            <w:pPr>
              <w:spacing w:line="276" w:lineRule="auto"/>
              <w:jc w:val="both"/>
              <w:rPr>
                <w:rFonts w:ascii="ITC Avant Garde" w:eastAsia="Times New Roman" w:hAnsi="ITC Avant Garde"/>
                <w:color w:val="000000"/>
                <w:lang w:eastAsia="es-MX"/>
              </w:rPr>
            </w:pPr>
            <w:r w:rsidRPr="004510A1">
              <w:rPr>
                <w:rFonts w:ascii="ITC Avant Garde" w:hAnsi="ITC Avant Garde"/>
                <w:sz w:val="20"/>
                <w:szCs w:val="20"/>
              </w:rPr>
              <w:t>Ahora bien, en términos de</w:t>
            </w:r>
            <w:r w:rsidR="00352375">
              <w:rPr>
                <w:rFonts w:ascii="ITC Avant Garde" w:hAnsi="ITC Avant Garde"/>
                <w:sz w:val="20"/>
                <w:szCs w:val="20"/>
              </w:rPr>
              <w:t>l</w:t>
            </w:r>
            <w:r w:rsidRPr="004510A1">
              <w:rPr>
                <w:rFonts w:ascii="ITC Avant Garde" w:hAnsi="ITC Avant Garde"/>
                <w:sz w:val="20"/>
                <w:szCs w:val="20"/>
              </w:rPr>
              <w:t xml:space="preserve"> artículo 24, fracción XVII del Estatuto Orgánico del Instituto Federal de Telecomunicaciones, la Unidad de Política Regulatoria, a través de la Dirección General de Desarrollo de las Telecomunicaciones y la Radiodifusión, tiene a su cargo el sustanciar los procedimientos relativos al seguimiento de obligaciones y medidas impuestas al agente económico preponderante o con poder sustancial en el sector de telecomunicaciones. Además, </w:t>
            </w:r>
            <w:r w:rsidR="00BD1C21" w:rsidRPr="004510A1">
              <w:rPr>
                <w:rFonts w:ascii="ITC Avant Garde" w:hAnsi="ITC Avant Garde"/>
                <w:sz w:val="20"/>
                <w:szCs w:val="20"/>
              </w:rPr>
              <w:t>de acuerdo con</w:t>
            </w:r>
            <w:r w:rsidRPr="004510A1">
              <w:rPr>
                <w:rFonts w:ascii="ITC Avant Garde" w:hAnsi="ITC Avant Garde"/>
                <w:sz w:val="20"/>
                <w:szCs w:val="20"/>
              </w:rPr>
              <w:t xml:space="preserve"> lo dispuesto en el artículo 15 fracción XL de la Ley Federal de Telecomunicaciones y Radiodifusión, corresponde al </w:t>
            </w:r>
            <w:r w:rsidRPr="004510A1">
              <w:rPr>
                <w:rFonts w:ascii="ITC Avant Garde" w:hAnsi="ITC Avant Garde"/>
                <w:sz w:val="20"/>
                <w:szCs w:val="20"/>
              </w:rPr>
              <w:lastRenderedPageBreak/>
              <w:t>Instituto formular, de considerarlo necesario para el ejercicio de sus funciones,</w:t>
            </w:r>
            <w:r w:rsidR="00BC5050" w:rsidRPr="004510A1">
              <w:rPr>
                <w:rFonts w:ascii="ITC Avant Garde" w:hAnsi="ITC Avant Garde"/>
                <w:sz w:val="20"/>
                <w:szCs w:val="20"/>
              </w:rPr>
              <w:t xml:space="preserve"> </w:t>
            </w:r>
            <w:r w:rsidRPr="004510A1">
              <w:rPr>
                <w:rFonts w:ascii="ITC Avant Garde" w:hAnsi="ITC Avant Garde"/>
                <w:sz w:val="20"/>
                <w:szCs w:val="20"/>
              </w:rPr>
              <w:t xml:space="preserve">consultas públicas no vinculatorias, en las materias de su competencia. En ese sentido, y acorde a las disposiciones Tercera </w:t>
            </w:r>
            <w:r w:rsidR="00AB3B1E">
              <w:rPr>
                <w:rFonts w:ascii="ITC Avant Garde" w:hAnsi="ITC Avant Garde"/>
                <w:sz w:val="20"/>
                <w:szCs w:val="20"/>
              </w:rPr>
              <w:t>fracción I</w:t>
            </w:r>
            <w:r w:rsidRPr="004510A1">
              <w:rPr>
                <w:rFonts w:ascii="ITC Avant Garde" w:hAnsi="ITC Avant Garde"/>
                <w:sz w:val="20"/>
                <w:szCs w:val="20"/>
              </w:rPr>
              <w:t xml:space="preserve"> y Novena de los Lineamientos de Consulta Pública y Análisis de Impacto Regulatorio del Instituto Federal de Telecomunicaciones, se considera oportuno la realización de una consulta pública a fin de recabar información, comentarios, opiniones, aportaciones u otros elementos de análisis por parte tanto de los agentes regulados como del público en general para así robustecer el proyecto de revisión y actualización </w:t>
            </w:r>
            <w:r w:rsidR="00835F7D">
              <w:rPr>
                <w:rFonts w:ascii="ITC Avant Garde" w:hAnsi="ITC Avant Garde"/>
                <w:sz w:val="20"/>
                <w:szCs w:val="20"/>
              </w:rPr>
              <w:t>de ICD</w:t>
            </w:r>
            <w:r w:rsidRPr="004510A1">
              <w:rPr>
                <w:rFonts w:ascii="ITC Avant Garde" w:hAnsi="ITC Avant Garde"/>
                <w:sz w:val="20"/>
                <w:szCs w:val="20"/>
              </w:rPr>
              <w:t>.</w:t>
            </w:r>
          </w:p>
        </w:tc>
      </w:tr>
      <w:tr w:rsidR="000553DD" w:rsidRPr="00E9169D" w14:paraId="5EAC43BE" w14:textId="77777777" w:rsidTr="00F97305">
        <w:trPr>
          <w:trHeight w:val="300"/>
        </w:trPr>
        <w:tc>
          <w:tcPr>
            <w:tcW w:w="8652" w:type="dxa"/>
            <w:shd w:val="clear" w:color="auto" w:fill="C5E0B3"/>
            <w:noWrap/>
            <w:vAlign w:val="center"/>
          </w:tcPr>
          <w:p w14:paraId="11FE2A5F" w14:textId="77777777"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14:paraId="11AFC9EF" w14:textId="77777777" w:rsidR="0068054F" w:rsidRPr="00F36A5D" w:rsidRDefault="0068054F" w:rsidP="00DF5B3F">
      <w:pPr>
        <w:spacing w:after="0"/>
        <w:rPr>
          <w:rFonts w:ascii="ITC Avant Garde" w:hAnsi="ITC Avant Garde"/>
          <w:vanish/>
        </w:rPr>
      </w:pPr>
    </w:p>
    <w:p w14:paraId="1FE29D9C" w14:textId="77777777" w:rsidR="00DF154A" w:rsidRDefault="00DF154A" w:rsidP="00170916">
      <w:pPr>
        <w:spacing w:after="0"/>
        <w:jc w:val="both"/>
        <w:rPr>
          <w:rFonts w:ascii="ITC Avant Garde" w:hAnsi="ITC Avant Garde"/>
          <w:sz w:val="16"/>
        </w:rPr>
      </w:pP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B44129" w:rsidRPr="003F04F2" w14:paraId="4C0D4BB3" w14:textId="77777777" w:rsidTr="00F97305">
        <w:trPr>
          <w:trHeight w:val="600"/>
        </w:trPr>
        <w:tc>
          <w:tcPr>
            <w:tcW w:w="8642" w:type="dxa"/>
            <w:shd w:val="clear" w:color="auto" w:fill="D9D9D9"/>
            <w:vAlign w:val="center"/>
            <w:hideMark/>
          </w:tcPr>
          <w:p w14:paraId="53C51D99" w14:textId="77777777" w:rsidR="00B44129" w:rsidRPr="003F04F2" w:rsidRDefault="00B44129" w:rsidP="007473C3">
            <w:pPr>
              <w:pStyle w:val="Ttulo2"/>
              <w:ind w:left="784"/>
            </w:pPr>
            <w:r w:rsidRPr="003F04F2">
              <w:t>Guía para el llenado del formato</w:t>
            </w:r>
          </w:p>
        </w:tc>
      </w:tr>
      <w:tr w:rsidR="00B44129" w:rsidRPr="003F04F2" w14:paraId="03C37AD0" w14:textId="77777777" w:rsidTr="00F97305">
        <w:trPr>
          <w:trHeight w:val="720"/>
        </w:trPr>
        <w:tc>
          <w:tcPr>
            <w:tcW w:w="8642" w:type="dxa"/>
            <w:shd w:val="clear" w:color="000000" w:fill="FFFFFF"/>
            <w:noWrap/>
            <w:hideMark/>
          </w:tcPr>
          <w:p w14:paraId="191D6FBD" w14:textId="77777777" w:rsidR="004F0CF7" w:rsidRPr="004F0CF7" w:rsidRDefault="004F0CF7" w:rsidP="004F0CF7">
            <w:pPr>
              <w:spacing w:before="240" w:after="120" w:line="240" w:lineRule="auto"/>
              <w:ind w:right="309"/>
              <w:jc w:val="both"/>
              <w:rPr>
                <w:rFonts w:ascii="ITC Avant Garde" w:eastAsia="Times New Roman" w:hAnsi="ITC Avant Garde"/>
                <w:color w:val="000000"/>
                <w:sz w:val="20"/>
                <w:szCs w:val="20"/>
                <w:lang w:eastAsia="es-MX"/>
              </w:rPr>
            </w:pPr>
            <w:r w:rsidRPr="004F0CF7">
              <w:rPr>
                <w:rFonts w:ascii="ITC Avant Garde" w:eastAsia="Times New Roman" w:hAnsi="ITC Avant Garde"/>
                <w:color w:val="000000"/>
                <w:sz w:val="20"/>
                <w:szCs w:val="20"/>
                <w:lang w:eastAsia="es-MX"/>
              </w:rPr>
              <w:t xml:space="preserve">El AEPT y sujetos obligados proveen los siguientes SMR: </w:t>
            </w:r>
          </w:p>
          <w:p w14:paraId="195457A4" w14:textId="178CDD7C"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 xml:space="preserve">Servicios de Desagregación </w:t>
            </w:r>
          </w:p>
          <w:p w14:paraId="53B2E7F9" w14:textId="7DC1E761"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Servicios de Compartición de Infraestructura (fijo y móvil)</w:t>
            </w:r>
          </w:p>
          <w:p w14:paraId="117A1A8B" w14:textId="12D65FEA"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 xml:space="preserve">Servicios de Enlaces Dedicados </w:t>
            </w:r>
          </w:p>
          <w:p w14:paraId="14590D3B" w14:textId="452A483C"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Servicios de Interconexión</w:t>
            </w:r>
          </w:p>
          <w:p w14:paraId="375D55E5" w14:textId="0221F06E"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Servicios de OMV</w:t>
            </w:r>
          </w:p>
          <w:p w14:paraId="1AA5D224" w14:textId="6B115C23"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Servicios de Usuario Visitante</w:t>
            </w:r>
          </w:p>
          <w:p w14:paraId="441F6FBC" w14:textId="355612D0" w:rsidR="004F0CF7" w:rsidRPr="004F0CF7" w:rsidRDefault="0043365D" w:rsidP="004F0CF7">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Para efectos de actualizar los ICD, s</w:t>
            </w:r>
            <w:r w:rsidR="004F0CF7" w:rsidRPr="004F0CF7">
              <w:rPr>
                <w:rFonts w:ascii="ITC Avant Garde" w:eastAsia="Times New Roman" w:hAnsi="ITC Avant Garde"/>
                <w:color w:val="000000"/>
                <w:sz w:val="20"/>
                <w:szCs w:val="20"/>
                <w:lang w:eastAsia="es-MX"/>
              </w:rPr>
              <w:t xml:space="preserve">e </w:t>
            </w:r>
            <w:r>
              <w:rPr>
                <w:rFonts w:ascii="ITC Avant Garde" w:eastAsia="Times New Roman" w:hAnsi="ITC Avant Garde"/>
                <w:color w:val="000000"/>
                <w:sz w:val="20"/>
                <w:szCs w:val="20"/>
                <w:lang w:eastAsia="es-MX"/>
              </w:rPr>
              <w:t>distinguen las siguientes</w:t>
            </w:r>
            <w:r w:rsidRPr="004F0CF7">
              <w:rPr>
                <w:rFonts w:ascii="ITC Avant Garde" w:eastAsia="Times New Roman" w:hAnsi="ITC Avant Garde"/>
                <w:color w:val="000000"/>
                <w:sz w:val="20"/>
                <w:szCs w:val="20"/>
                <w:lang w:eastAsia="es-MX"/>
              </w:rPr>
              <w:t xml:space="preserve"> </w:t>
            </w:r>
            <w:r w:rsidR="004F0CF7" w:rsidRPr="004F0CF7">
              <w:rPr>
                <w:rFonts w:ascii="ITC Avant Garde" w:eastAsia="Times New Roman" w:hAnsi="ITC Avant Garde"/>
                <w:color w:val="000000"/>
                <w:sz w:val="20"/>
                <w:szCs w:val="20"/>
                <w:lang w:eastAsia="es-MX"/>
              </w:rPr>
              <w:t xml:space="preserve">4 dimensiones principales del proceso de prestación de los servicios mayoristas: </w:t>
            </w:r>
          </w:p>
          <w:p w14:paraId="050E6846" w14:textId="36CE0911"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Solicitud del servicio (la atención de las solicitudes recibidas);</w:t>
            </w:r>
          </w:p>
          <w:p w14:paraId="14C30B44" w14:textId="52A9AC0A"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Provisión del servicio (su prestación conforme a lo acordado);</w:t>
            </w:r>
          </w:p>
          <w:p w14:paraId="1993EE45" w14:textId="421C728E"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Gestión de fallas (tiempo de solución y número de incidencias)</w:t>
            </w:r>
            <w:r w:rsidR="0043365D">
              <w:rPr>
                <w:rFonts w:ascii="ITC Avant Garde" w:eastAsia="Times New Roman" w:hAnsi="ITC Avant Garde"/>
                <w:color w:val="000000"/>
                <w:sz w:val="20"/>
                <w:szCs w:val="20"/>
                <w:lang w:eastAsia="es-MX"/>
              </w:rPr>
              <w:t>,</w:t>
            </w:r>
            <w:r w:rsidRPr="0043365D">
              <w:rPr>
                <w:rFonts w:ascii="ITC Avant Garde" w:eastAsia="Times New Roman" w:hAnsi="ITC Avant Garde"/>
                <w:color w:val="000000"/>
                <w:sz w:val="20"/>
                <w:szCs w:val="20"/>
                <w:lang w:eastAsia="es-MX"/>
              </w:rPr>
              <w:t xml:space="preserve"> y</w:t>
            </w:r>
          </w:p>
          <w:p w14:paraId="5B289A3E" w14:textId="586385E1" w:rsidR="004F0CF7" w:rsidRPr="0043365D" w:rsidRDefault="004F0CF7" w:rsidP="0043365D">
            <w:pPr>
              <w:pStyle w:val="Prrafodelista"/>
              <w:numPr>
                <w:ilvl w:val="0"/>
                <w:numId w:val="33"/>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Calidad del servicio</w:t>
            </w:r>
            <w:r w:rsidR="009555A5">
              <w:rPr>
                <w:rStyle w:val="Refdenotaalpie"/>
                <w:rFonts w:ascii="ITC Avant Garde" w:eastAsia="Times New Roman" w:hAnsi="ITC Avant Garde"/>
                <w:color w:val="000000"/>
                <w:sz w:val="20"/>
                <w:szCs w:val="20"/>
                <w:lang w:eastAsia="es-MX"/>
              </w:rPr>
              <w:footnoteReference w:id="7"/>
            </w:r>
            <w:r w:rsidR="009555A5">
              <w:rPr>
                <w:rFonts w:ascii="ITC Avant Garde" w:eastAsia="Times New Roman" w:hAnsi="ITC Avant Garde"/>
                <w:color w:val="000000"/>
                <w:sz w:val="20"/>
                <w:szCs w:val="20"/>
                <w:lang w:eastAsia="es-MX"/>
              </w:rPr>
              <w:t xml:space="preserve"> </w:t>
            </w:r>
            <w:r w:rsidRPr="0043365D">
              <w:rPr>
                <w:rFonts w:ascii="ITC Avant Garde" w:eastAsia="Times New Roman" w:hAnsi="ITC Avant Garde"/>
                <w:color w:val="000000"/>
                <w:sz w:val="20"/>
                <w:szCs w:val="20"/>
                <w:lang w:eastAsia="es-MX"/>
              </w:rPr>
              <w:t>(la calidad con la que se proporcionan).</w:t>
            </w:r>
          </w:p>
          <w:p w14:paraId="544AD4B2" w14:textId="67D3EDCC" w:rsidR="00AB3B1E" w:rsidRDefault="004F0CF7" w:rsidP="004F0CF7">
            <w:pPr>
              <w:spacing w:before="240" w:after="120" w:line="240" w:lineRule="auto"/>
              <w:ind w:right="309"/>
              <w:jc w:val="both"/>
              <w:rPr>
                <w:rFonts w:ascii="ITC Avant Garde" w:eastAsia="Times New Roman" w:hAnsi="ITC Avant Garde"/>
                <w:color w:val="000000"/>
                <w:sz w:val="20"/>
                <w:szCs w:val="20"/>
                <w:lang w:eastAsia="es-MX"/>
              </w:rPr>
            </w:pPr>
            <w:r w:rsidRPr="004F0CF7">
              <w:rPr>
                <w:rFonts w:ascii="ITC Avant Garde" w:eastAsia="Times New Roman" w:hAnsi="ITC Avant Garde"/>
                <w:color w:val="000000"/>
                <w:sz w:val="20"/>
                <w:szCs w:val="20"/>
                <w:lang w:eastAsia="es-MX"/>
              </w:rPr>
              <w:t>Considerando lo anterior, se elaboró una lista con posibles ICD</w:t>
            </w:r>
            <w:r w:rsidR="0067625F">
              <w:rPr>
                <w:rFonts w:ascii="ITC Avant Garde" w:eastAsia="Times New Roman" w:hAnsi="ITC Avant Garde"/>
                <w:color w:val="000000"/>
                <w:sz w:val="20"/>
                <w:szCs w:val="20"/>
                <w:lang w:eastAsia="es-MX"/>
              </w:rPr>
              <w:t>,</w:t>
            </w:r>
            <w:r w:rsidRPr="004F0CF7">
              <w:rPr>
                <w:rFonts w:ascii="ITC Avant Garde" w:eastAsia="Times New Roman" w:hAnsi="ITC Avant Garde"/>
                <w:color w:val="000000"/>
                <w:sz w:val="20"/>
                <w:szCs w:val="20"/>
                <w:lang w:eastAsia="es-MX"/>
              </w:rPr>
              <w:t xml:space="preserve"> los cuales se encuentran reflejados en el documento</w:t>
            </w:r>
            <w:r w:rsidR="0043365D">
              <w:rPr>
                <w:rFonts w:ascii="ITC Avant Garde" w:eastAsia="Times New Roman" w:hAnsi="ITC Avant Garde"/>
                <w:color w:val="000000"/>
                <w:sz w:val="20"/>
                <w:szCs w:val="20"/>
                <w:lang w:eastAsia="es-MX"/>
              </w:rPr>
              <w:t xml:space="preserve"> de</w:t>
            </w:r>
            <w:r w:rsidRPr="004F0CF7">
              <w:rPr>
                <w:rFonts w:ascii="ITC Avant Garde" w:eastAsia="Times New Roman" w:hAnsi="ITC Avant Garde"/>
                <w:color w:val="000000"/>
                <w:sz w:val="20"/>
                <w:szCs w:val="20"/>
                <w:lang w:eastAsia="es-MX"/>
              </w:rPr>
              <w:t xml:space="preserve"> </w:t>
            </w:r>
            <w:r w:rsidR="0043365D">
              <w:rPr>
                <w:rFonts w:ascii="ITC Avant Garde" w:eastAsia="Times New Roman" w:hAnsi="ITC Avant Garde"/>
                <w:color w:val="000000"/>
                <w:sz w:val="20"/>
                <w:szCs w:val="20"/>
                <w:lang w:eastAsia="es-MX"/>
              </w:rPr>
              <w:t>E</w:t>
            </w:r>
            <w:r w:rsidRPr="004F0CF7">
              <w:rPr>
                <w:rFonts w:ascii="ITC Avant Garde" w:eastAsia="Times New Roman" w:hAnsi="ITC Avant Garde"/>
                <w:color w:val="000000"/>
                <w:sz w:val="20"/>
                <w:szCs w:val="20"/>
                <w:lang w:eastAsia="es-MX"/>
              </w:rPr>
              <w:t>xcel anexo “</w:t>
            </w:r>
            <w:r w:rsidR="0043365D" w:rsidRPr="007473C3">
              <w:rPr>
                <w:rFonts w:ascii="ITC Avant Garde" w:eastAsia="Times New Roman" w:hAnsi="ITC Avant Garde"/>
                <w:b/>
                <w:bCs/>
                <w:color w:val="000000"/>
                <w:sz w:val="20"/>
                <w:szCs w:val="20"/>
                <w:lang w:eastAsia="es-MX"/>
              </w:rPr>
              <w:t>Alternativas de</w:t>
            </w:r>
            <w:r w:rsidRPr="007473C3">
              <w:rPr>
                <w:rFonts w:ascii="ITC Avant Garde" w:eastAsia="Times New Roman" w:hAnsi="ITC Avant Garde"/>
                <w:b/>
                <w:bCs/>
                <w:color w:val="000000"/>
                <w:sz w:val="20"/>
                <w:szCs w:val="20"/>
                <w:lang w:eastAsia="es-MX"/>
              </w:rPr>
              <w:t xml:space="preserve"> ICD</w:t>
            </w:r>
            <w:r w:rsidRPr="004F0CF7">
              <w:rPr>
                <w:rFonts w:ascii="ITC Avant Garde" w:eastAsia="Times New Roman" w:hAnsi="ITC Avant Garde"/>
                <w:color w:val="000000"/>
                <w:sz w:val="20"/>
                <w:szCs w:val="20"/>
                <w:lang w:eastAsia="es-MX"/>
              </w:rPr>
              <w:t>”</w:t>
            </w:r>
            <w:r w:rsidR="0067625F">
              <w:rPr>
                <w:rFonts w:ascii="ITC Avant Garde" w:eastAsia="Times New Roman" w:hAnsi="ITC Avant Garde"/>
                <w:color w:val="000000"/>
                <w:sz w:val="20"/>
                <w:szCs w:val="20"/>
                <w:lang w:eastAsia="es-MX"/>
              </w:rPr>
              <w:t xml:space="preserve">, </w:t>
            </w:r>
            <w:r w:rsidR="0067625F" w:rsidRPr="004F0CF7">
              <w:rPr>
                <w:rFonts w:ascii="ITC Avant Garde" w:eastAsia="Times New Roman" w:hAnsi="ITC Avant Garde"/>
                <w:color w:val="000000"/>
                <w:sz w:val="20"/>
                <w:szCs w:val="20"/>
                <w:lang w:eastAsia="es-MX"/>
              </w:rPr>
              <w:t>que pueden resultar útiles para monitorear la equivalencia de insumos</w:t>
            </w:r>
            <w:r w:rsidRPr="004F0CF7">
              <w:rPr>
                <w:rFonts w:ascii="ITC Avant Garde" w:eastAsia="Times New Roman" w:hAnsi="ITC Avant Garde"/>
                <w:color w:val="000000"/>
                <w:sz w:val="20"/>
                <w:szCs w:val="20"/>
                <w:lang w:eastAsia="es-MX"/>
              </w:rPr>
              <w:t>.</w:t>
            </w:r>
            <w:r w:rsidR="0067625F">
              <w:rPr>
                <w:rFonts w:ascii="ITC Avant Garde" w:eastAsia="Times New Roman" w:hAnsi="ITC Avant Garde"/>
                <w:color w:val="000000"/>
                <w:sz w:val="20"/>
                <w:szCs w:val="20"/>
                <w:lang w:eastAsia="es-MX"/>
              </w:rPr>
              <w:t xml:space="preserve"> El listado</w:t>
            </w:r>
            <w:r w:rsidR="0067625F" w:rsidRPr="00C535AE">
              <w:rPr>
                <w:rFonts w:ascii="ITC Avant Garde" w:eastAsia="Times New Roman" w:hAnsi="ITC Avant Garde"/>
                <w:color w:val="000000"/>
                <w:sz w:val="20"/>
                <w:szCs w:val="20"/>
                <w:lang w:eastAsia="es-MX"/>
              </w:rPr>
              <w:t xml:space="preserve"> </w:t>
            </w:r>
            <w:r w:rsidR="0067625F">
              <w:rPr>
                <w:rFonts w:ascii="ITC Avant Garde" w:eastAsia="Times New Roman" w:hAnsi="ITC Avant Garde"/>
                <w:color w:val="000000"/>
                <w:sz w:val="20"/>
                <w:szCs w:val="20"/>
                <w:lang w:eastAsia="es-MX"/>
              </w:rPr>
              <w:t xml:space="preserve">provisto </w:t>
            </w:r>
            <w:r w:rsidR="0067625F" w:rsidRPr="00C535AE">
              <w:rPr>
                <w:rFonts w:ascii="ITC Avant Garde" w:eastAsia="Times New Roman" w:hAnsi="ITC Avant Garde"/>
                <w:color w:val="000000"/>
                <w:sz w:val="20"/>
                <w:szCs w:val="20"/>
                <w:lang w:eastAsia="es-MX"/>
              </w:rPr>
              <w:t>busca facilitar a los participantes el análisis de</w:t>
            </w:r>
            <w:r w:rsidR="0067625F">
              <w:rPr>
                <w:rFonts w:ascii="ITC Avant Garde" w:eastAsia="Times New Roman" w:hAnsi="ITC Avant Garde"/>
                <w:color w:val="000000"/>
                <w:sz w:val="20"/>
                <w:szCs w:val="20"/>
                <w:lang w:eastAsia="es-MX"/>
              </w:rPr>
              <w:t xml:space="preserve"> posibles ICD que puedan resultar de utilidad para favorecer una prestación efectiva de los SMR, así como obtener </w:t>
            </w:r>
            <w:r w:rsidR="0067625F" w:rsidRPr="007473C3">
              <w:rPr>
                <w:rFonts w:ascii="ITC Avant Garde" w:eastAsia="Times New Roman" w:hAnsi="ITC Avant Garde"/>
                <w:b/>
                <w:bCs/>
                <w:color w:val="000000"/>
                <w:sz w:val="20"/>
                <w:szCs w:val="20"/>
                <w:lang w:eastAsia="es-MX"/>
              </w:rPr>
              <w:t>retroalimentación específica respecto de aquellos ICD que los participantes consideran más críticos para la detección oportuna de posibles conductas discriminatorias en la provisión de los SMR</w:t>
            </w:r>
            <w:r w:rsidR="0067625F" w:rsidRPr="00C535AE">
              <w:rPr>
                <w:rFonts w:ascii="ITC Avant Garde" w:eastAsia="Times New Roman" w:hAnsi="ITC Avant Garde"/>
                <w:color w:val="000000"/>
                <w:sz w:val="20"/>
                <w:szCs w:val="20"/>
                <w:lang w:eastAsia="es-MX"/>
              </w:rPr>
              <w:t>, considerando la demanda actual</w:t>
            </w:r>
            <w:r w:rsidR="0067625F">
              <w:rPr>
                <w:rFonts w:ascii="ITC Avant Garde" w:eastAsia="Times New Roman" w:hAnsi="ITC Avant Garde"/>
                <w:color w:val="000000"/>
                <w:sz w:val="20"/>
                <w:szCs w:val="20"/>
                <w:lang w:eastAsia="es-MX"/>
              </w:rPr>
              <w:t xml:space="preserve"> y</w:t>
            </w:r>
            <w:r w:rsidR="0067625F" w:rsidRPr="00C535AE">
              <w:rPr>
                <w:rFonts w:ascii="ITC Avant Garde" w:eastAsia="Times New Roman" w:hAnsi="ITC Avant Garde"/>
                <w:color w:val="000000"/>
                <w:sz w:val="20"/>
                <w:szCs w:val="20"/>
                <w:lang w:eastAsia="es-MX"/>
              </w:rPr>
              <w:t xml:space="preserve"> </w:t>
            </w:r>
            <w:r w:rsidR="0067625F" w:rsidRPr="00C535AE">
              <w:rPr>
                <w:rFonts w:ascii="ITC Avant Garde" w:eastAsia="Times New Roman" w:hAnsi="ITC Avant Garde"/>
                <w:color w:val="000000"/>
                <w:sz w:val="20"/>
                <w:szCs w:val="20"/>
                <w:lang w:eastAsia="es-MX"/>
              </w:rPr>
              <w:lastRenderedPageBreak/>
              <w:t>potencial</w:t>
            </w:r>
            <w:r w:rsidR="0067625F">
              <w:rPr>
                <w:rFonts w:ascii="ITC Avant Garde" w:eastAsia="Times New Roman" w:hAnsi="ITC Avant Garde"/>
                <w:color w:val="000000"/>
                <w:sz w:val="20"/>
                <w:szCs w:val="20"/>
                <w:lang w:eastAsia="es-MX"/>
              </w:rPr>
              <w:t xml:space="preserve"> de los SMR, así como</w:t>
            </w:r>
            <w:r w:rsidR="0067625F" w:rsidRPr="00C535AE">
              <w:rPr>
                <w:rFonts w:ascii="ITC Avant Garde" w:eastAsia="Times New Roman" w:hAnsi="ITC Avant Garde"/>
                <w:color w:val="000000"/>
                <w:sz w:val="20"/>
                <w:szCs w:val="20"/>
                <w:lang w:eastAsia="es-MX"/>
              </w:rPr>
              <w:t xml:space="preserve"> la proporcionalidad </w:t>
            </w:r>
            <w:r w:rsidR="0067625F">
              <w:rPr>
                <w:rFonts w:ascii="ITC Avant Garde" w:eastAsia="Times New Roman" w:hAnsi="ITC Avant Garde"/>
                <w:color w:val="000000"/>
                <w:sz w:val="20"/>
                <w:szCs w:val="20"/>
                <w:lang w:eastAsia="es-MX"/>
              </w:rPr>
              <w:t xml:space="preserve">y factibilidad </w:t>
            </w:r>
            <w:r w:rsidR="0067625F" w:rsidRPr="00C535AE">
              <w:rPr>
                <w:rFonts w:ascii="ITC Avant Garde" w:eastAsia="Times New Roman" w:hAnsi="ITC Avant Garde"/>
                <w:color w:val="000000"/>
                <w:sz w:val="20"/>
                <w:szCs w:val="20"/>
                <w:lang w:eastAsia="es-MX"/>
              </w:rPr>
              <w:t xml:space="preserve">de las obligaciones </w:t>
            </w:r>
            <w:r w:rsidR="0067625F">
              <w:rPr>
                <w:rFonts w:ascii="ITC Avant Garde" w:eastAsia="Times New Roman" w:hAnsi="ITC Avant Garde"/>
                <w:color w:val="000000"/>
                <w:sz w:val="20"/>
                <w:szCs w:val="20"/>
                <w:lang w:eastAsia="es-MX"/>
              </w:rPr>
              <w:t>que se impongan en esta materia.</w:t>
            </w:r>
          </w:p>
          <w:p w14:paraId="187DBCBF" w14:textId="68B2FC49" w:rsidR="004F0CF7" w:rsidRPr="0043365D" w:rsidRDefault="0067625F" w:rsidP="007473C3">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Como una primera aproximación de relevancia de las </w:t>
            </w:r>
            <w:r w:rsidR="006B50CD">
              <w:rPr>
                <w:rFonts w:ascii="ITC Avant Garde" w:eastAsia="Times New Roman" w:hAnsi="ITC Avant Garde"/>
                <w:color w:val="000000"/>
                <w:sz w:val="20"/>
                <w:szCs w:val="20"/>
                <w:lang w:eastAsia="es-MX"/>
              </w:rPr>
              <w:t>A</w:t>
            </w:r>
            <w:r>
              <w:rPr>
                <w:rFonts w:ascii="ITC Avant Garde" w:eastAsia="Times New Roman" w:hAnsi="ITC Avant Garde"/>
                <w:color w:val="000000"/>
                <w:sz w:val="20"/>
                <w:szCs w:val="20"/>
                <w:lang w:eastAsia="es-MX"/>
              </w:rPr>
              <w:t xml:space="preserve">lternativas de ICD, con base en la información con la que actualmente cuenta el Instituto, </w:t>
            </w:r>
            <w:r w:rsidR="007F4DB5">
              <w:rPr>
                <w:rFonts w:ascii="ITC Avant Garde" w:eastAsia="Times New Roman" w:hAnsi="ITC Avant Garde"/>
                <w:color w:val="000000"/>
                <w:sz w:val="20"/>
                <w:szCs w:val="20"/>
                <w:lang w:eastAsia="es-MX"/>
              </w:rPr>
              <w:t xml:space="preserve">en el listado se identifican </w:t>
            </w:r>
            <w:r w:rsidR="004F0CF7" w:rsidRPr="0043365D">
              <w:rPr>
                <w:rFonts w:ascii="ITC Avant Garde" w:eastAsia="Times New Roman" w:hAnsi="ITC Avant Garde"/>
                <w:color w:val="000000"/>
                <w:sz w:val="20"/>
                <w:szCs w:val="20"/>
                <w:lang w:eastAsia="es-MX"/>
              </w:rPr>
              <w:t>en blanco (sin color) aquellos ICD que el Instituto considera con mayor impacto</w:t>
            </w:r>
            <w:r w:rsidR="007F4DB5">
              <w:rPr>
                <w:rFonts w:ascii="ITC Avant Garde" w:eastAsia="Times New Roman" w:hAnsi="ITC Avant Garde"/>
                <w:color w:val="000000"/>
                <w:sz w:val="20"/>
                <w:szCs w:val="20"/>
                <w:lang w:eastAsia="es-MX"/>
              </w:rPr>
              <w:t xml:space="preserve"> y en color </w:t>
            </w:r>
            <w:r w:rsidR="007473C3">
              <w:rPr>
                <w:rFonts w:ascii="ITC Avant Garde" w:eastAsia="Times New Roman" w:hAnsi="ITC Avant Garde"/>
                <w:color w:val="000000"/>
                <w:sz w:val="20"/>
                <w:szCs w:val="20"/>
                <w:lang w:eastAsia="es-MX"/>
              </w:rPr>
              <w:t xml:space="preserve">azul </w:t>
            </w:r>
            <w:r w:rsidR="004F0CF7" w:rsidRPr="0043365D">
              <w:rPr>
                <w:rFonts w:ascii="ITC Avant Garde" w:eastAsia="Times New Roman" w:hAnsi="ITC Avant Garde"/>
                <w:color w:val="000000"/>
                <w:sz w:val="20"/>
                <w:szCs w:val="20"/>
                <w:lang w:eastAsia="es-MX"/>
              </w:rPr>
              <w:t xml:space="preserve">aquellos ICD </w:t>
            </w:r>
            <w:r w:rsidR="007F4DB5">
              <w:rPr>
                <w:rFonts w:ascii="ITC Avant Garde" w:eastAsia="Times New Roman" w:hAnsi="ITC Avant Garde"/>
                <w:color w:val="000000"/>
                <w:sz w:val="20"/>
                <w:szCs w:val="20"/>
                <w:lang w:eastAsia="es-MX"/>
              </w:rPr>
              <w:t>de menor</w:t>
            </w:r>
            <w:r w:rsidR="004F0CF7" w:rsidRPr="0043365D">
              <w:rPr>
                <w:rFonts w:ascii="ITC Avant Garde" w:eastAsia="Times New Roman" w:hAnsi="ITC Avant Garde"/>
                <w:color w:val="000000"/>
                <w:sz w:val="20"/>
                <w:szCs w:val="20"/>
                <w:lang w:eastAsia="es-MX"/>
              </w:rPr>
              <w:t xml:space="preserve"> impacto.</w:t>
            </w:r>
          </w:p>
          <w:p w14:paraId="256E8BB9" w14:textId="1E2BF600" w:rsidR="00E4524F" w:rsidRDefault="00BA7FC7" w:rsidP="007F4DB5">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Debe resaltarse que la variedad de indicadores visibles en la aludida lista es meramente </w:t>
            </w:r>
            <w:r w:rsidR="00015130">
              <w:rPr>
                <w:rFonts w:ascii="ITC Avant Garde" w:eastAsia="Times New Roman" w:hAnsi="ITC Avant Garde"/>
                <w:color w:val="000000"/>
                <w:sz w:val="20"/>
                <w:szCs w:val="20"/>
                <w:lang w:eastAsia="es-MX"/>
              </w:rPr>
              <w:t xml:space="preserve">una </w:t>
            </w:r>
            <w:r w:rsidR="00CD0188">
              <w:rPr>
                <w:rFonts w:ascii="ITC Avant Garde" w:eastAsia="Times New Roman" w:hAnsi="ITC Avant Garde"/>
                <w:color w:val="000000"/>
                <w:sz w:val="20"/>
                <w:szCs w:val="20"/>
                <w:lang w:eastAsia="es-MX"/>
              </w:rPr>
              <w:t>consideración</w:t>
            </w:r>
            <w:r>
              <w:rPr>
                <w:rFonts w:ascii="ITC Avant Garde" w:eastAsia="Times New Roman" w:hAnsi="ITC Avant Garde"/>
                <w:color w:val="000000"/>
                <w:sz w:val="20"/>
                <w:szCs w:val="20"/>
                <w:lang w:eastAsia="es-MX"/>
              </w:rPr>
              <w:t xml:space="preserve"> de las distintas posibilidades de indicadores, sin que ello signifique que el Instituto se encuentr</w:t>
            </w:r>
            <w:r w:rsidR="00CD0188">
              <w:rPr>
                <w:rFonts w:ascii="ITC Avant Garde" w:eastAsia="Times New Roman" w:hAnsi="ITC Avant Garde"/>
                <w:color w:val="000000"/>
                <w:sz w:val="20"/>
                <w:szCs w:val="20"/>
                <w:lang w:eastAsia="es-MX"/>
              </w:rPr>
              <w:t xml:space="preserve">e obligado </w:t>
            </w:r>
            <w:r>
              <w:rPr>
                <w:rFonts w:ascii="ITC Avant Garde" w:eastAsia="Times New Roman" w:hAnsi="ITC Avant Garde"/>
                <w:color w:val="000000"/>
                <w:sz w:val="20"/>
                <w:szCs w:val="20"/>
                <w:lang w:eastAsia="es-MX"/>
              </w:rPr>
              <w:t xml:space="preserve">a la </w:t>
            </w:r>
            <w:r w:rsidR="00CD0188">
              <w:rPr>
                <w:rFonts w:ascii="ITC Avant Garde" w:eastAsia="Times New Roman" w:hAnsi="ITC Avant Garde"/>
                <w:color w:val="000000"/>
                <w:sz w:val="20"/>
                <w:szCs w:val="20"/>
                <w:lang w:eastAsia="es-MX"/>
              </w:rPr>
              <w:t xml:space="preserve">inclusión </w:t>
            </w:r>
            <w:r>
              <w:rPr>
                <w:rFonts w:ascii="ITC Avant Garde" w:eastAsia="Times New Roman" w:hAnsi="ITC Avant Garde"/>
                <w:color w:val="000000"/>
                <w:sz w:val="20"/>
                <w:szCs w:val="20"/>
                <w:lang w:eastAsia="es-MX"/>
              </w:rPr>
              <w:t>de cada uno de ellos.</w:t>
            </w:r>
            <w:r w:rsidR="00E7534A">
              <w:rPr>
                <w:rFonts w:ascii="ITC Avant Garde" w:eastAsia="Times New Roman" w:hAnsi="ITC Avant Garde"/>
                <w:color w:val="000000"/>
                <w:sz w:val="20"/>
                <w:szCs w:val="20"/>
                <w:lang w:eastAsia="es-MX"/>
              </w:rPr>
              <w:t xml:space="preserve"> </w:t>
            </w:r>
            <w:r w:rsidR="007F4DB5">
              <w:rPr>
                <w:rFonts w:ascii="ITC Avant Garde" w:eastAsia="Times New Roman" w:hAnsi="ITC Avant Garde"/>
                <w:color w:val="000000"/>
                <w:sz w:val="20"/>
                <w:szCs w:val="20"/>
                <w:lang w:eastAsia="es-MX"/>
              </w:rPr>
              <w:t xml:space="preserve">Por tanto, </w:t>
            </w:r>
            <w:r w:rsidR="004F0CF7" w:rsidRPr="007473C3">
              <w:rPr>
                <w:rFonts w:ascii="ITC Avant Garde" w:eastAsia="Times New Roman" w:hAnsi="ITC Avant Garde"/>
                <w:b/>
                <w:bCs/>
                <w:color w:val="000000"/>
                <w:sz w:val="20"/>
                <w:szCs w:val="20"/>
                <w:lang w:eastAsia="es-MX"/>
              </w:rPr>
              <w:t>se solicita al participante</w:t>
            </w:r>
            <w:r w:rsidR="00E4524F">
              <w:rPr>
                <w:rFonts w:ascii="ITC Avant Garde" w:eastAsia="Times New Roman" w:hAnsi="ITC Avant Garde"/>
                <w:color w:val="000000"/>
                <w:sz w:val="20"/>
                <w:szCs w:val="20"/>
                <w:lang w:eastAsia="es-MX"/>
              </w:rPr>
              <w:t>:</w:t>
            </w:r>
          </w:p>
          <w:p w14:paraId="2ABEAE99" w14:textId="10026E50" w:rsidR="004F0CF7" w:rsidRDefault="00E4524F" w:rsidP="00E4524F">
            <w:pPr>
              <w:pStyle w:val="Prrafodelista"/>
              <w:numPr>
                <w:ilvl w:val="0"/>
                <w:numId w:val="39"/>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u w:val="single"/>
                <w:lang w:eastAsia="es-MX"/>
              </w:rPr>
              <w:t>R</w:t>
            </w:r>
            <w:r w:rsidR="004F0CF7" w:rsidRPr="007473C3">
              <w:rPr>
                <w:rFonts w:ascii="ITC Avant Garde" w:eastAsia="Times New Roman" w:hAnsi="ITC Avant Garde"/>
                <w:color w:val="000000"/>
                <w:sz w:val="20"/>
                <w:szCs w:val="20"/>
                <w:u w:val="single"/>
                <w:lang w:eastAsia="es-MX"/>
              </w:rPr>
              <w:t>ealizar las aportaciones</w:t>
            </w:r>
            <w:r w:rsidR="004775AE" w:rsidRPr="007473C3">
              <w:rPr>
                <w:rFonts w:ascii="ITC Avant Garde" w:eastAsia="Times New Roman" w:hAnsi="ITC Avant Garde"/>
                <w:color w:val="000000"/>
                <w:sz w:val="20"/>
                <w:szCs w:val="20"/>
                <w:u w:val="single"/>
                <w:lang w:eastAsia="es-MX"/>
              </w:rPr>
              <w:t>,</w:t>
            </w:r>
            <w:r w:rsidR="004F0CF7" w:rsidRPr="007473C3">
              <w:rPr>
                <w:rFonts w:ascii="ITC Avant Garde" w:eastAsia="Times New Roman" w:hAnsi="ITC Avant Garde"/>
                <w:color w:val="000000"/>
                <w:sz w:val="20"/>
                <w:szCs w:val="20"/>
                <w:u w:val="single"/>
                <w:lang w:eastAsia="es-MX"/>
              </w:rPr>
              <w:t xml:space="preserve"> comentarios</w:t>
            </w:r>
            <w:r w:rsidR="004775AE" w:rsidRPr="007473C3">
              <w:rPr>
                <w:rFonts w:ascii="ITC Avant Garde" w:eastAsia="Times New Roman" w:hAnsi="ITC Avant Garde"/>
                <w:color w:val="000000"/>
                <w:sz w:val="20"/>
                <w:szCs w:val="20"/>
                <w:u w:val="single"/>
                <w:lang w:eastAsia="es-MX"/>
              </w:rPr>
              <w:t xml:space="preserve"> y </w:t>
            </w:r>
            <w:r w:rsidR="004F0CF7" w:rsidRPr="007473C3">
              <w:rPr>
                <w:rFonts w:ascii="ITC Avant Garde" w:eastAsia="Times New Roman" w:hAnsi="ITC Avant Garde"/>
                <w:color w:val="000000"/>
                <w:sz w:val="20"/>
                <w:szCs w:val="20"/>
                <w:u w:val="single"/>
                <w:lang w:eastAsia="es-MX"/>
              </w:rPr>
              <w:t xml:space="preserve">justificaciones </w:t>
            </w:r>
            <w:r w:rsidR="004775AE" w:rsidRPr="007473C3">
              <w:rPr>
                <w:rFonts w:ascii="ITC Avant Garde" w:eastAsia="Times New Roman" w:hAnsi="ITC Avant Garde"/>
                <w:color w:val="000000"/>
                <w:sz w:val="20"/>
                <w:szCs w:val="20"/>
                <w:u w:val="single"/>
                <w:lang w:eastAsia="es-MX"/>
              </w:rPr>
              <w:t xml:space="preserve">que considere relevantes </w:t>
            </w:r>
            <w:r w:rsidR="004F0CF7" w:rsidRPr="007473C3">
              <w:rPr>
                <w:rFonts w:ascii="ITC Avant Garde" w:eastAsia="Times New Roman" w:hAnsi="ITC Avant Garde"/>
                <w:color w:val="000000"/>
                <w:sz w:val="20"/>
                <w:szCs w:val="20"/>
                <w:u w:val="single"/>
                <w:lang w:eastAsia="es-MX"/>
              </w:rPr>
              <w:t>para cada indicador</w:t>
            </w:r>
            <w:r w:rsidR="004F0CF7" w:rsidRPr="007473C3">
              <w:rPr>
                <w:rFonts w:ascii="ITC Avant Garde" w:eastAsia="Times New Roman" w:hAnsi="ITC Avant Garde"/>
                <w:color w:val="000000"/>
                <w:sz w:val="20"/>
                <w:szCs w:val="20"/>
                <w:lang w:eastAsia="es-MX"/>
              </w:rPr>
              <w:t xml:space="preserve"> en la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columna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de comentarios </w:t>
            </w:r>
            <w:r w:rsidR="002B1AD7" w:rsidRPr="007473C3">
              <w:rPr>
                <w:rFonts w:ascii="ITC Avant Garde" w:eastAsia="Times New Roman" w:hAnsi="ITC Avant Garde"/>
                <w:color w:val="000000"/>
                <w:sz w:val="20"/>
                <w:szCs w:val="20"/>
                <w:lang w:eastAsia="es-MX"/>
              </w:rPr>
              <w:t xml:space="preserve">y de justificación </w:t>
            </w:r>
            <w:r w:rsidR="004F0CF7" w:rsidRPr="007473C3">
              <w:rPr>
                <w:rFonts w:ascii="ITC Avant Garde" w:eastAsia="Times New Roman" w:hAnsi="ITC Avant Garde"/>
                <w:color w:val="000000"/>
                <w:sz w:val="20"/>
                <w:szCs w:val="20"/>
                <w:lang w:eastAsia="es-MX"/>
              </w:rPr>
              <w:t>que se incluye</w:t>
            </w:r>
            <w:r w:rsidR="002B1AD7" w:rsidRPr="007473C3">
              <w:rPr>
                <w:rFonts w:ascii="ITC Avant Garde" w:eastAsia="Times New Roman" w:hAnsi="ITC Avant Garde"/>
                <w:color w:val="000000"/>
                <w:sz w:val="20"/>
                <w:szCs w:val="20"/>
                <w:lang w:eastAsia="es-MX"/>
              </w:rPr>
              <w:t>n</w:t>
            </w:r>
            <w:r w:rsidR="004F0CF7" w:rsidRPr="007473C3">
              <w:rPr>
                <w:rFonts w:ascii="ITC Avant Garde" w:eastAsia="Times New Roman" w:hAnsi="ITC Avant Garde"/>
                <w:color w:val="000000"/>
                <w:sz w:val="20"/>
                <w:szCs w:val="20"/>
                <w:lang w:eastAsia="es-MX"/>
              </w:rPr>
              <w:t xml:space="preserve"> en el documento</w:t>
            </w:r>
            <w:r w:rsidR="004775AE" w:rsidRPr="007473C3">
              <w:rPr>
                <w:rFonts w:ascii="ITC Avant Garde" w:eastAsia="Times New Roman" w:hAnsi="ITC Avant Garde"/>
                <w:color w:val="000000"/>
                <w:sz w:val="20"/>
                <w:szCs w:val="20"/>
                <w:lang w:eastAsia="es-MX"/>
              </w:rPr>
              <w:t xml:space="preserve"> “</w:t>
            </w:r>
            <w:r w:rsidR="004775AE" w:rsidRPr="007473C3">
              <w:rPr>
                <w:rFonts w:ascii="ITC Avant Garde" w:eastAsia="Times New Roman" w:hAnsi="ITC Avant Garde"/>
                <w:b/>
                <w:bCs/>
                <w:color w:val="000000"/>
                <w:sz w:val="20"/>
                <w:szCs w:val="20"/>
                <w:lang w:eastAsia="es-MX"/>
              </w:rPr>
              <w:t>Alternativas de ICD</w:t>
            </w:r>
            <w:r w:rsidR="004775AE" w:rsidRPr="007473C3">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w:t>
            </w:r>
          </w:p>
          <w:p w14:paraId="320B8B6A" w14:textId="77777777" w:rsidR="00AE3C2C" w:rsidRDefault="00E4524F" w:rsidP="00AE3C2C">
            <w:pPr>
              <w:pStyle w:val="Prrafodelista"/>
              <w:numPr>
                <w:ilvl w:val="0"/>
                <w:numId w:val="39"/>
              </w:numPr>
              <w:spacing w:before="240" w:after="120" w:line="240" w:lineRule="auto"/>
              <w:ind w:right="309"/>
              <w:jc w:val="both"/>
              <w:rPr>
                <w:rFonts w:ascii="ITC Avant Garde" w:eastAsia="Times New Roman" w:hAnsi="ITC Avant Garde"/>
                <w:color w:val="000000"/>
                <w:sz w:val="20"/>
                <w:szCs w:val="20"/>
                <w:lang w:eastAsia="es-MX"/>
              </w:rPr>
            </w:pPr>
            <w:r w:rsidRPr="007473C3">
              <w:rPr>
                <w:rFonts w:ascii="ITC Avant Garde" w:eastAsia="Times New Roman" w:hAnsi="ITC Avant Garde"/>
                <w:color w:val="000000"/>
                <w:sz w:val="20"/>
                <w:szCs w:val="20"/>
                <w:u w:val="single"/>
                <w:lang w:eastAsia="es-MX"/>
              </w:rPr>
              <w:t>Responder las preguntas</w:t>
            </w:r>
            <w:r w:rsidRPr="00E4524F">
              <w:rPr>
                <w:rFonts w:ascii="ITC Avant Garde" w:eastAsia="Times New Roman" w:hAnsi="ITC Avant Garde"/>
                <w:color w:val="000000"/>
                <w:sz w:val="20"/>
                <w:szCs w:val="20"/>
                <w:lang w:eastAsia="es-MX"/>
              </w:rPr>
              <w:t xml:space="preserve"> contenidas en el apartado</w:t>
            </w:r>
            <w:r w:rsidRPr="007473C3">
              <w:rPr>
                <w:rFonts w:ascii="ITC Avant Garde" w:eastAsia="Times New Roman" w:hAnsi="ITC Avant Garde"/>
                <w:b/>
                <w:bCs/>
                <w:color w:val="000000"/>
                <w:sz w:val="20"/>
                <w:szCs w:val="20"/>
                <w:lang w:eastAsia="es-MX"/>
              </w:rPr>
              <w:t xml:space="preserve"> IV.</w:t>
            </w:r>
            <w:r w:rsidRPr="007473C3">
              <w:rPr>
                <w:rFonts w:ascii="ITC Avant Garde" w:eastAsia="Times New Roman" w:hAnsi="ITC Avant Garde"/>
                <w:b/>
                <w:bCs/>
                <w:color w:val="000000"/>
                <w:sz w:val="20"/>
                <w:szCs w:val="20"/>
                <w:lang w:eastAsia="es-MX"/>
              </w:rPr>
              <w:tab/>
              <w:t>Comentarios, opiniones y aportaciones específicos de la persona participante sobre el asunto en consulta pública</w:t>
            </w:r>
            <w:r w:rsidRPr="00E4524F">
              <w:rPr>
                <w:rFonts w:ascii="ITC Avant Garde" w:eastAsia="Times New Roman" w:hAnsi="ITC Avant Garde"/>
                <w:color w:val="000000"/>
                <w:sz w:val="20"/>
                <w:szCs w:val="20"/>
                <w:lang w:eastAsia="es-MX"/>
              </w:rPr>
              <w:t>.</w:t>
            </w:r>
          </w:p>
          <w:p w14:paraId="174D037C" w14:textId="0E3C1558" w:rsidR="00AE3C2C" w:rsidRPr="00AE3C2C" w:rsidRDefault="00AE3C2C" w:rsidP="00AE3C2C">
            <w:pPr>
              <w:pStyle w:val="Prrafodelista"/>
              <w:numPr>
                <w:ilvl w:val="0"/>
                <w:numId w:val="39"/>
              </w:numPr>
              <w:spacing w:before="240" w:after="120" w:line="240" w:lineRule="auto"/>
              <w:ind w:right="309"/>
              <w:jc w:val="both"/>
              <w:rPr>
                <w:rFonts w:ascii="ITC Avant Garde" w:eastAsia="Times New Roman" w:hAnsi="ITC Avant Garde"/>
                <w:color w:val="000000"/>
                <w:sz w:val="20"/>
                <w:szCs w:val="20"/>
                <w:lang w:eastAsia="es-MX"/>
              </w:rPr>
            </w:pPr>
            <w:r w:rsidRPr="00AE3C2C">
              <w:rPr>
                <w:rFonts w:ascii="ITC Avant Garde" w:eastAsia="Times New Roman" w:hAnsi="ITC Avant Garde"/>
                <w:color w:val="000000"/>
                <w:sz w:val="20"/>
                <w:szCs w:val="20"/>
                <w:u w:val="single"/>
                <w:lang w:eastAsia="es-MX"/>
              </w:rPr>
              <w:t xml:space="preserve">Realizar los comentarios, opiniones y aportaciones generales de su interés en el apartado </w:t>
            </w:r>
            <w:r w:rsidRPr="00AE3C2C">
              <w:rPr>
                <w:rFonts w:ascii="ITC Avant Garde" w:eastAsia="Times New Roman" w:hAnsi="ITC Avant Garde"/>
                <w:b/>
                <w:bCs/>
                <w:color w:val="000000"/>
                <w:sz w:val="20"/>
                <w:szCs w:val="20"/>
                <w:u w:val="single"/>
                <w:lang w:eastAsia="es-MX"/>
              </w:rPr>
              <w:t>V. Comentarios, opiniones y aportaciones generales de la persona participante sobre el asunto en consulta pública.</w:t>
            </w:r>
          </w:p>
          <w:p w14:paraId="6E6E4E6E" w14:textId="4D3471D5" w:rsidR="004F0CF7" w:rsidRPr="004F0CF7" w:rsidRDefault="004F0CF7" w:rsidP="004F0CF7">
            <w:pPr>
              <w:spacing w:before="240" w:after="120" w:line="240" w:lineRule="auto"/>
              <w:ind w:right="309"/>
              <w:jc w:val="both"/>
              <w:rPr>
                <w:rFonts w:ascii="ITC Avant Garde" w:eastAsia="Times New Roman" w:hAnsi="ITC Avant Garde"/>
                <w:color w:val="000000"/>
                <w:sz w:val="20"/>
                <w:szCs w:val="20"/>
                <w:lang w:eastAsia="es-MX"/>
              </w:rPr>
            </w:pPr>
            <w:r w:rsidRPr="004F0CF7">
              <w:rPr>
                <w:rFonts w:ascii="ITC Avant Garde" w:eastAsia="Times New Roman" w:hAnsi="ITC Avant Garde"/>
                <w:color w:val="000000"/>
                <w:sz w:val="20"/>
                <w:szCs w:val="20"/>
                <w:lang w:eastAsia="es-MX"/>
              </w:rPr>
              <w:t xml:space="preserve">Para </w:t>
            </w:r>
            <w:r w:rsidR="00E4524F">
              <w:rPr>
                <w:rFonts w:ascii="ITC Avant Garde" w:eastAsia="Times New Roman" w:hAnsi="ITC Avant Garde"/>
                <w:color w:val="000000"/>
                <w:sz w:val="20"/>
                <w:szCs w:val="20"/>
                <w:lang w:eastAsia="es-MX"/>
              </w:rPr>
              <w:t>lo anterior se sugiere tomar en cuenta la</w:t>
            </w:r>
            <w:r w:rsidRPr="004F0CF7">
              <w:rPr>
                <w:rFonts w:ascii="ITC Avant Garde" w:eastAsia="Times New Roman" w:hAnsi="ITC Avant Garde"/>
                <w:color w:val="000000"/>
                <w:sz w:val="20"/>
                <w:szCs w:val="20"/>
                <w:lang w:eastAsia="es-MX"/>
              </w:rPr>
              <w:t xml:space="preserve"> capacidad de</w:t>
            </w:r>
            <w:r w:rsidR="00E4524F">
              <w:rPr>
                <w:rFonts w:ascii="ITC Avant Garde" w:eastAsia="Times New Roman" w:hAnsi="ITC Avant Garde"/>
                <w:color w:val="000000"/>
                <w:sz w:val="20"/>
                <w:szCs w:val="20"/>
                <w:lang w:eastAsia="es-MX"/>
              </w:rPr>
              <w:t xml:space="preserve"> cada ICD</w:t>
            </w:r>
            <w:r w:rsidRPr="004F0CF7">
              <w:rPr>
                <w:rFonts w:ascii="ITC Avant Garde" w:eastAsia="Times New Roman" w:hAnsi="ITC Avant Garde"/>
                <w:color w:val="000000"/>
                <w:sz w:val="20"/>
                <w:szCs w:val="20"/>
                <w:lang w:eastAsia="es-MX"/>
              </w:rPr>
              <w:t xml:space="preserve"> de ser verificable y medido en el tiempo, </w:t>
            </w:r>
            <w:r w:rsidR="00600500">
              <w:rPr>
                <w:rFonts w:ascii="ITC Avant Garde" w:eastAsia="Times New Roman" w:hAnsi="ITC Avant Garde"/>
                <w:color w:val="000000"/>
                <w:sz w:val="20"/>
                <w:szCs w:val="20"/>
                <w:lang w:eastAsia="es-MX"/>
              </w:rPr>
              <w:t xml:space="preserve">su </w:t>
            </w:r>
            <w:r w:rsidRPr="004F0CF7">
              <w:rPr>
                <w:rFonts w:ascii="ITC Avant Garde" w:eastAsia="Times New Roman" w:hAnsi="ITC Avant Garde"/>
                <w:color w:val="000000"/>
                <w:sz w:val="20"/>
                <w:szCs w:val="20"/>
                <w:lang w:eastAsia="es-MX"/>
              </w:rPr>
              <w:t>practicidad de medición, relevancia con los objetivos</w:t>
            </w:r>
            <w:r w:rsidR="00600500">
              <w:rPr>
                <w:rFonts w:ascii="ITC Avant Garde" w:eastAsia="Times New Roman" w:hAnsi="ITC Avant Garde"/>
                <w:color w:val="000000"/>
                <w:sz w:val="20"/>
                <w:szCs w:val="20"/>
                <w:lang w:eastAsia="es-MX"/>
              </w:rPr>
              <w:t xml:space="preserve"> regulatorios asimétricos</w:t>
            </w:r>
            <w:r w:rsidRPr="004F0CF7">
              <w:rPr>
                <w:rFonts w:ascii="ITC Avant Garde" w:eastAsia="Times New Roman" w:hAnsi="ITC Avant Garde"/>
                <w:color w:val="000000"/>
                <w:sz w:val="20"/>
                <w:szCs w:val="20"/>
                <w:lang w:eastAsia="es-MX"/>
              </w:rPr>
              <w:t xml:space="preserve">, </w:t>
            </w:r>
            <w:r w:rsidR="00E051E5">
              <w:rPr>
                <w:rFonts w:ascii="ITC Avant Garde" w:eastAsia="Times New Roman" w:hAnsi="ITC Avant Garde"/>
                <w:color w:val="000000"/>
                <w:sz w:val="20"/>
                <w:szCs w:val="20"/>
                <w:lang w:eastAsia="es-MX"/>
              </w:rPr>
              <w:t>y</w:t>
            </w:r>
            <w:r w:rsidRPr="004F0CF7">
              <w:rPr>
                <w:rFonts w:ascii="ITC Avant Garde" w:eastAsia="Times New Roman" w:hAnsi="ITC Avant Garde"/>
                <w:color w:val="000000"/>
                <w:sz w:val="20"/>
                <w:szCs w:val="20"/>
                <w:lang w:eastAsia="es-MX"/>
              </w:rPr>
              <w:t xml:space="preserve"> </w:t>
            </w:r>
            <w:r w:rsidR="00600500">
              <w:rPr>
                <w:rFonts w:ascii="ITC Avant Garde" w:eastAsia="Times New Roman" w:hAnsi="ITC Avant Garde"/>
                <w:color w:val="000000"/>
                <w:sz w:val="20"/>
                <w:szCs w:val="20"/>
                <w:lang w:eastAsia="es-MX"/>
              </w:rPr>
              <w:t xml:space="preserve">que </w:t>
            </w:r>
            <w:r w:rsidRPr="004F0CF7">
              <w:rPr>
                <w:rFonts w:ascii="ITC Avant Garde" w:eastAsia="Times New Roman" w:hAnsi="ITC Avant Garde"/>
                <w:color w:val="000000"/>
                <w:sz w:val="20"/>
                <w:szCs w:val="20"/>
                <w:lang w:eastAsia="es-MX"/>
              </w:rPr>
              <w:t xml:space="preserve">los procesos medidos </w:t>
            </w:r>
            <w:r w:rsidR="00600500">
              <w:rPr>
                <w:rFonts w:ascii="ITC Avant Garde" w:eastAsia="Times New Roman" w:hAnsi="ITC Avant Garde"/>
                <w:color w:val="000000"/>
                <w:sz w:val="20"/>
                <w:szCs w:val="20"/>
                <w:lang w:eastAsia="es-MX"/>
              </w:rPr>
              <w:t>por</w:t>
            </w:r>
            <w:r w:rsidR="00600500" w:rsidRPr="004F0CF7">
              <w:rPr>
                <w:rFonts w:ascii="ITC Avant Garde" w:eastAsia="Times New Roman" w:hAnsi="ITC Avant Garde"/>
                <w:color w:val="000000"/>
                <w:sz w:val="20"/>
                <w:szCs w:val="20"/>
                <w:lang w:eastAsia="es-MX"/>
              </w:rPr>
              <w:t xml:space="preserve"> </w:t>
            </w:r>
            <w:r w:rsidRPr="004F0CF7">
              <w:rPr>
                <w:rFonts w:ascii="ITC Avant Garde" w:eastAsia="Times New Roman" w:hAnsi="ITC Avant Garde"/>
                <w:color w:val="000000"/>
                <w:sz w:val="20"/>
                <w:szCs w:val="20"/>
                <w:lang w:eastAsia="es-MX"/>
              </w:rPr>
              <w:t xml:space="preserve">los ICD </w:t>
            </w:r>
            <w:r w:rsidR="00600500">
              <w:rPr>
                <w:rFonts w:ascii="ITC Avant Garde" w:eastAsia="Times New Roman" w:hAnsi="ITC Avant Garde"/>
                <w:color w:val="000000"/>
                <w:sz w:val="20"/>
                <w:szCs w:val="20"/>
                <w:lang w:eastAsia="es-MX"/>
              </w:rPr>
              <w:t>estén</w:t>
            </w:r>
            <w:r w:rsidRPr="004F0CF7">
              <w:rPr>
                <w:rFonts w:ascii="ITC Avant Garde" w:eastAsia="Times New Roman" w:hAnsi="ITC Avant Garde"/>
                <w:color w:val="000000"/>
                <w:sz w:val="20"/>
                <w:szCs w:val="20"/>
                <w:lang w:eastAsia="es-MX"/>
              </w:rPr>
              <w:t xml:space="preserve"> dentro del control del AEPT.</w:t>
            </w:r>
            <w:r w:rsidR="00E4524F">
              <w:rPr>
                <w:rFonts w:ascii="ITC Avant Garde" w:eastAsia="Times New Roman" w:hAnsi="ITC Avant Garde"/>
                <w:color w:val="000000"/>
                <w:sz w:val="20"/>
                <w:szCs w:val="20"/>
                <w:lang w:eastAsia="es-MX"/>
              </w:rPr>
              <w:t xml:space="preserve"> </w:t>
            </w:r>
          </w:p>
          <w:p w14:paraId="383653F1" w14:textId="1E674CEA" w:rsidR="008406AA" w:rsidRPr="008406AA" w:rsidRDefault="00600500" w:rsidP="007473C3">
            <w:pPr>
              <w:rPr>
                <w:sz w:val="18"/>
                <w:lang w:eastAsia="es-MX"/>
              </w:rPr>
            </w:pPr>
            <w:r>
              <w:rPr>
                <w:rFonts w:ascii="ITC Avant Garde" w:eastAsia="Times New Roman" w:hAnsi="ITC Avant Garde"/>
                <w:color w:val="000000"/>
                <w:sz w:val="20"/>
                <w:szCs w:val="20"/>
                <w:lang w:eastAsia="es-MX"/>
              </w:rPr>
              <w:t>Finalmente, se reitera que c</w:t>
            </w:r>
            <w:r w:rsidR="00E4524F" w:rsidRPr="004F0CF7">
              <w:rPr>
                <w:rFonts w:ascii="ITC Avant Garde" w:eastAsia="Times New Roman" w:hAnsi="ITC Avant Garde"/>
                <w:color w:val="000000"/>
                <w:sz w:val="20"/>
                <w:szCs w:val="20"/>
                <w:lang w:eastAsia="es-MX"/>
              </w:rPr>
              <w:t xml:space="preserve">on esta consulta pública de integración el Instituto busca </w:t>
            </w:r>
            <w:r>
              <w:rPr>
                <w:rFonts w:ascii="ITC Avant Garde" w:eastAsia="Times New Roman" w:hAnsi="ITC Avant Garde"/>
                <w:color w:val="000000"/>
                <w:sz w:val="20"/>
                <w:szCs w:val="20"/>
                <w:lang w:eastAsia="es-MX"/>
              </w:rPr>
              <w:t xml:space="preserve">allegarse de más elementos para </w:t>
            </w:r>
            <w:r w:rsidR="00E4524F" w:rsidRPr="004F0CF7">
              <w:rPr>
                <w:rFonts w:ascii="ITC Avant Garde" w:eastAsia="Times New Roman" w:hAnsi="ITC Avant Garde"/>
                <w:color w:val="000000"/>
                <w:sz w:val="20"/>
                <w:szCs w:val="20"/>
                <w:lang w:eastAsia="es-MX"/>
              </w:rPr>
              <w:t xml:space="preserve">identificar aquellas etapas o procesos clave que resultan más críticos y que inciden en la provisión de </w:t>
            </w:r>
            <w:r w:rsidR="00E4524F">
              <w:rPr>
                <w:rFonts w:ascii="ITC Avant Garde" w:eastAsia="Times New Roman" w:hAnsi="ITC Avant Garde"/>
                <w:color w:val="000000"/>
                <w:sz w:val="20"/>
                <w:szCs w:val="20"/>
                <w:lang w:eastAsia="es-MX"/>
              </w:rPr>
              <w:t>los SMR</w:t>
            </w:r>
            <w:r w:rsidR="00E4524F" w:rsidRPr="004F0CF7">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a efecto de garantizar</w:t>
            </w:r>
            <w:r w:rsidR="00E4524F" w:rsidRPr="004F0CF7">
              <w:rPr>
                <w:rFonts w:ascii="ITC Avant Garde" w:eastAsia="Times New Roman" w:hAnsi="ITC Avant Garde"/>
                <w:color w:val="000000"/>
                <w:sz w:val="20"/>
                <w:szCs w:val="20"/>
                <w:lang w:eastAsia="es-MX"/>
              </w:rPr>
              <w:t xml:space="preserve"> que los ICD cumplan con el propósito por el cual se mandataron.</w:t>
            </w:r>
          </w:p>
          <w:p w14:paraId="584FAD98" w14:textId="07B50F9A" w:rsidR="00105E55" w:rsidRPr="003F04F2" w:rsidRDefault="00105E55" w:rsidP="004368BF">
            <w:pPr>
              <w:spacing w:after="0" w:line="240" w:lineRule="auto"/>
              <w:ind w:right="306"/>
              <w:jc w:val="both"/>
              <w:rPr>
                <w:rFonts w:ascii="ITC Avant Garde" w:eastAsia="Times New Roman" w:hAnsi="ITC Avant Garde"/>
                <w:color w:val="000000"/>
                <w:sz w:val="20"/>
                <w:szCs w:val="20"/>
                <w:lang w:eastAsia="es-MX"/>
              </w:rPr>
            </w:pPr>
          </w:p>
        </w:tc>
      </w:tr>
    </w:tbl>
    <w:p w14:paraId="7D4B21D3" w14:textId="6C7AF4DA" w:rsidR="0068054F" w:rsidRDefault="0068054F" w:rsidP="00170916">
      <w:pPr>
        <w:spacing w:after="0"/>
        <w:jc w:val="both"/>
        <w:rPr>
          <w:rFonts w:ascii="ITC Avant Garde" w:hAnsi="ITC Avant Garde"/>
          <w:sz w:val="16"/>
        </w:rPr>
      </w:pPr>
    </w:p>
    <w:p w14:paraId="0A4EF6F9" w14:textId="126575CB" w:rsidR="00474104" w:rsidRDefault="00474104" w:rsidP="00AB2D19">
      <w:pPr>
        <w:spacing w:after="0"/>
        <w:jc w:val="both"/>
        <w:rPr>
          <w:rFonts w:ascii="ITC Avant Garde" w:hAnsi="ITC Avant Garde"/>
          <w:sz w:val="16"/>
        </w:rPr>
      </w:pPr>
    </w:p>
    <w:tbl>
      <w:tblPr>
        <w:tblpPr w:leftFromText="141" w:rightFromText="141" w:vertAnchor="text" w:tblpX="234" w:tblpY="10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389"/>
      </w:tblGrid>
      <w:tr w:rsidR="00474104" w:rsidRPr="00F36A5D" w14:paraId="3CA6E300" w14:textId="77777777" w:rsidTr="008734F1">
        <w:trPr>
          <w:trHeight w:val="581"/>
        </w:trPr>
        <w:tc>
          <w:tcPr>
            <w:tcW w:w="8652" w:type="dxa"/>
            <w:gridSpan w:val="2"/>
            <w:shd w:val="clear" w:color="auto" w:fill="D9D9D9"/>
            <w:vAlign w:val="center"/>
            <w:hideMark/>
          </w:tcPr>
          <w:p w14:paraId="03F0818E" w14:textId="77777777" w:rsidR="00474104" w:rsidRPr="003353FC" w:rsidRDefault="00474104" w:rsidP="0043365D">
            <w:pPr>
              <w:pStyle w:val="Ttulo2"/>
              <w:ind w:left="771"/>
            </w:pPr>
            <w:r w:rsidRPr="003353FC">
              <w:t>Comentarios, opiniones y aportaciones específicos de la persona participante sobre el asunto en consulta pública</w:t>
            </w:r>
          </w:p>
        </w:tc>
      </w:tr>
      <w:tr w:rsidR="00474104" w:rsidRPr="00F36A5D" w14:paraId="43B1E7FF" w14:textId="77777777" w:rsidTr="008734F1">
        <w:trPr>
          <w:trHeight w:val="290"/>
        </w:trPr>
        <w:tc>
          <w:tcPr>
            <w:tcW w:w="8652" w:type="dxa"/>
            <w:gridSpan w:val="2"/>
            <w:shd w:val="clear" w:color="auto" w:fill="auto"/>
            <w:vAlign w:val="center"/>
          </w:tcPr>
          <w:p w14:paraId="21F15E0D" w14:textId="35D6B61F" w:rsidR="00474104" w:rsidRPr="00F36A5D" w:rsidRDefault="00474104" w:rsidP="008734F1">
            <w:pPr>
              <w:spacing w:after="0" w:line="276" w:lineRule="auto"/>
              <w:jc w:val="both"/>
              <w:rPr>
                <w:rFonts w:ascii="ITC Avant Garde" w:eastAsia="Times New Roman" w:hAnsi="ITC Avant Garde"/>
                <w:color w:val="000000"/>
                <w:lang w:eastAsia="es-MX"/>
              </w:rPr>
            </w:pPr>
            <w:r>
              <w:rPr>
                <w:rFonts w:ascii="ITC Avant Garde" w:eastAsia="Times New Roman" w:hAnsi="ITC Avant Garde"/>
                <w:b/>
                <w:color w:val="000000"/>
                <w:sz w:val="20"/>
                <w:szCs w:val="20"/>
                <w:lang w:eastAsia="es-MX"/>
              </w:rPr>
              <w:t xml:space="preserve">1. </w:t>
            </w:r>
            <w:r w:rsidR="00EC277F" w:rsidRPr="00EC277F">
              <w:rPr>
                <w:rFonts w:ascii="ITC Avant Garde" w:eastAsia="Times New Roman" w:hAnsi="ITC Avant Garde"/>
                <w:b/>
                <w:color w:val="000000"/>
                <w:sz w:val="20"/>
                <w:szCs w:val="20"/>
                <w:lang w:eastAsia="es-MX"/>
              </w:rPr>
              <w:t>¿</w:t>
            </w:r>
            <w:r w:rsidR="00AE3C2C" w:rsidRPr="00AE3C2C">
              <w:rPr>
                <w:rFonts w:ascii="ITC Avant Garde" w:eastAsia="Times New Roman" w:hAnsi="ITC Avant Garde"/>
                <w:b/>
                <w:color w:val="000000"/>
                <w:sz w:val="20"/>
                <w:szCs w:val="20"/>
                <w:lang w:eastAsia="es-MX"/>
              </w:rPr>
              <w:t>Cuáles de las diferentes</w:t>
            </w:r>
            <w:r w:rsidR="00AB454C" w:rsidRPr="00AB454C">
              <w:rPr>
                <w:rFonts w:ascii="ITC Avant Garde" w:eastAsia="Times New Roman" w:hAnsi="ITC Avant Garde"/>
                <w:b/>
                <w:color w:val="000000"/>
                <w:sz w:val="20"/>
                <w:szCs w:val="20"/>
                <w:lang w:eastAsia="es-MX"/>
              </w:rPr>
              <w:t xml:space="preserve"> etapas de los SMR que forman parte de las Ofertas de Referencia considera de mayor relevancia para evaluar y/o asegurar la equivalencia de insumos?</w:t>
            </w:r>
            <w:r w:rsidR="00EC277F" w:rsidRPr="00EC277F">
              <w:rPr>
                <w:rFonts w:ascii="ITC Avant Garde" w:eastAsia="Times New Roman" w:hAnsi="ITC Avant Garde"/>
                <w:b/>
                <w:color w:val="000000"/>
                <w:sz w:val="20"/>
                <w:szCs w:val="20"/>
                <w:lang w:eastAsia="es-MX"/>
              </w:rPr>
              <w:t xml:space="preserve"> </w:t>
            </w:r>
          </w:p>
        </w:tc>
      </w:tr>
      <w:tr w:rsidR="00EC277F" w:rsidRPr="00F36A5D" w14:paraId="09CF4BD4" w14:textId="77777777" w:rsidTr="00DC6094">
        <w:trPr>
          <w:trHeight w:val="290"/>
        </w:trPr>
        <w:tc>
          <w:tcPr>
            <w:tcW w:w="8652" w:type="dxa"/>
            <w:gridSpan w:val="2"/>
            <w:shd w:val="clear" w:color="auto" w:fill="auto"/>
            <w:vAlign w:val="center"/>
          </w:tcPr>
          <w:p w14:paraId="5D632FFC" w14:textId="77777777" w:rsidR="00380392" w:rsidRDefault="00380392" w:rsidP="008734F1">
            <w:pPr>
              <w:spacing w:after="0" w:line="276" w:lineRule="auto"/>
              <w:rPr>
                <w:rFonts w:ascii="ITC Avant Garde" w:eastAsia="Times New Roman" w:hAnsi="ITC Avant Garde"/>
                <w:color w:val="000000"/>
                <w:sz w:val="20"/>
                <w:szCs w:val="20"/>
                <w:lang w:eastAsia="es-MX"/>
              </w:rPr>
            </w:pPr>
          </w:p>
          <w:p w14:paraId="50ADC99D" w14:textId="488625C1" w:rsidR="00EC277F" w:rsidRDefault="00EC277F" w:rsidP="008734F1">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6947FD5A" w14:textId="77777777" w:rsidR="00EC277F" w:rsidRPr="003F04F2" w:rsidRDefault="00EC277F" w:rsidP="008734F1">
            <w:pPr>
              <w:spacing w:after="0" w:line="276" w:lineRule="auto"/>
              <w:rPr>
                <w:rFonts w:ascii="ITC Avant Garde" w:eastAsia="Times New Roman" w:hAnsi="ITC Avant Garde"/>
                <w:color w:val="000000"/>
                <w:sz w:val="20"/>
                <w:szCs w:val="20"/>
                <w:lang w:eastAsia="es-MX"/>
              </w:rPr>
            </w:pPr>
          </w:p>
        </w:tc>
      </w:tr>
      <w:tr w:rsidR="00474104" w:rsidRPr="00F36A5D" w14:paraId="088D8B14" w14:textId="77777777" w:rsidTr="008734F1">
        <w:trPr>
          <w:trHeight w:val="290"/>
        </w:trPr>
        <w:tc>
          <w:tcPr>
            <w:tcW w:w="8652" w:type="dxa"/>
            <w:gridSpan w:val="2"/>
            <w:shd w:val="clear" w:color="auto" w:fill="auto"/>
            <w:vAlign w:val="center"/>
          </w:tcPr>
          <w:p w14:paraId="6EB7498D" w14:textId="76D66C50" w:rsidR="00474104" w:rsidRPr="002E6C44" w:rsidRDefault="00474104" w:rsidP="008734F1">
            <w:pPr>
              <w:spacing w:after="0" w:line="276" w:lineRule="auto"/>
              <w:jc w:val="both"/>
              <w:rPr>
                <w:rFonts w:ascii="ITC Avant Garde" w:eastAsia="Times New Roman" w:hAnsi="ITC Avant Garde"/>
                <w:b/>
                <w:color w:val="000000"/>
                <w:sz w:val="20"/>
                <w:szCs w:val="20"/>
                <w:lang w:eastAsia="es-MX"/>
              </w:rPr>
            </w:pPr>
            <w:r w:rsidRPr="00FD54BA">
              <w:rPr>
                <w:rFonts w:ascii="ITC Avant Garde" w:eastAsia="Times New Roman" w:hAnsi="ITC Avant Garde"/>
                <w:b/>
                <w:color w:val="000000"/>
                <w:sz w:val="20"/>
                <w:szCs w:val="20"/>
                <w:lang w:eastAsia="es-MX"/>
              </w:rPr>
              <w:t>2. ¿</w:t>
            </w:r>
            <w:r w:rsidR="00EC277F" w:rsidRPr="00EC277F">
              <w:rPr>
                <w:rFonts w:ascii="ITC Avant Garde" w:eastAsia="Times New Roman" w:hAnsi="ITC Avant Garde"/>
                <w:b/>
                <w:color w:val="000000"/>
                <w:sz w:val="20"/>
                <w:szCs w:val="20"/>
                <w:lang w:eastAsia="es-MX"/>
              </w:rPr>
              <w:t>Emplea alguno de los SMR que forman parte de las Ofertas de Referencia</w:t>
            </w:r>
            <w:r>
              <w:rPr>
                <w:rFonts w:ascii="ITC Avant Garde" w:eastAsia="Times New Roman" w:hAnsi="ITC Avant Garde"/>
                <w:b/>
                <w:color w:val="000000"/>
                <w:sz w:val="20"/>
                <w:szCs w:val="20"/>
                <w:lang w:eastAsia="es-MX"/>
              </w:rPr>
              <w:t xml:space="preserve">? </w:t>
            </w:r>
          </w:p>
        </w:tc>
      </w:tr>
      <w:tr w:rsidR="00474104" w:rsidRPr="00F36A5D" w14:paraId="1B8C1D81" w14:textId="77777777" w:rsidTr="008734F1">
        <w:trPr>
          <w:trHeight w:val="290"/>
        </w:trPr>
        <w:tc>
          <w:tcPr>
            <w:tcW w:w="2263" w:type="dxa"/>
            <w:shd w:val="clear" w:color="auto" w:fill="auto"/>
            <w:vAlign w:val="center"/>
          </w:tcPr>
          <w:p w14:paraId="391D44A0" w14:textId="1B0634EC" w:rsidR="00474104" w:rsidRPr="0043365D" w:rsidRDefault="00EC277F" w:rsidP="008734F1">
            <w:pPr>
              <w:spacing w:after="0" w:line="276" w:lineRule="auto"/>
              <w:rPr>
                <w:rFonts w:ascii="ITC Avant Garde" w:eastAsia="Times New Roman" w:hAnsi="ITC Avant Garde"/>
                <w:b/>
                <w:bCs/>
                <w:color w:val="000000"/>
                <w:sz w:val="20"/>
                <w:szCs w:val="20"/>
                <w:lang w:eastAsia="es-MX"/>
              </w:rPr>
            </w:pPr>
            <w:r w:rsidRPr="0043365D">
              <w:rPr>
                <w:rFonts w:ascii="ITC Avant Garde" w:eastAsia="Times New Roman" w:hAnsi="ITC Avant Garde"/>
                <w:b/>
                <w:bCs/>
                <w:color w:val="000000"/>
                <w:sz w:val="20"/>
                <w:szCs w:val="20"/>
                <w:lang w:eastAsia="es-MX"/>
              </w:rPr>
              <w:t xml:space="preserve">(En caso afirmativo) ¿Cuáles? ¿Estaría </w:t>
            </w:r>
            <w:r w:rsidRPr="0043365D">
              <w:rPr>
                <w:rFonts w:ascii="ITC Avant Garde" w:eastAsia="Times New Roman" w:hAnsi="ITC Avant Garde"/>
                <w:b/>
                <w:bCs/>
                <w:color w:val="000000"/>
                <w:sz w:val="20"/>
                <w:szCs w:val="20"/>
                <w:lang w:eastAsia="es-MX"/>
              </w:rPr>
              <w:lastRenderedPageBreak/>
              <w:t>considerando emplear alguno adicional?</w:t>
            </w:r>
          </w:p>
        </w:tc>
        <w:tc>
          <w:tcPr>
            <w:tcW w:w="6389" w:type="dxa"/>
            <w:shd w:val="clear" w:color="auto" w:fill="auto"/>
            <w:vAlign w:val="center"/>
          </w:tcPr>
          <w:p w14:paraId="1CC45E9F" w14:textId="77777777" w:rsidR="00380392" w:rsidRDefault="00380392" w:rsidP="00EC277F">
            <w:pPr>
              <w:spacing w:after="0" w:line="276" w:lineRule="auto"/>
              <w:rPr>
                <w:rFonts w:ascii="ITC Avant Garde" w:eastAsia="Times New Roman" w:hAnsi="ITC Avant Garde"/>
                <w:color w:val="000000"/>
                <w:sz w:val="20"/>
                <w:szCs w:val="20"/>
                <w:lang w:eastAsia="es-MX"/>
              </w:rPr>
            </w:pPr>
          </w:p>
          <w:p w14:paraId="16C8A439" w14:textId="4134AC57" w:rsidR="00EC277F" w:rsidRDefault="00EC277F" w:rsidP="00EC277F">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32DE771B" w14:textId="77777777" w:rsidR="00474104" w:rsidRPr="003F04F2" w:rsidRDefault="00474104" w:rsidP="008734F1">
            <w:pPr>
              <w:spacing w:after="0" w:line="276" w:lineRule="auto"/>
              <w:rPr>
                <w:rFonts w:ascii="ITC Avant Garde" w:eastAsia="Times New Roman" w:hAnsi="ITC Avant Garde"/>
                <w:color w:val="000000"/>
                <w:sz w:val="20"/>
                <w:szCs w:val="20"/>
                <w:lang w:eastAsia="es-MX"/>
              </w:rPr>
            </w:pPr>
          </w:p>
        </w:tc>
      </w:tr>
      <w:tr w:rsidR="00474104" w:rsidRPr="00F36A5D" w14:paraId="7FB86653" w14:textId="77777777" w:rsidTr="008734F1">
        <w:trPr>
          <w:trHeight w:val="290"/>
        </w:trPr>
        <w:tc>
          <w:tcPr>
            <w:tcW w:w="2263" w:type="dxa"/>
            <w:shd w:val="clear" w:color="auto" w:fill="auto"/>
            <w:vAlign w:val="center"/>
          </w:tcPr>
          <w:p w14:paraId="69549768" w14:textId="144B245A" w:rsidR="00474104" w:rsidRPr="0043365D" w:rsidRDefault="00EC277F" w:rsidP="008734F1">
            <w:pPr>
              <w:spacing w:after="0" w:line="276" w:lineRule="auto"/>
              <w:rPr>
                <w:rFonts w:ascii="ITC Avant Garde" w:eastAsia="Times New Roman" w:hAnsi="ITC Avant Garde"/>
                <w:b/>
                <w:bCs/>
                <w:color w:val="000000"/>
                <w:sz w:val="20"/>
                <w:szCs w:val="20"/>
                <w:lang w:eastAsia="es-MX"/>
              </w:rPr>
            </w:pPr>
            <w:r w:rsidRPr="0043365D">
              <w:rPr>
                <w:rFonts w:ascii="ITC Avant Garde" w:eastAsia="Times New Roman" w:hAnsi="ITC Avant Garde"/>
                <w:b/>
                <w:bCs/>
                <w:color w:val="000000"/>
                <w:sz w:val="20"/>
                <w:szCs w:val="20"/>
                <w:lang w:eastAsia="es-MX"/>
              </w:rPr>
              <w:lastRenderedPageBreak/>
              <w:t>(En caso negativo)</w:t>
            </w:r>
            <w:r w:rsidR="00670A0E">
              <w:rPr>
                <w:rFonts w:ascii="ITC Avant Garde" w:eastAsia="Times New Roman" w:hAnsi="ITC Avant Garde"/>
                <w:b/>
                <w:bCs/>
                <w:color w:val="000000"/>
                <w:sz w:val="20"/>
                <w:szCs w:val="20"/>
                <w:lang w:eastAsia="es-MX"/>
              </w:rPr>
              <w:t xml:space="preserve"> </w:t>
            </w:r>
            <w:r w:rsidR="00AE3C2C">
              <w:rPr>
                <w:rFonts w:ascii="ITC Avant Garde" w:eastAsia="Times New Roman" w:hAnsi="ITC Avant Garde"/>
                <w:b/>
                <w:bCs/>
                <w:color w:val="000000"/>
                <w:sz w:val="20"/>
                <w:szCs w:val="20"/>
                <w:lang w:eastAsia="es-MX"/>
              </w:rPr>
              <w:t xml:space="preserve">¿Por qué? </w:t>
            </w:r>
            <w:r w:rsidRPr="0043365D">
              <w:rPr>
                <w:rFonts w:ascii="ITC Avant Garde" w:eastAsia="Times New Roman" w:hAnsi="ITC Avant Garde"/>
                <w:b/>
                <w:bCs/>
                <w:color w:val="000000"/>
                <w:sz w:val="20"/>
                <w:szCs w:val="20"/>
                <w:lang w:eastAsia="es-MX"/>
              </w:rPr>
              <w:t>¿Estaría considerando emplear algún SMR? ¿Cuál?</w:t>
            </w:r>
          </w:p>
        </w:tc>
        <w:tc>
          <w:tcPr>
            <w:tcW w:w="6389" w:type="dxa"/>
            <w:shd w:val="clear" w:color="auto" w:fill="auto"/>
            <w:vAlign w:val="center"/>
          </w:tcPr>
          <w:p w14:paraId="19821A96" w14:textId="77777777" w:rsidR="00380392" w:rsidRDefault="00380392" w:rsidP="00EC277F">
            <w:pPr>
              <w:spacing w:after="0" w:line="276" w:lineRule="auto"/>
              <w:rPr>
                <w:rFonts w:ascii="ITC Avant Garde" w:eastAsia="Times New Roman" w:hAnsi="ITC Avant Garde"/>
                <w:color w:val="000000"/>
                <w:sz w:val="20"/>
                <w:szCs w:val="20"/>
                <w:lang w:eastAsia="es-MX"/>
              </w:rPr>
            </w:pPr>
          </w:p>
          <w:p w14:paraId="2A50DF86" w14:textId="346ECB82" w:rsidR="00EC277F" w:rsidRDefault="00EC277F" w:rsidP="00EC277F">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6D415DCD" w14:textId="77777777" w:rsidR="00474104" w:rsidRPr="003F04F2" w:rsidRDefault="00474104" w:rsidP="008734F1">
            <w:pPr>
              <w:spacing w:after="0" w:line="276" w:lineRule="auto"/>
              <w:rPr>
                <w:rFonts w:ascii="ITC Avant Garde" w:eastAsia="Times New Roman" w:hAnsi="ITC Avant Garde"/>
                <w:i/>
                <w:color w:val="A6A6A6"/>
                <w:sz w:val="18"/>
                <w:szCs w:val="20"/>
                <w:lang w:eastAsia="es-MX"/>
              </w:rPr>
            </w:pPr>
          </w:p>
        </w:tc>
      </w:tr>
      <w:tr w:rsidR="00474104" w:rsidRPr="00F36A5D" w14:paraId="01BDA842" w14:textId="77777777" w:rsidTr="008734F1">
        <w:trPr>
          <w:trHeight w:val="290"/>
        </w:trPr>
        <w:tc>
          <w:tcPr>
            <w:tcW w:w="8652" w:type="dxa"/>
            <w:gridSpan w:val="2"/>
            <w:shd w:val="clear" w:color="auto" w:fill="auto"/>
            <w:vAlign w:val="center"/>
          </w:tcPr>
          <w:p w14:paraId="67CEC08C" w14:textId="4C11B80F" w:rsidR="00474104" w:rsidRPr="00775562" w:rsidRDefault="00474104" w:rsidP="008734F1">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Pr="00775562">
              <w:rPr>
                <w:rFonts w:ascii="ITC Avant Garde" w:eastAsia="Times New Roman" w:hAnsi="ITC Avant Garde"/>
                <w:b/>
                <w:color w:val="000000"/>
                <w:sz w:val="20"/>
                <w:szCs w:val="20"/>
                <w:lang w:eastAsia="es-MX"/>
              </w:rPr>
              <w:t xml:space="preserve">. </w:t>
            </w:r>
            <w:r w:rsidR="00AB454C">
              <w:t xml:space="preserve"> </w:t>
            </w:r>
            <w:r w:rsidR="00AB454C" w:rsidRPr="00AB454C">
              <w:rPr>
                <w:rFonts w:ascii="ITC Avant Garde" w:eastAsia="Times New Roman" w:hAnsi="ITC Avant Garde"/>
                <w:b/>
                <w:color w:val="000000"/>
                <w:sz w:val="20"/>
                <w:szCs w:val="20"/>
                <w:lang w:eastAsia="es-MX"/>
              </w:rPr>
              <w:t>En caso de ser un operador que ya emplea los SMR, ¿En cuál de las diferentes etapas para la contratación de los servicios/provisión de los servicios/gestión de fallas/</w:t>
            </w:r>
            <w:proofErr w:type="spellStart"/>
            <w:r w:rsidR="00AB454C" w:rsidRPr="00AB454C">
              <w:rPr>
                <w:rFonts w:ascii="ITC Avant Garde" w:eastAsia="Times New Roman" w:hAnsi="ITC Avant Garde"/>
                <w:b/>
                <w:color w:val="000000"/>
                <w:sz w:val="20"/>
                <w:szCs w:val="20"/>
                <w:lang w:eastAsia="es-MX"/>
              </w:rPr>
              <w:t>QoS</w:t>
            </w:r>
            <w:proofErr w:type="spellEnd"/>
            <w:r w:rsidR="00AB454C" w:rsidRPr="00AB454C">
              <w:rPr>
                <w:rFonts w:ascii="ITC Avant Garde" w:eastAsia="Times New Roman" w:hAnsi="ITC Avant Garde"/>
                <w:b/>
                <w:color w:val="000000"/>
                <w:sz w:val="20"/>
                <w:szCs w:val="20"/>
                <w:lang w:eastAsia="es-MX"/>
              </w:rPr>
              <w:t xml:space="preserve"> ha presentado inconvenientes o problemas? ¿Cuáles han sido estos problemas? ¿Considera que alguna de las alternativas de ICD captura estos problemas? (Responder por cada SMR que utilice)</w:t>
            </w:r>
          </w:p>
        </w:tc>
      </w:tr>
      <w:tr w:rsidR="007A1E11" w:rsidRPr="00F36A5D" w14:paraId="4B63D705" w14:textId="77777777" w:rsidTr="006D588E">
        <w:trPr>
          <w:trHeight w:val="290"/>
        </w:trPr>
        <w:tc>
          <w:tcPr>
            <w:tcW w:w="8652" w:type="dxa"/>
            <w:gridSpan w:val="2"/>
            <w:shd w:val="clear" w:color="auto" w:fill="auto"/>
            <w:vAlign w:val="center"/>
          </w:tcPr>
          <w:p w14:paraId="2D63D7B6" w14:textId="77777777" w:rsidR="00380392" w:rsidRDefault="00380392" w:rsidP="008734F1">
            <w:pPr>
              <w:spacing w:after="0" w:line="276" w:lineRule="auto"/>
              <w:rPr>
                <w:rFonts w:ascii="ITC Avant Garde" w:eastAsia="Times New Roman" w:hAnsi="ITC Avant Garde"/>
                <w:color w:val="000000"/>
                <w:sz w:val="20"/>
                <w:szCs w:val="20"/>
                <w:lang w:eastAsia="es-MX"/>
              </w:rPr>
            </w:pPr>
          </w:p>
          <w:p w14:paraId="0EBB4041" w14:textId="2F42B699" w:rsidR="007A1E11" w:rsidRDefault="007A1E11" w:rsidP="008734F1">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08CD69E3" w14:textId="77777777" w:rsidR="007A1E11" w:rsidRPr="00775562" w:rsidRDefault="007A1E11" w:rsidP="008734F1">
            <w:pPr>
              <w:spacing w:after="0" w:line="276" w:lineRule="auto"/>
              <w:rPr>
                <w:rFonts w:ascii="ITC Avant Garde" w:eastAsia="Times New Roman" w:hAnsi="ITC Avant Garde"/>
                <w:b/>
                <w:color w:val="000000"/>
                <w:sz w:val="20"/>
                <w:szCs w:val="20"/>
                <w:lang w:eastAsia="es-MX"/>
              </w:rPr>
            </w:pPr>
          </w:p>
        </w:tc>
      </w:tr>
      <w:tr w:rsidR="00EC277F" w:rsidRPr="00F36A5D" w14:paraId="78328254" w14:textId="77777777" w:rsidTr="007E4C77">
        <w:trPr>
          <w:trHeight w:val="290"/>
        </w:trPr>
        <w:tc>
          <w:tcPr>
            <w:tcW w:w="8652" w:type="dxa"/>
            <w:gridSpan w:val="2"/>
            <w:shd w:val="clear" w:color="auto" w:fill="auto"/>
            <w:vAlign w:val="center"/>
          </w:tcPr>
          <w:p w14:paraId="7ADC804A" w14:textId="5ECEF003" w:rsidR="00EC277F" w:rsidRPr="003F04F2" w:rsidRDefault="00AB454C" w:rsidP="0043365D">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t>4</w:t>
            </w:r>
            <w:r w:rsidR="00EC277F" w:rsidRPr="00775562">
              <w:rPr>
                <w:rFonts w:ascii="ITC Avant Garde" w:eastAsia="Times New Roman" w:hAnsi="ITC Avant Garde"/>
                <w:b/>
                <w:color w:val="000000"/>
                <w:sz w:val="20"/>
                <w:szCs w:val="20"/>
                <w:lang w:eastAsia="es-MX"/>
              </w:rPr>
              <w:t xml:space="preserve">. </w:t>
            </w:r>
            <w:r w:rsidRPr="00AB454C">
              <w:rPr>
                <w:rFonts w:ascii="ITC Avant Garde" w:eastAsia="Times New Roman" w:hAnsi="ITC Avant Garde"/>
                <w:b/>
                <w:color w:val="000000"/>
                <w:sz w:val="20"/>
                <w:szCs w:val="20"/>
                <w:lang w:eastAsia="es-MX"/>
              </w:rPr>
              <w:t>En caso de ser un operador que ya emplea los SMR, ¿Ha advertido alguna situación que afecte la equivalencia de insumos en la provisión de los SMR que pueda o deba ser capturada por un ICD? ¿Qué situación</w:t>
            </w:r>
            <w:r w:rsidR="00EC277F" w:rsidRPr="00EC277F">
              <w:rPr>
                <w:rFonts w:ascii="ITC Avant Garde" w:eastAsia="Times New Roman" w:hAnsi="ITC Avant Garde"/>
                <w:b/>
                <w:color w:val="000000"/>
                <w:sz w:val="20"/>
                <w:szCs w:val="20"/>
                <w:lang w:eastAsia="es-MX"/>
              </w:rPr>
              <w:t>?</w:t>
            </w:r>
          </w:p>
        </w:tc>
      </w:tr>
      <w:tr w:rsidR="007A1E11" w:rsidRPr="00F36A5D" w14:paraId="7D729BC1" w14:textId="77777777" w:rsidTr="000A2DBC">
        <w:trPr>
          <w:trHeight w:val="290"/>
        </w:trPr>
        <w:tc>
          <w:tcPr>
            <w:tcW w:w="8652" w:type="dxa"/>
            <w:gridSpan w:val="2"/>
            <w:shd w:val="clear" w:color="auto" w:fill="auto"/>
            <w:vAlign w:val="center"/>
          </w:tcPr>
          <w:p w14:paraId="2CE2B8AE" w14:textId="77777777" w:rsidR="00380392" w:rsidRDefault="00380392" w:rsidP="00EC277F">
            <w:pPr>
              <w:spacing w:after="0" w:line="276" w:lineRule="auto"/>
              <w:rPr>
                <w:rFonts w:ascii="ITC Avant Garde" w:eastAsia="Times New Roman" w:hAnsi="ITC Avant Garde"/>
                <w:color w:val="000000"/>
                <w:sz w:val="20"/>
                <w:szCs w:val="20"/>
                <w:lang w:eastAsia="es-MX"/>
              </w:rPr>
            </w:pPr>
          </w:p>
          <w:p w14:paraId="32F03B2B" w14:textId="6A572992" w:rsidR="007A1E11" w:rsidRDefault="007A1E11" w:rsidP="00EC277F">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5B0582AA" w14:textId="77777777" w:rsidR="007A1E11" w:rsidRPr="003805B5" w:rsidRDefault="007A1E11" w:rsidP="00EC277F">
            <w:pPr>
              <w:spacing w:after="0" w:line="276" w:lineRule="auto"/>
              <w:jc w:val="center"/>
              <w:rPr>
                <w:rFonts w:ascii="ITC Avant Garde" w:eastAsia="Times New Roman" w:hAnsi="ITC Avant Garde"/>
                <w:color w:val="7F7F7F"/>
                <w:sz w:val="20"/>
                <w:szCs w:val="20"/>
                <w:lang w:eastAsia="es-MX"/>
              </w:rPr>
            </w:pPr>
          </w:p>
        </w:tc>
      </w:tr>
      <w:tr w:rsidR="00EC277F" w:rsidRPr="00F36A5D" w14:paraId="1B8A5079" w14:textId="77777777" w:rsidTr="002F01CA">
        <w:trPr>
          <w:trHeight w:val="290"/>
        </w:trPr>
        <w:tc>
          <w:tcPr>
            <w:tcW w:w="8652" w:type="dxa"/>
            <w:gridSpan w:val="2"/>
            <w:shd w:val="clear" w:color="auto" w:fill="auto"/>
            <w:vAlign w:val="center"/>
          </w:tcPr>
          <w:p w14:paraId="5B74666D" w14:textId="0915910A" w:rsidR="00EC277F" w:rsidRPr="0043365D" w:rsidRDefault="00AB454C" w:rsidP="0043365D">
            <w:pPr>
              <w:spacing w:after="0" w:line="276" w:lineRule="auto"/>
              <w:jc w:val="both"/>
              <w:rPr>
                <w:rFonts w:ascii="ITC Avant Garde" w:eastAsia="Times New Roman" w:hAnsi="ITC Avant Garde"/>
                <w:b/>
                <w:bCs/>
                <w:color w:val="7F7F7F"/>
                <w:sz w:val="20"/>
                <w:szCs w:val="20"/>
                <w:lang w:eastAsia="es-MX"/>
              </w:rPr>
            </w:pPr>
            <w:r w:rsidRPr="00A00824">
              <w:rPr>
                <w:rFonts w:ascii="ITC Avant Garde" w:eastAsia="Times New Roman" w:hAnsi="ITC Avant Garde"/>
                <w:b/>
                <w:bCs/>
                <w:sz w:val="20"/>
                <w:szCs w:val="20"/>
                <w:lang w:eastAsia="es-MX"/>
              </w:rPr>
              <w:t>5</w:t>
            </w:r>
            <w:r w:rsidR="00EC277F" w:rsidRPr="00A00824">
              <w:rPr>
                <w:rFonts w:ascii="ITC Avant Garde" w:eastAsia="Times New Roman" w:hAnsi="ITC Avant Garde"/>
                <w:b/>
                <w:bCs/>
                <w:sz w:val="20"/>
                <w:szCs w:val="20"/>
                <w:lang w:eastAsia="es-MX"/>
              </w:rPr>
              <w:t xml:space="preserve">. En caso de contar con una propuesta específica sobre algún </w:t>
            </w:r>
            <w:r w:rsidR="00AE3C2C">
              <w:rPr>
                <w:rFonts w:ascii="ITC Avant Garde" w:eastAsia="Times New Roman" w:hAnsi="ITC Avant Garde"/>
                <w:b/>
                <w:bCs/>
                <w:sz w:val="20"/>
                <w:szCs w:val="20"/>
                <w:lang w:eastAsia="es-MX"/>
              </w:rPr>
              <w:t>ICD</w:t>
            </w:r>
            <w:r w:rsidR="00AE3C2C" w:rsidRPr="00A00824">
              <w:rPr>
                <w:rFonts w:ascii="ITC Avant Garde" w:eastAsia="Times New Roman" w:hAnsi="ITC Avant Garde"/>
                <w:b/>
                <w:bCs/>
                <w:sz w:val="20"/>
                <w:szCs w:val="20"/>
                <w:lang w:eastAsia="es-MX"/>
              </w:rPr>
              <w:t xml:space="preserve"> </w:t>
            </w:r>
            <w:r w:rsidR="00EC277F" w:rsidRPr="00A00824">
              <w:rPr>
                <w:rFonts w:ascii="ITC Avant Garde" w:eastAsia="Times New Roman" w:hAnsi="ITC Avant Garde"/>
                <w:b/>
                <w:bCs/>
                <w:sz w:val="20"/>
                <w:szCs w:val="20"/>
                <w:lang w:eastAsia="es-MX"/>
              </w:rPr>
              <w:t>de SMR, deberá incluirla, así como agregar la justificación y/o información de soporte que considere relevante.</w:t>
            </w:r>
          </w:p>
        </w:tc>
      </w:tr>
      <w:tr w:rsidR="007A1E11" w:rsidRPr="00F36A5D" w14:paraId="691137AB" w14:textId="77777777" w:rsidTr="00054D38">
        <w:trPr>
          <w:trHeight w:val="290"/>
        </w:trPr>
        <w:tc>
          <w:tcPr>
            <w:tcW w:w="8652" w:type="dxa"/>
            <w:gridSpan w:val="2"/>
            <w:shd w:val="clear" w:color="auto" w:fill="auto"/>
            <w:vAlign w:val="center"/>
          </w:tcPr>
          <w:p w14:paraId="26B71B58" w14:textId="77777777" w:rsidR="00380392" w:rsidRDefault="00380392" w:rsidP="00EC277F">
            <w:pPr>
              <w:spacing w:after="0" w:line="276" w:lineRule="auto"/>
              <w:rPr>
                <w:rFonts w:ascii="ITC Avant Garde" w:eastAsia="Times New Roman" w:hAnsi="ITC Avant Garde"/>
                <w:color w:val="000000"/>
                <w:sz w:val="20"/>
                <w:szCs w:val="20"/>
                <w:lang w:eastAsia="es-MX"/>
              </w:rPr>
            </w:pPr>
          </w:p>
          <w:p w14:paraId="15E7B4A2" w14:textId="10D3C19B" w:rsidR="007A1E11" w:rsidRDefault="007A1E11" w:rsidP="00EC277F">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347E3703" w14:textId="77777777" w:rsidR="007A1E11" w:rsidRPr="003805B5" w:rsidRDefault="007A1E11" w:rsidP="00EC277F">
            <w:pPr>
              <w:spacing w:after="0" w:line="276" w:lineRule="auto"/>
              <w:jc w:val="center"/>
              <w:rPr>
                <w:rFonts w:ascii="ITC Avant Garde" w:eastAsia="Times New Roman" w:hAnsi="ITC Avant Garde"/>
                <w:color w:val="7F7F7F"/>
                <w:sz w:val="20"/>
                <w:szCs w:val="20"/>
                <w:lang w:eastAsia="es-MX"/>
              </w:rPr>
            </w:pPr>
          </w:p>
        </w:tc>
      </w:tr>
      <w:tr w:rsidR="00474104" w:rsidRPr="00F36A5D" w14:paraId="6457973F" w14:textId="77777777" w:rsidTr="008734F1">
        <w:trPr>
          <w:trHeight w:val="130"/>
        </w:trPr>
        <w:tc>
          <w:tcPr>
            <w:tcW w:w="8652" w:type="dxa"/>
            <w:gridSpan w:val="2"/>
            <w:shd w:val="clear" w:color="auto" w:fill="C5E0B3"/>
            <w:vAlign w:val="center"/>
          </w:tcPr>
          <w:p w14:paraId="44BEBCA3" w14:textId="77777777" w:rsidR="00474104" w:rsidRPr="00F36A5D" w:rsidRDefault="00474104" w:rsidP="008734F1">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9649D39" w14:textId="60406F6D" w:rsidR="00474104" w:rsidRDefault="00474104" w:rsidP="00AB2D19">
      <w:pPr>
        <w:spacing w:after="0"/>
        <w:jc w:val="both"/>
        <w:rPr>
          <w:rFonts w:ascii="ITC Avant Garde" w:hAnsi="ITC Avant Garde"/>
          <w:sz w:val="16"/>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57CAA" w:rsidRPr="00670385" w14:paraId="02DD1D7A" w14:textId="77777777" w:rsidTr="0043365D">
        <w:tc>
          <w:tcPr>
            <w:tcW w:w="8647" w:type="dxa"/>
            <w:shd w:val="clear" w:color="auto" w:fill="D9D9D9"/>
          </w:tcPr>
          <w:p w14:paraId="409A8495" w14:textId="77777777" w:rsidR="00357CAA" w:rsidRPr="00357CAA" w:rsidRDefault="00357CAA" w:rsidP="0043365D">
            <w:pPr>
              <w:pStyle w:val="Ttulo2"/>
              <w:ind w:left="744"/>
            </w:pPr>
            <w:r w:rsidRPr="00357CAA">
              <w:t>Comentarios, opiniones y aportaciones generales de la persona participante sobre el asunto en consulta pública</w:t>
            </w:r>
          </w:p>
        </w:tc>
      </w:tr>
      <w:tr w:rsidR="00357CAA" w:rsidRPr="00670385" w14:paraId="008409EA" w14:textId="77777777" w:rsidTr="0043365D">
        <w:tc>
          <w:tcPr>
            <w:tcW w:w="8647" w:type="dxa"/>
            <w:shd w:val="clear" w:color="auto" w:fill="auto"/>
          </w:tcPr>
          <w:p w14:paraId="77C08086" w14:textId="77777777" w:rsidR="00357CAA" w:rsidRPr="00670385" w:rsidRDefault="00357CAA" w:rsidP="008734F1">
            <w:pPr>
              <w:spacing w:after="0"/>
              <w:jc w:val="both"/>
              <w:rPr>
                <w:rFonts w:ascii="ITC Avant Garde" w:hAnsi="ITC Avant Garde"/>
                <w:sz w:val="12"/>
              </w:rPr>
            </w:pPr>
          </w:p>
          <w:p w14:paraId="2F0F7F28" w14:textId="77777777" w:rsidR="00357CAA" w:rsidRPr="00670385" w:rsidRDefault="00357CAA" w:rsidP="008734F1">
            <w:pPr>
              <w:spacing w:after="0"/>
              <w:jc w:val="both"/>
              <w:rPr>
                <w:rFonts w:ascii="ITC Avant Garde" w:hAnsi="ITC Avant Garde"/>
                <w:sz w:val="12"/>
              </w:rPr>
            </w:pPr>
          </w:p>
          <w:p w14:paraId="008DF049" w14:textId="5181B83F" w:rsidR="00357CAA" w:rsidRDefault="00357CAA" w:rsidP="008734F1">
            <w:pPr>
              <w:spacing w:after="0"/>
              <w:jc w:val="both"/>
              <w:rPr>
                <w:rFonts w:ascii="ITC Avant Garde" w:hAnsi="ITC Avant Garde"/>
                <w:sz w:val="12"/>
              </w:rPr>
            </w:pPr>
          </w:p>
          <w:p w14:paraId="78861F6D" w14:textId="4C7090EF" w:rsidR="00380392" w:rsidRDefault="00380392" w:rsidP="008734F1">
            <w:pPr>
              <w:spacing w:after="0"/>
              <w:jc w:val="both"/>
              <w:rPr>
                <w:rFonts w:ascii="ITC Avant Garde" w:hAnsi="ITC Avant Garde"/>
                <w:sz w:val="12"/>
              </w:rPr>
            </w:pPr>
          </w:p>
          <w:p w14:paraId="1574EFE0" w14:textId="4223300E" w:rsidR="00380392" w:rsidRDefault="00380392" w:rsidP="008734F1">
            <w:pPr>
              <w:spacing w:after="0"/>
              <w:jc w:val="both"/>
              <w:rPr>
                <w:rFonts w:ascii="ITC Avant Garde" w:hAnsi="ITC Avant Garde"/>
                <w:sz w:val="12"/>
              </w:rPr>
            </w:pPr>
          </w:p>
          <w:p w14:paraId="5AF74E18" w14:textId="5C7BD3B8" w:rsidR="00380392" w:rsidRDefault="00380392" w:rsidP="008734F1">
            <w:pPr>
              <w:spacing w:after="0"/>
              <w:jc w:val="both"/>
              <w:rPr>
                <w:rFonts w:ascii="ITC Avant Garde" w:hAnsi="ITC Avant Garde"/>
                <w:sz w:val="12"/>
              </w:rPr>
            </w:pPr>
          </w:p>
          <w:p w14:paraId="1576345B" w14:textId="72C339DB" w:rsidR="00380392" w:rsidRDefault="00380392" w:rsidP="008734F1">
            <w:pPr>
              <w:spacing w:after="0"/>
              <w:jc w:val="both"/>
              <w:rPr>
                <w:rFonts w:ascii="ITC Avant Garde" w:hAnsi="ITC Avant Garde"/>
                <w:sz w:val="12"/>
              </w:rPr>
            </w:pPr>
          </w:p>
          <w:p w14:paraId="468F8C9B" w14:textId="0C11EE81" w:rsidR="00380392" w:rsidRDefault="00380392" w:rsidP="008734F1">
            <w:pPr>
              <w:spacing w:after="0"/>
              <w:jc w:val="both"/>
              <w:rPr>
                <w:rFonts w:ascii="ITC Avant Garde" w:hAnsi="ITC Avant Garde"/>
                <w:sz w:val="12"/>
              </w:rPr>
            </w:pPr>
          </w:p>
          <w:p w14:paraId="26F77653" w14:textId="7E830F1D" w:rsidR="00380392" w:rsidRDefault="00380392" w:rsidP="008734F1">
            <w:pPr>
              <w:spacing w:after="0"/>
              <w:jc w:val="both"/>
              <w:rPr>
                <w:rFonts w:ascii="ITC Avant Garde" w:hAnsi="ITC Avant Garde"/>
                <w:sz w:val="12"/>
              </w:rPr>
            </w:pPr>
          </w:p>
          <w:p w14:paraId="04E7B7E3" w14:textId="77777777" w:rsidR="00380392" w:rsidRPr="00670385" w:rsidRDefault="00380392" w:rsidP="008734F1">
            <w:pPr>
              <w:spacing w:after="0"/>
              <w:jc w:val="both"/>
              <w:rPr>
                <w:rFonts w:ascii="ITC Avant Garde" w:hAnsi="ITC Avant Garde"/>
                <w:sz w:val="12"/>
              </w:rPr>
            </w:pPr>
          </w:p>
          <w:p w14:paraId="6047D052" w14:textId="77777777" w:rsidR="00357CAA" w:rsidRPr="00670385" w:rsidRDefault="00357CAA" w:rsidP="008734F1">
            <w:pPr>
              <w:spacing w:after="0"/>
              <w:jc w:val="both"/>
              <w:rPr>
                <w:rFonts w:ascii="ITC Avant Garde" w:hAnsi="ITC Avant Garde"/>
                <w:sz w:val="12"/>
              </w:rPr>
            </w:pPr>
          </w:p>
          <w:p w14:paraId="3E0FD5A6" w14:textId="77777777" w:rsidR="00357CAA" w:rsidRPr="00670385" w:rsidRDefault="00357CAA" w:rsidP="008734F1">
            <w:pPr>
              <w:spacing w:after="0"/>
              <w:jc w:val="both"/>
              <w:rPr>
                <w:rFonts w:ascii="ITC Avant Garde" w:hAnsi="ITC Avant Garde"/>
                <w:sz w:val="12"/>
              </w:rPr>
            </w:pPr>
          </w:p>
        </w:tc>
      </w:tr>
      <w:tr w:rsidR="00357CAA" w:rsidRPr="00670385" w14:paraId="2BF00B13" w14:textId="77777777" w:rsidTr="0043365D">
        <w:tc>
          <w:tcPr>
            <w:tcW w:w="8647" w:type="dxa"/>
            <w:shd w:val="clear" w:color="auto" w:fill="C5E0B3"/>
          </w:tcPr>
          <w:p w14:paraId="647D09DB" w14:textId="77777777" w:rsidR="00357CAA" w:rsidRPr="00670385" w:rsidRDefault="00357CAA" w:rsidP="008734F1">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2FF8B94" w14:textId="77777777" w:rsidR="00357CAA" w:rsidRPr="00F36A5D" w:rsidRDefault="00357CAA" w:rsidP="00AB2D19">
      <w:pPr>
        <w:spacing w:after="0"/>
        <w:jc w:val="both"/>
        <w:rPr>
          <w:rFonts w:ascii="ITC Avant Garde" w:hAnsi="ITC Avant Garde"/>
          <w:sz w:val="16"/>
        </w:rPr>
      </w:pPr>
    </w:p>
    <w:sectPr w:rsidR="00357CA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076F" w14:textId="77777777" w:rsidR="009346DD" w:rsidRDefault="009346DD" w:rsidP="0038199D">
      <w:pPr>
        <w:spacing w:after="0" w:line="240" w:lineRule="auto"/>
      </w:pPr>
      <w:r>
        <w:separator/>
      </w:r>
    </w:p>
  </w:endnote>
  <w:endnote w:type="continuationSeparator" w:id="0">
    <w:p w14:paraId="427AF69E" w14:textId="77777777" w:rsidR="009346DD" w:rsidRDefault="009346DD" w:rsidP="0038199D">
      <w:pPr>
        <w:spacing w:after="0" w:line="240" w:lineRule="auto"/>
      </w:pPr>
      <w:r>
        <w:continuationSeparator/>
      </w:r>
    </w:p>
  </w:endnote>
  <w:endnote w:type="continuationNotice" w:id="1">
    <w:p w14:paraId="66381638" w14:textId="77777777" w:rsidR="009346DD" w:rsidRDefault="0093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AC7D" w14:textId="1B859ADC" w:rsidR="00271E75" w:rsidRPr="00DF5B3F" w:rsidRDefault="00271E75">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6C8E0542"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FD7A" w14:textId="77777777" w:rsidR="009346DD" w:rsidRDefault="009346DD" w:rsidP="0038199D">
      <w:pPr>
        <w:spacing w:after="0" w:line="240" w:lineRule="auto"/>
      </w:pPr>
      <w:r>
        <w:separator/>
      </w:r>
    </w:p>
  </w:footnote>
  <w:footnote w:type="continuationSeparator" w:id="0">
    <w:p w14:paraId="49B67844" w14:textId="77777777" w:rsidR="009346DD" w:rsidRDefault="009346DD" w:rsidP="0038199D">
      <w:pPr>
        <w:spacing w:after="0" w:line="240" w:lineRule="auto"/>
      </w:pPr>
      <w:r>
        <w:continuationSeparator/>
      </w:r>
    </w:p>
  </w:footnote>
  <w:footnote w:type="continuationNotice" w:id="1">
    <w:p w14:paraId="7D3FFB82" w14:textId="77777777" w:rsidR="009346DD" w:rsidRDefault="009346DD">
      <w:pPr>
        <w:spacing w:after="0" w:line="240" w:lineRule="auto"/>
      </w:pPr>
    </w:p>
  </w:footnote>
  <w:footnote w:id="2">
    <w:p w14:paraId="4A404D85" w14:textId="77777777" w:rsidR="00271E75" w:rsidRPr="00B73420" w:rsidRDefault="00271E75" w:rsidP="00E17493">
      <w:pPr>
        <w:pStyle w:val="Textonotapie"/>
        <w:rPr>
          <w:rFonts w:ascii="ITC Avant Garde" w:hAnsi="ITC Avant Garde"/>
          <w:sz w:val="18"/>
          <w:szCs w:val="18"/>
        </w:rPr>
      </w:pPr>
      <w:r w:rsidRPr="00B73420">
        <w:rPr>
          <w:rStyle w:val="Refdenotaalpie"/>
          <w:rFonts w:ascii="ITC Avant Garde" w:hAnsi="ITC Avant Garde"/>
          <w:sz w:val="18"/>
          <w:szCs w:val="18"/>
        </w:rPr>
        <w:footnoteRef/>
      </w:r>
      <w:r w:rsidRPr="00B73420">
        <w:rPr>
          <w:rFonts w:ascii="ITC Avant Garde" w:hAnsi="ITC Avant Garde"/>
          <w:sz w:val="18"/>
          <w:szCs w:val="18"/>
        </w:rPr>
        <w:t xml:space="preserve"> Disponibles en el vínculo electrónico: </w:t>
      </w:r>
      <w:hyperlink r:id="rId1" w:history="1">
        <w:r w:rsidRPr="00B73420">
          <w:rPr>
            <w:rStyle w:val="Hipervnculo"/>
            <w:rFonts w:ascii="ITC Avant Garde" w:hAnsi="ITC Avant Garde"/>
            <w:sz w:val="18"/>
            <w:szCs w:val="18"/>
          </w:rPr>
          <w:t>http://dof.gob.mx/nota_detalle.php?codigo=5512847&amp;fecha=12/02/2018</w:t>
        </w:r>
      </w:hyperlink>
      <w:r w:rsidRPr="00B73420">
        <w:rPr>
          <w:rFonts w:ascii="ITC Avant Garde" w:hAnsi="ITC Avant Garde"/>
          <w:sz w:val="18"/>
          <w:szCs w:val="18"/>
        </w:rPr>
        <w:t xml:space="preserve"> </w:t>
      </w:r>
    </w:p>
  </w:footnote>
  <w:footnote w:id="3">
    <w:p w14:paraId="60E7BA42" w14:textId="77777777" w:rsidR="00271E75" w:rsidRPr="007473C3" w:rsidRDefault="00271E75" w:rsidP="00C32290">
      <w:pPr>
        <w:pStyle w:val="Textonotapie"/>
        <w:ind w:right="49"/>
        <w:rPr>
          <w:rFonts w:ascii="ITC Avant Garde" w:hAnsi="ITC Avant Garde" w:cstheme="minorHAnsi"/>
          <w:sz w:val="18"/>
          <w:szCs w:val="18"/>
        </w:rPr>
      </w:pPr>
      <w:r w:rsidRPr="007473C3">
        <w:rPr>
          <w:rStyle w:val="Refdenotaalpie"/>
          <w:rFonts w:ascii="ITC Avant Garde" w:hAnsi="ITC Avant Garde" w:cstheme="minorHAnsi"/>
          <w:sz w:val="18"/>
          <w:szCs w:val="18"/>
        </w:rPr>
        <w:footnoteRef/>
      </w:r>
      <w:r w:rsidRPr="007473C3">
        <w:rPr>
          <w:rFonts w:ascii="ITC Avant Garde" w:hAnsi="ITC Avant Garde" w:cstheme="minorHAnsi"/>
          <w:sz w:val="18"/>
          <w:szCs w:val="18"/>
        </w:rPr>
        <w:t>Acuerdo P/IFT/EXT/270217/119 disponible en:</w:t>
      </w:r>
    </w:p>
    <w:p w14:paraId="34E15DE7" w14:textId="77777777" w:rsidR="00271E75" w:rsidRPr="00171A28" w:rsidRDefault="009346DD" w:rsidP="00C32290">
      <w:pPr>
        <w:pStyle w:val="Textonotapie"/>
        <w:ind w:right="49"/>
        <w:rPr>
          <w:rFonts w:asciiTheme="minorHAnsi" w:hAnsiTheme="minorHAnsi" w:cstheme="minorHAnsi"/>
        </w:rPr>
      </w:pPr>
      <w:hyperlink r:id="rId2" w:history="1">
        <w:r w:rsidR="00271E75" w:rsidRPr="007473C3">
          <w:rPr>
            <w:rStyle w:val="Hipervnculo"/>
            <w:rFonts w:ascii="ITC Avant Garde" w:hAnsi="ITC Avant Garde" w:cstheme="minorHAnsi"/>
            <w:sz w:val="18"/>
            <w:szCs w:val="18"/>
          </w:rPr>
          <w:t>http://www.ift.org.mx/sites/default/files/conocenos/pleno/sesiones/acuerdoliga/pitfext270217119verpub_2.pdf</w:t>
        </w:r>
      </w:hyperlink>
    </w:p>
  </w:footnote>
  <w:footnote w:id="4">
    <w:p w14:paraId="44DC3E49" w14:textId="77777777" w:rsidR="00271E75" w:rsidRPr="00B73420" w:rsidRDefault="00271E75" w:rsidP="00C32290">
      <w:pPr>
        <w:pStyle w:val="Textonotapie"/>
        <w:ind w:right="49"/>
        <w:rPr>
          <w:rFonts w:ascii="ITC Avant Garde" w:hAnsi="ITC Avant Garde"/>
          <w:sz w:val="18"/>
          <w:szCs w:val="18"/>
        </w:rPr>
      </w:pPr>
      <w:r w:rsidRPr="007473C3">
        <w:rPr>
          <w:rStyle w:val="Refdenotaalpie"/>
          <w:rFonts w:ascii="ITC Avant Garde" w:hAnsi="ITC Avant Garde" w:cstheme="minorHAnsi"/>
          <w:sz w:val="18"/>
          <w:szCs w:val="18"/>
        </w:rPr>
        <w:footnoteRef/>
      </w:r>
      <w:r w:rsidRPr="00171A28">
        <w:rPr>
          <w:rFonts w:asciiTheme="minorHAnsi" w:hAnsiTheme="minorHAnsi" w:cstheme="minorHAnsi"/>
        </w:rPr>
        <w:t xml:space="preserve"> </w:t>
      </w:r>
      <w:r w:rsidRPr="007473C3">
        <w:rPr>
          <w:rFonts w:ascii="ITC Avant Garde" w:hAnsi="ITC Avant Garde" w:cstheme="minorHAnsi"/>
          <w:sz w:val="18"/>
          <w:szCs w:val="18"/>
        </w:rPr>
        <w:t>Acuerdo P/</w:t>
      </w:r>
      <w:r w:rsidRPr="00B73420">
        <w:rPr>
          <w:rFonts w:ascii="ITC Avant Garde" w:hAnsi="ITC Avant Garde" w:cstheme="minorHAnsi"/>
          <w:sz w:val="18"/>
          <w:szCs w:val="18"/>
        </w:rPr>
        <w:t>IFT/270218/130</w:t>
      </w:r>
      <w:r w:rsidRPr="00B73420">
        <w:rPr>
          <w:rFonts w:ascii="ITC Avant Garde" w:hAnsi="ITC Avant Garde"/>
          <w:sz w:val="18"/>
          <w:szCs w:val="18"/>
        </w:rPr>
        <w:t xml:space="preserve"> </w:t>
      </w:r>
    </w:p>
  </w:footnote>
  <w:footnote w:id="5">
    <w:p w14:paraId="5A54EAAD" w14:textId="77777777" w:rsidR="00271E75" w:rsidRPr="00B73420" w:rsidRDefault="00271E75" w:rsidP="007473C3">
      <w:pPr>
        <w:pStyle w:val="Textonotapie"/>
        <w:tabs>
          <w:tab w:val="left" w:pos="284"/>
        </w:tabs>
        <w:ind w:right="49"/>
        <w:rPr>
          <w:rFonts w:ascii="ITC Avant Garde" w:hAnsi="ITC Avant Garde" w:cstheme="minorHAnsi"/>
          <w:sz w:val="18"/>
          <w:szCs w:val="18"/>
        </w:rPr>
      </w:pPr>
      <w:r w:rsidRPr="00B73420">
        <w:rPr>
          <w:rStyle w:val="Refdenotaalpie"/>
          <w:rFonts w:ascii="ITC Avant Garde" w:hAnsi="ITC Avant Garde" w:cstheme="minorHAnsi"/>
          <w:sz w:val="18"/>
          <w:szCs w:val="18"/>
        </w:rPr>
        <w:footnoteRef/>
      </w:r>
      <w:r w:rsidRPr="00B73420">
        <w:rPr>
          <w:rFonts w:ascii="ITC Avant Garde" w:hAnsi="ITC Avant Garde" w:cstheme="minorHAnsi"/>
          <w:sz w:val="18"/>
          <w:szCs w:val="18"/>
        </w:rPr>
        <w:t xml:space="preserve"> Las Ofertas de Referencia vigentes para el 2021 se encuentran disponibles en: </w:t>
      </w:r>
    </w:p>
    <w:p w14:paraId="504E486A" w14:textId="45198B80" w:rsidR="00271E75" w:rsidRPr="00B73420" w:rsidRDefault="009346DD" w:rsidP="007473C3">
      <w:pPr>
        <w:pStyle w:val="Textonotapie"/>
        <w:tabs>
          <w:tab w:val="left" w:pos="284"/>
        </w:tabs>
        <w:ind w:right="49"/>
        <w:rPr>
          <w:rFonts w:ascii="ITC Avant Garde" w:hAnsi="ITC Avant Garde" w:cstheme="minorHAnsi"/>
          <w:sz w:val="18"/>
          <w:szCs w:val="18"/>
        </w:rPr>
      </w:pPr>
      <w:hyperlink r:id="rId3" w:history="1">
        <w:r w:rsidR="00271E75" w:rsidRPr="00B73420">
          <w:rPr>
            <w:rStyle w:val="Hipervnculo"/>
            <w:rFonts w:ascii="ITC Avant Garde" w:hAnsi="ITC Avant Garde"/>
            <w:sz w:val="18"/>
            <w:szCs w:val="18"/>
          </w:rPr>
          <w:t>http://www.ift.org.mx/politica-regulatoria/ofertas-de-referencia-2021</w:t>
        </w:r>
      </w:hyperlink>
    </w:p>
  </w:footnote>
  <w:footnote w:id="6">
    <w:p w14:paraId="57394D48" w14:textId="374902EB" w:rsidR="006A2672" w:rsidRPr="006A2672" w:rsidRDefault="006A2672" w:rsidP="008219F6">
      <w:pPr>
        <w:pStyle w:val="Textonotapie"/>
        <w:ind w:right="49"/>
      </w:pPr>
      <w:r w:rsidRPr="00B73420">
        <w:rPr>
          <w:rStyle w:val="Refdenotaalpie"/>
          <w:rFonts w:ascii="ITC Avant Garde" w:hAnsi="ITC Avant Garde" w:cstheme="minorHAnsi"/>
          <w:sz w:val="18"/>
          <w:szCs w:val="18"/>
        </w:rPr>
        <w:footnoteRef/>
      </w:r>
      <w:r w:rsidRPr="00B73420">
        <w:rPr>
          <w:rStyle w:val="Refdenotaalpie"/>
          <w:rFonts w:ascii="ITC Avant Garde" w:hAnsi="ITC Avant Garde" w:cstheme="minorHAnsi"/>
          <w:sz w:val="18"/>
          <w:szCs w:val="18"/>
          <w:vertAlign w:val="baseline"/>
        </w:rPr>
        <w:t xml:space="preserve"> Acuerdo P/IFT/021220/488</w:t>
      </w:r>
      <w:r w:rsidR="00623F6F" w:rsidRPr="00B73420">
        <w:rPr>
          <w:rStyle w:val="Refdenotaalpie"/>
          <w:rFonts w:ascii="ITC Avant Garde" w:hAnsi="ITC Avant Garde" w:cstheme="minorHAnsi"/>
          <w:sz w:val="18"/>
          <w:szCs w:val="18"/>
          <w:vertAlign w:val="baseline"/>
        </w:rPr>
        <w:t>,</w:t>
      </w:r>
      <w:r w:rsidRPr="00B73420">
        <w:rPr>
          <w:rFonts w:ascii="ITC Avant Garde" w:hAnsi="ITC Avant Garde" w:cstheme="minorHAnsi"/>
          <w:sz w:val="18"/>
          <w:szCs w:val="18"/>
        </w:rPr>
        <w:t xml:space="preserve"> de fecha 2 de diciembre de 2020</w:t>
      </w:r>
      <w:r w:rsidR="00AC59FE" w:rsidRPr="00B73420">
        <w:rPr>
          <w:rFonts w:ascii="ITC Avant Garde" w:hAnsi="ITC Avant Garde" w:cstheme="minorHAnsi"/>
          <w:sz w:val="18"/>
          <w:szCs w:val="18"/>
        </w:rPr>
        <w:t>,</w:t>
      </w:r>
      <w:r w:rsidRPr="00B73420">
        <w:rPr>
          <w:rFonts w:ascii="ITC Avant Garde" w:hAnsi="ITC Avant Garde" w:cstheme="minorHAnsi"/>
          <w:sz w:val="18"/>
          <w:szCs w:val="18"/>
        </w:rPr>
        <w:t xml:space="preserve"> mediante</w:t>
      </w:r>
      <w:r w:rsidRPr="006A2672">
        <w:rPr>
          <w:rFonts w:ascii="ITC Avant Garde" w:hAnsi="ITC Avant Garde" w:cstheme="minorHAnsi"/>
          <w:sz w:val="18"/>
          <w:szCs w:val="18"/>
        </w:rPr>
        <w:t xml:space="preserve"> </w:t>
      </w:r>
      <w:r w:rsidR="00623F6F">
        <w:rPr>
          <w:rFonts w:ascii="ITC Avant Garde" w:hAnsi="ITC Avant Garde" w:cstheme="minorHAnsi"/>
          <w:sz w:val="18"/>
          <w:szCs w:val="18"/>
        </w:rPr>
        <w:t>el</w:t>
      </w:r>
      <w:r w:rsidRPr="006A2672">
        <w:rPr>
          <w:rFonts w:ascii="ITC Avant Garde" w:hAnsi="ITC Avant Garde" w:cstheme="minorHAnsi"/>
          <w:sz w:val="18"/>
          <w:szCs w:val="18"/>
        </w:rPr>
        <w:t xml:space="preserve"> cual el Pleno del Instituto Federal de Telecomunicaciones suprime, modifica y adiciona las medidas impuestas al agente económico preponderante</w:t>
      </w:r>
      <w:r w:rsidR="00623F6F">
        <w:rPr>
          <w:rFonts w:ascii="ITC Avant Garde" w:hAnsi="ITC Avant Garde" w:cstheme="minorHAnsi"/>
          <w:sz w:val="18"/>
          <w:szCs w:val="18"/>
        </w:rPr>
        <w:t xml:space="preserve"> en el sector de telecomunicaciones</w:t>
      </w:r>
      <w:r w:rsidR="00AC59FE">
        <w:rPr>
          <w:rFonts w:ascii="ITC Avant Garde" w:hAnsi="ITC Avant Garde" w:cstheme="minorHAnsi"/>
          <w:sz w:val="18"/>
          <w:szCs w:val="18"/>
        </w:rPr>
        <w:t>.</w:t>
      </w:r>
    </w:p>
  </w:footnote>
  <w:footnote w:id="7">
    <w:p w14:paraId="3E3C74BA" w14:textId="25310DCF" w:rsidR="009555A5" w:rsidRPr="007473C3" w:rsidRDefault="009555A5" w:rsidP="009555A5">
      <w:pPr>
        <w:pStyle w:val="Textocomentario"/>
        <w:rPr>
          <w:rFonts w:ascii="ITC Avant Garde" w:hAnsi="ITC Avant Garde"/>
          <w:sz w:val="18"/>
          <w:szCs w:val="18"/>
        </w:rPr>
      </w:pPr>
      <w:r w:rsidRPr="007473C3">
        <w:rPr>
          <w:rStyle w:val="Refdenotaalpie"/>
          <w:rFonts w:ascii="ITC Avant Garde" w:hAnsi="ITC Avant Garde"/>
          <w:sz w:val="18"/>
          <w:szCs w:val="18"/>
        </w:rPr>
        <w:footnoteRef/>
      </w:r>
      <w:r w:rsidRPr="007473C3">
        <w:rPr>
          <w:rFonts w:ascii="ITC Avant Garde" w:hAnsi="ITC Avant Garde"/>
          <w:sz w:val="18"/>
          <w:szCs w:val="18"/>
        </w:rPr>
        <w:t xml:space="preserve"> Calidad en la provisión de servicios </w:t>
      </w:r>
      <w:r w:rsidR="009C1B2E">
        <w:rPr>
          <w:rFonts w:ascii="ITC Avant Garde" w:hAnsi="ITC Avant Garde"/>
          <w:sz w:val="18"/>
          <w:szCs w:val="18"/>
        </w:rPr>
        <w:t xml:space="preserve">externos </w:t>
      </w:r>
      <w:r w:rsidRPr="007473C3">
        <w:rPr>
          <w:rFonts w:ascii="ITC Avant Garde" w:hAnsi="ITC Avant Garde"/>
          <w:sz w:val="18"/>
          <w:szCs w:val="18"/>
        </w:rPr>
        <w:t xml:space="preserve">comparada con la provisión de servicios </w:t>
      </w:r>
      <w:r w:rsidR="009C1B2E">
        <w:rPr>
          <w:rFonts w:ascii="ITC Avant Garde" w:hAnsi="ITC Avant Garde"/>
          <w:sz w:val="18"/>
          <w:szCs w:val="18"/>
        </w:rPr>
        <w:t>internos</w:t>
      </w:r>
      <w:r w:rsidRPr="007473C3">
        <w:rPr>
          <w:rFonts w:ascii="ITC Avant Garde" w:hAnsi="ITC Avant Garde"/>
          <w:sz w:val="18"/>
          <w:szCs w:val="18"/>
        </w:rPr>
        <w:t xml:space="preserve"> con independencia de los parámetros establecidos en las OR u otros instrumentos.</w:t>
      </w:r>
    </w:p>
    <w:p w14:paraId="74BCB4A1" w14:textId="3056DCE3" w:rsidR="009555A5" w:rsidRDefault="009555A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DD3A" w14:textId="77777777" w:rsidR="00271E75" w:rsidRPr="007A6974" w:rsidRDefault="00271E75"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D54A813" w14:textId="1A2EA28C" w:rsidR="00271E75" w:rsidRPr="00F36A5D" w:rsidRDefault="00271E75" w:rsidP="004D5EAB">
    <w:pPr>
      <w:pStyle w:val="Encabezado"/>
      <w:ind w:left="3119"/>
      <w:jc w:val="both"/>
      <w:rPr>
        <w:rFonts w:ascii="ITC Avant Garde" w:hAnsi="ITC Avant Garde"/>
        <w:b/>
        <w:sz w:val="20"/>
      </w:rPr>
    </w:pPr>
    <w:r>
      <w:rPr>
        <w:rFonts w:ascii="ITC Avant Garde" w:hAnsi="ITC Avant Garde"/>
        <w:b/>
        <w:sz w:val="20"/>
      </w:rPr>
      <w:t>Consulta p</w:t>
    </w:r>
    <w:r w:rsidRPr="00F36A5D">
      <w:rPr>
        <w:rFonts w:ascii="ITC Avant Garde" w:hAnsi="ITC Avant Garde"/>
        <w:b/>
        <w:sz w:val="20"/>
      </w:rPr>
      <w:t xml:space="preserve">ública </w:t>
    </w:r>
    <w:r w:rsidRPr="00271E75">
      <w:rPr>
        <w:rFonts w:ascii="ITC Avant Garde" w:hAnsi="ITC Avant Garde"/>
        <w:b/>
        <w:sz w:val="20"/>
      </w:rPr>
      <w:t>sobre la</w:t>
    </w:r>
    <w:r w:rsidR="00970730">
      <w:rPr>
        <w:rFonts w:ascii="ITC Avant Garde" w:hAnsi="ITC Avant Garde"/>
        <w:b/>
        <w:sz w:val="20"/>
      </w:rPr>
      <w:t>s</w:t>
    </w:r>
    <w:r w:rsidRPr="00271E75">
      <w:rPr>
        <w:rFonts w:ascii="ITC Avant Garde" w:hAnsi="ITC Avant Garde"/>
        <w:b/>
        <w:sz w:val="20"/>
      </w:rPr>
      <w:t xml:space="preserve"> </w:t>
    </w:r>
    <w:r w:rsidR="00595786">
      <w:rPr>
        <w:rFonts w:ascii="ITC Avant Garde" w:hAnsi="ITC Avant Garde"/>
        <w:b/>
        <w:sz w:val="20"/>
      </w:rPr>
      <w:t>a</w:t>
    </w:r>
    <w:r w:rsidR="00970730">
      <w:rPr>
        <w:rFonts w:ascii="ITC Avant Garde" w:hAnsi="ITC Avant Garde"/>
        <w:b/>
        <w:sz w:val="20"/>
      </w:rPr>
      <w:t xml:space="preserve">lternativas de </w:t>
    </w:r>
    <w:r w:rsidR="00595786">
      <w:rPr>
        <w:rFonts w:ascii="ITC Avant Garde" w:hAnsi="ITC Avant Garde"/>
        <w:b/>
        <w:sz w:val="20"/>
      </w:rPr>
      <w:t>a</w:t>
    </w:r>
    <w:r w:rsidRPr="00271E75">
      <w:rPr>
        <w:rFonts w:ascii="ITC Avant Garde" w:hAnsi="ITC Avant Garde"/>
        <w:b/>
        <w:sz w:val="20"/>
      </w:rPr>
      <w:t>ctualización de Indicadores Clave de Desempeñ</w:t>
    </w:r>
    <w:r w:rsidR="00970730">
      <w:rPr>
        <w:rFonts w:ascii="ITC Avant Garde" w:hAnsi="ITC Avant Garde"/>
        <w:b/>
        <w:sz w:val="20"/>
      </w:rPr>
      <w:t>o</w:t>
    </w:r>
  </w:p>
  <w:p w14:paraId="63C0CEF9" w14:textId="77777777" w:rsidR="00271E75" w:rsidRPr="007A6974" w:rsidRDefault="00271E7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7D10F5"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E3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EC66B30C"/>
    <w:lvl w:ilvl="0" w:tplc="7D361FB6">
      <w:start w:val="1"/>
      <w:numFmt w:val="upperRoman"/>
      <w:pStyle w:val="Ttulo2"/>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8776C"/>
    <w:multiLevelType w:val="hybridMultilevel"/>
    <w:tmpl w:val="84E231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911CB"/>
    <w:multiLevelType w:val="hybridMultilevel"/>
    <w:tmpl w:val="AEB0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EA611B"/>
    <w:multiLevelType w:val="hybridMultilevel"/>
    <w:tmpl w:val="C276B7BA"/>
    <w:lvl w:ilvl="0" w:tplc="080A000F">
      <w:start w:val="1"/>
      <w:numFmt w:val="decimal"/>
      <w:lvlText w:val="%1."/>
      <w:lvlJc w:val="left"/>
      <w:pPr>
        <w:ind w:left="1493" w:hanging="360"/>
      </w:pPr>
    </w:lvl>
    <w:lvl w:ilvl="1" w:tplc="080A0019" w:tentative="1">
      <w:start w:val="1"/>
      <w:numFmt w:val="lowerLetter"/>
      <w:lvlText w:val="%2."/>
      <w:lvlJc w:val="left"/>
      <w:pPr>
        <w:ind w:left="2213" w:hanging="360"/>
      </w:pPr>
    </w:lvl>
    <w:lvl w:ilvl="2" w:tplc="080A001B" w:tentative="1">
      <w:start w:val="1"/>
      <w:numFmt w:val="lowerRoman"/>
      <w:lvlText w:val="%3."/>
      <w:lvlJc w:val="right"/>
      <w:pPr>
        <w:ind w:left="2933" w:hanging="180"/>
      </w:pPr>
    </w:lvl>
    <w:lvl w:ilvl="3" w:tplc="080A000F" w:tentative="1">
      <w:start w:val="1"/>
      <w:numFmt w:val="decimal"/>
      <w:lvlText w:val="%4."/>
      <w:lvlJc w:val="left"/>
      <w:pPr>
        <w:ind w:left="3653" w:hanging="360"/>
      </w:pPr>
    </w:lvl>
    <w:lvl w:ilvl="4" w:tplc="080A0019" w:tentative="1">
      <w:start w:val="1"/>
      <w:numFmt w:val="lowerLetter"/>
      <w:lvlText w:val="%5."/>
      <w:lvlJc w:val="left"/>
      <w:pPr>
        <w:ind w:left="4373" w:hanging="360"/>
      </w:pPr>
    </w:lvl>
    <w:lvl w:ilvl="5" w:tplc="080A001B" w:tentative="1">
      <w:start w:val="1"/>
      <w:numFmt w:val="lowerRoman"/>
      <w:lvlText w:val="%6."/>
      <w:lvlJc w:val="right"/>
      <w:pPr>
        <w:ind w:left="5093" w:hanging="180"/>
      </w:pPr>
    </w:lvl>
    <w:lvl w:ilvl="6" w:tplc="080A000F" w:tentative="1">
      <w:start w:val="1"/>
      <w:numFmt w:val="decimal"/>
      <w:lvlText w:val="%7."/>
      <w:lvlJc w:val="left"/>
      <w:pPr>
        <w:ind w:left="5813" w:hanging="360"/>
      </w:pPr>
    </w:lvl>
    <w:lvl w:ilvl="7" w:tplc="080A0019" w:tentative="1">
      <w:start w:val="1"/>
      <w:numFmt w:val="lowerLetter"/>
      <w:lvlText w:val="%8."/>
      <w:lvlJc w:val="left"/>
      <w:pPr>
        <w:ind w:left="6533" w:hanging="360"/>
      </w:pPr>
    </w:lvl>
    <w:lvl w:ilvl="8" w:tplc="080A001B" w:tentative="1">
      <w:start w:val="1"/>
      <w:numFmt w:val="lowerRoman"/>
      <w:lvlText w:val="%9."/>
      <w:lvlJc w:val="right"/>
      <w:pPr>
        <w:ind w:left="7253" w:hanging="180"/>
      </w:pPr>
    </w:lvl>
  </w:abstractNum>
  <w:abstractNum w:abstractNumId="6"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702AC"/>
    <w:multiLevelType w:val="hybridMultilevel"/>
    <w:tmpl w:val="5C3E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8E28C6"/>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0E4D4C"/>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4F155F"/>
    <w:multiLevelType w:val="hybridMultilevel"/>
    <w:tmpl w:val="386E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5301B2"/>
    <w:multiLevelType w:val="hybridMultilevel"/>
    <w:tmpl w:val="6C5EC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BD6158"/>
    <w:multiLevelType w:val="hybridMultilevel"/>
    <w:tmpl w:val="59187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5B6329"/>
    <w:multiLevelType w:val="hybridMultilevel"/>
    <w:tmpl w:val="324CE1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8" w15:restartNumberingAfterBreak="0">
    <w:nsid w:val="6A812308"/>
    <w:multiLevelType w:val="hybridMultilevel"/>
    <w:tmpl w:val="D37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D1058B"/>
    <w:multiLevelType w:val="hybridMultilevel"/>
    <w:tmpl w:val="AC06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541153"/>
    <w:multiLevelType w:val="hybridMultilevel"/>
    <w:tmpl w:val="5FD613F2"/>
    <w:lvl w:ilvl="0" w:tplc="8AC670DE">
      <w:numFmt w:val="bullet"/>
      <w:lvlText w:val="-"/>
      <w:lvlJc w:val="left"/>
      <w:pPr>
        <w:ind w:left="1070" w:hanging="71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3" w15:restartNumberingAfterBreak="0">
    <w:nsid w:val="740958AF"/>
    <w:multiLevelType w:val="hybridMultilevel"/>
    <w:tmpl w:val="CC36DE90"/>
    <w:lvl w:ilvl="0" w:tplc="C3ECADD4">
      <w:start w:val="1"/>
      <w:numFmt w:val="decimal"/>
      <w:lvlText w:val="%1."/>
      <w:lvlJc w:val="left"/>
      <w:pPr>
        <w:ind w:left="770" w:hanging="360"/>
      </w:pPr>
      <w:rPr>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4" w15:restartNumberingAfterBreak="0">
    <w:nsid w:val="76BB48BB"/>
    <w:multiLevelType w:val="hybridMultilevel"/>
    <w:tmpl w:val="C9266DDC"/>
    <w:lvl w:ilvl="0" w:tplc="080A0001">
      <w:start w:val="1"/>
      <w:numFmt w:val="bullet"/>
      <w:lvlText w:val=""/>
      <w:lvlJc w:val="left"/>
      <w:pPr>
        <w:ind w:left="710" w:hanging="71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6"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
  </w:num>
  <w:num w:numId="3">
    <w:abstractNumId w:val="6"/>
  </w:num>
  <w:num w:numId="4">
    <w:abstractNumId w:val="15"/>
  </w:num>
  <w:num w:numId="5">
    <w:abstractNumId w:val="26"/>
  </w:num>
  <w:num w:numId="6">
    <w:abstractNumId w:val="13"/>
  </w:num>
  <w:num w:numId="7">
    <w:abstractNumId w:val="20"/>
  </w:num>
  <w:num w:numId="8">
    <w:abstractNumId w:val="24"/>
  </w:num>
  <w:num w:numId="9">
    <w:abstractNumId w:val="11"/>
  </w:num>
  <w:num w:numId="10">
    <w:abstractNumId w:val="2"/>
  </w:num>
  <w:num w:numId="11">
    <w:abstractNumId w:val="29"/>
  </w:num>
  <w:num w:numId="12">
    <w:abstractNumId w:val="17"/>
  </w:num>
  <w:num w:numId="13">
    <w:abstractNumId w:val="32"/>
  </w:num>
  <w:num w:numId="14">
    <w:abstractNumId w:val="19"/>
  </w:num>
  <w:num w:numId="15">
    <w:abstractNumId w:val="27"/>
  </w:num>
  <w:num w:numId="16">
    <w:abstractNumId w:val="16"/>
  </w:num>
  <w:num w:numId="17">
    <w:abstractNumId w:val="36"/>
  </w:num>
  <w:num w:numId="18">
    <w:abstractNumId w:val="14"/>
  </w:num>
  <w:num w:numId="19">
    <w:abstractNumId w:val="9"/>
  </w:num>
  <w:num w:numId="20">
    <w:abstractNumId w:val="25"/>
  </w:num>
  <w:num w:numId="21">
    <w:abstractNumId w:val="0"/>
  </w:num>
  <w:num w:numId="22">
    <w:abstractNumId w:val="35"/>
  </w:num>
  <w:num w:numId="23">
    <w:abstractNumId w:val="1"/>
    <w:lvlOverride w:ilvl="0">
      <w:startOverride w:val="1"/>
    </w:lvlOverride>
  </w:num>
  <w:num w:numId="24">
    <w:abstractNumId w:val="30"/>
  </w:num>
  <w:num w:numId="25">
    <w:abstractNumId w:val="22"/>
  </w:num>
  <w:num w:numId="26">
    <w:abstractNumId w:val="3"/>
  </w:num>
  <w:num w:numId="27">
    <w:abstractNumId w:val="23"/>
  </w:num>
  <w:num w:numId="28">
    <w:abstractNumId w:val="28"/>
  </w:num>
  <w:num w:numId="29">
    <w:abstractNumId w:val="7"/>
  </w:num>
  <w:num w:numId="30">
    <w:abstractNumId w:val="8"/>
  </w:num>
  <w:num w:numId="31">
    <w:abstractNumId w:val="10"/>
  </w:num>
  <w:num w:numId="32">
    <w:abstractNumId w:val="5"/>
  </w:num>
  <w:num w:numId="33">
    <w:abstractNumId w:val="4"/>
  </w:num>
  <w:num w:numId="34">
    <w:abstractNumId w:val="12"/>
  </w:num>
  <w:num w:numId="35">
    <w:abstractNumId w:val="21"/>
  </w:num>
  <w:num w:numId="36">
    <w:abstractNumId w:val="31"/>
  </w:num>
  <w:num w:numId="37">
    <w:abstractNumId w:val="34"/>
  </w:num>
  <w:num w:numId="38">
    <w:abstractNumId w:val="1"/>
    <w:lvlOverride w:ilvl="0">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11C87"/>
    <w:rsid w:val="00014493"/>
    <w:rsid w:val="000149AB"/>
    <w:rsid w:val="00015130"/>
    <w:rsid w:val="0001600D"/>
    <w:rsid w:val="000237FA"/>
    <w:rsid w:val="00023AF7"/>
    <w:rsid w:val="000253EE"/>
    <w:rsid w:val="00025623"/>
    <w:rsid w:val="00026723"/>
    <w:rsid w:val="00030E6E"/>
    <w:rsid w:val="000356DE"/>
    <w:rsid w:val="0003626C"/>
    <w:rsid w:val="00040722"/>
    <w:rsid w:val="00051577"/>
    <w:rsid w:val="000549F6"/>
    <w:rsid w:val="000553DD"/>
    <w:rsid w:val="00062C1D"/>
    <w:rsid w:val="0007778B"/>
    <w:rsid w:val="00082D5D"/>
    <w:rsid w:val="0009104D"/>
    <w:rsid w:val="00092755"/>
    <w:rsid w:val="000931D8"/>
    <w:rsid w:val="00094041"/>
    <w:rsid w:val="00097B00"/>
    <w:rsid w:val="000A0CEF"/>
    <w:rsid w:val="000A0F69"/>
    <w:rsid w:val="000A5CFB"/>
    <w:rsid w:val="000A6067"/>
    <w:rsid w:val="000A619B"/>
    <w:rsid w:val="000A6255"/>
    <w:rsid w:val="000B71C0"/>
    <w:rsid w:val="000C1B54"/>
    <w:rsid w:val="000C1C30"/>
    <w:rsid w:val="000D07E4"/>
    <w:rsid w:val="000D2838"/>
    <w:rsid w:val="000D6674"/>
    <w:rsid w:val="000E0501"/>
    <w:rsid w:val="000E41EA"/>
    <w:rsid w:val="000E41F3"/>
    <w:rsid w:val="000E54B6"/>
    <w:rsid w:val="000E55B0"/>
    <w:rsid w:val="000E727B"/>
    <w:rsid w:val="000F0139"/>
    <w:rsid w:val="00100C9C"/>
    <w:rsid w:val="00105E55"/>
    <w:rsid w:val="001124B6"/>
    <w:rsid w:val="00117324"/>
    <w:rsid w:val="00120D05"/>
    <w:rsid w:val="00132257"/>
    <w:rsid w:val="001331D8"/>
    <w:rsid w:val="001413ED"/>
    <w:rsid w:val="00145E17"/>
    <w:rsid w:val="00156FCD"/>
    <w:rsid w:val="00160352"/>
    <w:rsid w:val="00164AE9"/>
    <w:rsid w:val="00166A3F"/>
    <w:rsid w:val="00170916"/>
    <w:rsid w:val="00174196"/>
    <w:rsid w:val="00175A93"/>
    <w:rsid w:val="00182FC1"/>
    <w:rsid w:val="001937D1"/>
    <w:rsid w:val="001947E2"/>
    <w:rsid w:val="001A1DF6"/>
    <w:rsid w:val="001A5C6A"/>
    <w:rsid w:val="001B1359"/>
    <w:rsid w:val="001B369B"/>
    <w:rsid w:val="001C0864"/>
    <w:rsid w:val="001C11B0"/>
    <w:rsid w:val="001C1A6D"/>
    <w:rsid w:val="001C7102"/>
    <w:rsid w:val="001D07E4"/>
    <w:rsid w:val="001D2868"/>
    <w:rsid w:val="001D4AB1"/>
    <w:rsid w:val="001E0388"/>
    <w:rsid w:val="001F1F43"/>
    <w:rsid w:val="001F6CEA"/>
    <w:rsid w:val="0020440A"/>
    <w:rsid w:val="002107F6"/>
    <w:rsid w:val="002124FB"/>
    <w:rsid w:val="00221089"/>
    <w:rsid w:val="00222886"/>
    <w:rsid w:val="00225373"/>
    <w:rsid w:val="002266C2"/>
    <w:rsid w:val="00232A61"/>
    <w:rsid w:val="00246FA5"/>
    <w:rsid w:val="00264F97"/>
    <w:rsid w:val="00266BE0"/>
    <w:rsid w:val="002701F5"/>
    <w:rsid w:val="00271E75"/>
    <w:rsid w:val="00272B83"/>
    <w:rsid w:val="002771ED"/>
    <w:rsid w:val="00280134"/>
    <w:rsid w:val="00280D8D"/>
    <w:rsid w:val="002811C3"/>
    <w:rsid w:val="002823DE"/>
    <w:rsid w:val="00297840"/>
    <w:rsid w:val="002A0A47"/>
    <w:rsid w:val="002A7EC6"/>
    <w:rsid w:val="002B1AD7"/>
    <w:rsid w:val="002B4BB2"/>
    <w:rsid w:val="002B62A4"/>
    <w:rsid w:val="002B63D8"/>
    <w:rsid w:val="002C2640"/>
    <w:rsid w:val="002C3201"/>
    <w:rsid w:val="002D159F"/>
    <w:rsid w:val="002D17C4"/>
    <w:rsid w:val="002D34FE"/>
    <w:rsid w:val="002D6946"/>
    <w:rsid w:val="002E6C44"/>
    <w:rsid w:val="002F489E"/>
    <w:rsid w:val="00301F89"/>
    <w:rsid w:val="00307092"/>
    <w:rsid w:val="0031183C"/>
    <w:rsid w:val="00315763"/>
    <w:rsid w:val="00316DC1"/>
    <w:rsid w:val="00323B07"/>
    <w:rsid w:val="00323F3A"/>
    <w:rsid w:val="00332319"/>
    <w:rsid w:val="0033448A"/>
    <w:rsid w:val="003353FC"/>
    <w:rsid w:val="0034067D"/>
    <w:rsid w:val="00340A4E"/>
    <w:rsid w:val="00352375"/>
    <w:rsid w:val="00357CAA"/>
    <w:rsid w:val="00360DFD"/>
    <w:rsid w:val="003613DA"/>
    <w:rsid w:val="00361F92"/>
    <w:rsid w:val="00375A83"/>
    <w:rsid w:val="00380392"/>
    <w:rsid w:val="00380AF6"/>
    <w:rsid w:val="00380FDD"/>
    <w:rsid w:val="0038199D"/>
    <w:rsid w:val="00381D5B"/>
    <w:rsid w:val="00391756"/>
    <w:rsid w:val="00394200"/>
    <w:rsid w:val="003A2325"/>
    <w:rsid w:val="003A44D2"/>
    <w:rsid w:val="003A7417"/>
    <w:rsid w:val="003A7C5A"/>
    <w:rsid w:val="003B524B"/>
    <w:rsid w:val="003B6BA1"/>
    <w:rsid w:val="003C0377"/>
    <w:rsid w:val="003C038E"/>
    <w:rsid w:val="003D0DF8"/>
    <w:rsid w:val="003D1364"/>
    <w:rsid w:val="003D1CAC"/>
    <w:rsid w:val="003D2703"/>
    <w:rsid w:val="003E4BED"/>
    <w:rsid w:val="003E5478"/>
    <w:rsid w:val="003E55FE"/>
    <w:rsid w:val="003E7D11"/>
    <w:rsid w:val="003F4DE4"/>
    <w:rsid w:val="003F603E"/>
    <w:rsid w:val="0041087B"/>
    <w:rsid w:val="00410F8E"/>
    <w:rsid w:val="004141B1"/>
    <w:rsid w:val="00420DD3"/>
    <w:rsid w:val="004317BC"/>
    <w:rsid w:val="0043365D"/>
    <w:rsid w:val="0043404E"/>
    <w:rsid w:val="00435168"/>
    <w:rsid w:val="004368BF"/>
    <w:rsid w:val="00440E1A"/>
    <w:rsid w:val="00444217"/>
    <w:rsid w:val="00444EAF"/>
    <w:rsid w:val="00450FCD"/>
    <w:rsid w:val="004510A1"/>
    <w:rsid w:val="00454377"/>
    <w:rsid w:val="00460E7A"/>
    <w:rsid w:val="00461A06"/>
    <w:rsid w:val="00464849"/>
    <w:rsid w:val="00464AE1"/>
    <w:rsid w:val="004666A6"/>
    <w:rsid w:val="00474104"/>
    <w:rsid w:val="0047696E"/>
    <w:rsid w:val="004775AE"/>
    <w:rsid w:val="004939AF"/>
    <w:rsid w:val="004970C4"/>
    <w:rsid w:val="004A0202"/>
    <w:rsid w:val="004A1FE1"/>
    <w:rsid w:val="004A79E0"/>
    <w:rsid w:val="004B053F"/>
    <w:rsid w:val="004B0CA6"/>
    <w:rsid w:val="004B5044"/>
    <w:rsid w:val="004C4695"/>
    <w:rsid w:val="004D5EAB"/>
    <w:rsid w:val="004D64DD"/>
    <w:rsid w:val="004D7960"/>
    <w:rsid w:val="004E2A3A"/>
    <w:rsid w:val="004E2C4B"/>
    <w:rsid w:val="004E4B70"/>
    <w:rsid w:val="004F0CF7"/>
    <w:rsid w:val="004F0F70"/>
    <w:rsid w:val="004F17BB"/>
    <w:rsid w:val="004F4C27"/>
    <w:rsid w:val="004F62DC"/>
    <w:rsid w:val="004F7BB5"/>
    <w:rsid w:val="005012E2"/>
    <w:rsid w:val="00510155"/>
    <w:rsid w:val="00511FAE"/>
    <w:rsid w:val="00517B43"/>
    <w:rsid w:val="005214C7"/>
    <w:rsid w:val="0052296A"/>
    <w:rsid w:val="0052558F"/>
    <w:rsid w:val="005332DC"/>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551F"/>
    <w:rsid w:val="005876C4"/>
    <w:rsid w:val="00595786"/>
    <w:rsid w:val="005A5671"/>
    <w:rsid w:val="005A653C"/>
    <w:rsid w:val="005B0125"/>
    <w:rsid w:val="005B2C1D"/>
    <w:rsid w:val="005B3E9A"/>
    <w:rsid w:val="005C0435"/>
    <w:rsid w:val="005C06DB"/>
    <w:rsid w:val="005C072E"/>
    <w:rsid w:val="005D1637"/>
    <w:rsid w:val="005D1DEE"/>
    <w:rsid w:val="005D2CC9"/>
    <w:rsid w:val="005E0B50"/>
    <w:rsid w:val="005F0265"/>
    <w:rsid w:val="005F2BA4"/>
    <w:rsid w:val="005F4DEC"/>
    <w:rsid w:val="00600500"/>
    <w:rsid w:val="00600DB8"/>
    <w:rsid w:val="006020E6"/>
    <w:rsid w:val="00603B41"/>
    <w:rsid w:val="00605BD9"/>
    <w:rsid w:val="00612A41"/>
    <w:rsid w:val="006223B2"/>
    <w:rsid w:val="00623761"/>
    <w:rsid w:val="00623F6F"/>
    <w:rsid w:val="006240BB"/>
    <w:rsid w:val="0062657D"/>
    <w:rsid w:val="00626BE6"/>
    <w:rsid w:val="00627B2B"/>
    <w:rsid w:val="00634948"/>
    <w:rsid w:val="0064308C"/>
    <w:rsid w:val="006430BF"/>
    <w:rsid w:val="00657E2B"/>
    <w:rsid w:val="006601AF"/>
    <w:rsid w:val="0066476F"/>
    <w:rsid w:val="00670385"/>
    <w:rsid w:val="00670A0E"/>
    <w:rsid w:val="00675B67"/>
    <w:rsid w:val="0067607D"/>
    <w:rsid w:val="0067625F"/>
    <w:rsid w:val="006774EA"/>
    <w:rsid w:val="0068054F"/>
    <w:rsid w:val="00683443"/>
    <w:rsid w:val="00694AE5"/>
    <w:rsid w:val="006A1D68"/>
    <w:rsid w:val="006A2672"/>
    <w:rsid w:val="006A6D93"/>
    <w:rsid w:val="006B0B12"/>
    <w:rsid w:val="006B50CD"/>
    <w:rsid w:val="006C672B"/>
    <w:rsid w:val="006E248A"/>
    <w:rsid w:val="006E361A"/>
    <w:rsid w:val="006E48D6"/>
    <w:rsid w:val="006F1AB2"/>
    <w:rsid w:val="006F219A"/>
    <w:rsid w:val="006F5989"/>
    <w:rsid w:val="006F7B29"/>
    <w:rsid w:val="00703850"/>
    <w:rsid w:val="00717244"/>
    <w:rsid w:val="00717B72"/>
    <w:rsid w:val="00720D64"/>
    <w:rsid w:val="0072603E"/>
    <w:rsid w:val="00726A4C"/>
    <w:rsid w:val="00732143"/>
    <w:rsid w:val="00735DEE"/>
    <w:rsid w:val="0074187C"/>
    <w:rsid w:val="00743BCA"/>
    <w:rsid w:val="007440B2"/>
    <w:rsid w:val="0074626C"/>
    <w:rsid w:val="007473C3"/>
    <w:rsid w:val="007628D0"/>
    <w:rsid w:val="00762996"/>
    <w:rsid w:val="00763495"/>
    <w:rsid w:val="007644BA"/>
    <w:rsid w:val="00772969"/>
    <w:rsid w:val="0077357C"/>
    <w:rsid w:val="00775562"/>
    <w:rsid w:val="00775F83"/>
    <w:rsid w:val="007843CF"/>
    <w:rsid w:val="0079076D"/>
    <w:rsid w:val="00796743"/>
    <w:rsid w:val="007978CB"/>
    <w:rsid w:val="007A1E11"/>
    <w:rsid w:val="007A2C22"/>
    <w:rsid w:val="007A3BB3"/>
    <w:rsid w:val="007A5394"/>
    <w:rsid w:val="007A6974"/>
    <w:rsid w:val="007A752F"/>
    <w:rsid w:val="007B40A5"/>
    <w:rsid w:val="007B6347"/>
    <w:rsid w:val="007C2ED0"/>
    <w:rsid w:val="007C53CF"/>
    <w:rsid w:val="007C561D"/>
    <w:rsid w:val="007D4688"/>
    <w:rsid w:val="007D4A23"/>
    <w:rsid w:val="007D610C"/>
    <w:rsid w:val="007E04FB"/>
    <w:rsid w:val="007E0959"/>
    <w:rsid w:val="007E29E9"/>
    <w:rsid w:val="007E7B44"/>
    <w:rsid w:val="007F305E"/>
    <w:rsid w:val="007F4DB5"/>
    <w:rsid w:val="007F6983"/>
    <w:rsid w:val="00800852"/>
    <w:rsid w:val="00804BB7"/>
    <w:rsid w:val="00805E1E"/>
    <w:rsid w:val="008200BE"/>
    <w:rsid w:val="00821743"/>
    <w:rsid w:val="008219F6"/>
    <w:rsid w:val="00821F94"/>
    <w:rsid w:val="008271AB"/>
    <w:rsid w:val="00833D48"/>
    <w:rsid w:val="00835F7D"/>
    <w:rsid w:val="008406AA"/>
    <w:rsid w:val="00854FBE"/>
    <w:rsid w:val="0086154B"/>
    <w:rsid w:val="008654B1"/>
    <w:rsid w:val="008658B5"/>
    <w:rsid w:val="008667C7"/>
    <w:rsid w:val="008711D6"/>
    <w:rsid w:val="00873E7E"/>
    <w:rsid w:val="0087596E"/>
    <w:rsid w:val="008843FB"/>
    <w:rsid w:val="00893186"/>
    <w:rsid w:val="008A5565"/>
    <w:rsid w:val="008C679D"/>
    <w:rsid w:val="008D106B"/>
    <w:rsid w:val="008D1888"/>
    <w:rsid w:val="008D1C47"/>
    <w:rsid w:val="008D4C7A"/>
    <w:rsid w:val="008D6A1D"/>
    <w:rsid w:val="008E2476"/>
    <w:rsid w:val="008F16D3"/>
    <w:rsid w:val="008F2B1A"/>
    <w:rsid w:val="008F5E99"/>
    <w:rsid w:val="008F5F75"/>
    <w:rsid w:val="008F63B1"/>
    <w:rsid w:val="00903C94"/>
    <w:rsid w:val="00905C74"/>
    <w:rsid w:val="0091193C"/>
    <w:rsid w:val="00912EF9"/>
    <w:rsid w:val="00915CEA"/>
    <w:rsid w:val="009160D3"/>
    <w:rsid w:val="00924E06"/>
    <w:rsid w:val="00931546"/>
    <w:rsid w:val="009346DD"/>
    <w:rsid w:val="0094150D"/>
    <w:rsid w:val="00942344"/>
    <w:rsid w:val="009426CC"/>
    <w:rsid w:val="00944B2E"/>
    <w:rsid w:val="009555A5"/>
    <w:rsid w:val="00956B99"/>
    <w:rsid w:val="00957DB8"/>
    <w:rsid w:val="009602FF"/>
    <w:rsid w:val="00970730"/>
    <w:rsid w:val="009708CD"/>
    <w:rsid w:val="00975C25"/>
    <w:rsid w:val="0098095A"/>
    <w:rsid w:val="00981D2D"/>
    <w:rsid w:val="0098316E"/>
    <w:rsid w:val="009868BF"/>
    <w:rsid w:val="00987672"/>
    <w:rsid w:val="009A7F3C"/>
    <w:rsid w:val="009B2022"/>
    <w:rsid w:val="009B360E"/>
    <w:rsid w:val="009C1B2E"/>
    <w:rsid w:val="009C6C17"/>
    <w:rsid w:val="009D3DDA"/>
    <w:rsid w:val="009D5669"/>
    <w:rsid w:val="009E072C"/>
    <w:rsid w:val="009E197F"/>
    <w:rsid w:val="009E43A3"/>
    <w:rsid w:val="009F7734"/>
    <w:rsid w:val="00A003A6"/>
    <w:rsid w:val="00A00824"/>
    <w:rsid w:val="00A0235F"/>
    <w:rsid w:val="00A023DF"/>
    <w:rsid w:val="00A03F6E"/>
    <w:rsid w:val="00A04017"/>
    <w:rsid w:val="00A11685"/>
    <w:rsid w:val="00A11BA0"/>
    <w:rsid w:val="00A1372C"/>
    <w:rsid w:val="00A25465"/>
    <w:rsid w:val="00A25B7E"/>
    <w:rsid w:val="00A3221E"/>
    <w:rsid w:val="00A3420E"/>
    <w:rsid w:val="00A454F4"/>
    <w:rsid w:val="00A57E13"/>
    <w:rsid w:val="00A60361"/>
    <w:rsid w:val="00A610BA"/>
    <w:rsid w:val="00A614ED"/>
    <w:rsid w:val="00A62E59"/>
    <w:rsid w:val="00A62F73"/>
    <w:rsid w:val="00A63006"/>
    <w:rsid w:val="00A7050F"/>
    <w:rsid w:val="00A74360"/>
    <w:rsid w:val="00A749B3"/>
    <w:rsid w:val="00A74B5C"/>
    <w:rsid w:val="00A751A5"/>
    <w:rsid w:val="00A75A67"/>
    <w:rsid w:val="00A84815"/>
    <w:rsid w:val="00A84C80"/>
    <w:rsid w:val="00A85F71"/>
    <w:rsid w:val="00A917C8"/>
    <w:rsid w:val="00A91838"/>
    <w:rsid w:val="00A92B29"/>
    <w:rsid w:val="00A932CC"/>
    <w:rsid w:val="00A96AF4"/>
    <w:rsid w:val="00AA1D52"/>
    <w:rsid w:val="00AA296F"/>
    <w:rsid w:val="00AA4A00"/>
    <w:rsid w:val="00AA643D"/>
    <w:rsid w:val="00AA70C3"/>
    <w:rsid w:val="00AB20E8"/>
    <w:rsid w:val="00AB2D19"/>
    <w:rsid w:val="00AB3B1E"/>
    <w:rsid w:val="00AB454C"/>
    <w:rsid w:val="00AB597A"/>
    <w:rsid w:val="00AC3842"/>
    <w:rsid w:val="00AC59FE"/>
    <w:rsid w:val="00AD0D63"/>
    <w:rsid w:val="00AD1814"/>
    <w:rsid w:val="00AD5147"/>
    <w:rsid w:val="00AE3C2C"/>
    <w:rsid w:val="00AE734C"/>
    <w:rsid w:val="00AE778E"/>
    <w:rsid w:val="00AF0094"/>
    <w:rsid w:val="00AF29F6"/>
    <w:rsid w:val="00AF6EE1"/>
    <w:rsid w:val="00B10B89"/>
    <w:rsid w:val="00B16509"/>
    <w:rsid w:val="00B17D0B"/>
    <w:rsid w:val="00B20E15"/>
    <w:rsid w:val="00B273CC"/>
    <w:rsid w:val="00B3275B"/>
    <w:rsid w:val="00B404ED"/>
    <w:rsid w:val="00B44129"/>
    <w:rsid w:val="00B4445C"/>
    <w:rsid w:val="00B50BAB"/>
    <w:rsid w:val="00B533DC"/>
    <w:rsid w:val="00B6657B"/>
    <w:rsid w:val="00B70568"/>
    <w:rsid w:val="00B72399"/>
    <w:rsid w:val="00B73420"/>
    <w:rsid w:val="00B8341D"/>
    <w:rsid w:val="00B859BA"/>
    <w:rsid w:val="00B92F94"/>
    <w:rsid w:val="00B97A10"/>
    <w:rsid w:val="00B97BF9"/>
    <w:rsid w:val="00BA7FC7"/>
    <w:rsid w:val="00BB25F2"/>
    <w:rsid w:val="00BC1094"/>
    <w:rsid w:val="00BC2221"/>
    <w:rsid w:val="00BC355E"/>
    <w:rsid w:val="00BC5050"/>
    <w:rsid w:val="00BC5B94"/>
    <w:rsid w:val="00BC68E9"/>
    <w:rsid w:val="00BD1C21"/>
    <w:rsid w:val="00BD3D09"/>
    <w:rsid w:val="00BE3A25"/>
    <w:rsid w:val="00BF33B5"/>
    <w:rsid w:val="00BF3828"/>
    <w:rsid w:val="00BF5F18"/>
    <w:rsid w:val="00BF7F9F"/>
    <w:rsid w:val="00C05AA3"/>
    <w:rsid w:val="00C12C64"/>
    <w:rsid w:val="00C1692A"/>
    <w:rsid w:val="00C209CD"/>
    <w:rsid w:val="00C24AF4"/>
    <w:rsid w:val="00C26242"/>
    <w:rsid w:val="00C30CBF"/>
    <w:rsid w:val="00C32290"/>
    <w:rsid w:val="00C3334C"/>
    <w:rsid w:val="00C35A85"/>
    <w:rsid w:val="00C41536"/>
    <w:rsid w:val="00C41926"/>
    <w:rsid w:val="00C42DD1"/>
    <w:rsid w:val="00C474AE"/>
    <w:rsid w:val="00C512C8"/>
    <w:rsid w:val="00C53026"/>
    <w:rsid w:val="00C535AE"/>
    <w:rsid w:val="00C53E35"/>
    <w:rsid w:val="00C56B77"/>
    <w:rsid w:val="00C60ADB"/>
    <w:rsid w:val="00C63CEB"/>
    <w:rsid w:val="00C72469"/>
    <w:rsid w:val="00C82970"/>
    <w:rsid w:val="00C83664"/>
    <w:rsid w:val="00C84908"/>
    <w:rsid w:val="00C84BB4"/>
    <w:rsid w:val="00C8622C"/>
    <w:rsid w:val="00C900FF"/>
    <w:rsid w:val="00C935BB"/>
    <w:rsid w:val="00C973EC"/>
    <w:rsid w:val="00CA32F5"/>
    <w:rsid w:val="00CA4D5D"/>
    <w:rsid w:val="00CA670F"/>
    <w:rsid w:val="00CB1D5D"/>
    <w:rsid w:val="00CB7035"/>
    <w:rsid w:val="00CB7780"/>
    <w:rsid w:val="00CC2A01"/>
    <w:rsid w:val="00CC382A"/>
    <w:rsid w:val="00CC53F7"/>
    <w:rsid w:val="00CD0188"/>
    <w:rsid w:val="00CD4835"/>
    <w:rsid w:val="00CD6EC5"/>
    <w:rsid w:val="00CE0836"/>
    <w:rsid w:val="00CE419D"/>
    <w:rsid w:val="00CF05A7"/>
    <w:rsid w:val="00CF3895"/>
    <w:rsid w:val="00D02122"/>
    <w:rsid w:val="00D0240E"/>
    <w:rsid w:val="00D06A7E"/>
    <w:rsid w:val="00D10727"/>
    <w:rsid w:val="00D13998"/>
    <w:rsid w:val="00D13CA5"/>
    <w:rsid w:val="00D162EC"/>
    <w:rsid w:val="00D22B9D"/>
    <w:rsid w:val="00D26BAF"/>
    <w:rsid w:val="00D32A71"/>
    <w:rsid w:val="00D334B0"/>
    <w:rsid w:val="00D34848"/>
    <w:rsid w:val="00D35F1C"/>
    <w:rsid w:val="00D44C48"/>
    <w:rsid w:val="00D472B6"/>
    <w:rsid w:val="00D47A99"/>
    <w:rsid w:val="00D50117"/>
    <w:rsid w:val="00D60BD2"/>
    <w:rsid w:val="00D64EAC"/>
    <w:rsid w:val="00D721C7"/>
    <w:rsid w:val="00D745BF"/>
    <w:rsid w:val="00D76089"/>
    <w:rsid w:val="00D768D7"/>
    <w:rsid w:val="00D81FAE"/>
    <w:rsid w:val="00D84343"/>
    <w:rsid w:val="00D84C43"/>
    <w:rsid w:val="00D90A1A"/>
    <w:rsid w:val="00D94F82"/>
    <w:rsid w:val="00D96838"/>
    <w:rsid w:val="00DA060B"/>
    <w:rsid w:val="00DA5776"/>
    <w:rsid w:val="00DB357E"/>
    <w:rsid w:val="00DC0CC8"/>
    <w:rsid w:val="00DC3C6C"/>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B46"/>
    <w:rsid w:val="00E161CB"/>
    <w:rsid w:val="00E17493"/>
    <w:rsid w:val="00E23470"/>
    <w:rsid w:val="00E23C25"/>
    <w:rsid w:val="00E24F8F"/>
    <w:rsid w:val="00E27E0A"/>
    <w:rsid w:val="00E32E10"/>
    <w:rsid w:val="00E43784"/>
    <w:rsid w:val="00E44666"/>
    <w:rsid w:val="00E4524F"/>
    <w:rsid w:val="00E523F8"/>
    <w:rsid w:val="00E53BFF"/>
    <w:rsid w:val="00E57341"/>
    <w:rsid w:val="00E62A8C"/>
    <w:rsid w:val="00E64007"/>
    <w:rsid w:val="00E65CC5"/>
    <w:rsid w:val="00E71AFE"/>
    <w:rsid w:val="00E7534A"/>
    <w:rsid w:val="00E842FA"/>
    <w:rsid w:val="00E84A72"/>
    <w:rsid w:val="00E927ED"/>
    <w:rsid w:val="00E944B2"/>
    <w:rsid w:val="00E94ABF"/>
    <w:rsid w:val="00EA094D"/>
    <w:rsid w:val="00EA6ACC"/>
    <w:rsid w:val="00EB04C8"/>
    <w:rsid w:val="00EB1D99"/>
    <w:rsid w:val="00EB22EB"/>
    <w:rsid w:val="00EC144A"/>
    <w:rsid w:val="00EC277F"/>
    <w:rsid w:val="00EC297B"/>
    <w:rsid w:val="00EC32C5"/>
    <w:rsid w:val="00ED0227"/>
    <w:rsid w:val="00ED0CAD"/>
    <w:rsid w:val="00ED42B1"/>
    <w:rsid w:val="00ED7239"/>
    <w:rsid w:val="00EE3517"/>
    <w:rsid w:val="00EE4BFF"/>
    <w:rsid w:val="00EF1F63"/>
    <w:rsid w:val="00EF7941"/>
    <w:rsid w:val="00F04E72"/>
    <w:rsid w:val="00F12126"/>
    <w:rsid w:val="00F12555"/>
    <w:rsid w:val="00F212B2"/>
    <w:rsid w:val="00F222FB"/>
    <w:rsid w:val="00F362D7"/>
    <w:rsid w:val="00F36A5D"/>
    <w:rsid w:val="00F411B8"/>
    <w:rsid w:val="00F44904"/>
    <w:rsid w:val="00F45EB4"/>
    <w:rsid w:val="00F54225"/>
    <w:rsid w:val="00F552F3"/>
    <w:rsid w:val="00F6104F"/>
    <w:rsid w:val="00F62889"/>
    <w:rsid w:val="00F6437C"/>
    <w:rsid w:val="00F65F85"/>
    <w:rsid w:val="00F67857"/>
    <w:rsid w:val="00F72DD7"/>
    <w:rsid w:val="00F812E3"/>
    <w:rsid w:val="00F84B54"/>
    <w:rsid w:val="00F85C4C"/>
    <w:rsid w:val="00F913F0"/>
    <w:rsid w:val="00F97305"/>
    <w:rsid w:val="00FA17DF"/>
    <w:rsid w:val="00FA28C2"/>
    <w:rsid w:val="00FA794B"/>
    <w:rsid w:val="00FB1016"/>
    <w:rsid w:val="00FC2926"/>
    <w:rsid w:val="00FD1C45"/>
    <w:rsid w:val="00FD29A2"/>
    <w:rsid w:val="00FD35A8"/>
    <w:rsid w:val="00FD4CCC"/>
    <w:rsid w:val="00FD54BA"/>
    <w:rsid w:val="00FD7AA3"/>
    <w:rsid w:val="00FE5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
    <w:basedOn w:val="Normal"/>
    <w:link w:val="TextonotapieCar"/>
    <w:uiPriority w:val="9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9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o.decle@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icd2021@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vier.carmona@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politica-regulatoria/ofertas-de-referencia-2021" TargetMode="External"/><Relationship Id="rId2" Type="http://schemas.openxmlformats.org/officeDocument/2006/relationships/hyperlink" Target="http://www.ift.org.mx/sites/default/files/conocenos/pleno/sesiones/acuerdoliga/pitfext270217119verpub_2.pdf" TargetMode="External"/><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668F8EA0F84D7995D86D2FF88722F7"/>
        <w:category>
          <w:name w:val="General"/>
          <w:gallery w:val="placeholder"/>
        </w:category>
        <w:types>
          <w:type w:val="bbPlcHdr"/>
        </w:types>
        <w:behaviors>
          <w:behavior w:val="content"/>
        </w:behaviors>
        <w:guid w:val="{BFC99D28-EF43-488D-8802-06E3C16157CE}"/>
      </w:docPartPr>
      <w:docPartBody>
        <w:p w:rsidR="00D42487" w:rsidRDefault="00232032" w:rsidP="00232032">
          <w:pPr>
            <w:pStyle w:val="46668F8EA0F84D7995D86D2FF88722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2"/>
    <w:rsid w:val="001354C6"/>
    <w:rsid w:val="00232032"/>
    <w:rsid w:val="008F4B0A"/>
    <w:rsid w:val="00B534DB"/>
    <w:rsid w:val="00D42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032"/>
  </w:style>
  <w:style w:type="paragraph" w:customStyle="1" w:styleId="46668F8EA0F84D7995D86D2FF88722F7">
    <w:name w:val="46668F8EA0F84D7995D86D2FF88722F7"/>
    <w:rsid w:val="0023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4531-A5F5-4196-9588-84F49F25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8CBEB-69BA-43C7-8D24-92BB019E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4.xml><?xml version="1.0" encoding="utf-8"?>
<ds:datastoreItem xmlns:ds="http://schemas.openxmlformats.org/officeDocument/2006/customXml" ds:itemID="{603A5DFE-2009-423F-8AD2-70898EBB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4595</Words>
  <Characters>25274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29810</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Primitivo Ortiz Maldonado</cp:lastModifiedBy>
  <cp:revision>3</cp:revision>
  <dcterms:created xsi:type="dcterms:W3CDTF">2021-10-11T21:41:00Z</dcterms:created>
  <dcterms:modified xsi:type="dcterms:W3CDTF">2021-10-11T22:34:00Z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