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8BCDD" w14:textId="5E3D7941" w:rsidR="00886F2A" w:rsidRDefault="00600C81" w:rsidP="00D50B18">
      <w:pPr>
        <w:spacing w:before="120" w:after="120" w:line="23" w:lineRule="atLeast"/>
        <w:jc w:val="right"/>
        <w:rPr>
          <w:rFonts w:ascii="Arial" w:hAnsi="Arial" w:cs="Arial"/>
          <w:b/>
          <w:bCs/>
        </w:rPr>
      </w:pPr>
      <w:bookmarkStart w:id="0" w:name="_GoBack"/>
      <w:bookmarkEnd w:id="0"/>
      <w:r>
        <w:rPr>
          <w:rFonts w:ascii="Arial" w:hAnsi="Arial" w:cs="Arial"/>
          <w:b/>
          <w:bCs/>
        </w:rPr>
        <w:t>Instituto Federal de Telecomunicaciones</w:t>
      </w:r>
    </w:p>
    <w:p w14:paraId="35FF38C8" w14:textId="1B35E3D4" w:rsidR="00600C81" w:rsidRDefault="00600C81" w:rsidP="00D50B18">
      <w:pPr>
        <w:spacing w:before="120" w:after="120" w:line="23" w:lineRule="atLeast"/>
        <w:jc w:val="right"/>
        <w:rPr>
          <w:rFonts w:ascii="Arial" w:hAnsi="Arial" w:cs="Arial"/>
          <w:b/>
          <w:bCs/>
        </w:rPr>
      </w:pPr>
      <w:r>
        <w:rPr>
          <w:rFonts w:ascii="Arial" w:hAnsi="Arial" w:cs="Arial"/>
          <w:b/>
          <w:bCs/>
        </w:rPr>
        <w:t>Unida</w:t>
      </w:r>
      <w:r w:rsidR="00351BE8">
        <w:rPr>
          <w:rFonts w:ascii="Arial" w:hAnsi="Arial" w:cs="Arial"/>
          <w:b/>
          <w:bCs/>
        </w:rPr>
        <w:t>d</w:t>
      </w:r>
      <w:r>
        <w:rPr>
          <w:rFonts w:ascii="Arial" w:hAnsi="Arial" w:cs="Arial"/>
          <w:b/>
          <w:bCs/>
        </w:rPr>
        <w:t xml:space="preserve"> de Competencia Económica</w:t>
      </w:r>
    </w:p>
    <w:p w14:paraId="7D720584" w14:textId="1A4AA06D" w:rsidR="00736A66" w:rsidRDefault="00736A66" w:rsidP="00D50B18">
      <w:pPr>
        <w:spacing w:before="120" w:after="120" w:line="23" w:lineRule="atLeast"/>
        <w:jc w:val="right"/>
        <w:rPr>
          <w:rFonts w:ascii="Arial" w:hAnsi="Arial" w:cs="Arial"/>
          <w:b/>
          <w:bCs/>
        </w:rPr>
      </w:pPr>
    </w:p>
    <w:p w14:paraId="3BF938A9" w14:textId="23E70EAA" w:rsidR="00736A66" w:rsidRDefault="00275B74" w:rsidP="00D50B18">
      <w:pPr>
        <w:spacing w:before="120" w:after="120" w:line="23" w:lineRule="atLeast"/>
        <w:jc w:val="right"/>
        <w:rPr>
          <w:rFonts w:ascii="Arial" w:hAnsi="Arial" w:cs="Arial"/>
          <w:b/>
          <w:bCs/>
        </w:rPr>
      </w:pPr>
      <w:r>
        <w:rPr>
          <w:rFonts w:ascii="Arial" w:hAnsi="Arial" w:cs="Arial"/>
          <w:b/>
          <w:bCs/>
        </w:rPr>
        <w:t>2</w:t>
      </w:r>
      <w:r w:rsidR="007709DE">
        <w:rPr>
          <w:rFonts w:ascii="Arial" w:hAnsi="Arial" w:cs="Arial"/>
          <w:b/>
          <w:bCs/>
        </w:rPr>
        <w:t>5</w:t>
      </w:r>
      <w:r w:rsidR="00736A66">
        <w:rPr>
          <w:rFonts w:ascii="Arial" w:hAnsi="Arial" w:cs="Arial"/>
          <w:b/>
          <w:bCs/>
        </w:rPr>
        <w:t xml:space="preserve"> de </w:t>
      </w:r>
      <w:r w:rsidR="00127C3B">
        <w:rPr>
          <w:rFonts w:ascii="Arial" w:hAnsi="Arial" w:cs="Arial"/>
          <w:b/>
          <w:bCs/>
        </w:rPr>
        <w:t xml:space="preserve">noviembre </w:t>
      </w:r>
      <w:r w:rsidR="00736A66">
        <w:rPr>
          <w:rFonts w:ascii="Arial" w:hAnsi="Arial" w:cs="Arial"/>
          <w:b/>
          <w:bCs/>
        </w:rPr>
        <w:t>de 2021</w:t>
      </w:r>
    </w:p>
    <w:p w14:paraId="5DE94B1C" w14:textId="77777777" w:rsidR="00600C81" w:rsidRDefault="00600C81" w:rsidP="00D50B18">
      <w:pPr>
        <w:spacing w:before="120" w:after="120" w:line="23" w:lineRule="atLeast"/>
        <w:jc w:val="center"/>
        <w:rPr>
          <w:rFonts w:ascii="Arial" w:hAnsi="Arial" w:cs="Arial"/>
          <w:b/>
          <w:bCs/>
        </w:rPr>
      </w:pPr>
    </w:p>
    <w:p w14:paraId="3379015E" w14:textId="57E3EE8B" w:rsidR="00F14456" w:rsidRPr="00F14456" w:rsidRDefault="00F14456" w:rsidP="00F14456">
      <w:pPr>
        <w:spacing w:after="120" w:line="240" w:lineRule="auto"/>
        <w:jc w:val="both"/>
        <w:rPr>
          <w:rFonts w:ascii="Arial" w:eastAsia="Calibri" w:hAnsi="Arial" w:cs="Arial"/>
          <w:b/>
          <w:iCs/>
        </w:rPr>
      </w:pPr>
      <w:r w:rsidRPr="00F14456">
        <w:rPr>
          <w:rFonts w:ascii="Arial" w:eastAsia="Calibri" w:hAnsi="Arial" w:cs="Arial"/>
          <w:b/>
          <w:iCs/>
        </w:rPr>
        <w:t xml:space="preserve">INFORME </w:t>
      </w:r>
      <w:r w:rsidRPr="00F14456">
        <w:rPr>
          <w:rFonts w:ascii="Arial" w:eastAsia="Calibri" w:hAnsi="Arial" w:cs="Arial"/>
          <w:b/>
          <w:bCs/>
        </w:rPr>
        <w:t>que presenta la Unidad de Competencia Económica respecto a los comentarios, opiniones y aportaciones recibidos durante la consulta pública del</w:t>
      </w:r>
      <w:r w:rsidRPr="00F14456">
        <w:rPr>
          <w:rFonts w:ascii="Arial" w:eastAsia="Calibri" w:hAnsi="Arial" w:cs="Arial"/>
          <w:b/>
          <w:i/>
        </w:rPr>
        <w:t xml:space="preserve"> </w:t>
      </w:r>
      <w:bookmarkStart w:id="1" w:name="_Hlk85619099"/>
      <w:r w:rsidR="007924E3" w:rsidRPr="007924E3">
        <w:rPr>
          <w:rFonts w:ascii="Arial" w:eastAsia="Calibri" w:hAnsi="Arial" w:cs="Arial"/>
          <w:b/>
          <w:i/>
        </w:rPr>
        <w:t>“Anteproyecto de modificación a la Guía para el Control de Concentraciones en los sectores de telecomunicaciones y radiodifusión”</w:t>
      </w:r>
      <w:bookmarkEnd w:id="1"/>
      <w:r w:rsidRPr="00F14456">
        <w:rPr>
          <w:rFonts w:ascii="Arial" w:eastAsia="Calibri" w:hAnsi="Arial" w:cs="Arial"/>
          <w:b/>
          <w:i/>
        </w:rPr>
        <w:t xml:space="preserve">, </w:t>
      </w:r>
      <w:r w:rsidRPr="00F14456">
        <w:rPr>
          <w:rFonts w:ascii="Arial" w:eastAsia="Calibri" w:hAnsi="Arial" w:cs="Arial"/>
          <w:b/>
          <w:iCs/>
        </w:rPr>
        <w:t>así como las consideraciones a los mismos (Informe de Consideraciones).</w:t>
      </w:r>
    </w:p>
    <w:p w14:paraId="62541306" w14:textId="2CFC48DA" w:rsidR="00B9227A" w:rsidRPr="005C5B1C" w:rsidRDefault="00B9227A" w:rsidP="00D50B18">
      <w:pPr>
        <w:spacing w:before="120" w:after="120" w:line="23" w:lineRule="atLeast"/>
        <w:jc w:val="both"/>
        <w:rPr>
          <w:rFonts w:ascii="Arial" w:hAnsi="Arial" w:cs="Arial"/>
        </w:rPr>
      </w:pPr>
      <w:r w:rsidRPr="005C5B1C">
        <w:rPr>
          <w:rFonts w:ascii="Arial" w:hAnsi="Arial" w:cs="Arial"/>
          <w:b/>
          <w:bCs/>
        </w:rPr>
        <w:t>Presentación</w:t>
      </w:r>
    </w:p>
    <w:p w14:paraId="446BCC8D" w14:textId="3D4874D7" w:rsidR="00D96184" w:rsidRPr="00D96184" w:rsidRDefault="00D96184" w:rsidP="00D96184">
      <w:pPr>
        <w:spacing w:before="120" w:after="120" w:line="276" w:lineRule="auto"/>
        <w:jc w:val="both"/>
        <w:rPr>
          <w:rFonts w:ascii="Arial" w:eastAsia="Calibri" w:hAnsi="Arial" w:cs="Arial"/>
          <w:color w:val="000000"/>
          <w:highlight w:val="yellow"/>
        </w:rPr>
      </w:pPr>
      <w:r w:rsidRPr="00D96184">
        <w:rPr>
          <w:rFonts w:ascii="Arial" w:eastAsia="Calibri" w:hAnsi="Arial" w:cs="Arial"/>
        </w:rPr>
        <w:t xml:space="preserve">La Unidad de Competencia Económica (UCE) del Instituto Federal de Telecomunicaciones (Instituto), presenta este Informe de Consideraciones en cumplimiento al artículo 138, fracción II, de la Ley Federal de Competencia Económica; Acuerdo Tercero del </w:t>
      </w:r>
      <w:r w:rsidRPr="00D96184">
        <w:rPr>
          <w:rFonts w:ascii="Arial" w:eastAsia="Calibri" w:hAnsi="Arial" w:cs="Arial"/>
          <w:i/>
          <w:iCs/>
        </w:rPr>
        <w:t xml:space="preserve">Acuerdo mediante el cual el Pleno del Instituto Federal de Telecomunicaciones determina someter a Consulta Pública el </w:t>
      </w:r>
      <w:r w:rsidR="007924E3" w:rsidRPr="007924E3">
        <w:rPr>
          <w:rFonts w:ascii="Arial" w:eastAsia="Calibri" w:hAnsi="Arial" w:cs="Arial"/>
          <w:i/>
          <w:iCs/>
        </w:rPr>
        <w:t xml:space="preserve">“Anteproyecto de modificación a la Guía para el Control de Concentraciones en los sectores de telecomunicaciones y radiodifusión” </w:t>
      </w:r>
      <w:r w:rsidRPr="00D96184">
        <w:rPr>
          <w:rFonts w:ascii="Arial" w:eastAsia="Calibri" w:hAnsi="Arial" w:cs="Arial"/>
          <w:i/>
          <w:iCs/>
        </w:rPr>
        <w:t>(</w:t>
      </w:r>
      <w:r w:rsidRPr="00D96184">
        <w:rPr>
          <w:rFonts w:ascii="Arial" w:eastAsia="Calibri" w:hAnsi="Arial" w:cs="Arial"/>
        </w:rPr>
        <w:t>Acuerdo P/IFT/180821/40</w:t>
      </w:r>
      <w:r w:rsidR="00943CC4">
        <w:rPr>
          <w:rFonts w:ascii="Arial" w:eastAsia="Calibri" w:hAnsi="Arial" w:cs="Arial"/>
        </w:rPr>
        <w:t>9</w:t>
      </w:r>
      <w:r w:rsidRPr="00D96184">
        <w:rPr>
          <w:rFonts w:ascii="Arial" w:eastAsia="Calibri" w:hAnsi="Arial" w:cs="Arial"/>
          <w:i/>
          <w:iCs/>
        </w:rPr>
        <w:t>)</w:t>
      </w:r>
      <w:r w:rsidRPr="00D96184">
        <w:rPr>
          <w:rFonts w:ascii="Arial" w:eastAsia="Calibri" w:hAnsi="Arial" w:cs="Arial"/>
        </w:rPr>
        <w:t>; 4, fracciones V, inciso vi) y VI,</w:t>
      </w:r>
      <w:r w:rsidR="00BC6A1A">
        <w:rPr>
          <w:rFonts w:ascii="Arial" w:eastAsia="Calibri" w:hAnsi="Arial" w:cs="Arial"/>
        </w:rPr>
        <w:t xml:space="preserve"> y</w:t>
      </w:r>
      <w:r w:rsidRPr="00D96184">
        <w:rPr>
          <w:rFonts w:ascii="Arial" w:eastAsia="Calibri" w:hAnsi="Arial" w:cs="Arial"/>
        </w:rPr>
        <w:t xml:space="preserve"> 47, fracciones VI, IX y X, del Estatuto Orgánico del Instituto Federal de Telecomunicaciones, así como el Lineamiento Noveno de los Lineamientos de Consulta Pública y Análisis de Impacto Regulatorio del Instituto Federal de Telecomunicaciones.</w:t>
      </w:r>
      <w:r w:rsidRPr="00D96184">
        <w:rPr>
          <w:rFonts w:ascii="Arial" w:eastAsia="Calibri" w:hAnsi="Arial" w:cs="Arial"/>
          <w:vertAlign w:val="superscript"/>
        </w:rPr>
        <w:footnoteReference w:id="2"/>
      </w:r>
      <w:r w:rsidRPr="00D96184">
        <w:rPr>
          <w:rFonts w:ascii="Arial" w:eastAsia="Calibri" w:hAnsi="Arial" w:cs="Arial"/>
          <w:vertAlign w:val="superscript"/>
        </w:rPr>
        <w:t>.</w:t>
      </w:r>
    </w:p>
    <w:p w14:paraId="658720ED" w14:textId="799E716F" w:rsidR="002E7781" w:rsidRDefault="00C976EB" w:rsidP="00D50B18">
      <w:pPr>
        <w:spacing w:before="120" w:after="120" w:line="23" w:lineRule="atLeast"/>
        <w:jc w:val="both"/>
        <w:rPr>
          <w:rFonts w:ascii="Arial" w:hAnsi="Arial" w:cs="Arial"/>
          <w:b/>
          <w:bCs/>
        </w:rPr>
      </w:pPr>
      <w:r w:rsidRPr="006837A2">
        <w:rPr>
          <w:rFonts w:ascii="Arial" w:hAnsi="Arial" w:cs="Arial"/>
          <w:b/>
          <w:bCs/>
        </w:rPr>
        <w:t>Glosario</w:t>
      </w:r>
    </w:p>
    <w:tbl>
      <w:tblPr>
        <w:tblW w:w="89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07"/>
        <w:gridCol w:w="7229"/>
      </w:tblGrid>
      <w:tr w:rsidR="009C3B88" w:rsidRPr="003E2214" w14:paraId="4D20B1FC" w14:textId="77777777" w:rsidTr="006B64D9">
        <w:trPr>
          <w:cantSplit/>
          <w:trHeight w:val="77"/>
          <w:tblHeader/>
        </w:trPr>
        <w:tc>
          <w:tcPr>
            <w:tcW w:w="1707" w:type="dxa"/>
            <w:shd w:val="clear" w:color="auto" w:fill="92D050"/>
            <w:vAlign w:val="center"/>
          </w:tcPr>
          <w:p w14:paraId="1F602FD4" w14:textId="77777777" w:rsidR="009C3B88" w:rsidRPr="009C3B88" w:rsidRDefault="009C3B88" w:rsidP="004C3E52">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t>Concepto</w:t>
            </w:r>
          </w:p>
        </w:tc>
        <w:tc>
          <w:tcPr>
            <w:tcW w:w="7229" w:type="dxa"/>
            <w:shd w:val="clear" w:color="auto" w:fill="92D050"/>
          </w:tcPr>
          <w:p w14:paraId="48179E4C" w14:textId="77777777" w:rsidR="009C3B88" w:rsidRPr="009C3B88" w:rsidRDefault="009C3B88" w:rsidP="004C3E52">
            <w:pPr>
              <w:autoSpaceDE w:val="0"/>
              <w:autoSpaceDN w:val="0"/>
              <w:adjustRightInd w:val="0"/>
              <w:spacing w:before="120" w:after="120" w:line="23" w:lineRule="atLeast"/>
              <w:jc w:val="center"/>
              <w:rPr>
                <w:rFonts w:ascii="Arial" w:hAnsi="Arial" w:cs="Arial"/>
                <w:b/>
                <w:sz w:val="18"/>
                <w:szCs w:val="18"/>
              </w:rPr>
            </w:pPr>
            <w:r w:rsidRPr="009C3B88">
              <w:rPr>
                <w:rFonts w:ascii="Arial" w:hAnsi="Arial" w:cs="Arial"/>
                <w:b/>
                <w:sz w:val="18"/>
                <w:szCs w:val="18"/>
              </w:rPr>
              <w:t>Significado</w:t>
            </w:r>
          </w:p>
        </w:tc>
      </w:tr>
      <w:tr w:rsidR="009C3B88" w:rsidRPr="003E2214" w14:paraId="73200C41" w14:textId="77777777" w:rsidTr="006B64D9">
        <w:trPr>
          <w:cantSplit/>
          <w:trHeight w:val="77"/>
        </w:trPr>
        <w:tc>
          <w:tcPr>
            <w:tcW w:w="1707" w:type="dxa"/>
            <w:shd w:val="clear" w:color="auto" w:fill="auto"/>
            <w:vAlign w:val="center"/>
          </w:tcPr>
          <w:p w14:paraId="7A58EB5B" w14:textId="739F80DC" w:rsidR="009C3B88" w:rsidRPr="009C3B88" w:rsidRDefault="00D96184" w:rsidP="004C3E52">
            <w:pPr>
              <w:autoSpaceDE w:val="0"/>
              <w:autoSpaceDN w:val="0"/>
              <w:adjustRightInd w:val="0"/>
              <w:spacing w:before="120" w:after="120" w:line="23" w:lineRule="atLeast"/>
              <w:jc w:val="center"/>
              <w:rPr>
                <w:rFonts w:ascii="Arial" w:hAnsi="Arial" w:cs="Arial"/>
                <w:b/>
                <w:sz w:val="18"/>
                <w:szCs w:val="18"/>
              </w:rPr>
            </w:pPr>
            <w:r w:rsidRPr="00D96184">
              <w:rPr>
                <w:rFonts w:ascii="Arial" w:hAnsi="Arial" w:cs="Arial"/>
                <w:b/>
                <w:sz w:val="18"/>
                <w:szCs w:val="18"/>
              </w:rPr>
              <w:t>Acuerdo de Consulta Pública</w:t>
            </w:r>
          </w:p>
        </w:tc>
        <w:tc>
          <w:tcPr>
            <w:tcW w:w="7229" w:type="dxa"/>
            <w:shd w:val="clear" w:color="auto" w:fill="auto"/>
          </w:tcPr>
          <w:p w14:paraId="404A07F5" w14:textId="4C088240" w:rsidR="00943CC4" w:rsidRPr="00943CC4" w:rsidRDefault="00943CC4" w:rsidP="004C3E52">
            <w:pPr>
              <w:autoSpaceDE w:val="0"/>
              <w:autoSpaceDN w:val="0"/>
              <w:adjustRightInd w:val="0"/>
              <w:spacing w:before="120" w:after="120" w:line="23" w:lineRule="atLeast"/>
              <w:jc w:val="both"/>
              <w:rPr>
                <w:rFonts w:ascii="Arial" w:hAnsi="Arial" w:cs="Arial"/>
                <w:iCs/>
                <w:sz w:val="18"/>
                <w:szCs w:val="18"/>
              </w:rPr>
            </w:pPr>
            <w:r w:rsidRPr="00943CC4">
              <w:rPr>
                <w:rFonts w:ascii="Arial" w:hAnsi="Arial" w:cs="Arial"/>
                <w:iCs/>
                <w:sz w:val="18"/>
                <w:szCs w:val="18"/>
              </w:rPr>
              <w:t>Acuerdo mediante el cual el Pleno del Instituto Federal de Telecomunicaciones determina someter a Consulta Pública el “Anteproyecto de modificación a la Guía para el Control de Concentraciones en los sectores de telecomunicaciones y radiodifusión”</w:t>
            </w:r>
            <w:r>
              <w:rPr>
                <w:rFonts w:ascii="Arial" w:hAnsi="Arial" w:cs="Arial"/>
                <w:iCs/>
                <w:sz w:val="18"/>
                <w:szCs w:val="18"/>
              </w:rPr>
              <w:t xml:space="preserve">. </w:t>
            </w:r>
            <w:r w:rsidRPr="00D96184">
              <w:rPr>
                <w:rFonts w:ascii="Arial" w:hAnsi="Arial" w:cs="Arial"/>
                <w:sz w:val="18"/>
                <w:szCs w:val="18"/>
              </w:rPr>
              <w:t xml:space="preserve"> Acuerdo P/IFT/180821/40</w:t>
            </w:r>
            <w:r>
              <w:rPr>
                <w:rFonts w:ascii="Arial" w:hAnsi="Arial" w:cs="Arial"/>
                <w:sz w:val="18"/>
                <w:szCs w:val="18"/>
              </w:rPr>
              <w:t>9</w:t>
            </w:r>
            <w:r w:rsidRPr="00D96184">
              <w:rPr>
                <w:rFonts w:ascii="Arial" w:hAnsi="Arial" w:cs="Arial"/>
                <w:sz w:val="18"/>
                <w:szCs w:val="18"/>
              </w:rPr>
              <w:t>.</w:t>
            </w:r>
          </w:p>
        </w:tc>
      </w:tr>
      <w:tr w:rsidR="00261109" w:rsidRPr="003E2214" w14:paraId="3F6CF63A" w14:textId="77777777" w:rsidTr="00B368F2">
        <w:trPr>
          <w:trHeight w:val="77"/>
        </w:trPr>
        <w:tc>
          <w:tcPr>
            <w:tcW w:w="1707" w:type="dxa"/>
            <w:shd w:val="clear" w:color="auto" w:fill="auto"/>
            <w:vAlign w:val="center"/>
          </w:tcPr>
          <w:p w14:paraId="5D4C716B" w14:textId="09C3DAD6" w:rsidR="00261109" w:rsidRPr="009C3B88" w:rsidRDefault="00D96184" w:rsidP="004C3E52">
            <w:pPr>
              <w:autoSpaceDE w:val="0"/>
              <w:autoSpaceDN w:val="0"/>
              <w:adjustRightInd w:val="0"/>
              <w:spacing w:before="120" w:after="120" w:line="23" w:lineRule="atLeast"/>
              <w:jc w:val="center"/>
              <w:rPr>
                <w:rFonts w:ascii="Arial" w:hAnsi="Arial" w:cs="Arial"/>
                <w:b/>
                <w:sz w:val="18"/>
                <w:szCs w:val="18"/>
              </w:rPr>
            </w:pPr>
            <w:r w:rsidRPr="00D96184">
              <w:rPr>
                <w:rFonts w:ascii="Arial" w:hAnsi="Arial" w:cs="Arial"/>
                <w:b/>
                <w:sz w:val="18"/>
                <w:szCs w:val="18"/>
              </w:rPr>
              <w:t>Anteproyecto de modificación a</w:t>
            </w:r>
            <w:r w:rsidR="00943CC4">
              <w:rPr>
                <w:rFonts w:ascii="Arial" w:hAnsi="Arial" w:cs="Arial"/>
                <w:b/>
                <w:sz w:val="18"/>
                <w:szCs w:val="18"/>
              </w:rPr>
              <w:t xml:space="preserve"> la Guía</w:t>
            </w:r>
            <w:r w:rsidR="009A6859">
              <w:rPr>
                <w:rFonts w:ascii="Arial" w:hAnsi="Arial" w:cs="Arial"/>
                <w:b/>
                <w:sz w:val="18"/>
                <w:szCs w:val="18"/>
              </w:rPr>
              <w:t xml:space="preserve"> o </w:t>
            </w:r>
            <w:r w:rsidR="009A6859">
              <w:rPr>
                <w:rFonts w:ascii="Arial" w:hAnsi="Arial" w:cs="Arial"/>
                <w:b/>
                <w:sz w:val="18"/>
                <w:szCs w:val="18"/>
              </w:rPr>
              <w:lastRenderedPageBreak/>
              <w:t>Anteproyecto (indistintamente)</w:t>
            </w:r>
          </w:p>
        </w:tc>
        <w:tc>
          <w:tcPr>
            <w:tcW w:w="7229" w:type="dxa"/>
            <w:shd w:val="clear" w:color="auto" w:fill="auto"/>
            <w:vAlign w:val="center"/>
          </w:tcPr>
          <w:p w14:paraId="58A7FB9F" w14:textId="78CF5F2A" w:rsidR="00261109" w:rsidRPr="009C3B88" w:rsidRDefault="00943CC4" w:rsidP="004C3E52">
            <w:pPr>
              <w:autoSpaceDE w:val="0"/>
              <w:autoSpaceDN w:val="0"/>
              <w:adjustRightInd w:val="0"/>
              <w:spacing w:before="120" w:after="120" w:line="23" w:lineRule="atLeast"/>
              <w:jc w:val="both"/>
              <w:rPr>
                <w:rFonts w:ascii="Arial" w:eastAsia="Times New Roman" w:hAnsi="Arial" w:cs="Arial"/>
                <w:sz w:val="18"/>
                <w:szCs w:val="18"/>
              </w:rPr>
            </w:pPr>
            <w:r w:rsidRPr="00943CC4">
              <w:rPr>
                <w:rFonts w:ascii="Arial" w:eastAsia="Times New Roman" w:hAnsi="Arial" w:cs="Arial"/>
                <w:sz w:val="18"/>
                <w:szCs w:val="18"/>
              </w:rPr>
              <w:lastRenderedPageBreak/>
              <w:t>Anteproyecto de modificación a la Guía para el Control de Concentraciones en los sectores de telecomunicaciones y radiodifusión</w:t>
            </w:r>
            <w:r w:rsidR="00D96184" w:rsidRPr="00D96184">
              <w:rPr>
                <w:rFonts w:ascii="Arial" w:eastAsia="Times New Roman" w:hAnsi="Arial" w:cs="Arial"/>
                <w:sz w:val="18"/>
                <w:szCs w:val="18"/>
              </w:rPr>
              <w:t>.</w:t>
            </w:r>
          </w:p>
        </w:tc>
      </w:tr>
      <w:tr w:rsidR="00D96184" w:rsidRPr="003E2214" w14:paraId="64ACB9F2" w14:textId="77777777" w:rsidTr="00B368F2">
        <w:trPr>
          <w:trHeight w:val="77"/>
        </w:trPr>
        <w:tc>
          <w:tcPr>
            <w:tcW w:w="1707" w:type="dxa"/>
            <w:shd w:val="clear" w:color="auto" w:fill="auto"/>
            <w:vAlign w:val="center"/>
          </w:tcPr>
          <w:p w14:paraId="444596A3" w14:textId="4C035BA2" w:rsidR="00D96184" w:rsidRPr="00D96184" w:rsidRDefault="00D96184" w:rsidP="004C3E52">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CMV</w:t>
            </w:r>
          </w:p>
        </w:tc>
        <w:tc>
          <w:tcPr>
            <w:tcW w:w="7229" w:type="dxa"/>
            <w:shd w:val="clear" w:color="auto" w:fill="auto"/>
            <w:vAlign w:val="center"/>
          </w:tcPr>
          <w:p w14:paraId="3CB0C61A" w14:textId="67722387" w:rsidR="00D96184" w:rsidRPr="00D96184" w:rsidRDefault="00D96184" w:rsidP="004C3E52">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sz w:val="18"/>
                <w:szCs w:val="18"/>
              </w:rPr>
              <w:t>Carlos Mora Villalpando</w:t>
            </w:r>
          </w:p>
        </w:tc>
      </w:tr>
      <w:tr w:rsidR="00943CC4" w:rsidRPr="003E2214" w14:paraId="2CF55867" w14:textId="77777777" w:rsidTr="00B368F2">
        <w:trPr>
          <w:trHeight w:val="77"/>
        </w:trPr>
        <w:tc>
          <w:tcPr>
            <w:tcW w:w="1707" w:type="dxa"/>
            <w:shd w:val="clear" w:color="auto" w:fill="auto"/>
            <w:vAlign w:val="center"/>
          </w:tcPr>
          <w:p w14:paraId="4FAC19CB" w14:textId="19ADDB57" w:rsidR="00943CC4" w:rsidRPr="00943CC4" w:rsidRDefault="00943CC4" w:rsidP="004C3E52">
            <w:pPr>
              <w:autoSpaceDE w:val="0"/>
              <w:autoSpaceDN w:val="0"/>
              <w:adjustRightInd w:val="0"/>
              <w:spacing w:before="120" w:after="120" w:line="23" w:lineRule="atLeast"/>
              <w:jc w:val="center"/>
              <w:rPr>
                <w:rFonts w:ascii="Arial" w:hAnsi="Arial" w:cs="Arial"/>
                <w:b/>
                <w:bCs/>
                <w:color w:val="000000"/>
                <w:sz w:val="18"/>
                <w:szCs w:val="18"/>
              </w:rPr>
            </w:pPr>
            <w:r w:rsidRPr="00943CC4">
              <w:rPr>
                <w:rFonts w:ascii="Arial" w:hAnsi="Arial" w:cs="Arial"/>
                <w:b/>
                <w:color w:val="000000"/>
                <w:sz w:val="18"/>
                <w:szCs w:val="18"/>
              </w:rPr>
              <w:t>Axtel</w:t>
            </w:r>
          </w:p>
        </w:tc>
        <w:tc>
          <w:tcPr>
            <w:tcW w:w="7229" w:type="dxa"/>
            <w:shd w:val="clear" w:color="auto" w:fill="auto"/>
            <w:vAlign w:val="center"/>
          </w:tcPr>
          <w:p w14:paraId="18667078" w14:textId="3DC465EF" w:rsidR="00943CC4" w:rsidRPr="003C5301" w:rsidRDefault="00943CC4" w:rsidP="004C3E52">
            <w:pPr>
              <w:autoSpaceDE w:val="0"/>
              <w:autoSpaceDN w:val="0"/>
              <w:adjustRightInd w:val="0"/>
              <w:spacing w:before="120" w:after="120" w:line="23" w:lineRule="atLeast"/>
              <w:jc w:val="both"/>
              <w:rPr>
                <w:rFonts w:ascii="Arial" w:hAnsi="Arial" w:cs="Arial"/>
                <w:sz w:val="18"/>
                <w:szCs w:val="18"/>
              </w:rPr>
            </w:pPr>
            <w:r w:rsidRPr="00C9348D">
              <w:rPr>
                <w:rFonts w:ascii="Arial" w:hAnsi="Arial" w:cs="Arial"/>
                <w:sz w:val="18"/>
                <w:szCs w:val="18"/>
              </w:rPr>
              <w:t>Axtel, S.A.B. de C.V.</w:t>
            </w:r>
          </w:p>
        </w:tc>
      </w:tr>
      <w:tr w:rsidR="00943CC4" w:rsidRPr="003E2214" w14:paraId="729DE708" w14:textId="77777777" w:rsidTr="00B368F2">
        <w:trPr>
          <w:trHeight w:val="77"/>
        </w:trPr>
        <w:tc>
          <w:tcPr>
            <w:tcW w:w="1707" w:type="dxa"/>
            <w:shd w:val="clear" w:color="auto" w:fill="auto"/>
            <w:vAlign w:val="center"/>
          </w:tcPr>
          <w:p w14:paraId="0C9D5228" w14:textId="328746AF" w:rsidR="00943CC4" w:rsidRPr="00943CC4" w:rsidRDefault="00943CC4" w:rsidP="004C3E52">
            <w:pPr>
              <w:autoSpaceDE w:val="0"/>
              <w:autoSpaceDN w:val="0"/>
              <w:adjustRightInd w:val="0"/>
              <w:spacing w:before="120" w:after="120" w:line="23" w:lineRule="atLeast"/>
              <w:jc w:val="center"/>
              <w:rPr>
                <w:rFonts w:ascii="Arial" w:hAnsi="Arial" w:cs="Arial"/>
                <w:b/>
                <w:bCs/>
                <w:color w:val="000000"/>
                <w:sz w:val="18"/>
                <w:szCs w:val="18"/>
              </w:rPr>
            </w:pPr>
            <w:r w:rsidRPr="00943CC4">
              <w:rPr>
                <w:rFonts w:ascii="Arial" w:hAnsi="Arial" w:cs="Arial"/>
                <w:b/>
                <w:color w:val="000000"/>
                <w:sz w:val="18"/>
                <w:szCs w:val="18"/>
              </w:rPr>
              <w:t>CMV</w:t>
            </w:r>
          </w:p>
        </w:tc>
        <w:tc>
          <w:tcPr>
            <w:tcW w:w="7229" w:type="dxa"/>
            <w:shd w:val="clear" w:color="auto" w:fill="auto"/>
            <w:vAlign w:val="center"/>
          </w:tcPr>
          <w:p w14:paraId="0A657DF5" w14:textId="0AAF7EA5" w:rsidR="00943CC4" w:rsidRPr="003C5301" w:rsidRDefault="00943CC4" w:rsidP="004C3E52">
            <w:pPr>
              <w:autoSpaceDE w:val="0"/>
              <w:autoSpaceDN w:val="0"/>
              <w:adjustRightInd w:val="0"/>
              <w:spacing w:before="120" w:after="120" w:line="23" w:lineRule="atLeast"/>
              <w:jc w:val="both"/>
              <w:rPr>
                <w:rFonts w:ascii="Arial" w:hAnsi="Arial" w:cs="Arial"/>
                <w:sz w:val="18"/>
                <w:szCs w:val="18"/>
              </w:rPr>
            </w:pPr>
            <w:r w:rsidRPr="00C9348D">
              <w:rPr>
                <w:rFonts w:ascii="Arial" w:hAnsi="Arial" w:cs="Arial"/>
                <w:sz w:val="18"/>
                <w:szCs w:val="18"/>
              </w:rPr>
              <w:t>Carlos Mora Villalpando</w:t>
            </w:r>
          </w:p>
        </w:tc>
      </w:tr>
      <w:tr w:rsidR="00943CC4" w:rsidRPr="003E2214" w14:paraId="15F45F49" w14:textId="77777777" w:rsidTr="00B368F2">
        <w:trPr>
          <w:trHeight w:val="77"/>
        </w:trPr>
        <w:tc>
          <w:tcPr>
            <w:tcW w:w="1707" w:type="dxa"/>
            <w:shd w:val="clear" w:color="auto" w:fill="auto"/>
            <w:vAlign w:val="center"/>
          </w:tcPr>
          <w:p w14:paraId="0DD8DE60" w14:textId="099A35F8" w:rsidR="00943CC4" w:rsidRPr="00943CC4" w:rsidRDefault="00943CC4" w:rsidP="004C3E52">
            <w:pPr>
              <w:autoSpaceDE w:val="0"/>
              <w:autoSpaceDN w:val="0"/>
              <w:adjustRightInd w:val="0"/>
              <w:spacing w:before="120" w:after="120" w:line="23" w:lineRule="atLeast"/>
              <w:jc w:val="center"/>
              <w:rPr>
                <w:rFonts w:ascii="Arial" w:hAnsi="Arial" w:cs="Arial"/>
                <w:b/>
                <w:bCs/>
                <w:color w:val="000000"/>
                <w:sz w:val="18"/>
                <w:szCs w:val="18"/>
              </w:rPr>
            </w:pPr>
            <w:r w:rsidRPr="00943CC4">
              <w:rPr>
                <w:rFonts w:ascii="Arial" w:hAnsi="Arial" w:cs="Arial"/>
                <w:b/>
                <w:color w:val="000000"/>
                <w:sz w:val="18"/>
                <w:szCs w:val="18"/>
              </w:rPr>
              <w:t>CHG</w:t>
            </w:r>
          </w:p>
        </w:tc>
        <w:tc>
          <w:tcPr>
            <w:tcW w:w="7229" w:type="dxa"/>
            <w:shd w:val="clear" w:color="auto" w:fill="auto"/>
            <w:vAlign w:val="center"/>
          </w:tcPr>
          <w:p w14:paraId="53D7B981" w14:textId="7C151D24" w:rsidR="00943CC4" w:rsidRPr="003C5301" w:rsidRDefault="00943CC4" w:rsidP="004C3E52">
            <w:pPr>
              <w:autoSpaceDE w:val="0"/>
              <w:autoSpaceDN w:val="0"/>
              <w:adjustRightInd w:val="0"/>
              <w:spacing w:before="120" w:after="120" w:line="23" w:lineRule="atLeast"/>
              <w:jc w:val="both"/>
              <w:rPr>
                <w:rFonts w:ascii="Arial" w:hAnsi="Arial" w:cs="Arial"/>
                <w:sz w:val="18"/>
                <w:szCs w:val="18"/>
              </w:rPr>
            </w:pPr>
            <w:r w:rsidRPr="00C9348D">
              <w:rPr>
                <w:rFonts w:ascii="Arial" w:hAnsi="Arial" w:cs="Arial"/>
                <w:sz w:val="18"/>
                <w:szCs w:val="18"/>
              </w:rPr>
              <w:t>Carmen Hernández Gómez</w:t>
            </w:r>
          </w:p>
        </w:tc>
      </w:tr>
      <w:tr w:rsidR="00943CC4" w:rsidRPr="003E2214" w14:paraId="669C7068" w14:textId="77777777" w:rsidTr="00B368F2">
        <w:trPr>
          <w:trHeight w:val="77"/>
        </w:trPr>
        <w:tc>
          <w:tcPr>
            <w:tcW w:w="1707" w:type="dxa"/>
            <w:shd w:val="clear" w:color="auto" w:fill="auto"/>
            <w:vAlign w:val="center"/>
          </w:tcPr>
          <w:p w14:paraId="0CB4D6DC" w14:textId="510BFB2B" w:rsidR="00943CC4" w:rsidRPr="00943CC4" w:rsidRDefault="00943CC4" w:rsidP="004C3E52">
            <w:pPr>
              <w:autoSpaceDE w:val="0"/>
              <w:autoSpaceDN w:val="0"/>
              <w:adjustRightInd w:val="0"/>
              <w:spacing w:before="120" w:after="120" w:line="23" w:lineRule="atLeast"/>
              <w:jc w:val="center"/>
              <w:rPr>
                <w:rFonts w:ascii="Arial" w:hAnsi="Arial" w:cs="Arial"/>
                <w:b/>
                <w:bCs/>
                <w:color w:val="000000"/>
                <w:sz w:val="18"/>
                <w:szCs w:val="18"/>
              </w:rPr>
            </w:pPr>
            <w:r w:rsidRPr="00943CC4">
              <w:rPr>
                <w:rFonts w:ascii="Arial" w:hAnsi="Arial" w:cs="Arial"/>
                <w:b/>
                <w:color w:val="000000"/>
                <w:sz w:val="18"/>
                <w:szCs w:val="18"/>
              </w:rPr>
              <w:t>COFECE</w:t>
            </w:r>
          </w:p>
        </w:tc>
        <w:tc>
          <w:tcPr>
            <w:tcW w:w="7229" w:type="dxa"/>
            <w:shd w:val="clear" w:color="auto" w:fill="auto"/>
            <w:vAlign w:val="center"/>
          </w:tcPr>
          <w:p w14:paraId="10A35FBC" w14:textId="53AF7BA8" w:rsidR="00943CC4" w:rsidRPr="003C5301" w:rsidRDefault="00943CC4" w:rsidP="004C3E52">
            <w:pPr>
              <w:autoSpaceDE w:val="0"/>
              <w:autoSpaceDN w:val="0"/>
              <w:adjustRightInd w:val="0"/>
              <w:spacing w:before="120" w:after="120" w:line="23" w:lineRule="atLeast"/>
              <w:jc w:val="both"/>
              <w:rPr>
                <w:rFonts w:ascii="Arial" w:hAnsi="Arial" w:cs="Arial"/>
                <w:sz w:val="18"/>
                <w:szCs w:val="18"/>
              </w:rPr>
            </w:pPr>
            <w:r w:rsidRPr="00C9348D">
              <w:rPr>
                <w:rFonts w:ascii="Arial" w:hAnsi="Arial" w:cs="Arial"/>
                <w:sz w:val="18"/>
                <w:szCs w:val="18"/>
              </w:rPr>
              <w:t>Comisión Federal de Competencia Económica.</w:t>
            </w:r>
          </w:p>
        </w:tc>
      </w:tr>
      <w:tr w:rsidR="00D96184" w:rsidRPr="003E2214" w14:paraId="508754EF" w14:textId="77777777" w:rsidTr="00B368F2">
        <w:trPr>
          <w:trHeight w:val="77"/>
        </w:trPr>
        <w:tc>
          <w:tcPr>
            <w:tcW w:w="1707" w:type="dxa"/>
            <w:shd w:val="clear" w:color="auto" w:fill="auto"/>
            <w:vAlign w:val="center"/>
          </w:tcPr>
          <w:p w14:paraId="07579798" w14:textId="05F964B6" w:rsidR="00D96184" w:rsidRPr="00D96184" w:rsidRDefault="00D96184" w:rsidP="004C3E52">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Consulta Pública</w:t>
            </w:r>
          </w:p>
        </w:tc>
        <w:tc>
          <w:tcPr>
            <w:tcW w:w="7229" w:type="dxa"/>
            <w:shd w:val="clear" w:color="auto" w:fill="auto"/>
            <w:vAlign w:val="center"/>
          </w:tcPr>
          <w:p w14:paraId="465F492E" w14:textId="44B9184C" w:rsidR="00D96184" w:rsidRPr="00D96184" w:rsidRDefault="00D96184" w:rsidP="004C3E52">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sz w:val="18"/>
                <w:szCs w:val="18"/>
              </w:rPr>
              <w:t xml:space="preserve">Consulta Pública del Anteproyecto de </w:t>
            </w:r>
            <w:r>
              <w:rPr>
                <w:rFonts w:ascii="Arial" w:hAnsi="Arial" w:cs="Arial"/>
                <w:sz w:val="18"/>
                <w:szCs w:val="18"/>
              </w:rPr>
              <w:t>modificación a</w:t>
            </w:r>
            <w:r w:rsidR="00943CC4">
              <w:rPr>
                <w:rFonts w:ascii="Arial" w:hAnsi="Arial" w:cs="Arial"/>
                <w:sz w:val="18"/>
                <w:szCs w:val="18"/>
              </w:rPr>
              <w:t xml:space="preserve"> la Guía</w:t>
            </w:r>
          </w:p>
        </w:tc>
      </w:tr>
      <w:tr w:rsidR="00D96184" w:rsidRPr="003E2214" w14:paraId="4A2CA203" w14:textId="77777777" w:rsidTr="00B368F2">
        <w:trPr>
          <w:trHeight w:val="77"/>
        </w:trPr>
        <w:tc>
          <w:tcPr>
            <w:tcW w:w="1707" w:type="dxa"/>
            <w:shd w:val="clear" w:color="auto" w:fill="auto"/>
            <w:vAlign w:val="center"/>
          </w:tcPr>
          <w:p w14:paraId="58559A9B" w14:textId="4B995B9B" w:rsidR="00D96184" w:rsidRPr="00D96184" w:rsidRDefault="00D96184" w:rsidP="004C3E52">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Disposiciones Regulatorias</w:t>
            </w:r>
          </w:p>
        </w:tc>
        <w:tc>
          <w:tcPr>
            <w:tcW w:w="7229" w:type="dxa"/>
            <w:shd w:val="clear" w:color="auto" w:fill="auto"/>
            <w:vAlign w:val="center"/>
          </w:tcPr>
          <w:p w14:paraId="671921A5" w14:textId="38B78943" w:rsidR="00D96184" w:rsidRPr="00D96184" w:rsidRDefault="00D96184" w:rsidP="004C3E52">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color w:val="000000"/>
                <w:sz w:val="18"/>
                <w:szCs w:val="18"/>
              </w:rPr>
              <w:t>Disposiciones Regulatorias de la Ley Federal de Competencia Económica para los sectores de telecomunicaciones y radiodifusión.</w:t>
            </w:r>
          </w:p>
        </w:tc>
      </w:tr>
      <w:tr w:rsidR="00D96184" w:rsidRPr="003E2214" w14:paraId="219322A2" w14:textId="77777777" w:rsidTr="00B368F2">
        <w:trPr>
          <w:trHeight w:val="77"/>
        </w:trPr>
        <w:tc>
          <w:tcPr>
            <w:tcW w:w="1707" w:type="dxa"/>
            <w:shd w:val="clear" w:color="auto" w:fill="auto"/>
            <w:vAlign w:val="center"/>
          </w:tcPr>
          <w:p w14:paraId="30CA75BC" w14:textId="555C19B5" w:rsidR="00D96184" w:rsidRPr="00D96184" w:rsidRDefault="00D96184" w:rsidP="004C3E52">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DOF</w:t>
            </w:r>
          </w:p>
        </w:tc>
        <w:tc>
          <w:tcPr>
            <w:tcW w:w="7229" w:type="dxa"/>
            <w:shd w:val="clear" w:color="auto" w:fill="auto"/>
            <w:vAlign w:val="center"/>
          </w:tcPr>
          <w:p w14:paraId="621382F0" w14:textId="741999BE" w:rsidR="00D96184" w:rsidRPr="00D96184" w:rsidRDefault="00D96184" w:rsidP="004C3E52">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color w:val="000000"/>
                <w:sz w:val="18"/>
                <w:szCs w:val="18"/>
              </w:rPr>
              <w:t>Diario Oficial de la Federación.</w:t>
            </w:r>
          </w:p>
        </w:tc>
      </w:tr>
      <w:tr w:rsidR="00D96184" w:rsidRPr="003E2214" w14:paraId="59D489F6" w14:textId="77777777" w:rsidTr="00B368F2">
        <w:trPr>
          <w:trHeight w:val="77"/>
        </w:trPr>
        <w:tc>
          <w:tcPr>
            <w:tcW w:w="1707" w:type="dxa"/>
            <w:shd w:val="clear" w:color="auto" w:fill="auto"/>
            <w:vAlign w:val="center"/>
          </w:tcPr>
          <w:p w14:paraId="77D14F14" w14:textId="49530AC5" w:rsidR="00D96184" w:rsidRPr="00D96184" w:rsidRDefault="00D96184" w:rsidP="004C3E52">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Estatuto Orgánico</w:t>
            </w:r>
          </w:p>
        </w:tc>
        <w:tc>
          <w:tcPr>
            <w:tcW w:w="7229" w:type="dxa"/>
            <w:shd w:val="clear" w:color="auto" w:fill="auto"/>
            <w:vAlign w:val="center"/>
          </w:tcPr>
          <w:p w14:paraId="33D3A7AE" w14:textId="152BF607" w:rsidR="00D96184" w:rsidRPr="00D96184" w:rsidRDefault="00D96184" w:rsidP="004C3E52">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color w:val="000000"/>
                <w:sz w:val="18"/>
                <w:szCs w:val="18"/>
              </w:rPr>
              <w:t>Estatuto Orgánico del Instituto Federal de Telecomunicaciones.</w:t>
            </w:r>
          </w:p>
        </w:tc>
      </w:tr>
      <w:tr w:rsidR="00D96184" w:rsidRPr="003E2214" w14:paraId="47D6F181" w14:textId="77777777" w:rsidTr="00B368F2">
        <w:trPr>
          <w:trHeight w:val="77"/>
        </w:trPr>
        <w:tc>
          <w:tcPr>
            <w:tcW w:w="1707" w:type="dxa"/>
            <w:shd w:val="clear" w:color="auto" w:fill="auto"/>
            <w:vAlign w:val="center"/>
          </w:tcPr>
          <w:p w14:paraId="1C153857" w14:textId="27474A3B" w:rsidR="00D96184" w:rsidRPr="00D96184" w:rsidRDefault="00D96184" w:rsidP="004C3E52">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Instituto o IFT (indistintamente)</w:t>
            </w:r>
          </w:p>
        </w:tc>
        <w:tc>
          <w:tcPr>
            <w:tcW w:w="7229" w:type="dxa"/>
            <w:shd w:val="clear" w:color="auto" w:fill="auto"/>
            <w:vAlign w:val="center"/>
          </w:tcPr>
          <w:p w14:paraId="751F2B8F" w14:textId="73ABA13D" w:rsidR="00D96184" w:rsidRPr="00D96184" w:rsidRDefault="00D96184" w:rsidP="004C3E52">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color w:val="000000"/>
                <w:sz w:val="18"/>
                <w:szCs w:val="18"/>
              </w:rPr>
              <w:t>Instituto Federal de Telecomunicaciones.</w:t>
            </w:r>
          </w:p>
        </w:tc>
      </w:tr>
      <w:tr w:rsidR="00D96184" w:rsidRPr="003E2214" w14:paraId="6401E13C" w14:textId="77777777" w:rsidTr="00B368F2">
        <w:trPr>
          <w:trHeight w:val="77"/>
        </w:trPr>
        <w:tc>
          <w:tcPr>
            <w:tcW w:w="1707" w:type="dxa"/>
            <w:shd w:val="clear" w:color="auto" w:fill="auto"/>
            <w:vAlign w:val="center"/>
          </w:tcPr>
          <w:p w14:paraId="02339F1B" w14:textId="74F778F8" w:rsidR="00D96184" w:rsidRPr="00D96184" w:rsidRDefault="00D96184" w:rsidP="004C3E52">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Lineamientos de Consulta Pública</w:t>
            </w:r>
          </w:p>
        </w:tc>
        <w:tc>
          <w:tcPr>
            <w:tcW w:w="7229" w:type="dxa"/>
            <w:shd w:val="clear" w:color="auto" w:fill="auto"/>
            <w:vAlign w:val="center"/>
          </w:tcPr>
          <w:p w14:paraId="116B7F5E" w14:textId="1A5585DE" w:rsidR="00D96184" w:rsidRPr="00D96184" w:rsidRDefault="00D96184" w:rsidP="004C3E52">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color w:val="000000"/>
                <w:sz w:val="18"/>
                <w:szCs w:val="18"/>
              </w:rPr>
              <w:t>Lineamientos de Consulta Pública y Análisis de Impacto Regulatorio del IFT.</w:t>
            </w:r>
          </w:p>
        </w:tc>
      </w:tr>
      <w:tr w:rsidR="00D96184" w:rsidRPr="003E2214" w14:paraId="3464D146" w14:textId="77777777" w:rsidTr="00B368F2">
        <w:trPr>
          <w:trHeight w:val="77"/>
        </w:trPr>
        <w:tc>
          <w:tcPr>
            <w:tcW w:w="1707" w:type="dxa"/>
            <w:shd w:val="clear" w:color="auto" w:fill="auto"/>
            <w:vAlign w:val="center"/>
          </w:tcPr>
          <w:p w14:paraId="237013A2" w14:textId="54E8C37E" w:rsidR="00D96184" w:rsidRPr="00D96184" w:rsidRDefault="00D96184" w:rsidP="004C3E52">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LFCE</w:t>
            </w:r>
          </w:p>
        </w:tc>
        <w:tc>
          <w:tcPr>
            <w:tcW w:w="7229" w:type="dxa"/>
            <w:shd w:val="clear" w:color="auto" w:fill="auto"/>
            <w:vAlign w:val="center"/>
          </w:tcPr>
          <w:p w14:paraId="1DADECDE" w14:textId="5DFD4DEB" w:rsidR="00D96184" w:rsidRPr="00D96184" w:rsidRDefault="00D96184" w:rsidP="004C3E52">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color w:val="000000"/>
                <w:sz w:val="18"/>
                <w:szCs w:val="18"/>
              </w:rPr>
              <w:t>Ley Federal de Competencia Económica.</w:t>
            </w:r>
          </w:p>
        </w:tc>
      </w:tr>
      <w:tr w:rsidR="00D96184" w:rsidRPr="003E2214" w14:paraId="6C57A8C7" w14:textId="77777777" w:rsidTr="00B368F2">
        <w:trPr>
          <w:trHeight w:val="77"/>
        </w:trPr>
        <w:tc>
          <w:tcPr>
            <w:tcW w:w="1707" w:type="dxa"/>
            <w:shd w:val="clear" w:color="auto" w:fill="auto"/>
            <w:vAlign w:val="center"/>
          </w:tcPr>
          <w:p w14:paraId="18888E30" w14:textId="00A0AD4B" w:rsidR="00D96184" w:rsidRPr="00D96184" w:rsidRDefault="00D96184" w:rsidP="004C3E52">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LFTR</w:t>
            </w:r>
          </w:p>
        </w:tc>
        <w:tc>
          <w:tcPr>
            <w:tcW w:w="7229" w:type="dxa"/>
            <w:shd w:val="clear" w:color="auto" w:fill="auto"/>
            <w:vAlign w:val="center"/>
          </w:tcPr>
          <w:p w14:paraId="49C381CE" w14:textId="59A31A05" w:rsidR="00D96184" w:rsidRPr="00D96184" w:rsidRDefault="00D96184" w:rsidP="004C3E52">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color w:val="000000"/>
                <w:sz w:val="18"/>
                <w:szCs w:val="18"/>
              </w:rPr>
              <w:t>Ley Federal de Telecomunicaciones y Radiodifusión.</w:t>
            </w:r>
          </w:p>
        </w:tc>
      </w:tr>
      <w:tr w:rsidR="00D96184" w:rsidRPr="003E2214" w14:paraId="4EA42CF1" w14:textId="77777777" w:rsidTr="00B368F2">
        <w:trPr>
          <w:trHeight w:val="77"/>
        </w:trPr>
        <w:tc>
          <w:tcPr>
            <w:tcW w:w="1707" w:type="dxa"/>
            <w:shd w:val="clear" w:color="auto" w:fill="auto"/>
            <w:vAlign w:val="center"/>
          </w:tcPr>
          <w:p w14:paraId="6BC2CF46" w14:textId="2F24B4AB" w:rsidR="00D96184" w:rsidRPr="00D96184" w:rsidRDefault="00D96184" w:rsidP="004C3E52">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Mega Cable</w:t>
            </w:r>
          </w:p>
        </w:tc>
        <w:tc>
          <w:tcPr>
            <w:tcW w:w="7229" w:type="dxa"/>
            <w:shd w:val="clear" w:color="auto" w:fill="auto"/>
            <w:vAlign w:val="center"/>
          </w:tcPr>
          <w:p w14:paraId="2B96AE29" w14:textId="612A1000" w:rsidR="00D96184" w:rsidRPr="00D96184" w:rsidRDefault="00D96184" w:rsidP="004C3E52">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color w:val="000000"/>
                <w:sz w:val="18"/>
                <w:szCs w:val="18"/>
              </w:rPr>
              <w:t>Mega Cable, S.A. de C.V.</w:t>
            </w:r>
          </w:p>
        </w:tc>
      </w:tr>
      <w:tr w:rsidR="00D96184" w:rsidRPr="003E2214" w14:paraId="37F29E9D" w14:textId="77777777" w:rsidTr="00B368F2">
        <w:trPr>
          <w:trHeight w:val="77"/>
        </w:trPr>
        <w:tc>
          <w:tcPr>
            <w:tcW w:w="1707" w:type="dxa"/>
            <w:shd w:val="clear" w:color="auto" w:fill="auto"/>
            <w:vAlign w:val="center"/>
          </w:tcPr>
          <w:p w14:paraId="26B42AE5" w14:textId="2E33D439" w:rsidR="00D96184" w:rsidRPr="00D96184" w:rsidRDefault="00D96184" w:rsidP="004C3E52">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Pleno</w:t>
            </w:r>
          </w:p>
        </w:tc>
        <w:tc>
          <w:tcPr>
            <w:tcW w:w="7229" w:type="dxa"/>
            <w:shd w:val="clear" w:color="auto" w:fill="auto"/>
            <w:vAlign w:val="center"/>
          </w:tcPr>
          <w:p w14:paraId="68DE6C6E" w14:textId="25B4B634" w:rsidR="00D96184" w:rsidRPr="00D96184" w:rsidRDefault="00D96184" w:rsidP="004C3E52">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color w:val="000000"/>
                <w:sz w:val="18"/>
                <w:szCs w:val="18"/>
              </w:rPr>
              <w:t>Pleno del Instituto Federal de Telecomunicaciones.</w:t>
            </w:r>
          </w:p>
        </w:tc>
      </w:tr>
      <w:tr w:rsidR="00943CC4" w:rsidRPr="003E2214" w14:paraId="5502EE4F" w14:textId="77777777" w:rsidTr="00B368F2">
        <w:trPr>
          <w:trHeight w:val="77"/>
        </w:trPr>
        <w:tc>
          <w:tcPr>
            <w:tcW w:w="1707" w:type="dxa"/>
            <w:shd w:val="clear" w:color="auto" w:fill="auto"/>
            <w:vAlign w:val="center"/>
          </w:tcPr>
          <w:p w14:paraId="1CCA263A" w14:textId="1C1CAB32" w:rsidR="00943CC4" w:rsidRPr="00943CC4" w:rsidRDefault="00943CC4" w:rsidP="004C3E52">
            <w:pPr>
              <w:autoSpaceDE w:val="0"/>
              <w:autoSpaceDN w:val="0"/>
              <w:adjustRightInd w:val="0"/>
              <w:spacing w:before="120" w:after="120" w:line="23" w:lineRule="atLeast"/>
              <w:jc w:val="center"/>
              <w:rPr>
                <w:rFonts w:ascii="Arial" w:hAnsi="Arial" w:cs="Arial"/>
                <w:b/>
                <w:bCs/>
                <w:color w:val="000000"/>
                <w:sz w:val="18"/>
                <w:szCs w:val="18"/>
              </w:rPr>
            </w:pPr>
            <w:r w:rsidRPr="00943CC4">
              <w:rPr>
                <w:rFonts w:ascii="Arial" w:hAnsi="Arial" w:cs="Arial"/>
                <w:b/>
                <w:color w:val="000000"/>
                <w:sz w:val="18"/>
                <w:szCs w:val="18"/>
              </w:rPr>
              <w:t>PJF</w:t>
            </w:r>
          </w:p>
        </w:tc>
        <w:tc>
          <w:tcPr>
            <w:tcW w:w="7229" w:type="dxa"/>
            <w:shd w:val="clear" w:color="auto" w:fill="auto"/>
            <w:vAlign w:val="center"/>
          </w:tcPr>
          <w:p w14:paraId="122949DA" w14:textId="12E06613" w:rsidR="00943CC4" w:rsidRPr="003C5301" w:rsidRDefault="00943CC4" w:rsidP="004C3E52">
            <w:pPr>
              <w:autoSpaceDE w:val="0"/>
              <w:autoSpaceDN w:val="0"/>
              <w:adjustRightInd w:val="0"/>
              <w:spacing w:before="120" w:after="120" w:line="23" w:lineRule="atLeast"/>
              <w:jc w:val="both"/>
              <w:rPr>
                <w:rFonts w:ascii="Arial" w:hAnsi="Arial" w:cs="Arial"/>
                <w:color w:val="000000"/>
                <w:sz w:val="18"/>
                <w:szCs w:val="18"/>
              </w:rPr>
            </w:pPr>
            <w:r w:rsidRPr="00C9348D">
              <w:rPr>
                <w:rFonts w:ascii="Arial" w:hAnsi="Arial" w:cs="Arial"/>
                <w:color w:val="000000"/>
                <w:sz w:val="18"/>
                <w:szCs w:val="18"/>
              </w:rPr>
              <w:t>Poder Judicial de la Federación</w:t>
            </w:r>
          </w:p>
        </w:tc>
      </w:tr>
      <w:tr w:rsidR="00D96184" w:rsidRPr="003E2214" w14:paraId="6568E6AB" w14:textId="77777777" w:rsidTr="00B368F2">
        <w:trPr>
          <w:trHeight w:val="77"/>
        </w:trPr>
        <w:tc>
          <w:tcPr>
            <w:tcW w:w="1707" w:type="dxa"/>
            <w:shd w:val="clear" w:color="auto" w:fill="auto"/>
            <w:vAlign w:val="center"/>
          </w:tcPr>
          <w:p w14:paraId="31ADA6C9" w14:textId="51EDE762" w:rsidR="00D96184" w:rsidRPr="00D96184" w:rsidRDefault="00D96184" w:rsidP="004C3E52">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Telefónica</w:t>
            </w:r>
          </w:p>
        </w:tc>
        <w:tc>
          <w:tcPr>
            <w:tcW w:w="7229" w:type="dxa"/>
            <w:shd w:val="clear" w:color="auto" w:fill="auto"/>
            <w:vAlign w:val="center"/>
          </w:tcPr>
          <w:p w14:paraId="6DE42B95" w14:textId="4FDCE1A4" w:rsidR="00D96184" w:rsidRPr="00D96184" w:rsidRDefault="00D96184" w:rsidP="004C3E52">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sz w:val="18"/>
                <w:szCs w:val="18"/>
              </w:rPr>
              <w:t>Pegaso PCS, S.A. de C.V.</w:t>
            </w:r>
          </w:p>
        </w:tc>
      </w:tr>
      <w:tr w:rsidR="00D96184" w:rsidRPr="003E2214" w14:paraId="4A57B026" w14:textId="77777777" w:rsidTr="00B368F2">
        <w:trPr>
          <w:trHeight w:val="77"/>
        </w:trPr>
        <w:tc>
          <w:tcPr>
            <w:tcW w:w="1707" w:type="dxa"/>
            <w:shd w:val="clear" w:color="auto" w:fill="auto"/>
            <w:vAlign w:val="center"/>
          </w:tcPr>
          <w:p w14:paraId="13E3638B" w14:textId="5D4F37A6" w:rsidR="00D96184" w:rsidRPr="00D96184" w:rsidRDefault="00D96184" w:rsidP="004C3E52">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TyR</w:t>
            </w:r>
          </w:p>
        </w:tc>
        <w:tc>
          <w:tcPr>
            <w:tcW w:w="7229" w:type="dxa"/>
            <w:shd w:val="clear" w:color="auto" w:fill="auto"/>
            <w:vAlign w:val="center"/>
          </w:tcPr>
          <w:p w14:paraId="156E7A54" w14:textId="2D33481C" w:rsidR="00D96184" w:rsidRPr="00D96184" w:rsidRDefault="00D96184" w:rsidP="004C3E52">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color w:val="000000"/>
                <w:sz w:val="18"/>
                <w:szCs w:val="18"/>
              </w:rPr>
              <w:t>Telecomunicaciones y Radiodifusión.</w:t>
            </w:r>
          </w:p>
        </w:tc>
      </w:tr>
      <w:tr w:rsidR="00D96184" w:rsidRPr="003E2214" w14:paraId="7A4208BF" w14:textId="77777777" w:rsidTr="00B368F2">
        <w:trPr>
          <w:trHeight w:val="77"/>
        </w:trPr>
        <w:tc>
          <w:tcPr>
            <w:tcW w:w="1707" w:type="dxa"/>
            <w:shd w:val="clear" w:color="auto" w:fill="auto"/>
            <w:vAlign w:val="center"/>
          </w:tcPr>
          <w:p w14:paraId="3E94B882" w14:textId="4316D31D" w:rsidR="00D96184" w:rsidRPr="00D96184" w:rsidRDefault="00D96184" w:rsidP="004C3E52">
            <w:pPr>
              <w:autoSpaceDE w:val="0"/>
              <w:autoSpaceDN w:val="0"/>
              <w:adjustRightInd w:val="0"/>
              <w:spacing w:before="120" w:after="120" w:line="23" w:lineRule="atLeast"/>
              <w:jc w:val="center"/>
              <w:rPr>
                <w:rFonts w:ascii="Arial" w:hAnsi="Arial" w:cs="Arial"/>
                <w:b/>
                <w:sz w:val="18"/>
                <w:szCs w:val="18"/>
              </w:rPr>
            </w:pPr>
            <w:r w:rsidRPr="00701483">
              <w:rPr>
                <w:rFonts w:ascii="Arial" w:hAnsi="Arial" w:cs="Arial"/>
                <w:b/>
                <w:bCs/>
                <w:color w:val="000000"/>
                <w:sz w:val="18"/>
                <w:szCs w:val="18"/>
              </w:rPr>
              <w:t>UCE</w:t>
            </w:r>
          </w:p>
        </w:tc>
        <w:tc>
          <w:tcPr>
            <w:tcW w:w="7229" w:type="dxa"/>
            <w:shd w:val="clear" w:color="auto" w:fill="auto"/>
            <w:vAlign w:val="center"/>
          </w:tcPr>
          <w:p w14:paraId="6A77353B" w14:textId="2362349D" w:rsidR="00D96184" w:rsidRPr="00D96184" w:rsidRDefault="00D96184" w:rsidP="004C3E52">
            <w:pPr>
              <w:autoSpaceDE w:val="0"/>
              <w:autoSpaceDN w:val="0"/>
              <w:adjustRightInd w:val="0"/>
              <w:spacing w:before="120" w:after="120" w:line="23" w:lineRule="atLeast"/>
              <w:jc w:val="both"/>
              <w:rPr>
                <w:rFonts w:ascii="Arial" w:eastAsia="Times New Roman" w:hAnsi="Arial" w:cs="Arial"/>
                <w:sz w:val="18"/>
                <w:szCs w:val="18"/>
              </w:rPr>
            </w:pPr>
            <w:r w:rsidRPr="003C5301">
              <w:rPr>
                <w:rFonts w:ascii="Arial" w:hAnsi="Arial" w:cs="Arial"/>
                <w:color w:val="000000"/>
                <w:sz w:val="18"/>
                <w:szCs w:val="18"/>
              </w:rPr>
              <w:t>Unidad de Competencia Económica del Instituto Federal de Telecomunicaciones.</w:t>
            </w:r>
          </w:p>
        </w:tc>
      </w:tr>
    </w:tbl>
    <w:p w14:paraId="691CA4BD" w14:textId="4F975039" w:rsidR="00BD0207" w:rsidRDefault="009C0C80" w:rsidP="00421559">
      <w:pPr>
        <w:keepNext/>
        <w:spacing w:before="120" w:after="120" w:line="276" w:lineRule="auto"/>
        <w:jc w:val="both"/>
        <w:rPr>
          <w:rFonts w:ascii="Arial" w:hAnsi="Arial" w:cs="Arial"/>
          <w:b/>
          <w:bCs/>
        </w:rPr>
      </w:pPr>
      <w:r>
        <w:rPr>
          <w:rFonts w:ascii="Arial" w:hAnsi="Arial" w:cs="Arial"/>
          <w:b/>
          <w:bCs/>
        </w:rPr>
        <w:lastRenderedPageBreak/>
        <w:t>1</w:t>
      </w:r>
      <w:r w:rsidR="00BD0207" w:rsidRPr="00BD0207">
        <w:rPr>
          <w:rFonts w:ascii="Arial" w:hAnsi="Arial" w:cs="Arial"/>
          <w:b/>
          <w:bCs/>
        </w:rPr>
        <w:t>.</w:t>
      </w:r>
      <w:r w:rsidR="00BD0207">
        <w:rPr>
          <w:rFonts w:ascii="Arial" w:hAnsi="Arial" w:cs="Arial"/>
          <w:b/>
          <w:bCs/>
        </w:rPr>
        <w:t xml:space="preserve"> Fecha de Elaboración</w:t>
      </w:r>
      <w:r w:rsidR="007C1BEB">
        <w:rPr>
          <w:rFonts w:ascii="Arial" w:hAnsi="Arial" w:cs="Arial"/>
          <w:b/>
          <w:bCs/>
        </w:rPr>
        <w:t>.</w:t>
      </w:r>
    </w:p>
    <w:p w14:paraId="65159843" w14:textId="722A5AFC" w:rsidR="00D96184" w:rsidRPr="00D96184" w:rsidRDefault="00D96184" w:rsidP="00421559">
      <w:pPr>
        <w:keepNext/>
        <w:spacing w:before="120" w:after="120" w:line="276" w:lineRule="auto"/>
        <w:jc w:val="both"/>
        <w:rPr>
          <w:rFonts w:ascii="Arial" w:hAnsi="Arial" w:cs="Arial"/>
        </w:rPr>
      </w:pPr>
      <w:r w:rsidRPr="00D96184">
        <w:rPr>
          <w:rFonts w:ascii="Arial" w:hAnsi="Arial" w:cs="Arial"/>
        </w:rPr>
        <w:t xml:space="preserve">El Informe se tiene por integrado a los </w:t>
      </w:r>
      <w:r w:rsidR="00B06161">
        <w:rPr>
          <w:rFonts w:ascii="Arial" w:hAnsi="Arial" w:cs="Arial"/>
        </w:rPr>
        <w:t>25</w:t>
      </w:r>
      <w:r w:rsidRPr="00D96184">
        <w:rPr>
          <w:rFonts w:ascii="Arial" w:hAnsi="Arial" w:cs="Arial"/>
        </w:rPr>
        <w:t xml:space="preserve"> días del mes de noviembre de 2021, dentro del plazo legal de 30 (treinta) días hábiles posteriores a la conclusión de la consulta pública, otorgado en el resolutivo Tercero del Acuerdo P/IFT/180821/40</w:t>
      </w:r>
      <w:r w:rsidR="00943CC4">
        <w:rPr>
          <w:rFonts w:ascii="Arial" w:hAnsi="Arial" w:cs="Arial"/>
        </w:rPr>
        <w:t>9</w:t>
      </w:r>
      <w:r w:rsidRPr="00D96184">
        <w:rPr>
          <w:rFonts w:ascii="Arial" w:hAnsi="Arial" w:cs="Arial"/>
        </w:rPr>
        <w:t xml:space="preserve"> y el artículo 138, fracción II, de la LFCE.</w:t>
      </w:r>
    </w:p>
    <w:p w14:paraId="34080CE2" w14:textId="0627566C" w:rsidR="00D96184" w:rsidRDefault="00D96184" w:rsidP="00421559">
      <w:pPr>
        <w:keepNext/>
        <w:spacing w:before="120" w:after="120" w:line="276" w:lineRule="auto"/>
        <w:jc w:val="both"/>
        <w:rPr>
          <w:rFonts w:ascii="Arial" w:hAnsi="Arial" w:cs="Arial"/>
        </w:rPr>
      </w:pPr>
      <w:r w:rsidRPr="00D96184">
        <w:rPr>
          <w:rFonts w:ascii="Arial" w:hAnsi="Arial" w:cs="Arial"/>
        </w:rPr>
        <w:t xml:space="preserve">A partir de la publicación del informe, de conformidad con lo dispuesto en el artículo 138, fracción III, de la LFCE, el Instituto cuenta con 60 (sesenta) días hábiles para expedir </w:t>
      </w:r>
      <w:r w:rsidR="00943CC4">
        <w:rPr>
          <w:rFonts w:ascii="Arial" w:hAnsi="Arial" w:cs="Arial"/>
        </w:rPr>
        <w:t xml:space="preserve">la </w:t>
      </w:r>
      <w:r w:rsidR="002B5421">
        <w:rPr>
          <w:rFonts w:ascii="Arial" w:hAnsi="Arial" w:cs="Arial"/>
        </w:rPr>
        <w:t xml:space="preserve">modificación a la </w:t>
      </w:r>
      <w:r w:rsidR="00943CC4">
        <w:rPr>
          <w:rFonts w:ascii="Arial" w:hAnsi="Arial" w:cs="Arial"/>
        </w:rPr>
        <w:t xml:space="preserve">Guía </w:t>
      </w:r>
      <w:r w:rsidRPr="00D96184">
        <w:rPr>
          <w:rFonts w:ascii="Arial" w:hAnsi="Arial" w:cs="Arial"/>
        </w:rPr>
        <w:t>correspondiente.</w:t>
      </w:r>
    </w:p>
    <w:p w14:paraId="3CFA5C50" w14:textId="0F6BC242" w:rsidR="001828DA" w:rsidRPr="0088630D" w:rsidRDefault="005F39CC" w:rsidP="00421559">
      <w:pPr>
        <w:keepNext/>
        <w:spacing w:before="120" w:after="120" w:line="276" w:lineRule="auto"/>
        <w:jc w:val="both"/>
        <w:rPr>
          <w:rFonts w:ascii="Arial" w:hAnsi="Arial" w:cs="Arial"/>
          <w:b/>
          <w:bCs/>
        </w:rPr>
      </w:pPr>
      <w:r>
        <w:rPr>
          <w:rFonts w:ascii="Arial" w:hAnsi="Arial" w:cs="Arial"/>
          <w:b/>
          <w:bCs/>
        </w:rPr>
        <w:t>2</w:t>
      </w:r>
      <w:r w:rsidR="005C5B1C" w:rsidRPr="0088630D">
        <w:rPr>
          <w:rFonts w:ascii="Arial" w:hAnsi="Arial" w:cs="Arial"/>
          <w:b/>
          <w:bCs/>
        </w:rPr>
        <w:t xml:space="preserve">. </w:t>
      </w:r>
      <w:r w:rsidR="001828DA" w:rsidRPr="0088630D">
        <w:rPr>
          <w:rFonts w:ascii="Arial" w:hAnsi="Arial" w:cs="Arial"/>
          <w:b/>
          <w:bCs/>
        </w:rPr>
        <w:t>Título o Denominación de la Consulta Pública</w:t>
      </w:r>
      <w:r w:rsidR="007C1BEB">
        <w:rPr>
          <w:rFonts w:ascii="Arial" w:hAnsi="Arial" w:cs="Arial"/>
          <w:b/>
          <w:bCs/>
        </w:rPr>
        <w:t>.</w:t>
      </w:r>
    </w:p>
    <w:p w14:paraId="2EA25330" w14:textId="53B28182" w:rsidR="001828DA" w:rsidRPr="001828DA" w:rsidRDefault="00D96184" w:rsidP="00421559">
      <w:pPr>
        <w:spacing w:before="120" w:after="120" w:line="276" w:lineRule="auto"/>
        <w:jc w:val="both"/>
        <w:rPr>
          <w:rFonts w:ascii="Arial" w:hAnsi="Arial" w:cs="Arial"/>
        </w:rPr>
      </w:pPr>
      <w:r w:rsidRPr="00D96184">
        <w:rPr>
          <w:rFonts w:ascii="Arial" w:hAnsi="Arial" w:cs="Arial"/>
        </w:rPr>
        <w:t>Consulta Pública del “</w:t>
      </w:r>
      <w:r w:rsidR="00943CC4" w:rsidRPr="00943CC4">
        <w:rPr>
          <w:rFonts w:ascii="Arial" w:hAnsi="Arial" w:cs="Arial"/>
        </w:rPr>
        <w:t>Anteproyecto de modificación a la Guía para el Control de Concentraciones en los sectores de telecomunicaciones y radiodifusión</w:t>
      </w:r>
      <w:r w:rsidR="000460F3" w:rsidRPr="0088630D">
        <w:rPr>
          <w:rFonts w:ascii="Arial" w:hAnsi="Arial" w:cs="Arial"/>
        </w:rPr>
        <w:t>”</w:t>
      </w:r>
      <w:r w:rsidR="0088630D" w:rsidRPr="0088630D">
        <w:rPr>
          <w:rFonts w:ascii="Arial" w:hAnsi="Arial" w:cs="Arial"/>
          <w:bCs/>
          <w:lang w:eastAsia="es-MX"/>
        </w:rPr>
        <w:t>.</w:t>
      </w:r>
    </w:p>
    <w:p w14:paraId="04370D7C" w14:textId="0C16B0EE" w:rsidR="005C5B1C" w:rsidRDefault="005F39CC" w:rsidP="00421559">
      <w:pPr>
        <w:spacing w:before="120" w:after="120" w:line="276" w:lineRule="auto"/>
        <w:jc w:val="both"/>
        <w:rPr>
          <w:rFonts w:ascii="Arial" w:hAnsi="Arial" w:cs="Arial"/>
          <w:b/>
          <w:bCs/>
        </w:rPr>
      </w:pPr>
      <w:r>
        <w:rPr>
          <w:rFonts w:ascii="Arial" w:hAnsi="Arial" w:cs="Arial"/>
          <w:b/>
          <w:bCs/>
        </w:rPr>
        <w:t>3</w:t>
      </w:r>
      <w:r w:rsidR="001828DA">
        <w:rPr>
          <w:rFonts w:ascii="Arial" w:hAnsi="Arial" w:cs="Arial"/>
          <w:b/>
          <w:bCs/>
        </w:rPr>
        <w:t xml:space="preserve">. </w:t>
      </w:r>
      <w:r w:rsidR="005C5B1C" w:rsidRPr="005C5B1C">
        <w:rPr>
          <w:rFonts w:ascii="Arial" w:hAnsi="Arial" w:cs="Arial"/>
          <w:b/>
          <w:bCs/>
        </w:rPr>
        <w:t>Descripción de la Consulta Pública</w:t>
      </w:r>
      <w:r w:rsidR="007C1BEB">
        <w:rPr>
          <w:rFonts w:ascii="Arial" w:hAnsi="Arial" w:cs="Arial"/>
          <w:b/>
          <w:bCs/>
        </w:rPr>
        <w:t>.</w:t>
      </w:r>
    </w:p>
    <w:p w14:paraId="69081B3E" w14:textId="2B7832E9" w:rsidR="00CE4C06" w:rsidRDefault="00CE4C06" w:rsidP="00421559">
      <w:pPr>
        <w:spacing w:before="120" w:after="120" w:line="276" w:lineRule="auto"/>
        <w:jc w:val="both"/>
        <w:rPr>
          <w:rFonts w:ascii="Arial" w:hAnsi="Arial" w:cs="Arial"/>
        </w:rPr>
      </w:pPr>
      <w:r w:rsidRPr="00CE4C06">
        <w:rPr>
          <w:rFonts w:ascii="Arial" w:hAnsi="Arial" w:cs="Arial"/>
        </w:rPr>
        <w:t xml:space="preserve">El 31 de agosto de 2021 se publicó el Anteproyecto de modificación </w:t>
      </w:r>
      <w:r w:rsidR="00B06161">
        <w:rPr>
          <w:rFonts w:ascii="Arial" w:hAnsi="Arial" w:cs="Arial"/>
        </w:rPr>
        <w:t>a la Guía</w:t>
      </w:r>
      <w:r w:rsidRPr="00CE4C06">
        <w:rPr>
          <w:rFonts w:ascii="Arial" w:hAnsi="Arial" w:cs="Arial"/>
        </w:rPr>
        <w:t xml:space="preserve"> en el sitio de Internet del Instituto, así como un extracto en el DOF. La Consulta Pública se llevó a cabo por un periodo de 30 (treinta) días hábiles, mismos que transcurrieron del 1 de septiembre al 13 de octubre de 2021.</w:t>
      </w:r>
      <w:r>
        <w:rPr>
          <w:rFonts w:ascii="Arial" w:hAnsi="Arial" w:cs="Arial"/>
        </w:rPr>
        <w:t xml:space="preserve"> </w:t>
      </w:r>
    </w:p>
    <w:p w14:paraId="5C7424E1" w14:textId="7709FA8D" w:rsidR="00077345" w:rsidRDefault="005F39CC" w:rsidP="00421559">
      <w:pPr>
        <w:spacing w:before="120" w:after="120" w:line="276" w:lineRule="auto"/>
        <w:jc w:val="both"/>
        <w:rPr>
          <w:rFonts w:ascii="Arial" w:hAnsi="Arial" w:cs="Arial"/>
          <w:b/>
        </w:rPr>
      </w:pPr>
      <w:r>
        <w:rPr>
          <w:rFonts w:ascii="Arial" w:hAnsi="Arial" w:cs="Arial"/>
          <w:b/>
        </w:rPr>
        <w:t>4</w:t>
      </w:r>
      <w:r w:rsidR="00077345" w:rsidRPr="009A7404">
        <w:rPr>
          <w:rFonts w:ascii="Arial" w:hAnsi="Arial" w:cs="Arial"/>
          <w:b/>
        </w:rPr>
        <w:t>. Objetivo</w:t>
      </w:r>
      <w:r w:rsidR="00C90E8B">
        <w:rPr>
          <w:rFonts w:ascii="Arial" w:hAnsi="Arial" w:cs="Arial"/>
          <w:b/>
        </w:rPr>
        <w:t>s</w:t>
      </w:r>
      <w:r w:rsidR="00077345" w:rsidRPr="009A7404">
        <w:rPr>
          <w:rFonts w:ascii="Arial" w:hAnsi="Arial" w:cs="Arial"/>
          <w:b/>
        </w:rPr>
        <w:t xml:space="preserve"> de la Consulta Pública</w:t>
      </w:r>
      <w:r w:rsidR="007C1BEB">
        <w:rPr>
          <w:rFonts w:ascii="Arial" w:hAnsi="Arial" w:cs="Arial"/>
          <w:b/>
        </w:rPr>
        <w:t>.</w:t>
      </w:r>
    </w:p>
    <w:p w14:paraId="02F73E7A" w14:textId="3D45D8FB" w:rsidR="00CE4C06" w:rsidRPr="00CE4C06" w:rsidRDefault="00CE4C06" w:rsidP="00CE4C06">
      <w:pPr>
        <w:tabs>
          <w:tab w:val="left" w:pos="0"/>
        </w:tabs>
        <w:autoSpaceDE w:val="0"/>
        <w:autoSpaceDN w:val="0"/>
        <w:adjustRightInd w:val="0"/>
        <w:spacing w:before="120" w:after="120" w:line="276" w:lineRule="auto"/>
        <w:jc w:val="both"/>
        <w:rPr>
          <w:rFonts w:ascii="Arial" w:eastAsia="MS Mincho" w:hAnsi="Arial" w:cs="Arial"/>
          <w:color w:val="000000"/>
          <w:lang w:eastAsia="es-MX"/>
        </w:rPr>
      </w:pPr>
      <w:r w:rsidRPr="00CE4C06">
        <w:rPr>
          <w:rFonts w:ascii="Arial" w:eastAsia="MS Mincho" w:hAnsi="Arial" w:cs="Arial"/>
          <w:color w:val="000000"/>
          <w:lang w:val="es-ES_tradnl" w:eastAsia="es-MX"/>
        </w:rPr>
        <w:t>Con la Consulta Pública del Anteproyecto de modificación a</w:t>
      </w:r>
      <w:r w:rsidR="00B06161">
        <w:rPr>
          <w:rFonts w:ascii="Arial" w:eastAsia="MS Mincho" w:hAnsi="Arial" w:cs="Arial"/>
          <w:color w:val="000000"/>
          <w:lang w:val="es-ES_tradnl" w:eastAsia="es-MX"/>
        </w:rPr>
        <w:t xml:space="preserve"> la Guía</w:t>
      </w:r>
      <w:r w:rsidRPr="00CE4C06">
        <w:rPr>
          <w:rFonts w:ascii="Arial" w:eastAsia="MS Mincho" w:hAnsi="Arial" w:cs="Arial"/>
          <w:color w:val="000000"/>
          <w:lang w:val="es-ES_tradnl" w:eastAsia="es-MX"/>
        </w:rPr>
        <w:t xml:space="preserve"> se buscó alcanzar los siguientes objetivos: </w:t>
      </w:r>
    </w:p>
    <w:p w14:paraId="62248252" w14:textId="3BA1E1D6" w:rsidR="00CE4C06" w:rsidRPr="00CE4C06" w:rsidRDefault="00CE4C06" w:rsidP="00421559">
      <w:pPr>
        <w:numPr>
          <w:ilvl w:val="0"/>
          <w:numId w:val="1"/>
        </w:numPr>
        <w:tabs>
          <w:tab w:val="left" w:pos="0"/>
        </w:tabs>
        <w:autoSpaceDE w:val="0"/>
        <w:autoSpaceDN w:val="0"/>
        <w:adjustRightInd w:val="0"/>
        <w:spacing w:before="120" w:after="120" w:line="276" w:lineRule="auto"/>
        <w:jc w:val="both"/>
        <w:rPr>
          <w:rFonts w:ascii="Arial" w:eastAsia="Calibri" w:hAnsi="Arial" w:cs="Arial"/>
          <w:b/>
          <w:bCs/>
          <w:smallCaps/>
          <w:lang w:val="x-none"/>
        </w:rPr>
      </w:pPr>
      <w:r w:rsidRPr="00CE4C06">
        <w:rPr>
          <w:rFonts w:ascii="Arial" w:eastAsia="Calibri" w:hAnsi="Arial" w:cs="Arial"/>
          <w:color w:val="000000"/>
          <w:shd w:val="clear" w:color="auto" w:fill="FFFFFF"/>
          <w:lang w:val="x-none"/>
        </w:rPr>
        <w:t xml:space="preserve">Transparentar y dar a conocer el Anteproyecto de </w:t>
      </w:r>
      <w:r w:rsidRPr="00CE4C06">
        <w:rPr>
          <w:rFonts w:ascii="Arial" w:eastAsia="Calibri" w:hAnsi="Arial" w:cs="Arial"/>
          <w:color w:val="000000"/>
          <w:shd w:val="clear" w:color="auto" w:fill="FFFFFF"/>
        </w:rPr>
        <w:t>modificación a</w:t>
      </w:r>
      <w:r w:rsidR="00B06161">
        <w:rPr>
          <w:rFonts w:ascii="Arial" w:eastAsia="Calibri" w:hAnsi="Arial" w:cs="Arial"/>
          <w:color w:val="000000"/>
          <w:shd w:val="clear" w:color="auto" w:fill="FFFFFF"/>
        </w:rPr>
        <w:t xml:space="preserve"> la Guía</w:t>
      </w:r>
      <w:r w:rsidRPr="00CE4C06">
        <w:rPr>
          <w:rFonts w:ascii="Arial" w:eastAsia="Calibri" w:hAnsi="Arial" w:cs="Arial"/>
          <w:color w:val="000000"/>
          <w:shd w:val="clear" w:color="auto" w:fill="FFFFFF"/>
          <w:lang w:val="x-none"/>
        </w:rPr>
        <w:t>, acompañado de su Análisis de Nulo Impacto Regulatorio</w:t>
      </w:r>
      <w:r w:rsidRPr="00CE4C06">
        <w:rPr>
          <w:rFonts w:ascii="Arial" w:eastAsia="Calibri" w:hAnsi="Arial" w:cs="Arial"/>
          <w:color w:val="000000"/>
          <w:shd w:val="clear" w:color="auto" w:fill="FFFFFF"/>
        </w:rPr>
        <w:t>.</w:t>
      </w:r>
    </w:p>
    <w:p w14:paraId="2DA85FE1" w14:textId="4C61A19D" w:rsidR="00CE4C06" w:rsidRPr="00CE4C06" w:rsidRDefault="00CE4C06" w:rsidP="008864F4">
      <w:pPr>
        <w:numPr>
          <w:ilvl w:val="0"/>
          <w:numId w:val="1"/>
        </w:numPr>
        <w:tabs>
          <w:tab w:val="left" w:pos="0"/>
        </w:tabs>
        <w:autoSpaceDE w:val="0"/>
        <w:autoSpaceDN w:val="0"/>
        <w:adjustRightInd w:val="0"/>
        <w:spacing w:before="120" w:after="120" w:line="276" w:lineRule="auto"/>
        <w:jc w:val="both"/>
        <w:rPr>
          <w:rFonts w:ascii="Arial" w:eastAsia="MS Mincho" w:hAnsi="Arial" w:cs="Arial"/>
          <w:color w:val="000000"/>
          <w:lang w:val="es-ES_tradnl" w:eastAsia="es-MX"/>
        </w:rPr>
      </w:pPr>
      <w:r w:rsidRPr="00CE4C06">
        <w:rPr>
          <w:rFonts w:ascii="Arial" w:eastAsia="MS Mincho" w:hAnsi="Arial" w:cs="Arial"/>
          <w:color w:val="000000"/>
          <w:lang w:val="es-ES_tradnl" w:eastAsia="es-MX"/>
        </w:rPr>
        <w:t>Promover la participación ciudadana y fortalecer el Anteproyecto de modificación a</w:t>
      </w:r>
      <w:r w:rsidR="00B06161">
        <w:rPr>
          <w:rFonts w:ascii="Arial" w:eastAsia="MS Mincho" w:hAnsi="Arial" w:cs="Arial"/>
          <w:color w:val="000000"/>
          <w:lang w:val="es-ES_tradnl" w:eastAsia="es-MX"/>
        </w:rPr>
        <w:t xml:space="preserve"> la Guía</w:t>
      </w:r>
      <w:r w:rsidRPr="00CE4C06">
        <w:rPr>
          <w:rFonts w:ascii="Arial" w:eastAsia="MS Mincho" w:hAnsi="Arial" w:cs="Arial"/>
          <w:color w:val="000000"/>
          <w:lang w:val="es-ES_tradnl" w:eastAsia="es-MX"/>
        </w:rPr>
        <w:t xml:space="preserve"> al incorporar, en lo procedente, las sugerencias de los participantes.</w:t>
      </w:r>
    </w:p>
    <w:p w14:paraId="7E01B7D1" w14:textId="4A638896" w:rsidR="005924D3" w:rsidRDefault="005F39CC" w:rsidP="00421559">
      <w:pPr>
        <w:spacing w:before="120" w:after="120" w:line="276" w:lineRule="auto"/>
        <w:jc w:val="both"/>
        <w:rPr>
          <w:rFonts w:ascii="Arial" w:hAnsi="Arial" w:cs="Arial"/>
          <w:b/>
          <w:bCs/>
        </w:rPr>
      </w:pPr>
      <w:r>
        <w:rPr>
          <w:rFonts w:ascii="Arial" w:hAnsi="Arial" w:cs="Arial"/>
          <w:b/>
          <w:bCs/>
        </w:rPr>
        <w:t>5</w:t>
      </w:r>
      <w:r w:rsidR="005924D3" w:rsidRPr="005924D3">
        <w:rPr>
          <w:rFonts w:ascii="Arial" w:hAnsi="Arial" w:cs="Arial"/>
          <w:b/>
          <w:bCs/>
        </w:rPr>
        <w:t xml:space="preserve">. </w:t>
      </w:r>
      <w:r w:rsidR="005924D3">
        <w:rPr>
          <w:rFonts w:ascii="Arial" w:hAnsi="Arial" w:cs="Arial"/>
          <w:b/>
          <w:bCs/>
        </w:rPr>
        <w:t>Unidad responsable de la Consulta Pública</w:t>
      </w:r>
      <w:r w:rsidR="007C1BEB">
        <w:rPr>
          <w:rFonts w:ascii="Arial" w:hAnsi="Arial" w:cs="Arial"/>
          <w:b/>
          <w:bCs/>
        </w:rPr>
        <w:t>.</w:t>
      </w:r>
    </w:p>
    <w:p w14:paraId="7D0A2AA1" w14:textId="502B3D45" w:rsidR="008677D3" w:rsidRDefault="0019663C" w:rsidP="00421559">
      <w:pPr>
        <w:autoSpaceDE w:val="0"/>
        <w:autoSpaceDN w:val="0"/>
        <w:adjustRightInd w:val="0"/>
        <w:spacing w:before="120" w:after="120" w:line="276" w:lineRule="auto"/>
        <w:jc w:val="both"/>
        <w:rPr>
          <w:rFonts w:ascii="Arial" w:eastAsia="Times New Roman" w:hAnsi="Arial" w:cs="Arial"/>
          <w:bCs/>
          <w:color w:val="000000"/>
          <w:lang w:eastAsia="es-MX"/>
        </w:rPr>
      </w:pPr>
      <w:r w:rsidRPr="0019663C">
        <w:rPr>
          <w:rFonts w:ascii="Arial" w:hAnsi="Arial" w:cs="Arial"/>
        </w:rPr>
        <w:t xml:space="preserve">La </w:t>
      </w:r>
      <w:r w:rsidR="00D00D4D">
        <w:rPr>
          <w:rFonts w:ascii="Arial" w:hAnsi="Arial" w:cs="Arial"/>
        </w:rPr>
        <w:t>UCE</w:t>
      </w:r>
      <w:r w:rsidR="008677D3" w:rsidRPr="0088630D">
        <w:rPr>
          <w:rFonts w:ascii="Arial" w:eastAsia="Times New Roman" w:hAnsi="Arial" w:cs="Arial"/>
          <w:bCs/>
          <w:color w:val="000000"/>
          <w:lang w:eastAsia="es-MX"/>
        </w:rPr>
        <w:t>.</w:t>
      </w:r>
    </w:p>
    <w:p w14:paraId="40F48F11" w14:textId="12D7C4D4" w:rsidR="008677D3" w:rsidRPr="0088630D" w:rsidRDefault="005F39CC" w:rsidP="00421559">
      <w:pPr>
        <w:autoSpaceDE w:val="0"/>
        <w:autoSpaceDN w:val="0"/>
        <w:adjustRightInd w:val="0"/>
        <w:spacing w:before="120" w:after="120" w:line="276" w:lineRule="auto"/>
        <w:jc w:val="both"/>
        <w:rPr>
          <w:rFonts w:ascii="Arial" w:eastAsia="Times New Roman" w:hAnsi="Arial" w:cs="Arial"/>
          <w:b/>
          <w:color w:val="000000"/>
          <w:lang w:eastAsia="es-MX"/>
        </w:rPr>
      </w:pPr>
      <w:r>
        <w:rPr>
          <w:rFonts w:ascii="Arial" w:eastAsia="Times New Roman" w:hAnsi="Arial" w:cs="Arial"/>
          <w:b/>
          <w:color w:val="000000"/>
          <w:lang w:eastAsia="es-MX"/>
        </w:rPr>
        <w:t>6</w:t>
      </w:r>
      <w:r w:rsidR="00032A99" w:rsidRPr="0088630D">
        <w:rPr>
          <w:rFonts w:ascii="Arial" w:eastAsia="Times New Roman" w:hAnsi="Arial" w:cs="Arial"/>
          <w:b/>
          <w:color w:val="000000"/>
          <w:lang w:eastAsia="es-MX"/>
        </w:rPr>
        <w:t>. Descripción de los participantes de la Consulta Pública.</w:t>
      </w:r>
    </w:p>
    <w:p w14:paraId="58C914AA" w14:textId="0F9BC267" w:rsidR="003E2214" w:rsidRPr="00C320A9" w:rsidRDefault="007E7216" w:rsidP="00421559">
      <w:pPr>
        <w:pStyle w:val="Listavistosa-nfasis11"/>
        <w:spacing w:before="120" w:after="120" w:line="276" w:lineRule="auto"/>
        <w:ind w:left="0" w:right="51"/>
        <w:contextualSpacing w:val="0"/>
        <w:jc w:val="both"/>
        <w:rPr>
          <w:rFonts w:ascii="Arial" w:hAnsi="Arial" w:cs="Arial"/>
          <w:szCs w:val="14"/>
        </w:rPr>
      </w:pPr>
      <w:r w:rsidRPr="007E7216">
        <w:rPr>
          <w:rFonts w:ascii="Arial" w:hAnsi="Arial" w:cs="Arial"/>
          <w:szCs w:val="14"/>
        </w:rPr>
        <w:t xml:space="preserve">En el proceso de </w:t>
      </w:r>
      <w:r w:rsidR="008A03E6" w:rsidRPr="007E7216">
        <w:rPr>
          <w:rFonts w:ascii="Arial" w:hAnsi="Arial" w:cs="Arial"/>
          <w:szCs w:val="14"/>
        </w:rPr>
        <w:t xml:space="preserve">Consulta Pública </w:t>
      </w:r>
      <w:r w:rsidRPr="007E7216">
        <w:rPr>
          <w:rFonts w:ascii="Arial" w:hAnsi="Arial" w:cs="Arial"/>
          <w:szCs w:val="14"/>
        </w:rPr>
        <w:t xml:space="preserve">se recibieron </w:t>
      </w:r>
      <w:r w:rsidR="004C3E52">
        <w:rPr>
          <w:rFonts w:ascii="Arial" w:hAnsi="Arial" w:cs="Arial"/>
          <w:szCs w:val="14"/>
        </w:rPr>
        <w:t>5</w:t>
      </w:r>
      <w:r w:rsidRPr="007E7216">
        <w:rPr>
          <w:rFonts w:ascii="Arial" w:hAnsi="Arial" w:cs="Arial"/>
          <w:szCs w:val="14"/>
        </w:rPr>
        <w:t xml:space="preserve"> </w:t>
      </w:r>
      <w:r w:rsidR="008A03E6">
        <w:rPr>
          <w:rFonts w:ascii="Arial" w:hAnsi="Arial" w:cs="Arial"/>
          <w:szCs w:val="14"/>
        </w:rPr>
        <w:t>(</w:t>
      </w:r>
      <w:r w:rsidR="004C3E52">
        <w:rPr>
          <w:rFonts w:ascii="Arial" w:hAnsi="Arial" w:cs="Arial"/>
          <w:szCs w:val="14"/>
        </w:rPr>
        <w:t>cinco</w:t>
      </w:r>
      <w:r w:rsidR="008A03E6">
        <w:rPr>
          <w:rFonts w:ascii="Arial" w:hAnsi="Arial" w:cs="Arial"/>
          <w:szCs w:val="14"/>
        </w:rPr>
        <w:t xml:space="preserve">) </w:t>
      </w:r>
      <w:r w:rsidRPr="007E7216">
        <w:rPr>
          <w:rFonts w:ascii="Arial" w:hAnsi="Arial" w:cs="Arial"/>
          <w:szCs w:val="14"/>
        </w:rPr>
        <w:t>escritos de participantes a través del correo electrónico habilitado para tal efecto y por medio de la oficialía de partes del Instituto, mismos que se describen e identifican en el cuadro siguiente</w:t>
      </w:r>
      <w:r w:rsidR="00EA2F2C">
        <w:rPr>
          <w:rFonts w:ascii="Arial" w:hAnsi="Arial" w:cs="Arial"/>
        </w:rPr>
        <w:t>:</w:t>
      </w:r>
      <w:r>
        <w:rPr>
          <w:rFonts w:ascii="Arial" w:hAnsi="Arial" w:cs="Arial"/>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67"/>
        <w:gridCol w:w="1456"/>
        <w:gridCol w:w="2029"/>
        <w:gridCol w:w="2932"/>
      </w:tblGrid>
      <w:tr w:rsidR="003E2214" w:rsidRPr="003E2214" w14:paraId="4B1CA6A9" w14:textId="77777777" w:rsidTr="00CE4C06">
        <w:trPr>
          <w:tblHeader/>
          <w:jc w:val="center"/>
        </w:trPr>
        <w:tc>
          <w:tcPr>
            <w:tcW w:w="2967" w:type="dxa"/>
            <w:shd w:val="clear" w:color="auto" w:fill="92D050"/>
            <w:tcMar>
              <w:top w:w="0" w:type="dxa"/>
              <w:left w:w="108" w:type="dxa"/>
              <w:bottom w:w="0" w:type="dxa"/>
              <w:right w:w="108" w:type="dxa"/>
            </w:tcMar>
            <w:vAlign w:val="center"/>
            <w:hideMark/>
          </w:tcPr>
          <w:p w14:paraId="352AA90E" w14:textId="77777777" w:rsidR="003E2214" w:rsidRPr="003E2214" w:rsidRDefault="003E2214" w:rsidP="00D50B18">
            <w:pPr>
              <w:spacing w:before="120" w:after="120" w:line="23" w:lineRule="atLeast"/>
              <w:jc w:val="center"/>
              <w:rPr>
                <w:rFonts w:ascii="Arial" w:hAnsi="Arial" w:cs="Arial"/>
                <w:b/>
                <w:bCs/>
                <w:sz w:val="18"/>
                <w:szCs w:val="18"/>
              </w:rPr>
            </w:pPr>
            <w:r w:rsidRPr="003E2214">
              <w:rPr>
                <w:rFonts w:ascii="Arial" w:hAnsi="Arial" w:cs="Arial"/>
                <w:b/>
                <w:bCs/>
                <w:sz w:val="18"/>
                <w:szCs w:val="18"/>
              </w:rPr>
              <w:t>Participantes</w:t>
            </w:r>
          </w:p>
        </w:tc>
        <w:tc>
          <w:tcPr>
            <w:tcW w:w="1456" w:type="dxa"/>
            <w:shd w:val="clear" w:color="auto" w:fill="92D050"/>
            <w:tcMar>
              <w:top w:w="0" w:type="dxa"/>
              <w:left w:w="108" w:type="dxa"/>
              <w:bottom w:w="0" w:type="dxa"/>
              <w:right w:w="108" w:type="dxa"/>
            </w:tcMar>
            <w:vAlign w:val="center"/>
            <w:hideMark/>
          </w:tcPr>
          <w:p w14:paraId="40A45C1F" w14:textId="77777777" w:rsidR="003E2214" w:rsidRPr="003E2214" w:rsidRDefault="003E2214" w:rsidP="00D50B18">
            <w:pPr>
              <w:spacing w:before="120" w:after="120" w:line="23" w:lineRule="atLeast"/>
              <w:jc w:val="center"/>
              <w:rPr>
                <w:rFonts w:ascii="Arial" w:hAnsi="Arial" w:cs="Arial"/>
                <w:b/>
                <w:bCs/>
                <w:sz w:val="18"/>
                <w:szCs w:val="18"/>
              </w:rPr>
            </w:pPr>
            <w:r w:rsidRPr="003E2214">
              <w:rPr>
                <w:rFonts w:ascii="Arial" w:hAnsi="Arial" w:cs="Arial"/>
                <w:b/>
                <w:bCs/>
                <w:sz w:val="18"/>
                <w:szCs w:val="18"/>
              </w:rPr>
              <w:t>Fecha de presentación</w:t>
            </w:r>
          </w:p>
        </w:tc>
        <w:tc>
          <w:tcPr>
            <w:tcW w:w="2029" w:type="dxa"/>
            <w:shd w:val="clear" w:color="auto" w:fill="92D050"/>
            <w:tcMar>
              <w:top w:w="0" w:type="dxa"/>
              <w:left w:w="108" w:type="dxa"/>
              <w:bottom w:w="0" w:type="dxa"/>
              <w:right w:w="108" w:type="dxa"/>
            </w:tcMar>
            <w:vAlign w:val="center"/>
            <w:hideMark/>
          </w:tcPr>
          <w:p w14:paraId="7C6EE986" w14:textId="77777777" w:rsidR="003E2214" w:rsidRPr="003E2214" w:rsidRDefault="003E2214" w:rsidP="00D50B18">
            <w:pPr>
              <w:spacing w:before="120" w:after="120" w:line="23" w:lineRule="atLeast"/>
              <w:jc w:val="center"/>
              <w:rPr>
                <w:rFonts w:ascii="Arial" w:hAnsi="Arial" w:cs="Arial"/>
                <w:b/>
                <w:bCs/>
                <w:sz w:val="18"/>
                <w:szCs w:val="18"/>
              </w:rPr>
            </w:pPr>
            <w:r w:rsidRPr="003E2214">
              <w:rPr>
                <w:rFonts w:ascii="Arial" w:hAnsi="Arial" w:cs="Arial"/>
                <w:b/>
                <w:bCs/>
                <w:sz w:val="18"/>
                <w:szCs w:val="18"/>
              </w:rPr>
              <w:t>Hora de presentación</w:t>
            </w:r>
          </w:p>
        </w:tc>
        <w:tc>
          <w:tcPr>
            <w:tcW w:w="2932" w:type="dxa"/>
            <w:shd w:val="clear" w:color="auto" w:fill="92D050"/>
            <w:vAlign w:val="center"/>
            <w:hideMark/>
          </w:tcPr>
          <w:p w14:paraId="4601B8D5" w14:textId="77777777" w:rsidR="003E2214" w:rsidRPr="003E2214" w:rsidRDefault="003E2214" w:rsidP="00D50B18">
            <w:pPr>
              <w:spacing w:before="120" w:after="120" w:line="23" w:lineRule="atLeast"/>
              <w:jc w:val="center"/>
              <w:rPr>
                <w:rFonts w:ascii="Arial" w:hAnsi="Arial" w:cs="Arial"/>
                <w:b/>
                <w:bCs/>
                <w:sz w:val="18"/>
                <w:szCs w:val="18"/>
              </w:rPr>
            </w:pPr>
            <w:r w:rsidRPr="003E2214">
              <w:rPr>
                <w:rFonts w:ascii="Arial" w:hAnsi="Arial" w:cs="Arial"/>
                <w:b/>
                <w:bCs/>
                <w:sz w:val="18"/>
                <w:szCs w:val="18"/>
              </w:rPr>
              <w:t>Formato de presentación</w:t>
            </w:r>
          </w:p>
        </w:tc>
      </w:tr>
      <w:tr w:rsidR="00943CC4" w:rsidRPr="003E2214" w14:paraId="20B39023" w14:textId="77777777" w:rsidTr="00CE4C06">
        <w:trPr>
          <w:trHeight w:val="449"/>
          <w:jc w:val="center"/>
        </w:trPr>
        <w:tc>
          <w:tcPr>
            <w:tcW w:w="2967" w:type="dxa"/>
            <w:tcMar>
              <w:top w:w="0" w:type="dxa"/>
              <w:left w:w="108" w:type="dxa"/>
              <w:bottom w:w="0" w:type="dxa"/>
              <w:right w:w="108" w:type="dxa"/>
            </w:tcMar>
          </w:tcPr>
          <w:p w14:paraId="25326EB9" w14:textId="2667FB56" w:rsidR="00943CC4" w:rsidRPr="003E2214" w:rsidRDefault="00943CC4" w:rsidP="00943CC4">
            <w:pPr>
              <w:spacing w:before="120" w:after="120" w:line="23" w:lineRule="atLeast"/>
              <w:jc w:val="both"/>
              <w:rPr>
                <w:rFonts w:ascii="Arial" w:hAnsi="Arial" w:cs="Arial"/>
                <w:sz w:val="18"/>
                <w:szCs w:val="18"/>
              </w:rPr>
            </w:pPr>
            <w:r w:rsidRPr="00C9348D">
              <w:rPr>
                <w:rFonts w:ascii="Arial" w:hAnsi="Arial" w:cs="Arial"/>
                <w:sz w:val="18"/>
                <w:szCs w:val="18"/>
              </w:rPr>
              <w:t>Carmen Hernández Gómez</w:t>
            </w:r>
          </w:p>
        </w:tc>
        <w:tc>
          <w:tcPr>
            <w:tcW w:w="1456" w:type="dxa"/>
            <w:tcMar>
              <w:top w:w="0" w:type="dxa"/>
              <w:left w:w="108" w:type="dxa"/>
              <w:bottom w:w="0" w:type="dxa"/>
              <w:right w:w="108" w:type="dxa"/>
            </w:tcMar>
            <w:vAlign w:val="center"/>
          </w:tcPr>
          <w:p w14:paraId="1ACE7412" w14:textId="7E21DB4B" w:rsidR="00943CC4" w:rsidRPr="003E2214" w:rsidRDefault="00943CC4" w:rsidP="00943CC4">
            <w:pPr>
              <w:spacing w:before="120" w:after="120" w:line="23" w:lineRule="atLeast"/>
              <w:jc w:val="center"/>
              <w:rPr>
                <w:rFonts w:ascii="Arial" w:hAnsi="Arial" w:cs="Arial"/>
                <w:b/>
                <w:sz w:val="18"/>
                <w:szCs w:val="18"/>
              </w:rPr>
            </w:pPr>
            <w:r w:rsidRPr="003C5301">
              <w:rPr>
                <w:rFonts w:ascii="Arial" w:hAnsi="Arial" w:cs="Arial"/>
                <w:sz w:val="18"/>
                <w:szCs w:val="18"/>
              </w:rPr>
              <w:t>13/10/2021</w:t>
            </w:r>
          </w:p>
        </w:tc>
        <w:tc>
          <w:tcPr>
            <w:tcW w:w="2029" w:type="dxa"/>
            <w:shd w:val="clear" w:color="auto" w:fill="auto"/>
            <w:tcMar>
              <w:top w:w="0" w:type="dxa"/>
              <w:left w:w="108" w:type="dxa"/>
              <w:bottom w:w="0" w:type="dxa"/>
              <w:right w:w="108" w:type="dxa"/>
            </w:tcMar>
            <w:vAlign w:val="center"/>
          </w:tcPr>
          <w:p w14:paraId="7D47873D" w14:textId="741208DF" w:rsidR="00943CC4" w:rsidRPr="003E2214" w:rsidRDefault="00943CC4" w:rsidP="00943CC4">
            <w:pPr>
              <w:spacing w:before="120" w:after="120" w:line="23" w:lineRule="atLeast"/>
              <w:jc w:val="center"/>
              <w:rPr>
                <w:rFonts w:ascii="Arial" w:hAnsi="Arial" w:cs="Arial"/>
                <w:b/>
                <w:sz w:val="18"/>
                <w:szCs w:val="18"/>
              </w:rPr>
            </w:pPr>
            <w:r>
              <w:rPr>
                <w:rFonts w:ascii="Arial" w:hAnsi="Arial" w:cs="Arial"/>
                <w:b/>
                <w:sz w:val="18"/>
                <w:szCs w:val="18"/>
              </w:rPr>
              <w:t>14:51</w:t>
            </w:r>
          </w:p>
        </w:tc>
        <w:tc>
          <w:tcPr>
            <w:tcW w:w="2932" w:type="dxa"/>
            <w:shd w:val="clear" w:color="auto" w:fill="auto"/>
            <w:vAlign w:val="center"/>
          </w:tcPr>
          <w:p w14:paraId="3C1C31E9" w14:textId="78D0C300" w:rsidR="00943CC4" w:rsidRPr="003E2214" w:rsidRDefault="00943CC4" w:rsidP="00943CC4">
            <w:pPr>
              <w:spacing w:before="120" w:after="120" w:line="23" w:lineRule="atLeast"/>
              <w:jc w:val="center"/>
              <w:rPr>
                <w:rFonts w:ascii="Arial" w:hAnsi="Arial" w:cs="Arial"/>
                <w:sz w:val="18"/>
                <w:szCs w:val="18"/>
              </w:rPr>
            </w:pPr>
            <w:r w:rsidRPr="003E2214">
              <w:rPr>
                <w:rFonts w:ascii="Arial" w:hAnsi="Arial" w:cs="Arial"/>
                <w:sz w:val="18"/>
                <w:szCs w:val="18"/>
              </w:rPr>
              <w:t>Correo electrónico</w:t>
            </w:r>
          </w:p>
        </w:tc>
      </w:tr>
      <w:tr w:rsidR="00943CC4" w:rsidRPr="003E2214" w14:paraId="4988007C" w14:textId="77777777" w:rsidTr="00CE4C06">
        <w:trPr>
          <w:trHeight w:val="449"/>
          <w:jc w:val="center"/>
        </w:trPr>
        <w:tc>
          <w:tcPr>
            <w:tcW w:w="2967" w:type="dxa"/>
            <w:tcMar>
              <w:top w:w="0" w:type="dxa"/>
              <w:left w:w="108" w:type="dxa"/>
              <w:bottom w:w="0" w:type="dxa"/>
              <w:right w:w="108" w:type="dxa"/>
            </w:tcMar>
          </w:tcPr>
          <w:p w14:paraId="23AD560C" w14:textId="38FFA649" w:rsidR="00943CC4" w:rsidRPr="003E2214" w:rsidRDefault="00943CC4" w:rsidP="00943CC4">
            <w:pPr>
              <w:spacing w:before="120" w:after="120" w:line="23" w:lineRule="atLeast"/>
              <w:jc w:val="both"/>
              <w:rPr>
                <w:rFonts w:ascii="Arial" w:hAnsi="Arial" w:cs="Arial"/>
                <w:sz w:val="18"/>
                <w:szCs w:val="18"/>
              </w:rPr>
            </w:pPr>
            <w:r w:rsidRPr="00C9348D">
              <w:rPr>
                <w:rFonts w:ascii="Arial" w:hAnsi="Arial" w:cs="Arial"/>
                <w:sz w:val="18"/>
                <w:szCs w:val="18"/>
              </w:rPr>
              <w:t>Ricardo García Quevedo Ponce, en representación de Axtel.</w:t>
            </w:r>
          </w:p>
        </w:tc>
        <w:tc>
          <w:tcPr>
            <w:tcW w:w="1456" w:type="dxa"/>
            <w:tcMar>
              <w:top w:w="0" w:type="dxa"/>
              <w:left w:w="108" w:type="dxa"/>
              <w:bottom w:w="0" w:type="dxa"/>
              <w:right w:w="108" w:type="dxa"/>
            </w:tcMar>
            <w:vAlign w:val="center"/>
          </w:tcPr>
          <w:p w14:paraId="4BCAE133" w14:textId="43FB0D9E" w:rsidR="00943CC4" w:rsidRPr="003E2214" w:rsidRDefault="00943CC4" w:rsidP="00943CC4">
            <w:pPr>
              <w:spacing w:before="120" w:after="120" w:line="23" w:lineRule="atLeast"/>
              <w:jc w:val="center"/>
              <w:rPr>
                <w:rFonts w:ascii="Arial" w:hAnsi="Arial" w:cs="Arial"/>
                <w:b/>
                <w:sz w:val="18"/>
                <w:szCs w:val="18"/>
              </w:rPr>
            </w:pPr>
            <w:r w:rsidRPr="003C5301">
              <w:rPr>
                <w:rFonts w:ascii="Arial" w:hAnsi="Arial" w:cs="Arial"/>
                <w:sz w:val="18"/>
                <w:szCs w:val="18"/>
              </w:rPr>
              <w:t>13/10/2021</w:t>
            </w:r>
          </w:p>
        </w:tc>
        <w:tc>
          <w:tcPr>
            <w:tcW w:w="2029" w:type="dxa"/>
            <w:shd w:val="clear" w:color="auto" w:fill="auto"/>
            <w:tcMar>
              <w:top w:w="0" w:type="dxa"/>
              <w:left w:w="108" w:type="dxa"/>
              <w:bottom w:w="0" w:type="dxa"/>
              <w:right w:w="108" w:type="dxa"/>
            </w:tcMar>
            <w:vAlign w:val="center"/>
          </w:tcPr>
          <w:p w14:paraId="412E4F5F" w14:textId="2DCACCCE" w:rsidR="00943CC4" w:rsidRPr="003E2214" w:rsidRDefault="00943CC4" w:rsidP="00943CC4">
            <w:pPr>
              <w:spacing w:before="120" w:after="120" w:line="23" w:lineRule="atLeast"/>
              <w:jc w:val="center"/>
              <w:rPr>
                <w:rFonts w:ascii="Arial" w:hAnsi="Arial" w:cs="Arial"/>
                <w:b/>
                <w:sz w:val="18"/>
                <w:szCs w:val="18"/>
              </w:rPr>
            </w:pPr>
            <w:r>
              <w:rPr>
                <w:rFonts w:ascii="Arial" w:hAnsi="Arial" w:cs="Arial"/>
                <w:b/>
                <w:sz w:val="18"/>
                <w:szCs w:val="18"/>
              </w:rPr>
              <w:t>19:09</w:t>
            </w:r>
          </w:p>
        </w:tc>
        <w:tc>
          <w:tcPr>
            <w:tcW w:w="2932" w:type="dxa"/>
            <w:shd w:val="clear" w:color="auto" w:fill="auto"/>
            <w:vAlign w:val="center"/>
          </w:tcPr>
          <w:p w14:paraId="28A7D44B" w14:textId="0E6F8BCB" w:rsidR="00943CC4" w:rsidRPr="003E2214" w:rsidRDefault="00943CC4" w:rsidP="00943CC4">
            <w:pPr>
              <w:spacing w:before="120" w:after="120" w:line="23" w:lineRule="atLeast"/>
              <w:jc w:val="center"/>
              <w:rPr>
                <w:rFonts w:ascii="Arial" w:hAnsi="Arial" w:cs="Arial"/>
                <w:sz w:val="18"/>
                <w:szCs w:val="18"/>
              </w:rPr>
            </w:pPr>
            <w:r w:rsidRPr="003E2214">
              <w:rPr>
                <w:rFonts w:ascii="Arial" w:hAnsi="Arial" w:cs="Arial"/>
                <w:sz w:val="18"/>
                <w:szCs w:val="18"/>
              </w:rPr>
              <w:t>Correo electrónico</w:t>
            </w:r>
          </w:p>
        </w:tc>
      </w:tr>
      <w:tr w:rsidR="00943CC4" w:rsidRPr="003E2214" w14:paraId="1535D6C6" w14:textId="77777777" w:rsidTr="00943CC4">
        <w:trPr>
          <w:trHeight w:val="449"/>
          <w:jc w:val="center"/>
        </w:trPr>
        <w:tc>
          <w:tcPr>
            <w:tcW w:w="2967" w:type="dxa"/>
            <w:tcMar>
              <w:top w:w="0" w:type="dxa"/>
              <w:left w:w="108" w:type="dxa"/>
              <w:bottom w:w="0" w:type="dxa"/>
              <w:right w:w="108" w:type="dxa"/>
            </w:tcMar>
          </w:tcPr>
          <w:p w14:paraId="171AC016" w14:textId="77583992" w:rsidR="00943CC4" w:rsidRPr="00C9348D" w:rsidRDefault="00943CC4" w:rsidP="00943CC4">
            <w:pPr>
              <w:spacing w:before="120" w:after="120" w:line="23" w:lineRule="atLeast"/>
              <w:jc w:val="both"/>
              <w:rPr>
                <w:rFonts w:ascii="Arial" w:hAnsi="Arial" w:cs="Arial"/>
                <w:sz w:val="18"/>
                <w:szCs w:val="18"/>
              </w:rPr>
            </w:pPr>
            <w:r w:rsidRPr="00C9348D">
              <w:rPr>
                <w:rFonts w:ascii="Arial" w:hAnsi="Arial" w:cs="Arial"/>
                <w:sz w:val="18"/>
                <w:szCs w:val="18"/>
              </w:rPr>
              <w:t>Ana de Saracho O´Brien, en representación de Telefónica.</w:t>
            </w:r>
          </w:p>
        </w:tc>
        <w:tc>
          <w:tcPr>
            <w:tcW w:w="1456" w:type="dxa"/>
            <w:tcMar>
              <w:top w:w="0" w:type="dxa"/>
              <w:left w:w="108" w:type="dxa"/>
              <w:bottom w:w="0" w:type="dxa"/>
              <w:right w:w="108" w:type="dxa"/>
            </w:tcMar>
            <w:vAlign w:val="center"/>
          </w:tcPr>
          <w:p w14:paraId="7847CA8E" w14:textId="0EA58CC4" w:rsidR="00943CC4" w:rsidRPr="003C5301" w:rsidRDefault="00943CC4" w:rsidP="00943CC4">
            <w:pPr>
              <w:spacing w:before="120" w:after="120" w:line="23" w:lineRule="atLeast"/>
              <w:jc w:val="center"/>
              <w:rPr>
                <w:rFonts w:ascii="Arial" w:hAnsi="Arial" w:cs="Arial"/>
                <w:sz w:val="18"/>
                <w:szCs w:val="18"/>
              </w:rPr>
            </w:pPr>
            <w:r w:rsidRPr="003C5301">
              <w:rPr>
                <w:rFonts w:ascii="Arial" w:hAnsi="Arial" w:cs="Arial"/>
                <w:sz w:val="18"/>
                <w:szCs w:val="18"/>
              </w:rPr>
              <w:t>13/10/2021</w:t>
            </w:r>
          </w:p>
        </w:tc>
        <w:tc>
          <w:tcPr>
            <w:tcW w:w="2029" w:type="dxa"/>
            <w:shd w:val="clear" w:color="auto" w:fill="auto"/>
            <w:tcMar>
              <w:top w:w="0" w:type="dxa"/>
              <w:left w:w="108" w:type="dxa"/>
              <w:bottom w:w="0" w:type="dxa"/>
              <w:right w:w="108" w:type="dxa"/>
            </w:tcMar>
            <w:vAlign w:val="center"/>
          </w:tcPr>
          <w:p w14:paraId="75329D1F" w14:textId="0EFC53EE" w:rsidR="00943CC4" w:rsidRDefault="00943CC4" w:rsidP="00943CC4">
            <w:pPr>
              <w:spacing w:before="120" w:after="120" w:line="23" w:lineRule="atLeast"/>
              <w:jc w:val="center"/>
              <w:rPr>
                <w:rFonts w:ascii="Arial" w:hAnsi="Arial" w:cs="Arial"/>
                <w:b/>
                <w:sz w:val="18"/>
                <w:szCs w:val="18"/>
              </w:rPr>
            </w:pPr>
            <w:r>
              <w:rPr>
                <w:rFonts w:ascii="Arial" w:hAnsi="Arial" w:cs="Arial"/>
                <w:b/>
                <w:sz w:val="18"/>
                <w:szCs w:val="18"/>
              </w:rPr>
              <w:t>20:41</w:t>
            </w:r>
          </w:p>
        </w:tc>
        <w:tc>
          <w:tcPr>
            <w:tcW w:w="2932" w:type="dxa"/>
            <w:shd w:val="clear" w:color="auto" w:fill="auto"/>
          </w:tcPr>
          <w:p w14:paraId="31C2B210" w14:textId="62C8EE05" w:rsidR="00943CC4" w:rsidRPr="003E2214" w:rsidRDefault="00943CC4" w:rsidP="00943CC4">
            <w:pPr>
              <w:spacing w:before="120" w:after="120" w:line="23" w:lineRule="atLeast"/>
              <w:jc w:val="center"/>
              <w:rPr>
                <w:rFonts w:ascii="Arial" w:hAnsi="Arial" w:cs="Arial"/>
                <w:sz w:val="18"/>
                <w:szCs w:val="18"/>
              </w:rPr>
            </w:pPr>
            <w:r w:rsidRPr="003E2214">
              <w:rPr>
                <w:rFonts w:ascii="Arial" w:hAnsi="Arial" w:cs="Arial"/>
                <w:sz w:val="18"/>
                <w:szCs w:val="18"/>
              </w:rPr>
              <w:t>Correo electrónico</w:t>
            </w:r>
            <w:r>
              <w:rPr>
                <w:rFonts w:ascii="Arial" w:hAnsi="Arial" w:cs="Arial"/>
                <w:sz w:val="18"/>
                <w:szCs w:val="18"/>
              </w:rPr>
              <w:t>.</w:t>
            </w:r>
          </w:p>
        </w:tc>
      </w:tr>
      <w:tr w:rsidR="00943CC4" w:rsidRPr="003E2214" w14:paraId="526D5F16" w14:textId="77777777" w:rsidTr="00CE4C06">
        <w:trPr>
          <w:trHeight w:val="449"/>
          <w:jc w:val="center"/>
        </w:trPr>
        <w:tc>
          <w:tcPr>
            <w:tcW w:w="2967" w:type="dxa"/>
            <w:tcMar>
              <w:top w:w="0" w:type="dxa"/>
              <w:left w:w="108" w:type="dxa"/>
              <w:bottom w:w="0" w:type="dxa"/>
              <w:right w:w="108" w:type="dxa"/>
            </w:tcMar>
          </w:tcPr>
          <w:p w14:paraId="5A276A8C" w14:textId="7CE9C950" w:rsidR="00943CC4" w:rsidRPr="003C5301" w:rsidRDefault="00943CC4" w:rsidP="00943CC4">
            <w:pPr>
              <w:spacing w:before="120" w:after="120" w:line="23" w:lineRule="atLeast"/>
              <w:jc w:val="both"/>
              <w:rPr>
                <w:rFonts w:ascii="Arial" w:hAnsi="Arial" w:cs="Arial"/>
                <w:sz w:val="18"/>
                <w:szCs w:val="18"/>
              </w:rPr>
            </w:pPr>
            <w:r w:rsidRPr="00C9348D">
              <w:rPr>
                <w:rFonts w:ascii="Arial" w:hAnsi="Arial" w:cs="Arial"/>
                <w:sz w:val="18"/>
                <w:szCs w:val="18"/>
              </w:rPr>
              <w:t>Carlos Mora Villalpando</w:t>
            </w:r>
          </w:p>
        </w:tc>
        <w:tc>
          <w:tcPr>
            <w:tcW w:w="1456" w:type="dxa"/>
            <w:tcMar>
              <w:top w:w="0" w:type="dxa"/>
              <w:left w:w="108" w:type="dxa"/>
              <w:bottom w:w="0" w:type="dxa"/>
              <w:right w:w="108" w:type="dxa"/>
            </w:tcMar>
            <w:vAlign w:val="center"/>
          </w:tcPr>
          <w:p w14:paraId="352F5474" w14:textId="4EF84210" w:rsidR="00943CC4" w:rsidRPr="003C5301" w:rsidRDefault="00943CC4" w:rsidP="00943CC4">
            <w:pPr>
              <w:spacing w:before="120" w:after="120" w:line="23" w:lineRule="atLeast"/>
              <w:jc w:val="center"/>
              <w:rPr>
                <w:rFonts w:ascii="Arial" w:hAnsi="Arial" w:cs="Arial"/>
                <w:sz w:val="18"/>
                <w:szCs w:val="18"/>
              </w:rPr>
            </w:pPr>
            <w:r w:rsidRPr="003C5301">
              <w:rPr>
                <w:rFonts w:ascii="Arial" w:hAnsi="Arial" w:cs="Arial"/>
                <w:sz w:val="18"/>
                <w:szCs w:val="18"/>
              </w:rPr>
              <w:t>13/10/2021</w:t>
            </w:r>
          </w:p>
        </w:tc>
        <w:tc>
          <w:tcPr>
            <w:tcW w:w="2029" w:type="dxa"/>
            <w:shd w:val="clear" w:color="auto" w:fill="auto"/>
            <w:tcMar>
              <w:top w:w="0" w:type="dxa"/>
              <w:left w:w="108" w:type="dxa"/>
              <w:bottom w:w="0" w:type="dxa"/>
              <w:right w:w="108" w:type="dxa"/>
            </w:tcMar>
          </w:tcPr>
          <w:p w14:paraId="73C7A693" w14:textId="794A980E" w:rsidR="00943CC4" w:rsidRDefault="00943CC4" w:rsidP="00943CC4">
            <w:pPr>
              <w:spacing w:before="120" w:after="120" w:line="23" w:lineRule="atLeast"/>
              <w:jc w:val="center"/>
              <w:rPr>
                <w:rFonts w:ascii="Arial" w:hAnsi="Arial" w:cs="Arial"/>
                <w:b/>
                <w:sz w:val="18"/>
                <w:szCs w:val="18"/>
              </w:rPr>
            </w:pPr>
            <w:r>
              <w:rPr>
                <w:rFonts w:ascii="Arial" w:hAnsi="Arial" w:cs="Arial"/>
                <w:b/>
                <w:sz w:val="18"/>
                <w:szCs w:val="18"/>
              </w:rPr>
              <w:t>23:38</w:t>
            </w:r>
          </w:p>
        </w:tc>
        <w:tc>
          <w:tcPr>
            <w:tcW w:w="2932" w:type="dxa"/>
            <w:shd w:val="clear" w:color="auto" w:fill="auto"/>
          </w:tcPr>
          <w:p w14:paraId="4D4E5DB2" w14:textId="3CCBF507" w:rsidR="00943CC4" w:rsidRPr="003E2214" w:rsidRDefault="00943CC4" w:rsidP="00943CC4">
            <w:pPr>
              <w:spacing w:before="120" w:after="120" w:line="23" w:lineRule="atLeast"/>
              <w:jc w:val="center"/>
              <w:rPr>
                <w:rFonts w:ascii="Arial" w:hAnsi="Arial" w:cs="Arial"/>
                <w:sz w:val="18"/>
                <w:szCs w:val="18"/>
              </w:rPr>
            </w:pPr>
            <w:r w:rsidRPr="003E2214">
              <w:rPr>
                <w:rFonts w:ascii="Arial" w:hAnsi="Arial" w:cs="Arial"/>
                <w:sz w:val="18"/>
                <w:szCs w:val="18"/>
              </w:rPr>
              <w:t>Correo electrónico</w:t>
            </w:r>
          </w:p>
        </w:tc>
      </w:tr>
      <w:tr w:rsidR="00943CC4" w:rsidRPr="003E2214" w14:paraId="464EC2F8" w14:textId="77777777" w:rsidTr="009E2CBD">
        <w:trPr>
          <w:trHeight w:val="449"/>
          <w:jc w:val="center"/>
        </w:trPr>
        <w:tc>
          <w:tcPr>
            <w:tcW w:w="2967" w:type="dxa"/>
            <w:tcMar>
              <w:top w:w="0" w:type="dxa"/>
              <w:left w:w="108" w:type="dxa"/>
              <w:bottom w:w="0" w:type="dxa"/>
              <w:right w:w="108" w:type="dxa"/>
            </w:tcMar>
          </w:tcPr>
          <w:p w14:paraId="061DDA36" w14:textId="4B98C8DD" w:rsidR="00943CC4" w:rsidRPr="008E69EE" w:rsidRDefault="00943CC4" w:rsidP="00943CC4">
            <w:pPr>
              <w:spacing w:before="120" w:after="120" w:line="23" w:lineRule="atLeast"/>
              <w:jc w:val="both"/>
              <w:rPr>
                <w:rFonts w:ascii="Arial" w:hAnsi="Arial" w:cs="Arial"/>
                <w:sz w:val="18"/>
                <w:szCs w:val="18"/>
              </w:rPr>
            </w:pPr>
            <w:r w:rsidRPr="00C9348D">
              <w:rPr>
                <w:rFonts w:ascii="Arial" w:hAnsi="Arial" w:cs="Arial"/>
                <w:sz w:val="18"/>
                <w:szCs w:val="18"/>
              </w:rPr>
              <w:lastRenderedPageBreak/>
              <w:t>Ramón Olivares Chávez, en representación de Mega Cable</w:t>
            </w:r>
          </w:p>
        </w:tc>
        <w:tc>
          <w:tcPr>
            <w:tcW w:w="1456" w:type="dxa"/>
            <w:tcMar>
              <w:top w:w="0" w:type="dxa"/>
              <w:left w:w="108" w:type="dxa"/>
              <w:bottom w:w="0" w:type="dxa"/>
              <w:right w:w="108" w:type="dxa"/>
            </w:tcMar>
            <w:vAlign w:val="center"/>
          </w:tcPr>
          <w:p w14:paraId="4249052F" w14:textId="1B386DD9" w:rsidR="00943CC4" w:rsidRPr="008E69EE" w:rsidRDefault="00943CC4" w:rsidP="00943CC4">
            <w:pPr>
              <w:spacing w:before="120" w:after="120" w:line="23" w:lineRule="atLeast"/>
              <w:jc w:val="center"/>
              <w:rPr>
                <w:rFonts w:ascii="Arial" w:hAnsi="Arial" w:cs="Arial"/>
                <w:b/>
                <w:sz w:val="18"/>
                <w:szCs w:val="18"/>
              </w:rPr>
            </w:pPr>
            <w:r w:rsidRPr="003C5301">
              <w:rPr>
                <w:rFonts w:ascii="Arial" w:hAnsi="Arial" w:cs="Arial"/>
                <w:sz w:val="18"/>
                <w:szCs w:val="18"/>
              </w:rPr>
              <w:t>13/10/2021</w:t>
            </w:r>
          </w:p>
        </w:tc>
        <w:tc>
          <w:tcPr>
            <w:tcW w:w="2029" w:type="dxa"/>
            <w:shd w:val="clear" w:color="auto" w:fill="auto"/>
            <w:tcMar>
              <w:top w:w="0" w:type="dxa"/>
              <w:left w:w="108" w:type="dxa"/>
              <w:bottom w:w="0" w:type="dxa"/>
              <w:right w:w="108" w:type="dxa"/>
            </w:tcMar>
            <w:vAlign w:val="center"/>
          </w:tcPr>
          <w:p w14:paraId="0658C56D" w14:textId="2D55111F" w:rsidR="00943CC4" w:rsidRDefault="00943CC4" w:rsidP="009E2CBD">
            <w:pPr>
              <w:spacing w:before="120" w:after="120" w:line="23" w:lineRule="atLeast"/>
              <w:jc w:val="center"/>
              <w:rPr>
                <w:rFonts w:ascii="Arial" w:hAnsi="Arial" w:cs="Arial"/>
                <w:b/>
                <w:sz w:val="18"/>
                <w:szCs w:val="18"/>
              </w:rPr>
            </w:pPr>
            <w:r>
              <w:rPr>
                <w:rFonts w:ascii="Arial" w:hAnsi="Arial" w:cs="Arial"/>
                <w:b/>
                <w:sz w:val="18"/>
                <w:szCs w:val="18"/>
              </w:rPr>
              <w:t>23:47</w:t>
            </w:r>
          </w:p>
        </w:tc>
        <w:tc>
          <w:tcPr>
            <w:tcW w:w="2932" w:type="dxa"/>
            <w:shd w:val="clear" w:color="auto" w:fill="auto"/>
          </w:tcPr>
          <w:p w14:paraId="169AA8E9" w14:textId="100EE229" w:rsidR="00943CC4" w:rsidRPr="008E69EE" w:rsidRDefault="00943CC4" w:rsidP="00943CC4">
            <w:pPr>
              <w:spacing w:before="120" w:after="120" w:line="23" w:lineRule="atLeast"/>
              <w:jc w:val="center"/>
              <w:rPr>
                <w:rFonts w:ascii="Arial" w:hAnsi="Arial" w:cs="Arial"/>
                <w:sz w:val="18"/>
                <w:szCs w:val="18"/>
              </w:rPr>
            </w:pPr>
            <w:r w:rsidRPr="00ED637D">
              <w:rPr>
                <w:rFonts w:ascii="Arial" w:hAnsi="Arial" w:cs="Arial"/>
                <w:sz w:val="18"/>
                <w:szCs w:val="18"/>
              </w:rPr>
              <w:t>Correo electrónico</w:t>
            </w:r>
          </w:p>
        </w:tc>
      </w:tr>
    </w:tbl>
    <w:p w14:paraId="631A4195" w14:textId="53E2FEB3" w:rsidR="009A6859" w:rsidRPr="009A6859" w:rsidRDefault="009A6859" w:rsidP="00421559">
      <w:pPr>
        <w:spacing w:before="120" w:after="120" w:line="276" w:lineRule="auto"/>
        <w:jc w:val="both"/>
        <w:rPr>
          <w:rFonts w:ascii="Arial" w:hAnsi="Arial" w:cs="Arial"/>
        </w:rPr>
      </w:pPr>
      <w:r w:rsidRPr="009A6859">
        <w:rPr>
          <w:rFonts w:ascii="Arial" w:hAnsi="Arial" w:cs="Arial"/>
        </w:rPr>
        <w:t xml:space="preserve">Adicionalmente, mediante el Oficio IFT/226/UCE/072/2021 de fecha de 2 de septiembre de 2021, se solicitó a la COFECE emitir la opinión a la que se refiere el artículo 138, fracción I, </w:t>
      </w:r>
      <w:r w:rsidRPr="009A6859">
        <w:rPr>
          <w:rFonts w:ascii="Arial" w:hAnsi="Arial" w:cs="Arial"/>
          <w:i/>
        </w:rPr>
        <w:t>in fine</w:t>
      </w:r>
      <w:r w:rsidRPr="009A6859">
        <w:rPr>
          <w:rFonts w:ascii="Arial" w:hAnsi="Arial" w:cs="Arial"/>
        </w:rPr>
        <w:t>, de la LFCE, en relación con el Anteproyecto de modificación a</w:t>
      </w:r>
      <w:r w:rsidR="00943CC4">
        <w:rPr>
          <w:rFonts w:ascii="Arial" w:hAnsi="Arial" w:cs="Arial"/>
        </w:rPr>
        <w:t xml:space="preserve"> </w:t>
      </w:r>
      <w:r w:rsidRPr="009A6859">
        <w:rPr>
          <w:rFonts w:ascii="Arial" w:hAnsi="Arial" w:cs="Arial"/>
        </w:rPr>
        <w:t>l</w:t>
      </w:r>
      <w:r w:rsidR="00943CC4">
        <w:rPr>
          <w:rFonts w:ascii="Arial" w:hAnsi="Arial" w:cs="Arial"/>
        </w:rPr>
        <w:t>a</w:t>
      </w:r>
      <w:r w:rsidRPr="009A6859">
        <w:rPr>
          <w:rFonts w:ascii="Arial" w:hAnsi="Arial" w:cs="Arial"/>
        </w:rPr>
        <w:t xml:space="preserve"> </w:t>
      </w:r>
      <w:r w:rsidR="00943CC4">
        <w:rPr>
          <w:rFonts w:ascii="Arial" w:hAnsi="Arial" w:cs="Arial"/>
        </w:rPr>
        <w:t>Guía</w:t>
      </w:r>
      <w:r w:rsidRPr="009A6859">
        <w:rPr>
          <w:rFonts w:ascii="Arial" w:hAnsi="Arial" w:cs="Arial"/>
        </w:rPr>
        <w:t>.</w:t>
      </w:r>
    </w:p>
    <w:p w14:paraId="562690C9" w14:textId="54112CD1" w:rsidR="009A6859" w:rsidRPr="009A6859" w:rsidRDefault="009A6859" w:rsidP="00421559">
      <w:pPr>
        <w:spacing w:before="120" w:after="120" w:line="276" w:lineRule="auto"/>
        <w:jc w:val="both"/>
        <w:rPr>
          <w:rFonts w:ascii="Arial" w:hAnsi="Arial" w:cs="Arial"/>
        </w:rPr>
      </w:pPr>
      <w:r w:rsidRPr="009A6859">
        <w:rPr>
          <w:rFonts w:ascii="Arial" w:hAnsi="Arial" w:cs="Arial"/>
        </w:rPr>
        <w:t xml:space="preserve">El 1 de octubre de 2021, se recibió en oficialía de partes del Instituto, el Oficio ST-CFCE-2021-092 de fecha 1 de octubre de 2021, </w:t>
      </w:r>
      <w:r w:rsidR="00421559">
        <w:rPr>
          <w:rFonts w:ascii="Arial" w:hAnsi="Arial" w:cs="Arial"/>
        </w:rPr>
        <w:t xml:space="preserve">por el cual la COFECE, </w:t>
      </w:r>
      <w:r w:rsidRPr="009A6859">
        <w:rPr>
          <w:rFonts w:ascii="Arial" w:hAnsi="Arial" w:cs="Arial"/>
        </w:rPr>
        <w:t>en atención al Oficio IFT/226/UCE/072/2021, envió comentarios o sugerencias al Anteproyecto de modificación a</w:t>
      </w:r>
      <w:r w:rsidR="00943CC4">
        <w:rPr>
          <w:rFonts w:ascii="Arial" w:hAnsi="Arial" w:cs="Arial"/>
        </w:rPr>
        <w:t xml:space="preserve"> </w:t>
      </w:r>
      <w:r w:rsidRPr="009A6859">
        <w:rPr>
          <w:rFonts w:ascii="Arial" w:hAnsi="Arial" w:cs="Arial"/>
        </w:rPr>
        <w:t>l</w:t>
      </w:r>
      <w:r w:rsidR="00943CC4">
        <w:rPr>
          <w:rFonts w:ascii="Arial" w:hAnsi="Arial" w:cs="Arial"/>
        </w:rPr>
        <w:t>a</w:t>
      </w:r>
      <w:r w:rsidRPr="009A6859">
        <w:rPr>
          <w:rFonts w:ascii="Arial" w:hAnsi="Arial" w:cs="Arial"/>
        </w:rPr>
        <w:t xml:space="preserve"> </w:t>
      </w:r>
      <w:r w:rsidR="00943CC4">
        <w:rPr>
          <w:rFonts w:ascii="Arial" w:hAnsi="Arial" w:cs="Arial"/>
        </w:rPr>
        <w:t>Guía</w:t>
      </w:r>
      <w:r w:rsidRPr="009A6859">
        <w:rPr>
          <w:rFonts w:ascii="Arial" w:hAnsi="Arial" w:cs="Arial"/>
        </w:rPr>
        <w:t>.</w:t>
      </w:r>
    </w:p>
    <w:p w14:paraId="2638DCA9" w14:textId="736B2D88" w:rsidR="003E2214" w:rsidRPr="0076778C" w:rsidRDefault="00973ABA" w:rsidP="00421559">
      <w:pPr>
        <w:spacing w:before="120" w:after="120" w:line="276" w:lineRule="auto"/>
        <w:jc w:val="both"/>
        <w:rPr>
          <w:rFonts w:ascii="Arial" w:hAnsi="Arial" w:cs="Arial"/>
        </w:rPr>
      </w:pPr>
      <w:r w:rsidRPr="00973ABA">
        <w:rPr>
          <w:rFonts w:ascii="Arial" w:hAnsi="Arial" w:cs="Arial"/>
        </w:rPr>
        <w:t xml:space="preserve">Los comentarios presentados </w:t>
      </w:r>
      <w:r w:rsidR="0085320E" w:rsidRPr="0085320E">
        <w:rPr>
          <w:rFonts w:ascii="Arial" w:hAnsi="Arial" w:cs="Arial"/>
        </w:rPr>
        <w:t>se encuentran disponibles en</w:t>
      </w:r>
      <w:r w:rsidR="0076778C">
        <w:rPr>
          <w:rFonts w:ascii="Arial" w:hAnsi="Arial" w:cs="Arial"/>
        </w:rPr>
        <w:t xml:space="preserve"> </w:t>
      </w:r>
      <w:hyperlink r:id="rId11" w:history="1">
        <w:r w:rsidR="00B643DE" w:rsidRPr="00743196">
          <w:rPr>
            <w:rStyle w:val="Hipervnculo"/>
            <w:rFonts w:ascii="Arial" w:hAnsi="Arial" w:cs="Arial"/>
          </w:rPr>
          <w:t>http://www.ift.org.mx/industria/consultas-publicas/guia-para-el-control-de-concentraciones-en-los-sectores-de-telecomunicaciones-y-radiodifusion</w:t>
        </w:r>
      </w:hyperlink>
      <w:r w:rsidR="00B643DE">
        <w:rPr>
          <w:rFonts w:ascii="Arial" w:hAnsi="Arial" w:cs="Arial"/>
        </w:rPr>
        <w:t xml:space="preserve"> </w:t>
      </w:r>
    </w:p>
    <w:p w14:paraId="450A8D15" w14:textId="3FA61997" w:rsidR="003E2214" w:rsidRDefault="005F39CC" w:rsidP="00421559">
      <w:pPr>
        <w:pStyle w:val="Ttulo1"/>
        <w:spacing w:before="120" w:after="120"/>
        <w:jc w:val="both"/>
        <w:rPr>
          <w:rFonts w:ascii="Arial" w:hAnsi="Arial" w:cs="Arial"/>
          <w:b/>
          <w:color w:val="auto"/>
          <w:sz w:val="22"/>
          <w:szCs w:val="22"/>
        </w:rPr>
      </w:pPr>
      <w:r>
        <w:rPr>
          <w:rFonts w:ascii="Arial" w:hAnsi="Arial" w:cs="Arial"/>
          <w:b/>
          <w:color w:val="auto"/>
          <w:sz w:val="22"/>
          <w:szCs w:val="22"/>
        </w:rPr>
        <w:t>7</w:t>
      </w:r>
      <w:r w:rsidR="00393393">
        <w:rPr>
          <w:rFonts w:ascii="Arial" w:hAnsi="Arial" w:cs="Arial"/>
          <w:b/>
          <w:color w:val="auto"/>
          <w:sz w:val="22"/>
          <w:szCs w:val="22"/>
        </w:rPr>
        <w:t>.</w:t>
      </w:r>
      <w:r w:rsidR="003E2214" w:rsidRPr="003E2214">
        <w:rPr>
          <w:rFonts w:ascii="Arial" w:hAnsi="Arial" w:cs="Arial"/>
          <w:b/>
          <w:color w:val="auto"/>
          <w:sz w:val="22"/>
          <w:szCs w:val="22"/>
        </w:rPr>
        <w:t xml:space="preserve"> </w:t>
      </w:r>
      <w:r w:rsidR="00C320A9">
        <w:rPr>
          <w:rFonts w:ascii="Arial" w:hAnsi="Arial" w:cs="Arial"/>
          <w:b/>
          <w:color w:val="auto"/>
          <w:sz w:val="22"/>
          <w:szCs w:val="22"/>
        </w:rPr>
        <w:t xml:space="preserve">Respuestas o posicionamientos </w:t>
      </w:r>
      <w:r w:rsidR="00EA4331">
        <w:rPr>
          <w:rFonts w:ascii="Arial" w:hAnsi="Arial" w:cs="Arial"/>
          <w:b/>
          <w:color w:val="auto"/>
          <w:sz w:val="22"/>
          <w:szCs w:val="22"/>
        </w:rPr>
        <w:t xml:space="preserve">de la UCE </w:t>
      </w:r>
      <w:r w:rsidR="00C320A9">
        <w:rPr>
          <w:rFonts w:ascii="Arial" w:hAnsi="Arial" w:cs="Arial"/>
          <w:b/>
          <w:color w:val="auto"/>
          <w:sz w:val="22"/>
          <w:szCs w:val="22"/>
        </w:rPr>
        <w:t>que correspondan a los comentarios</w:t>
      </w:r>
      <w:r w:rsidR="00392DA2">
        <w:rPr>
          <w:rFonts w:ascii="Arial" w:hAnsi="Arial" w:cs="Arial"/>
          <w:b/>
          <w:color w:val="auto"/>
          <w:sz w:val="22"/>
          <w:szCs w:val="22"/>
        </w:rPr>
        <w:t xml:space="preserve">, opiniones y propuestas </w:t>
      </w:r>
      <w:r w:rsidR="00C320A9">
        <w:rPr>
          <w:rFonts w:ascii="Arial" w:hAnsi="Arial" w:cs="Arial"/>
          <w:b/>
          <w:color w:val="auto"/>
          <w:sz w:val="22"/>
          <w:szCs w:val="22"/>
        </w:rPr>
        <w:t>recibid</w:t>
      </w:r>
      <w:r w:rsidR="00392DA2">
        <w:rPr>
          <w:rFonts w:ascii="Arial" w:hAnsi="Arial" w:cs="Arial"/>
          <w:b/>
          <w:color w:val="auto"/>
          <w:sz w:val="22"/>
          <w:szCs w:val="22"/>
        </w:rPr>
        <w:t>as</w:t>
      </w:r>
      <w:r w:rsidR="00C320A9">
        <w:rPr>
          <w:rFonts w:ascii="Arial" w:hAnsi="Arial" w:cs="Arial"/>
          <w:b/>
          <w:color w:val="auto"/>
          <w:sz w:val="22"/>
          <w:szCs w:val="22"/>
        </w:rPr>
        <w:t>.</w:t>
      </w:r>
    </w:p>
    <w:p w14:paraId="7B09C056" w14:textId="3698823E" w:rsidR="00440BDE" w:rsidRDefault="00BC2E02" w:rsidP="00421559">
      <w:pPr>
        <w:spacing w:before="120" w:after="120" w:line="276" w:lineRule="auto"/>
        <w:jc w:val="both"/>
        <w:rPr>
          <w:rFonts w:ascii="Arial" w:hAnsi="Arial" w:cs="Arial"/>
        </w:rPr>
      </w:pPr>
      <w:r w:rsidRPr="00BC2E02">
        <w:rPr>
          <w:rFonts w:ascii="Arial" w:hAnsi="Arial" w:cs="Arial"/>
        </w:rPr>
        <w:t xml:space="preserve">A continuación, se presenta </w:t>
      </w:r>
      <w:r w:rsidR="00EA4331">
        <w:rPr>
          <w:rFonts w:ascii="Arial" w:hAnsi="Arial" w:cs="Arial"/>
        </w:rPr>
        <w:t>una síntesis</w:t>
      </w:r>
      <w:r w:rsidRPr="00BC2E02">
        <w:rPr>
          <w:rFonts w:ascii="Arial" w:hAnsi="Arial" w:cs="Arial"/>
        </w:rPr>
        <w:t xml:space="preserve"> de los comentarios recibidos y se identifican los apartados específicos del Anteproyecto al que fueron dirigidos. En concreto</w:t>
      </w:r>
      <w:r>
        <w:rPr>
          <w:rFonts w:ascii="Arial" w:hAnsi="Arial" w:cs="Arial"/>
        </w:rPr>
        <w:t>, s</w:t>
      </w:r>
      <w:r w:rsidR="008839E0">
        <w:rPr>
          <w:rFonts w:ascii="Arial" w:hAnsi="Arial" w:cs="Arial"/>
        </w:rPr>
        <w:t xml:space="preserve">e recibieron comentarios sobre los apartados siguientes: </w:t>
      </w:r>
      <w:bookmarkStart w:id="2" w:name="_Hlk80809058"/>
      <w:r w:rsidR="00440BDE" w:rsidRPr="00440BDE">
        <w:rPr>
          <w:rFonts w:ascii="Arial" w:hAnsi="Arial" w:cs="Arial"/>
        </w:rPr>
        <w:t>2.1 Concentración</w:t>
      </w:r>
      <w:r w:rsidR="00421559">
        <w:rPr>
          <w:rFonts w:ascii="Arial" w:hAnsi="Arial" w:cs="Arial"/>
        </w:rPr>
        <w:t>,</w:t>
      </w:r>
      <w:r w:rsidR="00440BDE">
        <w:rPr>
          <w:rFonts w:ascii="Arial" w:hAnsi="Arial" w:cs="Arial"/>
        </w:rPr>
        <w:t xml:space="preserve"> </w:t>
      </w:r>
      <w:r w:rsidR="00440BDE" w:rsidRPr="00440BDE">
        <w:rPr>
          <w:rFonts w:ascii="Arial" w:hAnsi="Arial" w:cs="Arial"/>
        </w:rPr>
        <w:t>2.2 Agente Económico</w:t>
      </w:r>
      <w:r w:rsidR="00421559">
        <w:rPr>
          <w:rFonts w:ascii="Arial" w:hAnsi="Arial" w:cs="Arial"/>
        </w:rPr>
        <w:t>,</w:t>
      </w:r>
      <w:r w:rsidR="00440BDE">
        <w:rPr>
          <w:rFonts w:ascii="Arial" w:hAnsi="Arial" w:cs="Arial"/>
        </w:rPr>
        <w:t xml:space="preserve"> </w:t>
      </w:r>
      <w:r w:rsidR="00440BDE" w:rsidRPr="00440BDE">
        <w:rPr>
          <w:rFonts w:ascii="Arial" w:hAnsi="Arial" w:cs="Arial"/>
        </w:rPr>
        <w:t>2.4 Control e influencia</w:t>
      </w:r>
      <w:r w:rsidR="00421559">
        <w:rPr>
          <w:rFonts w:ascii="Arial" w:hAnsi="Arial" w:cs="Arial"/>
        </w:rPr>
        <w:t>,</w:t>
      </w:r>
      <w:r w:rsidR="00440BDE">
        <w:rPr>
          <w:rFonts w:ascii="Arial" w:hAnsi="Arial" w:cs="Arial"/>
        </w:rPr>
        <w:t xml:space="preserve"> </w:t>
      </w:r>
      <w:r w:rsidR="00440BDE" w:rsidRPr="00440BDE">
        <w:rPr>
          <w:rFonts w:ascii="Arial" w:hAnsi="Arial" w:cs="Arial"/>
        </w:rPr>
        <w:t>3.2 De aplicaciones ex</w:t>
      </w:r>
      <w:r w:rsidR="008A0094">
        <w:rPr>
          <w:rFonts w:ascii="Arial" w:hAnsi="Arial" w:cs="Arial"/>
        </w:rPr>
        <w:t xml:space="preserve"> </w:t>
      </w:r>
      <w:r w:rsidR="00440BDE" w:rsidRPr="00440BDE">
        <w:rPr>
          <w:rFonts w:ascii="Arial" w:hAnsi="Arial" w:cs="Arial"/>
        </w:rPr>
        <w:t>post</w:t>
      </w:r>
      <w:r w:rsidR="00421559">
        <w:rPr>
          <w:rFonts w:ascii="Arial" w:hAnsi="Arial" w:cs="Arial"/>
        </w:rPr>
        <w:t>,</w:t>
      </w:r>
      <w:r w:rsidR="00440BDE">
        <w:rPr>
          <w:rFonts w:ascii="Arial" w:hAnsi="Arial" w:cs="Arial"/>
        </w:rPr>
        <w:t xml:space="preserve"> </w:t>
      </w:r>
      <w:bookmarkStart w:id="3" w:name="_Hlk88501507"/>
      <w:r w:rsidR="00440BDE" w:rsidRPr="00440BDE">
        <w:rPr>
          <w:rFonts w:ascii="Arial" w:hAnsi="Arial" w:cs="Arial"/>
        </w:rPr>
        <w:t>4.1 Criterios de referencia</w:t>
      </w:r>
      <w:bookmarkEnd w:id="3"/>
      <w:r w:rsidR="00421559">
        <w:rPr>
          <w:rFonts w:ascii="Arial" w:hAnsi="Arial" w:cs="Arial"/>
        </w:rPr>
        <w:t>,</w:t>
      </w:r>
      <w:r w:rsidR="00440BDE">
        <w:rPr>
          <w:rFonts w:ascii="Arial" w:hAnsi="Arial" w:cs="Arial"/>
        </w:rPr>
        <w:t xml:space="preserve"> </w:t>
      </w:r>
      <w:r w:rsidR="00440BDE" w:rsidRPr="00440BDE">
        <w:rPr>
          <w:rFonts w:ascii="Arial" w:hAnsi="Arial" w:cs="Arial"/>
        </w:rPr>
        <w:t>4.2 Fijar competencia entre el Instituto y COFECE</w:t>
      </w:r>
      <w:r w:rsidR="00421559">
        <w:rPr>
          <w:rFonts w:ascii="Arial" w:hAnsi="Arial" w:cs="Arial"/>
        </w:rPr>
        <w:t>,</w:t>
      </w:r>
      <w:r w:rsidR="00440BDE">
        <w:rPr>
          <w:rFonts w:ascii="Arial" w:hAnsi="Arial" w:cs="Arial"/>
        </w:rPr>
        <w:t xml:space="preserve"> </w:t>
      </w:r>
      <w:r w:rsidR="00440BDE" w:rsidRPr="00440BDE">
        <w:rPr>
          <w:rFonts w:ascii="Arial" w:hAnsi="Arial" w:cs="Arial"/>
        </w:rPr>
        <w:t>4.3.1 Información adicional</w:t>
      </w:r>
      <w:r w:rsidR="00421559">
        <w:rPr>
          <w:rFonts w:ascii="Arial" w:hAnsi="Arial" w:cs="Arial"/>
        </w:rPr>
        <w:t>,</w:t>
      </w:r>
      <w:r w:rsidR="00440BDE">
        <w:rPr>
          <w:rFonts w:ascii="Arial" w:hAnsi="Arial" w:cs="Arial"/>
        </w:rPr>
        <w:t xml:space="preserve"> </w:t>
      </w:r>
      <w:bookmarkStart w:id="4" w:name="_Hlk88501855"/>
      <w:r w:rsidR="00440BDE" w:rsidRPr="00440BDE">
        <w:rPr>
          <w:rFonts w:ascii="Arial" w:hAnsi="Arial" w:cs="Arial"/>
        </w:rPr>
        <w:t>4.3.2 Coadyuvancia de terceros</w:t>
      </w:r>
      <w:bookmarkEnd w:id="4"/>
      <w:r w:rsidR="00421559">
        <w:rPr>
          <w:rFonts w:ascii="Arial" w:hAnsi="Arial" w:cs="Arial"/>
        </w:rPr>
        <w:t>,</w:t>
      </w:r>
      <w:r w:rsidR="00440BDE">
        <w:rPr>
          <w:rFonts w:ascii="Arial" w:hAnsi="Arial" w:cs="Arial"/>
        </w:rPr>
        <w:t xml:space="preserve"> </w:t>
      </w:r>
      <w:bookmarkStart w:id="5" w:name="_Hlk88501927"/>
      <w:r w:rsidR="00440BDE" w:rsidRPr="00440BDE">
        <w:rPr>
          <w:rFonts w:ascii="Arial" w:hAnsi="Arial" w:cs="Arial"/>
        </w:rPr>
        <w:t>5.1 Umbrales para la notificación</w:t>
      </w:r>
      <w:bookmarkEnd w:id="5"/>
      <w:r w:rsidR="00421559">
        <w:rPr>
          <w:rFonts w:ascii="Arial" w:hAnsi="Arial" w:cs="Arial"/>
        </w:rPr>
        <w:t>,</w:t>
      </w:r>
      <w:r w:rsidR="00440BDE">
        <w:rPr>
          <w:rFonts w:ascii="Arial" w:hAnsi="Arial" w:cs="Arial"/>
        </w:rPr>
        <w:t xml:space="preserve"> </w:t>
      </w:r>
      <w:r w:rsidR="00440BDE" w:rsidRPr="00440BDE">
        <w:rPr>
          <w:rFonts w:ascii="Arial" w:hAnsi="Arial" w:cs="Arial"/>
        </w:rPr>
        <w:t>5.2 Notificación voluntaria</w:t>
      </w:r>
      <w:r w:rsidR="00421559">
        <w:rPr>
          <w:rFonts w:ascii="Arial" w:hAnsi="Arial" w:cs="Arial"/>
        </w:rPr>
        <w:t>,</w:t>
      </w:r>
      <w:r w:rsidR="00440BDE">
        <w:rPr>
          <w:rFonts w:ascii="Arial" w:hAnsi="Arial" w:cs="Arial"/>
        </w:rPr>
        <w:t xml:space="preserve"> </w:t>
      </w:r>
      <w:r w:rsidR="00440BDE" w:rsidRPr="00440BDE">
        <w:rPr>
          <w:rFonts w:ascii="Arial" w:hAnsi="Arial" w:cs="Arial"/>
        </w:rPr>
        <w:t>5.3 Bis Coinversiones o Inversiones</w:t>
      </w:r>
      <w:r w:rsidR="00421559">
        <w:rPr>
          <w:rFonts w:ascii="Arial" w:hAnsi="Arial" w:cs="Arial"/>
        </w:rPr>
        <w:t>,</w:t>
      </w:r>
      <w:r w:rsidR="00440BDE">
        <w:rPr>
          <w:rFonts w:ascii="Arial" w:hAnsi="Arial" w:cs="Arial"/>
        </w:rPr>
        <w:t xml:space="preserve"> </w:t>
      </w:r>
      <w:r w:rsidR="00440BDE" w:rsidRPr="00440BDE">
        <w:rPr>
          <w:rFonts w:ascii="Arial" w:hAnsi="Arial" w:cs="Arial"/>
        </w:rPr>
        <w:t>5.6 Obligados a Notificar</w:t>
      </w:r>
      <w:r w:rsidR="00421559">
        <w:rPr>
          <w:rFonts w:ascii="Arial" w:hAnsi="Arial" w:cs="Arial"/>
        </w:rPr>
        <w:t>,</w:t>
      </w:r>
      <w:r w:rsidR="00440BDE">
        <w:rPr>
          <w:rFonts w:ascii="Arial" w:hAnsi="Arial" w:cs="Arial"/>
        </w:rPr>
        <w:t xml:space="preserve"> </w:t>
      </w:r>
      <w:r w:rsidR="00440BDE" w:rsidRPr="00440BDE">
        <w:rPr>
          <w:rFonts w:ascii="Arial" w:hAnsi="Arial" w:cs="Arial"/>
        </w:rPr>
        <w:t>5.7 Escrito de notificación</w:t>
      </w:r>
      <w:r w:rsidR="00421559">
        <w:rPr>
          <w:rFonts w:ascii="Arial" w:hAnsi="Arial" w:cs="Arial"/>
        </w:rPr>
        <w:t>,</w:t>
      </w:r>
      <w:r w:rsidR="00440BDE">
        <w:rPr>
          <w:rFonts w:ascii="Arial" w:hAnsi="Arial" w:cs="Arial"/>
        </w:rPr>
        <w:t xml:space="preserve"> </w:t>
      </w:r>
      <w:r w:rsidR="00440BDE" w:rsidRPr="00440BDE">
        <w:rPr>
          <w:rFonts w:ascii="Arial" w:hAnsi="Arial" w:cs="Arial"/>
        </w:rPr>
        <w:t>5.8 Procedimiento. Requerimientos de información</w:t>
      </w:r>
      <w:r w:rsidR="00440BDE">
        <w:rPr>
          <w:rFonts w:ascii="Arial" w:hAnsi="Arial" w:cs="Arial"/>
        </w:rPr>
        <w:t xml:space="preserve">. </w:t>
      </w:r>
    </w:p>
    <w:p w14:paraId="33AEBD68" w14:textId="1CC7A77D" w:rsidR="008839E0" w:rsidRDefault="009A6859" w:rsidP="00421559">
      <w:pPr>
        <w:spacing w:before="120" w:after="120" w:line="276" w:lineRule="auto"/>
        <w:jc w:val="both"/>
        <w:rPr>
          <w:rFonts w:ascii="Arial" w:hAnsi="Arial" w:cs="Arial"/>
        </w:rPr>
      </w:pPr>
      <w:r>
        <w:rPr>
          <w:rFonts w:ascii="Arial" w:hAnsi="Arial" w:cs="Arial"/>
        </w:rPr>
        <w:t>Adicionalmente</w:t>
      </w:r>
      <w:r w:rsidR="008839E0">
        <w:rPr>
          <w:rFonts w:ascii="Arial" w:hAnsi="Arial" w:cs="Arial"/>
        </w:rPr>
        <w:t>,</w:t>
      </w:r>
      <w:r w:rsidR="00457D57">
        <w:rPr>
          <w:rFonts w:ascii="Arial" w:hAnsi="Arial" w:cs="Arial"/>
        </w:rPr>
        <w:t xml:space="preserve"> se recibieron comentarios generales hacia el Anteproyecto</w:t>
      </w:r>
      <w:bookmarkEnd w:id="2"/>
      <w:r w:rsidR="008839E0">
        <w:rPr>
          <w:rFonts w:ascii="Arial" w:hAnsi="Arial" w:cs="Arial"/>
        </w:rPr>
        <w:t>.</w:t>
      </w:r>
      <w:r w:rsidR="00D519E4">
        <w:rPr>
          <w:rFonts w:ascii="Arial" w:hAnsi="Arial" w:cs="Arial"/>
        </w:rPr>
        <w:t xml:space="preserve"> </w:t>
      </w:r>
    </w:p>
    <w:p w14:paraId="791EE1C6" w14:textId="52E1A6CF" w:rsidR="0023453B" w:rsidRPr="00BD5C05" w:rsidRDefault="0023453B" w:rsidP="00421559">
      <w:pPr>
        <w:spacing w:before="120" w:after="120" w:line="276" w:lineRule="auto"/>
        <w:jc w:val="both"/>
        <w:rPr>
          <w:rFonts w:ascii="Arial" w:hAnsi="Arial" w:cs="Arial"/>
        </w:rPr>
      </w:pPr>
      <w:r>
        <w:rPr>
          <w:rFonts w:ascii="Arial" w:hAnsi="Arial" w:cs="Arial"/>
        </w:rPr>
        <w:t xml:space="preserve">Sin prejuzgar sobre lo que determine el Pleno del Instituto al emitir </w:t>
      </w:r>
      <w:r w:rsidR="00440BDE">
        <w:rPr>
          <w:rFonts w:ascii="Arial" w:hAnsi="Arial" w:cs="Arial"/>
        </w:rPr>
        <w:t xml:space="preserve">la </w:t>
      </w:r>
      <w:r w:rsidR="00440BDE" w:rsidRPr="00440BDE">
        <w:rPr>
          <w:rFonts w:ascii="Arial" w:hAnsi="Arial" w:cs="Arial"/>
        </w:rPr>
        <w:t>modificación a la Guía para el Control de Concentraciones en los sectores de telecomunicaciones y radiodifusión</w:t>
      </w:r>
      <w:r>
        <w:rPr>
          <w:rFonts w:ascii="Arial" w:hAnsi="Arial" w:cs="Arial"/>
        </w:rPr>
        <w:t xml:space="preserve">, a continuación, </w:t>
      </w:r>
      <w:r w:rsidR="00F71B9B">
        <w:rPr>
          <w:rFonts w:ascii="Arial" w:hAnsi="Arial" w:cs="Arial"/>
        </w:rPr>
        <w:t xml:space="preserve">la UCE </w:t>
      </w:r>
      <w:r>
        <w:rPr>
          <w:rFonts w:ascii="Arial" w:hAnsi="Arial" w:cs="Arial"/>
        </w:rPr>
        <w:t xml:space="preserve">analiza los comentarios recibidos </w:t>
      </w:r>
      <w:r w:rsidR="00CE0BB6">
        <w:rPr>
          <w:rFonts w:ascii="Arial" w:hAnsi="Arial" w:cs="Arial"/>
        </w:rPr>
        <w:t>en la Consulta Pública</w:t>
      </w:r>
      <w:r>
        <w:rPr>
          <w:rFonts w:ascii="Arial" w:hAnsi="Arial" w:cs="Arial"/>
        </w:rPr>
        <w:t xml:space="preserve">, los cuales han </w:t>
      </w:r>
      <w:r w:rsidRPr="00BD5C05">
        <w:rPr>
          <w:rFonts w:ascii="Arial" w:hAnsi="Arial" w:cs="Arial"/>
        </w:rPr>
        <w:t xml:space="preserve">sido ponderados y se presenta una </w:t>
      </w:r>
      <w:r w:rsidR="005E2937">
        <w:rPr>
          <w:rFonts w:ascii="Arial" w:hAnsi="Arial" w:cs="Arial"/>
        </w:rPr>
        <w:t xml:space="preserve">consideración, </w:t>
      </w:r>
      <w:r w:rsidRPr="00BD5C05">
        <w:rPr>
          <w:rFonts w:ascii="Arial" w:hAnsi="Arial" w:cs="Arial"/>
        </w:rPr>
        <w:t>respuesta o posicionamiento sobre ellos.</w:t>
      </w:r>
    </w:p>
    <w:p w14:paraId="400B620F" w14:textId="083594AD" w:rsidR="00C200B9" w:rsidRDefault="001D3AC4" w:rsidP="00421559">
      <w:pPr>
        <w:spacing w:before="120" w:after="120" w:line="276" w:lineRule="auto"/>
        <w:jc w:val="both"/>
        <w:rPr>
          <w:rFonts w:ascii="Arial" w:hAnsi="Arial" w:cs="Arial"/>
          <w:b/>
          <w:bCs/>
        </w:rPr>
      </w:pPr>
      <w:bookmarkStart w:id="6" w:name="_Hlk87626540"/>
      <w:r>
        <w:rPr>
          <w:rFonts w:ascii="Arial" w:hAnsi="Arial" w:cs="Arial"/>
          <w:b/>
        </w:rPr>
        <w:t>7</w:t>
      </w:r>
      <w:r w:rsidR="004D24CF" w:rsidRPr="00BD5C05">
        <w:rPr>
          <w:rFonts w:ascii="Arial" w:hAnsi="Arial" w:cs="Arial"/>
          <w:b/>
        </w:rPr>
        <w:t>.</w:t>
      </w:r>
      <w:r w:rsidR="005F39CC">
        <w:rPr>
          <w:rFonts w:ascii="Arial" w:hAnsi="Arial" w:cs="Arial"/>
          <w:b/>
        </w:rPr>
        <w:t>1</w:t>
      </w:r>
      <w:r w:rsidR="003E2214" w:rsidRPr="00BD5C05">
        <w:rPr>
          <w:rFonts w:ascii="Arial" w:hAnsi="Arial" w:cs="Arial"/>
          <w:b/>
        </w:rPr>
        <w:t xml:space="preserve"> </w:t>
      </w:r>
      <w:r>
        <w:rPr>
          <w:rFonts w:ascii="Arial" w:hAnsi="Arial" w:cs="Arial"/>
          <w:b/>
        </w:rPr>
        <w:t>“</w:t>
      </w:r>
      <w:r w:rsidRPr="001D3AC4">
        <w:rPr>
          <w:rFonts w:ascii="Arial" w:hAnsi="Arial" w:cs="Arial"/>
          <w:b/>
        </w:rPr>
        <w:t>2.1 Concentración</w:t>
      </w:r>
      <w:r>
        <w:rPr>
          <w:rFonts w:ascii="Arial" w:hAnsi="Arial" w:cs="Arial"/>
          <w:b/>
        </w:rPr>
        <w:t>”</w:t>
      </w:r>
    </w:p>
    <w:p w14:paraId="783AE338" w14:textId="6A9DBC37" w:rsidR="004D24CF" w:rsidRDefault="001D3AC4" w:rsidP="00D50B18">
      <w:pPr>
        <w:spacing w:before="120" w:after="120" w:line="23" w:lineRule="atLeast"/>
        <w:jc w:val="both"/>
        <w:rPr>
          <w:rFonts w:ascii="Arial" w:hAnsi="Arial" w:cs="Arial"/>
          <w:b/>
          <w:bCs/>
        </w:rPr>
      </w:pPr>
      <w:r>
        <w:rPr>
          <w:rFonts w:ascii="Arial" w:hAnsi="Arial" w:cs="Arial"/>
          <w:b/>
          <w:bCs/>
        </w:rPr>
        <w:t>7</w:t>
      </w:r>
      <w:r w:rsidR="00BD5C05">
        <w:rPr>
          <w:rFonts w:ascii="Arial" w:hAnsi="Arial" w:cs="Arial"/>
          <w:b/>
          <w:bCs/>
        </w:rPr>
        <w:t xml:space="preserve">.1.1. </w:t>
      </w:r>
      <w:r w:rsidR="00BD5C05" w:rsidRPr="00BD5C05">
        <w:rPr>
          <w:rFonts w:ascii="Arial" w:hAnsi="Arial" w:cs="Arial"/>
          <w:b/>
          <w:bCs/>
        </w:rPr>
        <w:t>Síntesis de los comentarios recibidos respecto de la propuesta de</w:t>
      </w:r>
      <w:r w:rsidR="00034150">
        <w:rPr>
          <w:rFonts w:ascii="Arial" w:hAnsi="Arial" w:cs="Arial"/>
          <w:b/>
          <w:bCs/>
        </w:rPr>
        <w:t xml:space="preserve">l apartado </w:t>
      </w:r>
      <w:r w:rsidR="00034150" w:rsidRPr="001D3AC4">
        <w:rPr>
          <w:rFonts w:ascii="Arial" w:hAnsi="Arial" w:cs="Arial"/>
          <w:b/>
        </w:rPr>
        <w:t>2.1 Concentración</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2967"/>
        <w:gridCol w:w="2811"/>
        <w:gridCol w:w="3568"/>
      </w:tblGrid>
      <w:tr w:rsidR="00A265C3" w:rsidRPr="003E2214" w14:paraId="375458E2" w14:textId="0DAE96EF" w:rsidTr="00616B30">
        <w:trPr>
          <w:tblHeader/>
          <w:jc w:val="center"/>
        </w:trPr>
        <w:tc>
          <w:tcPr>
            <w:tcW w:w="2967" w:type="dxa"/>
            <w:shd w:val="clear" w:color="auto" w:fill="70AD47" w:themeFill="accent6"/>
          </w:tcPr>
          <w:p w14:paraId="11D238DB" w14:textId="5EACBB5B" w:rsidR="00A265C3" w:rsidRPr="00F45E04" w:rsidRDefault="00A265C3" w:rsidP="00A9692B">
            <w:pPr>
              <w:spacing w:before="120" w:after="120" w:line="276" w:lineRule="auto"/>
              <w:jc w:val="center"/>
              <w:rPr>
                <w:rFonts w:ascii="Arial" w:hAnsi="Arial" w:cs="Arial"/>
                <w:b/>
                <w:sz w:val="18"/>
                <w:szCs w:val="18"/>
              </w:rPr>
            </w:pPr>
            <w:r w:rsidRPr="00F45E04">
              <w:rPr>
                <w:rFonts w:ascii="Arial" w:hAnsi="Arial" w:cs="Arial"/>
                <w:b/>
                <w:sz w:val="18"/>
                <w:szCs w:val="18"/>
              </w:rPr>
              <w:t>Apartado del Anteproyecto</w:t>
            </w:r>
          </w:p>
        </w:tc>
        <w:tc>
          <w:tcPr>
            <w:tcW w:w="2811" w:type="dxa"/>
            <w:shd w:val="clear" w:color="auto" w:fill="70AD47" w:themeFill="accent6"/>
          </w:tcPr>
          <w:p w14:paraId="271A4EF8" w14:textId="146AE89A" w:rsidR="00A265C3" w:rsidRPr="00F45E04" w:rsidRDefault="00A265C3" w:rsidP="00A9692B">
            <w:pPr>
              <w:spacing w:before="120" w:after="120" w:line="276" w:lineRule="auto"/>
              <w:jc w:val="center"/>
              <w:rPr>
                <w:rFonts w:ascii="Arial" w:hAnsi="Arial" w:cs="Arial"/>
                <w:b/>
                <w:sz w:val="18"/>
                <w:szCs w:val="18"/>
              </w:rPr>
            </w:pPr>
            <w:r w:rsidRPr="00F45E04">
              <w:rPr>
                <w:rFonts w:ascii="Arial" w:hAnsi="Arial" w:cs="Arial"/>
                <w:b/>
                <w:sz w:val="18"/>
                <w:szCs w:val="18"/>
              </w:rPr>
              <w:t>Resumen de los comentarios recibidos</w:t>
            </w:r>
          </w:p>
        </w:tc>
        <w:tc>
          <w:tcPr>
            <w:tcW w:w="3568" w:type="dxa"/>
            <w:shd w:val="clear" w:color="auto" w:fill="70AD47" w:themeFill="accent6"/>
          </w:tcPr>
          <w:p w14:paraId="7DE10C90" w14:textId="5AD10A27" w:rsidR="00A265C3" w:rsidRPr="00F45E04" w:rsidRDefault="00A265C3" w:rsidP="00A9692B">
            <w:pPr>
              <w:spacing w:before="120" w:after="120" w:line="276" w:lineRule="auto"/>
              <w:jc w:val="center"/>
              <w:rPr>
                <w:rFonts w:ascii="Arial" w:hAnsi="Arial" w:cs="Arial"/>
                <w:b/>
                <w:sz w:val="18"/>
                <w:szCs w:val="18"/>
              </w:rPr>
            </w:pPr>
            <w:r>
              <w:rPr>
                <w:rFonts w:ascii="Arial" w:hAnsi="Arial" w:cs="Arial"/>
                <w:b/>
                <w:sz w:val="18"/>
                <w:szCs w:val="18"/>
              </w:rPr>
              <w:t>Consideración</w:t>
            </w:r>
          </w:p>
        </w:tc>
      </w:tr>
      <w:tr w:rsidR="00844861" w:rsidRPr="003E2214" w14:paraId="7A46DAA5" w14:textId="3DABE3ED" w:rsidTr="00616B30">
        <w:trPr>
          <w:jc w:val="center"/>
        </w:trPr>
        <w:tc>
          <w:tcPr>
            <w:tcW w:w="9346" w:type="dxa"/>
            <w:gridSpan w:val="3"/>
            <w:shd w:val="clear" w:color="auto" w:fill="C5E0B3" w:themeFill="accent6" w:themeFillTint="66"/>
          </w:tcPr>
          <w:p w14:paraId="0653DF6E" w14:textId="0BA8A1DA" w:rsidR="00844861" w:rsidRDefault="00034150" w:rsidP="00A9692B">
            <w:pPr>
              <w:spacing w:before="120" w:after="120" w:line="276" w:lineRule="auto"/>
              <w:jc w:val="center"/>
              <w:rPr>
                <w:rFonts w:ascii="Arial" w:hAnsi="Arial" w:cs="Arial"/>
                <w:b/>
                <w:sz w:val="18"/>
                <w:szCs w:val="18"/>
              </w:rPr>
            </w:pPr>
            <w:r w:rsidRPr="00034150">
              <w:rPr>
                <w:rFonts w:ascii="Arial" w:hAnsi="Arial" w:cs="Arial"/>
                <w:b/>
                <w:sz w:val="18"/>
                <w:szCs w:val="18"/>
              </w:rPr>
              <w:t>2.1 Concentración</w:t>
            </w:r>
          </w:p>
        </w:tc>
      </w:tr>
      <w:tr w:rsidR="00DC7FFE" w:rsidRPr="003E2214" w14:paraId="45F8B165" w14:textId="77777777" w:rsidTr="009B2105">
        <w:trPr>
          <w:jc w:val="center"/>
        </w:trPr>
        <w:tc>
          <w:tcPr>
            <w:tcW w:w="2967" w:type="dxa"/>
            <w:shd w:val="clear" w:color="auto" w:fill="auto"/>
          </w:tcPr>
          <w:p w14:paraId="5FD26A15" w14:textId="77777777" w:rsidR="00DC7FFE" w:rsidRPr="00457D57" w:rsidRDefault="00DC7FFE" w:rsidP="00A9692B">
            <w:pPr>
              <w:spacing w:before="120" w:after="120" w:line="276" w:lineRule="auto"/>
              <w:jc w:val="both"/>
              <w:rPr>
                <w:rFonts w:ascii="Arial" w:hAnsi="Arial" w:cs="Arial"/>
                <w:sz w:val="18"/>
                <w:szCs w:val="18"/>
              </w:rPr>
            </w:pPr>
          </w:p>
          <w:p w14:paraId="2EFFAE17" w14:textId="0281CFD7" w:rsidR="002D3D36" w:rsidRPr="002D3D36" w:rsidRDefault="002D3D36" w:rsidP="00A9692B">
            <w:pPr>
              <w:spacing w:before="120" w:after="120" w:line="276" w:lineRule="auto"/>
              <w:jc w:val="both"/>
              <w:rPr>
                <w:rFonts w:ascii="Arial" w:hAnsi="Arial" w:cs="Arial"/>
                <w:sz w:val="18"/>
                <w:szCs w:val="18"/>
              </w:rPr>
            </w:pPr>
            <w:r>
              <w:rPr>
                <w:rFonts w:ascii="Arial" w:hAnsi="Arial" w:cs="Arial"/>
                <w:sz w:val="18"/>
                <w:szCs w:val="18"/>
              </w:rPr>
              <w:lastRenderedPageBreak/>
              <w:t xml:space="preserve">Por ejemplo, </w:t>
            </w:r>
            <w:r w:rsidRPr="002D3D36">
              <w:rPr>
                <w:rFonts w:ascii="Arial" w:hAnsi="Arial" w:cs="Arial"/>
                <w:sz w:val="18"/>
                <w:szCs w:val="18"/>
              </w:rPr>
              <w:t>las concentraciones deben realizarse a través de cualquiera de los siguientes actos:</w:t>
            </w:r>
          </w:p>
          <w:p w14:paraId="54BA69A6" w14:textId="31C5FEDC" w:rsidR="002D3D36" w:rsidRPr="002D3D36" w:rsidRDefault="002D3D36" w:rsidP="00A9692B">
            <w:pPr>
              <w:pStyle w:val="Prrafodelista"/>
              <w:numPr>
                <w:ilvl w:val="0"/>
                <w:numId w:val="5"/>
              </w:numPr>
              <w:spacing w:before="120" w:after="120" w:line="276" w:lineRule="auto"/>
              <w:ind w:left="312" w:hanging="284"/>
              <w:contextualSpacing w:val="0"/>
              <w:jc w:val="both"/>
              <w:rPr>
                <w:rFonts w:ascii="Arial" w:hAnsi="Arial" w:cs="Arial"/>
                <w:sz w:val="18"/>
                <w:szCs w:val="18"/>
              </w:rPr>
            </w:pPr>
            <w:r w:rsidRPr="002D3D36">
              <w:rPr>
                <w:rFonts w:ascii="Arial" w:hAnsi="Arial" w:cs="Arial"/>
                <w:sz w:val="18"/>
                <w:szCs w:val="18"/>
              </w:rPr>
              <w:t xml:space="preserve">Adquisiciones o compras, totales o parciales, de control o minoritarias, de acciones, partes sociales, unidades de participación y/o activos, incluyendo títulos de concesión; </w:t>
            </w:r>
          </w:p>
          <w:p w14:paraId="10A5C4B3" w14:textId="1A244B60" w:rsidR="002D3D36" w:rsidRPr="002D3D36" w:rsidRDefault="002D3D36" w:rsidP="00A9692B">
            <w:pPr>
              <w:pStyle w:val="Prrafodelista"/>
              <w:numPr>
                <w:ilvl w:val="0"/>
                <w:numId w:val="5"/>
              </w:numPr>
              <w:spacing w:before="120" w:after="120" w:line="276" w:lineRule="auto"/>
              <w:ind w:left="312" w:hanging="284"/>
              <w:contextualSpacing w:val="0"/>
              <w:jc w:val="both"/>
              <w:rPr>
                <w:rFonts w:ascii="Arial" w:hAnsi="Arial" w:cs="Arial"/>
                <w:sz w:val="18"/>
                <w:szCs w:val="18"/>
              </w:rPr>
            </w:pPr>
            <w:r w:rsidRPr="002D3D36">
              <w:rPr>
                <w:rFonts w:ascii="Arial" w:hAnsi="Arial" w:cs="Arial"/>
                <w:sz w:val="18"/>
                <w:szCs w:val="18"/>
              </w:rPr>
              <w:t xml:space="preserve">Coinversiones o inversiones conjuntas que implican la asociación de dos o más agentes económicos a través de una sociedad que funciona como vehículo de coinversión, y que puede implicar la aportación de acciones y/o activos a ese vehículo; </w:t>
            </w:r>
          </w:p>
          <w:p w14:paraId="0776EA50" w14:textId="6FB2D2F1" w:rsidR="002D3D36" w:rsidRPr="002D3D36" w:rsidRDefault="002D3D36" w:rsidP="00A9692B">
            <w:pPr>
              <w:pStyle w:val="Prrafodelista"/>
              <w:numPr>
                <w:ilvl w:val="0"/>
                <w:numId w:val="5"/>
              </w:numPr>
              <w:spacing w:before="120" w:after="120" w:line="276" w:lineRule="auto"/>
              <w:ind w:left="312" w:hanging="284"/>
              <w:contextualSpacing w:val="0"/>
              <w:jc w:val="both"/>
              <w:rPr>
                <w:rFonts w:ascii="Arial" w:hAnsi="Arial" w:cs="Arial"/>
                <w:sz w:val="18"/>
                <w:szCs w:val="18"/>
              </w:rPr>
            </w:pPr>
            <w:r w:rsidRPr="002D3D36">
              <w:rPr>
                <w:rFonts w:ascii="Arial" w:hAnsi="Arial" w:cs="Arial"/>
                <w:sz w:val="18"/>
                <w:szCs w:val="18"/>
              </w:rPr>
              <w:t>Fusiones, en las que el Agente Económico fusionado desaparece y el Agente Económico que subsiste como sociedad fusionante adquiere todos los activos y obligaciones del Agente Económico fusionado (fusión por incorporación);  o en la que los agentes económicos participantes desaparecen y transfieren todos sus activos y obligaciones a una nueva sociedad (fusión por integración);</w:t>
            </w:r>
          </w:p>
          <w:p w14:paraId="5B561E6C" w14:textId="5A3C383D" w:rsidR="002D3D36" w:rsidRPr="002D3D36" w:rsidRDefault="002D3D36" w:rsidP="00A9692B">
            <w:pPr>
              <w:pStyle w:val="Prrafodelista"/>
              <w:numPr>
                <w:ilvl w:val="0"/>
                <w:numId w:val="5"/>
              </w:numPr>
              <w:spacing w:before="120" w:after="120" w:line="276" w:lineRule="auto"/>
              <w:ind w:left="312" w:hanging="284"/>
              <w:contextualSpacing w:val="0"/>
              <w:jc w:val="both"/>
              <w:rPr>
                <w:rFonts w:ascii="Arial" w:hAnsi="Arial" w:cs="Arial"/>
                <w:sz w:val="18"/>
                <w:szCs w:val="18"/>
              </w:rPr>
            </w:pPr>
            <w:r w:rsidRPr="002D3D36">
              <w:rPr>
                <w:rFonts w:ascii="Arial" w:hAnsi="Arial" w:cs="Arial"/>
                <w:sz w:val="18"/>
                <w:szCs w:val="18"/>
              </w:rPr>
              <w:t>Modificaciones en la estructura accionaria del capital social, incluyendo ampliaciones o reducciones;</w:t>
            </w:r>
          </w:p>
          <w:p w14:paraId="367BE1ED" w14:textId="25DE710B" w:rsidR="00DC7FFE" w:rsidRPr="002D3D36" w:rsidRDefault="002D3D36" w:rsidP="00A9692B">
            <w:pPr>
              <w:pStyle w:val="Prrafodelista"/>
              <w:numPr>
                <w:ilvl w:val="0"/>
                <w:numId w:val="5"/>
              </w:numPr>
              <w:spacing w:before="120" w:after="120" w:line="276" w:lineRule="auto"/>
              <w:ind w:left="312" w:hanging="284"/>
              <w:contextualSpacing w:val="0"/>
              <w:jc w:val="both"/>
              <w:rPr>
                <w:rFonts w:ascii="Arial" w:hAnsi="Arial" w:cs="Arial"/>
                <w:sz w:val="18"/>
                <w:szCs w:val="18"/>
              </w:rPr>
            </w:pPr>
            <w:r w:rsidRPr="002D3D36">
              <w:rPr>
                <w:rFonts w:ascii="Arial" w:hAnsi="Arial" w:cs="Arial"/>
                <w:sz w:val="18"/>
                <w:szCs w:val="18"/>
              </w:rPr>
              <w:t xml:space="preserve">Adquisiciones de American Depositary Receipts ("ADRs") que son certificados negociables emitidos por un banco en los Estados Unidos de América y representan la propiedad de acciones de una sociedad constituida fuera de ese país; pero que les otorgan a sus tenedores todos los </w:t>
            </w:r>
            <w:r w:rsidRPr="002D3D36">
              <w:rPr>
                <w:rFonts w:ascii="Arial" w:hAnsi="Arial" w:cs="Arial"/>
                <w:sz w:val="18"/>
                <w:szCs w:val="18"/>
              </w:rPr>
              <w:lastRenderedPageBreak/>
              <w:t>derechos y obligaciones, incluidos los de dividendo y voto, de esas acciones, que pueden ejercer por sí o a través de la institución financiera tenedora de los mismos, y que además pueden ser canjeados por las acciones en cualquier momento a solicitud del tenedor;</w:t>
            </w:r>
          </w:p>
        </w:tc>
        <w:tc>
          <w:tcPr>
            <w:tcW w:w="2811" w:type="dxa"/>
            <w:shd w:val="clear" w:color="auto" w:fill="auto"/>
          </w:tcPr>
          <w:p w14:paraId="2396A6C5" w14:textId="3D951229" w:rsidR="00DC7FFE" w:rsidRPr="008003C4" w:rsidRDefault="00DC7FFE" w:rsidP="00A9692B">
            <w:pPr>
              <w:spacing w:before="120" w:after="120" w:line="276" w:lineRule="auto"/>
              <w:jc w:val="both"/>
              <w:rPr>
                <w:rFonts w:ascii="Arial" w:hAnsi="Arial" w:cs="Arial"/>
                <w:bCs/>
                <w:sz w:val="18"/>
                <w:szCs w:val="18"/>
              </w:rPr>
            </w:pPr>
            <w:r w:rsidRPr="00B11236">
              <w:rPr>
                <w:rFonts w:ascii="Arial" w:hAnsi="Arial" w:cs="Arial"/>
                <w:bCs/>
                <w:sz w:val="18"/>
                <w:szCs w:val="18"/>
              </w:rPr>
              <w:lastRenderedPageBreak/>
              <w:t xml:space="preserve">La guía señala que “las concentraciones deben realizarse a través de cualquiera de los siguientes actos” y </w:t>
            </w:r>
            <w:r w:rsidRPr="00B11236">
              <w:rPr>
                <w:rFonts w:ascii="Arial" w:hAnsi="Arial" w:cs="Arial"/>
                <w:bCs/>
                <w:sz w:val="18"/>
                <w:szCs w:val="18"/>
              </w:rPr>
              <w:lastRenderedPageBreak/>
              <w:t>después lista una serie de actos que el IFT considerará como concentraciones. Dado que el artículo 61 de la LFCE define como concentración "cualquier acto en el que se unan sociedades, asociaciones, acciones, partes sociales, fideicomisos o activos en generar, se recomienda delimitar los supuestos en los cuales el IFT considera que estará frente a una concentración". Lo anterior, con la finalidad de no acotar el margen de acción del lNSTITUTO</w:t>
            </w:r>
            <w:r w:rsidRPr="00457D57">
              <w:rPr>
                <w:rFonts w:ascii="Arial" w:hAnsi="Arial" w:cs="Arial"/>
                <w:bCs/>
                <w:sz w:val="18"/>
                <w:szCs w:val="18"/>
              </w:rPr>
              <w:t>.</w:t>
            </w:r>
          </w:p>
        </w:tc>
        <w:tc>
          <w:tcPr>
            <w:tcW w:w="3568" w:type="dxa"/>
            <w:shd w:val="clear" w:color="auto" w:fill="auto"/>
            <w:vAlign w:val="center"/>
          </w:tcPr>
          <w:p w14:paraId="6588A396" w14:textId="0B49E2F9" w:rsidR="00DC7FFE" w:rsidRPr="008003C4" w:rsidRDefault="00685F1A" w:rsidP="00A9692B">
            <w:pPr>
              <w:spacing w:before="120" w:after="120" w:line="276" w:lineRule="auto"/>
              <w:jc w:val="both"/>
              <w:rPr>
                <w:rFonts w:ascii="Arial" w:hAnsi="Arial" w:cs="Arial"/>
                <w:sz w:val="18"/>
                <w:szCs w:val="18"/>
              </w:rPr>
            </w:pPr>
            <w:r>
              <w:rPr>
                <w:rFonts w:ascii="Arial" w:eastAsia="Times New Roman" w:hAnsi="Arial" w:cs="Arial"/>
                <w:color w:val="000000"/>
                <w:sz w:val="18"/>
                <w:szCs w:val="18"/>
                <w:lang w:eastAsia="es-MX"/>
              </w:rPr>
              <w:lastRenderedPageBreak/>
              <w:t>El Anteproyecto</w:t>
            </w:r>
            <w:r w:rsidR="00DC7FFE">
              <w:rPr>
                <w:rFonts w:ascii="Arial" w:eastAsia="Times New Roman" w:hAnsi="Arial" w:cs="Arial"/>
                <w:color w:val="000000"/>
                <w:sz w:val="18"/>
                <w:szCs w:val="18"/>
                <w:lang w:eastAsia="es-MX"/>
              </w:rPr>
              <w:t xml:space="preserve"> cubre este punto identificando una lista ejemplificativa </w:t>
            </w:r>
            <w:r>
              <w:rPr>
                <w:rFonts w:ascii="Arial" w:eastAsia="Times New Roman" w:hAnsi="Arial" w:cs="Arial"/>
                <w:color w:val="000000"/>
                <w:sz w:val="18"/>
                <w:szCs w:val="18"/>
                <w:lang w:eastAsia="es-MX"/>
              </w:rPr>
              <w:t xml:space="preserve">(por lo tanto, no exhaustiva) </w:t>
            </w:r>
            <w:r w:rsidR="00DC7FFE">
              <w:rPr>
                <w:rFonts w:ascii="Arial" w:eastAsia="Times New Roman" w:hAnsi="Arial" w:cs="Arial"/>
                <w:color w:val="000000"/>
                <w:sz w:val="18"/>
                <w:szCs w:val="18"/>
                <w:lang w:eastAsia="es-MX"/>
              </w:rPr>
              <w:t xml:space="preserve">de operaciones que se identifican como concentraciones, </w:t>
            </w:r>
            <w:r w:rsidR="00DC7FFE">
              <w:rPr>
                <w:rFonts w:ascii="Arial" w:eastAsia="Times New Roman" w:hAnsi="Arial" w:cs="Arial"/>
                <w:color w:val="000000"/>
                <w:sz w:val="18"/>
                <w:szCs w:val="18"/>
                <w:lang w:eastAsia="es-MX"/>
              </w:rPr>
              <w:lastRenderedPageBreak/>
              <w:t>considerando la experiencia del IFT en la materia</w:t>
            </w:r>
            <w:r w:rsidR="00DC7FFE" w:rsidRPr="00226E25">
              <w:rPr>
                <w:rFonts w:ascii="Arial" w:eastAsia="Times New Roman" w:hAnsi="Arial" w:cs="Arial"/>
                <w:color w:val="000000"/>
                <w:sz w:val="18"/>
                <w:szCs w:val="18"/>
                <w:lang w:eastAsia="es-MX"/>
              </w:rPr>
              <w:t xml:space="preserve">: </w:t>
            </w:r>
            <w:r w:rsidR="00DC7FFE" w:rsidRPr="00D67E66">
              <w:rPr>
                <w:rFonts w:ascii="Arial" w:eastAsia="Times New Roman" w:hAnsi="Arial" w:cs="Arial"/>
                <w:i/>
                <w:color w:val="000000"/>
                <w:sz w:val="18"/>
                <w:szCs w:val="18"/>
                <w:lang w:eastAsia="es-MX"/>
              </w:rPr>
              <w:t>“Por ejemplo, las concentraciones deben realizarse a través de cualquiera de los siguientes actos: (…)”</w:t>
            </w:r>
            <w:r>
              <w:rPr>
                <w:rFonts w:ascii="Arial" w:eastAsia="Times New Roman" w:hAnsi="Arial" w:cs="Arial"/>
                <w:color w:val="000000"/>
                <w:sz w:val="18"/>
                <w:szCs w:val="18"/>
                <w:lang w:eastAsia="es-MX"/>
              </w:rPr>
              <w:t>. Lo anterior no limita la actuación a otro tipo de operaciones que sean consideradas concentraciones por el IFT. P</w:t>
            </w:r>
            <w:r w:rsidR="00DC7FFE" w:rsidRPr="00226E25">
              <w:rPr>
                <w:rFonts w:ascii="Arial" w:eastAsia="Times New Roman" w:hAnsi="Arial" w:cs="Arial"/>
                <w:color w:val="000000"/>
                <w:sz w:val="18"/>
                <w:szCs w:val="18"/>
                <w:lang w:eastAsia="es-MX"/>
              </w:rPr>
              <w:t xml:space="preserve">or lo </w:t>
            </w:r>
            <w:r>
              <w:rPr>
                <w:rFonts w:ascii="Arial" w:eastAsia="Times New Roman" w:hAnsi="Arial" w:cs="Arial"/>
                <w:color w:val="000000"/>
                <w:sz w:val="18"/>
                <w:szCs w:val="18"/>
                <w:lang w:eastAsia="es-MX"/>
              </w:rPr>
              <w:t>anterior,</w:t>
            </w:r>
            <w:r w:rsidRPr="00226E25">
              <w:rPr>
                <w:rFonts w:ascii="Arial" w:eastAsia="Times New Roman" w:hAnsi="Arial" w:cs="Arial"/>
                <w:color w:val="000000"/>
                <w:sz w:val="18"/>
                <w:szCs w:val="18"/>
                <w:lang w:eastAsia="es-MX"/>
              </w:rPr>
              <w:t xml:space="preserve"> </w:t>
            </w:r>
            <w:r w:rsidR="00DC7FFE" w:rsidRPr="00226E25">
              <w:rPr>
                <w:rFonts w:ascii="Arial" w:eastAsia="Times New Roman" w:hAnsi="Arial" w:cs="Arial"/>
                <w:color w:val="000000"/>
                <w:sz w:val="18"/>
                <w:szCs w:val="18"/>
                <w:lang w:eastAsia="es-MX"/>
              </w:rPr>
              <w:t xml:space="preserve">el comentario no </w:t>
            </w:r>
            <w:r w:rsidR="002765D3">
              <w:rPr>
                <w:rFonts w:ascii="Arial" w:eastAsia="Times New Roman" w:hAnsi="Arial" w:cs="Arial"/>
                <w:color w:val="000000"/>
                <w:sz w:val="18"/>
                <w:szCs w:val="18"/>
                <w:lang w:eastAsia="es-MX"/>
              </w:rPr>
              <w:t>se considera procedente</w:t>
            </w:r>
            <w:r w:rsidR="00DC7FFE" w:rsidRPr="00226E25">
              <w:rPr>
                <w:rFonts w:ascii="Arial" w:eastAsia="Times New Roman" w:hAnsi="Arial" w:cs="Arial"/>
                <w:color w:val="000000"/>
                <w:sz w:val="18"/>
                <w:szCs w:val="18"/>
                <w:lang w:eastAsia="es-MX"/>
              </w:rPr>
              <w:t>.</w:t>
            </w:r>
          </w:p>
        </w:tc>
      </w:tr>
    </w:tbl>
    <w:bookmarkEnd w:id="6"/>
    <w:p w14:paraId="7703204C" w14:textId="603170B1" w:rsidR="004D24CF" w:rsidRDefault="00034150" w:rsidP="00A9692B">
      <w:pPr>
        <w:keepNext/>
        <w:spacing w:before="120" w:after="120" w:line="276" w:lineRule="auto"/>
        <w:jc w:val="both"/>
        <w:rPr>
          <w:rFonts w:ascii="Arial" w:hAnsi="Arial" w:cs="Arial"/>
          <w:b/>
        </w:rPr>
      </w:pPr>
      <w:r>
        <w:rPr>
          <w:rFonts w:ascii="Arial" w:hAnsi="Arial" w:cs="Arial"/>
          <w:b/>
        </w:rPr>
        <w:lastRenderedPageBreak/>
        <w:t>7</w:t>
      </w:r>
      <w:r w:rsidR="003E2214" w:rsidRPr="003E2214">
        <w:rPr>
          <w:rFonts w:ascii="Arial" w:hAnsi="Arial" w:cs="Arial"/>
          <w:b/>
        </w:rPr>
        <w:t>.</w:t>
      </w:r>
      <w:r w:rsidR="00490991">
        <w:rPr>
          <w:rFonts w:ascii="Arial" w:hAnsi="Arial" w:cs="Arial"/>
          <w:b/>
        </w:rPr>
        <w:t>2</w:t>
      </w:r>
      <w:r w:rsidR="003E2214" w:rsidRPr="003E2214">
        <w:rPr>
          <w:rFonts w:ascii="Arial" w:hAnsi="Arial" w:cs="Arial"/>
          <w:b/>
        </w:rPr>
        <w:t xml:space="preserve">. </w:t>
      </w:r>
      <w:r>
        <w:rPr>
          <w:rFonts w:ascii="Arial" w:hAnsi="Arial" w:cs="Arial"/>
          <w:b/>
        </w:rPr>
        <w:t>“</w:t>
      </w:r>
      <w:r w:rsidRPr="00034150">
        <w:rPr>
          <w:rFonts w:ascii="Arial" w:hAnsi="Arial" w:cs="Arial"/>
          <w:b/>
        </w:rPr>
        <w:t>2.2 Agente Económico</w:t>
      </w:r>
      <w:r>
        <w:rPr>
          <w:rFonts w:ascii="Arial" w:hAnsi="Arial" w:cs="Arial"/>
          <w:b/>
        </w:rPr>
        <w:t>”</w:t>
      </w:r>
    </w:p>
    <w:p w14:paraId="104BC037" w14:textId="6837DA34" w:rsidR="00144DBB" w:rsidRPr="000715DD" w:rsidRDefault="00034150" w:rsidP="00A9692B">
      <w:pPr>
        <w:keepNext/>
        <w:spacing w:before="120" w:after="120" w:line="276" w:lineRule="auto"/>
        <w:jc w:val="both"/>
        <w:rPr>
          <w:rFonts w:ascii="Arial" w:hAnsi="Arial" w:cs="Arial"/>
          <w:b/>
        </w:rPr>
      </w:pPr>
      <w:r>
        <w:rPr>
          <w:rFonts w:ascii="Arial" w:hAnsi="Arial" w:cs="Arial"/>
          <w:b/>
        </w:rPr>
        <w:t>7</w:t>
      </w:r>
      <w:r w:rsidR="00144DBB" w:rsidRPr="00730154">
        <w:rPr>
          <w:rFonts w:ascii="Arial" w:hAnsi="Arial" w:cs="Arial"/>
          <w:b/>
        </w:rPr>
        <w:t xml:space="preserve">.2.1. </w:t>
      </w:r>
      <w:r w:rsidR="00144DBB" w:rsidRPr="00730154">
        <w:rPr>
          <w:rFonts w:ascii="Arial" w:hAnsi="Arial" w:cs="Arial"/>
          <w:b/>
          <w:bCs/>
        </w:rPr>
        <w:t>Síntesis de</w:t>
      </w:r>
      <w:r w:rsidR="00144DBB" w:rsidRPr="00730154">
        <w:rPr>
          <w:rFonts w:ascii="Arial" w:hAnsi="Arial" w:cs="Arial"/>
          <w:b/>
        </w:rPr>
        <w:t xml:space="preserve"> los comentarios recibidos respecto de la propuesta del </w:t>
      </w:r>
      <w:r>
        <w:rPr>
          <w:rFonts w:ascii="Arial" w:hAnsi="Arial" w:cs="Arial"/>
          <w:b/>
        </w:rPr>
        <w:t xml:space="preserve">apartado </w:t>
      </w:r>
      <w:r w:rsidRPr="00034150">
        <w:rPr>
          <w:rFonts w:ascii="Arial" w:hAnsi="Arial" w:cs="Arial"/>
          <w:b/>
        </w:rPr>
        <w:t>2.2 Agente Económico</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2846"/>
        <w:gridCol w:w="2846"/>
        <w:gridCol w:w="3512"/>
      </w:tblGrid>
      <w:tr w:rsidR="00C24811" w:rsidRPr="003E2214" w14:paraId="3329E496" w14:textId="6EF6633C" w:rsidTr="00275B74">
        <w:trPr>
          <w:tblHeader/>
          <w:jc w:val="center"/>
        </w:trPr>
        <w:tc>
          <w:tcPr>
            <w:tcW w:w="2846" w:type="dxa"/>
            <w:shd w:val="clear" w:color="auto" w:fill="70AD47" w:themeFill="accent6"/>
          </w:tcPr>
          <w:p w14:paraId="06528F9D" w14:textId="2839B7AD" w:rsidR="00C24811" w:rsidRPr="00BF4F5D" w:rsidRDefault="00C24811" w:rsidP="00A9692B">
            <w:pPr>
              <w:spacing w:before="120" w:after="120" w:line="276" w:lineRule="auto"/>
              <w:jc w:val="center"/>
              <w:rPr>
                <w:rFonts w:ascii="Arial" w:hAnsi="Arial" w:cs="Arial"/>
                <w:b/>
                <w:sz w:val="18"/>
                <w:szCs w:val="18"/>
              </w:rPr>
            </w:pPr>
            <w:r w:rsidRPr="00730154">
              <w:rPr>
                <w:rFonts w:ascii="Arial" w:hAnsi="Arial" w:cs="Arial"/>
                <w:b/>
                <w:sz w:val="18"/>
                <w:szCs w:val="18"/>
              </w:rPr>
              <w:t>Apartado del Anteproyecto</w:t>
            </w:r>
          </w:p>
        </w:tc>
        <w:tc>
          <w:tcPr>
            <w:tcW w:w="2846" w:type="dxa"/>
            <w:shd w:val="clear" w:color="auto" w:fill="70AD47" w:themeFill="accent6"/>
          </w:tcPr>
          <w:p w14:paraId="4DFB0CE1" w14:textId="494837DF" w:rsidR="00C24811" w:rsidRPr="00BF4F5D" w:rsidRDefault="00C24811" w:rsidP="00A9692B">
            <w:pPr>
              <w:spacing w:before="120" w:after="120" w:line="276" w:lineRule="auto"/>
              <w:jc w:val="center"/>
              <w:rPr>
                <w:rFonts w:ascii="Arial" w:hAnsi="Arial" w:cs="Arial"/>
                <w:b/>
                <w:sz w:val="18"/>
                <w:szCs w:val="18"/>
              </w:rPr>
            </w:pPr>
            <w:r w:rsidRPr="00730154">
              <w:rPr>
                <w:rFonts w:ascii="Arial" w:hAnsi="Arial" w:cs="Arial"/>
                <w:b/>
                <w:sz w:val="18"/>
                <w:szCs w:val="18"/>
              </w:rPr>
              <w:t>Resumen de los comentarios recibidos</w:t>
            </w:r>
          </w:p>
        </w:tc>
        <w:tc>
          <w:tcPr>
            <w:tcW w:w="3512" w:type="dxa"/>
            <w:shd w:val="clear" w:color="auto" w:fill="70AD47" w:themeFill="accent6"/>
          </w:tcPr>
          <w:p w14:paraId="7D49F7FE" w14:textId="6083BC2E" w:rsidR="00C24811" w:rsidRPr="00730154" w:rsidRDefault="00C24811" w:rsidP="00A9692B">
            <w:pPr>
              <w:spacing w:before="120" w:after="120" w:line="276" w:lineRule="auto"/>
              <w:jc w:val="center"/>
              <w:rPr>
                <w:rFonts w:ascii="Arial" w:hAnsi="Arial" w:cs="Arial"/>
                <w:b/>
                <w:sz w:val="18"/>
                <w:szCs w:val="18"/>
              </w:rPr>
            </w:pPr>
            <w:r>
              <w:rPr>
                <w:rFonts w:ascii="Arial" w:hAnsi="Arial" w:cs="Arial"/>
                <w:b/>
                <w:sz w:val="18"/>
                <w:szCs w:val="18"/>
              </w:rPr>
              <w:t>Consideración</w:t>
            </w:r>
          </w:p>
        </w:tc>
      </w:tr>
      <w:tr w:rsidR="00C24811" w:rsidRPr="003E2214" w14:paraId="121B67A8" w14:textId="19BBCD94" w:rsidTr="00275B74">
        <w:trPr>
          <w:jc w:val="center"/>
        </w:trPr>
        <w:tc>
          <w:tcPr>
            <w:tcW w:w="9204" w:type="dxa"/>
            <w:gridSpan w:val="3"/>
            <w:shd w:val="clear" w:color="auto" w:fill="C5E0B3" w:themeFill="accent6" w:themeFillTint="66"/>
          </w:tcPr>
          <w:p w14:paraId="54CA5572" w14:textId="154E4E79" w:rsidR="00C24811" w:rsidRPr="00BF4F5D" w:rsidRDefault="00034150" w:rsidP="00A9692B">
            <w:pPr>
              <w:spacing w:before="120" w:after="120" w:line="276" w:lineRule="auto"/>
              <w:jc w:val="center"/>
              <w:rPr>
                <w:rFonts w:ascii="Arial" w:hAnsi="Arial" w:cs="Arial"/>
                <w:b/>
                <w:bCs/>
                <w:sz w:val="18"/>
                <w:szCs w:val="18"/>
                <w:lang w:val="es-ES_tradnl"/>
              </w:rPr>
            </w:pPr>
            <w:r w:rsidRPr="00034150">
              <w:rPr>
                <w:rFonts w:ascii="Arial" w:hAnsi="Arial" w:cs="Arial"/>
                <w:b/>
                <w:bCs/>
                <w:sz w:val="18"/>
                <w:szCs w:val="18"/>
                <w:lang w:val="es-ES_tradnl"/>
              </w:rPr>
              <w:t>2.2 Agente Económico</w:t>
            </w:r>
          </w:p>
        </w:tc>
      </w:tr>
      <w:tr w:rsidR="00C24811" w:rsidRPr="00E83771" w14:paraId="33A979A0" w14:textId="713CD678" w:rsidTr="00275B74">
        <w:trPr>
          <w:jc w:val="center"/>
        </w:trPr>
        <w:tc>
          <w:tcPr>
            <w:tcW w:w="2846" w:type="dxa"/>
            <w:shd w:val="clear" w:color="auto" w:fill="FFFFFF" w:themeFill="background1"/>
          </w:tcPr>
          <w:p w14:paraId="6BDE64DB" w14:textId="77777777" w:rsidR="00C85398" w:rsidRPr="00C85398" w:rsidRDefault="00C85398" w:rsidP="00A9692B">
            <w:pPr>
              <w:spacing w:before="120" w:after="120" w:line="276" w:lineRule="auto"/>
              <w:jc w:val="both"/>
              <w:rPr>
                <w:rFonts w:ascii="Arial" w:hAnsi="Arial" w:cs="Arial"/>
                <w:bCs/>
                <w:sz w:val="18"/>
                <w:szCs w:val="18"/>
                <w:lang w:val="es-ES_tradnl"/>
              </w:rPr>
            </w:pPr>
            <w:r w:rsidRPr="00C85398">
              <w:rPr>
                <w:rFonts w:ascii="Arial" w:hAnsi="Arial" w:cs="Arial"/>
                <w:bCs/>
                <w:sz w:val="18"/>
                <w:szCs w:val="18"/>
                <w:lang w:val="es-ES_tradnl"/>
              </w:rPr>
              <w:t>El artículo 3, fracción I de la LFCE define que un Agente Económico es 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w:t>
            </w:r>
          </w:p>
          <w:p w14:paraId="4CD0E729" w14:textId="4567FA09" w:rsidR="00C24811" w:rsidRPr="00E83771" w:rsidRDefault="00C85398" w:rsidP="00A9692B">
            <w:pPr>
              <w:spacing w:before="120" w:after="120" w:line="276" w:lineRule="auto"/>
              <w:jc w:val="both"/>
              <w:rPr>
                <w:rFonts w:ascii="Arial" w:hAnsi="Arial" w:cs="Arial"/>
                <w:bCs/>
                <w:sz w:val="18"/>
                <w:szCs w:val="18"/>
                <w:lang w:val="es-ES_tradnl"/>
              </w:rPr>
            </w:pPr>
            <w:r w:rsidRPr="00C85398">
              <w:rPr>
                <w:rFonts w:ascii="Arial" w:hAnsi="Arial" w:cs="Arial"/>
                <w:bCs/>
                <w:sz w:val="18"/>
                <w:szCs w:val="18"/>
                <w:lang w:val="es-ES_tradnl"/>
              </w:rPr>
              <w:t>Un aspecto relevante en la definición es “cualquier forma de participación en la actividad económica”, lo cual implica no limitarse al concepto jurídico de persona, física o moral; es decir, no limitarse a un “quién”, sino a un “cómo” se participa en el mercado. Los demás elementos que preceden este texto en la definición son enunciativos, no limitativos de lo que debe entenderse por Agente Económico.</w:t>
            </w:r>
          </w:p>
        </w:tc>
        <w:tc>
          <w:tcPr>
            <w:tcW w:w="2846" w:type="dxa"/>
            <w:shd w:val="clear" w:color="auto" w:fill="FFFFFF" w:themeFill="background1"/>
          </w:tcPr>
          <w:p w14:paraId="69F9EA96" w14:textId="22AC064B" w:rsidR="00C24811" w:rsidRPr="002D1B9F" w:rsidRDefault="00B11236" w:rsidP="00A9692B">
            <w:pPr>
              <w:spacing w:before="120" w:after="120" w:line="276" w:lineRule="auto"/>
              <w:jc w:val="both"/>
              <w:rPr>
                <w:rFonts w:ascii="Arial" w:hAnsi="Arial" w:cs="Arial"/>
                <w:sz w:val="18"/>
                <w:szCs w:val="18"/>
                <w:highlight w:val="yellow"/>
              </w:rPr>
            </w:pPr>
            <w:r w:rsidRPr="006B64D9">
              <w:rPr>
                <w:rFonts w:ascii="Arial" w:hAnsi="Arial" w:cs="Arial"/>
                <w:sz w:val="18"/>
                <w:szCs w:val="18"/>
                <w:lang w:val="es-ES"/>
              </w:rPr>
              <w:t>Se advierte que la interpretación del concepto de Agente Económico extiende sus efectos a la definición de grupo de interés económico (GIE), y es tan amplia como para concluir que los participantes en una práctica monopólica absoluta podrían formar parte del mismo grupo de interés económico.</w:t>
            </w:r>
          </w:p>
        </w:tc>
        <w:tc>
          <w:tcPr>
            <w:tcW w:w="3512" w:type="dxa"/>
            <w:shd w:val="clear" w:color="auto" w:fill="FFFFFF" w:themeFill="background1"/>
          </w:tcPr>
          <w:p w14:paraId="44D25AAF" w14:textId="1B84AFD2" w:rsidR="007A4AC4" w:rsidRDefault="007A4AC4" w:rsidP="00A9692B">
            <w:pPr>
              <w:spacing w:before="120" w:after="120" w:line="276" w:lineRule="auto"/>
              <w:jc w:val="both"/>
              <w:rPr>
                <w:rFonts w:ascii="Arial" w:hAnsi="Arial" w:cs="Arial"/>
                <w:sz w:val="18"/>
                <w:szCs w:val="18"/>
              </w:rPr>
            </w:pPr>
            <w:r>
              <w:rPr>
                <w:rFonts w:ascii="Arial" w:hAnsi="Arial" w:cs="Arial"/>
                <w:sz w:val="18"/>
                <w:szCs w:val="18"/>
              </w:rPr>
              <w:t xml:space="preserve">Cada uno de los artículo de la LFCE se deben interpretar de forma armónica considerando todas las </w:t>
            </w:r>
            <w:r w:rsidR="00E71D39">
              <w:rPr>
                <w:rFonts w:ascii="Arial" w:hAnsi="Arial" w:cs="Arial"/>
                <w:sz w:val="18"/>
                <w:szCs w:val="18"/>
              </w:rPr>
              <w:t xml:space="preserve">premisas y </w:t>
            </w:r>
            <w:r>
              <w:rPr>
                <w:rFonts w:ascii="Arial" w:hAnsi="Arial" w:cs="Arial"/>
                <w:sz w:val="18"/>
                <w:szCs w:val="18"/>
              </w:rPr>
              <w:t xml:space="preserve">consecuencias que la misma ley marca, de tal manera que el concepto de Agente Económico no puede interpretarse tan amplia como para concluir que los involucrados en una práctica monopólica absoluta podrían ser parte de un mismo grupo </w:t>
            </w:r>
            <w:r w:rsidR="00E71D39">
              <w:rPr>
                <w:rFonts w:ascii="Arial" w:hAnsi="Arial" w:cs="Arial"/>
                <w:sz w:val="18"/>
                <w:szCs w:val="18"/>
              </w:rPr>
              <w:t>económico evaluado en su carácter de Agente Económico</w:t>
            </w:r>
            <w:r>
              <w:rPr>
                <w:rFonts w:ascii="Arial" w:hAnsi="Arial" w:cs="Arial"/>
                <w:sz w:val="18"/>
                <w:szCs w:val="18"/>
              </w:rPr>
              <w:t xml:space="preserve">. </w:t>
            </w:r>
          </w:p>
          <w:p w14:paraId="0B6591F0" w14:textId="32667AE7" w:rsidR="002765D3" w:rsidRDefault="00E71D39" w:rsidP="00A9692B">
            <w:pPr>
              <w:spacing w:before="120" w:after="120" w:line="276" w:lineRule="auto"/>
              <w:jc w:val="both"/>
              <w:rPr>
                <w:rFonts w:ascii="Arial" w:hAnsi="Arial" w:cs="Arial"/>
                <w:sz w:val="18"/>
                <w:szCs w:val="18"/>
              </w:rPr>
            </w:pPr>
            <w:r>
              <w:rPr>
                <w:rFonts w:ascii="Arial" w:hAnsi="Arial" w:cs="Arial"/>
                <w:sz w:val="18"/>
                <w:szCs w:val="18"/>
              </w:rPr>
              <w:t>Al respecto, s</w:t>
            </w:r>
            <w:r w:rsidR="00DC7FFE" w:rsidRPr="00DC7FFE">
              <w:rPr>
                <w:rFonts w:ascii="Arial" w:hAnsi="Arial" w:cs="Arial"/>
                <w:sz w:val="18"/>
                <w:szCs w:val="18"/>
              </w:rPr>
              <w:t>e aclara que</w:t>
            </w:r>
            <w:r w:rsidR="00974067">
              <w:rPr>
                <w:rFonts w:ascii="Arial" w:hAnsi="Arial" w:cs="Arial"/>
                <w:sz w:val="18"/>
                <w:szCs w:val="18"/>
              </w:rPr>
              <w:t xml:space="preserve"> el Anteproyecto incluye </w:t>
            </w:r>
            <w:r w:rsidR="00DC7FFE" w:rsidRPr="00DC7FFE">
              <w:rPr>
                <w:rFonts w:ascii="Arial" w:hAnsi="Arial" w:cs="Arial"/>
                <w:sz w:val="18"/>
                <w:szCs w:val="18"/>
              </w:rPr>
              <w:t xml:space="preserve">los elementos que  </w:t>
            </w:r>
            <w:r w:rsidR="00F91C5C">
              <w:rPr>
                <w:rFonts w:ascii="Arial" w:hAnsi="Arial" w:cs="Arial"/>
                <w:sz w:val="18"/>
                <w:szCs w:val="18"/>
              </w:rPr>
              <w:t xml:space="preserve">los </w:t>
            </w:r>
            <w:r w:rsidR="00DC7FFE" w:rsidRPr="00DC7FFE">
              <w:rPr>
                <w:rFonts w:ascii="Arial" w:hAnsi="Arial" w:cs="Arial"/>
                <w:sz w:val="18"/>
                <w:szCs w:val="18"/>
              </w:rPr>
              <w:t>criterios jurisprudenciales</w:t>
            </w:r>
            <w:r w:rsidR="00F91C5C">
              <w:rPr>
                <w:rFonts w:ascii="Arial" w:hAnsi="Arial" w:cs="Arial"/>
                <w:sz w:val="18"/>
                <w:szCs w:val="18"/>
              </w:rPr>
              <w:t xml:space="preserve"> correspondientes</w:t>
            </w:r>
            <w:r w:rsidR="007A4AC4">
              <w:rPr>
                <w:rFonts w:ascii="Arial" w:hAnsi="Arial" w:cs="Arial"/>
                <w:sz w:val="18"/>
                <w:szCs w:val="18"/>
              </w:rPr>
              <w:t xml:space="preserve"> </w:t>
            </w:r>
            <w:r w:rsidR="007A4AC4" w:rsidRPr="00E71D39">
              <w:rPr>
                <w:rFonts w:ascii="Arial" w:hAnsi="Arial" w:cs="Arial"/>
                <w:sz w:val="18"/>
                <w:szCs w:val="18"/>
              </w:rPr>
              <w:t>y</w:t>
            </w:r>
            <w:r w:rsidR="007A4AC4">
              <w:rPr>
                <w:rFonts w:ascii="Arial" w:hAnsi="Arial" w:cs="Arial"/>
                <w:sz w:val="18"/>
                <w:szCs w:val="18"/>
              </w:rPr>
              <w:t xml:space="preserve"> la LFCE</w:t>
            </w:r>
            <w:r w:rsidR="00F91C5C">
              <w:rPr>
                <w:rFonts w:ascii="Arial" w:hAnsi="Arial" w:cs="Arial"/>
                <w:sz w:val="18"/>
                <w:szCs w:val="18"/>
              </w:rPr>
              <w:t xml:space="preserve"> </w:t>
            </w:r>
            <w:r w:rsidR="00974067">
              <w:rPr>
                <w:rFonts w:ascii="Arial" w:hAnsi="Arial" w:cs="Arial"/>
                <w:sz w:val="18"/>
                <w:szCs w:val="18"/>
              </w:rPr>
              <w:t xml:space="preserve"> identifican para considerar </w:t>
            </w:r>
            <w:r w:rsidR="00D05376">
              <w:rPr>
                <w:rFonts w:ascii="Arial" w:hAnsi="Arial" w:cs="Arial"/>
                <w:sz w:val="18"/>
                <w:szCs w:val="18"/>
              </w:rPr>
              <w:t>cuando</w:t>
            </w:r>
            <w:r w:rsidR="00974067">
              <w:rPr>
                <w:rFonts w:ascii="Arial" w:hAnsi="Arial" w:cs="Arial"/>
                <w:sz w:val="18"/>
                <w:szCs w:val="18"/>
              </w:rPr>
              <w:t xml:space="preserve"> un grupo económico tiene el carácter de agente económico en términos de la LFCE (a ese grupo económico se le identifica como GIE). </w:t>
            </w:r>
            <w:r w:rsidR="007A4AC4">
              <w:rPr>
                <w:rFonts w:ascii="Arial" w:hAnsi="Arial" w:cs="Arial"/>
                <w:sz w:val="18"/>
                <w:szCs w:val="18"/>
              </w:rPr>
              <w:t>U</w:t>
            </w:r>
            <w:r w:rsidR="00DC7FFE" w:rsidRPr="00DC7FFE">
              <w:rPr>
                <w:rFonts w:ascii="Arial" w:hAnsi="Arial" w:cs="Arial"/>
                <w:sz w:val="18"/>
                <w:szCs w:val="18"/>
              </w:rPr>
              <w:t xml:space="preserve">n grupo económico puede tener varias acepciones, pero la identificación de un GIE no puede dejarse abierta sino cerrarse a esos elementos, tal y como se hace en </w:t>
            </w:r>
            <w:r w:rsidR="00D05376">
              <w:rPr>
                <w:rFonts w:ascii="Arial" w:hAnsi="Arial" w:cs="Arial"/>
                <w:sz w:val="18"/>
                <w:szCs w:val="18"/>
              </w:rPr>
              <w:t>el Anteproyecto</w:t>
            </w:r>
            <w:r w:rsidR="00DC7FFE" w:rsidRPr="00DC7FFE">
              <w:rPr>
                <w:rFonts w:ascii="Arial" w:hAnsi="Arial" w:cs="Arial"/>
                <w:sz w:val="18"/>
                <w:szCs w:val="18"/>
              </w:rPr>
              <w:t xml:space="preserve">. Al respecto, la LFCE en el artículo 3 establece que es un Agente Económico </w:t>
            </w:r>
            <w:r w:rsidR="00DC7FFE" w:rsidRPr="00D67E66">
              <w:rPr>
                <w:rFonts w:ascii="Arial" w:hAnsi="Arial" w:cs="Arial"/>
                <w:i/>
                <w:sz w:val="18"/>
                <w:szCs w:val="18"/>
              </w:rPr>
              <w:t xml:space="preserve">“(…) Toda persona física o moral, con o sin fines de lucro, dependencias y entidades de la </w:t>
            </w:r>
            <w:r w:rsidR="00DC7FFE" w:rsidRPr="00D67E66">
              <w:rPr>
                <w:rFonts w:ascii="Arial" w:hAnsi="Arial" w:cs="Arial"/>
                <w:i/>
                <w:sz w:val="18"/>
                <w:szCs w:val="18"/>
              </w:rPr>
              <w:lastRenderedPageBreak/>
              <w:t>administración pública federal, estatal o municipal, asociaciones, cámaras empresariales, agrupaciones de profesionistas, fideicomisos, o cualquier otra forma de participación en la actividad económica (…)”.</w:t>
            </w:r>
            <w:r w:rsidR="00DC7FFE" w:rsidRPr="00DC7FFE">
              <w:rPr>
                <w:rFonts w:ascii="Arial" w:hAnsi="Arial" w:cs="Arial"/>
                <w:sz w:val="18"/>
                <w:szCs w:val="18"/>
              </w:rPr>
              <w:t xml:space="preserve">  Adicionalmente, el Poder Judicial de la Federación (PJF), en su tesis con Registro no. 168 470 GRUPO DE INTERÉS ECONÓMICO. SU CONCEPTO Y ELEMENTOS QUE LO INTEGRAN EN MATERIA DE COMPETENCIA ECONÓMICA” señala que: </w:t>
            </w:r>
            <w:r w:rsidR="00DC7FFE" w:rsidRPr="00D67E66">
              <w:rPr>
                <w:rFonts w:ascii="Arial" w:hAnsi="Arial" w:cs="Arial"/>
                <w:i/>
                <w:sz w:val="18"/>
                <w:szCs w:val="18"/>
              </w:rPr>
              <w:t>“(p)ara considerar que existe un grupo económico y que puede tener el carácter de agente económico, para efectos de la Ley Federal de Competencia Económica, se debe analizar si una persona, directa o indirectamente, coordina las actividades del grupo para operar en los mercados y, además, puede ejercer una influencia decisiva o control sobre la otra, en los términos anotados, sin que sea necesario que se den de manera concomitante.”</w:t>
            </w:r>
            <w:r w:rsidR="00DC7FFE" w:rsidRPr="00DC7FFE">
              <w:rPr>
                <w:rFonts w:ascii="Arial" w:hAnsi="Arial" w:cs="Arial"/>
                <w:sz w:val="18"/>
                <w:szCs w:val="18"/>
              </w:rPr>
              <w:t xml:space="preserve"> </w:t>
            </w:r>
            <w:r w:rsidR="007A4AC4">
              <w:rPr>
                <w:rFonts w:ascii="Arial" w:hAnsi="Arial" w:cs="Arial"/>
                <w:sz w:val="18"/>
                <w:szCs w:val="18"/>
              </w:rPr>
              <w:t>L</w:t>
            </w:r>
            <w:r w:rsidR="00DC7FFE" w:rsidRPr="00DC7FFE">
              <w:rPr>
                <w:rFonts w:ascii="Arial" w:hAnsi="Arial" w:cs="Arial"/>
                <w:sz w:val="18"/>
                <w:szCs w:val="18"/>
              </w:rPr>
              <w:t xml:space="preserve">os elementos para identificar </w:t>
            </w:r>
            <w:r w:rsidR="007E6DFB">
              <w:rPr>
                <w:rFonts w:ascii="Arial" w:hAnsi="Arial" w:cs="Arial"/>
                <w:sz w:val="18"/>
                <w:szCs w:val="18"/>
              </w:rPr>
              <w:t xml:space="preserve">a un </w:t>
            </w:r>
            <w:r w:rsidR="00DC7FFE" w:rsidRPr="00DC7FFE">
              <w:rPr>
                <w:rFonts w:ascii="Arial" w:hAnsi="Arial" w:cs="Arial"/>
                <w:sz w:val="18"/>
                <w:szCs w:val="18"/>
              </w:rPr>
              <w:t>GIE</w:t>
            </w:r>
            <w:r w:rsidR="007E6DFB">
              <w:rPr>
                <w:rFonts w:ascii="Arial" w:hAnsi="Arial" w:cs="Arial"/>
                <w:sz w:val="18"/>
                <w:szCs w:val="18"/>
              </w:rPr>
              <w:t xml:space="preserve">, bajo su carácter de </w:t>
            </w:r>
            <w:r w:rsidR="006909D5">
              <w:rPr>
                <w:rFonts w:ascii="Arial" w:hAnsi="Arial" w:cs="Arial"/>
                <w:sz w:val="18"/>
                <w:szCs w:val="18"/>
              </w:rPr>
              <w:t>A</w:t>
            </w:r>
            <w:r w:rsidR="007E6DFB">
              <w:rPr>
                <w:rFonts w:ascii="Arial" w:hAnsi="Arial" w:cs="Arial"/>
                <w:sz w:val="18"/>
                <w:szCs w:val="18"/>
              </w:rPr>
              <w:t xml:space="preserve">gente </w:t>
            </w:r>
            <w:r w:rsidR="006909D5">
              <w:rPr>
                <w:rFonts w:ascii="Arial" w:hAnsi="Arial" w:cs="Arial"/>
                <w:sz w:val="18"/>
                <w:szCs w:val="18"/>
              </w:rPr>
              <w:t>E</w:t>
            </w:r>
            <w:r w:rsidR="007E6DFB">
              <w:rPr>
                <w:rFonts w:ascii="Arial" w:hAnsi="Arial" w:cs="Arial"/>
                <w:sz w:val="18"/>
                <w:szCs w:val="18"/>
              </w:rPr>
              <w:t>conómico,</w:t>
            </w:r>
            <w:r w:rsidR="00DC7FFE" w:rsidRPr="00DC7FFE">
              <w:rPr>
                <w:rFonts w:ascii="Arial" w:hAnsi="Arial" w:cs="Arial"/>
                <w:sz w:val="18"/>
                <w:szCs w:val="18"/>
              </w:rPr>
              <w:t xml:space="preserve"> en términos de la LFCE y los criterios jurisprudenciales, mismos que se recuperan en </w:t>
            </w:r>
            <w:r w:rsidR="00244069">
              <w:rPr>
                <w:rFonts w:ascii="Arial" w:hAnsi="Arial" w:cs="Arial"/>
                <w:sz w:val="18"/>
                <w:szCs w:val="18"/>
              </w:rPr>
              <w:t>el Anteproyecto</w:t>
            </w:r>
            <w:r w:rsidR="00DC7FFE" w:rsidRPr="00DC7FFE">
              <w:rPr>
                <w:rFonts w:ascii="Arial" w:hAnsi="Arial" w:cs="Arial"/>
                <w:sz w:val="18"/>
                <w:szCs w:val="18"/>
              </w:rPr>
              <w:t>, se pueden resumir en la existencia de un conjunto de personas, físicas o morales, en el cual una de ellas (o un conjunto de ellas, en el caso de personas con vínculos de parentesco o afinidad), directa o indirectamente, ejerce el control</w:t>
            </w:r>
            <w:r w:rsidR="007A4AC4">
              <w:rPr>
                <w:rFonts w:ascii="Arial" w:hAnsi="Arial" w:cs="Arial"/>
                <w:sz w:val="18"/>
                <w:szCs w:val="18"/>
              </w:rPr>
              <w:t xml:space="preserve">, de </w:t>
            </w:r>
            <w:r w:rsidR="007A4AC4" w:rsidRPr="007A4AC4">
              <w:rPr>
                <w:rFonts w:ascii="Arial" w:hAnsi="Arial" w:cs="Arial"/>
                <w:i/>
                <w:iCs/>
                <w:sz w:val="18"/>
                <w:szCs w:val="18"/>
              </w:rPr>
              <w:t>iure</w:t>
            </w:r>
            <w:r w:rsidR="007A4AC4">
              <w:rPr>
                <w:rFonts w:ascii="Arial" w:hAnsi="Arial" w:cs="Arial"/>
                <w:sz w:val="18"/>
                <w:szCs w:val="18"/>
              </w:rPr>
              <w:t xml:space="preserve"> o de facto,</w:t>
            </w:r>
            <w:r w:rsidR="00DC7FFE" w:rsidRPr="00DC7FFE">
              <w:rPr>
                <w:rFonts w:ascii="Arial" w:hAnsi="Arial" w:cs="Arial"/>
                <w:sz w:val="18"/>
                <w:szCs w:val="18"/>
              </w:rPr>
              <w:t xml:space="preserve"> sobre las demás de tal manera que coordina sus actividades</w:t>
            </w:r>
            <w:r w:rsidR="007A4AC4">
              <w:rPr>
                <w:rFonts w:ascii="Arial" w:hAnsi="Arial" w:cs="Arial"/>
                <w:sz w:val="18"/>
                <w:szCs w:val="18"/>
              </w:rPr>
              <w:t>.</w:t>
            </w:r>
            <w:r w:rsidR="00DC7FFE" w:rsidRPr="00DC7FFE">
              <w:rPr>
                <w:rFonts w:ascii="Arial" w:hAnsi="Arial" w:cs="Arial"/>
                <w:sz w:val="18"/>
                <w:szCs w:val="18"/>
              </w:rPr>
              <w:t xml:space="preserve"> </w:t>
            </w:r>
            <w:r w:rsidR="00F329C2">
              <w:rPr>
                <w:rFonts w:ascii="Arial" w:hAnsi="Arial" w:cs="Arial"/>
                <w:sz w:val="18"/>
                <w:szCs w:val="18"/>
              </w:rPr>
              <w:t>Un GIE se conforma por la previa existencia de</w:t>
            </w:r>
            <w:r w:rsidR="00F329C2" w:rsidRPr="00DC7FFE">
              <w:rPr>
                <w:rFonts w:ascii="Arial" w:hAnsi="Arial" w:cs="Arial"/>
                <w:sz w:val="18"/>
                <w:szCs w:val="18"/>
              </w:rPr>
              <w:t xml:space="preserve"> relaciones de control</w:t>
            </w:r>
            <w:r w:rsidR="00F329C2">
              <w:rPr>
                <w:rFonts w:ascii="Arial" w:hAnsi="Arial" w:cs="Arial"/>
                <w:sz w:val="18"/>
                <w:szCs w:val="18"/>
              </w:rPr>
              <w:t xml:space="preserve">, de </w:t>
            </w:r>
            <w:r w:rsidR="00F329C2" w:rsidRPr="007A4AC4">
              <w:rPr>
                <w:rFonts w:ascii="Arial" w:hAnsi="Arial" w:cs="Arial"/>
                <w:i/>
                <w:iCs/>
                <w:sz w:val="18"/>
                <w:szCs w:val="18"/>
              </w:rPr>
              <w:t>iure</w:t>
            </w:r>
            <w:r w:rsidR="00F329C2">
              <w:rPr>
                <w:rFonts w:ascii="Arial" w:hAnsi="Arial" w:cs="Arial"/>
                <w:sz w:val="18"/>
                <w:szCs w:val="18"/>
              </w:rPr>
              <w:t xml:space="preserve"> o de facto</w:t>
            </w:r>
            <w:r w:rsidR="00F329C2" w:rsidRPr="00DC7FFE">
              <w:rPr>
                <w:rFonts w:ascii="Arial" w:hAnsi="Arial" w:cs="Arial"/>
                <w:sz w:val="18"/>
                <w:szCs w:val="18"/>
              </w:rPr>
              <w:t xml:space="preserve">, </w:t>
            </w:r>
            <w:r w:rsidR="00F329C2">
              <w:rPr>
                <w:rFonts w:ascii="Arial" w:hAnsi="Arial" w:cs="Arial"/>
                <w:sz w:val="18"/>
                <w:szCs w:val="18"/>
              </w:rPr>
              <w:t xml:space="preserve">y como consecuencia de ello resultan acciones coordinadas entre los integrantes del GIE. </w:t>
            </w:r>
            <w:r w:rsidR="007A4AC4">
              <w:rPr>
                <w:rFonts w:ascii="Arial" w:hAnsi="Arial" w:cs="Arial"/>
                <w:sz w:val="18"/>
                <w:szCs w:val="18"/>
              </w:rPr>
              <w:t xml:space="preserve">En ese caso, </w:t>
            </w:r>
            <w:r w:rsidR="00DC7FFE" w:rsidRPr="00DC7FFE">
              <w:rPr>
                <w:rFonts w:ascii="Arial" w:hAnsi="Arial" w:cs="Arial"/>
                <w:sz w:val="18"/>
                <w:szCs w:val="18"/>
              </w:rPr>
              <w:t xml:space="preserve">no existe otra interpretación posible </w:t>
            </w:r>
            <w:r>
              <w:rPr>
                <w:rFonts w:ascii="Arial" w:hAnsi="Arial" w:cs="Arial"/>
                <w:sz w:val="18"/>
                <w:szCs w:val="18"/>
              </w:rPr>
              <w:t>más</w:t>
            </w:r>
            <w:r w:rsidRPr="00DC7FFE">
              <w:rPr>
                <w:rFonts w:ascii="Arial" w:hAnsi="Arial" w:cs="Arial"/>
                <w:sz w:val="18"/>
                <w:szCs w:val="18"/>
              </w:rPr>
              <w:t xml:space="preserve"> </w:t>
            </w:r>
            <w:r w:rsidR="00DC7FFE" w:rsidRPr="00DC7FFE">
              <w:rPr>
                <w:rFonts w:ascii="Arial" w:hAnsi="Arial" w:cs="Arial"/>
                <w:sz w:val="18"/>
                <w:szCs w:val="18"/>
              </w:rPr>
              <w:t xml:space="preserve">que ese GIE se trata de un </w:t>
            </w:r>
            <w:r w:rsidR="007A4AC4">
              <w:rPr>
                <w:rFonts w:ascii="Arial" w:hAnsi="Arial" w:cs="Arial"/>
                <w:sz w:val="18"/>
                <w:szCs w:val="18"/>
              </w:rPr>
              <w:t>A</w:t>
            </w:r>
            <w:r w:rsidR="00DC7FFE" w:rsidRPr="00DC7FFE">
              <w:rPr>
                <w:rFonts w:ascii="Arial" w:hAnsi="Arial" w:cs="Arial"/>
                <w:sz w:val="18"/>
                <w:szCs w:val="18"/>
              </w:rPr>
              <w:t xml:space="preserve">gente </w:t>
            </w:r>
            <w:r w:rsidR="007A4AC4">
              <w:rPr>
                <w:rFonts w:ascii="Arial" w:hAnsi="Arial" w:cs="Arial"/>
                <w:sz w:val="18"/>
                <w:szCs w:val="18"/>
              </w:rPr>
              <w:t>E</w:t>
            </w:r>
            <w:r w:rsidR="00DC7FFE" w:rsidRPr="00DC7FFE">
              <w:rPr>
                <w:rFonts w:ascii="Arial" w:hAnsi="Arial" w:cs="Arial"/>
                <w:sz w:val="18"/>
                <w:szCs w:val="18"/>
              </w:rPr>
              <w:t xml:space="preserve">conómico en términos de la LFCE. Para fines aclaratorios, los agentes económicos que participan en una práctica monopólica absoluta, bajo esos criterios, no pueden </w:t>
            </w:r>
            <w:r>
              <w:rPr>
                <w:rFonts w:ascii="Arial" w:hAnsi="Arial" w:cs="Arial"/>
                <w:sz w:val="18"/>
                <w:szCs w:val="18"/>
              </w:rPr>
              <w:t>considerarse parte</w:t>
            </w:r>
            <w:r w:rsidR="00DC7FFE" w:rsidRPr="00DC7FFE">
              <w:rPr>
                <w:rFonts w:ascii="Arial" w:hAnsi="Arial" w:cs="Arial"/>
                <w:sz w:val="18"/>
                <w:szCs w:val="18"/>
              </w:rPr>
              <w:t xml:space="preserve"> de un mismo GIE, porque ese tipo de prácticas surgen de contratos, convenios, arreglos o </w:t>
            </w:r>
            <w:r w:rsidR="00DC7FFE" w:rsidRPr="00DC7FFE">
              <w:rPr>
                <w:rFonts w:ascii="Arial" w:hAnsi="Arial" w:cs="Arial"/>
                <w:sz w:val="18"/>
                <w:szCs w:val="18"/>
              </w:rPr>
              <w:lastRenderedPageBreak/>
              <w:t xml:space="preserve">combinaciones entre Agentes Económicos competidores entre sí, </w:t>
            </w:r>
            <w:r>
              <w:rPr>
                <w:rFonts w:ascii="Arial" w:hAnsi="Arial" w:cs="Arial"/>
                <w:sz w:val="18"/>
                <w:szCs w:val="18"/>
              </w:rPr>
              <w:t>que generan coordinación o colusión entre Agentes Económicos (GIE) distintos con el</w:t>
            </w:r>
            <w:r w:rsidR="00DC7FFE" w:rsidRPr="00DC7FFE">
              <w:rPr>
                <w:rFonts w:ascii="Arial" w:hAnsi="Arial" w:cs="Arial"/>
                <w:sz w:val="18"/>
                <w:szCs w:val="18"/>
              </w:rPr>
              <w:t xml:space="preserve"> objeto o efecto </w:t>
            </w:r>
            <w:r>
              <w:rPr>
                <w:rFonts w:ascii="Arial" w:hAnsi="Arial" w:cs="Arial"/>
                <w:sz w:val="18"/>
                <w:szCs w:val="18"/>
              </w:rPr>
              <w:t xml:space="preserve">de cometer </w:t>
            </w:r>
            <w:r w:rsidR="00DC7FFE" w:rsidRPr="00DC7FFE">
              <w:rPr>
                <w:rFonts w:ascii="Arial" w:hAnsi="Arial" w:cs="Arial"/>
                <w:sz w:val="18"/>
                <w:szCs w:val="18"/>
              </w:rPr>
              <w:t>acciones que se ubican en el artículo 53 de la LFCE.</w:t>
            </w:r>
            <w:r w:rsidR="001030A4">
              <w:rPr>
                <w:rFonts w:ascii="Arial" w:hAnsi="Arial" w:cs="Arial"/>
                <w:sz w:val="18"/>
                <w:szCs w:val="18"/>
              </w:rPr>
              <w:t xml:space="preserve"> </w:t>
            </w:r>
          </w:p>
          <w:p w14:paraId="45FCB48D" w14:textId="52BC47DA" w:rsidR="000A19DF" w:rsidRPr="000A19DF" w:rsidRDefault="002765D3" w:rsidP="00A9692B">
            <w:pPr>
              <w:spacing w:before="120" w:after="120" w:line="276" w:lineRule="auto"/>
              <w:jc w:val="both"/>
              <w:rPr>
                <w:rFonts w:ascii="Arial" w:hAnsi="Arial" w:cs="Arial"/>
                <w:sz w:val="18"/>
                <w:szCs w:val="18"/>
              </w:rPr>
            </w:pPr>
            <w:r>
              <w:rPr>
                <w:rFonts w:ascii="Arial" w:eastAsia="Times New Roman" w:hAnsi="Arial" w:cs="Arial"/>
                <w:color w:val="000000"/>
                <w:sz w:val="18"/>
                <w:szCs w:val="18"/>
                <w:lang w:eastAsia="es-MX"/>
              </w:rPr>
              <w:t>P</w:t>
            </w:r>
            <w:r w:rsidRPr="00226E25">
              <w:rPr>
                <w:rFonts w:ascii="Arial" w:eastAsia="Times New Roman" w:hAnsi="Arial" w:cs="Arial"/>
                <w:color w:val="000000"/>
                <w:sz w:val="18"/>
                <w:szCs w:val="18"/>
                <w:lang w:eastAsia="es-MX"/>
              </w:rPr>
              <w:t xml:space="preserve">or lo </w:t>
            </w:r>
            <w:r>
              <w:rPr>
                <w:rFonts w:ascii="Arial" w:eastAsia="Times New Roman" w:hAnsi="Arial" w:cs="Arial"/>
                <w:color w:val="000000"/>
                <w:sz w:val="18"/>
                <w:szCs w:val="18"/>
                <w:lang w:eastAsia="es-MX"/>
              </w:rPr>
              <w:t>anterior,</w:t>
            </w:r>
            <w:r w:rsidRPr="00226E25">
              <w:rPr>
                <w:rFonts w:ascii="Arial" w:eastAsia="Times New Roman" w:hAnsi="Arial" w:cs="Arial"/>
                <w:color w:val="000000"/>
                <w:sz w:val="18"/>
                <w:szCs w:val="18"/>
                <w:lang w:eastAsia="es-MX"/>
              </w:rPr>
              <w:t xml:space="preserve"> el comentario no </w:t>
            </w:r>
            <w:r>
              <w:rPr>
                <w:rFonts w:ascii="Arial" w:eastAsia="Times New Roman" w:hAnsi="Arial" w:cs="Arial"/>
                <w:color w:val="000000"/>
                <w:sz w:val="18"/>
                <w:szCs w:val="18"/>
                <w:lang w:eastAsia="es-MX"/>
              </w:rPr>
              <w:t>se considera procedente.</w:t>
            </w:r>
            <w:r w:rsidR="001030A4">
              <w:rPr>
                <w:rFonts w:ascii="Arial" w:hAnsi="Arial" w:cs="Arial"/>
                <w:sz w:val="18"/>
                <w:szCs w:val="18"/>
              </w:rPr>
              <w:t xml:space="preserve"> </w:t>
            </w:r>
          </w:p>
        </w:tc>
      </w:tr>
    </w:tbl>
    <w:p w14:paraId="72F62C9C" w14:textId="3B110FF9" w:rsidR="00056983" w:rsidRPr="00302035" w:rsidRDefault="00034150" w:rsidP="00A9692B">
      <w:pPr>
        <w:spacing w:before="120" w:after="120" w:line="276" w:lineRule="auto"/>
        <w:jc w:val="both"/>
        <w:rPr>
          <w:rFonts w:ascii="Arial" w:hAnsi="Arial" w:cs="Arial"/>
          <w:lang w:val="es-ES_tradnl"/>
        </w:rPr>
      </w:pPr>
      <w:r>
        <w:rPr>
          <w:rFonts w:ascii="Arial" w:hAnsi="Arial" w:cs="Arial"/>
          <w:b/>
        </w:rPr>
        <w:lastRenderedPageBreak/>
        <w:t>7</w:t>
      </w:r>
      <w:r w:rsidR="007C1BEB" w:rsidRPr="003E2214">
        <w:rPr>
          <w:rFonts w:ascii="Arial" w:hAnsi="Arial" w:cs="Arial"/>
          <w:b/>
        </w:rPr>
        <w:t>.</w:t>
      </w:r>
      <w:r w:rsidR="007C1BEB">
        <w:rPr>
          <w:rFonts w:ascii="Arial" w:hAnsi="Arial" w:cs="Arial"/>
          <w:b/>
        </w:rPr>
        <w:t xml:space="preserve">3. </w:t>
      </w:r>
      <w:r>
        <w:rPr>
          <w:rFonts w:ascii="Arial" w:hAnsi="Arial" w:cs="Arial"/>
          <w:b/>
        </w:rPr>
        <w:t>“</w:t>
      </w:r>
      <w:r w:rsidRPr="00034150">
        <w:rPr>
          <w:rFonts w:ascii="Arial" w:hAnsi="Arial" w:cs="Arial"/>
          <w:b/>
        </w:rPr>
        <w:t>2.4 Control e influencia</w:t>
      </w:r>
      <w:r>
        <w:rPr>
          <w:rFonts w:ascii="Arial" w:hAnsi="Arial" w:cs="Arial"/>
          <w:b/>
        </w:rPr>
        <w:t>”</w:t>
      </w:r>
    </w:p>
    <w:p w14:paraId="16576D69" w14:textId="1675B043" w:rsidR="00E83771" w:rsidRPr="00E83771" w:rsidRDefault="00034150" w:rsidP="00A9692B">
      <w:pPr>
        <w:spacing w:before="120" w:after="120" w:line="276" w:lineRule="auto"/>
        <w:jc w:val="both"/>
        <w:rPr>
          <w:rFonts w:ascii="Arial" w:hAnsi="Arial" w:cs="Arial"/>
          <w:b/>
        </w:rPr>
      </w:pPr>
      <w:r>
        <w:rPr>
          <w:rFonts w:ascii="Arial" w:hAnsi="Arial" w:cs="Arial"/>
          <w:b/>
          <w:lang w:val="es-ES_tradnl"/>
        </w:rPr>
        <w:t>7</w:t>
      </w:r>
      <w:r w:rsidR="00056983">
        <w:rPr>
          <w:rFonts w:ascii="Arial" w:hAnsi="Arial" w:cs="Arial"/>
          <w:b/>
          <w:lang w:val="es-ES_tradnl"/>
        </w:rPr>
        <w:t xml:space="preserve">.3.1. Síntesis de los </w:t>
      </w:r>
      <w:r w:rsidR="00056983">
        <w:rPr>
          <w:rFonts w:ascii="Arial" w:hAnsi="Arial" w:cs="Arial"/>
          <w:b/>
        </w:rPr>
        <w:t>c</w:t>
      </w:r>
      <w:r w:rsidR="007C1BEB">
        <w:rPr>
          <w:rFonts w:ascii="Arial" w:hAnsi="Arial" w:cs="Arial"/>
          <w:b/>
        </w:rPr>
        <w:t xml:space="preserve">omentarios relacionados con el </w:t>
      </w:r>
      <w:r>
        <w:rPr>
          <w:rFonts w:ascii="Arial" w:hAnsi="Arial" w:cs="Arial"/>
          <w:b/>
        </w:rPr>
        <w:t xml:space="preserve">apartado </w:t>
      </w:r>
      <w:r w:rsidRPr="00034150">
        <w:rPr>
          <w:rFonts w:ascii="Arial" w:hAnsi="Arial" w:cs="Arial"/>
          <w:b/>
        </w:rPr>
        <w:t>2.4 Control e influencia</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4A0" w:firstRow="1" w:lastRow="0" w:firstColumn="1" w:lastColumn="0" w:noHBand="0" w:noVBand="1"/>
      </w:tblPr>
      <w:tblGrid>
        <w:gridCol w:w="2825"/>
        <w:gridCol w:w="2977"/>
        <w:gridCol w:w="3402"/>
      </w:tblGrid>
      <w:tr w:rsidR="00C24811" w:rsidRPr="00BF4F5D" w14:paraId="3D38AD5D" w14:textId="1E3EAA2F" w:rsidTr="00616B30">
        <w:trPr>
          <w:tblHeader/>
          <w:jc w:val="center"/>
        </w:trPr>
        <w:tc>
          <w:tcPr>
            <w:tcW w:w="2825" w:type="dxa"/>
            <w:shd w:val="clear" w:color="auto" w:fill="70AD47" w:themeFill="accent6"/>
          </w:tcPr>
          <w:p w14:paraId="6A09DEA1" w14:textId="11F0FF5B" w:rsidR="00C24811" w:rsidRPr="00BF4F5D" w:rsidRDefault="00C24811" w:rsidP="00A9692B">
            <w:pPr>
              <w:spacing w:before="120" w:after="120" w:line="276" w:lineRule="auto"/>
              <w:jc w:val="center"/>
              <w:rPr>
                <w:rFonts w:ascii="Arial" w:hAnsi="Arial" w:cs="Arial"/>
                <w:bCs/>
                <w:sz w:val="18"/>
                <w:szCs w:val="18"/>
              </w:rPr>
            </w:pPr>
            <w:r w:rsidRPr="00730154">
              <w:rPr>
                <w:rFonts w:ascii="Arial" w:hAnsi="Arial" w:cs="Arial"/>
                <w:b/>
                <w:sz w:val="18"/>
                <w:szCs w:val="18"/>
              </w:rPr>
              <w:t>Apartado del Anteproyecto</w:t>
            </w:r>
          </w:p>
        </w:tc>
        <w:tc>
          <w:tcPr>
            <w:tcW w:w="2977" w:type="dxa"/>
            <w:shd w:val="clear" w:color="auto" w:fill="70AD47" w:themeFill="accent6"/>
          </w:tcPr>
          <w:p w14:paraId="643AC231" w14:textId="6580F722" w:rsidR="00C24811" w:rsidRPr="00BF4F5D" w:rsidRDefault="00C24811" w:rsidP="00A9692B">
            <w:pPr>
              <w:spacing w:before="120" w:after="120" w:line="276" w:lineRule="auto"/>
              <w:jc w:val="center"/>
              <w:rPr>
                <w:rFonts w:ascii="Arial" w:hAnsi="Arial" w:cs="Arial"/>
                <w:bCs/>
                <w:sz w:val="18"/>
                <w:szCs w:val="18"/>
              </w:rPr>
            </w:pPr>
            <w:r w:rsidRPr="00730154">
              <w:rPr>
                <w:rFonts w:ascii="Arial" w:hAnsi="Arial" w:cs="Arial"/>
                <w:b/>
                <w:sz w:val="18"/>
                <w:szCs w:val="18"/>
              </w:rPr>
              <w:t>Resumen de los comentarios recibidos</w:t>
            </w:r>
          </w:p>
        </w:tc>
        <w:tc>
          <w:tcPr>
            <w:tcW w:w="3402" w:type="dxa"/>
            <w:shd w:val="clear" w:color="auto" w:fill="70AD47" w:themeFill="accent6"/>
          </w:tcPr>
          <w:p w14:paraId="65138A97" w14:textId="0E02D96F" w:rsidR="00C24811" w:rsidRPr="00730154" w:rsidRDefault="00C24811" w:rsidP="00A9692B">
            <w:pPr>
              <w:spacing w:before="120" w:after="120" w:line="276" w:lineRule="auto"/>
              <w:jc w:val="center"/>
              <w:rPr>
                <w:rFonts w:ascii="Arial" w:hAnsi="Arial" w:cs="Arial"/>
                <w:b/>
                <w:sz w:val="18"/>
                <w:szCs w:val="18"/>
              </w:rPr>
            </w:pPr>
            <w:r>
              <w:rPr>
                <w:rFonts w:ascii="Arial" w:hAnsi="Arial" w:cs="Arial"/>
                <w:b/>
                <w:sz w:val="18"/>
                <w:szCs w:val="18"/>
              </w:rPr>
              <w:t>Consideración</w:t>
            </w:r>
          </w:p>
        </w:tc>
      </w:tr>
      <w:tr w:rsidR="00C24811" w:rsidRPr="00BF4F5D" w14:paraId="55439CE3" w14:textId="39B8A191" w:rsidTr="00275B74">
        <w:trPr>
          <w:jc w:val="center"/>
        </w:trPr>
        <w:tc>
          <w:tcPr>
            <w:tcW w:w="9204" w:type="dxa"/>
            <w:gridSpan w:val="3"/>
            <w:shd w:val="clear" w:color="auto" w:fill="C5E0B3" w:themeFill="accent6" w:themeFillTint="66"/>
          </w:tcPr>
          <w:p w14:paraId="7B1B01ED" w14:textId="6E5C8C39" w:rsidR="00C24811" w:rsidRPr="00BF4F5D" w:rsidRDefault="00034150" w:rsidP="00A9692B">
            <w:pPr>
              <w:spacing w:before="120" w:after="120" w:line="276" w:lineRule="auto"/>
              <w:jc w:val="center"/>
              <w:rPr>
                <w:rFonts w:ascii="Arial" w:hAnsi="Arial" w:cs="Arial"/>
                <w:b/>
                <w:sz w:val="18"/>
                <w:szCs w:val="18"/>
                <w:lang w:val="es-ES_tradnl"/>
              </w:rPr>
            </w:pPr>
            <w:r w:rsidRPr="00034150">
              <w:rPr>
                <w:rFonts w:ascii="Arial" w:hAnsi="Arial" w:cs="Arial"/>
                <w:b/>
                <w:sz w:val="18"/>
                <w:szCs w:val="18"/>
                <w:lang w:val="es-ES_tradnl"/>
              </w:rPr>
              <w:t>2.4 Control e influencia</w:t>
            </w:r>
          </w:p>
        </w:tc>
      </w:tr>
      <w:tr w:rsidR="000B1966" w:rsidRPr="00BF4F5D" w14:paraId="107EE2B1" w14:textId="5625E186" w:rsidTr="009B2105">
        <w:trPr>
          <w:jc w:val="center"/>
        </w:trPr>
        <w:tc>
          <w:tcPr>
            <w:tcW w:w="2825" w:type="dxa"/>
            <w:vMerge w:val="restart"/>
            <w:shd w:val="clear" w:color="auto" w:fill="FFFFFF" w:themeFill="background1"/>
          </w:tcPr>
          <w:p w14:paraId="6567F6C7" w14:textId="0A8A31DF" w:rsidR="008213FB" w:rsidRPr="008213FB" w:rsidRDefault="008213FB" w:rsidP="00A9692B">
            <w:pPr>
              <w:spacing w:before="120" w:after="120" w:line="276" w:lineRule="auto"/>
              <w:jc w:val="both"/>
              <w:rPr>
                <w:rFonts w:ascii="Arial" w:hAnsi="Arial" w:cs="Arial"/>
                <w:sz w:val="18"/>
                <w:szCs w:val="18"/>
              </w:rPr>
            </w:pPr>
            <w:r w:rsidRPr="008213FB">
              <w:rPr>
                <w:rFonts w:ascii="Arial" w:hAnsi="Arial" w:cs="Arial"/>
                <w:sz w:val="18"/>
                <w:szCs w:val="18"/>
              </w:rPr>
              <w:t xml:space="preserve">La LFCE se refiere en diversos apartados a los términos de control e influencia; sin que se defina lo que debe entenderse por estos conceptos, ya sea decisiva o significativa.  Es así que se tratan de conceptos jurídicos indeterminados. </w:t>
            </w:r>
          </w:p>
          <w:p w14:paraId="39FF1903" w14:textId="77777777" w:rsidR="008213FB" w:rsidRPr="008213FB" w:rsidRDefault="008213FB" w:rsidP="00A9692B">
            <w:pPr>
              <w:spacing w:before="120" w:after="120" w:line="276" w:lineRule="auto"/>
              <w:jc w:val="both"/>
              <w:rPr>
                <w:rFonts w:ascii="Arial" w:hAnsi="Arial" w:cs="Arial"/>
                <w:sz w:val="18"/>
                <w:szCs w:val="18"/>
              </w:rPr>
            </w:pPr>
            <w:r w:rsidRPr="008213FB">
              <w:rPr>
                <w:rFonts w:ascii="Arial" w:hAnsi="Arial" w:cs="Arial"/>
                <w:sz w:val="18"/>
                <w:szCs w:val="18"/>
              </w:rPr>
              <w:t xml:space="preserve">El PJF ha señalado en diversos criterios que las leyes no son diccionarios y por tanto, no pueden definir todos los conceptos que emplean. Toda vez que la norma no puede agotar la totalidad de casos posibles de aplicación, los conceptos jurídicos indeterminados se definen caso por caso y se interpretan de forma armónica con las disposiciones que las leyes aplicables establecen, para que su contenido adquiera sentido y precisión. </w:t>
            </w:r>
          </w:p>
          <w:p w14:paraId="6F2F0C11" w14:textId="77777777" w:rsidR="008213FB" w:rsidRPr="008213FB" w:rsidRDefault="008213FB" w:rsidP="00A9692B">
            <w:pPr>
              <w:spacing w:before="120" w:after="120" w:line="276" w:lineRule="auto"/>
              <w:jc w:val="both"/>
              <w:rPr>
                <w:rFonts w:ascii="Arial" w:hAnsi="Arial" w:cs="Arial"/>
                <w:sz w:val="18"/>
                <w:szCs w:val="18"/>
              </w:rPr>
            </w:pPr>
            <w:r w:rsidRPr="008213FB">
              <w:rPr>
                <w:rFonts w:ascii="Arial" w:hAnsi="Arial" w:cs="Arial"/>
                <w:sz w:val="18"/>
                <w:szCs w:val="18"/>
              </w:rPr>
              <w:t xml:space="preserve">La inclusión de conceptos jurídicos indeterminados en la norma, permite al Instituto emplear la información que, a su juicio, sea necesaria para llevar </w:t>
            </w:r>
            <w:r w:rsidRPr="008213FB">
              <w:rPr>
                <w:rFonts w:ascii="Arial" w:hAnsi="Arial" w:cs="Arial"/>
                <w:sz w:val="18"/>
                <w:szCs w:val="18"/>
              </w:rPr>
              <w:lastRenderedPageBreak/>
              <w:t xml:space="preserve">a cabo el análisis del asunto específico y cuya razonabilidad debe acreditarse en el caso concreto, tomando como referencia la relación que debe guardar con los hechos que sean materia y contenido del análisis realizado. </w:t>
            </w:r>
          </w:p>
          <w:p w14:paraId="3B21B9E1" w14:textId="77777777" w:rsidR="008213FB" w:rsidRPr="008213FB" w:rsidRDefault="008213FB" w:rsidP="00A9692B">
            <w:pPr>
              <w:spacing w:before="120" w:after="120" w:line="276" w:lineRule="auto"/>
              <w:jc w:val="both"/>
              <w:rPr>
                <w:rFonts w:ascii="Arial" w:hAnsi="Arial" w:cs="Arial"/>
                <w:sz w:val="18"/>
                <w:szCs w:val="18"/>
              </w:rPr>
            </w:pPr>
            <w:r w:rsidRPr="008213FB">
              <w:rPr>
                <w:rFonts w:ascii="Arial" w:hAnsi="Arial" w:cs="Arial"/>
                <w:sz w:val="18"/>
                <w:szCs w:val="18"/>
              </w:rPr>
              <w:t xml:space="preserve">Los conceptos de control e influencia decisiva, o de influencia significativa, sirven para identificar si dos o más agentes económicos son autónomos e independientes entre sí; si en virtud de los vínculos que existan o puedan existir (ej. a partir de una concentración propuesta) deben ser considerados partes de un mismo Grupo de Interés Económico y, en consecuencia, el mismo Agente Económico, o si sólo se pueden considerar agentes económicos relacionados o vinculados. </w:t>
            </w:r>
          </w:p>
          <w:p w14:paraId="69BAE81F" w14:textId="3D107F8B" w:rsidR="000B1966" w:rsidRPr="004A0E93" w:rsidRDefault="008213FB" w:rsidP="00A9692B">
            <w:pPr>
              <w:spacing w:before="120" w:after="120" w:line="276" w:lineRule="auto"/>
              <w:jc w:val="both"/>
              <w:rPr>
                <w:rFonts w:ascii="Arial" w:hAnsi="Arial" w:cs="Arial"/>
                <w:sz w:val="18"/>
                <w:szCs w:val="18"/>
              </w:rPr>
            </w:pPr>
            <w:r w:rsidRPr="008213FB">
              <w:rPr>
                <w:rFonts w:ascii="Arial" w:hAnsi="Arial" w:cs="Arial"/>
                <w:sz w:val="18"/>
                <w:szCs w:val="18"/>
              </w:rPr>
              <w:t>La existencia del control e influencia decisiva, o de influencia significativa, se puede determinar como resultado de los vínculos de tipo de comercial, organizativo, económico o jurídico entre dos o más agentes económicos.</w:t>
            </w:r>
          </w:p>
        </w:tc>
        <w:tc>
          <w:tcPr>
            <w:tcW w:w="2977" w:type="dxa"/>
            <w:shd w:val="clear" w:color="auto" w:fill="FFFFFF" w:themeFill="background1"/>
            <w:vAlign w:val="center"/>
          </w:tcPr>
          <w:p w14:paraId="77DDBBE9" w14:textId="5FC727A2" w:rsidR="000B1966" w:rsidRPr="003639E4" w:rsidRDefault="000B1966" w:rsidP="00A9692B">
            <w:pPr>
              <w:spacing w:before="120" w:after="120" w:line="276" w:lineRule="auto"/>
              <w:jc w:val="both"/>
              <w:rPr>
                <w:rFonts w:ascii="Arial" w:hAnsi="Arial" w:cs="Arial"/>
                <w:sz w:val="18"/>
                <w:szCs w:val="18"/>
              </w:rPr>
            </w:pPr>
            <w:r w:rsidRPr="00AE7DEA">
              <w:rPr>
                <w:rFonts w:ascii="Arial" w:eastAsia="Times New Roman" w:hAnsi="Arial" w:cs="Arial"/>
                <w:color w:val="000000"/>
                <w:sz w:val="18"/>
                <w:szCs w:val="18"/>
                <w:lang w:eastAsia="es-MX"/>
              </w:rPr>
              <w:lastRenderedPageBreak/>
              <w:t>La Comisión considera que los intereses económicos, comerciales o financieros, por sí solos no comprueban la existencia de un GIE por lo que se recomienda aclarar el alcance y la forma en que se aplicar</w:t>
            </w:r>
            <w:r>
              <w:rPr>
                <w:rFonts w:ascii="Arial" w:eastAsia="Times New Roman" w:hAnsi="Arial" w:cs="Arial"/>
                <w:color w:val="000000"/>
                <w:sz w:val="18"/>
                <w:szCs w:val="18"/>
                <w:lang w:eastAsia="es-MX"/>
              </w:rPr>
              <w:t>í</w:t>
            </w:r>
            <w:r w:rsidRPr="00AE7DEA">
              <w:rPr>
                <w:rFonts w:ascii="Arial" w:eastAsia="Times New Roman" w:hAnsi="Arial" w:cs="Arial"/>
                <w:color w:val="000000"/>
                <w:sz w:val="18"/>
                <w:szCs w:val="18"/>
                <w:lang w:eastAsia="es-MX"/>
              </w:rPr>
              <w:t xml:space="preserve">a este inciso. </w:t>
            </w:r>
          </w:p>
        </w:tc>
        <w:tc>
          <w:tcPr>
            <w:tcW w:w="3402" w:type="dxa"/>
            <w:shd w:val="clear" w:color="auto" w:fill="FFFFFF" w:themeFill="background1"/>
          </w:tcPr>
          <w:p w14:paraId="4BA1156B" w14:textId="0492A26B" w:rsidR="002765D3" w:rsidRDefault="00DC7FFE" w:rsidP="00A9692B">
            <w:pPr>
              <w:spacing w:before="120" w:after="120" w:line="276" w:lineRule="auto"/>
              <w:jc w:val="both"/>
              <w:rPr>
                <w:rFonts w:ascii="Arial" w:hAnsi="Arial" w:cs="Arial"/>
                <w:sz w:val="18"/>
                <w:szCs w:val="18"/>
              </w:rPr>
            </w:pPr>
            <w:r w:rsidRPr="00DC7FFE">
              <w:rPr>
                <w:rFonts w:ascii="Arial" w:hAnsi="Arial" w:cs="Arial"/>
                <w:sz w:val="18"/>
                <w:szCs w:val="18"/>
              </w:rPr>
              <w:t>Efectivamente, en términos de la LFCE y los criterios jurisprudenciales correspondientes, la existencia de intereses económicos, comerciales y financieros afines no comprueban por sí solos la existencia de un GIE</w:t>
            </w:r>
            <w:r w:rsidR="006909D5">
              <w:rPr>
                <w:rFonts w:ascii="Arial" w:hAnsi="Arial" w:cs="Arial"/>
                <w:sz w:val="18"/>
                <w:szCs w:val="18"/>
              </w:rPr>
              <w:t>, bajo su carácter de Agente Económico</w:t>
            </w:r>
            <w:r w:rsidRPr="00DC7FFE">
              <w:rPr>
                <w:rFonts w:ascii="Arial" w:hAnsi="Arial" w:cs="Arial"/>
                <w:sz w:val="18"/>
                <w:szCs w:val="18"/>
              </w:rPr>
              <w:t xml:space="preserve">. En términos del </w:t>
            </w:r>
            <w:r w:rsidR="007A49E2">
              <w:rPr>
                <w:rFonts w:ascii="Arial" w:hAnsi="Arial" w:cs="Arial"/>
                <w:sz w:val="18"/>
                <w:szCs w:val="18"/>
              </w:rPr>
              <w:t>Anteproyecto</w:t>
            </w:r>
            <w:r w:rsidRPr="00DC7FFE">
              <w:rPr>
                <w:rFonts w:ascii="Arial" w:hAnsi="Arial" w:cs="Arial"/>
                <w:sz w:val="18"/>
                <w:szCs w:val="18"/>
              </w:rPr>
              <w:t xml:space="preserve">, para este IFT la existencia de intereses económicos, comerciales y financieros afines son un elemento para identificar </w:t>
            </w:r>
            <w:r w:rsidR="00AC0887">
              <w:rPr>
                <w:rFonts w:ascii="Arial" w:hAnsi="Arial" w:cs="Arial"/>
                <w:sz w:val="18"/>
                <w:szCs w:val="18"/>
              </w:rPr>
              <w:t xml:space="preserve">a un </w:t>
            </w:r>
            <w:r w:rsidRPr="00DC7FFE">
              <w:rPr>
                <w:rFonts w:ascii="Arial" w:hAnsi="Arial" w:cs="Arial"/>
                <w:sz w:val="18"/>
                <w:szCs w:val="18"/>
              </w:rPr>
              <w:t xml:space="preserve">GIE, en tanto </w:t>
            </w:r>
            <w:r w:rsidR="00AC0887">
              <w:rPr>
                <w:rFonts w:ascii="Arial" w:hAnsi="Arial" w:cs="Arial"/>
                <w:sz w:val="18"/>
                <w:szCs w:val="18"/>
              </w:rPr>
              <w:t xml:space="preserve">éstos </w:t>
            </w:r>
            <w:r w:rsidRPr="00DC7FFE">
              <w:rPr>
                <w:rFonts w:ascii="Arial" w:hAnsi="Arial" w:cs="Arial"/>
                <w:sz w:val="18"/>
                <w:szCs w:val="18"/>
              </w:rPr>
              <w:t xml:space="preserve">son el resultado del ejercicio de relaciones de influencia decisiva o control, de iure o de facto, que se presenta en cualquier grupo económico que tienen el carácter de agente económico (GIE) en términos de la LFCE y los </w:t>
            </w:r>
            <w:r w:rsidR="00AD7990">
              <w:rPr>
                <w:rFonts w:ascii="Arial" w:hAnsi="Arial" w:cs="Arial"/>
                <w:sz w:val="18"/>
                <w:szCs w:val="18"/>
              </w:rPr>
              <w:t>c</w:t>
            </w:r>
            <w:r w:rsidRPr="00DC7FFE">
              <w:rPr>
                <w:rFonts w:ascii="Arial" w:hAnsi="Arial" w:cs="Arial"/>
                <w:sz w:val="18"/>
                <w:szCs w:val="18"/>
              </w:rPr>
              <w:t xml:space="preserve">riterios </w:t>
            </w:r>
            <w:r w:rsidR="00AD7990">
              <w:rPr>
                <w:rFonts w:ascii="Arial" w:hAnsi="Arial" w:cs="Arial"/>
                <w:sz w:val="18"/>
                <w:szCs w:val="18"/>
              </w:rPr>
              <w:t>j</w:t>
            </w:r>
            <w:r w:rsidRPr="00DC7FFE">
              <w:rPr>
                <w:rFonts w:ascii="Arial" w:hAnsi="Arial" w:cs="Arial"/>
                <w:sz w:val="18"/>
                <w:szCs w:val="18"/>
              </w:rPr>
              <w:t>urisprudenciales</w:t>
            </w:r>
            <w:r w:rsidR="00AD7990">
              <w:rPr>
                <w:rFonts w:ascii="Arial" w:hAnsi="Arial" w:cs="Arial"/>
                <w:sz w:val="18"/>
                <w:szCs w:val="18"/>
              </w:rPr>
              <w:t xml:space="preserve"> identificados</w:t>
            </w:r>
            <w:r w:rsidRPr="00DC7FFE">
              <w:rPr>
                <w:rFonts w:ascii="Arial" w:hAnsi="Arial" w:cs="Arial"/>
                <w:sz w:val="18"/>
                <w:szCs w:val="18"/>
              </w:rPr>
              <w:t>.</w:t>
            </w:r>
          </w:p>
          <w:p w14:paraId="0649B869" w14:textId="25AA4B48" w:rsidR="000B1966" w:rsidRPr="00512B32" w:rsidRDefault="002765D3" w:rsidP="00A9692B">
            <w:pPr>
              <w:spacing w:before="120" w:after="120" w:line="276" w:lineRule="auto"/>
              <w:jc w:val="both"/>
              <w:rPr>
                <w:rFonts w:ascii="Arial" w:hAnsi="Arial" w:cs="Arial"/>
                <w:sz w:val="18"/>
                <w:szCs w:val="18"/>
              </w:rPr>
            </w:pPr>
            <w:r>
              <w:rPr>
                <w:rFonts w:ascii="Arial" w:eastAsia="Times New Roman" w:hAnsi="Arial" w:cs="Arial"/>
                <w:color w:val="000000"/>
                <w:sz w:val="18"/>
                <w:szCs w:val="18"/>
                <w:lang w:eastAsia="es-MX"/>
              </w:rPr>
              <w:t>P</w:t>
            </w:r>
            <w:r w:rsidRPr="00226E25">
              <w:rPr>
                <w:rFonts w:ascii="Arial" w:eastAsia="Times New Roman" w:hAnsi="Arial" w:cs="Arial"/>
                <w:color w:val="000000"/>
                <w:sz w:val="18"/>
                <w:szCs w:val="18"/>
                <w:lang w:eastAsia="es-MX"/>
              </w:rPr>
              <w:t xml:space="preserve">or lo </w:t>
            </w:r>
            <w:r>
              <w:rPr>
                <w:rFonts w:ascii="Arial" w:eastAsia="Times New Roman" w:hAnsi="Arial" w:cs="Arial"/>
                <w:color w:val="000000"/>
                <w:sz w:val="18"/>
                <w:szCs w:val="18"/>
                <w:lang w:eastAsia="es-MX"/>
              </w:rPr>
              <w:t>anterior,</w:t>
            </w:r>
            <w:r w:rsidRPr="00226E25">
              <w:rPr>
                <w:rFonts w:ascii="Arial" w:eastAsia="Times New Roman" w:hAnsi="Arial" w:cs="Arial"/>
                <w:color w:val="000000"/>
                <w:sz w:val="18"/>
                <w:szCs w:val="18"/>
                <w:lang w:eastAsia="es-MX"/>
              </w:rPr>
              <w:t xml:space="preserve"> el comentario no </w:t>
            </w:r>
            <w:r>
              <w:rPr>
                <w:rFonts w:ascii="Arial" w:eastAsia="Times New Roman" w:hAnsi="Arial" w:cs="Arial"/>
                <w:color w:val="000000"/>
                <w:sz w:val="18"/>
                <w:szCs w:val="18"/>
                <w:lang w:eastAsia="es-MX"/>
              </w:rPr>
              <w:t>se considera procedente</w:t>
            </w:r>
            <w:r w:rsidR="00586111">
              <w:rPr>
                <w:rFonts w:ascii="Arial" w:eastAsia="Times New Roman" w:hAnsi="Arial" w:cs="Arial"/>
                <w:color w:val="000000"/>
                <w:sz w:val="18"/>
                <w:szCs w:val="18"/>
                <w:lang w:eastAsia="es-MX"/>
              </w:rPr>
              <w:t>.</w:t>
            </w:r>
            <w:r w:rsidR="00DC7FFE" w:rsidRPr="00DC7FFE">
              <w:rPr>
                <w:rFonts w:ascii="Arial" w:hAnsi="Arial" w:cs="Arial"/>
                <w:sz w:val="18"/>
                <w:szCs w:val="18"/>
              </w:rPr>
              <w:t xml:space="preserve">  </w:t>
            </w:r>
          </w:p>
        </w:tc>
      </w:tr>
      <w:tr w:rsidR="000B1966" w:rsidRPr="00BF4F5D" w14:paraId="3E70CAAC" w14:textId="77777777" w:rsidTr="009B2105">
        <w:trPr>
          <w:jc w:val="center"/>
        </w:trPr>
        <w:tc>
          <w:tcPr>
            <w:tcW w:w="2825" w:type="dxa"/>
            <w:vMerge/>
            <w:shd w:val="clear" w:color="auto" w:fill="FFFFFF" w:themeFill="background1"/>
          </w:tcPr>
          <w:p w14:paraId="37482C79" w14:textId="77777777" w:rsidR="000B1966" w:rsidRDefault="000B1966" w:rsidP="00A9692B">
            <w:pPr>
              <w:spacing w:before="120" w:after="120" w:line="276" w:lineRule="auto"/>
              <w:jc w:val="both"/>
              <w:rPr>
                <w:rFonts w:ascii="Arial" w:hAnsi="Arial" w:cs="Arial"/>
                <w:sz w:val="18"/>
                <w:szCs w:val="18"/>
              </w:rPr>
            </w:pPr>
          </w:p>
        </w:tc>
        <w:tc>
          <w:tcPr>
            <w:tcW w:w="2977" w:type="dxa"/>
            <w:shd w:val="clear" w:color="auto" w:fill="FFFFFF" w:themeFill="background1"/>
            <w:vAlign w:val="center"/>
          </w:tcPr>
          <w:p w14:paraId="66DEF5FF" w14:textId="31CE9A8F" w:rsidR="000B1966" w:rsidRPr="000B1966" w:rsidRDefault="000B1966" w:rsidP="00A9692B">
            <w:pPr>
              <w:spacing w:before="120" w:after="120" w:line="276" w:lineRule="auto"/>
              <w:jc w:val="both"/>
              <w:rPr>
                <w:rFonts w:ascii="Arial" w:eastAsia="Times New Roman" w:hAnsi="Arial" w:cs="Arial"/>
                <w:color w:val="000000"/>
                <w:sz w:val="18"/>
                <w:szCs w:val="18"/>
                <w:lang w:eastAsia="es-MX"/>
              </w:rPr>
            </w:pPr>
            <w:r w:rsidRPr="00AE7DEA">
              <w:rPr>
                <w:rFonts w:ascii="Arial" w:eastAsia="Times New Roman" w:hAnsi="Arial" w:cs="Arial"/>
                <w:color w:val="000000"/>
                <w:sz w:val="18"/>
                <w:szCs w:val="18"/>
                <w:lang w:eastAsia="es-MX"/>
              </w:rPr>
              <w:t xml:space="preserve">Se recomienda definir el tipo de vínculo a que se refiere la Sección, toda vez que dentro de las personas en una misma industria, e incluso en distintas industrias, se pueden presentar vínculos de todo tipo, mismos que podrían ser, enunciativamente, de tipo </w:t>
            </w:r>
            <w:r w:rsidRPr="00AE7DEA">
              <w:rPr>
                <w:rFonts w:ascii="Arial" w:eastAsia="Times New Roman" w:hAnsi="Arial" w:cs="Arial"/>
                <w:color w:val="000000"/>
                <w:sz w:val="18"/>
                <w:szCs w:val="18"/>
                <w:lang w:eastAsia="es-MX"/>
              </w:rPr>
              <w:lastRenderedPageBreak/>
              <w:t>comercial permanente u ocasional, de tipo económico, (en distintos grados), entre otros.</w:t>
            </w:r>
          </w:p>
        </w:tc>
        <w:tc>
          <w:tcPr>
            <w:tcW w:w="3402" w:type="dxa"/>
            <w:shd w:val="clear" w:color="auto" w:fill="FFFFFF" w:themeFill="background1"/>
          </w:tcPr>
          <w:p w14:paraId="050DC096" w14:textId="42021D28" w:rsidR="000B1966" w:rsidRDefault="00DC7FFE" w:rsidP="00A9692B">
            <w:pPr>
              <w:spacing w:before="120" w:after="120" w:line="276" w:lineRule="auto"/>
              <w:jc w:val="both"/>
              <w:rPr>
                <w:rFonts w:ascii="Arial" w:hAnsi="Arial" w:cs="Arial"/>
                <w:sz w:val="18"/>
                <w:szCs w:val="18"/>
              </w:rPr>
            </w:pPr>
            <w:r w:rsidRPr="00DC7FFE">
              <w:rPr>
                <w:rFonts w:ascii="Arial" w:hAnsi="Arial" w:cs="Arial"/>
                <w:sz w:val="18"/>
                <w:szCs w:val="18"/>
              </w:rPr>
              <w:lastRenderedPageBreak/>
              <w:t xml:space="preserve">Se aclara que en </w:t>
            </w:r>
            <w:r w:rsidR="00297CD7">
              <w:rPr>
                <w:rFonts w:ascii="Arial" w:hAnsi="Arial" w:cs="Arial"/>
                <w:sz w:val="18"/>
                <w:szCs w:val="18"/>
              </w:rPr>
              <w:t>el Anteproyecto</w:t>
            </w:r>
            <w:r w:rsidRPr="00DC7FFE">
              <w:rPr>
                <w:rFonts w:ascii="Arial" w:hAnsi="Arial" w:cs="Arial"/>
                <w:sz w:val="18"/>
                <w:szCs w:val="18"/>
              </w:rPr>
              <w:t>, se establece que para la determinación de control e influencia</w:t>
            </w:r>
            <w:r w:rsidR="00297CD7">
              <w:rPr>
                <w:rFonts w:ascii="Arial" w:hAnsi="Arial" w:cs="Arial"/>
                <w:sz w:val="18"/>
                <w:szCs w:val="18"/>
              </w:rPr>
              <w:t xml:space="preserve"> decisiva</w:t>
            </w:r>
            <w:r w:rsidRPr="00DC7FFE">
              <w:rPr>
                <w:rFonts w:ascii="Arial" w:hAnsi="Arial" w:cs="Arial"/>
                <w:sz w:val="18"/>
                <w:szCs w:val="18"/>
              </w:rPr>
              <w:t xml:space="preserve">, los vínculos que se consideran son </w:t>
            </w:r>
            <w:r w:rsidR="001366D8">
              <w:rPr>
                <w:rFonts w:ascii="Arial" w:hAnsi="Arial" w:cs="Arial"/>
                <w:sz w:val="18"/>
                <w:szCs w:val="18"/>
              </w:rPr>
              <w:t>los siguientes:</w:t>
            </w:r>
            <w:r w:rsidRPr="00DC7FFE">
              <w:rPr>
                <w:rFonts w:ascii="Arial" w:hAnsi="Arial" w:cs="Arial"/>
                <w:sz w:val="18"/>
                <w:szCs w:val="18"/>
              </w:rPr>
              <w:t xml:space="preserve"> a) la capacidad o el derecho para designar, nombrar, vetar o destituir a miembros que integran el o los órganos encargados de la toma de decisiones, b) </w:t>
            </w:r>
            <w:r w:rsidR="001366D8">
              <w:rPr>
                <w:rFonts w:ascii="Arial" w:hAnsi="Arial" w:cs="Arial"/>
                <w:sz w:val="18"/>
                <w:szCs w:val="18"/>
              </w:rPr>
              <w:lastRenderedPageBreak/>
              <w:t>la</w:t>
            </w:r>
            <w:r w:rsidRPr="00DC7FFE">
              <w:rPr>
                <w:rFonts w:ascii="Arial" w:hAnsi="Arial" w:cs="Arial"/>
                <w:sz w:val="18"/>
                <w:szCs w:val="18"/>
              </w:rPr>
              <w:t xml:space="preserve"> participación directa o indirecta, en la propiedad, incluso de carácter fiduciario, o en la estructura accionaria o de partes sociales de otra persona, cuando esa participación otorgue a su tenedor la capacidad de tener un nivel de representación equivalente al establecido en el inciso a) anterior; c) </w:t>
            </w:r>
            <w:r w:rsidR="001E04DB">
              <w:rPr>
                <w:rFonts w:ascii="Arial" w:hAnsi="Arial" w:cs="Arial"/>
                <w:sz w:val="18"/>
                <w:szCs w:val="18"/>
              </w:rPr>
              <w:t>h</w:t>
            </w:r>
            <w:r w:rsidR="001E04DB" w:rsidRPr="00DC7FFE">
              <w:rPr>
                <w:rFonts w:ascii="Arial" w:hAnsi="Arial" w:cs="Arial"/>
                <w:sz w:val="18"/>
                <w:szCs w:val="18"/>
              </w:rPr>
              <w:t xml:space="preserve">aber </w:t>
            </w:r>
            <w:r w:rsidRPr="00DC7FFE">
              <w:rPr>
                <w:rFonts w:ascii="Arial" w:hAnsi="Arial" w:cs="Arial"/>
                <w:sz w:val="18"/>
                <w:szCs w:val="18"/>
              </w:rPr>
              <w:t xml:space="preserve">celebrado acuerdos, contratos, convenios o cualquier acto que otorgue a una </w:t>
            </w:r>
            <w:r w:rsidRPr="00D92018">
              <w:rPr>
                <w:rFonts w:ascii="Arial" w:hAnsi="Arial" w:cs="Arial"/>
                <w:sz w:val="18"/>
                <w:szCs w:val="18"/>
              </w:rPr>
              <w:t>persona beneficios similares a los señalados en los incisos a) y b) precedentes, o la capacidad de tener esos beneficios</w:t>
            </w:r>
            <w:r w:rsidR="00D92018" w:rsidRPr="00D92018">
              <w:rPr>
                <w:rFonts w:ascii="Arial" w:hAnsi="Arial" w:cs="Arial"/>
                <w:sz w:val="18"/>
                <w:szCs w:val="18"/>
              </w:rPr>
              <w:t>;</w:t>
            </w:r>
            <w:r w:rsidRPr="00D92018">
              <w:rPr>
                <w:rFonts w:ascii="Arial" w:hAnsi="Arial" w:cs="Arial"/>
                <w:sz w:val="18"/>
                <w:szCs w:val="18"/>
              </w:rPr>
              <w:t xml:space="preserve"> d) Que existan intereses económicos, comerciales o financieros comunes</w:t>
            </w:r>
            <w:r w:rsidR="00D92018" w:rsidRPr="00D92018">
              <w:rPr>
                <w:rFonts w:ascii="Arial" w:hAnsi="Arial" w:cs="Arial"/>
                <w:sz w:val="18"/>
                <w:szCs w:val="18"/>
              </w:rPr>
              <w:t xml:space="preserve">, que actualicen y resulten de los supuestos establecidos en los incisos </w:t>
            </w:r>
            <w:bookmarkStart w:id="7" w:name="_Hlk88672155"/>
            <w:r w:rsidR="00D92018" w:rsidRPr="00D92018">
              <w:rPr>
                <w:rFonts w:ascii="Arial" w:hAnsi="Arial" w:cs="Arial"/>
                <w:sz w:val="18"/>
                <w:szCs w:val="18"/>
              </w:rPr>
              <w:t>a) y b)</w:t>
            </w:r>
            <w:bookmarkEnd w:id="7"/>
            <w:r w:rsidR="00D92018" w:rsidRPr="00D92018">
              <w:rPr>
                <w:rFonts w:ascii="Arial" w:hAnsi="Arial" w:cs="Arial"/>
                <w:sz w:val="18"/>
                <w:szCs w:val="18"/>
              </w:rPr>
              <w:t xml:space="preserve"> anteriores, y e) </w:t>
            </w:r>
            <w:r w:rsidR="00D92018">
              <w:rPr>
                <w:rFonts w:ascii="Arial" w:hAnsi="Arial" w:cs="Arial"/>
                <w:sz w:val="18"/>
                <w:szCs w:val="18"/>
              </w:rPr>
              <w:t>q</w:t>
            </w:r>
            <w:r w:rsidR="00D92018" w:rsidRPr="00D92018">
              <w:rPr>
                <w:rFonts w:ascii="Arial" w:hAnsi="Arial" w:cs="Arial"/>
                <w:sz w:val="18"/>
                <w:szCs w:val="18"/>
              </w:rPr>
              <w:t>ue exista parentesco</w:t>
            </w:r>
            <w:r w:rsidR="00D92018">
              <w:rPr>
                <w:rFonts w:ascii="Arial" w:hAnsi="Arial" w:cs="Arial"/>
                <w:sz w:val="18"/>
                <w:szCs w:val="18"/>
              </w:rPr>
              <w:t>,</w:t>
            </w:r>
            <w:r w:rsidR="00D92018" w:rsidRPr="00D92018">
              <w:rPr>
                <w:rFonts w:ascii="Arial" w:hAnsi="Arial" w:cs="Arial"/>
                <w:sz w:val="18"/>
                <w:szCs w:val="18"/>
              </w:rPr>
              <w:t xml:space="preserve"> por consanguinidad</w:t>
            </w:r>
            <w:r w:rsidR="00D92018">
              <w:rPr>
                <w:rFonts w:ascii="Arial" w:hAnsi="Arial" w:cs="Arial"/>
                <w:sz w:val="18"/>
                <w:szCs w:val="18"/>
              </w:rPr>
              <w:t xml:space="preserve"> o</w:t>
            </w:r>
            <w:r w:rsidR="00D92018" w:rsidRPr="00D92018">
              <w:rPr>
                <w:rFonts w:ascii="Arial" w:hAnsi="Arial" w:cs="Arial"/>
                <w:sz w:val="18"/>
                <w:szCs w:val="18"/>
              </w:rPr>
              <w:t xml:space="preserve"> afinidad</w:t>
            </w:r>
            <w:r w:rsidR="00D92018">
              <w:rPr>
                <w:rFonts w:ascii="Arial" w:hAnsi="Arial" w:cs="Arial"/>
                <w:sz w:val="18"/>
                <w:szCs w:val="18"/>
              </w:rPr>
              <w:t>,</w:t>
            </w:r>
            <w:r w:rsidR="00D92018" w:rsidRPr="00D92018">
              <w:rPr>
                <w:rFonts w:ascii="Arial" w:hAnsi="Arial" w:cs="Arial"/>
                <w:sz w:val="18"/>
                <w:szCs w:val="18"/>
              </w:rPr>
              <w:t xml:space="preserve"> hasta el cuarto grado, tratándose de personas físicas</w:t>
            </w:r>
            <w:r w:rsidR="00D92018">
              <w:rPr>
                <w:rFonts w:ascii="Arial" w:hAnsi="Arial" w:cs="Arial"/>
                <w:sz w:val="18"/>
                <w:szCs w:val="18"/>
              </w:rPr>
              <w:t>, y</w:t>
            </w:r>
            <w:r w:rsidR="00D92018" w:rsidRPr="00D92018">
              <w:rPr>
                <w:rFonts w:ascii="Arial" w:hAnsi="Arial" w:cs="Arial"/>
                <w:sz w:val="18"/>
                <w:szCs w:val="18"/>
              </w:rPr>
              <w:t xml:space="preserve"> que actualicen los supuestos establecidos en los incisos</w:t>
            </w:r>
            <w:r w:rsidR="00D92018">
              <w:rPr>
                <w:rFonts w:ascii="Arial" w:hAnsi="Arial" w:cs="Arial"/>
                <w:sz w:val="18"/>
                <w:szCs w:val="18"/>
              </w:rPr>
              <w:t xml:space="preserve"> </w:t>
            </w:r>
            <w:r w:rsidR="00D92018" w:rsidRPr="002E57D4">
              <w:rPr>
                <w:rFonts w:ascii="Arial" w:hAnsi="Arial" w:cs="Arial"/>
                <w:sz w:val="18"/>
                <w:szCs w:val="18"/>
              </w:rPr>
              <w:t>a) y b)</w:t>
            </w:r>
            <w:r w:rsidR="00D92018" w:rsidRPr="00D92018">
              <w:rPr>
                <w:rFonts w:ascii="Arial" w:hAnsi="Arial" w:cs="Arial"/>
                <w:sz w:val="18"/>
                <w:szCs w:val="18"/>
              </w:rPr>
              <w:t xml:space="preserve"> anteriores</w:t>
            </w:r>
            <w:r w:rsidRPr="00D92018">
              <w:rPr>
                <w:rFonts w:ascii="Arial" w:hAnsi="Arial" w:cs="Arial"/>
                <w:sz w:val="18"/>
                <w:szCs w:val="18"/>
              </w:rPr>
              <w:t>.</w:t>
            </w:r>
          </w:p>
          <w:p w14:paraId="129021E3" w14:textId="4B23E2FD" w:rsidR="00E077FA" w:rsidRDefault="006E56A3" w:rsidP="00A9692B">
            <w:pPr>
              <w:spacing w:before="120" w:after="120" w:line="276" w:lineRule="auto"/>
              <w:jc w:val="both"/>
              <w:rPr>
                <w:rFonts w:ascii="Arial" w:hAnsi="Arial" w:cs="Arial"/>
                <w:sz w:val="18"/>
                <w:szCs w:val="18"/>
              </w:rPr>
            </w:pPr>
            <w:r>
              <w:rPr>
                <w:rFonts w:ascii="Arial" w:eastAsia="Times New Roman" w:hAnsi="Arial" w:cs="Arial"/>
                <w:color w:val="000000"/>
                <w:sz w:val="18"/>
                <w:szCs w:val="18"/>
                <w:lang w:eastAsia="es-MX"/>
              </w:rPr>
              <w:t>No obstante lo anterior</w:t>
            </w:r>
            <w:r w:rsidR="00586111">
              <w:rPr>
                <w:rFonts w:ascii="Arial" w:eastAsia="Times New Roman" w:hAnsi="Arial" w:cs="Arial"/>
                <w:color w:val="000000"/>
                <w:sz w:val="18"/>
                <w:szCs w:val="18"/>
                <w:lang w:eastAsia="es-MX"/>
              </w:rPr>
              <w:t>, se realizarán algunas modificaciones a la secci</w:t>
            </w:r>
            <w:r w:rsidR="002931F3">
              <w:rPr>
                <w:rFonts w:ascii="Arial" w:eastAsia="Times New Roman" w:hAnsi="Arial" w:cs="Arial"/>
                <w:color w:val="000000"/>
                <w:sz w:val="18"/>
                <w:szCs w:val="18"/>
                <w:lang w:eastAsia="es-MX"/>
              </w:rPr>
              <w:t>ón</w:t>
            </w:r>
            <w:r w:rsidR="006B64D9">
              <w:rPr>
                <w:rFonts w:ascii="Arial" w:eastAsia="Times New Roman" w:hAnsi="Arial" w:cs="Arial"/>
                <w:color w:val="000000"/>
                <w:sz w:val="18"/>
                <w:szCs w:val="18"/>
                <w:lang w:eastAsia="es-MX"/>
              </w:rPr>
              <w:t xml:space="preserve"> </w:t>
            </w:r>
            <w:r w:rsidR="00586111">
              <w:rPr>
                <w:rFonts w:ascii="Arial" w:eastAsia="Times New Roman" w:hAnsi="Arial" w:cs="Arial"/>
                <w:color w:val="000000"/>
                <w:sz w:val="18"/>
                <w:szCs w:val="18"/>
                <w:lang w:eastAsia="es-MX"/>
              </w:rPr>
              <w:t xml:space="preserve">2.4 para dejar claro </w:t>
            </w:r>
            <w:r>
              <w:rPr>
                <w:rFonts w:ascii="Arial" w:eastAsia="Times New Roman" w:hAnsi="Arial" w:cs="Arial"/>
                <w:color w:val="000000"/>
                <w:sz w:val="18"/>
                <w:szCs w:val="18"/>
                <w:lang w:eastAsia="es-MX"/>
              </w:rPr>
              <w:t>los conceptos incluidos</w:t>
            </w:r>
            <w:r w:rsidR="00586111">
              <w:rPr>
                <w:rFonts w:ascii="Arial" w:eastAsia="Times New Roman" w:hAnsi="Arial" w:cs="Arial"/>
                <w:color w:val="000000"/>
                <w:sz w:val="18"/>
                <w:szCs w:val="18"/>
                <w:lang w:eastAsia="es-MX"/>
              </w:rPr>
              <w:t>.</w:t>
            </w:r>
          </w:p>
        </w:tc>
      </w:tr>
      <w:tr w:rsidR="000B1966" w:rsidRPr="007A4AC4" w14:paraId="12E11878" w14:textId="77777777" w:rsidTr="00616B30">
        <w:trPr>
          <w:jc w:val="center"/>
        </w:trPr>
        <w:tc>
          <w:tcPr>
            <w:tcW w:w="2825" w:type="dxa"/>
            <w:vMerge/>
            <w:shd w:val="clear" w:color="auto" w:fill="FFFFFF" w:themeFill="background1"/>
          </w:tcPr>
          <w:p w14:paraId="5A4747E0" w14:textId="77777777" w:rsidR="000B1966" w:rsidRDefault="000B1966" w:rsidP="00A9692B">
            <w:pPr>
              <w:spacing w:before="120" w:after="120" w:line="276" w:lineRule="auto"/>
              <w:jc w:val="both"/>
              <w:rPr>
                <w:rFonts w:ascii="Arial" w:hAnsi="Arial" w:cs="Arial"/>
                <w:sz w:val="18"/>
                <w:szCs w:val="18"/>
              </w:rPr>
            </w:pPr>
          </w:p>
        </w:tc>
        <w:tc>
          <w:tcPr>
            <w:tcW w:w="2977" w:type="dxa"/>
            <w:shd w:val="clear" w:color="auto" w:fill="FFFFFF" w:themeFill="background1"/>
          </w:tcPr>
          <w:p w14:paraId="7B9D395C" w14:textId="4B7707BC" w:rsidR="000B1966" w:rsidRPr="004F34BE" w:rsidRDefault="000B1966" w:rsidP="00A9692B">
            <w:pPr>
              <w:spacing w:before="120" w:after="120" w:line="276" w:lineRule="auto"/>
              <w:jc w:val="both"/>
              <w:rPr>
                <w:rFonts w:ascii="Arial" w:hAnsi="Arial" w:cs="Arial"/>
                <w:sz w:val="18"/>
                <w:szCs w:val="18"/>
                <w:highlight w:val="yellow"/>
              </w:rPr>
            </w:pPr>
            <w:r w:rsidRPr="006B64D9">
              <w:rPr>
                <w:rFonts w:ascii="Arial" w:hAnsi="Arial" w:cs="Arial"/>
                <w:sz w:val="18"/>
                <w:szCs w:val="18"/>
              </w:rPr>
              <w:t>Se sugiere, en el apartado: “Elementos de referencia para determinar su existencia” presentar alguno o algunos casos prácticos que permitan aclarar el término y diferenciarlo de otros términos afines como el de “Control e influencia significativa”.</w:t>
            </w:r>
          </w:p>
        </w:tc>
        <w:tc>
          <w:tcPr>
            <w:tcW w:w="3402" w:type="dxa"/>
            <w:shd w:val="clear" w:color="auto" w:fill="FFFFFF" w:themeFill="background1"/>
          </w:tcPr>
          <w:p w14:paraId="0E28E880" w14:textId="3886CC79" w:rsidR="000B1966" w:rsidRDefault="00DC7FFE" w:rsidP="00A9692B">
            <w:pPr>
              <w:spacing w:before="120" w:after="120" w:line="276" w:lineRule="auto"/>
              <w:jc w:val="both"/>
              <w:rPr>
                <w:rFonts w:ascii="Arial" w:hAnsi="Arial" w:cs="Arial"/>
                <w:sz w:val="18"/>
                <w:szCs w:val="18"/>
              </w:rPr>
            </w:pPr>
            <w:r w:rsidRPr="00DC7FFE">
              <w:rPr>
                <w:rFonts w:ascii="Arial" w:hAnsi="Arial" w:cs="Arial"/>
                <w:sz w:val="18"/>
                <w:szCs w:val="18"/>
              </w:rPr>
              <w:t xml:space="preserve">Se toma en consideración su comentario y se agregará texto en el sentido que se solicita. </w:t>
            </w:r>
          </w:p>
          <w:p w14:paraId="59AE6838" w14:textId="741CC11A" w:rsidR="00DC7FFE" w:rsidRPr="0060105B" w:rsidRDefault="00DC7FFE" w:rsidP="00A9692B">
            <w:pPr>
              <w:spacing w:before="120" w:after="120" w:line="276" w:lineRule="auto"/>
              <w:jc w:val="both"/>
              <w:rPr>
                <w:rFonts w:ascii="Arial" w:hAnsi="Arial" w:cs="Arial"/>
                <w:sz w:val="18"/>
                <w:szCs w:val="18"/>
              </w:rPr>
            </w:pPr>
          </w:p>
        </w:tc>
      </w:tr>
    </w:tbl>
    <w:p w14:paraId="104614E3" w14:textId="2AB3715A" w:rsidR="001956CC" w:rsidRPr="00034150" w:rsidRDefault="00034150" w:rsidP="00A9692B">
      <w:pPr>
        <w:spacing w:before="120" w:after="120" w:line="276" w:lineRule="auto"/>
        <w:jc w:val="both"/>
        <w:rPr>
          <w:rFonts w:ascii="Arial" w:hAnsi="Arial" w:cs="Arial"/>
          <w:b/>
        </w:rPr>
      </w:pPr>
      <w:r>
        <w:rPr>
          <w:rFonts w:ascii="Arial" w:hAnsi="Arial" w:cs="Arial"/>
          <w:b/>
        </w:rPr>
        <w:t>7</w:t>
      </w:r>
      <w:r w:rsidR="001956CC" w:rsidRPr="00034150">
        <w:rPr>
          <w:rFonts w:ascii="Arial" w:hAnsi="Arial" w:cs="Arial"/>
          <w:b/>
        </w:rPr>
        <w:t xml:space="preserve">.4. </w:t>
      </w:r>
      <w:r w:rsidRPr="00034150">
        <w:rPr>
          <w:rFonts w:ascii="Arial" w:hAnsi="Arial" w:cs="Arial"/>
          <w:b/>
        </w:rPr>
        <w:t>“3.2 De aplicaciones ex</w:t>
      </w:r>
      <w:r w:rsidR="00F14466">
        <w:rPr>
          <w:rFonts w:ascii="Arial" w:hAnsi="Arial" w:cs="Arial"/>
          <w:b/>
        </w:rPr>
        <w:t xml:space="preserve"> </w:t>
      </w:r>
      <w:r w:rsidRPr="00034150">
        <w:rPr>
          <w:rFonts w:ascii="Arial" w:hAnsi="Arial" w:cs="Arial"/>
          <w:b/>
        </w:rPr>
        <w:t>post”</w:t>
      </w:r>
    </w:p>
    <w:p w14:paraId="72605A6D" w14:textId="283F94C0" w:rsidR="001956CC" w:rsidRDefault="00034150" w:rsidP="00A9692B">
      <w:pPr>
        <w:spacing w:before="120" w:after="120" w:line="276" w:lineRule="auto"/>
        <w:jc w:val="both"/>
        <w:rPr>
          <w:rFonts w:ascii="Arial" w:hAnsi="Arial" w:cs="Arial"/>
          <w:b/>
        </w:rPr>
      </w:pPr>
      <w:r>
        <w:rPr>
          <w:rFonts w:ascii="Arial" w:hAnsi="Arial" w:cs="Arial"/>
          <w:b/>
        </w:rPr>
        <w:t>7</w:t>
      </w:r>
      <w:r w:rsidR="001956CC">
        <w:rPr>
          <w:rFonts w:ascii="Arial" w:hAnsi="Arial" w:cs="Arial"/>
          <w:b/>
        </w:rPr>
        <w:t xml:space="preserve">.4.1. </w:t>
      </w:r>
      <w:r w:rsidR="001956CC" w:rsidRPr="001956CC">
        <w:rPr>
          <w:rFonts w:ascii="Arial" w:hAnsi="Arial" w:cs="Arial"/>
          <w:b/>
        </w:rPr>
        <w:t xml:space="preserve">Síntesis de los comentarios relacionados con el </w:t>
      </w:r>
      <w:r w:rsidR="003639E4">
        <w:rPr>
          <w:rFonts w:ascii="Arial" w:hAnsi="Arial" w:cs="Arial"/>
          <w:b/>
        </w:rPr>
        <w:t>a</w:t>
      </w:r>
      <w:r>
        <w:rPr>
          <w:rFonts w:ascii="Arial" w:hAnsi="Arial" w:cs="Arial"/>
          <w:b/>
        </w:rPr>
        <w:t xml:space="preserve">partado </w:t>
      </w:r>
      <w:r w:rsidRPr="00034150">
        <w:rPr>
          <w:rFonts w:ascii="Arial" w:hAnsi="Arial" w:cs="Arial"/>
          <w:b/>
        </w:rPr>
        <w:t>3.2 De aplicaciones ex</w:t>
      </w:r>
      <w:r w:rsidR="003D3949">
        <w:rPr>
          <w:rFonts w:ascii="Arial" w:hAnsi="Arial" w:cs="Arial"/>
          <w:b/>
        </w:rPr>
        <w:t xml:space="preserve"> </w:t>
      </w:r>
      <w:r w:rsidRPr="00034150">
        <w:rPr>
          <w:rFonts w:ascii="Arial" w:hAnsi="Arial" w:cs="Arial"/>
          <w:b/>
        </w:rPr>
        <w:t xml:space="preserve">post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2846"/>
        <w:gridCol w:w="2956"/>
        <w:gridCol w:w="3402"/>
      </w:tblGrid>
      <w:tr w:rsidR="00842124" w:rsidRPr="003E2214" w14:paraId="075D691C" w14:textId="77777777" w:rsidTr="00616B30">
        <w:trPr>
          <w:tblHeader/>
          <w:jc w:val="center"/>
        </w:trPr>
        <w:tc>
          <w:tcPr>
            <w:tcW w:w="2846" w:type="dxa"/>
            <w:shd w:val="clear" w:color="auto" w:fill="70AD47" w:themeFill="accent6"/>
          </w:tcPr>
          <w:p w14:paraId="1CCCFE45" w14:textId="77777777" w:rsidR="00842124" w:rsidRPr="00BF4F5D" w:rsidRDefault="00842124" w:rsidP="00A9692B">
            <w:pPr>
              <w:spacing w:before="120" w:after="120" w:line="276" w:lineRule="auto"/>
              <w:jc w:val="center"/>
              <w:rPr>
                <w:rFonts w:ascii="Arial" w:hAnsi="Arial" w:cs="Arial"/>
                <w:b/>
                <w:sz w:val="18"/>
                <w:szCs w:val="18"/>
              </w:rPr>
            </w:pPr>
            <w:r w:rsidRPr="00730154">
              <w:rPr>
                <w:rFonts w:ascii="Arial" w:hAnsi="Arial" w:cs="Arial"/>
                <w:b/>
                <w:sz w:val="18"/>
                <w:szCs w:val="18"/>
              </w:rPr>
              <w:t>Apartado del Anteproyecto</w:t>
            </w:r>
          </w:p>
        </w:tc>
        <w:tc>
          <w:tcPr>
            <w:tcW w:w="2956" w:type="dxa"/>
            <w:shd w:val="clear" w:color="auto" w:fill="70AD47" w:themeFill="accent6"/>
          </w:tcPr>
          <w:p w14:paraId="7F436106" w14:textId="77777777" w:rsidR="00842124" w:rsidRPr="00BF4F5D" w:rsidRDefault="00842124" w:rsidP="00A9692B">
            <w:pPr>
              <w:spacing w:before="120" w:after="120" w:line="276" w:lineRule="auto"/>
              <w:jc w:val="center"/>
              <w:rPr>
                <w:rFonts w:ascii="Arial" w:hAnsi="Arial" w:cs="Arial"/>
                <w:b/>
                <w:sz w:val="18"/>
                <w:szCs w:val="18"/>
              </w:rPr>
            </w:pPr>
            <w:r w:rsidRPr="00730154">
              <w:rPr>
                <w:rFonts w:ascii="Arial" w:hAnsi="Arial" w:cs="Arial"/>
                <w:b/>
                <w:sz w:val="18"/>
                <w:szCs w:val="18"/>
              </w:rPr>
              <w:t>Resumen de los comentarios recibidos</w:t>
            </w:r>
          </w:p>
        </w:tc>
        <w:tc>
          <w:tcPr>
            <w:tcW w:w="3402" w:type="dxa"/>
            <w:shd w:val="clear" w:color="auto" w:fill="70AD47" w:themeFill="accent6"/>
          </w:tcPr>
          <w:p w14:paraId="56EE19B7" w14:textId="77777777" w:rsidR="00842124" w:rsidRPr="00730154" w:rsidRDefault="00842124" w:rsidP="00A9692B">
            <w:pPr>
              <w:spacing w:before="120" w:after="120" w:line="276" w:lineRule="auto"/>
              <w:jc w:val="center"/>
              <w:rPr>
                <w:rFonts w:ascii="Arial" w:hAnsi="Arial" w:cs="Arial"/>
                <w:b/>
                <w:sz w:val="18"/>
                <w:szCs w:val="18"/>
              </w:rPr>
            </w:pPr>
            <w:r>
              <w:rPr>
                <w:rFonts w:ascii="Arial" w:hAnsi="Arial" w:cs="Arial"/>
                <w:b/>
                <w:sz w:val="18"/>
                <w:szCs w:val="18"/>
              </w:rPr>
              <w:t>Consideración</w:t>
            </w:r>
          </w:p>
        </w:tc>
      </w:tr>
      <w:tr w:rsidR="00842124" w:rsidRPr="003E2214" w14:paraId="0956E624" w14:textId="77777777" w:rsidTr="00275B74">
        <w:trPr>
          <w:jc w:val="center"/>
        </w:trPr>
        <w:tc>
          <w:tcPr>
            <w:tcW w:w="9204" w:type="dxa"/>
            <w:gridSpan w:val="3"/>
            <w:shd w:val="clear" w:color="auto" w:fill="C5E0B3" w:themeFill="accent6" w:themeFillTint="66"/>
          </w:tcPr>
          <w:p w14:paraId="259612AB" w14:textId="2A3A52E2" w:rsidR="00842124" w:rsidRPr="00BF4F5D" w:rsidRDefault="00034150" w:rsidP="00A9692B">
            <w:pPr>
              <w:spacing w:before="120" w:after="120" w:line="276" w:lineRule="auto"/>
              <w:jc w:val="center"/>
              <w:rPr>
                <w:rFonts w:ascii="Arial" w:hAnsi="Arial" w:cs="Arial"/>
                <w:b/>
                <w:bCs/>
                <w:sz w:val="18"/>
                <w:szCs w:val="18"/>
                <w:lang w:val="es-ES_tradnl"/>
              </w:rPr>
            </w:pPr>
            <w:r w:rsidRPr="00034150">
              <w:rPr>
                <w:rFonts w:ascii="Arial" w:hAnsi="Arial" w:cs="Arial"/>
                <w:b/>
                <w:bCs/>
                <w:sz w:val="18"/>
                <w:szCs w:val="18"/>
                <w:lang w:val="es-ES_tradnl"/>
              </w:rPr>
              <w:t>3.2 De aplicaciones ex</w:t>
            </w:r>
            <w:r w:rsidR="003D3949">
              <w:rPr>
                <w:rFonts w:ascii="Arial" w:hAnsi="Arial" w:cs="Arial"/>
                <w:b/>
                <w:bCs/>
                <w:sz w:val="18"/>
                <w:szCs w:val="18"/>
                <w:lang w:val="es-ES_tradnl"/>
              </w:rPr>
              <w:t xml:space="preserve"> </w:t>
            </w:r>
            <w:r w:rsidRPr="00034150">
              <w:rPr>
                <w:rFonts w:ascii="Arial" w:hAnsi="Arial" w:cs="Arial"/>
                <w:b/>
                <w:bCs/>
                <w:sz w:val="18"/>
                <w:szCs w:val="18"/>
                <w:lang w:val="es-ES_tradnl"/>
              </w:rPr>
              <w:t>post</w:t>
            </w:r>
          </w:p>
        </w:tc>
      </w:tr>
      <w:tr w:rsidR="00A23B0B" w:rsidRPr="003E2214" w14:paraId="3CEACDC6" w14:textId="77777777" w:rsidTr="00616B30">
        <w:trPr>
          <w:jc w:val="center"/>
        </w:trPr>
        <w:tc>
          <w:tcPr>
            <w:tcW w:w="2846" w:type="dxa"/>
            <w:shd w:val="clear" w:color="auto" w:fill="FFFFFF" w:themeFill="background1"/>
          </w:tcPr>
          <w:p w14:paraId="65C7B982" w14:textId="04BC886B" w:rsidR="00A23B0B" w:rsidRPr="00271974" w:rsidRDefault="00271974" w:rsidP="00A9692B">
            <w:pPr>
              <w:spacing w:before="120" w:after="120" w:line="276" w:lineRule="auto"/>
              <w:jc w:val="both"/>
              <w:rPr>
                <w:rFonts w:ascii="Arial" w:hAnsi="Arial" w:cs="Arial"/>
                <w:bCs/>
                <w:sz w:val="18"/>
                <w:szCs w:val="18"/>
                <w:lang w:val="es-ES_tradnl"/>
              </w:rPr>
            </w:pPr>
            <w:r w:rsidRPr="00271974">
              <w:rPr>
                <w:rFonts w:ascii="Arial" w:hAnsi="Arial" w:cs="Arial"/>
                <w:bCs/>
                <w:sz w:val="18"/>
                <w:szCs w:val="18"/>
                <w:lang w:val="es-ES_tradnl"/>
              </w:rPr>
              <w:t xml:space="preserve">Estos procedimientos de investigación (los cuales podrían avanzar hacia un procedimiento seguido en forma de juicio) pueden concluir con la </w:t>
            </w:r>
            <w:r w:rsidRPr="00271974">
              <w:rPr>
                <w:rFonts w:ascii="Arial" w:hAnsi="Arial" w:cs="Arial"/>
                <w:bCs/>
                <w:sz w:val="18"/>
                <w:szCs w:val="18"/>
                <w:lang w:val="es-ES_tradnl"/>
              </w:rPr>
              <w:lastRenderedPageBreak/>
              <w:t>imposición de sanciones por concentración no notificada e incluso por concentración ilícita; la orden de suprimir en definitiva la concentración ilícita o sus efectos; o la orden de realizar actos o acciones cuya omisión haya causado la concentración ilícita. La resolución del Instituto, en estos casos incluiría los medios y plazos para acreditar el cumplimiento de lo ordenado, de conformidad con lo previsto en el artículo 85, fracción III de la LFCE.</w:t>
            </w:r>
          </w:p>
        </w:tc>
        <w:tc>
          <w:tcPr>
            <w:tcW w:w="2956" w:type="dxa"/>
            <w:shd w:val="clear" w:color="auto" w:fill="FFFFFF" w:themeFill="background1"/>
          </w:tcPr>
          <w:p w14:paraId="020B42FD" w14:textId="5D0B43BE" w:rsidR="00A23B0B" w:rsidRPr="000A19DF" w:rsidRDefault="000B1966" w:rsidP="00A9692B">
            <w:pPr>
              <w:spacing w:before="120" w:after="120" w:line="276" w:lineRule="auto"/>
              <w:jc w:val="both"/>
              <w:rPr>
                <w:rFonts w:ascii="Arial" w:hAnsi="Arial" w:cs="Arial"/>
                <w:sz w:val="18"/>
                <w:szCs w:val="18"/>
                <w:highlight w:val="yellow"/>
                <w:lang w:val="es-ES_tradnl"/>
              </w:rPr>
            </w:pPr>
            <w:r w:rsidRPr="006B64D9">
              <w:rPr>
                <w:rFonts w:ascii="Arial" w:hAnsi="Arial" w:cs="Arial"/>
                <w:sz w:val="18"/>
                <w:szCs w:val="18"/>
                <w:lang w:val="es-ES"/>
              </w:rPr>
              <w:lastRenderedPageBreak/>
              <w:t xml:space="preserve">El INSTITUTO no expone de qué manera se autorizará una concentración ex post, al respecto, se sugiere explicar cómo trata el Instituto estos casos, así como la </w:t>
            </w:r>
            <w:r w:rsidRPr="006B64D9">
              <w:rPr>
                <w:rFonts w:ascii="Arial" w:hAnsi="Arial" w:cs="Arial"/>
                <w:sz w:val="18"/>
                <w:szCs w:val="18"/>
                <w:lang w:val="es-ES"/>
              </w:rPr>
              <w:lastRenderedPageBreak/>
              <w:t>Unidad encargada del seguimiento.</w:t>
            </w:r>
          </w:p>
        </w:tc>
        <w:tc>
          <w:tcPr>
            <w:tcW w:w="3402" w:type="dxa"/>
            <w:shd w:val="clear" w:color="auto" w:fill="FFFFFF" w:themeFill="background1"/>
          </w:tcPr>
          <w:p w14:paraId="2CC1AF53" w14:textId="3E7B87CF" w:rsidR="00DC7FFE" w:rsidRPr="004F34BE" w:rsidRDefault="004F34BE" w:rsidP="00A9692B">
            <w:pPr>
              <w:spacing w:before="120" w:after="120" w:line="276" w:lineRule="auto"/>
              <w:jc w:val="both"/>
              <w:rPr>
                <w:rFonts w:ascii="Arial" w:hAnsi="Arial" w:cs="Arial"/>
                <w:sz w:val="18"/>
                <w:szCs w:val="18"/>
              </w:rPr>
            </w:pPr>
            <w:r w:rsidRPr="004F34BE">
              <w:rPr>
                <w:rFonts w:ascii="Arial" w:hAnsi="Arial" w:cs="Arial"/>
                <w:sz w:val="18"/>
                <w:szCs w:val="18"/>
              </w:rPr>
              <w:lastRenderedPageBreak/>
              <w:t xml:space="preserve">Como se precisa en la Guía de Concentraciones, las concentraciones con evaluación ex post son aquellas i) que ya se realizaron, sin haber obtenido previamente una autorización previa del </w:t>
            </w:r>
            <w:r w:rsidRPr="004F34BE">
              <w:rPr>
                <w:rFonts w:ascii="Arial" w:hAnsi="Arial" w:cs="Arial"/>
                <w:sz w:val="18"/>
                <w:szCs w:val="18"/>
              </w:rPr>
              <w:lastRenderedPageBreak/>
              <w:t>IFT (las concentraciones que requieran ser previamente notificadas al IFT en términos del artículo 86 de la LFCE, en caso de ser detectadas, serán investigadas hasta 10 (diez) años después de su realización. Las concentraciones que no requieran ser previamente notificadas al IFT, no podrán ser investigadas después de que haya transcurrido un año de su realización); ii) en las que la resolución correspondiente se haya obtenido con base en información falsa, o iii) hayan quedado sujeta a condiciones posteriores y las mismas no se hayan cumplido en el plazo establecido para tal efecto</w:t>
            </w:r>
            <w:r w:rsidR="00FB2EF9">
              <w:rPr>
                <w:rFonts w:ascii="Arial" w:hAnsi="Arial" w:cs="Arial"/>
                <w:sz w:val="18"/>
                <w:szCs w:val="18"/>
              </w:rPr>
              <w:t>. Éstas</w:t>
            </w:r>
            <w:r w:rsidRPr="004F34BE">
              <w:rPr>
                <w:rFonts w:ascii="Arial" w:hAnsi="Arial" w:cs="Arial"/>
                <w:sz w:val="18"/>
                <w:szCs w:val="18"/>
              </w:rPr>
              <w:t xml:space="preserve"> estarían sujetas a un proceso de investigación en términos de los artículos correspondientes al Libro Tercero, Título I y Título II, de la LFCE.</w:t>
            </w:r>
          </w:p>
          <w:p w14:paraId="794CFA6F" w14:textId="77777777" w:rsidR="004F34BE" w:rsidRPr="004F34BE" w:rsidRDefault="004F34BE" w:rsidP="00A9692B">
            <w:pPr>
              <w:spacing w:before="120" w:after="120" w:line="276" w:lineRule="auto"/>
              <w:jc w:val="both"/>
              <w:rPr>
                <w:rFonts w:ascii="Arial" w:hAnsi="Arial" w:cs="Arial"/>
                <w:sz w:val="18"/>
                <w:szCs w:val="18"/>
              </w:rPr>
            </w:pPr>
            <w:r w:rsidRPr="004F34BE">
              <w:rPr>
                <w:rFonts w:ascii="Arial" w:hAnsi="Arial" w:cs="Arial"/>
                <w:sz w:val="18"/>
                <w:szCs w:val="18"/>
              </w:rPr>
              <w:t xml:space="preserve">Es decir, estas concentraciones ya no están sujetas a un proceso de autorización en términos de los artículos 86, así como 90 o 92, de la LFCE, por lo cual no es necesario exponer “de qué manera se autorizará”.   </w:t>
            </w:r>
          </w:p>
          <w:p w14:paraId="24D58C4A" w14:textId="78728B49" w:rsidR="004F34BE" w:rsidRPr="004F34BE" w:rsidRDefault="004F34BE" w:rsidP="00A9692B">
            <w:pPr>
              <w:spacing w:before="120" w:after="120" w:line="276" w:lineRule="auto"/>
              <w:jc w:val="both"/>
              <w:rPr>
                <w:rFonts w:ascii="Arial" w:hAnsi="Arial" w:cs="Arial"/>
                <w:sz w:val="18"/>
                <w:szCs w:val="18"/>
              </w:rPr>
            </w:pPr>
            <w:r w:rsidRPr="004F34BE">
              <w:rPr>
                <w:rFonts w:ascii="Arial" w:hAnsi="Arial" w:cs="Arial"/>
                <w:sz w:val="18"/>
                <w:szCs w:val="18"/>
              </w:rPr>
              <w:t xml:space="preserve">Al respecto, como se aclara que en el cuarto párrafo de la </w:t>
            </w:r>
            <w:r w:rsidR="00FB2EF9">
              <w:rPr>
                <w:rFonts w:ascii="Arial" w:hAnsi="Arial" w:cs="Arial"/>
                <w:sz w:val="18"/>
                <w:szCs w:val="18"/>
              </w:rPr>
              <w:t>“</w:t>
            </w:r>
            <w:r w:rsidRPr="004F34BE">
              <w:rPr>
                <w:rFonts w:ascii="Arial" w:hAnsi="Arial" w:cs="Arial"/>
                <w:sz w:val="18"/>
                <w:szCs w:val="18"/>
              </w:rPr>
              <w:t>Sección 3. Mecanismos para el control de concentraciones</w:t>
            </w:r>
            <w:r w:rsidR="00FB2EF9">
              <w:rPr>
                <w:rFonts w:ascii="Arial" w:hAnsi="Arial" w:cs="Arial"/>
                <w:sz w:val="18"/>
                <w:szCs w:val="18"/>
              </w:rPr>
              <w:t>”</w:t>
            </w:r>
            <w:r w:rsidRPr="004F34BE">
              <w:rPr>
                <w:rFonts w:ascii="Arial" w:hAnsi="Arial" w:cs="Arial"/>
                <w:sz w:val="18"/>
                <w:szCs w:val="18"/>
              </w:rPr>
              <w:t>, se precisa que la aplicación ex post no será abordada en la Guía de concentraciones y que la unidad encargada de llevar dicho procedimiento es la Autoridad Investigadora. Para mayor referencia se transcribe el párrafo mencionado:</w:t>
            </w:r>
          </w:p>
          <w:p w14:paraId="0093FCB4" w14:textId="061D868C" w:rsidR="004F34BE" w:rsidRDefault="004F34BE" w:rsidP="00A9692B">
            <w:pPr>
              <w:spacing w:before="120" w:after="120" w:line="276" w:lineRule="auto"/>
              <w:jc w:val="both"/>
              <w:rPr>
                <w:rFonts w:ascii="Arial" w:hAnsi="Arial" w:cs="Arial"/>
                <w:i/>
                <w:sz w:val="18"/>
                <w:szCs w:val="18"/>
              </w:rPr>
            </w:pPr>
            <w:r w:rsidRPr="009B2105">
              <w:rPr>
                <w:rFonts w:ascii="Arial" w:hAnsi="Arial" w:cs="Arial"/>
                <w:i/>
                <w:sz w:val="18"/>
                <w:szCs w:val="18"/>
              </w:rPr>
              <w:t>“</w:t>
            </w:r>
            <w:r w:rsidRPr="0060105B">
              <w:rPr>
                <w:rFonts w:ascii="Arial" w:hAnsi="Arial" w:cs="Arial"/>
                <w:i/>
                <w:sz w:val="18"/>
                <w:szCs w:val="18"/>
              </w:rPr>
              <w:t>Los temas de aplicación ex post no serán materia de este documento, pues corresponden a facultades de la AI</w:t>
            </w:r>
            <w:r w:rsidRPr="00FB2EF9">
              <w:rPr>
                <w:rFonts w:ascii="Arial" w:hAnsi="Arial" w:cs="Arial"/>
                <w:bCs/>
                <w:i/>
                <w:sz w:val="18"/>
                <w:szCs w:val="18"/>
              </w:rPr>
              <w:t>, quien cuenta con autonomía e i</w:t>
            </w:r>
            <w:r w:rsidRPr="009B2105">
              <w:rPr>
                <w:rFonts w:ascii="Arial" w:hAnsi="Arial" w:cs="Arial"/>
                <w:i/>
                <w:sz w:val="18"/>
                <w:szCs w:val="18"/>
              </w:rPr>
              <w:t>ndependencia en el ejercicio de sus atribuciones conforme a la LFCE y la LFTR.”.</w:t>
            </w:r>
          </w:p>
          <w:p w14:paraId="35BF6CE5" w14:textId="0BC16456" w:rsidR="006E56A3" w:rsidRPr="009B2105" w:rsidRDefault="006E56A3" w:rsidP="00A9692B">
            <w:pPr>
              <w:spacing w:before="120" w:after="120" w:line="276" w:lineRule="auto"/>
              <w:jc w:val="both"/>
              <w:rPr>
                <w:rFonts w:ascii="Arial" w:hAnsi="Arial" w:cs="Arial"/>
                <w:i/>
                <w:sz w:val="18"/>
                <w:szCs w:val="18"/>
              </w:rPr>
            </w:pPr>
            <w:r>
              <w:rPr>
                <w:rFonts w:ascii="Arial" w:eastAsia="Times New Roman" w:hAnsi="Arial" w:cs="Arial"/>
                <w:color w:val="000000"/>
                <w:sz w:val="18"/>
                <w:szCs w:val="18"/>
                <w:lang w:eastAsia="es-MX"/>
              </w:rPr>
              <w:t>P</w:t>
            </w:r>
            <w:r w:rsidRPr="00226E25">
              <w:rPr>
                <w:rFonts w:ascii="Arial" w:eastAsia="Times New Roman" w:hAnsi="Arial" w:cs="Arial"/>
                <w:color w:val="000000"/>
                <w:sz w:val="18"/>
                <w:szCs w:val="18"/>
                <w:lang w:eastAsia="es-MX"/>
              </w:rPr>
              <w:t xml:space="preserve">or lo </w:t>
            </w:r>
            <w:r>
              <w:rPr>
                <w:rFonts w:ascii="Arial" w:eastAsia="Times New Roman" w:hAnsi="Arial" w:cs="Arial"/>
                <w:color w:val="000000"/>
                <w:sz w:val="18"/>
                <w:szCs w:val="18"/>
                <w:lang w:eastAsia="es-MX"/>
              </w:rPr>
              <w:t>anterior,</w:t>
            </w:r>
            <w:r w:rsidRPr="00226E25">
              <w:rPr>
                <w:rFonts w:ascii="Arial" w:eastAsia="Times New Roman" w:hAnsi="Arial" w:cs="Arial"/>
                <w:color w:val="000000"/>
                <w:sz w:val="18"/>
                <w:szCs w:val="18"/>
                <w:lang w:eastAsia="es-MX"/>
              </w:rPr>
              <w:t xml:space="preserve"> el comentario no </w:t>
            </w:r>
            <w:r>
              <w:rPr>
                <w:rFonts w:ascii="Arial" w:eastAsia="Times New Roman" w:hAnsi="Arial" w:cs="Arial"/>
                <w:color w:val="000000"/>
                <w:sz w:val="18"/>
                <w:szCs w:val="18"/>
                <w:lang w:eastAsia="es-MX"/>
              </w:rPr>
              <w:t>se considera procedente.</w:t>
            </w:r>
          </w:p>
          <w:p w14:paraId="39C8B8B2" w14:textId="426237F4" w:rsidR="004F34BE" w:rsidRDefault="004F34BE" w:rsidP="00A9692B">
            <w:pPr>
              <w:spacing w:before="120" w:after="120" w:line="276" w:lineRule="auto"/>
              <w:jc w:val="both"/>
              <w:rPr>
                <w:rFonts w:ascii="Arial" w:hAnsi="Arial" w:cs="Arial"/>
                <w:sz w:val="18"/>
                <w:szCs w:val="18"/>
              </w:rPr>
            </w:pPr>
            <w:r w:rsidRPr="004F34BE">
              <w:rPr>
                <w:rFonts w:ascii="Arial" w:hAnsi="Arial" w:cs="Arial"/>
                <w:sz w:val="18"/>
                <w:szCs w:val="18"/>
              </w:rPr>
              <w:t xml:space="preserve">Sin embargo, en la sección 3.2 De aplicación ex post se </w:t>
            </w:r>
            <w:r w:rsidR="000D1A6F">
              <w:rPr>
                <w:rFonts w:ascii="Arial" w:hAnsi="Arial" w:cs="Arial"/>
                <w:sz w:val="18"/>
                <w:szCs w:val="18"/>
              </w:rPr>
              <w:t>agrega una nota al píe que incluye</w:t>
            </w:r>
            <w:r w:rsidRPr="004F34BE">
              <w:rPr>
                <w:rFonts w:ascii="Arial" w:hAnsi="Arial" w:cs="Arial"/>
                <w:sz w:val="18"/>
                <w:szCs w:val="18"/>
              </w:rPr>
              <w:t xml:space="preserve"> el </w:t>
            </w:r>
            <w:r w:rsidR="000D1A6F">
              <w:rPr>
                <w:rFonts w:ascii="Arial" w:hAnsi="Arial" w:cs="Arial"/>
                <w:sz w:val="18"/>
                <w:szCs w:val="18"/>
              </w:rPr>
              <w:t>vínculo electrónico</w:t>
            </w:r>
            <w:r w:rsidR="000D1A6F" w:rsidRPr="004F34BE">
              <w:rPr>
                <w:rFonts w:ascii="Arial" w:hAnsi="Arial" w:cs="Arial"/>
                <w:sz w:val="18"/>
                <w:szCs w:val="18"/>
              </w:rPr>
              <w:t xml:space="preserve"> </w:t>
            </w:r>
            <w:r w:rsidRPr="004F34BE">
              <w:rPr>
                <w:rFonts w:ascii="Arial" w:hAnsi="Arial" w:cs="Arial"/>
                <w:sz w:val="18"/>
                <w:szCs w:val="18"/>
              </w:rPr>
              <w:t xml:space="preserve">a </w:t>
            </w:r>
            <w:r w:rsidRPr="004F34BE">
              <w:rPr>
                <w:rFonts w:ascii="Arial" w:hAnsi="Arial" w:cs="Arial"/>
                <w:sz w:val="18"/>
                <w:szCs w:val="18"/>
              </w:rPr>
              <w:lastRenderedPageBreak/>
              <w:t>consultar para mayor referencia en dichos casos</w:t>
            </w:r>
            <w:r w:rsidR="006E56A3">
              <w:rPr>
                <w:rFonts w:ascii="Arial" w:hAnsi="Arial" w:cs="Arial"/>
                <w:sz w:val="18"/>
                <w:szCs w:val="18"/>
              </w:rPr>
              <w:t xml:space="preserve"> (considerando que la guía a la que se hace referencia se publicó el </w:t>
            </w:r>
            <w:r w:rsidR="007E1954">
              <w:rPr>
                <w:rFonts w:ascii="Arial" w:hAnsi="Arial" w:cs="Arial"/>
                <w:sz w:val="18"/>
                <w:szCs w:val="18"/>
              </w:rPr>
              <w:t>10</w:t>
            </w:r>
            <w:r w:rsidR="006E56A3">
              <w:rPr>
                <w:rFonts w:ascii="Arial" w:hAnsi="Arial" w:cs="Arial"/>
                <w:sz w:val="18"/>
                <w:szCs w:val="18"/>
              </w:rPr>
              <w:t xml:space="preserve"> de </w:t>
            </w:r>
            <w:r w:rsidR="007E1954">
              <w:rPr>
                <w:rFonts w:ascii="Arial" w:hAnsi="Arial" w:cs="Arial"/>
                <w:sz w:val="18"/>
                <w:szCs w:val="18"/>
              </w:rPr>
              <w:t>diciembre</w:t>
            </w:r>
            <w:r w:rsidR="006E56A3">
              <w:rPr>
                <w:rFonts w:ascii="Arial" w:hAnsi="Arial" w:cs="Arial"/>
                <w:sz w:val="18"/>
                <w:szCs w:val="18"/>
              </w:rPr>
              <w:t xml:space="preserve"> de </w:t>
            </w:r>
            <w:r w:rsidR="007E1954">
              <w:rPr>
                <w:rFonts w:ascii="Arial" w:hAnsi="Arial" w:cs="Arial"/>
                <w:sz w:val="18"/>
                <w:szCs w:val="18"/>
              </w:rPr>
              <w:t>2018</w:t>
            </w:r>
            <w:r w:rsidR="0044042E">
              <w:rPr>
                <w:rFonts w:ascii="Arial" w:hAnsi="Arial" w:cs="Arial"/>
                <w:sz w:val="18"/>
                <w:szCs w:val="18"/>
              </w:rPr>
              <w:t>)</w:t>
            </w:r>
            <w:r w:rsidRPr="004F34BE">
              <w:rPr>
                <w:rFonts w:ascii="Arial" w:hAnsi="Arial" w:cs="Arial"/>
                <w:sz w:val="18"/>
                <w:szCs w:val="18"/>
              </w:rPr>
              <w:t>.</w:t>
            </w:r>
          </w:p>
          <w:tbl>
            <w:tblPr>
              <w:tblStyle w:val="Tablaconcuadrcula"/>
              <w:tblW w:w="0" w:type="auto"/>
              <w:jc w:val="center"/>
              <w:tblLook w:val="04A0" w:firstRow="1" w:lastRow="0" w:firstColumn="1" w:lastColumn="0" w:noHBand="0" w:noVBand="1"/>
            </w:tblPr>
            <w:tblGrid>
              <w:gridCol w:w="3176"/>
            </w:tblGrid>
            <w:tr w:rsidR="009B2105" w:rsidRPr="00E83771" w14:paraId="128EA8EE" w14:textId="77777777" w:rsidTr="00382645">
              <w:trPr>
                <w:trHeight w:val="311"/>
                <w:jc w:val="center"/>
              </w:trPr>
              <w:tc>
                <w:tcPr>
                  <w:tcW w:w="3176"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7CBDA5CD" w14:textId="4D0975BD" w:rsidR="009B2105" w:rsidRPr="00E83771" w:rsidRDefault="009B2105" w:rsidP="00A9692B">
                  <w:pPr>
                    <w:spacing w:before="120" w:after="120" w:line="276" w:lineRule="auto"/>
                    <w:jc w:val="center"/>
                    <w:rPr>
                      <w:rFonts w:ascii="Arial" w:hAnsi="Arial" w:cs="Arial"/>
                      <w:sz w:val="18"/>
                      <w:szCs w:val="18"/>
                    </w:rPr>
                  </w:pPr>
                  <w:r w:rsidRPr="00E83771">
                    <w:rPr>
                      <w:rFonts w:ascii="Arial" w:hAnsi="Arial" w:cs="Arial"/>
                      <w:sz w:val="18"/>
                      <w:szCs w:val="18"/>
                    </w:rPr>
                    <w:t>Modificación al Proyecto</w:t>
                  </w:r>
                </w:p>
              </w:tc>
            </w:tr>
            <w:tr w:rsidR="009B2105" w:rsidRPr="00E83771" w14:paraId="65723BAB" w14:textId="77777777" w:rsidTr="00382645">
              <w:trPr>
                <w:jc w:val="center"/>
              </w:trPr>
              <w:tc>
                <w:tcPr>
                  <w:tcW w:w="3176" w:type="dxa"/>
                  <w:tcBorders>
                    <w:top w:val="single" w:sz="4" w:space="0" w:color="auto"/>
                    <w:left w:val="single" w:sz="4" w:space="0" w:color="auto"/>
                    <w:bottom w:val="single" w:sz="4" w:space="0" w:color="auto"/>
                    <w:right w:val="single" w:sz="4" w:space="0" w:color="auto"/>
                  </w:tcBorders>
                  <w:shd w:val="clear" w:color="auto" w:fill="FFFFFF" w:themeFill="background1"/>
                </w:tcPr>
                <w:p w14:paraId="1B8A38D5" w14:textId="6C48632D" w:rsidR="009B2105" w:rsidRPr="00C409EB" w:rsidRDefault="009B2105" w:rsidP="00A9692B">
                  <w:pPr>
                    <w:pStyle w:val="Textoindependiente"/>
                    <w:spacing w:before="120" w:line="276" w:lineRule="auto"/>
                    <w:jc w:val="both"/>
                    <w:rPr>
                      <w:rFonts w:ascii="Arial" w:hAnsi="Arial" w:cs="Arial"/>
                      <w:i/>
                      <w:sz w:val="18"/>
                      <w:szCs w:val="18"/>
                    </w:rPr>
                  </w:pPr>
                  <w:r w:rsidRPr="00C409EB">
                    <w:rPr>
                      <w:rFonts w:ascii="Arial" w:hAnsi="Arial" w:cs="Arial"/>
                      <w:i/>
                      <w:sz w:val="18"/>
                      <w:szCs w:val="18"/>
                    </w:rPr>
                    <w:t xml:space="preserve"> “Estos procedimientos de investigación (los cuales podrían avanzar hacia un procedimiento seguido en forma de juicio)</w:t>
                  </w:r>
                  <w:r w:rsidRPr="00C409EB">
                    <w:rPr>
                      <w:rFonts w:ascii="Arial" w:hAnsi="Arial" w:cs="Arial"/>
                      <w:b/>
                      <w:i/>
                      <w:sz w:val="18"/>
                      <w:szCs w:val="18"/>
                    </w:rPr>
                    <w:t xml:space="preserve"> </w:t>
                  </w:r>
                  <w:r w:rsidRPr="00C409EB">
                    <w:rPr>
                      <w:rFonts w:ascii="Arial" w:hAnsi="Arial" w:cs="Arial"/>
                      <w:i/>
                      <w:sz w:val="18"/>
                      <w:szCs w:val="18"/>
                    </w:rPr>
                    <w:t xml:space="preserve"> pueden concluir con la imposición de sanciones por concentración no notificada e incluso por concentración ilícita;</w:t>
                  </w:r>
                  <w:r w:rsidR="000D1A6F" w:rsidRPr="00C409EB">
                    <w:rPr>
                      <w:rFonts w:ascii="Arial" w:hAnsi="Arial" w:cs="Arial"/>
                      <w:b/>
                      <w:i/>
                      <w:sz w:val="18"/>
                      <w:szCs w:val="18"/>
                      <w:vertAlign w:val="superscript"/>
                    </w:rPr>
                    <w:t>45</w:t>
                  </w:r>
                  <w:r w:rsidR="000D1A6F" w:rsidRPr="00C409EB">
                    <w:rPr>
                      <w:rFonts w:ascii="Arial" w:hAnsi="Arial" w:cs="Arial"/>
                      <w:i/>
                      <w:sz w:val="18"/>
                      <w:szCs w:val="18"/>
                    </w:rPr>
                    <w:t xml:space="preserve"> </w:t>
                  </w:r>
                  <w:r w:rsidRPr="00C409EB">
                    <w:rPr>
                      <w:rFonts w:ascii="Arial" w:hAnsi="Arial" w:cs="Arial"/>
                      <w:i/>
                      <w:sz w:val="18"/>
                      <w:szCs w:val="18"/>
                    </w:rPr>
                    <w:t>(…)”</w:t>
                  </w:r>
                </w:p>
                <w:p w14:paraId="05F364E4" w14:textId="7EAB3C5B" w:rsidR="009B2105" w:rsidRPr="00E83771" w:rsidRDefault="009B2105" w:rsidP="00A9692B">
                  <w:pPr>
                    <w:pStyle w:val="Textoindependiente"/>
                    <w:spacing w:before="120" w:line="276" w:lineRule="auto"/>
                    <w:jc w:val="both"/>
                    <w:rPr>
                      <w:rFonts w:ascii="Arial" w:hAnsi="Arial" w:cs="Arial"/>
                      <w:i/>
                      <w:iCs/>
                      <w:sz w:val="18"/>
                      <w:szCs w:val="18"/>
                    </w:rPr>
                  </w:pPr>
                  <w:r w:rsidRPr="00C409EB">
                    <w:rPr>
                      <w:rFonts w:ascii="Arial" w:hAnsi="Arial" w:cs="Arial"/>
                      <w:i/>
                      <w:sz w:val="18"/>
                      <w:szCs w:val="18"/>
                    </w:rPr>
                    <w:t xml:space="preserve">Nota al pie </w:t>
                  </w:r>
                  <w:r w:rsidRPr="00C409EB">
                    <w:rPr>
                      <w:rFonts w:ascii="Arial" w:hAnsi="Arial" w:cs="Arial"/>
                      <w:b/>
                      <w:i/>
                      <w:sz w:val="18"/>
                      <w:szCs w:val="18"/>
                    </w:rPr>
                    <w:t>45: Para mayor referencia sobre este procedimiento consulte la Guía para la presentación de denuncias de prácticas monopólicas y concentraciones ilícitas en los sectores de telecomunicaciones y radiodifusión, ante la Autoridad Investigadora del Instituto Federal de Telecomunicaciones, disponible en</w:t>
                  </w:r>
                  <w:r w:rsidR="00382645" w:rsidRPr="00C409EB">
                    <w:rPr>
                      <w:rFonts w:ascii="Arial" w:hAnsi="Arial" w:cs="Arial"/>
                      <w:b/>
                      <w:i/>
                      <w:sz w:val="18"/>
                      <w:szCs w:val="18"/>
                    </w:rPr>
                    <w:t xml:space="preserve">: </w:t>
                  </w:r>
                  <w:r w:rsidR="00EB5D1A" w:rsidRPr="00C409EB">
                    <w:rPr>
                      <w:rFonts w:ascii="Arial" w:hAnsi="Arial" w:cs="Arial"/>
                      <w:b/>
                      <w:i/>
                      <w:sz w:val="18"/>
                      <w:szCs w:val="18"/>
                    </w:rPr>
                    <w:t>https://dof.gob.mx/nota_detalle.</w:t>
                  </w:r>
                  <w:r w:rsidR="00EB5D1A" w:rsidRPr="00C409EB">
                    <w:rPr>
                      <w:i/>
                    </w:rPr>
                    <w:t xml:space="preserve"> </w:t>
                  </w:r>
                  <w:r w:rsidR="00EB5D1A" w:rsidRPr="00C409EB">
                    <w:rPr>
                      <w:b/>
                      <w:i/>
                    </w:rPr>
                    <w:t>p</w:t>
                  </w:r>
                  <w:r w:rsidR="00EB5D1A" w:rsidRPr="00C409EB">
                    <w:rPr>
                      <w:rFonts w:ascii="Arial" w:hAnsi="Arial" w:cs="Arial"/>
                      <w:b/>
                      <w:i/>
                      <w:sz w:val="18"/>
                      <w:szCs w:val="18"/>
                    </w:rPr>
                    <w:t>hp ?codigo=5546131&amp;fecha= 10/12/2018</w:t>
                  </w:r>
                </w:p>
              </w:tc>
            </w:tr>
          </w:tbl>
          <w:p w14:paraId="69960FD8" w14:textId="4B19B4CF" w:rsidR="009B2105" w:rsidRPr="004F34BE" w:rsidRDefault="00382645" w:rsidP="00A9692B">
            <w:pPr>
              <w:spacing w:before="120" w:after="120" w:line="276" w:lineRule="auto"/>
              <w:jc w:val="both"/>
              <w:rPr>
                <w:rFonts w:ascii="Arial" w:hAnsi="Arial" w:cs="Arial"/>
                <w:sz w:val="18"/>
                <w:szCs w:val="18"/>
              </w:rPr>
            </w:pPr>
            <w:r w:rsidRPr="004F34BE">
              <w:rPr>
                <w:rFonts w:ascii="Arial" w:hAnsi="Arial" w:cs="Arial"/>
                <w:sz w:val="18"/>
                <w:szCs w:val="18"/>
              </w:rPr>
              <w:t>(</w:t>
            </w:r>
            <w:r w:rsidR="000A19DF">
              <w:rPr>
                <w:rFonts w:ascii="Arial" w:hAnsi="Arial" w:cs="Arial"/>
                <w:sz w:val="18"/>
                <w:szCs w:val="18"/>
              </w:rPr>
              <w:t>S</w:t>
            </w:r>
            <w:r w:rsidRPr="004F34BE">
              <w:rPr>
                <w:rFonts w:ascii="Arial" w:hAnsi="Arial" w:cs="Arial"/>
                <w:sz w:val="18"/>
                <w:szCs w:val="18"/>
              </w:rPr>
              <w:t>e resalta texto agregado)</w:t>
            </w:r>
          </w:p>
        </w:tc>
      </w:tr>
    </w:tbl>
    <w:p w14:paraId="1ED137E5" w14:textId="2AA60EB1" w:rsidR="00106342" w:rsidRDefault="00034150" w:rsidP="00A9692B">
      <w:pPr>
        <w:spacing w:before="120" w:after="120" w:line="276" w:lineRule="auto"/>
        <w:jc w:val="both"/>
        <w:rPr>
          <w:rFonts w:ascii="Arial" w:hAnsi="Arial" w:cs="Arial"/>
          <w:b/>
        </w:rPr>
      </w:pPr>
      <w:bookmarkStart w:id="8" w:name="_Hlk88501835"/>
      <w:r>
        <w:rPr>
          <w:rFonts w:ascii="Arial" w:hAnsi="Arial" w:cs="Arial"/>
          <w:b/>
        </w:rPr>
        <w:lastRenderedPageBreak/>
        <w:t>7</w:t>
      </w:r>
      <w:r w:rsidR="0023453B">
        <w:rPr>
          <w:rFonts w:ascii="Arial" w:hAnsi="Arial" w:cs="Arial"/>
          <w:b/>
        </w:rPr>
        <w:t>.</w:t>
      </w:r>
      <w:r w:rsidR="00C70638">
        <w:rPr>
          <w:rFonts w:ascii="Arial" w:hAnsi="Arial" w:cs="Arial"/>
          <w:b/>
        </w:rPr>
        <w:t>5</w:t>
      </w:r>
      <w:r w:rsidR="0023453B">
        <w:rPr>
          <w:rFonts w:ascii="Arial" w:hAnsi="Arial" w:cs="Arial"/>
          <w:b/>
        </w:rPr>
        <w:t xml:space="preserve">. </w:t>
      </w:r>
      <w:r>
        <w:rPr>
          <w:rFonts w:ascii="Arial" w:hAnsi="Arial" w:cs="Arial"/>
          <w:b/>
        </w:rPr>
        <w:t>“</w:t>
      </w:r>
      <w:r w:rsidRPr="00034150">
        <w:rPr>
          <w:rFonts w:ascii="Arial" w:hAnsi="Arial" w:cs="Arial"/>
          <w:b/>
        </w:rPr>
        <w:t>4.1 Criterios de referencia</w:t>
      </w:r>
      <w:r>
        <w:rPr>
          <w:rFonts w:ascii="Arial" w:hAnsi="Arial" w:cs="Arial"/>
          <w:b/>
        </w:rPr>
        <w:t>”</w:t>
      </w:r>
    </w:p>
    <w:p w14:paraId="27A542D4" w14:textId="0886A097" w:rsidR="0023453B" w:rsidRPr="00BC1B99" w:rsidRDefault="00034150" w:rsidP="00A9692B">
      <w:pPr>
        <w:spacing w:before="120" w:after="120" w:line="276" w:lineRule="auto"/>
        <w:jc w:val="both"/>
        <w:rPr>
          <w:rFonts w:ascii="Arial" w:hAnsi="Arial" w:cs="Arial"/>
          <w:b/>
        </w:rPr>
      </w:pPr>
      <w:r>
        <w:rPr>
          <w:rFonts w:ascii="Arial" w:hAnsi="Arial" w:cs="Arial"/>
          <w:b/>
        </w:rPr>
        <w:t>7</w:t>
      </w:r>
      <w:r w:rsidR="00106342">
        <w:rPr>
          <w:rFonts w:ascii="Arial" w:hAnsi="Arial" w:cs="Arial"/>
          <w:b/>
        </w:rPr>
        <w:t>.</w:t>
      </w:r>
      <w:r w:rsidR="00C70638">
        <w:rPr>
          <w:rFonts w:ascii="Arial" w:hAnsi="Arial" w:cs="Arial"/>
          <w:b/>
        </w:rPr>
        <w:t>5</w:t>
      </w:r>
      <w:r w:rsidR="00106342">
        <w:rPr>
          <w:rFonts w:ascii="Arial" w:hAnsi="Arial" w:cs="Arial"/>
          <w:b/>
        </w:rPr>
        <w:t>.1</w:t>
      </w:r>
      <w:r w:rsidR="00D10456">
        <w:rPr>
          <w:rFonts w:ascii="Arial" w:hAnsi="Arial" w:cs="Arial"/>
          <w:b/>
        </w:rPr>
        <w:t>.</w:t>
      </w:r>
      <w:r w:rsidR="00106342">
        <w:rPr>
          <w:rFonts w:ascii="Arial" w:hAnsi="Arial" w:cs="Arial"/>
          <w:b/>
        </w:rPr>
        <w:t xml:space="preserve"> Síntesis de los c</w:t>
      </w:r>
      <w:r w:rsidR="0023453B">
        <w:rPr>
          <w:rFonts w:ascii="Arial" w:hAnsi="Arial" w:cs="Arial"/>
          <w:b/>
        </w:rPr>
        <w:t>omentarios relacionados con el</w:t>
      </w:r>
      <w:r>
        <w:rPr>
          <w:rFonts w:ascii="Arial" w:hAnsi="Arial" w:cs="Arial"/>
          <w:b/>
        </w:rPr>
        <w:t xml:space="preserve"> apartado </w:t>
      </w:r>
      <w:r w:rsidRPr="00034150">
        <w:rPr>
          <w:rFonts w:ascii="Arial" w:hAnsi="Arial" w:cs="Arial"/>
          <w:b/>
        </w:rPr>
        <w:t>4.1 Criterios de referencia</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4A0" w:firstRow="1" w:lastRow="0" w:firstColumn="1" w:lastColumn="0" w:noHBand="0" w:noVBand="1"/>
      </w:tblPr>
      <w:tblGrid>
        <w:gridCol w:w="2825"/>
        <w:gridCol w:w="2977"/>
        <w:gridCol w:w="3402"/>
      </w:tblGrid>
      <w:tr w:rsidR="00C24811" w:rsidRPr="003E2214" w14:paraId="25385D92" w14:textId="34BFD06F" w:rsidTr="00616B30">
        <w:trPr>
          <w:tblHeader/>
          <w:jc w:val="center"/>
        </w:trPr>
        <w:tc>
          <w:tcPr>
            <w:tcW w:w="2825" w:type="dxa"/>
            <w:shd w:val="clear" w:color="auto" w:fill="70AD47" w:themeFill="accent6"/>
          </w:tcPr>
          <w:p w14:paraId="6D5899A1" w14:textId="7765AB8C" w:rsidR="00C24811" w:rsidRPr="00BF4F5D" w:rsidRDefault="00C24811" w:rsidP="00A9692B">
            <w:pPr>
              <w:spacing w:before="120" w:after="120" w:line="276" w:lineRule="auto"/>
              <w:jc w:val="center"/>
              <w:rPr>
                <w:rFonts w:ascii="Arial" w:hAnsi="Arial" w:cs="Arial"/>
                <w:b/>
                <w:bCs/>
                <w:sz w:val="18"/>
                <w:szCs w:val="18"/>
              </w:rPr>
            </w:pPr>
            <w:r w:rsidRPr="00730154">
              <w:rPr>
                <w:rFonts w:ascii="Arial" w:hAnsi="Arial" w:cs="Arial"/>
                <w:b/>
                <w:sz w:val="18"/>
                <w:szCs w:val="18"/>
              </w:rPr>
              <w:t>Apartado del Anteproyecto</w:t>
            </w:r>
          </w:p>
        </w:tc>
        <w:tc>
          <w:tcPr>
            <w:tcW w:w="2977" w:type="dxa"/>
            <w:shd w:val="clear" w:color="auto" w:fill="70AD47" w:themeFill="accent6"/>
          </w:tcPr>
          <w:p w14:paraId="5670173D" w14:textId="12731D36" w:rsidR="00C24811" w:rsidRPr="00BF4F5D" w:rsidRDefault="00C24811" w:rsidP="00A9692B">
            <w:pPr>
              <w:spacing w:before="120" w:after="120" w:line="276" w:lineRule="auto"/>
              <w:jc w:val="center"/>
              <w:rPr>
                <w:rFonts w:ascii="Arial" w:hAnsi="Arial" w:cs="Arial"/>
                <w:b/>
                <w:bCs/>
                <w:sz w:val="18"/>
                <w:szCs w:val="18"/>
              </w:rPr>
            </w:pPr>
            <w:r w:rsidRPr="00730154">
              <w:rPr>
                <w:rFonts w:ascii="Arial" w:hAnsi="Arial" w:cs="Arial"/>
                <w:b/>
                <w:sz w:val="18"/>
                <w:szCs w:val="18"/>
              </w:rPr>
              <w:t>Resumen de los comentarios recibidos</w:t>
            </w:r>
          </w:p>
        </w:tc>
        <w:tc>
          <w:tcPr>
            <w:tcW w:w="3402" w:type="dxa"/>
            <w:shd w:val="clear" w:color="auto" w:fill="70AD47" w:themeFill="accent6"/>
          </w:tcPr>
          <w:p w14:paraId="3DAC0A11" w14:textId="250059FC" w:rsidR="00C24811" w:rsidRPr="00730154" w:rsidRDefault="00C24811" w:rsidP="00A9692B">
            <w:pPr>
              <w:spacing w:before="120" w:after="120" w:line="276" w:lineRule="auto"/>
              <w:jc w:val="center"/>
              <w:rPr>
                <w:rFonts w:ascii="Arial" w:hAnsi="Arial" w:cs="Arial"/>
                <w:b/>
                <w:sz w:val="18"/>
                <w:szCs w:val="18"/>
              </w:rPr>
            </w:pPr>
            <w:r>
              <w:rPr>
                <w:rFonts w:ascii="Arial" w:hAnsi="Arial" w:cs="Arial"/>
                <w:b/>
                <w:sz w:val="18"/>
                <w:szCs w:val="18"/>
              </w:rPr>
              <w:t>Consideración</w:t>
            </w:r>
          </w:p>
        </w:tc>
      </w:tr>
      <w:tr w:rsidR="00C24811" w:rsidRPr="003E2214" w14:paraId="2D93C6D0" w14:textId="0C0AFC8E" w:rsidTr="00275B74">
        <w:trPr>
          <w:jc w:val="center"/>
        </w:trPr>
        <w:tc>
          <w:tcPr>
            <w:tcW w:w="9204" w:type="dxa"/>
            <w:gridSpan w:val="3"/>
            <w:shd w:val="clear" w:color="auto" w:fill="C5E0B3" w:themeFill="accent6" w:themeFillTint="66"/>
          </w:tcPr>
          <w:p w14:paraId="1C8786EA" w14:textId="45886351" w:rsidR="00C24811" w:rsidRPr="00BF4F5D" w:rsidRDefault="00034150" w:rsidP="00A9692B">
            <w:pPr>
              <w:spacing w:before="120" w:after="120" w:line="276" w:lineRule="auto"/>
              <w:jc w:val="center"/>
              <w:rPr>
                <w:rFonts w:ascii="Arial" w:hAnsi="Arial" w:cs="Arial"/>
                <w:b/>
                <w:sz w:val="18"/>
                <w:szCs w:val="18"/>
                <w:lang w:val="es-ES_tradnl"/>
              </w:rPr>
            </w:pPr>
            <w:r w:rsidRPr="00034150">
              <w:rPr>
                <w:rFonts w:ascii="Arial" w:hAnsi="Arial" w:cs="Arial"/>
                <w:b/>
                <w:sz w:val="18"/>
                <w:szCs w:val="18"/>
                <w:lang w:val="es-ES_tradnl"/>
              </w:rPr>
              <w:t>4.1 Criterios de referencia</w:t>
            </w:r>
          </w:p>
        </w:tc>
      </w:tr>
      <w:tr w:rsidR="009669C0" w:rsidRPr="003E2214" w14:paraId="3B303260" w14:textId="164F82BF" w:rsidTr="009B2105">
        <w:trPr>
          <w:jc w:val="center"/>
        </w:trPr>
        <w:tc>
          <w:tcPr>
            <w:tcW w:w="2825" w:type="dxa"/>
            <w:shd w:val="clear" w:color="auto" w:fill="FFFFFF" w:themeFill="background1"/>
          </w:tcPr>
          <w:p w14:paraId="2D1B937A" w14:textId="77777777" w:rsidR="00935490" w:rsidRPr="00935490" w:rsidRDefault="00935490" w:rsidP="00A9692B">
            <w:pPr>
              <w:spacing w:before="120" w:after="120" w:line="276" w:lineRule="auto"/>
              <w:jc w:val="both"/>
              <w:rPr>
                <w:rFonts w:ascii="Arial" w:hAnsi="Arial" w:cs="Arial"/>
                <w:bCs/>
                <w:sz w:val="18"/>
                <w:szCs w:val="18"/>
                <w:lang w:val="es-ES"/>
              </w:rPr>
            </w:pPr>
            <w:bookmarkStart w:id="9" w:name="_Hlk88575904"/>
            <w:r w:rsidRPr="00935490">
              <w:rPr>
                <w:rFonts w:ascii="Arial" w:hAnsi="Arial" w:cs="Arial"/>
                <w:bCs/>
                <w:sz w:val="18"/>
                <w:szCs w:val="18"/>
                <w:lang w:val="es-ES"/>
              </w:rPr>
              <w:t xml:space="preserve">En su práctica decisoria, el IFT ha adoptado criterios emanados de su experiencia y especialidad para determinar su ámbito de competencia para conocer y resolver sobre concentraciones. Estos criterios pueden servir de referencia para identificar en futuras concentraciones si, </w:t>
            </w:r>
            <w:r w:rsidRPr="00935490">
              <w:rPr>
                <w:rFonts w:ascii="Arial" w:hAnsi="Arial" w:cs="Arial"/>
                <w:bCs/>
                <w:sz w:val="18"/>
                <w:szCs w:val="18"/>
                <w:lang w:val="es-ES"/>
              </w:rPr>
              <w:lastRenderedPageBreak/>
              <w:t>atendiendo a las particularidades del caso en concreto, éstas pertenecen al ámbito de competencia del Instituto.</w:t>
            </w:r>
          </w:p>
          <w:p w14:paraId="0476F6C9" w14:textId="34A3FD46" w:rsidR="00935490" w:rsidRPr="00935490" w:rsidRDefault="00935490" w:rsidP="00A9692B">
            <w:pPr>
              <w:spacing w:before="120" w:after="120" w:line="276" w:lineRule="auto"/>
              <w:jc w:val="both"/>
              <w:rPr>
                <w:rFonts w:ascii="Arial" w:hAnsi="Arial" w:cs="Arial"/>
                <w:bCs/>
                <w:sz w:val="18"/>
                <w:szCs w:val="18"/>
                <w:lang w:val="es-ES"/>
              </w:rPr>
            </w:pPr>
            <w:r w:rsidRPr="00A113F8">
              <w:rPr>
                <w:rFonts w:ascii="Arial" w:hAnsi="Arial" w:cs="Arial"/>
                <w:b/>
                <w:bCs/>
                <w:sz w:val="18"/>
                <w:szCs w:val="18"/>
                <w:lang w:val="es-ES"/>
              </w:rPr>
              <w:t>(a)</w:t>
            </w:r>
            <w:r w:rsidR="00A113F8" w:rsidRPr="00A113F8">
              <w:rPr>
                <w:rFonts w:ascii="Arial" w:hAnsi="Arial" w:cs="Arial"/>
                <w:b/>
                <w:bCs/>
                <w:sz w:val="18"/>
                <w:szCs w:val="18"/>
                <w:lang w:val="es-ES"/>
              </w:rPr>
              <w:t xml:space="preserve"> </w:t>
            </w:r>
            <w:r w:rsidRPr="00A113F8">
              <w:rPr>
                <w:rFonts w:ascii="Arial" w:hAnsi="Arial" w:cs="Arial"/>
                <w:b/>
                <w:bCs/>
                <w:sz w:val="18"/>
                <w:szCs w:val="18"/>
                <w:lang w:val="es-ES"/>
              </w:rPr>
              <w:t>Primero</w:t>
            </w:r>
            <w:r w:rsidRPr="00935490">
              <w:rPr>
                <w:rFonts w:ascii="Arial" w:hAnsi="Arial" w:cs="Arial"/>
                <w:bCs/>
                <w:sz w:val="18"/>
                <w:szCs w:val="18"/>
                <w:lang w:val="es-ES"/>
              </w:rPr>
              <w:t>, se identifican las actividades en las que:</w:t>
            </w:r>
          </w:p>
          <w:p w14:paraId="1E31671A" w14:textId="7867F64A" w:rsidR="00935490" w:rsidRPr="00A113F8" w:rsidRDefault="00935490" w:rsidP="00A9692B">
            <w:pPr>
              <w:pStyle w:val="Prrafodelista"/>
              <w:numPr>
                <w:ilvl w:val="0"/>
                <w:numId w:val="6"/>
              </w:numPr>
              <w:spacing w:before="120" w:after="120" w:line="276" w:lineRule="auto"/>
              <w:ind w:left="309" w:hanging="128"/>
              <w:contextualSpacing w:val="0"/>
              <w:jc w:val="both"/>
              <w:rPr>
                <w:rFonts w:ascii="Arial" w:hAnsi="Arial" w:cs="Arial"/>
                <w:bCs/>
                <w:sz w:val="18"/>
                <w:szCs w:val="18"/>
                <w:lang w:val="es-ES"/>
              </w:rPr>
            </w:pPr>
            <w:r w:rsidRPr="00A113F8">
              <w:rPr>
                <w:rFonts w:ascii="Arial" w:hAnsi="Arial" w:cs="Arial"/>
                <w:bCs/>
                <w:sz w:val="18"/>
                <w:szCs w:val="18"/>
                <w:lang w:val="es-ES"/>
              </w:rPr>
              <w:t>Ocurre la concentración, i.e. posible(s) mercado(s) relevante(s), y</w:t>
            </w:r>
          </w:p>
          <w:p w14:paraId="5DE24163" w14:textId="77777777" w:rsidR="009669C0" w:rsidRDefault="00935490" w:rsidP="00A9692B">
            <w:pPr>
              <w:pStyle w:val="Prrafodelista"/>
              <w:numPr>
                <w:ilvl w:val="0"/>
                <w:numId w:val="6"/>
              </w:numPr>
              <w:spacing w:before="120" w:after="120" w:line="276" w:lineRule="auto"/>
              <w:ind w:left="309" w:hanging="128"/>
              <w:contextualSpacing w:val="0"/>
              <w:jc w:val="both"/>
              <w:rPr>
                <w:rFonts w:ascii="Arial" w:hAnsi="Arial" w:cs="Arial"/>
                <w:bCs/>
                <w:sz w:val="18"/>
                <w:szCs w:val="18"/>
                <w:lang w:val="es-ES"/>
              </w:rPr>
            </w:pPr>
            <w:r w:rsidRPr="00A113F8">
              <w:rPr>
                <w:rFonts w:ascii="Arial" w:hAnsi="Arial" w:cs="Arial"/>
                <w:bCs/>
                <w:sz w:val="18"/>
                <w:szCs w:val="18"/>
                <w:lang w:val="es-ES"/>
              </w:rPr>
              <w:t xml:space="preserve">Puede tener efectos la concentración, i.e. posibles mercados relacionados, con los sectores de Telecomunicaciones y Radiodifusión.  </w:t>
            </w:r>
          </w:p>
          <w:p w14:paraId="2E2E2313" w14:textId="45AFE927" w:rsidR="00AB3AE1" w:rsidRPr="00AB3AE1" w:rsidRDefault="00AB3AE1" w:rsidP="00A9692B">
            <w:pPr>
              <w:spacing w:before="120" w:after="120" w:line="276" w:lineRule="auto"/>
              <w:jc w:val="both"/>
              <w:rPr>
                <w:rFonts w:ascii="Arial" w:hAnsi="Arial" w:cs="Arial"/>
                <w:bCs/>
                <w:sz w:val="18"/>
                <w:szCs w:val="18"/>
                <w:lang w:val="es-ES"/>
              </w:rPr>
            </w:pPr>
            <w:r w:rsidRPr="00AB3AE1">
              <w:rPr>
                <w:rFonts w:ascii="Arial" w:hAnsi="Arial" w:cs="Arial"/>
                <w:bCs/>
                <w:sz w:val="18"/>
                <w:szCs w:val="18"/>
                <w:lang w:val="es-ES"/>
              </w:rPr>
              <w:t>Para ello se toman en consideración las actividades económicas que realizan los Agentes Económicos Involucrados.</w:t>
            </w:r>
          </w:p>
        </w:tc>
        <w:tc>
          <w:tcPr>
            <w:tcW w:w="2977" w:type="dxa"/>
            <w:shd w:val="clear" w:color="auto" w:fill="FFFFFF" w:themeFill="background1"/>
            <w:vAlign w:val="center"/>
          </w:tcPr>
          <w:p w14:paraId="6E973DF1" w14:textId="14096B2D" w:rsidR="009669C0" w:rsidRPr="00184C80" w:rsidRDefault="009669C0" w:rsidP="00A9692B">
            <w:pPr>
              <w:spacing w:before="120" w:after="120" w:line="276" w:lineRule="auto"/>
              <w:jc w:val="both"/>
              <w:rPr>
                <w:rFonts w:ascii="Arial" w:hAnsi="Arial" w:cs="Arial"/>
                <w:sz w:val="18"/>
                <w:szCs w:val="18"/>
              </w:rPr>
            </w:pPr>
            <w:r w:rsidRPr="00184C80">
              <w:rPr>
                <w:rFonts w:ascii="Arial" w:eastAsia="Times New Roman" w:hAnsi="Arial" w:cs="Arial"/>
                <w:color w:val="000000"/>
                <w:sz w:val="18"/>
                <w:szCs w:val="18"/>
                <w:lang w:eastAsia="es-MX"/>
              </w:rPr>
              <w:lastRenderedPageBreak/>
              <w:t>La COFECE considera que el concepto de '"</w:t>
            </w:r>
            <w:r w:rsidRPr="00184C80">
              <w:rPr>
                <w:rFonts w:ascii="Arial" w:eastAsia="Times New Roman" w:hAnsi="Arial" w:cs="Arial"/>
                <w:i/>
                <w:iCs/>
                <w:color w:val="000000"/>
                <w:sz w:val="18"/>
                <w:szCs w:val="18"/>
                <w:lang w:eastAsia="es-MX"/>
              </w:rPr>
              <w:t>actividades en las que puede tener efectos la concentración</w:t>
            </w:r>
            <w:r w:rsidRPr="00184C80">
              <w:rPr>
                <w:rFonts w:ascii="Arial" w:eastAsia="Times New Roman" w:hAnsi="Arial" w:cs="Arial"/>
                <w:color w:val="000000"/>
                <w:sz w:val="18"/>
                <w:szCs w:val="18"/>
                <w:lang w:eastAsia="es-MX"/>
              </w:rPr>
              <w:t>’'' es un concepto ambiguo e interpretable, que podría generar incertidumbre entre los Agentes Económicos.</w:t>
            </w:r>
          </w:p>
        </w:tc>
        <w:tc>
          <w:tcPr>
            <w:tcW w:w="3402" w:type="dxa"/>
            <w:shd w:val="clear" w:color="auto" w:fill="FFFFFF" w:themeFill="background1"/>
          </w:tcPr>
          <w:p w14:paraId="12BF286A" w14:textId="3011B88C" w:rsidR="009669C0" w:rsidRDefault="00050C71" w:rsidP="00A9692B">
            <w:pPr>
              <w:spacing w:before="120" w:after="120" w:line="276" w:lineRule="auto"/>
              <w:jc w:val="both"/>
              <w:rPr>
                <w:rFonts w:ascii="Arial" w:hAnsi="Arial" w:cs="Arial"/>
                <w:sz w:val="18"/>
                <w:szCs w:val="18"/>
              </w:rPr>
            </w:pPr>
            <w:r w:rsidRPr="00050C71">
              <w:rPr>
                <w:rFonts w:ascii="Arial" w:hAnsi="Arial" w:cs="Arial"/>
                <w:sz w:val="18"/>
                <w:szCs w:val="18"/>
              </w:rPr>
              <w:t xml:space="preserve">El comentario se considera aceptable, por lo que el texto correspondiente se cambia por el siguiente: </w:t>
            </w:r>
          </w:p>
          <w:tbl>
            <w:tblPr>
              <w:tblStyle w:val="Tablaconcuadrcula"/>
              <w:tblW w:w="3286" w:type="dxa"/>
              <w:jc w:val="center"/>
              <w:tblLayout w:type="fixed"/>
              <w:tblLook w:val="04A0" w:firstRow="1" w:lastRow="0" w:firstColumn="1" w:lastColumn="0" w:noHBand="0" w:noVBand="1"/>
            </w:tblPr>
            <w:tblGrid>
              <w:gridCol w:w="3286"/>
            </w:tblGrid>
            <w:tr w:rsidR="00050C71" w:rsidRPr="00E83771" w14:paraId="24231D9A" w14:textId="77777777" w:rsidTr="00504F00">
              <w:trPr>
                <w:trHeight w:val="311"/>
                <w:jc w:val="center"/>
              </w:trPr>
              <w:tc>
                <w:tcPr>
                  <w:tcW w:w="3286"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099B4141" w14:textId="77777777" w:rsidR="00050C71" w:rsidRPr="00E83771" w:rsidRDefault="00050C71" w:rsidP="00A9692B">
                  <w:pPr>
                    <w:spacing w:before="120" w:after="120" w:line="276" w:lineRule="auto"/>
                    <w:jc w:val="center"/>
                    <w:rPr>
                      <w:rFonts w:ascii="Arial" w:hAnsi="Arial" w:cs="Arial"/>
                      <w:sz w:val="18"/>
                      <w:szCs w:val="18"/>
                    </w:rPr>
                  </w:pPr>
                  <w:r w:rsidRPr="00E83771">
                    <w:rPr>
                      <w:rFonts w:ascii="Arial" w:hAnsi="Arial" w:cs="Arial"/>
                      <w:sz w:val="18"/>
                      <w:szCs w:val="18"/>
                    </w:rPr>
                    <w:t xml:space="preserve">Modificación al Proyecto </w:t>
                  </w:r>
                </w:p>
              </w:tc>
            </w:tr>
            <w:tr w:rsidR="00050C71" w:rsidRPr="00E83771" w14:paraId="37DA374D" w14:textId="77777777" w:rsidTr="00504F00">
              <w:trPr>
                <w:jc w:val="center"/>
              </w:trPr>
              <w:tc>
                <w:tcPr>
                  <w:tcW w:w="3286" w:type="dxa"/>
                  <w:tcBorders>
                    <w:top w:val="single" w:sz="4" w:space="0" w:color="auto"/>
                    <w:left w:val="single" w:sz="4" w:space="0" w:color="auto"/>
                    <w:bottom w:val="single" w:sz="4" w:space="0" w:color="auto"/>
                    <w:right w:val="single" w:sz="4" w:space="0" w:color="auto"/>
                  </w:tcBorders>
                  <w:shd w:val="clear" w:color="auto" w:fill="FFFFFF" w:themeFill="background1"/>
                </w:tcPr>
                <w:p w14:paraId="72335F41" w14:textId="3BDF2E6E" w:rsidR="00050C71" w:rsidRPr="00E83771" w:rsidRDefault="00382645" w:rsidP="00A9692B">
                  <w:pPr>
                    <w:pStyle w:val="Textoindependiente"/>
                    <w:spacing w:before="120" w:line="276" w:lineRule="auto"/>
                    <w:jc w:val="both"/>
                    <w:rPr>
                      <w:rFonts w:ascii="Arial" w:hAnsi="Arial" w:cs="Arial"/>
                      <w:i/>
                      <w:iCs/>
                      <w:sz w:val="18"/>
                      <w:szCs w:val="18"/>
                    </w:rPr>
                  </w:pPr>
                  <w:r w:rsidRPr="00C37968">
                    <w:rPr>
                      <w:rFonts w:ascii="Arial" w:hAnsi="Arial" w:cs="Arial"/>
                      <w:i/>
                      <w:sz w:val="18"/>
                      <w:szCs w:val="18"/>
                    </w:rPr>
                    <w:t xml:space="preserve">“(…) </w:t>
                  </w:r>
                  <w:r w:rsidRPr="00C37968">
                    <w:rPr>
                      <w:rFonts w:ascii="Arial" w:hAnsi="Arial" w:cs="Arial"/>
                      <w:b/>
                      <w:i/>
                      <w:strike/>
                      <w:sz w:val="18"/>
                      <w:szCs w:val="18"/>
                    </w:rPr>
                    <w:t>Puede tener efectos la concentración</w:t>
                  </w:r>
                  <w:r w:rsidRPr="00C37968">
                    <w:rPr>
                      <w:rFonts w:ascii="Arial" w:hAnsi="Arial" w:cs="Arial"/>
                      <w:b/>
                      <w:i/>
                      <w:sz w:val="18"/>
                      <w:szCs w:val="18"/>
                    </w:rPr>
                    <w:t xml:space="preserve"> </w:t>
                  </w:r>
                  <w:r w:rsidR="008429DD" w:rsidRPr="00C37968">
                    <w:rPr>
                      <w:rFonts w:ascii="Arial" w:hAnsi="Arial" w:cs="Arial"/>
                      <w:b/>
                      <w:i/>
                      <w:sz w:val="18"/>
                      <w:szCs w:val="18"/>
                    </w:rPr>
                    <w:t>E</w:t>
                  </w:r>
                  <w:r w:rsidR="00A83531" w:rsidRPr="00C37968">
                    <w:rPr>
                      <w:rFonts w:ascii="Arial" w:hAnsi="Arial" w:cs="Arial"/>
                      <w:b/>
                      <w:i/>
                      <w:sz w:val="18"/>
                      <w:szCs w:val="18"/>
                    </w:rPr>
                    <w:t>st</w:t>
                  </w:r>
                  <w:r w:rsidR="008429DD" w:rsidRPr="00C37968">
                    <w:rPr>
                      <w:rFonts w:ascii="Arial" w:hAnsi="Arial" w:cs="Arial"/>
                      <w:b/>
                      <w:i/>
                      <w:sz w:val="18"/>
                      <w:szCs w:val="18"/>
                    </w:rPr>
                    <w:t>arían</w:t>
                  </w:r>
                  <w:r w:rsidR="00A83531" w:rsidRPr="00C37968">
                    <w:rPr>
                      <w:rFonts w:ascii="Arial" w:hAnsi="Arial" w:cs="Arial"/>
                      <w:b/>
                      <w:i/>
                      <w:sz w:val="18"/>
                      <w:szCs w:val="18"/>
                    </w:rPr>
                    <w:t xml:space="preserve"> </w:t>
                  </w:r>
                  <w:r w:rsidR="00A83531" w:rsidRPr="00C37968">
                    <w:rPr>
                      <w:rFonts w:ascii="Arial" w:hAnsi="Arial" w:cs="Arial"/>
                      <w:b/>
                      <w:i/>
                      <w:sz w:val="18"/>
                      <w:szCs w:val="18"/>
                    </w:rPr>
                    <w:lastRenderedPageBreak/>
                    <w:t>involucrados bienes, servicios o áreas geográficas distintas a las que forman parte del mercado relevante, pero que inciden en o son influidos por las condiciones de competencia y libre concurrencia imperantes en el mismo</w:t>
                  </w:r>
                  <w:r w:rsidRPr="00C37968">
                    <w:rPr>
                      <w:rFonts w:ascii="Arial" w:hAnsi="Arial" w:cs="Arial"/>
                      <w:i/>
                      <w:sz w:val="18"/>
                      <w:szCs w:val="18"/>
                    </w:rPr>
                    <w:t>, i.e. posibles mercados relacionados</w:t>
                  </w:r>
                  <w:r w:rsidR="001F1B3E" w:rsidRPr="00C37968">
                    <w:rPr>
                      <w:rFonts w:ascii="Arial" w:hAnsi="Arial" w:cs="Arial"/>
                      <w:b/>
                      <w:i/>
                      <w:strike/>
                      <w:sz w:val="18"/>
                      <w:szCs w:val="18"/>
                    </w:rPr>
                    <w:t>, con los sectores de Telecomunicaciones y Radiodifusión</w:t>
                  </w:r>
                  <w:r w:rsidR="001F1B3E" w:rsidRPr="00C37968">
                    <w:rPr>
                      <w:rFonts w:ascii="Arial" w:hAnsi="Arial" w:cs="Arial"/>
                      <w:i/>
                      <w:sz w:val="18"/>
                      <w:szCs w:val="18"/>
                    </w:rPr>
                    <w:t>.</w:t>
                  </w:r>
                  <w:r w:rsidRPr="00C37968">
                    <w:rPr>
                      <w:rFonts w:ascii="Arial" w:hAnsi="Arial" w:cs="Arial"/>
                      <w:i/>
                      <w:sz w:val="18"/>
                      <w:szCs w:val="18"/>
                    </w:rPr>
                    <w:t>”.</w:t>
                  </w:r>
                </w:p>
              </w:tc>
            </w:tr>
          </w:tbl>
          <w:p w14:paraId="035794A9" w14:textId="619FC1EB" w:rsidR="00050C71" w:rsidRPr="00495729" w:rsidRDefault="00504F00" w:rsidP="00A9692B">
            <w:pPr>
              <w:spacing w:before="120" w:after="120" w:line="276" w:lineRule="auto"/>
              <w:jc w:val="both"/>
              <w:rPr>
                <w:rFonts w:ascii="Arial" w:hAnsi="Arial" w:cs="Arial"/>
                <w:sz w:val="18"/>
                <w:szCs w:val="18"/>
              </w:rPr>
            </w:pPr>
            <w:r w:rsidRPr="00504F00">
              <w:rPr>
                <w:rFonts w:ascii="Arial" w:hAnsi="Arial" w:cs="Arial"/>
                <w:sz w:val="18"/>
                <w:szCs w:val="18"/>
              </w:rPr>
              <w:lastRenderedPageBreak/>
              <w:t>(</w:t>
            </w:r>
            <w:r w:rsidR="000A19DF">
              <w:rPr>
                <w:rFonts w:ascii="Arial" w:hAnsi="Arial" w:cs="Arial"/>
                <w:sz w:val="18"/>
                <w:szCs w:val="18"/>
              </w:rPr>
              <w:t>S</w:t>
            </w:r>
            <w:r w:rsidRPr="00504F00">
              <w:rPr>
                <w:rFonts w:ascii="Arial" w:hAnsi="Arial" w:cs="Arial"/>
                <w:sz w:val="18"/>
                <w:szCs w:val="18"/>
              </w:rPr>
              <w:t>e resalta texto agregado)</w:t>
            </w:r>
          </w:p>
        </w:tc>
      </w:tr>
      <w:bookmarkEnd w:id="9"/>
      <w:tr w:rsidR="00050C71" w:rsidRPr="003E2214" w14:paraId="46997CC3" w14:textId="77777777" w:rsidTr="009B2105">
        <w:trPr>
          <w:jc w:val="center"/>
        </w:trPr>
        <w:tc>
          <w:tcPr>
            <w:tcW w:w="2825" w:type="dxa"/>
            <w:shd w:val="clear" w:color="auto" w:fill="FFFFFF" w:themeFill="background1"/>
          </w:tcPr>
          <w:p w14:paraId="0A7F4F2A" w14:textId="01AFC918" w:rsidR="00AB3AE1" w:rsidRDefault="00AB3AE1" w:rsidP="00A9692B">
            <w:pPr>
              <w:spacing w:before="120" w:after="120" w:line="276" w:lineRule="auto"/>
              <w:jc w:val="both"/>
              <w:rPr>
                <w:rFonts w:ascii="Arial" w:hAnsi="Arial" w:cs="Arial"/>
                <w:bCs/>
                <w:sz w:val="18"/>
                <w:szCs w:val="18"/>
                <w:lang w:val="es-ES"/>
              </w:rPr>
            </w:pPr>
          </w:p>
          <w:p w14:paraId="5EEF8B27" w14:textId="1DFD712C" w:rsidR="00050C71" w:rsidRDefault="00050C71" w:rsidP="00A9692B">
            <w:pPr>
              <w:spacing w:before="120" w:after="120" w:line="276" w:lineRule="auto"/>
              <w:jc w:val="both"/>
              <w:rPr>
                <w:rFonts w:ascii="Arial" w:hAnsi="Arial" w:cs="Arial"/>
                <w:bCs/>
                <w:sz w:val="18"/>
                <w:szCs w:val="18"/>
                <w:lang w:val="es-ES"/>
              </w:rPr>
            </w:pPr>
          </w:p>
        </w:tc>
        <w:tc>
          <w:tcPr>
            <w:tcW w:w="2977" w:type="dxa"/>
            <w:shd w:val="clear" w:color="auto" w:fill="FFFFFF" w:themeFill="background1"/>
            <w:vAlign w:val="center"/>
          </w:tcPr>
          <w:p w14:paraId="26BA39B3" w14:textId="5275EB64" w:rsidR="00050C71" w:rsidRPr="00E0414D" w:rsidRDefault="00050C71" w:rsidP="00A9692B">
            <w:pPr>
              <w:spacing w:before="120" w:after="120" w:line="276"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COFECE señala que el PJF ya desestimó como elemento para decidir competencias el hecho de que una actividad </w:t>
            </w:r>
            <w:r w:rsidRPr="00AE7DEA">
              <w:rPr>
                <w:rFonts w:ascii="Arial" w:eastAsia="Times New Roman" w:hAnsi="Arial" w:cs="Arial"/>
                <w:color w:val="000000"/>
                <w:sz w:val="18"/>
                <w:szCs w:val="18"/>
                <w:lang w:eastAsia="es-MX"/>
              </w:rPr>
              <w:t>pertenezcan a la cadena de valor de los sectores de telecomunicaciones y radiodifusión</w:t>
            </w:r>
            <w:r>
              <w:rPr>
                <w:rFonts w:ascii="Arial" w:eastAsia="Times New Roman" w:hAnsi="Arial" w:cs="Arial"/>
                <w:color w:val="000000"/>
                <w:sz w:val="18"/>
                <w:szCs w:val="18"/>
                <w:lang w:eastAsia="es-MX"/>
              </w:rPr>
              <w:t>, por lo que sugiere no incluirlo en esa sección</w:t>
            </w:r>
            <w:r w:rsidRPr="00AE7DEA">
              <w:rPr>
                <w:rFonts w:ascii="Arial" w:eastAsia="Times New Roman" w:hAnsi="Arial" w:cs="Arial"/>
                <w:color w:val="000000"/>
                <w:sz w:val="18"/>
                <w:szCs w:val="18"/>
                <w:lang w:eastAsia="es-MX"/>
              </w:rPr>
              <w:t>.</w:t>
            </w:r>
          </w:p>
        </w:tc>
        <w:tc>
          <w:tcPr>
            <w:tcW w:w="3402" w:type="dxa"/>
            <w:shd w:val="clear" w:color="auto" w:fill="FFFFFF" w:themeFill="background1"/>
          </w:tcPr>
          <w:p w14:paraId="631DC169" w14:textId="77777777" w:rsidR="00050C71" w:rsidRPr="00050C71" w:rsidRDefault="00050C71" w:rsidP="00A9692B">
            <w:pPr>
              <w:spacing w:before="120" w:after="120" w:line="276" w:lineRule="auto"/>
              <w:jc w:val="both"/>
              <w:rPr>
                <w:rFonts w:ascii="Arial" w:hAnsi="Arial" w:cs="Arial"/>
                <w:sz w:val="18"/>
                <w:szCs w:val="18"/>
              </w:rPr>
            </w:pPr>
            <w:r w:rsidRPr="00050C71">
              <w:rPr>
                <w:rFonts w:ascii="Arial" w:hAnsi="Arial" w:cs="Arial"/>
                <w:sz w:val="18"/>
                <w:szCs w:val="18"/>
              </w:rPr>
              <w:t xml:space="preserve">Se precisa que en el Conflicto Competencial relacionado con la Concentración AT&amp;T-Time Warner, el Segundo Tribunal Especializado señaló que: </w:t>
            </w:r>
          </w:p>
          <w:p w14:paraId="7BA33E2E" w14:textId="77777777" w:rsidR="00050C71" w:rsidRPr="00184C80" w:rsidRDefault="00050C71" w:rsidP="00A9692B">
            <w:pPr>
              <w:spacing w:before="120" w:after="120" w:line="276" w:lineRule="auto"/>
              <w:ind w:left="179"/>
              <w:jc w:val="both"/>
              <w:rPr>
                <w:rFonts w:ascii="Arial" w:hAnsi="Arial" w:cs="Arial"/>
                <w:i/>
                <w:sz w:val="17"/>
                <w:szCs w:val="17"/>
              </w:rPr>
            </w:pPr>
            <w:r w:rsidRPr="00184C80">
              <w:rPr>
                <w:rFonts w:ascii="Arial" w:hAnsi="Arial" w:cs="Arial"/>
                <w:i/>
                <w:sz w:val="17"/>
                <w:szCs w:val="17"/>
              </w:rPr>
              <w:t xml:space="preserve">“(…) </w:t>
            </w:r>
            <w:r w:rsidRPr="00EB1704">
              <w:rPr>
                <w:rFonts w:ascii="Arial" w:hAnsi="Arial" w:cs="Arial"/>
                <w:b/>
                <w:i/>
                <w:sz w:val="17"/>
                <w:szCs w:val="17"/>
              </w:rPr>
              <w:t>este criterio sobre la pertenencia de ciertos bienes o servicios en una cadena productiva es útil</w:t>
            </w:r>
            <w:r w:rsidRPr="00184C80">
              <w:rPr>
                <w:rFonts w:ascii="Arial" w:hAnsi="Arial" w:cs="Arial"/>
                <w:i/>
                <w:sz w:val="17"/>
                <w:szCs w:val="17"/>
              </w:rPr>
              <w:t xml:space="preserve"> en un análisis para resolver un conflicto de competencias, pero no es definitivo, pues la decisión depende en todos los casos de que sea necesaria o no la intervención de cada órgano en cuanto pueda ejercer su capacidad técnica para examinar el asunto (…)</w:t>
            </w:r>
          </w:p>
          <w:p w14:paraId="7F6957E4" w14:textId="77777777" w:rsidR="00022651" w:rsidRDefault="00050C71" w:rsidP="00A9692B">
            <w:pPr>
              <w:spacing w:before="120" w:after="120" w:line="276" w:lineRule="auto"/>
              <w:jc w:val="both"/>
              <w:rPr>
                <w:rFonts w:ascii="Arial" w:hAnsi="Arial" w:cs="Arial"/>
                <w:sz w:val="18"/>
                <w:szCs w:val="18"/>
              </w:rPr>
            </w:pPr>
            <w:r w:rsidRPr="00050C71">
              <w:rPr>
                <w:rFonts w:ascii="Arial" w:hAnsi="Arial" w:cs="Arial"/>
                <w:sz w:val="18"/>
                <w:szCs w:val="18"/>
              </w:rPr>
              <w:t>Por lo que, si bien determinó que el hecho de que la pertenencia de los bienes y servicios a una cadena de valor no es un criterio definitivo para determinar la competencia, si es útil en el análisis para resolver un conflicto de competencias</w:t>
            </w:r>
            <w:r w:rsidR="00022651">
              <w:rPr>
                <w:rFonts w:ascii="Arial" w:hAnsi="Arial" w:cs="Arial"/>
                <w:sz w:val="18"/>
                <w:szCs w:val="18"/>
              </w:rPr>
              <w:t>.</w:t>
            </w:r>
          </w:p>
          <w:p w14:paraId="51445C65" w14:textId="6885E02A" w:rsidR="00050C71" w:rsidRPr="00050C71" w:rsidRDefault="00022651" w:rsidP="00A9692B">
            <w:pPr>
              <w:spacing w:before="120" w:after="120" w:line="276" w:lineRule="auto"/>
              <w:jc w:val="both"/>
              <w:rPr>
                <w:rFonts w:ascii="Arial" w:hAnsi="Arial" w:cs="Arial"/>
                <w:sz w:val="18"/>
                <w:szCs w:val="18"/>
              </w:rPr>
            </w:pPr>
            <w:r>
              <w:rPr>
                <w:rFonts w:ascii="Arial" w:eastAsia="Times New Roman" w:hAnsi="Arial" w:cs="Arial"/>
                <w:color w:val="000000"/>
                <w:sz w:val="18"/>
                <w:szCs w:val="18"/>
                <w:lang w:eastAsia="es-MX"/>
              </w:rPr>
              <w:t>P</w:t>
            </w:r>
            <w:r w:rsidRPr="00226E25">
              <w:rPr>
                <w:rFonts w:ascii="Arial" w:eastAsia="Times New Roman" w:hAnsi="Arial" w:cs="Arial"/>
                <w:color w:val="000000"/>
                <w:sz w:val="18"/>
                <w:szCs w:val="18"/>
                <w:lang w:eastAsia="es-MX"/>
              </w:rPr>
              <w:t xml:space="preserve">or lo </w:t>
            </w:r>
            <w:r>
              <w:rPr>
                <w:rFonts w:ascii="Arial" w:eastAsia="Times New Roman" w:hAnsi="Arial" w:cs="Arial"/>
                <w:color w:val="000000"/>
                <w:sz w:val="18"/>
                <w:szCs w:val="18"/>
                <w:lang w:eastAsia="es-MX"/>
              </w:rPr>
              <w:t>anterior,</w:t>
            </w:r>
            <w:r w:rsidRPr="00226E25">
              <w:rPr>
                <w:rFonts w:ascii="Arial" w:eastAsia="Times New Roman" w:hAnsi="Arial" w:cs="Arial"/>
                <w:color w:val="000000"/>
                <w:sz w:val="18"/>
                <w:szCs w:val="18"/>
                <w:lang w:eastAsia="es-MX"/>
              </w:rPr>
              <w:t xml:space="preserve"> el comentario no </w:t>
            </w:r>
            <w:r>
              <w:rPr>
                <w:rFonts w:ascii="Arial" w:eastAsia="Times New Roman" w:hAnsi="Arial" w:cs="Arial"/>
                <w:color w:val="000000"/>
                <w:sz w:val="18"/>
                <w:szCs w:val="18"/>
                <w:lang w:eastAsia="es-MX"/>
              </w:rPr>
              <w:t>se considera procedente</w:t>
            </w:r>
            <w:r w:rsidR="00050C71" w:rsidRPr="00050C71">
              <w:rPr>
                <w:rFonts w:ascii="Arial" w:hAnsi="Arial" w:cs="Arial"/>
                <w:sz w:val="18"/>
                <w:szCs w:val="18"/>
              </w:rPr>
              <w:t>.</w:t>
            </w:r>
          </w:p>
        </w:tc>
      </w:tr>
      <w:tr w:rsidR="00822C6A" w:rsidRPr="003E2214" w14:paraId="2D4F3FE0" w14:textId="77777777" w:rsidTr="006B64D9">
        <w:trPr>
          <w:trHeight w:val="6533"/>
          <w:jc w:val="center"/>
        </w:trPr>
        <w:tc>
          <w:tcPr>
            <w:tcW w:w="2825" w:type="dxa"/>
            <w:vMerge w:val="restart"/>
            <w:shd w:val="clear" w:color="auto" w:fill="FFFFFF" w:themeFill="background1"/>
          </w:tcPr>
          <w:p w14:paraId="110567A0" w14:textId="4FC255D7" w:rsidR="00822C6A" w:rsidRPr="00AB3AE1" w:rsidRDefault="00822C6A" w:rsidP="00A9692B">
            <w:pPr>
              <w:spacing w:before="120" w:after="120" w:line="276" w:lineRule="auto"/>
              <w:jc w:val="both"/>
              <w:rPr>
                <w:rFonts w:ascii="Arial" w:hAnsi="Arial" w:cs="Arial"/>
                <w:bCs/>
                <w:sz w:val="18"/>
                <w:szCs w:val="18"/>
                <w:lang w:val="es-ES"/>
              </w:rPr>
            </w:pPr>
            <w:r>
              <w:rPr>
                <w:rFonts w:ascii="Arial" w:hAnsi="Arial" w:cs="Arial"/>
                <w:b/>
                <w:bCs/>
                <w:sz w:val="18"/>
                <w:szCs w:val="18"/>
                <w:lang w:val="es-ES"/>
              </w:rPr>
              <w:lastRenderedPageBreak/>
              <w:t>(</w:t>
            </w:r>
            <w:r w:rsidRPr="00AB3AE1">
              <w:rPr>
                <w:rFonts w:ascii="Arial" w:hAnsi="Arial" w:cs="Arial"/>
                <w:b/>
                <w:bCs/>
                <w:sz w:val="18"/>
                <w:szCs w:val="18"/>
                <w:lang w:val="es-ES"/>
              </w:rPr>
              <w:t>b) En segundo lugar</w:t>
            </w:r>
            <w:r w:rsidRPr="00AB3AE1">
              <w:rPr>
                <w:rFonts w:ascii="Arial" w:hAnsi="Arial" w:cs="Arial"/>
                <w:bCs/>
                <w:sz w:val="18"/>
                <w:szCs w:val="18"/>
                <w:lang w:val="es-ES"/>
              </w:rPr>
              <w:t>, se determina si las actividades identificadas en (a) satisfacen alguno de los siguientes supuestos, siempre atendiendo a los precedentes judiciales, así como a las características del caso específico y la especialización del IFT y de la COFECE:</w:t>
            </w:r>
          </w:p>
          <w:p w14:paraId="17652AD0" w14:textId="77777777" w:rsidR="00822C6A" w:rsidRPr="00AB3AE1" w:rsidRDefault="00822C6A" w:rsidP="00A9692B">
            <w:pPr>
              <w:pStyle w:val="Prrafodelista"/>
              <w:numPr>
                <w:ilvl w:val="0"/>
                <w:numId w:val="7"/>
              </w:numPr>
              <w:spacing w:before="120" w:after="120" w:line="276" w:lineRule="auto"/>
              <w:ind w:left="311" w:hanging="130"/>
              <w:contextualSpacing w:val="0"/>
              <w:jc w:val="both"/>
              <w:rPr>
                <w:rFonts w:ascii="Arial" w:hAnsi="Arial" w:cs="Arial"/>
                <w:bCs/>
                <w:sz w:val="18"/>
                <w:szCs w:val="18"/>
                <w:lang w:val="es-ES"/>
              </w:rPr>
            </w:pPr>
            <w:r w:rsidRPr="00AB3AE1">
              <w:rPr>
                <w:rFonts w:ascii="Arial" w:hAnsi="Arial" w:cs="Arial"/>
                <w:bCs/>
                <w:sz w:val="18"/>
                <w:szCs w:val="18"/>
                <w:lang w:val="es-ES"/>
              </w:rPr>
              <w:t xml:space="preserve">Pertenecen a los sectores de telecomunicaciones o radiodifusión; </w:t>
            </w:r>
          </w:p>
          <w:p w14:paraId="1F281E31" w14:textId="77777777" w:rsidR="00822C6A" w:rsidRPr="00AB3AE1" w:rsidRDefault="00822C6A" w:rsidP="00A9692B">
            <w:pPr>
              <w:pStyle w:val="Prrafodelista"/>
              <w:numPr>
                <w:ilvl w:val="0"/>
                <w:numId w:val="7"/>
              </w:numPr>
              <w:spacing w:before="120" w:after="120" w:line="276" w:lineRule="auto"/>
              <w:ind w:left="311" w:hanging="130"/>
              <w:contextualSpacing w:val="0"/>
              <w:jc w:val="both"/>
              <w:rPr>
                <w:rFonts w:ascii="Arial" w:hAnsi="Arial" w:cs="Arial"/>
                <w:bCs/>
                <w:sz w:val="18"/>
                <w:szCs w:val="18"/>
                <w:lang w:val="es-ES"/>
              </w:rPr>
            </w:pPr>
            <w:r w:rsidRPr="00AB3AE1">
              <w:rPr>
                <w:rFonts w:ascii="Arial" w:hAnsi="Arial" w:cs="Arial"/>
                <w:bCs/>
                <w:sz w:val="18"/>
                <w:szCs w:val="18"/>
                <w:lang w:val="es-ES"/>
              </w:rPr>
              <w:t xml:space="preserve">Su análisis exige un conocimiento técnico especializado en los sectores de telecomunicaciones o radiodifusión, así como en los diversos elementos que confluyen en los mismos; </w:t>
            </w:r>
          </w:p>
          <w:p w14:paraId="611B1338" w14:textId="77777777" w:rsidR="00822C6A" w:rsidRPr="00AB3AE1" w:rsidRDefault="00822C6A" w:rsidP="00A9692B">
            <w:pPr>
              <w:pStyle w:val="Prrafodelista"/>
              <w:numPr>
                <w:ilvl w:val="0"/>
                <w:numId w:val="7"/>
              </w:numPr>
              <w:spacing w:before="120" w:after="120" w:line="276" w:lineRule="auto"/>
              <w:ind w:left="311" w:hanging="130"/>
              <w:contextualSpacing w:val="0"/>
              <w:jc w:val="both"/>
              <w:rPr>
                <w:rFonts w:ascii="Arial" w:hAnsi="Arial" w:cs="Arial"/>
                <w:bCs/>
                <w:sz w:val="18"/>
                <w:szCs w:val="18"/>
                <w:lang w:val="es-ES"/>
              </w:rPr>
            </w:pPr>
            <w:r w:rsidRPr="00AB3AE1">
              <w:rPr>
                <w:rFonts w:ascii="Arial" w:hAnsi="Arial" w:cs="Arial"/>
                <w:bCs/>
                <w:sz w:val="18"/>
                <w:szCs w:val="18"/>
                <w:lang w:val="es-ES"/>
              </w:rPr>
              <w:t>Pertenecen a la cadena de valor de otras actividades que forman parte de los sectores de telecomunicaciones o radiodifusión, y</w:t>
            </w:r>
          </w:p>
          <w:p w14:paraId="5E48807A" w14:textId="77777777" w:rsidR="009E7BC9" w:rsidRDefault="00822C6A" w:rsidP="00A9692B">
            <w:pPr>
              <w:pStyle w:val="Prrafodelista"/>
              <w:numPr>
                <w:ilvl w:val="0"/>
                <w:numId w:val="7"/>
              </w:numPr>
              <w:spacing w:before="120" w:after="120" w:line="276" w:lineRule="auto"/>
              <w:ind w:left="311" w:hanging="130"/>
              <w:contextualSpacing w:val="0"/>
              <w:jc w:val="both"/>
              <w:rPr>
                <w:rFonts w:ascii="Arial" w:hAnsi="Arial" w:cs="Arial"/>
                <w:bCs/>
                <w:sz w:val="18"/>
                <w:szCs w:val="18"/>
                <w:lang w:val="es-ES"/>
              </w:rPr>
            </w:pPr>
            <w:r w:rsidRPr="00AB3AE1">
              <w:rPr>
                <w:rFonts w:ascii="Arial" w:hAnsi="Arial" w:cs="Arial"/>
                <w:bCs/>
                <w:sz w:val="18"/>
                <w:szCs w:val="18"/>
                <w:lang w:val="es-ES"/>
              </w:rPr>
              <w:t>Utilizan como insumo las redes de telecomunicaciones, en forma significativa.</w:t>
            </w:r>
          </w:p>
          <w:p w14:paraId="6EB5D038" w14:textId="16C182A6" w:rsidR="009E7BC9" w:rsidRPr="009E7BC9" w:rsidRDefault="009E7BC9" w:rsidP="00A9692B">
            <w:pPr>
              <w:spacing w:before="120" w:after="120" w:line="276" w:lineRule="auto"/>
              <w:ind w:left="181"/>
              <w:jc w:val="both"/>
              <w:rPr>
                <w:rFonts w:ascii="Arial" w:hAnsi="Arial" w:cs="Arial"/>
                <w:bCs/>
                <w:sz w:val="18"/>
                <w:szCs w:val="18"/>
              </w:rPr>
            </w:pPr>
            <w:r w:rsidRPr="009E7BC9">
              <w:rPr>
                <w:rFonts w:ascii="Arial" w:hAnsi="Arial" w:cs="Arial"/>
                <w:bCs/>
                <w:sz w:val="18"/>
                <w:szCs w:val="18"/>
              </w:rPr>
              <w:t>De forma enunciativa, mas no limitativa, las actividades que se considera incumben a los sectores de telecomunicaciones o radiodifusión, atendiendo a las características del caso en concreto, incluyen, entre otras, las siguientes:</w:t>
            </w:r>
          </w:p>
          <w:p w14:paraId="7132C8AD" w14:textId="744429A0" w:rsidR="009E7BC9" w:rsidRPr="009E7BC9" w:rsidRDefault="009E7BC9" w:rsidP="00A9692B">
            <w:pPr>
              <w:spacing w:before="120" w:after="120" w:line="276" w:lineRule="auto"/>
              <w:ind w:left="181"/>
              <w:jc w:val="both"/>
              <w:rPr>
                <w:rFonts w:ascii="Arial" w:hAnsi="Arial" w:cs="Arial"/>
                <w:bCs/>
                <w:sz w:val="18"/>
                <w:szCs w:val="18"/>
              </w:rPr>
            </w:pPr>
            <w:r w:rsidRPr="009E7BC9">
              <w:rPr>
                <w:rFonts w:ascii="Arial" w:hAnsi="Arial" w:cs="Arial"/>
                <w:bCs/>
                <w:sz w:val="18"/>
                <w:szCs w:val="18"/>
              </w:rPr>
              <w:t>i)</w:t>
            </w:r>
            <w:r w:rsidRPr="009E7BC9">
              <w:rPr>
                <w:rFonts w:ascii="Arial" w:hAnsi="Arial" w:cs="Arial"/>
                <w:bCs/>
                <w:sz w:val="18"/>
                <w:szCs w:val="18"/>
              </w:rPr>
              <w:tab/>
              <w:t>Aquéllas cuya prestación requiere de concesiones o autorizaciones previstas en términos de la LFTR;</w:t>
            </w:r>
          </w:p>
          <w:p w14:paraId="47E79821" w14:textId="77777777" w:rsidR="009E7BC9" w:rsidRDefault="009E7BC9" w:rsidP="00A9692B">
            <w:pPr>
              <w:spacing w:before="120" w:after="120" w:line="276" w:lineRule="auto"/>
              <w:ind w:left="181"/>
              <w:jc w:val="both"/>
              <w:rPr>
                <w:rFonts w:ascii="Arial" w:hAnsi="Arial" w:cs="Arial"/>
                <w:bCs/>
                <w:sz w:val="18"/>
                <w:szCs w:val="18"/>
              </w:rPr>
            </w:pPr>
            <w:r w:rsidRPr="009E7BC9">
              <w:rPr>
                <w:rFonts w:ascii="Arial" w:hAnsi="Arial" w:cs="Arial"/>
                <w:bCs/>
                <w:sz w:val="18"/>
                <w:szCs w:val="18"/>
              </w:rPr>
              <w:lastRenderedPageBreak/>
              <w:t>ii)</w:t>
            </w:r>
            <w:r w:rsidRPr="009E7BC9">
              <w:rPr>
                <w:rFonts w:ascii="Arial" w:hAnsi="Arial" w:cs="Arial"/>
                <w:bCs/>
                <w:sz w:val="18"/>
                <w:szCs w:val="18"/>
              </w:rPr>
              <w:tab/>
              <w:t>La comercialización de servicios de telecomunicaciones, es decir, aquellos que se proporcionan a usuarios finales mediante el uso de capacidad de una o varias redes públicas de telecomunicaciones sin tener el carácter de concesionario en los términos de la LFTR;</w:t>
            </w:r>
          </w:p>
          <w:p w14:paraId="54AB8743" w14:textId="3579784F" w:rsidR="009E7BC9" w:rsidRPr="009E7BC9" w:rsidRDefault="009E7BC9" w:rsidP="00A9692B">
            <w:pPr>
              <w:spacing w:before="120" w:after="120" w:line="276" w:lineRule="auto"/>
              <w:ind w:left="181"/>
              <w:jc w:val="both"/>
              <w:rPr>
                <w:rFonts w:ascii="Arial" w:hAnsi="Arial" w:cs="Arial"/>
                <w:bCs/>
                <w:sz w:val="18"/>
                <w:szCs w:val="18"/>
              </w:rPr>
            </w:pPr>
            <w:r w:rsidRPr="009E7BC9">
              <w:rPr>
                <w:rFonts w:ascii="Arial" w:hAnsi="Arial" w:cs="Arial"/>
                <w:bCs/>
                <w:sz w:val="18"/>
                <w:szCs w:val="18"/>
              </w:rPr>
              <w:t>iii)</w:t>
            </w:r>
            <w:r w:rsidRPr="009E7BC9">
              <w:rPr>
                <w:rFonts w:ascii="Arial" w:hAnsi="Arial" w:cs="Arial"/>
                <w:bCs/>
                <w:sz w:val="18"/>
                <w:szCs w:val="18"/>
              </w:rPr>
              <w:tab/>
              <w:t>La provisión de infraestructura pasiva, es decir, elementos accesorios que proporcionan soporte a la infraestructura activa, entre otros, bastidores, cableado subterráneo y aéreo, canalizaciones, construcciones, ductos, obras, postes, sistemas de suministro y respaldo de energía eléctrica, sistemas de climatización, sitios, torres y demás aditamentos, incluyendo derechos de vía, que sean necesarios para la instalación y operación de las redes, así como para la prestación de servicios de telecomunicaciones y radiodifusión;</w:t>
            </w:r>
          </w:p>
          <w:p w14:paraId="3154C9B3" w14:textId="56639EAA" w:rsidR="009E7BC9" w:rsidRPr="009E7BC9" w:rsidRDefault="009E7BC9" w:rsidP="00A9692B">
            <w:pPr>
              <w:spacing w:before="120" w:after="120" w:line="276" w:lineRule="auto"/>
              <w:ind w:left="181"/>
              <w:jc w:val="both"/>
              <w:rPr>
                <w:rFonts w:ascii="Arial" w:hAnsi="Arial" w:cs="Arial"/>
                <w:bCs/>
                <w:sz w:val="18"/>
                <w:szCs w:val="18"/>
              </w:rPr>
            </w:pPr>
            <w:r w:rsidRPr="009E7BC9">
              <w:rPr>
                <w:rFonts w:ascii="Arial" w:hAnsi="Arial" w:cs="Arial"/>
                <w:bCs/>
                <w:sz w:val="18"/>
                <w:szCs w:val="18"/>
              </w:rPr>
              <w:t>iv)</w:t>
            </w:r>
            <w:r w:rsidRPr="009E7BC9">
              <w:rPr>
                <w:rFonts w:ascii="Arial" w:hAnsi="Arial" w:cs="Arial"/>
                <w:bCs/>
                <w:sz w:val="18"/>
                <w:szCs w:val="18"/>
              </w:rPr>
              <w:tab/>
              <w:t>La provisión de infraestructura activa, es decir, elementos de las redes de telecomunicaciones o radiodifusión que almacenan, emiten, procesan, reciben o transmiten escritos, imágenes, sonidos, señales, signos o información de cualquier naturaleza;</w:t>
            </w:r>
          </w:p>
          <w:p w14:paraId="2530992E" w14:textId="2FA06739" w:rsidR="009E7BC9" w:rsidRPr="009E7BC9" w:rsidRDefault="009E7BC9" w:rsidP="00A9692B">
            <w:pPr>
              <w:spacing w:before="120" w:after="120" w:line="276" w:lineRule="auto"/>
              <w:ind w:left="181"/>
              <w:jc w:val="both"/>
              <w:rPr>
                <w:rFonts w:ascii="Arial" w:hAnsi="Arial" w:cs="Arial"/>
                <w:bCs/>
                <w:sz w:val="18"/>
                <w:szCs w:val="18"/>
              </w:rPr>
            </w:pPr>
            <w:r w:rsidRPr="009E7BC9">
              <w:rPr>
                <w:rFonts w:ascii="Arial" w:hAnsi="Arial" w:cs="Arial"/>
                <w:bCs/>
                <w:sz w:val="18"/>
                <w:szCs w:val="18"/>
              </w:rPr>
              <w:t>v)</w:t>
            </w:r>
            <w:r w:rsidRPr="009E7BC9">
              <w:rPr>
                <w:rFonts w:ascii="Arial" w:hAnsi="Arial" w:cs="Arial"/>
                <w:bCs/>
                <w:sz w:val="18"/>
                <w:szCs w:val="18"/>
              </w:rPr>
              <w:tab/>
              <w:t>La producción, venta y/o transmisión de aplicaciones y contenido, a nivel nacional, regional o local, que se transmiten a través de frecuencias de radiodifusión o redes de telecomunicaciones;</w:t>
            </w:r>
          </w:p>
          <w:p w14:paraId="15B132AC" w14:textId="35879DD6" w:rsidR="009E7BC9" w:rsidRPr="009E7BC9" w:rsidRDefault="009E7BC9" w:rsidP="00A9692B">
            <w:pPr>
              <w:spacing w:before="120" w:after="120" w:line="276" w:lineRule="auto"/>
              <w:ind w:left="181"/>
              <w:jc w:val="both"/>
              <w:rPr>
                <w:rFonts w:ascii="Arial" w:hAnsi="Arial" w:cs="Arial"/>
                <w:bCs/>
                <w:sz w:val="18"/>
                <w:szCs w:val="18"/>
              </w:rPr>
            </w:pPr>
            <w:r w:rsidRPr="009E7BC9">
              <w:rPr>
                <w:rFonts w:ascii="Arial" w:hAnsi="Arial" w:cs="Arial"/>
                <w:bCs/>
                <w:sz w:val="18"/>
                <w:szCs w:val="18"/>
              </w:rPr>
              <w:lastRenderedPageBreak/>
              <w:t>vi)</w:t>
            </w:r>
            <w:r w:rsidRPr="009E7BC9">
              <w:rPr>
                <w:rFonts w:ascii="Arial" w:hAnsi="Arial" w:cs="Arial"/>
                <w:bCs/>
                <w:sz w:val="18"/>
                <w:szCs w:val="18"/>
              </w:rPr>
              <w:tab/>
              <w:t>La venta y/o transmisión de espacios y/o tiempo de publicidad que se transmiten por redes de telecomunicaciones y de radiodifusión;</w:t>
            </w:r>
          </w:p>
          <w:p w14:paraId="57037C57" w14:textId="5C99CA0D" w:rsidR="009E7BC9" w:rsidRPr="009E7BC9" w:rsidRDefault="009E7BC9" w:rsidP="00A9692B">
            <w:pPr>
              <w:spacing w:before="120" w:after="120" w:line="276" w:lineRule="auto"/>
              <w:ind w:left="181"/>
              <w:jc w:val="both"/>
              <w:rPr>
                <w:rFonts w:ascii="Arial" w:hAnsi="Arial" w:cs="Arial"/>
                <w:bCs/>
                <w:sz w:val="18"/>
                <w:szCs w:val="18"/>
              </w:rPr>
            </w:pPr>
            <w:r w:rsidRPr="009E7BC9">
              <w:rPr>
                <w:rFonts w:ascii="Arial" w:hAnsi="Arial" w:cs="Arial"/>
                <w:bCs/>
                <w:sz w:val="18"/>
                <w:szCs w:val="18"/>
              </w:rPr>
              <w:t>vii)</w:t>
            </w:r>
            <w:r w:rsidRPr="009E7BC9">
              <w:rPr>
                <w:rFonts w:ascii="Arial" w:hAnsi="Arial" w:cs="Arial"/>
                <w:bCs/>
                <w:sz w:val="18"/>
                <w:szCs w:val="18"/>
              </w:rPr>
              <w:tab/>
              <w:t>La provisión de equipos que pueden ser conectados a las redes de telecomunicaciones, o hacer uso del espectro radioeléctrico con alguna de las siguientes características:</w:t>
            </w:r>
          </w:p>
          <w:p w14:paraId="3BC5ECD3" w14:textId="77777777" w:rsidR="009E7BC9" w:rsidRPr="009E7BC9" w:rsidRDefault="009E7BC9" w:rsidP="00A9692B">
            <w:pPr>
              <w:spacing w:before="120" w:after="120" w:line="276" w:lineRule="auto"/>
              <w:ind w:left="181"/>
              <w:jc w:val="both"/>
              <w:rPr>
                <w:rFonts w:ascii="Arial" w:hAnsi="Arial" w:cs="Arial"/>
                <w:bCs/>
                <w:sz w:val="18"/>
                <w:szCs w:val="18"/>
              </w:rPr>
            </w:pPr>
            <w:r w:rsidRPr="009E7BC9">
              <w:rPr>
                <w:rFonts w:ascii="Arial" w:hAnsi="Arial" w:cs="Arial"/>
                <w:bCs/>
                <w:sz w:val="18"/>
                <w:szCs w:val="18"/>
              </w:rPr>
              <w:t>-</w:t>
            </w:r>
            <w:r w:rsidRPr="009E7BC9">
              <w:rPr>
                <w:rFonts w:ascii="Arial" w:hAnsi="Arial" w:cs="Arial"/>
                <w:bCs/>
                <w:sz w:val="18"/>
                <w:szCs w:val="18"/>
              </w:rPr>
              <w:tab/>
              <w:t>Son objeto de regulación por parte del IFT, y</w:t>
            </w:r>
          </w:p>
          <w:p w14:paraId="331B1E9D" w14:textId="77777777" w:rsidR="009E7BC9" w:rsidRPr="009E7BC9" w:rsidRDefault="009E7BC9" w:rsidP="00A9692B">
            <w:pPr>
              <w:spacing w:before="120" w:after="120" w:line="276" w:lineRule="auto"/>
              <w:ind w:left="181"/>
              <w:jc w:val="both"/>
              <w:rPr>
                <w:rFonts w:ascii="Arial" w:hAnsi="Arial" w:cs="Arial"/>
                <w:bCs/>
                <w:sz w:val="18"/>
                <w:szCs w:val="18"/>
              </w:rPr>
            </w:pPr>
          </w:p>
          <w:p w14:paraId="63A301BA" w14:textId="51E1B8B8" w:rsidR="009E7BC9" w:rsidRPr="009E7BC9" w:rsidRDefault="009E7BC9" w:rsidP="00A9692B">
            <w:pPr>
              <w:spacing w:before="120" w:after="120" w:line="276" w:lineRule="auto"/>
              <w:ind w:left="181"/>
              <w:jc w:val="both"/>
              <w:rPr>
                <w:rFonts w:ascii="Arial" w:hAnsi="Arial" w:cs="Arial"/>
                <w:bCs/>
                <w:sz w:val="18"/>
                <w:szCs w:val="18"/>
              </w:rPr>
            </w:pPr>
            <w:r w:rsidRPr="009E7BC9">
              <w:rPr>
                <w:rFonts w:ascii="Arial" w:hAnsi="Arial" w:cs="Arial"/>
                <w:bCs/>
                <w:sz w:val="18"/>
                <w:szCs w:val="18"/>
              </w:rPr>
              <w:t>-</w:t>
            </w:r>
            <w:r w:rsidRPr="009E7BC9">
              <w:rPr>
                <w:rFonts w:ascii="Arial" w:hAnsi="Arial" w:cs="Arial"/>
                <w:bCs/>
                <w:sz w:val="18"/>
                <w:szCs w:val="18"/>
              </w:rPr>
              <w:tab/>
              <w:t>Sus principales demandantes son agentes económicos que los utilizan para proveer servicios de telecomunicaciones o radiodifusión o para instalar y operar infraestructura activa o pasiva;</w:t>
            </w:r>
          </w:p>
          <w:p w14:paraId="5AF333D1" w14:textId="7DAB1024" w:rsidR="009E7BC9" w:rsidRPr="009E7BC9" w:rsidRDefault="009E7BC9" w:rsidP="00A9692B">
            <w:pPr>
              <w:spacing w:before="120" w:after="120" w:line="276" w:lineRule="auto"/>
              <w:ind w:left="181"/>
              <w:jc w:val="both"/>
              <w:rPr>
                <w:rFonts w:ascii="Arial" w:hAnsi="Arial" w:cs="Arial"/>
                <w:bCs/>
                <w:sz w:val="18"/>
                <w:szCs w:val="18"/>
              </w:rPr>
            </w:pPr>
            <w:r w:rsidRPr="009E7BC9">
              <w:rPr>
                <w:rFonts w:ascii="Arial" w:hAnsi="Arial" w:cs="Arial"/>
                <w:bCs/>
                <w:sz w:val="18"/>
                <w:szCs w:val="18"/>
              </w:rPr>
              <w:t>viii)</w:t>
            </w:r>
            <w:r w:rsidRPr="009E7BC9">
              <w:rPr>
                <w:rFonts w:ascii="Arial" w:hAnsi="Arial" w:cs="Arial"/>
                <w:bCs/>
                <w:sz w:val="18"/>
                <w:szCs w:val="18"/>
              </w:rPr>
              <w:tab/>
              <w:t>La provisión de servicios conexos y/o no conexos para instalar, operar y mantener equipo de infraestructura activa en los sectores de telecomunicaciones y/o radiodifusión, y</w:t>
            </w:r>
          </w:p>
          <w:p w14:paraId="7D75A684" w14:textId="3F17C50C" w:rsidR="00822C6A" w:rsidRPr="00C37968" w:rsidRDefault="009E7BC9" w:rsidP="00C37968">
            <w:pPr>
              <w:spacing w:before="120" w:after="120" w:line="276" w:lineRule="auto"/>
              <w:ind w:left="181"/>
              <w:jc w:val="both"/>
              <w:rPr>
                <w:rFonts w:ascii="Arial" w:hAnsi="Arial" w:cs="Arial"/>
                <w:sz w:val="18"/>
                <w:szCs w:val="18"/>
              </w:rPr>
            </w:pPr>
            <w:r w:rsidRPr="009E7BC9">
              <w:rPr>
                <w:rFonts w:ascii="Arial" w:hAnsi="Arial" w:cs="Arial"/>
                <w:bCs/>
                <w:sz w:val="18"/>
                <w:szCs w:val="18"/>
              </w:rPr>
              <w:t>ix)</w:t>
            </w:r>
            <w:r w:rsidRPr="009E7BC9">
              <w:rPr>
                <w:rFonts w:ascii="Arial" w:hAnsi="Arial" w:cs="Arial"/>
                <w:bCs/>
                <w:sz w:val="18"/>
                <w:szCs w:val="18"/>
              </w:rPr>
              <w:tab/>
              <w:t>La provisión de servicios de tecnologías de la información y comunicación, así como centros de datos.</w:t>
            </w:r>
          </w:p>
        </w:tc>
        <w:tc>
          <w:tcPr>
            <w:tcW w:w="2977" w:type="dxa"/>
            <w:shd w:val="clear" w:color="auto" w:fill="FFFFFF" w:themeFill="background1"/>
            <w:vAlign w:val="center"/>
          </w:tcPr>
          <w:p w14:paraId="25820B4B" w14:textId="1C1DDF12" w:rsidR="00822C6A" w:rsidRPr="00BF4F5D" w:rsidRDefault="00822C6A" w:rsidP="00A9692B">
            <w:pPr>
              <w:spacing w:before="120" w:after="120" w:line="276" w:lineRule="auto"/>
              <w:jc w:val="both"/>
              <w:rPr>
                <w:rFonts w:ascii="Arial" w:hAnsi="Arial" w:cs="Arial"/>
                <w:sz w:val="18"/>
                <w:szCs w:val="18"/>
              </w:rPr>
            </w:pPr>
            <w:r w:rsidRPr="00050C71">
              <w:rPr>
                <w:rFonts w:ascii="Arial" w:hAnsi="Arial" w:cs="Arial"/>
                <w:sz w:val="18"/>
                <w:szCs w:val="18"/>
              </w:rPr>
              <w:lastRenderedPageBreak/>
              <w:t>En relación con la instancia (iii), se considera importante que el Instituto sea más preciso respecto a contenido y alcance. En principio, es posible identificar dos interpretaciones. La primera de ellas es que "otras actividades" forman parte de los sectores de telecomunicaciones y radiodifusión. En este caso, esas "otras actividades" ya están contempladas como parte de la instancia (i), por lo que no entonces no se entiende cuál sería la diferencia entre la instancia (i) y la instancia (iii). La segunda interpretación es que lo que pertenece al sector de las telecomunicaciones y radiodifusión, son segmentos o partes de la cadena de valor de "otras actividades" que, por su naturaleza, son ajenas a los sectores de telecomunicaciones y radiodifusión. Esta segunda interpretación es problemática, porque implicaría que actividades económicas que generalmente son percibidas como distintas a las actividades del sector de las telecomunicaciones y radiodifusión, por el solo hecho de contener dentro de su cadena de valor un componente que pudiese ser parte del sector de las telecomunicaciones o de la radiodifusión, entonces automáticamente se encontrarían bajo el área competencial del Instituto. Esta segunda interpretación es riesgosa, porque podría generar un sobredimensionamiento de las facultades del Instituto para conocer y resolver" concentraciones.</w:t>
            </w:r>
          </w:p>
        </w:tc>
        <w:tc>
          <w:tcPr>
            <w:tcW w:w="3402" w:type="dxa"/>
            <w:vMerge w:val="restart"/>
            <w:shd w:val="clear" w:color="auto" w:fill="FFFFFF" w:themeFill="background1"/>
          </w:tcPr>
          <w:p w14:paraId="08F8011C" w14:textId="0CB3D5F1" w:rsidR="00822C6A" w:rsidRPr="00495729" w:rsidRDefault="00822C6A" w:rsidP="00A9692B">
            <w:pPr>
              <w:spacing w:before="120" w:after="120" w:line="276" w:lineRule="auto"/>
              <w:jc w:val="both"/>
              <w:rPr>
                <w:rFonts w:ascii="Arial" w:hAnsi="Arial" w:cs="Arial"/>
                <w:sz w:val="18"/>
                <w:szCs w:val="18"/>
              </w:rPr>
            </w:pPr>
            <w:r w:rsidRPr="00050C71">
              <w:rPr>
                <w:rFonts w:ascii="Arial" w:hAnsi="Arial" w:cs="Arial"/>
                <w:sz w:val="18"/>
                <w:szCs w:val="18"/>
              </w:rPr>
              <w:t>Las secciones 4.1 y 4.2 de la Guía de Concentraciones se actualizará considerando las últimas decisiones de los Tribunales y los comentarios realizados.</w:t>
            </w:r>
          </w:p>
        </w:tc>
      </w:tr>
      <w:tr w:rsidR="00822C6A" w:rsidRPr="003E2214" w14:paraId="2DB5838A" w14:textId="77777777" w:rsidTr="00616B30">
        <w:trPr>
          <w:jc w:val="center"/>
        </w:trPr>
        <w:tc>
          <w:tcPr>
            <w:tcW w:w="2825" w:type="dxa"/>
            <w:vMerge/>
            <w:shd w:val="clear" w:color="auto" w:fill="FFFFFF" w:themeFill="background1"/>
          </w:tcPr>
          <w:p w14:paraId="6D62A5C3" w14:textId="77777777" w:rsidR="00822C6A" w:rsidRDefault="00822C6A" w:rsidP="00A9692B">
            <w:pPr>
              <w:spacing w:before="120" w:after="120" w:line="276" w:lineRule="auto"/>
              <w:jc w:val="both"/>
              <w:rPr>
                <w:rFonts w:ascii="Arial" w:hAnsi="Arial" w:cs="Arial"/>
                <w:bCs/>
                <w:sz w:val="18"/>
                <w:szCs w:val="18"/>
                <w:lang w:val="es-ES"/>
              </w:rPr>
            </w:pPr>
          </w:p>
        </w:tc>
        <w:tc>
          <w:tcPr>
            <w:tcW w:w="2977" w:type="dxa"/>
            <w:shd w:val="clear" w:color="auto" w:fill="FFFFFF" w:themeFill="background1"/>
          </w:tcPr>
          <w:p w14:paraId="7C7E2804" w14:textId="30976C6D" w:rsidR="00822C6A" w:rsidRPr="00BF4F5D" w:rsidRDefault="00822C6A" w:rsidP="00A9692B">
            <w:pPr>
              <w:spacing w:before="120" w:after="120" w:line="276" w:lineRule="auto"/>
              <w:jc w:val="both"/>
              <w:rPr>
                <w:rFonts w:ascii="Arial" w:hAnsi="Arial" w:cs="Arial"/>
                <w:sz w:val="18"/>
                <w:szCs w:val="18"/>
              </w:rPr>
            </w:pPr>
            <w:r w:rsidRPr="00C65B32">
              <w:rPr>
                <w:rFonts w:ascii="Arial" w:hAnsi="Arial" w:cs="Arial"/>
                <w:sz w:val="18"/>
                <w:szCs w:val="18"/>
              </w:rPr>
              <w:t xml:space="preserve">En lo concerniente a la instancia (iv) "emplean como insumo las redes de telecomunicaciones de </w:t>
            </w:r>
            <w:r w:rsidRPr="00C65B32">
              <w:rPr>
                <w:rFonts w:ascii="Arial" w:hAnsi="Arial" w:cs="Arial"/>
                <w:sz w:val="18"/>
                <w:szCs w:val="18"/>
              </w:rPr>
              <w:lastRenderedPageBreak/>
              <w:t>manera importante", no es del todo claro que actividades que empleen de manera importante las redes de telecomunicaciones como insumo, sean actividades sobre las que el Instituto tenga siempre competencia para conocer y resolver concentraciones; esto es particularmente relevante en el caso de concentraciones que involucran plataformas digitales.</w:t>
            </w:r>
          </w:p>
        </w:tc>
        <w:tc>
          <w:tcPr>
            <w:tcW w:w="3402" w:type="dxa"/>
            <w:vMerge/>
            <w:shd w:val="clear" w:color="auto" w:fill="FFFFFF" w:themeFill="background1"/>
          </w:tcPr>
          <w:p w14:paraId="0ED21D2A" w14:textId="77777777" w:rsidR="00822C6A" w:rsidRPr="00495729" w:rsidRDefault="00822C6A" w:rsidP="00A9692B">
            <w:pPr>
              <w:spacing w:before="120" w:after="120" w:line="276" w:lineRule="auto"/>
              <w:jc w:val="both"/>
              <w:rPr>
                <w:rFonts w:ascii="Arial" w:hAnsi="Arial" w:cs="Arial"/>
                <w:sz w:val="18"/>
                <w:szCs w:val="18"/>
              </w:rPr>
            </w:pPr>
          </w:p>
        </w:tc>
      </w:tr>
      <w:tr w:rsidR="00822C6A" w:rsidRPr="003E2214" w14:paraId="1ECE3647" w14:textId="77777777" w:rsidTr="009E7BC9">
        <w:trPr>
          <w:trHeight w:val="9404"/>
          <w:jc w:val="center"/>
        </w:trPr>
        <w:tc>
          <w:tcPr>
            <w:tcW w:w="2825" w:type="dxa"/>
            <w:vMerge/>
            <w:shd w:val="clear" w:color="auto" w:fill="FFFFFF" w:themeFill="background1"/>
          </w:tcPr>
          <w:p w14:paraId="487D8FE7" w14:textId="77777777" w:rsidR="00822C6A" w:rsidRDefault="00822C6A" w:rsidP="00A9692B">
            <w:pPr>
              <w:spacing w:before="120" w:after="120" w:line="276" w:lineRule="auto"/>
              <w:jc w:val="both"/>
              <w:rPr>
                <w:rFonts w:ascii="Arial" w:hAnsi="Arial" w:cs="Arial"/>
                <w:bCs/>
                <w:sz w:val="18"/>
                <w:szCs w:val="18"/>
                <w:lang w:val="es-ES"/>
              </w:rPr>
            </w:pPr>
          </w:p>
        </w:tc>
        <w:tc>
          <w:tcPr>
            <w:tcW w:w="2977" w:type="dxa"/>
            <w:shd w:val="clear" w:color="auto" w:fill="FFFFFF" w:themeFill="background1"/>
            <w:vAlign w:val="center"/>
          </w:tcPr>
          <w:p w14:paraId="14066E22" w14:textId="1FD1DFAF" w:rsidR="00822C6A" w:rsidRPr="00C65B32" w:rsidRDefault="00822C6A" w:rsidP="00A9692B">
            <w:pPr>
              <w:spacing w:before="120" w:after="120" w:line="276" w:lineRule="auto"/>
              <w:jc w:val="both"/>
              <w:rPr>
                <w:rFonts w:ascii="Arial" w:hAnsi="Arial" w:cs="Arial"/>
                <w:sz w:val="18"/>
                <w:szCs w:val="18"/>
              </w:rPr>
            </w:pPr>
            <w:r w:rsidRPr="00AE7DEA">
              <w:rPr>
                <w:rFonts w:ascii="Arial" w:eastAsia="Times New Roman" w:hAnsi="Arial" w:cs="Arial"/>
                <w:color w:val="000000"/>
                <w:sz w:val="18"/>
                <w:szCs w:val="18"/>
                <w:lang w:eastAsia="es-MX"/>
              </w:rPr>
              <w:t>Se sugiere que la Guía para el Control de Concentraciones no haga referencia a la instancia (iv) porque podría generar incertidumbre en los procesos de notificación de concentraciones. Esto porque la lectura de esta guía podría conducir a los agentes económicos a pensar que el Instituto es competente para conocer ese tipo de concentraciones cuando, en los hechos, podría no ser el caso.</w:t>
            </w:r>
          </w:p>
        </w:tc>
        <w:tc>
          <w:tcPr>
            <w:tcW w:w="3402" w:type="dxa"/>
            <w:vMerge/>
            <w:shd w:val="clear" w:color="auto" w:fill="FFFFFF" w:themeFill="background1"/>
          </w:tcPr>
          <w:p w14:paraId="55BBC054" w14:textId="77777777" w:rsidR="00822C6A" w:rsidRPr="00495729" w:rsidRDefault="00822C6A" w:rsidP="00A9692B">
            <w:pPr>
              <w:spacing w:before="120" w:after="120" w:line="276" w:lineRule="auto"/>
              <w:jc w:val="both"/>
              <w:rPr>
                <w:rFonts w:ascii="Arial" w:hAnsi="Arial" w:cs="Arial"/>
                <w:sz w:val="18"/>
                <w:szCs w:val="18"/>
              </w:rPr>
            </w:pPr>
          </w:p>
        </w:tc>
      </w:tr>
      <w:tr w:rsidR="009E7BC9" w:rsidRPr="003E2214" w14:paraId="68523A1E" w14:textId="77777777" w:rsidTr="009B2105">
        <w:trPr>
          <w:trHeight w:val="9404"/>
          <w:jc w:val="center"/>
        </w:trPr>
        <w:tc>
          <w:tcPr>
            <w:tcW w:w="2825" w:type="dxa"/>
            <w:vMerge/>
            <w:shd w:val="clear" w:color="auto" w:fill="FFFFFF" w:themeFill="background1"/>
          </w:tcPr>
          <w:p w14:paraId="06C0B243" w14:textId="77777777" w:rsidR="009E7BC9" w:rsidRDefault="009E7BC9" w:rsidP="00A9692B">
            <w:pPr>
              <w:spacing w:before="120" w:after="120" w:line="276" w:lineRule="auto"/>
              <w:jc w:val="both"/>
              <w:rPr>
                <w:rFonts w:ascii="Arial" w:hAnsi="Arial" w:cs="Arial"/>
                <w:bCs/>
                <w:sz w:val="18"/>
                <w:szCs w:val="18"/>
                <w:lang w:val="es-ES"/>
              </w:rPr>
            </w:pPr>
          </w:p>
        </w:tc>
        <w:tc>
          <w:tcPr>
            <w:tcW w:w="2977" w:type="dxa"/>
            <w:shd w:val="clear" w:color="auto" w:fill="FFFFFF" w:themeFill="background1"/>
            <w:vAlign w:val="center"/>
          </w:tcPr>
          <w:p w14:paraId="29835695" w14:textId="7223ACB2" w:rsidR="009E7BC9" w:rsidRPr="00AE7DEA" w:rsidRDefault="009E7BC9" w:rsidP="00A9692B">
            <w:pPr>
              <w:spacing w:before="120" w:after="120" w:line="276" w:lineRule="auto"/>
              <w:jc w:val="both"/>
              <w:rPr>
                <w:rFonts w:ascii="Arial" w:eastAsia="Times New Roman" w:hAnsi="Arial" w:cs="Arial"/>
                <w:color w:val="000000"/>
                <w:sz w:val="18"/>
                <w:szCs w:val="18"/>
                <w:lang w:eastAsia="es-MX"/>
              </w:rPr>
            </w:pPr>
            <w:r w:rsidRPr="00C65B32">
              <w:rPr>
                <w:rFonts w:ascii="Arial" w:hAnsi="Arial" w:cs="Arial"/>
                <w:sz w:val="18"/>
                <w:szCs w:val="18"/>
              </w:rPr>
              <w:t>El IFT considera como parte de su competencia, la comercialización de servicios de telecomunicaciones, los cuales define como ''aquellos que se proporcionan a usuarios finales mediante el uso de capacidad de una o varias redes públicas de telecomunicaciones, sin tener el carácter de concesionario". Se considera que esta definición puede resultar confusa para los Agentes Económicos, pues en su descripción podrían incluirse los servicios de cómputo en la nube, los cuales se han considerado competencia de esta COMISIÓN</w:t>
            </w:r>
          </w:p>
        </w:tc>
        <w:tc>
          <w:tcPr>
            <w:tcW w:w="3402" w:type="dxa"/>
            <w:vMerge/>
            <w:shd w:val="clear" w:color="auto" w:fill="FFFFFF" w:themeFill="background1"/>
          </w:tcPr>
          <w:p w14:paraId="2E9D6C58" w14:textId="77777777" w:rsidR="009E7BC9" w:rsidRPr="00495729" w:rsidRDefault="009E7BC9" w:rsidP="00A9692B">
            <w:pPr>
              <w:spacing w:before="120" w:after="120" w:line="276" w:lineRule="auto"/>
              <w:jc w:val="both"/>
              <w:rPr>
                <w:rFonts w:ascii="Arial" w:hAnsi="Arial" w:cs="Arial"/>
                <w:sz w:val="18"/>
                <w:szCs w:val="18"/>
              </w:rPr>
            </w:pPr>
          </w:p>
        </w:tc>
      </w:tr>
    </w:tbl>
    <w:bookmarkEnd w:id="8"/>
    <w:p w14:paraId="01958D5E" w14:textId="6A16F5DA" w:rsidR="009E7A32" w:rsidRPr="009A0811" w:rsidRDefault="00034150" w:rsidP="00A9692B">
      <w:pPr>
        <w:spacing w:before="120" w:after="120" w:line="276" w:lineRule="auto"/>
        <w:jc w:val="both"/>
        <w:rPr>
          <w:rFonts w:ascii="Arial" w:hAnsi="Arial" w:cs="Arial"/>
          <w:b/>
          <w:bCs/>
        </w:rPr>
      </w:pPr>
      <w:r>
        <w:rPr>
          <w:rFonts w:ascii="Arial" w:hAnsi="Arial" w:cs="Arial"/>
          <w:b/>
        </w:rPr>
        <w:t>7</w:t>
      </w:r>
      <w:r w:rsidR="009A0811">
        <w:rPr>
          <w:rFonts w:ascii="Arial" w:hAnsi="Arial" w:cs="Arial"/>
          <w:b/>
        </w:rPr>
        <w:t>.</w:t>
      </w:r>
      <w:r w:rsidR="00C70638">
        <w:rPr>
          <w:rFonts w:ascii="Arial" w:hAnsi="Arial" w:cs="Arial"/>
          <w:b/>
        </w:rPr>
        <w:t>6</w:t>
      </w:r>
      <w:r w:rsidR="009A0811">
        <w:rPr>
          <w:rFonts w:ascii="Arial" w:hAnsi="Arial" w:cs="Arial"/>
          <w:b/>
        </w:rPr>
        <w:t xml:space="preserve">. </w:t>
      </w:r>
      <w:r>
        <w:rPr>
          <w:rFonts w:ascii="Arial" w:hAnsi="Arial" w:cs="Arial"/>
          <w:b/>
        </w:rPr>
        <w:t>“</w:t>
      </w:r>
      <w:r w:rsidR="00227BAE" w:rsidRPr="00227BAE">
        <w:rPr>
          <w:rFonts w:ascii="Arial" w:hAnsi="Arial" w:cs="Arial"/>
          <w:b/>
        </w:rPr>
        <w:t>4.2 Fijar competencia entre el Instituto y COFECE</w:t>
      </w:r>
      <w:r w:rsidR="00227BAE">
        <w:rPr>
          <w:rFonts w:ascii="Arial" w:hAnsi="Arial" w:cs="Arial"/>
          <w:b/>
        </w:rPr>
        <w:t>”</w:t>
      </w:r>
    </w:p>
    <w:p w14:paraId="46727BF9" w14:textId="7B0FE6C3" w:rsidR="009A0811" w:rsidRPr="009A0811" w:rsidRDefault="00034150" w:rsidP="00A9692B">
      <w:pPr>
        <w:spacing w:before="120" w:after="120" w:line="276" w:lineRule="auto"/>
        <w:jc w:val="both"/>
        <w:rPr>
          <w:rFonts w:ascii="Arial" w:hAnsi="Arial" w:cs="Arial"/>
          <w:b/>
          <w:bCs/>
        </w:rPr>
      </w:pPr>
      <w:r>
        <w:rPr>
          <w:rFonts w:ascii="Arial" w:hAnsi="Arial" w:cs="Arial"/>
          <w:b/>
        </w:rPr>
        <w:t>7</w:t>
      </w:r>
      <w:r w:rsidR="009A0811" w:rsidRPr="009A0811">
        <w:rPr>
          <w:rFonts w:ascii="Arial" w:hAnsi="Arial" w:cs="Arial"/>
          <w:b/>
        </w:rPr>
        <w:t>.</w:t>
      </w:r>
      <w:r w:rsidR="00C70638">
        <w:rPr>
          <w:rFonts w:ascii="Arial" w:hAnsi="Arial" w:cs="Arial"/>
          <w:b/>
        </w:rPr>
        <w:t>6</w:t>
      </w:r>
      <w:r w:rsidR="009A0811" w:rsidRPr="009A0811">
        <w:rPr>
          <w:rFonts w:ascii="Arial" w:hAnsi="Arial" w:cs="Arial"/>
          <w:b/>
        </w:rPr>
        <w:t xml:space="preserve">.1. Síntesis de los comentarios relacionados </w:t>
      </w:r>
      <w:r w:rsidR="00B24D13">
        <w:rPr>
          <w:rFonts w:ascii="Arial" w:hAnsi="Arial" w:cs="Arial"/>
          <w:b/>
        </w:rPr>
        <w:t xml:space="preserve">con el </w:t>
      </w:r>
      <w:r w:rsidR="00227BAE">
        <w:rPr>
          <w:rFonts w:ascii="Arial" w:hAnsi="Arial" w:cs="Arial"/>
          <w:b/>
        </w:rPr>
        <w:t xml:space="preserve">apartado </w:t>
      </w:r>
      <w:r w:rsidR="00227BAE" w:rsidRPr="00227BAE">
        <w:rPr>
          <w:rFonts w:ascii="Arial" w:hAnsi="Arial" w:cs="Arial"/>
          <w:b/>
        </w:rPr>
        <w:t>4.2 Fijar competencia entre el Instituto y COFECE</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4A0" w:firstRow="1" w:lastRow="0" w:firstColumn="1" w:lastColumn="0" w:noHBand="0" w:noVBand="1"/>
      </w:tblPr>
      <w:tblGrid>
        <w:gridCol w:w="2948"/>
        <w:gridCol w:w="2948"/>
        <w:gridCol w:w="3308"/>
      </w:tblGrid>
      <w:tr w:rsidR="00C24811" w:rsidRPr="003E2214" w14:paraId="6AE6DD63" w14:textId="6FD26A9D" w:rsidTr="00275B74">
        <w:trPr>
          <w:tblHeader/>
          <w:jc w:val="center"/>
        </w:trPr>
        <w:tc>
          <w:tcPr>
            <w:tcW w:w="2948" w:type="dxa"/>
            <w:shd w:val="clear" w:color="auto" w:fill="70AD47" w:themeFill="accent6"/>
          </w:tcPr>
          <w:p w14:paraId="09B8C598" w14:textId="29AE1F29" w:rsidR="00C24811" w:rsidRPr="00BF4F5D" w:rsidRDefault="00C24811" w:rsidP="00A9692B">
            <w:pPr>
              <w:spacing w:before="120" w:after="120" w:line="276" w:lineRule="auto"/>
              <w:jc w:val="center"/>
              <w:rPr>
                <w:rFonts w:ascii="Arial" w:hAnsi="Arial" w:cs="Arial"/>
                <w:sz w:val="18"/>
                <w:szCs w:val="18"/>
              </w:rPr>
            </w:pPr>
            <w:r w:rsidRPr="00730154">
              <w:rPr>
                <w:rFonts w:ascii="Arial" w:hAnsi="Arial" w:cs="Arial"/>
                <w:b/>
                <w:sz w:val="18"/>
                <w:szCs w:val="18"/>
              </w:rPr>
              <w:t>Apartado del Anteproyecto</w:t>
            </w:r>
          </w:p>
        </w:tc>
        <w:tc>
          <w:tcPr>
            <w:tcW w:w="2948" w:type="dxa"/>
            <w:shd w:val="clear" w:color="auto" w:fill="70AD47" w:themeFill="accent6"/>
          </w:tcPr>
          <w:p w14:paraId="1C830F18" w14:textId="17EE2078" w:rsidR="00C24811" w:rsidRPr="00BF4F5D" w:rsidRDefault="00C24811" w:rsidP="00A9692B">
            <w:pPr>
              <w:spacing w:before="120" w:after="120" w:line="276" w:lineRule="auto"/>
              <w:jc w:val="center"/>
              <w:rPr>
                <w:rFonts w:ascii="Arial" w:hAnsi="Arial" w:cs="Arial"/>
                <w:sz w:val="18"/>
                <w:szCs w:val="18"/>
              </w:rPr>
            </w:pPr>
            <w:r w:rsidRPr="00730154">
              <w:rPr>
                <w:rFonts w:ascii="Arial" w:hAnsi="Arial" w:cs="Arial"/>
                <w:b/>
                <w:sz w:val="18"/>
                <w:szCs w:val="18"/>
              </w:rPr>
              <w:t>Resumen de los comentarios recibidos</w:t>
            </w:r>
          </w:p>
        </w:tc>
        <w:tc>
          <w:tcPr>
            <w:tcW w:w="3308" w:type="dxa"/>
            <w:shd w:val="clear" w:color="auto" w:fill="70AD47" w:themeFill="accent6"/>
          </w:tcPr>
          <w:p w14:paraId="7650FB60" w14:textId="68836F2B" w:rsidR="00C24811" w:rsidRPr="00730154" w:rsidRDefault="00C24811" w:rsidP="00A9692B">
            <w:pPr>
              <w:spacing w:before="120" w:after="120" w:line="276" w:lineRule="auto"/>
              <w:jc w:val="center"/>
              <w:rPr>
                <w:rFonts w:ascii="Arial" w:hAnsi="Arial" w:cs="Arial"/>
                <w:b/>
                <w:sz w:val="18"/>
                <w:szCs w:val="18"/>
              </w:rPr>
            </w:pPr>
            <w:r>
              <w:rPr>
                <w:rFonts w:ascii="Arial" w:hAnsi="Arial" w:cs="Arial"/>
                <w:b/>
                <w:sz w:val="18"/>
                <w:szCs w:val="18"/>
              </w:rPr>
              <w:t>Consideración</w:t>
            </w:r>
          </w:p>
        </w:tc>
      </w:tr>
      <w:tr w:rsidR="00C24811" w:rsidRPr="003E2214" w14:paraId="6A635638" w14:textId="1BC889D6" w:rsidTr="00275B74">
        <w:trPr>
          <w:jc w:val="center"/>
        </w:trPr>
        <w:tc>
          <w:tcPr>
            <w:tcW w:w="9204" w:type="dxa"/>
            <w:gridSpan w:val="3"/>
            <w:shd w:val="clear" w:color="auto" w:fill="C5E0B3" w:themeFill="accent6" w:themeFillTint="66"/>
          </w:tcPr>
          <w:p w14:paraId="775CA93C" w14:textId="35D8C78F" w:rsidR="00C24811" w:rsidRPr="00BF4F5D" w:rsidRDefault="00227BAE" w:rsidP="00A9692B">
            <w:pPr>
              <w:spacing w:before="120" w:after="120" w:line="276" w:lineRule="auto"/>
              <w:jc w:val="center"/>
              <w:rPr>
                <w:rFonts w:ascii="Arial" w:hAnsi="Arial" w:cs="Arial"/>
                <w:b/>
                <w:sz w:val="18"/>
                <w:szCs w:val="18"/>
                <w:lang w:val="es-ES_tradnl"/>
              </w:rPr>
            </w:pPr>
            <w:r w:rsidRPr="00227BAE">
              <w:rPr>
                <w:rFonts w:ascii="Arial" w:hAnsi="Arial" w:cs="Arial"/>
                <w:b/>
                <w:sz w:val="18"/>
                <w:szCs w:val="18"/>
                <w:lang w:val="es-ES_tradnl"/>
              </w:rPr>
              <w:t>4.2 Fijar competencia entre el Instituto y COFECE</w:t>
            </w:r>
          </w:p>
        </w:tc>
      </w:tr>
      <w:tr w:rsidR="008864F4" w:rsidRPr="003E2214" w14:paraId="60F1C57F" w14:textId="38D5627A" w:rsidTr="00275B74">
        <w:trPr>
          <w:jc w:val="center"/>
        </w:trPr>
        <w:tc>
          <w:tcPr>
            <w:tcW w:w="2948" w:type="dxa"/>
            <w:vMerge w:val="restart"/>
            <w:shd w:val="clear" w:color="auto" w:fill="FFFFFF" w:themeFill="background1"/>
          </w:tcPr>
          <w:p w14:paraId="04A5F639" w14:textId="77777777" w:rsidR="008864F4" w:rsidRPr="009458BA" w:rsidRDefault="008864F4" w:rsidP="00A9692B">
            <w:pPr>
              <w:spacing w:before="120" w:after="120" w:line="276" w:lineRule="auto"/>
              <w:jc w:val="both"/>
              <w:rPr>
                <w:rFonts w:ascii="Arial" w:hAnsi="Arial" w:cs="Arial"/>
                <w:sz w:val="18"/>
                <w:szCs w:val="18"/>
                <w:lang w:val="es-ES"/>
              </w:rPr>
            </w:pPr>
            <w:r w:rsidRPr="009458BA">
              <w:rPr>
                <w:rFonts w:ascii="Arial" w:hAnsi="Arial" w:cs="Arial"/>
                <w:sz w:val="18"/>
                <w:szCs w:val="18"/>
                <w:lang w:val="es-ES"/>
              </w:rPr>
              <w:lastRenderedPageBreak/>
              <w:t xml:space="preserve">El IFT y la COFECE mantienen una comunicación para solicitarse recíprocamente comentarios respecto de asuntos específicos. Así, ambas autoridades tienen la oportunidad de manifestarse sobre su competencia para conocer y resolver los procedimientos, en beneficio de los agentes económicos. </w:t>
            </w:r>
          </w:p>
          <w:p w14:paraId="501F466B" w14:textId="77777777" w:rsidR="008864F4" w:rsidRPr="009458BA" w:rsidRDefault="008864F4" w:rsidP="00A9692B">
            <w:pPr>
              <w:spacing w:before="120" w:after="120" w:line="276" w:lineRule="auto"/>
              <w:jc w:val="both"/>
              <w:rPr>
                <w:rFonts w:ascii="Arial" w:hAnsi="Arial" w:cs="Arial"/>
                <w:sz w:val="18"/>
                <w:szCs w:val="18"/>
                <w:lang w:val="es-ES"/>
              </w:rPr>
            </w:pPr>
            <w:r w:rsidRPr="009458BA">
              <w:rPr>
                <w:rFonts w:ascii="Arial" w:hAnsi="Arial" w:cs="Arial"/>
                <w:sz w:val="18"/>
                <w:szCs w:val="18"/>
                <w:lang w:val="es-ES"/>
              </w:rPr>
              <w:t>El artículo 5, párrafos segundo a cuarto, de la LFCE, establece el procedimiento para fijar competencia en asuntos en los que ambas autoridades –el IFT y la COFECE- consideran que les corresponde o no les corresponde conocer. En estas situaciones, corresponde a un Tribunal Especializado fijar la competencia. Los plazos previstos en la LFCE respecto al procedimiento de concentración de que se trate se suspenderán a partir de que el Pleno del IFT o de la COFECE declaren el inicio de cualquier procedimiento previsto en el artículo 5 de la LFCE, y se reiniciarán a partir del día hábil siguiente a aquél en que el Tribunal Colegiado de Circuito notifique a la autoridad competente la resolución.</w:t>
            </w:r>
          </w:p>
          <w:p w14:paraId="77BEA42A" w14:textId="77777777" w:rsidR="008864F4" w:rsidRPr="009458BA" w:rsidRDefault="008864F4" w:rsidP="00A9692B">
            <w:pPr>
              <w:spacing w:before="120" w:after="120" w:line="276" w:lineRule="auto"/>
              <w:jc w:val="both"/>
              <w:rPr>
                <w:rFonts w:ascii="Arial" w:hAnsi="Arial" w:cs="Arial"/>
                <w:b/>
                <w:sz w:val="18"/>
                <w:szCs w:val="18"/>
                <w:lang w:val="es-ES"/>
              </w:rPr>
            </w:pPr>
            <w:r w:rsidRPr="009458BA">
              <w:rPr>
                <w:rFonts w:ascii="Arial" w:hAnsi="Arial" w:cs="Arial"/>
                <w:b/>
                <w:sz w:val="18"/>
                <w:szCs w:val="18"/>
                <w:lang w:val="es-ES"/>
              </w:rPr>
              <w:t>Cuando ambas autoridades se consideren competentes</w:t>
            </w:r>
          </w:p>
          <w:p w14:paraId="6DE8C4E8" w14:textId="77777777" w:rsidR="008864F4" w:rsidRPr="009458BA" w:rsidRDefault="008864F4" w:rsidP="00A9692B">
            <w:pPr>
              <w:spacing w:before="120" w:after="120" w:line="276" w:lineRule="auto"/>
              <w:jc w:val="both"/>
              <w:rPr>
                <w:rFonts w:ascii="Arial" w:hAnsi="Arial" w:cs="Arial"/>
                <w:sz w:val="18"/>
                <w:szCs w:val="18"/>
                <w:lang w:val="es-ES"/>
              </w:rPr>
            </w:pPr>
            <w:r w:rsidRPr="009458BA">
              <w:rPr>
                <w:rFonts w:ascii="Arial" w:hAnsi="Arial" w:cs="Arial"/>
                <w:sz w:val="18"/>
                <w:szCs w:val="18"/>
                <w:lang w:val="es-ES"/>
              </w:rPr>
              <w:t>En caso de que el IFT o la COFECE tengan información de que la otra autoridad conoce de un asunto que estima le corresponde, le solicitará mediante oficio la remisión del expediente respectivo, en términos de lo dispuesto en el párrafo segundo del artículo 5 de la LFCE.</w:t>
            </w:r>
          </w:p>
          <w:p w14:paraId="6EAF10C4" w14:textId="77777777" w:rsidR="008864F4" w:rsidRPr="009458BA" w:rsidRDefault="008864F4" w:rsidP="00A9692B">
            <w:pPr>
              <w:spacing w:before="120" w:after="120" w:line="276" w:lineRule="auto"/>
              <w:jc w:val="both"/>
              <w:rPr>
                <w:rFonts w:ascii="Arial" w:hAnsi="Arial" w:cs="Arial"/>
                <w:sz w:val="18"/>
                <w:szCs w:val="18"/>
                <w:lang w:val="es-ES"/>
              </w:rPr>
            </w:pPr>
            <w:r w:rsidRPr="009458BA">
              <w:rPr>
                <w:rFonts w:ascii="Arial" w:hAnsi="Arial" w:cs="Arial"/>
                <w:sz w:val="18"/>
                <w:szCs w:val="18"/>
                <w:lang w:val="es-ES"/>
              </w:rPr>
              <w:t xml:space="preserve">Si la autoridad que recibe la solicitud del expediente estima que la competencia para conocer y resolver de la concentración </w:t>
            </w:r>
            <w:r w:rsidRPr="009458BA">
              <w:rPr>
                <w:rFonts w:ascii="Arial" w:hAnsi="Arial" w:cs="Arial"/>
                <w:sz w:val="18"/>
                <w:szCs w:val="18"/>
                <w:lang w:val="es-ES"/>
              </w:rPr>
              <w:lastRenderedPageBreak/>
              <w:t xml:space="preserve">corresponde a la autoridad solicitante, remitirá el expediente a dicha autoridad. En caso contrario, la autoridad que recibe la solicitud de remisión del expediente informará de su resolución, en la que estima que la competencia no es de la autoridad la solicitante, en cuyo caso al existir dos autoridades que se han declarados competentes, se </w:t>
            </w:r>
            <w:r w:rsidRPr="009458BA">
              <w:rPr>
                <w:rFonts w:ascii="Arial" w:hAnsi="Arial" w:cs="Arial"/>
                <w:sz w:val="18"/>
                <w:szCs w:val="18"/>
                <w:lang w:val="es-ES"/>
              </w:rPr>
              <w:lastRenderedPageBreak/>
              <w:t>suspenderá el procedimiento y se remitirá el expediente al Tribunal Especializado, quien fijará la competencia.</w:t>
            </w:r>
          </w:p>
          <w:p w14:paraId="5757B7B3" w14:textId="77777777" w:rsidR="008864F4" w:rsidRPr="008864F4" w:rsidRDefault="008864F4" w:rsidP="00A9692B">
            <w:pPr>
              <w:spacing w:before="120" w:after="120" w:line="276" w:lineRule="auto"/>
              <w:jc w:val="both"/>
              <w:rPr>
                <w:rFonts w:ascii="Arial" w:hAnsi="Arial" w:cs="Arial"/>
                <w:b/>
                <w:sz w:val="18"/>
                <w:szCs w:val="18"/>
                <w:lang w:val="es-ES"/>
              </w:rPr>
            </w:pPr>
            <w:r w:rsidRPr="008864F4">
              <w:rPr>
                <w:rFonts w:ascii="Arial" w:hAnsi="Arial" w:cs="Arial"/>
                <w:b/>
                <w:sz w:val="18"/>
                <w:szCs w:val="18"/>
                <w:lang w:val="es-ES"/>
              </w:rPr>
              <w:t>Cuando ninguna autoridad se considere competente</w:t>
            </w:r>
          </w:p>
          <w:p w14:paraId="3E18BECA" w14:textId="77777777" w:rsidR="008864F4" w:rsidRPr="009458BA" w:rsidRDefault="008864F4" w:rsidP="00A9692B">
            <w:pPr>
              <w:spacing w:before="120" w:after="120" w:line="276" w:lineRule="auto"/>
              <w:jc w:val="both"/>
              <w:rPr>
                <w:rFonts w:ascii="Arial" w:hAnsi="Arial" w:cs="Arial"/>
                <w:sz w:val="18"/>
                <w:szCs w:val="18"/>
                <w:lang w:val="es-ES"/>
              </w:rPr>
            </w:pPr>
            <w:r w:rsidRPr="009458BA">
              <w:rPr>
                <w:rFonts w:ascii="Arial" w:hAnsi="Arial" w:cs="Arial"/>
                <w:sz w:val="18"/>
                <w:szCs w:val="18"/>
                <w:lang w:val="es-ES"/>
              </w:rPr>
              <w:t>En el caso de que el IFT o la COFECE conozcan de una concentración y consideren carecer de competencia para conocerla, enviará el expediente respectivo a la otra autoridad, como establece el párrafo tercero del artículo 5 de la LFCE.</w:t>
            </w:r>
          </w:p>
          <w:p w14:paraId="29D01914" w14:textId="77777777" w:rsidR="008864F4" w:rsidRPr="009458BA" w:rsidRDefault="008864F4" w:rsidP="00A9692B">
            <w:pPr>
              <w:spacing w:before="120" w:after="120" w:line="276" w:lineRule="auto"/>
              <w:jc w:val="both"/>
              <w:rPr>
                <w:rFonts w:ascii="Arial" w:hAnsi="Arial" w:cs="Arial"/>
                <w:sz w:val="18"/>
                <w:szCs w:val="18"/>
                <w:lang w:val="es-ES"/>
              </w:rPr>
            </w:pPr>
            <w:r w:rsidRPr="009458BA">
              <w:rPr>
                <w:rFonts w:ascii="Arial" w:hAnsi="Arial" w:cs="Arial"/>
                <w:sz w:val="18"/>
                <w:szCs w:val="18"/>
                <w:lang w:val="es-ES"/>
              </w:rPr>
              <w:t>Si la autoridad que recibe el expediente acepta la competencia, se abocará a su conocimiento y resolverá lo conducente. En caso contrario, comunicará su resolución al órgano que declinó la competencia y remitirá los autos al Tribunal Especializado para que fije la competencia.</w:t>
            </w:r>
          </w:p>
          <w:p w14:paraId="0C1B0C34" w14:textId="77777777" w:rsidR="008864F4" w:rsidRPr="009458BA" w:rsidRDefault="008864F4" w:rsidP="00A9692B">
            <w:pPr>
              <w:spacing w:before="120" w:after="120" w:line="276" w:lineRule="auto"/>
              <w:jc w:val="both"/>
              <w:rPr>
                <w:rFonts w:ascii="Arial" w:hAnsi="Arial" w:cs="Arial"/>
                <w:b/>
                <w:sz w:val="18"/>
                <w:szCs w:val="18"/>
                <w:lang w:val="es-ES"/>
              </w:rPr>
            </w:pPr>
            <w:r w:rsidRPr="009458BA">
              <w:rPr>
                <w:rFonts w:ascii="Arial" w:hAnsi="Arial" w:cs="Arial"/>
                <w:b/>
                <w:sz w:val="18"/>
                <w:szCs w:val="18"/>
                <w:lang w:val="es-ES"/>
              </w:rPr>
              <w:t>Precedentes Judiciales</w:t>
            </w:r>
          </w:p>
          <w:p w14:paraId="106CF399" w14:textId="77777777" w:rsidR="008864F4" w:rsidRPr="009458BA" w:rsidRDefault="008864F4" w:rsidP="00A9692B">
            <w:pPr>
              <w:spacing w:before="120" w:after="120" w:line="276" w:lineRule="auto"/>
              <w:jc w:val="both"/>
              <w:rPr>
                <w:rFonts w:ascii="Arial" w:hAnsi="Arial" w:cs="Arial"/>
                <w:sz w:val="18"/>
                <w:szCs w:val="18"/>
                <w:lang w:val="es-ES"/>
              </w:rPr>
            </w:pPr>
            <w:r w:rsidRPr="009458BA">
              <w:rPr>
                <w:rFonts w:ascii="Arial" w:hAnsi="Arial" w:cs="Arial"/>
                <w:sz w:val="18"/>
                <w:szCs w:val="18"/>
                <w:lang w:val="es-ES"/>
              </w:rPr>
              <w:t>En 2015, se tramitó y resolvió el primer procedimiento para fijar competencia para conocer y resolver una concentración, en términos de lo previsto en el artículo 5 de la LFCE, ya que tanto el IFT como la COFECE alegaban ser autoridades competentes.</w:t>
            </w:r>
          </w:p>
          <w:p w14:paraId="647366A0" w14:textId="77777777" w:rsidR="008864F4" w:rsidRPr="009458BA" w:rsidRDefault="008864F4" w:rsidP="00A9692B">
            <w:pPr>
              <w:spacing w:before="120" w:after="120" w:line="276" w:lineRule="auto"/>
              <w:jc w:val="both"/>
              <w:rPr>
                <w:rFonts w:ascii="Arial" w:hAnsi="Arial" w:cs="Arial"/>
                <w:sz w:val="18"/>
                <w:szCs w:val="18"/>
                <w:lang w:val="es-ES"/>
              </w:rPr>
            </w:pPr>
            <w:r w:rsidRPr="009458BA">
              <w:rPr>
                <w:rFonts w:ascii="Arial" w:hAnsi="Arial" w:cs="Arial"/>
                <w:sz w:val="18"/>
                <w:szCs w:val="18"/>
                <w:lang w:val="es-ES"/>
              </w:rPr>
              <w:t>Ambas autoridades se sujetaron al procedimiento previsto en el artículo 5, párrafo segundo de la LFCE con la finalidad de que un Tribunal especializado fijara la competencia.</w:t>
            </w:r>
          </w:p>
          <w:p w14:paraId="43F58663" w14:textId="763F570F" w:rsidR="008864F4" w:rsidRDefault="008864F4" w:rsidP="00A9692B">
            <w:pPr>
              <w:spacing w:before="120" w:after="120" w:line="276" w:lineRule="auto"/>
              <w:jc w:val="both"/>
              <w:rPr>
                <w:rFonts w:ascii="Arial" w:hAnsi="Arial" w:cs="Arial"/>
                <w:sz w:val="18"/>
                <w:szCs w:val="18"/>
                <w:lang w:val="es-ES"/>
              </w:rPr>
            </w:pPr>
            <w:r w:rsidRPr="009458BA">
              <w:rPr>
                <w:rFonts w:ascii="Arial" w:hAnsi="Arial" w:cs="Arial"/>
                <w:sz w:val="18"/>
                <w:szCs w:val="18"/>
                <w:lang w:val="es-ES"/>
              </w:rPr>
              <w:t>Este procedimiento (derivado del trámite de una concentración entre Nokia Corporation y Alcatel Lucent) fue resuelto por el Segundo Tribunal Especializado, el cual fijó la competencia a favor del IFT con base, entre otras, en las siguientes consideraciones:</w:t>
            </w:r>
          </w:p>
          <w:p w14:paraId="38F2FF04" w14:textId="68436BE9" w:rsidR="008864F4" w:rsidRPr="008864F4" w:rsidRDefault="008864F4" w:rsidP="00A9692B">
            <w:pPr>
              <w:pStyle w:val="Prrafodelista"/>
              <w:numPr>
                <w:ilvl w:val="0"/>
                <w:numId w:val="8"/>
              </w:numPr>
              <w:spacing w:before="120" w:after="120" w:line="276" w:lineRule="auto"/>
              <w:ind w:left="309" w:hanging="270"/>
              <w:contextualSpacing w:val="0"/>
              <w:jc w:val="both"/>
              <w:rPr>
                <w:rFonts w:ascii="Arial" w:hAnsi="Arial" w:cs="Arial"/>
                <w:sz w:val="18"/>
                <w:szCs w:val="18"/>
                <w:lang w:val="es-ES"/>
              </w:rPr>
            </w:pPr>
            <w:r w:rsidRPr="008864F4">
              <w:rPr>
                <w:rFonts w:ascii="Arial" w:hAnsi="Arial" w:cs="Arial"/>
                <w:sz w:val="18"/>
                <w:szCs w:val="18"/>
                <w:lang w:val="es-ES"/>
              </w:rPr>
              <w:lastRenderedPageBreak/>
              <w:t>El ámbito competencial del IFT comprende la provisión de bienes necesarios o utilizados expresamente para el funcionamiento de redes de telecomunicaciones y los servicios conexos, y</w:t>
            </w:r>
          </w:p>
          <w:p w14:paraId="4B8493A4" w14:textId="09E732F5" w:rsidR="008864F4" w:rsidRPr="008864F4" w:rsidRDefault="008864F4" w:rsidP="00A9692B">
            <w:pPr>
              <w:pStyle w:val="Prrafodelista"/>
              <w:numPr>
                <w:ilvl w:val="0"/>
                <w:numId w:val="8"/>
              </w:numPr>
              <w:spacing w:before="120" w:after="120" w:line="276" w:lineRule="auto"/>
              <w:ind w:left="309" w:hanging="270"/>
              <w:contextualSpacing w:val="0"/>
              <w:jc w:val="both"/>
              <w:rPr>
                <w:rFonts w:ascii="Arial" w:hAnsi="Arial" w:cs="Arial"/>
                <w:sz w:val="18"/>
                <w:szCs w:val="18"/>
                <w:lang w:val="es-ES"/>
              </w:rPr>
            </w:pPr>
            <w:r w:rsidRPr="008864F4">
              <w:rPr>
                <w:rFonts w:ascii="Arial" w:hAnsi="Arial" w:cs="Arial"/>
                <w:sz w:val="18"/>
                <w:szCs w:val="18"/>
                <w:lang w:val="es-ES"/>
              </w:rPr>
              <w:t>Para fijar competencia, resulta aplicable un principio de especialidad, esto es, que el asunto exigía un conocimiento altamente técnico y especializado en el sector de telecomunicaciones y los diversos elementos que confluyen en el mismo, lo cual es propio del IFT, por virtud de las atribuciones que el Constituyente Permanente le otorgó cuando lo instituyó como órgano regulador de los sectores de telecomunicaciones y radiodifusión.</w:t>
            </w:r>
          </w:p>
          <w:p w14:paraId="61CEF885" w14:textId="77777777" w:rsidR="008864F4" w:rsidRPr="008864F4" w:rsidRDefault="008864F4" w:rsidP="00A9692B">
            <w:pPr>
              <w:spacing w:before="120" w:after="120" w:line="276" w:lineRule="auto"/>
              <w:jc w:val="both"/>
              <w:rPr>
                <w:rFonts w:ascii="Arial" w:hAnsi="Arial" w:cs="Arial"/>
                <w:sz w:val="18"/>
                <w:szCs w:val="18"/>
                <w:lang w:val="es-ES"/>
              </w:rPr>
            </w:pPr>
            <w:r w:rsidRPr="008864F4">
              <w:rPr>
                <w:rFonts w:ascii="Arial" w:hAnsi="Arial" w:cs="Arial"/>
                <w:sz w:val="18"/>
                <w:szCs w:val="18"/>
                <w:lang w:val="es-ES"/>
              </w:rPr>
              <w:t xml:space="preserve">En 2017, la COFECE y el IFT se sujetaron, por segunda ocasión, al procedimiento en términos de lo previsto en el artículo 5, párrafo segundo, de la LFCE con la finalidad de dirimir la competencia de otra concentración (suscitada entre AT&amp;T, Inc. y Time Warner, Inc). </w:t>
            </w:r>
          </w:p>
          <w:p w14:paraId="769A154D" w14:textId="77777777" w:rsidR="008864F4" w:rsidRPr="008864F4" w:rsidRDefault="008864F4" w:rsidP="00A9692B">
            <w:pPr>
              <w:spacing w:before="120" w:after="120" w:line="276" w:lineRule="auto"/>
              <w:jc w:val="both"/>
              <w:rPr>
                <w:rFonts w:ascii="Arial" w:hAnsi="Arial" w:cs="Arial"/>
                <w:sz w:val="18"/>
                <w:szCs w:val="18"/>
                <w:lang w:val="es-ES"/>
              </w:rPr>
            </w:pPr>
            <w:r w:rsidRPr="008864F4">
              <w:rPr>
                <w:rFonts w:ascii="Arial" w:hAnsi="Arial" w:cs="Arial"/>
                <w:sz w:val="18"/>
                <w:szCs w:val="18"/>
                <w:lang w:val="es-ES"/>
              </w:rPr>
              <w:t xml:space="preserve">Este procedimiento fue resuelto por el mismo Segundo Tribunal Especializado, quien, en esta ocasión determinó una competencia concurrente (para ambas autoridades) con base en las siguientes consideraciones: </w:t>
            </w:r>
          </w:p>
          <w:p w14:paraId="20EA06A2" w14:textId="7C2EE892" w:rsidR="008864F4" w:rsidRPr="008864F4" w:rsidRDefault="008864F4" w:rsidP="00A9692B">
            <w:pPr>
              <w:pStyle w:val="Prrafodelista"/>
              <w:numPr>
                <w:ilvl w:val="0"/>
                <w:numId w:val="9"/>
              </w:numPr>
              <w:spacing w:before="120" w:after="120" w:line="276" w:lineRule="auto"/>
              <w:ind w:left="309" w:hanging="270"/>
              <w:contextualSpacing w:val="0"/>
              <w:jc w:val="both"/>
              <w:rPr>
                <w:rFonts w:ascii="Arial" w:hAnsi="Arial" w:cs="Arial"/>
                <w:sz w:val="18"/>
                <w:szCs w:val="18"/>
                <w:lang w:val="es-ES"/>
              </w:rPr>
            </w:pPr>
            <w:r w:rsidRPr="008864F4">
              <w:rPr>
                <w:rFonts w:ascii="Arial" w:hAnsi="Arial" w:cs="Arial"/>
                <w:sz w:val="18"/>
                <w:szCs w:val="18"/>
                <w:lang w:val="es-ES"/>
              </w:rPr>
              <w:t>El IFT es el órgano a través del cual el Estado ejerce su rectoría en los sectores de telecomunicaciones y radiodifusión y es autoridad en materia de competencia económica a tales sectores;</w:t>
            </w:r>
          </w:p>
          <w:p w14:paraId="10F5A078" w14:textId="77C83D97" w:rsidR="008864F4" w:rsidRPr="008864F4" w:rsidRDefault="008864F4" w:rsidP="00A9692B">
            <w:pPr>
              <w:pStyle w:val="Prrafodelista"/>
              <w:numPr>
                <w:ilvl w:val="0"/>
                <w:numId w:val="9"/>
              </w:numPr>
              <w:spacing w:before="120" w:after="120" w:line="276" w:lineRule="auto"/>
              <w:ind w:left="309" w:hanging="270"/>
              <w:contextualSpacing w:val="0"/>
              <w:jc w:val="both"/>
              <w:rPr>
                <w:rFonts w:ascii="Arial" w:hAnsi="Arial" w:cs="Arial"/>
                <w:sz w:val="18"/>
                <w:szCs w:val="18"/>
                <w:lang w:val="es-ES"/>
              </w:rPr>
            </w:pPr>
            <w:r w:rsidRPr="008864F4">
              <w:rPr>
                <w:rFonts w:ascii="Arial" w:hAnsi="Arial" w:cs="Arial"/>
                <w:sz w:val="18"/>
                <w:szCs w:val="18"/>
                <w:lang w:val="es-ES"/>
              </w:rPr>
              <w:lastRenderedPageBreak/>
              <w:t>Por su parte, la COFECE es la autoridad en materia de competencia económica de los mercados de bienes y servicios que no correspondan a las telecomunicaciones y a la radiodifusión;</w:t>
            </w:r>
          </w:p>
          <w:p w14:paraId="0D2C4011" w14:textId="30D6F8A8" w:rsidR="008864F4" w:rsidRPr="008864F4" w:rsidRDefault="008864F4" w:rsidP="00A9692B">
            <w:pPr>
              <w:pStyle w:val="Prrafodelista"/>
              <w:numPr>
                <w:ilvl w:val="0"/>
                <w:numId w:val="9"/>
              </w:numPr>
              <w:spacing w:before="120" w:after="120" w:line="276" w:lineRule="auto"/>
              <w:ind w:left="309" w:hanging="270"/>
              <w:contextualSpacing w:val="0"/>
              <w:jc w:val="both"/>
              <w:rPr>
                <w:rFonts w:ascii="Arial" w:hAnsi="Arial" w:cs="Arial"/>
                <w:sz w:val="18"/>
                <w:szCs w:val="18"/>
                <w:lang w:val="es-ES"/>
              </w:rPr>
            </w:pPr>
            <w:r w:rsidRPr="008864F4">
              <w:rPr>
                <w:rFonts w:ascii="Arial" w:hAnsi="Arial" w:cs="Arial"/>
                <w:sz w:val="18"/>
                <w:szCs w:val="18"/>
                <w:lang w:val="es-ES"/>
              </w:rPr>
              <w:t>Cada una de esas autoridades deberá resolver dentro de sus respectivas competencias.</w:t>
            </w:r>
          </w:p>
          <w:p w14:paraId="74A66B3E" w14:textId="77777777" w:rsidR="008864F4" w:rsidRPr="008864F4" w:rsidRDefault="008864F4" w:rsidP="00A9692B">
            <w:pPr>
              <w:spacing w:before="120" w:after="120" w:line="276" w:lineRule="auto"/>
              <w:jc w:val="both"/>
              <w:rPr>
                <w:rFonts w:ascii="Arial" w:hAnsi="Arial" w:cs="Arial"/>
                <w:sz w:val="18"/>
                <w:szCs w:val="18"/>
                <w:lang w:val="es-ES"/>
              </w:rPr>
            </w:pPr>
            <w:r w:rsidRPr="008864F4">
              <w:rPr>
                <w:rFonts w:ascii="Arial" w:hAnsi="Arial" w:cs="Arial"/>
                <w:sz w:val="18"/>
                <w:szCs w:val="18"/>
                <w:lang w:val="es-ES"/>
              </w:rPr>
              <w:t xml:space="preserve">Al respecto, en su resolución, el Segundo Tribunal Especializado concluyó que ambas autoridades pueden resolver sobre una misma concentración y que: </w:t>
            </w:r>
          </w:p>
          <w:p w14:paraId="0B1188DF" w14:textId="77777777" w:rsidR="008864F4" w:rsidRPr="008864F4" w:rsidRDefault="008864F4" w:rsidP="00A9692B">
            <w:pPr>
              <w:spacing w:before="120" w:after="120" w:line="276" w:lineRule="auto"/>
              <w:ind w:left="167"/>
              <w:jc w:val="both"/>
              <w:rPr>
                <w:rFonts w:ascii="Arial" w:hAnsi="Arial" w:cs="Arial"/>
                <w:i/>
                <w:sz w:val="17"/>
                <w:szCs w:val="17"/>
                <w:lang w:val="es-ES"/>
              </w:rPr>
            </w:pPr>
            <w:r w:rsidRPr="008864F4">
              <w:rPr>
                <w:rFonts w:ascii="Arial" w:hAnsi="Arial" w:cs="Arial"/>
                <w:i/>
                <w:sz w:val="17"/>
                <w:szCs w:val="17"/>
                <w:lang w:val="es-ES"/>
              </w:rPr>
              <w:t>“ÚNICO. Corresponde tanto al Instituto Federal de Telecomunicaciones como a la Comisión Federal de Competencia Económica, en sus respectivas competencias, el conocimiento de la concentración en los términos en que les fueron notificadas, tal como lo sostiene la Comisión Federal de Competencia Económica.”</w:t>
            </w:r>
          </w:p>
          <w:p w14:paraId="594F4725" w14:textId="6D7D5B35" w:rsidR="008864F4" w:rsidRPr="00BF4F5D" w:rsidRDefault="008864F4" w:rsidP="00A9692B">
            <w:pPr>
              <w:spacing w:before="120" w:after="120" w:line="276" w:lineRule="auto"/>
              <w:jc w:val="both"/>
              <w:rPr>
                <w:rFonts w:ascii="Arial" w:hAnsi="Arial" w:cs="Arial"/>
                <w:sz w:val="18"/>
                <w:szCs w:val="18"/>
                <w:lang w:val="es-ES"/>
              </w:rPr>
            </w:pPr>
            <w:r w:rsidRPr="008864F4">
              <w:rPr>
                <w:rFonts w:ascii="Arial" w:hAnsi="Arial" w:cs="Arial"/>
                <w:sz w:val="18"/>
                <w:szCs w:val="18"/>
                <w:lang w:val="es-ES"/>
              </w:rPr>
              <w:t>En este sentido, en cumplimiento de la resolución del Segundo Tribunal Especializado, el IFT y la COFECE evaluaron y resolvieron sobre los siguientes mercados.</w:t>
            </w:r>
          </w:p>
        </w:tc>
        <w:tc>
          <w:tcPr>
            <w:tcW w:w="2948" w:type="dxa"/>
            <w:shd w:val="clear" w:color="auto" w:fill="FFFFFF" w:themeFill="background1"/>
          </w:tcPr>
          <w:p w14:paraId="582885D1" w14:textId="77777777" w:rsidR="008864F4" w:rsidRPr="00C65B32" w:rsidRDefault="008864F4" w:rsidP="00A9692B">
            <w:pPr>
              <w:spacing w:before="120" w:after="120" w:line="276" w:lineRule="auto"/>
              <w:jc w:val="both"/>
              <w:rPr>
                <w:rFonts w:ascii="Arial" w:hAnsi="Arial" w:cs="Arial"/>
                <w:sz w:val="18"/>
                <w:szCs w:val="18"/>
              </w:rPr>
            </w:pPr>
            <w:r w:rsidRPr="00C65B32">
              <w:rPr>
                <w:rFonts w:ascii="Arial" w:hAnsi="Arial" w:cs="Arial"/>
                <w:sz w:val="18"/>
                <w:szCs w:val="18"/>
              </w:rPr>
              <w:lastRenderedPageBreak/>
              <w:t>Sigue existiendo un vacío en cuanto a qué ocurre con el análisis de aspectos que permean toda la transacción y que deberían ser tema de esta Guía. Por ejemplo:</w:t>
            </w:r>
          </w:p>
          <w:p w14:paraId="25A291AC" w14:textId="77777777" w:rsidR="008864F4" w:rsidRPr="00C65B32" w:rsidRDefault="008864F4" w:rsidP="00A9692B">
            <w:pPr>
              <w:spacing w:before="120" w:after="120" w:line="276" w:lineRule="auto"/>
              <w:jc w:val="both"/>
              <w:rPr>
                <w:rFonts w:ascii="Arial" w:hAnsi="Arial" w:cs="Arial"/>
                <w:sz w:val="18"/>
                <w:szCs w:val="18"/>
              </w:rPr>
            </w:pPr>
            <w:r w:rsidRPr="00C65B32">
              <w:rPr>
                <w:rFonts w:ascii="Arial" w:hAnsi="Arial" w:cs="Arial"/>
                <w:sz w:val="18"/>
                <w:szCs w:val="18"/>
              </w:rPr>
              <w:t>(i) cuando un mercado relacionado competencia del Instituto tiene efectos en el proceso de competencia en un mercado competencia de la Cofece y viceversa;</w:t>
            </w:r>
          </w:p>
          <w:p w14:paraId="68BB38CA" w14:textId="77777777" w:rsidR="008864F4" w:rsidRPr="00C65B32" w:rsidRDefault="008864F4" w:rsidP="00A9692B">
            <w:pPr>
              <w:spacing w:before="120" w:after="120" w:line="276" w:lineRule="auto"/>
              <w:jc w:val="both"/>
              <w:rPr>
                <w:rFonts w:ascii="Arial" w:hAnsi="Arial" w:cs="Arial"/>
                <w:sz w:val="18"/>
                <w:szCs w:val="18"/>
              </w:rPr>
            </w:pPr>
            <w:r w:rsidRPr="00C65B32">
              <w:rPr>
                <w:rFonts w:ascii="Arial" w:hAnsi="Arial" w:cs="Arial"/>
                <w:sz w:val="18"/>
                <w:szCs w:val="18"/>
              </w:rPr>
              <w:t>(ii) cuando pueden existir riesgos al proceso de competencia, pero se requiere una evaluación integral para determinar si las ganancias en eficiencia de la transacción compensan los riesgos al proceso de competencia y</w:t>
            </w:r>
          </w:p>
          <w:p w14:paraId="717E9E42" w14:textId="77777777" w:rsidR="008864F4" w:rsidRPr="00C65B32" w:rsidRDefault="008864F4" w:rsidP="00A9692B">
            <w:pPr>
              <w:spacing w:before="120" w:after="120" w:line="276" w:lineRule="auto"/>
              <w:jc w:val="both"/>
              <w:rPr>
                <w:rFonts w:ascii="Arial" w:hAnsi="Arial" w:cs="Arial"/>
                <w:sz w:val="18"/>
                <w:szCs w:val="18"/>
              </w:rPr>
            </w:pPr>
            <w:r w:rsidRPr="00C65B32">
              <w:rPr>
                <w:rFonts w:ascii="Arial" w:hAnsi="Arial" w:cs="Arial"/>
                <w:sz w:val="18"/>
                <w:szCs w:val="18"/>
              </w:rPr>
              <w:t>(iii) la imposición de condiciones por una de las autoridades que pueden permear hacia los mercados competencia de la otra autoridad o ser incompatibles o contradictorias con las condiciones que imponga en su caso esta última, tal y como se reconoce en la Guía de Concentraciones actual.</w:t>
            </w:r>
          </w:p>
          <w:p w14:paraId="0CF9A9BF" w14:textId="218A3401" w:rsidR="008864F4" w:rsidRPr="00BF4F5D" w:rsidRDefault="008864F4" w:rsidP="00A9692B">
            <w:pPr>
              <w:spacing w:before="120" w:after="120" w:line="276" w:lineRule="auto"/>
              <w:jc w:val="both"/>
              <w:rPr>
                <w:rFonts w:ascii="Arial" w:hAnsi="Arial" w:cs="Arial"/>
                <w:sz w:val="18"/>
                <w:szCs w:val="18"/>
              </w:rPr>
            </w:pPr>
            <w:r w:rsidRPr="00C65B32">
              <w:rPr>
                <w:rFonts w:ascii="Arial" w:hAnsi="Arial" w:cs="Arial"/>
                <w:sz w:val="18"/>
                <w:szCs w:val="18"/>
              </w:rPr>
              <w:t>Se sugiere incluir uno o dos párrafos que presenten alguna aclaración sobre estas situaciones que pueden darse en la práctica.</w:t>
            </w:r>
          </w:p>
        </w:tc>
        <w:tc>
          <w:tcPr>
            <w:tcW w:w="3308" w:type="dxa"/>
            <w:shd w:val="clear" w:color="auto" w:fill="FFFFFF" w:themeFill="background1"/>
          </w:tcPr>
          <w:p w14:paraId="6D2FA993" w14:textId="6715ACBA" w:rsidR="008864F4" w:rsidRPr="00753DBB" w:rsidRDefault="008864F4" w:rsidP="00A9692B">
            <w:pPr>
              <w:spacing w:before="120" w:after="120" w:line="276" w:lineRule="auto"/>
              <w:jc w:val="both"/>
              <w:rPr>
                <w:rFonts w:ascii="Arial" w:hAnsi="Arial" w:cs="Arial"/>
                <w:color w:val="FF0000"/>
                <w:sz w:val="18"/>
                <w:szCs w:val="18"/>
              </w:rPr>
            </w:pPr>
            <w:r w:rsidRPr="00050C71">
              <w:rPr>
                <w:rFonts w:ascii="Arial" w:hAnsi="Arial" w:cs="Arial"/>
                <w:sz w:val="18"/>
                <w:szCs w:val="18"/>
              </w:rPr>
              <w:t>Las secciones 4.1 y 4.2 de la Guía de Concentraciones se actualizará considerando las últimas decisiones de los Tribunales y los comentarios realizados.</w:t>
            </w:r>
          </w:p>
        </w:tc>
      </w:tr>
      <w:tr w:rsidR="008864F4" w:rsidRPr="003E2214" w14:paraId="4FFE793B" w14:textId="77777777" w:rsidTr="009B2105">
        <w:trPr>
          <w:jc w:val="center"/>
        </w:trPr>
        <w:tc>
          <w:tcPr>
            <w:tcW w:w="2948" w:type="dxa"/>
            <w:vMerge/>
            <w:shd w:val="clear" w:color="auto" w:fill="FFFFFF" w:themeFill="background1"/>
          </w:tcPr>
          <w:p w14:paraId="1C5CEDD9" w14:textId="77777777" w:rsidR="008864F4" w:rsidRPr="00BF4F5D" w:rsidRDefault="008864F4" w:rsidP="00A9692B">
            <w:pPr>
              <w:spacing w:before="120" w:after="120" w:line="276" w:lineRule="auto"/>
              <w:jc w:val="both"/>
              <w:rPr>
                <w:rFonts w:ascii="Arial" w:hAnsi="Arial" w:cs="Arial"/>
                <w:sz w:val="18"/>
                <w:szCs w:val="18"/>
                <w:lang w:val="es-ES"/>
              </w:rPr>
            </w:pPr>
          </w:p>
        </w:tc>
        <w:tc>
          <w:tcPr>
            <w:tcW w:w="2948" w:type="dxa"/>
            <w:shd w:val="clear" w:color="auto" w:fill="FFFFFF" w:themeFill="background1"/>
          </w:tcPr>
          <w:p w14:paraId="341D5116" w14:textId="6BBD265C" w:rsidR="008864F4" w:rsidRPr="00C65B32" w:rsidRDefault="008864F4" w:rsidP="00A9692B">
            <w:pPr>
              <w:spacing w:before="120" w:after="120" w:line="276" w:lineRule="auto"/>
              <w:jc w:val="both"/>
              <w:rPr>
                <w:rFonts w:ascii="Arial" w:hAnsi="Arial" w:cs="Arial"/>
                <w:sz w:val="18"/>
                <w:szCs w:val="18"/>
              </w:rPr>
            </w:pPr>
            <w:r w:rsidRPr="00C65B32">
              <w:rPr>
                <w:rFonts w:ascii="Arial" w:hAnsi="Arial" w:cs="Arial"/>
                <w:sz w:val="18"/>
                <w:szCs w:val="18"/>
              </w:rPr>
              <w:t>El hecho de que una concentración genere efectos en mercados que pertenecen a los sectores de telecomunicaciones y radiodifusión y en otros mercados, no le otorga competencia exclusiva al IFT, sino que en el ámbito de sus atribuciones cada autoridad debe de conocer la operación</w:t>
            </w:r>
            <w:r w:rsidR="00AE366B">
              <w:rPr>
                <w:rFonts w:ascii="Arial" w:hAnsi="Arial" w:cs="Arial"/>
                <w:sz w:val="18"/>
                <w:szCs w:val="18"/>
              </w:rPr>
              <w:t>.</w:t>
            </w:r>
          </w:p>
        </w:tc>
        <w:tc>
          <w:tcPr>
            <w:tcW w:w="3308" w:type="dxa"/>
            <w:shd w:val="clear" w:color="auto" w:fill="FFFFFF" w:themeFill="background1"/>
            <w:vAlign w:val="center"/>
          </w:tcPr>
          <w:p w14:paraId="63BC75C2" w14:textId="72F59C19" w:rsidR="008864F4" w:rsidRPr="00753DBB" w:rsidRDefault="008864F4" w:rsidP="00A9692B">
            <w:pPr>
              <w:spacing w:before="120" w:after="120" w:line="276" w:lineRule="auto"/>
              <w:jc w:val="both"/>
              <w:rPr>
                <w:rFonts w:ascii="Arial" w:hAnsi="Arial" w:cs="Arial"/>
                <w:color w:val="FF0000"/>
                <w:sz w:val="18"/>
                <w:szCs w:val="18"/>
              </w:rPr>
            </w:pPr>
            <w:r>
              <w:rPr>
                <w:rFonts w:ascii="Arial" w:eastAsia="Times New Roman" w:hAnsi="Arial" w:cs="Arial"/>
                <w:color w:val="000000"/>
                <w:sz w:val="18"/>
                <w:szCs w:val="18"/>
                <w:lang w:eastAsia="es-MX"/>
              </w:rPr>
              <w:t xml:space="preserve">Se concuerda con COFECE y </w:t>
            </w:r>
            <w:r w:rsidR="00AE366B">
              <w:rPr>
                <w:rFonts w:ascii="Arial" w:eastAsia="Times New Roman" w:hAnsi="Arial" w:cs="Arial"/>
                <w:color w:val="000000"/>
                <w:sz w:val="18"/>
                <w:szCs w:val="18"/>
                <w:lang w:eastAsia="es-MX"/>
              </w:rPr>
              <w:t>el Anteproyecto</w:t>
            </w:r>
            <w:r>
              <w:rPr>
                <w:rFonts w:ascii="Arial" w:eastAsia="Times New Roman" w:hAnsi="Arial" w:cs="Arial"/>
                <w:color w:val="000000"/>
                <w:sz w:val="18"/>
                <w:szCs w:val="18"/>
                <w:lang w:eastAsia="es-MX"/>
              </w:rPr>
              <w:t xml:space="preserve"> así lo refleja, en el sentido que una concentración que genere efectos en mercados pertenecientes a los sectores de telecomunicaciones y radiodifusión y en otros mercados, le otorga la competencia exclusiva al IFT sólo en cuanto a los mercados de su competencia, y a la COFECE la facultad exclusiva en los mercados que no pertenecen a los sectores de telecomunicaciones y radiodifusión. Tanto es así que, como ejemplo, se </w:t>
            </w:r>
            <w:r>
              <w:rPr>
                <w:rFonts w:ascii="Arial" w:eastAsia="Times New Roman" w:hAnsi="Arial" w:cs="Arial"/>
                <w:color w:val="000000"/>
                <w:sz w:val="18"/>
                <w:szCs w:val="18"/>
                <w:lang w:eastAsia="es-MX"/>
              </w:rPr>
              <w:lastRenderedPageBreak/>
              <w:t>menciona el conflicto competencial relacionado a la concentración de entre Time Warner, Inc. y AT&amp;T, Inc., (Concentración AT&amp;T-Time Warner) en donde el Segundo Tribunal Especializado determinó una concurrencia concurrente y con base en esta determinación, el análisis de la concentración se realizó por parte de ambas autoridades, cada una en los mercados de su ámbito competencial.</w:t>
            </w:r>
          </w:p>
        </w:tc>
      </w:tr>
      <w:tr w:rsidR="008864F4" w:rsidRPr="003E2214" w14:paraId="1E86F8FE" w14:textId="77777777" w:rsidTr="00F74059">
        <w:trPr>
          <w:trHeight w:val="9570"/>
          <w:jc w:val="center"/>
        </w:trPr>
        <w:tc>
          <w:tcPr>
            <w:tcW w:w="2948" w:type="dxa"/>
            <w:vMerge/>
            <w:shd w:val="clear" w:color="auto" w:fill="FFFFFF" w:themeFill="background1"/>
          </w:tcPr>
          <w:p w14:paraId="05E5E0E5" w14:textId="77777777" w:rsidR="008864F4" w:rsidRPr="00BF4F5D" w:rsidRDefault="008864F4" w:rsidP="00A9692B">
            <w:pPr>
              <w:spacing w:before="120" w:after="120" w:line="276" w:lineRule="auto"/>
              <w:jc w:val="both"/>
              <w:rPr>
                <w:rFonts w:ascii="Arial" w:hAnsi="Arial" w:cs="Arial"/>
                <w:sz w:val="18"/>
                <w:szCs w:val="18"/>
                <w:lang w:val="es-ES"/>
              </w:rPr>
            </w:pPr>
          </w:p>
        </w:tc>
        <w:tc>
          <w:tcPr>
            <w:tcW w:w="2948" w:type="dxa"/>
            <w:shd w:val="clear" w:color="auto" w:fill="FFFFFF" w:themeFill="background1"/>
          </w:tcPr>
          <w:p w14:paraId="5EF175E6" w14:textId="7F2C2DB7" w:rsidR="008864F4" w:rsidRPr="00C65B32" w:rsidRDefault="009E7BC9" w:rsidP="00A9692B">
            <w:pPr>
              <w:spacing w:before="120" w:after="120" w:line="276" w:lineRule="auto"/>
              <w:jc w:val="both"/>
              <w:rPr>
                <w:rFonts w:ascii="Arial" w:hAnsi="Arial" w:cs="Arial"/>
                <w:sz w:val="18"/>
                <w:szCs w:val="18"/>
              </w:rPr>
            </w:pPr>
            <w:r w:rsidRPr="00AE7DEA">
              <w:rPr>
                <w:rFonts w:ascii="Arial" w:eastAsia="Times New Roman" w:hAnsi="Arial" w:cs="Arial"/>
                <w:color w:val="000000"/>
                <w:sz w:val="18"/>
                <w:szCs w:val="18"/>
                <w:lang w:eastAsia="es-MX"/>
              </w:rPr>
              <w:t xml:space="preserve">Se advierte que actualmente en términos de la Ley de Publicidad vigente y hasta en tanto no se resuelvan las controversias constitucionales respectivas, la publicidad de todos los mercados son competencia de COFECE </w:t>
            </w:r>
          </w:p>
        </w:tc>
        <w:tc>
          <w:tcPr>
            <w:tcW w:w="3308" w:type="dxa"/>
            <w:shd w:val="clear" w:color="auto" w:fill="FFFFFF" w:themeFill="background1"/>
          </w:tcPr>
          <w:p w14:paraId="6F080728" w14:textId="77777777" w:rsidR="009E7BC9" w:rsidRPr="00050C71" w:rsidRDefault="009E7BC9" w:rsidP="00A9692B">
            <w:pPr>
              <w:spacing w:before="120" w:after="120" w:line="276" w:lineRule="auto"/>
              <w:jc w:val="both"/>
              <w:rPr>
                <w:rFonts w:ascii="Arial" w:hAnsi="Arial" w:cs="Arial"/>
                <w:sz w:val="18"/>
                <w:szCs w:val="18"/>
              </w:rPr>
            </w:pPr>
            <w:r w:rsidRPr="00050C71">
              <w:rPr>
                <w:rFonts w:ascii="Arial" w:hAnsi="Arial" w:cs="Arial"/>
                <w:sz w:val="18"/>
                <w:szCs w:val="18"/>
              </w:rPr>
              <w:t>Se aclara que en el conflicto competencial relativa a la Concentración AT&amp;T-Time Warner, el Segundo Tribunal Especializado concluyó lo siguiente:</w:t>
            </w:r>
          </w:p>
          <w:p w14:paraId="22076F5C" w14:textId="77777777" w:rsidR="009E7BC9" w:rsidRPr="00060121" w:rsidRDefault="009E7BC9" w:rsidP="00A9692B">
            <w:pPr>
              <w:spacing w:before="120" w:after="120" w:line="276" w:lineRule="auto"/>
              <w:ind w:left="226"/>
              <w:jc w:val="both"/>
              <w:rPr>
                <w:rFonts w:ascii="Arial" w:hAnsi="Arial" w:cs="Arial"/>
                <w:i/>
                <w:sz w:val="17"/>
                <w:szCs w:val="17"/>
                <w:u w:val="single"/>
              </w:rPr>
            </w:pPr>
            <w:r w:rsidRPr="00060121">
              <w:rPr>
                <w:rFonts w:ascii="Arial" w:hAnsi="Arial" w:cs="Arial"/>
                <w:i/>
                <w:sz w:val="17"/>
                <w:szCs w:val="17"/>
                <w:u w:val="single"/>
              </w:rPr>
              <w:t xml:space="preserve">“Corresponde tanto al Instituto Federal de Telecomunicaciones como a la Comisión Federal de Competencia Económica, en sus respectivas competencias, el conocimiento de la concentración </w:t>
            </w:r>
            <w:r w:rsidRPr="00D97DCA">
              <w:rPr>
                <w:rFonts w:ascii="Arial" w:hAnsi="Arial" w:cs="Arial"/>
                <w:b/>
                <w:i/>
                <w:sz w:val="17"/>
                <w:szCs w:val="17"/>
                <w:u w:val="single"/>
              </w:rPr>
              <w:t>en los términos en que les fueron notificadas</w:t>
            </w:r>
            <w:r w:rsidRPr="00060121">
              <w:rPr>
                <w:rFonts w:ascii="Arial" w:hAnsi="Arial" w:cs="Arial"/>
                <w:i/>
                <w:sz w:val="17"/>
                <w:szCs w:val="17"/>
                <w:u w:val="single"/>
              </w:rPr>
              <w:t>, tal como lo sostiene la Comisión Federal de Competencia Económica.”</w:t>
            </w:r>
          </w:p>
          <w:p w14:paraId="1247F092" w14:textId="77777777" w:rsidR="009E7BC9" w:rsidRPr="00050C71" w:rsidRDefault="009E7BC9" w:rsidP="00A9692B">
            <w:pPr>
              <w:spacing w:before="120" w:after="120" w:line="276" w:lineRule="auto"/>
              <w:jc w:val="both"/>
              <w:rPr>
                <w:rFonts w:ascii="Arial" w:hAnsi="Arial" w:cs="Arial"/>
                <w:sz w:val="18"/>
                <w:szCs w:val="18"/>
              </w:rPr>
            </w:pPr>
            <w:r w:rsidRPr="00050C71">
              <w:rPr>
                <w:rFonts w:ascii="Arial" w:hAnsi="Arial" w:cs="Arial"/>
                <w:sz w:val="18"/>
                <w:szCs w:val="18"/>
              </w:rPr>
              <w:t xml:space="preserve">Al respecto, las partes en esa concentración notificaron el mercado de provisión y venta de tiempos para mensajes comerciales o publicidad en canales restringidos para análisis y resolución por parte de este Instituto, pero no de COFECE. En correspondencia, IFT resolvió para ese mercado, no así COFECE. </w:t>
            </w:r>
          </w:p>
          <w:p w14:paraId="6CE4C3D7" w14:textId="77777777" w:rsidR="009E7BC9" w:rsidRDefault="009E7BC9" w:rsidP="00A9692B">
            <w:pPr>
              <w:spacing w:before="120" w:after="120" w:line="276" w:lineRule="auto"/>
              <w:jc w:val="both"/>
              <w:rPr>
                <w:rFonts w:ascii="Arial" w:hAnsi="Arial" w:cs="Arial"/>
                <w:sz w:val="18"/>
                <w:szCs w:val="18"/>
              </w:rPr>
            </w:pPr>
            <w:r w:rsidRPr="00050C71">
              <w:rPr>
                <w:rFonts w:ascii="Arial" w:hAnsi="Arial" w:cs="Arial"/>
                <w:sz w:val="18"/>
                <w:szCs w:val="18"/>
              </w:rPr>
              <w:t>En concordancia con lo anterior, en la Concentración de Disney-Fox el Instituto conoció y resolvió respecto a los mercados de i) provisión y venta de tiempos o espacios para mensajes comerciales o publicidad en canales restringidos para el servicio de televisión y audio restringidos (STAR) y ii) provisión y venta de espacios para mensajes comerciales o publicidad por plataformas de Internet dedicadas a la provisión de contenidos audiovisuales. En estos mercados la COFECE rechazó ser competente y no resolvió respecto a éstos en dicha concentración.</w:t>
            </w:r>
          </w:p>
          <w:p w14:paraId="7044E80C" w14:textId="1F39EECB" w:rsidR="008864F4" w:rsidRPr="00753DBB" w:rsidRDefault="009E7BC9" w:rsidP="00A9692B">
            <w:pPr>
              <w:spacing w:before="120" w:after="120" w:line="276" w:lineRule="auto"/>
              <w:jc w:val="both"/>
              <w:rPr>
                <w:rFonts w:ascii="Arial" w:hAnsi="Arial" w:cs="Arial"/>
                <w:color w:val="FF0000"/>
                <w:sz w:val="18"/>
                <w:szCs w:val="18"/>
              </w:rPr>
            </w:pPr>
            <w:r>
              <w:rPr>
                <w:rFonts w:ascii="Arial" w:eastAsia="Times New Roman" w:hAnsi="Arial" w:cs="Arial"/>
                <w:color w:val="000000"/>
                <w:sz w:val="18"/>
                <w:szCs w:val="18"/>
                <w:lang w:eastAsia="es-MX"/>
              </w:rPr>
              <w:t>P</w:t>
            </w:r>
            <w:r w:rsidRPr="00226E25">
              <w:rPr>
                <w:rFonts w:ascii="Arial" w:eastAsia="Times New Roman" w:hAnsi="Arial" w:cs="Arial"/>
                <w:color w:val="000000"/>
                <w:sz w:val="18"/>
                <w:szCs w:val="18"/>
                <w:lang w:eastAsia="es-MX"/>
              </w:rPr>
              <w:t xml:space="preserve">or lo </w:t>
            </w:r>
            <w:r>
              <w:rPr>
                <w:rFonts w:ascii="Arial" w:eastAsia="Times New Roman" w:hAnsi="Arial" w:cs="Arial"/>
                <w:color w:val="000000"/>
                <w:sz w:val="18"/>
                <w:szCs w:val="18"/>
                <w:lang w:eastAsia="es-MX"/>
              </w:rPr>
              <w:t>anterior,</w:t>
            </w:r>
            <w:r w:rsidRPr="00226E25">
              <w:rPr>
                <w:rFonts w:ascii="Arial" w:eastAsia="Times New Roman" w:hAnsi="Arial" w:cs="Arial"/>
                <w:color w:val="000000"/>
                <w:sz w:val="18"/>
                <w:szCs w:val="18"/>
                <w:lang w:eastAsia="es-MX"/>
              </w:rPr>
              <w:t xml:space="preserve"> el comentario no </w:t>
            </w:r>
            <w:r>
              <w:rPr>
                <w:rFonts w:ascii="Arial" w:eastAsia="Times New Roman" w:hAnsi="Arial" w:cs="Arial"/>
                <w:color w:val="000000"/>
                <w:sz w:val="18"/>
                <w:szCs w:val="18"/>
                <w:lang w:eastAsia="es-MX"/>
              </w:rPr>
              <w:t>se considera procedente.</w:t>
            </w:r>
          </w:p>
        </w:tc>
      </w:tr>
      <w:tr w:rsidR="008864F4" w:rsidRPr="003E2214" w14:paraId="55CC325E" w14:textId="77777777" w:rsidTr="009B2105">
        <w:trPr>
          <w:jc w:val="center"/>
        </w:trPr>
        <w:tc>
          <w:tcPr>
            <w:tcW w:w="2948" w:type="dxa"/>
            <w:vMerge/>
            <w:shd w:val="clear" w:color="auto" w:fill="FFFFFF" w:themeFill="background1"/>
          </w:tcPr>
          <w:p w14:paraId="104E5E52" w14:textId="77777777" w:rsidR="008864F4" w:rsidRPr="00BF4F5D" w:rsidRDefault="008864F4" w:rsidP="00A9692B">
            <w:pPr>
              <w:spacing w:before="120" w:after="120" w:line="276" w:lineRule="auto"/>
              <w:jc w:val="both"/>
              <w:rPr>
                <w:rFonts w:ascii="Arial" w:hAnsi="Arial" w:cs="Arial"/>
                <w:sz w:val="18"/>
                <w:szCs w:val="18"/>
                <w:lang w:val="es-ES"/>
              </w:rPr>
            </w:pPr>
          </w:p>
        </w:tc>
        <w:tc>
          <w:tcPr>
            <w:tcW w:w="2948" w:type="dxa"/>
            <w:shd w:val="clear" w:color="auto" w:fill="FFFFFF" w:themeFill="background1"/>
            <w:vAlign w:val="center"/>
          </w:tcPr>
          <w:p w14:paraId="298535B3" w14:textId="07E64D8C" w:rsidR="008864F4" w:rsidRPr="00C65B32" w:rsidRDefault="008864F4" w:rsidP="00A9692B">
            <w:pPr>
              <w:spacing w:before="120" w:after="120" w:line="276" w:lineRule="auto"/>
              <w:jc w:val="both"/>
              <w:rPr>
                <w:rFonts w:ascii="Arial" w:hAnsi="Arial" w:cs="Arial"/>
                <w:sz w:val="18"/>
                <w:szCs w:val="18"/>
              </w:rPr>
            </w:pPr>
            <w:r w:rsidRPr="00AE7DEA">
              <w:rPr>
                <w:rFonts w:ascii="Arial" w:eastAsia="Times New Roman" w:hAnsi="Arial" w:cs="Arial"/>
                <w:color w:val="000000"/>
                <w:sz w:val="18"/>
                <w:szCs w:val="18"/>
                <w:lang w:eastAsia="es-MX"/>
              </w:rPr>
              <w:t xml:space="preserve">El IFT consideró que son de su competencia la provisión de servicios de tecnologías de la información y comunicación, así. como centros de datos. Sin embargo, esta definición es ambigua y puede generar </w:t>
            </w:r>
            <w:r w:rsidRPr="00AE7DEA">
              <w:rPr>
                <w:rFonts w:ascii="Arial" w:eastAsia="Times New Roman" w:hAnsi="Arial" w:cs="Arial"/>
                <w:color w:val="000000"/>
                <w:sz w:val="18"/>
                <w:szCs w:val="18"/>
                <w:lang w:eastAsia="es-MX"/>
              </w:rPr>
              <w:lastRenderedPageBreak/>
              <w:t xml:space="preserve">confusión, ya que parte de los servicios de tecnología de la información podrían considerarse como parte de los servicios de cómputo en la nube que son competencia de la COMISIÓN. </w:t>
            </w:r>
          </w:p>
        </w:tc>
        <w:tc>
          <w:tcPr>
            <w:tcW w:w="3308" w:type="dxa"/>
            <w:shd w:val="clear" w:color="auto" w:fill="FFFFFF" w:themeFill="background1"/>
          </w:tcPr>
          <w:p w14:paraId="7669D98F" w14:textId="64F57F02" w:rsidR="008864F4" w:rsidRPr="00050C71" w:rsidRDefault="008864F4" w:rsidP="00A9692B">
            <w:pPr>
              <w:spacing w:before="120" w:after="120" w:line="276" w:lineRule="auto"/>
              <w:jc w:val="both"/>
              <w:rPr>
                <w:rFonts w:ascii="Arial" w:hAnsi="Arial" w:cs="Arial"/>
                <w:sz w:val="18"/>
                <w:szCs w:val="18"/>
              </w:rPr>
            </w:pPr>
            <w:r w:rsidRPr="00050C71">
              <w:rPr>
                <w:rFonts w:ascii="Arial" w:eastAsia="Times New Roman" w:hAnsi="Arial" w:cs="Arial"/>
                <w:sz w:val="18"/>
                <w:szCs w:val="18"/>
                <w:lang w:eastAsia="es-MX"/>
              </w:rPr>
              <w:lastRenderedPageBreak/>
              <w:t xml:space="preserve">El comentario se considera procedente, por lo que </w:t>
            </w:r>
            <w:r w:rsidR="00A75C54">
              <w:rPr>
                <w:rFonts w:ascii="Arial" w:eastAsia="Times New Roman" w:hAnsi="Arial" w:cs="Arial"/>
                <w:sz w:val="18"/>
                <w:szCs w:val="18"/>
                <w:lang w:eastAsia="es-MX"/>
              </w:rPr>
              <w:t>el Anteproyecto se modificará, precisando</w:t>
            </w:r>
            <w:r w:rsidRPr="00050C71">
              <w:rPr>
                <w:rFonts w:ascii="Arial" w:eastAsia="Times New Roman" w:hAnsi="Arial" w:cs="Arial"/>
                <w:sz w:val="18"/>
                <w:szCs w:val="18"/>
                <w:lang w:eastAsia="es-MX"/>
              </w:rPr>
              <w:t xml:space="preserve"> el concepto de tecnologías de la información y comunicación</w:t>
            </w:r>
            <w:r w:rsidR="00A75C54">
              <w:rPr>
                <w:rFonts w:ascii="Arial" w:eastAsia="Times New Roman" w:hAnsi="Arial" w:cs="Arial"/>
                <w:sz w:val="18"/>
                <w:szCs w:val="18"/>
                <w:lang w:eastAsia="es-MX"/>
              </w:rPr>
              <w:t xml:space="preserve"> (TIC)</w:t>
            </w:r>
            <w:r w:rsidRPr="00050C71">
              <w:rPr>
                <w:rFonts w:ascii="Arial" w:eastAsia="Times New Roman" w:hAnsi="Arial" w:cs="Arial"/>
                <w:sz w:val="18"/>
                <w:szCs w:val="18"/>
                <w:lang w:eastAsia="es-MX"/>
              </w:rPr>
              <w:t xml:space="preserve"> y las actividades que corresponden al IFT.</w:t>
            </w:r>
          </w:p>
        </w:tc>
      </w:tr>
      <w:tr w:rsidR="008864F4" w:rsidRPr="003E2214" w14:paraId="07024618" w14:textId="77777777" w:rsidTr="009B2105">
        <w:trPr>
          <w:jc w:val="center"/>
        </w:trPr>
        <w:tc>
          <w:tcPr>
            <w:tcW w:w="2948" w:type="dxa"/>
            <w:vMerge/>
            <w:shd w:val="clear" w:color="auto" w:fill="FFFFFF" w:themeFill="background1"/>
          </w:tcPr>
          <w:p w14:paraId="6D87CC02" w14:textId="77777777" w:rsidR="008864F4" w:rsidRPr="00BF4F5D" w:rsidRDefault="008864F4" w:rsidP="00A9692B">
            <w:pPr>
              <w:spacing w:before="120" w:after="120" w:line="276" w:lineRule="auto"/>
              <w:jc w:val="both"/>
              <w:rPr>
                <w:rFonts w:ascii="Arial" w:hAnsi="Arial" w:cs="Arial"/>
                <w:sz w:val="18"/>
                <w:szCs w:val="18"/>
                <w:lang w:val="es-ES"/>
              </w:rPr>
            </w:pPr>
          </w:p>
        </w:tc>
        <w:tc>
          <w:tcPr>
            <w:tcW w:w="2948" w:type="dxa"/>
            <w:shd w:val="clear" w:color="auto" w:fill="FFFFFF" w:themeFill="background1"/>
            <w:vAlign w:val="center"/>
          </w:tcPr>
          <w:p w14:paraId="0DAA61AA" w14:textId="3368F620" w:rsidR="008864F4" w:rsidRPr="00C65B32" w:rsidRDefault="008864F4" w:rsidP="00A9692B">
            <w:pPr>
              <w:spacing w:before="120" w:after="120" w:line="276" w:lineRule="auto"/>
              <w:jc w:val="both"/>
              <w:rPr>
                <w:rFonts w:ascii="Arial" w:hAnsi="Arial" w:cs="Arial"/>
                <w:sz w:val="18"/>
                <w:szCs w:val="18"/>
              </w:rPr>
            </w:pPr>
            <w:r w:rsidRPr="00AE7DEA">
              <w:rPr>
                <w:rFonts w:ascii="Arial" w:eastAsia="Times New Roman" w:hAnsi="Arial" w:cs="Arial"/>
                <w:color w:val="000000"/>
                <w:sz w:val="18"/>
                <w:szCs w:val="18"/>
                <w:lang w:eastAsia="es-MX"/>
              </w:rPr>
              <w:t>Los criterios relativos al uso de Internet y redes de telecomunicaciones como un insumo y actividades que pertenecen a la cadena de valor de los sectores de telecomunicaciones y radiodifusión no son un criterio que el PJF haya considerado. Bajo el criterio del SEGUNOO TRIBUNAL en el CCTW, el análisis de la cadena de valor es útil pero no suficiente para determinar competencia a favor del Instituto.</w:t>
            </w:r>
          </w:p>
        </w:tc>
        <w:tc>
          <w:tcPr>
            <w:tcW w:w="3308" w:type="dxa"/>
            <w:shd w:val="clear" w:color="auto" w:fill="FFFFFF" w:themeFill="background1"/>
          </w:tcPr>
          <w:p w14:paraId="28E20565" w14:textId="77777777" w:rsidR="008864F4" w:rsidRDefault="008864F4" w:rsidP="00A9692B">
            <w:pPr>
              <w:spacing w:before="120" w:after="120" w:line="276" w:lineRule="auto"/>
              <w:jc w:val="both"/>
              <w:rPr>
                <w:rFonts w:ascii="Arial" w:hAnsi="Arial" w:cs="Arial"/>
                <w:sz w:val="18"/>
                <w:szCs w:val="18"/>
              </w:rPr>
            </w:pPr>
            <w:r w:rsidRPr="00050C71">
              <w:rPr>
                <w:rFonts w:ascii="Arial" w:hAnsi="Arial" w:cs="Arial"/>
                <w:sz w:val="18"/>
                <w:szCs w:val="18"/>
              </w:rPr>
              <w:t>Efectivamente, el análisis de la cadena de valor es útil para determinar competencia a favor del Instituto, por lo que no es un elemento que deba de dejar de mencionarse.</w:t>
            </w:r>
          </w:p>
          <w:p w14:paraId="5C7170D3" w14:textId="01F5AA9E" w:rsidR="00A75C54" w:rsidRPr="00050C71" w:rsidRDefault="00A75C54" w:rsidP="00A9692B">
            <w:pPr>
              <w:spacing w:before="120" w:after="120" w:line="276" w:lineRule="auto"/>
              <w:jc w:val="both"/>
              <w:rPr>
                <w:rFonts w:ascii="Arial" w:hAnsi="Arial" w:cs="Arial"/>
                <w:sz w:val="18"/>
                <w:szCs w:val="18"/>
              </w:rPr>
            </w:pPr>
            <w:r>
              <w:rPr>
                <w:rFonts w:ascii="Arial" w:eastAsia="Times New Roman" w:hAnsi="Arial" w:cs="Arial"/>
                <w:color w:val="000000"/>
                <w:sz w:val="18"/>
                <w:szCs w:val="18"/>
                <w:lang w:eastAsia="es-MX"/>
              </w:rPr>
              <w:t>P</w:t>
            </w:r>
            <w:r w:rsidRPr="00226E25">
              <w:rPr>
                <w:rFonts w:ascii="Arial" w:eastAsia="Times New Roman" w:hAnsi="Arial" w:cs="Arial"/>
                <w:color w:val="000000"/>
                <w:sz w:val="18"/>
                <w:szCs w:val="18"/>
                <w:lang w:eastAsia="es-MX"/>
              </w:rPr>
              <w:t xml:space="preserve">or lo </w:t>
            </w:r>
            <w:r>
              <w:rPr>
                <w:rFonts w:ascii="Arial" w:eastAsia="Times New Roman" w:hAnsi="Arial" w:cs="Arial"/>
                <w:color w:val="000000"/>
                <w:sz w:val="18"/>
                <w:szCs w:val="18"/>
                <w:lang w:eastAsia="es-MX"/>
              </w:rPr>
              <w:t>anterior,</w:t>
            </w:r>
            <w:r w:rsidRPr="00226E25">
              <w:rPr>
                <w:rFonts w:ascii="Arial" w:eastAsia="Times New Roman" w:hAnsi="Arial" w:cs="Arial"/>
                <w:color w:val="000000"/>
                <w:sz w:val="18"/>
                <w:szCs w:val="18"/>
                <w:lang w:eastAsia="es-MX"/>
              </w:rPr>
              <w:t xml:space="preserve"> el comentario no </w:t>
            </w:r>
            <w:r>
              <w:rPr>
                <w:rFonts w:ascii="Arial" w:eastAsia="Times New Roman" w:hAnsi="Arial" w:cs="Arial"/>
                <w:color w:val="000000"/>
                <w:sz w:val="18"/>
                <w:szCs w:val="18"/>
                <w:lang w:eastAsia="es-MX"/>
              </w:rPr>
              <w:t>se considera procedente.</w:t>
            </w:r>
          </w:p>
        </w:tc>
      </w:tr>
      <w:tr w:rsidR="008864F4" w:rsidRPr="003E2214" w14:paraId="259DDE45" w14:textId="77777777" w:rsidTr="009B2105">
        <w:trPr>
          <w:jc w:val="center"/>
        </w:trPr>
        <w:tc>
          <w:tcPr>
            <w:tcW w:w="2948" w:type="dxa"/>
            <w:vMerge/>
            <w:shd w:val="clear" w:color="auto" w:fill="FFFFFF" w:themeFill="background1"/>
          </w:tcPr>
          <w:p w14:paraId="5C4E4F06" w14:textId="77777777" w:rsidR="008864F4" w:rsidRPr="00BF4F5D" w:rsidRDefault="008864F4" w:rsidP="00A9692B">
            <w:pPr>
              <w:spacing w:before="120" w:after="120" w:line="276" w:lineRule="auto"/>
              <w:jc w:val="both"/>
              <w:rPr>
                <w:rFonts w:ascii="Arial" w:hAnsi="Arial" w:cs="Arial"/>
                <w:sz w:val="18"/>
                <w:szCs w:val="18"/>
                <w:lang w:val="es-ES"/>
              </w:rPr>
            </w:pPr>
          </w:p>
        </w:tc>
        <w:tc>
          <w:tcPr>
            <w:tcW w:w="2948" w:type="dxa"/>
            <w:shd w:val="clear" w:color="auto" w:fill="FFFFFF" w:themeFill="background1"/>
            <w:vAlign w:val="center"/>
          </w:tcPr>
          <w:p w14:paraId="433A6F46" w14:textId="5010AA39" w:rsidR="008864F4" w:rsidRPr="00C65B32" w:rsidRDefault="008864F4" w:rsidP="00A9692B">
            <w:pPr>
              <w:spacing w:before="120" w:after="120" w:line="276" w:lineRule="auto"/>
              <w:jc w:val="both"/>
              <w:rPr>
                <w:rFonts w:ascii="Arial" w:hAnsi="Arial" w:cs="Arial"/>
                <w:sz w:val="18"/>
                <w:szCs w:val="18"/>
              </w:rPr>
            </w:pPr>
            <w:r w:rsidRPr="00AE7DEA">
              <w:rPr>
                <w:rFonts w:ascii="Arial" w:eastAsia="Times New Roman" w:hAnsi="Arial" w:cs="Arial"/>
                <w:color w:val="000000"/>
                <w:sz w:val="18"/>
                <w:szCs w:val="18"/>
                <w:lang w:eastAsia="es-MX"/>
              </w:rPr>
              <w:t>El criterio de especialización solo es aplicable ante la ausencia de argumentos que demuestren que los mercados son competencia del IFT o de la COFECE y no aplica de manera automática a todos los casos, tal como lo señaló el SEGUNOO TRIBUNAL en el CCTW.</w:t>
            </w:r>
          </w:p>
        </w:tc>
        <w:tc>
          <w:tcPr>
            <w:tcW w:w="3308" w:type="dxa"/>
            <w:shd w:val="clear" w:color="auto" w:fill="FFFFFF" w:themeFill="background1"/>
          </w:tcPr>
          <w:p w14:paraId="243900CD" w14:textId="77777777" w:rsidR="008864F4" w:rsidRDefault="008864F4" w:rsidP="00A9692B">
            <w:pPr>
              <w:spacing w:before="120" w:after="120" w:line="276" w:lineRule="auto"/>
              <w:jc w:val="both"/>
              <w:rPr>
                <w:rFonts w:ascii="Arial" w:hAnsi="Arial" w:cs="Arial"/>
                <w:sz w:val="18"/>
                <w:szCs w:val="18"/>
              </w:rPr>
            </w:pPr>
            <w:r w:rsidRPr="00050C71">
              <w:rPr>
                <w:rFonts w:ascii="Arial" w:hAnsi="Arial" w:cs="Arial"/>
                <w:sz w:val="18"/>
                <w:szCs w:val="18"/>
              </w:rPr>
              <w:t>Efectivamente, el criterio de especialización es un criterio a considerarse para determinar competencia, por lo que no es un elemento que deba de dejar de mencionarse.</w:t>
            </w:r>
          </w:p>
          <w:p w14:paraId="33CB9EF5" w14:textId="39E081AE" w:rsidR="00BA475C" w:rsidRPr="00050C71" w:rsidRDefault="00BA475C" w:rsidP="00A9692B">
            <w:pPr>
              <w:spacing w:before="120" w:after="120" w:line="276" w:lineRule="auto"/>
              <w:jc w:val="both"/>
              <w:rPr>
                <w:rFonts w:ascii="Arial" w:hAnsi="Arial" w:cs="Arial"/>
                <w:sz w:val="18"/>
                <w:szCs w:val="18"/>
              </w:rPr>
            </w:pPr>
            <w:r>
              <w:rPr>
                <w:rFonts w:ascii="Arial" w:eastAsia="Times New Roman" w:hAnsi="Arial" w:cs="Arial"/>
                <w:color w:val="000000"/>
                <w:sz w:val="18"/>
                <w:szCs w:val="18"/>
                <w:lang w:eastAsia="es-MX"/>
              </w:rPr>
              <w:t>P</w:t>
            </w:r>
            <w:r w:rsidRPr="00226E25">
              <w:rPr>
                <w:rFonts w:ascii="Arial" w:eastAsia="Times New Roman" w:hAnsi="Arial" w:cs="Arial"/>
                <w:color w:val="000000"/>
                <w:sz w:val="18"/>
                <w:szCs w:val="18"/>
                <w:lang w:eastAsia="es-MX"/>
              </w:rPr>
              <w:t xml:space="preserve">or lo </w:t>
            </w:r>
            <w:r>
              <w:rPr>
                <w:rFonts w:ascii="Arial" w:eastAsia="Times New Roman" w:hAnsi="Arial" w:cs="Arial"/>
                <w:color w:val="000000"/>
                <w:sz w:val="18"/>
                <w:szCs w:val="18"/>
                <w:lang w:eastAsia="es-MX"/>
              </w:rPr>
              <w:t>anterior,</w:t>
            </w:r>
            <w:r w:rsidRPr="00226E25">
              <w:rPr>
                <w:rFonts w:ascii="Arial" w:eastAsia="Times New Roman" w:hAnsi="Arial" w:cs="Arial"/>
                <w:color w:val="000000"/>
                <w:sz w:val="18"/>
                <w:szCs w:val="18"/>
                <w:lang w:eastAsia="es-MX"/>
              </w:rPr>
              <w:t xml:space="preserve"> el comentario no </w:t>
            </w:r>
            <w:r>
              <w:rPr>
                <w:rFonts w:ascii="Arial" w:eastAsia="Times New Roman" w:hAnsi="Arial" w:cs="Arial"/>
                <w:color w:val="000000"/>
                <w:sz w:val="18"/>
                <w:szCs w:val="18"/>
                <w:lang w:eastAsia="es-MX"/>
              </w:rPr>
              <w:t>se considera procedente.</w:t>
            </w:r>
          </w:p>
        </w:tc>
      </w:tr>
      <w:tr w:rsidR="008864F4" w:rsidRPr="003E2214" w14:paraId="20B1B2CC" w14:textId="77777777" w:rsidTr="009B2105">
        <w:trPr>
          <w:jc w:val="center"/>
        </w:trPr>
        <w:tc>
          <w:tcPr>
            <w:tcW w:w="2948" w:type="dxa"/>
            <w:vMerge/>
            <w:shd w:val="clear" w:color="auto" w:fill="FFFFFF" w:themeFill="background1"/>
          </w:tcPr>
          <w:p w14:paraId="7315C94F" w14:textId="77777777" w:rsidR="008864F4" w:rsidRPr="00BF4F5D" w:rsidRDefault="008864F4" w:rsidP="00A9692B">
            <w:pPr>
              <w:spacing w:before="120" w:after="120" w:line="276" w:lineRule="auto"/>
              <w:jc w:val="both"/>
              <w:rPr>
                <w:rFonts w:ascii="Arial" w:hAnsi="Arial" w:cs="Arial"/>
                <w:sz w:val="18"/>
                <w:szCs w:val="18"/>
                <w:lang w:val="es-ES"/>
              </w:rPr>
            </w:pPr>
          </w:p>
        </w:tc>
        <w:tc>
          <w:tcPr>
            <w:tcW w:w="2948" w:type="dxa"/>
            <w:shd w:val="clear" w:color="auto" w:fill="FFFFFF" w:themeFill="background1"/>
            <w:vAlign w:val="center"/>
          </w:tcPr>
          <w:p w14:paraId="25D8C99F" w14:textId="139E59AA" w:rsidR="008864F4" w:rsidRPr="00C65B32" w:rsidRDefault="008864F4" w:rsidP="00A9692B">
            <w:pPr>
              <w:spacing w:before="120" w:after="120" w:line="276" w:lineRule="auto"/>
              <w:jc w:val="both"/>
              <w:rPr>
                <w:rFonts w:ascii="Arial" w:hAnsi="Arial" w:cs="Arial"/>
                <w:sz w:val="18"/>
                <w:szCs w:val="18"/>
              </w:rPr>
            </w:pPr>
            <w:r w:rsidRPr="00AE7DEA">
              <w:rPr>
                <w:rFonts w:ascii="Arial" w:eastAsia="Times New Roman" w:hAnsi="Arial" w:cs="Arial"/>
                <w:color w:val="000000"/>
                <w:sz w:val="18"/>
                <w:szCs w:val="18"/>
                <w:lang w:eastAsia="es-MX"/>
              </w:rPr>
              <w:t>Es posible concluir por analogía, que mercados y plataformas digitales con características similares a aquellas enfocadas a la logística del transporte de personas y entrega de comida y productos de supermercado, la publicidad en línea de las redes sociales, servicios de cómputo en la nube y motores de búsqueda, pertenecen a la COMISIÓN.</w:t>
            </w:r>
          </w:p>
        </w:tc>
        <w:tc>
          <w:tcPr>
            <w:tcW w:w="3308" w:type="dxa"/>
            <w:shd w:val="clear" w:color="auto" w:fill="FFFFFF" w:themeFill="background1"/>
          </w:tcPr>
          <w:p w14:paraId="59F2C153" w14:textId="00796BEB" w:rsidR="008864F4" w:rsidRDefault="00EA5B20" w:rsidP="00A9692B">
            <w:pPr>
              <w:spacing w:before="120" w:after="120" w:line="276"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474A91">
              <w:rPr>
                <w:rFonts w:ascii="Arial" w:eastAsia="Times New Roman" w:hAnsi="Arial" w:cs="Arial"/>
                <w:color w:val="000000"/>
                <w:sz w:val="18"/>
                <w:szCs w:val="18"/>
                <w:lang w:eastAsia="es-MX"/>
              </w:rPr>
              <w:t>E</w:t>
            </w:r>
            <w:r w:rsidRPr="00226E25">
              <w:rPr>
                <w:rFonts w:ascii="Arial" w:eastAsia="Times New Roman" w:hAnsi="Arial" w:cs="Arial"/>
                <w:color w:val="000000"/>
                <w:sz w:val="18"/>
                <w:szCs w:val="18"/>
                <w:lang w:eastAsia="es-MX"/>
              </w:rPr>
              <w:t xml:space="preserve">l comentario no </w:t>
            </w:r>
            <w:r>
              <w:rPr>
                <w:rFonts w:ascii="Arial" w:eastAsia="Times New Roman" w:hAnsi="Arial" w:cs="Arial"/>
                <w:color w:val="000000"/>
                <w:sz w:val="18"/>
                <w:szCs w:val="18"/>
                <w:lang w:eastAsia="es-MX"/>
              </w:rPr>
              <w:t xml:space="preserve">se considera procedente, pues </w:t>
            </w:r>
            <w:r w:rsidR="00474A91">
              <w:rPr>
                <w:rFonts w:ascii="Arial" w:eastAsia="Times New Roman" w:hAnsi="Arial" w:cs="Arial"/>
                <w:color w:val="000000"/>
                <w:sz w:val="18"/>
                <w:szCs w:val="18"/>
                <w:lang w:eastAsia="es-MX"/>
              </w:rPr>
              <w:t xml:space="preserve">no es precisa ni siquiera en mencionar a qué plataformas </w:t>
            </w:r>
            <w:r w:rsidR="00FC39C1">
              <w:rPr>
                <w:rFonts w:ascii="Arial" w:eastAsia="Times New Roman" w:hAnsi="Arial" w:cs="Arial"/>
                <w:color w:val="000000"/>
                <w:sz w:val="18"/>
                <w:szCs w:val="18"/>
                <w:lang w:eastAsia="es-MX"/>
              </w:rPr>
              <w:t>s</w:t>
            </w:r>
            <w:r w:rsidR="00474A91">
              <w:rPr>
                <w:rFonts w:ascii="Arial" w:eastAsia="Times New Roman" w:hAnsi="Arial" w:cs="Arial"/>
                <w:color w:val="000000"/>
                <w:sz w:val="18"/>
                <w:szCs w:val="18"/>
                <w:lang w:eastAsia="es-MX"/>
              </w:rPr>
              <w:t>e quiere aplicar la analogía y cuáles son las analogías a las que se refiere</w:t>
            </w:r>
            <w:r>
              <w:rPr>
                <w:rFonts w:ascii="Arial" w:eastAsia="Times New Roman" w:hAnsi="Arial" w:cs="Arial"/>
                <w:color w:val="000000"/>
                <w:sz w:val="18"/>
                <w:szCs w:val="18"/>
                <w:lang w:eastAsia="es-MX"/>
              </w:rPr>
              <w:t>.</w:t>
            </w:r>
          </w:p>
          <w:p w14:paraId="08BB9E39" w14:textId="50EF6258" w:rsidR="008864F4" w:rsidRPr="00050C71" w:rsidRDefault="00362ABA" w:rsidP="00A9692B">
            <w:pPr>
              <w:spacing w:before="120" w:after="120" w:line="276" w:lineRule="auto"/>
              <w:jc w:val="both"/>
              <w:rPr>
                <w:rFonts w:ascii="Arial" w:hAnsi="Arial" w:cs="Arial"/>
                <w:sz w:val="18"/>
                <w:szCs w:val="18"/>
              </w:rPr>
            </w:pPr>
            <w:r>
              <w:rPr>
                <w:rFonts w:ascii="Arial" w:eastAsia="Times New Roman" w:hAnsi="Arial" w:cs="Arial"/>
                <w:color w:val="000000"/>
                <w:sz w:val="18"/>
                <w:szCs w:val="18"/>
                <w:lang w:eastAsia="es-MX"/>
              </w:rPr>
              <w:t>P</w:t>
            </w:r>
            <w:r w:rsidRPr="00226E25">
              <w:rPr>
                <w:rFonts w:ascii="Arial" w:eastAsia="Times New Roman" w:hAnsi="Arial" w:cs="Arial"/>
                <w:color w:val="000000"/>
                <w:sz w:val="18"/>
                <w:szCs w:val="18"/>
                <w:lang w:eastAsia="es-MX"/>
              </w:rPr>
              <w:t xml:space="preserve">or lo </w:t>
            </w:r>
            <w:r>
              <w:rPr>
                <w:rFonts w:ascii="Arial" w:eastAsia="Times New Roman" w:hAnsi="Arial" w:cs="Arial"/>
                <w:color w:val="000000"/>
                <w:sz w:val="18"/>
                <w:szCs w:val="18"/>
                <w:lang w:eastAsia="es-MX"/>
              </w:rPr>
              <w:t>anterior,</w:t>
            </w:r>
            <w:r w:rsidRPr="00226E25">
              <w:rPr>
                <w:rFonts w:ascii="Arial" w:eastAsia="Times New Roman" w:hAnsi="Arial" w:cs="Arial"/>
                <w:color w:val="000000"/>
                <w:sz w:val="18"/>
                <w:szCs w:val="18"/>
                <w:lang w:eastAsia="es-MX"/>
              </w:rPr>
              <w:t xml:space="preserve"> el comentario no </w:t>
            </w:r>
            <w:r>
              <w:rPr>
                <w:rFonts w:ascii="Arial" w:eastAsia="Times New Roman" w:hAnsi="Arial" w:cs="Arial"/>
                <w:color w:val="000000"/>
                <w:sz w:val="18"/>
                <w:szCs w:val="18"/>
                <w:lang w:eastAsia="es-MX"/>
              </w:rPr>
              <w:t>se considera procedente.</w:t>
            </w:r>
          </w:p>
        </w:tc>
      </w:tr>
      <w:tr w:rsidR="008864F4" w:rsidRPr="003E2214" w14:paraId="1A0D4332" w14:textId="77777777" w:rsidTr="009B2105">
        <w:trPr>
          <w:jc w:val="center"/>
        </w:trPr>
        <w:tc>
          <w:tcPr>
            <w:tcW w:w="2948" w:type="dxa"/>
            <w:vMerge/>
            <w:shd w:val="clear" w:color="auto" w:fill="FFFFFF" w:themeFill="background1"/>
          </w:tcPr>
          <w:p w14:paraId="69AAB67C" w14:textId="77777777" w:rsidR="008864F4" w:rsidRPr="00BF4F5D" w:rsidRDefault="008864F4" w:rsidP="00A9692B">
            <w:pPr>
              <w:spacing w:before="120" w:after="120" w:line="276" w:lineRule="auto"/>
              <w:jc w:val="both"/>
              <w:rPr>
                <w:rFonts w:ascii="Arial" w:hAnsi="Arial" w:cs="Arial"/>
                <w:sz w:val="18"/>
                <w:szCs w:val="18"/>
                <w:lang w:val="es-ES"/>
              </w:rPr>
            </w:pPr>
          </w:p>
        </w:tc>
        <w:tc>
          <w:tcPr>
            <w:tcW w:w="2948" w:type="dxa"/>
            <w:shd w:val="clear" w:color="auto" w:fill="FFFFFF" w:themeFill="background1"/>
            <w:vAlign w:val="center"/>
          </w:tcPr>
          <w:p w14:paraId="5527A370" w14:textId="3E481B25" w:rsidR="008864F4" w:rsidRPr="00C65B32" w:rsidRDefault="008864F4" w:rsidP="00A9692B">
            <w:pPr>
              <w:spacing w:before="120" w:after="120" w:line="276" w:lineRule="auto"/>
              <w:jc w:val="both"/>
              <w:rPr>
                <w:rFonts w:ascii="Arial" w:hAnsi="Arial" w:cs="Arial"/>
                <w:sz w:val="18"/>
                <w:szCs w:val="18"/>
              </w:rPr>
            </w:pPr>
            <w:r w:rsidRPr="00AE7DEA">
              <w:rPr>
                <w:rFonts w:ascii="Arial" w:eastAsia="Times New Roman" w:hAnsi="Arial" w:cs="Arial"/>
                <w:color w:val="000000"/>
                <w:sz w:val="18"/>
                <w:szCs w:val="18"/>
                <w:lang w:eastAsia="es-MX"/>
              </w:rPr>
              <w:t xml:space="preserve">Existe una zona gris en aquellos mercados relacionados con infraestructura activa de telecomunicaciones, conexión y transferencia de datos, ya que si bien pueden pertenecer a los </w:t>
            </w:r>
            <w:r w:rsidRPr="00AE7DEA">
              <w:rPr>
                <w:rFonts w:ascii="Arial" w:eastAsia="Times New Roman" w:hAnsi="Arial" w:cs="Arial"/>
                <w:color w:val="000000"/>
                <w:sz w:val="18"/>
                <w:szCs w:val="18"/>
                <w:lang w:eastAsia="es-MX"/>
              </w:rPr>
              <w:lastRenderedPageBreak/>
              <w:t>sectores de telecomunicaciones y estar relacionados, también es cierto que pueden estar relacionados con servicios de cómputo en la nube, que son competencia de la COMISIÓN.</w:t>
            </w:r>
          </w:p>
        </w:tc>
        <w:tc>
          <w:tcPr>
            <w:tcW w:w="3308" w:type="dxa"/>
            <w:shd w:val="clear" w:color="auto" w:fill="FFFFFF" w:themeFill="background1"/>
          </w:tcPr>
          <w:p w14:paraId="394A4B15" w14:textId="73099FF5" w:rsidR="008864F4" w:rsidRDefault="008864F4" w:rsidP="00A9692B">
            <w:pPr>
              <w:spacing w:before="120" w:after="120" w:line="276" w:lineRule="auto"/>
              <w:jc w:val="both"/>
              <w:rPr>
                <w:rFonts w:ascii="Arial" w:hAnsi="Arial" w:cs="Arial"/>
                <w:sz w:val="18"/>
                <w:szCs w:val="18"/>
              </w:rPr>
            </w:pPr>
            <w:r w:rsidRPr="00050C71">
              <w:rPr>
                <w:rFonts w:ascii="Arial" w:hAnsi="Arial" w:cs="Arial"/>
                <w:sz w:val="18"/>
                <w:szCs w:val="18"/>
              </w:rPr>
              <w:lastRenderedPageBreak/>
              <w:t xml:space="preserve">Como </w:t>
            </w:r>
            <w:r w:rsidR="001F5C91">
              <w:rPr>
                <w:rFonts w:ascii="Arial" w:hAnsi="Arial" w:cs="Arial"/>
                <w:sz w:val="18"/>
                <w:szCs w:val="18"/>
              </w:rPr>
              <w:t>se</w:t>
            </w:r>
            <w:r w:rsidRPr="00050C71">
              <w:rPr>
                <w:rFonts w:ascii="Arial" w:hAnsi="Arial" w:cs="Arial"/>
                <w:sz w:val="18"/>
                <w:szCs w:val="18"/>
              </w:rPr>
              <w:t xml:space="preserve"> señala los mercados relacionados con infraestructura activa de telecomunicaciones, conexión y transferencia de datos pertenecen al sector de telecomunicaciones, por lo </w:t>
            </w:r>
            <w:r w:rsidRPr="00050C71">
              <w:rPr>
                <w:rFonts w:ascii="Arial" w:hAnsi="Arial" w:cs="Arial"/>
                <w:sz w:val="18"/>
                <w:szCs w:val="18"/>
              </w:rPr>
              <w:lastRenderedPageBreak/>
              <w:t>que es un elemento que no pude dejar de mencionarse.</w:t>
            </w:r>
          </w:p>
          <w:p w14:paraId="6CB5EB35" w14:textId="722F41FD" w:rsidR="008864F4" w:rsidRPr="00050C71" w:rsidRDefault="00362ABA" w:rsidP="00A9692B">
            <w:pPr>
              <w:spacing w:before="120" w:after="120" w:line="276" w:lineRule="auto"/>
              <w:jc w:val="both"/>
              <w:rPr>
                <w:rFonts w:ascii="Arial" w:hAnsi="Arial" w:cs="Arial"/>
                <w:sz w:val="18"/>
                <w:szCs w:val="18"/>
              </w:rPr>
            </w:pPr>
            <w:r>
              <w:rPr>
                <w:rFonts w:ascii="Arial" w:eastAsia="Times New Roman" w:hAnsi="Arial" w:cs="Arial"/>
                <w:color w:val="000000"/>
                <w:sz w:val="18"/>
                <w:szCs w:val="18"/>
                <w:lang w:eastAsia="es-MX"/>
              </w:rPr>
              <w:t>P</w:t>
            </w:r>
            <w:r w:rsidRPr="00226E25">
              <w:rPr>
                <w:rFonts w:ascii="Arial" w:eastAsia="Times New Roman" w:hAnsi="Arial" w:cs="Arial"/>
                <w:color w:val="000000"/>
                <w:sz w:val="18"/>
                <w:szCs w:val="18"/>
                <w:lang w:eastAsia="es-MX"/>
              </w:rPr>
              <w:t xml:space="preserve">or lo </w:t>
            </w:r>
            <w:r>
              <w:rPr>
                <w:rFonts w:ascii="Arial" w:eastAsia="Times New Roman" w:hAnsi="Arial" w:cs="Arial"/>
                <w:color w:val="000000"/>
                <w:sz w:val="18"/>
                <w:szCs w:val="18"/>
                <w:lang w:eastAsia="es-MX"/>
              </w:rPr>
              <w:t>anterior,</w:t>
            </w:r>
            <w:r w:rsidRPr="00226E25">
              <w:rPr>
                <w:rFonts w:ascii="Arial" w:eastAsia="Times New Roman" w:hAnsi="Arial" w:cs="Arial"/>
                <w:color w:val="000000"/>
                <w:sz w:val="18"/>
                <w:szCs w:val="18"/>
                <w:lang w:eastAsia="es-MX"/>
              </w:rPr>
              <w:t xml:space="preserve"> el comentario no </w:t>
            </w:r>
            <w:r>
              <w:rPr>
                <w:rFonts w:ascii="Arial" w:eastAsia="Times New Roman" w:hAnsi="Arial" w:cs="Arial"/>
                <w:color w:val="000000"/>
                <w:sz w:val="18"/>
                <w:szCs w:val="18"/>
                <w:lang w:eastAsia="es-MX"/>
              </w:rPr>
              <w:t>se considera procedente.</w:t>
            </w:r>
          </w:p>
        </w:tc>
      </w:tr>
      <w:tr w:rsidR="008864F4" w:rsidRPr="003E2214" w14:paraId="5CB19C8A" w14:textId="77777777" w:rsidTr="009B2105">
        <w:trPr>
          <w:jc w:val="center"/>
        </w:trPr>
        <w:tc>
          <w:tcPr>
            <w:tcW w:w="2948" w:type="dxa"/>
            <w:vMerge/>
            <w:shd w:val="clear" w:color="auto" w:fill="FFFFFF" w:themeFill="background1"/>
          </w:tcPr>
          <w:p w14:paraId="017814A3" w14:textId="77777777" w:rsidR="008864F4" w:rsidRPr="00BF4F5D" w:rsidRDefault="008864F4" w:rsidP="00A9692B">
            <w:pPr>
              <w:spacing w:before="120" w:after="120" w:line="276" w:lineRule="auto"/>
              <w:jc w:val="both"/>
              <w:rPr>
                <w:rFonts w:ascii="Arial" w:hAnsi="Arial" w:cs="Arial"/>
                <w:sz w:val="18"/>
                <w:szCs w:val="18"/>
                <w:lang w:val="es-ES"/>
              </w:rPr>
            </w:pPr>
          </w:p>
        </w:tc>
        <w:tc>
          <w:tcPr>
            <w:tcW w:w="2948" w:type="dxa"/>
            <w:shd w:val="clear" w:color="auto" w:fill="FFFFFF" w:themeFill="background1"/>
            <w:vAlign w:val="center"/>
          </w:tcPr>
          <w:p w14:paraId="76BC61D7" w14:textId="721AE6CC" w:rsidR="008864F4" w:rsidRPr="00C65B32" w:rsidRDefault="008864F4" w:rsidP="00A9692B">
            <w:pPr>
              <w:spacing w:before="120" w:after="120" w:line="276" w:lineRule="auto"/>
              <w:jc w:val="both"/>
              <w:rPr>
                <w:rFonts w:ascii="Arial" w:hAnsi="Arial" w:cs="Arial"/>
                <w:sz w:val="18"/>
                <w:szCs w:val="18"/>
              </w:rPr>
            </w:pPr>
            <w:r w:rsidRPr="00AE7DEA">
              <w:rPr>
                <w:rFonts w:ascii="Arial" w:eastAsia="Times New Roman" w:hAnsi="Arial" w:cs="Arial"/>
                <w:color w:val="000000"/>
                <w:sz w:val="18"/>
                <w:szCs w:val="18"/>
                <w:lang w:eastAsia="es-MX"/>
              </w:rPr>
              <w:t xml:space="preserve">Otra competencia discutible es la de los mercados de contenidos audiovisuales y contenidos musicales para plataformas OTT, pues la COMISIÓN también ha conocido de plataformas de </w:t>
            </w:r>
            <w:r w:rsidRPr="00C409EB">
              <w:rPr>
                <w:rFonts w:ascii="Arial" w:eastAsia="Times New Roman" w:hAnsi="Arial" w:cs="Arial"/>
                <w:i/>
                <w:color w:val="000000"/>
                <w:sz w:val="18"/>
                <w:szCs w:val="18"/>
                <w:lang w:eastAsia="es-MX"/>
              </w:rPr>
              <w:t>streaming</w:t>
            </w:r>
            <w:r w:rsidRPr="00AE7DEA">
              <w:rPr>
                <w:rFonts w:ascii="Arial" w:eastAsia="Times New Roman" w:hAnsi="Arial" w:cs="Arial"/>
                <w:color w:val="000000"/>
                <w:sz w:val="18"/>
                <w:szCs w:val="18"/>
                <w:lang w:eastAsia="es-MX"/>
              </w:rPr>
              <w:t xml:space="preserve"> de contenido audiovisual. En especial, llama la atención que el propio IFT ha considerado que esos servicios no son sustitutos de servicios de telecomunicaciones.</w:t>
            </w:r>
          </w:p>
        </w:tc>
        <w:tc>
          <w:tcPr>
            <w:tcW w:w="3308" w:type="dxa"/>
            <w:shd w:val="clear" w:color="auto" w:fill="FFFFFF" w:themeFill="background1"/>
          </w:tcPr>
          <w:p w14:paraId="493CE7BF" w14:textId="77777777" w:rsidR="008864F4" w:rsidRPr="00050C71" w:rsidRDefault="008864F4" w:rsidP="00A9692B">
            <w:pPr>
              <w:spacing w:before="120" w:after="120" w:line="276" w:lineRule="auto"/>
              <w:jc w:val="both"/>
              <w:rPr>
                <w:rFonts w:ascii="Arial" w:hAnsi="Arial" w:cs="Arial"/>
                <w:sz w:val="18"/>
                <w:szCs w:val="18"/>
              </w:rPr>
            </w:pPr>
            <w:r w:rsidRPr="00050C71">
              <w:rPr>
                <w:rFonts w:ascii="Arial" w:hAnsi="Arial" w:cs="Arial"/>
                <w:sz w:val="18"/>
                <w:szCs w:val="18"/>
              </w:rPr>
              <w:t>Se aclara que el hecho de si bien el Instituto no considera que los servicios de distribución OTT no son sustitutos de los servicios de distribución a través de plataformas de TV Restringida, no implica que no reconozca que pertenecen al sector de telecomunicaciones.</w:t>
            </w:r>
          </w:p>
          <w:p w14:paraId="409376E2" w14:textId="373D5D80" w:rsidR="008864F4" w:rsidRPr="00050C71" w:rsidRDefault="008864F4" w:rsidP="00A9692B">
            <w:pPr>
              <w:spacing w:before="120" w:after="120" w:line="276" w:lineRule="auto"/>
              <w:jc w:val="both"/>
              <w:rPr>
                <w:rFonts w:ascii="Arial" w:hAnsi="Arial" w:cs="Arial"/>
                <w:sz w:val="18"/>
                <w:szCs w:val="18"/>
              </w:rPr>
            </w:pPr>
            <w:r w:rsidRPr="00050C71">
              <w:rPr>
                <w:rFonts w:ascii="Arial" w:hAnsi="Arial" w:cs="Arial"/>
                <w:sz w:val="18"/>
                <w:szCs w:val="18"/>
              </w:rPr>
              <w:t xml:space="preserve">La sustitución define la pertenencia de productos y servicios en un mismo mercado relevante, pero no es un elemento para colocarlos en diferentes sectores. La telefonía fija y la telefonía móvil, que incluye voz, teleconferencias, audioconferencias, videoconferencias y/o mensajes cortos, no son servicios sustitutos, pero pertenecen al mismo sector de telecomunicaciones. </w:t>
            </w:r>
          </w:p>
          <w:p w14:paraId="2B161DE0" w14:textId="77777777" w:rsidR="008864F4" w:rsidRDefault="008864F4" w:rsidP="00A9692B">
            <w:pPr>
              <w:spacing w:before="120" w:after="120" w:line="276" w:lineRule="auto"/>
              <w:jc w:val="both"/>
              <w:rPr>
                <w:rFonts w:ascii="Arial" w:hAnsi="Arial" w:cs="Arial"/>
                <w:sz w:val="18"/>
                <w:szCs w:val="18"/>
              </w:rPr>
            </w:pPr>
            <w:r w:rsidRPr="00050C71">
              <w:rPr>
                <w:rFonts w:ascii="Arial" w:hAnsi="Arial" w:cs="Arial"/>
                <w:sz w:val="18"/>
                <w:szCs w:val="18"/>
              </w:rPr>
              <w:t xml:space="preserve">Por otra parte, COFECE pudo haber conocido de plataformas de </w:t>
            </w:r>
            <w:r w:rsidRPr="00C409EB">
              <w:rPr>
                <w:rFonts w:ascii="Arial" w:hAnsi="Arial" w:cs="Arial"/>
                <w:i/>
                <w:sz w:val="18"/>
                <w:szCs w:val="18"/>
              </w:rPr>
              <w:t>streaming</w:t>
            </w:r>
            <w:r w:rsidRPr="00050C71">
              <w:rPr>
                <w:rFonts w:ascii="Arial" w:hAnsi="Arial" w:cs="Arial"/>
                <w:sz w:val="18"/>
                <w:szCs w:val="18"/>
              </w:rPr>
              <w:t xml:space="preserve"> (transmisión continúa de video, que se trata de una actividad de telecomunicaciones), pero no debe resolver sobre esos mercados en tanto estaría invadiendo facultades del IFT.</w:t>
            </w:r>
          </w:p>
          <w:p w14:paraId="340270E4" w14:textId="0A84F258" w:rsidR="008864F4" w:rsidRPr="00050C71" w:rsidRDefault="002A1E85" w:rsidP="00A9692B">
            <w:pPr>
              <w:spacing w:before="120" w:after="120" w:line="276" w:lineRule="auto"/>
              <w:jc w:val="both"/>
              <w:rPr>
                <w:rFonts w:ascii="Arial" w:hAnsi="Arial" w:cs="Arial"/>
                <w:sz w:val="18"/>
                <w:szCs w:val="18"/>
              </w:rPr>
            </w:pPr>
            <w:r>
              <w:rPr>
                <w:rFonts w:ascii="Arial" w:eastAsia="Times New Roman" w:hAnsi="Arial" w:cs="Arial"/>
                <w:color w:val="000000"/>
                <w:sz w:val="18"/>
                <w:szCs w:val="18"/>
                <w:lang w:eastAsia="es-MX"/>
              </w:rPr>
              <w:t>P</w:t>
            </w:r>
            <w:r w:rsidRPr="00226E25">
              <w:rPr>
                <w:rFonts w:ascii="Arial" w:eastAsia="Times New Roman" w:hAnsi="Arial" w:cs="Arial"/>
                <w:color w:val="000000"/>
                <w:sz w:val="18"/>
                <w:szCs w:val="18"/>
                <w:lang w:eastAsia="es-MX"/>
              </w:rPr>
              <w:t xml:space="preserve">or lo </w:t>
            </w:r>
            <w:r>
              <w:rPr>
                <w:rFonts w:ascii="Arial" w:eastAsia="Times New Roman" w:hAnsi="Arial" w:cs="Arial"/>
                <w:color w:val="000000"/>
                <w:sz w:val="18"/>
                <w:szCs w:val="18"/>
                <w:lang w:eastAsia="es-MX"/>
              </w:rPr>
              <w:t>anterior,</w:t>
            </w:r>
            <w:r w:rsidRPr="00226E25">
              <w:rPr>
                <w:rFonts w:ascii="Arial" w:eastAsia="Times New Roman" w:hAnsi="Arial" w:cs="Arial"/>
                <w:color w:val="000000"/>
                <w:sz w:val="18"/>
                <w:szCs w:val="18"/>
                <w:lang w:eastAsia="es-MX"/>
              </w:rPr>
              <w:t xml:space="preserve"> el comentario no </w:t>
            </w:r>
            <w:r>
              <w:rPr>
                <w:rFonts w:ascii="Arial" w:eastAsia="Times New Roman" w:hAnsi="Arial" w:cs="Arial"/>
                <w:color w:val="000000"/>
                <w:sz w:val="18"/>
                <w:szCs w:val="18"/>
                <w:lang w:eastAsia="es-MX"/>
              </w:rPr>
              <w:t>se considera procedente.</w:t>
            </w:r>
          </w:p>
        </w:tc>
      </w:tr>
    </w:tbl>
    <w:p w14:paraId="781EBB1F" w14:textId="5285FF9B" w:rsidR="002507BD" w:rsidRDefault="00CF7E9F" w:rsidP="00A9692B">
      <w:pPr>
        <w:spacing w:before="120" w:after="120" w:line="276" w:lineRule="auto"/>
        <w:jc w:val="both"/>
        <w:rPr>
          <w:rFonts w:ascii="Arial" w:hAnsi="Arial" w:cs="Arial"/>
          <w:b/>
        </w:rPr>
      </w:pPr>
      <w:r>
        <w:rPr>
          <w:rFonts w:ascii="Arial" w:hAnsi="Arial" w:cs="Arial"/>
          <w:b/>
        </w:rPr>
        <w:t>7</w:t>
      </w:r>
      <w:r w:rsidR="002E206B" w:rsidRPr="002E206B">
        <w:rPr>
          <w:rFonts w:ascii="Arial" w:hAnsi="Arial" w:cs="Arial"/>
          <w:b/>
        </w:rPr>
        <w:t>.</w:t>
      </w:r>
      <w:r w:rsidR="00C70638">
        <w:rPr>
          <w:rFonts w:ascii="Arial" w:hAnsi="Arial" w:cs="Arial"/>
          <w:b/>
        </w:rPr>
        <w:t>7</w:t>
      </w:r>
      <w:r w:rsidR="002E206B" w:rsidRPr="00D020C8">
        <w:rPr>
          <w:rFonts w:ascii="Arial" w:hAnsi="Arial" w:cs="Arial"/>
          <w:b/>
        </w:rPr>
        <w:t xml:space="preserve">. </w:t>
      </w:r>
      <w:r>
        <w:rPr>
          <w:rFonts w:ascii="Arial" w:hAnsi="Arial" w:cs="Arial"/>
          <w:b/>
        </w:rPr>
        <w:t>“</w:t>
      </w:r>
      <w:r w:rsidRPr="00CF7E9F">
        <w:rPr>
          <w:rFonts w:ascii="Arial" w:hAnsi="Arial" w:cs="Arial"/>
          <w:b/>
        </w:rPr>
        <w:t>4.3.1 Información adicional</w:t>
      </w:r>
      <w:r>
        <w:rPr>
          <w:rFonts w:ascii="Arial" w:hAnsi="Arial" w:cs="Arial"/>
          <w:b/>
        </w:rPr>
        <w:t>”</w:t>
      </w:r>
    </w:p>
    <w:p w14:paraId="51FD01F2" w14:textId="4966615C" w:rsidR="00D020C8" w:rsidRPr="002E206B" w:rsidRDefault="00CF7E9F" w:rsidP="00A9692B">
      <w:pPr>
        <w:spacing w:before="120" w:after="120" w:line="276" w:lineRule="auto"/>
        <w:jc w:val="both"/>
        <w:rPr>
          <w:rFonts w:ascii="Arial" w:hAnsi="Arial" w:cs="Arial"/>
          <w:b/>
        </w:rPr>
      </w:pPr>
      <w:r>
        <w:rPr>
          <w:rFonts w:ascii="Arial" w:hAnsi="Arial" w:cs="Arial"/>
          <w:b/>
        </w:rPr>
        <w:t>7</w:t>
      </w:r>
      <w:r w:rsidR="00D020C8" w:rsidRPr="009A0811">
        <w:rPr>
          <w:rFonts w:ascii="Arial" w:hAnsi="Arial" w:cs="Arial"/>
          <w:b/>
        </w:rPr>
        <w:t>.</w:t>
      </w:r>
      <w:r w:rsidR="00C70638">
        <w:rPr>
          <w:rFonts w:ascii="Arial" w:hAnsi="Arial" w:cs="Arial"/>
          <w:b/>
        </w:rPr>
        <w:t>7</w:t>
      </w:r>
      <w:r w:rsidR="00D020C8" w:rsidRPr="009A0811">
        <w:rPr>
          <w:rFonts w:ascii="Arial" w:hAnsi="Arial" w:cs="Arial"/>
          <w:b/>
        </w:rPr>
        <w:t xml:space="preserve">.1. Síntesis de los comentarios relacionados con el </w:t>
      </w:r>
      <w:r w:rsidR="00BA6C59">
        <w:rPr>
          <w:rFonts w:ascii="Arial" w:hAnsi="Arial" w:cs="Arial"/>
          <w:b/>
        </w:rPr>
        <w:t>a</w:t>
      </w:r>
      <w:r>
        <w:rPr>
          <w:rFonts w:ascii="Arial" w:hAnsi="Arial" w:cs="Arial"/>
          <w:b/>
        </w:rPr>
        <w:t xml:space="preserve">partado </w:t>
      </w:r>
      <w:r w:rsidRPr="00CF7E9F">
        <w:rPr>
          <w:rFonts w:ascii="Arial" w:hAnsi="Arial" w:cs="Arial"/>
          <w:b/>
        </w:rPr>
        <w:t xml:space="preserve">4.3.1 Información adicional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4A0" w:firstRow="1" w:lastRow="0" w:firstColumn="1" w:lastColumn="0" w:noHBand="0" w:noVBand="1"/>
      </w:tblPr>
      <w:tblGrid>
        <w:gridCol w:w="2948"/>
        <w:gridCol w:w="2948"/>
        <w:gridCol w:w="3308"/>
      </w:tblGrid>
      <w:tr w:rsidR="00C743A6" w:rsidRPr="003E2214" w14:paraId="1FC29E57" w14:textId="32D1A72E" w:rsidTr="00275B74">
        <w:trPr>
          <w:tblHeader/>
          <w:jc w:val="center"/>
        </w:trPr>
        <w:tc>
          <w:tcPr>
            <w:tcW w:w="2948" w:type="dxa"/>
            <w:shd w:val="clear" w:color="auto" w:fill="70AD47" w:themeFill="accent6"/>
          </w:tcPr>
          <w:p w14:paraId="6FE9F3A4" w14:textId="5AC1ED5D" w:rsidR="00C743A6" w:rsidRPr="002E35A6" w:rsidRDefault="00C743A6" w:rsidP="00A9692B">
            <w:pPr>
              <w:spacing w:before="120" w:after="120" w:line="276" w:lineRule="auto"/>
              <w:jc w:val="center"/>
              <w:rPr>
                <w:rFonts w:ascii="Arial" w:hAnsi="Arial" w:cs="Arial"/>
                <w:b/>
                <w:sz w:val="18"/>
                <w:szCs w:val="18"/>
                <w:lang w:val="es-ES_tradnl"/>
              </w:rPr>
            </w:pPr>
            <w:r w:rsidRPr="00730154">
              <w:rPr>
                <w:rFonts w:ascii="Arial" w:hAnsi="Arial" w:cs="Arial"/>
                <w:b/>
                <w:sz w:val="18"/>
                <w:szCs w:val="18"/>
              </w:rPr>
              <w:t>Apartado del Anteproyecto</w:t>
            </w:r>
          </w:p>
        </w:tc>
        <w:tc>
          <w:tcPr>
            <w:tcW w:w="2948" w:type="dxa"/>
            <w:shd w:val="clear" w:color="auto" w:fill="70AD47" w:themeFill="accent6"/>
          </w:tcPr>
          <w:p w14:paraId="11D1269A" w14:textId="5CBBFDD2" w:rsidR="00C743A6" w:rsidRPr="002E35A6" w:rsidRDefault="00C743A6" w:rsidP="00A9692B">
            <w:pPr>
              <w:spacing w:before="120" w:after="120" w:line="276" w:lineRule="auto"/>
              <w:jc w:val="center"/>
              <w:rPr>
                <w:rFonts w:ascii="Arial" w:hAnsi="Arial" w:cs="Arial"/>
                <w:b/>
                <w:sz w:val="18"/>
                <w:szCs w:val="18"/>
                <w:lang w:val="es-ES_tradnl"/>
              </w:rPr>
            </w:pPr>
            <w:r w:rsidRPr="00730154">
              <w:rPr>
                <w:rFonts w:ascii="Arial" w:hAnsi="Arial" w:cs="Arial"/>
                <w:b/>
                <w:sz w:val="18"/>
                <w:szCs w:val="18"/>
              </w:rPr>
              <w:t>Resumen de los comentarios recibidos</w:t>
            </w:r>
          </w:p>
        </w:tc>
        <w:tc>
          <w:tcPr>
            <w:tcW w:w="3308" w:type="dxa"/>
            <w:shd w:val="clear" w:color="auto" w:fill="70AD47" w:themeFill="accent6"/>
          </w:tcPr>
          <w:p w14:paraId="30075A0B" w14:textId="22D8CBCC" w:rsidR="00C743A6" w:rsidRPr="00730154" w:rsidRDefault="00C743A6" w:rsidP="00A9692B">
            <w:pPr>
              <w:spacing w:before="120" w:after="120" w:line="276" w:lineRule="auto"/>
              <w:jc w:val="center"/>
              <w:rPr>
                <w:rFonts w:ascii="Arial" w:hAnsi="Arial" w:cs="Arial"/>
                <w:b/>
                <w:sz w:val="18"/>
                <w:szCs w:val="18"/>
              </w:rPr>
            </w:pPr>
            <w:r>
              <w:rPr>
                <w:rFonts w:ascii="Arial" w:hAnsi="Arial" w:cs="Arial"/>
                <w:b/>
                <w:sz w:val="18"/>
                <w:szCs w:val="18"/>
              </w:rPr>
              <w:t>Consideración</w:t>
            </w:r>
          </w:p>
        </w:tc>
      </w:tr>
      <w:tr w:rsidR="008A34AF" w:rsidRPr="003E2214" w14:paraId="573F8370" w14:textId="251612AB" w:rsidTr="00275B74">
        <w:trPr>
          <w:jc w:val="center"/>
        </w:trPr>
        <w:tc>
          <w:tcPr>
            <w:tcW w:w="9204" w:type="dxa"/>
            <w:gridSpan w:val="3"/>
            <w:shd w:val="clear" w:color="auto" w:fill="C5E0B3" w:themeFill="accent6" w:themeFillTint="66"/>
          </w:tcPr>
          <w:p w14:paraId="5AD6E636" w14:textId="12E3F93B" w:rsidR="008A34AF" w:rsidRPr="00BF4F5D" w:rsidRDefault="00CF7E9F" w:rsidP="00A9692B">
            <w:pPr>
              <w:spacing w:before="120" w:after="120" w:line="276" w:lineRule="auto"/>
              <w:jc w:val="center"/>
              <w:rPr>
                <w:rFonts w:ascii="Arial" w:hAnsi="Arial" w:cs="Arial"/>
                <w:b/>
                <w:sz w:val="18"/>
                <w:szCs w:val="18"/>
                <w:lang w:val="es-ES_tradnl"/>
              </w:rPr>
            </w:pPr>
            <w:r w:rsidRPr="00CF7E9F">
              <w:rPr>
                <w:rFonts w:ascii="Arial" w:hAnsi="Arial" w:cs="Arial"/>
                <w:b/>
                <w:sz w:val="18"/>
                <w:szCs w:val="18"/>
                <w:lang w:val="es-ES_tradnl"/>
              </w:rPr>
              <w:t>4.3.1 Información adicional</w:t>
            </w:r>
          </w:p>
        </w:tc>
      </w:tr>
      <w:tr w:rsidR="006E39AC" w:rsidRPr="003E2214" w14:paraId="386AC41E" w14:textId="014A9963" w:rsidTr="00275B74">
        <w:trPr>
          <w:jc w:val="center"/>
        </w:trPr>
        <w:tc>
          <w:tcPr>
            <w:tcW w:w="2948" w:type="dxa"/>
            <w:vMerge w:val="restart"/>
            <w:shd w:val="clear" w:color="auto" w:fill="FFFFFF" w:themeFill="background1"/>
          </w:tcPr>
          <w:p w14:paraId="0C6A54FE" w14:textId="77777777" w:rsidR="006E39AC" w:rsidRPr="00FB2EB5" w:rsidRDefault="006E39AC" w:rsidP="00A9692B">
            <w:pPr>
              <w:spacing w:before="120" w:after="120" w:line="276" w:lineRule="auto"/>
              <w:jc w:val="both"/>
              <w:rPr>
                <w:rFonts w:ascii="Arial" w:hAnsi="Arial" w:cs="Arial"/>
                <w:bCs/>
                <w:sz w:val="18"/>
                <w:szCs w:val="18"/>
                <w:lang w:val="es-ES"/>
              </w:rPr>
            </w:pPr>
            <w:r w:rsidRPr="00FB2EB5">
              <w:rPr>
                <w:rFonts w:ascii="Arial" w:hAnsi="Arial" w:cs="Arial"/>
                <w:bCs/>
                <w:sz w:val="18"/>
                <w:szCs w:val="18"/>
                <w:lang w:val="es-ES"/>
              </w:rPr>
              <w:t>Adicional</w:t>
            </w:r>
          </w:p>
          <w:p w14:paraId="52AB7A09" w14:textId="77777777" w:rsidR="006E39AC" w:rsidRDefault="006E39AC" w:rsidP="00A9692B">
            <w:pPr>
              <w:spacing w:before="120" w:after="120" w:line="276" w:lineRule="auto"/>
              <w:jc w:val="both"/>
              <w:rPr>
                <w:rFonts w:ascii="Arial" w:hAnsi="Arial" w:cs="Arial"/>
                <w:bCs/>
                <w:sz w:val="18"/>
                <w:szCs w:val="18"/>
                <w:lang w:val="es-ES"/>
              </w:rPr>
            </w:pPr>
            <w:r w:rsidRPr="00FB2EB5">
              <w:rPr>
                <w:rFonts w:ascii="Arial" w:hAnsi="Arial" w:cs="Arial"/>
                <w:bCs/>
                <w:sz w:val="18"/>
                <w:szCs w:val="18"/>
                <w:lang w:val="es-ES"/>
              </w:rPr>
              <w:t xml:space="preserve">Para operaciones que requieren de forma exhaustiva la evaluación </w:t>
            </w:r>
            <w:r w:rsidRPr="00FB2EB5">
              <w:rPr>
                <w:rFonts w:ascii="Arial" w:hAnsi="Arial" w:cs="Arial"/>
                <w:bCs/>
                <w:sz w:val="18"/>
                <w:szCs w:val="18"/>
                <w:lang w:val="es-ES"/>
              </w:rPr>
              <w:lastRenderedPageBreak/>
              <w:t>de los elementos a que se refieren los artículos 58, 59, 63 y 64 de la LFCE y las correspondientes fracciones de las Disposiciones Regulatorias, el IFT requerirá diversa evidencia. Este estándar también se toma como referencia en el análisis de concentraciones involucradas en procedimientos previstos en la LFTR.</w:t>
            </w:r>
          </w:p>
          <w:p w14:paraId="6EBB5C30" w14:textId="77777777" w:rsidR="006E39AC" w:rsidRPr="009157E3" w:rsidRDefault="006E39AC" w:rsidP="00A9692B">
            <w:pPr>
              <w:spacing w:before="120" w:after="120" w:line="276" w:lineRule="auto"/>
              <w:jc w:val="both"/>
              <w:rPr>
                <w:rFonts w:ascii="Arial" w:hAnsi="Arial" w:cs="Arial"/>
                <w:bCs/>
                <w:sz w:val="18"/>
                <w:szCs w:val="18"/>
                <w:lang w:val="es-ES"/>
              </w:rPr>
            </w:pPr>
            <w:r w:rsidRPr="009157E3">
              <w:rPr>
                <w:rFonts w:ascii="Arial" w:hAnsi="Arial" w:cs="Arial"/>
                <w:bCs/>
                <w:sz w:val="18"/>
                <w:szCs w:val="18"/>
                <w:lang w:val="es-ES"/>
              </w:rPr>
              <w:t>Entre la evidencia que el IFT analizará, se puede identificar la siguiente:</w:t>
            </w:r>
          </w:p>
          <w:p w14:paraId="54CBFC29" w14:textId="27354B61" w:rsidR="006E39AC" w:rsidRPr="009157E3" w:rsidRDefault="006E39AC" w:rsidP="00A9692B">
            <w:pPr>
              <w:pStyle w:val="Prrafodelista"/>
              <w:numPr>
                <w:ilvl w:val="0"/>
                <w:numId w:val="10"/>
              </w:numPr>
              <w:spacing w:before="120" w:after="120" w:line="276" w:lineRule="auto"/>
              <w:ind w:left="309" w:hanging="270"/>
              <w:contextualSpacing w:val="0"/>
              <w:jc w:val="both"/>
              <w:rPr>
                <w:rFonts w:ascii="Arial" w:hAnsi="Arial" w:cs="Arial"/>
                <w:bCs/>
                <w:sz w:val="18"/>
                <w:szCs w:val="18"/>
                <w:lang w:val="es-ES"/>
              </w:rPr>
            </w:pPr>
            <w:r w:rsidRPr="009157E3">
              <w:rPr>
                <w:rFonts w:ascii="Arial" w:hAnsi="Arial" w:cs="Arial"/>
                <w:bCs/>
                <w:sz w:val="18"/>
                <w:szCs w:val="18"/>
                <w:lang w:val="es-ES"/>
              </w:rPr>
              <w:t>Para determinar el mercado relevante y los mercados relacionados bajo su dimensión de producto y servicio:</w:t>
            </w:r>
          </w:p>
          <w:p w14:paraId="74AD37D1" w14:textId="18AFA4AD" w:rsidR="006E39AC" w:rsidRPr="009157E3" w:rsidRDefault="006E39AC" w:rsidP="00A9692B">
            <w:pPr>
              <w:pStyle w:val="Prrafodelista"/>
              <w:numPr>
                <w:ilvl w:val="0"/>
                <w:numId w:val="11"/>
              </w:numPr>
              <w:spacing w:before="120" w:after="120" w:line="276" w:lineRule="auto"/>
              <w:ind w:left="450" w:hanging="142"/>
              <w:contextualSpacing w:val="0"/>
              <w:jc w:val="both"/>
              <w:rPr>
                <w:rFonts w:ascii="Arial" w:hAnsi="Arial" w:cs="Arial"/>
                <w:bCs/>
                <w:sz w:val="18"/>
                <w:szCs w:val="18"/>
                <w:lang w:val="es-ES"/>
              </w:rPr>
            </w:pPr>
            <w:r w:rsidRPr="009157E3">
              <w:rPr>
                <w:rFonts w:ascii="Arial" w:hAnsi="Arial" w:cs="Arial"/>
                <w:bCs/>
                <w:sz w:val="18"/>
                <w:szCs w:val="18"/>
                <w:lang w:val="es-ES"/>
              </w:rPr>
              <w:t>Descripción, precios (series mensuales en un plazo de cinco años) y características tecnológicas de los bienes o servicios ofrecidos por los agentes económicos involucrados.</w:t>
            </w:r>
          </w:p>
          <w:p w14:paraId="16378E0D" w14:textId="1FF6ADA4" w:rsidR="006E39AC" w:rsidRPr="009157E3" w:rsidRDefault="006E39AC" w:rsidP="00A9692B">
            <w:pPr>
              <w:pStyle w:val="Prrafodelista"/>
              <w:numPr>
                <w:ilvl w:val="0"/>
                <w:numId w:val="11"/>
              </w:numPr>
              <w:spacing w:before="120" w:after="120" w:line="276" w:lineRule="auto"/>
              <w:ind w:left="450" w:hanging="142"/>
              <w:contextualSpacing w:val="0"/>
              <w:jc w:val="both"/>
              <w:rPr>
                <w:rFonts w:ascii="Arial" w:hAnsi="Arial" w:cs="Arial"/>
                <w:bCs/>
                <w:sz w:val="18"/>
                <w:szCs w:val="18"/>
                <w:lang w:val="es-ES"/>
              </w:rPr>
            </w:pPr>
            <w:r w:rsidRPr="009157E3">
              <w:rPr>
                <w:rFonts w:ascii="Arial" w:hAnsi="Arial" w:cs="Arial"/>
                <w:bCs/>
                <w:sz w:val="18"/>
                <w:szCs w:val="18"/>
                <w:lang w:val="es-ES"/>
              </w:rPr>
              <w:t>Descripción, precios y características tecnológicas de los productos o servicios sustitutos o competidores identificados por los agentes económicos notificantes.</w:t>
            </w:r>
          </w:p>
          <w:p w14:paraId="02A1EC29" w14:textId="484D338C" w:rsidR="006E39AC" w:rsidRPr="009157E3" w:rsidRDefault="006E39AC" w:rsidP="00A9692B">
            <w:pPr>
              <w:pStyle w:val="Prrafodelista"/>
              <w:numPr>
                <w:ilvl w:val="0"/>
                <w:numId w:val="11"/>
              </w:numPr>
              <w:spacing w:before="120" w:after="120" w:line="276" w:lineRule="auto"/>
              <w:ind w:left="450" w:hanging="142"/>
              <w:contextualSpacing w:val="0"/>
              <w:jc w:val="both"/>
              <w:rPr>
                <w:rFonts w:ascii="Arial" w:hAnsi="Arial" w:cs="Arial"/>
                <w:bCs/>
                <w:sz w:val="18"/>
                <w:szCs w:val="18"/>
                <w:lang w:val="es-ES"/>
              </w:rPr>
            </w:pPr>
            <w:r w:rsidRPr="009157E3">
              <w:rPr>
                <w:rFonts w:ascii="Arial" w:hAnsi="Arial" w:cs="Arial"/>
                <w:bCs/>
                <w:sz w:val="18"/>
                <w:szCs w:val="18"/>
                <w:lang w:val="es-ES"/>
              </w:rPr>
              <w:t>Descripción de la cadena de valor.</w:t>
            </w:r>
          </w:p>
          <w:p w14:paraId="6EE300DB" w14:textId="311722BE" w:rsidR="006E39AC" w:rsidRPr="009157E3" w:rsidRDefault="006E39AC" w:rsidP="00A9692B">
            <w:pPr>
              <w:pStyle w:val="Prrafodelista"/>
              <w:numPr>
                <w:ilvl w:val="0"/>
                <w:numId w:val="10"/>
              </w:numPr>
              <w:spacing w:before="120" w:after="120" w:line="276" w:lineRule="auto"/>
              <w:ind w:left="309" w:hanging="270"/>
              <w:contextualSpacing w:val="0"/>
              <w:jc w:val="both"/>
              <w:rPr>
                <w:rFonts w:ascii="Arial" w:hAnsi="Arial" w:cs="Arial"/>
                <w:bCs/>
                <w:sz w:val="18"/>
                <w:szCs w:val="18"/>
                <w:lang w:val="es-ES"/>
              </w:rPr>
            </w:pPr>
            <w:r w:rsidRPr="009157E3">
              <w:rPr>
                <w:rFonts w:ascii="Arial" w:hAnsi="Arial" w:cs="Arial"/>
                <w:bCs/>
                <w:sz w:val="18"/>
                <w:szCs w:val="18"/>
                <w:lang w:val="es-ES"/>
              </w:rPr>
              <w:t>Para determinar el mercado relevante y los mercados relacionados bajo su dimensión geográfica:</w:t>
            </w:r>
          </w:p>
          <w:p w14:paraId="6A6CCD12" w14:textId="7700EF50" w:rsidR="006E39AC" w:rsidRPr="009157E3" w:rsidRDefault="006E39AC" w:rsidP="00A9692B">
            <w:pPr>
              <w:pStyle w:val="Prrafodelista"/>
              <w:numPr>
                <w:ilvl w:val="0"/>
                <w:numId w:val="11"/>
              </w:numPr>
              <w:spacing w:before="120" w:after="120" w:line="276" w:lineRule="auto"/>
              <w:ind w:left="450" w:hanging="142"/>
              <w:contextualSpacing w:val="0"/>
              <w:jc w:val="both"/>
              <w:rPr>
                <w:rFonts w:ascii="Arial" w:hAnsi="Arial" w:cs="Arial"/>
                <w:bCs/>
                <w:sz w:val="18"/>
                <w:szCs w:val="18"/>
                <w:lang w:val="es-ES"/>
              </w:rPr>
            </w:pPr>
            <w:r w:rsidRPr="009157E3">
              <w:rPr>
                <w:rFonts w:ascii="Arial" w:hAnsi="Arial" w:cs="Arial"/>
                <w:bCs/>
                <w:sz w:val="18"/>
                <w:szCs w:val="18"/>
                <w:lang w:val="es-ES"/>
              </w:rPr>
              <w:t>La ubicación y las coberturas territoriales de las concesiones que detenten de radiodifusión y/o de telecomunicaciones por los agentes económicos involucrados.</w:t>
            </w:r>
          </w:p>
          <w:p w14:paraId="534630FB" w14:textId="253A6B4C" w:rsidR="006E39AC" w:rsidRPr="009157E3" w:rsidRDefault="006E39AC" w:rsidP="00A9692B">
            <w:pPr>
              <w:pStyle w:val="Prrafodelista"/>
              <w:numPr>
                <w:ilvl w:val="0"/>
                <w:numId w:val="11"/>
              </w:numPr>
              <w:spacing w:before="120" w:after="120" w:line="276" w:lineRule="auto"/>
              <w:ind w:left="450" w:hanging="142"/>
              <w:contextualSpacing w:val="0"/>
              <w:jc w:val="both"/>
              <w:rPr>
                <w:rFonts w:ascii="Arial" w:hAnsi="Arial" w:cs="Arial"/>
                <w:bCs/>
                <w:sz w:val="18"/>
                <w:szCs w:val="18"/>
                <w:lang w:val="es-ES"/>
              </w:rPr>
            </w:pPr>
            <w:r w:rsidRPr="009157E3">
              <w:rPr>
                <w:rFonts w:ascii="Arial" w:hAnsi="Arial" w:cs="Arial"/>
                <w:bCs/>
                <w:sz w:val="18"/>
                <w:szCs w:val="18"/>
                <w:lang w:val="es-ES"/>
              </w:rPr>
              <w:lastRenderedPageBreak/>
              <w:t>Los costos de distribución de los bienes o servicios ofrecidos por los agentes económicos involucrados; los costos de sus insumos relevantes; los costos de sus complementos y de sustitutos desde otras regiones y del extranjero, teniendo en cuenta fletes, seguros, aranceles y restricciones no arancelarias; las restricciones impuestas por los agentes económicos o por sus asociaciones, y el tiempo requerido para abastecer el mercado desde esas regiones.</w:t>
            </w:r>
          </w:p>
          <w:p w14:paraId="0041E435" w14:textId="1C5F86E6" w:rsidR="006E39AC" w:rsidRPr="009157E3" w:rsidRDefault="006E39AC" w:rsidP="00A9692B">
            <w:pPr>
              <w:pStyle w:val="Prrafodelista"/>
              <w:numPr>
                <w:ilvl w:val="0"/>
                <w:numId w:val="11"/>
              </w:numPr>
              <w:spacing w:before="120" w:after="120" w:line="276" w:lineRule="auto"/>
              <w:ind w:left="450" w:hanging="142"/>
              <w:contextualSpacing w:val="0"/>
              <w:jc w:val="both"/>
              <w:rPr>
                <w:rFonts w:ascii="Arial" w:hAnsi="Arial" w:cs="Arial"/>
                <w:bCs/>
                <w:sz w:val="18"/>
                <w:szCs w:val="18"/>
                <w:lang w:val="es-ES"/>
              </w:rPr>
            </w:pPr>
            <w:r w:rsidRPr="009157E3">
              <w:rPr>
                <w:rFonts w:ascii="Arial" w:hAnsi="Arial" w:cs="Arial"/>
                <w:bCs/>
                <w:sz w:val="18"/>
                <w:szCs w:val="18"/>
                <w:lang w:val="es-ES"/>
              </w:rPr>
              <w:t>Los costos que enfrentan los usuarios o consumidores para acudir a otros mercados.</w:t>
            </w:r>
          </w:p>
          <w:p w14:paraId="7ADC66AB" w14:textId="261ED3C2" w:rsidR="006E39AC" w:rsidRPr="009157E3" w:rsidRDefault="006E39AC" w:rsidP="00A9692B">
            <w:pPr>
              <w:pStyle w:val="Prrafodelista"/>
              <w:numPr>
                <w:ilvl w:val="0"/>
                <w:numId w:val="11"/>
              </w:numPr>
              <w:spacing w:before="120" w:after="120" w:line="276" w:lineRule="auto"/>
              <w:ind w:left="450" w:hanging="142"/>
              <w:contextualSpacing w:val="0"/>
              <w:jc w:val="both"/>
              <w:rPr>
                <w:rFonts w:ascii="Arial" w:hAnsi="Arial" w:cs="Arial"/>
                <w:bCs/>
                <w:sz w:val="18"/>
                <w:szCs w:val="18"/>
                <w:lang w:val="es-ES"/>
              </w:rPr>
            </w:pPr>
            <w:r w:rsidRPr="009157E3">
              <w:rPr>
                <w:rFonts w:ascii="Arial" w:hAnsi="Arial" w:cs="Arial"/>
                <w:bCs/>
                <w:sz w:val="18"/>
                <w:szCs w:val="18"/>
                <w:lang w:val="es-ES"/>
              </w:rPr>
              <w:t>Las restricciones normativas de carácter local, federal o internacional que limiten el acceso de usuarios o consumidores a fuentes de abasto alternativas, o el acceso de los proveedores a clientes alternativos.</w:t>
            </w:r>
          </w:p>
          <w:p w14:paraId="7C4CC582" w14:textId="2710833D" w:rsidR="006E39AC" w:rsidRPr="009157E3" w:rsidRDefault="006E39AC" w:rsidP="00A9692B">
            <w:pPr>
              <w:pStyle w:val="Prrafodelista"/>
              <w:numPr>
                <w:ilvl w:val="0"/>
                <w:numId w:val="10"/>
              </w:numPr>
              <w:spacing w:before="120" w:after="120" w:line="276" w:lineRule="auto"/>
              <w:ind w:left="309" w:hanging="270"/>
              <w:contextualSpacing w:val="0"/>
              <w:jc w:val="both"/>
              <w:rPr>
                <w:rFonts w:ascii="Arial" w:hAnsi="Arial" w:cs="Arial"/>
                <w:bCs/>
                <w:sz w:val="18"/>
                <w:szCs w:val="18"/>
                <w:lang w:val="es-ES"/>
              </w:rPr>
            </w:pPr>
            <w:r w:rsidRPr="009157E3">
              <w:rPr>
                <w:rFonts w:ascii="Arial" w:hAnsi="Arial" w:cs="Arial"/>
                <w:bCs/>
                <w:sz w:val="18"/>
                <w:szCs w:val="18"/>
                <w:lang w:val="es-ES"/>
              </w:rPr>
              <w:t>Los mercados relacionados, en términos del artículo 6 de las Disposiciones Regulatorias, se definen como aquellos que involucran bienes, servicios o áreas geográficas distintas a las que forman parte del mercado relevante, pero que inciden en o son influidos por las condiciones de competencia y libre concurrencia imperantes en el mismo.</w:t>
            </w:r>
          </w:p>
          <w:p w14:paraId="46EB186E" w14:textId="77777777" w:rsidR="006E39AC" w:rsidRDefault="006E39AC" w:rsidP="00A9692B">
            <w:pPr>
              <w:pStyle w:val="Prrafodelista"/>
              <w:spacing w:before="120" w:after="120" w:line="276" w:lineRule="auto"/>
              <w:ind w:left="309"/>
              <w:contextualSpacing w:val="0"/>
              <w:jc w:val="both"/>
              <w:rPr>
                <w:rFonts w:ascii="Arial" w:hAnsi="Arial" w:cs="Arial"/>
                <w:bCs/>
                <w:sz w:val="18"/>
                <w:szCs w:val="18"/>
                <w:lang w:val="es-ES"/>
              </w:rPr>
            </w:pPr>
            <w:r w:rsidRPr="009157E3">
              <w:rPr>
                <w:rFonts w:ascii="Arial" w:hAnsi="Arial" w:cs="Arial"/>
                <w:bCs/>
                <w:sz w:val="18"/>
                <w:szCs w:val="18"/>
                <w:lang w:val="es-ES"/>
              </w:rPr>
              <w:t xml:space="preserve">Para determinar los mercados relacionados podrán considerarse los bienes o servicios que sean insumos en la cadena de producción, </w:t>
            </w:r>
            <w:r w:rsidRPr="009157E3">
              <w:rPr>
                <w:rFonts w:ascii="Arial" w:hAnsi="Arial" w:cs="Arial"/>
                <w:bCs/>
                <w:sz w:val="18"/>
                <w:szCs w:val="18"/>
                <w:lang w:val="es-ES"/>
              </w:rPr>
              <w:lastRenderedPageBreak/>
              <w:t>distribución o comercialización; los que sean bienes o servicios complementarios y, en general, aquellas actividades económicas que incidan o influyan en las condiciones de competencia y libre concurrencia del mercado relevante, o viceversa.</w:t>
            </w:r>
          </w:p>
          <w:p w14:paraId="1CE5F598" w14:textId="2BE9E461" w:rsidR="006E39AC" w:rsidRPr="009157E3" w:rsidRDefault="006E39AC" w:rsidP="00A9692B">
            <w:pPr>
              <w:pStyle w:val="Prrafodelista"/>
              <w:numPr>
                <w:ilvl w:val="0"/>
                <w:numId w:val="10"/>
              </w:numPr>
              <w:spacing w:before="120" w:after="120" w:line="276" w:lineRule="auto"/>
              <w:ind w:left="309" w:hanging="270"/>
              <w:contextualSpacing w:val="0"/>
              <w:jc w:val="both"/>
              <w:rPr>
                <w:rFonts w:ascii="Arial" w:hAnsi="Arial" w:cs="Arial"/>
                <w:bCs/>
                <w:sz w:val="18"/>
                <w:szCs w:val="18"/>
                <w:lang w:val="es-ES"/>
              </w:rPr>
            </w:pPr>
            <w:r w:rsidRPr="009157E3">
              <w:rPr>
                <w:rFonts w:ascii="Arial" w:hAnsi="Arial" w:cs="Arial"/>
                <w:bCs/>
                <w:sz w:val="18"/>
                <w:szCs w:val="18"/>
                <w:lang w:val="es-ES"/>
              </w:rPr>
              <w:t>Para el análisis de poder en el mercado relevante y los mercados relacionados:</w:t>
            </w:r>
          </w:p>
          <w:p w14:paraId="00CB1CD8" w14:textId="5F0D3C2E" w:rsidR="006E39AC" w:rsidRPr="009157E3" w:rsidRDefault="006E39AC" w:rsidP="00A9692B">
            <w:pPr>
              <w:pStyle w:val="Prrafodelista"/>
              <w:numPr>
                <w:ilvl w:val="0"/>
                <w:numId w:val="11"/>
              </w:numPr>
              <w:spacing w:before="120" w:after="120" w:line="276" w:lineRule="auto"/>
              <w:ind w:left="450" w:hanging="142"/>
              <w:contextualSpacing w:val="0"/>
              <w:jc w:val="both"/>
              <w:rPr>
                <w:rFonts w:ascii="Arial" w:hAnsi="Arial" w:cs="Arial"/>
                <w:bCs/>
                <w:sz w:val="18"/>
                <w:szCs w:val="18"/>
                <w:lang w:val="es-ES"/>
              </w:rPr>
            </w:pPr>
            <w:r w:rsidRPr="009157E3">
              <w:rPr>
                <w:rFonts w:ascii="Arial" w:hAnsi="Arial" w:cs="Arial"/>
                <w:bCs/>
                <w:sz w:val="18"/>
                <w:szCs w:val="18"/>
                <w:lang w:val="es-ES"/>
              </w:rPr>
              <w:t>Identificación de los competidores.</w:t>
            </w:r>
          </w:p>
          <w:p w14:paraId="2089321E" w14:textId="2A9AFC10" w:rsidR="006E39AC" w:rsidRPr="009157E3" w:rsidRDefault="006E39AC" w:rsidP="00A9692B">
            <w:pPr>
              <w:pStyle w:val="Prrafodelista"/>
              <w:numPr>
                <w:ilvl w:val="0"/>
                <w:numId w:val="11"/>
              </w:numPr>
              <w:spacing w:before="120" w:after="120" w:line="276" w:lineRule="auto"/>
              <w:ind w:left="450" w:hanging="142"/>
              <w:contextualSpacing w:val="0"/>
              <w:jc w:val="both"/>
              <w:rPr>
                <w:rFonts w:ascii="Arial" w:hAnsi="Arial" w:cs="Arial"/>
                <w:bCs/>
                <w:sz w:val="18"/>
                <w:szCs w:val="18"/>
                <w:lang w:val="es-ES"/>
              </w:rPr>
            </w:pPr>
            <w:r w:rsidRPr="009157E3">
              <w:rPr>
                <w:rFonts w:ascii="Arial" w:hAnsi="Arial" w:cs="Arial"/>
                <w:bCs/>
                <w:sz w:val="18"/>
                <w:szCs w:val="18"/>
                <w:lang w:val="es-ES"/>
              </w:rPr>
              <w:t>Participaciones de mercado de los agentes económicos involucrados y de sus competidores.</w:t>
            </w:r>
          </w:p>
          <w:p w14:paraId="24556EDC" w14:textId="186C4D5E" w:rsidR="006E39AC" w:rsidRPr="009157E3" w:rsidRDefault="006E39AC" w:rsidP="00A9692B">
            <w:pPr>
              <w:pStyle w:val="Prrafodelista"/>
              <w:numPr>
                <w:ilvl w:val="0"/>
                <w:numId w:val="11"/>
              </w:numPr>
              <w:spacing w:before="120" w:after="120" w:line="276" w:lineRule="auto"/>
              <w:ind w:left="450" w:hanging="142"/>
              <w:contextualSpacing w:val="0"/>
              <w:jc w:val="both"/>
              <w:rPr>
                <w:rFonts w:ascii="Arial" w:hAnsi="Arial" w:cs="Arial"/>
                <w:bCs/>
                <w:sz w:val="18"/>
                <w:szCs w:val="18"/>
                <w:lang w:val="es-ES"/>
              </w:rPr>
            </w:pPr>
            <w:r w:rsidRPr="009157E3">
              <w:rPr>
                <w:rFonts w:ascii="Arial" w:hAnsi="Arial" w:cs="Arial"/>
                <w:bCs/>
                <w:sz w:val="18"/>
                <w:szCs w:val="18"/>
                <w:lang w:val="es-ES"/>
              </w:rPr>
              <w:t>Identificación de usuarios y clientes.</w:t>
            </w:r>
          </w:p>
          <w:p w14:paraId="5D7F192D" w14:textId="2D570AC8" w:rsidR="006E39AC" w:rsidRPr="00170FDE" w:rsidRDefault="006E39AC" w:rsidP="00A9692B">
            <w:pPr>
              <w:pStyle w:val="Prrafodelista"/>
              <w:numPr>
                <w:ilvl w:val="0"/>
                <w:numId w:val="11"/>
              </w:numPr>
              <w:spacing w:before="120" w:after="120" w:line="276" w:lineRule="auto"/>
              <w:ind w:left="450" w:hanging="142"/>
              <w:contextualSpacing w:val="0"/>
              <w:jc w:val="both"/>
              <w:rPr>
                <w:rFonts w:ascii="Arial" w:hAnsi="Arial" w:cs="Arial"/>
                <w:bCs/>
                <w:sz w:val="18"/>
                <w:szCs w:val="18"/>
                <w:lang w:val="es-ES"/>
              </w:rPr>
            </w:pPr>
            <w:r w:rsidRPr="009157E3">
              <w:rPr>
                <w:rFonts w:ascii="Arial" w:hAnsi="Arial" w:cs="Arial"/>
                <w:bCs/>
                <w:sz w:val="18"/>
                <w:szCs w:val="18"/>
                <w:lang w:val="es-ES"/>
              </w:rPr>
              <w:t>El grado de concentración en dicho mercado.</w:t>
            </w:r>
          </w:p>
        </w:tc>
        <w:tc>
          <w:tcPr>
            <w:tcW w:w="2948" w:type="dxa"/>
            <w:shd w:val="clear" w:color="auto" w:fill="FFFFFF" w:themeFill="background1"/>
          </w:tcPr>
          <w:p w14:paraId="0BCC51CC" w14:textId="1D9B489B" w:rsidR="006E39AC" w:rsidRPr="008E24C4" w:rsidRDefault="006E39AC" w:rsidP="00A9692B">
            <w:pPr>
              <w:spacing w:before="120" w:after="120" w:line="276" w:lineRule="auto"/>
              <w:jc w:val="both"/>
              <w:rPr>
                <w:rFonts w:ascii="Arial" w:hAnsi="Arial" w:cs="Arial"/>
                <w:sz w:val="18"/>
                <w:szCs w:val="18"/>
              </w:rPr>
            </w:pPr>
            <w:r w:rsidRPr="008E24C4">
              <w:rPr>
                <w:rFonts w:ascii="Arial" w:hAnsi="Arial" w:cs="Arial"/>
                <w:sz w:val="18"/>
                <w:szCs w:val="18"/>
              </w:rPr>
              <w:lastRenderedPageBreak/>
              <w:t xml:space="preserve">De conformidad con la CPEUM, se deberá establecer el método aplicable para la ponderación sobre los beneficios que generaría </w:t>
            </w:r>
            <w:r w:rsidRPr="008E24C4">
              <w:rPr>
                <w:rFonts w:ascii="Arial" w:hAnsi="Arial" w:cs="Arial"/>
                <w:sz w:val="18"/>
                <w:szCs w:val="18"/>
              </w:rPr>
              <w:lastRenderedPageBreak/>
              <w:t>el análisis y el incremento en costos, con el fin de que se establezca un criterio objetivo para determinar, en su caso, la necesidad de un análisis que implique costos mayores para los Agentes Económicos. Se sugiere que esta ponderación se haga también para aquellos agentes económicos que participan en los mercados y que son requeridos para presentar información.</w:t>
            </w:r>
          </w:p>
        </w:tc>
        <w:tc>
          <w:tcPr>
            <w:tcW w:w="3308" w:type="dxa"/>
            <w:vMerge w:val="restart"/>
            <w:shd w:val="clear" w:color="auto" w:fill="FFFFFF" w:themeFill="background1"/>
          </w:tcPr>
          <w:p w14:paraId="3B0EDFFE" w14:textId="7A77C298" w:rsidR="006E39AC" w:rsidRDefault="006E39AC" w:rsidP="00A9692B">
            <w:pPr>
              <w:spacing w:before="120" w:after="120" w:line="276" w:lineRule="auto"/>
              <w:jc w:val="both"/>
              <w:rPr>
                <w:rFonts w:ascii="Arial" w:hAnsi="Arial" w:cs="Arial"/>
                <w:sz w:val="18"/>
                <w:szCs w:val="18"/>
              </w:rPr>
            </w:pPr>
            <w:r w:rsidRPr="00050C71">
              <w:rPr>
                <w:rFonts w:ascii="Arial" w:hAnsi="Arial" w:cs="Arial"/>
                <w:sz w:val="18"/>
                <w:szCs w:val="18"/>
              </w:rPr>
              <w:lastRenderedPageBreak/>
              <w:t>Al respecto, se agrega</w:t>
            </w:r>
            <w:r w:rsidR="002A1E85">
              <w:rPr>
                <w:rFonts w:ascii="Arial" w:hAnsi="Arial" w:cs="Arial"/>
                <w:sz w:val="18"/>
                <w:szCs w:val="18"/>
              </w:rPr>
              <w:t>rá</w:t>
            </w:r>
            <w:r w:rsidRPr="00050C71">
              <w:rPr>
                <w:rFonts w:ascii="Arial" w:hAnsi="Arial" w:cs="Arial"/>
                <w:sz w:val="18"/>
                <w:szCs w:val="18"/>
              </w:rPr>
              <w:t xml:space="preserve"> el siguiente texto al </w:t>
            </w:r>
            <w:r w:rsidR="002A1E85">
              <w:rPr>
                <w:rFonts w:ascii="Arial" w:hAnsi="Arial" w:cs="Arial"/>
                <w:sz w:val="18"/>
                <w:szCs w:val="18"/>
              </w:rPr>
              <w:t>Anteproyecto</w:t>
            </w:r>
            <w:r w:rsidRPr="00050C71">
              <w:rPr>
                <w:rFonts w:ascii="Arial" w:hAnsi="Arial" w:cs="Arial"/>
                <w:sz w:val="18"/>
                <w:szCs w:val="18"/>
              </w:rPr>
              <w:t xml:space="preserve"> para describir con mayor detalle la práctica del Instituto sobre los análisis que realiza y </w:t>
            </w:r>
            <w:r w:rsidRPr="00050C71">
              <w:rPr>
                <w:rFonts w:ascii="Arial" w:hAnsi="Arial" w:cs="Arial"/>
                <w:sz w:val="18"/>
                <w:szCs w:val="18"/>
              </w:rPr>
              <w:lastRenderedPageBreak/>
              <w:t>los requerimientos de información adicional a las partes notificantes y a terceros.</w:t>
            </w:r>
          </w:p>
          <w:tbl>
            <w:tblPr>
              <w:tblStyle w:val="Tablaconcuadrcula"/>
              <w:tblW w:w="3176" w:type="dxa"/>
              <w:jc w:val="center"/>
              <w:tblLayout w:type="fixed"/>
              <w:tblLook w:val="04A0" w:firstRow="1" w:lastRow="0" w:firstColumn="1" w:lastColumn="0" w:noHBand="0" w:noVBand="1"/>
            </w:tblPr>
            <w:tblGrid>
              <w:gridCol w:w="3176"/>
            </w:tblGrid>
            <w:tr w:rsidR="006E39AC" w:rsidRPr="00E83771" w14:paraId="5A1C15F1" w14:textId="77777777" w:rsidTr="000A19DF">
              <w:trPr>
                <w:trHeight w:val="311"/>
                <w:jc w:val="center"/>
              </w:trPr>
              <w:tc>
                <w:tcPr>
                  <w:tcW w:w="3176"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09FD6BC5" w14:textId="48DF2FC9" w:rsidR="006E39AC" w:rsidRPr="00E83771" w:rsidRDefault="006E39AC" w:rsidP="00A9692B">
                  <w:pPr>
                    <w:spacing w:before="120" w:after="120" w:line="276" w:lineRule="auto"/>
                    <w:jc w:val="center"/>
                    <w:rPr>
                      <w:rFonts w:ascii="Arial" w:hAnsi="Arial" w:cs="Arial"/>
                      <w:sz w:val="18"/>
                      <w:szCs w:val="18"/>
                    </w:rPr>
                  </w:pPr>
                  <w:r w:rsidRPr="00050C71">
                    <w:rPr>
                      <w:rFonts w:ascii="Arial" w:hAnsi="Arial" w:cs="Arial"/>
                      <w:sz w:val="18"/>
                      <w:szCs w:val="18"/>
                    </w:rPr>
                    <w:t xml:space="preserve"> </w:t>
                  </w:r>
                  <w:r w:rsidRPr="00E83771">
                    <w:rPr>
                      <w:rFonts w:ascii="Arial" w:hAnsi="Arial" w:cs="Arial"/>
                      <w:sz w:val="18"/>
                      <w:szCs w:val="18"/>
                    </w:rPr>
                    <w:t xml:space="preserve">Modificación al Proyecto </w:t>
                  </w:r>
                </w:p>
              </w:tc>
            </w:tr>
            <w:tr w:rsidR="006E39AC" w:rsidRPr="00E83771" w14:paraId="5438E56C" w14:textId="77777777" w:rsidTr="000A19DF">
              <w:trPr>
                <w:jc w:val="center"/>
              </w:trPr>
              <w:tc>
                <w:tcPr>
                  <w:tcW w:w="3176" w:type="dxa"/>
                  <w:tcBorders>
                    <w:top w:val="single" w:sz="4" w:space="0" w:color="auto"/>
                    <w:left w:val="single" w:sz="4" w:space="0" w:color="auto"/>
                    <w:bottom w:val="single" w:sz="4" w:space="0" w:color="auto"/>
                    <w:right w:val="single" w:sz="4" w:space="0" w:color="auto"/>
                  </w:tcBorders>
                  <w:shd w:val="clear" w:color="auto" w:fill="FFFFFF" w:themeFill="background1"/>
                </w:tcPr>
                <w:p w14:paraId="043A8625" w14:textId="0EDA68A8" w:rsidR="006E39AC" w:rsidRPr="00785E15" w:rsidRDefault="006E39AC" w:rsidP="00A9692B">
                  <w:pPr>
                    <w:pStyle w:val="Textoindependiente"/>
                    <w:spacing w:before="120" w:line="276" w:lineRule="auto"/>
                    <w:jc w:val="both"/>
                    <w:rPr>
                      <w:rFonts w:ascii="Arial" w:hAnsi="Arial" w:cs="Arial"/>
                      <w:i/>
                      <w:sz w:val="18"/>
                      <w:szCs w:val="18"/>
                    </w:rPr>
                  </w:pPr>
                  <w:r w:rsidRPr="00785E15">
                    <w:rPr>
                      <w:rFonts w:ascii="Arial" w:hAnsi="Arial" w:cs="Arial"/>
                      <w:i/>
                      <w:sz w:val="18"/>
                      <w:szCs w:val="18"/>
                    </w:rPr>
                    <w:t>Es de señalar que en la práctica del Instituto la información requerida (básica y adicional) se solicita de manera objetiva, con el fin de no imponer cargas innecesarias a los agentes económicos notificantes. Por ejemplo, como fue señalado anteriormente, para las concentraciones que no requieren un análisis exhaustivo o casos sencillos, la entrega completa de la información básica prevista en el artículo 89 de la LFCE bastaría para descartar efectos contrarios a la libre concurrencia y competencia económica. Para casos que requieren una evaluación exhaustiva para determinar los efectos de la concentración sobre la libre concurrencia y competencia económica, además de la información básica se requiere información adicional, que se determina caso por caso y que resulta necesaria para la evaluación de los elementos a que se refieren los artículos 58, 59, 63 y 64 de la LFCE y las correspondientes fracciones de las Disposiciones Regulatorias.</w:t>
                  </w:r>
                </w:p>
              </w:tc>
            </w:tr>
          </w:tbl>
          <w:p w14:paraId="25EB106E" w14:textId="1AAF04CD" w:rsidR="006E39AC" w:rsidRPr="00050C71" w:rsidRDefault="006E39AC" w:rsidP="00A9692B">
            <w:pPr>
              <w:spacing w:before="120" w:after="120" w:line="276" w:lineRule="auto"/>
              <w:jc w:val="both"/>
              <w:rPr>
                <w:rFonts w:ascii="Arial" w:hAnsi="Arial" w:cs="Arial"/>
                <w:sz w:val="18"/>
                <w:szCs w:val="18"/>
              </w:rPr>
            </w:pPr>
            <w:r w:rsidRPr="00050C71">
              <w:rPr>
                <w:rFonts w:ascii="Arial" w:hAnsi="Arial" w:cs="Arial"/>
                <w:sz w:val="18"/>
                <w:szCs w:val="18"/>
              </w:rPr>
              <w:t>Por otra parte, esta autoridad, en términos de la LFCE y el interés público, procede a realizar análisis más exhaustivos cuando identifica posibles riesgos a la competencia económica, por lo que no puede tomar en cuenta el incremento de los costos para evitar hacer ese análisis. Cabe agregar que en el análisis de concentraciones, la Unidad de Competencia Económica, a través de la Dirección General de Concentraciones, nunca ha solicitado copias certificadas de documentos extensos.</w:t>
            </w:r>
          </w:p>
        </w:tc>
      </w:tr>
      <w:tr w:rsidR="006E39AC" w:rsidRPr="003E2214" w14:paraId="43A7E22B" w14:textId="77777777" w:rsidTr="009B2105">
        <w:trPr>
          <w:jc w:val="center"/>
        </w:trPr>
        <w:tc>
          <w:tcPr>
            <w:tcW w:w="2948" w:type="dxa"/>
            <w:vMerge/>
            <w:shd w:val="clear" w:color="auto" w:fill="FFFFFF" w:themeFill="background1"/>
          </w:tcPr>
          <w:p w14:paraId="716CA870" w14:textId="77777777" w:rsidR="006E39AC" w:rsidRPr="007D4AF8" w:rsidRDefault="006E39AC" w:rsidP="00A9692B">
            <w:pPr>
              <w:spacing w:before="120" w:after="120" w:line="276" w:lineRule="auto"/>
              <w:jc w:val="both"/>
              <w:rPr>
                <w:rFonts w:ascii="Arial" w:hAnsi="Arial" w:cs="Arial"/>
                <w:bCs/>
                <w:sz w:val="18"/>
                <w:szCs w:val="18"/>
                <w:lang w:val="es-ES"/>
              </w:rPr>
            </w:pPr>
          </w:p>
        </w:tc>
        <w:tc>
          <w:tcPr>
            <w:tcW w:w="2948" w:type="dxa"/>
            <w:shd w:val="clear" w:color="auto" w:fill="FFFFFF" w:themeFill="background1"/>
            <w:vAlign w:val="center"/>
          </w:tcPr>
          <w:p w14:paraId="7086B95C" w14:textId="73B4785C" w:rsidR="006E39AC" w:rsidRPr="008E24C4" w:rsidRDefault="006E39AC" w:rsidP="00A9692B">
            <w:pPr>
              <w:spacing w:before="120" w:after="120" w:line="276" w:lineRule="auto"/>
              <w:jc w:val="both"/>
              <w:rPr>
                <w:rFonts w:ascii="Arial" w:hAnsi="Arial" w:cs="Arial"/>
                <w:sz w:val="18"/>
                <w:szCs w:val="18"/>
              </w:rPr>
            </w:pPr>
            <w:r w:rsidRPr="008E24C4">
              <w:rPr>
                <w:rFonts w:ascii="Arial" w:eastAsia="Times New Roman" w:hAnsi="Arial" w:cs="Arial"/>
                <w:color w:val="000000"/>
                <w:sz w:val="18"/>
                <w:szCs w:val="18"/>
                <w:lang w:eastAsia="es-MX"/>
              </w:rPr>
              <w:t>Se sugiere incluir un criterio similar (de “costo-efectividad”) para los requerimientos de información que suelen formularse a los notificantes donde en ocasiones se solicita información y/o análisis e incluso requisitos como copias certificadas de documentos extensos que pueden representar un incremento importante en la carga de trabajo, así como de los costos relacionados con el procedimiento de notificación para los particulares.</w:t>
            </w:r>
          </w:p>
        </w:tc>
        <w:tc>
          <w:tcPr>
            <w:tcW w:w="3308" w:type="dxa"/>
            <w:vMerge/>
            <w:shd w:val="clear" w:color="auto" w:fill="FFFFFF" w:themeFill="background1"/>
          </w:tcPr>
          <w:p w14:paraId="7B81F52E" w14:textId="77777777" w:rsidR="006E39AC" w:rsidRDefault="006E39AC" w:rsidP="00A9692B">
            <w:pPr>
              <w:spacing w:before="120" w:after="120" w:line="276" w:lineRule="auto"/>
              <w:jc w:val="both"/>
              <w:rPr>
                <w:rFonts w:ascii="Arial" w:hAnsi="Arial" w:cs="Arial"/>
                <w:bCs/>
                <w:sz w:val="18"/>
                <w:szCs w:val="18"/>
              </w:rPr>
            </w:pPr>
          </w:p>
        </w:tc>
      </w:tr>
      <w:tr w:rsidR="006E39AC" w:rsidRPr="003E2214" w14:paraId="1158CDB8" w14:textId="77777777" w:rsidTr="009B2105">
        <w:trPr>
          <w:jc w:val="center"/>
        </w:trPr>
        <w:tc>
          <w:tcPr>
            <w:tcW w:w="2948" w:type="dxa"/>
            <w:vMerge/>
            <w:shd w:val="clear" w:color="auto" w:fill="FFFFFF" w:themeFill="background1"/>
          </w:tcPr>
          <w:p w14:paraId="57EB947B" w14:textId="77777777" w:rsidR="006E39AC" w:rsidRPr="007D4AF8" w:rsidRDefault="006E39AC" w:rsidP="00A9692B">
            <w:pPr>
              <w:spacing w:before="120" w:after="120" w:line="276" w:lineRule="auto"/>
              <w:jc w:val="both"/>
              <w:rPr>
                <w:rFonts w:ascii="Arial" w:hAnsi="Arial" w:cs="Arial"/>
                <w:bCs/>
                <w:sz w:val="18"/>
                <w:szCs w:val="18"/>
                <w:lang w:val="es-ES"/>
              </w:rPr>
            </w:pPr>
          </w:p>
        </w:tc>
        <w:tc>
          <w:tcPr>
            <w:tcW w:w="2948" w:type="dxa"/>
            <w:shd w:val="clear" w:color="auto" w:fill="FFFFFF" w:themeFill="background1"/>
            <w:vAlign w:val="center"/>
          </w:tcPr>
          <w:p w14:paraId="03AC191D" w14:textId="6E95105F" w:rsidR="006E39AC" w:rsidRPr="00BF4F5D" w:rsidRDefault="006E39AC" w:rsidP="00A9692B">
            <w:pPr>
              <w:spacing w:before="120" w:after="120" w:line="276" w:lineRule="auto"/>
              <w:jc w:val="both"/>
              <w:rPr>
                <w:rFonts w:ascii="Arial" w:hAnsi="Arial" w:cs="Arial"/>
                <w:sz w:val="18"/>
                <w:szCs w:val="18"/>
              </w:rPr>
            </w:pPr>
            <w:r w:rsidRPr="00AE7DEA">
              <w:rPr>
                <w:rFonts w:ascii="Arial" w:eastAsia="Times New Roman" w:hAnsi="Arial" w:cs="Arial"/>
                <w:color w:val="000000"/>
                <w:sz w:val="18"/>
                <w:szCs w:val="18"/>
                <w:lang w:eastAsia="es-MX"/>
              </w:rPr>
              <w:t xml:space="preserve">Se sugiere aclarar si </w:t>
            </w:r>
            <w:r>
              <w:rPr>
                <w:rFonts w:ascii="Arial" w:eastAsia="Times New Roman" w:hAnsi="Arial" w:cs="Arial"/>
                <w:color w:val="000000"/>
                <w:sz w:val="18"/>
                <w:szCs w:val="18"/>
                <w:lang w:eastAsia="es-MX"/>
              </w:rPr>
              <w:t>la</w:t>
            </w:r>
            <w:r w:rsidRPr="00AE7DEA">
              <w:rPr>
                <w:rFonts w:ascii="Arial" w:eastAsia="Times New Roman" w:hAnsi="Arial" w:cs="Arial"/>
                <w:color w:val="000000"/>
                <w:sz w:val="18"/>
                <w:szCs w:val="18"/>
                <w:lang w:eastAsia="es-MX"/>
              </w:rPr>
              <w:t xml:space="preserve"> utilización </w:t>
            </w:r>
            <w:r>
              <w:rPr>
                <w:rFonts w:ascii="Arial" w:eastAsia="Times New Roman" w:hAnsi="Arial" w:cs="Arial"/>
                <w:color w:val="000000"/>
                <w:sz w:val="18"/>
                <w:szCs w:val="18"/>
                <w:lang w:eastAsia="es-MX"/>
              </w:rPr>
              <w:t>d</w:t>
            </w:r>
            <w:r w:rsidRPr="005179CC">
              <w:rPr>
                <w:rFonts w:ascii="Arial" w:eastAsia="Times New Roman" w:hAnsi="Arial" w:cs="Arial"/>
                <w:color w:val="000000"/>
                <w:sz w:val="18"/>
                <w:szCs w:val="18"/>
                <w:lang w:eastAsia="es-MX"/>
              </w:rPr>
              <w:t>el índice cuantitativo para determinar el Grado de Concentración de los mercados po</w:t>
            </w:r>
            <w:r w:rsidRPr="00AE7DEA">
              <w:rPr>
                <w:rFonts w:ascii="Arial" w:eastAsia="Times New Roman" w:hAnsi="Arial" w:cs="Arial"/>
                <w:color w:val="000000"/>
                <w:sz w:val="18"/>
                <w:szCs w:val="18"/>
                <w:lang w:eastAsia="es-MX"/>
              </w:rPr>
              <w:t>r parte de la UCE se da en un inicio del procedimiento o en una etapa posterior, una vez que se determina que es un caso de concentración que requiere mayor análisis.</w:t>
            </w:r>
          </w:p>
        </w:tc>
        <w:tc>
          <w:tcPr>
            <w:tcW w:w="3308" w:type="dxa"/>
            <w:shd w:val="clear" w:color="auto" w:fill="FFFFFF" w:themeFill="background1"/>
          </w:tcPr>
          <w:p w14:paraId="4C1709FA" w14:textId="77777777" w:rsidR="006E39AC" w:rsidRPr="00050C71" w:rsidRDefault="006E39AC" w:rsidP="00A9692B">
            <w:pPr>
              <w:spacing w:before="120" w:after="120" w:line="276" w:lineRule="auto"/>
              <w:jc w:val="both"/>
              <w:rPr>
                <w:rFonts w:ascii="Arial" w:hAnsi="Arial" w:cs="Arial"/>
                <w:sz w:val="18"/>
                <w:szCs w:val="18"/>
              </w:rPr>
            </w:pPr>
            <w:r w:rsidRPr="00050C71">
              <w:rPr>
                <w:rFonts w:ascii="Arial" w:hAnsi="Arial" w:cs="Arial"/>
                <w:sz w:val="18"/>
                <w:szCs w:val="18"/>
              </w:rPr>
              <w:t>Se precisa que, como se establece en el Artículo 2 del Criterio técnico para el cálculo y aplicación de un índice cuantitativo a fin de determinar el grado de concentración en los mercados y servicios correspondientes a los sectores de telecomunicaciones y radiodifusión (Criterio Técnico), éste índice se utiliza como un indicador de del grado de concentración en los mercados analizados, pero el Instituto no tomará sus decisiones utilizando como único elemento de análisis el IHH y los umbrales establecidos (Artículo 9 del Criterio Técnico).</w:t>
            </w:r>
          </w:p>
          <w:p w14:paraId="6B1C6529" w14:textId="77777777" w:rsidR="006E39AC" w:rsidRPr="00050C71" w:rsidRDefault="006E39AC" w:rsidP="00A9692B">
            <w:pPr>
              <w:spacing w:before="120" w:after="120" w:line="276" w:lineRule="auto"/>
              <w:jc w:val="both"/>
              <w:rPr>
                <w:rFonts w:ascii="Arial" w:hAnsi="Arial" w:cs="Arial"/>
                <w:sz w:val="18"/>
                <w:szCs w:val="18"/>
              </w:rPr>
            </w:pPr>
            <w:r w:rsidRPr="00050C71">
              <w:rPr>
                <w:rFonts w:ascii="Arial" w:hAnsi="Arial" w:cs="Arial"/>
                <w:sz w:val="18"/>
                <w:szCs w:val="18"/>
              </w:rPr>
              <w:t xml:space="preserve">El Criterio Técnico se utiliza en fases tempranas del procedimiento con el objeto de identificar aquellos mercados en los que una concentración tendría bajas probabilidades de afectar la competencia y, en ese caso, descartar proceder a un análisis exhaustivo. </w:t>
            </w:r>
          </w:p>
          <w:p w14:paraId="2EFB6152" w14:textId="77777777" w:rsidR="006E39AC" w:rsidRPr="00050C71" w:rsidRDefault="006E39AC" w:rsidP="00A9692B">
            <w:pPr>
              <w:spacing w:before="120" w:after="120" w:line="276" w:lineRule="auto"/>
              <w:jc w:val="both"/>
              <w:rPr>
                <w:rFonts w:ascii="Arial" w:hAnsi="Arial" w:cs="Arial"/>
                <w:sz w:val="18"/>
                <w:szCs w:val="18"/>
              </w:rPr>
            </w:pPr>
            <w:r w:rsidRPr="00050C71">
              <w:rPr>
                <w:rFonts w:ascii="Arial" w:hAnsi="Arial" w:cs="Arial"/>
                <w:sz w:val="18"/>
                <w:szCs w:val="18"/>
              </w:rPr>
              <w:t>En concentraciones que representan un riesgo a la competencia, la LFCE mandata el análisis de diversos elementos, uno de los cuales es la identificación del grado de concentración, para lo cual se considera el Criterio Técnico.</w:t>
            </w:r>
          </w:p>
          <w:p w14:paraId="77748FCD" w14:textId="033452EF" w:rsidR="006E39AC" w:rsidRPr="00050C71" w:rsidRDefault="006E39AC" w:rsidP="00A9692B">
            <w:pPr>
              <w:spacing w:before="120" w:after="120" w:line="276" w:lineRule="auto"/>
              <w:jc w:val="both"/>
              <w:rPr>
                <w:rFonts w:ascii="Arial" w:hAnsi="Arial" w:cs="Arial"/>
                <w:sz w:val="18"/>
                <w:szCs w:val="18"/>
              </w:rPr>
            </w:pPr>
            <w:r w:rsidRPr="006B64D9">
              <w:rPr>
                <w:rFonts w:ascii="Arial" w:hAnsi="Arial" w:cs="Arial"/>
                <w:sz w:val="18"/>
                <w:szCs w:val="18"/>
              </w:rPr>
              <w:t>En atención al comentario realizado, estas aclaraciones se incluirá</w:t>
            </w:r>
            <w:r w:rsidR="007B4572" w:rsidRPr="006B64D9">
              <w:rPr>
                <w:rFonts w:ascii="Arial" w:hAnsi="Arial" w:cs="Arial"/>
                <w:sz w:val="18"/>
                <w:szCs w:val="18"/>
              </w:rPr>
              <w:t>n</w:t>
            </w:r>
            <w:r w:rsidRPr="006B64D9">
              <w:rPr>
                <w:rFonts w:ascii="Arial" w:hAnsi="Arial" w:cs="Arial"/>
                <w:sz w:val="18"/>
                <w:szCs w:val="18"/>
              </w:rPr>
              <w:t xml:space="preserve"> en </w:t>
            </w:r>
            <w:r w:rsidR="00201BC2" w:rsidRPr="006B64D9">
              <w:rPr>
                <w:rFonts w:ascii="Arial" w:hAnsi="Arial" w:cs="Arial"/>
                <w:sz w:val="18"/>
                <w:szCs w:val="18"/>
              </w:rPr>
              <w:t xml:space="preserve">el proyecto del </w:t>
            </w:r>
            <w:r w:rsidR="000628C8" w:rsidRPr="006B64D9">
              <w:rPr>
                <w:rFonts w:ascii="Arial" w:hAnsi="Arial" w:cs="Arial"/>
                <w:sz w:val="18"/>
                <w:szCs w:val="18"/>
              </w:rPr>
              <w:t>C</w:t>
            </w:r>
            <w:r w:rsidR="00201BC2" w:rsidRPr="006B64D9">
              <w:rPr>
                <w:rFonts w:ascii="Arial" w:hAnsi="Arial" w:cs="Arial"/>
                <w:sz w:val="18"/>
                <w:szCs w:val="18"/>
              </w:rPr>
              <w:t xml:space="preserve">riterio </w:t>
            </w:r>
            <w:r w:rsidR="000628C8" w:rsidRPr="006B64D9">
              <w:rPr>
                <w:rFonts w:ascii="Arial" w:hAnsi="Arial" w:cs="Arial"/>
                <w:sz w:val="18"/>
                <w:szCs w:val="18"/>
              </w:rPr>
              <w:t>T</w:t>
            </w:r>
            <w:r w:rsidR="00201BC2" w:rsidRPr="006B64D9">
              <w:rPr>
                <w:rFonts w:ascii="Arial" w:hAnsi="Arial" w:cs="Arial"/>
                <w:sz w:val="18"/>
                <w:szCs w:val="18"/>
              </w:rPr>
              <w:t xml:space="preserve">écnico </w:t>
            </w:r>
            <w:r w:rsidRPr="006B64D9">
              <w:rPr>
                <w:rFonts w:ascii="Arial" w:hAnsi="Arial" w:cs="Arial"/>
                <w:sz w:val="18"/>
                <w:szCs w:val="18"/>
              </w:rPr>
              <w:t>.</w:t>
            </w:r>
          </w:p>
        </w:tc>
      </w:tr>
    </w:tbl>
    <w:p w14:paraId="27C6AB36" w14:textId="374B049C" w:rsidR="00CF7E9F" w:rsidRPr="00CF7E9F" w:rsidRDefault="00CF7E9F" w:rsidP="00A9692B">
      <w:pPr>
        <w:spacing w:before="120" w:after="120" w:line="276" w:lineRule="auto"/>
        <w:jc w:val="both"/>
        <w:rPr>
          <w:rFonts w:ascii="Arial" w:hAnsi="Arial" w:cs="Arial"/>
          <w:b/>
        </w:rPr>
      </w:pPr>
      <w:r w:rsidRPr="00CF7E9F">
        <w:rPr>
          <w:rFonts w:ascii="Arial" w:hAnsi="Arial" w:cs="Arial"/>
          <w:b/>
        </w:rPr>
        <w:lastRenderedPageBreak/>
        <w:t>7.</w:t>
      </w:r>
      <w:r>
        <w:rPr>
          <w:rFonts w:ascii="Arial" w:hAnsi="Arial" w:cs="Arial"/>
          <w:b/>
        </w:rPr>
        <w:t>8</w:t>
      </w:r>
      <w:r w:rsidRPr="00CF7E9F">
        <w:rPr>
          <w:rFonts w:ascii="Arial" w:hAnsi="Arial" w:cs="Arial"/>
          <w:b/>
        </w:rPr>
        <w:t>. “4.3.2 Coadyuvancia de terceros”</w:t>
      </w:r>
    </w:p>
    <w:p w14:paraId="0BA30718" w14:textId="74A240E7" w:rsidR="00CF7E9F" w:rsidRPr="00CF7E9F" w:rsidRDefault="00CF7E9F" w:rsidP="00A9692B">
      <w:pPr>
        <w:spacing w:before="120" w:after="120" w:line="276" w:lineRule="auto"/>
        <w:jc w:val="both"/>
        <w:rPr>
          <w:rFonts w:ascii="Arial" w:hAnsi="Arial" w:cs="Arial"/>
          <w:b/>
        </w:rPr>
      </w:pPr>
      <w:r w:rsidRPr="00CF7E9F">
        <w:rPr>
          <w:rFonts w:ascii="Arial" w:hAnsi="Arial" w:cs="Arial"/>
          <w:b/>
        </w:rPr>
        <w:t>7.</w:t>
      </w:r>
      <w:r>
        <w:rPr>
          <w:rFonts w:ascii="Arial" w:hAnsi="Arial" w:cs="Arial"/>
          <w:b/>
        </w:rPr>
        <w:t>8</w:t>
      </w:r>
      <w:r w:rsidRPr="00CF7E9F">
        <w:rPr>
          <w:rFonts w:ascii="Arial" w:hAnsi="Arial" w:cs="Arial"/>
          <w:b/>
        </w:rPr>
        <w:t>.1. Síntesis de los comentarios relacionados con el apartado 4.3.2 Coadyuvancia de terceros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4A0" w:firstRow="1" w:lastRow="0" w:firstColumn="1" w:lastColumn="0" w:noHBand="0" w:noVBand="1"/>
      </w:tblPr>
      <w:tblGrid>
        <w:gridCol w:w="2825"/>
        <w:gridCol w:w="2977"/>
        <w:gridCol w:w="3402"/>
      </w:tblGrid>
      <w:tr w:rsidR="00CF7E9F" w:rsidRPr="00CF7E9F" w14:paraId="40AAA818" w14:textId="77777777" w:rsidTr="00B11236">
        <w:trPr>
          <w:tblHeader/>
          <w:jc w:val="center"/>
        </w:trPr>
        <w:tc>
          <w:tcPr>
            <w:tcW w:w="2825" w:type="dxa"/>
            <w:shd w:val="clear" w:color="auto" w:fill="70AD47" w:themeFill="accent6"/>
          </w:tcPr>
          <w:p w14:paraId="0853DA58" w14:textId="77777777" w:rsidR="00CF7E9F" w:rsidRPr="00CF7E9F" w:rsidRDefault="00CF7E9F" w:rsidP="00A9692B">
            <w:pPr>
              <w:spacing w:before="120" w:after="120" w:line="276" w:lineRule="auto"/>
              <w:jc w:val="center"/>
              <w:rPr>
                <w:rFonts w:ascii="Arial" w:hAnsi="Arial" w:cs="Arial"/>
                <w:b/>
                <w:bCs/>
                <w:sz w:val="18"/>
                <w:szCs w:val="18"/>
              </w:rPr>
            </w:pPr>
            <w:r w:rsidRPr="00CF7E9F">
              <w:rPr>
                <w:rFonts w:ascii="Arial" w:hAnsi="Arial" w:cs="Arial"/>
                <w:b/>
                <w:sz w:val="18"/>
                <w:szCs w:val="18"/>
              </w:rPr>
              <w:t>Apartado del Anteproyecto</w:t>
            </w:r>
          </w:p>
        </w:tc>
        <w:tc>
          <w:tcPr>
            <w:tcW w:w="2977" w:type="dxa"/>
            <w:shd w:val="clear" w:color="auto" w:fill="70AD47" w:themeFill="accent6"/>
          </w:tcPr>
          <w:p w14:paraId="13EC2568" w14:textId="77777777" w:rsidR="00CF7E9F" w:rsidRPr="00CF7E9F" w:rsidRDefault="00CF7E9F" w:rsidP="00A9692B">
            <w:pPr>
              <w:spacing w:before="120" w:after="120" w:line="276" w:lineRule="auto"/>
              <w:jc w:val="center"/>
              <w:rPr>
                <w:rFonts w:ascii="Arial" w:hAnsi="Arial" w:cs="Arial"/>
                <w:b/>
                <w:bCs/>
                <w:sz w:val="18"/>
                <w:szCs w:val="18"/>
              </w:rPr>
            </w:pPr>
            <w:r w:rsidRPr="00CF7E9F">
              <w:rPr>
                <w:rFonts w:ascii="Arial" w:hAnsi="Arial" w:cs="Arial"/>
                <w:b/>
                <w:sz w:val="18"/>
                <w:szCs w:val="18"/>
              </w:rPr>
              <w:t>Resumen de los comentarios recibidos</w:t>
            </w:r>
          </w:p>
        </w:tc>
        <w:tc>
          <w:tcPr>
            <w:tcW w:w="3402" w:type="dxa"/>
            <w:shd w:val="clear" w:color="auto" w:fill="70AD47" w:themeFill="accent6"/>
          </w:tcPr>
          <w:p w14:paraId="6563CC8A" w14:textId="77777777" w:rsidR="00CF7E9F" w:rsidRPr="00CF7E9F" w:rsidRDefault="00CF7E9F" w:rsidP="00A9692B">
            <w:pPr>
              <w:spacing w:before="120" w:after="120" w:line="276" w:lineRule="auto"/>
              <w:jc w:val="center"/>
              <w:rPr>
                <w:rFonts w:ascii="Arial" w:hAnsi="Arial" w:cs="Arial"/>
                <w:b/>
                <w:sz w:val="18"/>
                <w:szCs w:val="18"/>
              </w:rPr>
            </w:pPr>
            <w:r w:rsidRPr="00CF7E9F">
              <w:rPr>
                <w:rFonts w:ascii="Arial" w:hAnsi="Arial" w:cs="Arial"/>
                <w:b/>
                <w:sz w:val="18"/>
                <w:szCs w:val="18"/>
              </w:rPr>
              <w:t>Consideración</w:t>
            </w:r>
          </w:p>
        </w:tc>
      </w:tr>
      <w:tr w:rsidR="00CF7E9F" w:rsidRPr="00CF7E9F" w14:paraId="7BC5E05C" w14:textId="77777777" w:rsidTr="00B11236">
        <w:trPr>
          <w:jc w:val="center"/>
        </w:trPr>
        <w:tc>
          <w:tcPr>
            <w:tcW w:w="9204" w:type="dxa"/>
            <w:gridSpan w:val="3"/>
            <w:shd w:val="clear" w:color="auto" w:fill="C5E0B3" w:themeFill="accent6" w:themeFillTint="66"/>
          </w:tcPr>
          <w:p w14:paraId="6DFF7203" w14:textId="0C796AEE" w:rsidR="00CF7E9F" w:rsidRPr="00CF7E9F" w:rsidRDefault="00CF7E9F" w:rsidP="00A9692B">
            <w:pPr>
              <w:spacing w:before="120" w:after="120" w:line="276" w:lineRule="auto"/>
              <w:jc w:val="center"/>
              <w:rPr>
                <w:rFonts w:ascii="Arial" w:hAnsi="Arial" w:cs="Arial"/>
                <w:b/>
                <w:sz w:val="18"/>
                <w:szCs w:val="18"/>
                <w:lang w:val="es-ES_tradnl"/>
              </w:rPr>
            </w:pPr>
            <w:r w:rsidRPr="00CF7E9F">
              <w:rPr>
                <w:rFonts w:ascii="Arial" w:hAnsi="Arial" w:cs="Arial"/>
                <w:b/>
                <w:sz w:val="18"/>
                <w:szCs w:val="18"/>
                <w:lang w:val="es-ES_tradnl"/>
              </w:rPr>
              <w:t>4.3.2 Coadyuvancia de terceros</w:t>
            </w:r>
          </w:p>
        </w:tc>
      </w:tr>
      <w:tr w:rsidR="00DE7FB5" w:rsidRPr="00CF7E9F" w14:paraId="66A1095D" w14:textId="77777777" w:rsidTr="009B2105">
        <w:trPr>
          <w:jc w:val="center"/>
        </w:trPr>
        <w:tc>
          <w:tcPr>
            <w:tcW w:w="2825" w:type="dxa"/>
            <w:vMerge w:val="restart"/>
            <w:shd w:val="clear" w:color="auto" w:fill="FFFFFF" w:themeFill="background1"/>
          </w:tcPr>
          <w:p w14:paraId="664B6336" w14:textId="77777777" w:rsidR="00DE7FB5" w:rsidRPr="00FB2EB5" w:rsidRDefault="00DE7FB5" w:rsidP="00A9692B">
            <w:pPr>
              <w:spacing w:before="120" w:after="120" w:line="276" w:lineRule="auto"/>
              <w:jc w:val="both"/>
              <w:rPr>
                <w:rFonts w:ascii="Arial" w:hAnsi="Arial" w:cs="Arial"/>
                <w:bCs/>
                <w:sz w:val="18"/>
                <w:szCs w:val="18"/>
                <w:lang w:val="es-ES"/>
              </w:rPr>
            </w:pPr>
            <w:r w:rsidRPr="00FB2EB5">
              <w:rPr>
                <w:rFonts w:ascii="Arial" w:hAnsi="Arial" w:cs="Arial"/>
                <w:bCs/>
                <w:sz w:val="18"/>
                <w:szCs w:val="18"/>
                <w:lang w:val="es-ES"/>
              </w:rPr>
              <w:t xml:space="preserve">En los procedimientos de notificación de concentraciones, los terceros ajenos pueden aportar información, documentación y/o manifestaciones sobre una concentración a través de dos canales formales: i) que les haya sido desechada una denuncia por parte de la AI en términos del artículo 70, fracción V, de la LFCE y ii) a través de la emisión de un Requerimiento de </w:t>
            </w:r>
            <w:r w:rsidRPr="00FB2EB5">
              <w:rPr>
                <w:rFonts w:ascii="Arial" w:hAnsi="Arial" w:cs="Arial"/>
                <w:bCs/>
                <w:sz w:val="18"/>
                <w:szCs w:val="18"/>
                <w:lang w:val="es-ES"/>
              </w:rPr>
              <w:lastRenderedPageBreak/>
              <w:t>Información directamente emitido por la UCE.</w:t>
            </w:r>
          </w:p>
          <w:p w14:paraId="45F9DE53" w14:textId="63DEA124" w:rsidR="00DE7FB5" w:rsidRPr="00CF7E9F" w:rsidRDefault="00DE7FB5" w:rsidP="00A9692B">
            <w:pPr>
              <w:spacing w:before="120" w:after="120" w:line="276" w:lineRule="auto"/>
              <w:jc w:val="both"/>
              <w:rPr>
                <w:rFonts w:ascii="Arial" w:hAnsi="Arial" w:cs="Arial"/>
                <w:bCs/>
                <w:sz w:val="18"/>
                <w:szCs w:val="18"/>
                <w:lang w:val="es-ES"/>
              </w:rPr>
            </w:pPr>
            <w:r w:rsidRPr="00FB2EB5">
              <w:rPr>
                <w:rFonts w:ascii="Arial" w:hAnsi="Arial" w:cs="Arial"/>
                <w:bCs/>
                <w:sz w:val="18"/>
                <w:szCs w:val="18"/>
                <w:lang w:val="es-ES"/>
              </w:rPr>
              <w:t>Cabe señalar que los terceros no podrán tener acceso a la información y/o documentación del expediente relativa a la concentración de que se trate, ni tampoco tendrán el carácter de parte en el procedimiento.</w:t>
            </w:r>
          </w:p>
        </w:tc>
        <w:tc>
          <w:tcPr>
            <w:tcW w:w="2977" w:type="dxa"/>
            <w:shd w:val="clear" w:color="auto" w:fill="FFFFFF" w:themeFill="background1"/>
            <w:vAlign w:val="center"/>
          </w:tcPr>
          <w:p w14:paraId="3FFA58B2" w14:textId="1F1C023E" w:rsidR="00DE7FB5" w:rsidRPr="008E24C4" w:rsidRDefault="00DE7FB5" w:rsidP="00A9692B">
            <w:pPr>
              <w:spacing w:before="120" w:after="120" w:line="276" w:lineRule="auto"/>
              <w:jc w:val="both"/>
              <w:rPr>
                <w:rFonts w:ascii="Arial" w:hAnsi="Arial" w:cs="Arial"/>
                <w:sz w:val="18"/>
                <w:szCs w:val="18"/>
              </w:rPr>
            </w:pPr>
            <w:r w:rsidRPr="008E24C4">
              <w:rPr>
                <w:rFonts w:ascii="Arial" w:eastAsia="Times New Roman" w:hAnsi="Arial" w:cs="Arial"/>
                <w:color w:val="000000"/>
                <w:sz w:val="18"/>
                <w:szCs w:val="18"/>
                <w:lang w:eastAsia="es-MX"/>
              </w:rPr>
              <w:lastRenderedPageBreak/>
              <w:t xml:space="preserve">Es importante que la Guía para el Control de Concentraciones sea particularmente explícita respecto al hecho de que, a pesar del desechamiento de la denuncia por parte de la Autoridad Investigadora en términos del Artículo 70 de la Ley Federal de Competencia Económica, la información que provean terceras partes será glosada en el expediente de la concentración y, de manera más </w:t>
            </w:r>
            <w:r w:rsidRPr="008E24C4">
              <w:rPr>
                <w:rFonts w:ascii="Arial" w:eastAsia="Times New Roman" w:hAnsi="Arial" w:cs="Arial"/>
                <w:color w:val="000000"/>
                <w:sz w:val="18"/>
                <w:szCs w:val="18"/>
                <w:lang w:eastAsia="es-MX"/>
              </w:rPr>
              <w:lastRenderedPageBreak/>
              <w:t>importante, que esta información será analizada por la autoridad.</w:t>
            </w:r>
          </w:p>
        </w:tc>
        <w:tc>
          <w:tcPr>
            <w:tcW w:w="3402" w:type="dxa"/>
            <w:shd w:val="clear" w:color="auto" w:fill="FFFFFF" w:themeFill="background1"/>
          </w:tcPr>
          <w:p w14:paraId="4D5EC52A" w14:textId="095E57D2" w:rsidR="00DE7FB5" w:rsidRDefault="00DE7FB5" w:rsidP="00A9692B">
            <w:pPr>
              <w:spacing w:before="120" w:after="120" w:line="276" w:lineRule="auto"/>
              <w:jc w:val="both"/>
              <w:rPr>
                <w:rFonts w:ascii="Arial" w:hAnsi="Arial" w:cs="Arial"/>
                <w:sz w:val="18"/>
                <w:szCs w:val="18"/>
              </w:rPr>
            </w:pPr>
            <w:r w:rsidRPr="00A61488">
              <w:rPr>
                <w:rFonts w:ascii="Arial" w:hAnsi="Arial" w:cs="Arial"/>
                <w:sz w:val="18"/>
                <w:szCs w:val="18"/>
              </w:rPr>
              <w:lastRenderedPageBreak/>
              <w:t>Se toman en consideración los comentarios recibidos y se agrega el siguiente texto, en el sentido que se solicita.</w:t>
            </w:r>
          </w:p>
          <w:tbl>
            <w:tblPr>
              <w:tblStyle w:val="Tablaconcuadrcula"/>
              <w:tblW w:w="0" w:type="auto"/>
              <w:jc w:val="center"/>
              <w:tblLayout w:type="fixed"/>
              <w:tblLook w:val="04A0" w:firstRow="1" w:lastRow="0" w:firstColumn="1" w:lastColumn="0" w:noHBand="0" w:noVBand="1"/>
            </w:tblPr>
            <w:tblGrid>
              <w:gridCol w:w="3176"/>
            </w:tblGrid>
            <w:tr w:rsidR="00DE7FB5" w:rsidRPr="00E83771" w14:paraId="2342970D" w14:textId="77777777" w:rsidTr="00935490">
              <w:trPr>
                <w:trHeight w:val="311"/>
                <w:jc w:val="center"/>
              </w:trPr>
              <w:tc>
                <w:tcPr>
                  <w:tcW w:w="3176"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2503F108" w14:textId="77777777" w:rsidR="00DE7FB5" w:rsidRPr="00E83771" w:rsidRDefault="00DE7FB5" w:rsidP="00A9692B">
                  <w:pPr>
                    <w:spacing w:before="120" w:after="120" w:line="276" w:lineRule="auto"/>
                    <w:jc w:val="center"/>
                    <w:rPr>
                      <w:rFonts w:ascii="Arial" w:hAnsi="Arial" w:cs="Arial"/>
                      <w:sz w:val="18"/>
                      <w:szCs w:val="18"/>
                    </w:rPr>
                  </w:pPr>
                  <w:r w:rsidRPr="00E83771">
                    <w:rPr>
                      <w:rFonts w:ascii="Arial" w:hAnsi="Arial" w:cs="Arial"/>
                      <w:sz w:val="18"/>
                      <w:szCs w:val="18"/>
                    </w:rPr>
                    <w:t xml:space="preserve">Modificación al Proyecto </w:t>
                  </w:r>
                </w:p>
              </w:tc>
            </w:tr>
            <w:tr w:rsidR="00DE7FB5" w:rsidRPr="00D97DCA" w14:paraId="1F3B62C7" w14:textId="77777777" w:rsidTr="00935490">
              <w:trPr>
                <w:jc w:val="center"/>
              </w:trPr>
              <w:tc>
                <w:tcPr>
                  <w:tcW w:w="3176" w:type="dxa"/>
                  <w:tcBorders>
                    <w:top w:val="single" w:sz="4" w:space="0" w:color="auto"/>
                    <w:left w:val="single" w:sz="4" w:space="0" w:color="auto"/>
                    <w:bottom w:val="single" w:sz="4" w:space="0" w:color="auto"/>
                    <w:right w:val="single" w:sz="4" w:space="0" w:color="auto"/>
                  </w:tcBorders>
                  <w:shd w:val="clear" w:color="auto" w:fill="FFFFFF" w:themeFill="background1"/>
                </w:tcPr>
                <w:p w14:paraId="7DB45DCF" w14:textId="6BEDA19C" w:rsidR="00DE7FB5" w:rsidRPr="00785E15" w:rsidRDefault="00DE7FB5" w:rsidP="00A9692B">
                  <w:pPr>
                    <w:spacing w:before="120" w:after="120" w:line="276" w:lineRule="auto"/>
                    <w:jc w:val="both"/>
                    <w:rPr>
                      <w:rFonts w:ascii="Arial" w:hAnsi="Arial" w:cs="Arial"/>
                      <w:i/>
                      <w:sz w:val="18"/>
                      <w:szCs w:val="18"/>
                    </w:rPr>
                  </w:pPr>
                  <w:r w:rsidRPr="00785E15">
                    <w:rPr>
                      <w:rFonts w:ascii="Arial" w:hAnsi="Arial" w:cs="Arial"/>
                      <w:i/>
                      <w:sz w:val="18"/>
                      <w:szCs w:val="18"/>
                    </w:rPr>
                    <w:t xml:space="preserve">En los procedimientos de notificación de concentraciones, los terceros ajenos pueden aportar información, documentación y/o manifestaciones sobre una concentración a través de dos canales formales: i) que les haya </w:t>
                  </w:r>
                  <w:r w:rsidRPr="00785E15">
                    <w:rPr>
                      <w:rFonts w:ascii="Arial" w:hAnsi="Arial" w:cs="Arial"/>
                      <w:i/>
                      <w:sz w:val="18"/>
                      <w:szCs w:val="18"/>
                    </w:rPr>
                    <w:lastRenderedPageBreak/>
                    <w:t>sido desechada una denuncia por parte de la AI en términos del artículo 70, fracción V</w:t>
                  </w:r>
                  <w:r w:rsidRPr="00785E15">
                    <w:rPr>
                      <w:rFonts w:ascii="Arial" w:hAnsi="Arial" w:cs="Arial"/>
                      <w:b/>
                      <w:i/>
                      <w:sz w:val="18"/>
                      <w:szCs w:val="18"/>
                      <w:vertAlign w:val="superscript"/>
                    </w:rPr>
                    <w:t>60</w:t>
                  </w:r>
                  <w:r w:rsidRPr="00785E15">
                    <w:rPr>
                      <w:rFonts w:ascii="Arial" w:hAnsi="Arial" w:cs="Arial"/>
                      <w:i/>
                      <w:sz w:val="18"/>
                      <w:szCs w:val="18"/>
                    </w:rPr>
                    <w:t xml:space="preserve">, de la LFCE y ii) a través de la emisión de un Requerimiento de Información directamente emitido por la UCE. </w:t>
                  </w:r>
                </w:p>
                <w:p w14:paraId="68458B8E" w14:textId="77777777" w:rsidR="00DE7FB5" w:rsidRPr="00785E15" w:rsidRDefault="00DE7FB5" w:rsidP="00A9692B">
                  <w:pPr>
                    <w:spacing w:before="120" w:after="120" w:line="276" w:lineRule="auto"/>
                    <w:jc w:val="both"/>
                    <w:rPr>
                      <w:rFonts w:ascii="Arial" w:hAnsi="Arial" w:cs="Arial"/>
                      <w:b/>
                      <w:i/>
                      <w:sz w:val="18"/>
                      <w:szCs w:val="18"/>
                    </w:rPr>
                  </w:pPr>
                  <w:r w:rsidRPr="00785E15">
                    <w:rPr>
                      <w:rFonts w:ascii="Arial" w:hAnsi="Arial" w:cs="Arial"/>
                      <w:b/>
                      <w:i/>
                      <w:sz w:val="18"/>
                      <w:szCs w:val="18"/>
                    </w:rPr>
                    <w:t xml:space="preserve">Los documentos y datos aportados por esos medios serán glosados al expediente de la concentración correspondiente. </w:t>
                  </w:r>
                </w:p>
                <w:p w14:paraId="182FF78F" w14:textId="77777777" w:rsidR="00DE7FB5" w:rsidRPr="00785E15" w:rsidRDefault="00DE7FB5" w:rsidP="00A9692B">
                  <w:pPr>
                    <w:spacing w:before="120" w:after="120" w:line="276" w:lineRule="auto"/>
                    <w:jc w:val="both"/>
                    <w:rPr>
                      <w:rFonts w:ascii="Arial" w:hAnsi="Arial" w:cs="Arial"/>
                      <w:i/>
                      <w:sz w:val="18"/>
                      <w:szCs w:val="18"/>
                    </w:rPr>
                  </w:pPr>
                  <w:r w:rsidRPr="00785E15">
                    <w:rPr>
                      <w:rFonts w:ascii="Arial" w:hAnsi="Arial" w:cs="Arial"/>
                      <w:i/>
                      <w:sz w:val="18"/>
                      <w:szCs w:val="18"/>
                    </w:rPr>
                    <w:t>Al respecto, la LFCE no contempla mecanismos distintos a los descritos en el párrafo anterior para que la información aportada por terceros sea glosada al expediente de una concentración en trámite.”</w:t>
                  </w:r>
                </w:p>
                <w:p w14:paraId="4CA98AB7" w14:textId="2A85C728" w:rsidR="00DE7FB5" w:rsidRPr="00C10F7E" w:rsidRDefault="00DE7FB5" w:rsidP="00A9692B">
                  <w:pPr>
                    <w:spacing w:before="120" w:after="120" w:line="276" w:lineRule="auto"/>
                    <w:jc w:val="both"/>
                    <w:rPr>
                      <w:rFonts w:ascii="Arial" w:hAnsi="Arial" w:cs="Arial"/>
                      <w:sz w:val="18"/>
                      <w:szCs w:val="18"/>
                    </w:rPr>
                  </w:pPr>
                  <w:r w:rsidRPr="00785E15">
                    <w:rPr>
                      <w:rFonts w:ascii="Arial" w:hAnsi="Arial" w:cs="Arial"/>
                      <w:i/>
                      <w:sz w:val="18"/>
                      <w:szCs w:val="18"/>
                    </w:rPr>
                    <w:t xml:space="preserve">Nota al pie </w:t>
                  </w:r>
                  <w:r w:rsidRPr="00785E15">
                    <w:rPr>
                      <w:rFonts w:ascii="Arial" w:hAnsi="Arial" w:cs="Arial"/>
                      <w:b/>
                      <w:i/>
                      <w:sz w:val="18"/>
                      <w:szCs w:val="18"/>
                    </w:rPr>
                    <w:t>60: De acuerdo con esta disposición, la Autoridad Investigadora deberá desestimar la denuncia por notoria inadmisibilidad cuando los hechos denunciados se refieran a una concentración notificada de conformidad con el artículo 86 de la LFCE que esté pendiente de resolución por parte de la autoridad. No obstante, los agentes económicos podrán colaborar aportando aquellos datos y documentos que consideren pertinentes para que sean tomados en consideración al momento de emitir la resolución correspondiente</w:t>
                  </w:r>
                  <w:r w:rsidRPr="00785E15">
                    <w:rPr>
                      <w:rFonts w:ascii="Arial" w:hAnsi="Arial" w:cs="Arial"/>
                      <w:b/>
                      <w:i/>
                      <w:iCs/>
                      <w:sz w:val="18"/>
                      <w:szCs w:val="18"/>
                    </w:rPr>
                    <w:t>.</w:t>
                  </w:r>
                </w:p>
              </w:tc>
            </w:tr>
          </w:tbl>
          <w:p w14:paraId="0D7F45AF" w14:textId="6247B895" w:rsidR="00DE7FB5" w:rsidRPr="00CF7E9F" w:rsidRDefault="00DE7FB5" w:rsidP="00A9692B">
            <w:pPr>
              <w:spacing w:before="120" w:after="120" w:line="276" w:lineRule="auto"/>
              <w:jc w:val="both"/>
              <w:rPr>
                <w:rFonts w:ascii="Arial" w:hAnsi="Arial" w:cs="Arial"/>
                <w:sz w:val="18"/>
                <w:szCs w:val="18"/>
              </w:rPr>
            </w:pPr>
            <w:r w:rsidRPr="00A61488">
              <w:rPr>
                <w:rFonts w:ascii="Arial" w:hAnsi="Arial" w:cs="Arial"/>
                <w:sz w:val="18"/>
                <w:szCs w:val="18"/>
              </w:rPr>
              <w:lastRenderedPageBreak/>
              <w:t xml:space="preserve"> (Se resalta texto agregado)</w:t>
            </w:r>
          </w:p>
        </w:tc>
      </w:tr>
      <w:tr w:rsidR="00DE7FB5" w:rsidRPr="00CF7E9F" w14:paraId="432AB3A0" w14:textId="77777777" w:rsidTr="009B2105">
        <w:trPr>
          <w:jc w:val="center"/>
        </w:trPr>
        <w:tc>
          <w:tcPr>
            <w:tcW w:w="2825" w:type="dxa"/>
            <w:vMerge/>
            <w:shd w:val="clear" w:color="auto" w:fill="FFFFFF" w:themeFill="background1"/>
          </w:tcPr>
          <w:p w14:paraId="4196F04B" w14:textId="77777777" w:rsidR="00DE7FB5" w:rsidRPr="00CF7E9F" w:rsidRDefault="00DE7FB5" w:rsidP="00A9692B">
            <w:pPr>
              <w:spacing w:before="120" w:after="120" w:line="276" w:lineRule="auto"/>
              <w:jc w:val="both"/>
              <w:rPr>
                <w:rFonts w:ascii="Arial" w:hAnsi="Arial" w:cs="Arial"/>
                <w:bCs/>
                <w:sz w:val="18"/>
                <w:szCs w:val="18"/>
                <w:lang w:val="es-ES"/>
              </w:rPr>
            </w:pPr>
          </w:p>
        </w:tc>
        <w:tc>
          <w:tcPr>
            <w:tcW w:w="2977" w:type="dxa"/>
            <w:shd w:val="clear" w:color="auto" w:fill="FFFFFF" w:themeFill="background1"/>
            <w:vAlign w:val="center"/>
          </w:tcPr>
          <w:p w14:paraId="568D3A6C" w14:textId="36055391" w:rsidR="00DE7FB5" w:rsidRPr="00CF7E9F" w:rsidRDefault="00DE7FB5" w:rsidP="00A9692B">
            <w:pPr>
              <w:spacing w:before="120" w:after="120" w:line="276" w:lineRule="auto"/>
              <w:jc w:val="both"/>
              <w:rPr>
                <w:rFonts w:ascii="Arial" w:hAnsi="Arial" w:cs="Arial"/>
                <w:sz w:val="18"/>
                <w:szCs w:val="18"/>
              </w:rPr>
            </w:pPr>
            <w:r w:rsidRPr="00AE7DEA">
              <w:rPr>
                <w:rFonts w:ascii="Arial" w:eastAsia="Times New Roman" w:hAnsi="Arial" w:cs="Arial"/>
                <w:color w:val="000000"/>
                <w:sz w:val="18"/>
                <w:szCs w:val="18"/>
                <w:lang w:eastAsia="es-MX"/>
              </w:rPr>
              <w:t>A futuro, el régimen de notificación y evaluación de concentraciones en México abra espacio para un papel más activo para terceras partes interesadas dentro de los procesos de evaluación y discusión de concentraciones donde incluso, la compartición de dictámenes preliminares para comentarios</w:t>
            </w:r>
          </w:p>
        </w:tc>
        <w:tc>
          <w:tcPr>
            <w:tcW w:w="3402" w:type="dxa"/>
            <w:shd w:val="clear" w:color="auto" w:fill="FFFFFF" w:themeFill="background1"/>
          </w:tcPr>
          <w:p w14:paraId="03071E86" w14:textId="51B16466" w:rsidR="00DE7FB5" w:rsidRPr="00CF7E9F" w:rsidRDefault="00DE7FB5" w:rsidP="00A9692B">
            <w:pPr>
              <w:spacing w:before="120" w:after="120" w:line="276" w:lineRule="auto"/>
              <w:jc w:val="both"/>
              <w:rPr>
                <w:rFonts w:ascii="Arial" w:hAnsi="Arial" w:cs="Arial"/>
                <w:sz w:val="18"/>
                <w:szCs w:val="18"/>
              </w:rPr>
            </w:pPr>
            <w:r w:rsidRPr="00A61488">
              <w:rPr>
                <w:rFonts w:ascii="Arial" w:hAnsi="Arial" w:cs="Arial"/>
                <w:sz w:val="18"/>
                <w:szCs w:val="18"/>
              </w:rPr>
              <w:t xml:space="preserve">Se toma conocimiento de la opinión recibida. Sin embargo, actualmente la legislación de competencia en México no prevé la compartición </w:t>
            </w:r>
            <w:r w:rsidR="002A1E85">
              <w:rPr>
                <w:rFonts w:ascii="Arial" w:hAnsi="Arial" w:cs="Arial"/>
                <w:sz w:val="18"/>
                <w:szCs w:val="18"/>
              </w:rPr>
              <w:t xml:space="preserve">con agentes económicos </w:t>
            </w:r>
            <w:r w:rsidRPr="00A61488">
              <w:rPr>
                <w:rFonts w:ascii="Arial" w:hAnsi="Arial" w:cs="Arial"/>
                <w:sz w:val="18"/>
                <w:szCs w:val="18"/>
              </w:rPr>
              <w:t>de dictámenes para comentarios.</w:t>
            </w:r>
          </w:p>
        </w:tc>
      </w:tr>
    </w:tbl>
    <w:p w14:paraId="6714FCBE" w14:textId="705DD84E" w:rsidR="00CF7E9F" w:rsidRPr="00CF7E9F" w:rsidRDefault="00CF7E9F" w:rsidP="00A9692B">
      <w:pPr>
        <w:spacing w:before="120" w:after="120" w:line="276" w:lineRule="auto"/>
        <w:jc w:val="both"/>
        <w:rPr>
          <w:rFonts w:ascii="Arial" w:hAnsi="Arial" w:cs="Arial"/>
          <w:b/>
        </w:rPr>
      </w:pPr>
      <w:r w:rsidRPr="00CF7E9F">
        <w:rPr>
          <w:rFonts w:ascii="Arial" w:hAnsi="Arial" w:cs="Arial"/>
          <w:b/>
        </w:rPr>
        <w:t>7.</w:t>
      </w:r>
      <w:r>
        <w:rPr>
          <w:rFonts w:ascii="Arial" w:hAnsi="Arial" w:cs="Arial"/>
          <w:b/>
        </w:rPr>
        <w:t>9</w:t>
      </w:r>
      <w:r w:rsidRPr="00CF7E9F">
        <w:rPr>
          <w:rFonts w:ascii="Arial" w:hAnsi="Arial" w:cs="Arial"/>
          <w:b/>
        </w:rPr>
        <w:t>. “5.1 Umbrales para la notificación”</w:t>
      </w:r>
    </w:p>
    <w:p w14:paraId="2B3103E1" w14:textId="792E5F90" w:rsidR="00CF7E9F" w:rsidRPr="00CF7E9F" w:rsidRDefault="00CF7E9F" w:rsidP="00A9692B">
      <w:pPr>
        <w:spacing w:before="120" w:after="120" w:line="276" w:lineRule="auto"/>
        <w:jc w:val="both"/>
        <w:rPr>
          <w:rFonts w:ascii="Arial" w:hAnsi="Arial" w:cs="Arial"/>
          <w:b/>
        </w:rPr>
      </w:pPr>
      <w:r w:rsidRPr="00CF7E9F">
        <w:rPr>
          <w:rFonts w:ascii="Arial" w:hAnsi="Arial" w:cs="Arial"/>
          <w:b/>
        </w:rPr>
        <w:lastRenderedPageBreak/>
        <w:t>7.</w:t>
      </w:r>
      <w:r>
        <w:rPr>
          <w:rFonts w:ascii="Arial" w:hAnsi="Arial" w:cs="Arial"/>
          <w:b/>
        </w:rPr>
        <w:t>9</w:t>
      </w:r>
      <w:r w:rsidRPr="00CF7E9F">
        <w:rPr>
          <w:rFonts w:ascii="Arial" w:hAnsi="Arial" w:cs="Arial"/>
          <w:b/>
        </w:rPr>
        <w:t>.1. Síntesis de los comentarios relacionados con el apartado 5.1 Umbrales para la notificación</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4A0" w:firstRow="1" w:lastRow="0" w:firstColumn="1" w:lastColumn="0" w:noHBand="0" w:noVBand="1"/>
      </w:tblPr>
      <w:tblGrid>
        <w:gridCol w:w="2825"/>
        <w:gridCol w:w="2977"/>
        <w:gridCol w:w="3402"/>
      </w:tblGrid>
      <w:tr w:rsidR="00CF7E9F" w:rsidRPr="00CF7E9F" w14:paraId="5964C468" w14:textId="77777777" w:rsidTr="00B11236">
        <w:trPr>
          <w:tblHeader/>
          <w:jc w:val="center"/>
        </w:trPr>
        <w:tc>
          <w:tcPr>
            <w:tcW w:w="2825" w:type="dxa"/>
            <w:shd w:val="clear" w:color="auto" w:fill="70AD47" w:themeFill="accent6"/>
          </w:tcPr>
          <w:p w14:paraId="126E9613" w14:textId="77777777" w:rsidR="00CF7E9F" w:rsidRPr="00CF7E9F" w:rsidRDefault="00CF7E9F" w:rsidP="00A9692B">
            <w:pPr>
              <w:spacing w:before="120" w:after="120" w:line="276" w:lineRule="auto"/>
              <w:jc w:val="center"/>
              <w:rPr>
                <w:rFonts w:ascii="Arial" w:hAnsi="Arial" w:cs="Arial"/>
                <w:b/>
                <w:bCs/>
                <w:sz w:val="18"/>
                <w:szCs w:val="18"/>
              </w:rPr>
            </w:pPr>
            <w:r w:rsidRPr="00CF7E9F">
              <w:rPr>
                <w:rFonts w:ascii="Arial" w:hAnsi="Arial" w:cs="Arial"/>
                <w:b/>
                <w:sz w:val="18"/>
                <w:szCs w:val="18"/>
              </w:rPr>
              <w:t>Apartado del Anteproyecto</w:t>
            </w:r>
          </w:p>
        </w:tc>
        <w:tc>
          <w:tcPr>
            <w:tcW w:w="2977" w:type="dxa"/>
            <w:shd w:val="clear" w:color="auto" w:fill="70AD47" w:themeFill="accent6"/>
          </w:tcPr>
          <w:p w14:paraId="37800762" w14:textId="77777777" w:rsidR="00CF7E9F" w:rsidRPr="00CF7E9F" w:rsidRDefault="00CF7E9F" w:rsidP="00A9692B">
            <w:pPr>
              <w:spacing w:before="120" w:after="120" w:line="276" w:lineRule="auto"/>
              <w:jc w:val="center"/>
              <w:rPr>
                <w:rFonts w:ascii="Arial" w:hAnsi="Arial" w:cs="Arial"/>
                <w:b/>
                <w:bCs/>
                <w:sz w:val="18"/>
                <w:szCs w:val="18"/>
              </w:rPr>
            </w:pPr>
            <w:r w:rsidRPr="00CF7E9F">
              <w:rPr>
                <w:rFonts w:ascii="Arial" w:hAnsi="Arial" w:cs="Arial"/>
                <w:b/>
                <w:sz w:val="18"/>
                <w:szCs w:val="18"/>
              </w:rPr>
              <w:t>Resumen de los comentarios recibidos</w:t>
            </w:r>
          </w:p>
        </w:tc>
        <w:tc>
          <w:tcPr>
            <w:tcW w:w="3402" w:type="dxa"/>
            <w:shd w:val="clear" w:color="auto" w:fill="70AD47" w:themeFill="accent6"/>
          </w:tcPr>
          <w:p w14:paraId="45A80215" w14:textId="77777777" w:rsidR="00CF7E9F" w:rsidRPr="00CF7E9F" w:rsidRDefault="00CF7E9F" w:rsidP="00A9692B">
            <w:pPr>
              <w:spacing w:before="120" w:after="120" w:line="276" w:lineRule="auto"/>
              <w:jc w:val="center"/>
              <w:rPr>
                <w:rFonts w:ascii="Arial" w:hAnsi="Arial" w:cs="Arial"/>
                <w:b/>
                <w:sz w:val="18"/>
                <w:szCs w:val="18"/>
              </w:rPr>
            </w:pPr>
            <w:r w:rsidRPr="00CF7E9F">
              <w:rPr>
                <w:rFonts w:ascii="Arial" w:hAnsi="Arial" w:cs="Arial"/>
                <w:b/>
                <w:sz w:val="18"/>
                <w:szCs w:val="18"/>
              </w:rPr>
              <w:t>Consideración</w:t>
            </w:r>
          </w:p>
        </w:tc>
      </w:tr>
      <w:tr w:rsidR="00CF7E9F" w:rsidRPr="00CF7E9F" w14:paraId="7F882820" w14:textId="77777777" w:rsidTr="00B11236">
        <w:trPr>
          <w:jc w:val="center"/>
        </w:trPr>
        <w:tc>
          <w:tcPr>
            <w:tcW w:w="9204" w:type="dxa"/>
            <w:gridSpan w:val="3"/>
            <w:shd w:val="clear" w:color="auto" w:fill="C5E0B3" w:themeFill="accent6" w:themeFillTint="66"/>
          </w:tcPr>
          <w:p w14:paraId="09CFAF63" w14:textId="236E9EC5" w:rsidR="00CF7E9F" w:rsidRPr="00CF7E9F" w:rsidRDefault="00CF7E9F" w:rsidP="00A9692B">
            <w:pPr>
              <w:spacing w:before="120" w:after="120" w:line="276" w:lineRule="auto"/>
              <w:jc w:val="center"/>
              <w:rPr>
                <w:rFonts w:ascii="Arial" w:hAnsi="Arial" w:cs="Arial"/>
                <w:b/>
                <w:sz w:val="18"/>
                <w:szCs w:val="18"/>
                <w:lang w:val="es-ES_tradnl"/>
              </w:rPr>
            </w:pPr>
            <w:r w:rsidRPr="00CF7E9F">
              <w:rPr>
                <w:rFonts w:ascii="Arial" w:hAnsi="Arial" w:cs="Arial"/>
                <w:b/>
                <w:sz w:val="18"/>
                <w:szCs w:val="18"/>
                <w:lang w:val="es-ES_tradnl"/>
              </w:rPr>
              <w:t>5.1 Umbrales para la notificación</w:t>
            </w:r>
          </w:p>
        </w:tc>
      </w:tr>
      <w:tr w:rsidR="00DB6C40" w:rsidRPr="00CF7E9F" w14:paraId="5BB28842" w14:textId="77777777" w:rsidTr="009B2105">
        <w:trPr>
          <w:jc w:val="center"/>
        </w:trPr>
        <w:tc>
          <w:tcPr>
            <w:tcW w:w="2825" w:type="dxa"/>
            <w:vMerge w:val="restart"/>
            <w:shd w:val="clear" w:color="auto" w:fill="FFFFFF" w:themeFill="background1"/>
          </w:tcPr>
          <w:p w14:paraId="149D8512" w14:textId="77777777" w:rsidR="00DB6C40" w:rsidRPr="00DB6C40" w:rsidRDefault="00DB6C40" w:rsidP="00A9692B">
            <w:pPr>
              <w:spacing w:before="120" w:after="120" w:line="276" w:lineRule="auto"/>
              <w:jc w:val="both"/>
              <w:rPr>
                <w:rFonts w:ascii="Arial" w:hAnsi="Arial" w:cs="Arial"/>
                <w:bCs/>
                <w:sz w:val="18"/>
                <w:szCs w:val="18"/>
                <w:lang w:val="es-ES"/>
              </w:rPr>
            </w:pPr>
            <w:r w:rsidRPr="00DB6C40">
              <w:rPr>
                <w:rFonts w:ascii="Arial" w:hAnsi="Arial" w:cs="Arial"/>
                <w:bCs/>
                <w:sz w:val="18"/>
                <w:szCs w:val="18"/>
                <w:lang w:val="es-ES"/>
              </w:rPr>
              <w:t>El artículo 86 de la LFCE inicia con la siguiente redacción:</w:t>
            </w:r>
          </w:p>
          <w:p w14:paraId="6F7C9C8D" w14:textId="77777777" w:rsidR="00DB6C40" w:rsidRPr="00DB6C40" w:rsidRDefault="00DB6C40" w:rsidP="00A9692B">
            <w:pPr>
              <w:spacing w:before="120" w:after="120" w:line="276" w:lineRule="auto"/>
              <w:ind w:left="167"/>
              <w:jc w:val="both"/>
              <w:rPr>
                <w:rFonts w:ascii="Arial" w:hAnsi="Arial" w:cs="Arial"/>
                <w:bCs/>
                <w:i/>
                <w:sz w:val="17"/>
                <w:szCs w:val="17"/>
                <w:lang w:val="es-ES"/>
              </w:rPr>
            </w:pPr>
            <w:r w:rsidRPr="00DB6C40">
              <w:rPr>
                <w:rFonts w:ascii="Arial" w:hAnsi="Arial" w:cs="Arial"/>
                <w:bCs/>
                <w:i/>
                <w:sz w:val="17"/>
                <w:szCs w:val="17"/>
                <w:lang w:val="es-ES"/>
              </w:rPr>
              <w:t xml:space="preserve">“Artículo 86. Las siguientes concentraciones </w:t>
            </w:r>
            <w:r w:rsidRPr="00DB6C40">
              <w:rPr>
                <w:rFonts w:ascii="Arial" w:hAnsi="Arial" w:cs="Arial"/>
                <w:b/>
                <w:bCs/>
                <w:i/>
                <w:sz w:val="17"/>
                <w:szCs w:val="17"/>
                <w:u w:val="single"/>
                <w:lang w:val="es-ES"/>
              </w:rPr>
              <w:t>deberán ser autorizadas</w:t>
            </w:r>
            <w:r w:rsidRPr="00DB6C40">
              <w:rPr>
                <w:rFonts w:ascii="Arial" w:hAnsi="Arial" w:cs="Arial"/>
                <w:bCs/>
                <w:i/>
                <w:sz w:val="17"/>
                <w:szCs w:val="17"/>
                <w:lang w:val="es-ES"/>
              </w:rPr>
              <w:t xml:space="preserve"> </w:t>
            </w:r>
            <w:r w:rsidRPr="00DB6C40">
              <w:rPr>
                <w:rFonts w:ascii="Arial" w:hAnsi="Arial" w:cs="Arial"/>
                <w:b/>
                <w:bCs/>
                <w:i/>
                <w:sz w:val="17"/>
                <w:szCs w:val="17"/>
                <w:lang w:val="es-ES"/>
              </w:rPr>
              <w:t>por el IFT antes de que se lleven a cabo</w:t>
            </w:r>
            <w:r w:rsidRPr="00DB6C40">
              <w:rPr>
                <w:rFonts w:ascii="Arial" w:hAnsi="Arial" w:cs="Arial"/>
                <w:bCs/>
                <w:i/>
                <w:sz w:val="17"/>
                <w:szCs w:val="17"/>
                <w:lang w:val="es-ES"/>
              </w:rPr>
              <w:t>:</w:t>
            </w:r>
          </w:p>
          <w:p w14:paraId="088814D4" w14:textId="59C06A1F" w:rsidR="00DB6C40" w:rsidRPr="00DB6C40" w:rsidRDefault="00DB6C40" w:rsidP="00A9692B">
            <w:pPr>
              <w:spacing w:before="120" w:after="120" w:line="276" w:lineRule="auto"/>
              <w:ind w:left="167"/>
              <w:jc w:val="both"/>
              <w:rPr>
                <w:rFonts w:ascii="Arial" w:hAnsi="Arial" w:cs="Arial"/>
                <w:bCs/>
                <w:sz w:val="18"/>
                <w:szCs w:val="18"/>
                <w:lang w:val="es-ES"/>
              </w:rPr>
            </w:pPr>
            <w:r w:rsidRPr="00DB6C40">
              <w:rPr>
                <w:rFonts w:ascii="Arial" w:hAnsi="Arial" w:cs="Arial"/>
                <w:bCs/>
                <w:i/>
                <w:sz w:val="17"/>
                <w:szCs w:val="17"/>
                <w:lang w:val="es-ES"/>
              </w:rPr>
              <w:t>(…).”</w:t>
            </w:r>
            <w:r>
              <w:rPr>
                <w:rFonts w:ascii="Arial" w:hAnsi="Arial" w:cs="Arial"/>
                <w:bCs/>
                <w:i/>
                <w:sz w:val="17"/>
                <w:szCs w:val="17"/>
                <w:lang w:val="es-ES"/>
              </w:rPr>
              <w:t xml:space="preserve"> </w:t>
            </w:r>
            <w:r w:rsidRPr="00DB6C40">
              <w:rPr>
                <w:rFonts w:ascii="Arial" w:hAnsi="Arial" w:cs="Arial"/>
                <w:bCs/>
                <w:sz w:val="18"/>
                <w:szCs w:val="18"/>
                <w:lang w:val="es-ES"/>
              </w:rPr>
              <w:t>(Énfasis y subrayado añadidos)</w:t>
            </w:r>
          </w:p>
          <w:p w14:paraId="2AAD1432" w14:textId="77777777" w:rsidR="00DB6C40" w:rsidRPr="00DB6C40" w:rsidRDefault="00DB6C40" w:rsidP="00A9692B">
            <w:pPr>
              <w:spacing w:before="120" w:after="120" w:line="276" w:lineRule="auto"/>
              <w:jc w:val="both"/>
              <w:rPr>
                <w:rFonts w:ascii="Arial" w:hAnsi="Arial" w:cs="Arial"/>
                <w:bCs/>
                <w:sz w:val="18"/>
                <w:szCs w:val="18"/>
                <w:lang w:val="es-ES"/>
              </w:rPr>
            </w:pPr>
            <w:r w:rsidRPr="00DB6C40">
              <w:rPr>
                <w:rFonts w:ascii="Arial" w:hAnsi="Arial" w:cs="Arial"/>
                <w:bCs/>
                <w:sz w:val="18"/>
                <w:szCs w:val="18"/>
                <w:lang w:val="es-ES"/>
              </w:rPr>
              <w:t>Al respecto, el artículo 86 especifica en tres fracciones los montos o umbrales monetarios que se determinan en múltiplos de la UMA diaria que obligan a los agentes económicos a notificar concentraciones ante el IFT antes de llevarse a cabo.</w:t>
            </w:r>
          </w:p>
          <w:p w14:paraId="2A1B9BB4" w14:textId="77777777" w:rsidR="00DB6C40" w:rsidRPr="00DB6C40" w:rsidRDefault="00DB6C40" w:rsidP="00A9692B">
            <w:pPr>
              <w:spacing w:before="120" w:after="120" w:line="276" w:lineRule="auto"/>
              <w:jc w:val="both"/>
              <w:rPr>
                <w:rFonts w:ascii="Arial" w:hAnsi="Arial" w:cs="Arial"/>
                <w:bCs/>
                <w:sz w:val="18"/>
                <w:szCs w:val="18"/>
                <w:lang w:val="es-ES"/>
              </w:rPr>
            </w:pPr>
            <w:r w:rsidRPr="00DB6C40">
              <w:rPr>
                <w:rFonts w:ascii="Arial" w:hAnsi="Arial" w:cs="Arial"/>
                <w:bCs/>
                <w:sz w:val="18"/>
                <w:szCs w:val="18"/>
                <w:lang w:val="es-ES"/>
              </w:rPr>
              <w:t xml:space="preserve">De conformidad con lo establecido en los artículos 26, apartado B, penúltimo párrafo de la CPEUM y Segundo Transitorio del Decreto por el que se reforman y adicionan diversas disposiciones de la CPEUM en materia de desindexación del salario mínimo, a partir del 28 de enero de 2016 toda mención al salario mínimo se entenderá referida a la unidad de medida y actualización (UMA) que emita el Instituto Nacional de Geografía y Estadística (INEGI). La UMA es la unidad de cuenta, índice, base, medida o referencia económica en pesos para determinar la cuantía de las obligaciones y supuestos previstos en las leyes federales, de las entidades federativas y de la Ciudad de México, así como en las disposiciones jurídicas que emanen de todas las anteriores. Los valores de la UMA y el SMGV podrán ir divergiendo en años posteriores </w:t>
            </w:r>
            <w:r w:rsidRPr="00DB6C40">
              <w:rPr>
                <w:rFonts w:ascii="Arial" w:hAnsi="Arial" w:cs="Arial"/>
                <w:bCs/>
                <w:sz w:val="18"/>
                <w:szCs w:val="18"/>
                <w:lang w:val="es-ES"/>
              </w:rPr>
              <w:lastRenderedPageBreak/>
              <w:t xml:space="preserve">conforme decisiones de las autoridades competentes. </w:t>
            </w:r>
          </w:p>
          <w:p w14:paraId="69B7B12E" w14:textId="75F2BA83" w:rsidR="00DB6C40" w:rsidRPr="00CF7E9F" w:rsidRDefault="00DB6C40" w:rsidP="00A9692B">
            <w:pPr>
              <w:spacing w:before="120" w:after="120" w:line="276" w:lineRule="auto"/>
              <w:jc w:val="both"/>
              <w:rPr>
                <w:rFonts w:ascii="Arial" w:hAnsi="Arial" w:cs="Arial"/>
                <w:bCs/>
                <w:sz w:val="18"/>
                <w:szCs w:val="18"/>
                <w:lang w:val="es-ES"/>
              </w:rPr>
            </w:pPr>
            <w:r w:rsidRPr="00DB6C40">
              <w:rPr>
                <w:rFonts w:ascii="Arial" w:hAnsi="Arial" w:cs="Arial"/>
                <w:bCs/>
                <w:sz w:val="18"/>
                <w:szCs w:val="18"/>
                <w:lang w:val="es-ES"/>
              </w:rPr>
              <w:t>Los agentes económicos tienen la obligación de notificar, antes de su realización, las concentraciones que actualicen los umbrales establecidos en cualquiera de esas fracciones, para lo cual el IFT utilizará la información de los estados financieros aportados por los notificantes y la demás información disponible sobre la transacción.</w:t>
            </w:r>
          </w:p>
        </w:tc>
        <w:tc>
          <w:tcPr>
            <w:tcW w:w="2977" w:type="dxa"/>
            <w:shd w:val="clear" w:color="auto" w:fill="FFFFFF" w:themeFill="background1"/>
            <w:vAlign w:val="center"/>
          </w:tcPr>
          <w:p w14:paraId="0DF8AB6E" w14:textId="2EB1FCBC" w:rsidR="00DB6C40" w:rsidRPr="00CF7E9F" w:rsidRDefault="00DB6C40" w:rsidP="00A9692B">
            <w:pPr>
              <w:spacing w:before="120" w:after="120" w:line="276" w:lineRule="auto"/>
              <w:jc w:val="both"/>
              <w:rPr>
                <w:rFonts w:ascii="Arial" w:hAnsi="Arial" w:cs="Arial"/>
                <w:sz w:val="18"/>
                <w:szCs w:val="18"/>
              </w:rPr>
            </w:pPr>
            <w:r w:rsidRPr="00AE7DEA">
              <w:rPr>
                <w:rFonts w:ascii="Arial" w:eastAsia="Times New Roman" w:hAnsi="Arial" w:cs="Arial"/>
                <w:color w:val="000000"/>
                <w:sz w:val="18"/>
                <w:szCs w:val="18"/>
                <w:lang w:eastAsia="es-MX"/>
              </w:rPr>
              <w:lastRenderedPageBreak/>
              <w:t xml:space="preserve">Se considera que la Guía no aclara si para el cálculo de los umbrales establecidos en el artículo 86 de la LFCE se deberá considerar cualquier concepto de impuestos, como el Impuesto al Valor Agregado. En este sentido, se sugiere incorporar una mención al respecto con la finalidad de dar certeza a los Agentes Económicos. </w:t>
            </w:r>
          </w:p>
        </w:tc>
        <w:tc>
          <w:tcPr>
            <w:tcW w:w="3402" w:type="dxa"/>
            <w:shd w:val="clear" w:color="auto" w:fill="FFFFFF" w:themeFill="background1"/>
          </w:tcPr>
          <w:p w14:paraId="79781AC1" w14:textId="5A663DB4" w:rsidR="00DB6C40" w:rsidRDefault="00DB6C40" w:rsidP="00A9692B">
            <w:pPr>
              <w:spacing w:before="120" w:after="120" w:line="276" w:lineRule="auto"/>
              <w:jc w:val="both"/>
              <w:rPr>
                <w:rFonts w:ascii="Arial" w:hAnsi="Arial" w:cs="Arial"/>
                <w:sz w:val="18"/>
                <w:szCs w:val="18"/>
              </w:rPr>
            </w:pPr>
            <w:r w:rsidRPr="006378D1">
              <w:rPr>
                <w:rFonts w:ascii="Arial" w:hAnsi="Arial" w:cs="Arial"/>
                <w:sz w:val="18"/>
                <w:szCs w:val="18"/>
              </w:rPr>
              <w:t xml:space="preserve">No se considera procedente el comentario, debido a que </w:t>
            </w:r>
            <w:r w:rsidR="008F49AF">
              <w:rPr>
                <w:rFonts w:ascii="Arial" w:hAnsi="Arial" w:cs="Arial"/>
                <w:sz w:val="18"/>
                <w:szCs w:val="18"/>
              </w:rPr>
              <w:t xml:space="preserve">los impuestos no forman parte de los </w:t>
            </w:r>
            <w:r w:rsidR="008F49AF" w:rsidRPr="008F49AF">
              <w:rPr>
                <w:rFonts w:ascii="Arial" w:hAnsi="Arial" w:cs="Arial"/>
                <w:sz w:val="18"/>
                <w:szCs w:val="18"/>
              </w:rPr>
              <w:t>acto</w:t>
            </w:r>
            <w:r w:rsidR="008F49AF">
              <w:rPr>
                <w:rFonts w:ascii="Arial" w:hAnsi="Arial" w:cs="Arial"/>
                <w:sz w:val="18"/>
                <w:szCs w:val="18"/>
              </w:rPr>
              <w:t>s</w:t>
            </w:r>
            <w:r w:rsidR="008F49AF" w:rsidRPr="008F49AF">
              <w:rPr>
                <w:rFonts w:ascii="Arial" w:hAnsi="Arial" w:cs="Arial"/>
                <w:sz w:val="18"/>
                <w:szCs w:val="18"/>
              </w:rPr>
              <w:t xml:space="preserve"> que d</w:t>
            </w:r>
            <w:r w:rsidR="008F49AF">
              <w:rPr>
                <w:rFonts w:ascii="Arial" w:hAnsi="Arial" w:cs="Arial"/>
                <w:sz w:val="18"/>
                <w:szCs w:val="18"/>
              </w:rPr>
              <w:t>a</w:t>
            </w:r>
            <w:r w:rsidR="008F49AF" w:rsidRPr="008F49AF">
              <w:rPr>
                <w:rFonts w:ascii="Arial" w:hAnsi="Arial" w:cs="Arial"/>
                <w:sz w:val="18"/>
                <w:szCs w:val="18"/>
              </w:rPr>
              <w:t>n origen</w:t>
            </w:r>
            <w:r w:rsidR="008F49AF">
              <w:rPr>
                <w:rFonts w:ascii="Arial" w:hAnsi="Arial" w:cs="Arial"/>
                <w:sz w:val="18"/>
                <w:szCs w:val="18"/>
              </w:rPr>
              <w:t xml:space="preserve"> a las concentraciones</w:t>
            </w:r>
            <w:r w:rsidRPr="006378D1">
              <w:rPr>
                <w:rFonts w:ascii="Arial" w:hAnsi="Arial" w:cs="Arial"/>
                <w:sz w:val="18"/>
                <w:szCs w:val="18"/>
              </w:rPr>
              <w:t>.</w:t>
            </w:r>
            <w:r w:rsidR="008F49AF">
              <w:rPr>
                <w:rFonts w:ascii="Arial" w:hAnsi="Arial" w:cs="Arial"/>
                <w:sz w:val="18"/>
                <w:szCs w:val="18"/>
              </w:rPr>
              <w:t xml:space="preserve"> Los impuestos se determinan a posteriori como una obligación no entre los agentes económicos involucrados sino de cada uno de los agentes involucrados antes las autoridades gubernamentales hacendarias.</w:t>
            </w:r>
          </w:p>
          <w:p w14:paraId="70BB477D" w14:textId="721D41DB" w:rsidR="00DB6C40" w:rsidRPr="00CF7E9F" w:rsidRDefault="00DB6C40" w:rsidP="00A9692B">
            <w:pPr>
              <w:spacing w:before="120" w:after="120" w:line="276" w:lineRule="auto"/>
              <w:jc w:val="both"/>
              <w:rPr>
                <w:rFonts w:ascii="Arial" w:hAnsi="Arial" w:cs="Arial"/>
                <w:sz w:val="18"/>
                <w:szCs w:val="18"/>
              </w:rPr>
            </w:pPr>
          </w:p>
        </w:tc>
      </w:tr>
      <w:tr w:rsidR="00DB6C40" w:rsidRPr="00CF7E9F" w14:paraId="510C3247" w14:textId="77777777" w:rsidTr="00B11236">
        <w:trPr>
          <w:jc w:val="center"/>
        </w:trPr>
        <w:tc>
          <w:tcPr>
            <w:tcW w:w="2825" w:type="dxa"/>
            <w:vMerge/>
            <w:shd w:val="clear" w:color="auto" w:fill="FFFFFF" w:themeFill="background1"/>
          </w:tcPr>
          <w:p w14:paraId="47F4E0A2" w14:textId="77777777" w:rsidR="00DB6C40" w:rsidRPr="00CF7E9F" w:rsidRDefault="00DB6C40" w:rsidP="00A9692B">
            <w:pPr>
              <w:spacing w:before="120" w:after="120" w:line="276" w:lineRule="auto"/>
              <w:jc w:val="both"/>
              <w:rPr>
                <w:rFonts w:ascii="Arial" w:hAnsi="Arial" w:cs="Arial"/>
                <w:bCs/>
                <w:sz w:val="18"/>
                <w:szCs w:val="18"/>
                <w:lang w:val="es-ES"/>
              </w:rPr>
            </w:pPr>
          </w:p>
        </w:tc>
        <w:tc>
          <w:tcPr>
            <w:tcW w:w="2977" w:type="dxa"/>
            <w:shd w:val="clear" w:color="auto" w:fill="FFFFFF" w:themeFill="background1"/>
          </w:tcPr>
          <w:p w14:paraId="4BAF29EA" w14:textId="77777777" w:rsidR="00DB6C40" w:rsidRPr="00C65B32" w:rsidRDefault="00DB6C40" w:rsidP="00A9692B">
            <w:pPr>
              <w:spacing w:before="120" w:after="120" w:line="276" w:lineRule="auto"/>
              <w:jc w:val="both"/>
              <w:rPr>
                <w:rFonts w:ascii="Arial" w:hAnsi="Arial" w:cs="Arial"/>
                <w:sz w:val="18"/>
                <w:szCs w:val="18"/>
              </w:rPr>
            </w:pPr>
            <w:r w:rsidRPr="00C65B32">
              <w:rPr>
                <w:rFonts w:ascii="Arial" w:hAnsi="Arial" w:cs="Arial"/>
                <w:sz w:val="18"/>
                <w:szCs w:val="18"/>
              </w:rPr>
              <w:t>Respetosamente se sugiere establecer que estos criterios se presentan con el fin de esclarecer las dudas que pudieran llegar a surgir respecto del cálculo de operaciones internacionales en México y que de ningún modo, los mencionados criterios tendrán que ser aplicados para realizar un cálculo distinto de aquel que sea claro y que pudiere llevar a obtener un resultado más alto respecto del monto de las operaciones.</w:t>
            </w:r>
          </w:p>
          <w:p w14:paraId="207A5C98" w14:textId="77777777" w:rsidR="00DB6C40" w:rsidRDefault="00DB6C40" w:rsidP="00A9692B">
            <w:pPr>
              <w:spacing w:before="120" w:after="120" w:line="276" w:lineRule="auto"/>
              <w:jc w:val="both"/>
              <w:rPr>
                <w:rFonts w:ascii="Arial" w:hAnsi="Arial" w:cs="Arial"/>
                <w:sz w:val="18"/>
                <w:szCs w:val="18"/>
              </w:rPr>
            </w:pPr>
            <w:r w:rsidRPr="00C65B32">
              <w:rPr>
                <w:rFonts w:ascii="Arial" w:hAnsi="Arial" w:cs="Arial"/>
                <w:sz w:val="18"/>
                <w:szCs w:val="18"/>
              </w:rPr>
              <w:t>Por su parte, el artículo 16 de la Constitución Política de los Estados Unidos Mexicanos (Constitución o CPEM), se advierte una definición clara del contenido del derecho fundamental a la seguridad jurídica, el cual consiste en que los particulares tengan certeza sobre su situación ante las leyes, posesiones o sus demás derechos, en cuya vía de respeto la autoridad debe sujetar sus actuaciones.</w:t>
            </w:r>
          </w:p>
          <w:p w14:paraId="185A7202" w14:textId="113EFCBA" w:rsidR="00B338C0" w:rsidRPr="00CF7E9F" w:rsidRDefault="00B338C0" w:rsidP="00A9692B">
            <w:pPr>
              <w:spacing w:before="120" w:after="120" w:line="276" w:lineRule="auto"/>
              <w:jc w:val="both"/>
              <w:rPr>
                <w:rFonts w:ascii="Arial" w:hAnsi="Arial" w:cs="Arial"/>
                <w:sz w:val="18"/>
                <w:szCs w:val="18"/>
              </w:rPr>
            </w:pPr>
            <w:r w:rsidRPr="005C029D">
              <w:rPr>
                <w:rFonts w:ascii="Arial" w:eastAsia="Times New Roman" w:hAnsi="Arial" w:cs="Arial"/>
                <w:color w:val="000000"/>
                <w:sz w:val="18"/>
                <w:szCs w:val="18"/>
                <w:lang w:eastAsia="es-MX"/>
              </w:rPr>
              <w:t xml:space="preserve">No es claro si se presenta una explicación del método que deberán de usar los Agentes Económicos para calcular el importe de las operación en los </w:t>
            </w:r>
            <w:r w:rsidRPr="005C029D">
              <w:rPr>
                <w:rFonts w:ascii="Arial" w:eastAsia="Times New Roman" w:hAnsi="Arial" w:cs="Arial"/>
                <w:color w:val="000000"/>
                <w:sz w:val="18"/>
                <w:szCs w:val="18"/>
                <w:lang w:eastAsia="es-MX"/>
              </w:rPr>
              <w:lastRenderedPageBreak/>
              <w:t>casos de concentraciones internacionales en el que el valor para México; o si bien, también se plantea un método para que se calcule nuevamente, y con los elementos establecidos en la presente sección, el monto de una operación internacional que no actualice ninguno de los umbrales establecidos en el artículo 86 de la Ley Federal de Competencia Económica (“LFCE”) con la finalidad de verificar si conforme a estos criterios, pudiere obtenerse un resultado que en efecto, sí actualizara el supuesto establecido en la fracción I del artículo 86 de la LFCE.</w:t>
            </w:r>
          </w:p>
        </w:tc>
        <w:tc>
          <w:tcPr>
            <w:tcW w:w="3402" w:type="dxa"/>
            <w:shd w:val="clear" w:color="auto" w:fill="FFFFFF" w:themeFill="background1"/>
          </w:tcPr>
          <w:p w14:paraId="4B9752F3" w14:textId="1661CCE2" w:rsidR="00DB6C40" w:rsidRPr="006378D1" w:rsidRDefault="00DB6C40" w:rsidP="00A9692B">
            <w:pPr>
              <w:spacing w:before="120" w:after="120" w:line="276" w:lineRule="auto"/>
              <w:jc w:val="both"/>
              <w:rPr>
                <w:rFonts w:ascii="Arial" w:hAnsi="Arial" w:cs="Arial"/>
                <w:sz w:val="18"/>
                <w:szCs w:val="18"/>
              </w:rPr>
            </w:pPr>
            <w:r w:rsidRPr="006378D1">
              <w:rPr>
                <w:rFonts w:ascii="Arial" w:hAnsi="Arial" w:cs="Arial"/>
                <w:sz w:val="18"/>
                <w:szCs w:val="18"/>
              </w:rPr>
              <w:lastRenderedPageBreak/>
              <w:t xml:space="preserve">Se precisa que el </w:t>
            </w:r>
            <w:r w:rsidR="00B65918">
              <w:rPr>
                <w:rFonts w:ascii="Arial" w:hAnsi="Arial" w:cs="Arial"/>
                <w:sz w:val="18"/>
                <w:szCs w:val="18"/>
              </w:rPr>
              <w:t xml:space="preserve">Anteproyecto ya señala que el </w:t>
            </w:r>
            <w:r w:rsidRPr="006378D1">
              <w:rPr>
                <w:rFonts w:ascii="Arial" w:hAnsi="Arial" w:cs="Arial"/>
                <w:sz w:val="18"/>
                <w:szCs w:val="18"/>
              </w:rPr>
              <w:t>objetivo de la guía es orientar al público en general respecto de los temas abordados</w:t>
            </w:r>
            <w:r w:rsidR="00B65918">
              <w:rPr>
                <w:rFonts w:ascii="Arial" w:hAnsi="Arial" w:cs="Arial"/>
                <w:sz w:val="18"/>
                <w:szCs w:val="18"/>
              </w:rPr>
              <w:t xml:space="preserve">, y </w:t>
            </w:r>
            <w:r w:rsidR="00B65918" w:rsidRPr="005B330D">
              <w:rPr>
                <w:rFonts w:ascii="Arial" w:hAnsi="Arial" w:cs="Arial"/>
                <w:sz w:val="18"/>
                <w:szCs w:val="18"/>
              </w:rPr>
              <w:t>no prejuzgan ni son extensivos a otros procedimientos previstos en la LFCE y la LFTR. Tampoco son vinculantes para el IFT, que ejercerá sus facultades de análisis y decisión en cada asunto</w:t>
            </w:r>
            <w:r w:rsidR="00B65918">
              <w:rPr>
                <w:rFonts w:ascii="Arial" w:hAnsi="Arial" w:cs="Arial"/>
                <w:sz w:val="18"/>
                <w:szCs w:val="18"/>
              </w:rPr>
              <w:t xml:space="preserve">. </w:t>
            </w:r>
          </w:p>
          <w:p w14:paraId="71BF4071" w14:textId="10D2D8B4" w:rsidR="00DB6C40" w:rsidRPr="006B64D9" w:rsidRDefault="00DB6C40" w:rsidP="005B330D">
            <w:pPr>
              <w:spacing w:before="120" w:after="120" w:line="276" w:lineRule="auto"/>
              <w:jc w:val="both"/>
              <w:rPr>
                <w:rFonts w:ascii="Arial" w:hAnsi="Arial" w:cs="Arial"/>
                <w:sz w:val="18"/>
                <w:szCs w:val="18"/>
              </w:rPr>
            </w:pPr>
            <w:r w:rsidRPr="009914C6">
              <w:rPr>
                <w:rFonts w:ascii="Arial" w:hAnsi="Arial" w:cs="Arial"/>
                <w:sz w:val="18"/>
                <w:szCs w:val="18"/>
              </w:rPr>
              <w:t xml:space="preserve">Por otra parte, con relación al cálculo del </w:t>
            </w:r>
            <w:r w:rsidR="004A27EA" w:rsidRPr="005B330D">
              <w:rPr>
                <w:rFonts w:ascii="Arial" w:hAnsi="Arial" w:cs="Arial"/>
                <w:sz w:val="18"/>
                <w:szCs w:val="18"/>
              </w:rPr>
              <w:t>monto de la operación y los activos que se utilizan en México</w:t>
            </w:r>
            <w:r w:rsidR="009914C6">
              <w:rPr>
                <w:rFonts w:ascii="Arial" w:hAnsi="Arial" w:cs="Arial"/>
                <w:sz w:val="18"/>
                <w:szCs w:val="18"/>
              </w:rPr>
              <w:t xml:space="preserve"> en concentraciones internacionales con efectos en México</w:t>
            </w:r>
            <w:r w:rsidR="004A27EA" w:rsidRPr="005B330D">
              <w:rPr>
                <w:rFonts w:ascii="Arial" w:hAnsi="Arial" w:cs="Arial"/>
                <w:sz w:val="18"/>
                <w:szCs w:val="18"/>
              </w:rPr>
              <w:t xml:space="preserve">, </w:t>
            </w:r>
            <w:r w:rsidR="00B540A5" w:rsidRPr="005B330D">
              <w:rPr>
                <w:rFonts w:ascii="Arial" w:hAnsi="Arial" w:cs="Arial"/>
                <w:sz w:val="18"/>
                <w:szCs w:val="18"/>
              </w:rPr>
              <w:t>se</w:t>
            </w:r>
            <w:r w:rsidR="004A27EA" w:rsidRPr="005B330D">
              <w:rPr>
                <w:rFonts w:ascii="Arial" w:hAnsi="Arial" w:cs="Arial"/>
                <w:sz w:val="18"/>
                <w:szCs w:val="18"/>
              </w:rPr>
              <w:t xml:space="preserve"> ha</w:t>
            </w:r>
            <w:r w:rsidR="00B540A5" w:rsidRPr="005B330D">
              <w:rPr>
                <w:rFonts w:ascii="Arial" w:hAnsi="Arial" w:cs="Arial"/>
                <w:sz w:val="18"/>
                <w:szCs w:val="18"/>
              </w:rPr>
              <w:t>n</w:t>
            </w:r>
            <w:r w:rsidR="004A27EA" w:rsidRPr="005B330D">
              <w:rPr>
                <w:rFonts w:ascii="Arial" w:hAnsi="Arial" w:cs="Arial"/>
                <w:sz w:val="18"/>
                <w:szCs w:val="18"/>
              </w:rPr>
              <w:t xml:space="preserve"> identificado operaciones que involucran activos comunes que podrían usarse a una escala </w:t>
            </w:r>
            <w:r w:rsidR="009914C6" w:rsidRPr="005B330D">
              <w:rPr>
                <w:rFonts w:ascii="Arial" w:hAnsi="Arial" w:cs="Arial"/>
                <w:sz w:val="18"/>
                <w:szCs w:val="18"/>
              </w:rPr>
              <w:t>internacional incluyendo</w:t>
            </w:r>
            <w:r w:rsidR="004A27EA" w:rsidRPr="005B330D">
              <w:rPr>
                <w:rFonts w:ascii="Arial" w:hAnsi="Arial" w:cs="Arial"/>
                <w:sz w:val="18"/>
                <w:szCs w:val="18"/>
              </w:rPr>
              <w:t xml:space="preserve"> México. En ese sentido, se hace necesario </w:t>
            </w:r>
            <w:r w:rsidR="009914C6" w:rsidRPr="005B330D">
              <w:rPr>
                <w:rFonts w:ascii="Arial" w:hAnsi="Arial" w:cs="Arial"/>
                <w:sz w:val="18"/>
                <w:szCs w:val="18"/>
              </w:rPr>
              <w:t>explicar</w:t>
            </w:r>
            <w:r w:rsidR="009914C6">
              <w:rPr>
                <w:rFonts w:ascii="Arial" w:hAnsi="Arial" w:cs="Arial"/>
                <w:sz w:val="18"/>
                <w:szCs w:val="18"/>
              </w:rPr>
              <w:t>,</w:t>
            </w:r>
            <w:r w:rsidR="009914C6" w:rsidRPr="005B330D">
              <w:rPr>
                <w:rFonts w:ascii="Arial" w:hAnsi="Arial" w:cs="Arial"/>
                <w:sz w:val="18"/>
                <w:szCs w:val="18"/>
              </w:rPr>
              <w:t xml:space="preserve"> como se hizo en el Anteproyecto: i) que para los casos de concentraciones que sólo involucran sociedades mexicanas y activos ubicados en territorio nacional, el valor de la transacción se integra, en general, en los contratos o convenios firmados por los agentes económicos involucrados, así como con la información proveniente de sus estados financieros; ii) en </w:t>
            </w:r>
            <w:r w:rsidR="002D25BF">
              <w:rPr>
                <w:rFonts w:ascii="Arial" w:hAnsi="Arial" w:cs="Arial"/>
                <w:sz w:val="18"/>
                <w:szCs w:val="18"/>
              </w:rPr>
              <w:t xml:space="preserve">el </w:t>
            </w:r>
            <w:r w:rsidR="009914C6" w:rsidRPr="005B330D">
              <w:rPr>
                <w:rFonts w:ascii="Arial" w:hAnsi="Arial" w:cs="Arial"/>
                <w:sz w:val="18"/>
                <w:szCs w:val="18"/>
              </w:rPr>
              <w:t>caso de operaci</w:t>
            </w:r>
            <w:r w:rsidR="002D25BF">
              <w:rPr>
                <w:rFonts w:ascii="Arial" w:hAnsi="Arial" w:cs="Arial"/>
                <w:sz w:val="18"/>
                <w:szCs w:val="18"/>
              </w:rPr>
              <w:t xml:space="preserve">ones internacionales con efectos en México, una correcta valoración del artículo 86 de la LFCE requiere </w:t>
            </w:r>
            <w:r w:rsidR="002D25BF" w:rsidRPr="00DF5678">
              <w:rPr>
                <w:rFonts w:ascii="Arial" w:hAnsi="Arial" w:cs="Arial"/>
                <w:sz w:val="18"/>
                <w:szCs w:val="18"/>
              </w:rPr>
              <w:t xml:space="preserve">estimar </w:t>
            </w:r>
            <w:r w:rsidR="002D25BF" w:rsidRPr="00DF5678">
              <w:rPr>
                <w:rFonts w:ascii="Arial" w:hAnsi="Arial" w:cs="Arial"/>
                <w:sz w:val="18"/>
                <w:szCs w:val="18"/>
              </w:rPr>
              <w:lastRenderedPageBreak/>
              <w:t xml:space="preserve">el </w:t>
            </w:r>
            <w:r w:rsidR="00E05C68">
              <w:rPr>
                <w:rFonts w:ascii="Arial" w:hAnsi="Arial" w:cs="Arial"/>
                <w:sz w:val="18"/>
                <w:szCs w:val="18"/>
              </w:rPr>
              <w:t xml:space="preserve">importe o </w:t>
            </w:r>
            <w:r w:rsidR="002D25BF" w:rsidRPr="00DF5678">
              <w:rPr>
                <w:rFonts w:ascii="Arial" w:hAnsi="Arial" w:cs="Arial"/>
                <w:sz w:val="18"/>
                <w:szCs w:val="18"/>
              </w:rPr>
              <w:t xml:space="preserve">monto de la operación en México y/o el valor </w:t>
            </w:r>
            <w:r w:rsidR="00E05C68">
              <w:rPr>
                <w:rFonts w:ascii="Arial" w:hAnsi="Arial" w:cs="Arial"/>
                <w:sz w:val="18"/>
                <w:szCs w:val="18"/>
              </w:rPr>
              <w:t>de mercado</w:t>
            </w:r>
            <w:r w:rsidR="002D25BF" w:rsidRPr="00DF5678">
              <w:rPr>
                <w:rFonts w:ascii="Arial" w:hAnsi="Arial" w:cs="Arial"/>
                <w:sz w:val="18"/>
                <w:szCs w:val="18"/>
              </w:rPr>
              <w:t xml:space="preserve"> que tendrían los activos utilizados en </w:t>
            </w:r>
            <w:r w:rsidR="00E05C68">
              <w:rPr>
                <w:rFonts w:ascii="Arial" w:hAnsi="Arial" w:cs="Arial"/>
                <w:sz w:val="18"/>
                <w:szCs w:val="18"/>
              </w:rPr>
              <w:t>territorio nacional, y iii) para operaciones</w:t>
            </w:r>
            <w:r w:rsidR="009914C6" w:rsidRPr="005B330D">
              <w:rPr>
                <w:rFonts w:ascii="Arial" w:hAnsi="Arial" w:cs="Arial"/>
                <w:sz w:val="18"/>
                <w:szCs w:val="18"/>
              </w:rPr>
              <w:t xml:space="preserve"> internacional</w:t>
            </w:r>
            <w:r w:rsidR="00E05C68">
              <w:rPr>
                <w:rFonts w:ascii="Arial" w:hAnsi="Arial" w:cs="Arial"/>
                <w:sz w:val="18"/>
                <w:szCs w:val="18"/>
              </w:rPr>
              <w:t>es</w:t>
            </w:r>
            <w:r w:rsidR="009914C6" w:rsidRPr="005B330D">
              <w:rPr>
                <w:rFonts w:ascii="Arial" w:hAnsi="Arial" w:cs="Arial"/>
                <w:sz w:val="18"/>
                <w:szCs w:val="18"/>
              </w:rPr>
              <w:t xml:space="preserve"> </w:t>
            </w:r>
            <w:r w:rsidR="00E05C68">
              <w:rPr>
                <w:rFonts w:ascii="Arial" w:hAnsi="Arial" w:cs="Arial"/>
                <w:sz w:val="18"/>
                <w:szCs w:val="18"/>
              </w:rPr>
              <w:t xml:space="preserve">que </w:t>
            </w:r>
            <w:r w:rsidR="009914C6" w:rsidRPr="005B330D">
              <w:rPr>
                <w:rFonts w:ascii="Arial" w:hAnsi="Arial" w:cs="Arial"/>
                <w:sz w:val="18"/>
                <w:szCs w:val="18"/>
              </w:rPr>
              <w:t>actualice</w:t>
            </w:r>
            <w:r w:rsidR="00E05C68">
              <w:rPr>
                <w:rFonts w:ascii="Arial" w:hAnsi="Arial" w:cs="Arial"/>
                <w:sz w:val="18"/>
                <w:szCs w:val="18"/>
              </w:rPr>
              <w:t>n</w:t>
            </w:r>
            <w:r w:rsidR="009914C6" w:rsidRPr="005B330D">
              <w:rPr>
                <w:rFonts w:ascii="Arial" w:hAnsi="Arial" w:cs="Arial"/>
                <w:sz w:val="18"/>
                <w:szCs w:val="18"/>
              </w:rPr>
              <w:t xml:space="preserve"> cualquiera de los umbrales </w:t>
            </w:r>
            <w:r w:rsidR="004A27EA" w:rsidRPr="005B330D">
              <w:rPr>
                <w:rFonts w:ascii="Arial" w:hAnsi="Arial" w:cs="Arial"/>
                <w:sz w:val="18"/>
                <w:szCs w:val="18"/>
              </w:rPr>
              <w:t xml:space="preserve"> </w:t>
            </w:r>
            <w:r w:rsidR="009914C6" w:rsidRPr="005B330D">
              <w:rPr>
                <w:rFonts w:ascii="Arial" w:hAnsi="Arial" w:cs="Arial"/>
                <w:sz w:val="18"/>
                <w:szCs w:val="18"/>
              </w:rPr>
              <w:t xml:space="preserve">a que se refiere el artículo 86 de la LFCE utilizando los indicadores en México comúnmente utilizados por los agentes económicos (i.e. estados financieros de sociedades mexicanas), entonces no será necesario estimar el monto de la operación en México o el valor </w:t>
            </w:r>
            <w:r w:rsidR="00E05C68">
              <w:rPr>
                <w:rFonts w:ascii="Arial" w:hAnsi="Arial" w:cs="Arial"/>
                <w:sz w:val="18"/>
                <w:szCs w:val="18"/>
              </w:rPr>
              <w:t>de mercado</w:t>
            </w:r>
            <w:r w:rsidR="009914C6" w:rsidRPr="005B330D">
              <w:rPr>
                <w:rFonts w:ascii="Arial" w:hAnsi="Arial" w:cs="Arial"/>
                <w:sz w:val="18"/>
                <w:szCs w:val="18"/>
              </w:rPr>
              <w:t xml:space="preserve"> que tendrían los activos utilizados en México</w:t>
            </w:r>
            <w:r w:rsidR="00B540A5" w:rsidRPr="005B330D">
              <w:rPr>
                <w:rFonts w:ascii="Arial" w:hAnsi="Arial" w:cs="Arial"/>
                <w:sz w:val="18"/>
                <w:szCs w:val="18"/>
              </w:rPr>
              <w:t xml:space="preserve">. </w:t>
            </w:r>
          </w:p>
          <w:p w14:paraId="03A2D994" w14:textId="3FE4D669" w:rsidR="006E6B3E" w:rsidRDefault="006E6B3E" w:rsidP="005B330D">
            <w:pPr>
              <w:spacing w:before="120" w:after="120" w:line="276" w:lineRule="auto"/>
              <w:jc w:val="both"/>
              <w:rPr>
                <w:rFonts w:ascii="Arial" w:eastAsia="Times New Roman" w:hAnsi="Arial" w:cs="Arial"/>
                <w:color w:val="000000"/>
                <w:sz w:val="18"/>
                <w:szCs w:val="18"/>
                <w:lang w:eastAsia="es-MX"/>
              </w:rPr>
            </w:pPr>
            <w:r w:rsidRPr="005B330D">
              <w:rPr>
                <w:rFonts w:ascii="Arial" w:hAnsi="Arial" w:cs="Arial"/>
                <w:sz w:val="18"/>
                <w:szCs w:val="18"/>
              </w:rPr>
              <w:t>No obstante, con el objeto de evitar dudas se hará una modificación</w:t>
            </w:r>
            <w:r>
              <w:rPr>
                <w:rFonts w:ascii="Arial" w:eastAsia="Times New Roman" w:hAnsi="Arial" w:cs="Arial"/>
                <w:color w:val="000000"/>
                <w:sz w:val="18"/>
                <w:szCs w:val="18"/>
                <w:lang w:eastAsia="es-MX"/>
              </w:rPr>
              <w:t xml:space="preserve"> a parte del texto incluido </w:t>
            </w:r>
            <w:r w:rsidR="00E05C68">
              <w:rPr>
                <w:rFonts w:ascii="Arial" w:eastAsia="Times New Roman" w:hAnsi="Arial" w:cs="Arial"/>
                <w:color w:val="000000"/>
                <w:sz w:val="18"/>
                <w:szCs w:val="18"/>
                <w:lang w:eastAsia="es-MX"/>
              </w:rPr>
              <w:t xml:space="preserve">en el Anteproyecto </w:t>
            </w:r>
            <w:r>
              <w:rPr>
                <w:rFonts w:ascii="Arial" w:eastAsia="Times New Roman" w:hAnsi="Arial" w:cs="Arial"/>
                <w:color w:val="000000"/>
                <w:sz w:val="18"/>
                <w:szCs w:val="18"/>
                <w:lang w:eastAsia="es-MX"/>
              </w:rPr>
              <w:t xml:space="preserve">con el objeto de </w:t>
            </w:r>
            <w:r w:rsidR="00E05C68">
              <w:rPr>
                <w:rFonts w:ascii="Arial" w:eastAsia="Times New Roman" w:hAnsi="Arial" w:cs="Arial"/>
                <w:color w:val="000000"/>
                <w:sz w:val="18"/>
                <w:szCs w:val="18"/>
                <w:lang w:eastAsia="es-MX"/>
              </w:rPr>
              <w:t>dejar</w:t>
            </w:r>
            <w:r w:rsidR="00182479">
              <w:rPr>
                <w:rFonts w:ascii="Arial" w:eastAsia="Times New Roman" w:hAnsi="Arial" w:cs="Arial"/>
                <w:color w:val="000000"/>
                <w:sz w:val="18"/>
                <w:szCs w:val="18"/>
                <w:lang w:eastAsia="es-MX"/>
              </w:rPr>
              <w:t xml:space="preserve"> claro esos elementos</w:t>
            </w:r>
            <w:r>
              <w:rPr>
                <w:rFonts w:ascii="Arial" w:eastAsia="Times New Roman" w:hAnsi="Arial" w:cs="Arial"/>
                <w:color w:val="000000"/>
                <w:sz w:val="18"/>
                <w:szCs w:val="18"/>
                <w:lang w:eastAsia="es-MX"/>
              </w:rPr>
              <w:t>.</w:t>
            </w:r>
          </w:p>
          <w:tbl>
            <w:tblPr>
              <w:tblStyle w:val="Tablaconcuadrcula"/>
              <w:tblW w:w="0" w:type="auto"/>
              <w:jc w:val="center"/>
              <w:tblLayout w:type="fixed"/>
              <w:tblLook w:val="04A0" w:firstRow="1" w:lastRow="0" w:firstColumn="1" w:lastColumn="0" w:noHBand="0" w:noVBand="1"/>
            </w:tblPr>
            <w:tblGrid>
              <w:gridCol w:w="3176"/>
            </w:tblGrid>
            <w:tr w:rsidR="006E6B3E" w:rsidRPr="00E83771" w14:paraId="773B8026" w14:textId="77777777" w:rsidTr="00201BC2">
              <w:trPr>
                <w:trHeight w:val="311"/>
                <w:jc w:val="center"/>
              </w:trPr>
              <w:tc>
                <w:tcPr>
                  <w:tcW w:w="3176"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1EF6A598" w14:textId="77777777" w:rsidR="006E6B3E" w:rsidRPr="00E83771" w:rsidRDefault="006E6B3E" w:rsidP="00A9692B">
                  <w:pPr>
                    <w:spacing w:before="120" w:after="120" w:line="276" w:lineRule="auto"/>
                    <w:jc w:val="center"/>
                    <w:rPr>
                      <w:rFonts w:ascii="Arial" w:hAnsi="Arial" w:cs="Arial"/>
                      <w:sz w:val="18"/>
                      <w:szCs w:val="18"/>
                    </w:rPr>
                  </w:pPr>
                  <w:r w:rsidRPr="00E83771">
                    <w:rPr>
                      <w:rFonts w:ascii="Arial" w:hAnsi="Arial" w:cs="Arial"/>
                      <w:sz w:val="18"/>
                      <w:szCs w:val="18"/>
                    </w:rPr>
                    <w:t xml:space="preserve">Modificación al Proyecto </w:t>
                  </w:r>
                </w:p>
              </w:tc>
            </w:tr>
            <w:tr w:rsidR="006E6B3E" w:rsidRPr="00D97DCA" w14:paraId="7FCB0A74" w14:textId="77777777" w:rsidTr="00201BC2">
              <w:trPr>
                <w:jc w:val="center"/>
              </w:trPr>
              <w:tc>
                <w:tcPr>
                  <w:tcW w:w="3176" w:type="dxa"/>
                  <w:tcBorders>
                    <w:top w:val="single" w:sz="4" w:space="0" w:color="auto"/>
                    <w:left w:val="single" w:sz="4" w:space="0" w:color="auto"/>
                    <w:bottom w:val="single" w:sz="4" w:space="0" w:color="auto"/>
                    <w:right w:val="single" w:sz="4" w:space="0" w:color="auto"/>
                  </w:tcBorders>
                  <w:shd w:val="clear" w:color="auto" w:fill="FFFFFF" w:themeFill="background1"/>
                </w:tcPr>
                <w:p w14:paraId="48C07766" w14:textId="69360339" w:rsidR="0017370D" w:rsidRPr="00785E15" w:rsidRDefault="0017370D" w:rsidP="00A9692B">
                  <w:pPr>
                    <w:spacing w:before="120" w:after="120" w:line="276" w:lineRule="auto"/>
                    <w:jc w:val="both"/>
                    <w:rPr>
                      <w:rFonts w:ascii="Arial" w:hAnsi="Arial" w:cs="Arial"/>
                      <w:i/>
                      <w:sz w:val="18"/>
                      <w:szCs w:val="18"/>
                    </w:rPr>
                  </w:pPr>
                  <w:r w:rsidRPr="00785E15">
                    <w:rPr>
                      <w:rFonts w:ascii="Arial" w:hAnsi="Arial" w:cs="Arial"/>
                      <w:i/>
                      <w:sz w:val="18"/>
                      <w:szCs w:val="18"/>
                    </w:rPr>
                    <w:t xml:space="preserve">Para el caso de concentraciones internacionales con impacto en México, es común que los agentes económicos involucrados establezcan un valor global de la transacción por la adquisición de capital social y/o activos que se ubiquen en diversas partes del mundo, sin hacer una separación del monto de la operación por país. </w:t>
                  </w:r>
                  <w:r w:rsidRPr="00785E15">
                    <w:rPr>
                      <w:rFonts w:ascii="Arial" w:hAnsi="Arial" w:cs="Arial"/>
                      <w:b/>
                      <w:i/>
                      <w:sz w:val="18"/>
                      <w:szCs w:val="18"/>
                    </w:rPr>
                    <w:t>Sin embargo, una correcta valoración del artículo 86 de la LFCE requiere estimar el importe o monto de la operación en México y/o el valor de mercado que tendrían los activos utilizados en territorio nacional</w:t>
                  </w:r>
                  <w:r w:rsidRPr="00785E15">
                    <w:rPr>
                      <w:rFonts w:ascii="Arial" w:hAnsi="Arial" w:cs="Arial"/>
                      <w:i/>
                      <w:sz w:val="18"/>
                      <w:szCs w:val="18"/>
                    </w:rPr>
                    <w:t>.</w:t>
                  </w:r>
                </w:p>
                <w:p w14:paraId="5F37EEA5" w14:textId="1AB1573A" w:rsidR="006E6B3E" w:rsidRPr="00785E15" w:rsidRDefault="006E6B3E" w:rsidP="00A9692B">
                  <w:pPr>
                    <w:spacing w:before="120" w:after="120" w:line="276" w:lineRule="auto"/>
                    <w:jc w:val="both"/>
                    <w:rPr>
                      <w:rFonts w:ascii="Arial" w:hAnsi="Arial" w:cs="Arial"/>
                      <w:i/>
                      <w:sz w:val="18"/>
                      <w:szCs w:val="18"/>
                    </w:rPr>
                  </w:pPr>
                  <w:r w:rsidRPr="00785E15">
                    <w:rPr>
                      <w:rFonts w:ascii="Arial" w:hAnsi="Arial" w:cs="Arial"/>
                      <w:i/>
                      <w:sz w:val="18"/>
                      <w:szCs w:val="18"/>
                    </w:rPr>
                    <w:t xml:space="preserve">En este caso, </w:t>
                  </w:r>
                  <w:r w:rsidRPr="00785E15">
                    <w:rPr>
                      <w:rFonts w:ascii="Arial" w:hAnsi="Arial" w:cs="Arial"/>
                      <w:b/>
                      <w:i/>
                      <w:sz w:val="18"/>
                      <w:szCs w:val="18"/>
                    </w:rPr>
                    <w:t>en el cual se están evaluando operaciones de alcance internacional con efectos en México,</w:t>
                  </w:r>
                  <w:r w:rsidRPr="00785E15">
                    <w:rPr>
                      <w:rFonts w:ascii="Arial" w:hAnsi="Arial" w:cs="Arial"/>
                      <w:i/>
                      <w:sz w:val="18"/>
                      <w:szCs w:val="18"/>
                    </w:rPr>
                    <w:t xml:space="preserve"> y si ningún otro umbral del artículo 86 de la LFCE se actualiza para el caso de México</w:t>
                  </w:r>
                  <w:r w:rsidR="00860C6A" w:rsidRPr="00785E15">
                    <w:rPr>
                      <w:rFonts w:ascii="Arial" w:hAnsi="Arial" w:cs="Arial"/>
                      <w:i/>
                      <w:sz w:val="18"/>
                      <w:szCs w:val="18"/>
                    </w:rPr>
                    <w:t xml:space="preserve"> </w:t>
                  </w:r>
                  <w:r w:rsidR="00860C6A" w:rsidRPr="00785E15">
                    <w:rPr>
                      <w:rFonts w:ascii="Arial" w:hAnsi="Arial" w:cs="Arial"/>
                      <w:b/>
                      <w:i/>
                      <w:sz w:val="18"/>
                      <w:szCs w:val="18"/>
                    </w:rPr>
                    <w:t>(utilizando indicadores de capital social, ingresos, ventas, activos que se encuentran en estados financieros de subsidiarias o empresas relacionadas que operan en México)</w:t>
                  </w:r>
                  <w:r w:rsidR="00DF4B07" w:rsidRPr="00785E15">
                    <w:rPr>
                      <w:rFonts w:ascii="Arial" w:hAnsi="Arial" w:cs="Arial"/>
                      <w:i/>
                      <w:sz w:val="18"/>
                      <w:szCs w:val="18"/>
                    </w:rPr>
                    <w:t>,</w:t>
                  </w:r>
                  <w:r w:rsidRPr="00785E15">
                    <w:rPr>
                      <w:rFonts w:ascii="Arial" w:hAnsi="Arial" w:cs="Arial"/>
                      <w:i/>
                      <w:sz w:val="18"/>
                      <w:szCs w:val="18"/>
                    </w:rPr>
                    <w:t xml:space="preserve"> los agentes económicos </w:t>
                  </w:r>
                  <w:r w:rsidRPr="00785E15">
                    <w:rPr>
                      <w:rFonts w:ascii="Arial" w:hAnsi="Arial" w:cs="Arial"/>
                      <w:i/>
                      <w:sz w:val="18"/>
                      <w:szCs w:val="18"/>
                    </w:rPr>
                    <w:lastRenderedPageBreak/>
                    <w:t>involucrados, para calcular el importe de la transacción en el territorio nacional a que se refiere la fracción I del artículo 86 de la LFCE</w:t>
                  </w:r>
                  <w:r w:rsidR="00182479" w:rsidRPr="00785E15">
                    <w:rPr>
                      <w:rFonts w:ascii="Arial" w:hAnsi="Arial" w:cs="Arial"/>
                      <w:b/>
                      <w:i/>
                      <w:sz w:val="18"/>
                      <w:szCs w:val="18"/>
                    </w:rPr>
                    <w:t>,</w:t>
                  </w:r>
                  <w:r w:rsidR="009D5BCF" w:rsidRPr="00785E15">
                    <w:rPr>
                      <w:rFonts w:ascii="Arial" w:hAnsi="Arial" w:cs="Arial"/>
                      <w:b/>
                      <w:i/>
                      <w:sz w:val="18"/>
                      <w:szCs w:val="18"/>
                    </w:rPr>
                    <w:t xml:space="preserve"> </w:t>
                  </w:r>
                  <w:r w:rsidR="00182479" w:rsidRPr="00785E15">
                    <w:rPr>
                      <w:rFonts w:ascii="Arial" w:hAnsi="Arial" w:cs="Arial"/>
                      <w:b/>
                      <w:i/>
                      <w:sz w:val="18"/>
                      <w:szCs w:val="18"/>
                    </w:rPr>
                    <w:t xml:space="preserve">así como </w:t>
                  </w:r>
                  <w:r w:rsidR="009D5BCF" w:rsidRPr="00785E15">
                    <w:rPr>
                      <w:rFonts w:ascii="Arial" w:hAnsi="Arial" w:cs="Arial"/>
                      <w:b/>
                      <w:i/>
                      <w:sz w:val="18"/>
                      <w:szCs w:val="18"/>
                    </w:rPr>
                    <w:t xml:space="preserve">el valor </w:t>
                  </w:r>
                  <w:r w:rsidR="00182479" w:rsidRPr="00785E15">
                    <w:rPr>
                      <w:rFonts w:ascii="Arial" w:hAnsi="Arial" w:cs="Arial"/>
                      <w:b/>
                      <w:i/>
                      <w:sz w:val="18"/>
                      <w:szCs w:val="18"/>
                    </w:rPr>
                    <w:t>de mercado</w:t>
                  </w:r>
                  <w:r w:rsidR="009D5BCF" w:rsidRPr="00785E15">
                    <w:rPr>
                      <w:rFonts w:ascii="Arial" w:hAnsi="Arial" w:cs="Arial"/>
                      <w:b/>
                      <w:i/>
                      <w:sz w:val="18"/>
                      <w:szCs w:val="18"/>
                    </w:rPr>
                    <w:t xml:space="preserve"> de los activos</w:t>
                  </w:r>
                  <w:r w:rsidR="00182479" w:rsidRPr="00785E15">
                    <w:rPr>
                      <w:rFonts w:ascii="Arial" w:hAnsi="Arial" w:cs="Arial"/>
                      <w:b/>
                      <w:i/>
                      <w:sz w:val="18"/>
                      <w:szCs w:val="18"/>
                    </w:rPr>
                    <w:t>, tangibles e intangibles,</w:t>
                  </w:r>
                  <w:r w:rsidR="009D5BCF" w:rsidRPr="00785E15">
                    <w:rPr>
                      <w:rFonts w:ascii="Arial" w:hAnsi="Arial" w:cs="Arial"/>
                      <w:b/>
                      <w:i/>
                      <w:sz w:val="18"/>
                      <w:szCs w:val="18"/>
                    </w:rPr>
                    <w:t xml:space="preserve"> utilizados en México</w:t>
                  </w:r>
                  <w:r w:rsidRPr="00785E15">
                    <w:rPr>
                      <w:rFonts w:ascii="Arial" w:hAnsi="Arial" w:cs="Arial"/>
                      <w:i/>
                      <w:sz w:val="18"/>
                      <w:szCs w:val="18"/>
                    </w:rPr>
                    <w:t xml:space="preserve">, </w:t>
                  </w:r>
                  <w:r w:rsidR="006820BB" w:rsidRPr="00785E15">
                    <w:rPr>
                      <w:rFonts w:ascii="Arial" w:hAnsi="Arial" w:cs="Arial"/>
                      <w:i/>
                      <w:strike/>
                      <w:sz w:val="18"/>
                      <w:szCs w:val="18"/>
                    </w:rPr>
                    <w:t>deberán</w:t>
                  </w:r>
                  <w:r w:rsidR="006820BB" w:rsidRPr="00785E15">
                    <w:rPr>
                      <w:rFonts w:ascii="Arial" w:hAnsi="Arial" w:cs="Arial"/>
                      <w:i/>
                      <w:sz w:val="18"/>
                      <w:szCs w:val="18"/>
                    </w:rPr>
                    <w:t xml:space="preserve"> </w:t>
                  </w:r>
                  <w:r w:rsidR="00D72276" w:rsidRPr="00785E15">
                    <w:rPr>
                      <w:rFonts w:ascii="Arial" w:hAnsi="Arial" w:cs="Arial"/>
                      <w:b/>
                      <w:i/>
                      <w:sz w:val="18"/>
                      <w:szCs w:val="18"/>
                    </w:rPr>
                    <w:t>requerirán</w:t>
                  </w:r>
                  <w:r w:rsidR="00D72276" w:rsidRPr="00785E15">
                    <w:rPr>
                      <w:rFonts w:ascii="Arial" w:hAnsi="Arial" w:cs="Arial"/>
                      <w:i/>
                      <w:sz w:val="18"/>
                      <w:szCs w:val="18"/>
                    </w:rPr>
                    <w:t xml:space="preserve"> </w:t>
                  </w:r>
                  <w:r w:rsidR="006820BB" w:rsidRPr="00785E15">
                    <w:rPr>
                      <w:rFonts w:ascii="Arial" w:hAnsi="Arial" w:cs="Arial"/>
                      <w:i/>
                      <w:sz w:val="18"/>
                      <w:szCs w:val="18"/>
                    </w:rPr>
                    <w:t>calcular el valor transaccional de mercado correspondiente a la adquisición de capital social y/o activos, tangibles e intangibles, en el territorio mexicano,</w:t>
                  </w:r>
                  <w:r w:rsidR="00684FFC" w:rsidRPr="00785E15">
                    <w:rPr>
                      <w:rFonts w:ascii="Arial" w:hAnsi="Arial" w:cs="Arial"/>
                      <w:i/>
                      <w:sz w:val="18"/>
                      <w:szCs w:val="18"/>
                    </w:rPr>
                    <w:t xml:space="preserve"> (…) </w:t>
                  </w:r>
                </w:p>
              </w:tc>
            </w:tr>
          </w:tbl>
          <w:p w14:paraId="60D47152" w14:textId="2B5CEE2A" w:rsidR="00DB6C40" w:rsidRPr="00623F46" w:rsidRDefault="006E6B3E" w:rsidP="00A9692B">
            <w:pPr>
              <w:spacing w:before="120" w:after="120" w:line="276" w:lineRule="auto"/>
              <w:ind w:left="37"/>
              <w:jc w:val="both"/>
              <w:rPr>
                <w:rFonts w:ascii="Arial" w:hAnsi="Arial" w:cs="Arial"/>
                <w:sz w:val="17"/>
                <w:szCs w:val="17"/>
              </w:rPr>
            </w:pPr>
            <w:r w:rsidRPr="00A61488">
              <w:rPr>
                <w:rFonts w:ascii="Arial" w:hAnsi="Arial" w:cs="Arial"/>
                <w:sz w:val="18"/>
                <w:szCs w:val="18"/>
              </w:rPr>
              <w:lastRenderedPageBreak/>
              <w:t xml:space="preserve"> (Se resalta texto agregado)</w:t>
            </w:r>
          </w:p>
        </w:tc>
      </w:tr>
      <w:tr w:rsidR="00C65B32" w:rsidRPr="00CF7E9F" w14:paraId="4B402865" w14:textId="77777777" w:rsidTr="009B2105">
        <w:trPr>
          <w:jc w:val="center"/>
        </w:trPr>
        <w:tc>
          <w:tcPr>
            <w:tcW w:w="2825" w:type="dxa"/>
            <w:shd w:val="clear" w:color="auto" w:fill="FFFFFF" w:themeFill="background1"/>
          </w:tcPr>
          <w:p w14:paraId="657660A6" w14:textId="47B9DB04" w:rsidR="00C65B32" w:rsidRPr="00CF7E9F" w:rsidRDefault="001473C9" w:rsidP="00A9692B">
            <w:pPr>
              <w:spacing w:before="120" w:after="120" w:line="276" w:lineRule="auto"/>
              <w:jc w:val="both"/>
              <w:rPr>
                <w:rFonts w:ascii="Arial" w:hAnsi="Arial" w:cs="Arial"/>
                <w:bCs/>
                <w:sz w:val="18"/>
                <w:szCs w:val="18"/>
                <w:lang w:val="es-ES"/>
              </w:rPr>
            </w:pPr>
            <w:r w:rsidRPr="001473C9">
              <w:rPr>
                <w:rFonts w:ascii="Arial" w:hAnsi="Arial" w:cs="Arial"/>
                <w:bCs/>
                <w:sz w:val="18"/>
                <w:szCs w:val="18"/>
                <w:lang w:val="es-ES"/>
              </w:rPr>
              <w:lastRenderedPageBreak/>
              <w:t>Para el caso de concentraciones internacionales con impacto en México, es común que los agentes económicos involucrados establezcan un valor global de la transacción por la adquisición de capital social y/o activos que se ubiquen en diversas partes del mundo, sin hacer una separación del monto de la operación por país. En este caso, y si ningún otro umbral del artículo 86 de la LFCE se actualiza para el caso de México, los agentes económicos involucrados, para calcular el importe de la transacción en el territorio nacional a que se refiere la fracción I del artículo 86 de la LFCE, deberán calcular el valor transaccional de mercado correspondiente a la adquisición de capital social y/o activos, tangibles e intangibles, en el territorio mexicano, considerando negocios completos.</w:t>
            </w:r>
          </w:p>
        </w:tc>
        <w:tc>
          <w:tcPr>
            <w:tcW w:w="2977" w:type="dxa"/>
            <w:shd w:val="clear" w:color="auto" w:fill="FFFFFF" w:themeFill="background1"/>
            <w:vAlign w:val="center"/>
          </w:tcPr>
          <w:p w14:paraId="09669FFE" w14:textId="41717078" w:rsidR="00C65B32" w:rsidRPr="008E24C4" w:rsidRDefault="00C65B32" w:rsidP="00A9692B">
            <w:pPr>
              <w:spacing w:before="120" w:after="120" w:line="276" w:lineRule="auto"/>
              <w:jc w:val="both"/>
              <w:rPr>
                <w:rFonts w:ascii="Arial" w:hAnsi="Arial" w:cs="Arial"/>
                <w:sz w:val="18"/>
                <w:szCs w:val="18"/>
              </w:rPr>
            </w:pPr>
            <w:r w:rsidRPr="008E24C4">
              <w:rPr>
                <w:rFonts w:ascii="Arial" w:eastAsia="Times New Roman" w:hAnsi="Arial" w:cs="Arial"/>
                <w:color w:val="000000"/>
                <w:sz w:val="18"/>
                <w:szCs w:val="18"/>
                <w:lang w:eastAsia="es-MX"/>
              </w:rPr>
              <w:t>Es preciso aclarar que el término “negocios completos” no es un término que se encuentre definido en Ley o que pueda ser claramente definido. Suponiendo sin conceder que fuera posible establecer criterios vinculantes por medio de la presente Guía para la determinación y actualización de umbrales, y dado que el criterio “negocios completos” se utiliza como criterio para determinar el monto de una operación y por ende, la actualización o no de umbrales y, en su caso, la obligación de los Agentes Económicos de notificar una concentración, es imperativo que el Instituto sea completamente claro respecto de los términos que constituyan criterios para el mencionado cálculo del monto de una concentración en el territorio mexicano.</w:t>
            </w:r>
          </w:p>
        </w:tc>
        <w:tc>
          <w:tcPr>
            <w:tcW w:w="3402" w:type="dxa"/>
            <w:shd w:val="clear" w:color="auto" w:fill="FFFFFF" w:themeFill="background1"/>
          </w:tcPr>
          <w:p w14:paraId="61CA61F1" w14:textId="4F843922" w:rsidR="006378D1" w:rsidRDefault="006378D1" w:rsidP="00A9692B">
            <w:pPr>
              <w:spacing w:before="120" w:after="120" w:line="276" w:lineRule="auto"/>
              <w:jc w:val="both"/>
              <w:rPr>
                <w:rFonts w:ascii="Arial" w:hAnsi="Arial" w:cs="Arial"/>
                <w:sz w:val="18"/>
                <w:szCs w:val="18"/>
              </w:rPr>
            </w:pPr>
            <w:r w:rsidRPr="006378D1">
              <w:rPr>
                <w:rFonts w:ascii="Arial" w:hAnsi="Arial" w:cs="Arial"/>
                <w:sz w:val="18"/>
                <w:szCs w:val="18"/>
              </w:rPr>
              <w:t>Se toman en consideración los comentarios recibidos y se agrega el siguiente texto, para clarificar ese término y dar certeza sobre su alcance.</w:t>
            </w:r>
          </w:p>
          <w:tbl>
            <w:tblPr>
              <w:tblStyle w:val="Tablaconcuadrcula"/>
              <w:tblW w:w="0" w:type="auto"/>
              <w:jc w:val="center"/>
              <w:tblLayout w:type="fixed"/>
              <w:tblLook w:val="04A0" w:firstRow="1" w:lastRow="0" w:firstColumn="1" w:lastColumn="0" w:noHBand="0" w:noVBand="1"/>
            </w:tblPr>
            <w:tblGrid>
              <w:gridCol w:w="3176"/>
            </w:tblGrid>
            <w:tr w:rsidR="00D177C2" w:rsidRPr="00E83771" w14:paraId="350D1E0F" w14:textId="77777777" w:rsidTr="00935490">
              <w:trPr>
                <w:trHeight w:val="311"/>
                <w:jc w:val="center"/>
              </w:trPr>
              <w:tc>
                <w:tcPr>
                  <w:tcW w:w="3176"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53AD2910" w14:textId="77777777" w:rsidR="00D177C2" w:rsidRPr="00E83771" w:rsidRDefault="00D177C2" w:rsidP="00A9692B">
                  <w:pPr>
                    <w:spacing w:before="120" w:after="120" w:line="276" w:lineRule="auto"/>
                    <w:jc w:val="center"/>
                    <w:rPr>
                      <w:rFonts w:ascii="Arial" w:hAnsi="Arial" w:cs="Arial"/>
                      <w:sz w:val="18"/>
                      <w:szCs w:val="18"/>
                    </w:rPr>
                  </w:pPr>
                  <w:r w:rsidRPr="00E83771">
                    <w:rPr>
                      <w:rFonts w:ascii="Arial" w:hAnsi="Arial" w:cs="Arial"/>
                      <w:sz w:val="18"/>
                      <w:szCs w:val="18"/>
                    </w:rPr>
                    <w:t xml:space="preserve">Modificación al Proyecto </w:t>
                  </w:r>
                </w:p>
              </w:tc>
            </w:tr>
            <w:tr w:rsidR="00D177C2" w:rsidRPr="00D97DCA" w14:paraId="649A389D" w14:textId="77777777" w:rsidTr="00935490">
              <w:trPr>
                <w:jc w:val="center"/>
              </w:trPr>
              <w:tc>
                <w:tcPr>
                  <w:tcW w:w="3176" w:type="dxa"/>
                  <w:tcBorders>
                    <w:top w:val="single" w:sz="4" w:space="0" w:color="auto"/>
                    <w:left w:val="single" w:sz="4" w:space="0" w:color="auto"/>
                    <w:bottom w:val="single" w:sz="4" w:space="0" w:color="auto"/>
                    <w:right w:val="single" w:sz="4" w:space="0" w:color="auto"/>
                  </w:tcBorders>
                  <w:shd w:val="clear" w:color="auto" w:fill="FFFFFF" w:themeFill="background1"/>
                </w:tcPr>
                <w:p w14:paraId="5346F7B8" w14:textId="1B12EC7B" w:rsidR="00D177C2" w:rsidRPr="00785E15" w:rsidRDefault="004A1442" w:rsidP="00A9692B">
                  <w:pPr>
                    <w:spacing w:before="120" w:after="120" w:line="276" w:lineRule="auto"/>
                    <w:jc w:val="both"/>
                    <w:rPr>
                      <w:rFonts w:ascii="Arial" w:hAnsi="Arial" w:cs="Arial"/>
                      <w:i/>
                      <w:sz w:val="18"/>
                      <w:szCs w:val="18"/>
                    </w:rPr>
                  </w:pPr>
                  <w:r w:rsidRPr="00785E15">
                    <w:rPr>
                      <w:rFonts w:ascii="Arial" w:hAnsi="Arial" w:cs="Arial"/>
                      <w:i/>
                      <w:iCs/>
                      <w:sz w:val="18"/>
                      <w:szCs w:val="18"/>
                    </w:rPr>
                    <w:t>(...)</w:t>
                  </w:r>
                  <w:r w:rsidRPr="00785E15">
                    <w:rPr>
                      <w:rFonts w:ascii="Arial" w:hAnsi="Arial" w:cs="Arial"/>
                      <w:i/>
                      <w:sz w:val="18"/>
                      <w:szCs w:val="18"/>
                    </w:rPr>
                    <w:t xml:space="preserve"> En este caso, y si ningún otro umbral del artículo 86 de la LFCE se actualiza para el caso de México, los agentes económicos involucrados, para calcular el importe de la transacción en el territorio nacional a que se refiere la fracción I del artículo 86 de la LFCE</w:t>
                  </w:r>
                  <w:r w:rsidR="00216856" w:rsidRPr="00785E15">
                    <w:rPr>
                      <w:rFonts w:ascii="Arial" w:hAnsi="Arial" w:cs="Arial"/>
                      <w:b/>
                      <w:i/>
                      <w:sz w:val="18"/>
                      <w:szCs w:val="18"/>
                    </w:rPr>
                    <w:t>, así como el valor de mercado de los activos, tangibles e intangibles, utilizados en México</w:t>
                  </w:r>
                  <w:r w:rsidRPr="00785E15">
                    <w:rPr>
                      <w:rFonts w:ascii="Arial" w:hAnsi="Arial" w:cs="Arial"/>
                      <w:i/>
                      <w:sz w:val="18"/>
                      <w:szCs w:val="18"/>
                    </w:rPr>
                    <w:t xml:space="preserve">, deberán calcular el valor transaccional de mercado correspondiente a la adquisición de capital social y/o activos, tangibles e intangibles, en el territorio mexicano, considerando </w:t>
                  </w:r>
                  <w:r w:rsidRPr="00785E15">
                    <w:rPr>
                      <w:rFonts w:ascii="Arial" w:hAnsi="Arial" w:cs="Arial"/>
                      <w:b/>
                      <w:i/>
                      <w:strike/>
                      <w:sz w:val="18"/>
                      <w:szCs w:val="18"/>
                    </w:rPr>
                    <w:t>negocios completos</w:t>
                  </w:r>
                  <w:r w:rsidR="00D827BD" w:rsidRPr="00785E15">
                    <w:rPr>
                      <w:rFonts w:ascii="Arial" w:hAnsi="Arial" w:cs="Arial"/>
                      <w:b/>
                      <w:i/>
                      <w:sz w:val="18"/>
                      <w:szCs w:val="18"/>
                    </w:rPr>
                    <w:t xml:space="preserve"> </w:t>
                  </w:r>
                  <w:r w:rsidR="00C67C47" w:rsidRPr="00785E15">
                    <w:rPr>
                      <w:rFonts w:ascii="Arial" w:hAnsi="Arial" w:cs="Arial"/>
                      <w:b/>
                      <w:i/>
                      <w:sz w:val="18"/>
                      <w:szCs w:val="18"/>
                    </w:rPr>
                    <w:t xml:space="preserve">las participaciones mayoritarias y minoritarias, por parte de los agentes económicos involucrados, en el capital social de </w:t>
                  </w:r>
                  <w:r w:rsidR="00691DB6" w:rsidRPr="00785E15">
                    <w:rPr>
                      <w:rFonts w:ascii="Arial" w:hAnsi="Arial" w:cs="Arial"/>
                      <w:b/>
                      <w:i/>
                      <w:sz w:val="18"/>
                      <w:szCs w:val="18"/>
                    </w:rPr>
                    <w:t xml:space="preserve">sociedades mexicanas, así como </w:t>
                  </w:r>
                  <w:r w:rsidR="00D827BD" w:rsidRPr="00785E15">
                    <w:rPr>
                      <w:rFonts w:ascii="Arial" w:hAnsi="Arial" w:cs="Arial"/>
                      <w:b/>
                      <w:i/>
                      <w:sz w:val="18"/>
                      <w:szCs w:val="18"/>
                    </w:rPr>
                    <w:t xml:space="preserve">todos los </w:t>
                  </w:r>
                  <w:r w:rsidR="00994494" w:rsidRPr="00785E15">
                    <w:rPr>
                      <w:rFonts w:ascii="Arial" w:hAnsi="Arial" w:cs="Arial"/>
                      <w:b/>
                      <w:i/>
                      <w:sz w:val="18"/>
                      <w:szCs w:val="18"/>
                    </w:rPr>
                    <w:t xml:space="preserve">activos con los que los agentes económicos involucrados </w:t>
                  </w:r>
                  <w:r w:rsidR="00C67C47" w:rsidRPr="00785E15">
                    <w:rPr>
                      <w:rFonts w:ascii="Arial" w:hAnsi="Arial" w:cs="Arial"/>
                      <w:b/>
                      <w:i/>
                      <w:sz w:val="18"/>
                      <w:szCs w:val="18"/>
                    </w:rPr>
                    <w:t>proveen bienes y/o servicios</w:t>
                  </w:r>
                  <w:r w:rsidR="00994494" w:rsidRPr="00785E15">
                    <w:rPr>
                      <w:rFonts w:ascii="Arial" w:hAnsi="Arial" w:cs="Arial"/>
                      <w:b/>
                      <w:i/>
                      <w:sz w:val="18"/>
                      <w:szCs w:val="18"/>
                    </w:rPr>
                    <w:t xml:space="preserve"> en territorio nacional, incluyendo en particular, para el caso de sistemas y plataformas digitales que operan sobre Internet, el valor </w:t>
                  </w:r>
                  <w:r w:rsidR="006820BB" w:rsidRPr="00785E15">
                    <w:rPr>
                      <w:rFonts w:ascii="Arial" w:hAnsi="Arial" w:cs="Arial"/>
                      <w:b/>
                      <w:i/>
                      <w:sz w:val="18"/>
                      <w:szCs w:val="18"/>
                    </w:rPr>
                    <w:t xml:space="preserve">transaccional </w:t>
                  </w:r>
                  <w:r w:rsidR="00994494" w:rsidRPr="00785E15">
                    <w:rPr>
                      <w:rFonts w:ascii="Arial" w:hAnsi="Arial" w:cs="Arial"/>
                      <w:b/>
                      <w:i/>
                      <w:sz w:val="18"/>
                      <w:szCs w:val="18"/>
                    </w:rPr>
                    <w:t xml:space="preserve">de </w:t>
                  </w:r>
                  <w:r w:rsidR="00994494" w:rsidRPr="00785E15">
                    <w:rPr>
                      <w:rFonts w:ascii="Arial" w:hAnsi="Arial" w:cs="Arial"/>
                      <w:b/>
                      <w:i/>
                      <w:sz w:val="18"/>
                      <w:szCs w:val="18"/>
                    </w:rPr>
                    <w:lastRenderedPageBreak/>
                    <w:t xml:space="preserve">mercado </w:t>
                  </w:r>
                  <w:r w:rsidR="006820BB" w:rsidRPr="00785E15">
                    <w:rPr>
                      <w:rFonts w:ascii="Arial" w:hAnsi="Arial" w:cs="Arial"/>
                      <w:b/>
                      <w:i/>
                      <w:sz w:val="18"/>
                      <w:szCs w:val="18"/>
                    </w:rPr>
                    <w:t xml:space="preserve">en México </w:t>
                  </w:r>
                  <w:r w:rsidR="00994494" w:rsidRPr="00785E15">
                    <w:rPr>
                      <w:rFonts w:ascii="Arial" w:hAnsi="Arial" w:cs="Arial"/>
                      <w:b/>
                      <w:i/>
                      <w:sz w:val="18"/>
                      <w:szCs w:val="18"/>
                    </w:rPr>
                    <w:t xml:space="preserve">que tendrían </w:t>
                  </w:r>
                  <w:r w:rsidR="00A65DAC" w:rsidRPr="00785E15">
                    <w:rPr>
                      <w:rFonts w:ascii="Arial" w:hAnsi="Arial" w:cs="Arial"/>
                      <w:b/>
                      <w:i/>
                      <w:sz w:val="18"/>
                      <w:szCs w:val="18"/>
                    </w:rPr>
                    <w:t xml:space="preserve">todos los activos tangibles e intangibles que integran </w:t>
                  </w:r>
                  <w:r w:rsidR="00994494" w:rsidRPr="00785E15">
                    <w:rPr>
                      <w:rFonts w:ascii="Arial" w:hAnsi="Arial" w:cs="Arial"/>
                      <w:b/>
                      <w:i/>
                      <w:sz w:val="18"/>
                      <w:szCs w:val="18"/>
                    </w:rPr>
                    <w:t>esos sistemas y plataformas</w:t>
                  </w:r>
                  <w:r w:rsidR="006820BB" w:rsidRPr="00785E15">
                    <w:rPr>
                      <w:rFonts w:ascii="Arial" w:hAnsi="Arial" w:cs="Arial"/>
                      <w:b/>
                      <w:i/>
                      <w:sz w:val="18"/>
                      <w:szCs w:val="18"/>
                    </w:rPr>
                    <w:t xml:space="preserve">, </w:t>
                  </w:r>
                  <w:r w:rsidR="00A65DAC" w:rsidRPr="00785E15">
                    <w:rPr>
                      <w:rFonts w:ascii="Arial" w:hAnsi="Arial" w:cs="Arial"/>
                      <w:b/>
                      <w:i/>
                      <w:sz w:val="18"/>
                      <w:szCs w:val="18"/>
                    </w:rPr>
                    <w:t xml:space="preserve">incluyendo </w:t>
                  </w:r>
                  <w:r w:rsidR="005D7F56" w:rsidRPr="00785E15">
                    <w:rPr>
                      <w:rFonts w:ascii="Arial" w:hAnsi="Arial" w:cs="Arial"/>
                      <w:b/>
                      <w:i/>
                      <w:sz w:val="18"/>
                      <w:szCs w:val="18"/>
                    </w:rPr>
                    <w:t xml:space="preserve">de </w:t>
                  </w:r>
                  <w:r w:rsidR="00A65DAC" w:rsidRPr="00785E15">
                    <w:rPr>
                      <w:rFonts w:ascii="Arial" w:hAnsi="Arial" w:cs="Arial"/>
                      <w:b/>
                      <w:i/>
                      <w:sz w:val="18"/>
                      <w:szCs w:val="18"/>
                    </w:rPr>
                    <w:t xml:space="preserve">los elementos físicos, </w:t>
                  </w:r>
                  <w:r w:rsidR="00B81A11" w:rsidRPr="00785E15">
                    <w:rPr>
                      <w:rFonts w:ascii="Arial" w:hAnsi="Arial" w:cs="Arial"/>
                      <w:b/>
                      <w:i/>
                      <w:sz w:val="18"/>
                      <w:szCs w:val="18"/>
                    </w:rPr>
                    <w:t xml:space="preserve">así como </w:t>
                  </w:r>
                  <w:r w:rsidR="005D7F56" w:rsidRPr="00785E15">
                    <w:rPr>
                      <w:rFonts w:ascii="Arial" w:hAnsi="Arial" w:cs="Arial"/>
                      <w:b/>
                      <w:i/>
                      <w:sz w:val="18"/>
                      <w:szCs w:val="18"/>
                    </w:rPr>
                    <w:t xml:space="preserve">de las </w:t>
                  </w:r>
                  <w:r w:rsidR="00A65DAC" w:rsidRPr="00785E15">
                    <w:rPr>
                      <w:rFonts w:ascii="Arial" w:hAnsi="Arial" w:cs="Arial"/>
                      <w:b/>
                      <w:i/>
                      <w:sz w:val="18"/>
                      <w:szCs w:val="18"/>
                    </w:rPr>
                    <w:t>marcas, reconocimiento</w:t>
                  </w:r>
                  <w:r w:rsidR="003865C3" w:rsidRPr="00785E15">
                    <w:rPr>
                      <w:rFonts w:ascii="Arial" w:hAnsi="Arial" w:cs="Arial"/>
                      <w:b/>
                      <w:i/>
                      <w:sz w:val="18"/>
                      <w:szCs w:val="18"/>
                    </w:rPr>
                    <w:t xml:space="preserve"> y</w:t>
                  </w:r>
                  <w:r w:rsidR="00A65DAC" w:rsidRPr="00785E15">
                    <w:rPr>
                      <w:rFonts w:ascii="Arial" w:hAnsi="Arial" w:cs="Arial"/>
                      <w:b/>
                      <w:i/>
                      <w:sz w:val="18"/>
                      <w:szCs w:val="18"/>
                    </w:rPr>
                    <w:t xml:space="preserve"> know how</w:t>
                  </w:r>
                  <w:r w:rsidRPr="00785E15">
                    <w:rPr>
                      <w:rFonts w:ascii="Arial" w:hAnsi="Arial" w:cs="Arial"/>
                      <w:i/>
                      <w:sz w:val="18"/>
                      <w:szCs w:val="18"/>
                    </w:rPr>
                    <w:t xml:space="preserve"> (…)”</w:t>
                  </w:r>
                </w:p>
              </w:tc>
            </w:tr>
          </w:tbl>
          <w:p w14:paraId="41148507" w14:textId="038A9378" w:rsidR="00C65B32" w:rsidRPr="00CF7E9F" w:rsidRDefault="004A1442" w:rsidP="00A9692B">
            <w:pPr>
              <w:spacing w:before="120" w:after="120" w:line="276" w:lineRule="auto"/>
              <w:jc w:val="both"/>
              <w:rPr>
                <w:rFonts w:ascii="Arial" w:hAnsi="Arial" w:cs="Arial"/>
                <w:sz w:val="18"/>
                <w:szCs w:val="18"/>
              </w:rPr>
            </w:pPr>
            <w:r w:rsidRPr="006378D1">
              <w:rPr>
                <w:rFonts w:ascii="Arial" w:hAnsi="Arial" w:cs="Arial"/>
                <w:sz w:val="18"/>
                <w:szCs w:val="18"/>
              </w:rPr>
              <w:lastRenderedPageBreak/>
              <w:t xml:space="preserve"> </w:t>
            </w:r>
            <w:r w:rsidR="006378D1" w:rsidRPr="006378D1">
              <w:rPr>
                <w:rFonts w:ascii="Arial" w:hAnsi="Arial" w:cs="Arial"/>
                <w:sz w:val="18"/>
                <w:szCs w:val="18"/>
              </w:rPr>
              <w:t>(</w:t>
            </w:r>
            <w:r w:rsidR="00447031">
              <w:rPr>
                <w:rFonts w:ascii="Arial" w:hAnsi="Arial" w:cs="Arial"/>
                <w:sz w:val="18"/>
                <w:szCs w:val="18"/>
              </w:rPr>
              <w:t>S</w:t>
            </w:r>
            <w:r w:rsidR="006378D1" w:rsidRPr="006378D1">
              <w:rPr>
                <w:rFonts w:ascii="Arial" w:hAnsi="Arial" w:cs="Arial"/>
                <w:sz w:val="18"/>
                <w:szCs w:val="18"/>
              </w:rPr>
              <w:t xml:space="preserve">e resalta texto </w:t>
            </w:r>
            <w:r w:rsidR="00447031">
              <w:rPr>
                <w:rFonts w:ascii="Arial" w:hAnsi="Arial" w:cs="Arial"/>
                <w:sz w:val="18"/>
                <w:szCs w:val="18"/>
              </w:rPr>
              <w:t>agregado</w:t>
            </w:r>
            <w:r w:rsidR="006378D1" w:rsidRPr="006378D1">
              <w:rPr>
                <w:rFonts w:ascii="Arial" w:hAnsi="Arial" w:cs="Arial"/>
                <w:sz w:val="18"/>
                <w:szCs w:val="18"/>
              </w:rPr>
              <w:t>)</w:t>
            </w:r>
          </w:p>
        </w:tc>
      </w:tr>
      <w:tr w:rsidR="00C65B32" w:rsidRPr="00CF7E9F" w14:paraId="58F9B62E" w14:textId="77777777" w:rsidTr="009B2105">
        <w:trPr>
          <w:jc w:val="center"/>
        </w:trPr>
        <w:tc>
          <w:tcPr>
            <w:tcW w:w="2825" w:type="dxa"/>
            <w:shd w:val="clear" w:color="auto" w:fill="FFFFFF" w:themeFill="background1"/>
          </w:tcPr>
          <w:p w14:paraId="477E287D" w14:textId="77777777" w:rsidR="00C65B32" w:rsidRPr="00CF7E9F" w:rsidRDefault="00C65B32" w:rsidP="00A9692B">
            <w:pPr>
              <w:spacing w:before="120" w:after="120" w:line="276" w:lineRule="auto"/>
              <w:jc w:val="both"/>
              <w:rPr>
                <w:rFonts w:ascii="Arial" w:hAnsi="Arial" w:cs="Arial"/>
                <w:bCs/>
                <w:sz w:val="18"/>
                <w:szCs w:val="18"/>
                <w:lang w:val="es-ES"/>
              </w:rPr>
            </w:pPr>
          </w:p>
        </w:tc>
        <w:tc>
          <w:tcPr>
            <w:tcW w:w="2977" w:type="dxa"/>
            <w:shd w:val="clear" w:color="auto" w:fill="FFFFFF" w:themeFill="background1"/>
            <w:vAlign w:val="center"/>
          </w:tcPr>
          <w:p w14:paraId="4DE4165B" w14:textId="4F134711" w:rsidR="00C65B32" w:rsidRPr="00AE7DEA" w:rsidRDefault="00C65B32" w:rsidP="00A9692B">
            <w:pPr>
              <w:spacing w:before="120" w:after="120" w:line="276" w:lineRule="auto"/>
              <w:jc w:val="both"/>
              <w:rPr>
                <w:rFonts w:ascii="Arial" w:eastAsia="Times New Roman" w:hAnsi="Arial" w:cs="Arial"/>
                <w:color w:val="000000"/>
                <w:sz w:val="18"/>
                <w:szCs w:val="18"/>
                <w:lang w:eastAsia="es-MX"/>
              </w:rPr>
            </w:pPr>
            <w:r w:rsidRPr="00AE7DEA">
              <w:rPr>
                <w:rFonts w:ascii="Arial" w:eastAsia="Times New Roman" w:hAnsi="Arial" w:cs="Arial"/>
                <w:color w:val="000000"/>
                <w:sz w:val="18"/>
                <w:szCs w:val="18"/>
                <w:lang w:eastAsia="es-MX"/>
              </w:rPr>
              <w:t>Se sugiere incluir un criterio en la Guía de Concentraciones de qué tipo de cambio deberá utilizarse, incluyendo la periodicidad de este (por ejemplo, “Tipo de cambio para solventar obligaciones denominadas en dólares de los EE.UU.A., pagaderas en la República Mexicana” cuya fuente es el Banco de México).</w:t>
            </w:r>
          </w:p>
        </w:tc>
        <w:tc>
          <w:tcPr>
            <w:tcW w:w="3402" w:type="dxa"/>
            <w:shd w:val="clear" w:color="auto" w:fill="FFFFFF" w:themeFill="background1"/>
          </w:tcPr>
          <w:p w14:paraId="430372CF" w14:textId="77777777" w:rsidR="006378D1" w:rsidRPr="006378D1" w:rsidRDefault="006378D1" w:rsidP="00A9692B">
            <w:pPr>
              <w:spacing w:before="120" w:after="120" w:line="276" w:lineRule="auto"/>
              <w:jc w:val="both"/>
              <w:rPr>
                <w:rFonts w:ascii="Arial" w:hAnsi="Arial" w:cs="Arial"/>
                <w:sz w:val="18"/>
                <w:szCs w:val="18"/>
              </w:rPr>
            </w:pPr>
            <w:r w:rsidRPr="006378D1">
              <w:rPr>
                <w:rFonts w:ascii="Arial" w:hAnsi="Arial" w:cs="Arial"/>
                <w:sz w:val="18"/>
                <w:szCs w:val="18"/>
              </w:rPr>
              <w:t>Se precisa que en el artículo 15 de las Disposiciones Regulatorias se establece que tipo de cambio debe utilizarse cuando las operaciones se pacten en dólares de los Estado Unidos de América, que a la letra señala:</w:t>
            </w:r>
          </w:p>
          <w:p w14:paraId="3256090F" w14:textId="5AD84DF1" w:rsidR="006378D1" w:rsidRPr="005C029D" w:rsidRDefault="005C029D" w:rsidP="00A9692B">
            <w:pPr>
              <w:spacing w:before="120" w:after="120" w:line="276" w:lineRule="auto"/>
              <w:ind w:left="320" w:hanging="141"/>
              <w:jc w:val="both"/>
              <w:rPr>
                <w:rFonts w:ascii="Arial" w:hAnsi="Arial" w:cs="Arial"/>
                <w:b/>
                <w:i/>
                <w:sz w:val="17"/>
                <w:szCs w:val="17"/>
              </w:rPr>
            </w:pPr>
            <w:r>
              <w:rPr>
                <w:rFonts w:ascii="Arial" w:hAnsi="Arial" w:cs="Arial"/>
                <w:b/>
                <w:i/>
                <w:sz w:val="17"/>
                <w:szCs w:val="17"/>
              </w:rPr>
              <w:t>“</w:t>
            </w:r>
            <w:r w:rsidR="006378D1" w:rsidRPr="005C029D">
              <w:rPr>
                <w:rFonts w:ascii="Arial" w:hAnsi="Arial" w:cs="Arial"/>
                <w:b/>
                <w:i/>
                <w:sz w:val="17"/>
                <w:szCs w:val="17"/>
              </w:rPr>
              <w:t xml:space="preserve">Artículo 15. </w:t>
            </w:r>
          </w:p>
          <w:p w14:paraId="29A64DA8" w14:textId="77777777" w:rsidR="006378D1" w:rsidRPr="005C029D" w:rsidRDefault="006378D1" w:rsidP="00A9692B">
            <w:pPr>
              <w:spacing w:before="120" w:after="120" w:line="276" w:lineRule="auto"/>
              <w:ind w:left="320"/>
              <w:jc w:val="both"/>
              <w:rPr>
                <w:rFonts w:ascii="Arial" w:hAnsi="Arial" w:cs="Arial"/>
                <w:i/>
                <w:sz w:val="17"/>
                <w:szCs w:val="17"/>
              </w:rPr>
            </w:pPr>
            <w:r w:rsidRPr="005C029D">
              <w:rPr>
                <w:rFonts w:ascii="Arial" w:hAnsi="Arial" w:cs="Arial"/>
                <w:i/>
                <w:sz w:val="17"/>
                <w:szCs w:val="17"/>
              </w:rPr>
              <w:t>(…)</w:t>
            </w:r>
          </w:p>
          <w:p w14:paraId="6BFDEB43" w14:textId="6000F490" w:rsidR="006378D1" w:rsidRPr="005C029D" w:rsidRDefault="006378D1" w:rsidP="00A9692B">
            <w:pPr>
              <w:spacing w:before="120" w:after="120" w:line="276" w:lineRule="auto"/>
              <w:ind w:left="320"/>
              <w:jc w:val="both"/>
              <w:rPr>
                <w:rFonts w:ascii="Arial" w:hAnsi="Arial" w:cs="Arial"/>
                <w:i/>
                <w:sz w:val="17"/>
                <w:szCs w:val="17"/>
              </w:rPr>
            </w:pPr>
            <w:r w:rsidRPr="005C029D">
              <w:rPr>
                <w:rFonts w:ascii="Arial" w:hAnsi="Arial" w:cs="Arial"/>
                <w:i/>
                <w:sz w:val="17"/>
                <w:szCs w:val="17"/>
              </w:rPr>
              <w:t xml:space="preserve">Asimismo, se debe tomar en cuenta el valor diario de la Unidad de Medida y Actualización vigente el día anterior a aquél en que se notifique la concentración y, </w:t>
            </w:r>
            <w:r w:rsidRPr="005C029D">
              <w:rPr>
                <w:rFonts w:ascii="Arial" w:hAnsi="Arial" w:cs="Arial"/>
                <w:b/>
                <w:i/>
                <w:sz w:val="17"/>
                <w:szCs w:val="17"/>
              </w:rPr>
              <w:t>en caso de que las operaciones se pacten en dólares de los Estados Unidos de América, debe aplicarse el tipo de cambio para solventar obligaciones denominadas en moneda extranjera pagaderas en la República Mexicana publicado por el Banco de México, que resulte más bajo durante los cinco días anteriores a aquél en que se realice la notificación.</w:t>
            </w:r>
            <w:r w:rsidR="005C029D">
              <w:rPr>
                <w:rFonts w:ascii="Arial" w:hAnsi="Arial" w:cs="Arial"/>
                <w:i/>
                <w:sz w:val="17"/>
                <w:szCs w:val="17"/>
              </w:rPr>
              <w:t>“</w:t>
            </w:r>
          </w:p>
          <w:p w14:paraId="72E7561A" w14:textId="77777777" w:rsidR="006378D1" w:rsidRPr="006378D1" w:rsidRDefault="006378D1" w:rsidP="00A9692B">
            <w:pPr>
              <w:spacing w:before="120" w:after="120" w:line="276" w:lineRule="auto"/>
              <w:jc w:val="both"/>
              <w:rPr>
                <w:rFonts w:ascii="Arial" w:hAnsi="Arial" w:cs="Arial"/>
                <w:sz w:val="18"/>
                <w:szCs w:val="18"/>
              </w:rPr>
            </w:pPr>
            <w:r w:rsidRPr="006378D1">
              <w:rPr>
                <w:rFonts w:ascii="Arial" w:hAnsi="Arial" w:cs="Arial"/>
                <w:sz w:val="18"/>
                <w:szCs w:val="18"/>
              </w:rPr>
              <w:t>Adicionalmente, esta aclaración también se incluye en la Guía de Concentraciones en el apartado 5.1, en la sección de Consideraciones en el cálculo de los umbrales, inciso d)</w:t>
            </w:r>
          </w:p>
          <w:p w14:paraId="423A7DD2" w14:textId="1F83FC53" w:rsidR="00C65B32" w:rsidRPr="005C029D" w:rsidRDefault="006378D1" w:rsidP="00A9692B">
            <w:pPr>
              <w:spacing w:before="120" w:after="120" w:line="276" w:lineRule="auto"/>
              <w:ind w:left="320"/>
              <w:jc w:val="both"/>
              <w:rPr>
                <w:rFonts w:ascii="Arial" w:hAnsi="Arial" w:cs="Arial"/>
                <w:i/>
                <w:sz w:val="17"/>
                <w:szCs w:val="17"/>
              </w:rPr>
            </w:pPr>
            <w:r w:rsidRPr="005C029D">
              <w:rPr>
                <w:rFonts w:ascii="Arial" w:hAnsi="Arial" w:cs="Arial"/>
                <w:i/>
                <w:sz w:val="17"/>
                <w:szCs w:val="17"/>
              </w:rPr>
              <w:t>d)</w:t>
            </w:r>
            <w:r w:rsidRPr="005C029D">
              <w:rPr>
                <w:rFonts w:ascii="Arial" w:hAnsi="Arial" w:cs="Arial"/>
                <w:i/>
                <w:sz w:val="17"/>
                <w:szCs w:val="17"/>
              </w:rPr>
              <w:tab/>
              <w:t xml:space="preserve">En caso de que las operaciones se pacten en dólares de los Estados Unidos de América, se debe aplicar el tipo de cambio para solventar obligaciones denominadas en moneda extranjera pagaderas en la República Mexicana publicado por el Banco de México, que resulte más bajo durante los cinco días anteriores </w:t>
            </w:r>
            <w:r w:rsidRPr="005C029D">
              <w:rPr>
                <w:rFonts w:ascii="Arial" w:hAnsi="Arial" w:cs="Arial"/>
                <w:i/>
                <w:sz w:val="17"/>
                <w:szCs w:val="17"/>
              </w:rPr>
              <w:lastRenderedPageBreak/>
              <w:t>a aquél en que se realice la notificación.</w:t>
            </w:r>
          </w:p>
        </w:tc>
      </w:tr>
    </w:tbl>
    <w:p w14:paraId="39666506" w14:textId="079987F9" w:rsidR="00CF7E9F" w:rsidRPr="00CF7E9F" w:rsidRDefault="00CF7E9F" w:rsidP="00A9692B">
      <w:pPr>
        <w:spacing w:before="120" w:after="120" w:line="276" w:lineRule="auto"/>
        <w:jc w:val="both"/>
        <w:rPr>
          <w:rFonts w:ascii="Arial" w:hAnsi="Arial" w:cs="Arial"/>
          <w:b/>
        </w:rPr>
      </w:pPr>
      <w:bookmarkStart w:id="10" w:name="_Hlk88502012"/>
      <w:r w:rsidRPr="00CF7E9F">
        <w:rPr>
          <w:rFonts w:ascii="Arial" w:hAnsi="Arial" w:cs="Arial"/>
          <w:b/>
        </w:rPr>
        <w:lastRenderedPageBreak/>
        <w:t>7.</w:t>
      </w:r>
      <w:r>
        <w:rPr>
          <w:rFonts w:ascii="Arial" w:hAnsi="Arial" w:cs="Arial"/>
          <w:b/>
        </w:rPr>
        <w:t>10</w:t>
      </w:r>
      <w:r w:rsidRPr="00CF7E9F">
        <w:rPr>
          <w:rFonts w:ascii="Arial" w:hAnsi="Arial" w:cs="Arial"/>
          <w:b/>
        </w:rPr>
        <w:t>. “5.2 Notificación voluntaria”</w:t>
      </w:r>
    </w:p>
    <w:p w14:paraId="283E70F2" w14:textId="43D9012E" w:rsidR="00CF7E9F" w:rsidRPr="00CF7E9F" w:rsidRDefault="00CF7E9F" w:rsidP="00A9692B">
      <w:pPr>
        <w:spacing w:before="120" w:after="120" w:line="276" w:lineRule="auto"/>
        <w:jc w:val="both"/>
        <w:rPr>
          <w:rFonts w:ascii="Arial" w:hAnsi="Arial" w:cs="Arial"/>
          <w:b/>
        </w:rPr>
      </w:pPr>
      <w:r w:rsidRPr="00CF7E9F">
        <w:rPr>
          <w:rFonts w:ascii="Arial" w:hAnsi="Arial" w:cs="Arial"/>
          <w:b/>
        </w:rPr>
        <w:t>7.</w:t>
      </w:r>
      <w:r>
        <w:rPr>
          <w:rFonts w:ascii="Arial" w:hAnsi="Arial" w:cs="Arial"/>
          <w:b/>
        </w:rPr>
        <w:t>10</w:t>
      </w:r>
      <w:r w:rsidRPr="00CF7E9F">
        <w:rPr>
          <w:rFonts w:ascii="Arial" w:hAnsi="Arial" w:cs="Arial"/>
          <w:b/>
        </w:rPr>
        <w:t>.1. Síntesis de los comentarios relacionados con el apartado 5.2 Notificación voluntaria</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4A0" w:firstRow="1" w:lastRow="0" w:firstColumn="1" w:lastColumn="0" w:noHBand="0" w:noVBand="1"/>
      </w:tblPr>
      <w:tblGrid>
        <w:gridCol w:w="2825"/>
        <w:gridCol w:w="2977"/>
        <w:gridCol w:w="3402"/>
      </w:tblGrid>
      <w:tr w:rsidR="00CF7E9F" w:rsidRPr="00CF7E9F" w14:paraId="2F46BF6A" w14:textId="77777777" w:rsidTr="00B11236">
        <w:trPr>
          <w:tblHeader/>
          <w:jc w:val="center"/>
        </w:trPr>
        <w:tc>
          <w:tcPr>
            <w:tcW w:w="2825" w:type="dxa"/>
            <w:shd w:val="clear" w:color="auto" w:fill="70AD47" w:themeFill="accent6"/>
          </w:tcPr>
          <w:p w14:paraId="7E7FBE9D" w14:textId="77777777" w:rsidR="00CF7E9F" w:rsidRPr="00CF7E9F" w:rsidRDefault="00CF7E9F" w:rsidP="00A9692B">
            <w:pPr>
              <w:spacing w:before="120" w:after="120" w:line="276" w:lineRule="auto"/>
              <w:jc w:val="center"/>
              <w:rPr>
                <w:rFonts w:ascii="Arial" w:hAnsi="Arial" w:cs="Arial"/>
                <w:b/>
                <w:bCs/>
                <w:sz w:val="18"/>
                <w:szCs w:val="18"/>
              </w:rPr>
            </w:pPr>
            <w:r w:rsidRPr="00CF7E9F">
              <w:rPr>
                <w:rFonts w:ascii="Arial" w:hAnsi="Arial" w:cs="Arial"/>
                <w:b/>
                <w:sz w:val="18"/>
                <w:szCs w:val="18"/>
              </w:rPr>
              <w:t>Apartado del Anteproyecto</w:t>
            </w:r>
          </w:p>
        </w:tc>
        <w:tc>
          <w:tcPr>
            <w:tcW w:w="2977" w:type="dxa"/>
            <w:shd w:val="clear" w:color="auto" w:fill="70AD47" w:themeFill="accent6"/>
          </w:tcPr>
          <w:p w14:paraId="05C090EA" w14:textId="77777777" w:rsidR="00CF7E9F" w:rsidRPr="00CF7E9F" w:rsidRDefault="00CF7E9F" w:rsidP="00A9692B">
            <w:pPr>
              <w:spacing w:before="120" w:after="120" w:line="276" w:lineRule="auto"/>
              <w:jc w:val="center"/>
              <w:rPr>
                <w:rFonts w:ascii="Arial" w:hAnsi="Arial" w:cs="Arial"/>
                <w:b/>
                <w:bCs/>
                <w:sz w:val="18"/>
                <w:szCs w:val="18"/>
              </w:rPr>
            </w:pPr>
            <w:r w:rsidRPr="00CF7E9F">
              <w:rPr>
                <w:rFonts w:ascii="Arial" w:hAnsi="Arial" w:cs="Arial"/>
                <w:b/>
                <w:sz w:val="18"/>
                <w:szCs w:val="18"/>
              </w:rPr>
              <w:t>Resumen de los comentarios recibidos</w:t>
            </w:r>
          </w:p>
        </w:tc>
        <w:tc>
          <w:tcPr>
            <w:tcW w:w="3402" w:type="dxa"/>
            <w:shd w:val="clear" w:color="auto" w:fill="70AD47" w:themeFill="accent6"/>
          </w:tcPr>
          <w:p w14:paraId="4784087F" w14:textId="77777777" w:rsidR="00CF7E9F" w:rsidRPr="00CF7E9F" w:rsidRDefault="00CF7E9F" w:rsidP="00A9692B">
            <w:pPr>
              <w:spacing w:before="120" w:after="120" w:line="276" w:lineRule="auto"/>
              <w:jc w:val="center"/>
              <w:rPr>
                <w:rFonts w:ascii="Arial" w:hAnsi="Arial" w:cs="Arial"/>
                <w:b/>
                <w:sz w:val="18"/>
                <w:szCs w:val="18"/>
              </w:rPr>
            </w:pPr>
            <w:r w:rsidRPr="00CF7E9F">
              <w:rPr>
                <w:rFonts w:ascii="Arial" w:hAnsi="Arial" w:cs="Arial"/>
                <w:b/>
                <w:sz w:val="18"/>
                <w:szCs w:val="18"/>
              </w:rPr>
              <w:t>Consideración</w:t>
            </w:r>
          </w:p>
        </w:tc>
      </w:tr>
      <w:tr w:rsidR="00CF7E9F" w:rsidRPr="00CF7E9F" w14:paraId="0E446195" w14:textId="77777777" w:rsidTr="00B11236">
        <w:trPr>
          <w:jc w:val="center"/>
        </w:trPr>
        <w:tc>
          <w:tcPr>
            <w:tcW w:w="9204" w:type="dxa"/>
            <w:gridSpan w:val="3"/>
            <w:shd w:val="clear" w:color="auto" w:fill="C5E0B3" w:themeFill="accent6" w:themeFillTint="66"/>
          </w:tcPr>
          <w:p w14:paraId="4829FFBA" w14:textId="650B0FEE" w:rsidR="00CF7E9F" w:rsidRPr="00CF7E9F" w:rsidRDefault="00CF7E9F" w:rsidP="00A9692B">
            <w:pPr>
              <w:spacing w:before="120" w:after="120" w:line="276" w:lineRule="auto"/>
              <w:jc w:val="center"/>
              <w:rPr>
                <w:rFonts w:ascii="Arial" w:hAnsi="Arial" w:cs="Arial"/>
                <w:b/>
                <w:sz w:val="18"/>
                <w:szCs w:val="18"/>
                <w:lang w:val="es-ES_tradnl"/>
              </w:rPr>
            </w:pPr>
            <w:r w:rsidRPr="00CF7E9F">
              <w:rPr>
                <w:rFonts w:ascii="Arial" w:hAnsi="Arial" w:cs="Arial"/>
                <w:b/>
                <w:sz w:val="18"/>
                <w:szCs w:val="18"/>
                <w:lang w:val="es-ES_tradnl"/>
              </w:rPr>
              <w:t>5.2 Notificación voluntaria</w:t>
            </w:r>
          </w:p>
        </w:tc>
      </w:tr>
      <w:tr w:rsidR="00C65B32" w:rsidRPr="00CF7E9F" w14:paraId="14F190CE" w14:textId="77777777" w:rsidTr="00B11236">
        <w:trPr>
          <w:jc w:val="center"/>
        </w:trPr>
        <w:tc>
          <w:tcPr>
            <w:tcW w:w="2825" w:type="dxa"/>
            <w:vMerge w:val="restart"/>
            <w:shd w:val="clear" w:color="auto" w:fill="FFFFFF" w:themeFill="background1"/>
          </w:tcPr>
          <w:p w14:paraId="3FB66A46" w14:textId="77777777" w:rsidR="009E6EEE" w:rsidRPr="009E6EEE" w:rsidRDefault="009E6EEE" w:rsidP="00A9692B">
            <w:pPr>
              <w:spacing w:before="120" w:after="120" w:line="276" w:lineRule="auto"/>
              <w:jc w:val="both"/>
              <w:rPr>
                <w:rFonts w:ascii="Arial" w:hAnsi="Arial" w:cs="Arial"/>
                <w:bCs/>
                <w:sz w:val="18"/>
                <w:szCs w:val="18"/>
                <w:lang w:val="es-ES"/>
              </w:rPr>
            </w:pPr>
            <w:r w:rsidRPr="009E6EEE">
              <w:rPr>
                <w:rFonts w:ascii="Arial" w:hAnsi="Arial" w:cs="Arial"/>
                <w:bCs/>
                <w:sz w:val="18"/>
                <w:szCs w:val="18"/>
                <w:lang w:val="es-ES"/>
              </w:rPr>
              <w:t xml:space="preserve">Las concentraciones que no supere los umbrales señalados en el artículo 86 de la LFCE, están exentas de la obligación de solicitar autorización en materia de concentraciones y, por lo tanto, del procedimiento de notificación. </w:t>
            </w:r>
          </w:p>
          <w:p w14:paraId="31E5BE84" w14:textId="77777777" w:rsidR="009E6EEE" w:rsidRPr="009E6EEE" w:rsidRDefault="009E6EEE" w:rsidP="00A9692B">
            <w:pPr>
              <w:spacing w:before="120" w:after="120" w:line="276" w:lineRule="auto"/>
              <w:jc w:val="both"/>
              <w:rPr>
                <w:rFonts w:ascii="Arial" w:hAnsi="Arial" w:cs="Arial"/>
                <w:bCs/>
                <w:sz w:val="18"/>
                <w:szCs w:val="18"/>
                <w:lang w:val="es-ES"/>
              </w:rPr>
            </w:pPr>
            <w:r w:rsidRPr="009E6EEE">
              <w:rPr>
                <w:rFonts w:ascii="Arial" w:hAnsi="Arial" w:cs="Arial"/>
                <w:bCs/>
                <w:sz w:val="18"/>
                <w:szCs w:val="18"/>
                <w:lang w:val="es-ES"/>
              </w:rPr>
              <w:t>Sin embargo, en términos del último párrafo del artículo 86 de la LFCE, los agentes económicos involucrados que no se encuentren en los supuestos establecidos en las fracciones I, II y III de ese artículo podrán notificar en forma voluntaria al IFT esas concentraciones.</w:t>
            </w:r>
          </w:p>
          <w:p w14:paraId="587780BB" w14:textId="77777777" w:rsidR="009E6EEE" w:rsidRPr="009E6EEE" w:rsidRDefault="009E6EEE" w:rsidP="00A9692B">
            <w:pPr>
              <w:spacing w:before="120" w:after="120" w:line="276" w:lineRule="auto"/>
              <w:jc w:val="both"/>
              <w:rPr>
                <w:rFonts w:ascii="Arial" w:hAnsi="Arial" w:cs="Arial"/>
                <w:bCs/>
                <w:sz w:val="18"/>
                <w:szCs w:val="18"/>
                <w:lang w:val="es-ES"/>
              </w:rPr>
            </w:pPr>
            <w:r w:rsidRPr="009E6EEE">
              <w:rPr>
                <w:rFonts w:ascii="Arial" w:hAnsi="Arial" w:cs="Arial"/>
                <w:bCs/>
                <w:sz w:val="18"/>
                <w:szCs w:val="18"/>
                <w:lang w:val="es-ES"/>
              </w:rPr>
              <w:t>Al respecto, la notificación voluntaria de concentraciones que no actualizan los umbrales del artículo 86 de la LFCE es particularmente recomendable en situaciones donde los agentes económicos tengan dudas de los posibles efectos de la concentración sobre el proceso de competencia económica y libre concurrencia y de que ésta se pudiera considerar ilícita por parte del IFT.</w:t>
            </w:r>
          </w:p>
          <w:p w14:paraId="3A7F3472" w14:textId="77777777" w:rsidR="009E6EEE" w:rsidRPr="009E6EEE" w:rsidRDefault="009E6EEE" w:rsidP="00A9692B">
            <w:pPr>
              <w:spacing w:before="120" w:after="120" w:line="276" w:lineRule="auto"/>
              <w:jc w:val="both"/>
              <w:rPr>
                <w:rFonts w:ascii="Arial" w:hAnsi="Arial" w:cs="Arial"/>
                <w:bCs/>
                <w:sz w:val="18"/>
                <w:szCs w:val="18"/>
                <w:lang w:val="es-ES"/>
              </w:rPr>
            </w:pPr>
            <w:r w:rsidRPr="009E6EEE">
              <w:rPr>
                <w:rFonts w:ascii="Arial" w:hAnsi="Arial" w:cs="Arial"/>
                <w:bCs/>
                <w:sz w:val="18"/>
                <w:szCs w:val="18"/>
                <w:lang w:val="es-ES"/>
              </w:rPr>
              <w:t xml:space="preserve">En ese sentido, el segundo párrafo del artículo 65 de la LFCE establece que no podrán ser investigadas las concentraciones que no requieran ser previamente </w:t>
            </w:r>
            <w:r w:rsidRPr="009E6EEE">
              <w:rPr>
                <w:rFonts w:ascii="Arial" w:hAnsi="Arial" w:cs="Arial"/>
                <w:bCs/>
                <w:sz w:val="18"/>
                <w:szCs w:val="18"/>
                <w:lang w:val="es-ES"/>
              </w:rPr>
              <w:lastRenderedPageBreak/>
              <w:t>notificadas, una vez transcurrido un año de su realización.</w:t>
            </w:r>
          </w:p>
          <w:p w14:paraId="09133D88" w14:textId="4D8C961A" w:rsidR="009E6EEE" w:rsidRPr="009E6EEE" w:rsidRDefault="009E6EEE" w:rsidP="00A9692B">
            <w:pPr>
              <w:spacing w:before="120" w:after="120" w:line="276" w:lineRule="auto"/>
              <w:jc w:val="both"/>
              <w:rPr>
                <w:rFonts w:ascii="Arial" w:hAnsi="Arial" w:cs="Arial"/>
                <w:bCs/>
                <w:sz w:val="18"/>
                <w:szCs w:val="18"/>
                <w:lang w:val="es-ES"/>
              </w:rPr>
            </w:pPr>
            <w:r w:rsidRPr="009E6EEE">
              <w:rPr>
                <w:rFonts w:ascii="Arial" w:hAnsi="Arial" w:cs="Arial"/>
                <w:bCs/>
                <w:sz w:val="18"/>
                <w:szCs w:val="18"/>
                <w:lang w:val="es-ES"/>
              </w:rPr>
              <w:t xml:space="preserve">Así, en los casos en que la alguna operación no actualice los umbrales del artículo 86 de la LFCE y se pudiera tratar de una concentración ilícita, los agentes económicos involucrados estarán en incumplimiento de la LFCE, y, durante el plazo de un año, el IFT, a través de la AI, podrá iniciar una investigación, lo cual puede derivar en un procedimiento seguido en forma de juicio y, en su caso, sanciones incluyendo la desconcentración. En esos casos, la notificación voluntaria evita riesgos a los agentes económicos. </w:t>
            </w:r>
          </w:p>
          <w:p w14:paraId="36549884" w14:textId="77777777" w:rsidR="009E6EEE" w:rsidRPr="009E6EEE" w:rsidRDefault="009E6EEE" w:rsidP="00A9692B">
            <w:pPr>
              <w:spacing w:before="120" w:after="120" w:line="276" w:lineRule="auto"/>
              <w:jc w:val="both"/>
              <w:rPr>
                <w:rFonts w:ascii="Arial" w:hAnsi="Arial" w:cs="Arial"/>
                <w:bCs/>
                <w:sz w:val="18"/>
                <w:szCs w:val="18"/>
                <w:lang w:val="es-ES"/>
              </w:rPr>
            </w:pPr>
            <w:r w:rsidRPr="009E6EEE">
              <w:rPr>
                <w:rFonts w:ascii="Arial" w:hAnsi="Arial" w:cs="Arial"/>
                <w:bCs/>
                <w:sz w:val="18"/>
                <w:szCs w:val="18"/>
                <w:lang w:val="es-ES"/>
              </w:rPr>
              <w:t>Situaciones en particular en las que se considera que las concentraciones que no actualizan los umbrales del artículo 86 de la LFCE, pero que podrían generar preocupaciones en materia de competencia económica y por lo tanto la notificación voluntaria podría evitar riegos a los agentes económicos involucrados, se dan cuando:</w:t>
            </w:r>
          </w:p>
          <w:p w14:paraId="5141A16B" w14:textId="3D010B9A" w:rsidR="009E6EEE" w:rsidRPr="009E6EEE" w:rsidRDefault="009E6EEE" w:rsidP="00A9692B">
            <w:pPr>
              <w:pStyle w:val="Prrafodelista"/>
              <w:numPr>
                <w:ilvl w:val="0"/>
                <w:numId w:val="12"/>
              </w:numPr>
              <w:spacing w:before="120" w:after="120" w:line="276" w:lineRule="auto"/>
              <w:ind w:left="312" w:hanging="272"/>
              <w:contextualSpacing w:val="0"/>
              <w:jc w:val="both"/>
              <w:rPr>
                <w:rFonts w:ascii="Arial" w:hAnsi="Arial" w:cs="Arial"/>
                <w:bCs/>
                <w:sz w:val="18"/>
                <w:szCs w:val="18"/>
                <w:lang w:val="es-ES"/>
              </w:rPr>
            </w:pPr>
            <w:r w:rsidRPr="009E6EEE">
              <w:rPr>
                <w:rFonts w:ascii="Arial" w:hAnsi="Arial" w:cs="Arial"/>
                <w:bCs/>
                <w:sz w:val="18"/>
                <w:szCs w:val="18"/>
                <w:lang w:val="es-ES"/>
              </w:rPr>
              <w:t>los agentes económicos involucrados participen en el mismo mercado relevante o en mercados relacionados, y</w:t>
            </w:r>
          </w:p>
          <w:p w14:paraId="7FD1AFCA" w14:textId="7B6E0B6D" w:rsidR="00C65B32" w:rsidRPr="009E6EEE" w:rsidRDefault="009E6EEE" w:rsidP="00A9692B">
            <w:pPr>
              <w:pStyle w:val="Prrafodelista"/>
              <w:numPr>
                <w:ilvl w:val="0"/>
                <w:numId w:val="12"/>
              </w:numPr>
              <w:spacing w:before="120" w:after="120" w:line="276" w:lineRule="auto"/>
              <w:ind w:left="312" w:hanging="272"/>
              <w:contextualSpacing w:val="0"/>
              <w:jc w:val="both"/>
              <w:rPr>
                <w:rFonts w:ascii="Arial" w:hAnsi="Arial" w:cs="Arial"/>
                <w:bCs/>
                <w:sz w:val="18"/>
                <w:szCs w:val="18"/>
                <w:lang w:val="es-ES"/>
              </w:rPr>
            </w:pPr>
            <w:r w:rsidRPr="009E6EEE">
              <w:rPr>
                <w:rFonts w:ascii="Arial" w:hAnsi="Arial" w:cs="Arial"/>
                <w:bCs/>
                <w:sz w:val="18"/>
                <w:szCs w:val="18"/>
                <w:lang w:val="es-ES"/>
              </w:rPr>
              <w:t>el agente económico resultante de la concentración, después de la concentración, tenga una participación de mercado igual o superior al 25% en ese mercado relevante y/o mercados relacionados, bajo cualquier posible escenario de medición y cálculo de participaciones de mercado.</w:t>
            </w:r>
          </w:p>
        </w:tc>
        <w:tc>
          <w:tcPr>
            <w:tcW w:w="2977" w:type="dxa"/>
            <w:shd w:val="clear" w:color="auto" w:fill="FFFFFF" w:themeFill="background1"/>
          </w:tcPr>
          <w:p w14:paraId="1EFD7AB1" w14:textId="73014F33" w:rsidR="00C65B32" w:rsidRPr="000A19DF" w:rsidRDefault="00C65B32" w:rsidP="00A9692B">
            <w:pPr>
              <w:spacing w:before="120" w:after="120" w:line="276" w:lineRule="auto"/>
              <w:jc w:val="both"/>
              <w:rPr>
                <w:rFonts w:ascii="Arial" w:hAnsi="Arial" w:cs="Arial"/>
                <w:sz w:val="18"/>
                <w:szCs w:val="18"/>
                <w:highlight w:val="yellow"/>
              </w:rPr>
            </w:pPr>
            <w:r w:rsidRPr="006B64D9">
              <w:rPr>
                <w:rFonts w:ascii="Arial" w:hAnsi="Arial" w:cs="Arial"/>
                <w:sz w:val="18"/>
                <w:szCs w:val="18"/>
              </w:rPr>
              <w:lastRenderedPageBreak/>
              <w:t>El hecho que la Guía para el Control de Concentraciones recomiende a los agentes económicos notificar también operaciones “no notificables” de acuerdo a lo establecido en la propia Ley Federal de Competencia Económica, no abona en lo absoluto a mejorar la certidumbre en el régimen de control de concentraciones.</w:t>
            </w:r>
          </w:p>
        </w:tc>
        <w:tc>
          <w:tcPr>
            <w:tcW w:w="3402" w:type="dxa"/>
            <w:shd w:val="clear" w:color="auto" w:fill="FFFFFF" w:themeFill="background1"/>
          </w:tcPr>
          <w:p w14:paraId="12F6C3D5" w14:textId="64693051" w:rsidR="00382AD6" w:rsidRDefault="002B5421" w:rsidP="00A9692B">
            <w:pPr>
              <w:spacing w:before="120" w:after="120" w:line="276" w:lineRule="auto"/>
              <w:jc w:val="both"/>
              <w:rPr>
                <w:rFonts w:ascii="Arial" w:hAnsi="Arial" w:cs="Arial"/>
                <w:sz w:val="18"/>
                <w:szCs w:val="18"/>
              </w:rPr>
            </w:pPr>
            <w:r>
              <w:rPr>
                <w:rFonts w:ascii="Arial" w:hAnsi="Arial" w:cs="Arial"/>
                <w:sz w:val="18"/>
                <w:szCs w:val="18"/>
              </w:rPr>
              <w:t>Se aclara que</w:t>
            </w:r>
            <w:r w:rsidR="00AD4D47">
              <w:rPr>
                <w:rFonts w:ascii="Arial" w:hAnsi="Arial" w:cs="Arial"/>
                <w:sz w:val="18"/>
                <w:szCs w:val="18"/>
              </w:rPr>
              <w:t xml:space="preserve"> los agentes económicos involucrados en una concentración que no pasa los umbrales estable</w:t>
            </w:r>
            <w:r w:rsidR="00FB1C9D">
              <w:rPr>
                <w:rFonts w:ascii="Arial" w:hAnsi="Arial" w:cs="Arial"/>
                <w:sz w:val="18"/>
                <w:szCs w:val="18"/>
              </w:rPr>
              <w:t xml:space="preserve">cidos en </w:t>
            </w:r>
            <w:r w:rsidR="00FB1C9D" w:rsidRPr="006378D1">
              <w:rPr>
                <w:rFonts w:ascii="Arial" w:hAnsi="Arial" w:cs="Arial"/>
                <w:sz w:val="18"/>
                <w:szCs w:val="18"/>
              </w:rPr>
              <w:t>las fracciones I, II y III del artículo 86 de la LFCE</w:t>
            </w:r>
            <w:r w:rsidR="00FB1C9D">
              <w:rPr>
                <w:rFonts w:ascii="Arial" w:hAnsi="Arial" w:cs="Arial"/>
                <w:sz w:val="18"/>
                <w:szCs w:val="18"/>
              </w:rPr>
              <w:t xml:space="preserve"> no están obligados a notificar</w:t>
            </w:r>
            <w:r w:rsidR="00382AD6">
              <w:rPr>
                <w:rFonts w:ascii="Arial" w:hAnsi="Arial" w:cs="Arial"/>
                <w:sz w:val="18"/>
                <w:szCs w:val="18"/>
              </w:rPr>
              <w:t>la</w:t>
            </w:r>
            <w:r w:rsidR="00FB1C9D">
              <w:rPr>
                <w:rFonts w:ascii="Arial" w:hAnsi="Arial" w:cs="Arial"/>
                <w:sz w:val="18"/>
                <w:szCs w:val="18"/>
              </w:rPr>
              <w:t>, sin embargo en</w:t>
            </w:r>
            <w:r>
              <w:rPr>
                <w:rFonts w:ascii="Arial" w:hAnsi="Arial" w:cs="Arial"/>
                <w:sz w:val="18"/>
                <w:szCs w:val="18"/>
              </w:rPr>
              <w:t xml:space="preserve"> el Anteproyecto </w:t>
            </w:r>
            <w:r w:rsidR="00FB1C9D">
              <w:rPr>
                <w:rFonts w:ascii="Arial" w:hAnsi="Arial" w:cs="Arial"/>
                <w:sz w:val="18"/>
                <w:szCs w:val="18"/>
              </w:rPr>
              <w:t>se recomienda hacerlo en los casos en los que se tenga duda respecto a los posibles efectos que pudiera tener sobre el proceso de competencia y libre concurrencia, sin prejuzgar</w:t>
            </w:r>
            <w:r>
              <w:rPr>
                <w:rFonts w:ascii="Arial" w:hAnsi="Arial" w:cs="Arial"/>
                <w:sz w:val="18"/>
                <w:szCs w:val="18"/>
              </w:rPr>
              <w:t xml:space="preserve"> </w:t>
            </w:r>
            <w:r w:rsidR="00FB1C9D">
              <w:rPr>
                <w:rFonts w:ascii="Arial" w:hAnsi="Arial" w:cs="Arial"/>
                <w:sz w:val="18"/>
                <w:szCs w:val="18"/>
              </w:rPr>
              <w:t xml:space="preserve">que se </w:t>
            </w:r>
            <w:r w:rsidR="00DC6962">
              <w:rPr>
                <w:rFonts w:ascii="Arial" w:hAnsi="Arial" w:cs="Arial"/>
                <w:sz w:val="18"/>
                <w:szCs w:val="18"/>
              </w:rPr>
              <w:t xml:space="preserve">trate o no de una concentración ilícita. </w:t>
            </w:r>
            <w:r w:rsidR="00382AD6">
              <w:rPr>
                <w:rFonts w:ascii="Arial" w:hAnsi="Arial" w:cs="Arial"/>
                <w:sz w:val="18"/>
                <w:szCs w:val="18"/>
              </w:rPr>
              <w:t xml:space="preserve">En ese sentido, la recomendación es en beneficio de los agentes económicos que participan en una concentración, pero de ninguna manera es obligatoria. </w:t>
            </w:r>
          </w:p>
          <w:p w14:paraId="4898473B" w14:textId="57C82CBD" w:rsidR="00C65B32" w:rsidRPr="00CF7E9F" w:rsidRDefault="00DC6962" w:rsidP="00A9692B">
            <w:pPr>
              <w:spacing w:before="120" w:after="120" w:line="276" w:lineRule="auto"/>
              <w:jc w:val="both"/>
              <w:rPr>
                <w:rFonts w:ascii="Arial" w:hAnsi="Arial" w:cs="Arial"/>
                <w:sz w:val="18"/>
                <w:szCs w:val="18"/>
              </w:rPr>
            </w:pPr>
            <w:r>
              <w:rPr>
                <w:rFonts w:ascii="Arial" w:eastAsia="Times New Roman" w:hAnsi="Arial" w:cs="Arial"/>
                <w:color w:val="000000"/>
                <w:sz w:val="18"/>
                <w:szCs w:val="18"/>
                <w:lang w:eastAsia="es-MX"/>
              </w:rPr>
              <w:t>P</w:t>
            </w:r>
            <w:r w:rsidRPr="00226E25">
              <w:rPr>
                <w:rFonts w:ascii="Arial" w:eastAsia="Times New Roman" w:hAnsi="Arial" w:cs="Arial"/>
                <w:color w:val="000000"/>
                <w:sz w:val="18"/>
                <w:szCs w:val="18"/>
                <w:lang w:eastAsia="es-MX"/>
              </w:rPr>
              <w:t xml:space="preserve">or lo </w:t>
            </w:r>
            <w:r>
              <w:rPr>
                <w:rFonts w:ascii="Arial" w:eastAsia="Times New Roman" w:hAnsi="Arial" w:cs="Arial"/>
                <w:color w:val="000000"/>
                <w:sz w:val="18"/>
                <w:szCs w:val="18"/>
                <w:lang w:eastAsia="es-MX"/>
              </w:rPr>
              <w:t>anterior,</w:t>
            </w:r>
            <w:r w:rsidRPr="00226E25">
              <w:rPr>
                <w:rFonts w:ascii="Arial" w:eastAsia="Times New Roman" w:hAnsi="Arial" w:cs="Arial"/>
                <w:color w:val="000000"/>
                <w:sz w:val="18"/>
                <w:szCs w:val="18"/>
                <w:lang w:eastAsia="es-MX"/>
              </w:rPr>
              <w:t xml:space="preserve"> el comentario no </w:t>
            </w:r>
            <w:r>
              <w:rPr>
                <w:rFonts w:ascii="Arial" w:eastAsia="Times New Roman" w:hAnsi="Arial" w:cs="Arial"/>
                <w:color w:val="000000"/>
                <w:sz w:val="18"/>
                <w:szCs w:val="18"/>
                <w:lang w:eastAsia="es-MX"/>
              </w:rPr>
              <w:t>se considera procedente.</w:t>
            </w:r>
          </w:p>
        </w:tc>
      </w:tr>
      <w:tr w:rsidR="00C65B32" w:rsidRPr="00CF7E9F" w14:paraId="5C00B42B" w14:textId="77777777" w:rsidTr="00B11236">
        <w:trPr>
          <w:jc w:val="center"/>
        </w:trPr>
        <w:tc>
          <w:tcPr>
            <w:tcW w:w="2825" w:type="dxa"/>
            <w:vMerge/>
            <w:shd w:val="clear" w:color="auto" w:fill="FFFFFF" w:themeFill="background1"/>
          </w:tcPr>
          <w:p w14:paraId="63BF9B44" w14:textId="77777777" w:rsidR="00C65B32" w:rsidRPr="00CF7E9F" w:rsidRDefault="00C65B32" w:rsidP="00A9692B">
            <w:pPr>
              <w:spacing w:before="120" w:after="120" w:line="276" w:lineRule="auto"/>
              <w:jc w:val="both"/>
              <w:rPr>
                <w:rFonts w:ascii="Arial" w:hAnsi="Arial" w:cs="Arial"/>
                <w:bCs/>
                <w:sz w:val="18"/>
                <w:szCs w:val="18"/>
                <w:lang w:val="es-ES"/>
              </w:rPr>
            </w:pPr>
          </w:p>
        </w:tc>
        <w:tc>
          <w:tcPr>
            <w:tcW w:w="2977" w:type="dxa"/>
            <w:shd w:val="clear" w:color="auto" w:fill="FFFFFF" w:themeFill="background1"/>
          </w:tcPr>
          <w:p w14:paraId="48B46049" w14:textId="381317A8" w:rsidR="00C65B32" w:rsidRPr="00C65B32" w:rsidRDefault="00C65B32" w:rsidP="00A9692B">
            <w:pPr>
              <w:spacing w:before="120" w:after="120" w:line="276" w:lineRule="auto"/>
              <w:jc w:val="both"/>
              <w:rPr>
                <w:rFonts w:ascii="Arial" w:hAnsi="Arial" w:cs="Arial"/>
                <w:sz w:val="18"/>
                <w:szCs w:val="18"/>
              </w:rPr>
            </w:pPr>
            <w:r w:rsidRPr="00C65B32">
              <w:rPr>
                <w:rFonts w:ascii="Arial" w:hAnsi="Arial" w:cs="Arial"/>
                <w:sz w:val="18"/>
                <w:szCs w:val="18"/>
              </w:rPr>
              <w:t>Respecto al criterio en el inciso b) de este párrafo que se agrega en el Anteproyecto, en el cual se recomienda la notificación voluntaria en el evento de que el agente económico resultante obtenga una participación superior al 25%, se sugiere uniformar dicha participación a las del criterio establecido en el Artículo 7, inciso b), del Criterio Técnico del Índice Cuantitativo. En este último se establecen como parámetros de que la operación requiere de un análisis más detallado y comprehensivo de la UCE, una participación de 35% en el sector de telecomunicaciones y de 30% en radiodifusión.</w:t>
            </w:r>
          </w:p>
        </w:tc>
        <w:tc>
          <w:tcPr>
            <w:tcW w:w="3402" w:type="dxa"/>
            <w:shd w:val="clear" w:color="auto" w:fill="FFFFFF" w:themeFill="background1"/>
          </w:tcPr>
          <w:p w14:paraId="3F4DA78A" w14:textId="49FE0D4C" w:rsidR="00EB4210" w:rsidRDefault="006378D1" w:rsidP="00A9692B">
            <w:pPr>
              <w:spacing w:before="120" w:after="120" w:line="276" w:lineRule="auto"/>
              <w:jc w:val="both"/>
              <w:rPr>
                <w:rFonts w:ascii="Arial" w:hAnsi="Arial" w:cs="Arial"/>
                <w:sz w:val="18"/>
                <w:szCs w:val="18"/>
              </w:rPr>
            </w:pPr>
            <w:r w:rsidRPr="006378D1">
              <w:rPr>
                <w:rFonts w:ascii="Arial" w:hAnsi="Arial" w:cs="Arial"/>
                <w:sz w:val="18"/>
                <w:szCs w:val="18"/>
              </w:rPr>
              <w:t>Se precisa que el objetivo de la Guía para el Control de Concentraciones es orientar y guiar al público en general respecto de los temas abordados en ella. En este sentido el umbral establecido en esta sección es solo una referencia</w:t>
            </w:r>
            <w:r w:rsidR="00676314">
              <w:rPr>
                <w:rFonts w:ascii="Arial" w:hAnsi="Arial" w:cs="Arial"/>
                <w:sz w:val="18"/>
                <w:szCs w:val="18"/>
              </w:rPr>
              <w:t>, sin que tenga el carácter de vinculante para los agentes económicos que participan en una concentración</w:t>
            </w:r>
            <w:r w:rsidRPr="006378D1">
              <w:rPr>
                <w:rFonts w:ascii="Arial" w:hAnsi="Arial" w:cs="Arial"/>
                <w:sz w:val="18"/>
                <w:szCs w:val="18"/>
              </w:rPr>
              <w:t>.</w:t>
            </w:r>
            <w:r w:rsidR="00CA6B01">
              <w:rPr>
                <w:rFonts w:ascii="Arial" w:hAnsi="Arial" w:cs="Arial"/>
                <w:sz w:val="18"/>
                <w:szCs w:val="18"/>
              </w:rPr>
              <w:t xml:space="preserve"> </w:t>
            </w:r>
          </w:p>
          <w:p w14:paraId="4ADEAF87" w14:textId="784662EA" w:rsidR="00C65B32" w:rsidRPr="00CF7E9F" w:rsidRDefault="00CA6B01" w:rsidP="00A9692B">
            <w:pPr>
              <w:spacing w:before="120" w:after="120" w:line="276" w:lineRule="auto"/>
              <w:jc w:val="both"/>
              <w:rPr>
                <w:rFonts w:ascii="Arial" w:hAnsi="Arial" w:cs="Arial"/>
                <w:sz w:val="18"/>
                <w:szCs w:val="18"/>
              </w:rPr>
            </w:pPr>
            <w:r>
              <w:rPr>
                <w:rFonts w:ascii="Arial" w:hAnsi="Arial" w:cs="Arial"/>
                <w:sz w:val="18"/>
                <w:szCs w:val="18"/>
              </w:rPr>
              <w:t xml:space="preserve">Al respecto, </w:t>
            </w:r>
            <w:r w:rsidR="005978A1">
              <w:rPr>
                <w:rFonts w:ascii="Arial" w:hAnsi="Arial" w:cs="Arial"/>
                <w:sz w:val="18"/>
                <w:szCs w:val="18"/>
              </w:rPr>
              <w:t>ese umbral del 25%</w:t>
            </w:r>
            <w:r w:rsidR="00507059">
              <w:rPr>
                <w:rFonts w:ascii="Arial" w:hAnsi="Arial" w:cs="Arial"/>
                <w:sz w:val="18"/>
                <w:szCs w:val="18"/>
              </w:rPr>
              <w:t xml:space="preserve">, independientemente </w:t>
            </w:r>
            <w:r w:rsidR="00EB4210">
              <w:rPr>
                <w:rFonts w:ascii="Arial" w:hAnsi="Arial" w:cs="Arial"/>
                <w:sz w:val="18"/>
                <w:szCs w:val="18"/>
              </w:rPr>
              <w:t>de</w:t>
            </w:r>
            <w:r w:rsidR="00507059">
              <w:rPr>
                <w:rFonts w:ascii="Arial" w:hAnsi="Arial" w:cs="Arial"/>
                <w:sz w:val="18"/>
                <w:szCs w:val="18"/>
              </w:rPr>
              <w:t xml:space="preserve"> otros elementos como la posición de los competidores o de si se está adquiriendo a un agente disruptivo, </w:t>
            </w:r>
            <w:r w:rsidR="00726643">
              <w:rPr>
                <w:rFonts w:ascii="Arial" w:hAnsi="Arial" w:cs="Arial"/>
                <w:sz w:val="18"/>
                <w:szCs w:val="18"/>
              </w:rPr>
              <w:t xml:space="preserve"> </w:t>
            </w:r>
            <w:r w:rsidR="00507059">
              <w:rPr>
                <w:rFonts w:ascii="Arial" w:hAnsi="Arial" w:cs="Arial"/>
                <w:sz w:val="18"/>
                <w:szCs w:val="18"/>
              </w:rPr>
              <w:t>da un margen adecuado a los agentes económicos para descartar riesgos a la competencia para agentes que se ubiquen por debajo.</w:t>
            </w:r>
            <w:r w:rsidR="005978A1" w:rsidRPr="000266E6">
              <w:rPr>
                <w:rFonts w:ascii="Arial" w:hAnsi="Arial" w:cs="Arial"/>
                <w:sz w:val="18"/>
                <w:szCs w:val="18"/>
              </w:rPr>
              <w:t xml:space="preserve"> </w:t>
            </w:r>
            <w:r w:rsidR="00507059">
              <w:rPr>
                <w:rFonts w:ascii="Arial" w:hAnsi="Arial" w:cs="Arial"/>
                <w:sz w:val="18"/>
                <w:szCs w:val="18"/>
              </w:rPr>
              <w:t xml:space="preserve">Cabe señalar que </w:t>
            </w:r>
            <w:r w:rsidR="00EB4210">
              <w:rPr>
                <w:rFonts w:ascii="Arial" w:hAnsi="Arial" w:cs="Arial"/>
                <w:sz w:val="18"/>
                <w:szCs w:val="18"/>
              </w:rPr>
              <w:t xml:space="preserve">no se considera adecuado para el fin que se describe en la sección </w:t>
            </w:r>
            <w:r w:rsidR="00EB4210">
              <w:rPr>
                <w:rFonts w:ascii="Arial" w:hAnsi="Arial" w:cs="Arial"/>
                <w:sz w:val="18"/>
                <w:szCs w:val="18"/>
              </w:rPr>
              <w:lastRenderedPageBreak/>
              <w:t xml:space="preserve">5.2 del Anteproyecto </w:t>
            </w:r>
            <w:r w:rsidR="00507059">
              <w:rPr>
                <w:rFonts w:ascii="Arial" w:hAnsi="Arial" w:cs="Arial"/>
                <w:sz w:val="18"/>
                <w:szCs w:val="18"/>
              </w:rPr>
              <w:t xml:space="preserve">las referencias de </w:t>
            </w:r>
            <w:r w:rsidR="00507059" w:rsidRPr="00C65B32">
              <w:rPr>
                <w:rFonts w:ascii="Arial" w:hAnsi="Arial" w:cs="Arial"/>
                <w:sz w:val="18"/>
                <w:szCs w:val="18"/>
              </w:rPr>
              <w:t>participación de 35% en el sector de telecomunicaciones y de 30% en radiodifusión</w:t>
            </w:r>
            <w:r w:rsidR="00EB4210">
              <w:rPr>
                <w:rFonts w:ascii="Arial" w:hAnsi="Arial" w:cs="Arial"/>
                <w:sz w:val="18"/>
                <w:szCs w:val="18"/>
              </w:rPr>
              <w:t>, pues esas referencias ya incluyen información a ser considerada por el IFT, lo cual no ocurre en concentraciones que no han sido notificadas.</w:t>
            </w:r>
            <w:r w:rsidR="00507059">
              <w:rPr>
                <w:rFonts w:ascii="Arial" w:hAnsi="Arial" w:cs="Arial"/>
                <w:sz w:val="18"/>
                <w:szCs w:val="18"/>
              </w:rPr>
              <w:t xml:space="preserve"> </w:t>
            </w:r>
          </w:p>
        </w:tc>
      </w:tr>
    </w:tbl>
    <w:p w14:paraId="331C1E64" w14:textId="6593B487" w:rsidR="00CF7E9F" w:rsidRPr="00CF7E9F" w:rsidRDefault="00CF7E9F" w:rsidP="00A9692B">
      <w:pPr>
        <w:spacing w:before="120" w:after="120" w:line="276" w:lineRule="auto"/>
        <w:jc w:val="both"/>
        <w:rPr>
          <w:rFonts w:ascii="Arial" w:hAnsi="Arial" w:cs="Arial"/>
          <w:b/>
        </w:rPr>
      </w:pPr>
      <w:bookmarkStart w:id="11" w:name="_Hlk88503440"/>
      <w:bookmarkEnd w:id="10"/>
      <w:r w:rsidRPr="00CF7E9F">
        <w:rPr>
          <w:rFonts w:ascii="Arial" w:hAnsi="Arial" w:cs="Arial"/>
          <w:b/>
        </w:rPr>
        <w:lastRenderedPageBreak/>
        <w:t>7.</w:t>
      </w:r>
      <w:r>
        <w:rPr>
          <w:rFonts w:ascii="Arial" w:hAnsi="Arial" w:cs="Arial"/>
          <w:b/>
        </w:rPr>
        <w:t>11</w:t>
      </w:r>
      <w:r w:rsidRPr="00CF7E9F">
        <w:rPr>
          <w:rFonts w:ascii="Arial" w:hAnsi="Arial" w:cs="Arial"/>
          <w:b/>
        </w:rPr>
        <w:t>. “5.3 Bis Coinversiones o Inversiones”</w:t>
      </w:r>
    </w:p>
    <w:p w14:paraId="58C6ACF5" w14:textId="40FD4AC9" w:rsidR="00CF7E9F" w:rsidRPr="00CF7E9F" w:rsidRDefault="00CF7E9F" w:rsidP="00A9692B">
      <w:pPr>
        <w:spacing w:before="120" w:after="120" w:line="276" w:lineRule="auto"/>
        <w:jc w:val="both"/>
        <w:rPr>
          <w:rFonts w:ascii="Arial" w:hAnsi="Arial" w:cs="Arial"/>
          <w:b/>
        </w:rPr>
      </w:pPr>
      <w:r w:rsidRPr="00CF7E9F">
        <w:rPr>
          <w:rFonts w:ascii="Arial" w:hAnsi="Arial" w:cs="Arial"/>
          <w:b/>
        </w:rPr>
        <w:lastRenderedPageBreak/>
        <w:t>7.</w:t>
      </w:r>
      <w:r>
        <w:rPr>
          <w:rFonts w:ascii="Arial" w:hAnsi="Arial" w:cs="Arial"/>
          <w:b/>
        </w:rPr>
        <w:t>11</w:t>
      </w:r>
      <w:r w:rsidRPr="00CF7E9F">
        <w:rPr>
          <w:rFonts w:ascii="Arial" w:hAnsi="Arial" w:cs="Arial"/>
          <w:b/>
        </w:rPr>
        <w:t>.1. Síntesis de los comentarios relacionados con el apartado 5.3 Bis Coinversiones o Inversiones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4A0" w:firstRow="1" w:lastRow="0" w:firstColumn="1" w:lastColumn="0" w:noHBand="0" w:noVBand="1"/>
      </w:tblPr>
      <w:tblGrid>
        <w:gridCol w:w="2825"/>
        <w:gridCol w:w="2977"/>
        <w:gridCol w:w="3402"/>
      </w:tblGrid>
      <w:tr w:rsidR="00CF7E9F" w:rsidRPr="00CF7E9F" w14:paraId="719E72E5" w14:textId="77777777" w:rsidTr="00B11236">
        <w:trPr>
          <w:tblHeader/>
          <w:jc w:val="center"/>
        </w:trPr>
        <w:tc>
          <w:tcPr>
            <w:tcW w:w="2825" w:type="dxa"/>
            <w:shd w:val="clear" w:color="auto" w:fill="70AD47" w:themeFill="accent6"/>
          </w:tcPr>
          <w:p w14:paraId="58E6098B" w14:textId="77777777" w:rsidR="00CF7E9F" w:rsidRPr="00CF7E9F" w:rsidRDefault="00CF7E9F" w:rsidP="00A9692B">
            <w:pPr>
              <w:spacing w:before="120" w:after="120" w:line="276" w:lineRule="auto"/>
              <w:jc w:val="center"/>
              <w:rPr>
                <w:rFonts w:ascii="Arial" w:hAnsi="Arial" w:cs="Arial"/>
                <w:b/>
                <w:bCs/>
                <w:sz w:val="18"/>
                <w:szCs w:val="18"/>
              </w:rPr>
            </w:pPr>
            <w:r w:rsidRPr="00CF7E9F">
              <w:rPr>
                <w:rFonts w:ascii="Arial" w:hAnsi="Arial" w:cs="Arial"/>
                <w:b/>
                <w:sz w:val="18"/>
                <w:szCs w:val="18"/>
              </w:rPr>
              <w:t>Apartado del Anteproyecto</w:t>
            </w:r>
          </w:p>
        </w:tc>
        <w:tc>
          <w:tcPr>
            <w:tcW w:w="2977" w:type="dxa"/>
            <w:shd w:val="clear" w:color="auto" w:fill="70AD47" w:themeFill="accent6"/>
          </w:tcPr>
          <w:p w14:paraId="0C0911D6" w14:textId="77777777" w:rsidR="00CF7E9F" w:rsidRPr="00CF7E9F" w:rsidRDefault="00CF7E9F" w:rsidP="00A9692B">
            <w:pPr>
              <w:spacing w:before="120" w:after="120" w:line="276" w:lineRule="auto"/>
              <w:jc w:val="center"/>
              <w:rPr>
                <w:rFonts w:ascii="Arial" w:hAnsi="Arial" w:cs="Arial"/>
                <w:b/>
                <w:bCs/>
                <w:sz w:val="18"/>
                <w:szCs w:val="18"/>
              </w:rPr>
            </w:pPr>
            <w:r w:rsidRPr="00CF7E9F">
              <w:rPr>
                <w:rFonts w:ascii="Arial" w:hAnsi="Arial" w:cs="Arial"/>
                <w:b/>
                <w:sz w:val="18"/>
                <w:szCs w:val="18"/>
              </w:rPr>
              <w:t>Resumen de los comentarios recibidos</w:t>
            </w:r>
          </w:p>
        </w:tc>
        <w:tc>
          <w:tcPr>
            <w:tcW w:w="3402" w:type="dxa"/>
            <w:shd w:val="clear" w:color="auto" w:fill="70AD47" w:themeFill="accent6"/>
          </w:tcPr>
          <w:p w14:paraId="52FDE747" w14:textId="77777777" w:rsidR="00CF7E9F" w:rsidRPr="00CF7E9F" w:rsidRDefault="00CF7E9F" w:rsidP="00A9692B">
            <w:pPr>
              <w:spacing w:before="120" w:after="120" w:line="276" w:lineRule="auto"/>
              <w:jc w:val="center"/>
              <w:rPr>
                <w:rFonts w:ascii="Arial" w:hAnsi="Arial" w:cs="Arial"/>
                <w:b/>
                <w:sz w:val="18"/>
                <w:szCs w:val="18"/>
              </w:rPr>
            </w:pPr>
            <w:r w:rsidRPr="00CF7E9F">
              <w:rPr>
                <w:rFonts w:ascii="Arial" w:hAnsi="Arial" w:cs="Arial"/>
                <w:b/>
                <w:sz w:val="18"/>
                <w:szCs w:val="18"/>
              </w:rPr>
              <w:t>Consideración</w:t>
            </w:r>
          </w:p>
        </w:tc>
      </w:tr>
      <w:tr w:rsidR="00CF7E9F" w:rsidRPr="00CF7E9F" w14:paraId="3D00F92A" w14:textId="77777777" w:rsidTr="00B11236">
        <w:trPr>
          <w:jc w:val="center"/>
        </w:trPr>
        <w:tc>
          <w:tcPr>
            <w:tcW w:w="9204" w:type="dxa"/>
            <w:gridSpan w:val="3"/>
            <w:shd w:val="clear" w:color="auto" w:fill="C5E0B3" w:themeFill="accent6" w:themeFillTint="66"/>
          </w:tcPr>
          <w:p w14:paraId="66AAAECE" w14:textId="352D98B2" w:rsidR="00CF7E9F" w:rsidRPr="00CF7E9F" w:rsidRDefault="00CF7E9F" w:rsidP="00A9692B">
            <w:pPr>
              <w:spacing w:before="120" w:after="120" w:line="276" w:lineRule="auto"/>
              <w:jc w:val="center"/>
              <w:rPr>
                <w:rFonts w:ascii="Arial" w:hAnsi="Arial" w:cs="Arial"/>
                <w:b/>
                <w:sz w:val="18"/>
                <w:szCs w:val="18"/>
                <w:lang w:val="es-ES_tradnl"/>
              </w:rPr>
            </w:pPr>
            <w:r w:rsidRPr="00CF7E9F">
              <w:rPr>
                <w:rFonts w:ascii="Arial" w:hAnsi="Arial" w:cs="Arial"/>
                <w:b/>
                <w:sz w:val="18"/>
                <w:szCs w:val="18"/>
                <w:lang w:val="es-ES_tradnl"/>
              </w:rPr>
              <w:t>5.3 Bis Coinversiones o Inversiones</w:t>
            </w:r>
            <w:r w:rsidR="004C1124">
              <w:rPr>
                <w:rFonts w:ascii="Arial" w:hAnsi="Arial" w:cs="Arial"/>
                <w:b/>
                <w:sz w:val="18"/>
                <w:szCs w:val="18"/>
                <w:lang w:val="es-ES_tradnl"/>
              </w:rPr>
              <w:t xml:space="preserve"> Conjuntas</w:t>
            </w:r>
          </w:p>
        </w:tc>
      </w:tr>
      <w:tr w:rsidR="00E6622E" w:rsidRPr="00CF7E9F" w14:paraId="54F582EC" w14:textId="77777777" w:rsidTr="009B2105">
        <w:trPr>
          <w:jc w:val="center"/>
        </w:trPr>
        <w:tc>
          <w:tcPr>
            <w:tcW w:w="2825" w:type="dxa"/>
            <w:vMerge w:val="restart"/>
            <w:shd w:val="clear" w:color="auto" w:fill="FFFFFF" w:themeFill="background1"/>
          </w:tcPr>
          <w:p w14:paraId="13A7DE9C" w14:textId="77777777" w:rsidR="00E6622E" w:rsidRPr="001B253C" w:rsidRDefault="00E6622E" w:rsidP="00A9692B">
            <w:pPr>
              <w:spacing w:before="120" w:after="120" w:line="276" w:lineRule="auto"/>
              <w:jc w:val="both"/>
              <w:rPr>
                <w:rFonts w:ascii="Arial" w:hAnsi="Arial" w:cs="Arial"/>
                <w:bCs/>
                <w:sz w:val="18"/>
                <w:szCs w:val="18"/>
                <w:lang w:val="es-ES"/>
              </w:rPr>
            </w:pPr>
            <w:r w:rsidRPr="001B253C">
              <w:rPr>
                <w:rFonts w:ascii="Arial" w:hAnsi="Arial" w:cs="Arial"/>
                <w:bCs/>
                <w:sz w:val="18"/>
                <w:szCs w:val="18"/>
                <w:lang w:val="es-ES"/>
              </w:rPr>
              <w:t>En las economías modernas es común observar que agentes económicos celebren acuerdos de coinversión o colaboración (formales o incluso verbales) para llevar a cabo de manera conjunta actividades específicas y perseguir objetivos determinados. Dependiendo del tipo y características del acuerdo, su celebración podría significar una legítima colaboración, pero también podría constituir, en términos de la LFCE, una concentración, una práctica monopólica absoluta, y/o una práctica monopólica relativa (por ejemplo, de boicot).</w:t>
            </w:r>
          </w:p>
          <w:p w14:paraId="5503B101" w14:textId="77777777" w:rsidR="00E6622E" w:rsidRPr="001B253C" w:rsidRDefault="00E6622E" w:rsidP="00A9692B">
            <w:pPr>
              <w:spacing w:before="120" w:after="120" w:line="276" w:lineRule="auto"/>
              <w:jc w:val="both"/>
              <w:rPr>
                <w:rFonts w:ascii="Arial" w:hAnsi="Arial" w:cs="Arial"/>
                <w:bCs/>
                <w:sz w:val="18"/>
                <w:szCs w:val="18"/>
                <w:lang w:val="es-ES"/>
              </w:rPr>
            </w:pPr>
            <w:r w:rsidRPr="001B253C">
              <w:rPr>
                <w:rFonts w:ascii="Arial" w:hAnsi="Arial" w:cs="Arial"/>
                <w:bCs/>
                <w:sz w:val="18"/>
                <w:szCs w:val="18"/>
                <w:lang w:val="es-ES"/>
              </w:rPr>
              <w:t>En este sentido, la LFCE no prohíbe la celebración de convenios de coinversión o colaboración, salvo que constituyan concentraciones ilícitas, prácticas monopólicas absolutas o prácticas monopólicas relativas.</w:t>
            </w:r>
          </w:p>
          <w:p w14:paraId="695FE785" w14:textId="77777777" w:rsidR="00E6622E" w:rsidRPr="001B253C" w:rsidRDefault="00E6622E" w:rsidP="00A9692B">
            <w:pPr>
              <w:spacing w:before="120" w:after="120" w:line="276" w:lineRule="auto"/>
              <w:jc w:val="both"/>
              <w:rPr>
                <w:rFonts w:ascii="Arial" w:hAnsi="Arial" w:cs="Arial"/>
                <w:bCs/>
                <w:sz w:val="18"/>
                <w:szCs w:val="18"/>
                <w:lang w:val="es-ES"/>
              </w:rPr>
            </w:pPr>
            <w:r w:rsidRPr="001B253C">
              <w:rPr>
                <w:rFonts w:ascii="Arial" w:hAnsi="Arial" w:cs="Arial"/>
                <w:bCs/>
                <w:sz w:val="18"/>
                <w:szCs w:val="18"/>
                <w:lang w:val="es-ES"/>
              </w:rPr>
              <w:t xml:space="preserve">En ese sentido, las coinversiones o Joint Ventures que constituyen una concentración en términos del artículo 61 de la LFCE son aquellas en las que dos o más agentes económicos se asocian, en general como accionistas, en un agente económico existente o de reciente constitución (vehículo de coinversión) que realiza o realizará actividades de negocios completas, con autonomía operativa, y distinguibles de las de sus socios, por lo que actúa o actuará ofreciendo y vendiendo </w:t>
            </w:r>
            <w:r w:rsidRPr="001B253C">
              <w:rPr>
                <w:rFonts w:ascii="Arial" w:hAnsi="Arial" w:cs="Arial"/>
                <w:bCs/>
                <w:sz w:val="18"/>
                <w:szCs w:val="18"/>
                <w:lang w:val="es-ES"/>
              </w:rPr>
              <w:lastRenderedPageBreak/>
              <w:t xml:space="preserve">por sí mismo algún servicio o producto. </w:t>
            </w:r>
          </w:p>
          <w:p w14:paraId="3ACCE5CD" w14:textId="77777777" w:rsidR="00E6622E" w:rsidRPr="001B253C" w:rsidRDefault="00E6622E" w:rsidP="00A9692B">
            <w:pPr>
              <w:spacing w:before="120" w:after="120" w:line="276" w:lineRule="auto"/>
              <w:jc w:val="both"/>
              <w:rPr>
                <w:rFonts w:ascii="Arial" w:hAnsi="Arial" w:cs="Arial"/>
                <w:bCs/>
                <w:sz w:val="18"/>
                <w:szCs w:val="18"/>
                <w:lang w:val="es-ES"/>
              </w:rPr>
            </w:pPr>
            <w:r w:rsidRPr="001B253C">
              <w:rPr>
                <w:rFonts w:ascii="Arial" w:hAnsi="Arial" w:cs="Arial"/>
                <w:bCs/>
                <w:sz w:val="18"/>
                <w:szCs w:val="18"/>
                <w:lang w:val="es-ES"/>
              </w:rPr>
              <w:t xml:space="preserve">Estas coinversiones implican un cambio estructural en la medida que se llevan a cabo a través de la adquisición de capital social, participaciones societarias o activos en general, por parte de (i) uno o más de los socios quien, como resultado de la operación, participaría por primera vez en el vehículo de coinversión, y/o (ii) del vehículo de coinversión a quien se le podrían transferir participaciones en sociedades o activos propiedad de uno o más de los socios. </w:t>
            </w:r>
          </w:p>
          <w:p w14:paraId="63FBE95D" w14:textId="3C44A8D7" w:rsidR="00E6622E" w:rsidRPr="00CF7E9F" w:rsidRDefault="00E6622E" w:rsidP="00A9692B">
            <w:pPr>
              <w:spacing w:before="120" w:after="120" w:line="276" w:lineRule="auto"/>
              <w:jc w:val="both"/>
              <w:rPr>
                <w:rFonts w:ascii="Arial" w:hAnsi="Arial" w:cs="Arial"/>
                <w:bCs/>
                <w:sz w:val="18"/>
                <w:szCs w:val="18"/>
                <w:lang w:val="es-ES"/>
              </w:rPr>
            </w:pPr>
            <w:r w:rsidRPr="001B253C">
              <w:rPr>
                <w:rFonts w:ascii="Arial" w:hAnsi="Arial" w:cs="Arial"/>
                <w:bCs/>
                <w:sz w:val="18"/>
                <w:szCs w:val="18"/>
                <w:lang w:val="es-ES"/>
              </w:rPr>
              <w:t>La participación de los socios en el vehículo de coinversión se puede dar en diferentes proporciones. La más común es aquella en la que los socios, después de la operación, se quedan con una participación igual (50/50, por ejemplo) en el vehículo de coinversión, por lo que éstos mantendrán un control conjunto en ese vehículo. Las demás situaciones se presentan cuando uno de los socios se queda con la mayoría de los derechos y el control del vehículo de coinversión, mientras que el otro u otros socios se quedan con derechos minoritarios que sólo les otorgan influencia significativa sobre ese vehículo, pero no el control. En este sentido, los socios en el vehículo de coinversión se quedan o adquieren derechos societarios que les permiten participar sobre las decisiones del vehículo a un nivel de control o influencia significativa, y lo hacen a través de la designación de integrantes del consejo de administración o cualquier órgano de decisión análogo, incluyendo directivos.</w:t>
            </w:r>
          </w:p>
        </w:tc>
        <w:tc>
          <w:tcPr>
            <w:tcW w:w="2977" w:type="dxa"/>
            <w:shd w:val="clear" w:color="auto" w:fill="FFFFFF" w:themeFill="background1"/>
            <w:vAlign w:val="center"/>
          </w:tcPr>
          <w:p w14:paraId="45028E11" w14:textId="3250FD1F" w:rsidR="00E6622E" w:rsidRPr="00CF7E9F" w:rsidRDefault="00E6622E" w:rsidP="00A9692B">
            <w:pPr>
              <w:spacing w:before="120" w:after="120" w:line="276" w:lineRule="auto"/>
              <w:jc w:val="both"/>
              <w:rPr>
                <w:rFonts w:ascii="Arial" w:hAnsi="Arial" w:cs="Arial"/>
                <w:sz w:val="18"/>
                <w:szCs w:val="18"/>
              </w:rPr>
            </w:pPr>
            <w:r w:rsidRPr="00AE7DEA">
              <w:rPr>
                <w:rFonts w:ascii="Arial" w:eastAsia="Times New Roman" w:hAnsi="Arial" w:cs="Arial"/>
                <w:color w:val="000000"/>
                <w:sz w:val="18"/>
                <w:szCs w:val="18"/>
                <w:lang w:eastAsia="es-MX"/>
              </w:rPr>
              <w:lastRenderedPageBreak/>
              <w:t>Las definiciones y aclaraciones plasmadas no son consistentes con el criterio de la Comisión, el cual incluso ya ha sido plasmado en diversos resolutivos, así como en la Gu</w:t>
            </w:r>
            <w:r>
              <w:rPr>
                <w:rFonts w:ascii="Arial" w:eastAsia="Times New Roman" w:hAnsi="Arial" w:cs="Arial"/>
                <w:color w:val="000000"/>
                <w:sz w:val="18"/>
                <w:szCs w:val="18"/>
                <w:lang w:eastAsia="es-MX"/>
              </w:rPr>
              <w:t>í</w:t>
            </w:r>
            <w:r w:rsidRPr="00AE7DEA">
              <w:rPr>
                <w:rFonts w:ascii="Arial" w:eastAsia="Times New Roman" w:hAnsi="Arial" w:cs="Arial"/>
                <w:color w:val="000000"/>
                <w:sz w:val="18"/>
                <w:szCs w:val="18"/>
                <w:lang w:eastAsia="es-MX"/>
              </w:rPr>
              <w:t>a para la Notificación de Concentraciones de la COMISIÓN.</w:t>
            </w:r>
          </w:p>
        </w:tc>
        <w:tc>
          <w:tcPr>
            <w:tcW w:w="3402" w:type="dxa"/>
            <w:vMerge w:val="restart"/>
            <w:shd w:val="clear" w:color="auto" w:fill="FFFFFF" w:themeFill="background1"/>
          </w:tcPr>
          <w:p w14:paraId="3019CF2B" w14:textId="667C9FC5" w:rsidR="00186292" w:rsidRDefault="00186292" w:rsidP="00A9692B">
            <w:pPr>
              <w:tabs>
                <w:tab w:val="left" w:pos="1017"/>
              </w:tabs>
              <w:spacing w:before="120" w:after="120" w:line="276" w:lineRule="auto"/>
              <w:jc w:val="both"/>
              <w:rPr>
                <w:rFonts w:ascii="Arial" w:hAnsi="Arial" w:cs="Arial"/>
                <w:sz w:val="18"/>
                <w:szCs w:val="18"/>
              </w:rPr>
            </w:pPr>
            <w:r>
              <w:rPr>
                <w:rFonts w:ascii="Arial" w:hAnsi="Arial" w:cs="Arial"/>
                <w:sz w:val="18"/>
                <w:szCs w:val="18"/>
              </w:rPr>
              <w:t>Los elementos plasmados para identificar las coinversiones y como se evaluaría para éstas los umbrales contenidos en el artículo 86 de la LFCE, es consistente con la práctica internacional como la que lleva a cabo la Comisión Europea.</w:t>
            </w:r>
          </w:p>
          <w:p w14:paraId="673FC5AB" w14:textId="79F0C4BE" w:rsidR="00EB22AF" w:rsidRDefault="00E6622E" w:rsidP="00A9692B">
            <w:pPr>
              <w:tabs>
                <w:tab w:val="left" w:pos="1017"/>
              </w:tabs>
              <w:spacing w:before="120" w:after="120" w:line="276" w:lineRule="auto"/>
              <w:jc w:val="both"/>
              <w:rPr>
                <w:rFonts w:ascii="Arial" w:hAnsi="Arial" w:cs="Arial"/>
                <w:sz w:val="18"/>
                <w:szCs w:val="18"/>
              </w:rPr>
            </w:pPr>
            <w:r w:rsidRPr="006378D1">
              <w:rPr>
                <w:rFonts w:ascii="Arial" w:hAnsi="Arial" w:cs="Arial"/>
                <w:sz w:val="18"/>
                <w:szCs w:val="18"/>
              </w:rPr>
              <w:t xml:space="preserve">El Anteproyecto identifica elementos generales de análisis y de las situaciones en las cuales la conformación de un joint-venture obligaría a las partes a presentar una notificación de concentraciones. Sin embargo, no tiene como intención presentar todas las particularidades. En el caso de conformación de consorcios o participaciones conjuntas en licitaciones en los sectores de telecomunicaciones y radiodifusión el IFT </w:t>
            </w:r>
            <w:r w:rsidR="00854710">
              <w:rPr>
                <w:rFonts w:ascii="Arial" w:hAnsi="Arial" w:cs="Arial"/>
                <w:sz w:val="18"/>
                <w:szCs w:val="18"/>
              </w:rPr>
              <w:t xml:space="preserve">no </w:t>
            </w:r>
            <w:r w:rsidRPr="006378D1">
              <w:rPr>
                <w:rFonts w:ascii="Arial" w:hAnsi="Arial" w:cs="Arial"/>
                <w:sz w:val="18"/>
                <w:szCs w:val="18"/>
              </w:rPr>
              <w:t xml:space="preserve">analiza </w:t>
            </w:r>
            <w:r w:rsidR="00854710">
              <w:rPr>
                <w:rFonts w:ascii="Arial" w:hAnsi="Arial" w:cs="Arial"/>
                <w:sz w:val="18"/>
                <w:szCs w:val="18"/>
              </w:rPr>
              <w:t xml:space="preserve">a </w:t>
            </w:r>
            <w:r w:rsidRPr="006378D1">
              <w:rPr>
                <w:rFonts w:ascii="Arial" w:hAnsi="Arial" w:cs="Arial"/>
                <w:sz w:val="18"/>
                <w:szCs w:val="18"/>
              </w:rPr>
              <w:t>es</w:t>
            </w:r>
            <w:r w:rsidR="00854710">
              <w:rPr>
                <w:rFonts w:ascii="Arial" w:hAnsi="Arial" w:cs="Arial"/>
                <w:sz w:val="18"/>
                <w:szCs w:val="18"/>
              </w:rPr>
              <w:t>o</w:t>
            </w:r>
            <w:r w:rsidRPr="006378D1">
              <w:rPr>
                <w:rFonts w:ascii="Arial" w:hAnsi="Arial" w:cs="Arial"/>
                <w:sz w:val="18"/>
                <w:szCs w:val="18"/>
              </w:rPr>
              <w:t xml:space="preserve">s </w:t>
            </w:r>
            <w:r w:rsidR="00854710">
              <w:rPr>
                <w:rFonts w:ascii="Arial" w:hAnsi="Arial" w:cs="Arial"/>
                <w:sz w:val="18"/>
                <w:szCs w:val="18"/>
              </w:rPr>
              <w:t>consorcios dentro del procedimiento de concentraciones en términos de los artículos 86, 90 y 92 de la LFCE, sino  en los</w:t>
            </w:r>
            <w:r w:rsidRPr="006378D1">
              <w:rPr>
                <w:rFonts w:ascii="Arial" w:hAnsi="Arial" w:cs="Arial"/>
                <w:sz w:val="18"/>
                <w:szCs w:val="18"/>
              </w:rPr>
              <w:t xml:space="preserve"> </w:t>
            </w:r>
            <w:r w:rsidR="00854710">
              <w:rPr>
                <w:rFonts w:ascii="Arial" w:hAnsi="Arial" w:cs="Arial"/>
                <w:sz w:val="18"/>
                <w:szCs w:val="18"/>
              </w:rPr>
              <w:t xml:space="preserve">procedimientos </w:t>
            </w:r>
            <w:r w:rsidR="003C1745">
              <w:rPr>
                <w:rFonts w:ascii="Arial" w:hAnsi="Arial" w:cs="Arial"/>
                <w:sz w:val="18"/>
                <w:szCs w:val="18"/>
              </w:rPr>
              <w:t xml:space="preserve">de emisión de opinión en términos del artículo 98 de la LFCE, a interesados en participar en procesos de licitación convocados por autoridades públicas distintas al IFT, o a través de procedimientos de procesos de licitación convocados por </w:t>
            </w:r>
            <w:r w:rsidR="00854710">
              <w:rPr>
                <w:rFonts w:ascii="Arial" w:hAnsi="Arial" w:cs="Arial"/>
                <w:sz w:val="18"/>
                <w:szCs w:val="18"/>
              </w:rPr>
              <w:t xml:space="preserve">el IFT </w:t>
            </w:r>
            <w:r w:rsidR="003C1745">
              <w:rPr>
                <w:rFonts w:ascii="Arial" w:hAnsi="Arial" w:cs="Arial"/>
                <w:sz w:val="18"/>
                <w:szCs w:val="18"/>
              </w:rPr>
              <w:t xml:space="preserve">en términos de la LFTR. A través de esos </w:t>
            </w:r>
            <w:r w:rsidRPr="006378D1">
              <w:rPr>
                <w:rFonts w:ascii="Arial" w:hAnsi="Arial" w:cs="Arial"/>
                <w:sz w:val="18"/>
                <w:szCs w:val="18"/>
              </w:rPr>
              <w:t>proceso</w:t>
            </w:r>
            <w:r w:rsidR="00854710">
              <w:rPr>
                <w:rFonts w:ascii="Arial" w:hAnsi="Arial" w:cs="Arial"/>
                <w:sz w:val="18"/>
                <w:szCs w:val="18"/>
              </w:rPr>
              <w:t>s</w:t>
            </w:r>
            <w:r w:rsidRPr="006378D1">
              <w:rPr>
                <w:rFonts w:ascii="Arial" w:hAnsi="Arial" w:cs="Arial"/>
                <w:sz w:val="18"/>
                <w:szCs w:val="18"/>
              </w:rPr>
              <w:t xml:space="preserve">, el IFT podría objetar o condicionar a los consorcios que generen riesgos a la competencia, por lo que desde ese momento se les daría certidumbre. Sería un error </w:t>
            </w:r>
            <w:r w:rsidR="00B770B8">
              <w:rPr>
                <w:rFonts w:ascii="Arial" w:hAnsi="Arial" w:cs="Arial"/>
                <w:sz w:val="18"/>
                <w:szCs w:val="18"/>
              </w:rPr>
              <w:t>analizar a esos</w:t>
            </w:r>
            <w:r w:rsidRPr="006378D1">
              <w:rPr>
                <w:rFonts w:ascii="Arial" w:hAnsi="Arial" w:cs="Arial"/>
                <w:sz w:val="18"/>
                <w:szCs w:val="18"/>
              </w:rPr>
              <w:t xml:space="preserve"> consorcio</w:t>
            </w:r>
            <w:r w:rsidR="00B770B8">
              <w:rPr>
                <w:rFonts w:ascii="Arial" w:hAnsi="Arial" w:cs="Arial"/>
                <w:sz w:val="18"/>
                <w:szCs w:val="18"/>
              </w:rPr>
              <w:t>s a través de un trámite de concentraciones</w:t>
            </w:r>
            <w:r w:rsidRPr="006378D1">
              <w:rPr>
                <w:rFonts w:ascii="Arial" w:hAnsi="Arial" w:cs="Arial"/>
                <w:sz w:val="18"/>
                <w:szCs w:val="18"/>
              </w:rPr>
              <w:t>.</w:t>
            </w:r>
          </w:p>
          <w:p w14:paraId="3CBDB5D5" w14:textId="1A96C71D" w:rsidR="00E6622E" w:rsidRPr="00CF7E9F" w:rsidRDefault="00EB22AF" w:rsidP="00A9692B">
            <w:pPr>
              <w:tabs>
                <w:tab w:val="left" w:pos="1017"/>
              </w:tabs>
              <w:spacing w:before="120" w:after="120" w:line="276" w:lineRule="auto"/>
              <w:jc w:val="both"/>
              <w:rPr>
                <w:rFonts w:ascii="Arial" w:hAnsi="Arial" w:cs="Arial"/>
                <w:sz w:val="18"/>
                <w:szCs w:val="18"/>
              </w:rPr>
            </w:pPr>
            <w:r>
              <w:rPr>
                <w:rFonts w:ascii="Arial" w:hAnsi="Arial" w:cs="Arial"/>
                <w:sz w:val="18"/>
                <w:szCs w:val="18"/>
              </w:rPr>
              <w:t>Por lo anterior, los comentarios no se consideran procedentes.</w:t>
            </w:r>
            <w:r w:rsidR="00E6622E" w:rsidRPr="006378D1">
              <w:rPr>
                <w:rFonts w:ascii="Arial" w:hAnsi="Arial" w:cs="Arial"/>
                <w:sz w:val="18"/>
                <w:szCs w:val="18"/>
              </w:rPr>
              <w:t xml:space="preserve">      </w:t>
            </w:r>
          </w:p>
        </w:tc>
      </w:tr>
      <w:tr w:rsidR="00E6622E" w:rsidRPr="00CF7E9F" w14:paraId="055DE7D5" w14:textId="77777777" w:rsidTr="009B2105">
        <w:trPr>
          <w:jc w:val="center"/>
        </w:trPr>
        <w:tc>
          <w:tcPr>
            <w:tcW w:w="2825" w:type="dxa"/>
            <w:vMerge/>
            <w:shd w:val="clear" w:color="auto" w:fill="FFFFFF" w:themeFill="background1"/>
          </w:tcPr>
          <w:p w14:paraId="55B8E91D" w14:textId="77777777" w:rsidR="00E6622E" w:rsidRPr="00CF7E9F" w:rsidRDefault="00E6622E" w:rsidP="00A9692B">
            <w:pPr>
              <w:spacing w:before="120" w:after="120" w:line="276" w:lineRule="auto"/>
              <w:jc w:val="both"/>
              <w:rPr>
                <w:rFonts w:ascii="Arial" w:hAnsi="Arial" w:cs="Arial"/>
                <w:bCs/>
                <w:sz w:val="18"/>
                <w:szCs w:val="18"/>
                <w:lang w:val="es-ES"/>
              </w:rPr>
            </w:pPr>
          </w:p>
        </w:tc>
        <w:tc>
          <w:tcPr>
            <w:tcW w:w="2977" w:type="dxa"/>
            <w:shd w:val="clear" w:color="auto" w:fill="FFFFFF" w:themeFill="background1"/>
            <w:vAlign w:val="center"/>
          </w:tcPr>
          <w:p w14:paraId="31D3D859" w14:textId="24B89E2B" w:rsidR="00E6622E" w:rsidRPr="00CF7E9F" w:rsidRDefault="00E6622E" w:rsidP="00A9692B">
            <w:pPr>
              <w:spacing w:before="120" w:after="120" w:line="276" w:lineRule="auto"/>
              <w:jc w:val="both"/>
              <w:rPr>
                <w:rFonts w:ascii="Arial" w:hAnsi="Arial" w:cs="Arial"/>
                <w:sz w:val="18"/>
                <w:szCs w:val="18"/>
              </w:rPr>
            </w:pPr>
            <w:r w:rsidRPr="00AE7DEA">
              <w:rPr>
                <w:rFonts w:ascii="Arial" w:eastAsia="Times New Roman" w:hAnsi="Arial" w:cs="Arial"/>
                <w:color w:val="000000"/>
                <w:sz w:val="18"/>
                <w:szCs w:val="18"/>
                <w:lang w:eastAsia="es-MX"/>
              </w:rPr>
              <w:t xml:space="preserve">El Anteproyecto de Modificación </w:t>
            </w:r>
            <w:r w:rsidR="00C72E62">
              <w:rPr>
                <w:rFonts w:ascii="Arial" w:eastAsia="Times New Roman" w:hAnsi="Arial" w:cs="Arial"/>
                <w:color w:val="000000"/>
                <w:sz w:val="18"/>
                <w:szCs w:val="18"/>
                <w:lang w:eastAsia="es-MX"/>
              </w:rPr>
              <w:t>a la</w:t>
            </w:r>
            <w:r w:rsidRPr="00AE7DEA">
              <w:rPr>
                <w:rFonts w:ascii="Arial" w:eastAsia="Times New Roman" w:hAnsi="Arial" w:cs="Arial"/>
                <w:color w:val="000000"/>
                <w:sz w:val="18"/>
                <w:szCs w:val="18"/>
                <w:lang w:eastAsia="es-MX"/>
              </w:rPr>
              <w:t xml:space="preserve"> Guía no agota todas las posibilidades de joint-ventures o colaboración entre competidores como son los casos de conformación de consorcios o participaciones conjuntas en licitaciones gubernamentales, situaciones en que los agentes económicos participantes podrían estar interesados en tener certidumbre de que no incumplen la LFCE.</w:t>
            </w:r>
          </w:p>
        </w:tc>
        <w:tc>
          <w:tcPr>
            <w:tcW w:w="3402" w:type="dxa"/>
            <w:vMerge/>
            <w:shd w:val="clear" w:color="auto" w:fill="FFFFFF" w:themeFill="background1"/>
          </w:tcPr>
          <w:p w14:paraId="0D9370BC" w14:textId="1EECEE2C" w:rsidR="00E6622E" w:rsidRPr="006378D1" w:rsidRDefault="00E6622E" w:rsidP="00A9692B">
            <w:pPr>
              <w:tabs>
                <w:tab w:val="left" w:pos="1017"/>
              </w:tabs>
              <w:spacing w:before="120" w:after="120" w:line="276" w:lineRule="auto"/>
              <w:jc w:val="both"/>
              <w:rPr>
                <w:rFonts w:ascii="Arial" w:hAnsi="Arial" w:cs="Arial"/>
                <w:sz w:val="18"/>
                <w:szCs w:val="18"/>
              </w:rPr>
            </w:pPr>
          </w:p>
        </w:tc>
      </w:tr>
      <w:tr w:rsidR="001B253C" w:rsidRPr="00CF7E9F" w14:paraId="7B40560A" w14:textId="77777777" w:rsidTr="00B11236">
        <w:trPr>
          <w:jc w:val="center"/>
        </w:trPr>
        <w:tc>
          <w:tcPr>
            <w:tcW w:w="2825" w:type="dxa"/>
            <w:vMerge/>
            <w:shd w:val="clear" w:color="auto" w:fill="FFFFFF" w:themeFill="background1"/>
          </w:tcPr>
          <w:p w14:paraId="19553CD6" w14:textId="77777777" w:rsidR="001B253C" w:rsidRPr="00CF7E9F" w:rsidRDefault="001B253C" w:rsidP="00A9692B">
            <w:pPr>
              <w:spacing w:before="120" w:after="120" w:line="276" w:lineRule="auto"/>
              <w:jc w:val="both"/>
              <w:rPr>
                <w:rFonts w:ascii="Arial" w:hAnsi="Arial" w:cs="Arial"/>
                <w:bCs/>
                <w:sz w:val="18"/>
                <w:szCs w:val="18"/>
                <w:lang w:val="es-ES"/>
              </w:rPr>
            </w:pPr>
          </w:p>
        </w:tc>
        <w:tc>
          <w:tcPr>
            <w:tcW w:w="2977" w:type="dxa"/>
            <w:shd w:val="clear" w:color="auto" w:fill="FFFFFF" w:themeFill="background1"/>
          </w:tcPr>
          <w:p w14:paraId="760BADEA" w14:textId="20F62BD6" w:rsidR="001B253C" w:rsidRPr="00CF7E9F" w:rsidRDefault="001B253C" w:rsidP="00A9692B">
            <w:pPr>
              <w:spacing w:before="120" w:after="120" w:line="276" w:lineRule="auto"/>
              <w:jc w:val="both"/>
              <w:rPr>
                <w:rFonts w:ascii="Arial" w:hAnsi="Arial" w:cs="Arial"/>
                <w:sz w:val="18"/>
                <w:szCs w:val="18"/>
              </w:rPr>
            </w:pPr>
            <w:r w:rsidRPr="00DF69C6">
              <w:rPr>
                <w:rFonts w:ascii="Arial" w:hAnsi="Arial" w:cs="Arial"/>
                <w:sz w:val="18"/>
                <w:szCs w:val="18"/>
              </w:rPr>
              <w:t xml:space="preserve">Debido a lo frecuentes que son este tipo de colaboraciones o situaciones en las </w:t>
            </w:r>
            <w:r w:rsidRPr="00DF69C6">
              <w:rPr>
                <w:rFonts w:ascii="Arial" w:hAnsi="Arial" w:cs="Arial"/>
                <w:sz w:val="18"/>
                <w:szCs w:val="18"/>
              </w:rPr>
              <w:lastRenderedPageBreak/>
              <w:t>telecomunicaciones y los beneficios notorios para el proceso de competencia en casi todo los casos (cuando no participa un agente económico preponderante o con poder sustancial), sería conveniente que se hiciera algún señalamiento al respecto de si constituyen o pueden constituir concentraciones o no y si existe algún procedimiento adicional (opinión, etc.) al que los agentes económicos pueden recurrir para no incurrir en posibles incumplimientos a la LFCE.</w:t>
            </w:r>
          </w:p>
        </w:tc>
        <w:tc>
          <w:tcPr>
            <w:tcW w:w="3402" w:type="dxa"/>
            <w:shd w:val="clear" w:color="auto" w:fill="FFFFFF" w:themeFill="background1"/>
          </w:tcPr>
          <w:p w14:paraId="4B83E10C" w14:textId="1A12E922" w:rsidR="001B253C" w:rsidRDefault="00EB22AF" w:rsidP="00EB22AF">
            <w:pPr>
              <w:tabs>
                <w:tab w:val="left" w:pos="1017"/>
              </w:tabs>
              <w:spacing w:before="120" w:after="120" w:line="276" w:lineRule="auto"/>
              <w:jc w:val="both"/>
              <w:rPr>
                <w:rFonts w:ascii="Arial" w:hAnsi="Arial" w:cs="Arial"/>
                <w:sz w:val="18"/>
                <w:szCs w:val="18"/>
              </w:rPr>
            </w:pPr>
            <w:r>
              <w:rPr>
                <w:rFonts w:ascii="Arial" w:hAnsi="Arial" w:cs="Arial"/>
                <w:sz w:val="18"/>
                <w:szCs w:val="18"/>
              </w:rPr>
              <w:lastRenderedPageBreak/>
              <w:t xml:space="preserve">En el Anteproyecto se precisa que los </w:t>
            </w:r>
            <w:r w:rsidRPr="00EB22AF">
              <w:rPr>
                <w:rFonts w:ascii="Arial" w:hAnsi="Arial" w:cs="Arial"/>
                <w:sz w:val="18"/>
                <w:szCs w:val="18"/>
              </w:rPr>
              <w:t xml:space="preserve">las coinversiones </w:t>
            </w:r>
            <w:r w:rsidRPr="006F552B">
              <w:rPr>
                <w:rFonts w:ascii="Arial" w:hAnsi="Arial" w:cs="Arial"/>
                <w:sz w:val="18"/>
                <w:szCs w:val="18"/>
              </w:rPr>
              <w:t xml:space="preserve">que constituyen una concentración en términos del artículo </w:t>
            </w:r>
            <w:r w:rsidRPr="006F552B">
              <w:rPr>
                <w:rFonts w:ascii="Arial" w:hAnsi="Arial" w:cs="Arial"/>
                <w:sz w:val="18"/>
                <w:szCs w:val="18"/>
              </w:rPr>
              <w:lastRenderedPageBreak/>
              <w:t>61 de la LFCE son aquellas en las que dos o más agentes económicos se asocian, en general como accionistas, en un agente económico existente o de reciente constitución (vehículo de coinversión) que realiza o realizará actividades de negocios completas, con autonomía operativa, y distinguibles de las de sus socios, por lo que actúa o actuará ofreciendo y vendiendo por sí mismo algún servicio o producto</w:t>
            </w:r>
            <w:r>
              <w:rPr>
                <w:rFonts w:ascii="Arial" w:hAnsi="Arial" w:cs="Arial"/>
                <w:sz w:val="18"/>
                <w:szCs w:val="18"/>
              </w:rPr>
              <w:t>.</w:t>
            </w:r>
          </w:p>
          <w:p w14:paraId="391BD17C" w14:textId="73008472" w:rsidR="00EB22AF" w:rsidRPr="00CF7E9F" w:rsidRDefault="00EB22AF" w:rsidP="00EB22AF">
            <w:pPr>
              <w:tabs>
                <w:tab w:val="left" w:pos="1017"/>
              </w:tabs>
              <w:spacing w:before="120" w:after="120" w:line="276" w:lineRule="auto"/>
              <w:jc w:val="both"/>
              <w:rPr>
                <w:rFonts w:ascii="Arial" w:hAnsi="Arial" w:cs="Arial"/>
                <w:sz w:val="18"/>
                <w:szCs w:val="18"/>
              </w:rPr>
            </w:pPr>
            <w:r>
              <w:rPr>
                <w:rFonts w:ascii="Arial" w:hAnsi="Arial" w:cs="Arial"/>
                <w:sz w:val="18"/>
                <w:szCs w:val="18"/>
              </w:rPr>
              <w:t xml:space="preserve">Las colaboraciones que no cumplan con esos elementos no se considerarán concentraciones y los agentes involucrados en esas operaciones, en términos de lo que se señala en el Anteproyecto, podrán </w:t>
            </w:r>
            <w:r w:rsidRPr="00EB22AF">
              <w:rPr>
                <w:rFonts w:ascii="Arial" w:hAnsi="Arial" w:cs="Arial"/>
                <w:sz w:val="18"/>
                <w:szCs w:val="18"/>
              </w:rPr>
              <w:t>acercarse a la Autoridad Investigadora del IFT o solicitar una orientación general u opinión formal, previstas en la LFCE</w:t>
            </w:r>
            <w:r w:rsidR="004E6047">
              <w:rPr>
                <w:rFonts w:ascii="Arial" w:hAnsi="Arial" w:cs="Arial"/>
                <w:sz w:val="18"/>
                <w:szCs w:val="18"/>
              </w:rPr>
              <w:t>, para cerciorarse de que no incumplen con la LFCE.</w:t>
            </w:r>
            <w:r>
              <w:rPr>
                <w:rFonts w:ascii="Arial" w:hAnsi="Arial" w:cs="Arial"/>
                <w:sz w:val="18"/>
                <w:szCs w:val="18"/>
              </w:rPr>
              <w:t xml:space="preserve"> </w:t>
            </w:r>
          </w:p>
        </w:tc>
      </w:tr>
    </w:tbl>
    <w:p w14:paraId="52BB5D3F" w14:textId="515DE4BF" w:rsidR="00CB70A6" w:rsidRPr="00CF7E9F" w:rsidRDefault="00CB70A6" w:rsidP="00A9692B">
      <w:pPr>
        <w:spacing w:before="120" w:after="120" w:line="276" w:lineRule="auto"/>
        <w:jc w:val="both"/>
        <w:rPr>
          <w:rFonts w:ascii="Arial" w:hAnsi="Arial" w:cs="Arial"/>
          <w:b/>
        </w:rPr>
      </w:pPr>
      <w:bookmarkStart w:id="12" w:name="_Hlk88503481"/>
      <w:bookmarkEnd w:id="11"/>
      <w:r w:rsidRPr="00CF7E9F">
        <w:rPr>
          <w:rFonts w:ascii="Arial" w:hAnsi="Arial" w:cs="Arial"/>
          <w:b/>
        </w:rPr>
        <w:lastRenderedPageBreak/>
        <w:t>7.</w:t>
      </w:r>
      <w:r>
        <w:rPr>
          <w:rFonts w:ascii="Arial" w:hAnsi="Arial" w:cs="Arial"/>
          <w:b/>
        </w:rPr>
        <w:t>12</w:t>
      </w:r>
      <w:r w:rsidRPr="00CF7E9F">
        <w:rPr>
          <w:rFonts w:ascii="Arial" w:hAnsi="Arial" w:cs="Arial"/>
          <w:b/>
        </w:rPr>
        <w:t>. “</w:t>
      </w:r>
      <w:r w:rsidRPr="00CB70A6">
        <w:rPr>
          <w:rFonts w:ascii="Arial" w:hAnsi="Arial" w:cs="Arial"/>
          <w:b/>
        </w:rPr>
        <w:t>5.6 Obligados a Notificar</w:t>
      </w:r>
      <w:r w:rsidRPr="00CF7E9F">
        <w:rPr>
          <w:rFonts w:ascii="Arial" w:hAnsi="Arial" w:cs="Arial"/>
          <w:b/>
        </w:rPr>
        <w:t>”</w:t>
      </w:r>
    </w:p>
    <w:p w14:paraId="78F51572" w14:textId="5584E908" w:rsidR="00CB70A6" w:rsidRPr="00CF7E9F" w:rsidRDefault="00CB70A6" w:rsidP="00A9692B">
      <w:pPr>
        <w:spacing w:before="120" w:after="120" w:line="276" w:lineRule="auto"/>
        <w:jc w:val="both"/>
        <w:rPr>
          <w:rFonts w:ascii="Arial" w:hAnsi="Arial" w:cs="Arial"/>
          <w:b/>
        </w:rPr>
      </w:pPr>
      <w:r w:rsidRPr="00CF7E9F">
        <w:rPr>
          <w:rFonts w:ascii="Arial" w:hAnsi="Arial" w:cs="Arial"/>
          <w:b/>
        </w:rPr>
        <w:t>7.</w:t>
      </w:r>
      <w:r>
        <w:rPr>
          <w:rFonts w:ascii="Arial" w:hAnsi="Arial" w:cs="Arial"/>
          <w:b/>
        </w:rPr>
        <w:t>12</w:t>
      </w:r>
      <w:r w:rsidRPr="00CF7E9F">
        <w:rPr>
          <w:rFonts w:ascii="Arial" w:hAnsi="Arial" w:cs="Arial"/>
          <w:b/>
        </w:rPr>
        <w:t xml:space="preserve">.1. Síntesis de los comentarios relacionados con el apartado </w:t>
      </w:r>
      <w:r w:rsidRPr="00CB70A6">
        <w:rPr>
          <w:rFonts w:ascii="Arial" w:hAnsi="Arial" w:cs="Arial"/>
          <w:b/>
        </w:rPr>
        <w:t>5.6 Obligados a Notificar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4A0" w:firstRow="1" w:lastRow="0" w:firstColumn="1" w:lastColumn="0" w:noHBand="0" w:noVBand="1"/>
      </w:tblPr>
      <w:tblGrid>
        <w:gridCol w:w="2825"/>
        <w:gridCol w:w="2977"/>
        <w:gridCol w:w="3402"/>
      </w:tblGrid>
      <w:tr w:rsidR="00CB70A6" w:rsidRPr="00CF7E9F" w14:paraId="4655E2DF" w14:textId="77777777" w:rsidTr="00B11236">
        <w:trPr>
          <w:tblHeader/>
          <w:jc w:val="center"/>
        </w:trPr>
        <w:tc>
          <w:tcPr>
            <w:tcW w:w="2825" w:type="dxa"/>
            <w:shd w:val="clear" w:color="auto" w:fill="70AD47" w:themeFill="accent6"/>
          </w:tcPr>
          <w:p w14:paraId="6D44B544" w14:textId="77777777" w:rsidR="00CB70A6" w:rsidRPr="00CF7E9F" w:rsidRDefault="00CB70A6" w:rsidP="00A9692B">
            <w:pPr>
              <w:spacing w:before="120" w:after="120" w:line="276" w:lineRule="auto"/>
              <w:jc w:val="center"/>
              <w:rPr>
                <w:rFonts w:ascii="Arial" w:hAnsi="Arial" w:cs="Arial"/>
                <w:b/>
                <w:bCs/>
                <w:sz w:val="18"/>
                <w:szCs w:val="18"/>
              </w:rPr>
            </w:pPr>
            <w:r w:rsidRPr="00CF7E9F">
              <w:rPr>
                <w:rFonts w:ascii="Arial" w:hAnsi="Arial" w:cs="Arial"/>
                <w:b/>
                <w:sz w:val="18"/>
                <w:szCs w:val="18"/>
              </w:rPr>
              <w:t>Apartado del Anteproyecto</w:t>
            </w:r>
          </w:p>
        </w:tc>
        <w:tc>
          <w:tcPr>
            <w:tcW w:w="2977" w:type="dxa"/>
            <w:shd w:val="clear" w:color="auto" w:fill="70AD47" w:themeFill="accent6"/>
          </w:tcPr>
          <w:p w14:paraId="7FEADF78" w14:textId="77777777" w:rsidR="00CB70A6" w:rsidRPr="00CF7E9F" w:rsidRDefault="00CB70A6" w:rsidP="00A9692B">
            <w:pPr>
              <w:spacing w:before="120" w:after="120" w:line="276" w:lineRule="auto"/>
              <w:jc w:val="center"/>
              <w:rPr>
                <w:rFonts w:ascii="Arial" w:hAnsi="Arial" w:cs="Arial"/>
                <w:b/>
                <w:bCs/>
                <w:sz w:val="18"/>
                <w:szCs w:val="18"/>
              </w:rPr>
            </w:pPr>
            <w:r w:rsidRPr="00CF7E9F">
              <w:rPr>
                <w:rFonts w:ascii="Arial" w:hAnsi="Arial" w:cs="Arial"/>
                <w:b/>
                <w:sz w:val="18"/>
                <w:szCs w:val="18"/>
              </w:rPr>
              <w:t>Resumen de los comentarios recibidos</w:t>
            </w:r>
          </w:p>
        </w:tc>
        <w:tc>
          <w:tcPr>
            <w:tcW w:w="3402" w:type="dxa"/>
            <w:shd w:val="clear" w:color="auto" w:fill="70AD47" w:themeFill="accent6"/>
          </w:tcPr>
          <w:p w14:paraId="708C02D7" w14:textId="77777777" w:rsidR="00CB70A6" w:rsidRPr="00CF7E9F" w:rsidRDefault="00CB70A6" w:rsidP="00A9692B">
            <w:pPr>
              <w:spacing w:before="120" w:after="120" w:line="276" w:lineRule="auto"/>
              <w:jc w:val="center"/>
              <w:rPr>
                <w:rFonts w:ascii="Arial" w:hAnsi="Arial" w:cs="Arial"/>
                <w:b/>
                <w:sz w:val="18"/>
                <w:szCs w:val="18"/>
              </w:rPr>
            </w:pPr>
            <w:r w:rsidRPr="00CF7E9F">
              <w:rPr>
                <w:rFonts w:ascii="Arial" w:hAnsi="Arial" w:cs="Arial"/>
                <w:b/>
                <w:sz w:val="18"/>
                <w:szCs w:val="18"/>
              </w:rPr>
              <w:t>Consideración</w:t>
            </w:r>
          </w:p>
        </w:tc>
      </w:tr>
      <w:tr w:rsidR="00CB70A6" w:rsidRPr="00CF7E9F" w14:paraId="1A7ECA4C" w14:textId="77777777" w:rsidTr="00B11236">
        <w:trPr>
          <w:jc w:val="center"/>
        </w:trPr>
        <w:tc>
          <w:tcPr>
            <w:tcW w:w="9204" w:type="dxa"/>
            <w:gridSpan w:val="3"/>
            <w:shd w:val="clear" w:color="auto" w:fill="C5E0B3" w:themeFill="accent6" w:themeFillTint="66"/>
          </w:tcPr>
          <w:p w14:paraId="67ED6D16" w14:textId="60B45717" w:rsidR="00CB70A6" w:rsidRPr="00CF7E9F" w:rsidRDefault="00CB70A6" w:rsidP="00A9692B">
            <w:pPr>
              <w:spacing w:before="120" w:after="120" w:line="276" w:lineRule="auto"/>
              <w:jc w:val="center"/>
              <w:rPr>
                <w:rFonts w:ascii="Arial" w:hAnsi="Arial" w:cs="Arial"/>
                <w:b/>
                <w:sz w:val="18"/>
                <w:szCs w:val="18"/>
                <w:lang w:val="es-ES_tradnl"/>
              </w:rPr>
            </w:pPr>
            <w:r w:rsidRPr="00CB70A6">
              <w:rPr>
                <w:rFonts w:ascii="Arial" w:hAnsi="Arial" w:cs="Arial"/>
                <w:b/>
                <w:sz w:val="18"/>
                <w:szCs w:val="18"/>
                <w:lang w:val="es-ES_tradnl"/>
              </w:rPr>
              <w:t>5.6 Obligados a Notificar</w:t>
            </w:r>
          </w:p>
        </w:tc>
      </w:tr>
      <w:tr w:rsidR="00DF69C6" w:rsidRPr="00CF7E9F" w14:paraId="299D4157" w14:textId="77777777" w:rsidTr="009B2105">
        <w:trPr>
          <w:jc w:val="center"/>
        </w:trPr>
        <w:tc>
          <w:tcPr>
            <w:tcW w:w="2825" w:type="dxa"/>
            <w:shd w:val="clear" w:color="auto" w:fill="FFFFFF" w:themeFill="background1"/>
          </w:tcPr>
          <w:p w14:paraId="54DD541C" w14:textId="77777777" w:rsidR="000F24EC" w:rsidRPr="000F24EC" w:rsidRDefault="000F24EC" w:rsidP="00A9692B">
            <w:pPr>
              <w:spacing w:before="120" w:after="120" w:line="276" w:lineRule="auto"/>
              <w:jc w:val="both"/>
              <w:rPr>
                <w:rFonts w:ascii="Arial" w:hAnsi="Arial" w:cs="Arial"/>
                <w:bCs/>
                <w:sz w:val="18"/>
                <w:szCs w:val="18"/>
                <w:lang w:val="es-ES"/>
              </w:rPr>
            </w:pPr>
            <w:r w:rsidRPr="000F24EC">
              <w:rPr>
                <w:rFonts w:ascii="Arial" w:hAnsi="Arial" w:cs="Arial"/>
                <w:bCs/>
                <w:sz w:val="18"/>
                <w:szCs w:val="18"/>
                <w:lang w:val="es-ES"/>
              </w:rPr>
              <w:t>Al respecto, la legislación supone que todos los agentes económicos que participan directamente en una concentración serán quienes firmen el escrito de notificación de concentración respectivo (agentes económicos notificantes) y serán quienes acudirán en un mismo acto de notificación.</w:t>
            </w:r>
          </w:p>
          <w:p w14:paraId="30104F63" w14:textId="77777777" w:rsidR="000F24EC" w:rsidRPr="000F24EC" w:rsidRDefault="000F24EC" w:rsidP="00A9692B">
            <w:pPr>
              <w:spacing w:before="120" w:after="120" w:line="276" w:lineRule="auto"/>
              <w:jc w:val="both"/>
              <w:rPr>
                <w:rFonts w:ascii="Arial" w:hAnsi="Arial" w:cs="Arial"/>
                <w:bCs/>
                <w:sz w:val="18"/>
                <w:szCs w:val="18"/>
                <w:lang w:val="es-ES"/>
              </w:rPr>
            </w:pPr>
            <w:r w:rsidRPr="000F24EC">
              <w:rPr>
                <w:rFonts w:ascii="Arial" w:hAnsi="Arial" w:cs="Arial"/>
                <w:bCs/>
                <w:sz w:val="18"/>
                <w:szCs w:val="18"/>
                <w:lang w:val="es-ES"/>
              </w:rPr>
              <w:t>Sin embargo, la misma LFCE prevé que esta regla general puede exceptuarse y corresponderá a los agentes económicos promoventes del escrito respectivo acreditar la imposibilidad o el hecho. Al respecto, el artículo 19 de las Disposiciones Regulatorias establece que el agente económico que notifique está obligado a demostrar en su escrito de notificación de concentración la causa.</w:t>
            </w:r>
          </w:p>
          <w:p w14:paraId="4801EE42" w14:textId="77777777" w:rsidR="000F24EC" w:rsidRPr="000F24EC" w:rsidRDefault="000F24EC" w:rsidP="00A9692B">
            <w:pPr>
              <w:spacing w:before="120" w:after="120" w:line="276" w:lineRule="auto"/>
              <w:jc w:val="both"/>
              <w:rPr>
                <w:rFonts w:ascii="Arial" w:hAnsi="Arial" w:cs="Arial"/>
                <w:bCs/>
                <w:sz w:val="18"/>
                <w:szCs w:val="18"/>
                <w:lang w:val="es-ES"/>
              </w:rPr>
            </w:pPr>
            <w:r w:rsidRPr="000F24EC">
              <w:rPr>
                <w:rFonts w:ascii="Arial" w:hAnsi="Arial" w:cs="Arial"/>
                <w:bCs/>
                <w:sz w:val="18"/>
                <w:szCs w:val="18"/>
                <w:lang w:val="es-ES"/>
              </w:rPr>
              <w:t>No obstante, la excepción aludida nunca aplicará respecto del fusionante, adquirente o del que pretenda realizar el acto o producir el efecto de “acumulación”, quienes en todo momento tienen la obligación de notificar las concentraciones. De lo contrario, el IFT tendrá por no presentada la notificación respectiva.</w:t>
            </w:r>
          </w:p>
          <w:p w14:paraId="1DE84CC9" w14:textId="5B51E39D" w:rsidR="00DF69C6" w:rsidRPr="00CF7E9F" w:rsidRDefault="000F24EC" w:rsidP="00A9692B">
            <w:pPr>
              <w:spacing w:before="120" w:after="120" w:line="276" w:lineRule="auto"/>
              <w:jc w:val="both"/>
              <w:rPr>
                <w:rFonts w:ascii="Arial" w:hAnsi="Arial" w:cs="Arial"/>
                <w:bCs/>
                <w:sz w:val="18"/>
                <w:szCs w:val="18"/>
                <w:lang w:val="es-ES"/>
              </w:rPr>
            </w:pPr>
            <w:r w:rsidRPr="000F24EC">
              <w:rPr>
                <w:rFonts w:ascii="Arial" w:hAnsi="Arial" w:cs="Arial"/>
                <w:bCs/>
                <w:sz w:val="18"/>
                <w:szCs w:val="18"/>
                <w:lang w:val="es-ES"/>
              </w:rPr>
              <w:t>Es de precisar algunos ejemplos en los que puede ser justificable, sujeto a su acreditación, la imposibilidad o el hecho que participantes directos queden exentos de presentar la notificación</w:t>
            </w:r>
          </w:p>
        </w:tc>
        <w:tc>
          <w:tcPr>
            <w:tcW w:w="2977" w:type="dxa"/>
            <w:shd w:val="clear" w:color="auto" w:fill="FFFFFF" w:themeFill="background1"/>
            <w:vAlign w:val="center"/>
          </w:tcPr>
          <w:p w14:paraId="07BB08E3" w14:textId="599895E3" w:rsidR="00DF69C6" w:rsidRPr="00CF7E9F" w:rsidRDefault="00DF69C6" w:rsidP="00A9692B">
            <w:pPr>
              <w:spacing w:before="120" w:after="120" w:line="276" w:lineRule="auto"/>
              <w:jc w:val="both"/>
              <w:rPr>
                <w:rFonts w:ascii="Arial" w:hAnsi="Arial" w:cs="Arial"/>
                <w:sz w:val="18"/>
                <w:szCs w:val="18"/>
              </w:rPr>
            </w:pPr>
            <w:r w:rsidRPr="00A44AA5">
              <w:rPr>
                <w:rFonts w:ascii="Arial" w:eastAsia="Times New Roman" w:hAnsi="Arial" w:cs="Arial"/>
                <w:color w:val="000000"/>
                <w:sz w:val="18"/>
                <w:szCs w:val="18"/>
                <w:lang w:eastAsia="es-MX"/>
              </w:rPr>
              <w:t>La Guía establece que la excepción de acudir a notificar únicamente está pe</w:t>
            </w:r>
            <w:r>
              <w:rPr>
                <w:rFonts w:ascii="Arial" w:eastAsia="Times New Roman" w:hAnsi="Arial" w:cs="Arial"/>
                <w:color w:val="000000"/>
                <w:sz w:val="18"/>
                <w:szCs w:val="18"/>
                <w:lang w:eastAsia="es-MX"/>
              </w:rPr>
              <w:t xml:space="preserve">rmitida </w:t>
            </w:r>
            <w:r w:rsidRPr="00A44AA5">
              <w:rPr>
                <w:rFonts w:ascii="Arial" w:eastAsia="Times New Roman" w:hAnsi="Arial" w:cs="Arial"/>
                <w:color w:val="000000"/>
                <w:sz w:val="18"/>
                <w:szCs w:val="18"/>
                <w:lang w:eastAsia="es-MX"/>
              </w:rPr>
              <w:t>para los Agentes Económicos adquiridos. Al respecto</w:t>
            </w:r>
            <w:r>
              <w:rPr>
                <w:rFonts w:ascii="Arial" w:eastAsia="Times New Roman" w:hAnsi="Arial" w:cs="Arial"/>
                <w:color w:val="000000"/>
                <w:sz w:val="18"/>
                <w:szCs w:val="18"/>
                <w:lang w:eastAsia="es-MX"/>
              </w:rPr>
              <w:t xml:space="preserve"> e</w:t>
            </w:r>
            <w:r w:rsidRPr="00AE7DEA">
              <w:rPr>
                <w:rFonts w:ascii="Arial" w:eastAsia="Times New Roman" w:hAnsi="Arial" w:cs="Arial"/>
                <w:color w:val="000000"/>
                <w:sz w:val="18"/>
                <w:szCs w:val="18"/>
                <w:lang w:eastAsia="es-MX"/>
              </w:rPr>
              <w:t xml:space="preserve">sta COMISIÓN considera que esto no </w:t>
            </w:r>
            <w:r w:rsidR="00AD28AB" w:rsidRPr="00AE7DEA">
              <w:rPr>
                <w:rFonts w:ascii="Arial" w:eastAsia="Times New Roman" w:hAnsi="Arial" w:cs="Arial"/>
                <w:color w:val="000000"/>
                <w:sz w:val="18"/>
                <w:szCs w:val="18"/>
                <w:lang w:eastAsia="es-MX"/>
              </w:rPr>
              <w:t>debería</w:t>
            </w:r>
            <w:r w:rsidRPr="00AE7DEA">
              <w:rPr>
                <w:rFonts w:ascii="Arial" w:eastAsia="Times New Roman" w:hAnsi="Arial" w:cs="Arial"/>
                <w:color w:val="000000"/>
                <w:sz w:val="18"/>
                <w:szCs w:val="18"/>
                <w:lang w:eastAsia="es-MX"/>
              </w:rPr>
              <w:t xml:space="preserve"> de considerarse como una excepción, debido a que las sociedades objeto no suelen firmar los contratos que dan origen a una concentración. En este contexto, las sociedades objeto únicamente deberán comparecer cuando sean adquirentes. </w:t>
            </w:r>
          </w:p>
        </w:tc>
        <w:tc>
          <w:tcPr>
            <w:tcW w:w="3402" w:type="dxa"/>
            <w:shd w:val="clear" w:color="auto" w:fill="FFFFFF" w:themeFill="background1"/>
          </w:tcPr>
          <w:p w14:paraId="6A68A73F" w14:textId="39FBC707" w:rsidR="006378D1" w:rsidRPr="006B64D9" w:rsidRDefault="005B5B16" w:rsidP="00A9692B">
            <w:pPr>
              <w:spacing w:before="120" w:after="120" w:line="276" w:lineRule="auto"/>
              <w:jc w:val="both"/>
              <w:rPr>
                <w:rFonts w:ascii="Arial" w:eastAsia="Times New Roman" w:hAnsi="Arial" w:cs="Arial"/>
                <w:color w:val="000000"/>
                <w:sz w:val="18"/>
                <w:szCs w:val="18"/>
                <w:lang w:eastAsia="es-MX"/>
              </w:rPr>
            </w:pPr>
            <w:r w:rsidRPr="006B64D9">
              <w:rPr>
                <w:rFonts w:ascii="Arial" w:eastAsia="Times New Roman" w:hAnsi="Arial" w:cs="Arial"/>
                <w:color w:val="000000"/>
                <w:sz w:val="18"/>
                <w:szCs w:val="18"/>
                <w:lang w:eastAsia="es-MX"/>
              </w:rPr>
              <w:t>El comentario no s</w:t>
            </w:r>
            <w:r w:rsidR="006378D1" w:rsidRPr="006B64D9">
              <w:rPr>
                <w:rFonts w:ascii="Arial" w:eastAsia="Times New Roman" w:hAnsi="Arial" w:cs="Arial"/>
                <w:color w:val="000000"/>
                <w:sz w:val="18"/>
                <w:szCs w:val="18"/>
                <w:lang w:eastAsia="es-MX"/>
              </w:rPr>
              <w:t>e considera procedente</w:t>
            </w:r>
            <w:r w:rsidR="00404930">
              <w:rPr>
                <w:rFonts w:ascii="Arial" w:eastAsia="Times New Roman" w:hAnsi="Arial" w:cs="Arial"/>
                <w:color w:val="000000"/>
                <w:sz w:val="18"/>
                <w:szCs w:val="18"/>
                <w:lang w:eastAsia="es-MX"/>
              </w:rPr>
              <w:t>.</w:t>
            </w:r>
            <w:r w:rsidRPr="006B64D9">
              <w:rPr>
                <w:rFonts w:ascii="Arial" w:eastAsia="Times New Roman" w:hAnsi="Arial" w:cs="Arial"/>
                <w:color w:val="000000"/>
                <w:sz w:val="18"/>
                <w:szCs w:val="18"/>
                <w:lang w:eastAsia="es-MX"/>
              </w:rPr>
              <w:t xml:space="preserve"> </w:t>
            </w:r>
            <w:r w:rsidR="00404930">
              <w:rPr>
                <w:rFonts w:ascii="Arial" w:eastAsia="Times New Roman" w:hAnsi="Arial" w:cs="Arial"/>
                <w:color w:val="000000"/>
                <w:sz w:val="18"/>
                <w:szCs w:val="18"/>
                <w:lang w:eastAsia="es-MX"/>
              </w:rPr>
              <w:t>P</w:t>
            </w:r>
            <w:r w:rsidRPr="006B64D9">
              <w:rPr>
                <w:rFonts w:ascii="Arial" w:eastAsia="Times New Roman" w:hAnsi="Arial" w:cs="Arial"/>
                <w:color w:val="000000"/>
                <w:sz w:val="18"/>
                <w:szCs w:val="18"/>
                <w:lang w:eastAsia="es-MX"/>
              </w:rPr>
              <w:t xml:space="preserve">rimero, porque existen concentraciones en el que el </w:t>
            </w:r>
            <w:r w:rsidRPr="00A44AA5">
              <w:rPr>
                <w:rFonts w:ascii="Arial" w:eastAsia="Times New Roman" w:hAnsi="Arial" w:cs="Arial"/>
                <w:color w:val="000000"/>
                <w:sz w:val="18"/>
                <w:szCs w:val="18"/>
                <w:lang w:eastAsia="es-MX"/>
              </w:rPr>
              <w:t>Agentes Económicos adquirido</w:t>
            </w:r>
            <w:r>
              <w:rPr>
                <w:rFonts w:ascii="Arial" w:eastAsia="Times New Roman" w:hAnsi="Arial" w:cs="Arial"/>
                <w:color w:val="000000"/>
                <w:sz w:val="18"/>
                <w:szCs w:val="18"/>
                <w:lang w:eastAsia="es-MX"/>
              </w:rPr>
              <w:t xml:space="preserve">s se tratan de empresas públicas con capital completamente diluido entre el público inversionista. Normalmente, estos  </w:t>
            </w:r>
            <w:r w:rsidRPr="006B64D9">
              <w:rPr>
                <w:rFonts w:ascii="Arial" w:eastAsia="Times New Roman" w:hAnsi="Arial" w:cs="Arial"/>
                <w:color w:val="000000"/>
                <w:sz w:val="18"/>
                <w:szCs w:val="18"/>
                <w:lang w:eastAsia="es-MX"/>
              </w:rPr>
              <w:t xml:space="preserve">  </w:t>
            </w:r>
            <w:r w:rsidR="006378D1" w:rsidRPr="006B64D9">
              <w:rPr>
                <w:rFonts w:ascii="Arial" w:eastAsia="Times New Roman" w:hAnsi="Arial" w:cs="Arial"/>
                <w:color w:val="000000"/>
                <w:sz w:val="18"/>
                <w:szCs w:val="18"/>
                <w:lang w:eastAsia="es-MX"/>
              </w:rPr>
              <w:t xml:space="preserve"> </w:t>
            </w:r>
            <w:r w:rsidRPr="00A44AA5">
              <w:rPr>
                <w:rFonts w:ascii="Arial" w:eastAsia="Times New Roman" w:hAnsi="Arial" w:cs="Arial"/>
                <w:color w:val="000000"/>
                <w:sz w:val="18"/>
                <w:szCs w:val="18"/>
                <w:lang w:eastAsia="es-MX"/>
              </w:rPr>
              <w:t>Agentes Económicos adquirido</w:t>
            </w:r>
            <w:r>
              <w:rPr>
                <w:rFonts w:ascii="Arial" w:eastAsia="Times New Roman" w:hAnsi="Arial" w:cs="Arial"/>
                <w:color w:val="000000"/>
                <w:sz w:val="18"/>
                <w:szCs w:val="18"/>
                <w:lang w:eastAsia="es-MX"/>
              </w:rPr>
              <w:t>s, empresas públicas,</w:t>
            </w:r>
            <w:r w:rsidRPr="006B64D9">
              <w:rPr>
                <w:rFonts w:ascii="Arial" w:eastAsia="Times New Roman" w:hAnsi="Arial" w:cs="Arial"/>
                <w:color w:val="000000"/>
                <w:sz w:val="18"/>
                <w:szCs w:val="18"/>
                <w:lang w:eastAsia="es-MX"/>
              </w:rPr>
              <w:t xml:space="preserve"> sí firman contratos y acuden a notificar a las autoridades de competencia, pues los accionistas que fungirían como vendedores estarían imposibilitados en hacerlo. </w:t>
            </w:r>
            <w:r w:rsidR="00404930">
              <w:rPr>
                <w:rFonts w:ascii="Arial" w:eastAsia="Times New Roman" w:hAnsi="Arial" w:cs="Arial"/>
                <w:color w:val="000000"/>
                <w:sz w:val="18"/>
                <w:szCs w:val="18"/>
                <w:lang w:eastAsia="es-MX"/>
              </w:rPr>
              <w:t>Segundo</w:t>
            </w:r>
            <w:r w:rsidRPr="006B64D9">
              <w:rPr>
                <w:rFonts w:ascii="Arial" w:eastAsia="Times New Roman" w:hAnsi="Arial" w:cs="Arial"/>
                <w:color w:val="000000"/>
                <w:sz w:val="18"/>
                <w:szCs w:val="18"/>
                <w:lang w:eastAsia="es-MX"/>
              </w:rPr>
              <w:t xml:space="preserve">, tal y como se indica en el Anteproyecto, existen operaciones en los que un </w:t>
            </w:r>
            <w:r w:rsidR="00404930">
              <w:rPr>
                <w:rFonts w:ascii="Arial" w:eastAsia="Times New Roman" w:hAnsi="Arial" w:cs="Arial"/>
                <w:color w:val="000000"/>
                <w:sz w:val="18"/>
                <w:szCs w:val="18"/>
                <w:lang w:eastAsia="es-MX"/>
              </w:rPr>
              <w:t xml:space="preserve">Agente Económico </w:t>
            </w:r>
            <w:r w:rsidRPr="001723FA">
              <w:rPr>
                <w:rFonts w:ascii="Arial" w:eastAsia="Times New Roman" w:hAnsi="Arial" w:cs="Arial"/>
                <w:color w:val="000000"/>
                <w:sz w:val="18"/>
                <w:szCs w:val="18"/>
                <w:lang w:eastAsia="es-MX"/>
              </w:rPr>
              <w:t xml:space="preserve">Adquirente lanza una oferta pública de compra por las acciones de </w:t>
            </w:r>
            <w:r w:rsidR="00404930">
              <w:rPr>
                <w:rFonts w:ascii="Arial" w:eastAsia="Times New Roman" w:hAnsi="Arial" w:cs="Arial"/>
                <w:color w:val="000000"/>
                <w:sz w:val="18"/>
                <w:szCs w:val="18"/>
                <w:lang w:eastAsia="es-MX"/>
              </w:rPr>
              <w:t>alguna</w:t>
            </w:r>
            <w:r w:rsidRPr="001723FA">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empresa pública, </w:t>
            </w:r>
            <w:r w:rsidRPr="001723FA">
              <w:rPr>
                <w:rFonts w:ascii="Arial" w:eastAsia="Times New Roman" w:hAnsi="Arial" w:cs="Arial"/>
                <w:color w:val="000000"/>
                <w:sz w:val="18"/>
                <w:szCs w:val="18"/>
                <w:lang w:eastAsia="es-MX"/>
              </w:rPr>
              <w:t>pero los directivos y administradores de esa empresa se oponen a la adquisición (adquisici</w:t>
            </w:r>
            <w:r w:rsidR="00404930">
              <w:rPr>
                <w:rFonts w:ascii="Arial" w:eastAsia="Times New Roman" w:hAnsi="Arial" w:cs="Arial"/>
                <w:color w:val="000000"/>
                <w:sz w:val="18"/>
                <w:szCs w:val="18"/>
                <w:lang w:eastAsia="es-MX"/>
              </w:rPr>
              <w:t>ón</w:t>
            </w:r>
            <w:r w:rsidRPr="001723FA">
              <w:rPr>
                <w:rFonts w:ascii="Arial" w:eastAsia="Times New Roman" w:hAnsi="Arial" w:cs="Arial"/>
                <w:color w:val="000000"/>
                <w:sz w:val="18"/>
                <w:szCs w:val="18"/>
                <w:lang w:eastAsia="es-MX"/>
              </w:rPr>
              <w:t xml:space="preserve"> hostil); en este caso, </w:t>
            </w:r>
            <w:r w:rsidR="00404930">
              <w:rPr>
                <w:rFonts w:ascii="Arial" w:eastAsia="Times New Roman" w:hAnsi="Arial" w:cs="Arial"/>
                <w:color w:val="000000"/>
                <w:sz w:val="18"/>
                <w:szCs w:val="18"/>
                <w:lang w:eastAsia="es-MX"/>
              </w:rPr>
              <w:t>e</w:t>
            </w:r>
            <w:r w:rsidRPr="001723FA">
              <w:rPr>
                <w:rFonts w:ascii="Arial" w:eastAsia="Times New Roman" w:hAnsi="Arial" w:cs="Arial"/>
                <w:color w:val="000000"/>
                <w:sz w:val="18"/>
                <w:szCs w:val="18"/>
                <w:lang w:eastAsia="es-MX"/>
              </w:rPr>
              <w:t>l Agente Económico Adquirido estaría imposibilitado para notificar la adquisici</w:t>
            </w:r>
            <w:r w:rsidR="00404930">
              <w:rPr>
                <w:rFonts w:ascii="Arial" w:eastAsia="Times New Roman" w:hAnsi="Arial" w:cs="Arial"/>
                <w:color w:val="000000"/>
                <w:sz w:val="18"/>
                <w:szCs w:val="18"/>
                <w:lang w:eastAsia="es-MX"/>
              </w:rPr>
              <w:t>ón</w:t>
            </w:r>
            <w:r w:rsidRPr="001723FA">
              <w:rPr>
                <w:rFonts w:ascii="Arial" w:eastAsia="Times New Roman" w:hAnsi="Arial" w:cs="Arial"/>
                <w:color w:val="000000"/>
                <w:sz w:val="18"/>
                <w:szCs w:val="18"/>
                <w:lang w:eastAsia="es-MX"/>
              </w:rPr>
              <w:t xml:space="preserve"> (hostil) ante las autoridades de competencia. </w:t>
            </w:r>
            <w:r w:rsidR="00404930">
              <w:rPr>
                <w:rFonts w:ascii="Arial" w:eastAsia="Times New Roman" w:hAnsi="Arial" w:cs="Arial"/>
                <w:color w:val="000000"/>
                <w:sz w:val="18"/>
                <w:szCs w:val="18"/>
                <w:lang w:eastAsia="es-MX"/>
              </w:rPr>
              <w:t>En este caso, la LFCE permitiría que el Agente Económico Adquirido no notifique, pero si obligaría a hacerlo al adquirente. Al respecto,  el</w:t>
            </w:r>
            <w:r w:rsidR="006378D1" w:rsidRPr="001723FA">
              <w:rPr>
                <w:rFonts w:ascii="Arial" w:eastAsia="Times New Roman" w:hAnsi="Arial" w:cs="Arial"/>
                <w:color w:val="000000"/>
                <w:sz w:val="18"/>
                <w:szCs w:val="18"/>
                <w:lang w:eastAsia="es-MX"/>
              </w:rPr>
              <w:t xml:space="preserve"> artículo 88</w:t>
            </w:r>
            <w:r w:rsidR="00404930">
              <w:rPr>
                <w:rFonts w:ascii="Arial" w:eastAsia="Times New Roman" w:hAnsi="Arial" w:cs="Arial"/>
                <w:color w:val="000000"/>
                <w:sz w:val="18"/>
                <w:szCs w:val="18"/>
                <w:lang w:eastAsia="es-MX"/>
              </w:rPr>
              <w:t xml:space="preserve"> de la LFCE</w:t>
            </w:r>
            <w:r w:rsidR="006378D1" w:rsidRPr="006B64D9">
              <w:rPr>
                <w:rFonts w:ascii="Arial" w:eastAsia="Times New Roman" w:hAnsi="Arial" w:cs="Arial"/>
                <w:color w:val="000000"/>
                <w:sz w:val="18"/>
                <w:szCs w:val="18"/>
                <w:lang w:eastAsia="es-MX"/>
              </w:rPr>
              <w:t xml:space="preserve"> establece lo siguiente:</w:t>
            </w:r>
          </w:p>
          <w:p w14:paraId="19AF8C91" w14:textId="77777777" w:rsidR="00BC70A9" w:rsidRPr="001723FA" w:rsidRDefault="006378D1" w:rsidP="00A9692B">
            <w:pPr>
              <w:spacing w:before="120" w:after="120" w:line="276" w:lineRule="auto"/>
              <w:ind w:left="179"/>
              <w:jc w:val="both"/>
              <w:rPr>
                <w:rFonts w:ascii="Arial" w:eastAsia="Times New Roman" w:hAnsi="Arial" w:cs="Arial"/>
                <w:color w:val="000000"/>
                <w:sz w:val="18"/>
                <w:szCs w:val="18"/>
                <w:lang w:eastAsia="es-MX"/>
              </w:rPr>
            </w:pPr>
            <w:r w:rsidRPr="001723FA">
              <w:rPr>
                <w:rFonts w:ascii="Arial" w:eastAsia="Times New Roman" w:hAnsi="Arial" w:cs="Arial"/>
                <w:color w:val="000000"/>
                <w:sz w:val="18"/>
                <w:szCs w:val="18"/>
                <w:lang w:eastAsia="es-MX"/>
              </w:rPr>
              <w:t>“Artículo 88. Están obligados a notificar la concentración los Agentes Económicos que participen directamente en la misma.</w:t>
            </w:r>
          </w:p>
          <w:p w14:paraId="2C6E32D1" w14:textId="66A67EEC" w:rsidR="006378D1" w:rsidRPr="001723FA" w:rsidRDefault="00BC70A9" w:rsidP="00BC70A9">
            <w:pPr>
              <w:spacing w:before="120" w:after="120" w:line="276" w:lineRule="auto"/>
              <w:ind w:left="179"/>
              <w:jc w:val="both"/>
              <w:rPr>
                <w:rFonts w:ascii="Arial" w:eastAsia="Times New Roman" w:hAnsi="Arial" w:cs="Arial"/>
                <w:color w:val="000000"/>
                <w:sz w:val="18"/>
                <w:szCs w:val="18"/>
                <w:lang w:eastAsia="es-MX"/>
              </w:rPr>
            </w:pPr>
            <w:r w:rsidRPr="001723FA">
              <w:rPr>
                <w:rFonts w:ascii="Arial" w:eastAsia="Times New Roman" w:hAnsi="Arial" w:cs="Arial"/>
                <w:color w:val="000000"/>
                <w:sz w:val="18"/>
                <w:szCs w:val="18"/>
                <w:lang w:eastAsia="es-MX"/>
              </w:rPr>
              <w:t xml:space="preserve">Cuando no puedan notificar los directamente involucrados, sea por una imposibilidad jurídica o de hecho y así lo acrediten ante la Comisión, o en el caso previsto en el artículo 92 de esta Ley, podrán hacerlo el fusionante, el que adquiera el control de las sociedades o asociaciones, o el que pretenda realizar el acto o producir el efecto de acumular las </w:t>
            </w:r>
            <w:r w:rsidRPr="001723FA">
              <w:rPr>
                <w:rFonts w:ascii="Arial" w:eastAsia="Times New Roman" w:hAnsi="Arial" w:cs="Arial"/>
                <w:color w:val="000000"/>
                <w:sz w:val="18"/>
                <w:szCs w:val="18"/>
                <w:lang w:eastAsia="es-MX"/>
              </w:rPr>
              <w:lastRenderedPageBreak/>
              <w:t>acciones, partes sociales, participación en fideicomisos o activos objeto de la transacción.</w:t>
            </w:r>
            <w:r w:rsidR="006378D1" w:rsidRPr="001723FA">
              <w:rPr>
                <w:rFonts w:ascii="Arial" w:eastAsia="Times New Roman" w:hAnsi="Arial" w:cs="Arial"/>
                <w:color w:val="000000"/>
                <w:sz w:val="18"/>
                <w:szCs w:val="18"/>
                <w:lang w:eastAsia="es-MX"/>
              </w:rPr>
              <w:t>”</w:t>
            </w:r>
          </w:p>
          <w:p w14:paraId="071AC8FD" w14:textId="4070DEA1" w:rsidR="00DF69C6" w:rsidRPr="001723FA" w:rsidRDefault="00F6200B" w:rsidP="00A9692B">
            <w:pPr>
              <w:spacing w:before="120" w:after="120" w:line="276"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Cabe agregar que, como el Anteproyecto ya lo establece, e</w:t>
            </w:r>
            <w:r w:rsidRPr="00F6200B">
              <w:rPr>
                <w:rFonts w:ascii="Arial" w:eastAsia="Times New Roman" w:hAnsi="Arial" w:cs="Arial"/>
                <w:color w:val="000000"/>
                <w:sz w:val="18"/>
                <w:szCs w:val="18"/>
                <w:lang w:eastAsia="es-MX"/>
              </w:rPr>
              <w:t>n casos donde el vendedor, enajenante o cedente sea un notificante y controle al agente adquirido, éste último se identifica, previamente a la realización de la concentración, como parte del GIE del primero, por lo cual no será necesario que se presente también como notificante</w:t>
            </w:r>
            <w:r w:rsidR="006378D1" w:rsidRPr="001723FA">
              <w:rPr>
                <w:rFonts w:ascii="Arial" w:eastAsia="Times New Roman" w:hAnsi="Arial" w:cs="Arial"/>
                <w:color w:val="000000"/>
                <w:sz w:val="18"/>
                <w:szCs w:val="18"/>
                <w:lang w:eastAsia="es-MX"/>
              </w:rPr>
              <w:t>.</w:t>
            </w:r>
          </w:p>
        </w:tc>
      </w:tr>
    </w:tbl>
    <w:p w14:paraId="1F043601" w14:textId="1541B4F1" w:rsidR="00CB70A6" w:rsidRPr="00CF7E9F" w:rsidRDefault="00CB70A6" w:rsidP="00A9692B">
      <w:pPr>
        <w:spacing w:before="120" w:after="120" w:line="276" w:lineRule="auto"/>
        <w:jc w:val="both"/>
        <w:rPr>
          <w:rFonts w:ascii="Arial" w:hAnsi="Arial" w:cs="Arial"/>
          <w:b/>
        </w:rPr>
      </w:pPr>
      <w:bookmarkStart w:id="13" w:name="_Hlk88503534"/>
      <w:bookmarkEnd w:id="12"/>
      <w:r w:rsidRPr="00CF7E9F">
        <w:rPr>
          <w:rFonts w:ascii="Arial" w:hAnsi="Arial" w:cs="Arial"/>
          <w:b/>
        </w:rPr>
        <w:lastRenderedPageBreak/>
        <w:t>7.</w:t>
      </w:r>
      <w:r>
        <w:rPr>
          <w:rFonts w:ascii="Arial" w:hAnsi="Arial" w:cs="Arial"/>
          <w:b/>
        </w:rPr>
        <w:t>13</w:t>
      </w:r>
      <w:r w:rsidRPr="00CF7E9F">
        <w:rPr>
          <w:rFonts w:ascii="Arial" w:hAnsi="Arial" w:cs="Arial"/>
          <w:b/>
        </w:rPr>
        <w:t>. “</w:t>
      </w:r>
      <w:r w:rsidRPr="00CB70A6">
        <w:rPr>
          <w:rFonts w:ascii="Arial" w:hAnsi="Arial" w:cs="Arial"/>
          <w:b/>
        </w:rPr>
        <w:t>5.7 Escrito de notificación</w:t>
      </w:r>
      <w:r w:rsidRPr="00CF7E9F">
        <w:rPr>
          <w:rFonts w:ascii="Arial" w:hAnsi="Arial" w:cs="Arial"/>
          <w:b/>
        </w:rPr>
        <w:t>”</w:t>
      </w:r>
    </w:p>
    <w:p w14:paraId="7F98931C" w14:textId="38C8C509" w:rsidR="00CB70A6" w:rsidRPr="00CF7E9F" w:rsidRDefault="00CB70A6" w:rsidP="00A9692B">
      <w:pPr>
        <w:spacing w:before="120" w:after="120" w:line="276" w:lineRule="auto"/>
        <w:jc w:val="both"/>
        <w:rPr>
          <w:rFonts w:ascii="Arial" w:hAnsi="Arial" w:cs="Arial"/>
          <w:b/>
        </w:rPr>
      </w:pPr>
      <w:r w:rsidRPr="00CF7E9F">
        <w:rPr>
          <w:rFonts w:ascii="Arial" w:hAnsi="Arial" w:cs="Arial"/>
          <w:b/>
        </w:rPr>
        <w:t>7.</w:t>
      </w:r>
      <w:r>
        <w:rPr>
          <w:rFonts w:ascii="Arial" w:hAnsi="Arial" w:cs="Arial"/>
          <w:b/>
        </w:rPr>
        <w:t>13</w:t>
      </w:r>
      <w:r w:rsidRPr="00CF7E9F">
        <w:rPr>
          <w:rFonts w:ascii="Arial" w:hAnsi="Arial" w:cs="Arial"/>
          <w:b/>
        </w:rPr>
        <w:t>.1. Síntesis de los comentarios relacionados con el apartado</w:t>
      </w:r>
      <w:r>
        <w:rPr>
          <w:rFonts w:ascii="Arial" w:hAnsi="Arial" w:cs="Arial"/>
          <w:b/>
        </w:rPr>
        <w:t xml:space="preserve"> </w:t>
      </w:r>
      <w:r w:rsidRPr="00CB70A6">
        <w:rPr>
          <w:rFonts w:ascii="Arial" w:hAnsi="Arial" w:cs="Arial"/>
          <w:b/>
        </w:rPr>
        <w:t>5.7 Escrito de notificación</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4A0" w:firstRow="1" w:lastRow="0" w:firstColumn="1" w:lastColumn="0" w:noHBand="0" w:noVBand="1"/>
      </w:tblPr>
      <w:tblGrid>
        <w:gridCol w:w="2825"/>
        <w:gridCol w:w="2977"/>
        <w:gridCol w:w="3402"/>
      </w:tblGrid>
      <w:tr w:rsidR="00CB70A6" w:rsidRPr="00CF7E9F" w14:paraId="7BA4B478" w14:textId="77777777" w:rsidTr="00B11236">
        <w:trPr>
          <w:tblHeader/>
          <w:jc w:val="center"/>
        </w:trPr>
        <w:tc>
          <w:tcPr>
            <w:tcW w:w="2825" w:type="dxa"/>
            <w:shd w:val="clear" w:color="auto" w:fill="70AD47" w:themeFill="accent6"/>
          </w:tcPr>
          <w:p w14:paraId="1B5095B5" w14:textId="77777777" w:rsidR="00CB70A6" w:rsidRPr="00CF7E9F" w:rsidRDefault="00CB70A6" w:rsidP="00A9692B">
            <w:pPr>
              <w:spacing w:before="120" w:after="120" w:line="276" w:lineRule="auto"/>
              <w:jc w:val="center"/>
              <w:rPr>
                <w:rFonts w:ascii="Arial" w:hAnsi="Arial" w:cs="Arial"/>
                <w:b/>
                <w:bCs/>
                <w:sz w:val="18"/>
                <w:szCs w:val="18"/>
              </w:rPr>
            </w:pPr>
            <w:r w:rsidRPr="00CF7E9F">
              <w:rPr>
                <w:rFonts w:ascii="Arial" w:hAnsi="Arial" w:cs="Arial"/>
                <w:b/>
                <w:sz w:val="18"/>
                <w:szCs w:val="18"/>
              </w:rPr>
              <w:t>Apartado del Anteproyecto</w:t>
            </w:r>
          </w:p>
        </w:tc>
        <w:tc>
          <w:tcPr>
            <w:tcW w:w="2977" w:type="dxa"/>
            <w:shd w:val="clear" w:color="auto" w:fill="70AD47" w:themeFill="accent6"/>
          </w:tcPr>
          <w:p w14:paraId="7D8BF008" w14:textId="77777777" w:rsidR="00CB70A6" w:rsidRPr="00CF7E9F" w:rsidRDefault="00CB70A6" w:rsidP="00A9692B">
            <w:pPr>
              <w:spacing w:before="120" w:after="120" w:line="276" w:lineRule="auto"/>
              <w:jc w:val="center"/>
              <w:rPr>
                <w:rFonts w:ascii="Arial" w:hAnsi="Arial" w:cs="Arial"/>
                <w:b/>
                <w:bCs/>
                <w:sz w:val="18"/>
                <w:szCs w:val="18"/>
              </w:rPr>
            </w:pPr>
            <w:r w:rsidRPr="00CF7E9F">
              <w:rPr>
                <w:rFonts w:ascii="Arial" w:hAnsi="Arial" w:cs="Arial"/>
                <w:b/>
                <w:sz w:val="18"/>
                <w:szCs w:val="18"/>
              </w:rPr>
              <w:t>Resumen de los comentarios recibidos</w:t>
            </w:r>
          </w:p>
        </w:tc>
        <w:tc>
          <w:tcPr>
            <w:tcW w:w="3402" w:type="dxa"/>
            <w:shd w:val="clear" w:color="auto" w:fill="70AD47" w:themeFill="accent6"/>
          </w:tcPr>
          <w:p w14:paraId="7C845458" w14:textId="77777777" w:rsidR="00CB70A6" w:rsidRPr="00CF7E9F" w:rsidRDefault="00CB70A6" w:rsidP="00A9692B">
            <w:pPr>
              <w:spacing w:before="120" w:after="120" w:line="276" w:lineRule="auto"/>
              <w:jc w:val="center"/>
              <w:rPr>
                <w:rFonts w:ascii="Arial" w:hAnsi="Arial" w:cs="Arial"/>
                <w:b/>
                <w:sz w:val="18"/>
                <w:szCs w:val="18"/>
              </w:rPr>
            </w:pPr>
            <w:r w:rsidRPr="00CF7E9F">
              <w:rPr>
                <w:rFonts w:ascii="Arial" w:hAnsi="Arial" w:cs="Arial"/>
                <w:b/>
                <w:sz w:val="18"/>
                <w:szCs w:val="18"/>
              </w:rPr>
              <w:t>Consideración</w:t>
            </w:r>
          </w:p>
        </w:tc>
      </w:tr>
      <w:tr w:rsidR="00CB70A6" w:rsidRPr="00CF7E9F" w14:paraId="051B06EF" w14:textId="77777777" w:rsidTr="00B11236">
        <w:trPr>
          <w:jc w:val="center"/>
        </w:trPr>
        <w:tc>
          <w:tcPr>
            <w:tcW w:w="9204" w:type="dxa"/>
            <w:gridSpan w:val="3"/>
            <w:shd w:val="clear" w:color="auto" w:fill="C5E0B3" w:themeFill="accent6" w:themeFillTint="66"/>
          </w:tcPr>
          <w:p w14:paraId="78AC4D36" w14:textId="74C3876E" w:rsidR="00CB70A6" w:rsidRPr="00CF7E9F" w:rsidRDefault="00CB70A6" w:rsidP="00A9692B">
            <w:pPr>
              <w:spacing w:before="120" w:after="120" w:line="276" w:lineRule="auto"/>
              <w:jc w:val="center"/>
              <w:rPr>
                <w:rFonts w:ascii="Arial" w:hAnsi="Arial" w:cs="Arial"/>
                <w:b/>
                <w:sz w:val="18"/>
                <w:szCs w:val="18"/>
                <w:lang w:val="es-ES_tradnl"/>
              </w:rPr>
            </w:pPr>
            <w:r w:rsidRPr="00CB70A6">
              <w:rPr>
                <w:rFonts w:ascii="Arial" w:hAnsi="Arial" w:cs="Arial"/>
                <w:b/>
                <w:sz w:val="18"/>
                <w:szCs w:val="18"/>
                <w:lang w:val="es-ES_tradnl"/>
              </w:rPr>
              <w:t>5.7 Escrito de notificación</w:t>
            </w:r>
          </w:p>
        </w:tc>
      </w:tr>
      <w:tr w:rsidR="007B4637" w:rsidRPr="00CF7E9F" w14:paraId="7B7FA7CE" w14:textId="77777777" w:rsidTr="009B2105">
        <w:trPr>
          <w:jc w:val="center"/>
        </w:trPr>
        <w:tc>
          <w:tcPr>
            <w:tcW w:w="2825" w:type="dxa"/>
            <w:vMerge w:val="restart"/>
            <w:shd w:val="clear" w:color="auto" w:fill="FFFFFF" w:themeFill="background1"/>
          </w:tcPr>
          <w:p w14:paraId="04DBAEFB" w14:textId="4C71C304" w:rsidR="007B4637" w:rsidRPr="00CF7E9F" w:rsidRDefault="007B4637" w:rsidP="00A9692B">
            <w:pPr>
              <w:spacing w:before="120" w:after="120" w:line="276" w:lineRule="auto"/>
              <w:jc w:val="both"/>
              <w:rPr>
                <w:rFonts w:ascii="Arial" w:hAnsi="Arial" w:cs="Arial"/>
                <w:bCs/>
                <w:sz w:val="18"/>
                <w:szCs w:val="18"/>
                <w:lang w:val="es-ES"/>
              </w:rPr>
            </w:pPr>
            <w:r w:rsidRPr="007B4637">
              <w:rPr>
                <w:rFonts w:ascii="Arial" w:hAnsi="Arial" w:cs="Arial"/>
                <w:bCs/>
                <w:sz w:val="18"/>
                <w:szCs w:val="18"/>
                <w:lang w:val="es-ES"/>
              </w:rPr>
              <w:t>La presentación del escrito de notificación de concentración no requiere formatos ni anotaciones especiales. Implica, esencialmente, el cumplimiento de cada uno de los elementos o requisitos señalados en el artículo 89 de la LFCE. Dichos requisitos se describen a continuación.</w:t>
            </w:r>
            <w:r>
              <w:rPr>
                <w:rFonts w:ascii="Arial" w:hAnsi="Arial" w:cs="Arial"/>
                <w:bCs/>
                <w:sz w:val="18"/>
                <w:szCs w:val="18"/>
                <w:lang w:val="es-ES"/>
              </w:rPr>
              <w:t xml:space="preserve"> (…)</w:t>
            </w:r>
          </w:p>
        </w:tc>
        <w:tc>
          <w:tcPr>
            <w:tcW w:w="2977" w:type="dxa"/>
            <w:shd w:val="clear" w:color="auto" w:fill="FFFFFF" w:themeFill="background1"/>
            <w:vAlign w:val="center"/>
          </w:tcPr>
          <w:p w14:paraId="46F3EAEB" w14:textId="1314B0A2" w:rsidR="007B4637" w:rsidRPr="00CF7E9F" w:rsidRDefault="007B4637" w:rsidP="00A9692B">
            <w:pPr>
              <w:spacing w:before="120" w:after="120" w:line="276" w:lineRule="auto"/>
              <w:jc w:val="both"/>
              <w:rPr>
                <w:rFonts w:ascii="Arial" w:hAnsi="Arial" w:cs="Arial"/>
                <w:sz w:val="18"/>
                <w:szCs w:val="18"/>
              </w:rPr>
            </w:pPr>
            <w:r w:rsidRPr="00AE7DEA">
              <w:rPr>
                <w:rFonts w:ascii="Arial" w:eastAsia="Times New Roman" w:hAnsi="Arial" w:cs="Arial"/>
                <w:color w:val="000000"/>
                <w:sz w:val="18"/>
                <w:szCs w:val="18"/>
                <w:lang w:eastAsia="es-MX"/>
              </w:rPr>
              <w:t>Si bien es una prerrogativa del Instituto definir los mercados relevantes e identificar el alcance y naturaleza de los mercados relacionados, se considera importante que la definición de mercados relevantes que lleve a cabo el Instituto se encuentre alineada a las definiciones de mercado que, en casos similares, han identificado otras autoridades de competencia económica en el mundo.</w:t>
            </w:r>
          </w:p>
        </w:tc>
        <w:tc>
          <w:tcPr>
            <w:tcW w:w="3402" w:type="dxa"/>
            <w:vMerge w:val="restart"/>
            <w:shd w:val="clear" w:color="auto" w:fill="FFFFFF" w:themeFill="background1"/>
          </w:tcPr>
          <w:p w14:paraId="14AE5149" w14:textId="354BE4E0" w:rsidR="007B4637" w:rsidRDefault="007B4637" w:rsidP="00A9692B">
            <w:pPr>
              <w:spacing w:before="120" w:after="120" w:line="276" w:lineRule="auto"/>
              <w:jc w:val="both"/>
              <w:rPr>
                <w:rFonts w:ascii="Arial" w:hAnsi="Arial" w:cs="Arial"/>
                <w:sz w:val="18"/>
                <w:szCs w:val="18"/>
              </w:rPr>
            </w:pPr>
            <w:r w:rsidRPr="006378D1">
              <w:rPr>
                <w:rFonts w:ascii="Arial" w:hAnsi="Arial" w:cs="Arial"/>
                <w:sz w:val="18"/>
                <w:szCs w:val="18"/>
              </w:rPr>
              <w:t xml:space="preserve">Se toma conocimiento de la opinión recibida. Sin embargo, se omiten comentarios respecto a temas y observaciones que rebasan el alcance del </w:t>
            </w:r>
            <w:r w:rsidR="002F3D17">
              <w:rPr>
                <w:rFonts w:ascii="Arial" w:hAnsi="Arial" w:cs="Arial"/>
                <w:sz w:val="18"/>
                <w:szCs w:val="18"/>
              </w:rPr>
              <w:t>Ante</w:t>
            </w:r>
            <w:r w:rsidRPr="006378D1">
              <w:rPr>
                <w:rFonts w:ascii="Arial" w:hAnsi="Arial" w:cs="Arial"/>
                <w:sz w:val="18"/>
                <w:szCs w:val="18"/>
              </w:rPr>
              <w:t>proyecto que se sometió a consulta pública, ya que la determinación de los mercados relevante es un tema que se</w:t>
            </w:r>
            <w:r w:rsidR="002F3D17">
              <w:rPr>
                <w:rFonts w:ascii="Arial" w:hAnsi="Arial" w:cs="Arial"/>
                <w:sz w:val="18"/>
                <w:szCs w:val="18"/>
              </w:rPr>
              <w:t>rá</w:t>
            </w:r>
            <w:r w:rsidRPr="006378D1">
              <w:rPr>
                <w:rFonts w:ascii="Arial" w:hAnsi="Arial" w:cs="Arial"/>
                <w:sz w:val="18"/>
                <w:szCs w:val="18"/>
              </w:rPr>
              <w:t xml:space="preserve"> aborda</w:t>
            </w:r>
            <w:r w:rsidR="002F3D17">
              <w:rPr>
                <w:rFonts w:ascii="Arial" w:hAnsi="Arial" w:cs="Arial"/>
                <w:sz w:val="18"/>
                <w:szCs w:val="18"/>
              </w:rPr>
              <w:t>do</w:t>
            </w:r>
            <w:r w:rsidRPr="006378D1">
              <w:rPr>
                <w:rFonts w:ascii="Arial" w:hAnsi="Arial" w:cs="Arial"/>
                <w:sz w:val="18"/>
                <w:szCs w:val="18"/>
              </w:rPr>
              <w:t xml:space="preserve"> en una guía diversa</w:t>
            </w:r>
            <w:r w:rsidR="002F3D17">
              <w:rPr>
                <w:rFonts w:ascii="Arial" w:hAnsi="Arial" w:cs="Arial"/>
                <w:sz w:val="18"/>
                <w:szCs w:val="18"/>
              </w:rPr>
              <w:t xml:space="preserve"> </w:t>
            </w:r>
            <w:r w:rsidR="003F00DD">
              <w:rPr>
                <w:rFonts w:ascii="Arial" w:hAnsi="Arial" w:cs="Arial"/>
                <w:sz w:val="18"/>
                <w:szCs w:val="18"/>
              </w:rPr>
              <w:t>la cual ya fue sometida a consulta pública (</w:t>
            </w:r>
            <w:r w:rsidR="003F00DD" w:rsidRPr="003F00DD">
              <w:rPr>
                <w:rFonts w:ascii="Arial" w:hAnsi="Arial" w:cs="Arial"/>
                <w:sz w:val="18"/>
                <w:szCs w:val="18"/>
              </w:rPr>
              <w:t>Anteproyecto de Guía para determinar Mercados Relevantes en los Sectores de Telecomunicaciones y Radiodifusión</w:t>
            </w:r>
            <w:r w:rsidR="003F00DD">
              <w:rPr>
                <w:rFonts w:ascii="Arial" w:hAnsi="Arial" w:cs="Arial"/>
                <w:sz w:val="18"/>
                <w:szCs w:val="18"/>
              </w:rPr>
              <w:t>)</w:t>
            </w:r>
            <w:r w:rsidRPr="006378D1">
              <w:rPr>
                <w:rFonts w:ascii="Arial" w:hAnsi="Arial" w:cs="Arial"/>
                <w:sz w:val="18"/>
                <w:szCs w:val="18"/>
              </w:rPr>
              <w:t>.</w:t>
            </w:r>
          </w:p>
          <w:p w14:paraId="7E9D818B" w14:textId="0527352E" w:rsidR="00A319F4" w:rsidRPr="00CF7E9F" w:rsidRDefault="00A319F4" w:rsidP="00A9692B">
            <w:pPr>
              <w:spacing w:before="120" w:after="120" w:line="276" w:lineRule="auto"/>
              <w:jc w:val="both"/>
              <w:rPr>
                <w:rFonts w:ascii="Arial" w:hAnsi="Arial" w:cs="Arial"/>
                <w:sz w:val="18"/>
                <w:szCs w:val="18"/>
              </w:rPr>
            </w:pPr>
            <w:r>
              <w:rPr>
                <w:rFonts w:ascii="Arial" w:hAnsi="Arial" w:cs="Arial"/>
                <w:sz w:val="18"/>
                <w:szCs w:val="18"/>
              </w:rPr>
              <w:t xml:space="preserve">Cabe señalar que las definiciones de los mercados relevantes que han sido analizados por este IFT </w:t>
            </w:r>
            <w:r w:rsidR="00220BB7">
              <w:rPr>
                <w:rFonts w:ascii="Arial" w:hAnsi="Arial" w:cs="Arial"/>
                <w:sz w:val="18"/>
                <w:szCs w:val="18"/>
              </w:rPr>
              <w:t>en procedimientos de concentraciones, son compatibles con las definiciones de otras autoridades de competencia en el mundo, tales como las de los Estados Unidos de América y la Unión Europea.</w:t>
            </w:r>
            <w:r>
              <w:rPr>
                <w:rFonts w:ascii="Arial" w:hAnsi="Arial" w:cs="Arial"/>
                <w:sz w:val="18"/>
                <w:szCs w:val="18"/>
              </w:rPr>
              <w:t xml:space="preserve"> </w:t>
            </w:r>
          </w:p>
        </w:tc>
      </w:tr>
      <w:tr w:rsidR="007B4637" w:rsidRPr="00CF7E9F" w14:paraId="4282E9D2" w14:textId="77777777" w:rsidTr="009B2105">
        <w:trPr>
          <w:jc w:val="center"/>
        </w:trPr>
        <w:tc>
          <w:tcPr>
            <w:tcW w:w="2825" w:type="dxa"/>
            <w:vMerge/>
            <w:shd w:val="clear" w:color="auto" w:fill="FFFFFF" w:themeFill="background1"/>
          </w:tcPr>
          <w:p w14:paraId="61744F34" w14:textId="77777777" w:rsidR="007B4637" w:rsidRPr="00CF7E9F" w:rsidRDefault="007B4637" w:rsidP="00A9692B">
            <w:pPr>
              <w:spacing w:before="120" w:after="120" w:line="276" w:lineRule="auto"/>
              <w:jc w:val="both"/>
              <w:rPr>
                <w:rFonts w:ascii="Arial" w:hAnsi="Arial" w:cs="Arial"/>
                <w:bCs/>
                <w:sz w:val="18"/>
                <w:szCs w:val="18"/>
                <w:lang w:val="es-ES"/>
              </w:rPr>
            </w:pPr>
          </w:p>
        </w:tc>
        <w:tc>
          <w:tcPr>
            <w:tcW w:w="2977" w:type="dxa"/>
            <w:shd w:val="clear" w:color="auto" w:fill="FFFFFF" w:themeFill="background1"/>
            <w:vAlign w:val="center"/>
          </w:tcPr>
          <w:p w14:paraId="460F746D" w14:textId="4628197C" w:rsidR="007B4637" w:rsidRPr="00CF7E9F" w:rsidRDefault="007B4637" w:rsidP="00A9692B">
            <w:pPr>
              <w:spacing w:before="120" w:after="120" w:line="276" w:lineRule="auto"/>
              <w:jc w:val="both"/>
              <w:rPr>
                <w:rFonts w:ascii="Arial" w:hAnsi="Arial" w:cs="Arial"/>
                <w:sz w:val="18"/>
                <w:szCs w:val="18"/>
              </w:rPr>
            </w:pPr>
            <w:r w:rsidRPr="00AE7DEA">
              <w:rPr>
                <w:rFonts w:ascii="Arial" w:eastAsia="Times New Roman" w:hAnsi="Arial" w:cs="Arial"/>
                <w:color w:val="000000"/>
                <w:sz w:val="18"/>
                <w:szCs w:val="18"/>
                <w:lang w:eastAsia="es-MX"/>
              </w:rPr>
              <w:t>Se considera de particular importancia que el Instituto tome en cuenta la experiencia y las definiciones de mercado relevante que, en distintos segmentos del sector de las telecomunicaciones, se hayan elaborado en otras jurisdicciones con una amplia experiencia en materia de política de competencia.</w:t>
            </w:r>
          </w:p>
        </w:tc>
        <w:tc>
          <w:tcPr>
            <w:tcW w:w="3402" w:type="dxa"/>
            <w:vMerge/>
            <w:shd w:val="clear" w:color="auto" w:fill="FFFFFF" w:themeFill="background1"/>
          </w:tcPr>
          <w:p w14:paraId="59F26113" w14:textId="77777777" w:rsidR="007B4637" w:rsidRPr="00CF7E9F" w:rsidRDefault="007B4637" w:rsidP="00A9692B">
            <w:pPr>
              <w:spacing w:before="120" w:after="120" w:line="276" w:lineRule="auto"/>
              <w:jc w:val="both"/>
              <w:rPr>
                <w:rFonts w:ascii="Arial" w:hAnsi="Arial" w:cs="Arial"/>
                <w:sz w:val="18"/>
                <w:szCs w:val="18"/>
              </w:rPr>
            </w:pPr>
          </w:p>
        </w:tc>
      </w:tr>
      <w:tr w:rsidR="007B4637" w:rsidRPr="00CF7E9F" w14:paraId="65D37200" w14:textId="77777777" w:rsidTr="009B2105">
        <w:trPr>
          <w:jc w:val="center"/>
        </w:trPr>
        <w:tc>
          <w:tcPr>
            <w:tcW w:w="2825" w:type="dxa"/>
            <w:vMerge/>
            <w:shd w:val="clear" w:color="auto" w:fill="FFFFFF" w:themeFill="background1"/>
          </w:tcPr>
          <w:p w14:paraId="2840C80F" w14:textId="77777777" w:rsidR="007B4637" w:rsidRPr="00CF7E9F" w:rsidRDefault="007B4637" w:rsidP="00A9692B">
            <w:pPr>
              <w:spacing w:before="120" w:after="120" w:line="276" w:lineRule="auto"/>
              <w:jc w:val="both"/>
              <w:rPr>
                <w:rFonts w:ascii="Arial" w:hAnsi="Arial" w:cs="Arial"/>
                <w:bCs/>
                <w:sz w:val="18"/>
                <w:szCs w:val="18"/>
                <w:lang w:val="es-ES"/>
              </w:rPr>
            </w:pPr>
          </w:p>
        </w:tc>
        <w:tc>
          <w:tcPr>
            <w:tcW w:w="2977" w:type="dxa"/>
            <w:shd w:val="clear" w:color="auto" w:fill="FFFFFF" w:themeFill="background1"/>
            <w:vAlign w:val="center"/>
          </w:tcPr>
          <w:p w14:paraId="5847B90C" w14:textId="0E8AD7F1" w:rsidR="007B4637" w:rsidRPr="00CF7E9F" w:rsidRDefault="007B4637" w:rsidP="00A9692B">
            <w:pPr>
              <w:spacing w:before="120" w:after="120" w:line="276" w:lineRule="auto"/>
              <w:jc w:val="both"/>
              <w:rPr>
                <w:rFonts w:ascii="Arial" w:hAnsi="Arial" w:cs="Arial"/>
                <w:sz w:val="18"/>
                <w:szCs w:val="18"/>
              </w:rPr>
            </w:pPr>
            <w:r w:rsidRPr="00AE7DEA">
              <w:rPr>
                <w:rFonts w:ascii="Arial" w:eastAsia="Times New Roman" w:hAnsi="Arial" w:cs="Arial"/>
                <w:color w:val="000000"/>
                <w:sz w:val="18"/>
                <w:szCs w:val="18"/>
                <w:lang w:eastAsia="es-MX"/>
              </w:rPr>
              <w:t xml:space="preserve">Respecto a las cláusulas de no competir, se sugiere señalar a los </w:t>
            </w:r>
            <w:r w:rsidRPr="00AE7DEA">
              <w:rPr>
                <w:rFonts w:ascii="Arial" w:eastAsia="Times New Roman" w:hAnsi="Arial" w:cs="Arial"/>
                <w:color w:val="000000"/>
                <w:sz w:val="18"/>
                <w:szCs w:val="18"/>
                <w:lang w:eastAsia="es-MX"/>
              </w:rPr>
              <w:lastRenderedPageBreak/>
              <w:t xml:space="preserve">Agentes Económicos que cualquier modificación a las cláusulas de no competencia será considerada por el INSTITUTO como una modificación de la concentración notificada, lo que reiniciarla el cómputo de plazos. </w:t>
            </w:r>
          </w:p>
        </w:tc>
        <w:tc>
          <w:tcPr>
            <w:tcW w:w="3402" w:type="dxa"/>
            <w:shd w:val="clear" w:color="auto" w:fill="FFFFFF" w:themeFill="background1"/>
          </w:tcPr>
          <w:p w14:paraId="5292D3C8" w14:textId="57EA4B31" w:rsidR="007B4637" w:rsidRPr="00CF7E9F" w:rsidRDefault="007B4637" w:rsidP="00A9692B">
            <w:pPr>
              <w:spacing w:before="120" w:after="120" w:line="276" w:lineRule="auto"/>
              <w:jc w:val="both"/>
              <w:rPr>
                <w:rFonts w:ascii="Arial" w:hAnsi="Arial" w:cs="Arial"/>
                <w:sz w:val="18"/>
                <w:szCs w:val="18"/>
              </w:rPr>
            </w:pPr>
            <w:r w:rsidRPr="006378D1">
              <w:rPr>
                <w:rFonts w:ascii="Arial" w:hAnsi="Arial" w:cs="Arial"/>
                <w:sz w:val="18"/>
                <w:szCs w:val="18"/>
              </w:rPr>
              <w:lastRenderedPageBreak/>
              <w:t xml:space="preserve">Se considera improcedente, pues de acuerdo con la LFCE sólo la </w:t>
            </w:r>
            <w:r w:rsidRPr="006378D1">
              <w:rPr>
                <w:rFonts w:ascii="Arial" w:hAnsi="Arial" w:cs="Arial"/>
                <w:sz w:val="18"/>
                <w:szCs w:val="18"/>
              </w:rPr>
              <w:lastRenderedPageBreak/>
              <w:t>presentación de la propuesta de condiciones (después de la notificación de la concentración y hasta un día después de que se liste el asunto para sesión de Pleno) es el único acto que reinicia el computo del plazo establecido para emitir la resolución del Pleno.</w:t>
            </w:r>
          </w:p>
        </w:tc>
      </w:tr>
      <w:tr w:rsidR="007B4637" w:rsidRPr="00CF7E9F" w14:paraId="27BC86D7" w14:textId="77777777" w:rsidTr="009B2105">
        <w:trPr>
          <w:jc w:val="center"/>
        </w:trPr>
        <w:tc>
          <w:tcPr>
            <w:tcW w:w="2825" w:type="dxa"/>
            <w:vMerge/>
            <w:shd w:val="clear" w:color="auto" w:fill="FFFFFF" w:themeFill="background1"/>
          </w:tcPr>
          <w:p w14:paraId="1D7BB062" w14:textId="77777777" w:rsidR="007B4637" w:rsidRPr="00CF7E9F" w:rsidRDefault="007B4637" w:rsidP="00A9692B">
            <w:pPr>
              <w:spacing w:before="120" w:after="120" w:line="276" w:lineRule="auto"/>
              <w:jc w:val="both"/>
              <w:rPr>
                <w:rFonts w:ascii="Arial" w:hAnsi="Arial" w:cs="Arial"/>
                <w:bCs/>
                <w:sz w:val="18"/>
                <w:szCs w:val="18"/>
                <w:lang w:val="es-ES"/>
              </w:rPr>
            </w:pPr>
          </w:p>
        </w:tc>
        <w:tc>
          <w:tcPr>
            <w:tcW w:w="2977" w:type="dxa"/>
            <w:shd w:val="clear" w:color="auto" w:fill="FFFFFF" w:themeFill="background1"/>
            <w:vAlign w:val="center"/>
          </w:tcPr>
          <w:p w14:paraId="2D2A6C41" w14:textId="12383305" w:rsidR="007B4637" w:rsidRPr="00AE7DEA" w:rsidRDefault="007B4637" w:rsidP="00A9692B">
            <w:pPr>
              <w:spacing w:before="120" w:after="120" w:line="276" w:lineRule="auto"/>
              <w:jc w:val="both"/>
              <w:rPr>
                <w:rFonts w:ascii="Arial" w:eastAsia="Times New Roman" w:hAnsi="Arial" w:cs="Arial"/>
                <w:color w:val="000000"/>
                <w:sz w:val="18"/>
                <w:szCs w:val="18"/>
                <w:lang w:eastAsia="es-MX"/>
              </w:rPr>
            </w:pPr>
            <w:r w:rsidRPr="00DF69C6">
              <w:rPr>
                <w:rFonts w:ascii="Arial" w:eastAsia="Times New Roman" w:hAnsi="Arial" w:cs="Arial"/>
                <w:color w:val="000000"/>
                <w:sz w:val="18"/>
                <w:szCs w:val="18"/>
                <w:lang w:eastAsia="es-MX"/>
              </w:rPr>
              <w:t>Se sugiere que IFT fortalezca la sección de acuerdos de no competencia puesto que no se agotan a profundidad las diferentes configuraciones de los escenarios y no es claro cuando deben de presentarse ante el IFT. Por ejemplo, no se abordan con suficiencia los acuerdos entre accionistas o los acuerdos de no solicitación. Solicitamos a IFT establecer las condiciones de estos acuerdos, así como su duración permitida, cobertura geográfica y los sujetos de aplicación.</w:t>
            </w:r>
          </w:p>
        </w:tc>
        <w:tc>
          <w:tcPr>
            <w:tcW w:w="3402" w:type="dxa"/>
            <w:shd w:val="clear" w:color="auto" w:fill="FFFFFF" w:themeFill="background1"/>
          </w:tcPr>
          <w:p w14:paraId="71BA4863" w14:textId="6600F627" w:rsidR="007B4637" w:rsidRDefault="00B177C0" w:rsidP="00A9692B">
            <w:pPr>
              <w:spacing w:before="120" w:after="120" w:line="276" w:lineRule="auto"/>
              <w:jc w:val="both"/>
              <w:rPr>
                <w:rFonts w:ascii="Arial" w:hAnsi="Arial" w:cs="Arial"/>
                <w:sz w:val="18"/>
                <w:szCs w:val="18"/>
              </w:rPr>
            </w:pPr>
            <w:r>
              <w:rPr>
                <w:rFonts w:ascii="Arial" w:hAnsi="Arial" w:cs="Arial"/>
                <w:sz w:val="18"/>
                <w:szCs w:val="18"/>
              </w:rPr>
              <w:t xml:space="preserve">Se </w:t>
            </w:r>
            <w:r w:rsidR="00FE0E0B">
              <w:rPr>
                <w:rFonts w:ascii="Arial" w:hAnsi="Arial" w:cs="Arial"/>
                <w:sz w:val="18"/>
                <w:szCs w:val="18"/>
              </w:rPr>
              <w:t xml:space="preserve">aclara que como parte de la información que se solicita para la notificación de una concentración, de acuerdo con lo establecido al inciso iii) del artículo 89 de la LFCE, los agentes económicos deben presentar las cláusulas por virtud de las cuales se obligan a no competir, en caso de existir. Como se señala en el Anteproyecto </w:t>
            </w:r>
            <w:r w:rsidR="009973D6">
              <w:rPr>
                <w:rFonts w:ascii="Arial" w:hAnsi="Arial" w:cs="Arial"/>
                <w:sz w:val="18"/>
                <w:szCs w:val="18"/>
              </w:rPr>
              <w:t xml:space="preserve">las cláusulas de no competir generalmente son establecidas con el fin de conservar el valor del negocio transferido (al proteger los activos intangibles como el </w:t>
            </w:r>
            <w:r w:rsidR="009973D6" w:rsidRPr="009973D6">
              <w:rPr>
                <w:rFonts w:ascii="Arial" w:hAnsi="Arial" w:cs="Arial"/>
                <w:i/>
                <w:iCs/>
                <w:sz w:val="18"/>
                <w:szCs w:val="18"/>
              </w:rPr>
              <w:t>know how</w:t>
            </w:r>
            <w:r w:rsidR="009973D6">
              <w:rPr>
                <w:rFonts w:ascii="Arial" w:hAnsi="Arial" w:cs="Arial"/>
                <w:sz w:val="18"/>
                <w:szCs w:val="18"/>
              </w:rPr>
              <w:t>)</w:t>
            </w:r>
            <w:r w:rsidR="00C14A17">
              <w:rPr>
                <w:rFonts w:ascii="Arial" w:hAnsi="Arial" w:cs="Arial"/>
                <w:sz w:val="18"/>
                <w:szCs w:val="18"/>
              </w:rPr>
              <w:t>.</w:t>
            </w:r>
          </w:p>
          <w:p w14:paraId="1E5FC9A3" w14:textId="3AEF38F2" w:rsidR="00DD1A19" w:rsidRDefault="00C14A17" w:rsidP="00A9692B">
            <w:pPr>
              <w:spacing w:before="120" w:after="120" w:line="276" w:lineRule="auto"/>
              <w:jc w:val="both"/>
              <w:rPr>
                <w:rFonts w:ascii="Arial" w:hAnsi="Arial" w:cs="Arial"/>
                <w:sz w:val="18"/>
                <w:szCs w:val="18"/>
              </w:rPr>
            </w:pPr>
            <w:r>
              <w:rPr>
                <w:rFonts w:ascii="Arial" w:hAnsi="Arial" w:cs="Arial"/>
                <w:sz w:val="18"/>
                <w:szCs w:val="18"/>
              </w:rPr>
              <w:t xml:space="preserve">Por otra parte el Anteproyecto </w:t>
            </w:r>
            <w:r w:rsidR="00230F97">
              <w:rPr>
                <w:rFonts w:ascii="Arial" w:hAnsi="Arial" w:cs="Arial"/>
                <w:sz w:val="18"/>
                <w:szCs w:val="18"/>
              </w:rPr>
              <w:t xml:space="preserve">sí </w:t>
            </w:r>
            <w:r>
              <w:rPr>
                <w:rFonts w:ascii="Arial" w:hAnsi="Arial" w:cs="Arial"/>
                <w:sz w:val="18"/>
                <w:szCs w:val="18"/>
              </w:rPr>
              <w:t xml:space="preserve">menciona las condiciones de </w:t>
            </w:r>
            <w:r w:rsidR="00230F97">
              <w:rPr>
                <w:rFonts w:ascii="Arial" w:hAnsi="Arial" w:cs="Arial"/>
                <w:sz w:val="18"/>
                <w:szCs w:val="18"/>
              </w:rPr>
              <w:t xml:space="preserve">autorización de </w:t>
            </w:r>
            <w:r>
              <w:rPr>
                <w:rFonts w:ascii="Arial" w:hAnsi="Arial" w:cs="Arial"/>
                <w:sz w:val="18"/>
                <w:szCs w:val="18"/>
              </w:rPr>
              <w:t xml:space="preserve">estos acuerdos, </w:t>
            </w:r>
            <w:r w:rsidR="00230F97">
              <w:rPr>
                <w:rFonts w:ascii="Arial" w:hAnsi="Arial" w:cs="Arial"/>
                <w:sz w:val="18"/>
                <w:szCs w:val="18"/>
              </w:rPr>
              <w:t xml:space="preserve">en términos de </w:t>
            </w:r>
            <w:r>
              <w:rPr>
                <w:rFonts w:ascii="Arial" w:hAnsi="Arial" w:cs="Arial"/>
                <w:sz w:val="18"/>
                <w:szCs w:val="18"/>
              </w:rPr>
              <w:t>la duración</w:t>
            </w:r>
            <w:r w:rsidR="00230F97">
              <w:rPr>
                <w:rFonts w:ascii="Arial" w:hAnsi="Arial" w:cs="Arial"/>
                <w:sz w:val="18"/>
                <w:szCs w:val="18"/>
              </w:rPr>
              <w:t xml:space="preserve"> permitida</w:t>
            </w:r>
            <w:r>
              <w:rPr>
                <w:rFonts w:ascii="Arial" w:hAnsi="Arial" w:cs="Arial"/>
                <w:sz w:val="18"/>
                <w:szCs w:val="18"/>
              </w:rPr>
              <w:t xml:space="preserve">, </w:t>
            </w:r>
            <w:r w:rsidR="00230F97">
              <w:rPr>
                <w:rFonts w:ascii="Arial" w:hAnsi="Arial" w:cs="Arial"/>
                <w:sz w:val="18"/>
                <w:szCs w:val="18"/>
              </w:rPr>
              <w:t xml:space="preserve">los productos que se deben incluir, la </w:t>
            </w:r>
            <w:r>
              <w:rPr>
                <w:rFonts w:ascii="Arial" w:hAnsi="Arial" w:cs="Arial"/>
                <w:sz w:val="18"/>
                <w:szCs w:val="18"/>
              </w:rPr>
              <w:t>cobertura geográfica y los sujetos de aplicación</w:t>
            </w:r>
            <w:r w:rsidR="00DD1A19">
              <w:rPr>
                <w:rFonts w:ascii="Arial" w:hAnsi="Arial" w:cs="Arial"/>
                <w:sz w:val="18"/>
                <w:szCs w:val="18"/>
              </w:rPr>
              <w:t>.</w:t>
            </w:r>
          </w:p>
          <w:p w14:paraId="3736C62B" w14:textId="74874209" w:rsidR="00230F97" w:rsidRDefault="00230F97" w:rsidP="00A9692B">
            <w:pPr>
              <w:spacing w:before="120" w:after="120" w:line="276" w:lineRule="auto"/>
              <w:jc w:val="both"/>
              <w:rPr>
                <w:rFonts w:ascii="Arial" w:hAnsi="Arial" w:cs="Arial"/>
                <w:sz w:val="18"/>
                <w:szCs w:val="18"/>
              </w:rPr>
            </w:pPr>
            <w:r>
              <w:rPr>
                <w:rFonts w:ascii="Arial" w:hAnsi="Arial" w:cs="Arial"/>
                <w:sz w:val="18"/>
                <w:szCs w:val="18"/>
              </w:rPr>
              <w:t>No obstante, en atención al comentario,</w:t>
            </w:r>
            <w:r w:rsidR="003E780F">
              <w:rPr>
                <w:rFonts w:ascii="Arial" w:hAnsi="Arial" w:cs="Arial"/>
                <w:sz w:val="18"/>
                <w:szCs w:val="18"/>
              </w:rPr>
              <w:t xml:space="preserve"> se incluirá dentro de este apartado </w:t>
            </w:r>
            <w:r w:rsidR="003E780F" w:rsidRPr="00DF69C6">
              <w:rPr>
                <w:rFonts w:ascii="Arial" w:eastAsia="Times New Roman" w:hAnsi="Arial" w:cs="Arial"/>
                <w:color w:val="000000"/>
                <w:sz w:val="18"/>
                <w:szCs w:val="18"/>
                <w:lang w:eastAsia="es-MX"/>
              </w:rPr>
              <w:t xml:space="preserve">los </w:t>
            </w:r>
            <w:r w:rsidR="003E780F">
              <w:rPr>
                <w:rFonts w:ascii="Arial" w:eastAsia="Times New Roman" w:hAnsi="Arial" w:cs="Arial"/>
                <w:color w:val="000000"/>
                <w:sz w:val="18"/>
                <w:szCs w:val="18"/>
                <w:lang w:eastAsia="es-MX"/>
              </w:rPr>
              <w:t xml:space="preserve">elementos que este IFT considera para no oponerse a </w:t>
            </w:r>
            <w:r w:rsidR="003E780F" w:rsidRPr="00DF69C6">
              <w:rPr>
                <w:rFonts w:ascii="Arial" w:eastAsia="Times New Roman" w:hAnsi="Arial" w:cs="Arial"/>
                <w:color w:val="000000"/>
                <w:sz w:val="18"/>
                <w:szCs w:val="18"/>
                <w:lang w:eastAsia="es-MX"/>
              </w:rPr>
              <w:t>acuerdos de no solicitación</w:t>
            </w:r>
            <w:r w:rsidR="003E780F">
              <w:rPr>
                <w:rFonts w:ascii="Arial" w:eastAsia="Times New Roman" w:hAnsi="Arial" w:cs="Arial"/>
                <w:color w:val="000000"/>
                <w:sz w:val="18"/>
                <w:szCs w:val="18"/>
                <w:lang w:eastAsia="es-MX"/>
              </w:rPr>
              <w:t>.</w:t>
            </w:r>
            <w:r>
              <w:rPr>
                <w:rFonts w:ascii="Arial" w:hAnsi="Arial" w:cs="Arial"/>
                <w:sz w:val="18"/>
                <w:szCs w:val="18"/>
              </w:rPr>
              <w:t xml:space="preserve">  </w:t>
            </w:r>
          </w:p>
          <w:p w14:paraId="4F87CC7C" w14:textId="16F5F23C" w:rsidR="007B4637" w:rsidRPr="00CF7E9F" w:rsidRDefault="007B4637" w:rsidP="00A9692B">
            <w:pPr>
              <w:spacing w:before="120" w:after="120" w:line="276" w:lineRule="auto"/>
              <w:jc w:val="both"/>
              <w:rPr>
                <w:rFonts w:ascii="Arial" w:hAnsi="Arial" w:cs="Arial"/>
                <w:sz w:val="18"/>
                <w:szCs w:val="18"/>
              </w:rPr>
            </w:pPr>
          </w:p>
        </w:tc>
      </w:tr>
    </w:tbl>
    <w:bookmarkEnd w:id="13"/>
    <w:p w14:paraId="31FF90B3" w14:textId="52FD02C4" w:rsidR="00CB70A6" w:rsidRPr="00CF7E9F" w:rsidRDefault="00CB70A6" w:rsidP="00A9692B">
      <w:pPr>
        <w:spacing w:before="120" w:after="120" w:line="276" w:lineRule="auto"/>
        <w:jc w:val="both"/>
        <w:rPr>
          <w:rFonts w:ascii="Arial" w:hAnsi="Arial" w:cs="Arial"/>
          <w:b/>
        </w:rPr>
      </w:pPr>
      <w:r w:rsidRPr="00CF7E9F">
        <w:rPr>
          <w:rFonts w:ascii="Arial" w:hAnsi="Arial" w:cs="Arial"/>
          <w:b/>
        </w:rPr>
        <w:t>7.</w:t>
      </w:r>
      <w:r>
        <w:rPr>
          <w:rFonts w:ascii="Arial" w:hAnsi="Arial" w:cs="Arial"/>
          <w:b/>
        </w:rPr>
        <w:t>14</w:t>
      </w:r>
      <w:r w:rsidRPr="00CF7E9F">
        <w:rPr>
          <w:rFonts w:ascii="Arial" w:hAnsi="Arial" w:cs="Arial"/>
          <w:b/>
        </w:rPr>
        <w:t>. “</w:t>
      </w:r>
      <w:r w:rsidRPr="00CB70A6">
        <w:rPr>
          <w:rFonts w:ascii="Arial" w:hAnsi="Arial" w:cs="Arial"/>
          <w:b/>
        </w:rPr>
        <w:t>5.8 Procedimiento. Requerimientos de información.</w:t>
      </w:r>
      <w:r w:rsidRPr="00CF7E9F">
        <w:rPr>
          <w:rFonts w:ascii="Arial" w:hAnsi="Arial" w:cs="Arial"/>
          <w:b/>
        </w:rPr>
        <w:t>”</w:t>
      </w:r>
    </w:p>
    <w:p w14:paraId="345EDF32" w14:textId="46A1ABEB" w:rsidR="00CB70A6" w:rsidRPr="00CF7E9F" w:rsidRDefault="00CB70A6" w:rsidP="00A9692B">
      <w:pPr>
        <w:spacing w:before="120" w:after="120" w:line="276" w:lineRule="auto"/>
        <w:jc w:val="both"/>
        <w:rPr>
          <w:rFonts w:ascii="Arial" w:hAnsi="Arial" w:cs="Arial"/>
          <w:b/>
        </w:rPr>
      </w:pPr>
      <w:r w:rsidRPr="00CF7E9F">
        <w:rPr>
          <w:rFonts w:ascii="Arial" w:hAnsi="Arial" w:cs="Arial"/>
          <w:b/>
        </w:rPr>
        <w:t>7.</w:t>
      </w:r>
      <w:r>
        <w:rPr>
          <w:rFonts w:ascii="Arial" w:hAnsi="Arial" w:cs="Arial"/>
          <w:b/>
        </w:rPr>
        <w:t>14</w:t>
      </w:r>
      <w:r w:rsidRPr="00CF7E9F">
        <w:rPr>
          <w:rFonts w:ascii="Arial" w:hAnsi="Arial" w:cs="Arial"/>
          <w:b/>
        </w:rPr>
        <w:t>.1. Síntesis de los comentarios relacionados con el apartado</w:t>
      </w:r>
      <w:r>
        <w:rPr>
          <w:rFonts w:ascii="Arial" w:hAnsi="Arial" w:cs="Arial"/>
          <w:b/>
        </w:rPr>
        <w:t xml:space="preserve"> </w:t>
      </w:r>
      <w:r w:rsidRPr="00CB70A6">
        <w:rPr>
          <w:rFonts w:ascii="Arial" w:hAnsi="Arial" w:cs="Arial"/>
          <w:b/>
        </w:rPr>
        <w:t>5.8 Procedimiento. Requerimientos de información.</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4A0" w:firstRow="1" w:lastRow="0" w:firstColumn="1" w:lastColumn="0" w:noHBand="0" w:noVBand="1"/>
      </w:tblPr>
      <w:tblGrid>
        <w:gridCol w:w="2825"/>
        <w:gridCol w:w="2977"/>
        <w:gridCol w:w="3402"/>
      </w:tblGrid>
      <w:tr w:rsidR="00CB70A6" w:rsidRPr="00CF7E9F" w14:paraId="3390EBD2" w14:textId="77777777" w:rsidTr="00B11236">
        <w:trPr>
          <w:tblHeader/>
          <w:jc w:val="center"/>
        </w:trPr>
        <w:tc>
          <w:tcPr>
            <w:tcW w:w="2825" w:type="dxa"/>
            <w:shd w:val="clear" w:color="auto" w:fill="70AD47" w:themeFill="accent6"/>
          </w:tcPr>
          <w:p w14:paraId="36A55589" w14:textId="77777777" w:rsidR="00CB70A6" w:rsidRPr="00CF7E9F" w:rsidRDefault="00CB70A6" w:rsidP="00A9692B">
            <w:pPr>
              <w:spacing w:before="120" w:after="120" w:line="276" w:lineRule="auto"/>
              <w:jc w:val="center"/>
              <w:rPr>
                <w:rFonts w:ascii="Arial" w:hAnsi="Arial" w:cs="Arial"/>
                <w:b/>
                <w:bCs/>
                <w:sz w:val="18"/>
                <w:szCs w:val="18"/>
              </w:rPr>
            </w:pPr>
            <w:r w:rsidRPr="00CF7E9F">
              <w:rPr>
                <w:rFonts w:ascii="Arial" w:hAnsi="Arial" w:cs="Arial"/>
                <w:b/>
                <w:sz w:val="18"/>
                <w:szCs w:val="18"/>
              </w:rPr>
              <w:t>Apartado del Anteproyecto</w:t>
            </w:r>
          </w:p>
        </w:tc>
        <w:tc>
          <w:tcPr>
            <w:tcW w:w="2977" w:type="dxa"/>
            <w:shd w:val="clear" w:color="auto" w:fill="70AD47" w:themeFill="accent6"/>
          </w:tcPr>
          <w:p w14:paraId="7FCF3079" w14:textId="77777777" w:rsidR="00CB70A6" w:rsidRPr="00CF7E9F" w:rsidRDefault="00CB70A6" w:rsidP="00A9692B">
            <w:pPr>
              <w:spacing w:before="120" w:after="120" w:line="276" w:lineRule="auto"/>
              <w:jc w:val="center"/>
              <w:rPr>
                <w:rFonts w:ascii="Arial" w:hAnsi="Arial" w:cs="Arial"/>
                <w:b/>
                <w:bCs/>
                <w:sz w:val="18"/>
                <w:szCs w:val="18"/>
              </w:rPr>
            </w:pPr>
            <w:r w:rsidRPr="00CF7E9F">
              <w:rPr>
                <w:rFonts w:ascii="Arial" w:hAnsi="Arial" w:cs="Arial"/>
                <w:b/>
                <w:sz w:val="18"/>
                <w:szCs w:val="18"/>
              </w:rPr>
              <w:t>Resumen de los comentarios recibidos</w:t>
            </w:r>
          </w:p>
        </w:tc>
        <w:tc>
          <w:tcPr>
            <w:tcW w:w="3402" w:type="dxa"/>
            <w:shd w:val="clear" w:color="auto" w:fill="70AD47" w:themeFill="accent6"/>
          </w:tcPr>
          <w:p w14:paraId="4A838BA4" w14:textId="77777777" w:rsidR="00CB70A6" w:rsidRPr="00CF7E9F" w:rsidRDefault="00CB70A6" w:rsidP="00A9692B">
            <w:pPr>
              <w:spacing w:before="120" w:after="120" w:line="276" w:lineRule="auto"/>
              <w:jc w:val="center"/>
              <w:rPr>
                <w:rFonts w:ascii="Arial" w:hAnsi="Arial" w:cs="Arial"/>
                <w:b/>
                <w:sz w:val="18"/>
                <w:szCs w:val="18"/>
              </w:rPr>
            </w:pPr>
            <w:r w:rsidRPr="00CF7E9F">
              <w:rPr>
                <w:rFonts w:ascii="Arial" w:hAnsi="Arial" w:cs="Arial"/>
                <w:b/>
                <w:sz w:val="18"/>
                <w:szCs w:val="18"/>
              </w:rPr>
              <w:t>Consideración</w:t>
            </w:r>
          </w:p>
        </w:tc>
      </w:tr>
      <w:tr w:rsidR="00CB70A6" w:rsidRPr="00CF7E9F" w14:paraId="59CADCC2" w14:textId="77777777" w:rsidTr="00B11236">
        <w:trPr>
          <w:jc w:val="center"/>
        </w:trPr>
        <w:tc>
          <w:tcPr>
            <w:tcW w:w="9204" w:type="dxa"/>
            <w:gridSpan w:val="3"/>
            <w:shd w:val="clear" w:color="auto" w:fill="C5E0B3" w:themeFill="accent6" w:themeFillTint="66"/>
          </w:tcPr>
          <w:p w14:paraId="59B39794" w14:textId="78A016E4" w:rsidR="00CB70A6" w:rsidRPr="00CF7E9F" w:rsidRDefault="00CB70A6" w:rsidP="00A9692B">
            <w:pPr>
              <w:spacing w:before="120" w:after="120" w:line="276" w:lineRule="auto"/>
              <w:jc w:val="center"/>
              <w:rPr>
                <w:rFonts w:ascii="Arial" w:hAnsi="Arial" w:cs="Arial"/>
                <w:b/>
                <w:sz w:val="18"/>
                <w:szCs w:val="18"/>
                <w:lang w:val="es-ES_tradnl"/>
              </w:rPr>
            </w:pPr>
            <w:r w:rsidRPr="00CB70A6">
              <w:rPr>
                <w:rFonts w:ascii="Arial" w:hAnsi="Arial" w:cs="Arial"/>
                <w:b/>
                <w:sz w:val="18"/>
                <w:szCs w:val="18"/>
                <w:lang w:val="es-ES_tradnl"/>
              </w:rPr>
              <w:t>5.8 Procedimiento. Requerimientos de información.</w:t>
            </w:r>
          </w:p>
        </w:tc>
      </w:tr>
      <w:tr w:rsidR="00CB70A6" w:rsidRPr="00CF7E9F" w14:paraId="366B0BAD" w14:textId="77777777" w:rsidTr="00B11236">
        <w:trPr>
          <w:jc w:val="center"/>
        </w:trPr>
        <w:tc>
          <w:tcPr>
            <w:tcW w:w="2825" w:type="dxa"/>
            <w:shd w:val="clear" w:color="auto" w:fill="FFFFFF" w:themeFill="background1"/>
          </w:tcPr>
          <w:p w14:paraId="286B9141" w14:textId="77777777" w:rsidR="007B4637" w:rsidRPr="007B4637" w:rsidRDefault="007B4637" w:rsidP="00A9692B">
            <w:pPr>
              <w:spacing w:before="120" w:after="120" w:line="276" w:lineRule="auto"/>
              <w:jc w:val="both"/>
              <w:rPr>
                <w:rFonts w:ascii="Arial" w:hAnsi="Arial" w:cs="Arial"/>
                <w:bCs/>
                <w:sz w:val="18"/>
                <w:szCs w:val="18"/>
                <w:lang w:val="es-ES"/>
              </w:rPr>
            </w:pPr>
            <w:r w:rsidRPr="007B4637">
              <w:rPr>
                <w:rFonts w:ascii="Arial" w:hAnsi="Arial" w:cs="Arial"/>
                <w:bCs/>
                <w:sz w:val="18"/>
                <w:szCs w:val="18"/>
                <w:lang w:val="es-ES"/>
              </w:rPr>
              <w:t xml:space="preserve">Como se observa, estos requerimientos tienen una naturaleza distinta a los </w:t>
            </w:r>
            <w:r w:rsidRPr="007B4637">
              <w:rPr>
                <w:rFonts w:ascii="Arial" w:hAnsi="Arial" w:cs="Arial"/>
                <w:bCs/>
                <w:sz w:val="18"/>
                <w:szCs w:val="18"/>
                <w:lang w:val="es-ES"/>
              </w:rPr>
              <w:lastRenderedPageBreak/>
              <w:t>señalados en los párrafos primero y segundo, fracción III del artículo 90 de la LFCE, pues se aplican a terceros o a los agentes económicos notificantes fuera de los plazos a que se refieren estos últimos párrafos.</w:t>
            </w:r>
          </w:p>
          <w:p w14:paraId="1D765EE8" w14:textId="77777777" w:rsidR="007B4637" w:rsidRPr="007B4637" w:rsidRDefault="007B4637" w:rsidP="00A9692B">
            <w:pPr>
              <w:spacing w:before="120" w:after="120" w:line="276" w:lineRule="auto"/>
              <w:jc w:val="both"/>
              <w:rPr>
                <w:rFonts w:ascii="Arial" w:hAnsi="Arial" w:cs="Arial"/>
                <w:bCs/>
                <w:sz w:val="18"/>
                <w:szCs w:val="18"/>
                <w:lang w:val="es-ES"/>
              </w:rPr>
            </w:pPr>
            <w:r w:rsidRPr="007B4637">
              <w:rPr>
                <w:rFonts w:ascii="Arial" w:hAnsi="Arial" w:cs="Arial"/>
                <w:bCs/>
                <w:sz w:val="18"/>
                <w:szCs w:val="18"/>
                <w:lang w:val="es-ES"/>
              </w:rPr>
              <w:t>Por esta razón, el incumplimiento en su desahogo no tendrá como consecuencia considerar como no presentada la notificación, sino que únicamente dará lugar al ejercicio de las medidas de apremio que resulten necesarias, hasta que se obtenga una respuesta completa de lo solicitado por parte del IFT, a través de la UCE.</w:t>
            </w:r>
          </w:p>
          <w:p w14:paraId="20AD50D0" w14:textId="32B7BB7D" w:rsidR="00CB70A6" w:rsidRPr="00CF7E9F" w:rsidRDefault="007B4637" w:rsidP="00A9692B">
            <w:pPr>
              <w:spacing w:before="120" w:after="120" w:line="276" w:lineRule="auto"/>
              <w:jc w:val="both"/>
              <w:rPr>
                <w:rFonts w:ascii="Arial" w:hAnsi="Arial" w:cs="Arial"/>
                <w:bCs/>
                <w:sz w:val="18"/>
                <w:szCs w:val="18"/>
                <w:lang w:val="es-ES"/>
              </w:rPr>
            </w:pPr>
            <w:r w:rsidRPr="007B4637">
              <w:rPr>
                <w:rFonts w:ascii="Arial" w:hAnsi="Arial" w:cs="Arial"/>
                <w:bCs/>
                <w:sz w:val="18"/>
                <w:szCs w:val="18"/>
                <w:lang w:val="es-ES"/>
              </w:rPr>
              <w:t>Cuando la UCE realice o esté por realizar requerimientos de información, en términos de lo dispuesto en la LFTR y LFCE, podrá entablar reuniones con los agentes económicos destinatarios para explicar la pertinencia del requerimiento y/o identificar la disponibilidad de la información requerida o que se va a requerir.</w:t>
            </w:r>
          </w:p>
        </w:tc>
        <w:tc>
          <w:tcPr>
            <w:tcW w:w="2977" w:type="dxa"/>
            <w:shd w:val="clear" w:color="auto" w:fill="FFFFFF" w:themeFill="background1"/>
          </w:tcPr>
          <w:p w14:paraId="4DCB2FCC" w14:textId="0C83776F" w:rsidR="00CB70A6" w:rsidRPr="00CF7E9F" w:rsidRDefault="00DF69C6" w:rsidP="00A9692B">
            <w:pPr>
              <w:spacing w:before="120" w:after="120" w:line="276" w:lineRule="auto"/>
              <w:jc w:val="both"/>
              <w:rPr>
                <w:rFonts w:ascii="Arial" w:hAnsi="Arial" w:cs="Arial"/>
                <w:sz w:val="18"/>
                <w:szCs w:val="18"/>
              </w:rPr>
            </w:pPr>
            <w:r w:rsidRPr="00AE7DEA">
              <w:rPr>
                <w:rFonts w:ascii="Arial" w:eastAsia="Times New Roman" w:hAnsi="Arial" w:cs="Arial"/>
                <w:color w:val="000000"/>
                <w:sz w:val="18"/>
                <w:szCs w:val="18"/>
                <w:lang w:eastAsia="es-MX"/>
              </w:rPr>
              <w:lastRenderedPageBreak/>
              <w:t xml:space="preserve">Se sugiere que en las reuniones que se puedan entablar entre la UCE y los agentes económicos </w:t>
            </w:r>
            <w:r w:rsidRPr="00AE7DEA">
              <w:rPr>
                <w:rFonts w:ascii="Arial" w:eastAsia="Times New Roman" w:hAnsi="Arial" w:cs="Arial"/>
                <w:color w:val="000000"/>
                <w:sz w:val="18"/>
                <w:szCs w:val="18"/>
                <w:lang w:eastAsia="es-MX"/>
              </w:rPr>
              <w:lastRenderedPageBreak/>
              <w:t>pueda discutirse la viabilidad técnica y económica para estos últimos de obtener la información solicitada a fin de evitar requerimientos extremadamente complejos y costosos.</w:t>
            </w:r>
          </w:p>
        </w:tc>
        <w:tc>
          <w:tcPr>
            <w:tcW w:w="3402" w:type="dxa"/>
            <w:shd w:val="clear" w:color="auto" w:fill="FFFFFF" w:themeFill="background1"/>
          </w:tcPr>
          <w:p w14:paraId="14448E0A" w14:textId="7F890461" w:rsidR="006378D1" w:rsidRPr="006378D1" w:rsidRDefault="006378D1" w:rsidP="00A9692B">
            <w:pPr>
              <w:tabs>
                <w:tab w:val="left" w:pos="1080"/>
              </w:tabs>
              <w:spacing w:before="120" w:after="120" w:line="276" w:lineRule="auto"/>
              <w:jc w:val="both"/>
              <w:rPr>
                <w:rFonts w:ascii="Arial" w:hAnsi="Arial" w:cs="Arial"/>
                <w:sz w:val="18"/>
                <w:szCs w:val="18"/>
              </w:rPr>
            </w:pPr>
            <w:r w:rsidRPr="006378D1">
              <w:rPr>
                <w:rFonts w:ascii="Arial" w:hAnsi="Arial" w:cs="Arial"/>
                <w:sz w:val="18"/>
                <w:szCs w:val="18"/>
              </w:rPr>
              <w:lastRenderedPageBreak/>
              <w:t xml:space="preserve">Se precisa que lo comentado ya se encuentra contemplado en la Guía de </w:t>
            </w:r>
            <w:r w:rsidRPr="006378D1">
              <w:rPr>
                <w:rFonts w:ascii="Arial" w:hAnsi="Arial" w:cs="Arial"/>
                <w:sz w:val="18"/>
                <w:szCs w:val="18"/>
              </w:rPr>
              <w:lastRenderedPageBreak/>
              <w:t xml:space="preserve">concentraciones específicamente en el siguiente párrafo: </w:t>
            </w:r>
          </w:p>
          <w:p w14:paraId="053B346A" w14:textId="77777777" w:rsidR="006378D1" w:rsidRPr="006378D1" w:rsidRDefault="006378D1" w:rsidP="00A9692B">
            <w:pPr>
              <w:tabs>
                <w:tab w:val="left" w:pos="1080"/>
              </w:tabs>
              <w:spacing w:before="120" w:after="120" w:line="276" w:lineRule="auto"/>
              <w:ind w:left="179"/>
              <w:jc w:val="both"/>
              <w:rPr>
                <w:rFonts w:ascii="Arial" w:hAnsi="Arial" w:cs="Arial"/>
                <w:sz w:val="18"/>
                <w:szCs w:val="18"/>
              </w:rPr>
            </w:pPr>
            <w:r w:rsidRPr="00FC15A5">
              <w:rPr>
                <w:rFonts w:ascii="Arial" w:hAnsi="Arial" w:cs="Arial"/>
                <w:i/>
                <w:sz w:val="17"/>
                <w:szCs w:val="17"/>
              </w:rPr>
              <w:t xml:space="preserve">“Cuando la UCE realice o esté por realizar requerimientos de información, en términos de lo dispuesto en la LFTR y LFCE podrá entablar reuniones con los agentes económicos destinatarios para explicar la pertinencia del requerimiento y/o </w:t>
            </w:r>
            <w:r w:rsidRPr="00FC15A5">
              <w:rPr>
                <w:rFonts w:ascii="Arial" w:hAnsi="Arial" w:cs="Arial"/>
                <w:b/>
                <w:i/>
                <w:sz w:val="17"/>
                <w:szCs w:val="17"/>
              </w:rPr>
              <w:t>identificar la disponibilidad de la información requerida o que se va a requerir</w:t>
            </w:r>
            <w:r w:rsidRPr="00FC15A5">
              <w:rPr>
                <w:rFonts w:ascii="Arial" w:hAnsi="Arial" w:cs="Arial"/>
                <w:i/>
                <w:sz w:val="17"/>
                <w:szCs w:val="17"/>
              </w:rPr>
              <w:t>.”</w:t>
            </w:r>
            <w:r w:rsidRPr="006378D1">
              <w:rPr>
                <w:rFonts w:ascii="Arial" w:hAnsi="Arial" w:cs="Arial"/>
                <w:sz w:val="18"/>
                <w:szCs w:val="18"/>
              </w:rPr>
              <w:t xml:space="preserve"> (énfasis añadido)</w:t>
            </w:r>
          </w:p>
          <w:p w14:paraId="4FA9892F" w14:textId="07815C28" w:rsidR="006378D1" w:rsidRDefault="006378D1" w:rsidP="00A9692B">
            <w:pPr>
              <w:tabs>
                <w:tab w:val="left" w:pos="1080"/>
              </w:tabs>
              <w:spacing w:before="120" w:after="120" w:line="276" w:lineRule="auto"/>
              <w:jc w:val="both"/>
              <w:rPr>
                <w:rFonts w:ascii="Arial" w:hAnsi="Arial" w:cs="Arial"/>
                <w:sz w:val="18"/>
                <w:szCs w:val="18"/>
              </w:rPr>
            </w:pPr>
            <w:r w:rsidRPr="006378D1">
              <w:rPr>
                <w:rFonts w:ascii="Arial" w:hAnsi="Arial" w:cs="Arial"/>
                <w:sz w:val="18"/>
                <w:szCs w:val="18"/>
              </w:rPr>
              <w:t>Adicionalmente se incluye un párrafo para hacer énfasis en que los requerimientos de información se realizan de manera objetiva y con la intención de no imponer cargas innecesarias.</w:t>
            </w:r>
          </w:p>
          <w:tbl>
            <w:tblPr>
              <w:tblStyle w:val="Tablaconcuadrcula"/>
              <w:tblW w:w="0" w:type="auto"/>
              <w:jc w:val="center"/>
              <w:tblLayout w:type="fixed"/>
              <w:tblLook w:val="04A0" w:firstRow="1" w:lastRow="0" w:firstColumn="1" w:lastColumn="0" w:noHBand="0" w:noVBand="1"/>
            </w:tblPr>
            <w:tblGrid>
              <w:gridCol w:w="3176"/>
            </w:tblGrid>
            <w:tr w:rsidR="00FC15A5" w:rsidRPr="00E83771" w14:paraId="65D0F610" w14:textId="77777777" w:rsidTr="00935490">
              <w:trPr>
                <w:trHeight w:val="311"/>
                <w:jc w:val="center"/>
              </w:trPr>
              <w:tc>
                <w:tcPr>
                  <w:tcW w:w="3176"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10855315" w14:textId="77777777" w:rsidR="00FC15A5" w:rsidRPr="00E83771" w:rsidRDefault="00FC15A5" w:rsidP="00A9692B">
                  <w:pPr>
                    <w:spacing w:before="120" w:after="120" w:line="276" w:lineRule="auto"/>
                    <w:jc w:val="center"/>
                    <w:rPr>
                      <w:rFonts w:ascii="Arial" w:hAnsi="Arial" w:cs="Arial"/>
                      <w:sz w:val="18"/>
                      <w:szCs w:val="18"/>
                    </w:rPr>
                  </w:pPr>
                  <w:r w:rsidRPr="00E83771">
                    <w:rPr>
                      <w:rFonts w:ascii="Arial" w:hAnsi="Arial" w:cs="Arial"/>
                      <w:sz w:val="18"/>
                      <w:szCs w:val="18"/>
                    </w:rPr>
                    <w:t xml:space="preserve">Modificación al Proyecto </w:t>
                  </w:r>
                </w:p>
              </w:tc>
            </w:tr>
            <w:tr w:rsidR="00FC15A5" w:rsidRPr="004A1442" w14:paraId="3BA658F5" w14:textId="77777777" w:rsidTr="00935490">
              <w:trPr>
                <w:jc w:val="center"/>
              </w:trPr>
              <w:tc>
                <w:tcPr>
                  <w:tcW w:w="31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4B23B9" w14:textId="533D1B84" w:rsidR="00FC15A5" w:rsidRPr="004A1442" w:rsidRDefault="00FC15A5" w:rsidP="00A9692B">
                  <w:pPr>
                    <w:spacing w:before="120" w:after="120" w:line="276" w:lineRule="auto"/>
                    <w:jc w:val="both"/>
                    <w:rPr>
                      <w:rFonts w:ascii="Arial" w:hAnsi="Arial" w:cs="Arial"/>
                      <w:sz w:val="18"/>
                      <w:szCs w:val="18"/>
                    </w:rPr>
                  </w:pPr>
                  <w:r w:rsidRPr="00785E15">
                    <w:rPr>
                      <w:rFonts w:ascii="Arial" w:hAnsi="Arial" w:cs="Arial"/>
                      <w:i/>
                      <w:sz w:val="18"/>
                      <w:szCs w:val="18"/>
                    </w:rPr>
                    <w:t>Es de señalar que los requerimientos de información adicional se elaboran caso por caso, de manera objetiva y con la intención de no imponer cargas innecesarias a los agentes económicos notificantes y a terceros.</w:t>
                  </w:r>
                </w:p>
              </w:tc>
            </w:tr>
          </w:tbl>
          <w:p w14:paraId="1BF5C6ED" w14:textId="52C90237" w:rsidR="00CB70A6" w:rsidRPr="006378D1" w:rsidRDefault="00CB70A6" w:rsidP="00A9692B">
            <w:pPr>
              <w:tabs>
                <w:tab w:val="left" w:pos="1080"/>
              </w:tabs>
              <w:spacing w:before="120" w:after="120" w:line="276" w:lineRule="auto"/>
              <w:jc w:val="both"/>
              <w:rPr>
                <w:rFonts w:ascii="Arial" w:hAnsi="Arial" w:cs="Arial"/>
                <w:sz w:val="18"/>
                <w:szCs w:val="18"/>
              </w:rPr>
            </w:pPr>
          </w:p>
        </w:tc>
      </w:tr>
    </w:tbl>
    <w:p w14:paraId="773A0111" w14:textId="58FD2C86" w:rsidR="00BA6C59" w:rsidRDefault="00CB70A6" w:rsidP="00A9692B">
      <w:pPr>
        <w:keepNext/>
        <w:spacing w:before="120" w:after="120" w:line="276" w:lineRule="auto"/>
        <w:jc w:val="both"/>
        <w:rPr>
          <w:rFonts w:ascii="Arial" w:hAnsi="Arial" w:cs="Arial"/>
          <w:b/>
          <w:bCs/>
        </w:rPr>
      </w:pPr>
      <w:r>
        <w:rPr>
          <w:rFonts w:ascii="Arial" w:hAnsi="Arial" w:cs="Arial"/>
          <w:b/>
        </w:rPr>
        <w:lastRenderedPageBreak/>
        <w:t>7.15</w:t>
      </w:r>
      <w:r w:rsidR="00BA6C59" w:rsidRPr="00BD5C05">
        <w:rPr>
          <w:rFonts w:ascii="Arial" w:hAnsi="Arial" w:cs="Arial"/>
          <w:b/>
        </w:rPr>
        <w:t xml:space="preserve"> </w:t>
      </w:r>
      <w:r w:rsidR="001F160E">
        <w:rPr>
          <w:rFonts w:ascii="Arial" w:hAnsi="Arial" w:cs="Arial"/>
          <w:b/>
        </w:rPr>
        <w:t xml:space="preserve">Generales </w:t>
      </w:r>
    </w:p>
    <w:p w14:paraId="0747DDD8" w14:textId="45A64DC8" w:rsidR="00BA6C59" w:rsidRDefault="00CB70A6" w:rsidP="00A9692B">
      <w:pPr>
        <w:keepNext/>
        <w:spacing w:before="120" w:after="120" w:line="276" w:lineRule="auto"/>
        <w:jc w:val="both"/>
        <w:rPr>
          <w:rFonts w:ascii="Arial" w:hAnsi="Arial" w:cs="Arial"/>
          <w:b/>
          <w:bCs/>
        </w:rPr>
      </w:pPr>
      <w:r>
        <w:rPr>
          <w:rFonts w:ascii="Arial" w:hAnsi="Arial" w:cs="Arial"/>
          <w:b/>
          <w:bCs/>
        </w:rPr>
        <w:t>7</w:t>
      </w:r>
      <w:r w:rsidR="00BA6C59">
        <w:rPr>
          <w:rFonts w:ascii="Arial" w:hAnsi="Arial" w:cs="Arial"/>
          <w:b/>
          <w:bCs/>
        </w:rPr>
        <w:t>.</w:t>
      </w:r>
      <w:r>
        <w:rPr>
          <w:rFonts w:ascii="Arial" w:hAnsi="Arial" w:cs="Arial"/>
          <w:b/>
          <w:bCs/>
        </w:rPr>
        <w:t>15</w:t>
      </w:r>
      <w:r w:rsidR="001F160E">
        <w:rPr>
          <w:rFonts w:ascii="Arial" w:hAnsi="Arial" w:cs="Arial"/>
          <w:b/>
          <w:bCs/>
        </w:rPr>
        <w:t>.</w:t>
      </w:r>
      <w:r w:rsidR="00BA6C59">
        <w:rPr>
          <w:rFonts w:ascii="Arial" w:hAnsi="Arial" w:cs="Arial"/>
          <w:b/>
          <w:bCs/>
        </w:rPr>
        <w:t xml:space="preserve">1. </w:t>
      </w:r>
      <w:r w:rsidR="00BA6C59" w:rsidRPr="00BD5C05">
        <w:rPr>
          <w:rFonts w:ascii="Arial" w:hAnsi="Arial" w:cs="Arial"/>
          <w:b/>
          <w:bCs/>
        </w:rPr>
        <w:t>Síntesis de los comentarios</w:t>
      </w:r>
      <w:r w:rsidR="00BA6C59">
        <w:rPr>
          <w:rFonts w:ascii="Arial" w:hAnsi="Arial" w:cs="Arial"/>
          <w:b/>
          <w:bCs/>
        </w:rPr>
        <w:t xml:space="preserve"> generales</w:t>
      </w:r>
      <w:r w:rsidR="00BA6C59" w:rsidRPr="00BD5C05">
        <w:rPr>
          <w:rFonts w:ascii="Arial" w:hAnsi="Arial" w:cs="Arial"/>
          <w:b/>
          <w:bCs/>
        </w:rPr>
        <w:t xml:space="preserve"> recibidos respecto d</w:t>
      </w:r>
      <w:r w:rsidR="00BA6C59">
        <w:rPr>
          <w:rFonts w:ascii="Arial" w:hAnsi="Arial" w:cs="Arial"/>
          <w:b/>
          <w:bCs/>
        </w:rPr>
        <w:t>el Anteproyecto</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2875"/>
        <w:gridCol w:w="2903"/>
        <w:gridCol w:w="3568"/>
      </w:tblGrid>
      <w:tr w:rsidR="00BA6C59" w:rsidRPr="003E2214" w14:paraId="7C1A9F43" w14:textId="77777777" w:rsidTr="00616B30">
        <w:trPr>
          <w:tblHeader/>
          <w:jc w:val="center"/>
        </w:trPr>
        <w:tc>
          <w:tcPr>
            <w:tcW w:w="2875" w:type="dxa"/>
            <w:shd w:val="clear" w:color="auto" w:fill="70AD47" w:themeFill="accent6"/>
          </w:tcPr>
          <w:p w14:paraId="6B1653E6" w14:textId="77777777" w:rsidR="00BA6C59" w:rsidRPr="00F45E04" w:rsidRDefault="00BA6C59" w:rsidP="00A9692B">
            <w:pPr>
              <w:keepNext/>
              <w:spacing w:before="120" w:after="120" w:line="276" w:lineRule="auto"/>
              <w:jc w:val="center"/>
              <w:rPr>
                <w:rFonts w:ascii="Arial" w:hAnsi="Arial" w:cs="Arial"/>
                <w:b/>
                <w:sz w:val="18"/>
                <w:szCs w:val="18"/>
              </w:rPr>
            </w:pPr>
            <w:r w:rsidRPr="00F45E04">
              <w:rPr>
                <w:rFonts w:ascii="Arial" w:hAnsi="Arial" w:cs="Arial"/>
                <w:b/>
                <w:sz w:val="18"/>
                <w:szCs w:val="18"/>
              </w:rPr>
              <w:t>Apartado del Anteproyecto</w:t>
            </w:r>
          </w:p>
        </w:tc>
        <w:tc>
          <w:tcPr>
            <w:tcW w:w="2903" w:type="dxa"/>
            <w:shd w:val="clear" w:color="auto" w:fill="70AD47" w:themeFill="accent6"/>
          </w:tcPr>
          <w:p w14:paraId="529D93BE" w14:textId="77777777" w:rsidR="00BA6C59" w:rsidRPr="00F45E04" w:rsidRDefault="00BA6C59" w:rsidP="00A9692B">
            <w:pPr>
              <w:keepNext/>
              <w:spacing w:before="120" w:after="120" w:line="276" w:lineRule="auto"/>
              <w:jc w:val="center"/>
              <w:rPr>
                <w:rFonts w:ascii="Arial" w:hAnsi="Arial" w:cs="Arial"/>
                <w:b/>
                <w:sz w:val="18"/>
                <w:szCs w:val="18"/>
              </w:rPr>
            </w:pPr>
            <w:r w:rsidRPr="00F45E04">
              <w:rPr>
                <w:rFonts w:ascii="Arial" w:hAnsi="Arial" w:cs="Arial"/>
                <w:b/>
                <w:sz w:val="18"/>
                <w:szCs w:val="18"/>
              </w:rPr>
              <w:t>Resumen de los comentarios recibidos</w:t>
            </w:r>
          </w:p>
        </w:tc>
        <w:tc>
          <w:tcPr>
            <w:tcW w:w="3568" w:type="dxa"/>
            <w:shd w:val="clear" w:color="auto" w:fill="70AD47" w:themeFill="accent6"/>
          </w:tcPr>
          <w:p w14:paraId="0239BD2A" w14:textId="77777777" w:rsidR="00BA6C59" w:rsidRPr="00F45E04" w:rsidRDefault="00BA6C59" w:rsidP="00A9692B">
            <w:pPr>
              <w:keepNext/>
              <w:spacing w:before="120" w:after="120" w:line="276" w:lineRule="auto"/>
              <w:jc w:val="center"/>
              <w:rPr>
                <w:rFonts w:ascii="Arial" w:hAnsi="Arial" w:cs="Arial"/>
                <w:b/>
                <w:sz w:val="18"/>
                <w:szCs w:val="18"/>
              </w:rPr>
            </w:pPr>
            <w:r>
              <w:rPr>
                <w:rFonts w:ascii="Arial" w:hAnsi="Arial" w:cs="Arial"/>
                <w:b/>
                <w:sz w:val="18"/>
                <w:szCs w:val="18"/>
              </w:rPr>
              <w:t>Consideración</w:t>
            </w:r>
          </w:p>
        </w:tc>
      </w:tr>
      <w:tr w:rsidR="00BA6C59" w:rsidRPr="003E2214" w14:paraId="18C764D8" w14:textId="77777777" w:rsidTr="00B11236">
        <w:trPr>
          <w:jc w:val="center"/>
        </w:trPr>
        <w:tc>
          <w:tcPr>
            <w:tcW w:w="9346" w:type="dxa"/>
            <w:gridSpan w:val="3"/>
            <w:shd w:val="clear" w:color="auto" w:fill="C5E0B3" w:themeFill="accent6" w:themeFillTint="66"/>
          </w:tcPr>
          <w:p w14:paraId="245CD796" w14:textId="5D7625DE" w:rsidR="00BA6C59" w:rsidRDefault="00BA6C59" w:rsidP="00A9692B">
            <w:pPr>
              <w:spacing w:before="120" w:after="120" w:line="276" w:lineRule="auto"/>
              <w:jc w:val="center"/>
              <w:rPr>
                <w:rFonts w:ascii="Arial" w:hAnsi="Arial" w:cs="Arial"/>
                <w:b/>
                <w:sz w:val="18"/>
                <w:szCs w:val="18"/>
              </w:rPr>
            </w:pPr>
            <w:r>
              <w:rPr>
                <w:rFonts w:ascii="Arial" w:hAnsi="Arial" w:cs="Arial"/>
                <w:b/>
                <w:sz w:val="18"/>
                <w:szCs w:val="18"/>
              </w:rPr>
              <w:t>Anteproyecto</w:t>
            </w:r>
          </w:p>
        </w:tc>
      </w:tr>
      <w:tr w:rsidR="00DF69C6" w:rsidRPr="003E2214" w14:paraId="6591E1EC" w14:textId="77777777" w:rsidTr="009B2105">
        <w:trPr>
          <w:jc w:val="center"/>
        </w:trPr>
        <w:tc>
          <w:tcPr>
            <w:tcW w:w="2875" w:type="dxa"/>
            <w:vMerge w:val="restart"/>
            <w:shd w:val="clear" w:color="auto" w:fill="auto"/>
          </w:tcPr>
          <w:p w14:paraId="125FF3E0" w14:textId="51D80C33" w:rsidR="00DF69C6" w:rsidRPr="00457D57" w:rsidRDefault="0083484A" w:rsidP="00A9692B">
            <w:pPr>
              <w:spacing w:before="120" w:after="120" w:line="276" w:lineRule="auto"/>
              <w:jc w:val="both"/>
              <w:rPr>
                <w:rFonts w:ascii="Arial" w:hAnsi="Arial" w:cs="Arial"/>
                <w:sz w:val="18"/>
                <w:szCs w:val="18"/>
              </w:rPr>
            </w:pPr>
            <w:r>
              <w:rPr>
                <w:rFonts w:ascii="Arial" w:hAnsi="Arial" w:cs="Arial"/>
                <w:b/>
                <w:sz w:val="18"/>
                <w:szCs w:val="18"/>
              </w:rPr>
              <w:t>---</w:t>
            </w:r>
          </w:p>
        </w:tc>
        <w:tc>
          <w:tcPr>
            <w:tcW w:w="2903" w:type="dxa"/>
            <w:shd w:val="clear" w:color="auto" w:fill="auto"/>
            <w:vAlign w:val="center"/>
          </w:tcPr>
          <w:p w14:paraId="061B9E70" w14:textId="1AB9F8D4" w:rsidR="00DF69C6" w:rsidRPr="008003C4" w:rsidRDefault="00DF69C6" w:rsidP="00A9692B">
            <w:pPr>
              <w:spacing w:before="120" w:after="120" w:line="276" w:lineRule="auto"/>
              <w:jc w:val="both"/>
              <w:rPr>
                <w:rFonts w:ascii="Arial" w:hAnsi="Arial" w:cs="Arial"/>
                <w:bCs/>
                <w:sz w:val="18"/>
                <w:szCs w:val="18"/>
              </w:rPr>
            </w:pPr>
            <w:r w:rsidRPr="00AE7DEA">
              <w:rPr>
                <w:rFonts w:ascii="Arial" w:eastAsia="Times New Roman" w:hAnsi="Arial" w:cs="Arial"/>
                <w:color w:val="000000"/>
                <w:sz w:val="18"/>
                <w:szCs w:val="18"/>
                <w:lang w:eastAsia="es-MX"/>
              </w:rPr>
              <w:t>Se sugiere que la Guía para el Control de Concentraciones incorpore un nuevo apartado que establezca los mecanismos a través de los cuales esta autoridad:</w:t>
            </w:r>
            <w:r w:rsidRPr="00AE7DEA">
              <w:rPr>
                <w:rFonts w:ascii="Arial" w:eastAsia="Times New Roman" w:hAnsi="Arial" w:cs="Arial"/>
                <w:color w:val="000000"/>
                <w:sz w:val="18"/>
                <w:szCs w:val="18"/>
                <w:lang w:eastAsia="es-MX"/>
              </w:rPr>
              <w:br/>
              <w:t xml:space="preserve">i. llevará a cabo el monitoreo de los compromisos de las concentraciones, más allá de solo indicar que tiene facultades para </w:t>
            </w:r>
            <w:r w:rsidRPr="00AE7DEA">
              <w:rPr>
                <w:rFonts w:ascii="Arial" w:eastAsia="Times New Roman" w:hAnsi="Arial" w:cs="Arial"/>
                <w:color w:val="000000"/>
                <w:sz w:val="18"/>
                <w:szCs w:val="18"/>
                <w:lang w:eastAsia="es-MX"/>
              </w:rPr>
              <w:lastRenderedPageBreak/>
              <w:t>solicitar información a terceras partes;</w:t>
            </w:r>
            <w:r w:rsidRPr="00AE7DEA">
              <w:rPr>
                <w:rFonts w:ascii="Arial" w:eastAsia="Times New Roman" w:hAnsi="Arial" w:cs="Arial"/>
                <w:color w:val="000000"/>
                <w:sz w:val="18"/>
                <w:szCs w:val="18"/>
                <w:lang w:eastAsia="es-MX"/>
              </w:rPr>
              <w:br/>
              <w:t>ii. instrumentará los mecanismos a través de los cuales interactuará con los agentes económicos para hacerles saber los resultados de esta supervisión y,</w:t>
            </w:r>
            <w:r w:rsidRPr="00AE7DEA">
              <w:rPr>
                <w:rFonts w:ascii="Arial" w:eastAsia="Times New Roman" w:hAnsi="Arial" w:cs="Arial"/>
                <w:color w:val="000000"/>
                <w:sz w:val="18"/>
                <w:szCs w:val="18"/>
                <w:lang w:eastAsia="es-MX"/>
              </w:rPr>
              <w:br/>
              <w:t>iii. propondrá las medidas (distintas a las puramente sancionatorias) que permitan asegurar el cabal cumplimiento de los compromisos.</w:t>
            </w:r>
          </w:p>
        </w:tc>
        <w:tc>
          <w:tcPr>
            <w:tcW w:w="3568" w:type="dxa"/>
            <w:shd w:val="clear" w:color="auto" w:fill="auto"/>
          </w:tcPr>
          <w:p w14:paraId="6C99DBCB" w14:textId="6627F235" w:rsidR="00DF69C6" w:rsidRPr="008003C4" w:rsidRDefault="006378D1" w:rsidP="00A9692B">
            <w:pPr>
              <w:spacing w:before="120" w:after="120" w:line="276" w:lineRule="auto"/>
              <w:jc w:val="both"/>
              <w:rPr>
                <w:rFonts w:ascii="Arial" w:hAnsi="Arial" w:cs="Arial"/>
                <w:sz w:val="18"/>
                <w:szCs w:val="18"/>
              </w:rPr>
            </w:pPr>
            <w:r w:rsidRPr="006378D1">
              <w:rPr>
                <w:rFonts w:ascii="Arial" w:hAnsi="Arial" w:cs="Arial"/>
                <w:sz w:val="18"/>
                <w:szCs w:val="18"/>
              </w:rPr>
              <w:lastRenderedPageBreak/>
              <w:t xml:space="preserve">Se toma conocimiento de la opinión recibida. Sin embargo, se omiten comentarios respecto a temas y observaciones que rebasan el alcance del proyecto de “Guía para el Control de Concentraciones en los sectores de telecomunicaciones y radiodifusión” pues el monitoreo de las condiciones y compromisos establecidos en la resoluciones conlleva otro procedimiento </w:t>
            </w:r>
            <w:r w:rsidRPr="006378D1">
              <w:rPr>
                <w:rFonts w:ascii="Arial" w:hAnsi="Arial" w:cs="Arial"/>
                <w:sz w:val="18"/>
                <w:szCs w:val="18"/>
              </w:rPr>
              <w:lastRenderedPageBreak/>
              <w:t xml:space="preserve">que se puede elaborar caso por caso de acuerdo con lo establecido en cada resolución. Sin embargo se consideran para la elaboración de una guía diversa que aborde dicho procedimiento.   </w:t>
            </w:r>
          </w:p>
        </w:tc>
      </w:tr>
      <w:tr w:rsidR="00217C8C" w:rsidRPr="003E2214" w14:paraId="1A4F2654" w14:textId="77777777" w:rsidTr="009B2105">
        <w:trPr>
          <w:jc w:val="center"/>
        </w:trPr>
        <w:tc>
          <w:tcPr>
            <w:tcW w:w="2875" w:type="dxa"/>
            <w:vMerge/>
            <w:shd w:val="clear" w:color="auto" w:fill="auto"/>
          </w:tcPr>
          <w:p w14:paraId="133C1484" w14:textId="77777777" w:rsidR="00217C8C" w:rsidRDefault="00217C8C" w:rsidP="00A9692B">
            <w:pPr>
              <w:spacing w:before="120" w:after="120" w:line="276" w:lineRule="auto"/>
              <w:jc w:val="both"/>
              <w:rPr>
                <w:rFonts w:ascii="Arial" w:hAnsi="Arial" w:cs="Arial"/>
                <w:sz w:val="18"/>
                <w:szCs w:val="18"/>
              </w:rPr>
            </w:pPr>
          </w:p>
        </w:tc>
        <w:tc>
          <w:tcPr>
            <w:tcW w:w="2903" w:type="dxa"/>
            <w:shd w:val="clear" w:color="auto" w:fill="auto"/>
            <w:vAlign w:val="center"/>
          </w:tcPr>
          <w:p w14:paraId="02EBC79A" w14:textId="3012636D" w:rsidR="00217C8C" w:rsidRPr="00457D57" w:rsidRDefault="00217C8C" w:rsidP="00A9692B">
            <w:pPr>
              <w:spacing w:before="120" w:after="120" w:line="276" w:lineRule="auto"/>
              <w:jc w:val="both"/>
              <w:rPr>
                <w:rFonts w:ascii="Arial" w:hAnsi="Arial" w:cs="Arial"/>
                <w:bCs/>
                <w:sz w:val="18"/>
                <w:szCs w:val="18"/>
              </w:rPr>
            </w:pPr>
            <w:r w:rsidRPr="00AE7DEA">
              <w:rPr>
                <w:rFonts w:ascii="Arial" w:eastAsia="Times New Roman" w:hAnsi="Arial" w:cs="Arial"/>
                <w:color w:val="000000"/>
                <w:sz w:val="18"/>
                <w:szCs w:val="18"/>
                <w:lang w:eastAsia="es-MX"/>
              </w:rPr>
              <w:t>La Guía para el Control de Concentraciones no contempla, al menos de manera explícita, el uso de “screening tests” para el análisis de concentraciones en México. Una ventaja adicional del uso de estos screening tests es que, incluso, podría no ser necesario definir un mercado relevante para identificar los impactos competitivos de primer orden asociados a una concentración.</w:t>
            </w:r>
          </w:p>
        </w:tc>
        <w:tc>
          <w:tcPr>
            <w:tcW w:w="3568" w:type="dxa"/>
            <w:vMerge w:val="restart"/>
            <w:shd w:val="clear" w:color="auto" w:fill="auto"/>
          </w:tcPr>
          <w:p w14:paraId="204EAA6A" w14:textId="77777777" w:rsidR="00217C8C" w:rsidRPr="006378D1" w:rsidRDefault="00217C8C" w:rsidP="00A9692B">
            <w:pPr>
              <w:spacing w:before="120" w:after="120" w:line="276" w:lineRule="auto"/>
              <w:jc w:val="both"/>
              <w:rPr>
                <w:rFonts w:ascii="Arial" w:hAnsi="Arial" w:cs="Arial"/>
                <w:sz w:val="18"/>
                <w:szCs w:val="18"/>
              </w:rPr>
            </w:pPr>
            <w:r w:rsidRPr="006378D1">
              <w:rPr>
                <w:rFonts w:ascii="Arial" w:hAnsi="Arial" w:cs="Arial"/>
                <w:sz w:val="18"/>
                <w:szCs w:val="18"/>
              </w:rPr>
              <w:t>Se toma conocimiento de la opinión recibida, sin embargo se precisa que como se establece en el numeral 4.3.1 Información, en la sección de Adicional, inciso d), la implementación de análisis estadístico y econométrico se realizará caso por caso, considerando la información disponible y ponderando los costos-beneficios de implementarlo. Se transcribe el párrafo para mayor referencia.</w:t>
            </w:r>
          </w:p>
          <w:p w14:paraId="7B2EA240" w14:textId="6368D42B" w:rsidR="00217C8C" w:rsidRPr="0018081C" w:rsidRDefault="0018081C" w:rsidP="00A9692B">
            <w:pPr>
              <w:spacing w:before="120" w:after="120" w:line="276" w:lineRule="auto"/>
              <w:ind w:left="194"/>
              <w:jc w:val="both"/>
              <w:rPr>
                <w:rFonts w:ascii="Arial" w:hAnsi="Arial" w:cs="Arial"/>
                <w:i/>
                <w:sz w:val="17"/>
                <w:szCs w:val="17"/>
              </w:rPr>
            </w:pPr>
            <w:r w:rsidRPr="0018081C">
              <w:rPr>
                <w:rFonts w:ascii="Arial" w:hAnsi="Arial" w:cs="Arial"/>
                <w:i/>
                <w:sz w:val="17"/>
                <w:szCs w:val="17"/>
              </w:rPr>
              <w:t>“</w:t>
            </w:r>
            <w:r w:rsidR="00217C8C" w:rsidRPr="0018081C">
              <w:rPr>
                <w:rFonts w:ascii="Arial" w:hAnsi="Arial" w:cs="Arial"/>
                <w:i/>
                <w:sz w:val="17"/>
                <w:szCs w:val="17"/>
              </w:rPr>
              <w:t>La implementación de análisis estadístico y econométrico se puede realizar caso por caso, en razón de su utilidad para el caso sujeto de análisis y disponibilidad de datos. En ese sentido, se podrán realizar análisis estadístico y econométricos en el análisis de concentraciones, pero siempre ponderando los beneficios que generaría un análisis estadístico y el incremento en costos al requerirse una mayor cantidad de información de los agentes involucrados, de terceros y del mercado.</w:t>
            </w:r>
            <w:r w:rsidRPr="0018081C">
              <w:rPr>
                <w:rFonts w:ascii="Arial" w:hAnsi="Arial" w:cs="Arial"/>
                <w:i/>
                <w:sz w:val="17"/>
                <w:szCs w:val="17"/>
              </w:rPr>
              <w:t>”</w:t>
            </w:r>
          </w:p>
          <w:p w14:paraId="6E996395" w14:textId="77777777" w:rsidR="00217C8C" w:rsidRDefault="00217C8C" w:rsidP="00A9692B">
            <w:pPr>
              <w:spacing w:before="120" w:after="120" w:line="276" w:lineRule="auto"/>
              <w:jc w:val="both"/>
              <w:rPr>
                <w:rFonts w:ascii="Arial" w:hAnsi="Arial" w:cs="Arial"/>
                <w:sz w:val="18"/>
                <w:szCs w:val="18"/>
              </w:rPr>
            </w:pPr>
            <w:r w:rsidRPr="006378D1">
              <w:rPr>
                <w:rFonts w:ascii="Arial" w:hAnsi="Arial" w:cs="Arial"/>
                <w:sz w:val="18"/>
                <w:szCs w:val="18"/>
              </w:rPr>
              <w:t>Por lo que el uso de los screening test, como el UPP, el GUPPI y CMCR, así como de otros análisis económicos y econométricos se evaluará caso por caso para su implementación.</w:t>
            </w:r>
          </w:p>
          <w:p w14:paraId="2A55028A" w14:textId="631151AA" w:rsidR="00217C8C" w:rsidRPr="00457D57" w:rsidRDefault="00687943" w:rsidP="00A9692B">
            <w:pPr>
              <w:spacing w:before="120" w:after="120" w:line="276" w:lineRule="auto"/>
              <w:jc w:val="both"/>
              <w:rPr>
                <w:rFonts w:ascii="Arial" w:hAnsi="Arial" w:cs="Arial"/>
                <w:sz w:val="18"/>
                <w:szCs w:val="18"/>
              </w:rPr>
            </w:pPr>
            <w:r w:rsidRPr="00687943">
              <w:rPr>
                <w:rFonts w:ascii="Arial" w:hAnsi="Arial" w:cs="Arial"/>
                <w:sz w:val="18"/>
                <w:szCs w:val="18"/>
              </w:rPr>
              <w:t>Por lo anterior, el comentario no se considera procedente.</w:t>
            </w:r>
          </w:p>
        </w:tc>
      </w:tr>
      <w:tr w:rsidR="00217C8C" w:rsidRPr="003E2214" w14:paraId="0FB79D74" w14:textId="77777777" w:rsidTr="009B2105">
        <w:trPr>
          <w:jc w:val="center"/>
        </w:trPr>
        <w:tc>
          <w:tcPr>
            <w:tcW w:w="2875" w:type="dxa"/>
            <w:shd w:val="clear" w:color="auto" w:fill="auto"/>
          </w:tcPr>
          <w:p w14:paraId="3E9B0597" w14:textId="07F15F0C" w:rsidR="00217C8C" w:rsidRDefault="0083484A" w:rsidP="00A9692B">
            <w:pPr>
              <w:spacing w:before="120" w:after="120" w:line="276" w:lineRule="auto"/>
              <w:jc w:val="both"/>
              <w:rPr>
                <w:rFonts w:ascii="Arial" w:hAnsi="Arial" w:cs="Arial"/>
                <w:sz w:val="18"/>
                <w:szCs w:val="18"/>
              </w:rPr>
            </w:pPr>
            <w:r>
              <w:rPr>
                <w:rFonts w:ascii="Arial" w:hAnsi="Arial" w:cs="Arial"/>
                <w:b/>
                <w:sz w:val="18"/>
                <w:szCs w:val="18"/>
              </w:rPr>
              <w:t>---</w:t>
            </w:r>
          </w:p>
        </w:tc>
        <w:tc>
          <w:tcPr>
            <w:tcW w:w="2903" w:type="dxa"/>
            <w:shd w:val="clear" w:color="auto" w:fill="auto"/>
            <w:vAlign w:val="center"/>
          </w:tcPr>
          <w:p w14:paraId="5C3256C8" w14:textId="5DF03D30" w:rsidR="00217C8C" w:rsidRPr="00BA6C59" w:rsidRDefault="00217C8C" w:rsidP="00A9692B">
            <w:pPr>
              <w:spacing w:before="120" w:after="120" w:line="276" w:lineRule="auto"/>
              <w:jc w:val="both"/>
              <w:rPr>
                <w:rFonts w:ascii="Arial" w:hAnsi="Arial" w:cs="Arial"/>
                <w:bCs/>
                <w:sz w:val="18"/>
                <w:szCs w:val="18"/>
              </w:rPr>
            </w:pPr>
            <w:r w:rsidRPr="00AE7DEA">
              <w:rPr>
                <w:rFonts w:ascii="Arial" w:eastAsia="Times New Roman" w:hAnsi="Arial" w:cs="Arial"/>
                <w:color w:val="000000"/>
                <w:sz w:val="18"/>
                <w:szCs w:val="18"/>
                <w:lang w:eastAsia="es-MX"/>
              </w:rPr>
              <w:t>El uso del UPP en concentraciones puede ser complementado con el uso de otros screening test relacionados, como el GUPPI (Gross Upward Pricing Pressure Index) que no toma en cuenta las eficiencias de la concentración y es calculado sobre la base de los precios pre-integración, o las Compensating Marginal Cost Reductions (CMCR) que miden las reducciones en costos marginales que se tendrían que observar para compensar los incentivos a incrementar los precios.</w:t>
            </w:r>
          </w:p>
        </w:tc>
        <w:tc>
          <w:tcPr>
            <w:tcW w:w="3568" w:type="dxa"/>
            <w:vMerge/>
            <w:shd w:val="clear" w:color="auto" w:fill="auto"/>
          </w:tcPr>
          <w:p w14:paraId="12382A33" w14:textId="77777777" w:rsidR="00217C8C" w:rsidRPr="00457D57" w:rsidRDefault="00217C8C" w:rsidP="00A9692B">
            <w:pPr>
              <w:spacing w:before="120" w:after="120" w:line="276" w:lineRule="auto"/>
              <w:jc w:val="both"/>
              <w:rPr>
                <w:rFonts w:ascii="Arial" w:hAnsi="Arial" w:cs="Arial"/>
                <w:sz w:val="18"/>
                <w:szCs w:val="18"/>
              </w:rPr>
            </w:pPr>
          </w:p>
        </w:tc>
      </w:tr>
      <w:tr w:rsidR="00217C8C" w:rsidRPr="003E2214" w14:paraId="573BCDF2" w14:textId="77777777" w:rsidTr="009B2105">
        <w:trPr>
          <w:jc w:val="center"/>
        </w:trPr>
        <w:tc>
          <w:tcPr>
            <w:tcW w:w="2875" w:type="dxa"/>
            <w:shd w:val="clear" w:color="auto" w:fill="auto"/>
          </w:tcPr>
          <w:p w14:paraId="7B2F0C8B" w14:textId="10BB9936" w:rsidR="00217C8C" w:rsidRDefault="0083484A" w:rsidP="00A9692B">
            <w:pPr>
              <w:spacing w:before="120" w:after="120" w:line="276" w:lineRule="auto"/>
              <w:jc w:val="both"/>
              <w:rPr>
                <w:rFonts w:ascii="Arial" w:hAnsi="Arial" w:cs="Arial"/>
                <w:sz w:val="18"/>
                <w:szCs w:val="18"/>
              </w:rPr>
            </w:pPr>
            <w:r>
              <w:rPr>
                <w:rFonts w:ascii="Arial" w:hAnsi="Arial" w:cs="Arial"/>
                <w:b/>
                <w:sz w:val="18"/>
                <w:szCs w:val="18"/>
              </w:rPr>
              <w:t>---</w:t>
            </w:r>
          </w:p>
        </w:tc>
        <w:tc>
          <w:tcPr>
            <w:tcW w:w="2903" w:type="dxa"/>
            <w:shd w:val="clear" w:color="auto" w:fill="auto"/>
            <w:vAlign w:val="center"/>
          </w:tcPr>
          <w:p w14:paraId="5701350B" w14:textId="170A4BF0" w:rsidR="00217C8C" w:rsidRPr="00BA6C59" w:rsidRDefault="00217C8C" w:rsidP="00A9692B">
            <w:pPr>
              <w:spacing w:before="120" w:after="120" w:line="276" w:lineRule="auto"/>
              <w:jc w:val="both"/>
              <w:rPr>
                <w:rFonts w:ascii="Arial" w:hAnsi="Arial" w:cs="Arial"/>
                <w:bCs/>
                <w:sz w:val="18"/>
                <w:szCs w:val="18"/>
              </w:rPr>
            </w:pPr>
            <w:r w:rsidRPr="00AE7DEA">
              <w:rPr>
                <w:rFonts w:ascii="Arial" w:eastAsia="Times New Roman" w:hAnsi="Arial" w:cs="Arial"/>
                <w:color w:val="000000"/>
                <w:sz w:val="18"/>
                <w:szCs w:val="18"/>
                <w:lang w:eastAsia="es-MX"/>
              </w:rPr>
              <w:t xml:space="preserve">El uso de estos screening tests en la evaluación inicial de concentraciones es cada vez más frecuente a nivel internacional, por lo que se considera importante que la Guía para el Control de Concentraciones del </w:t>
            </w:r>
            <w:r w:rsidRPr="00AE7DEA">
              <w:rPr>
                <w:rFonts w:ascii="Arial" w:eastAsia="Times New Roman" w:hAnsi="Arial" w:cs="Arial"/>
                <w:color w:val="000000"/>
                <w:sz w:val="18"/>
                <w:szCs w:val="18"/>
                <w:lang w:eastAsia="es-MX"/>
              </w:rPr>
              <w:lastRenderedPageBreak/>
              <w:t>Instituto, no solo las incluya como parte de su herramental de análisis, sino que las adopte y las use intensivamente.</w:t>
            </w:r>
          </w:p>
        </w:tc>
        <w:tc>
          <w:tcPr>
            <w:tcW w:w="3568" w:type="dxa"/>
            <w:vMerge/>
            <w:shd w:val="clear" w:color="auto" w:fill="auto"/>
          </w:tcPr>
          <w:p w14:paraId="645CCD45" w14:textId="77777777" w:rsidR="00217C8C" w:rsidRPr="00457D57" w:rsidRDefault="00217C8C" w:rsidP="00A9692B">
            <w:pPr>
              <w:spacing w:before="120" w:after="120" w:line="276" w:lineRule="auto"/>
              <w:jc w:val="both"/>
              <w:rPr>
                <w:rFonts w:ascii="Arial" w:hAnsi="Arial" w:cs="Arial"/>
                <w:sz w:val="18"/>
                <w:szCs w:val="18"/>
              </w:rPr>
            </w:pPr>
          </w:p>
        </w:tc>
      </w:tr>
      <w:tr w:rsidR="00DF69C6" w:rsidRPr="003E2214" w14:paraId="2A761292" w14:textId="77777777" w:rsidTr="009B2105">
        <w:trPr>
          <w:jc w:val="center"/>
        </w:trPr>
        <w:tc>
          <w:tcPr>
            <w:tcW w:w="2875" w:type="dxa"/>
            <w:shd w:val="clear" w:color="auto" w:fill="auto"/>
          </w:tcPr>
          <w:p w14:paraId="57181BE9" w14:textId="202CBB62" w:rsidR="00DF69C6" w:rsidRDefault="00AF48BD" w:rsidP="00A9692B">
            <w:pPr>
              <w:spacing w:before="120" w:after="120" w:line="276" w:lineRule="auto"/>
              <w:jc w:val="both"/>
              <w:rPr>
                <w:rFonts w:ascii="Arial" w:hAnsi="Arial" w:cs="Arial"/>
                <w:sz w:val="18"/>
                <w:szCs w:val="18"/>
              </w:rPr>
            </w:pPr>
            <w:r w:rsidRPr="00AF48BD">
              <w:rPr>
                <w:rFonts w:ascii="Arial" w:hAnsi="Arial" w:cs="Arial"/>
                <w:sz w:val="18"/>
                <w:szCs w:val="18"/>
              </w:rPr>
              <w:t>En términos del artículo 21 de las Disposiciones Regulatorias, la UCE será quien emita el acuerdo en el que comunicará a los agentes económicos notificantes los posibles riesgos al proceso de competencia y libre concurrencia que identifique (Acuerdo de Riesgos), a fin de que aquéllos puedan presentar su propuesta de condiciones. La notificación de ese acuerdo deberá suceder al menos con diez días de anticipación a la fecha en que se liste el asunto para sesión del Pleno.</w:t>
            </w:r>
          </w:p>
        </w:tc>
        <w:tc>
          <w:tcPr>
            <w:tcW w:w="2903" w:type="dxa"/>
            <w:shd w:val="clear" w:color="auto" w:fill="auto"/>
            <w:vAlign w:val="center"/>
          </w:tcPr>
          <w:p w14:paraId="52F3A1A5" w14:textId="2FD8D0FB" w:rsidR="00DF69C6" w:rsidRPr="00144E33" w:rsidRDefault="00DF69C6" w:rsidP="00A9692B">
            <w:pPr>
              <w:spacing w:before="120" w:after="120" w:line="276" w:lineRule="auto"/>
              <w:jc w:val="both"/>
              <w:rPr>
                <w:rFonts w:ascii="Arial" w:hAnsi="Arial" w:cs="Arial"/>
                <w:bCs/>
                <w:sz w:val="18"/>
                <w:szCs w:val="18"/>
              </w:rPr>
            </w:pPr>
            <w:r w:rsidRPr="00144E33">
              <w:rPr>
                <w:rFonts w:ascii="Arial" w:eastAsia="Times New Roman" w:hAnsi="Arial" w:cs="Arial"/>
                <w:color w:val="000000"/>
                <w:sz w:val="18"/>
                <w:szCs w:val="18"/>
                <w:lang w:eastAsia="es-MX"/>
              </w:rPr>
              <w:t>Es importante que la Guía para el Control de Concentraciones establezca explícitamente que el Acuerdo de Riesgos emitido por la Unidad de Competencia Económica del Instituto es exhaustivo, en el sentido que contiene todos los riesgos identificados por la autoridad en su análisis de la concentración y que el número y alcance de estos riesgos queda fijo con esa actuación.</w:t>
            </w:r>
          </w:p>
        </w:tc>
        <w:tc>
          <w:tcPr>
            <w:tcW w:w="3568" w:type="dxa"/>
            <w:shd w:val="clear" w:color="auto" w:fill="auto"/>
          </w:tcPr>
          <w:p w14:paraId="05C63A6F" w14:textId="28A3F281" w:rsidR="000B11F8" w:rsidRDefault="00217C8C" w:rsidP="00A9692B">
            <w:pPr>
              <w:spacing w:before="120" w:after="120" w:line="276" w:lineRule="auto"/>
              <w:jc w:val="both"/>
              <w:rPr>
                <w:rFonts w:ascii="Arial" w:hAnsi="Arial" w:cs="Arial"/>
                <w:sz w:val="18"/>
                <w:szCs w:val="18"/>
              </w:rPr>
            </w:pPr>
            <w:r w:rsidRPr="00217C8C">
              <w:rPr>
                <w:rFonts w:ascii="Arial" w:hAnsi="Arial" w:cs="Arial"/>
                <w:sz w:val="18"/>
                <w:szCs w:val="18"/>
              </w:rPr>
              <w:t>Se considera el comentario y se agrega texto para hacer una precisión al respecto.</w:t>
            </w:r>
          </w:p>
          <w:tbl>
            <w:tblPr>
              <w:tblStyle w:val="Tablaconcuadrcula"/>
              <w:tblW w:w="0" w:type="auto"/>
              <w:jc w:val="center"/>
              <w:tblLook w:val="04A0" w:firstRow="1" w:lastRow="0" w:firstColumn="1" w:lastColumn="0" w:noHBand="0" w:noVBand="1"/>
            </w:tblPr>
            <w:tblGrid>
              <w:gridCol w:w="3176"/>
            </w:tblGrid>
            <w:tr w:rsidR="000B11F8" w:rsidRPr="00E83771" w14:paraId="7DE691DD" w14:textId="77777777" w:rsidTr="00935490">
              <w:trPr>
                <w:trHeight w:val="311"/>
                <w:jc w:val="center"/>
              </w:trPr>
              <w:tc>
                <w:tcPr>
                  <w:tcW w:w="3176"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414B396B" w14:textId="3C686677" w:rsidR="000B11F8" w:rsidRPr="00E83771" w:rsidRDefault="00217C8C" w:rsidP="00A9692B">
                  <w:pPr>
                    <w:spacing w:before="120" w:after="120" w:line="276" w:lineRule="auto"/>
                    <w:jc w:val="center"/>
                    <w:rPr>
                      <w:rFonts w:ascii="Arial" w:hAnsi="Arial" w:cs="Arial"/>
                      <w:sz w:val="18"/>
                      <w:szCs w:val="18"/>
                    </w:rPr>
                  </w:pPr>
                  <w:r w:rsidRPr="00217C8C">
                    <w:rPr>
                      <w:rFonts w:ascii="Arial" w:hAnsi="Arial" w:cs="Arial"/>
                      <w:sz w:val="18"/>
                      <w:szCs w:val="18"/>
                    </w:rPr>
                    <w:t xml:space="preserve"> </w:t>
                  </w:r>
                  <w:r w:rsidR="000B11F8" w:rsidRPr="00E83771">
                    <w:rPr>
                      <w:rFonts w:ascii="Arial" w:hAnsi="Arial" w:cs="Arial"/>
                      <w:sz w:val="18"/>
                      <w:szCs w:val="18"/>
                    </w:rPr>
                    <w:t xml:space="preserve">Modificación al Proyecto </w:t>
                  </w:r>
                </w:p>
              </w:tc>
            </w:tr>
            <w:tr w:rsidR="000B11F8" w:rsidRPr="004A1442" w14:paraId="1338C54E" w14:textId="77777777" w:rsidTr="00935490">
              <w:trPr>
                <w:jc w:val="center"/>
              </w:trPr>
              <w:tc>
                <w:tcPr>
                  <w:tcW w:w="3176" w:type="dxa"/>
                  <w:tcBorders>
                    <w:top w:val="single" w:sz="4" w:space="0" w:color="auto"/>
                    <w:left w:val="single" w:sz="4" w:space="0" w:color="auto"/>
                    <w:bottom w:val="single" w:sz="4" w:space="0" w:color="auto"/>
                    <w:right w:val="single" w:sz="4" w:space="0" w:color="auto"/>
                  </w:tcBorders>
                  <w:shd w:val="clear" w:color="auto" w:fill="FFFFFF" w:themeFill="background1"/>
                </w:tcPr>
                <w:p w14:paraId="1176BCE1" w14:textId="69EEF7C3" w:rsidR="000B11F8" w:rsidRPr="004A1442" w:rsidRDefault="000B11F8" w:rsidP="00A9692B">
                  <w:pPr>
                    <w:spacing w:before="120" w:after="120" w:line="276" w:lineRule="auto"/>
                    <w:jc w:val="both"/>
                    <w:rPr>
                      <w:rFonts w:ascii="Arial" w:hAnsi="Arial" w:cs="Arial"/>
                      <w:sz w:val="18"/>
                      <w:szCs w:val="18"/>
                    </w:rPr>
                  </w:pPr>
                  <w:r w:rsidRPr="00785E15">
                    <w:rPr>
                      <w:rFonts w:ascii="Arial" w:hAnsi="Arial" w:cs="Arial"/>
                      <w:i/>
                      <w:sz w:val="18"/>
                      <w:szCs w:val="18"/>
                    </w:rPr>
                    <w:t xml:space="preserve">En términos del artículo 21 de las Disposiciones Regulatorias, la UCE será quien emita el acuerdo en el que comunicará a los agentes económicos notificantes </w:t>
                  </w:r>
                  <w:r w:rsidRPr="00785E15">
                    <w:rPr>
                      <w:rFonts w:ascii="Arial" w:hAnsi="Arial" w:cs="Arial"/>
                      <w:b/>
                      <w:i/>
                      <w:sz w:val="18"/>
                      <w:szCs w:val="18"/>
                    </w:rPr>
                    <w:t>todos y cada uno</w:t>
                  </w:r>
                  <w:r w:rsidRPr="00785E15">
                    <w:rPr>
                      <w:rFonts w:ascii="Arial" w:hAnsi="Arial" w:cs="Arial"/>
                      <w:i/>
                      <w:sz w:val="18"/>
                      <w:szCs w:val="18"/>
                    </w:rPr>
                    <w:t xml:space="preserve"> de los posibles riesgos al proceso de competencia y libre concurrencia que identifique (Acuerdo de Riesgos), (…)</w:t>
                  </w:r>
                </w:p>
              </w:tc>
            </w:tr>
          </w:tbl>
          <w:p w14:paraId="4BD2F23B" w14:textId="77777777" w:rsidR="00DF69C6" w:rsidRDefault="000B11F8" w:rsidP="00A9692B">
            <w:pPr>
              <w:spacing w:before="120" w:after="120" w:line="276" w:lineRule="auto"/>
              <w:jc w:val="both"/>
              <w:rPr>
                <w:rFonts w:ascii="Arial" w:hAnsi="Arial" w:cs="Arial"/>
                <w:sz w:val="18"/>
                <w:szCs w:val="18"/>
              </w:rPr>
            </w:pPr>
            <w:r w:rsidRPr="00217C8C">
              <w:rPr>
                <w:rFonts w:ascii="Arial" w:hAnsi="Arial" w:cs="Arial"/>
                <w:sz w:val="18"/>
                <w:szCs w:val="18"/>
              </w:rPr>
              <w:t xml:space="preserve"> </w:t>
            </w:r>
            <w:r w:rsidR="00217C8C" w:rsidRPr="00217C8C">
              <w:rPr>
                <w:rFonts w:ascii="Arial" w:hAnsi="Arial" w:cs="Arial"/>
                <w:sz w:val="18"/>
                <w:szCs w:val="18"/>
              </w:rPr>
              <w:t>(</w:t>
            </w:r>
            <w:r w:rsidR="00AA0945">
              <w:rPr>
                <w:rFonts w:ascii="Arial" w:hAnsi="Arial" w:cs="Arial"/>
                <w:sz w:val="18"/>
                <w:szCs w:val="18"/>
              </w:rPr>
              <w:t>S</w:t>
            </w:r>
            <w:r w:rsidR="00217C8C" w:rsidRPr="00217C8C">
              <w:rPr>
                <w:rFonts w:ascii="Arial" w:hAnsi="Arial" w:cs="Arial"/>
                <w:sz w:val="18"/>
                <w:szCs w:val="18"/>
              </w:rPr>
              <w:t>e resalta texto agregado)</w:t>
            </w:r>
          </w:p>
          <w:p w14:paraId="678D1546" w14:textId="34C03544" w:rsidR="00257C40" w:rsidRPr="00457D57" w:rsidRDefault="00257C40" w:rsidP="00A9692B">
            <w:pPr>
              <w:spacing w:before="120" w:after="120" w:line="276" w:lineRule="auto"/>
              <w:jc w:val="both"/>
              <w:rPr>
                <w:rFonts w:ascii="Arial" w:hAnsi="Arial" w:cs="Arial"/>
                <w:sz w:val="18"/>
                <w:szCs w:val="18"/>
              </w:rPr>
            </w:pPr>
            <w:r>
              <w:rPr>
                <w:rFonts w:ascii="Arial" w:hAnsi="Arial" w:cs="Arial"/>
                <w:sz w:val="18"/>
                <w:szCs w:val="18"/>
              </w:rPr>
              <w:t xml:space="preserve">Sin embargo, se advierte que </w:t>
            </w:r>
            <w:r w:rsidRPr="00144E33">
              <w:rPr>
                <w:rFonts w:ascii="Arial" w:eastAsia="Times New Roman" w:hAnsi="Arial" w:cs="Arial"/>
                <w:color w:val="000000"/>
                <w:sz w:val="18"/>
                <w:szCs w:val="18"/>
                <w:lang w:eastAsia="es-MX"/>
              </w:rPr>
              <w:t xml:space="preserve">el número y alcance de estos riesgos </w:t>
            </w:r>
            <w:r>
              <w:rPr>
                <w:rFonts w:ascii="Arial" w:eastAsia="Times New Roman" w:hAnsi="Arial" w:cs="Arial"/>
                <w:color w:val="000000"/>
                <w:sz w:val="18"/>
                <w:szCs w:val="18"/>
                <w:lang w:eastAsia="es-MX"/>
              </w:rPr>
              <w:t xml:space="preserve">no puede </w:t>
            </w:r>
            <w:r w:rsidRPr="00144E33">
              <w:rPr>
                <w:rFonts w:ascii="Arial" w:eastAsia="Times New Roman" w:hAnsi="Arial" w:cs="Arial"/>
                <w:color w:val="000000"/>
                <w:sz w:val="18"/>
                <w:szCs w:val="18"/>
                <w:lang w:eastAsia="es-MX"/>
              </w:rPr>
              <w:t>queda</w:t>
            </w:r>
            <w:r>
              <w:rPr>
                <w:rFonts w:ascii="Arial" w:eastAsia="Times New Roman" w:hAnsi="Arial" w:cs="Arial"/>
                <w:color w:val="000000"/>
                <w:sz w:val="18"/>
                <w:szCs w:val="18"/>
                <w:lang w:eastAsia="es-MX"/>
              </w:rPr>
              <w:t>r</w:t>
            </w:r>
            <w:r w:rsidRPr="00144E33">
              <w:rPr>
                <w:rFonts w:ascii="Arial" w:eastAsia="Times New Roman" w:hAnsi="Arial" w:cs="Arial"/>
                <w:color w:val="000000"/>
                <w:sz w:val="18"/>
                <w:szCs w:val="18"/>
                <w:lang w:eastAsia="es-MX"/>
              </w:rPr>
              <w:t xml:space="preserve"> fijo con </w:t>
            </w:r>
            <w:r>
              <w:rPr>
                <w:rFonts w:ascii="Arial" w:eastAsia="Times New Roman" w:hAnsi="Arial" w:cs="Arial"/>
                <w:color w:val="000000"/>
                <w:sz w:val="18"/>
                <w:szCs w:val="18"/>
                <w:lang w:eastAsia="es-MX"/>
              </w:rPr>
              <w:t>l</w:t>
            </w:r>
            <w:r w:rsidRPr="00144E33">
              <w:rPr>
                <w:rFonts w:ascii="Arial" w:eastAsia="Times New Roman" w:hAnsi="Arial" w:cs="Arial"/>
                <w:color w:val="000000"/>
                <w:sz w:val="18"/>
                <w:szCs w:val="18"/>
                <w:lang w:eastAsia="es-MX"/>
              </w:rPr>
              <w:t>a actuación</w:t>
            </w:r>
            <w:r>
              <w:rPr>
                <w:rFonts w:ascii="Arial" w:eastAsia="Times New Roman" w:hAnsi="Arial" w:cs="Arial"/>
                <w:color w:val="000000"/>
                <w:sz w:val="18"/>
                <w:szCs w:val="18"/>
                <w:lang w:eastAsia="es-MX"/>
              </w:rPr>
              <w:t xml:space="preserve"> de la UCE, pues el acuerdo de riesgos no es vinculante para el Pleno del IFT. Lo anterior se indica en el Anteproyecto de la siguiente manera: “</w:t>
            </w:r>
            <w:r w:rsidRPr="00257C40">
              <w:rPr>
                <w:rFonts w:ascii="Arial" w:hAnsi="Arial" w:cs="Arial"/>
                <w:sz w:val="18"/>
                <w:szCs w:val="18"/>
              </w:rPr>
              <w:t>En el Acuerdo de Riesgos, el IFT realiza una exposición de la operación notificada y sus aspectos relevantes, así como los elementos de análisis que le han permitido advertir la existencia de posibles riesgos al proceso de competencia y libre concurrencia, sin que ello, de ninguna manera, prejuzgue sobre la resolución que con posterioridad el Pleno del IFT emita</w:t>
            </w:r>
            <w:r>
              <w:rPr>
                <w:rFonts w:ascii="Arial" w:hAnsi="Arial" w:cs="Arial"/>
                <w:sz w:val="18"/>
                <w:szCs w:val="18"/>
              </w:rPr>
              <w:t>.”.</w:t>
            </w:r>
          </w:p>
        </w:tc>
      </w:tr>
      <w:tr w:rsidR="00DF69C6" w:rsidRPr="003E2214" w14:paraId="6D9DD8B5" w14:textId="77777777" w:rsidTr="009B2105">
        <w:trPr>
          <w:jc w:val="center"/>
        </w:trPr>
        <w:tc>
          <w:tcPr>
            <w:tcW w:w="2875" w:type="dxa"/>
            <w:shd w:val="clear" w:color="auto" w:fill="auto"/>
          </w:tcPr>
          <w:p w14:paraId="12B13146" w14:textId="339FB3A5" w:rsidR="00DF69C6" w:rsidRDefault="0083484A" w:rsidP="00A9692B">
            <w:pPr>
              <w:spacing w:before="120" w:after="120" w:line="276" w:lineRule="auto"/>
              <w:jc w:val="both"/>
              <w:rPr>
                <w:rFonts w:ascii="Arial" w:hAnsi="Arial" w:cs="Arial"/>
                <w:sz w:val="18"/>
                <w:szCs w:val="18"/>
              </w:rPr>
            </w:pPr>
            <w:r>
              <w:rPr>
                <w:rFonts w:ascii="Arial" w:hAnsi="Arial" w:cs="Arial"/>
                <w:b/>
                <w:sz w:val="18"/>
                <w:szCs w:val="18"/>
              </w:rPr>
              <w:t>---</w:t>
            </w:r>
          </w:p>
        </w:tc>
        <w:tc>
          <w:tcPr>
            <w:tcW w:w="2903" w:type="dxa"/>
            <w:shd w:val="clear" w:color="auto" w:fill="auto"/>
            <w:vAlign w:val="center"/>
          </w:tcPr>
          <w:p w14:paraId="32BC0C85" w14:textId="3BCFB5C4" w:rsidR="00DF69C6" w:rsidRPr="00BA6C59" w:rsidRDefault="00DF69C6" w:rsidP="00A9692B">
            <w:pPr>
              <w:spacing w:before="120" w:after="120" w:line="276" w:lineRule="auto"/>
              <w:jc w:val="both"/>
              <w:rPr>
                <w:rFonts w:ascii="Arial" w:hAnsi="Arial" w:cs="Arial"/>
                <w:bCs/>
                <w:sz w:val="18"/>
                <w:szCs w:val="18"/>
              </w:rPr>
            </w:pPr>
            <w:r w:rsidRPr="00AE7DEA">
              <w:rPr>
                <w:rFonts w:ascii="Arial" w:eastAsia="Times New Roman" w:hAnsi="Arial" w:cs="Arial"/>
                <w:color w:val="000000"/>
                <w:sz w:val="18"/>
                <w:szCs w:val="18"/>
                <w:lang w:eastAsia="es-MX"/>
              </w:rPr>
              <w:t>Es deseable que el Instituto y la Comisión Federal de Competencia Económica acuerden lineamientos interinstitucionales que les permitan determinar las áreas competenciales de cada uno, particularmente en casos que han resultado en diferendos entre ambas autoridades en el pasado y, particularmente, en el ámbito de los denominados mercados digitales.</w:t>
            </w:r>
          </w:p>
        </w:tc>
        <w:tc>
          <w:tcPr>
            <w:tcW w:w="3568" w:type="dxa"/>
            <w:shd w:val="clear" w:color="auto" w:fill="auto"/>
          </w:tcPr>
          <w:p w14:paraId="733905BB" w14:textId="441809C4" w:rsidR="00DF69C6" w:rsidRPr="00457D57" w:rsidRDefault="00217C8C" w:rsidP="00A9692B">
            <w:pPr>
              <w:spacing w:before="120" w:after="120" w:line="276" w:lineRule="auto"/>
              <w:jc w:val="both"/>
              <w:rPr>
                <w:rFonts w:ascii="Arial" w:hAnsi="Arial" w:cs="Arial"/>
                <w:sz w:val="18"/>
                <w:szCs w:val="18"/>
              </w:rPr>
            </w:pPr>
            <w:r w:rsidRPr="00217C8C">
              <w:rPr>
                <w:rFonts w:ascii="Arial" w:hAnsi="Arial" w:cs="Arial"/>
                <w:sz w:val="18"/>
                <w:szCs w:val="18"/>
              </w:rPr>
              <w:t xml:space="preserve">Se toma conocimiento de la opinión recibida. </w:t>
            </w:r>
          </w:p>
        </w:tc>
      </w:tr>
      <w:tr w:rsidR="00DF69C6" w:rsidRPr="003E2214" w14:paraId="70E7D380" w14:textId="77777777" w:rsidTr="009B2105">
        <w:trPr>
          <w:jc w:val="center"/>
        </w:trPr>
        <w:tc>
          <w:tcPr>
            <w:tcW w:w="2875" w:type="dxa"/>
            <w:shd w:val="clear" w:color="auto" w:fill="auto"/>
          </w:tcPr>
          <w:p w14:paraId="6A968B3D" w14:textId="190A1A4D" w:rsidR="00DF69C6" w:rsidRDefault="0083484A" w:rsidP="00A9692B">
            <w:pPr>
              <w:spacing w:before="120" w:after="120" w:line="276" w:lineRule="auto"/>
              <w:jc w:val="both"/>
              <w:rPr>
                <w:rFonts w:ascii="Arial" w:hAnsi="Arial" w:cs="Arial"/>
                <w:sz w:val="18"/>
                <w:szCs w:val="18"/>
              </w:rPr>
            </w:pPr>
            <w:r>
              <w:rPr>
                <w:rFonts w:ascii="Arial" w:hAnsi="Arial" w:cs="Arial"/>
                <w:b/>
                <w:sz w:val="18"/>
                <w:szCs w:val="18"/>
              </w:rPr>
              <w:lastRenderedPageBreak/>
              <w:t>---</w:t>
            </w:r>
          </w:p>
        </w:tc>
        <w:tc>
          <w:tcPr>
            <w:tcW w:w="2903" w:type="dxa"/>
            <w:shd w:val="clear" w:color="auto" w:fill="auto"/>
            <w:vAlign w:val="center"/>
          </w:tcPr>
          <w:p w14:paraId="2C68A0E4" w14:textId="2A7D0489" w:rsidR="00DF69C6" w:rsidRPr="00BA6C59" w:rsidRDefault="00DF69C6" w:rsidP="00A9692B">
            <w:pPr>
              <w:spacing w:before="120" w:after="120" w:line="276" w:lineRule="auto"/>
              <w:jc w:val="both"/>
              <w:rPr>
                <w:rFonts w:ascii="Arial" w:hAnsi="Arial" w:cs="Arial"/>
                <w:bCs/>
                <w:sz w:val="18"/>
                <w:szCs w:val="18"/>
              </w:rPr>
            </w:pPr>
            <w:r w:rsidRPr="00AE7DEA">
              <w:rPr>
                <w:rFonts w:ascii="Arial" w:eastAsia="Times New Roman" w:hAnsi="Arial" w:cs="Arial"/>
                <w:color w:val="000000"/>
                <w:sz w:val="18"/>
                <w:szCs w:val="18"/>
                <w:lang w:eastAsia="es-MX"/>
              </w:rPr>
              <w:t>Es necesario que IFT establezca con suficiente claridad los elementos y umbrales que se consideran necesario para notificar una concentración, así como dejar claro las situaciones bajo las cuales puede obviarse la notificación por no constituirse ningún riesgo para el proceso de competencia.</w:t>
            </w:r>
          </w:p>
        </w:tc>
        <w:tc>
          <w:tcPr>
            <w:tcW w:w="3568" w:type="dxa"/>
            <w:shd w:val="clear" w:color="auto" w:fill="auto"/>
          </w:tcPr>
          <w:p w14:paraId="44F11CBA" w14:textId="23C05BD3" w:rsidR="00DF69C6" w:rsidRPr="00457D57" w:rsidRDefault="00B760B8" w:rsidP="00A9692B">
            <w:pPr>
              <w:spacing w:before="120" w:after="120" w:line="276" w:lineRule="auto"/>
              <w:jc w:val="both"/>
              <w:rPr>
                <w:rFonts w:ascii="Arial" w:hAnsi="Arial" w:cs="Arial"/>
                <w:sz w:val="18"/>
                <w:szCs w:val="18"/>
              </w:rPr>
            </w:pPr>
            <w:r>
              <w:rPr>
                <w:rFonts w:ascii="Arial" w:hAnsi="Arial" w:cs="Arial"/>
                <w:sz w:val="18"/>
                <w:szCs w:val="18"/>
              </w:rPr>
              <w:t>El comentario n</w:t>
            </w:r>
            <w:r w:rsidR="00217C8C" w:rsidRPr="00217C8C">
              <w:rPr>
                <w:rFonts w:ascii="Arial" w:hAnsi="Arial" w:cs="Arial"/>
                <w:sz w:val="18"/>
                <w:szCs w:val="18"/>
              </w:rPr>
              <w:t>o se considera</w:t>
            </w:r>
            <w:r>
              <w:rPr>
                <w:rFonts w:ascii="Arial" w:hAnsi="Arial" w:cs="Arial"/>
                <w:sz w:val="18"/>
                <w:szCs w:val="18"/>
              </w:rPr>
              <w:t xml:space="preserve"> procedente</w:t>
            </w:r>
            <w:r w:rsidR="00217C8C" w:rsidRPr="00217C8C">
              <w:rPr>
                <w:rFonts w:ascii="Arial" w:hAnsi="Arial" w:cs="Arial"/>
                <w:sz w:val="18"/>
                <w:szCs w:val="18"/>
              </w:rPr>
              <w:t>. La sección 5.1 de la Guía de Concentraciones ya aborda los elementos y umbrales que considera el IFT en la notificación de concentraciones. Por su parte, las secciones 6 y 8.1 de la misma guía, describen situaciones donde puede omitirse la notificación de una concentración.</w:t>
            </w:r>
            <w:r>
              <w:rPr>
                <w:rFonts w:ascii="Arial" w:hAnsi="Arial" w:cs="Arial"/>
                <w:sz w:val="18"/>
                <w:szCs w:val="18"/>
              </w:rPr>
              <w:t xml:space="preserve"> Sin embargo, las concentraciones que superan los umbrales a que se refiere el artículo 86 de la LFCE no pueden exentarse de notificación </w:t>
            </w:r>
            <w:r w:rsidRPr="00AE7DEA">
              <w:rPr>
                <w:rFonts w:ascii="Arial" w:eastAsia="Times New Roman" w:hAnsi="Arial" w:cs="Arial"/>
                <w:color w:val="000000"/>
                <w:sz w:val="18"/>
                <w:szCs w:val="18"/>
                <w:lang w:eastAsia="es-MX"/>
              </w:rPr>
              <w:t>por no constituir</w:t>
            </w:r>
            <w:r>
              <w:rPr>
                <w:rFonts w:ascii="Arial" w:eastAsia="Times New Roman" w:hAnsi="Arial" w:cs="Arial"/>
                <w:color w:val="000000"/>
                <w:sz w:val="18"/>
                <w:szCs w:val="18"/>
                <w:lang w:eastAsia="es-MX"/>
              </w:rPr>
              <w:t xml:space="preserve"> </w:t>
            </w:r>
            <w:r w:rsidRPr="00AE7DEA">
              <w:rPr>
                <w:rFonts w:ascii="Arial" w:eastAsia="Times New Roman" w:hAnsi="Arial" w:cs="Arial"/>
                <w:color w:val="000000"/>
                <w:sz w:val="18"/>
                <w:szCs w:val="18"/>
                <w:lang w:eastAsia="es-MX"/>
              </w:rPr>
              <w:t>riesgo</w:t>
            </w:r>
            <w:r>
              <w:rPr>
                <w:rFonts w:ascii="Arial" w:eastAsia="Times New Roman" w:hAnsi="Arial" w:cs="Arial"/>
                <w:color w:val="000000"/>
                <w:sz w:val="18"/>
                <w:szCs w:val="18"/>
                <w:lang w:eastAsia="es-MX"/>
              </w:rPr>
              <w:t>s</w:t>
            </w:r>
            <w:r w:rsidRPr="00AE7DEA">
              <w:rPr>
                <w:rFonts w:ascii="Arial" w:eastAsia="Times New Roman" w:hAnsi="Arial" w:cs="Arial"/>
                <w:color w:val="000000"/>
                <w:sz w:val="18"/>
                <w:szCs w:val="18"/>
                <w:lang w:eastAsia="es-MX"/>
              </w:rPr>
              <w:t xml:space="preserve"> para el proceso de competencia</w:t>
            </w:r>
            <w:r>
              <w:rPr>
                <w:rFonts w:ascii="Arial" w:eastAsia="Times New Roman" w:hAnsi="Arial" w:cs="Arial"/>
                <w:color w:val="000000"/>
                <w:sz w:val="18"/>
                <w:szCs w:val="18"/>
                <w:lang w:eastAsia="es-MX"/>
              </w:rPr>
              <w:t>. Esa conclusión puede obtenerse una vez que se analiza la información contenida en la notificación.</w:t>
            </w:r>
            <w:r>
              <w:rPr>
                <w:rFonts w:ascii="Arial" w:hAnsi="Arial" w:cs="Arial"/>
                <w:sz w:val="18"/>
                <w:szCs w:val="18"/>
              </w:rPr>
              <w:t xml:space="preserve"> </w:t>
            </w:r>
          </w:p>
        </w:tc>
      </w:tr>
      <w:tr w:rsidR="00DF69C6" w:rsidRPr="003E2214" w14:paraId="58C38DB5" w14:textId="77777777" w:rsidTr="009B2105">
        <w:trPr>
          <w:jc w:val="center"/>
        </w:trPr>
        <w:tc>
          <w:tcPr>
            <w:tcW w:w="2875" w:type="dxa"/>
            <w:shd w:val="clear" w:color="auto" w:fill="auto"/>
          </w:tcPr>
          <w:p w14:paraId="4F07891C" w14:textId="73E0FB00" w:rsidR="00DF69C6" w:rsidRDefault="0083484A" w:rsidP="00A9692B">
            <w:pPr>
              <w:spacing w:before="120" w:after="120" w:line="276" w:lineRule="auto"/>
              <w:jc w:val="both"/>
              <w:rPr>
                <w:rFonts w:ascii="Arial" w:hAnsi="Arial" w:cs="Arial"/>
                <w:sz w:val="18"/>
                <w:szCs w:val="18"/>
              </w:rPr>
            </w:pPr>
            <w:r>
              <w:rPr>
                <w:rFonts w:ascii="Arial" w:hAnsi="Arial" w:cs="Arial"/>
                <w:b/>
                <w:sz w:val="18"/>
                <w:szCs w:val="18"/>
              </w:rPr>
              <w:t>---</w:t>
            </w:r>
          </w:p>
        </w:tc>
        <w:tc>
          <w:tcPr>
            <w:tcW w:w="2903" w:type="dxa"/>
            <w:shd w:val="clear" w:color="auto" w:fill="auto"/>
            <w:vAlign w:val="center"/>
          </w:tcPr>
          <w:p w14:paraId="6F23E53D" w14:textId="1923B791" w:rsidR="00DF69C6" w:rsidRPr="00BA6C59" w:rsidRDefault="00DF69C6" w:rsidP="00A9692B">
            <w:pPr>
              <w:spacing w:before="120" w:after="120" w:line="276" w:lineRule="auto"/>
              <w:jc w:val="both"/>
              <w:rPr>
                <w:rFonts w:ascii="Arial" w:hAnsi="Arial" w:cs="Arial"/>
                <w:bCs/>
                <w:sz w:val="18"/>
                <w:szCs w:val="18"/>
              </w:rPr>
            </w:pPr>
            <w:r w:rsidRPr="00AE7DEA">
              <w:rPr>
                <w:rFonts w:ascii="Arial" w:eastAsia="Times New Roman" w:hAnsi="Arial" w:cs="Arial"/>
                <w:color w:val="000000"/>
                <w:sz w:val="18"/>
                <w:szCs w:val="18"/>
                <w:lang w:eastAsia="es-MX"/>
              </w:rPr>
              <w:t>Solicitamos que IFT establezca en la guía que los casos de renta de capacidad, aun cuando configuren actos sucesivos que puedan exceder el umbral de LFCE no deben ser notificados tampoco como una concentración.</w:t>
            </w:r>
          </w:p>
        </w:tc>
        <w:tc>
          <w:tcPr>
            <w:tcW w:w="3568" w:type="dxa"/>
            <w:shd w:val="clear" w:color="auto" w:fill="auto"/>
          </w:tcPr>
          <w:p w14:paraId="160BC85C" w14:textId="40C987FD" w:rsidR="00217C8C" w:rsidRPr="00217C8C" w:rsidRDefault="00217C8C" w:rsidP="00A9692B">
            <w:pPr>
              <w:spacing w:before="120" w:after="120" w:line="276" w:lineRule="auto"/>
              <w:jc w:val="both"/>
              <w:rPr>
                <w:rFonts w:ascii="Arial" w:hAnsi="Arial" w:cs="Arial"/>
                <w:sz w:val="18"/>
                <w:szCs w:val="18"/>
              </w:rPr>
            </w:pPr>
            <w:r w:rsidRPr="00217C8C">
              <w:rPr>
                <w:rFonts w:ascii="Arial" w:hAnsi="Arial" w:cs="Arial"/>
                <w:sz w:val="18"/>
                <w:szCs w:val="18"/>
              </w:rPr>
              <w:t>No se considera</w:t>
            </w:r>
            <w:r w:rsidR="000E1698">
              <w:rPr>
                <w:rFonts w:ascii="Arial" w:hAnsi="Arial" w:cs="Arial"/>
                <w:sz w:val="18"/>
                <w:szCs w:val="18"/>
              </w:rPr>
              <w:t xml:space="preserve"> procedente el comentario</w:t>
            </w:r>
            <w:r w:rsidRPr="00217C8C">
              <w:rPr>
                <w:rFonts w:ascii="Arial" w:hAnsi="Arial" w:cs="Arial"/>
                <w:sz w:val="18"/>
                <w:szCs w:val="18"/>
              </w:rPr>
              <w:t>. La Guía de Concentraciones ya aborda este asunto en su sección 8.1, en el apartado “Arrendamiento de bandas de frecuencia”. Donde, entre otros elementos, se precisa que:</w:t>
            </w:r>
          </w:p>
          <w:p w14:paraId="4F1E4ED8" w14:textId="1B102963" w:rsidR="00DF69C6" w:rsidRPr="00416808" w:rsidRDefault="00217C8C" w:rsidP="00A9692B">
            <w:pPr>
              <w:spacing w:before="120" w:after="120" w:line="276" w:lineRule="auto"/>
              <w:ind w:left="194"/>
              <w:jc w:val="both"/>
              <w:rPr>
                <w:rFonts w:ascii="Arial" w:hAnsi="Arial" w:cs="Arial"/>
                <w:i/>
                <w:sz w:val="17"/>
                <w:szCs w:val="17"/>
              </w:rPr>
            </w:pPr>
            <w:r w:rsidRPr="00416808">
              <w:rPr>
                <w:rFonts w:ascii="Arial" w:hAnsi="Arial" w:cs="Arial"/>
                <w:i/>
                <w:sz w:val="17"/>
                <w:szCs w:val="17"/>
              </w:rPr>
              <w:t>“Por lo anterior, se considera que basta con que los particulares realicen el procedimiento establecido en la LFTR, que por sí mismo exige una evaluación de posibles fenómenos de concentración que dañen el interés público antes de la autorización de una operación de arrendamiento, sin que al efecto los particulares necesiten realizar por vía separada un procedimiento de notificación de concentración.”</w:t>
            </w:r>
          </w:p>
        </w:tc>
      </w:tr>
      <w:tr w:rsidR="00DF69C6" w:rsidRPr="003E2214" w14:paraId="166AD9C1" w14:textId="77777777" w:rsidTr="009B2105">
        <w:trPr>
          <w:jc w:val="center"/>
        </w:trPr>
        <w:tc>
          <w:tcPr>
            <w:tcW w:w="2875" w:type="dxa"/>
            <w:shd w:val="clear" w:color="auto" w:fill="auto"/>
          </w:tcPr>
          <w:p w14:paraId="77C9E5B3" w14:textId="0DB50081" w:rsidR="00DF69C6" w:rsidRDefault="0083484A" w:rsidP="00A9692B">
            <w:pPr>
              <w:spacing w:before="120" w:after="120" w:line="276" w:lineRule="auto"/>
              <w:jc w:val="both"/>
              <w:rPr>
                <w:rFonts w:ascii="Arial" w:hAnsi="Arial" w:cs="Arial"/>
                <w:sz w:val="18"/>
                <w:szCs w:val="18"/>
              </w:rPr>
            </w:pPr>
            <w:r>
              <w:rPr>
                <w:rFonts w:ascii="Arial" w:hAnsi="Arial" w:cs="Arial"/>
                <w:b/>
                <w:sz w:val="18"/>
                <w:szCs w:val="18"/>
              </w:rPr>
              <w:t>---</w:t>
            </w:r>
          </w:p>
        </w:tc>
        <w:tc>
          <w:tcPr>
            <w:tcW w:w="2903" w:type="dxa"/>
            <w:shd w:val="clear" w:color="auto" w:fill="auto"/>
            <w:vAlign w:val="center"/>
          </w:tcPr>
          <w:p w14:paraId="177DF6BF" w14:textId="0A45E735" w:rsidR="00DF69C6" w:rsidRPr="00BA6C59" w:rsidRDefault="00DF69C6" w:rsidP="00A9692B">
            <w:pPr>
              <w:spacing w:before="120" w:after="120" w:line="276" w:lineRule="auto"/>
              <w:jc w:val="both"/>
              <w:rPr>
                <w:rFonts w:ascii="Arial" w:hAnsi="Arial" w:cs="Arial"/>
                <w:bCs/>
                <w:sz w:val="18"/>
                <w:szCs w:val="18"/>
              </w:rPr>
            </w:pPr>
            <w:r w:rsidRPr="00AE7DEA">
              <w:rPr>
                <w:rFonts w:ascii="Arial" w:eastAsia="Times New Roman" w:hAnsi="Arial" w:cs="Arial"/>
                <w:color w:val="000000"/>
                <w:sz w:val="18"/>
                <w:szCs w:val="18"/>
                <w:lang w:eastAsia="es-MX"/>
              </w:rPr>
              <w:t>Se deberá evitar que la guía señale principios generales o criterios cualitativos o cuantitativos que no estén expresamente establecidos en la LFCE para el control de concentraciones en los sectores de telecomunicaciones y radiodifusión.</w:t>
            </w:r>
          </w:p>
        </w:tc>
        <w:tc>
          <w:tcPr>
            <w:tcW w:w="3568" w:type="dxa"/>
            <w:shd w:val="clear" w:color="auto" w:fill="auto"/>
          </w:tcPr>
          <w:p w14:paraId="4F0EAF80" w14:textId="730F54AA" w:rsidR="00DF69C6" w:rsidRPr="00217C8C" w:rsidRDefault="00217C8C" w:rsidP="00A9692B">
            <w:pPr>
              <w:spacing w:before="120" w:after="120" w:line="276" w:lineRule="auto"/>
              <w:jc w:val="both"/>
              <w:rPr>
                <w:rFonts w:ascii="Arial" w:hAnsi="Arial" w:cs="Arial"/>
                <w:sz w:val="18"/>
                <w:szCs w:val="18"/>
              </w:rPr>
            </w:pPr>
            <w:r w:rsidRPr="00217C8C">
              <w:rPr>
                <w:rFonts w:ascii="Arial" w:hAnsi="Arial" w:cs="Arial"/>
                <w:sz w:val="18"/>
                <w:szCs w:val="18"/>
              </w:rPr>
              <w:t>No se considera</w:t>
            </w:r>
            <w:r w:rsidR="00E95EFE">
              <w:rPr>
                <w:rFonts w:ascii="Arial" w:hAnsi="Arial" w:cs="Arial"/>
                <w:sz w:val="18"/>
                <w:szCs w:val="18"/>
              </w:rPr>
              <w:t xml:space="preserve"> procedente el comentario</w:t>
            </w:r>
            <w:r w:rsidRPr="00217C8C">
              <w:rPr>
                <w:rFonts w:ascii="Arial" w:hAnsi="Arial" w:cs="Arial"/>
                <w:sz w:val="18"/>
                <w:szCs w:val="18"/>
              </w:rPr>
              <w:t xml:space="preserve">, </w:t>
            </w:r>
            <w:r w:rsidR="00E95EFE">
              <w:rPr>
                <w:rFonts w:ascii="Arial" w:hAnsi="Arial" w:cs="Arial"/>
                <w:sz w:val="18"/>
                <w:szCs w:val="18"/>
              </w:rPr>
              <w:t>en virtud de que el Anteproyecto</w:t>
            </w:r>
            <w:r w:rsidRPr="00217C8C">
              <w:rPr>
                <w:rFonts w:ascii="Arial" w:hAnsi="Arial" w:cs="Arial"/>
                <w:sz w:val="18"/>
                <w:szCs w:val="18"/>
              </w:rPr>
              <w:t xml:space="preserve"> </w:t>
            </w:r>
            <w:r w:rsidR="00E95EFE">
              <w:rPr>
                <w:rFonts w:ascii="Arial" w:hAnsi="Arial" w:cs="Arial"/>
                <w:sz w:val="18"/>
                <w:szCs w:val="18"/>
              </w:rPr>
              <w:t xml:space="preserve">ya </w:t>
            </w:r>
            <w:r w:rsidRPr="00217C8C">
              <w:rPr>
                <w:rFonts w:ascii="Arial" w:hAnsi="Arial" w:cs="Arial"/>
                <w:sz w:val="18"/>
                <w:szCs w:val="18"/>
              </w:rPr>
              <w:t xml:space="preserve">especifica que “presenta información y orientación general no vinculante sobre la aplicación de los controles de concentraciones en los sectores de telecomunicaciones y radiodifusión.”, </w:t>
            </w:r>
            <w:r w:rsidR="00E95EFE">
              <w:rPr>
                <w:rFonts w:ascii="Arial" w:hAnsi="Arial" w:cs="Arial"/>
                <w:sz w:val="18"/>
                <w:szCs w:val="18"/>
              </w:rPr>
              <w:t xml:space="preserve">pero no </w:t>
            </w:r>
            <w:r w:rsidR="00E95EFE" w:rsidRPr="00217C8C">
              <w:rPr>
                <w:rFonts w:ascii="Arial" w:hAnsi="Arial" w:cs="Arial"/>
                <w:sz w:val="18"/>
                <w:szCs w:val="18"/>
              </w:rPr>
              <w:t>presenta información y orientación general</w:t>
            </w:r>
            <w:r w:rsidR="00E95EFE">
              <w:rPr>
                <w:rFonts w:ascii="Arial" w:hAnsi="Arial" w:cs="Arial"/>
                <w:sz w:val="18"/>
                <w:szCs w:val="18"/>
              </w:rPr>
              <w:t xml:space="preserve"> sobre </w:t>
            </w:r>
            <w:r w:rsidR="00E95EFE" w:rsidRPr="00AE7DEA">
              <w:rPr>
                <w:rFonts w:ascii="Arial" w:eastAsia="Times New Roman" w:hAnsi="Arial" w:cs="Arial"/>
                <w:color w:val="000000"/>
                <w:sz w:val="18"/>
                <w:szCs w:val="18"/>
                <w:lang w:eastAsia="es-MX"/>
              </w:rPr>
              <w:t>criterios cualitativos o cuantitativos que no estén expresamente establecidos en la LFCE</w:t>
            </w:r>
            <w:r w:rsidR="00E95EFE">
              <w:rPr>
                <w:rFonts w:ascii="Arial" w:eastAsia="Times New Roman" w:hAnsi="Arial" w:cs="Arial"/>
                <w:color w:val="000000"/>
                <w:sz w:val="18"/>
                <w:szCs w:val="18"/>
                <w:lang w:eastAsia="es-MX"/>
              </w:rPr>
              <w:t xml:space="preserve">. Además, </w:t>
            </w:r>
            <w:r w:rsidR="00E95EFE">
              <w:rPr>
                <w:rFonts w:ascii="Arial" w:hAnsi="Arial" w:cs="Arial"/>
                <w:sz w:val="18"/>
                <w:szCs w:val="18"/>
              </w:rPr>
              <w:t>el</w:t>
            </w:r>
            <w:r w:rsidRPr="00217C8C">
              <w:rPr>
                <w:rFonts w:ascii="Arial" w:hAnsi="Arial" w:cs="Arial"/>
                <w:sz w:val="18"/>
                <w:szCs w:val="18"/>
              </w:rPr>
              <w:t xml:space="preserve"> contenido </w:t>
            </w:r>
            <w:r w:rsidR="00E95EFE">
              <w:rPr>
                <w:rFonts w:ascii="Arial" w:hAnsi="Arial" w:cs="Arial"/>
                <w:sz w:val="18"/>
                <w:szCs w:val="18"/>
              </w:rPr>
              <w:t xml:space="preserve">de la Guía </w:t>
            </w:r>
            <w:r w:rsidRPr="00217C8C">
              <w:rPr>
                <w:rFonts w:ascii="Arial" w:hAnsi="Arial" w:cs="Arial"/>
                <w:sz w:val="18"/>
                <w:szCs w:val="18"/>
              </w:rPr>
              <w:t>no es vinculante para los agentes económicos.</w:t>
            </w:r>
          </w:p>
        </w:tc>
      </w:tr>
      <w:tr w:rsidR="00DF69C6" w:rsidRPr="003E2214" w14:paraId="00082E6E" w14:textId="77777777" w:rsidTr="009B2105">
        <w:trPr>
          <w:jc w:val="center"/>
        </w:trPr>
        <w:tc>
          <w:tcPr>
            <w:tcW w:w="2875" w:type="dxa"/>
            <w:shd w:val="clear" w:color="auto" w:fill="auto"/>
          </w:tcPr>
          <w:p w14:paraId="7E5304DC" w14:textId="389384F9" w:rsidR="00DF69C6" w:rsidRDefault="0083484A" w:rsidP="00A9692B">
            <w:pPr>
              <w:spacing w:before="120" w:after="120" w:line="276" w:lineRule="auto"/>
              <w:jc w:val="both"/>
              <w:rPr>
                <w:rFonts w:ascii="Arial" w:hAnsi="Arial" w:cs="Arial"/>
                <w:sz w:val="18"/>
                <w:szCs w:val="18"/>
              </w:rPr>
            </w:pPr>
            <w:r>
              <w:rPr>
                <w:rFonts w:ascii="Arial" w:hAnsi="Arial" w:cs="Arial"/>
                <w:b/>
                <w:sz w:val="18"/>
                <w:szCs w:val="18"/>
              </w:rPr>
              <w:lastRenderedPageBreak/>
              <w:t>---</w:t>
            </w:r>
          </w:p>
        </w:tc>
        <w:tc>
          <w:tcPr>
            <w:tcW w:w="2903" w:type="dxa"/>
            <w:shd w:val="clear" w:color="auto" w:fill="auto"/>
            <w:vAlign w:val="center"/>
          </w:tcPr>
          <w:p w14:paraId="51EE5E09" w14:textId="33481980" w:rsidR="00DF69C6" w:rsidRPr="0083484A" w:rsidRDefault="00DF69C6" w:rsidP="00A9692B">
            <w:pPr>
              <w:spacing w:before="120" w:after="120" w:line="276" w:lineRule="auto"/>
              <w:jc w:val="both"/>
              <w:rPr>
                <w:rFonts w:ascii="Arial" w:hAnsi="Arial" w:cs="Arial"/>
                <w:bCs/>
                <w:sz w:val="18"/>
                <w:szCs w:val="18"/>
                <w:highlight w:val="yellow"/>
              </w:rPr>
            </w:pPr>
            <w:r w:rsidRPr="001309B4">
              <w:rPr>
                <w:rFonts w:ascii="Arial" w:eastAsia="Times New Roman" w:hAnsi="Arial" w:cs="Arial"/>
                <w:color w:val="000000"/>
                <w:sz w:val="18"/>
                <w:szCs w:val="18"/>
                <w:lang w:eastAsia="es-MX"/>
              </w:rPr>
              <w:t>En relación con el tema de empresas en quiebra o failing firm</w:t>
            </w:r>
            <w:r w:rsidRPr="001309B4">
              <w:rPr>
                <w:rFonts w:ascii="Arial" w:eastAsia="Times New Roman" w:hAnsi="Arial" w:cs="Arial"/>
                <w:color w:val="000000"/>
                <w:sz w:val="18"/>
                <w:szCs w:val="18"/>
                <w:lang w:eastAsia="es-MX"/>
              </w:rPr>
              <w:br/>
              <w:t>¿El Instituto tiene una forma diferente de proceder en caso de que en la concentración notificada, la empresa a ser adquirida sea una empresa en quiebra (failing firm)? De ser éste el caso ¿que considera para determinar que en realidad se encuentra en dicha situación? y ¿Qué información deberían aportar los notificantes para acreditarlo?</w:t>
            </w:r>
          </w:p>
        </w:tc>
        <w:tc>
          <w:tcPr>
            <w:tcW w:w="3568" w:type="dxa"/>
            <w:shd w:val="clear" w:color="auto" w:fill="auto"/>
          </w:tcPr>
          <w:p w14:paraId="53D9A39E" w14:textId="5B88F617" w:rsidR="001D1642" w:rsidRDefault="001D1642" w:rsidP="00A9692B">
            <w:pPr>
              <w:spacing w:before="120" w:after="120" w:line="276" w:lineRule="auto"/>
              <w:jc w:val="both"/>
              <w:rPr>
                <w:rFonts w:ascii="Arial" w:hAnsi="Arial" w:cs="Arial"/>
                <w:sz w:val="18"/>
                <w:szCs w:val="18"/>
              </w:rPr>
            </w:pPr>
            <w:r w:rsidRPr="001D1642">
              <w:rPr>
                <w:rFonts w:ascii="Arial" w:hAnsi="Arial" w:cs="Arial"/>
                <w:sz w:val="18"/>
                <w:szCs w:val="18"/>
              </w:rPr>
              <w:t xml:space="preserve">Se considera procedente el comentario y se agrega la siguiente sección para clarificar este punto. </w:t>
            </w:r>
          </w:p>
          <w:tbl>
            <w:tblPr>
              <w:tblStyle w:val="Tablaconcuadrcula"/>
              <w:tblW w:w="0" w:type="auto"/>
              <w:jc w:val="center"/>
              <w:tblLook w:val="04A0" w:firstRow="1" w:lastRow="0" w:firstColumn="1" w:lastColumn="0" w:noHBand="0" w:noVBand="1"/>
            </w:tblPr>
            <w:tblGrid>
              <w:gridCol w:w="3176"/>
            </w:tblGrid>
            <w:tr w:rsidR="00416808" w:rsidRPr="00E83771" w14:paraId="67200104" w14:textId="77777777" w:rsidTr="00935490">
              <w:trPr>
                <w:trHeight w:val="311"/>
                <w:jc w:val="center"/>
              </w:trPr>
              <w:tc>
                <w:tcPr>
                  <w:tcW w:w="3176"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0AE3FAFA" w14:textId="77777777" w:rsidR="00416808" w:rsidRPr="00E83771" w:rsidRDefault="00416808" w:rsidP="00A9692B">
                  <w:pPr>
                    <w:spacing w:before="120" w:after="120" w:line="276" w:lineRule="auto"/>
                    <w:jc w:val="center"/>
                    <w:rPr>
                      <w:rFonts w:ascii="Arial" w:hAnsi="Arial" w:cs="Arial"/>
                      <w:sz w:val="18"/>
                      <w:szCs w:val="18"/>
                    </w:rPr>
                  </w:pPr>
                  <w:r w:rsidRPr="00E83771">
                    <w:rPr>
                      <w:rFonts w:ascii="Arial" w:hAnsi="Arial" w:cs="Arial"/>
                      <w:sz w:val="18"/>
                      <w:szCs w:val="18"/>
                    </w:rPr>
                    <w:t xml:space="preserve">Modificación al Proyecto </w:t>
                  </w:r>
                </w:p>
              </w:tc>
            </w:tr>
            <w:tr w:rsidR="00416808" w:rsidRPr="004A1442" w14:paraId="473DCFA8" w14:textId="77777777" w:rsidTr="00935490">
              <w:trPr>
                <w:jc w:val="center"/>
              </w:trPr>
              <w:tc>
                <w:tcPr>
                  <w:tcW w:w="3176" w:type="dxa"/>
                  <w:tcBorders>
                    <w:top w:val="single" w:sz="4" w:space="0" w:color="auto"/>
                    <w:left w:val="single" w:sz="4" w:space="0" w:color="auto"/>
                    <w:bottom w:val="single" w:sz="4" w:space="0" w:color="auto"/>
                    <w:right w:val="single" w:sz="4" w:space="0" w:color="auto"/>
                  </w:tcBorders>
                  <w:shd w:val="clear" w:color="auto" w:fill="FFFFFF" w:themeFill="background1"/>
                </w:tcPr>
                <w:p w14:paraId="4F1D322F" w14:textId="2E2FE276" w:rsidR="00416808" w:rsidRPr="005227BF" w:rsidRDefault="00416808" w:rsidP="00A9692B">
                  <w:pPr>
                    <w:spacing w:before="120" w:after="120" w:line="276" w:lineRule="auto"/>
                    <w:jc w:val="both"/>
                    <w:rPr>
                      <w:rFonts w:ascii="Arial" w:hAnsi="Arial" w:cs="Arial"/>
                      <w:i/>
                      <w:sz w:val="18"/>
                      <w:szCs w:val="18"/>
                    </w:rPr>
                  </w:pPr>
                  <w:r w:rsidRPr="005227BF">
                    <w:rPr>
                      <w:rFonts w:ascii="Arial" w:hAnsi="Arial" w:cs="Arial"/>
                      <w:i/>
                      <w:sz w:val="18"/>
                      <w:szCs w:val="18"/>
                    </w:rPr>
                    <w:t xml:space="preserve">5.3.3. Análisis de la defensa de la empresa en crisis (failing firm defence) </w:t>
                  </w:r>
                </w:p>
                <w:p w14:paraId="53A156DB" w14:textId="1A4F0ADA" w:rsidR="00416808" w:rsidRPr="005227BF" w:rsidRDefault="00416808" w:rsidP="00A9692B">
                  <w:pPr>
                    <w:spacing w:before="120" w:after="120" w:line="276" w:lineRule="auto"/>
                    <w:jc w:val="both"/>
                    <w:rPr>
                      <w:rFonts w:ascii="Arial" w:hAnsi="Arial" w:cs="Arial"/>
                      <w:i/>
                      <w:sz w:val="18"/>
                      <w:szCs w:val="18"/>
                    </w:rPr>
                  </w:pPr>
                  <w:r w:rsidRPr="005227BF">
                    <w:rPr>
                      <w:rFonts w:ascii="Arial" w:hAnsi="Arial" w:cs="Arial"/>
                      <w:i/>
                      <w:sz w:val="18"/>
                      <w:szCs w:val="18"/>
                    </w:rPr>
                    <w:t>La LFCE no contempla procedimiento y/o consideraciones que se deben acreditar para aceptar la defensa de la empresa en crisis en una concentración notificada, y que pudiera tener como efecto una concentración significativa en el mercado relevante analizado. No obstante, el IFT ha considerado en su análisis la práctica de otras autoridades de competencia.</w:t>
                  </w:r>
                  <w:r w:rsidRPr="005227BF">
                    <w:rPr>
                      <w:rFonts w:ascii="Arial" w:hAnsi="Arial" w:cs="Arial"/>
                      <w:i/>
                      <w:sz w:val="18"/>
                      <w:szCs w:val="18"/>
                      <w:vertAlign w:val="superscript"/>
                    </w:rPr>
                    <w:t>66</w:t>
                  </w:r>
                  <w:r w:rsidRPr="005227BF">
                    <w:rPr>
                      <w:rFonts w:ascii="Arial" w:hAnsi="Arial" w:cs="Arial"/>
                      <w:i/>
                      <w:sz w:val="18"/>
                      <w:szCs w:val="18"/>
                    </w:rPr>
                    <w:t xml:space="preserve"> Al respecto, este IFT ha considerado que no se acredita que los activos de una empresa en crisis saldrían del mercado relevante a menos que se cumplan todas y cada una de las siguientes circunstancias:</w:t>
                  </w:r>
                </w:p>
                <w:p w14:paraId="6F8DFB3A" w14:textId="3FC22249" w:rsidR="00416808" w:rsidRPr="005227BF" w:rsidRDefault="00416808" w:rsidP="00A9692B">
                  <w:pPr>
                    <w:pStyle w:val="Prrafodelista"/>
                    <w:numPr>
                      <w:ilvl w:val="0"/>
                      <w:numId w:val="4"/>
                    </w:numPr>
                    <w:spacing w:before="120" w:after="120" w:line="276" w:lineRule="auto"/>
                    <w:ind w:left="289" w:hanging="289"/>
                    <w:contextualSpacing w:val="0"/>
                    <w:jc w:val="both"/>
                    <w:rPr>
                      <w:rFonts w:ascii="Arial" w:hAnsi="Arial" w:cs="Arial"/>
                      <w:i/>
                      <w:sz w:val="18"/>
                      <w:szCs w:val="18"/>
                    </w:rPr>
                  </w:pPr>
                  <w:r w:rsidRPr="005227BF">
                    <w:rPr>
                      <w:rFonts w:ascii="Arial" w:hAnsi="Arial" w:cs="Arial"/>
                      <w:i/>
                      <w:sz w:val="18"/>
                      <w:szCs w:val="18"/>
                    </w:rPr>
                    <w:t xml:space="preserve">La empresa no puede cumplir con sus obligaciones financieras y no es posible que pueda reorganizarse exitosamente; </w:t>
                  </w:r>
                </w:p>
                <w:p w14:paraId="34EBE0F3" w14:textId="391A5F25" w:rsidR="00416808" w:rsidRPr="005227BF" w:rsidRDefault="00416808" w:rsidP="00A9692B">
                  <w:pPr>
                    <w:pStyle w:val="Prrafodelista"/>
                    <w:numPr>
                      <w:ilvl w:val="0"/>
                      <w:numId w:val="4"/>
                    </w:numPr>
                    <w:spacing w:before="120" w:after="120" w:line="276" w:lineRule="auto"/>
                    <w:ind w:left="289" w:hanging="289"/>
                    <w:contextualSpacing w:val="0"/>
                    <w:jc w:val="both"/>
                    <w:rPr>
                      <w:rFonts w:ascii="Arial" w:hAnsi="Arial" w:cs="Arial"/>
                      <w:i/>
                      <w:sz w:val="18"/>
                      <w:szCs w:val="18"/>
                    </w:rPr>
                  </w:pPr>
                  <w:r w:rsidRPr="005227BF">
                    <w:rPr>
                      <w:rFonts w:ascii="Arial" w:hAnsi="Arial" w:cs="Arial"/>
                      <w:i/>
                      <w:sz w:val="18"/>
                      <w:szCs w:val="18"/>
                    </w:rPr>
                    <w:t xml:space="preserve">No hay otra alternativa de compra menos perjudicial para la competencia que la concentración notificada; y </w:t>
                  </w:r>
                </w:p>
                <w:p w14:paraId="58218DF0" w14:textId="508C0E74" w:rsidR="00416808" w:rsidRPr="005227BF" w:rsidRDefault="00416808" w:rsidP="00A9692B">
                  <w:pPr>
                    <w:pStyle w:val="Prrafodelista"/>
                    <w:numPr>
                      <w:ilvl w:val="0"/>
                      <w:numId w:val="4"/>
                    </w:numPr>
                    <w:spacing w:before="120" w:after="120" w:line="276" w:lineRule="auto"/>
                    <w:ind w:left="289" w:hanging="289"/>
                    <w:contextualSpacing w:val="0"/>
                    <w:jc w:val="both"/>
                    <w:rPr>
                      <w:rFonts w:ascii="Arial" w:hAnsi="Arial" w:cs="Arial"/>
                      <w:i/>
                      <w:sz w:val="18"/>
                      <w:szCs w:val="18"/>
                    </w:rPr>
                  </w:pPr>
                  <w:r w:rsidRPr="005227BF">
                    <w:rPr>
                      <w:rFonts w:ascii="Arial" w:hAnsi="Arial" w:cs="Arial"/>
                      <w:i/>
                      <w:sz w:val="18"/>
                      <w:szCs w:val="18"/>
                    </w:rPr>
                    <w:t>Sin la concentración, los activos de la empresa en crisis inevitablemente dejarán el mercado, es decir, implicaría su desaparición</w:t>
                  </w:r>
                </w:p>
                <w:p w14:paraId="7A6899DA" w14:textId="77777777" w:rsidR="00416808" w:rsidRPr="005227BF" w:rsidRDefault="00416808" w:rsidP="00A9692B">
                  <w:pPr>
                    <w:spacing w:before="120" w:after="120" w:line="276" w:lineRule="auto"/>
                    <w:jc w:val="both"/>
                    <w:rPr>
                      <w:rFonts w:ascii="Arial" w:hAnsi="Arial" w:cs="Arial"/>
                      <w:i/>
                      <w:sz w:val="18"/>
                      <w:szCs w:val="18"/>
                    </w:rPr>
                  </w:pPr>
                  <w:r w:rsidRPr="005227BF">
                    <w:rPr>
                      <w:rFonts w:ascii="Arial" w:hAnsi="Arial" w:cs="Arial"/>
                      <w:i/>
                      <w:sz w:val="18"/>
                      <w:szCs w:val="18"/>
                    </w:rPr>
                    <w:t xml:space="preserve">Para realizar este análisis, es necesario que las partes presenten al IFT la información suficiente que permita acreditar que se cumplen con todas y cada una de las condiciones a) a c) previas. Entre otra información que consideren relevante, las partes deben aportar al IFT lo siguiente: (i) los estados financieros auditados de </w:t>
                  </w:r>
                  <w:r w:rsidRPr="005227BF">
                    <w:rPr>
                      <w:rFonts w:ascii="Arial" w:hAnsi="Arial" w:cs="Arial"/>
                      <w:i/>
                      <w:sz w:val="18"/>
                      <w:szCs w:val="18"/>
                    </w:rPr>
                    <w:lastRenderedPageBreak/>
                    <w:t>la empresa en crisis (incluyendo notas anexas) que permitan identificar la situación de la empresa (por ejemplo, los 5 (cinco) años previos a notificación de la operación, o el periodo que permita acreditar la situación financiera de la empresa); (ii) información y/o documentación que reporte sobre las reorganizaciones propuestas para la empresa en crisis; (iii) información y/o documentación que acredite el acercamiento con otros agentes económicos (y su consecuente falta de interés) para buscar la adquisición de la empresa en crisis; (iv) información y/o documentación que permita identificar que, sin la concentración, los activos de la empresa en crisis saldrían del mercado.</w:t>
                  </w:r>
                </w:p>
                <w:p w14:paraId="480C5193" w14:textId="77777777" w:rsidR="00416808" w:rsidRPr="005227BF" w:rsidRDefault="00416808" w:rsidP="00A9692B">
                  <w:pPr>
                    <w:spacing w:before="120" w:after="120" w:line="276" w:lineRule="auto"/>
                    <w:jc w:val="both"/>
                    <w:rPr>
                      <w:rFonts w:ascii="Arial" w:hAnsi="Arial" w:cs="Arial"/>
                      <w:i/>
                      <w:sz w:val="18"/>
                      <w:szCs w:val="18"/>
                    </w:rPr>
                  </w:pPr>
                  <w:r w:rsidRPr="005227BF">
                    <w:rPr>
                      <w:rFonts w:ascii="Arial" w:hAnsi="Arial" w:cs="Arial"/>
                      <w:i/>
                      <w:sz w:val="18"/>
                      <w:szCs w:val="18"/>
                    </w:rPr>
                    <w:t>Es preciso aclarar que este IFT no considera que un choque temporal en el mercado, como pudieran ser, entre otros, efectos por el tipo de cambio, reducción en las ventas, reducción en la producción, y que repercuten directamente en los resultados financieros de la empresa en crisis en el corto plazo, no son elementos que por sí solos permitan concluir al IFT que la empresa en crisis no pueda cumplir con sus obligaciones financieras. Es decir, esta condición a) no puede argumentarse cuando se prevé que, en el corto plazo, las condiciones que originaron ese choque temporal pueden llegar a desaparecer, y como consecuencia, la empresa pueda retomar sus operaciones (total o parcialmente) como se tenían previo a ese choque temporal. Así, para acreditar este elemento, los argumentos de las partes deben contemplar condiciones que han prevalecido durante el largo plazo (por lo que esperan que sean permanentes).</w:t>
                  </w:r>
                </w:p>
                <w:p w14:paraId="51D3D922" w14:textId="3981DD10" w:rsidR="00416808" w:rsidRPr="004A1442" w:rsidRDefault="00416808" w:rsidP="00A9692B">
                  <w:pPr>
                    <w:spacing w:before="120" w:after="120" w:line="276" w:lineRule="auto"/>
                    <w:jc w:val="both"/>
                    <w:rPr>
                      <w:rFonts w:ascii="Arial" w:hAnsi="Arial" w:cs="Arial"/>
                      <w:sz w:val="18"/>
                      <w:szCs w:val="18"/>
                    </w:rPr>
                  </w:pPr>
                  <w:r w:rsidRPr="005227BF">
                    <w:rPr>
                      <w:rFonts w:ascii="Arial" w:hAnsi="Arial" w:cs="Arial"/>
                      <w:i/>
                      <w:sz w:val="18"/>
                      <w:szCs w:val="18"/>
                    </w:rPr>
                    <w:t xml:space="preserve">Nota al pie 66: Véase Directrices sobre Concentraciones Horizontales </w:t>
                  </w:r>
                  <w:r w:rsidRPr="005227BF">
                    <w:rPr>
                      <w:rFonts w:ascii="Arial" w:hAnsi="Arial" w:cs="Arial"/>
                      <w:i/>
                      <w:sz w:val="18"/>
                      <w:szCs w:val="18"/>
                    </w:rPr>
                    <w:lastRenderedPageBreak/>
                    <w:t>(del inglés Horizontal Merger Guidelines) del Departamento de Justicia y la Comisión Federal de Comercio de los Estados Unidos de América, disponible en:</w:t>
                  </w:r>
                  <w:r w:rsidR="00EB5D1A" w:rsidRPr="005227BF">
                    <w:rPr>
                      <w:i/>
                    </w:rPr>
                    <w:t xml:space="preserve"> </w:t>
                  </w:r>
                  <w:hyperlink r:id="rId12" w:history="1">
                    <w:r w:rsidR="00191CD1" w:rsidRPr="00785E15">
                      <w:rPr>
                        <w:rStyle w:val="Hipervnculo"/>
                        <w:rFonts w:ascii="Arial" w:hAnsi="Arial" w:cs="Arial"/>
                        <w:i/>
                        <w:sz w:val="18"/>
                        <w:szCs w:val="18"/>
                      </w:rPr>
                      <w:t>https://www.ftc.gov/system/files/</w:t>
                    </w:r>
                  </w:hyperlink>
                  <w:r w:rsidR="00191CD1" w:rsidRPr="00785E15">
                    <w:rPr>
                      <w:rFonts w:ascii="Arial" w:hAnsi="Arial" w:cs="Arial"/>
                      <w:i/>
                      <w:sz w:val="18"/>
                      <w:szCs w:val="18"/>
                    </w:rPr>
                    <w:t xml:space="preserve"> documents/public_statements/ 804291/100819hmg.pdf</w:t>
                  </w:r>
                </w:p>
              </w:tc>
            </w:tr>
          </w:tbl>
          <w:p w14:paraId="409A71AF" w14:textId="13B9BD2E" w:rsidR="001D1642" w:rsidRPr="001D1642" w:rsidRDefault="001D1642" w:rsidP="00A9692B">
            <w:pPr>
              <w:spacing w:before="120" w:after="120" w:line="276" w:lineRule="auto"/>
              <w:jc w:val="both"/>
              <w:rPr>
                <w:rFonts w:ascii="Arial" w:hAnsi="Arial" w:cs="Arial"/>
                <w:i/>
                <w:sz w:val="18"/>
                <w:szCs w:val="18"/>
              </w:rPr>
            </w:pPr>
          </w:p>
        </w:tc>
      </w:tr>
      <w:tr w:rsidR="00DF69C6" w:rsidRPr="003E2214" w14:paraId="1481CE9D" w14:textId="77777777" w:rsidTr="009B2105">
        <w:trPr>
          <w:jc w:val="center"/>
        </w:trPr>
        <w:tc>
          <w:tcPr>
            <w:tcW w:w="2875" w:type="dxa"/>
            <w:shd w:val="clear" w:color="auto" w:fill="auto"/>
          </w:tcPr>
          <w:p w14:paraId="26BDBC8F" w14:textId="04C299D0" w:rsidR="00DF69C6" w:rsidRDefault="0083484A" w:rsidP="00A9692B">
            <w:pPr>
              <w:spacing w:before="120" w:after="120" w:line="276" w:lineRule="auto"/>
              <w:jc w:val="both"/>
              <w:rPr>
                <w:rFonts w:ascii="Arial" w:hAnsi="Arial" w:cs="Arial"/>
                <w:sz w:val="18"/>
                <w:szCs w:val="18"/>
              </w:rPr>
            </w:pPr>
            <w:r>
              <w:rPr>
                <w:rFonts w:ascii="Arial" w:hAnsi="Arial" w:cs="Arial"/>
                <w:b/>
                <w:sz w:val="18"/>
                <w:szCs w:val="18"/>
              </w:rPr>
              <w:lastRenderedPageBreak/>
              <w:t>---</w:t>
            </w:r>
          </w:p>
        </w:tc>
        <w:tc>
          <w:tcPr>
            <w:tcW w:w="2903" w:type="dxa"/>
            <w:shd w:val="clear" w:color="auto" w:fill="auto"/>
            <w:vAlign w:val="center"/>
          </w:tcPr>
          <w:p w14:paraId="57F78B78" w14:textId="70072488" w:rsidR="00DF69C6" w:rsidRPr="001E4F3A" w:rsidRDefault="00DF69C6" w:rsidP="00A9692B">
            <w:pPr>
              <w:spacing w:before="120" w:after="120" w:line="276" w:lineRule="auto"/>
              <w:jc w:val="both"/>
              <w:rPr>
                <w:rFonts w:ascii="Arial" w:hAnsi="Arial" w:cs="Arial"/>
                <w:bCs/>
                <w:sz w:val="18"/>
                <w:szCs w:val="18"/>
              </w:rPr>
            </w:pPr>
            <w:r w:rsidRPr="001E4F3A">
              <w:rPr>
                <w:rFonts w:ascii="Arial" w:eastAsia="Times New Roman" w:hAnsi="Arial" w:cs="Arial"/>
                <w:color w:val="000000"/>
                <w:sz w:val="18"/>
                <w:szCs w:val="18"/>
                <w:lang w:eastAsia="es-MX"/>
              </w:rPr>
              <w:t>Referente a los Fondos de inversión</w:t>
            </w:r>
            <w:r w:rsidRPr="001E4F3A">
              <w:rPr>
                <w:rFonts w:ascii="Arial" w:eastAsia="Times New Roman" w:hAnsi="Arial" w:cs="Arial"/>
                <w:color w:val="000000"/>
                <w:sz w:val="18"/>
                <w:szCs w:val="18"/>
                <w:lang w:eastAsia="es-MX"/>
              </w:rPr>
              <w:br/>
              <w:t>En los casos en los que en una concentración participan fondos de inversión, ¿Cómo considera el Instituto a los socios limitados?</w:t>
            </w:r>
          </w:p>
        </w:tc>
        <w:tc>
          <w:tcPr>
            <w:tcW w:w="3568" w:type="dxa"/>
            <w:shd w:val="clear" w:color="auto" w:fill="auto"/>
          </w:tcPr>
          <w:p w14:paraId="220AC852" w14:textId="460A946A" w:rsidR="00217C8C" w:rsidRDefault="00217C8C" w:rsidP="00A9692B">
            <w:pPr>
              <w:spacing w:before="120" w:after="120" w:line="276" w:lineRule="auto"/>
              <w:jc w:val="both"/>
              <w:rPr>
                <w:rFonts w:ascii="Arial" w:hAnsi="Arial" w:cs="Arial"/>
                <w:sz w:val="18"/>
                <w:szCs w:val="18"/>
              </w:rPr>
            </w:pPr>
            <w:r w:rsidRPr="00217C8C">
              <w:rPr>
                <w:rFonts w:ascii="Arial" w:hAnsi="Arial" w:cs="Arial"/>
                <w:sz w:val="18"/>
                <w:szCs w:val="18"/>
              </w:rPr>
              <w:t>Se considera procedente el comentario y se agrega</w:t>
            </w:r>
            <w:r w:rsidR="00473F58">
              <w:rPr>
                <w:rFonts w:ascii="Arial" w:hAnsi="Arial" w:cs="Arial"/>
                <w:sz w:val="18"/>
                <w:szCs w:val="18"/>
              </w:rPr>
              <w:t xml:space="preserve">rán elementos </w:t>
            </w:r>
            <w:r w:rsidRPr="00217C8C">
              <w:rPr>
                <w:rFonts w:ascii="Arial" w:hAnsi="Arial" w:cs="Arial"/>
                <w:sz w:val="18"/>
                <w:szCs w:val="18"/>
              </w:rPr>
              <w:t>para clarificar este punto.</w:t>
            </w:r>
          </w:p>
          <w:p w14:paraId="4EAE6C69" w14:textId="67C8B1D8" w:rsidR="00DF69C6" w:rsidRPr="00457D57" w:rsidRDefault="00DF69C6" w:rsidP="00A9692B">
            <w:pPr>
              <w:spacing w:before="120" w:after="120" w:line="276" w:lineRule="auto"/>
              <w:jc w:val="both"/>
              <w:rPr>
                <w:rFonts w:ascii="Arial" w:hAnsi="Arial" w:cs="Arial"/>
                <w:sz w:val="18"/>
                <w:szCs w:val="18"/>
              </w:rPr>
            </w:pPr>
          </w:p>
        </w:tc>
      </w:tr>
      <w:tr w:rsidR="00DF69C6" w:rsidRPr="003E2214" w14:paraId="75802CE8" w14:textId="77777777" w:rsidTr="009B2105">
        <w:trPr>
          <w:jc w:val="center"/>
        </w:trPr>
        <w:tc>
          <w:tcPr>
            <w:tcW w:w="2875" w:type="dxa"/>
            <w:shd w:val="clear" w:color="auto" w:fill="auto"/>
          </w:tcPr>
          <w:p w14:paraId="6BD3895C" w14:textId="36841912" w:rsidR="00DF69C6" w:rsidRDefault="0083484A" w:rsidP="00A9692B">
            <w:pPr>
              <w:spacing w:before="120" w:after="120" w:line="276" w:lineRule="auto"/>
              <w:jc w:val="both"/>
              <w:rPr>
                <w:rFonts w:ascii="Arial" w:hAnsi="Arial" w:cs="Arial"/>
                <w:sz w:val="18"/>
                <w:szCs w:val="18"/>
              </w:rPr>
            </w:pPr>
            <w:r>
              <w:rPr>
                <w:rFonts w:ascii="Arial" w:hAnsi="Arial" w:cs="Arial"/>
                <w:b/>
                <w:sz w:val="18"/>
                <w:szCs w:val="18"/>
              </w:rPr>
              <w:t>---</w:t>
            </w:r>
          </w:p>
        </w:tc>
        <w:tc>
          <w:tcPr>
            <w:tcW w:w="2903" w:type="dxa"/>
            <w:shd w:val="clear" w:color="auto" w:fill="auto"/>
            <w:vAlign w:val="center"/>
          </w:tcPr>
          <w:p w14:paraId="2D498A0E" w14:textId="5D1157DC" w:rsidR="00DF69C6" w:rsidRPr="00BA6C59" w:rsidRDefault="00DF69C6" w:rsidP="00A9692B">
            <w:pPr>
              <w:spacing w:before="120" w:after="120" w:line="276" w:lineRule="auto"/>
              <w:jc w:val="both"/>
              <w:rPr>
                <w:rFonts w:ascii="Arial" w:hAnsi="Arial" w:cs="Arial"/>
                <w:bCs/>
                <w:sz w:val="18"/>
                <w:szCs w:val="18"/>
              </w:rPr>
            </w:pPr>
            <w:r w:rsidRPr="00AE7DEA">
              <w:rPr>
                <w:rFonts w:ascii="Arial" w:eastAsia="Times New Roman" w:hAnsi="Arial" w:cs="Arial"/>
                <w:color w:val="000000"/>
                <w:sz w:val="18"/>
                <w:szCs w:val="18"/>
                <w:lang w:eastAsia="es-MX"/>
              </w:rPr>
              <w:t>Se está desaprovechando esta consulta para proponer modificaciones más significativas y de fondo, como por ejemplo, incluyendo criterios y ejemplos prácticos en aspectos que suelen generar incertidumbre en los notificantes como lo son, por citar dos ejemplos, (i) los tiempos reales en días de calendario que puede tener el obtener una resolución sobre las concentraciones notificadas y (ii) criterios que aplica el Instituto en el detalle de su análisis de la concentración, en el evento de que la concentración no rebase los umbrales del índice cuantitativo que mide el grado de concentración en el mercado.</w:t>
            </w:r>
          </w:p>
        </w:tc>
        <w:tc>
          <w:tcPr>
            <w:tcW w:w="3568" w:type="dxa"/>
            <w:shd w:val="clear" w:color="auto" w:fill="auto"/>
          </w:tcPr>
          <w:p w14:paraId="5EF39319" w14:textId="415F1EB8" w:rsidR="005523E6" w:rsidRDefault="005523E6" w:rsidP="00A9692B">
            <w:pPr>
              <w:spacing w:before="120" w:after="120" w:line="276" w:lineRule="auto"/>
              <w:jc w:val="both"/>
              <w:rPr>
                <w:rFonts w:ascii="Arial" w:hAnsi="Arial" w:cs="Arial"/>
                <w:sz w:val="18"/>
                <w:szCs w:val="18"/>
              </w:rPr>
            </w:pPr>
            <w:r w:rsidRPr="00217C8C">
              <w:rPr>
                <w:rFonts w:ascii="Arial" w:hAnsi="Arial" w:cs="Arial"/>
                <w:sz w:val="18"/>
                <w:szCs w:val="18"/>
              </w:rPr>
              <w:t>Se considera procedente el comentario y se agrega</w:t>
            </w:r>
            <w:r>
              <w:rPr>
                <w:rFonts w:ascii="Arial" w:hAnsi="Arial" w:cs="Arial"/>
                <w:sz w:val="18"/>
                <w:szCs w:val="18"/>
              </w:rPr>
              <w:t xml:space="preserve">rán elementos </w:t>
            </w:r>
            <w:r w:rsidRPr="00217C8C">
              <w:rPr>
                <w:rFonts w:ascii="Arial" w:hAnsi="Arial" w:cs="Arial"/>
                <w:sz w:val="18"/>
                <w:szCs w:val="18"/>
              </w:rPr>
              <w:t>para clarificar este punto.</w:t>
            </w:r>
          </w:p>
          <w:p w14:paraId="794209D5" w14:textId="645D4CE3" w:rsidR="00DF69C6" w:rsidRPr="009B45F3" w:rsidRDefault="00DF69C6" w:rsidP="00A9692B">
            <w:pPr>
              <w:pStyle w:val="Prrafodelista"/>
              <w:spacing w:before="120" w:after="120" w:line="276" w:lineRule="auto"/>
              <w:ind w:left="335"/>
              <w:contextualSpacing w:val="0"/>
              <w:jc w:val="both"/>
              <w:rPr>
                <w:rFonts w:ascii="Arial" w:hAnsi="Arial" w:cs="Arial"/>
                <w:sz w:val="18"/>
                <w:szCs w:val="18"/>
              </w:rPr>
            </w:pPr>
          </w:p>
        </w:tc>
      </w:tr>
    </w:tbl>
    <w:p w14:paraId="04311CEE" w14:textId="359AC291" w:rsidR="00F52EDB" w:rsidRDefault="00F2338E" w:rsidP="00A9692B">
      <w:pPr>
        <w:spacing w:before="120" w:after="120" w:line="276" w:lineRule="auto"/>
        <w:jc w:val="both"/>
        <w:rPr>
          <w:rFonts w:ascii="Arial" w:hAnsi="Arial" w:cs="Arial"/>
          <w:b/>
        </w:rPr>
      </w:pPr>
      <w:r>
        <w:rPr>
          <w:rFonts w:ascii="Arial" w:hAnsi="Arial" w:cs="Arial"/>
          <w:b/>
        </w:rPr>
        <w:tab/>
      </w:r>
    </w:p>
    <w:sectPr w:rsidR="00F52EDB" w:rsidSect="00DE6F93">
      <w:footerReference w:type="default" r:id="rId13"/>
      <w:pgSz w:w="12240" w:h="15840"/>
      <w:pgMar w:top="1418" w:right="1418" w:bottom="1418" w:left="1418"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75B07" w14:textId="77777777" w:rsidR="004532EF" w:rsidRDefault="004532EF" w:rsidP="005C5B1C">
      <w:pPr>
        <w:spacing w:after="0" w:line="240" w:lineRule="auto"/>
      </w:pPr>
      <w:r>
        <w:separator/>
      </w:r>
    </w:p>
  </w:endnote>
  <w:endnote w:type="continuationSeparator" w:id="0">
    <w:p w14:paraId="35A86649" w14:textId="77777777" w:rsidR="004532EF" w:rsidRDefault="004532EF" w:rsidP="005C5B1C">
      <w:pPr>
        <w:spacing w:after="0" w:line="240" w:lineRule="auto"/>
      </w:pPr>
      <w:r>
        <w:continuationSeparator/>
      </w:r>
    </w:p>
  </w:endnote>
  <w:endnote w:type="continuationNotice" w:id="1">
    <w:p w14:paraId="0555E03B" w14:textId="77777777" w:rsidR="004532EF" w:rsidRDefault="004532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412521"/>
      <w:docPartObj>
        <w:docPartGallery w:val="Page Numbers (Bottom of Page)"/>
        <w:docPartUnique/>
      </w:docPartObj>
    </w:sdtPr>
    <w:sdtEndPr/>
    <w:sdtContent>
      <w:sdt>
        <w:sdtPr>
          <w:id w:val="-1769616900"/>
          <w:docPartObj>
            <w:docPartGallery w:val="Page Numbers (Top of Page)"/>
            <w:docPartUnique/>
          </w:docPartObj>
        </w:sdtPr>
        <w:sdtEndPr/>
        <w:sdtContent>
          <w:p w14:paraId="4EE68677" w14:textId="23A0303E" w:rsidR="00CE0AE0" w:rsidRDefault="00CE0AE0">
            <w:pPr>
              <w:pStyle w:val="Piedepgina"/>
              <w:jc w:val="right"/>
            </w:pPr>
            <w:r w:rsidRPr="00275B74">
              <w:rPr>
                <w:rFonts w:ascii="Arial" w:hAnsi="Arial" w:cs="Arial"/>
                <w:sz w:val="18"/>
                <w:szCs w:val="18"/>
                <w:lang w:val="es-ES"/>
              </w:rPr>
              <w:t xml:space="preserve">Página </w:t>
            </w:r>
            <w:r w:rsidRPr="00275B74">
              <w:rPr>
                <w:rFonts w:ascii="Arial" w:hAnsi="Arial" w:cs="Arial"/>
                <w:b/>
                <w:bCs/>
                <w:sz w:val="18"/>
                <w:szCs w:val="18"/>
              </w:rPr>
              <w:fldChar w:fldCharType="begin"/>
            </w:r>
            <w:r w:rsidRPr="00275B74">
              <w:rPr>
                <w:rFonts w:ascii="Arial" w:hAnsi="Arial" w:cs="Arial"/>
                <w:b/>
                <w:bCs/>
                <w:sz w:val="18"/>
                <w:szCs w:val="18"/>
              </w:rPr>
              <w:instrText>PAGE</w:instrText>
            </w:r>
            <w:r w:rsidRPr="00275B74">
              <w:rPr>
                <w:rFonts w:ascii="Arial" w:hAnsi="Arial" w:cs="Arial"/>
                <w:b/>
                <w:bCs/>
                <w:sz w:val="18"/>
                <w:szCs w:val="18"/>
              </w:rPr>
              <w:fldChar w:fldCharType="separate"/>
            </w:r>
            <w:r w:rsidRPr="00275B74">
              <w:rPr>
                <w:rFonts w:ascii="Arial" w:hAnsi="Arial" w:cs="Arial"/>
                <w:b/>
                <w:bCs/>
                <w:sz w:val="18"/>
                <w:szCs w:val="18"/>
                <w:lang w:val="es-ES"/>
              </w:rPr>
              <w:t>2</w:t>
            </w:r>
            <w:r w:rsidRPr="00275B74">
              <w:rPr>
                <w:rFonts w:ascii="Arial" w:hAnsi="Arial" w:cs="Arial"/>
                <w:b/>
                <w:bCs/>
                <w:sz w:val="18"/>
                <w:szCs w:val="18"/>
              </w:rPr>
              <w:fldChar w:fldCharType="end"/>
            </w:r>
            <w:r w:rsidRPr="00275B74">
              <w:rPr>
                <w:rFonts w:ascii="Arial" w:hAnsi="Arial" w:cs="Arial"/>
                <w:sz w:val="18"/>
                <w:szCs w:val="18"/>
                <w:lang w:val="es-ES"/>
              </w:rPr>
              <w:t xml:space="preserve"> de </w:t>
            </w:r>
            <w:r w:rsidRPr="00275B74">
              <w:rPr>
                <w:rFonts w:ascii="Arial" w:hAnsi="Arial" w:cs="Arial"/>
                <w:b/>
                <w:bCs/>
                <w:sz w:val="18"/>
                <w:szCs w:val="18"/>
              </w:rPr>
              <w:fldChar w:fldCharType="begin"/>
            </w:r>
            <w:r w:rsidRPr="00275B74">
              <w:rPr>
                <w:rFonts w:ascii="Arial" w:hAnsi="Arial" w:cs="Arial"/>
                <w:b/>
                <w:bCs/>
                <w:sz w:val="18"/>
                <w:szCs w:val="18"/>
              </w:rPr>
              <w:instrText>NUMPAGES</w:instrText>
            </w:r>
            <w:r w:rsidRPr="00275B74">
              <w:rPr>
                <w:rFonts w:ascii="Arial" w:hAnsi="Arial" w:cs="Arial"/>
                <w:b/>
                <w:bCs/>
                <w:sz w:val="18"/>
                <w:szCs w:val="18"/>
              </w:rPr>
              <w:fldChar w:fldCharType="separate"/>
            </w:r>
            <w:r w:rsidRPr="00275B74">
              <w:rPr>
                <w:rFonts w:ascii="Arial" w:hAnsi="Arial" w:cs="Arial"/>
                <w:b/>
                <w:bCs/>
                <w:sz w:val="18"/>
                <w:szCs w:val="18"/>
                <w:lang w:val="es-ES"/>
              </w:rPr>
              <w:t>2</w:t>
            </w:r>
            <w:r w:rsidRPr="00275B74">
              <w:rPr>
                <w:rFonts w:ascii="Arial" w:hAnsi="Arial" w:cs="Arial"/>
                <w:b/>
                <w:bCs/>
                <w:sz w:val="18"/>
                <w:szCs w:val="18"/>
              </w:rPr>
              <w:fldChar w:fldCharType="end"/>
            </w:r>
          </w:p>
        </w:sdtContent>
      </w:sdt>
    </w:sdtContent>
  </w:sdt>
  <w:p w14:paraId="5C39AAA1" w14:textId="77777777" w:rsidR="00CE0AE0" w:rsidRDefault="00CE0A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E3B36" w14:textId="77777777" w:rsidR="004532EF" w:rsidRDefault="004532EF" w:rsidP="005C5B1C">
      <w:pPr>
        <w:spacing w:after="0" w:line="240" w:lineRule="auto"/>
      </w:pPr>
      <w:r>
        <w:separator/>
      </w:r>
    </w:p>
  </w:footnote>
  <w:footnote w:type="continuationSeparator" w:id="0">
    <w:p w14:paraId="73E20DA1" w14:textId="77777777" w:rsidR="004532EF" w:rsidRDefault="004532EF" w:rsidP="005C5B1C">
      <w:pPr>
        <w:spacing w:after="0" w:line="240" w:lineRule="auto"/>
      </w:pPr>
      <w:r>
        <w:continuationSeparator/>
      </w:r>
    </w:p>
  </w:footnote>
  <w:footnote w:type="continuationNotice" w:id="1">
    <w:p w14:paraId="0AFDE9B5" w14:textId="77777777" w:rsidR="004532EF" w:rsidRDefault="004532EF">
      <w:pPr>
        <w:spacing w:after="0" w:line="240" w:lineRule="auto"/>
      </w:pPr>
    </w:p>
  </w:footnote>
  <w:footnote w:id="2">
    <w:p w14:paraId="769305C0" w14:textId="77777777" w:rsidR="00CE0AE0" w:rsidRPr="007B31CE" w:rsidRDefault="00CE0AE0" w:rsidP="00D96184">
      <w:pPr>
        <w:spacing w:after="0" w:line="240" w:lineRule="auto"/>
        <w:jc w:val="both"/>
        <w:rPr>
          <w:rFonts w:ascii="Arial" w:hAnsi="Arial" w:cs="Arial"/>
          <w:i/>
          <w:iCs/>
          <w:sz w:val="16"/>
          <w:szCs w:val="16"/>
        </w:rPr>
      </w:pPr>
      <w:r w:rsidRPr="007B31CE">
        <w:rPr>
          <w:rStyle w:val="Refdenotaalpie"/>
          <w:rFonts w:ascii="Arial" w:hAnsi="Arial" w:cs="Arial"/>
          <w:sz w:val="16"/>
          <w:szCs w:val="16"/>
        </w:rPr>
        <w:footnoteRef/>
      </w:r>
      <w:r w:rsidRPr="007B31CE">
        <w:rPr>
          <w:rFonts w:ascii="Arial" w:hAnsi="Arial" w:cs="Arial"/>
          <w:sz w:val="16"/>
          <w:szCs w:val="16"/>
        </w:rPr>
        <w:t xml:space="preserve"> “</w:t>
      </w:r>
      <w:r w:rsidRPr="007B31CE">
        <w:rPr>
          <w:rFonts w:ascii="Arial" w:hAnsi="Arial" w:cs="Arial"/>
          <w:b/>
          <w:bCs/>
          <w:i/>
          <w:iCs/>
          <w:sz w:val="16"/>
          <w:szCs w:val="16"/>
        </w:rPr>
        <w:t xml:space="preserve">Noveno.- </w:t>
      </w:r>
      <w:r w:rsidRPr="007B31CE">
        <w:rPr>
          <w:rFonts w:ascii="Arial" w:hAnsi="Arial" w:cs="Arial"/>
          <w:i/>
          <w:iCs/>
          <w:sz w:val="16"/>
          <w:szCs w:val="16"/>
        </w:rPr>
        <w:t>La información, comentarios, opiniones, aportaciones u otros elementos de análisis que los participantes presenten al Instituto, en los procesos de consulta pública que realice, no tendrán carácter vinculante. No obstante, siempre y cuando se hayan recibido en tiempo y forma, las Unidades y/o Coordinaciones Generales correspondientes deberán analizarlos, ponderarlos y presentar una respuesta o posicionamiento sobre ellos a través de un Informe de Consideraciones, que contenga, cuando menos, la siguiente información:</w:t>
      </w:r>
    </w:p>
    <w:p w14:paraId="0150905D" w14:textId="77777777" w:rsidR="00CE0AE0" w:rsidRPr="007B31CE" w:rsidRDefault="00CE0AE0" w:rsidP="00D96184">
      <w:pPr>
        <w:spacing w:after="0" w:line="240" w:lineRule="auto"/>
        <w:jc w:val="both"/>
        <w:rPr>
          <w:rFonts w:ascii="Arial" w:hAnsi="Arial" w:cs="Arial"/>
          <w:i/>
          <w:iCs/>
          <w:sz w:val="16"/>
          <w:szCs w:val="16"/>
        </w:rPr>
      </w:pPr>
      <w:r w:rsidRPr="007B31CE">
        <w:rPr>
          <w:rFonts w:ascii="Arial" w:hAnsi="Arial" w:cs="Arial"/>
          <w:i/>
          <w:iCs/>
          <w:sz w:val="16"/>
          <w:szCs w:val="16"/>
        </w:rPr>
        <w:t>I. Fecha de elaboración;</w:t>
      </w:r>
    </w:p>
    <w:p w14:paraId="0ABEEBC6" w14:textId="77777777" w:rsidR="00CE0AE0" w:rsidRPr="007B31CE" w:rsidRDefault="00CE0AE0" w:rsidP="00D96184">
      <w:pPr>
        <w:spacing w:after="0" w:line="240" w:lineRule="auto"/>
        <w:jc w:val="both"/>
        <w:rPr>
          <w:rFonts w:ascii="Arial" w:hAnsi="Arial" w:cs="Arial"/>
          <w:i/>
          <w:iCs/>
          <w:sz w:val="16"/>
          <w:szCs w:val="16"/>
        </w:rPr>
      </w:pPr>
      <w:r w:rsidRPr="007B31CE">
        <w:rPr>
          <w:rFonts w:ascii="Arial" w:hAnsi="Arial" w:cs="Arial"/>
          <w:i/>
          <w:iCs/>
          <w:sz w:val="16"/>
          <w:szCs w:val="16"/>
        </w:rPr>
        <w:t>II. Título o denominación de la consulta pública;</w:t>
      </w:r>
    </w:p>
    <w:p w14:paraId="5967AFF2" w14:textId="77777777" w:rsidR="00CE0AE0" w:rsidRPr="007B31CE" w:rsidRDefault="00CE0AE0" w:rsidP="00D96184">
      <w:pPr>
        <w:spacing w:after="0" w:line="240" w:lineRule="auto"/>
        <w:jc w:val="both"/>
        <w:rPr>
          <w:rFonts w:ascii="Arial" w:hAnsi="Arial" w:cs="Arial"/>
          <w:i/>
          <w:iCs/>
          <w:sz w:val="16"/>
          <w:szCs w:val="16"/>
        </w:rPr>
      </w:pPr>
      <w:r w:rsidRPr="007B31CE">
        <w:rPr>
          <w:rFonts w:ascii="Arial" w:hAnsi="Arial" w:cs="Arial"/>
          <w:i/>
          <w:iCs/>
          <w:sz w:val="16"/>
          <w:szCs w:val="16"/>
        </w:rPr>
        <w:t>III. Descripción de la consulta pública;</w:t>
      </w:r>
    </w:p>
    <w:p w14:paraId="79D5B1E9" w14:textId="77777777" w:rsidR="00CE0AE0" w:rsidRPr="007B31CE" w:rsidRDefault="00CE0AE0" w:rsidP="00D96184">
      <w:pPr>
        <w:spacing w:after="0" w:line="240" w:lineRule="auto"/>
        <w:jc w:val="both"/>
        <w:rPr>
          <w:rFonts w:ascii="Arial" w:hAnsi="Arial" w:cs="Arial"/>
          <w:i/>
          <w:iCs/>
          <w:sz w:val="16"/>
          <w:szCs w:val="16"/>
        </w:rPr>
      </w:pPr>
      <w:r w:rsidRPr="007B31CE">
        <w:rPr>
          <w:rFonts w:ascii="Arial" w:hAnsi="Arial" w:cs="Arial"/>
          <w:i/>
          <w:iCs/>
          <w:sz w:val="16"/>
          <w:szCs w:val="16"/>
        </w:rPr>
        <w:t>IV. Objetivos de la consulta pública;</w:t>
      </w:r>
    </w:p>
    <w:p w14:paraId="16173BD2" w14:textId="77777777" w:rsidR="00CE0AE0" w:rsidRPr="007B31CE" w:rsidRDefault="00CE0AE0" w:rsidP="00D96184">
      <w:pPr>
        <w:spacing w:after="0" w:line="240" w:lineRule="auto"/>
        <w:jc w:val="both"/>
        <w:rPr>
          <w:rFonts w:ascii="Arial" w:hAnsi="Arial" w:cs="Arial"/>
          <w:i/>
          <w:iCs/>
          <w:sz w:val="16"/>
          <w:szCs w:val="16"/>
        </w:rPr>
      </w:pPr>
      <w:r w:rsidRPr="007B31CE">
        <w:rPr>
          <w:rFonts w:ascii="Arial" w:hAnsi="Arial" w:cs="Arial"/>
          <w:i/>
          <w:iCs/>
          <w:sz w:val="16"/>
          <w:szCs w:val="16"/>
        </w:rPr>
        <w:t>V. Unidades y/o Coordinaciones Generales responsables de la consulta pública;</w:t>
      </w:r>
    </w:p>
    <w:p w14:paraId="145EAAA7" w14:textId="77777777" w:rsidR="00CE0AE0" w:rsidRPr="007B31CE" w:rsidRDefault="00CE0AE0" w:rsidP="00D96184">
      <w:pPr>
        <w:spacing w:after="0" w:line="240" w:lineRule="auto"/>
        <w:jc w:val="both"/>
        <w:rPr>
          <w:rFonts w:ascii="Arial" w:hAnsi="Arial" w:cs="Arial"/>
          <w:i/>
          <w:iCs/>
          <w:sz w:val="16"/>
          <w:szCs w:val="16"/>
        </w:rPr>
      </w:pPr>
      <w:r w:rsidRPr="007B31CE">
        <w:rPr>
          <w:rFonts w:ascii="Arial" w:hAnsi="Arial" w:cs="Arial"/>
          <w:i/>
          <w:iCs/>
          <w:sz w:val="16"/>
          <w:szCs w:val="16"/>
        </w:rPr>
        <w:t>VI. Descripción de los participantes en la consulta pública, y</w:t>
      </w:r>
    </w:p>
    <w:p w14:paraId="0EC58776" w14:textId="77777777" w:rsidR="00CE0AE0" w:rsidRPr="007B31CE" w:rsidRDefault="00CE0AE0" w:rsidP="00D96184">
      <w:pPr>
        <w:spacing w:after="0" w:line="240" w:lineRule="auto"/>
        <w:jc w:val="both"/>
        <w:rPr>
          <w:rFonts w:ascii="Arial" w:hAnsi="Arial" w:cs="Arial"/>
          <w:i/>
          <w:iCs/>
          <w:sz w:val="16"/>
          <w:szCs w:val="16"/>
        </w:rPr>
      </w:pPr>
      <w:r w:rsidRPr="007B31CE">
        <w:rPr>
          <w:rFonts w:ascii="Arial" w:hAnsi="Arial" w:cs="Arial"/>
          <w:i/>
          <w:iCs/>
          <w:sz w:val="16"/>
          <w:szCs w:val="16"/>
        </w:rPr>
        <w:t>VII. Las respuestas o posicionamientos que correspondan por parte del Instituto.</w:t>
      </w:r>
    </w:p>
    <w:p w14:paraId="4AEA7596" w14:textId="77777777" w:rsidR="00CE0AE0" w:rsidRPr="007B31CE" w:rsidRDefault="00CE0AE0" w:rsidP="00D96184">
      <w:pPr>
        <w:spacing w:after="0" w:line="240" w:lineRule="auto"/>
        <w:jc w:val="both"/>
        <w:rPr>
          <w:rFonts w:ascii="Arial" w:hAnsi="Arial" w:cs="Arial"/>
          <w:i/>
          <w:iCs/>
          <w:sz w:val="16"/>
          <w:szCs w:val="16"/>
        </w:rPr>
      </w:pPr>
      <w:r w:rsidRPr="007B31CE">
        <w:rPr>
          <w:rFonts w:ascii="Arial" w:hAnsi="Arial" w:cs="Arial"/>
          <w:i/>
          <w:iCs/>
          <w:sz w:val="16"/>
          <w:szCs w:val="16"/>
        </w:rPr>
        <w:t>De así considerarlo, las Unidades y/o Coordinaciones Generales podrán presentar una respuesta o posicionamiento de manera agrupada acerca de la información, comentarios, opiniones, aportaciones u otros elementos de análisis que los participantes hayan aportado al Instituto.</w:t>
      </w:r>
    </w:p>
    <w:p w14:paraId="1FADCC6B" w14:textId="77777777" w:rsidR="00CE0AE0" w:rsidRPr="007B31CE" w:rsidRDefault="00CE0AE0" w:rsidP="00D96184">
      <w:pPr>
        <w:spacing w:after="0" w:line="240" w:lineRule="auto"/>
        <w:jc w:val="both"/>
        <w:rPr>
          <w:rFonts w:ascii="Arial" w:hAnsi="Arial" w:cs="Arial"/>
          <w:i/>
          <w:iCs/>
          <w:sz w:val="16"/>
          <w:szCs w:val="16"/>
        </w:rPr>
      </w:pPr>
      <w:r w:rsidRPr="007B31CE">
        <w:rPr>
          <w:rFonts w:ascii="Arial" w:hAnsi="Arial" w:cs="Arial"/>
          <w:i/>
          <w:iCs/>
          <w:sz w:val="16"/>
          <w:szCs w:val="16"/>
        </w:rPr>
        <w:t>En el caso de que el Instituto determine la integración de algún grupo de enfoque, conforme a lo señalado en el Lineamiento Sexto, segundo párrafo, deberán referir en el Informe de Consideraciones los resultados del mismo, preservando la confidencialidad o reserva de la información que se haya determinado con ese carácter”.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C7866"/>
    <w:multiLevelType w:val="hybridMultilevel"/>
    <w:tmpl w:val="5B28637A"/>
    <w:lvl w:ilvl="0" w:tplc="080A001B">
      <w:start w:val="1"/>
      <w:numFmt w:val="lowerRoman"/>
      <w:lvlText w:val="%1."/>
      <w:lvlJc w:val="righ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E90AE7"/>
    <w:multiLevelType w:val="hybridMultilevel"/>
    <w:tmpl w:val="BE403542"/>
    <w:lvl w:ilvl="0" w:tplc="080A0001">
      <w:start w:val="1"/>
      <w:numFmt w:val="bullet"/>
      <w:lvlText w:val=""/>
      <w:lvlJc w:val="left"/>
      <w:pPr>
        <w:ind w:left="720" w:hanging="360"/>
      </w:pPr>
      <w:rPr>
        <w:rFonts w:ascii="Symbol" w:hAnsi="Symbol"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6863C99"/>
    <w:multiLevelType w:val="hybridMultilevel"/>
    <w:tmpl w:val="DDA47FB8"/>
    <w:lvl w:ilvl="0" w:tplc="9490DA20">
      <w:start w:val="1"/>
      <w:numFmt w:val="lowerRoman"/>
      <w:lvlText w:val="%1)"/>
      <w:lvlJc w:val="left"/>
      <w:pPr>
        <w:ind w:left="899" w:hanging="360"/>
      </w:pPr>
      <w:rPr>
        <w:rFonts w:eastAsia="Times New Roman" w:hint="default"/>
        <w:color w:val="000000"/>
      </w:rPr>
    </w:lvl>
    <w:lvl w:ilvl="1" w:tplc="080A0019" w:tentative="1">
      <w:start w:val="1"/>
      <w:numFmt w:val="lowerLetter"/>
      <w:lvlText w:val="%2."/>
      <w:lvlJc w:val="left"/>
      <w:pPr>
        <w:ind w:left="1619" w:hanging="360"/>
      </w:pPr>
    </w:lvl>
    <w:lvl w:ilvl="2" w:tplc="080A001B" w:tentative="1">
      <w:start w:val="1"/>
      <w:numFmt w:val="lowerRoman"/>
      <w:lvlText w:val="%3."/>
      <w:lvlJc w:val="right"/>
      <w:pPr>
        <w:ind w:left="2339" w:hanging="180"/>
      </w:pPr>
    </w:lvl>
    <w:lvl w:ilvl="3" w:tplc="080A000F" w:tentative="1">
      <w:start w:val="1"/>
      <w:numFmt w:val="decimal"/>
      <w:lvlText w:val="%4."/>
      <w:lvlJc w:val="left"/>
      <w:pPr>
        <w:ind w:left="3059" w:hanging="360"/>
      </w:pPr>
    </w:lvl>
    <w:lvl w:ilvl="4" w:tplc="080A0019" w:tentative="1">
      <w:start w:val="1"/>
      <w:numFmt w:val="lowerLetter"/>
      <w:lvlText w:val="%5."/>
      <w:lvlJc w:val="left"/>
      <w:pPr>
        <w:ind w:left="3779" w:hanging="360"/>
      </w:pPr>
    </w:lvl>
    <w:lvl w:ilvl="5" w:tplc="080A001B" w:tentative="1">
      <w:start w:val="1"/>
      <w:numFmt w:val="lowerRoman"/>
      <w:lvlText w:val="%6."/>
      <w:lvlJc w:val="right"/>
      <w:pPr>
        <w:ind w:left="4499" w:hanging="180"/>
      </w:pPr>
    </w:lvl>
    <w:lvl w:ilvl="6" w:tplc="080A000F" w:tentative="1">
      <w:start w:val="1"/>
      <w:numFmt w:val="decimal"/>
      <w:lvlText w:val="%7."/>
      <w:lvlJc w:val="left"/>
      <w:pPr>
        <w:ind w:left="5219" w:hanging="360"/>
      </w:pPr>
    </w:lvl>
    <w:lvl w:ilvl="7" w:tplc="080A0019" w:tentative="1">
      <w:start w:val="1"/>
      <w:numFmt w:val="lowerLetter"/>
      <w:lvlText w:val="%8."/>
      <w:lvlJc w:val="left"/>
      <w:pPr>
        <w:ind w:left="5939" w:hanging="360"/>
      </w:pPr>
    </w:lvl>
    <w:lvl w:ilvl="8" w:tplc="080A001B" w:tentative="1">
      <w:start w:val="1"/>
      <w:numFmt w:val="lowerRoman"/>
      <w:lvlText w:val="%9."/>
      <w:lvlJc w:val="right"/>
      <w:pPr>
        <w:ind w:left="6659" w:hanging="180"/>
      </w:pPr>
    </w:lvl>
  </w:abstractNum>
  <w:abstractNum w:abstractNumId="3" w15:restartNumberingAfterBreak="0">
    <w:nsid w:val="17024BFA"/>
    <w:multiLevelType w:val="hybridMultilevel"/>
    <w:tmpl w:val="1854BC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A31868"/>
    <w:multiLevelType w:val="hybridMultilevel"/>
    <w:tmpl w:val="E634012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CF5132"/>
    <w:multiLevelType w:val="hybridMultilevel"/>
    <w:tmpl w:val="4BBA937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418153A"/>
    <w:multiLevelType w:val="hybridMultilevel"/>
    <w:tmpl w:val="12468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A92AFA"/>
    <w:multiLevelType w:val="hybridMultilevel"/>
    <w:tmpl w:val="CC068B5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4BE49A3"/>
    <w:multiLevelType w:val="hybridMultilevel"/>
    <w:tmpl w:val="6C5219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5EC6770"/>
    <w:multiLevelType w:val="hybridMultilevel"/>
    <w:tmpl w:val="F412E5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3CF20C6"/>
    <w:multiLevelType w:val="hybridMultilevel"/>
    <w:tmpl w:val="14F2C8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A931E74"/>
    <w:multiLevelType w:val="hybridMultilevel"/>
    <w:tmpl w:val="EC96E7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B2F1EC9"/>
    <w:multiLevelType w:val="hybridMultilevel"/>
    <w:tmpl w:val="76226046"/>
    <w:lvl w:ilvl="0" w:tplc="080A0017">
      <w:start w:val="1"/>
      <w:numFmt w:val="lowerLetter"/>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11"/>
  </w:num>
  <w:num w:numId="5">
    <w:abstractNumId w:val="9"/>
  </w:num>
  <w:num w:numId="6">
    <w:abstractNumId w:val="7"/>
  </w:num>
  <w:num w:numId="7">
    <w:abstractNumId w:val="0"/>
  </w:num>
  <w:num w:numId="8">
    <w:abstractNumId w:val="5"/>
  </w:num>
  <w:num w:numId="9">
    <w:abstractNumId w:val="4"/>
  </w:num>
  <w:num w:numId="10">
    <w:abstractNumId w:val="6"/>
  </w:num>
  <w:num w:numId="11">
    <w:abstractNumId w:val="8"/>
  </w:num>
  <w:num w:numId="12">
    <w:abstractNumId w:val="10"/>
  </w:num>
  <w:num w:numId="1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27A"/>
    <w:rsid w:val="000018DC"/>
    <w:rsid w:val="0000287F"/>
    <w:rsid w:val="00004E20"/>
    <w:rsid w:val="00006624"/>
    <w:rsid w:val="000066E0"/>
    <w:rsid w:val="00010D0C"/>
    <w:rsid w:val="00010DCB"/>
    <w:rsid w:val="00011521"/>
    <w:rsid w:val="000115FD"/>
    <w:rsid w:val="00012AF5"/>
    <w:rsid w:val="000134ED"/>
    <w:rsid w:val="00013C29"/>
    <w:rsid w:val="00014617"/>
    <w:rsid w:val="0001601C"/>
    <w:rsid w:val="0001649C"/>
    <w:rsid w:val="000166F1"/>
    <w:rsid w:val="00016BD7"/>
    <w:rsid w:val="0002118A"/>
    <w:rsid w:val="00022651"/>
    <w:rsid w:val="00023940"/>
    <w:rsid w:val="00023D55"/>
    <w:rsid w:val="000244FB"/>
    <w:rsid w:val="000266E6"/>
    <w:rsid w:val="00032A99"/>
    <w:rsid w:val="00034150"/>
    <w:rsid w:val="00035B1B"/>
    <w:rsid w:val="000403FA"/>
    <w:rsid w:val="000416C8"/>
    <w:rsid w:val="00044E20"/>
    <w:rsid w:val="00045ACC"/>
    <w:rsid w:val="000460F3"/>
    <w:rsid w:val="0004653A"/>
    <w:rsid w:val="0005040A"/>
    <w:rsid w:val="00050C71"/>
    <w:rsid w:val="00055C5C"/>
    <w:rsid w:val="00055C92"/>
    <w:rsid w:val="00055D15"/>
    <w:rsid w:val="00056983"/>
    <w:rsid w:val="00060002"/>
    <w:rsid w:val="00060121"/>
    <w:rsid w:val="00060396"/>
    <w:rsid w:val="0006108F"/>
    <w:rsid w:val="0006128D"/>
    <w:rsid w:val="000617FD"/>
    <w:rsid w:val="000628C8"/>
    <w:rsid w:val="00063DE3"/>
    <w:rsid w:val="000655AC"/>
    <w:rsid w:val="00066552"/>
    <w:rsid w:val="000715DD"/>
    <w:rsid w:val="000715E2"/>
    <w:rsid w:val="00073E24"/>
    <w:rsid w:val="000746F9"/>
    <w:rsid w:val="00074E92"/>
    <w:rsid w:val="000758B7"/>
    <w:rsid w:val="00076141"/>
    <w:rsid w:val="000765A6"/>
    <w:rsid w:val="00076CF6"/>
    <w:rsid w:val="00077345"/>
    <w:rsid w:val="00077AFA"/>
    <w:rsid w:val="00077F26"/>
    <w:rsid w:val="000820DE"/>
    <w:rsid w:val="00082E77"/>
    <w:rsid w:val="000844D3"/>
    <w:rsid w:val="00090317"/>
    <w:rsid w:val="0009119E"/>
    <w:rsid w:val="00091F8A"/>
    <w:rsid w:val="00092085"/>
    <w:rsid w:val="000943F0"/>
    <w:rsid w:val="00096F5A"/>
    <w:rsid w:val="00097ACC"/>
    <w:rsid w:val="000A0668"/>
    <w:rsid w:val="000A19DF"/>
    <w:rsid w:val="000A5428"/>
    <w:rsid w:val="000A5C4A"/>
    <w:rsid w:val="000A655F"/>
    <w:rsid w:val="000B10A2"/>
    <w:rsid w:val="000B11F8"/>
    <w:rsid w:val="000B1966"/>
    <w:rsid w:val="000B57D7"/>
    <w:rsid w:val="000B699E"/>
    <w:rsid w:val="000C1F69"/>
    <w:rsid w:val="000C2949"/>
    <w:rsid w:val="000C2EEC"/>
    <w:rsid w:val="000C3148"/>
    <w:rsid w:val="000C7C3A"/>
    <w:rsid w:val="000D1A6F"/>
    <w:rsid w:val="000D255B"/>
    <w:rsid w:val="000D36F5"/>
    <w:rsid w:val="000D434B"/>
    <w:rsid w:val="000D6019"/>
    <w:rsid w:val="000D63F9"/>
    <w:rsid w:val="000D72D3"/>
    <w:rsid w:val="000D7DC9"/>
    <w:rsid w:val="000E0F47"/>
    <w:rsid w:val="000E1698"/>
    <w:rsid w:val="000E21CC"/>
    <w:rsid w:val="000E2869"/>
    <w:rsid w:val="000E3059"/>
    <w:rsid w:val="000E4A1F"/>
    <w:rsid w:val="000E4AC5"/>
    <w:rsid w:val="000E53CE"/>
    <w:rsid w:val="000E7114"/>
    <w:rsid w:val="000E74B4"/>
    <w:rsid w:val="000F24EC"/>
    <w:rsid w:val="000F3E5D"/>
    <w:rsid w:val="000F489D"/>
    <w:rsid w:val="000F4BE6"/>
    <w:rsid w:val="000F57FE"/>
    <w:rsid w:val="000F76E9"/>
    <w:rsid w:val="00100B17"/>
    <w:rsid w:val="00100C30"/>
    <w:rsid w:val="00101BB8"/>
    <w:rsid w:val="001030A4"/>
    <w:rsid w:val="00106342"/>
    <w:rsid w:val="0010671A"/>
    <w:rsid w:val="00115275"/>
    <w:rsid w:val="00116014"/>
    <w:rsid w:val="001173FF"/>
    <w:rsid w:val="00117C6E"/>
    <w:rsid w:val="00117DB0"/>
    <w:rsid w:val="001207EA"/>
    <w:rsid w:val="00121A19"/>
    <w:rsid w:val="00123F09"/>
    <w:rsid w:val="00124B1D"/>
    <w:rsid w:val="00125B76"/>
    <w:rsid w:val="00125EC6"/>
    <w:rsid w:val="001262FF"/>
    <w:rsid w:val="00127C3B"/>
    <w:rsid w:val="00130226"/>
    <w:rsid w:val="001309B4"/>
    <w:rsid w:val="00134034"/>
    <w:rsid w:val="00134E70"/>
    <w:rsid w:val="00135776"/>
    <w:rsid w:val="00135E83"/>
    <w:rsid w:val="001366D8"/>
    <w:rsid w:val="001367BC"/>
    <w:rsid w:val="001436B1"/>
    <w:rsid w:val="001440F6"/>
    <w:rsid w:val="00144DBB"/>
    <w:rsid w:val="00144E33"/>
    <w:rsid w:val="00145329"/>
    <w:rsid w:val="001473C9"/>
    <w:rsid w:val="00151E9C"/>
    <w:rsid w:val="00152AAA"/>
    <w:rsid w:val="00152D38"/>
    <w:rsid w:val="00162932"/>
    <w:rsid w:val="00165EC0"/>
    <w:rsid w:val="00166365"/>
    <w:rsid w:val="00166CC6"/>
    <w:rsid w:val="00170807"/>
    <w:rsid w:val="00170FDE"/>
    <w:rsid w:val="00171D93"/>
    <w:rsid w:val="001723FA"/>
    <w:rsid w:val="00172438"/>
    <w:rsid w:val="001724CA"/>
    <w:rsid w:val="0017370D"/>
    <w:rsid w:val="001745F0"/>
    <w:rsid w:val="00174E90"/>
    <w:rsid w:val="001755AE"/>
    <w:rsid w:val="0018081C"/>
    <w:rsid w:val="00182479"/>
    <w:rsid w:val="001828DA"/>
    <w:rsid w:val="00184758"/>
    <w:rsid w:val="00184C80"/>
    <w:rsid w:val="00185AF0"/>
    <w:rsid w:val="00186130"/>
    <w:rsid w:val="00186292"/>
    <w:rsid w:val="00190273"/>
    <w:rsid w:val="00191CD1"/>
    <w:rsid w:val="00192000"/>
    <w:rsid w:val="00192796"/>
    <w:rsid w:val="00193D06"/>
    <w:rsid w:val="0019499F"/>
    <w:rsid w:val="00194BB4"/>
    <w:rsid w:val="001956CC"/>
    <w:rsid w:val="0019663C"/>
    <w:rsid w:val="001966B5"/>
    <w:rsid w:val="00196D75"/>
    <w:rsid w:val="00197F08"/>
    <w:rsid w:val="001A09A7"/>
    <w:rsid w:val="001A16D0"/>
    <w:rsid w:val="001A3169"/>
    <w:rsid w:val="001A4045"/>
    <w:rsid w:val="001A768E"/>
    <w:rsid w:val="001A7FBB"/>
    <w:rsid w:val="001B253C"/>
    <w:rsid w:val="001B254F"/>
    <w:rsid w:val="001B3AB0"/>
    <w:rsid w:val="001B47B9"/>
    <w:rsid w:val="001B47FE"/>
    <w:rsid w:val="001B7F50"/>
    <w:rsid w:val="001C007E"/>
    <w:rsid w:val="001C0ADA"/>
    <w:rsid w:val="001C1BC4"/>
    <w:rsid w:val="001C27F6"/>
    <w:rsid w:val="001C4B33"/>
    <w:rsid w:val="001C6419"/>
    <w:rsid w:val="001D089F"/>
    <w:rsid w:val="001D0E4D"/>
    <w:rsid w:val="001D10CF"/>
    <w:rsid w:val="001D1642"/>
    <w:rsid w:val="001D267B"/>
    <w:rsid w:val="001D3AC4"/>
    <w:rsid w:val="001D4088"/>
    <w:rsid w:val="001D5458"/>
    <w:rsid w:val="001D72F3"/>
    <w:rsid w:val="001E04DB"/>
    <w:rsid w:val="001E127B"/>
    <w:rsid w:val="001E19E3"/>
    <w:rsid w:val="001E2B35"/>
    <w:rsid w:val="001E3817"/>
    <w:rsid w:val="001E4A78"/>
    <w:rsid w:val="001E4F3A"/>
    <w:rsid w:val="001E5789"/>
    <w:rsid w:val="001E6040"/>
    <w:rsid w:val="001F1398"/>
    <w:rsid w:val="001F160E"/>
    <w:rsid w:val="001F1B3E"/>
    <w:rsid w:val="001F4740"/>
    <w:rsid w:val="001F532C"/>
    <w:rsid w:val="001F5C91"/>
    <w:rsid w:val="001F60BD"/>
    <w:rsid w:val="001F68FE"/>
    <w:rsid w:val="001F6A82"/>
    <w:rsid w:val="001F6B45"/>
    <w:rsid w:val="001F6B47"/>
    <w:rsid w:val="001F6C81"/>
    <w:rsid w:val="002009B6"/>
    <w:rsid w:val="00200F3D"/>
    <w:rsid w:val="00201BC2"/>
    <w:rsid w:val="002020EB"/>
    <w:rsid w:val="00202C11"/>
    <w:rsid w:val="00205287"/>
    <w:rsid w:val="00206B66"/>
    <w:rsid w:val="002111E9"/>
    <w:rsid w:val="00211B44"/>
    <w:rsid w:val="00211C29"/>
    <w:rsid w:val="00212658"/>
    <w:rsid w:val="00213538"/>
    <w:rsid w:val="0021442B"/>
    <w:rsid w:val="00215C3F"/>
    <w:rsid w:val="00216851"/>
    <w:rsid w:val="00216856"/>
    <w:rsid w:val="00216B29"/>
    <w:rsid w:val="002176DE"/>
    <w:rsid w:val="00217C5C"/>
    <w:rsid w:val="00217C8C"/>
    <w:rsid w:val="00220658"/>
    <w:rsid w:val="00220BB7"/>
    <w:rsid w:val="00220C84"/>
    <w:rsid w:val="00226B60"/>
    <w:rsid w:val="00227BAE"/>
    <w:rsid w:val="00230F97"/>
    <w:rsid w:val="00231E89"/>
    <w:rsid w:val="0023221B"/>
    <w:rsid w:val="0023377D"/>
    <w:rsid w:val="0023453B"/>
    <w:rsid w:val="002364EE"/>
    <w:rsid w:val="00237D49"/>
    <w:rsid w:val="0024108C"/>
    <w:rsid w:val="00242985"/>
    <w:rsid w:val="00242EEA"/>
    <w:rsid w:val="00244069"/>
    <w:rsid w:val="002448BE"/>
    <w:rsid w:val="00244AA9"/>
    <w:rsid w:val="00244CF8"/>
    <w:rsid w:val="0024784E"/>
    <w:rsid w:val="00250158"/>
    <w:rsid w:val="002507BD"/>
    <w:rsid w:val="00251814"/>
    <w:rsid w:val="00251BBF"/>
    <w:rsid w:val="0025201F"/>
    <w:rsid w:val="00253B96"/>
    <w:rsid w:val="00254DB2"/>
    <w:rsid w:val="00255C01"/>
    <w:rsid w:val="00257C40"/>
    <w:rsid w:val="002605CE"/>
    <w:rsid w:val="00261109"/>
    <w:rsid w:val="00263847"/>
    <w:rsid w:val="00264092"/>
    <w:rsid w:val="0026513B"/>
    <w:rsid w:val="00265627"/>
    <w:rsid w:val="00266261"/>
    <w:rsid w:val="0027071B"/>
    <w:rsid w:val="00271974"/>
    <w:rsid w:val="00272B9E"/>
    <w:rsid w:val="00273754"/>
    <w:rsid w:val="00275B74"/>
    <w:rsid w:val="002765D3"/>
    <w:rsid w:val="002777D6"/>
    <w:rsid w:val="002804D1"/>
    <w:rsid w:val="002813CD"/>
    <w:rsid w:val="0028351F"/>
    <w:rsid w:val="00284EBA"/>
    <w:rsid w:val="00292899"/>
    <w:rsid w:val="002931F3"/>
    <w:rsid w:val="00296A16"/>
    <w:rsid w:val="00297B8E"/>
    <w:rsid w:val="00297CD7"/>
    <w:rsid w:val="002A1E85"/>
    <w:rsid w:val="002A3917"/>
    <w:rsid w:val="002A3CB0"/>
    <w:rsid w:val="002A3EE9"/>
    <w:rsid w:val="002A494E"/>
    <w:rsid w:val="002A7849"/>
    <w:rsid w:val="002B1B95"/>
    <w:rsid w:val="002B47D3"/>
    <w:rsid w:val="002B523B"/>
    <w:rsid w:val="002B5421"/>
    <w:rsid w:val="002C1B6B"/>
    <w:rsid w:val="002C451F"/>
    <w:rsid w:val="002C5F02"/>
    <w:rsid w:val="002C6C2A"/>
    <w:rsid w:val="002D0230"/>
    <w:rsid w:val="002D0311"/>
    <w:rsid w:val="002D08D5"/>
    <w:rsid w:val="002D1B9F"/>
    <w:rsid w:val="002D1FAA"/>
    <w:rsid w:val="002D25BF"/>
    <w:rsid w:val="002D3D36"/>
    <w:rsid w:val="002D5D4A"/>
    <w:rsid w:val="002D63FC"/>
    <w:rsid w:val="002E0A12"/>
    <w:rsid w:val="002E206B"/>
    <w:rsid w:val="002E27E9"/>
    <w:rsid w:val="002E35A6"/>
    <w:rsid w:val="002E6229"/>
    <w:rsid w:val="002E68CC"/>
    <w:rsid w:val="002E7781"/>
    <w:rsid w:val="002F0CB8"/>
    <w:rsid w:val="002F3D17"/>
    <w:rsid w:val="002F407D"/>
    <w:rsid w:val="002F40B3"/>
    <w:rsid w:val="002F6684"/>
    <w:rsid w:val="00302035"/>
    <w:rsid w:val="00302DF0"/>
    <w:rsid w:val="00303E7F"/>
    <w:rsid w:val="00305AEB"/>
    <w:rsid w:val="003066FD"/>
    <w:rsid w:val="00311827"/>
    <w:rsid w:val="00311BA9"/>
    <w:rsid w:val="003142E8"/>
    <w:rsid w:val="003143D2"/>
    <w:rsid w:val="00321626"/>
    <w:rsid w:val="00331D5E"/>
    <w:rsid w:val="00332198"/>
    <w:rsid w:val="00332853"/>
    <w:rsid w:val="0033341F"/>
    <w:rsid w:val="0033578B"/>
    <w:rsid w:val="00335FA8"/>
    <w:rsid w:val="0033698F"/>
    <w:rsid w:val="0033711D"/>
    <w:rsid w:val="00340515"/>
    <w:rsid w:val="00340820"/>
    <w:rsid w:val="00341911"/>
    <w:rsid w:val="00342EB7"/>
    <w:rsid w:val="00344D76"/>
    <w:rsid w:val="00344EAF"/>
    <w:rsid w:val="00345670"/>
    <w:rsid w:val="00345DFA"/>
    <w:rsid w:val="003513DE"/>
    <w:rsid w:val="00351AE7"/>
    <w:rsid w:val="00351BE8"/>
    <w:rsid w:val="00352206"/>
    <w:rsid w:val="00353906"/>
    <w:rsid w:val="00353F2A"/>
    <w:rsid w:val="00355EBF"/>
    <w:rsid w:val="00357891"/>
    <w:rsid w:val="00360CD0"/>
    <w:rsid w:val="00361A71"/>
    <w:rsid w:val="00362ABA"/>
    <w:rsid w:val="00363050"/>
    <w:rsid w:val="003639E4"/>
    <w:rsid w:val="00363D58"/>
    <w:rsid w:val="0036451A"/>
    <w:rsid w:val="00364746"/>
    <w:rsid w:val="00366EFC"/>
    <w:rsid w:val="0036704F"/>
    <w:rsid w:val="0037196C"/>
    <w:rsid w:val="00373BAD"/>
    <w:rsid w:val="00373E42"/>
    <w:rsid w:val="00375202"/>
    <w:rsid w:val="003752B7"/>
    <w:rsid w:val="00375A38"/>
    <w:rsid w:val="003807BF"/>
    <w:rsid w:val="003814DC"/>
    <w:rsid w:val="00381F81"/>
    <w:rsid w:val="00382645"/>
    <w:rsid w:val="00382AD6"/>
    <w:rsid w:val="00383FC5"/>
    <w:rsid w:val="0038566C"/>
    <w:rsid w:val="00385767"/>
    <w:rsid w:val="003865C3"/>
    <w:rsid w:val="00386A18"/>
    <w:rsid w:val="00387709"/>
    <w:rsid w:val="00391881"/>
    <w:rsid w:val="00392DA2"/>
    <w:rsid w:val="00392E56"/>
    <w:rsid w:val="00393393"/>
    <w:rsid w:val="003952E4"/>
    <w:rsid w:val="00395501"/>
    <w:rsid w:val="00395D35"/>
    <w:rsid w:val="00395E27"/>
    <w:rsid w:val="003977FF"/>
    <w:rsid w:val="003A246E"/>
    <w:rsid w:val="003A2E6F"/>
    <w:rsid w:val="003A40BC"/>
    <w:rsid w:val="003A7174"/>
    <w:rsid w:val="003A7B38"/>
    <w:rsid w:val="003B201D"/>
    <w:rsid w:val="003B4BA7"/>
    <w:rsid w:val="003B4E20"/>
    <w:rsid w:val="003B5812"/>
    <w:rsid w:val="003B5C21"/>
    <w:rsid w:val="003B61B1"/>
    <w:rsid w:val="003C1745"/>
    <w:rsid w:val="003C2892"/>
    <w:rsid w:val="003C5326"/>
    <w:rsid w:val="003C591D"/>
    <w:rsid w:val="003C7860"/>
    <w:rsid w:val="003D2318"/>
    <w:rsid w:val="003D35CB"/>
    <w:rsid w:val="003D3949"/>
    <w:rsid w:val="003D5A50"/>
    <w:rsid w:val="003D6873"/>
    <w:rsid w:val="003D7CF9"/>
    <w:rsid w:val="003E0812"/>
    <w:rsid w:val="003E2214"/>
    <w:rsid w:val="003E3D0B"/>
    <w:rsid w:val="003E412B"/>
    <w:rsid w:val="003E467D"/>
    <w:rsid w:val="003E492E"/>
    <w:rsid w:val="003E780F"/>
    <w:rsid w:val="003F00DD"/>
    <w:rsid w:val="003F506C"/>
    <w:rsid w:val="003F749B"/>
    <w:rsid w:val="003F74A6"/>
    <w:rsid w:val="00401ED8"/>
    <w:rsid w:val="00402C08"/>
    <w:rsid w:val="004047F5"/>
    <w:rsid w:val="00404930"/>
    <w:rsid w:val="00405484"/>
    <w:rsid w:val="004060A7"/>
    <w:rsid w:val="00406479"/>
    <w:rsid w:val="004119AB"/>
    <w:rsid w:val="004121DC"/>
    <w:rsid w:val="00413890"/>
    <w:rsid w:val="00413DEE"/>
    <w:rsid w:val="00416808"/>
    <w:rsid w:val="00416B4F"/>
    <w:rsid w:val="004173FB"/>
    <w:rsid w:val="00417EBC"/>
    <w:rsid w:val="00421559"/>
    <w:rsid w:val="004239CA"/>
    <w:rsid w:val="00424FF8"/>
    <w:rsid w:val="00425702"/>
    <w:rsid w:val="0042598C"/>
    <w:rsid w:val="00430022"/>
    <w:rsid w:val="00430151"/>
    <w:rsid w:val="0043398C"/>
    <w:rsid w:val="0044042E"/>
    <w:rsid w:val="00440BDE"/>
    <w:rsid w:val="00440CA8"/>
    <w:rsid w:val="0044171B"/>
    <w:rsid w:val="00442797"/>
    <w:rsid w:val="00442A86"/>
    <w:rsid w:val="00442F05"/>
    <w:rsid w:val="00442F76"/>
    <w:rsid w:val="00442F83"/>
    <w:rsid w:val="004465D9"/>
    <w:rsid w:val="00447031"/>
    <w:rsid w:val="0044714D"/>
    <w:rsid w:val="00447AA8"/>
    <w:rsid w:val="00451FAD"/>
    <w:rsid w:val="004532EF"/>
    <w:rsid w:val="0045599E"/>
    <w:rsid w:val="00455F29"/>
    <w:rsid w:val="0045777E"/>
    <w:rsid w:val="00457D57"/>
    <w:rsid w:val="00461F1A"/>
    <w:rsid w:val="00462185"/>
    <w:rsid w:val="0046389B"/>
    <w:rsid w:val="00463C1B"/>
    <w:rsid w:val="0046791E"/>
    <w:rsid w:val="00470D93"/>
    <w:rsid w:val="0047180C"/>
    <w:rsid w:val="00472720"/>
    <w:rsid w:val="00472EAC"/>
    <w:rsid w:val="00473F58"/>
    <w:rsid w:val="00474A91"/>
    <w:rsid w:val="00474F3F"/>
    <w:rsid w:val="00477906"/>
    <w:rsid w:val="00477B12"/>
    <w:rsid w:val="00481272"/>
    <w:rsid w:val="00481890"/>
    <w:rsid w:val="00482420"/>
    <w:rsid w:val="004824FB"/>
    <w:rsid w:val="004827A1"/>
    <w:rsid w:val="00482E1C"/>
    <w:rsid w:val="004839BC"/>
    <w:rsid w:val="00484755"/>
    <w:rsid w:val="00490991"/>
    <w:rsid w:val="004914CD"/>
    <w:rsid w:val="00491E09"/>
    <w:rsid w:val="00495729"/>
    <w:rsid w:val="00496FB4"/>
    <w:rsid w:val="004A0E93"/>
    <w:rsid w:val="004A1442"/>
    <w:rsid w:val="004A27EA"/>
    <w:rsid w:val="004A2A5D"/>
    <w:rsid w:val="004A2B27"/>
    <w:rsid w:val="004A2CE1"/>
    <w:rsid w:val="004A34B0"/>
    <w:rsid w:val="004A4245"/>
    <w:rsid w:val="004A46C1"/>
    <w:rsid w:val="004A4B96"/>
    <w:rsid w:val="004B185F"/>
    <w:rsid w:val="004B19AC"/>
    <w:rsid w:val="004B3B1F"/>
    <w:rsid w:val="004B3E17"/>
    <w:rsid w:val="004B5B44"/>
    <w:rsid w:val="004B62FC"/>
    <w:rsid w:val="004C1124"/>
    <w:rsid w:val="004C2B28"/>
    <w:rsid w:val="004C37C1"/>
    <w:rsid w:val="004C3A10"/>
    <w:rsid w:val="004C3E52"/>
    <w:rsid w:val="004C48C2"/>
    <w:rsid w:val="004C580C"/>
    <w:rsid w:val="004C5A7B"/>
    <w:rsid w:val="004D015D"/>
    <w:rsid w:val="004D24CF"/>
    <w:rsid w:val="004D3E9E"/>
    <w:rsid w:val="004D4B31"/>
    <w:rsid w:val="004D5139"/>
    <w:rsid w:val="004D55FA"/>
    <w:rsid w:val="004D5B53"/>
    <w:rsid w:val="004D67B1"/>
    <w:rsid w:val="004D6BDA"/>
    <w:rsid w:val="004D7125"/>
    <w:rsid w:val="004D78E6"/>
    <w:rsid w:val="004E02BE"/>
    <w:rsid w:val="004E1B5C"/>
    <w:rsid w:val="004E44E2"/>
    <w:rsid w:val="004E5601"/>
    <w:rsid w:val="004E6047"/>
    <w:rsid w:val="004F0C84"/>
    <w:rsid w:val="004F309C"/>
    <w:rsid w:val="004F34BE"/>
    <w:rsid w:val="004F37E4"/>
    <w:rsid w:val="004F38AF"/>
    <w:rsid w:val="004F6B3D"/>
    <w:rsid w:val="005017D8"/>
    <w:rsid w:val="005019B4"/>
    <w:rsid w:val="00501FDA"/>
    <w:rsid w:val="00503FF5"/>
    <w:rsid w:val="00504F00"/>
    <w:rsid w:val="00506681"/>
    <w:rsid w:val="00507059"/>
    <w:rsid w:val="005109FA"/>
    <w:rsid w:val="00512B32"/>
    <w:rsid w:val="005139C9"/>
    <w:rsid w:val="00514714"/>
    <w:rsid w:val="00516339"/>
    <w:rsid w:val="00516A4F"/>
    <w:rsid w:val="00520F7B"/>
    <w:rsid w:val="00521563"/>
    <w:rsid w:val="005227BF"/>
    <w:rsid w:val="00522CD5"/>
    <w:rsid w:val="00524BC7"/>
    <w:rsid w:val="005255D1"/>
    <w:rsid w:val="00525996"/>
    <w:rsid w:val="00527EA3"/>
    <w:rsid w:val="005346BE"/>
    <w:rsid w:val="00535F77"/>
    <w:rsid w:val="00536C6F"/>
    <w:rsid w:val="00537249"/>
    <w:rsid w:val="00540A00"/>
    <w:rsid w:val="00542AF1"/>
    <w:rsid w:val="00543E6D"/>
    <w:rsid w:val="00543EC4"/>
    <w:rsid w:val="00544026"/>
    <w:rsid w:val="0054423A"/>
    <w:rsid w:val="00550103"/>
    <w:rsid w:val="005523E6"/>
    <w:rsid w:val="00552B97"/>
    <w:rsid w:val="00553332"/>
    <w:rsid w:val="00554135"/>
    <w:rsid w:val="00554E16"/>
    <w:rsid w:val="005602F1"/>
    <w:rsid w:val="005619D6"/>
    <w:rsid w:val="00562452"/>
    <w:rsid w:val="00562EF0"/>
    <w:rsid w:val="0056485E"/>
    <w:rsid w:val="00564E22"/>
    <w:rsid w:val="00571FF3"/>
    <w:rsid w:val="005729BD"/>
    <w:rsid w:val="00574F29"/>
    <w:rsid w:val="0057596A"/>
    <w:rsid w:val="0058256D"/>
    <w:rsid w:val="005826FC"/>
    <w:rsid w:val="00583D21"/>
    <w:rsid w:val="00586111"/>
    <w:rsid w:val="00586598"/>
    <w:rsid w:val="0058720C"/>
    <w:rsid w:val="0059029D"/>
    <w:rsid w:val="005924D3"/>
    <w:rsid w:val="00593730"/>
    <w:rsid w:val="0059380C"/>
    <w:rsid w:val="005945EA"/>
    <w:rsid w:val="00595F59"/>
    <w:rsid w:val="005978A1"/>
    <w:rsid w:val="005A0699"/>
    <w:rsid w:val="005A2251"/>
    <w:rsid w:val="005A270A"/>
    <w:rsid w:val="005A28AB"/>
    <w:rsid w:val="005A558A"/>
    <w:rsid w:val="005A56BF"/>
    <w:rsid w:val="005A63B9"/>
    <w:rsid w:val="005B0004"/>
    <w:rsid w:val="005B330D"/>
    <w:rsid w:val="005B4841"/>
    <w:rsid w:val="005B4F52"/>
    <w:rsid w:val="005B5B16"/>
    <w:rsid w:val="005B7B53"/>
    <w:rsid w:val="005B7B7A"/>
    <w:rsid w:val="005B7C38"/>
    <w:rsid w:val="005C029D"/>
    <w:rsid w:val="005C0C95"/>
    <w:rsid w:val="005C1366"/>
    <w:rsid w:val="005C1867"/>
    <w:rsid w:val="005C1F5D"/>
    <w:rsid w:val="005C4147"/>
    <w:rsid w:val="005C4451"/>
    <w:rsid w:val="005C4C22"/>
    <w:rsid w:val="005C5B16"/>
    <w:rsid w:val="005C5B1C"/>
    <w:rsid w:val="005C5BB4"/>
    <w:rsid w:val="005C6AB8"/>
    <w:rsid w:val="005D5DBC"/>
    <w:rsid w:val="005D5F2E"/>
    <w:rsid w:val="005D7417"/>
    <w:rsid w:val="005D77F9"/>
    <w:rsid w:val="005D7F56"/>
    <w:rsid w:val="005E11F9"/>
    <w:rsid w:val="005E2937"/>
    <w:rsid w:val="005E2AC8"/>
    <w:rsid w:val="005E4194"/>
    <w:rsid w:val="005E5A82"/>
    <w:rsid w:val="005E6AB4"/>
    <w:rsid w:val="005E7E74"/>
    <w:rsid w:val="005F0386"/>
    <w:rsid w:val="005F2C5E"/>
    <w:rsid w:val="005F36A6"/>
    <w:rsid w:val="005F39CC"/>
    <w:rsid w:val="005F4DD2"/>
    <w:rsid w:val="005F6EA1"/>
    <w:rsid w:val="005F7C27"/>
    <w:rsid w:val="00600897"/>
    <w:rsid w:val="00600C81"/>
    <w:rsid w:val="0060105B"/>
    <w:rsid w:val="006017DA"/>
    <w:rsid w:val="006052D6"/>
    <w:rsid w:val="00607499"/>
    <w:rsid w:val="006128C9"/>
    <w:rsid w:val="0061394B"/>
    <w:rsid w:val="00616A7D"/>
    <w:rsid w:val="00616B30"/>
    <w:rsid w:val="00616B71"/>
    <w:rsid w:val="00617CFF"/>
    <w:rsid w:val="0062242C"/>
    <w:rsid w:val="00623F46"/>
    <w:rsid w:val="00626529"/>
    <w:rsid w:val="006265D9"/>
    <w:rsid w:val="00630B2A"/>
    <w:rsid w:val="006314E1"/>
    <w:rsid w:val="006329D7"/>
    <w:rsid w:val="0063303B"/>
    <w:rsid w:val="00635852"/>
    <w:rsid w:val="006378D1"/>
    <w:rsid w:val="0063797D"/>
    <w:rsid w:val="00641B5D"/>
    <w:rsid w:val="0064207A"/>
    <w:rsid w:val="00643756"/>
    <w:rsid w:val="006445B0"/>
    <w:rsid w:val="00646188"/>
    <w:rsid w:val="00646511"/>
    <w:rsid w:val="006477AA"/>
    <w:rsid w:val="00647ACE"/>
    <w:rsid w:val="00652243"/>
    <w:rsid w:val="006524BA"/>
    <w:rsid w:val="00653B3B"/>
    <w:rsid w:val="006577B2"/>
    <w:rsid w:val="00657D61"/>
    <w:rsid w:val="00660E58"/>
    <w:rsid w:val="00661BDD"/>
    <w:rsid w:val="00662F40"/>
    <w:rsid w:val="006646BA"/>
    <w:rsid w:val="00666D78"/>
    <w:rsid w:val="00671A5F"/>
    <w:rsid w:val="006762A4"/>
    <w:rsid w:val="00676314"/>
    <w:rsid w:val="00681169"/>
    <w:rsid w:val="00681A5F"/>
    <w:rsid w:val="006820BB"/>
    <w:rsid w:val="0068284C"/>
    <w:rsid w:val="006837A2"/>
    <w:rsid w:val="00684FFC"/>
    <w:rsid w:val="00685822"/>
    <w:rsid w:val="00685F1A"/>
    <w:rsid w:val="00686FED"/>
    <w:rsid w:val="00687943"/>
    <w:rsid w:val="006909D5"/>
    <w:rsid w:val="0069131E"/>
    <w:rsid w:val="00691DB6"/>
    <w:rsid w:val="00692E81"/>
    <w:rsid w:val="00694066"/>
    <w:rsid w:val="006953C3"/>
    <w:rsid w:val="006963B5"/>
    <w:rsid w:val="006A05D7"/>
    <w:rsid w:val="006A16D1"/>
    <w:rsid w:val="006A1F8C"/>
    <w:rsid w:val="006A364B"/>
    <w:rsid w:val="006A3656"/>
    <w:rsid w:val="006A366D"/>
    <w:rsid w:val="006A437F"/>
    <w:rsid w:val="006A4BD6"/>
    <w:rsid w:val="006A560C"/>
    <w:rsid w:val="006A74F0"/>
    <w:rsid w:val="006A7D30"/>
    <w:rsid w:val="006B1889"/>
    <w:rsid w:val="006B2F22"/>
    <w:rsid w:val="006B602B"/>
    <w:rsid w:val="006B64D9"/>
    <w:rsid w:val="006B671B"/>
    <w:rsid w:val="006B7394"/>
    <w:rsid w:val="006C00A0"/>
    <w:rsid w:val="006C30DD"/>
    <w:rsid w:val="006C3D8C"/>
    <w:rsid w:val="006C68A4"/>
    <w:rsid w:val="006C7D9F"/>
    <w:rsid w:val="006D3C47"/>
    <w:rsid w:val="006D4A95"/>
    <w:rsid w:val="006D6A9B"/>
    <w:rsid w:val="006D7EE8"/>
    <w:rsid w:val="006E0715"/>
    <w:rsid w:val="006E27E8"/>
    <w:rsid w:val="006E39AC"/>
    <w:rsid w:val="006E3E70"/>
    <w:rsid w:val="006E52CA"/>
    <w:rsid w:val="006E5348"/>
    <w:rsid w:val="006E56A3"/>
    <w:rsid w:val="006E6B3E"/>
    <w:rsid w:val="006F2016"/>
    <w:rsid w:val="006F24A2"/>
    <w:rsid w:val="006F428D"/>
    <w:rsid w:val="006F552B"/>
    <w:rsid w:val="006F614B"/>
    <w:rsid w:val="006F6D82"/>
    <w:rsid w:val="006F7079"/>
    <w:rsid w:val="006F7F1C"/>
    <w:rsid w:val="00700556"/>
    <w:rsid w:val="00702726"/>
    <w:rsid w:val="007039D8"/>
    <w:rsid w:val="00705494"/>
    <w:rsid w:val="00705B02"/>
    <w:rsid w:val="00705B9F"/>
    <w:rsid w:val="007125B8"/>
    <w:rsid w:val="0071343C"/>
    <w:rsid w:val="00713A97"/>
    <w:rsid w:val="00714F3D"/>
    <w:rsid w:val="007154B5"/>
    <w:rsid w:val="00715874"/>
    <w:rsid w:val="007175DF"/>
    <w:rsid w:val="00721264"/>
    <w:rsid w:val="007221B8"/>
    <w:rsid w:val="00726643"/>
    <w:rsid w:val="007270EE"/>
    <w:rsid w:val="00731368"/>
    <w:rsid w:val="00732924"/>
    <w:rsid w:val="0073606C"/>
    <w:rsid w:val="00736374"/>
    <w:rsid w:val="00736A66"/>
    <w:rsid w:val="00740007"/>
    <w:rsid w:val="00740C72"/>
    <w:rsid w:val="00741759"/>
    <w:rsid w:val="0074301B"/>
    <w:rsid w:val="00745A4E"/>
    <w:rsid w:val="007466D2"/>
    <w:rsid w:val="00747249"/>
    <w:rsid w:val="0074754D"/>
    <w:rsid w:val="007475E9"/>
    <w:rsid w:val="00751875"/>
    <w:rsid w:val="00753BA2"/>
    <w:rsid w:val="00753DBB"/>
    <w:rsid w:val="00754377"/>
    <w:rsid w:val="0075452A"/>
    <w:rsid w:val="0075631F"/>
    <w:rsid w:val="007602C2"/>
    <w:rsid w:val="0076086E"/>
    <w:rsid w:val="00761741"/>
    <w:rsid w:val="00761D40"/>
    <w:rsid w:val="00762724"/>
    <w:rsid w:val="00763738"/>
    <w:rsid w:val="00764650"/>
    <w:rsid w:val="00765B3B"/>
    <w:rsid w:val="0076680F"/>
    <w:rsid w:val="0076778C"/>
    <w:rsid w:val="007709DE"/>
    <w:rsid w:val="00770EE6"/>
    <w:rsid w:val="007729A7"/>
    <w:rsid w:val="00773B4A"/>
    <w:rsid w:val="007759C2"/>
    <w:rsid w:val="00775B97"/>
    <w:rsid w:val="00776616"/>
    <w:rsid w:val="00780CCC"/>
    <w:rsid w:val="00781EE4"/>
    <w:rsid w:val="0078220E"/>
    <w:rsid w:val="00785E15"/>
    <w:rsid w:val="007924E3"/>
    <w:rsid w:val="00794355"/>
    <w:rsid w:val="00795CB6"/>
    <w:rsid w:val="0079645B"/>
    <w:rsid w:val="007979CD"/>
    <w:rsid w:val="007A176A"/>
    <w:rsid w:val="007A1DE0"/>
    <w:rsid w:val="007A2BCE"/>
    <w:rsid w:val="007A2BFF"/>
    <w:rsid w:val="007A353C"/>
    <w:rsid w:val="007A49E2"/>
    <w:rsid w:val="007A4AC4"/>
    <w:rsid w:val="007B154D"/>
    <w:rsid w:val="007B4572"/>
    <w:rsid w:val="007B4637"/>
    <w:rsid w:val="007B5019"/>
    <w:rsid w:val="007B5242"/>
    <w:rsid w:val="007B6E26"/>
    <w:rsid w:val="007C0715"/>
    <w:rsid w:val="007C1BEB"/>
    <w:rsid w:val="007C1D00"/>
    <w:rsid w:val="007C32D9"/>
    <w:rsid w:val="007C7DEE"/>
    <w:rsid w:val="007C7E70"/>
    <w:rsid w:val="007D1938"/>
    <w:rsid w:val="007D44B4"/>
    <w:rsid w:val="007D44E7"/>
    <w:rsid w:val="007D499A"/>
    <w:rsid w:val="007D4AF8"/>
    <w:rsid w:val="007D6631"/>
    <w:rsid w:val="007D7C60"/>
    <w:rsid w:val="007E1954"/>
    <w:rsid w:val="007E42D0"/>
    <w:rsid w:val="007E46AA"/>
    <w:rsid w:val="007E6A0E"/>
    <w:rsid w:val="007E6DFB"/>
    <w:rsid w:val="007E7216"/>
    <w:rsid w:val="007F0EEE"/>
    <w:rsid w:val="007F25D5"/>
    <w:rsid w:val="007F3C33"/>
    <w:rsid w:val="007F420A"/>
    <w:rsid w:val="007F4955"/>
    <w:rsid w:val="007F4A21"/>
    <w:rsid w:val="007F5858"/>
    <w:rsid w:val="007F6983"/>
    <w:rsid w:val="007F6A8F"/>
    <w:rsid w:val="007F7D0D"/>
    <w:rsid w:val="008003C4"/>
    <w:rsid w:val="0080074E"/>
    <w:rsid w:val="008051BC"/>
    <w:rsid w:val="008107B4"/>
    <w:rsid w:val="00810FF3"/>
    <w:rsid w:val="008116F2"/>
    <w:rsid w:val="00811C4A"/>
    <w:rsid w:val="0081218E"/>
    <w:rsid w:val="008154BB"/>
    <w:rsid w:val="00817F45"/>
    <w:rsid w:val="0082028B"/>
    <w:rsid w:val="00820C78"/>
    <w:rsid w:val="00820F27"/>
    <w:rsid w:val="008213FB"/>
    <w:rsid w:val="008219DB"/>
    <w:rsid w:val="00822569"/>
    <w:rsid w:val="00822C6A"/>
    <w:rsid w:val="00823337"/>
    <w:rsid w:val="008240CB"/>
    <w:rsid w:val="0082549D"/>
    <w:rsid w:val="00826313"/>
    <w:rsid w:val="00827ED5"/>
    <w:rsid w:val="008302DD"/>
    <w:rsid w:val="008317F5"/>
    <w:rsid w:val="0083352F"/>
    <w:rsid w:val="0083421F"/>
    <w:rsid w:val="0083484A"/>
    <w:rsid w:val="00835EFD"/>
    <w:rsid w:val="0083604B"/>
    <w:rsid w:val="00840CEC"/>
    <w:rsid w:val="0084204A"/>
    <w:rsid w:val="00842124"/>
    <w:rsid w:val="008429DD"/>
    <w:rsid w:val="00842E43"/>
    <w:rsid w:val="00842E5A"/>
    <w:rsid w:val="00843C24"/>
    <w:rsid w:val="00844861"/>
    <w:rsid w:val="008450FE"/>
    <w:rsid w:val="0084539D"/>
    <w:rsid w:val="00846622"/>
    <w:rsid w:val="00847C9A"/>
    <w:rsid w:val="008513E2"/>
    <w:rsid w:val="00851A8D"/>
    <w:rsid w:val="00852F99"/>
    <w:rsid w:val="0085320E"/>
    <w:rsid w:val="008537F3"/>
    <w:rsid w:val="00853CA0"/>
    <w:rsid w:val="0085461F"/>
    <w:rsid w:val="0085469B"/>
    <w:rsid w:val="00854710"/>
    <w:rsid w:val="00860C6A"/>
    <w:rsid w:val="00861691"/>
    <w:rsid w:val="00861DB7"/>
    <w:rsid w:val="0086229E"/>
    <w:rsid w:val="008626E8"/>
    <w:rsid w:val="00862ACA"/>
    <w:rsid w:val="00862C32"/>
    <w:rsid w:val="00864A6B"/>
    <w:rsid w:val="00865321"/>
    <w:rsid w:val="0086535B"/>
    <w:rsid w:val="00867014"/>
    <w:rsid w:val="0086711F"/>
    <w:rsid w:val="008677D3"/>
    <w:rsid w:val="0086791D"/>
    <w:rsid w:val="00867C79"/>
    <w:rsid w:val="00867FFD"/>
    <w:rsid w:val="00871F42"/>
    <w:rsid w:val="008722C1"/>
    <w:rsid w:val="008757E2"/>
    <w:rsid w:val="008767E2"/>
    <w:rsid w:val="00880A03"/>
    <w:rsid w:val="00881B8C"/>
    <w:rsid w:val="00881BE3"/>
    <w:rsid w:val="00882881"/>
    <w:rsid w:val="008839E0"/>
    <w:rsid w:val="00883A74"/>
    <w:rsid w:val="00884A5D"/>
    <w:rsid w:val="00884F0A"/>
    <w:rsid w:val="0088630D"/>
    <w:rsid w:val="0088636C"/>
    <w:rsid w:val="008864F4"/>
    <w:rsid w:val="0088653C"/>
    <w:rsid w:val="00886F2A"/>
    <w:rsid w:val="008906A7"/>
    <w:rsid w:val="00890886"/>
    <w:rsid w:val="00890AEF"/>
    <w:rsid w:val="008966F8"/>
    <w:rsid w:val="008A0094"/>
    <w:rsid w:val="008A03E6"/>
    <w:rsid w:val="008A102F"/>
    <w:rsid w:val="008A1554"/>
    <w:rsid w:val="008A2D10"/>
    <w:rsid w:val="008A34AF"/>
    <w:rsid w:val="008A3C17"/>
    <w:rsid w:val="008A4D6A"/>
    <w:rsid w:val="008A52C6"/>
    <w:rsid w:val="008A5754"/>
    <w:rsid w:val="008A582D"/>
    <w:rsid w:val="008A6237"/>
    <w:rsid w:val="008A7A14"/>
    <w:rsid w:val="008B186E"/>
    <w:rsid w:val="008B234E"/>
    <w:rsid w:val="008B30E3"/>
    <w:rsid w:val="008B54C1"/>
    <w:rsid w:val="008B5F82"/>
    <w:rsid w:val="008C0937"/>
    <w:rsid w:val="008C1153"/>
    <w:rsid w:val="008C27E2"/>
    <w:rsid w:val="008C2D73"/>
    <w:rsid w:val="008D0DC4"/>
    <w:rsid w:val="008D1654"/>
    <w:rsid w:val="008D204B"/>
    <w:rsid w:val="008D4BCC"/>
    <w:rsid w:val="008D51A0"/>
    <w:rsid w:val="008D5332"/>
    <w:rsid w:val="008D6515"/>
    <w:rsid w:val="008D68B2"/>
    <w:rsid w:val="008D6F75"/>
    <w:rsid w:val="008D7CEF"/>
    <w:rsid w:val="008E1F1F"/>
    <w:rsid w:val="008E24C4"/>
    <w:rsid w:val="008E2FB9"/>
    <w:rsid w:val="008E3102"/>
    <w:rsid w:val="008E364C"/>
    <w:rsid w:val="008E36D0"/>
    <w:rsid w:val="008E3C2F"/>
    <w:rsid w:val="008E54C7"/>
    <w:rsid w:val="008E69EE"/>
    <w:rsid w:val="008F0610"/>
    <w:rsid w:val="008F080A"/>
    <w:rsid w:val="008F0A7D"/>
    <w:rsid w:val="008F22CC"/>
    <w:rsid w:val="008F3A86"/>
    <w:rsid w:val="008F49AF"/>
    <w:rsid w:val="008F5C21"/>
    <w:rsid w:val="008F736B"/>
    <w:rsid w:val="009012DA"/>
    <w:rsid w:val="00901398"/>
    <w:rsid w:val="00901992"/>
    <w:rsid w:val="00902F7A"/>
    <w:rsid w:val="00903609"/>
    <w:rsid w:val="009045FE"/>
    <w:rsid w:val="00904B8F"/>
    <w:rsid w:val="0090581F"/>
    <w:rsid w:val="00905C08"/>
    <w:rsid w:val="009079C8"/>
    <w:rsid w:val="00913EF9"/>
    <w:rsid w:val="009157E3"/>
    <w:rsid w:val="00921A40"/>
    <w:rsid w:val="00921AC7"/>
    <w:rsid w:val="0092342B"/>
    <w:rsid w:val="00925F03"/>
    <w:rsid w:val="00935490"/>
    <w:rsid w:val="00940DF9"/>
    <w:rsid w:val="009414F2"/>
    <w:rsid w:val="00942010"/>
    <w:rsid w:val="00943CC4"/>
    <w:rsid w:val="00944194"/>
    <w:rsid w:val="00945738"/>
    <w:rsid w:val="009458BA"/>
    <w:rsid w:val="00947E74"/>
    <w:rsid w:val="00951316"/>
    <w:rsid w:val="00952EDD"/>
    <w:rsid w:val="009539E7"/>
    <w:rsid w:val="00953F05"/>
    <w:rsid w:val="0095458B"/>
    <w:rsid w:val="0095555B"/>
    <w:rsid w:val="00957B22"/>
    <w:rsid w:val="00957D40"/>
    <w:rsid w:val="0096124E"/>
    <w:rsid w:val="0096132E"/>
    <w:rsid w:val="009628FA"/>
    <w:rsid w:val="009631F1"/>
    <w:rsid w:val="0096407F"/>
    <w:rsid w:val="00964B56"/>
    <w:rsid w:val="009654E5"/>
    <w:rsid w:val="009669C0"/>
    <w:rsid w:val="0097072A"/>
    <w:rsid w:val="00973ABA"/>
    <w:rsid w:val="00973C52"/>
    <w:rsid w:val="00973E96"/>
    <w:rsid w:val="00974067"/>
    <w:rsid w:val="00976546"/>
    <w:rsid w:val="0097748B"/>
    <w:rsid w:val="00981316"/>
    <w:rsid w:val="00983BA8"/>
    <w:rsid w:val="00986AF7"/>
    <w:rsid w:val="009914C6"/>
    <w:rsid w:val="00992307"/>
    <w:rsid w:val="009929C7"/>
    <w:rsid w:val="00994494"/>
    <w:rsid w:val="00995ECE"/>
    <w:rsid w:val="00995EE6"/>
    <w:rsid w:val="00996299"/>
    <w:rsid w:val="00996816"/>
    <w:rsid w:val="009973D6"/>
    <w:rsid w:val="009A0811"/>
    <w:rsid w:val="009A41D4"/>
    <w:rsid w:val="009A4794"/>
    <w:rsid w:val="009A500D"/>
    <w:rsid w:val="009A5E2C"/>
    <w:rsid w:val="009A6859"/>
    <w:rsid w:val="009A7404"/>
    <w:rsid w:val="009A7F7A"/>
    <w:rsid w:val="009B2105"/>
    <w:rsid w:val="009B2DD3"/>
    <w:rsid w:val="009B2FB0"/>
    <w:rsid w:val="009B45F3"/>
    <w:rsid w:val="009B5532"/>
    <w:rsid w:val="009B7FD9"/>
    <w:rsid w:val="009C0C80"/>
    <w:rsid w:val="009C0E1B"/>
    <w:rsid w:val="009C195B"/>
    <w:rsid w:val="009C2585"/>
    <w:rsid w:val="009C2746"/>
    <w:rsid w:val="009C3B88"/>
    <w:rsid w:val="009C440F"/>
    <w:rsid w:val="009C589A"/>
    <w:rsid w:val="009C79C6"/>
    <w:rsid w:val="009D0821"/>
    <w:rsid w:val="009D422C"/>
    <w:rsid w:val="009D5BCF"/>
    <w:rsid w:val="009D7CAF"/>
    <w:rsid w:val="009E0038"/>
    <w:rsid w:val="009E062C"/>
    <w:rsid w:val="009E0A3D"/>
    <w:rsid w:val="009E22B5"/>
    <w:rsid w:val="009E24E1"/>
    <w:rsid w:val="009E2A23"/>
    <w:rsid w:val="009E2CBD"/>
    <w:rsid w:val="009E3B99"/>
    <w:rsid w:val="009E6EEE"/>
    <w:rsid w:val="009E70B3"/>
    <w:rsid w:val="009E7A32"/>
    <w:rsid w:val="009E7AC5"/>
    <w:rsid w:val="009E7BC9"/>
    <w:rsid w:val="009F0E6A"/>
    <w:rsid w:val="009F1A8A"/>
    <w:rsid w:val="009F1AB7"/>
    <w:rsid w:val="009F47E4"/>
    <w:rsid w:val="009F66CF"/>
    <w:rsid w:val="009F6AB8"/>
    <w:rsid w:val="009F6C1E"/>
    <w:rsid w:val="00A008CE"/>
    <w:rsid w:val="00A00FA1"/>
    <w:rsid w:val="00A01A48"/>
    <w:rsid w:val="00A03B00"/>
    <w:rsid w:val="00A0482D"/>
    <w:rsid w:val="00A04D2E"/>
    <w:rsid w:val="00A05251"/>
    <w:rsid w:val="00A053D0"/>
    <w:rsid w:val="00A05720"/>
    <w:rsid w:val="00A066DE"/>
    <w:rsid w:val="00A105BE"/>
    <w:rsid w:val="00A113F8"/>
    <w:rsid w:val="00A13123"/>
    <w:rsid w:val="00A14C35"/>
    <w:rsid w:val="00A1576A"/>
    <w:rsid w:val="00A15925"/>
    <w:rsid w:val="00A1659F"/>
    <w:rsid w:val="00A176EA"/>
    <w:rsid w:val="00A204A7"/>
    <w:rsid w:val="00A22EA9"/>
    <w:rsid w:val="00A23B0B"/>
    <w:rsid w:val="00A2641D"/>
    <w:rsid w:val="00A265C3"/>
    <w:rsid w:val="00A2799A"/>
    <w:rsid w:val="00A30171"/>
    <w:rsid w:val="00A30E28"/>
    <w:rsid w:val="00A31725"/>
    <w:rsid w:val="00A319F4"/>
    <w:rsid w:val="00A3216F"/>
    <w:rsid w:val="00A35028"/>
    <w:rsid w:val="00A354C9"/>
    <w:rsid w:val="00A42739"/>
    <w:rsid w:val="00A43C75"/>
    <w:rsid w:val="00A457E8"/>
    <w:rsid w:val="00A4705A"/>
    <w:rsid w:val="00A475C8"/>
    <w:rsid w:val="00A47C03"/>
    <w:rsid w:val="00A5059F"/>
    <w:rsid w:val="00A518C1"/>
    <w:rsid w:val="00A51DA7"/>
    <w:rsid w:val="00A52885"/>
    <w:rsid w:val="00A52D13"/>
    <w:rsid w:val="00A60AA4"/>
    <w:rsid w:val="00A61488"/>
    <w:rsid w:val="00A65DAC"/>
    <w:rsid w:val="00A6673A"/>
    <w:rsid w:val="00A66BFC"/>
    <w:rsid w:val="00A70876"/>
    <w:rsid w:val="00A70A5E"/>
    <w:rsid w:val="00A719D4"/>
    <w:rsid w:val="00A71E43"/>
    <w:rsid w:val="00A72F42"/>
    <w:rsid w:val="00A743DC"/>
    <w:rsid w:val="00A74BEA"/>
    <w:rsid w:val="00A75C54"/>
    <w:rsid w:val="00A76128"/>
    <w:rsid w:val="00A77771"/>
    <w:rsid w:val="00A80689"/>
    <w:rsid w:val="00A83531"/>
    <w:rsid w:val="00A85675"/>
    <w:rsid w:val="00A904C2"/>
    <w:rsid w:val="00A90F86"/>
    <w:rsid w:val="00A92571"/>
    <w:rsid w:val="00A94D16"/>
    <w:rsid w:val="00A94E1A"/>
    <w:rsid w:val="00A96781"/>
    <w:rsid w:val="00A9692B"/>
    <w:rsid w:val="00AA0945"/>
    <w:rsid w:val="00AA0B75"/>
    <w:rsid w:val="00AA1412"/>
    <w:rsid w:val="00AA14A8"/>
    <w:rsid w:val="00AA15D4"/>
    <w:rsid w:val="00AA226B"/>
    <w:rsid w:val="00AA22E3"/>
    <w:rsid w:val="00AA392D"/>
    <w:rsid w:val="00AA49F8"/>
    <w:rsid w:val="00AA7B67"/>
    <w:rsid w:val="00AB0828"/>
    <w:rsid w:val="00AB2DDB"/>
    <w:rsid w:val="00AB3536"/>
    <w:rsid w:val="00AB3AE1"/>
    <w:rsid w:val="00AB5742"/>
    <w:rsid w:val="00AB65BD"/>
    <w:rsid w:val="00AB7752"/>
    <w:rsid w:val="00AC0887"/>
    <w:rsid w:val="00AC1507"/>
    <w:rsid w:val="00AC1D27"/>
    <w:rsid w:val="00AC75EB"/>
    <w:rsid w:val="00AC7CEE"/>
    <w:rsid w:val="00AD0D7D"/>
    <w:rsid w:val="00AD212E"/>
    <w:rsid w:val="00AD267A"/>
    <w:rsid w:val="00AD28AB"/>
    <w:rsid w:val="00AD4D47"/>
    <w:rsid w:val="00AD7990"/>
    <w:rsid w:val="00AE0F59"/>
    <w:rsid w:val="00AE16F1"/>
    <w:rsid w:val="00AE191A"/>
    <w:rsid w:val="00AE1CB0"/>
    <w:rsid w:val="00AE1CCD"/>
    <w:rsid w:val="00AE3653"/>
    <w:rsid w:val="00AE366B"/>
    <w:rsid w:val="00AE3DFC"/>
    <w:rsid w:val="00AE575A"/>
    <w:rsid w:val="00AF1CBA"/>
    <w:rsid w:val="00AF2906"/>
    <w:rsid w:val="00AF48BD"/>
    <w:rsid w:val="00AF68A6"/>
    <w:rsid w:val="00B0040C"/>
    <w:rsid w:val="00B0227C"/>
    <w:rsid w:val="00B031A5"/>
    <w:rsid w:val="00B06161"/>
    <w:rsid w:val="00B10A5F"/>
    <w:rsid w:val="00B11236"/>
    <w:rsid w:val="00B161C3"/>
    <w:rsid w:val="00B177C0"/>
    <w:rsid w:val="00B200D2"/>
    <w:rsid w:val="00B21266"/>
    <w:rsid w:val="00B21329"/>
    <w:rsid w:val="00B213E1"/>
    <w:rsid w:val="00B21BCD"/>
    <w:rsid w:val="00B223E6"/>
    <w:rsid w:val="00B24004"/>
    <w:rsid w:val="00B24D13"/>
    <w:rsid w:val="00B24FAD"/>
    <w:rsid w:val="00B262DD"/>
    <w:rsid w:val="00B26C7A"/>
    <w:rsid w:val="00B31779"/>
    <w:rsid w:val="00B32F3F"/>
    <w:rsid w:val="00B338C0"/>
    <w:rsid w:val="00B3430D"/>
    <w:rsid w:val="00B35046"/>
    <w:rsid w:val="00B368F2"/>
    <w:rsid w:val="00B420A1"/>
    <w:rsid w:val="00B420F2"/>
    <w:rsid w:val="00B424D0"/>
    <w:rsid w:val="00B42C51"/>
    <w:rsid w:val="00B46210"/>
    <w:rsid w:val="00B46518"/>
    <w:rsid w:val="00B46B7A"/>
    <w:rsid w:val="00B50012"/>
    <w:rsid w:val="00B505C4"/>
    <w:rsid w:val="00B53CE1"/>
    <w:rsid w:val="00B540A5"/>
    <w:rsid w:val="00B556ED"/>
    <w:rsid w:val="00B55732"/>
    <w:rsid w:val="00B558D0"/>
    <w:rsid w:val="00B61C89"/>
    <w:rsid w:val="00B620A3"/>
    <w:rsid w:val="00B63C19"/>
    <w:rsid w:val="00B63D7D"/>
    <w:rsid w:val="00B643DE"/>
    <w:rsid w:val="00B65918"/>
    <w:rsid w:val="00B67C48"/>
    <w:rsid w:val="00B715FE"/>
    <w:rsid w:val="00B73257"/>
    <w:rsid w:val="00B74DB6"/>
    <w:rsid w:val="00B760B8"/>
    <w:rsid w:val="00B76E9D"/>
    <w:rsid w:val="00B770B8"/>
    <w:rsid w:val="00B770E5"/>
    <w:rsid w:val="00B77B08"/>
    <w:rsid w:val="00B80646"/>
    <w:rsid w:val="00B81A11"/>
    <w:rsid w:val="00B84766"/>
    <w:rsid w:val="00B86455"/>
    <w:rsid w:val="00B87A69"/>
    <w:rsid w:val="00B87E65"/>
    <w:rsid w:val="00B90774"/>
    <w:rsid w:val="00B9227A"/>
    <w:rsid w:val="00B9306B"/>
    <w:rsid w:val="00B93864"/>
    <w:rsid w:val="00B9412C"/>
    <w:rsid w:val="00B951D6"/>
    <w:rsid w:val="00B9523E"/>
    <w:rsid w:val="00B97779"/>
    <w:rsid w:val="00BA053B"/>
    <w:rsid w:val="00BA0D6E"/>
    <w:rsid w:val="00BA22A0"/>
    <w:rsid w:val="00BA33F0"/>
    <w:rsid w:val="00BA475C"/>
    <w:rsid w:val="00BA547C"/>
    <w:rsid w:val="00BA55C5"/>
    <w:rsid w:val="00BA56FB"/>
    <w:rsid w:val="00BA5E90"/>
    <w:rsid w:val="00BA69B1"/>
    <w:rsid w:val="00BA6C59"/>
    <w:rsid w:val="00BB1106"/>
    <w:rsid w:val="00BB136D"/>
    <w:rsid w:val="00BB1D60"/>
    <w:rsid w:val="00BB2054"/>
    <w:rsid w:val="00BB4D65"/>
    <w:rsid w:val="00BC084E"/>
    <w:rsid w:val="00BC15A5"/>
    <w:rsid w:val="00BC1B99"/>
    <w:rsid w:val="00BC2A54"/>
    <w:rsid w:val="00BC2E02"/>
    <w:rsid w:val="00BC3F9C"/>
    <w:rsid w:val="00BC6A1A"/>
    <w:rsid w:val="00BC6EE8"/>
    <w:rsid w:val="00BC70A9"/>
    <w:rsid w:val="00BC726A"/>
    <w:rsid w:val="00BC79E1"/>
    <w:rsid w:val="00BD0207"/>
    <w:rsid w:val="00BD1758"/>
    <w:rsid w:val="00BD2CDD"/>
    <w:rsid w:val="00BD34B2"/>
    <w:rsid w:val="00BD36AE"/>
    <w:rsid w:val="00BD3E15"/>
    <w:rsid w:val="00BD5AEB"/>
    <w:rsid w:val="00BD5C05"/>
    <w:rsid w:val="00BD693D"/>
    <w:rsid w:val="00BD6B1B"/>
    <w:rsid w:val="00BE0C8C"/>
    <w:rsid w:val="00BE0E5D"/>
    <w:rsid w:val="00BE13A8"/>
    <w:rsid w:val="00BE224F"/>
    <w:rsid w:val="00BE2E47"/>
    <w:rsid w:val="00BE654F"/>
    <w:rsid w:val="00BE69E6"/>
    <w:rsid w:val="00BF06F0"/>
    <w:rsid w:val="00BF0D8D"/>
    <w:rsid w:val="00BF1480"/>
    <w:rsid w:val="00BF22FE"/>
    <w:rsid w:val="00BF4F5D"/>
    <w:rsid w:val="00BF5699"/>
    <w:rsid w:val="00BF5B00"/>
    <w:rsid w:val="00BF7202"/>
    <w:rsid w:val="00C10F7E"/>
    <w:rsid w:val="00C110A6"/>
    <w:rsid w:val="00C11F05"/>
    <w:rsid w:val="00C143C5"/>
    <w:rsid w:val="00C14A17"/>
    <w:rsid w:val="00C1519B"/>
    <w:rsid w:val="00C161A2"/>
    <w:rsid w:val="00C16BA5"/>
    <w:rsid w:val="00C171CA"/>
    <w:rsid w:val="00C174C9"/>
    <w:rsid w:val="00C200B9"/>
    <w:rsid w:val="00C22153"/>
    <w:rsid w:val="00C23CB9"/>
    <w:rsid w:val="00C2439E"/>
    <w:rsid w:val="00C24811"/>
    <w:rsid w:val="00C25138"/>
    <w:rsid w:val="00C25D93"/>
    <w:rsid w:val="00C272A8"/>
    <w:rsid w:val="00C30788"/>
    <w:rsid w:val="00C320A9"/>
    <w:rsid w:val="00C32F2B"/>
    <w:rsid w:val="00C35F7D"/>
    <w:rsid w:val="00C36C64"/>
    <w:rsid w:val="00C376E5"/>
    <w:rsid w:val="00C378BA"/>
    <w:rsid w:val="00C378E7"/>
    <w:rsid w:val="00C37968"/>
    <w:rsid w:val="00C37A7D"/>
    <w:rsid w:val="00C409EB"/>
    <w:rsid w:val="00C40D02"/>
    <w:rsid w:val="00C427D9"/>
    <w:rsid w:val="00C429A6"/>
    <w:rsid w:val="00C44483"/>
    <w:rsid w:val="00C4602B"/>
    <w:rsid w:val="00C46B6E"/>
    <w:rsid w:val="00C4747B"/>
    <w:rsid w:val="00C519A6"/>
    <w:rsid w:val="00C52CF6"/>
    <w:rsid w:val="00C52FAD"/>
    <w:rsid w:val="00C53334"/>
    <w:rsid w:val="00C53CAF"/>
    <w:rsid w:val="00C544D6"/>
    <w:rsid w:val="00C62D06"/>
    <w:rsid w:val="00C637ED"/>
    <w:rsid w:val="00C65325"/>
    <w:rsid w:val="00C65B32"/>
    <w:rsid w:val="00C65CEC"/>
    <w:rsid w:val="00C67C47"/>
    <w:rsid w:val="00C70638"/>
    <w:rsid w:val="00C7080B"/>
    <w:rsid w:val="00C7151E"/>
    <w:rsid w:val="00C72E62"/>
    <w:rsid w:val="00C73CEB"/>
    <w:rsid w:val="00C743A6"/>
    <w:rsid w:val="00C76008"/>
    <w:rsid w:val="00C76A30"/>
    <w:rsid w:val="00C80258"/>
    <w:rsid w:val="00C80843"/>
    <w:rsid w:val="00C827C1"/>
    <w:rsid w:val="00C85398"/>
    <w:rsid w:val="00C85A15"/>
    <w:rsid w:val="00C90E8B"/>
    <w:rsid w:val="00C9383A"/>
    <w:rsid w:val="00C93BC5"/>
    <w:rsid w:val="00C9419E"/>
    <w:rsid w:val="00C95404"/>
    <w:rsid w:val="00C9737B"/>
    <w:rsid w:val="00C976EB"/>
    <w:rsid w:val="00CA0826"/>
    <w:rsid w:val="00CA3EE4"/>
    <w:rsid w:val="00CA4419"/>
    <w:rsid w:val="00CA49B3"/>
    <w:rsid w:val="00CA57C7"/>
    <w:rsid w:val="00CA617F"/>
    <w:rsid w:val="00CA62CA"/>
    <w:rsid w:val="00CA6B01"/>
    <w:rsid w:val="00CA70FD"/>
    <w:rsid w:val="00CA7435"/>
    <w:rsid w:val="00CB0679"/>
    <w:rsid w:val="00CB0750"/>
    <w:rsid w:val="00CB16F0"/>
    <w:rsid w:val="00CB17B6"/>
    <w:rsid w:val="00CB300E"/>
    <w:rsid w:val="00CB4CF4"/>
    <w:rsid w:val="00CB5A6E"/>
    <w:rsid w:val="00CB65E8"/>
    <w:rsid w:val="00CB70A6"/>
    <w:rsid w:val="00CC0FD8"/>
    <w:rsid w:val="00CC32CD"/>
    <w:rsid w:val="00CC55B2"/>
    <w:rsid w:val="00CD4AA2"/>
    <w:rsid w:val="00CD4BBC"/>
    <w:rsid w:val="00CD5BAD"/>
    <w:rsid w:val="00CD618A"/>
    <w:rsid w:val="00CD72D0"/>
    <w:rsid w:val="00CD7306"/>
    <w:rsid w:val="00CD77C4"/>
    <w:rsid w:val="00CE0A8C"/>
    <w:rsid w:val="00CE0AE0"/>
    <w:rsid w:val="00CE0BB6"/>
    <w:rsid w:val="00CE4C06"/>
    <w:rsid w:val="00CE4E69"/>
    <w:rsid w:val="00CE5237"/>
    <w:rsid w:val="00CE7397"/>
    <w:rsid w:val="00CE73C2"/>
    <w:rsid w:val="00CE73ED"/>
    <w:rsid w:val="00CF0E0D"/>
    <w:rsid w:val="00CF2B52"/>
    <w:rsid w:val="00CF482A"/>
    <w:rsid w:val="00CF7797"/>
    <w:rsid w:val="00CF78A7"/>
    <w:rsid w:val="00CF7E9F"/>
    <w:rsid w:val="00D00D4D"/>
    <w:rsid w:val="00D011C6"/>
    <w:rsid w:val="00D01BF3"/>
    <w:rsid w:val="00D020C8"/>
    <w:rsid w:val="00D0512D"/>
    <w:rsid w:val="00D05376"/>
    <w:rsid w:val="00D05E7B"/>
    <w:rsid w:val="00D05F20"/>
    <w:rsid w:val="00D06B49"/>
    <w:rsid w:val="00D077C0"/>
    <w:rsid w:val="00D10456"/>
    <w:rsid w:val="00D12D2F"/>
    <w:rsid w:val="00D14E56"/>
    <w:rsid w:val="00D15B23"/>
    <w:rsid w:val="00D162DC"/>
    <w:rsid w:val="00D176B7"/>
    <w:rsid w:val="00D177C2"/>
    <w:rsid w:val="00D2060A"/>
    <w:rsid w:val="00D21484"/>
    <w:rsid w:val="00D236DF"/>
    <w:rsid w:val="00D302F2"/>
    <w:rsid w:val="00D318B1"/>
    <w:rsid w:val="00D323B2"/>
    <w:rsid w:val="00D32584"/>
    <w:rsid w:val="00D40A19"/>
    <w:rsid w:val="00D427EC"/>
    <w:rsid w:val="00D469D4"/>
    <w:rsid w:val="00D46BDD"/>
    <w:rsid w:val="00D50B18"/>
    <w:rsid w:val="00D519E4"/>
    <w:rsid w:val="00D53FD1"/>
    <w:rsid w:val="00D542B6"/>
    <w:rsid w:val="00D5600A"/>
    <w:rsid w:val="00D607B6"/>
    <w:rsid w:val="00D617EF"/>
    <w:rsid w:val="00D6181F"/>
    <w:rsid w:val="00D61941"/>
    <w:rsid w:val="00D63939"/>
    <w:rsid w:val="00D64E40"/>
    <w:rsid w:val="00D67127"/>
    <w:rsid w:val="00D67E66"/>
    <w:rsid w:val="00D703E0"/>
    <w:rsid w:val="00D70DAE"/>
    <w:rsid w:val="00D72276"/>
    <w:rsid w:val="00D73C38"/>
    <w:rsid w:val="00D74193"/>
    <w:rsid w:val="00D74A52"/>
    <w:rsid w:val="00D75E41"/>
    <w:rsid w:val="00D75F18"/>
    <w:rsid w:val="00D75FC5"/>
    <w:rsid w:val="00D7622D"/>
    <w:rsid w:val="00D7777F"/>
    <w:rsid w:val="00D80BBD"/>
    <w:rsid w:val="00D80E0E"/>
    <w:rsid w:val="00D82389"/>
    <w:rsid w:val="00D826AD"/>
    <w:rsid w:val="00D827BD"/>
    <w:rsid w:val="00D83808"/>
    <w:rsid w:val="00D83C3C"/>
    <w:rsid w:val="00D83CAA"/>
    <w:rsid w:val="00D84817"/>
    <w:rsid w:val="00D852E0"/>
    <w:rsid w:val="00D856E1"/>
    <w:rsid w:val="00D85C3F"/>
    <w:rsid w:val="00D87D57"/>
    <w:rsid w:val="00D90B7D"/>
    <w:rsid w:val="00D92018"/>
    <w:rsid w:val="00D94360"/>
    <w:rsid w:val="00D94846"/>
    <w:rsid w:val="00D96184"/>
    <w:rsid w:val="00D972F0"/>
    <w:rsid w:val="00D97DCA"/>
    <w:rsid w:val="00D97E11"/>
    <w:rsid w:val="00DA07BC"/>
    <w:rsid w:val="00DA23FC"/>
    <w:rsid w:val="00DA274A"/>
    <w:rsid w:val="00DA3B0C"/>
    <w:rsid w:val="00DA51EE"/>
    <w:rsid w:val="00DA527A"/>
    <w:rsid w:val="00DA5707"/>
    <w:rsid w:val="00DA5E67"/>
    <w:rsid w:val="00DA6A68"/>
    <w:rsid w:val="00DB00CA"/>
    <w:rsid w:val="00DB0182"/>
    <w:rsid w:val="00DB1806"/>
    <w:rsid w:val="00DB1CC4"/>
    <w:rsid w:val="00DB267E"/>
    <w:rsid w:val="00DB2707"/>
    <w:rsid w:val="00DB6C40"/>
    <w:rsid w:val="00DB71F2"/>
    <w:rsid w:val="00DC0837"/>
    <w:rsid w:val="00DC2148"/>
    <w:rsid w:val="00DC4877"/>
    <w:rsid w:val="00DC6962"/>
    <w:rsid w:val="00DC7A2C"/>
    <w:rsid w:val="00DC7FFE"/>
    <w:rsid w:val="00DD0098"/>
    <w:rsid w:val="00DD1015"/>
    <w:rsid w:val="00DD16B7"/>
    <w:rsid w:val="00DD1A19"/>
    <w:rsid w:val="00DD240C"/>
    <w:rsid w:val="00DD2E12"/>
    <w:rsid w:val="00DD53CB"/>
    <w:rsid w:val="00DD61F7"/>
    <w:rsid w:val="00DD6B95"/>
    <w:rsid w:val="00DE129B"/>
    <w:rsid w:val="00DE5FC1"/>
    <w:rsid w:val="00DE6B1E"/>
    <w:rsid w:val="00DE6F93"/>
    <w:rsid w:val="00DE770C"/>
    <w:rsid w:val="00DE7950"/>
    <w:rsid w:val="00DE7FB5"/>
    <w:rsid w:val="00DF0322"/>
    <w:rsid w:val="00DF0DC0"/>
    <w:rsid w:val="00DF1BD3"/>
    <w:rsid w:val="00DF1FF1"/>
    <w:rsid w:val="00DF2F70"/>
    <w:rsid w:val="00DF3C59"/>
    <w:rsid w:val="00DF4B07"/>
    <w:rsid w:val="00DF69C6"/>
    <w:rsid w:val="00E05C4F"/>
    <w:rsid w:val="00E05C68"/>
    <w:rsid w:val="00E06C16"/>
    <w:rsid w:val="00E077FA"/>
    <w:rsid w:val="00E1250A"/>
    <w:rsid w:val="00E13035"/>
    <w:rsid w:val="00E1311E"/>
    <w:rsid w:val="00E16400"/>
    <w:rsid w:val="00E21279"/>
    <w:rsid w:val="00E222F4"/>
    <w:rsid w:val="00E237BD"/>
    <w:rsid w:val="00E252CE"/>
    <w:rsid w:val="00E26055"/>
    <w:rsid w:val="00E30F9B"/>
    <w:rsid w:val="00E325B2"/>
    <w:rsid w:val="00E32FB7"/>
    <w:rsid w:val="00E347B5"/>
    <w:rsid w:val="00E36450"/>
    <w:rsid w:val="00E3711D"/>
    <w:rsid w:val="00E43025"/>
    <w:rsid w:val="00E43073"/>
    <w:rsid w:val="00E445F0"/>
    <w:rsid w:val="00E505DE"/>
    <w:rsid w:val="00E506AF"/>
    <w:rsid w:val="00E51898"/>
    <w:rsid w:val="00E55056"/>
    <w:rsid w:val="00E56929"/>
    <w:rsid w:val="00E578EE"/>
    <w:rsid w:val="00E60E00"/>
    <w:rsid w:val="00E61964"/>
    <w:rsid w:val="00E62693"/>
    <w:rsid w:val="00E64711"/>
    <w:rsid w:val="00E64E19"/>
    <w:rsid w:val="00E656F1"/>
    <w:rsid w:val="00E6622E"/>
    <w:rsid w:val="00E7068E"/>
    <w:rsid w:val="00E706D3"/>
    <w:rsid w:val="00E70A14"/>
    <w:rsid w:val="00E71D39"/>
    <w:rsid w:val="00E73777"/>
    <w:rsid w:val="00E7726D"/>
    <w:rsid w:val="00E7747E"/>
    <w:rsid w:val="00E77A28"/>
    <w:rsid w:val="00E81177"/>
    <w:rsid w:val="00E83771"/>
    <w:rsid w:val="00E85583"/>
    <w:rsid w:val="00E866BA"/>
    <w:rsid w:val="00E87D77"/>
    <w:rsid w:val="00E92065"/>
    <w:rsid w:val="00E92AC3"/>
    <w:rsid w:val="00E94051"/>
    <w:rsid w:val="00E95EFE"/>
    <w:rsid w:val="00E961E4"/>
    <w:rsid w:val="00E96A17"/>
    <w:rsid w:val="00E97311"/>
    <w:rsid w:val="00EA04DA"/>
    <w:rsid w:val="00EA2F2C"/>
    <w:rsid w:val="00EA4331"/>
    <w:rsid w:val="00EA5B20"/>
    <w:rsid w:val="00EA5F83"/>
    <w:rsid w:val="00EA7468"/>
    <w:rsid w:val="00EA7590"/>
    <w:rsid w:val="00EB1177"/>
    <w:rsid w:val="00EB1704"/>
    <w:rsid w:val="00EB22AF"/>
    <w:rsid w:val="00EB31E0"/>
    <w:rsid w:val="00EB4210"/>
    <w:rsid w:val="00EB433C"/>
    <w:rsid w:val="00EB5D1A"/>
    <w:rsid w:val="00EC041F"/>
    <w:rsid w:val="00EC11E6"/>
    <w:rsid w:val="00EC203D"/>
    <w:rsid w:val="00EC2F91"/>
    <w:rsid w:val="00EC3544"/>
    <w:rsid w:val="00EC41F1"/>
    <w:rsid w:val="00EC5886"/>
    <w:rsid w:val="00ED1719"/>
    <w:rsid w:val="00ED2AB3"/>
    <w:rsid w:val="00ED3768"/>
    <w:rsid w:val="00ED4278"/>
    <w:rsid w:val="00ED5274"/>
    <w:rsid w:val="00ED5EB7"/>
    <w:rsid w:val="00ED6944"/>
    <w:rsid w:val="00EE0B5B"/>
    <w:rsid w:val="00EE1667"/>
    <w:rsid w:val="00EE1D25"/>
    <w:rsid w:val="00EE2572"/>
    <w:rsid w:val="00EE4315"/>
    <w:rsid w:val="00EE4D14"/>
    <w:rsid w:val="00EE74FC"/>
    <w:rsid w:val="00EE7B42"/>
    <w:rsid w:val="00EF155B"/>
    <w:rsid w:val="00EF54C8"/>
    <w:rsid w:val="00EF54D0"/>
    <w:rsid w:val="00EF7B80"/>
    <w:rsid w:val="00F00F62"/>
    <w:rsid w:val="00F01E0B"/>
    <w:rsid w:val="00F03781"/>
    <w:rsid w:val="00F03A51"/>
    <w:rsid w:val="00F1120C"/>
    <w:rsid w:val="00F13EFA"/>
    <w:rsid w:val="00F142B9"/>
    <w:rsid w:val="00F14456"/>
    <w:rsid w:val="00F14466"/>
    <w:rsid w:val="00F15C21"/>
    <w:rsid w:val="00F2069C"/>
    <w:rsid w:val="00F20D2B"/>
    <w:rsid w:val="00F2126B"/>
    <w:rsid w:val="00F2338E"/>
    <w:rsid w:val="00F241B4"/>
    <w:rsid w:val="00F329C2"/>
    <w:rsid w:val="00F33B01"/>
    <w:rsid w:val="00F350E2"/>
    <w:rsid w:val="00F36622"/>
    <w:rsid w:val="00F40EA1"/>
    <w:rsid w:val="00F43731"/>
    <w:rsid w:val="00F43C40"/>
    <w:rsid w:val="00F43DAE"/>
    <w:rsid w:val="00F44BB7"/>
    <w:rsid w:val="00F453FF"/>
    <w:rsid w:val="00F45E04"/>
    <w:rsid w:val="00F45E18"/>
    <w:rsid w:val="00F46322"/>
    <w:rsid w:val="00F4656C"/>
    <w:rsid w:val="00F503FC"/>
    <w:rsid w:val="00F50D0B"/>
    <w:rsid w:val="00F52101"/>
    <w:rsid w:val="00F525DA"/>
    <w:rsid w:val="00F52EDB"/>
    <w:rsid w:val="00F52F23"/>
    <w:rsid w:val="00F54DD4"/>
    <w:rsid w:val="00F56027"/>
    <w:rsid w:val="00F6147F"/>
    <w:rsid w:val="00F6200B"/>
    <w:rsid w:val="00F62011"/>
    <w:rsid w:val="00F64340"/>
    <w:rsid w:val="00F67141"/>
    <w:rsid w:val="00F67619"/>
    <w:rsid w:val="00F67CB8"/>
    <w:rsid w:val="00F71B9B"/>
    <w:rsid w:val="00F722C7"/>
    <w:rsid w:val="00F72EB0"/>
    <w:rsid w:val="00F74059"/>
    <w:rsid w:val="00F7446D"/>
    <w:rsid w:val="00F74783"/>
    <w:rsid w:val="00F75F1B"/>
    <w:rsid w:val="00F81492"/>
    <w:rsid w:val="00F828A2"/>
    <w:rsid w:val="00F82F7A"/>
    <w:rsid w:val="00F83DAF"/>
    <w:rsid w:val="00F840AF"/>
    <w:rsid w:val="00F84BBF"/>
    <w:rsid w:val="00F90FD4"/>
    <w:rsid w:val="00F91C5C"/>
    <w:rsid w:val="00F91E29"/>
    <w:rsid w:val="00F94DA5"/>
    <w:rsid w:val="00F967E6"/>
    <w:rsid w:val="00F976AB"/>
    <w:rsid w:val="00F97AC4"/>
    <w:rsid w:val="00F97AEB"/>
    <w:rsid w:val="00FA0AA8"/>
    <w:rsid w:val="00FA2706"/>
    <w:rsid w:val="00FA2B08"/>
    <w:rsid w:val="00FA3B13"/>
    <w:rsid w:val="00FA6CE8"/>
    <w:rsid w:val="00FB04F0"/>
    <w:rsid w:val="00FB1C9D"/>
    <w:rsid w:val="00FB2363"/>
    <w:rsid w:val="00FB2EB5"/>
    <w:rsid w:val="00FB2EF9"/>
    <w:rsid w:val="00FB50A9"/>
    <w:rsid w:val="00FB57C6"/>
    <w:rsid w:val="00FB5E92"/>
    <w:rsid w:val="00FC15A5"/>
    <w:rsid w:val="00FC18B7"/>
    <w:rsid w:val="00FC18DA"/>
    <w:rsid w:val="00FC39C1"/>
    <w:rsid w:val="00FC3E67"/>
    <w:rsid w:val="00FC50CA"/>
    <w:rsid w:val="00FC5424"/>
    <w:rsid w:val="00FC5606"/>
    <w:rsid w:val="00FC5C3F"/>
    <w:rsid w:val="00FC7F76"/>
    <w:rsid w:val="00FD1373"/>
    <w:rsid w:val="00FD235C"/>
    <w:rsid w:val="00FD28EB"/>
    <w:rsid w:val="00FD38E9"/>
    <w:rsid w:val="00FD50F8"/>
    <w:rsid w:val="00FD641D"/>
    <w:rsid w:val="00FE0E0B"/>
    <w:rsid w:val="00FE2AA4"/>
    <w:rsid w:val="00FE5991"/>
    <w:rsid w:val="00FE656C"/>
    <w:rsid w:val="00FF03A8"/>
    <w:rsid w:val="00FF2D68"/>
    <w:rsid w:val="00FF2E3E"/>
    <w:rsid w:val="00FF76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2925"/>
  <w15:chartTrackingRefBased/>
  <w15:docId w15:val="{85F4A58C-C9AC-49C8-AA67-E757A96E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4F3A"/>
  </w:style>
  <w:style w:type="paragraph" w:styleId="Ttulo1">
    <w:name w:val="heading 1"/>
    <w:basedOn w:val="Normal"/>
    <w:next w:val="Normal"/>
    <w:link w:val="Ttulo1Car"/>
    <w:uiPriority w:val="9"/>
    <w:qFormat/>
    <w:rsid w:val="003E2214"/>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E221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E2214"/>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2214"/>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3E2214"/>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3E2214"/>
    <w:rPr>
      <w:rFonts w:asciiTheme="majorHAnsi" w:eastAsiaTheme="majorEastAsia" w:hAnsiTheme="majorHAnsi" w:cstheme="majorBidi"/>
      <w:color w:val="1F3763" w:themeColor="accent1" w:themeShade="7F"/>
      <w:sz w:val="24"/>
      <w:szCs w:val="24"/>
    </w:rPr>
  </w:style>
  <w:style w:type="paragraph" w:styleId="Prrafodelista">
    <w:name w:val="List Paragraph"/>
    <w:aliases w:val="Llista Nivell1,Lista de nivel 1,Numeración 1,Cuadrícula media 1 - Énfasis 21,prueba1,List Paragraph,4 Viñ 1nivel,Bullet List,FooterText,numbered,List Paragraph1,Bulletr List Paragraph,列出段落,列出段落1,lp1,List Paragraph11,Listas,Scitum normal"/>
    <w:basedOn w:val="Normal"/>
    <w:link w:val="PrrafodelistaCar"/>
    <w:uiPriority w:val="34"/>
    <w:qFormat/>
    <w:rsid w:val="00B9227A"/>
    <w:pPr>
      <w:ind w:left="720"/>
      <w:contextualSpacing/>
    </w:pPr>
  </w:style>
  <w:style w:type="character" w:customStyle="1" w:styleId="PrrafodelistaCar">
    <w:name w:val="Párrafo de lista Car"/>
    <w:aliases w:val="Llista Nivell1 Car,Lista de nivel 1 Car,Numeración 1 Car,Cuadrícula media 1 - Énfasis 21 Car,prueba1 Car,List Paragraph Car,4 Viñ 1nivel Car,Bullet List Car,FooterText Car,numbered Car,List Paragraph1 Car,Bulletr List Paragraph Car"/>
    <w:link w:val="Prrafodelista"/>
    <w:uiPriority w:val="34"/>
    <w:qFormat/>
    <w:rsid w:val="003E2214"/>
  </w:style>
  <w:style w:type="paragraph" w:styleId="Textonotapie">
    <w:name w:val="footnote text"/>
    <w:aliases w:val="Car Car,fn,footnote text,Footnotes,Footnote ak,Footnote Text Char2,Footnote Text Char1 Char1,Footnote Text Char Char Char,Footnote Text Char1 Char Char Char,Footnote Text Char Char Char Char Char,Footnote Text Char,ft,Footnote reference,C"/>
    <w:basedOn w:val="Normal"/>
    <w:link w:val="TextonotapieCar"/>
    <w:uiPriority w:val="99"/>
    <w:unhideWhenUsed/>
    <w:qFormat/>
    <w:rsid w:val="005C5B1C"/>
    <w:pPr>
      <w:spacing w:after="0" w:line="240" w:lineRule="auto"/>
    </w:pPr>
    <w:rPr>
      <w:sz w:val="20"/>
      <w:szCs w:val="20"/>
    </w:rPr>
  </w:style>
  <w:style w:type="character" w:customStyle="1" w:styleId="TextonotapieCar">
    <w:name w:val="Texto nota pie Car"/>
    <w:aliases w:val="Car Car Car,fn Car,footnote text Car,Footnotes Car,Footnote ak Car,Footnote Text Char2 Car,Footnote Text Char1 Char1 Car,Footnote Text Char Char Char Car,Footnote Text Char1 Char Char Char Car,Footnote Text Char Car,ft Car,C Car"/>
    <w:basedOn w:val="Fuentedeprrafopredeter"/>
    <w:link w:val="Textonotapie"/>
    <w:uiPriority w:val="99"/>
    <w:rsid w:val="005C5B1C"/>
    <w:rPr>
      <w:sz w:val="20"/>
      <w:szCs w:val="20"/>
    </w:rPr>
  </w:style>
  <w:style w:type="character" w:styleId="Refdenotaalpie">
    <w:name w:val="footnote reference"/>
    <w:aliases w:val="Ref,de nota al pie,Ref. de nota al pie 2,Footnotes refss,Texto de nota al pie,Appel note de bas de page,(NECG) Footnote Reference,o,fr,Style 3,Appel note de bas de p,Style 12,Style 124,Style 13,FR,Style 17,Style 6,Footnote Reference/"/>
    <w:uiPriority w:val="99"/>
    <w:unhideWhenUsed/>
    <w:qFormat/>
    <w:rsid w:val="005C5B1C"/>
    <w:rPr>
      <w:vertAlign w:val="superscript"/>
    </w:rPr>
  </w:style>
  <w:style w:type="paragraph" w:styleId="Encabezado">
    <w:name w:val="header"/>
    <w:basedOn w:val="Normal"/>
    <w:link w:val="EncabezadoCar"/>
    <w:uiPriority w:val="99"/>
    <w:unhideWhenUsed/>
    <w:rsid w:val="003E2214"/>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3E2214"/>
    <w:rPr>
      <w:rFonts w:ascii="Calibri" w:eastAsia="Calibri" w:hAnsi="Calibri" w:cs="Times New Roman"/>
    </w:rPr>
  </w:style>
  <w:style w:type="paragraph" w:styleId="Piedepgina">
    <w:name w:val="footer"/>
    <w:basedOn w:val="Normal"/>
    <w:link w:val="PiedepginaCar"/>
    <w:uiPriority w:val="99"/>
    <w:unhideWhenUsed/>
    <w:rsid w:val="003E2214"/>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3E2214"/>
    <w:rPr>
      <w:rFonts w:ascii="Calibri" w:eastAsia="Calibri" w:hAnsi="Calibri" w:cs="Times New Roman"/>
    </w:rPr>
  </w:style>
  <w:style w:type="paragraph" w:customStyle="1" w:styleId="estilo30">
    <w:name w:val="estilo30"/>
    <w:basedOn w:val="Normal"/>
    <w:rsid w:val="003E221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3E221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3E2214"/>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Hipervnculo">
    <w:name w:val="Hyperlink"/>
    <w:uiPriority w:val="99"/>
    <w:unhideWhenUsed/>
    <w:rsid w:val="003E2214"/>
    <w:rPr>
      <w:color w:val="0563C1"/>
      <w:u w:val="single"/>
    </w:rPr>
  </w:style>
  <w:style w:type="table" w:styleId="Tablaconcuadrcula">
    <w:name w:val="Table Grid"/>
    <w:basedOn w:val="Tablanormal"/>
    <w:uiPriority w:val="39"/>
    <w:rsid w:val="003E22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E2214"/>
    <w:pPr>
      <w:spacing w:after="0" w:line="240" w:lineRule="auto"/>
    </w:pPr>
    <w:rPr>
      <w:rFonts w:ascii="Calibri" w:eastAsia="Calibri" w:hAnsi="Calibri" w:cs="Times New Roman"/>
    </w:rPr>
  </w:style>
  <w:style w:type="paragraph" w:styleId="Textocomentario">
    <w:name w:val="annotation text"/>
    <w:basedOn w:val="Normal"/>
    <w:link w:val="TextocomentarioCar"/>
    <w:uiPriority w:val="99"/>
    <w:unhideWhenUsed/>
    <w:rsid w:val="003E2214"/>
    <w:pPr>
      <w:spacing w:after="200" w:line="276" w:lineRule="auto"/>
    </w:pPr>
    <w:rPr>
      <w:rFonts w:ascii="Calibri" w:eastAsia="Calibri" w:hAnsi="Calibri" w:cs="Times New Roman"/>
      <w:sz w:val="20"/>
      <w:szCs w:val="20"/>
      <w:lang w:val="x-none"/>
    </w:rPr>
  </w:style>
  <w:style w:type="character" w:customStyle="1" w:styleId="TextocomentarioCar">
    <w:name w:val="Texto comentario Car"/>
    <w:basedOn w:val="Fuentedeprrafopredeter"/>
    <w:link w:val="Textocomentario"/>
    <w:uiPriority w:val="99"/>
    <w:rsid w:val="003E2214"/>
    <w:rPr>
      <w:rFonts w:ascii="Calibri" w:eastAsia="Calibri" w:hAnsi="Calibri" w:cs="Times New Roman"/>
      <w:sz w:val="20"/>
      <w:szCs w:val="20"/>
      <w:lang w:val="x-none"/>
    </w:rPr>
  </w:style>
  <w:style w:type="character" w:customStyle="1" w:styleId="TextodegloboCar">
    <w:name w:val="Texto de globo Car"/>
    <w:basedOn w:val="Fuentedeprrafopredeter"/>
    <w:link w:val="Textodeglobo"/>
    <w:uiPriority w:val="99"/>
    <w:semiHidden/>
    <w:rsid w:val="003E2214"/>
    <w:rPr>
      <w:rFonts w:ascii="Tahoma" w:eastAsia="Calibri" w:hAnsi="Tahoma" w:cs="Times New Roman"/>
      <w:sz w:val="16"/>
      <w:szCs w:val="16"/>
      <w:lang w:val="x-none"/>
    </w:rPr>
  </w:style>
  <w:style w:type="paragraph" w:styleId="Textodeglobo">
    <w:name w:val="Balloon Text"/>
    <w:basedOn w:val="Normal"/>
    <w:link w:val="TextodegloboCar"/>
    <w:uiPriority w:val="99"/>
    <w:semiHidden/>
    <w:unhideWhenUsed/>
    <w:rsid w:val="003E2214"/>
    <w:pPr>
      <w:spacing w:after="0" w:line="240" w:lineRule="auto"/>
    </w:pPr>
    <w:rPr>
      <w:rFonts w:ascii="Tahoma" w:eastAsia="Calibri" w:hAnsi="Tahoma" w:cs="Times New Roman"/>
      <w:sz w:val="16"/>
      <w:szCs w:val="16"/>
      <w:lang w:val="x-none"/>
    </w:rPr>
  </w:style>
  <w:style w:type="character" w:customStyle="1" w:styleId="apple-converted-space">
    <w:name w:val="apple-converted-space"/>
    <w:basedOn w:val="Fuentedeprrafopredeter"/>
    <w:rsid w:val="003E2214"/>
  </w:style>
  <w:style w:type="character" w:customStyle="1" w:styleId="AsuntodelcomentarioCar">
    <w:name w:val="Asunto del comentario Car"/>
    <w:basedOn w:val="TextocomentarioCar"/>
    <w:link w:val="Asuntodelcomentario"/>
    <w:uiPriority w:val="99"/>
    <w:semiHidden/>
    <w:rsid w:val="003E2214"/>
    <w:rPr>
      <w:rFonts w:ascii="Calibri" w:eastAsia="Calibri" w:hAnsi="Calibri" w:cs="Times New Roman"/>
      <w:b/>
      <w:bCs/>
      <w:sz w:val="20"/>
      <w:szCs w:val="20"/>
      <w:lang w:val="x-none"/>
    </w:rPr>
  </w:style>
  <w:style w:type="paragraph" w:styleId="Asuntodelcomentario">
    <w:name w:val="annotation subject"/>
    <w:basedOn w:val="Textocomentario"/>
    <w:next w:val="Textocomentario"/>
    <w:link w:val="AsuntodelcomentarioCar"/>
    <w:uiPriority w:val="99"/>
    <w:semiHidden/>
    <w:unhideWhenUsed/>
    <w:rsid w:val="003E2214"/>
    <w:pPr>
      <w:spacing w:line="240" w:lineRule="auto"/>
    </w:pPr>
    <w:rPr>
      <w:b/>
      <w:bCs/>
      <w:lang w:val="es-MX"/>
    </w:rPr>
  </w:style>
  <w:style w:type="character" w:styleId="Textoennegrita">
    <w:name w:val="Strong"/>
    <w:basedOn w:val="Fuentedeprrafopredeter"/>
    <w:uiPriority w:val="22"/>
    <w:qFormat/>
    <w:rsid w:val="003E2214"/>
    <w:rPr>
      <w:b/>
      <w:bCs/>
    </w:rPr>
  </w:style>
  <w:style w:type="paragraph" w:customStyle="1" w:styleId="Seccin">
    <w:name w:val="Sección"/>
    <w:basedOn w:val="Normal"/>
    <w:qFormat/>
    <w:rsid w:val="003E2214"/>
    <w:pPr>
      <w:spacing w:before="360" w:after="0"/>
      <w:jc w:val="both"/>
    </w:pPr>
    <w:rPr>
      <w:rFonts w:ascii="ITC Avant Garde" w:eastAsiaTheme="minorEastAsia" w:hAnsi="ITC Avant Garde"/>
      <w:b/>
      <w:smallCaps/>
      <w:sz w:val="20"/>
      <w:szCs w:val="24"/>
      <w:lang w:eastAsia="ja-JP"/>
    </w:rPr>
  </w:style>
  <w:style w:type="paragraph" w:customStyle="1" w:styleId="ROMANOS">
    <w:name w:val="ROMANOS"/>
    <w:basedOn w:val="Normal"/>
    <w:link w:val="ROMANOSCar"/>
    <w:rsid w:val="003E2214"/>
    <w:pPr>
      <w:tabs>
        <w:tab w:val="left" w:pos="720"/>
      </w:tabs>
      <w:spacing w:after="101" w:line="216" w:lineRule="exact"/>
      <w:ind w:left="720" w:hanging="432"/>
      <w:jc w:val="both"/>
    </w:pPr>
    <w:rPr>
      <w:rFonts w:ascii="Arial" w:eastAsia="Times New Roman" w:hAnsi="Arial" w:cs="Arial"/>
      <w:sz w:val="18"/>
      <w:szCs w:val="18"/>
      <w:lang w:val="es-ES_tradnl" w:eastAsia="es-ES"/>
    </w:rPr>
  </w:style>
  <w:style w:type="character" w:customStyle="1" w:styleId="ROMANOSCar">
    <w:name w:val="ROMANOS Car"/>
    <w:link w:val="ROMANOS"/>
    <w:locked/>
    <w:rsid w:val="003E2214"/>
    <w:rPr>
      <w:rFonts w:ascii="Arial" w:eastAsia="Times New Roman" w:hAnsi="Arial" w:cs="Arial"/>
      <w:sz w:val="18"/>
      <w:szCs w:val="18"/>
      <w:lang w:val="es-ES_tradnl" w:eastAsia="es-ES"/>
    </w:rPr>
  </w:style>
  <w:style w:type="paragraph" w:styleId="Subttulo">
    <w:name w:val="Subtitle"/>
    <w:basedOn w:val="Normal"/>
    <w:next w:val="Normal"/>
    <w:link w:val="SubttuloCar"/>
    <w:uiPriority w:val="11"/>
    <w:qFormat/>
    <w:rsid w:val="003E2214"/>
    <w:pPr>
      <w:numPr>
        <w:ilvl w:val="1"/>
      </w:numPr>
      <w:spacing w:line="276"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3E2214"/>
    <w:rPr>
      <w:rFonts w:eastAsiaTheme="minorEastAsia"/>
      <w:color w:val="5A5A5A" w:themeColor="text1" w:themeTint="A5"/>
      <w:spacing w:val="15"/>
    </w:rPr>
  </w:style>
  <w:style w:type="character" w:customStyle="1" w:styleId="Textoindependiente2Car">
    <w:name w:val="Texto independiente 2 Car"/>
    <w:basedOn w:val="Fuentedeprrafopredeter"/>
    <w:link w:val="Textoindependiente2"/>
    <w:uiPriority w:val="99"/>
    <w:semiHidden/>
    <w:rsid w:val="003E2214"/>
    <w:rPr>
      <w:rFonts w:ascii="Calibri" w:eastAsia="Calibri" w:hAnsi="Calibri" w:cs="Times New Roman"/>
    </w:rPr>
  </w:style>
  <w:style w:type="paragraph" w:styleId="Textoindependiente2">
    <w:name w:val="Body Text 2"/>
    <w:basedOn w:val="Normal"/>
    <w:link w:val="Textoindependiente2Car"/>
    <w:uiPriority w:val="99"/>
    <w:semiHidden/>
    <w:unhideWhenUsed/>
    <w:rsid w:val="003E2214"/>
    <w:pPr>
      <w:spacing w:after="120" w:line="480" w:lineRule="auto"/>
    </w:pPr>
    <w:rPr>
      <w:rFonts w:ascii="Calibri" w:eastAsia="Calibri" w:hAnsi="Calibri" w:cs="Times New Roman"/>
    </w:rPr>
  </w:style>
  <w:style w:type="paragraph" w:styleId="Textoindependiente">
    <w:name w:val="Body Text"/>
    <w:basedOn w:val="Normal"/>
    <w:link w:val="TextoindependienteCar"/>
    <w:uiPriority w:val="99"/>
    <w:unhideWhenUsed/>
    <w:rsid w:val="003E2214"/>
    <w:pPr>
      <w:spacing w:after="120"/>
    </w:pPr>
  </w:style>
  <w:style w:type="character" w:customStyle="1" w:styleId="TextoindependienteCar">
    <w:name w:val="Texto independiente Car"/>
    <w:basedOn w:val="Fuentedeprrafopredeter"/>
    <w:link w:val="Textoindependiente"/>
    <w:uiPriority w:val="99"/>
    <w:rsid w:val="003E2214"/>
  </w:style>
  <w:style w:type="character" w:styleId="nfasisintenso">
    <w:name w:val="Intense Emphasis"/>
    <w:basedOn w:val="Fuentedeprrafopredeter"/>
    <w:uiPriority w:val="21"/>
    <w:qFormat/>
    <w:rsid w:val="003E2214"/>
    <w:rPr>
      <w:i/>
      <w:iCs/>
      <w:color w:val="4472C4" w:themeColor="accent1"/>
    </w:rPr>
  </w:style>
  <w:style w:type="paragraph" w:customStyle="1" w:styleId="PreguntaInciso">
    <w:name w:val="Pregunta Inciso"/>
    <w:link w:val="PreguntaIncisoCar"/>
    <w:qFormat/>
    <w:rsid w:val="003E2214"/>
    <w:pPr>
      <w:spacing w:after="120" w:line="240" w:lineRule="auto"/>
      <w:ind w:left="720" w:hanging="360"/>
      <w:jc w:val="both"/>
    </w:pPr>
    <w:rPr>
      <w:rFonts w:ascii="ITC Avant Garde" w:eastAsia="Calibri" w:hAnsi="ITC Avant Garde" w:cs="Times New Roman"/>
      <w:color w:val="000000"/>
      <w:lang w:val="es-ES"/>
    </w:rPr>
  </w:style>
  <w:style w:type="character" w:customStyle="1" w:styleId="PreguntaIncisoCar">
    <w:name w:val="Pregunta Inciso Car"/>
    <w:basedOn w:val="Fuentedeprrafopredeter"/>
    <w:link w:val="PreguntaInciso"/>
    <w:rsid w:val="003E2214"/>
    <w:rPr>
      <w:rFonts w:ascii="ITC Avant Garde" w:eastAsia="Calibri" w:hAnsi="ITC Avant Garde" w:cs="Times New Roman"/>
      <w:color w:val="000000"/>
      <w:lang w:val="es-ES"/>
    </w:rPr>
  </w:style>
  <w:style w:type="table" w:customStyle="1" w:styleId="Tablaconcuadrcula3">
    <w:name w:val="Tabla con cuadrícula3"/>
    <w:basedOn w:val="Tablanormal"/>
    <w:next w:val="Tablaconcuadrcula"/>
    <w:uiPriority w:val="39"/>
    <w:rsid w:val="003E22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
    <w:name w:val="Texto nota al final Car"/>
    <w:basedOn w:val="Fuentedeprrafopredeter"/>
    <w:link w:val="Textonotaalfinal"/>
    <w:uiPriority w:val="99"/>
    <w:semiHidden/>
    <w:rsid w:val="003E2214"/>
    <w:rPr>
      <w:rFonts w:ascii="Calibri" w:eastAsia="Calibri" w:hAnsi="Calibri" w:cs="Times New Roman"/>
      <w:sz w:val="20"/>
      <w:szCs w:val="20"/>
    </w:rPr>
  </w:style>
  <w:style w:type="paragraph" w:styleId="Textonotaalfinal">
    <w:name w:val="endnote text"/>
    <w:basedOn w:val="Normal"/>
    <w:link w:val="TextonotaalfinalCar"/>
    <w:uiPriority w:val="99"/>
    <w:semiHidden/>
    <w:unhideWhenUsed/>
    <w:rsid w:val="003E2214"/>
    <w:pPr>
      <w:spacing w:after="0" w:line="240" w:lineRule="auto"/>
    </w:pPr>
    <w:rPr>
      <w:rFonts w:ascii="Calibri" w:eastAsia="Calibri" w:hAnsi="Calibri" w:cs="Times New Roman"/>
      <w:sz w:val="20"/>
      <w:szCs w:val="20"/>
    </w:rPr>
  </w:style>
  <w:style w:type="character" w:customStyle="1" w:styleId="TextoCar">
    <w:name w:val="Texto Car"/>
    <w:link w:val="Texto"/>
    <w:locked/>
    <w:rsid w:val="003E2214"/>
    <w:rPr>
      <w:rFonts w:ascii="Arial" w:hAnsi="Arial" w:cs="Arial"/>
      <w:sz w:val="18"/>
      <w:lang w:val="es-ES" w:eastAsia="es-ES"/>
    </w:rPr>
  </w:style>
  <w:style w:type="paragraph" w:customStyle="1" w:styleId="Texto">
    <w:name w:val="Texto"/>
    <w:basedOn w:val="Normal"/>
    <w:link w:val="TextoCar"/>
    <w:rsid w:val="003E2214"/>
    <w:pPr>
      <w:spacing w:after="101" w:line="216" w:lineRule="exact"/>
      <w:ind w:firstLine="288"/>
      <w:jc w:val="both"/>
    </w:pPr>
    <w:rPr>
      <w:rFonts w:ascii="Arial" w:hAnsi="Arial" w:cs="Arial"/>
      <w:sz w:val="18"/>
      <w:lang w:val="es-ES" w:eastAsia="es-ES"/>
    </w:rPr>
  </w:style>
  <w:style w:type="paragraph" w:styleId="Cita">
    <w:name w:val="Quote"/>
    <w:link w:val="CitaCar"/>
    <w:uiPriority w:val="73"/>
    <w:rsid w:val="003E2214"/>
    <w:pPr>
      <w:spacing w:before="120" w:after="120" w:line="240" w:lineRule="auto"/>
      <w:ind w:left="862" w:right="862"/>
      <w:jc w:val="both"/>
    </w:pPr>
    <w:rPr>
      <w:rFonts w:ascii="Arial" w:eastAsia="Times New Roman" w:hAnsi="Arial" w:cs="Times New Roman"/>
      <w:i/>
      <w:iCs/>
      <w:sz w:val="20"/>
      <w:lang w:eastAsia="es-MX"/>
    </w:rPr>
  </w:style>
  <w:style w:type="character" w:customStyle="1" w:styleId="CitaCar">
    <w:name w:val="Cita Car"/>
    <w:basedOn w:val="Fuentedeprrafopredeter"/>
    <w:link w:val="Cita"/>
    <w:uiPriority w:val="73"/>
    <w:rsid w:val="003E2214"/>
    <w:rPr>
      <w:rFonts w:ascii="Arial" w:eastAsia="Times New Roman" w:hAnsi="Arial" w:cs="Times New Roman"/>
      <w:i/>
      <w:iCs/>
      <w:sz w:val="20"/>
      <w:lang w:eastAsia="es-MX"/>
    </w:rPr>
  </w:style>
  <w:style w:type="character" w:customStyle="1" w:styleId="CitaN">
    <w:name w:val="Cita N"/>
    <w:uiPriority w:val="1"/>
    <w:qFormat/>
    <w:rsid w:val="003E2214"/>
    <w:rPr>
      <w:rFonts w:ascii="Arial" w:hAnsi="Arial"/>
      <w:b/>
      <w:i w:val="0"/>
      <w:sz w:val="20"/>
    </w:rPr>
  </w:style>
  <w:style w:type="paragraph" w:customStyle="1" w:styleId="Listavistosa-nfasis11">
    <w:name w:val="Lista vistosa - Énfasis 11"/>
    <w:basedOn w:val="Normal"/>
    <w:uiPriority w:val="34"/>
    <w:qFormat/>
    <w:rsid w:val="003E2214"/>
    <w:pPr>
      <w:ind w:left="720"/>
      <w:contextualSpacing/>
    </w:pPr>
    <w:rPr>
      <w:rFonts w:ascii="Calibri" w:eastAsia="Calibri" w:hAnsi="Calibri" w:cs="Times New Roman"/>
    </w:rPr>
  </w:style>
  <w:style w:type="paragraph" w:styleId="Revisin">
    <w:name w:val="Revision"/>
    <w:hidden/>
    <w:uiPriority w:val="99"/>
    <w:semiHidden/>
    <w:rsid w:val="00B42C51"/>
    <w:pPr>
      <w:spacing w:after="0" w:line="240" w:lineRule="auto"/>
    </w:pPr>
  </w:style>
  <w:style w:type="table" w:styleId="Tablaconcuadrcula5oscura-nfasis6">
    <w:name w:val="Grid Table 5 Dark Accent 6"/>
    <w:basedOn w:val="Tablanormal"/>
    <w:uiPriority w:val="50"/>
    <w:rsid w:val="003C289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Mencinsinresolver">
    <w:name w:val="Unresolved Mention"/>
    <w:basedOn w:val="Fuentedeprrafopredeter"/>
    <w:uiPriority w:val="99"/>
    <w:semiHidden/>
    <w:unhideWhenUsed/>
    <w:rsid w:val="0033341F"/>
    <w:rPr>
      <w:color w:val="605E5C"/>
      <w:shd w:val="clear" w:color="auto" w:fill="E1DFDD"/>
    </w:rPr>
  </w:style>
  <w:style w:type="character" w:styleId="Refdecomentario">
    <w:name w:val="annotation reference"/>
    <w:basedOn w:val="Fuentedeprrafopredeter"/>
    <w:uiPriority w:val="99"/>
    <w:semiHidden/>
    <w:unhideWhenUsed/>
    <w:rsid w:val="00FF764E"/>
    <w:rPr>
      <w:sz w:val="16"/>
      <w:szCs w:val="16"/>
    </w:rPr>
  </w:style>
  <w:style w:type="character" w:styleId="Hipervnculovisitado">
    <w:name w:val="FollowedHyperlink"/>
    <w:basedOn w:val="Fuentedeprrafopredeter"/>
    <w:uiPriority w:val="99"/>
    <w:semiHidden/>
    <w:unhideWhenUsed/>
    <w:rsid w:val="007677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227766">
      <w:bodyDiv w:val="1"/>
      <w:marLeft w:val="0"/>
      <w:marRight w:val="0"/>
      <w:marTop w:val="0"/>
      <w:marBottom w:val="0"/>
      <w:divBdr>
        <w:top w:val="none" w:sz="0" w:space="0" w:color="auto"/>
        <w:left w:val="none" w:sz="0" w:space="0" w:color="auto"/>
        <w:bottom w:val="none" w:sz="0" w:space="0" w:color="auto"/>
        <w:right w:val="none" w:sz="0" w:space="0" w:color="auto"/>
      </w:divBdr>
    </w:div>
    <w:div w:id="808280124">
      <w:bodyDiv w:val="1"/>
      <w:marLeft w:val="0"/>
      <w:marRight w:val="0"/>
      <w:marTop w:val="0"/>
      <w:marBottom w:val="0"/>
      <w:divBdr>
        <w:top w:val="none" w:sz="0" w:space="0" w:color="auto"/>
        <w:left w:val="none" w:sz="0" w:space="0" w:color="auto"/>
        <w:bottom w:val="none" w:sz="0" w:space="0" w:color="auto"/>
        <w:right w:val="none" w:sz="0" w:space="0" w:color="auto"/>
      </w:divBdr>
    </w:div>
    <w:div w:id="992678720">
      <w:bodyDiv w:val="1"/>
      <w:marLeft w:val="0"/>
      <w:marRight w:val="0"/>
      <w:marTop w:val="0"/>
      <w:marBottom w:val="0"/>
      <w:divBdr>
        <w:top w:val="none" w:sz="0" w:space="0" w:color="auto"/>
        <w:left w:val="none" w:sz="0" w:space="0" w:color="auto"/>
        <w:bottom w:val="none" w:sz="0" w:space="0" w:color="auto"/>
        <w:right w:val="none" w:sz="0" w:space="0" w:color="auto"/>
      </w:divBdr>
    </w:div>
    <w:div w:id="1046493742">
      <w:bodyDiv w:val="1"/>
      <w:marLeft w:val="0"/>
      <w:marRight w:val="0"/>
      <w:marTop w:val="0"/>
      <w:marBottom w:val="0"/>
      <w:divBdr>
        <w:top w:val="none" w:sz="0" w:space="0" w:color="auto"/>
        <w:left w:val="none" w:sz="0" w:space="0" w:color="auto"/>
        <w:bottom w:val="none" w:sz="0" w:space="0" w:color="auto"/>
        <w:right w:val="none" w:sz="0" w:space="0" w:color="auto"/>
      </w:divBdr>
    </w:div>
    <w:div w:id="1195998261">
      <w:bodyDiv w:val="1"/>
      <w:marLeft w:val="0"/>
      <w:marRight w:val="0"/>
      <w:marTop w:val="0"/>
      <w:marBottom w:val="0"/>
      <w:divBdr>
        <w:top w:val="none" w:sz="0" w:space="0" w:color="auto"/>
        <w:left w:val="none" w:sz="0" w:space="0" w:color="auto"/>
        <w:bottom w:val="none" w:sz="0" w:space="0" w:color="auto"/>
        <w:right w:val="none" w:sz="0" w:space="0" w:color="auto"/>
      </w:divBdr>
    </w:div>
    <w:div w:id="1238319737">
      <w:bodyDiv w:val="1"/>
      <w:marLeft w:val="0"/>
      <w:marRight w:val="0"/>
      <w:marTop w:val="0"/>
      <w:marBottom w:val="0"/>
      <w:divBdr>
        <w:top w:val="none" w:sz="0" w:space="0" w:color="auto"/>
        <w:left w:val="none" w:sz="0" w:space="0" w:color="auto"/>
        <w:bottom w:val="none" w:sz="0" w:space="0" w:color="auto"/>
        <w:right w:val="none" w:sz="0" w:space="0" w:color="auto"/>
      </w:divBdr>
    </w:div>
    <w:div w:id="1395543490">
      <w:bodyDiv w:val="1"/>
      <w:marLeft w:val="0"/>
      <w:marRight w:val="0"/>
      <w:marTop w:val="0"/>
      <w:marBottom w:val="0"/>
      <w:divBdr>
        <w:top w:val="none" w:sz="0" w:space="0" w:color="auto"/>
        <w:left w:val="none" w:sz="0" w:space="0" w:color="auto"/>
        <w:bottom w:val="none" w:sz="0" w:space="0" w:color="auto"/>
        <w:right w:val="none" w:sz="0" w:space="0" w:color="auto"/>
      </w:divBdr>
    </w:div>
    <w:div w:id="1538934582">
      <w:bodyDiv w:val="1"/>
      <w:marLeft w:val="0"/>
      <w:marRight w:val="0"/>
      <w:marTop w:val="0"/>
      <w:marBottom w:val="0"/>
      <w:divBdr>
        <w:top w:val="none" w:sz="0" w:space="0" w:color="auto"/>
        <w:left w:val="none" w:sz="0" w:space="0" w:color="auto"/>
        <w:bottom w:val="none" w:sz="0" w:space="0" w:color="auto"/>
        <w:right w:val="none" w:sz="0" w:space="0" w:color="auto"/>
      </w:divBdr>
    </w:div>
    <w:div w:id="1826042019">
      <w:bodyDiv w:val="1"/>
      <w:marLeft w:val="0"/>
      <w:marRight w:val="0"/>
      <w:marTop w:val="0"/>
      <w:marBottom w:val="0"/>
      <w:divBdr>
        <w:top w:val="none" w:sz="0" w:space="0" w:color="auto"/>
        <w:left w:val="none" w:sz="0" w:space="0" w:color="auto"/>
        <w:bottom w:val="none" w:sz="0" w:space="0" w:color="auto"/>
        <w:right w:val="none" w:sz="0" w:space="0" w:color="auto"/>
      </w:divBdr>
    </w:div>
    <w:div w:id="1919096219">
      <w:bodyDiv w:val="1"/>
      <w:marLeft w:val="0"/>
      <w:marRight w:val="0"/>
      <w:marTop w:val="0"/>
      <w:marBottom w:val="0"/>
      <w:divBdr>
        <w:top w:val="none" w:sz="0" w:space="0" w:color="auto"/>
        <w:left w:val="none" w:sz="0" w:space="0" w:color="auto"/>
        <w:bottom w:val="none" w:sz="0" w:space="0" w:color="auto"/>
        <w:right w:val="none" w:sz="0" w:space="0" w:color="auto"/>
      </w:divBdr>
    </w:div>
    <w:div w:id="1932274839">
      <w:bodyDiv w:val="1"/>
      <w:marLeft w:val="0"/>
      <w:marRight w:val="0"/>
      <w:marTop w:val="0"/>
      <w:marBottom w:val="0"/>
      <w:divBdr>
        <w:top w:val="none" w:sz="0" w:space="0" w:color="auto"/>
        <w:left w:val="none" w:sz="0" w:space="0" w:color="auto"/>
        <w:bottom w:val="none" w:sz="0" w:space="0" w:color="auto"/>
        <w:right w:val="none" w:sz="0" w:space="0" w:color="auto"/>
      </w:divBdr>
    </w:div>
    <w:div w:id="1970865689">
      <w:bodyDiv w:val="1"/>
      <w:marLeft w:val="0"/>
      <w:marRight w:val="0"/>
      <w:marTop w:val="0"/>
      <w:marBottom w:val="0"/>
      <w:divBdr>
        <w:top w:val="none" w:sz="0" w:space="0" w:color="auto"/>
        <w:left w:val="none" w:sz="0" w:space="0" w:color="auto"/>
        <w:bottom w:val="none" w:sz="0" w:space="0" w:color="auto"/>
        <w:right w:val="none" w:sz="0" w:space="0" w:color="auto"/>
      </w:divBdr>
      <w:divsChild>
        <w:div w:id="1689520131">
          <w:marLeft w:val="0"/>
          <w:marRight w:val="0"/>
          <w:marTop w:val="0"/>
          <w:marBottom w:val="101"/>
          <w:divBdr>
            <w:top w:val="none" w:sz="0" w:space="0" w:color="auto"/>
            <w:left w:val="none" w:sz="0" w:space="0" w:color="auto"/>
            <w:bottom w:val="none" w:sz="0" w:space="0" w:color="auto"/>
            <w:right w:val="none" w:sz="0" w:space="0" w:color="auto"/>
          </w:divBdr>
        </w:div>
        <w:div w:id="1835341195">
          <w:marLeft w:val="0"/>
          <w:marRight w:val="0"/>
          <w:marTop w:val="0"/>
          <w:marBottom w:val="101"/>
          <w:divBdr>
            <w:top w:val="none" w:sz="0" w:space="0" w:color="auto"/>
            <w:left w:val="none" w:sz="0" w:space="0" w:color="auto"/>
            <w:bottom w:val="none" w:sz="0" w:space="0" w:color="auto"/>
            <w:right w:val="none" w:sz="0" w:space="0" w:color="auto"/>
          </w:divBdr>
        </w:div>
        <w:div w:id="2129619361">
          <w:marLeft w:val="0"/>
          <w:marRight w:val="0"/>
          <w:marTop w:val="0"/>
          <w:marBottom w:val="101"/>
          <w:divBdr>
            <w:top w:val="none" w:sz="0" w:space="0" w:color="auto"/>
            <w:left w:val="none" w:sz="0" w:space="0" w:color="auto"/>
            <w:bottom w:val="none" w:sz="0" w:space="0" w:color="auto"/>
            <w:right w:val="none" w:sz="0" w:space="0" w:color="auto"/>
          </w:divBdr>
        </w:div>
        <w:div w:id="2016876801">
          <w:marLeft w:val="0"/>
          <w:marRight w:val="0"/>
          <w:marTop w:val="0"/>
          <w:marBottom w:val="101"/>
          <w:divBdr>
            <w:top w:val="none" w:sz="0" w:space="0" w:color="auto"/>
            <w:left w:val="none" w:sz="0" w:space="0" w:color="auto"/>
            <w:bottom w:val="none" w:sz="0" w:space="0" w:color="auto"/>
            <w:right w:val="none" w:sz="0" w:space="0" w:color="auto"/>
          </w:divBdr>
        </w:div>
        <w:div w:id="1486319260">
          <w:marLeft w:val="0"/>
          <w:marRight w:val="0"/>
          <w:marTop w:val="0"/>
          <w:marBottom w:val="101"/>
          <w:divBdr>
            <w:top w:val="none" w:sz="0" w:space="0" w:color="auto"/>
            <w:left w:val="none" w:sz="0" w:space="0" w:color="auto"/>
            <w:bottom w:val="none" w:sz="0" w:space="0" w:color="auto"/>
            <w:right w:val="none" w:sz="0" w:space="0" w:color="auto"/>
          </w:divBdr>
        </w:div>
        <w:div w:id="141629147">
          <w:marLeft w:val="0"/>
          <w:marRight w:val="0"/>
          <w:marTop w:val="0"/>
          <w:marBottom w:val="101"/>
          <w:divBdr>
            <w:top w:val="none" w:sz="0" w:space="0" w:color="auto"/>
            <w:left w:val="none" w:sz="0" w:space="0" w:color="auto"/>
            <w:bottom w:val="none" w:sz="0" w:space="0" w:color="auto"/>
            <w:right w:val="none" w:sz="0" w:space="0" w:color="auto"/>
          </w:divBdr>
        </w:div>
        <w:div w:id="1351491216">
          <w:marLeft w:val="0"/>
          <w:marRight w:val="0"/>
          <w:marTop w:val="0"/>
          <w:marBottom w:val="101"/>
          <w:divBdr>
            <w:top w:val="none" w:sz="0" w:space="0" w:color="auto"/>
            <w:left w:val="none" w:sz="0" w:space="0" w:color="auto"/>
            <w:bottom w:val="none" w:sz="0" w:space="0" w:color="auto"/>
            <w:right w:val="none" w:sz="0" w:space="0" w:color="auto"/>
          </w:divBdr>
        </w:div>
        <w:div w:id="294263629">
          <w:marLeft w:val="0"/>
          <w:marRight w:val="0"/>
          <w:marTop w:val="0"/>
          <w:marBottom w:val="101"/>
          <w:divBdr>
            <w:top w:val="none" w:sz="0" w:space="0" w:color="auto"/>
            <w:left w:val="none" w:sz="0" w:space="0" w:color="auto"/>
            <w:bottom w:val="none" w:sz="0" w:space="0" w:color="auto"/>
            <w:right w:val="none" w:sz="0" w:space="0" w:color="auto"/>
          </w:divBdr>
        </w:div>
        <w:div w:id="150720851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tc.gov/system/fil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guia-para-el-control-de-concentraciones-en-los-sectores-de-telecomunicaciones-y-radiodifus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7810BB62C8401429A0832347F2B0CD5" ma:contentTypeVersion="0" ma:contentTypeDescription="Crear nuevo documento." ma:contentTypeScope="" ma:versionID="2e811fa641097a5f4e144866d9bde68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3E569-99A0-4650-A7E6-54E7659FF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C10537-6E16-4BB2-97B5-54F1EE412D4B}">
  <ds:schemaRefs>
    <ds:schemaRef ds:uri="http://schemas.microsoft.com/sharepoint/v3/contenttype/forms"/>
  </ds:schemaRefs>
</ds:datastoreItem>
</file>

<file path=customXml/itemProps3.xml><?xml version="1.0" encoding="utf-8"?>
<ds:datastoreItem xmlns:ds="http://schemas.openxmlformats.org/officeDocument/2006/customXml" ds:itemID="{22F60E28-7F48-433B-9958-CD610C2AA8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D25BD5-404C-491D-97A0-4089C3C44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15849</Words>
  <Characters>87170</Characters>
  <Application>Microsoft Office Word</Application>
  <DocSecurity>0</DocSecurity>
  <Lines>726</Lines>
  <Paragraphs>205</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102814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Ulises Lopez Bautista</dc:creator>
  <cp:keywords/>
  <dc:description/>
  <cp:lastModifiedBy>Josue Teoyotl Calderon</cp:lastModifiedBy>
  <cp:revision>2</cp:revision>
  <dcterms:created xsi:type="dcterms:W3CDTF">2021-11-26T03:46:00Z</dcterms:created>
  <dcterms:modified xsi:type="dcterms:W3CDTF">2021-11-26T03:46:00Z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0x01010097810BB62C8401429A0832347F2B0CD5</vt:lpwstr>
  </property>
</Properties>
</file>