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50C60" w14:textId="30718D33" w:rsidR="00F20D08" w:rsidRDefault="00F20D08" w:rsidP="00F20D08">
      <w:pPr>
        <w:spacing w:after="120" w:line="240" w:lineRule="auto"/>
        <w:jc w:val="both"/>
        <w:rPr>
          <w:rFonts w:ascii="ITC Avant Garde" w:hAnsi="ITC Avant Garde"/>
          <w:b/>
          <w:i/>
        </w:rPr>
      </w:pPr>
      <w:r w:rsidRPr="001A2EAC">
        <w:rPr>
          <w:rFonts w:ascii="ITC Avant Garde" w:hAnsi="ITC Avant Garde"/>
          <w:b/>
          <w:i/>
        </w:rPr>
        <w:t>INFORME que presenta</w:t>
      </w:r>
      <w:r>
        <w:rPr>
          <w:rFonts w:ascii="ITC Avant Garde" w:hAnsi="ITC Avant Garde"/>
          <w:b/>
          <w:i/>
        </w:rPr>
        <w:t xml:space="preserve"> el resumen de</w:t>
      </w:r>
      <w:r w:rsidRPr="001A2EAC">
        <w:rPr>
          <w:rFonts w:ascii="ITC Avant Garde" w:hAnsi="ITC Avant Garde"/>
          <w:b/>
          <w:i/>
        </w:rPr>
        <w:t xml:space="preserve"> los comentarios</w:t>
      </w:r>
      <w:r w:rsidR="00D66812">
        <w:rPr>
          <w:rFonts w:ascii="ITC Avant Garde" w:hAnsi="ITC Avant Garde"/>
          <w:b/>
          <w:i/>
        </w:rPr>
        <w:t>, opiniones y aportaciones</w:t>
      </w:r>
      <w:r w:rsidRPr="001A2EAC">
        <w:rPr>
          <w:rFonts w:ascii="ITC Avant Garde" w:hAnsi="ITC Avant Garde"/>
          <w:b/>
          <w:i/>
        </w:rPr>
        <w:t xml:space="preserve"> recibidos durante la consulta pública del </w:t>
      </w:r>
      <w:r w:rsidRPr="00767DD5">
        <w:rPr>
          <w:rFonts w:ascii="ITC Avant Garde" w:hAnsi="ITC Avant Garde"/>
          <w:b/>
          <w:i/>
        </w:rPr>
        <w:t>“</w:t>
      </w:r>
      <w:r w:rsidR="00221F9C" w:rsidRPr="00767DD5">
        <w:rPr>
          <w:rFonts w:ascii="ITC Avant Garde" w:hAnsi="ITC Avant Garde"/>
          <w:b/>
          <w:bCs/>
          <w:i/>
        </w:rPr>
        <w:t>Anteproyecto de Guía para determinar Mercados Relevantes en los Sectores de Telecomunicaciones y Radiodifusión</w:t>
      </w:r>
      <w:r w:rsidRPr="00767DD5">
        <w:rPr>
          <w:rFonts w:ascii="ITC Avant Garde" w:hAnsi="ITC Avant Garde"/>
          <w:b/>
          <w:i/>
        </w:rPr>
        <w:t>”,</w:t>
      </w:r>
      <w:r>
        <w:rPr>
          <w:rFonts w:ascii="ITC Avant Garde" w:hAnsi="ITC Avant Garde"/>
          <w:b/>
          <w:i/>
        </w:rPr>
        <w:t xml:space="preserve"> así como las </w:t>
      </w:r>
      <w:r w:rsidRPr="00767DD5">
        <w:rPr>
          <w:rFonts w:ascii="ITC Avant Garde" w:hAnsi="ITC Avant Garde"/>
          <w:b/>
          <w:i/>
        </w:rPr>
        <w:t xml:space="preserve">consideraciones de la </w:t>
      </w:r>
      <w:r w:rsidR="00221F9C" w:rsidRPr="00767DD5">
        <w:rPr>
          <w:rFonts w:ascii="ITC Avant Garde" w:hAnsi="ITC Avant Garde"/>
          <w:b/>
          <w:i/>
        </w:rPr>
        <w:t>Unidad de Competencia</w:t>
      </w:r>
      <w:r w:rsidR="00FC232C">
        <w:rPr>
          <w:rFonts w:ascii="ITC Avant Garde" w:hAnsi="ITC Avant Garde"/>
          <w:b/>
          <w:i/>
        </w:rPr>
        <w:t xml:space="preserve"> </w:t>
      </w:r>
      <w:r w:rsidR="00221F9C" w:rsidRPr="00767DD5">
        <w:rPr>
          <w:rFonts w:ascii="ITC Avant Garde" w:hAnsi="ITC Avant Garde"/>
          <w:b/>
          <w:i/>
        </w:rPr>
        <w:t xml:space="preserve">Económica y la </w:t>
      </w:r>
      <w:r w:rsidRPr="00767DD5">
        <w:rPr>
          <w:rFonts w:ascii="ITC Avant Garde" w:hAnsi="ITC Avant Garde"/>
          <w:b/>
          <w:i/>
        </w:rPr>
        <w:t>Autoridad Investigadora a los mismos.</w:t>
      </w:r>
    </w:p>
    <w:p w14:paraId="7208B69C" w14:textId="77777777" w:rsidR="00F20D08" w:rsidRPr="00D07238" w:rsidRDefault="00F20D08" w:rsidP="00D07238">
      <w:pPr>
        <w:spacing w:before="120" w:after="120" w:line="240" w:lineRule="auto"/>
        <w:jc w:val="both"/>
        <w:outlineLvl w:val="0"/>
        <w:rPr>
          <w:rFonts w:ascii="ITC Avant Garde" w:hAnsi="ITC Avant Garde"/>
          <w:b/>
          <w:bCs/>
          <w:smallCaps/>
        </w:rPr>
      </w:pPr>
      <w:r w:rsidRPr="00D07238">
        <w:rPr>
          <w:rFonts w:ascii="ITC Avant Garde" w:hAnsi="ITC Avant Garde"/>
          <w:b/>
          <w:bCs/>
          <w:smallCaps/>
        </w:rPr>
        <w:t>Presentación</w:t>
      </w:r>
    </w:p>
    <w:p w14:paraId="609ECDC1" w14:textId="5A09E242" w:rsidR="008C61FD" w:rsidRDefault="00D66812" w:rsidP="008C61FD">
      <w:pPr>
        <w:spacing w:after="120" w:line="247" w:lineRule="auto"/>
        <w:jc w:val="both"/>
        <w:rPr>
          <w:rFonts w:ascii="ITC Avant Garde" w:hAnsi="ITC Avant Garde"/>
        </w:rPr>
      </w:pPr>
      <w:r>
        <w:rPr>
          <w:rFonts w:ascii="ITC Avant Garde" w:hAnsi="ITC Avant Garde"/>
        </w:rPr>
        <w:t>L</w:t>
      </w:r>
      <w:r w:rsidR="00F20D08">
        <w:rPr>
          <w:rFonts w:ascii="ITC Avant Garde" w:hAnsi="ITC Avant Garde"/>
        </w:rPr>
        <w:t xml:space="preserve">a </w:t>
      </w:r>
      <w:r w:rsidR="00221F9C">
        <w:rPr>
          <w:rFonts w:ascii="ITC Avant Garde" w:hAnsi="ITC Avant Garde"/>
        </w:rPr>
        <w:t xml:space="preserve">Unidad de Competencia Económica y la </w:t>
      </w:r>
      <w:r w:rsidR="00F20D08">
        <w:rPr>
          <w:rFonts w:ascii="ITC Avant Garde" w:hAnsi="ITC Avant Garde"/>
        </w:rPr>
        <w:t>Autoridad Investigadora</w:t>
      </w:r>
      <w:r w:rsidR="00F20D08" w:rsidRPr="005F7866">
        <w:rPr>
          <w:rFonts w:ascii="ITC Avant Garde" w:hAnsi="ITC Avant Garde"/>
        </w:rPr>
        <w:t xml:space="preserve"> del Instituto Federal de Telecomunicaciones</w:t>
      </w:r>
      <w:r w:rsidR="00F20D08">
        <w:rPr>
          <w:rFonts w:ascii="ITC Avant Garde" w:hAnsi="ITC Avant Garde"/>
        </w:rPr>
        <w:t xml:space="preserve">, </w:t>
      </w:r>
      <w:r w:rsidR="00F20D08" w:rsidRPr="005F7866">
        <w:rPr>
          <w:rFonts w:ascii="ITC Avant Garde" w:hAnsi="ITC Avant Garde"/>
        </w:rPr>
        <w:t>presenta</w:t>
      </w:r>
      <w:r w:rsidR="00E23B29">
        <w:rPr>
          <w:rFonts w:ascii="ITC Avant Garde" w:hAnsi="ITC Avant Garde"/>
        </w:rPr>
        <w:t>n</w:t>
      </w:r>
      <w:r w:rsidR="00F20D08" w:rsidRPr="005F7866">
        <w:rPr>
          <w:rFonts w:ascii="ITC Avant Garde" w:hAnsi="ITC Avant Garde"/>
        </w:rPr>
        <w:t xml:space="preserve"> e</w:t>
      </w:r>
      <w:r w:rsidR="00F20D08">
        <w:rPr>
          <w:rFonts w:ascii="ITC Avant Garde" w:hAnsi="ITC Avant Garde"/>
        </w:rPr>
        <w:t>l</w:t>
      </w:r>
      <w:r w:rsidR="00F20D08" w:rsidRPr="005F7866">
        <w:rPr>
          <w:rFonts w:ascii="ITC Avant Garde" w:hAnsi="ITC Avant Garde"/>
        </w:rPr>
        <w:t xml:space="preserve"> siguiente informe que contiene un resumen de los comentarios</w:t>
      </w:r>
      <w:r w:rsidR="00AA6929">
        <w:rPr>
          <w:rFonts w:ascii="ITC Avant Garde" w:hAnsi="ITC Avant Garde"/>
        </w:rPr>
        <w:t>, opiniones y aportaciones</w:t>
      </w:r>
      <w:r w:rsidR="00556F1C">
        <w:rPr>
          <w:rFonts w:ascii="ITC Avant Garde" w:hAnsi="ITC Avant Garde"/>
        </w:rPr>
        <w:t xml:space="preserve"> </w:t>
      </w:r>
      <w:r w:rsidR="00F20D08" w:rsidRPr="005F7866">
        <w:rPr>
          <w:rFonts w:ascii="ITC Avant Garde" w:hAnsi="ITC Avant Garde"/>
        </w:rPr>
        <w:t>recibidos</w:t>
      </w:r>
      <w:r w:rsidR="00F20D08">
        <w:rPr>
          <w:rFonts w:ascii="ITC Avant Garde" w:hAnsi="ITC Avant Garde"/>
        </w:rPr>
        <w:t xml:space="preserve"> durante la consulta pública del </w:t>
      </w:r>
      <w:r w:rsidR="00302D6F" w:rsidRPr="007B238D">
        <w:rPr>
          <w:rFonts w:ascii="ITC Avant Garde" w:hAnsi="ITC Avant Garde"/>
          <w:i/>
          <w:iCs/>
        </w:rPr>
        <w:t>“</w:t>
      </w:r>
      <w:r w:rsidR="00221F9C" w:rsidRPr="00221F9C">
        <w:rPr>
          <w:rFonts w:ascii="ITC Avant Garde" w:hAnsi="ITC Avant Garde"/>
          <w:i/>
          <w:iCs/>
        </w:rPr>
        <w:t>Anteproyecto de Guía para determinar Mercados Relevantes en los Sectores de Telecomunicaciones y Radiodifusión</w:t>
      </w:r>
      <w:r w:rsidR="00302D6F" w:rsidRPr="007B238D">
        <w:rPr>
          <w:rFonts w:ascii="ITC Avant Garde" w:hAnsi="ITC Avant Garde"/>
          <w:i/>
          <w:iCs/>
        </w:rPr>
        <w:t>”</w:t>
      </w:r>
      <w:r w:rsidR="00F20D08" w:rsidRPr="007B238D">
        <w:rPr>
          <w:rFonts w:ascii="ITC Avant Garde" w:hAnsi="ITC Avant Garde"/>
          <w:i/>
          <w:iCs/>
        </w:rPr>
        <w:t>,</w:t>
      </w:r>
      <w:r w:rsidR="00F20D08" w:rsidRPr="000F38D9">
        <w:rPr>
          <w:rFonts w:ascii="ITC Avant Garde" w:hAnsi="ITC Avant Garde"/>
        </w:rPr>
        <w:t xml:space="preserve"> a</w:t>
      </w:r>
      <w:r w:rsidR="00F20D08" w:rsidRPr="005F7866">
        <w:rPr>
          <w:rFonts w:ascii="ITC Avant Garde" w:hAnsi="ITC Avant Garde"/>
        </w:rPr>
        <w:t xml:space="preserve">sí como sus </w:t>
      </w:r>
      <w:r w:rsidR="00F20D08" w:rsidRPr="00382D83">
        <w:rPr>
          <w:rFonts w:ascii="ITC Avant Garde" w:hAnsi="ITC Avant Garde"/>
        </w:rPr>
        <w:t>consideraciones</w:t>
      </w:r>
      <w:r w:rsidR="008C61FD">
        <w:rPr>
          <w:rFonts w:ascii="ITC Avant Garde" w:hAnsi="ITC Avant Garde"/>
        </w:rPr>
        <w:t xml:space="preserve"> a los mismos. </w:t>
      </w:r>
    </w:p>
    <w:p w14:paraId="535262B3" w14:textId="648C04D0" w:rsidR="00F20D08" w:rsidRPr="00724A07" w:rsidRDefault="008C61FD" w:rsidP="008C61FD">
      <w:pPr>
        <w:spacing w:after="120" w:line="247" w:lineRule="auto"/>
        <w:jc w:val="both"/>
        <w:rPr>
          <w:rFonts w:ascii="ITC Avant Garde" w:hAnsi="ITC Avant Garde"/>
          <w:color w:val="000000" w:themeColor="text1"/>
        </w:rPr>
      </w:pPr>
      <w:r>
        <w:rPr>
          <w:rFonts w:ascii="ITC Avant Garde" w:hAnsi="ITC Avant Garde"/>
        </w:rPr>
        <w:t>El informe</w:t>
      </w:r>
      <w:r w:rsidR="00F20D08" w:rsidRPr="00382D83">
        <w:rPr>
          <w:rFonts w:ascii="ITC Avant Garde" w:hAnsi="ITC Avant Garde"/>
        </w:rPr>
        <w:t xml:space="preserve"> se </w:t>
      </w:r>
      <w:r w:rsidR="00F20D08" w:rsidRPr="00724A07">
        <w:rPr>
          <w:rFonts w:ascii="ITC Avant Garde" w:hAnsi="ITC Avant Garde"/>
        </w:rPr>
        <w:t xml:space="preserve">emite de conformidad con lo dispuesto en los artículos </w:t>
      </w:r>
      <w:r w:rsidR="00382D83" w:rsidRPr="00724A07">
        <w:rPr>
          <w:rFonts w:ascii="ITC Avant Garde" w:hAnsi="ITC Avant Garde"/>
        </w:rPr>
        <w:t>138, fracción II de la Ley Federal de Competencia Económica</w:t>
      </w:r>
      <w:r w:rsidR="003A61D6" w:rsidRPr="00724A07">
        <w:rPr>
          <w:rFonts w:ascii="ITC Avant Garde" w:hAnsi="ITC Avant Garde"/>
        </w:rPr>
        <w:t>;</w:t>
      </w:r>
      <w:r w:rsidR="00382D83" w:rsidRPr="00724A07">
        <w:rPr>
          <w:rFonts w:ascii="ITC Avant Garde" w:hAnsi="ITC Avant Garde"/>
        </w:rPr>
        <w:t xml:space="preserve"> </w:t>
      </w:r>
      <w:r w:rsidR="00302B76">
        <w:rPr>
          <w:rFonts w:ascii="ITC Avant Garde" w:hAnsi="ITC Avant Garde"/>
        </w:rPr>
        <w:t xml:space="preserve">el </w:t>
      </w:r>
      <w:r w:rsidR="00D66812">
        <w:rPr>
          <w:rFonts w:ascii="ITC Avant Garde" w:hAnsi="ITC Avant Garde"/>
        </w:rPr>
        <w:t>resolutivo</w:t>
      </w:r>
      <w:r w:rsidR="00D66812" w:rsidRPr="00724A07">
        <w:rPr>
          <w:rFonts w:ascii="ITC Avant Garde" w:hAnsi="ITC Avant Garde"/>
        </w:rPr>
        <w:t xml:space="preserve"> </w:t>
      </w:r>
      <w:r w:rsidRPr="00724A07">
        <w:rPr>
          <w:rFonts w:ascii="ITC Avant Garde" w:hAnsi="ITC Avant Garde"/>
        </w:rPr>
        <w:t xml:space="preserve">Tercero del </w:t>
      </w:r>
      <w:r w:rsidRPr="00724A07">
        <w:rPr>
          <w:rFonts w:ascii="ITC Avant Garde" w:hAnsi="ITC Avant Garde"/>
          <w:i/>
          <w:iCs/>
        </w:rPr>
        <w:t>Acuerdo mediante el cual el Pleno del Instituto Federal de Telecomunicaciones determina someter a Consulta Pública el “Anteproyecto de Guía para determinar Mercados Relevantes en los Sectores de Telecomunicaciones y Radiodifusión”</w:t>
      </w:r>
      <w:r w:rsidR="00066CBF" w:rsidRPr="00724A07">
        <w:rPr>
          <w:rFonts w:ascii="ITC Avant Garde" w:hAnsi="ITC Avant Garde"/>
        </w:rPr>
        <w:t xml:space="preserve">; </w:t>
      </w:r>
      <w:r w:rsidR="00382D83" w:rsidRPr="00724A07">
        <w:rPr>
          <w:rFonts w:ascii="ITC Avant Garde" w:hAnsi="ITC Avant Garde"/>
        </w:rPr>
        <w:t>4, fracci</w:t>
      </w:r>
      <w:r w:rsidR="0018418B" w:rsidRPr="00724A07">
        <w:rPr>
          <w:rFonts w:ascii="ITC Avant Garde" w:hAnsi="ITC Avant Garde"/>
        </w:rPr>
        <w:t>ones</w:t>
      </w:r>
      <w:r w:rsidR="00382D83" w:rsidRPr="00724A07">
        <w:rPr>
          <w:rFonts w:ascii="ITC Avant Garde" w:hAnsi="ITC Avant Garde"/>
        </w:rPr>
        <w:t xml:space="preserve"> </w:t>
      </w:r>
      <w:r w:rsidR="0018418B" w:rsidRPr="00724A07">
        <w:rPr>
          <w:rFonts w:ascii="ITC Avant Garde" w:hAnsi="ITC Avant Garde"/>
        </w:rPr>
        <w:t xml:space="preserve">V inciso vi) y </w:t>
      </w:r>
      <w:r w:rsidR="00382D83" w:rsidRPr="00724A07">
        <w:rPr>
          <w:rFonts w:ascii="ITC Avant Garde" w:hAnsi="ITC Avant Garde"/>
        </w:rPr>
        <w:t xml:space="preserve">VI, </w:t>
      </w:r>
      <w:r w:rsidR="0018418B" w:rsidRPr="00724A07">
        <w:rPr>
          <w:rFonts w:ascii="ITC Avant Garde" w:hAnsi="ITC Avant Garde"/>
        </w:rPr>
        <w:t>47 fracciones V</w:t>
      </w:r>
      <w:r w:rsidR="00066CBF" w:rsidRPr="00724A07">
        <w:rPr>
          <w:rFonts w:ascii="ITC Avant Garde" w:hAnsi="ITC Avant Garde"/>
        </w:rPr>
        <w:t>I</w:t>
      </w:r>
      <w:r w:rsidR="0018418B" w:rsidRPr="00724A07">
        <w:rPr>
          <w:rFonts w:ascii="ITC Avant Garde" w:hAnsi="ITC Avant Garde"/>
        </w:rPr>
        <w:t>, IX y X,</w:t>
      </w:r>
      <w:r w:rsidR="00767DD5" w:rsidRPr="00724A07">
        <w:rPr>
          <w:rFonts w:ascii="ITC Avant Garde" w:hAnsi="ITC Avant Garde"/>
        </w:rPr>
        <w:t xml:space="preserve"> y</w:t>
      </w:r>
      <w:r w:rsidR="0018418B" w:rsidRPr="00724A07">
        <w:rPr>
          <w:rFonts w:ascii="ITC Avant Garde" w:hAnsi="ITC Avant Garde"/>
        </w:rPr>
        <w:t xml:space="preserve"> </w:t>
      </w:r>
      <w:r w:rsidR="00382D83" w:rsidRPr="00724A07">
        <w:rPr>
          <w:rFonts w:ascii="ITC Avant Garde" w:hAnsi="ITC Avant Garde"/>
        </w:rPr>
        <w:t>62, fracciones IV, XVIII y XL</w:t>
      </w:r>
      <w:r w:rsidR="00145C5F" w:rsidRPr="00724A07">
        <w:rPr>
          <w:rFonts w:ascii="ITC Avant Garde" w:hAnsi="ITC Avant Garde"/>
        </w:rPr>
        <w:t>IX</w:t>
      </w:r>
      <w:r w:rsidR="00382D83" w:rsidRPr="00724A07">
        <w:rPr>
          <w:rFonts w:ascii="ITC Avant Garde" w:hAnsi="ITC Avant Garde"/>
        </w:rPr>
        <w:t xml:space="preserve"> del Estatuto Orgánico del Instituto Federal de Telecomunicaciones</w:t>
      </w:r>
      <w:r w:rsidR="00767DD5" w:rsidRPr="00724A07">
        <w:rPr>
          <w:rFonts w:ascii="ITC Avant Garde" w:hAnsi="ITC Avant Garde"/>
        </w:rPr>
        <w:t xml:space="preserve">, así como en </w:t>
      </w:r>
      <w:r w:rsidR="00221F9C" w:rsidRPr="00724A07">
        <w:rPr>
          <w:rFonts w:ascii="ITC Avant Garde" w:hAnsi="ITC Avant Garde"/>
        </w:rPr>
        <w:t>el Lineamiento Noveno de los Lineamientos de Consulta Pública y Análisis de Impacto Regulatorio del Instituto Federal de Telecomunicaciones.</w:t>
      </w:r>
      <w:r w:rsidR="00221F9C" w:rsidRPr="00724A07">
        <w:rPr>
          <w:rFonts w:ascii="ITC Avant Garde" w:hAnsi="ITC Avant Garde"/>
          <w:vertAlign w:val="superscript"/>
        </w:rPr>
        <w:footnoteReference w:id="2"/>
      </w:r>
      <w:r w:rsidR="00F20D08" w:rsidRPr="00724A07">
        <w:rPr>
          <w:rFonts w:ascii="ITC Avant Garde" w:hAnsi="ITC Avant Garde"/>
          <w:vertAlign w:val="superscript"/>
        </w:rPr>
        <w:t>.</w:t>
      </w:r>
    </w:p>
    <w:p w14:paraId="1AA159C0" w14:textId="77777777" w:rsidR="00F20D08" w:rsidRPr="00724A07" w:rsidRDefault="00F20D08" w:rsidP="005C0772">
      <w:pPr>
        <w:spacing w:before="120" w:after="120" w:line="240" w:lineRule="auto"/>
        <w:jc w:val="both"/>
        <w:outlineLvl w:val="0"/>
        <w:rPr>
          <w:rFonts w:ascii="ITC Avant Garde" w:hAnsi="ITC Avant Garde"/>
          <w:b/>
          <w:bCs/>
          <w:smallCaps/>
        </w:rPr>
      </w:pPr>
      <w:r w:rsidRPr="00724A07">
        <w:rPr>
          <w:rFonts w:ascii="ITC Avant Garde" w:hAnsi="ITC Avant Garde"/>
          <w:b/>
          <w:bCs/>
          <w:smallCaps/>
        </w:rPr>
        <w:t xml:space="preserve">Glosario </w:t>
      </w:r>
    </w:p>
    <w:tbl>
      <w:tblPr>
        <w:tblStyle w:val="Tablaconcuadrcula3-nfasis6"/>
        <w:tblW w:w="10188" w:type="dxa"/>
        <w:tblLayout w:type="fixed"/>
        <w:tblLook w:val="0000" w:firstRow="0" w:lastRow="0" w:firstColumn="0" w:lastColumn="0" w:noHBand="0" w:noVBand="0"/>
      </w:tblPr>
      <w:tblGrid>
        <w:gridCol w:w="1838"/>
        <w:gridCol w:w="8350"/>
      </w:tblGrid>
      <w:tr w:rsidR="00F20D08" w:rsidRPr="00724A07" w14:paraId="6ACA0108"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92D050"/>
          </w:tcPr>
          <w:p w14:paraId="3AFCE3BB" w14:textId="77777777" w:rsidR="00F20D08" w:rsidRPr="00724A07" w:rsidRDefault="00F20D08" w:rsidP="00066CBF">
            <w:pPr>
              <w:autoSpaceDE w:val="0"/>
              <w:autoSpaceDN w:val="0"/>
              <w:adjustRightInd w:val="0"/>
              <w:spacing w:after="0" w:line="240" w:lineRule="auto"/>
              <w:jc w:val="center"/>
              <w:rPr>
                <w:rFonts w:ascii="ITC Avant Garde" w:hAnsi="ITC Avant Garde" w:cs="ITC Avant Garde"/>
                <w:b/>
                <w:smallCaps/>
                <w:sz w:val="18"/>
                <w:szCs w:val="18"/>
              </w:rPr>
            </w:pPr>
            <w:r w:rsidRPr="00724A07">
              <w:rPr>
                <w:rFonts w:ascii="ITC Avant Garde" w:hAnsi="ITC Avant Garde" w:cs="ITC Avant Garde"/>
                <w:b/>
                <w:smallCaps/>
                <w:sz w:val="18"/>
                <w:szCs w:val="18"/>
              </w:rPr>
              <w:t>Concepto</w:t>
            </w:r>
          </w:p>
        </w:tc>
        <w:tc>
          <w:tcPr>
            <w:tcW w:w="8350" w:type="dxa"/>
            <w:shd w:val="clear" w:color="auto" w:fill="92D050"/>
          </w:tcPr>
          <w:p w14:paraId="12B953A1" w14:textId="77777777" w:rsidR="00F20D08" w:rsidRPr="00724A07" w:rsidRDefault="00F20D08" w:rsidP="00066CBF">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b/>
                <w:smallCaps/>
                <w:sz w:val="18"/>
                <w:szCs w:val="18"/>
              </w:rPr>
            </w:pPr>
            <w:r w:rsidRPr="00724A07">
              <w:rPr>
                <w:rFonts w:ascii="ITC Avant Garde" w:hAnsi="ITC Avant Garde" w:cs="ITC Avant Garde"/>
                <w:b/>
                <w:smallCaps/>
                <w:sz w:val="18"/>
                <w:szCs w:val="18"/>
              </w:rPr>
              <w:t>Significado</w:t>
            </w:r>
          </w:p>
        </w:tc>
      </w:tr>
      <w:tr w:rsidR="00F20D08" w:rsidRPr="00724A07" w14:paraId="30ED5AB8"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62967CED" w14:textId="77777777" w:rsidR="00F20D08" w:rsidRPr="00724A07" w:rsidRDefault="00F20D0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AI</w:t>
            </w:r>
          </w:p>
        </w:tc>
        <w:tc>
          <w:tcPr>
            <w:tcW w:w="8350" w:type="dxa"/>
            <w:shd w:val="clear" w:color="auto" w:fill="auto"/>
            <w:vAlign w:val="center"/>
          </w:tcPr>
          <w:p w14:paraId="42437507" w14:textId="15C0609B" w:rsidR="00F20D08" w:rsidRPr="00724A07" w:rsidRDefault="00F20D08"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Autoridad Investigadora del Instituto Federal de Telecomunicaciones</w:t>
            </w:r>
            <w:r w:rsidR="00345DC9" w:rsidRPr="00724A07">
              <w:rPr>
                <w:rFonts w:ascii="ITC Avant Garde" w:hAnsi="ITC Avant Garde" w:cs="ITC Avant Garde"/>
                <w:color w:val="000000"/>
                <w:sz w:val="18"/>
                <w:szCs w:val="18"/>
              </w:rPr>
              <w:t>.</w:t>
            </w:r>
          </w:p>
        </w:tc>
      </w:tr>
      <w:tr w:rsidR="00B470DB" w:rsidRPr="00724A07" w14:paraId="77C1226C"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5EC67DAE" w14:textId="0E18020E" w:rsidR="00B470DB" w:rsidRPr="00724A07" w:rsidRDefault="00B470DB"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Acuerdo de Consulta Pública</w:t>
            </w:r>
          </w:p>
        </w:tc>
        <w:tc>
          <w:tcPr>
            <w:tcW w:w="8350" w:type="dxa"/>
            <w:shd w:val="clear" w:color="auto" w:fill="auto"/>
            <w:vAlign w:val="center"/>
          </w:tcPr>
          <w:p w14:paraId="7FD05E5D" w14:textId="11B6903D" w:rsidR="00B470DB" w:rsidRPr="003C1430" w:rsidRDefault="00B470DB" w:rsidP="00C71FB6">
            <w:pPr>
              <w:autoSpaceDE w:val="0"/>
              <w:autoSpaceDN w:val="0"/>
              <w:adjustRightInd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E75823">
              <w:rPr>
                <w:rFonts w:ascii="ITC Avant Garde" w:hAnsi="ITC Avant Garde"/>
                <w:sz w:val="18"/>
                <w:szCs w:val="18"/>
              </w:rPr>
              <w:t xml:space="preserve">Acuerdo mediante el cual el Pleno del Instituto Federal de Telecomunicaciones determina someter a Consulta Pública el “Anteproyecto de Guía para determinar Mercados Relevantes en los Sectores de Telecomunicaciones y Radiodifusión. </w:t>
            </w:r>
            <w:r w:rsidRPr="003C1430">
              <w:rPr>
                <w:rFonts w:ascii="ITC Avant Garde" w:hAnsi="ITC Avant Garde" w:cs="ITC Avant Garde"/>
                <w:color w:val="000000"/>
                <w:sz w:val="18"/>
                <w:szCs w:val="18"/>
              </w:rPr>
              <w:t>Acuerdo P/IFT/230621/279.</w:t>
            </w:r>
          </w:p>
        </w:tc>
      </w:tr>
      <w:tr w:rsidR="00F20D08" w:rsidRPr="00724A07" w14:paraId="63F9DE3F"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1CBE2222" w14:textId="67EFC11A" w:rsidR="00F20D08" w:rsidRPr="00724A07" w:rsidRDefault="00F20D0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 xml:space="preserve">Anteproyecto de </w:t>
            </w:r>
            <w:r w:rsidR="00767DD5" w:rsidRPr="00724A07">
              <w:rPr>
                <w:rFonts w:ascii="ITC Avant Garde" w:hAnsi="ITC Avant Garde" w:cs="ITC Avant Garde"/>
                <w:color w:val="000000"/>
                <w:sz w:val="18"/>
                <w:szCs w:val="18"/>
              </w:rPr>
              <w:t>Guía</w:t>
            </w:r>
          </w:p>
        </w:tc>
        <w:tc>
          <w:tcPr>
            <w:tcW w:w="8350" w:type="dxa"/>
            <w:shd w:val="clear" w:color="auto" w:fill="auto"/>
            <w:vAlign w:val="center"/>
          </w:tcPr>
          <w:p w14:paraId="45302B4C" w14:textId="6FA0FBC4" w:rsidR="00062418" w:rsidRPr="00724A07" w:rsidRDefault="00592BB6"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 xml:space="preserve">Anteproyecto de </w:t>
            </w:r>
            <w:r w:rsidR="00767DD5" w:rsidRPr="00724A07">
              <w:rPr>
                <w:rFonts w:ascii="ITC Avant Garde" w:hAnsi="ITC Avant Garde"/>
                <w:sz w:val="18"/>
                <w:szCs w:val="18"/>
              </w:rPr>
              <w:t>Guía para determinar Mercados Relevantes en los Sectores de Telecomunicaciones y Radiodifusión</w:t>
            </w:r>
            <w:r w:rsidR="00E462ED" w:rsidRPr="00724A07">
              <w:rPr>
                <w:rFonts w:ascii="ITC Avant Garde" w:hAnsi="ITC Avant Garde"/>
                <w:sz w:val="18"/>
                <w:szCs w:val="18"/>
              </w:rPr>
              <w:t>.</w:t>
            </w:r>
          </w:p>
        </w:tc>
      </w:tr>
      <w:tr w:rsidR="00062418" w:rsidRPr="00724A07" w14:paraId="76CA716C"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212B1E7" w14:textId="6B47D4BC" w:rsidR="00062418" w:rsidRPr="00724A07" w:rsidRDefault="0006241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COFECE</w:t>
            </w:r>
          </w:p>
        </w:tc>
        <w:tc>
          <w:tcPr>
            <w:tcW w:w="8350" w:type="dxa"/>
            <w:shd w:val="clear" w:color="auto" w:fill="auto"/>
            <w:vAlign w:val="center"/>
          </w:tcPr>
          <w:p w14:paraId="523FDB3C" w14:textId="7C710727" w:rsidR="00062418" w:rsidRPr="00724A07" w:rsidRDefault="00062418"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Comisión Federal de Competencia Económica.</w:t>
            </w:r>
          </w:p>
        </w:tc>
      </w:tr>
      <w:tr w:rsidR="00600E88" w:rsidRPr="00724A07" w14:paraId="639ED2FC"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0085FDC7" w14:textId="55AB32D7" w:rsidR="00600E88" w:rsidRPr="00724A07" w:rsidRDefault="00600E8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Consulta Pública</w:t>
            </w:r>
          </w:p>
        </w:tc>
        <w:tc>
          <w:tcPr>
            <w:tcW w:w="8350" w:type="dxa"/>
            <w:shd w:val="clear" w:color="auto" w:fill="auto"/>
            <w:vAlign w:val="center"/>
          </w:tcPr>
          <w:p w14:paraId="2F657DFB" w14:textId="1AD3050B" w:rsidR="00600E88" w:rsidRPr="00724A07" w:rsidRDefault="00600E88"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Consulta Pública del Anteproyecto de Guía.</w:t>
            </w:r>
          </w:p>
        </w:tc>
      </w:tr>
      <w:tr w:rsidR="00F20D08" w:rsidRPr="00724A07" w14:paraId="28080356"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5F7BE70" w14:textId="695B725C" w:rsidR="00F20D08" w:rsidRPr="00724A07" w:rsidRDefault="00F20D0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Disposiciones Regulatorias</w:t>
            </w:r>
          </w:p>
        </w:tc>
        <w:tc>
          <w:tcPr>
            <w:tcW w:w="8350" w:type="dxa"/>
            <w:shd w:val="clear" w:color="auto" w:fill="auto"/>
            <w:vAlign w:val="center"/>
          </w:tcPr>
          <w:p w14:paraId="3C51C53A" w14:textId="62003FD3" w:rsidR="00F20D08" w:rsidRPr="00724A07" w:rsidRDefault="00F20D08"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Disposiciones Regulatorias de la Ley Federal de Competencia Económica para los sectores de telecomunicaciones y radiodifusión</w:t>
            </w:r>
            <w:r w:rsidR="00E462ED" w:rsidRPr="00724A07">
              <w:rPr>
                <w:rFonts w:ascii="ITC Avant Garde" w:hAnsi="ITC Avant Garde" w:cs="ITC Avant Garde"/>
                <w:color w:val="000000"/>
                <w:sz w:val="18"/>
                <w:szCs w:val="18"/>
              </w:rPr>
              <w:t>.</w:t>
            </w:r>
          </w:p>
        </w:tc>
      </w:tr>
      <w:tr w:rsidR="00117914" w:rsidRPr="00724A07" w14:paraId="1CEA32CC"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659BCABE" w14:textId="70C17471" w:rsidR="00117914" w:rsidRPr="00724A07" w:rsidRDefault="00117914"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DOF</w:t>
            </w:r>
          </w:p>
        </w:tc>
        <w:tc>
          <w:tcPr>
            <w:tcW w:w="8350" w:type="dxa"/>
            <w:shd w:val="clear" w:color="auto" w:fill="auto"/>
            <w:vAlign w:val="center"/>
          </w:tcPr>
          <w:p w14:paraId="24BDB58A" w14:textId="14F76F78" w:rsidR="00117914" w:rsidRPr="00724A07" w:rsidRDefault="00117914"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Diario Oficial de la Federación.</w:t>
            </w:r>
          </w:p>
        </w:tc>
      </w:tr>
      <w:tr w:rsidR="00117914" w:rsidRPr="00724A07" w14:paraId="512D190F"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5F14448B" w14:textId="1B143B8C" w:rsidR="00117914" w:rsidRPr="00724A07" w:rsidRDefault="00117914"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Estatuto Orgánico</w:t>
            </w:r>
          </w:p>
        </w:tc>
        <w:tc>
          <w:tcPr>
            <w:tcW w:w="8350" w:type="dxa"/>
            <w:shd w:val="clear" w:color="auto" w:fill="auto"/>
            <w:vAlign w:val="center"/>
          </w:tcPr>
          <w:p w14:paraId="27966F00" w14:textId="081F15CD" w:rsidR="00117914" w:rsidRPr="00724A07" w:rsidRDefault="00117914"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Estatuto Orgánico del IFT.</w:t>
            </w:r>
          </w:p>
        </w:tc>
      </w:tr>
      <w:tr w:rsidR="00F20D08" w:rsidRPr="00724A07" w14:paraId="27680CA5"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5674B5BC" w14:textId="6FACD93B" w:rsidR="00F20D08" w:rsidRPr="00724A07" w:rsidRDefault="00F20D0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Instituto</w:t>
            </w:r>
            <w:r w:rsidR="00062418" w:rsidRPr="00724A07">
              <w:rPr>
                <w:rFonts w:ascii="ITC Avant Garde" w:hAnsi="ITC Avant Garde" w:cs="ITC Avant Garde"/>
                <w:color w:val="000000"/>
                <w:sz w:val="18"/>
                <w:szCs w:val="18"/>
              </w:rPr>
              <w:t xml:space="preserve"> o IFT (indistintamente)</w:t>
            </w:r>
          </w:p>
        </w:tc>
        <w:tc>
          <w:tcPr>
            <w:tcW w:w="8350" w:type="dxa"/>
            <w:shd w:val="clear" w:color="auto" w:fill="auto"/>
            <w:vAlign w:val="center"/>
          </w:tcPr>
          <w:p w14:paraId="566CCFAD" w14:textId="3E9D6C47" w:rsidR="00F20D08" w:rsidRPr="00724A07" w:rsidRDefault="00F20D08"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Instituto Federal de Telecomunicaciones</w:t>
            </w:r>
            <w:r w:rsidR="00E462ED" w:rsidRPr="00724A07">
              <w:rPr>
                <w:rFonts w:ascii="ITC Avant Garde" w:hAnsi="ITC Avant Garde" w:cs="ITC Avant Garde"/>
                <w:color w:val="000000"/>
                <w:sz w:val="18"/>
                <w:szCs w:val="18"/>
              </w:rPr>
              <w:t>.</w:t>
            </w:r>
          </w:p>
        </w:tc>
      </w:tr>
      <w:tr w:rsidR="00117914" w:rsidRPr="00724A07" w14:paraId="43342449"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212611CE" w14:textId="5D5A05E3" w:rsidR="00117914" w:rsidRPr="00724A07" w:rsidRDefault="00117914"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Lineamientos de Consulta Pública</w:t>
            </w:r>
          </w:p>
        </w:tc>
        <w:tc>
          <w:tcPr>
            <w:tcW w:w="8350" w:type="dxa"/>
            <w:shd w:val="clear" w:color="auto" w:fill="auto"/>
            <w:vAlign w:val="center"/>
          </w:tcPr>
          <w:p w14:paraId="4C85C71B" w14:textId="1B778B09" w:rsidR="00117914" w:rsidRPr="00724A07" w:rsidRDefault="00117914"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Lineamientos de Consulta Pública y Análisis de Impacto Regulatorio del IFT.</w:t>
            </w:r>
          </w:p>
        </w:tc>
      </w:tr>
      <w:tr w:rsidR="00F20D08" w:rsidRPr="00724A07" w14:paraId="24C1DF57"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5DB9E5E3" w14:textId="722B5161" w:rsidR="00F20D08" w:rsidRPr="00724A07" w:rsidRDefault="00F20D0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LFCE</w:t>
            </w:r>
          </w:p>
        </w:tc>
        <w:tc>
          <w:tcPr>
            <w:tcW w:w="8350" w:type="dxa"/>
            <w:shd w:val="clear" w:color="auto" w:fill="auto"/>
            <w:vAlign w:val="center"/>
          </w:tcPr>
          <w:p w14:paraId="3FB52E66" w14:textId="384FA57A" w:rsidR="00F20D08" w:rsidRPr="00724A07" w:rsidRDefault="00F20D08"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Ley Federal de Competencia Económica</w:t>
            </w:r>
            <w:r w:rsidR="00E462ED" w:rsidRPr="00724A07">
              <w:rPr>
                <w:rFonts w:ascii="ITC Avant Garde" w:hAnsi="ITC Avant Garde" w:cs="ITC Avant Garde"/>
                <w:color w:val="000000"/>
                <w:sz w:val="18"/>
                <w:szCs w:val="18"/>
              </w:rPr>
              <w:t>.</w:t>
            </w:r>
          </w:p>
        </w:tc>
      </w:tr>
      <w:tr w:rsidR="00B470DB" w:rsidRPr="00724A07" w14:paraId="39B77B20"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1E5A89E" w14:textId="5DEAB8BA" w:rsidR="00B470DB" w:rsidRPr="00724A07" w:rsidRDefault="00B470DB"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LFTR</w:t>
            </w:r>
          </w:p>
        </w:tc>
        <w:tc>
          <w:tcPr>
            <w:tcW w:w="8350" w:type="dxa"/>
            <w:shd w:val="clear" w:color="auto" w:fill="auto"/>
            <w:vAlign w:val="center"/>
          </w:tcPr>
          <w:p w14:paraId="1282A9C4" w14:textId="2AC687A2" w:rsidR="00B470DB" w:rsidRPr="00724A07" w:rsidRDefault="00B470DB"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Ley Federal de Telecomunicaciones y Radiodifusión.</w:t>
            </w:r>
          </w:p>
        </w:tc>
      </w:tr>
      <w:tr w:rsidR="00D9791F" w:rsidRPr="00724A07" w14:paraId="4CBC3DEA"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6D98993" w14:textId="535FE66D" w:rsidR="00D9791F" w:rsidRPr="00724A07" w:rsidRDefault="00D9791F"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lastRenderedPageBreak/>
              <w:t>MR</w:t>
            </w:r>
          </w:p>
        </w:tc>
        <w:tc>
          <w:tcPr>
            <w:tcW w:w="8350" w:type="dxa"/>
            <w:shd w:val="clear" w:color="auto" w:fill="auto"/>
            <w:vAlign w:val="center"/>
          </w:tcPr>
          <w:p w14:paraId="127FD287" w14:textId="19D4CA16" w:rsidR="00D9791F" w:rsidRPr="00724A07" w:rsidRDefault="00D9791F"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Mercado</w:t>
            </w:r>
            <w:r w:rsidR="00E4288E" w:rsidRPr="00724A07">
              <w:rPr>
                <w:rFonts w:ascii="ITC Avant Garde" w:hAnsi="ITC Avant Garde" w:cs="ITC Avant Garde"/>
                <w:color w:val="000000"/>
                <w:sz w:val="18"/>
                <w:szCs w:val="18"/>
              </w:rPr>
              <w:t>(s)</w:t>
            </w:r>
            <w:r w:rsidRPr="00724A07">
              <w:rPr>
                <w:rFonts w:ascii="ITC Avant Garde" w:hAnsi="ITC Avant Garde" w:cs="ITC Avant Garde"/>
                <w:color w:val="000000"/>
                <w:sz w:val="18"/>
                <w:szCs w:val="18"/>
              </w:rPr>
              <w:t xml:space="preserve"> Relevante</w:t>
            </w:r>
            <w:r w:rsidR="00E4288E" w:rsidRPr="00724A07">
              <w:rPr>
                <w:rFonts w:ascii="ITC Avant Garde" w:hAnsi="ITC Avant Garde" w:cs="ITC Avant Garde"/>
                <w:color w:val="000000"/>
                <w:sz w:val="18"/>
                <w:szCs w:val="18"/>
              </w:rPr>
              <w:t>(s)</w:t>
            </w:r>
            <w:r w:rsidR="00600E88" w:rsidRPr="00724A07">
              <w:rPr>
                <w:rFonts w:ascii="ITC Avant Garde" w:hAnsi="ITC Avant Garde" w:cs="ITC Avant Garde"/>
                <w:color w:val="000000"/>
                <w:sz w:val="18"/>
                <w:szCs w:val="18"/>
              </w:rPr>
              <w:t>.</w:t>
            </w:r>
          </w:p>
        </w:tc>
      </w:tr>
      <w:tr w:rsidR="00885F35" w:rsidRPr="00724A07" w14:paraId="575E7A86"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182F18EE" w14:textId="7700DD67" w:rsidR="00885F35" w:rsidRPr="00724A07" w:rsidRDefault="00885F35"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PJF</w:t>
            </w:r>
          </w:p>
        </w:tc>
        <w:tc>
          <w:tcPr>
            <w:tcW w:w="8350" w:type="dxa"/>
            <w:shd w:val="clear" w:color="auto" w:fill="auto"/>
            <w:vAlign w:val="center"/>
          </w:tcPr>
          <w:p w14:paraId="61DC315C" w14:textId="5330938A" w:rsidR="00885F35" w:rsidRPr="00724A07" w:rsidRDefault="00885F35"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Poder Judicial de la Federación</w:t>
            </w:r>
          </w:p>
        </w:tc>
      </w:tr>
      <w:tr w:rsidR="00F20D08" w:rsidRPr="00724A07" w14:paraId="1BCB5183"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3CA1CFBE" w14:textId="77777777" w:rsidR="00F20D08" w:rsidRPr="00724A07" w:rsidRDefault="00F20D08"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Pleno</w:t>
            </w:r>
          </w:p>
        </w:tc>
        <w:tc>
          <w:tcPr>
            <w:tcW w:w="8350" w:type="dxa"/>
            <w:shd w:val="clear" w:color="auto" w:fill="auto"/>
            <w:vAlign w:val="center"/>
          </w:tcPr>
          <w:p w14:paraId="26AB7C46" w14:textId="628C104F" w:rsidR="00F20D08" w:rsidRPr="00724A07" w:rsidRDefault="00F20D08"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Pleno del Instituto Federal de Telecomunicaciones</w:t>
            </w:r>
            <w:r w:rsidR="00E462ED" w:rsidRPr="00724A07">
              <w:rPr>
                <w:rFonts w:ascii="ITC Avant Garde" w:hAnsi="ITC Avant Garde" w:cs="ITC Avant Garde"/>
                <w:color w:val="000000"/>
                <w:sz w:val="18"/>
                <w:szCs w:val="18"/>
              </w:rPr>
              <w:t>.</w:t>
            </w:r>
          </w:p>
        </w:tc>
      </w:tr>
      <w:tr w:rsidR="00D7295D" w:rsidRPr="00724A07" w14:paraId="097D585C"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7A3FBAAC" w14:textId="1248C228" w:rsidR="00D7295D" w:rsidRPr="00724A07" w:rsidRDefault="00D7295D"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Telefónica</w:t>
            </w:r>
          </w:p>
        </w:tc>
        <w:tc>
          <w:tcPr>
            <w:tcW w:w="8350" w:type="dxa"/>
            <w:shd w:val="clear" w:color="auto" w:fill="auto"/>
            <w:vAlign w:val="center"/>
          </w:tcPr>
          <w:p w14:paraId="79E962B9" w14:textId="081F7495" w:rsidR="00D7295D" w:rsidRPr="00724A07" w:rsidRDefault="00D7295D"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sz w:val="18"/>
                <w:szCs w:val="18"/>
              </w:rPr>
              <w:t>Pegaso PCS, S.A. de C.V.</w:t>
            </w:r>
          </w:p>
        </w:tc>
      </w:tr>
      <w:tr w:rsidR="00D65F10" w:rsidRPr="00724A07" w14:paraId="5D3B78FE" w14:textId="77777777" w:rsidTr="00600E88">
        <w:trPr>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1115B2EC" w14:textId="7B187714" w:rsidR="00D65F10" w:rsidRPr="00724A07" w:rsidRDefault="00D65F10" w:rsidP="00600E88">
            <w:pPr>
              <w:autoSpaceDE w:val="0"/>
              <w:autoSpaceDN w:val="0"/>
              <w:adjustRightInd w:val="0"/>
              <w:spacing w:after="0" w:line="240" w:lineRule="auto"/>
              <w:rPr>
                <w:rFonts w:ascii="ITC Avant Garde" w:hAnsi="ITC Avant Garde" w:cs="ITC Avant Garde"/>
                <w:color w:val="000000"/>
                <w:sz w:val="18"/>
                <w:szCs w:val="18"/>
              </w:rPr>
            </w:pPr>
            <w:proofErr w:type="spellStart"/>
            <w:r w:rsidRPr="00724A07">
              <w:rPr>
                <w:rFonts w:ascii="ITC Avant Garde" w:hAnsi="ITC Avant Garde" w:cs="ITC Avant Garde"/>
                <w:color w:val="000000"/>
                <w:sz w:val="18"/>
                <w:szCs w:val="18"/>
              </w:rPr>
              <w:t>TyR</w:t>
            </w:r>
            <w:proofErr w:type="spellEnd"/>
          </w:p>
        </w:tc>
        <w:tc>
          <w:tcPr>
            <w:tcW w:w="8350" w:type="dxa"/>
            <w:shd w:val="clear" w:color="auto" w:fill="auto"/>
            <w:vAlign w:val="center"/>
          </w:tcPr>
          <w:p w14:paraId="087DCD59" w14:textId="3939D990" w:rsidR="00D65F10" w:rsidRPr="00724A07" w:rsidRDefault="00B25655" w:rsidP="00600E88">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Telecomunicaciones y Radiodifusión</w:t>
            </w:r>
            <w:r w:rsidR="00600E88" w:rsidRPr="00724A07">
              <w:rPr>
                <w:rFonts w:ascii="ITC Avant Garde" w:hAnsi="ITC Avant Garde" w:cs="ITC Avant Garde"/>
                <w:color w:val="000000"/>
                <w:sz w:val="18"/>
                <w:szCs w:val="18"/>
              </w:rPr>
              <w:t>.</w:t>
            </w:r>
          </w:p>
        </w:tc>
      </w:tr>
      <w:tr w:rsidR="00767DD5" w:rsidRPr="00724A07" w14:paraId="1EABAF7A" w14:textId="77777777" w:rsidTr="00600E88">
        <w:trPr>
          <w:cnfStyle w:val="000000100000" w:firstRow="0" w:lastRow="0" w:firstColumn="0" w:lastColumn="0" w:oddVBand="0" w:evenVBand="0" w:oddHBand="1" w:evenHBand="0" w:firstRowFirstColumn="0" w:firstRowLastColumn="0" w:lastRowFirstColumn="0" w:lastRowLastColumn="0"/>
          <w:trHeight w:val="77"/>
        </w:trPr>
        <w:tc>
          <w:tcPr>
            <w:cnfStyle w:val="000010000000" w:firstRow="0" w:lastRow="0" w:firstColumn="0" w:lastColumn="0" w:oddVBand="1" w:evenVBand="0" w:oddHBand="0" w:evenHBand="0" w:firstRowFirstColumn="0" w:firstRowLastColumn="0" w:lastRowFirstColumn="0" w:lastRowLastColumn="0"/>
            <w:tcW w:w="1838" w:type="dxa"/>
            <w:shd w:val="clear" w:color="auto" w:fill="auto"/>
            <w:vAlign w:val="center"/>
          </w:tcPr>
          <w:p w14:paraId="6180EFBB" w14:textId="450B2768" w:rsidR="00767DD5" w:rsidRPr="00724A07" w:rsidRDefault="00767DD5" w:rsidP="00600E88">
            <w:pPr>
              <w:autoSpaceDE w:val="0"/>
              <w:autoSpaceDN w:val="0"/>
              <w:adjustRightInd w:val="0"/>
              <w:spacing w:after="0" w:line="240" w:lineRule="auto"/>
              <w:rPr>
                <w:rFonts w:ascii="ITC Avant Garde" w:hAnsi="ITC Avant Garde" w:cs="ITC Avant Garde"/>
                <w:color w:val="000000"/>
                <w:sz w:val="18"/>
                <w:szCs w:val="18"/>
              </w:rPr>
            </w:pPr>
            <w:r w:rsidRPr="00724A07">
              <w:rPr>
                <w:rFonts w:ascii="ITC Avant Garde" w:hAnsi="ITC Avant Garde" w:cs="ITC Avant Garde"/>
                <w:color w:val="000000"/>
                <w:sz w:val="18"/>
                <w:szCs w:val="18"/>
              </w:rPr>
              <w:t>UCE</w:t>
            </w:r>
          </w:p>
        </w:tc>
        <w:tc>
          <w:tcPr>
            <w:tcW w:w="8350" w:type="dxa"/>
            <w:shd w:val="clear" w:color="auto" w:fill="auto"/>
            <w:vAlign w:val="center"/>
          </w:tcPr>
          <w:p w14:paraId="2A79D34B" w14:textId="240AA2B6" w:rsidR="00767DD5" w:rsidRPr="00724A07" w:rsidRDefault="00767DD5" w:rsidP="00600E88">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ITC Avant Garde" w:hAnsi="ITC Avant Garde" w:cs="ITC Avant Garde"/>
                <w:color w:val="000000"/>
                <w:sz w:val="18"/>
                <w:szCs w:val="18"/>
              </w:rPr>
            </w:pPr>
            <w:r w:rsidRPr="00724A07">
              <w:rPr>
                <w:rFonts w:ascii="ITC Avant Garde" w:hAnsi="ITC Avant Garde" w:cs="ITC Avant Garde"/>
                <w:color w:val="000000"/>
                <w:sz w:val="18"/>
                <w:szCs w:val="18"/>
              </w:rPr>
              <w:t>Unidad de Competencia Económica</w:t>
            </w:r>
            <w:r w:rsidR="00062418" w:rsidRPr="00724A07">
              <w:rPr>
                <w:rFonts w:ascii="ITC Avant Garde" w:hAnsi="ITC Avant Garde" w:cs="ITC Avant Garde"/>
                <w:color w:val="000000"/>
                <w:sz w:val="18"/>
                <w:szCs w:val="18"/>
              </w:rPr>
              <w:t xml:space="preserve"> del Instituto Federal de Telecomunicaciones.</w:t>
            </w:r>
          </w:p>
        </w:tc>
      </w:tr>
    </w:tbl>
    <w:p w14:paraId="6202DE63" w14:textId="77777777" w:rsidR="00F20D08" w:rsidRPr="00724A07" w:rsidRDefault="009F622B" w:rsidP="005C0772">
      <w:pPr>
        <w:spacing w:before="120" w:after="120" w:line="240" w:lineRule="auto"/>
        <w:jc w:val="both"/>
        <w:outlineLvl w:val="0"/>
        <w:rPr>
          <w:rFonts w:ascii="ITC Avant Garde" w:hAnsi="ITC Avant Garde"/>
          <w:b/>
          <w:bCs/>
          <w:smallCaps/>
        </w:rPr>
      </w:pPr>
      <w:r w:rsidRPr="00724A07">
        <w:rPr>
          <w:rFonts w:ascii="ITC Avant Garde" w:hAnsi="ITC Avant Garde"/>
          <w:b/>
          <w:bCs/>
          <w:smallCaps/>
        </w:rPr>
        <w:t xml:space="preserve">1. </w:t>
      </w:r>
      <w:r w:rsidR="00F20D08" w:rsidRPr="00724A07">
        <w:rPr>
          <w:rFonts w:ascii="ITC Avant Garde" w:hAnsi="ITC Avant Garde"/>
          <w:b/>
          <w:bCs/>
          <w:smallCaps/>
        </w:rPr>
        <w:t>Antecedentes</w:t>
      </w:r>
    </w:p>
    <w:p w14:paraId="6CC7970E" w14:textId="1A2E4C2E" w:rsidR="0034015E" w:rsidRPr="00724A07" w:rsidRDefault="00B470DB" w:rsidP="006072E6">
      <w:pPr>
        <w:pStyle w:val="Prrafodelista"/>
        <w:numPr>
          <w:ilvl w:val="0"/>
          <w:numId w:val="38"/>
        </w:numPr>
        <w:spacing w:after="120" w:line="240" w:lineRule="auto"/>
        <w:contextualSpacing w:val="0"/>
        <w:jc w:val="both"/>
        <w:rPr>
          <w:rFonts w:ascii="ITC Avant Garde" w:hAnsi="ITC Avant Garde"/>
          <w:lang w:val="es-MX"/>
        </w:rPr>
      </w:pPr>
      <w:r w:rsidRPr="00724A07">
        <w:rPr>
          <w:rFonts w:ascii="ITC Avant Garde" w:hAnsi="ITC Avant Garde"/>
          <w:b/>
          <w:bCs/>
        </w:rPr>
        <w:t xml:space="preserve">Acuerdo de Consulta Pública. </w:t>
      </w:r>
      <w:r w:rsidR="0034015E" w:rsidRPr="00724A07">
        <w:rPr>
          <w:rFonts w:ascii="ITC Avant Garde" w:hAnsi="ITC Avant Garde"/>
          <w:lang w:val="es-MX"/>
        </w:rPr>
        <w:t xml:space="preserve">El </w:t>
      </w:r>
      <w:r w:rsidR="00D66812">
        <w:rPr>
          <w:rFonts w:ascii="ITC Avant Garde" w:hAnsi="ITC Avant Garde"/>
          <w:lang w:val="es-MX"/>
        </w:rPr>
        <w:t>23</w:t>
      </w:r>
      <w:r w:rsidR="00D66812" w:rsidRPr="00724A07">
        <w:rPr>
          <w:rFonts w:ascii="ITC Avant Garde" w:hAnsi="ITC Avant Garde"/>
          <w:lang w:val="es-MX"/>
        </w:rPr>
        <w:t xml:space="preserve"> </w:t>
      </w:r>
      <w:r w:rsidR="00D22A9F" w:rsidRPr="00724A07">
        <w:rPr>
          <w:rFonts w:ascii="ITC Avant Garde" w:hAnsi="ITC Avant Garde"/>
          <w:lang w:val="es-MX"/>
        </w:rPr>
        <w:t xml:space="preserve">de </w:t>
      </w:r>
      <w:r w:rsidR="003047DE" w:rsidRPr="00724A07">
        <w:rPr>
          <w:rFonts w:ascii="ITC Avant Garde" w:hAnsi="ITC Avant Garde"/>
          <w:lang w:val="es-MX"/>
        </w:rPr>
        <w:t xml:space="preserve">junio </w:t>
      </w:r>
      <w:r w:rsidR="00D22A9F" w:rsidRPr="00724A07">
        <w:rPr>
          <w:rFonts w:ascii="ITC Avant Garde" w:hAnsi="ITC Avant Garde"/>
          <w:lang w:val="es-MX"/>
        </w:rPr>
        <w:t xml:space="preserve">de </w:t>
      </w:r>
      <w:r w:rsidR="00D66812">
        <w:rPr>
          <w:rFonts w:ascii="ITC Avant Garde" w:hAnsi="ITC Avant Garde"/>
          <w:lang w:val="es-MX"/>
        </w:rPr>
        <w:t>2021</w:t>
      </w:r>
      <w:r w:rsidR="0034015E" w:rsidRPr="00724A07">
        <w:rPr>
          <w:rFonts w:ascii="ITC Avant Garde" w:hAnsi="ITC Avant Garde"/>
          <w:lang w:val="es-MX"/>
        </w:rPr>
        <w:t xml:space="preserve">, mediante </w:t>
      </w:r>
      <w:r w:rsidR="005A6671">
        <w:rPr>
          <w:rFonts w:ascii="ITC Avant Garde" w:hAnsi="ITC Avant Garde"/>
          <w:lang w:val="es-MX"/>
        </w:rPr>
        <w:t xml:space="preserve">el </w:t>
      </w:r>
      <w:r w:rsidR="0034015E" w:rsidRPr="00724A07">
        <w:rPr>
          <w:rFonts w:ascii="ITC Avant Garde" w:hAnsi="ITC Avant Garde"/>
          <w:lang w:val="es-MX"/>
        </w:rPr>
        <w:t xml:space="preserve">Acuerdo </w:t>
      </w:r>
      <w:r w:rsidR="003047DE" w:rsidRPr="00724A07">
        <w:rPr>
          <w:rFonts w:ascii="ITC Avant Garde" w:hAnsi="ITC Avant Garde"/>
          <w:lang w:val="es-MX"/>
        </w:rPr>
        <w:t>P/IFT/230621/279</w:t>
      </w:r>
      <w:r w:rsidR="0034015E" w:rsidRPr="00724A07">
        <w:rPr>
          <w:rFonts w:ascii="ITC Avant Garde" w:hAnsi="ITC Avant Garde"/>
          <w:lang w:val="es-MX"/>
        </w:rPr>
        <w:t>,</w:t>
      </w:r>
      <w:r w:rsidR="00D22A9F" w:rsidRPr="00724A07">
        <w:rPr>
          <w:rFonts w:ascii="ITC Avant Garde" w:hAnsi="ITC Avant Garde"/>
          <w:lang w:val="es-MX"/>
        </w:rPr>
        <w:t xml:space="preserve"> </w:t>
      </w:r>
      <w:r w:rsidRPr="00724A07">
        <w:rPr>
          <w:rFonts w:ascii="ITC Avant Garde" w:hAnsi="ITC Avant Garde"/>
          <w:lang w:val="es-MX"/>
        </w:rPr>
        <w:t xml:space="preserve">aprobado </w:t>
      </w:r>
      <w:r w:rsidR="0034015E" w:rsidRPr="00724A07">
        <w:rPr>
          <w:rFonts w:ascii="ITC Avant Garde" w:hAnsi="ITC Avant Garde"/>
          <w:color w:val="000000" w:themeColor="text1"/>
          <w:lang w:eastAsia="es-MX"/>
        </w:rPr>
        <w:t>en su X</w:t>
      </w:r>
      <w:r w:rsidR="00417BD3" w:rsidRPr="00724A07">
        <w:rPr>
          <w:rFonts w:ascii="ITC Avant Garde" w:hAnsi="ITC Avant Garde"/>
          <w:color w:val="000000" w:themeColor="text1"/>
          <w:lang w:val="es-MX" w:eastAsia="es-MX"/>
        </w:rPr>
        <w:t>II</w:t>
      </w:r>
      <w:r w:rsidR="0034015E" w:rsidRPr="00724A07">
        <w:rPr>
          <w:rFonts w:ascii="ITC Avant Garde" w:hAnsi="ITC Avant Garde"/>
          <w:color w:val="000000" w:themeColor="text1"/>
          <w:lang w:eastAsia="es-MX"/>
        </w:rPr>
        <w:t xml:space="preserve"> Sesión Ordinaria</w:t>
      </w:r>
      <w:r w:rsidR="007824E3" w:rsidRPr="00724A07">
        <w:rPr>
          <w:rFonts w:ascii="ITC Avant Garde" w:hAnsi="ITC Avant Garde"/>
          <w:color w:val="000000" w:themeColor="text1"/>
          <w:lang w:val="es-MX" w:eastAsia="es-MX"/>
        </w:rPr>
        <w:t>,</w:t>
      </w:r>
      <w:r w:rsidR="0034015E" w:rsidRPr="00724A07">
        <w:rPr>
          <w:rFonts w:ascii="ITC Avant Garde" w:hAnsi="ITC Avant Garde"/>
          <w:color w:val="000000" w:themeColor="text1"/>
          <w:lang w:val="es-MX" w:eastAsia="es-MX"/>
        </w:rPr>
        <w:t xml:space="preserve"> </w:t>
      </w:r>
      <w:r w:rsidR="0034015E" w:rsidRPr="00724A07">
        <w:rPr>
          <w:rFonts w:ascii="ITC Avant Garde" w:hAnsi="ITC Avant Garde"/>
          <w:lang w:val="es-MX"/>
        </w:rPr>
        <w:t>el Pleno acordó someter a consulta pública el Anteproyecto</w:t>
      </w:r>
      <w:r w:rsidR="00BF01E4" w:rsidRPr="00724A07">
        <w:rPr>
          <w:rFonts w:ascii="ITC Avant Garde" w:hAnsi="ITC Avant Garde"/>
          <w:lang w:val="es-MX"/>
        </w:rPr>
        <w:t xml:space="preserve"> de </w:t>
      </w:r>
      <w:r w:rsidR="00417BD3" w:rsidRPr="00724A07">
        <w:rPr>
          <w:rFonts w:ascii="ITC Avant Garde" w:hAnsi="ITC Avant Garde"/>
          <w:lang w:val="es-MX"/>
        </w:rPr>
        <w:t>Guía</w:t>
      </w:r>
      <w:r w:rsidR="0034015E" w:rsidRPr="00724A07">
        <w:rPr>
          <w:rFonts w:ascii="ITC Avant Garde" w:hAnsi="ITC Avant Garde"/>
          <w:lang w:val="es-MX"/>
        </w:rPr>
        <w:t xml:space="preserve">, </w:t>
      </w:r>
      <w:r w:rsidR="00961B7F" w:rsidRPr="00724A07">
        <w:rPr>
          <w:rFonts w:ascii="ITC Avant Garde" w:hAnsi="ITC Avant Garde"/>
          <w:lang w:val="es-MX"/>
        </w:rPr>
        <w:t xml:space="preserve">con fundamento en </w:t>
      </w:r>
      <w:r w:rsidR="00961B7F" w:rsidRPr="00724A07">
        <w:rPr>
          <w:rFonts w:ascii="ITC Avant Garde" w:hAnsi="ITC Avant Garde"/>
        </w:rPr>
        <w:t xml:space="preserve">los artículos 28, </w:t>
      </w:r>
      <w:r w:rsidR="00961B7F" w:rsidRPr="00724A07">
        <w:rPr>
          <w:rFonts w:ascii="ITC Avant Garde" w:hAnsi="ITC Avant Garde"/>
          <w:bCs/>
          <w:lang w:val="es-ES_tradnl"/>
        </w:rPr>
        <w:t xml:space="preserve">párrafos décimo quinto y décimo sexto, </w:t>
      </w:r>
      <w:r w:rsidR="00961B7F" w:rsidRPr="00724A07">
        <w:rPr>
          <w:rFonts w:ascii="ITC Avant Garde" w:hAnsi="ITC Avant Garde"/>
        </w:rPr>
        <w:t>de la Constitución Política de los Estados Unidos Mexicanos; 7, párrafos primero y tercero, y 15, fracción XVIII de la</w:t>
      </w:r>
      <w:r w:rsidR="00961B7F" w:rsidRPr="00724A07">
        <w:t xml:space="preserve"> </w:t>
      </w:r>
      <w:r w:rsidRPr="00724A07">
        <w:rPr>
          <w:rFonts w:ascii="ITC Avant Garde" w:hAnsi="ITC Avant Garde"/>
          <w:lang w:val="es-MX"/>
        </w:rPr>
        <w:t>LFTR</w:t>
      </w:r>
      <w:r w:rsidR="00961B7F" w:rsidRPr="00724A07">
        <w:rPr>
          <w:rFonts w:ascii="ITC Avant Garde" w:hAnsi="ITC Avant Garde"/>
        </w:rPr>
        <w:t xml:space="preserve">; 1, 2, 5, párrafo primero, 12, fracción XXII, párrafo tercero, inciso g), 18, párrafo séptimo, y 138 fracciones I y II de la LFCE; </w:t>
      </w:r>
      <w:r w:rsidR="00961B7F" w:rsidRPr="00724A07">
        <w:rPr>
          <w:rFonts w:ascii="ITC Avant Garde" w:hAnsi="ITC Avant Garde"/>
          <w:bCs/>
          <w:lang w:val="es-ES_tradnl"/>
        </w:rPr>
        <w:t xml:space="preserve">187 de </w:t>
      </w:r>
      <w:r w:rsidR="00961B7F" w:rsidRPr="00724A07">
        <w:rPr>
          <w:rFonts w:ascii="ITC Avant Garde" w:hAnsi="ITC Avant Garde"/>
        </w:rPr>
        <w:t>las Disposiciones Regulatorias</w:t>
      </w:r>
      <w:r w:rsidR="00117914" w:rsidRPr="00724A07">
        <w:rPr>
          <w:rFonts w:ascii="ITC Avant Garde" w:hAnsi="ITC Avant Garde"/>
          <w:lang w:val="es-MX"/>
        </w:rPr>
        <w:t>;</w:t>
      </w:r>
      <w:r w:rsidRPr="00724A07">
        <w:rPr>
          <w:rFonts w:ascii="ITC Avant Garde" w:hAnsi="ITC Avant Garde"/>
          <w:lang w:val="es-MX"/>
        </w:rPr>
        <w:t xml:space="preserve"> </w:t>
      </w:r>
      <w:r w:rsidRPr="00724A07">
        <w:rPr>
          <w:rFonts w:ascii="ITC Avant Garde" w:hAnsi="ITC Avant Garde"/>
          <w:bCs/>
          <w:lang w:val="es-ES_tradnl"/>
        </w:rPr>
        <w:t xml:space="preserve">1, párrafos primero y tercero, 2, fracción X, 4, fracciones </w:t>
      </w:r>
      <w:r w:rsidR="00117914" w:rsidRPr="00724A07">
        <w:rPr>
          <w:rFonts w:ascii="ITC Avant Garde" w:hAnsi="ITC Avant Garde"/>
          <w:bCs/>
          <w:lang w:val="es-ES_tradnl"/>
        </w:rPr>
        <w:t xml:space="preserve">I, </w:t>
      </w:r>
      <w:r w:rsidRPr="00724A07">
        <w:rPr>
          <w:rFonts w:ascii="ITC Avant Garde" w:hAnsi="ITC Avant Garde"/>
          <w:bCs/>
          <w:lang w:val="es-ES_tradnl"/>
        </w:rPr>
        <w:t>V, inciso vi) y VI</w:t>
      </w:r>
      <w:r w:rsidR="00117914" w:rsidRPr="00724A07">
        <w:rPr>
          <w:rFonts w:ascii="ITC Avant Garde" w:hAnsi="ITC Avant Garde"/>
          <w:bCs/>
          <w:lang w:val="es-ES_tradnl"/>
        </w:rPr>
        <w:t>, y 6, fracción XXXVIII</w:t>
      </w:r>
      <w:r w:rsidRPr="00724A07">
        <w:rPr>
          <w:rFonts w:ascii="ITC Avant Garde" w:hAnsi="ITC Avant Garde"/>
          <w:bCs/>
          <w:lang w:val="es-ES_tradnl"/>
        </w:rPr>
        <w:t xml:space="preserve"> </w:t>
      </w:r>
      <w:r w:rsidRPr="00724A07">
        <w:rPr>
          <w:rFonts w:ascii="ITC Avant Garde" w:hAnsi="ITC Avant Garde"/>
        </w:rPr>
        <w:t>del Estatuto Orgánico</w:t>
      </w:r>
      <w:r w:rsidR="00117914" w:rsidRPr="00724A07">
        <w:rPr>
          <w:rFonts w:ascii="ITC Avant Garde" w:hAnsi="ITC Avant Garde"/>
          <w:lang w:val="es-MX"/>
        </w:rPr>
        <w:t xml:space="preserve">, así como </w:t>
      </w:r>
      <w:r w:rsidR="00117914" w:rsidRPr="00724A07">
        <w:rPr>
          <w:rFonts w:ascii="ITC Avant Garde" w:hAnsi="ITC Avant Garde"/>
        </w:rPr>
        <w:t>los Lineamientos Primero, segundo párrafo, Tercero, fracción II, Cuarto, Quinto, Octavo, Noveno y Vigésimo Primero, segundo párrafo, de los Lineamientos de Consulta Pública</w:t>
      </w:r>
      <w:r w:rsidR="00117914" w:rsidRPr="00724A07">
        <w:rPr>
          <w:rFonts w:ascii="ITC Avant Garde" w:hAnsi="ITC Avant Garde"/>
          <w:lang w:val="es-MX"/>
        </w:rPr>
        <w:t xml:space="preserve">. El Acuerdo de Consulta Pública </w:t>
      </w:r>
      <w:r w:rsidR="0034015E" w:rsidRPr="00724A07">
        <w:rPr>
          <w:rFonts w:ascii="ITC Avant Garde" w:hAnsi="ITC Avant Garde"/>
          <w:lang w:val="es-MX"/>
        </w:rPr>
        <w:t>señala:</w:t>
      </w:r>
    </w:p>
    <w:p w14:paraId="291046AF" w14:textId="77777777" w:rsidR="00417BD3" w:rsidRPr="006072E6" w:rsidRDefault="00417BD3" w:rsidP="006072E6">
      <w:pPr>
        <w:spacing w:after="120" w:line="240" w:lineRule="auto"/>
        <w:ind w:left="1134" w:right="724"/>
        <w:jc w:val="both"/>
        <w:rPr>
          <w:rFonts w:ascii="ITC Avant Garde" w:hAnsi="ITC Avant Garde"/>
          <w:bCs/>
          <w:i/>
          <w:sz w:val="18"/>
          <w:szCs w:val="18"/>
        </w:rPr>
      </w:pPr>
      <w:r w:rsidRPr="006072E6">
        <w:rPr>
          <w:rFonts w:ascii="ITC Avant Garde" w:hAnsi="ITC Avant Garde"/>
          <w:b/>
          <w:i/>
          <w:sz w:val="18"/>
          <w:szCs w:val="18"/>
        </w:rPr>
        <w:t>Primero</w:t>
      </w:r>
      <w:r w:rsidRPr="006072E6">
        <w:rPr>
          <w:rFonts w:ascii="ITC Avant Garde" w:hAnsi="ITC Avant Garde"/>
          <w:bCs/>
          <w:i/>
          <w:sz w:val="18"/>
          <w:szCs w:val="18"/>
        </w:rPr>
        <w:t>.- Someter a consulta pública por un plazo de 30 (treinta) días hábiles, contados a partir del día hábil siguiente a aquel en que se publique su extracto en el Diario Oficial de la Federación el “Anteproyecto de Guía para determinar Mercados Relevantes en los Sectores de Telecomunicaciones y Radiodifusión”, acompañado de su respectivo Análisis de Nulo Impacto Regulatorio, mismos que se acompañan al presente como Anexo Único, a fin de que cualquier interesado presente opiniones al Instituto sobre el anteproyecto referido.</w:t>
      </w:r>
      <w:r w:rsidRPr="006072E6" w:rsidDel="00417BD3">
        <w:rPr>
          <w:rFonts w:ascii="ITC Avant Garde" w:hAnsi="ITC Avant Garde"/>
          <w:bCs/>
          <w:i/>
          <w:sz w:val="18"/>
          <w:szCs w:val="18"/>
        </w:rPr>
        <w:t xml:space="preserve"> </w:t>
      </w:r>
    </w:p>
    <w:p w14:paraId="173E864B" w14:textId="1187FD62" w:rsidR="0034015E" w:rsidRPr="006072E6" w:rsidRDefault="0034015E" w:rsidP="006072E6">
      <w:pPr>
        <w:spacing w:after="120" w:line="240" w:lineRule="auto"/>
        <w:ind w:left="1134" w:right="724"/>
        <w:jc w:val="both"/>
        <w:rPr>
          <w:rFonts w:ascii="ITC Avant Garde" w:hAnsi="ITC Avant Garde"/>
          <w:sz w:val="18"/>
        </w:rPr>
      </w:pPr>
      <w:r w:rsidRPr="006072E6">
        <w:rPr>
          <w:rFonts w:ascii="ITC Avant Garde" w:hAnsi="ITC Avant Garde"/>
          <w:sz w:val="18"/>
        </w:rPr>
        <w:t>[…]</w:t>
      </w:r>
    </w:p>
    <w:p w14:paraId="6AC00F06" w14:textId="7591F695" w:rsidR="00AB60D8" w:rsidRPr="006072E6" w:rsidRDefault="00AB60D8" w:rsidP="006072E6">
      <w:pPr>
        <w:spacing w:after="120" w:line="240" w:lineRule="auto"/>
        <w:ind w:left="1134" w:right="724"/>
        <w:jc w:val="both"/>
        <w:rPr>
          <w:rFonts w:ascii="ITC Avant Garde" w:hAnsi="ITC Avant Garde" w:cs="Tahoma"/>
          <w:bCs/>
          <w:i/>
          <w:color w:val="000000"/>
          <w:sz w:val="18"/>
          <w:szCs w:val="18"/>
          <w:lang w:eastAsia="es-MX"/>
        </w:rPr>
      </w:pPr>
      <w:r w:rsidRPr="006072E6">
        <w:rPr>
          <w:rFonts w:ascii="ITC Avant Garde" w:hAnsi="ITC Avant Garde" w:cs="Tahoma"/>
          <w:b/>
          <w:i/>
          <w:color w:val="000000"/>
          <w:sz w:val="18"/>
          <w:szCs w:val="18"/>
          <w:lang w:eastAsia="es-MX"/>
        </w:rPr>
        <w:t>Tercero</w:t>
      </w:r>
      <w:r w:rsidRPr="006072E6">
        <w:rPr>
          <w:rFonts w:ascii="ITC Avant Garde" w:hAnsi="ITC Avant Garde" w:cs="Tahoma"/>
          <w:bCs/>
          <w:i/>
          <w:color w:val="000000"/>
          <w:sz w:val="18"/>
          <w:szCs w:val="18"/>
          <w:lang w:eastAsia="es-MX"/>
        </w:rPr>
        <w:t>.- Instruir a la Unidad de Competencia Económica y a la Autoridad Investigadora de este Instituto, en el ámbito de sus respectivas competencias, a recibir y analizar los comentarios y las opiniones que sean vertidas en virtud de la consulta pública materia del presente Acuerdo; y, al término del plazo referido en el Acuerdo Primero, elaborar un informe con un resumen de los comentarios recibidos, así como de sus consideraciones a los mismos, en un plazo no mayor de 30 (treinta) días hábiles. Dicho informe deberá publicarse en el sitio de Internet del Instituto.</w:t>
      </w:r>
    </w:p>
    <w:p w14:paraId="7BADA0CB" w14:textId="07DEFC70" w:rsidR="00117914" w:rsidRPr="006072E6" w:rsidRDefault="00117914" w:rsidP="006072E6">
      <w:pPr>
        <w:spacing w:after="120" w:line="240" w:lineRule="auto"/>
        <w:ind w:left="1134" w:right="724"/>
        <w:jc w:val="both"/>
        <w:rPr>
          <w:rFonts w:ascii="ITC Avant Garde" w:hAnsi="ITC Avant Garde" w:cs="Tahoma"/>
          <w:bCs/>
          <w:i/>
          <w:iCs/>
          <w:color w:val="000000"/>
          <w:sz w:val="18"/>
          <w:szCs w:val="18"/>
          <w:lang w:eastAsia="es-MX"/>
        </w:rPr>
      </w:pPr>
      <w:r w:rsidRPr="006072E6">
        <w:rPr>
          <w:rFonts w:ascii="ITC Avant Garde" w:hAnsi="ITC Avant Garde"/>
          <w:b/>
          <w:bCs/>
          <w:i/>
          <w:iCs/>
          <w:sz w:val="18"/>
          <w:szCs w:val="18"/>
        </w:rPr>
        <w:t>Cuarto.-</w:t>
      </w:r>
      <w:r w:rsidRPr="006072E6">
        <w:rPr>
          <w:rFonts w:ascii="ITC Avant Garde" w:hAnsi="ITC Avant Garde"/>
          <w:i/>
          <w:iCs/>
          <w:sz w:val="18"/>
          <w:szCs w:val="18"/>
        </w:rPr>
        <w:t xml:space="preserve"> Instruir a la Unidad de Competencia Económica y a la Autoridad Investigadora de este Instituto, en el ámbito de sus respectivas competencias, a recabar la opinión de la Comisión Federal de Competencia Económica en relación con el anteproyecto materia del presente acuerdo.</w:t>
      </w:r>
    </w:p>
    <w:p w14:paraId="659978B1" w14:textId="7E5C730A" w:rsidR="003D69FC" w:rsidRPr="00724A07" w:rsidRDefault="00117914" w:rsidP="006072E6">
      <w:pPr>
        <w:pStyle w:val="Prrafodelista"/>
        <w:numPr>
          <w:ilvl w:val="0"/>
          <w:numId w:val="38"/>
        </w:numPr>
        <w:spacing w:after="120" w:line="240" w:lineRule="auto"/>
        <w:contextualSpacing w:val="0"/>
        <w:jc w:val="both"/>
        <w:rPr>
          <w:rFonts w:ascii="ITC Avant Garde" w:hAnsi="ITC Avant Garde"/>
        </w:rPr>
      </w:pPr>
      <w:r w:rsidRPr="00724A07">
        <w:rPr>
          <w:rFonts w:ascii="ITC Avant Garde" w:hAnsi="ITC Avant Garde"/>
          <w:b/>
          <w:bCs/>
          <w:lang w:val="es-MX"/>
        </w:rPr>
        <w:t>Publicación en el DOF</w:t>
      </w:r>
      <w:r w:rsidRPr="00724A07">
        <w:rPr>
          <w:rFonts w:ascii="ITC Avant Garde" w:hAnsi="ITC Avant Garde"/>
          <w:lang w:val="es-MX"/>
        </w:rPr>
        <w:t xml:space="preserve">. </w:t>
      </w:r>
      <w:r w:rsidR="003D69FC" w:rsidRPr="00724A07">
        <w:rPr>
          <w:rFonts w:ascii="ITC Avant Garde" w:hAnsi="ITC Avant Garde"/>
          <w:lang w:val="es-MX"/>
        </w:rPr>
        <w:t xml:space="preserve">El </w:t>
      </w:r>
      <w:r w:rsidR="00D66812">
        <w:rPr>
          <w:rFonts w:ascii="ITC Avant Garde" w:hAnsi="ITC Avant Garde"/>
          <w:lang w:val="es-MX"/>
        </w:rPr>
        <w:t>09</w:t>
      </w:r>
      <w:r w:rsidR="00D66812" w:rsidRPr="00724A07">
        <w:rPr>
          <w:rFonts w:ascii="ITC Avant Garde" w:hAnsi="ITC Avant Garde"/>
          <w:lang w:val="es-MX"/>
        </w:rPr>
        <w:t xml:space="preserve"> </w:t>
      </w:r>
      <w:r w:rsidR="003D69FC" w:rsidRPr="00724A07">
        <w:rPr>
          <w:rFonts w:ascii="ITC Avant Garde" w:hAnsi="ITC Avant Garde"/>
          <w:lang w:val="es-MX"/>
        </w:rPr>
        <w:t>de ju</w:t>
      </w:r>
      <w:r w:rsidR="00AB60D8" w:rsidRPr="00724A07">
        <w:rPr>
          <w:rFonts w:ascii="ITC Avant Garde" w:hAnsi="ITC Avant Garde"/>
          <w:lang w:val="es-MX"/>
        </w:rPr>
        <w:t>l</w:t>
      </w:r>
      <w:r w:rsidR="003D69FC" w:rsidRPr="00724A07">
        <w:rPr>
          <w:rFonts w:ascii="ITC Avant Garde" w:hAnsi="ITC Avant Garde"/>
          <w:lang w:val="es-MX"/>
        </w:rPr>
        <w:t xml:space="preserve">io de </w:t>
      </w:r>
      <w:r w:rsidR="00D66812">
        <w:rPr>
          <w:rFonts w:ascii="ITC Avant Garde" w:hAnsi="ITC Avant Garde"/>
          <w:lang w:val="es-MX"/>
        </w:rPr>
        <w:t>2021</w:t>
      </w:r>
      <w:r w:rsidR="003D69FC" w:rsidRPr="00724A07">
        <w:rPr>
          <w:rFonts w:ascii="ITC Avant Garde" w:hAnsi="ITC Avant Garde"/>
          <w:lang w:val="es-MX"/>
        </w:rPr>
        <w:t xml:space="preserve"> se publicó </w:t>
      </w:r>
      <w:r w:rsidR="00BF01E4" w:rsidRPr="00724A07">
        <w:rPr>
          <w:rFonts w:ascii="ITC Avant Garde" w:hAnsi="ITC Avant Garde"/>
          <w:lang w:val="es-MX"/>
        </w:rPr>
        <w:t xml:space="preserve">en el </w:t>
      </w:r>
      <w:r w:rsidRPr="00724A07">
        <w:rPr>
          <w:rFonts w:ascii="ITC Avant Garde" w:hAnsi="ITC Avant Garde"/>
          <w:lang w:val="es-MX"/>
        </w:rPr>
        <w:t>DOF</w:t>
      </w:r>
      <w:r w:rsidR="00BF01E4" w:rsidRPr="00724A07">
        <w:rPr>
          <w:rFonts w:ascii="ITC Avant Garde" w:hAnsi="ITC Avant Garde"/>
          <w:lang w:val="es-MX"/>
        </w:rPr>
        <w:t xml:space="preserve"> </w:t>
      </w:r>
      <w:r w:rsidR="003D69FC" w:rsidRPr="00724A07">
        <w:rPr>
          <w:rFonts w:ascii="ITC Avant Garde" w:hAnsi="ITC Avant Garde"/>
          <w:lang w:val="es-MX"/>
        </w:rPr>
        <w:t xml:space="preserve">un </w:t>
      </w:r>
      <w:r w:rsidR="00EA0AFF" w:rsidRPr="00724A07">
        <w:rPr>
          <w:rFonts w:ascii="ITC Avant Garde" w:hAnsi="ITC Avant Garde"/>
          <w:lang w:val="es-MX"/>
        </w:rPr>
        <w:t xml:space="preserve">extracto </w:t>
      </w:r>
      <w:r w:rsidR="007621B4" w:rsidRPr="00724A07">
        <w:rPr>
          <w:rFonts w:ascii="ITC Avant Garde" w:hAnsi="ITC Avant Garde"/>
          <w:lang w:val="es-MX"/>
        </w:rPr>
        <w:t>del Anteproyecto de</w:t>
      </w:r>
      <w:r w:rsidR="00BF4A9E" w:rsidRPr="00724A07">
        <w:rPr>
          <w:rFonts w:ascii="ITC Avant Garde" w:hAnsi="ITC Avant Garde"/>
          <w:lang w:val="es-MX"/>
        </w:rPr>
        <w:t xml:space="preserve"> Guía</w:t>
      </w:r>
      <w:r w:rsidR="003D69FC" w:rsidRPr="00724A07">
        <w:rPr>
          <w:rFonts w:ascii="ITC Avant Garde" w:hAnsi="ITC Avant Garde"/>
          <w:lang w:val="es-MX"/>
        </w:rPr>
        <w:t>.</w:t>
      </w:r>
    </w:p>
    <w:p w14:paraId="4BB81AAE" w14:textId="77D9D732" w:rsidR="0034015E" w:rsidRPr="00724A07" w:rsidRDefault="00117914" w:rsidP="006072E6">
      <w:pPr>
        <w:pStyle w:val="Prrafodelista"/>
        <w:numPr>
          <w:ilvl w:val="0"/>
          <w:numId w:val="38"/>
        </w:numPr>
        <w:spacing w:after="120" w:line="240" w:lineRule="auto"/>
        <w:contextualSpacing w:val="0"/>
        <w:jc w:val="both"/>
        <w:rPr>
          <w:rFonts w:ascii="ITC Avant Garde" w:hAnsi="ITC Avant Garde"/>
        </w:rPr>
      </w:pPr>
      <w:r w:rsidRPr="00724A07">
        <w:rPr>
          <w:rFonts w:ascii="ITC Avant Garde" w:hAnsi="ITC Avant Garde"/>
          <w:b/>
          <w:bCs/>
          <w:lang w:val="es-MX"/>
        </w:rPr>
        <w:t>Consulta Pública.</w:t>
      </w:r>
      <w:r w:rsidRPr="00724A07">
        <w:rPr>
          <w:rFonts w:ascii="ITC Avant Garde" w:hAnsi="ITC Avant Garde"/>
          <w:lang w:val="es-MX"/>
        </w:rPr>
        <w:t xml:space="preserve"> </w:t>
      </w:r>
      <w:r w:rsidR="00E564E0" w:rsidRPr="00724A07">
        <w:rPr>
          <w:rFonts w:ascii="ITC Avant Garde" w:hAnsi="ITC Avant Garde"/>
        </w:rPr>
        <w:t>D</w:t>
      </w:r>
      <w:r w:rsidR="0034015E" w:rsidRPr="00724A07">
        <w:rPr>
          <w:rFonts w:ascii="ITC Avant Garde" w:hAnsi="ITC Avant Garde"/>
        </w:rPr>
        <w:t xml:space="preserve">el </w:t>
      </w:r>
      <w:r w:rsidR="00D66812">
        <w:rPr>
          <w:rFonts w:ascii="ITC Avant Garde" w:hAnsi="ITC Avant Garde"/>
          <w:lang w:val="es-MX"/>
        </w:rPr>
        <w:t>12</w:t>
      </w:r>
      <w:r w:rsidR="00D66812" w:rsidRPr="00724A07">
        <w:rPr>
          <w:rFonts w:ascii="ITC Avant Garde" w:hAnsi="ITC Avant Garde"/>
        </w:rPr>
        <w:t xml:space="preserve"> </w:t>
      </w:r>
      <w:r w:rsidR="0034015E" w:rsidRPr="00724A07">
        <w:rPr>
          <w:rFonts w:ascii="ITC Avant Garde" w:hAnsi="ITC Avant Garde"/>
        </w:rPr>
        <w:t xml:space="preserve">de </w:t>
      </w:r>
      <w:r w:rsidR="007621B4" w:rsidRPr="00724A07">
        <w:rPr>
          <w:rFonts w:ascii="ITC Avant Garde" w:hAnsi="ITC Avant Garde"/>
          <w:lang w:val="es-MX"/>
        </w:rPr>
        <w:t>ju</w:t>
      </w:r>
      <w:r w:rsidR="00AB60D8" w:rsidRPr="00724A07">
        <w:rPr>
          <w:rFonts w:ascii="ITC Avant Garde" w:hAnsi="ITC Avant Garde"/>
          <w:lang w:val="es-MX"/>
        </w:rPr>
        <w:t>l</w:t>
      </w:r>
      <w:r w:rsidR="007621B4" w:rsidRPr="00724A07">
        <w:rPr>
          <w:rFonts w:ascii="ITC Avant Garde" w:hAnsi="ITC Avant Garde"/>
          <w:lang w:val="es-MX"/>
        </w:rPr>
        <w:t>io</w:t>
      </w:r>
      <w:r w:rsidR="0034015E" w:rsidRPr="00724A07">
        <w:rPr>
          <w:rFonts w:ascii="ITC Avant Garde" w:hAnsi="ITC Avant Garde"/>
        </w:rPr>
        <w:t xml:space="preserve"> al </w:t>
      </w:r>
      <w:r w:rsidR="00D66812">
        <w:rPr>
          <w:rFonts w:ascii="ITC Avant Garde" w:hAnsi="ITC Avant Garde"/>
          <w:lang w:val="es-MX"/>
        </w:rPr>
        <w:t>03</w:t>
      </w:r>
      <w:r w:rsidR="00D66812" w:rsidRPr="00724A07">
        <w:rPr>
          <w:rFonts w:ascii="ITC Avant Garde" w:hAnsi="ITC Avant Garde"/>
        </w:rPr>
        <w:t xml:space="preserve"> </w:t>
      </w:r>
      <w:r w:rsidR="0034015E" w:rsidRPr="00724A07">
        <w:rPr>
          <w:rFonts w:ascii="ITC Avant Garde" w:hAnsi="ITC Avant Garde"/>
        </w:rPr>
        <w:t xml:space="preserve">de </w:t>
      </w:r>
      <w:r w:rsidR="00AB60D8" w:rsidRPr="00724A07">
        <w:rPr>
          <w:rFonts w:ascii="ITC Avant Garde" w:hAnsi="ITC Avant Garde"/>
          <w:lang w:val="es-MX"/>
        </w:rPr>
        <w:t>septiembre</w:t>
      </w:r>
      <w:r w:rsidR="0034015E" w:rsidRPr="00724A07">
        <w:rPr>
          <w:rFonts w:ascii="ITC Avant Garde" w:hAnsi="ITC Avant Garde"/>
        </w:rPr>
        <w:t xml:space="preserve">, ambos de </w:t>
      </w:r>
      <w:r w:rsidR="00D66812">
        <w:rPr>
          <w:rFonts w:ascii="ITC Avant Garde" w:hAnsi="ITC Avant Garde"/>
          <w:lang w:val="es-MX"/>
        </w:rPr>
        <w:t>2021</w:t>
      </w:r>
      <w:r w:rsidR="00E564E0" w:rsidRPr="00724A07">
        <w:rPr>
          <w:rFonts w:ascii="ITC Avant Garde" w:hAnsi="ITC Avant Garde"/>
        </w:rPr>
        <w:t xml:space="preserve">, se llevó a cabo la </w:t>
      </w:r>
      <w:r w:rsidR="006D3184" w:rsidRPr="00724A07">
        <w:rPr>
          <w:rFonts w:ascii="ITC Avant Garde" w:hAnsi="ITC Avant Garde"/>
          <w:lang w:val="es-MX"/>
        </w:rPr>
        <w:t>C</w:t>
      </w:r>
      <w:proofErr w:type="spellStart"/>
      <w:r w:rsidR="00E564E0" w:rsidRPr="00724A07">
        <w:rPr>
          <w:rFonts w:ascii="ITC Avant Garde" w:hAnsi="ITC Avant Garde"/>
        </w:rPr>
        <w:t>onsulta</w:t>
      </w:r>
      <w:proofErr w:type="spellEnd"/>
      <w:r w:rsidR="00E564E0" w:rsidRPr="00724A07">
        <w:rPr>
          <w:rFonts w:ascii="ITC Avant Garde" w:hAnsi="ITC Avant Garde"/>
        </w:rPr>
        <w:t xml:space="preserve"> </w:t>
      </w:r>
      <w:r w:rsidR="006D3184" w:rsidRPr="00724A07">
        <w:rPr>
          <w:rFonts w:ascii="ITC Avant Garde" w:hAnsi="ITC Avant Garde"/>
          <w:lang w:val="es-MX"/>
        </w:rPr>
        <w:t>P</w:t>
      </w:r>
      <w:proofErr w:type="spellStart"/>
      <w:r w:rsidR="00E564E0" w:rsidRPr="00724A07">
        <w:rPr>
          <w:rFonts w:ascii="ITC Avant Garde" w:hAnsi="ITC Avant Garde"/>
        </w:rPr>
        <w:t>ública</w:t>
      </w:r>
      <w:proofErr w:type="spellEnd"/>
      <w:r w:rsidR="0034015E" w:rsidRPr="00724A07">
        <w:rPr>
          <w:rFonts w:ascii="ITC Avant Garde" w:hAnsi="ITC Avant Garde"/>
        </w:rPr>
        <w:t>.</w:t>
      </w:r>
      <w:r w:rsidR="00E564E0" w:rsidRPr="00724A07">
        <w:rPr>
          <w:rFonts w:ascii="ITC Avant Garde" w:hAnsi="ITC Avant Garde"/>
        </w:rPr>
        <w:t xml:space="preserve"> </w:t>
      </w:r>
    </w:p>
    <w:p w14:paraId="1BCB17EB" w14:textId="7B21952B" w:rsidR="006D3184" w:rsidRPr="00724A07" w:rsidRDefault="00C7398C" w:rsidP="006072E6">
      <w:pPr>
        <w:pStyle w:val="Prrafodelista"/>
        <w:numPr>
          <w:ilvl w:val="0"/>
          <w:numId w:val="38"/>
        </w:numPr>
        <w:spacing w:after="120" w:line="240" w:lineRule="auto"/>
        <w:contextualSpacing w:val="0"/>
        <w:jc w:val="both"/>
        <w:rPr>
          <w:rFonts w:ascii="ITC Avant Garde" w:hAnsi="ITC Avant Garde"/>
          <w:b/>
          <w:bCs/>
        </w:rPr>
      </w:pPr>
      <w:r w:rsidRPr="00724A07">
        <w:rPr>
          <w:rFonts w:ascii="ITC Avant Garde" w:hAnsi="ITC Avant Garde"/>
          <w:b/>
          <w:bCs/>
          <w:lang w:val="es-MX"/>
        </w:rPr>
        <w:t xml:space="preserve">Solicitud de opinión a </w:t>
      </w:r>
      <w:r w:rsidR="00C71FB6" w:rsidRPr="00724A07">
        <w:rPr>
          <w:rFonts w:ascii="ITC Avant Garde" w:hAnsi="ITC Avant Garde"/>
          <w:b/>
          <w:bCs/>
          <w:lang w:val="es-MX"/>
        </w:rPr>
        <w:t xml:space="preserve">la </w:t>
      </w:r>
      <w:r w:rsidRPr="00724A07">
        <w:rPr>
          <w:rFonts w:ascii="ITC Avant Garde" w:hAnsi="ITC Avant Garde"/>
          <w:b/>
          <w:bCs/>
          <w:lang w:val="es-MX"/>
        </w:rPr>
        <w:t xml:space="preserve">COFECE. </w:t>
      </w:r>
      <w:r w:rsidRPr="00724A07">
        <w:rPr>
          <w:rFonts w:ascii="ITC Avant Garde" w:hAnsi="ITC Avant Garde"/>
          <w:lang w:val="es-MX"/>
        </w:rPr>
        <w:t xml:space="preserve"> </w:t>
      </w:r>
      <w:r w:rsidR="004F113B">
        <w:rPr>
          <w:rFonts w:ascii="ITC Avant Garde" w:hAnsi="ITC Avant Garde"/>
          <w:lang w:val="es-MX"/>
        </w:rPr>
        <w:t>M</w:t>
      </w:r>
      <w:r w:rsidRPr="00724A07">
        <w:rPr>
          <w:rFonts w:ascii="ITC Avant Garde" w:hAnsi="ITC Avant Garde"/>
          <w:lang w:val="es-MX"/>
        </w:rPr>
        <w:t xml:space="preserve">ediante </w:t>
      </w:r>
      <w:r w:rsidR="005A6671">
        <w:rPr>
          <w:rFonts w:ascii="ITC Avant Garde" w:hAnsi="ITC Avant Garde"/>
          <w:lang w:val="es-MX"/>
        </w:rPr>
        <w:t xml:space="preserve">el </w:t>
      </w:r>
      <w:r w:rsidRPr="00724A07">
        <w:rPr>
          <w:rFonts w:ascii="ITC Avant Garde" w:hAnsi="ITC Avant Garde"/>
          <w:lang w:val="es-MX"/>
        </w:rPr>
        <w:t>Oficio IFT/110/AI/054/2021</w:t>
      </w:r>
      <w:r w:rsidR="004F113B">
        <w:rPr>
          <w:rFonts w:ascii="ITC Avant Garde" w:hAnsi="ITC Avant Garde"/>
          <w:lang w:val="es-MX"/>
        </w:rPr>
        <w:t xml:space="preserve"> de fecha de</w:t>
      </w:r>
      <w:r w:rsidRPr="00724A07">
        <w:rPr>
          <w:rFonts w:ascii="ITC Avant Garde" w:hAnsi="ITC Avant Garde"/>
          <w:lang w:val="es-MX"/>
        </w:rPr>
        <w:t xml:space="preserve"> </w:t>
      </w:r>
      <w:r w:rsidR="00556F1C">
        <w:rPr>
          <w:rFonts w:ascii="ITC Avant Garde" w:hAnsi="ITC Avant Garde"/>
          <w:lang w:val="es-MX"/>
        </w:rPr>
        <w:t>13</w:t>
      </w:r>
      <w:r w:rsidR="004F113B" w:rsidRPr="00724A07">
        <w:rPr>
          <w:rFonts w:ascii="ITC Avant Garde" w:hAnsi="ITC Avant Garde"/>
          <w:lang w:val="es-MX"/>
        </w:rPr>
        <w:t xml:space="preserve"> de julio de </w:t>
      </w:r>
      <w:r w:rsidR="006072E6">
        <w:rPr>
          <w:rFonts w:ascii="ITC Avant Garde" w:hAnsi="ITC Avant Garde"/>
          <w:lang w:val="es-MX"/>
        </w:rPr>
        <w:t>2021</w:t>
      </w:r>
      <w:r w:rsidR="004F113B">
        <w:rPr>
          <w:rFonts w:ascii="ITC Avant Garde" w:hAnsi="ITC Avant Garde"/>
          <w:lang w:val="es-MX"/>
        </w:rPr>
        <w:t>,</w:t>
      </w:r>
      <w:r w:rsidR="004F113B" w:rsidRPr="00724A07">
        <w:rPr>
          <w:rFonts w:ascii="ITC Avant Garde" w:hAnsi="ITC Avant Garde"/>
          <w:lang w:val="es-MX"/>
        </w:rPr>
        <w:t xml:space="preserve"> </w:t>
      </w:r>
      <w:r w:rsidRPr="00724A07">
        <w:rPr>
          <w:rFonts w:ascii="ITC Avant Garde" w:hAnsi="ITC Avant Garde"/>
          <w:lang w:val="es-MX"/>
        </w:rPr>
        <w:t xml:space="preserve">se solicitó a </w:t>
      </w:r>
      <w:r w:rsidR="00C71FB6" w:rsidRPr="00724A07">
        <w:rPr>
          <w:rFonts w:ascii="ITC Avant Garde" w:hAnsi="ITC Avant Garde"/>
          <w:lang w:val="es-MX"/>
        </w:rPr>
        <w:t xml:space="preserve">la </w:t>
      </w:r>
      <w:r w:rsidRPr="00724A07">
        <w:rPr>
          <w:rFonts w:ascii="ITC Avant Garde" w:hAnsi="ITC Avant Garde"/>
          <w:lang w:val="es-MX"/>
        </w:rPr>
        <w:t xml:space="preserve">COFECE emitir la opinión a la que se refiere el artículo 138, fracción I, </w:t>
      </w:r>
      <w:r w:rsidRPr="00724A07">
        <w:rPr>
          <w:rFonts w:ascii="ITC Avant Garde" w:hAnsi="ITC Avant Garde"/>
          <w:i/>
          <w:iCs/>
          <w:lang w:val="es-MX"/>
        </w:rPr>
        <w:t>in fine</w:t>
      </w:r>
      <w:r w:rsidRPr="00724A07">
        <w:rPr>
          <w:rFonts w:ascii="ITC Avant Garde" w:hAnsi="ITC Avant Garde"/>
          <w:lang w:val="es-MX"/>
        </w:rPr>
        <w:t>, de la LFCE, en relación con el Anteproyecto de Guía.</w:t>
      </w:r>
      <w:r w:rsidR="0086133F">
        <w:rPr>
          <w:rStyle w:val="Refdenotaalpie"/>
          <w:rFonts w:ascii="ITC Avant Garde" w:hAnsi="ITC Avant Garde"/>
          <w:lang w:val="es-MX"/>
        </w:rPr>
        <w:footnoteReference w:id="3"/>
      </w:r>
    </w:p>
    <w:p w14:paraId="09D0AF3A" w14:textId="52648423" w:rsidR="00C7398C" w:rsidRPr="00724A07" w:rsidRDefault="00C7398C" w:rsidP="006072E6">
      <w:pPr>
        <w:pStyle w:val="Prrafodelista"/>
        <w:numPr>
          <w:ilvl w:val="0"/>
          <w:numId w:val="38"/>
        </w:numPr>
        <w:spacing w:after="120" w:line="240" w:lineRule="auto"/>
        <w:contextualSpacing w:val="0"/>
        <w:jc w:val="both"/>
        <w:rPr>
          <w:rFonts w:ascii="ITC Avant Garde" w:hAnsi="ITC Avant Garde"/>
          <w:b/>
          <w:bCs/>
        </w:rPr>
      </w:pPr>
      <w:r w:rsidRPr="00724A07">
        <w:rPr>
          <w:rFonts w:ascii="ITC Avant Garde" w:hAnsi="ITC Avant Garde"/>
          <w:b/>
          <w:bCs/>
          <w:lang w:val="es-MX"/>
        </w:rPr>
        <w:lastRenderedPageBreak/>
        <w:t>Opinión de</w:t>
      </w:r>
      <w:r w:rsidR="00C71FB6" w:rsidRPr="00724A07">
        <w:rPr>
          <w:rFonts w:ascii="ITC Avant Garde" w:hAnsi="ITC Avant Garde"/>
          <w:b/>
          <w:bCs/>
          <w:lang w:val="es-MX"/>
        </w:rPr>
        <w:t xml:space="preserve"> la</w:t>
      </w:r>
      <w:r w:rsidRPr="00724A07">
        <w:rPr>
          <w:rFonts w:ascii="ITC Avant Garde" w:hAnsi="ITC Avant Garde"/>
          <w:b/>
          <w:bCs/>
          <w:lang w:val="es-MX"/>
        </w:rPr>
        <w:t xml:space="preserve"> COFECE. </w:t>
      </w:r>
      <w:r w:rsidR="004F113B">
        <w:rPr>
          <w:rFonts w:ascii="ITC Avant Garde" w:hAnsi="ITC Avant Garde"/>
          <w:lang w:val="es-MX"/>
        </w:rPr>
        <w:t>M</w:t>
      </w:r>
      <w:r w:rsidRPr="00724A07">
        <w:rPr>
          <w:rFonts w:ascii="ITC Avant Garde" w:hAnsi="ITC Avant Garde"/>
          <w:lang w:val="es-MX"/>
        </w:rPr>
        <w:t xml:space="preserve">ediante </w:t>
      </w:r>
      <w:r w:rsidR="008A1F4F">
        <w:rPr>
          <w:rFonts w:ascii="ITC Avant Garde" w:hAnsi="ITC Avant Garde"/>
          <w:lang w:val="es-MX"/>
        </w:rPr>
        <w:t xml:space="preserve">el </w:t>
      </w:r>
      <w:r w:rsidRPr="00724A07">
        <w:rPr>
          <w:rFonts w:ascii="ITC Avant Garde" w:hAnsi="ITC Avant Garde"/>
          <w:lang w:val="es-MX"/>
        </w:rPr>
        <w:t>Oficio ST-CFCE-2021</w:t>
      </w:r>
      <w:r w:rsidR="00442EFD" w:rsidRPr="00724A07">
        <w:rPr>
          <w:rFonts w:ascii="ITC Avant Garde" w:hAnsi="ITC Avant Garde"/>
          <w:lang w:val="es-MX"/>
        </w:rPr>
        <w:t xml:space="preserve">-089 </w:t>
      </w:r>
      <w:r w:rsidR="004F113B">
        <w:rPr>
          <w:rFonts w:ascii="ITC Avant Garde" w:hAnsi="ITC Avant Garde"/>
          <w:lang w:val="es-MX"/>
        </w:rPr>
        <w:t xml:space="preserve">de fecha </w:t>
      </w:r>
      <w:r w:rsidR="00D66812">
        <w:rPr>
          <w:rFonts w:ascii="ITC Avant Garde" w:hAnsi="ITC Avant Garde"/>
          <w:lang w:val="es-MX"/>
        </w:rPr>
        <w:t>23</w:t>
      </w:r>
      <w:r w:rsidR="00D66812" w:rsidRPr="00724A07">
        <w:rPr>
          <w:rFonts w:ascii="ITC Avant Garde" w:hAnsi="ITC Avant Garde"/>
          <w:lang w:val="es-MX"/>
        </w:rPr>
        <w:t xml:space="preserve"> </w:t>
      </w:r>
      <w:r w:rsidR="004F113B" w:rsidRPr="00724A07">
        <w:rPr>
          <w:rFonts w:ascii="ITC Avant Garde" w:hAnsi="ITC Avant Garde"/>
          <w:lang w:val="es-MX"/>
        </w:rPr>
        <w:t>de septiembre de 2021</w:t>
      </w:r>
      <w:r w:rsidR="0086133F">
        <w:rPr>
          <w:rFonts w:ascii="ITC Avant Garde" w:hAnsi="ITC Avant Garde"/>
          <w:lang w:val="es-MX"/>
        </w:rPr>
        <w:t>,</w:t>
      </w:r>
      <w:r w:rsidR="004F113B">
        <w:rPr>
          <w:rFonts w:ascii="ITC Avant Garde" w:hAnsi="ITC Avant Garde"/>
          <w:lang w:val="es-MX"/>
        </w:rPr>
        <w:t xml:space="preserve"> </w:t>
      </w:r>
      <w:r w:rsidR="00442EFD" w:rsidRPr="00724A07">
        <w:rPr>
          <w:rFonts w:ascii="ITC Avant Garde" w:hAnsi="ITC Avant Garde"/>
          <w:lang w:val="es-MX"/>
        </w:rPr>
        <w:t xml:space="preserve">en atención al Oficio IFT/110/AI/054/2021, </w:t>
      </w:r>
      <w:r w:rsidR="00C71FB6" w:rsidRPr="00724A07">
        <w:rPr>
          <w:rFonts w:ascii="ITC Avant Garde" w:hAnsi="ITC Avant Garde"/>
          <w:lang w:val="es-MX"/>
        </w:rPr>
        <w:t xml:space="preserve">la </w:t>
      </w:r>
      <w:r w:rsidR="00442EFD" w:rsidRPr="00724A07">
        <w:rPr>
          <w:rFonts w:ascii="ITC Avant Garde" w:hAnsi="ITC Avant Garde"/>
          <w:lang w:val="es-MX"/>
        </w:rPr>
        <w:t>COFECE envió un documento que contiene comentarios o sugerencias al Anteproyecto de Guía.</w:t>
      </w:r>
    </w:p>
    <w:p w14:paraId="01994654" w14:textId="516F25DD" w:rsidR="006072E6" w:rsidRPr="00880368" w:rsidRDefault="006072E6" w:rsidP="00880368">
      <w:pPr>
        <w:spacing w:before="120" w:after="120" w:line="240" w:lineRule="auto"/>
        <w:jc w:val="both"/>
        <w:outlineLvl w:val="0"/>
        <w:rPr>
          <w:rFonts w:ascii="ITC Avant Garde" w:hAnsi="ITC Avant Garde"/>
          <w:b/>
          <w:bCs/>
          <w:smallCaps/>
        </w:rPr>
      </w:pPr>
      <w:r w:rsidRPr="00880368">
        <w:rPr>
          <w:rFonts w:ascii="ITC Avant Garde" w:hAnsi="ITC Avant Garde"/>
          <w:b/>
          <w:bCs/>
          <w:smallCaps/>
        </w:rPr>
        <w:t xml:space="preserve">2. </w:t>
      </w:r>
      <w:r>
        <w:rPr>
          <w:rFonts w:ascii="ITC Avant Garde" w:hAnsi="ITC Avant Garde"/>
          <w:b/>
          <w:bCs/>
          <w:smallCaps/>
        </w:rPr>
        <w:t>Fecha de elaboración</w:t>
      </w:r>
    </w:p>
    <w:p w14:paraId="6688C989" w14:textId="490D5337" w:rsidR="006072E6" w:rsidRDefault="006072E6" w:rsidP="006072E6">
      <w:pPr>
        <w:tabs>
          <w:tab w:val="left" w:pos="0"/>
        </w:tabs>
        <w:autoSpaceDE w:val="0"/>
        <w:autoSpaceDN w:val="0"/>
        <w:adjustRightInd w:val="0"/>
        <w:spacing w:after="120"/>
        <w:jc w:val="both"/>
        <w:rPr>
          <w:rFonts w:ascii="ITC Avant Garde" w:eastAsia="MS Mincho" w:hAnsi="ITC Avant Garde" w:cs="Arial"/>
          <w:color w:val="000000"/>
          <w:lang w:val="es-ES_tradnl" w:eastAsia="es-MX"/>
        </w:rPr>
      </w:pPr>
      <w:r>
        <w:rPr>
          <w:rFonts w:ascii="ITC Avant Garde" w:eastAsia="MS Mincho" w:hAnsi="ITC Avant Garde" w:cs="Arial"/>
          <w:color w:val="000000"/>
          <w:lang w:val="es-ES_tradnl" w:eastAsia="es-MX"/>
        </w:rPr>
        <w:t>El Informe se tiene por integrado</w:t>
      </w:r>
      <w:r w:rsidRPr="00A30A0C">
        <w:rPr>
          <w:rFonts w:ascii="ITC Avant Garde" w:eastAsia="MS Mincho" w:hAnsi="ITC Avant Garde" w:cs="Arial"/>
          <w:color w:val="000000"/>
          <w:lang w:val="es-ES_tradnl" w:eastAsia="es-MX"/>
        </w:rPr>
        <w:t xml:space="preserve"> a los </w:t>
      </w:r>
      <w:r w:rsidR="003A155F">
        <w:rPr>
          <w:rFonts w:ascii="ITC Avant Garde" w:eastAsia="MS Mincho" w:hAnsi="ITC Avant Garde" w:cs="Arial"/>
          <w:color w:val="000000"/>
          <w:lang w:val="es-ES_tradnl" w:eastAsia="es-MX"/>
        </w:rPr>
        <w:t>15</w:t>
      </w:r>
      <w:r w:rsidRPr="00A30A0C">
        <w:rPr>
          <w:rFonts w:ascii="ITC Avant Garde" w:eastAsia="MS Mincho" w:hAnsi="ITC Avant Garde" w:cs="Arial"/>
          <w:color w:val="000000"/>
          <w:lang w:val="es-ES_tradnl" w:eastAsia="es-MX"/>
        </w:rPr>
        <w:t xml:space="preserve"> días del mes de octubre de </w:t>
      </w:r>
      <w:r>
        <w:rPr>
          <w:rFonts w:ascii="ITC Avant Garde" w:eastAsia="MS Mincho" w:hAnsi="ITC Avant Garde" w:cs="Arial"/>
          <w:color w:val="000000"/>
          <w:lang w:val="es-ES_tradnl" w:eastAsia="es-MX"/>
        </w:rPr>
        <w:t>2021</w:t>
      </w:r>
      <w:r w:rsidRPr="00A30A0C">
        <w:rPr>
          <w:rFonts w:ascii="ITC Avant Garde" w:eastAsia="MS Mincho" w:hAnsi="ITC Avant Garde" w:cs="Arial"/>
          <w:color w:val="000000"/>
          <w:lang w:val="es-ES_tradnl" w:eastAsia="es-MX"/>
        </w:rPr>
        <w:t xml:space="preserve">, </w:t>
      </w:r>
      <w:r w:rsidRPr="003C3140">
        <w:rPr>
          <w:rFonts w:ascii="ITC Avant Garde" w:eastAsia="MS Mincho" w:hAnsi="ITC Avant Garde" w:cs="Arial"/>
          <w:color w:val="000000"/>
          <w:lang w:val="es-ES_tradnl" w:eastAsia="es-MX"/>
        </w:rPr>
        <w:t xml:space="preserve">dentro del plazo legal de 30 (treinta) días hábiles posteriores a la conclusión de la consulta pública, otorgado en </w:t>
      </w:r>
      <w:r>
        <w:rPr>
          <w:rFonts w:ascii="ITC Avant Garde" w:eastAsia="MS Mincho" w:hAnsi="ITC Avant Garde" w:cs="Arial"/>
          <w:color w:val="000000"/>
          <w:lang w:val="es-ES_tradnl" w:eastAsia="es-MX"/>
        </w:rPr>
        <w:t>el</w:t>
      </w:r>
      <w:r w:rsidR="007E4906">
        <w:rPr>
          <w:rFonts w:ascii="ITC Avant Garde" w:eastAsia="MS Mincho" w:hAnsi="ITC Avant Garde" w:cs="Arial"/>
          <w:color w:val="000000"/>
          <w:lang w:val="es-ES_tradnl" w:eastAsia="es-MX"/>
        </w:rPr>
        <w:t xml:space="preserve"> resolutivo </w:t>
      </w:r>
      <w:r w:rsidRPr="003C3140">
        <w:rPr>
          <w:rFonts w:ascii="ITC Avant Garde" w:eastAsia="MS Mincho" w:hAnsi="ITC Avant Garde" w:cs="Arial"/>
          <w:color w:val="000000"/>
          <w:lang w:val="es-ES_tradnl" w:eastAsia="es-MX"/>
        </w:rPr>
        <w:t xml:space="preserve">Tercero del Acuerdo </w:t>
      </w:r>
      <w:r w:rsidRPr="00117914">
        <w:rPr>
          <w:rFonts w:ascii="ITC Avant Garde" w:hAnsi="ITC Avant Garde"/>
        </w:rPr>
        <w:t>P/IFT/230621/279</w:t>
      </w:r>
      <w:r>
        <w:rPr>
          <w:rFonts w:ascii="ITC Avant Garde" w:hAnsi="ITC Avant Garde"/>
        </w:rPr>
        <w:t xml:space="preserve"> </w:t>
      </w:r>
      <w:r w:rsidRPr="003C3140">
        <w:rPr>
          <w:rFonts w:ascii="ITC Avant Garde" w:eastAsia="MS Mincho" w:hAnsi="ITC Avant Garde" w:cs="Arial"/>
          <w:color w:val="000000"/>
          <w:lang w:val="es-ES_tradnl" w:eastAsia="es-MX"/>
        </w:rPr>
        <w:t>y el artículo 138, fracción II, de la LFCE.</w:t>
      </w:r>
    </w:p>
    <w:p w14:paraId="13AEE90F" w14:textId="7A861E36" w:rsidR="006072E6" w:rsidRDefault="006072E6" w:rsidP="006072E6">
      <w:pPr>
        <w:spacing w:after="120" w:line="240" w:lineRule="auto"/>
        <w:jc w:val="both"/>
        <w:rPr>
          <w:rFonts w:ascii="ITC Avant Garde" w:hAnsi="ITC Avant Garde"/>
        </w:rPr>
      </w:pPr>
      <w:r w:rsidRPr="00724A07">
        <w:rPr>
          <w:rFonts w:ascii="ITC Avant Garde" w:hAnsi="ITC Avant Garde"/>
        </w:rPr>
        <w:t>A partir de la publicación del informe, de conformidad con lo dispuesto en el artículo 138, fracción III, de la LFCE, el Instituto cuenta con sesenta días hábiles para expedir la guía correspondiente.</w:t>
      </w:r>
    </w:p>
    <w:p w14:paraId="7B5B2117" w14:textId="4EFCCFB5" w:rsidR="006072E6" w:rsidRPr="00724A07" w:rsidRDefault="006072E6" w:rsidP="006072E6">
      <w:pPr>
        <w:spacing w:before="120" w:after="120" w:line="240" w:lineRule="auto"/>
        <w:jc w:val="both"/>
        <w:outlineLvl w:val="0"/>
        <w:rPr>
          <w:rFonts w:ascii="ITC Avant Garde" w:hAnsi="ITC Avant Garde"/>
          <w:b/>
          <w:bCs/>
          <w:smallCaps/>
        </w:rPr>
      </w:pPr>
      <w:r>
        <w:rPr>
          <w:rFonts w:ascii="ITC Avant Garde" w:hAnsi="ITC Avant Garde"/>
          <w:b/>
          <w:bCs/>
          <w:smallCaps/>
        </w:rPr>
        <w:t>3</w:t>
      </w:r>
      <w:r w:rsidRPr="00724A07">
        <w:rPr>
          <w:rFonts w:ascii="ITC Avant Garde" w:hAnsi="ITC Avant Garde"/>
          <w:b/>
          <w:bCs/>
          <w:smallCaps/>
        </w:rPr>
        <w:t xml:space="preserve">. </w:t>
      </w:r>
      <w:r>
        <w:rPr>
          <w:rFonts w:ascii="ITC Avant Garde" w:hAnsi="ITC Avant Garde"/>
          <w:b/>
          <w:bCs/>
          <w:smallCaps/>
        </w:rPr>
        <w:t>Título o denominación</w:t>
      </w:r>
      <w:r w:rsidRPr="00724A07">
        <w:rPr>
          <w:rFonts w:ascii="ITC Avant Garde" w:hAnsi="ITC Avant Garde"/>
          <w:b/>
          <w:bCs/>
          <w:smallCaps/>
        </w:rPr>
        <w:t xml:space="preserve"> de la consulta pública</w:t>
      </w:r>
    </w:p>
    <w:p w14:paraId="0454D959" w14:textId="77777777" w:rsidR="006072E6" w:rsidRPr="00A30A0C" w:rsidRDefault="006072E6" w:rsidP="006072E6">
      <w:pPr>
        <w:tabs>
          <w:tab w:val="left" w:pos="0"/>
        </w:tabs>
        <w:autoSpaceDE w:val="0"/>
        <w:autoSpaceDN w:val="0"/>
        <w:adjustRightInd w:val="0"/>
        <w:spacing w:after="120"/>
        <w:jc w:val="both"/>
        <w:rPr>
          <w:rFonts w:ascii="ITC Avant Garde" w:eastAsia="MS Mincho" w:hAnsi="ITC Avant Garde" w:cs="Arial"/>
          <w:color w:val="000000"/>
          <w:lang w:eastAsia="es-MX"/>
        </w:rPr>
      </w:pPr>
      <w:r>
        <w:rPr>
          <w:rFonts w:ascii="ITC Avant Garde" w:eastAsia="MS Mincho" w:hAnsi="ITC Avant Garde" w:cs="Arial"/>
          <w:color w:val="000000"/>
          <w:lang w:eastAsia="es-MX"/>
        </w:rPr>
        <w:t xml:space="preserve">Consulta Pública del </w:t>
      </w:r>
      <w:r w:rsidRPr="003C3140">
        <w:rPr>
          <w:rFonts w:ascii="ITC Avant Garde" w:eastAsia="MS Mincho" w:hAnsi="ITC Avant Garde" w:cs="Arial"/>
          <w:color w:val="000000"/>
          <w:lang w:eastAsia="es-MX"/>
        </w:rPr>
        <w:t>“</w:t>
      </w:r>
      <w:r w:rsidRPr="001A232A">
        <w:rPr>
          <w:rFonts w:ascii="ITC Avant Garde" w:eastAsia="MS Mincho" w:hAnsi="ITC Avant Garde" w:cs="Arial"/>
          <w:i/>
          <w:iCs/>
          <w:color w:val="000000"/>
          <w:lang w:eastAsia="es-MX"/>
        </w:rPr>
        <w:t>Anteproyecto de Guía para determinar Mercados Relevantes en los Sectores de Telecomunicaciones y Radiodifusión</w:t>
      </w:r>
      <w:r w:rsidRPr="003C3140">
        <w:rPr>
          <w:rFonts w:ascii="ITC Avant Garde" w:eastAsia="MS Mincho" w:hAnsi="ITC Avant Garde" w:cs="Arial"/>
          <w:color w:val="000000"/>
          <w:lang w:eastAsia="es-MX"/>
        </w:rPr>
        <w:t>”</w:t>
      </w:r>
      <w:r>
        <w:rPr>
          <w:rFonts w:ascii="ITC Avant Garde" w:eastAsia="MS Mincho" w:hAnsi="ITC Avant Garde" w:cs="Arial"/>
          <w:color w:val="000000"/>
          <w:lang w:eastAsia="es-MX"/>
        </w:rPr>
        <w:t>.</w:t>
      </w:r>
    </w:p>
    <w:p w14:paraId="00EF88CD" w14:textId="3B4549A0" w:rsidR="006072E6" w:rsidRDefault="006072E6" w:rsidP="0036114D">
      <w:pPr>
        <w:spacing w:before="120" w:after="120" w:line="240" w:lineRule="auto"/>
        <w:jc w:val="both"/>
        <w:outlineLvl w:val="0"/>
        <w:rPr>
          <w:rFonts w:ascii="ITC Avant Garde" w:hAnsi="ITC Avant Garde"/>
          <w:b/>
          <w:bCs/>
          <w:smallCaps/>
        </w:rPr>
      </w:pPr>
      <w:r>
        <w:rPr>
          <w:rFonts w:ascii="ITC Avant Garde" w:hAnsi="ITC Avant Garde"/>
          <w:b/>
          <w:bCs/>
          <w:smallCaps/>
        </w:rPr>
        <w:t>4</w:t>
      </w:r>
      <w:r w:rsidR="00166DF8" w:rsidRPr="00724A07">
        <w:rPr>
          <w:rFonts w:ascii="ITC Avant Garde" w:hAnsi="ITC Avant Garde"/>
          <w:b/>
          <w:bCs/>
          <w:smallCaps/>
        </w:rPr>
        <w:t xml:space="preserve">. </w:t>
      </w:r>
      <w:r>
        <w:rPr>
          <w:rFonts w:ascii="ITC Avant Garde" w:hAnsi="ITC Avant Garde"/>
          <w:b/>
          <w:bCs/>
          <w:smallCaps/>
        </w:rPr>
        <w:t>Descripción de la consulta pública</w:t>
      </w:r>
    </w:p>
    <w:p w14:paraId="3C147A98" w14:textId="0DB3BEAA" w:rsidR="006072E6" w:rsidRPr="00DD32EC" w:rsidRDefault="006072E6" w:rsidP="00DD32EC">
      <w:pPr>
        <w:tabs>
          <w:tab w:val="left" w:pos="0"/>
        </w:tabs>
        <w:autoSpaceDE w:val="0"/>
        <w:autoSpaceDN w:val="0"/>
        <w:adjustRightInd w:val="0"/>
        <w:spacing w:after="120"/>
        <w:jc w:val="both"/>
        <w:rPr>
          <w:rFonts w:ascii="ITC Avant Garde" w:eastAsia="MS Mincho" w:hAnsi="ITC Avant Garde" w:cs="Arial"/>
          <w:color w:val="000000"/>
          <w:lang w:val="es-ES_tradnl" w:eastAsia="es-MX"/>
        </w:rPr>
      </w:pPr>
      <w:r w:rsidRPr="00DD32EC">
        <w:rPr>
          <w:rFonts w:ascii="ITC Avant Garde" w:eastAsia="MS Mincho" w:hAnsi="ITC Avant Garde" w:cs="Arial"/>
          <w:color w:val="000000"/>
          <w:lang w:val="es-ES_tradnl" w:eastAsia="es-MX"/>
        </w:rPr>
        <w:t>El 09 de julio de 2021 se publicó el Anteproyecto de Guía en el sitio de Internet del Instituto, así como un extracto en el DOF. La Consulta Pública se llevó a cabo por un periodo de 30 (treinta) días hábiles, mismos que transcurrieron del 12 de julio al 03 de septiembre de 2021.</w:t>
      </w:r>
    </w:p>
    <w:p w14:paraId="7AB34158" w14:textId="01434E76" w:rsidR="00E01A9C" w:rsidRPr="00724A07" w:rsidRDefault="006072E6" w:rsidP="0036114D">
      <w:pPr>
        <w:spacing w:before="120" w:after="120" w:line="240" w:lineRule="auto"/>
        <w:jc w:val="both"/>
        <w:outlineLvl w:val="0"/>
        <w:rPr>
          <w:rFonts w:ascii="ITC Avant Garde" w:hAnsi="ITC Avant Garde"/>
          <w:b/>
          <w:bCs/>
          <w:smallCaps/>
        </w:rPr>
      </w:pPr>
      <w:r>
        <w:rPr>
          <w:rFonts w:ascii="ITC Avant Garde" w:hAnsi="ITC Avant Garde"/>
          <w:b/>
          <w:bCs/>
          <w:smallCaps/>
        </w:rPr>
        <w:t xml:space="preserve">5. </w:t>
      </w:r>
      <w:r w:rsidR="00A173DD" w:rsidRPr="00724A07">
        <w:rPr>
          <w:rFonts w:ascii="ITC Avant Garde" w:hAnsi="ITC Avant Garde"/>
          <w:b/>
          <w:bCs/>
          <w:smallCaps/>
        </w:rPr>
        <w:t>O</w:t>
      </w:r>
      <w:r w:rsidR="00166DF8" w:rsidRPr="00724A07">
        <w:rPr>
          <w:rFonts w:ascii="ITC Avant Garde" w:hAnsi="ITC Avant Garde"/>
          <w:b/>
          <w:bCs/>
          <w:smallCaps/>
        </w:rPr>
        <w:t>bjetivos de la consulta pública</w:t>
      </w:r>
    </w:p>
    <w:p w14:paraId="186ED887" w14:textId="510EFC7B" w:rsidR="00771911" w:rsidRPr="00724A07" w:rsidRDefault="00771911" w:rsidP="00E01A9C">
      <w:pPr>
        <w:tabs>
          <w:tab w:val="left" w:pos="0"/>
        </w:tabs>
        <w:autoSpaceDE w:val="0"/>
        <w:autoSpaceDN w:val="0"/>
        <w:adjustRightInd w:val="0"/>
        <w:spacing w:after="120"/>
        <w:jc w:val="both"/>
        <w:rPr>
          <w:rFonts w:ascii="ITC Avant Garde" w:eastAsia="MS Mincho" w:hAnsi="ITC Avant Garde" w:cs="Arial"/>
          <w:color w:val="000000"/>
          <w:lang w:eastAsia="es-MX"/>
        </w:rPr>
      </w:pPr>
      <w:r w:rsidRPr="00724A07">
        <w:rPr>
          <w:rFonts w:ascii="ITC Avant Garde" w:eastAsia="MS Mincho" w:hAnsi="ITC Avant Garde" w:cs="Arial"/>
          <w:color w:val="000000"/>
          <w:lang w:val="es-ES_tradnl" w:eastAsia="es-MX"/>
        </w:rPr>
        <w:t xml:space="preserve">Con la </w:t>
      </w:r>
      <w:r w:rsidR="00C3414F">
        <w:rPr>
          <w:rFonts w:ascii="ITC Avant Garde" w:eastAsia="MS Mincho" w:hAnsi="ITC Avant Garde" w:cs="Arial"/>
          <w:color w:val="000000"/>
          <w:lang w:val="es-ES_tradnl" w:eastAsia="es-MX"/>
        </w:rPr>
        <w:t>C</w:t>
      </w:r>
      <w:r w:rsidRPr="00724A07">
        <w:rPr>
          <w:rFonts w:ascii="ITC Avant Garde" w:eastAsia="MS Mincho" w:hAnsi="ITC Avant Garde" w:cs="Arial"/>
          <w:color w:val="000000"/>
          <w:lang w:val="es-ES_tradnl" w:eastAsia="es-MX"/>
        </w:rPr>
        <w:t xml:space="preserve">onsulta </w:t>
      </w:r>
      <w:r w:rsidR="00C3414F">
        <w:rPr>
          <w:rFonts w:ascii="ITC Avant Garde" w:eastAsia="MS Mincho" w:hAnsi="ITC Avant Garde" w:cs="Arial"/>
          <w:color w:val="000000"/>
          <w:lang w:val="es-ES_tradnl" w:eastAsia="es-MX"/>
        </w:rPr>
        <w:t>P</w:t>
      </w:r>
      <w:r w:rsidRPr="00724A07">
        <w:rPr>
          <w:rFonts w:ascii="ITC Avant Garde" w:eastAsia="MS Mincho" w:hAnsi="ITC Avant Garde" w:cs="Arial"/>
          <w:color w:val="000000"/>
          <w:lang w:val="es-ES_tradnl" w:eastAsia="es-MX"/>
        </w:rPr>
        <w:t xml:space="preserve">ública del Anteproyecto de </w:t>
      </w:r>
      <w:r w:rsidR="00AB60D8" w:rsidRPr="00724A07">
        <w:rPr>
          <w:rFonts w:ascii="ITC Avant Garde" w:eastAsia="MS Mincho" w:hAnsi="ITC Avant Garde" w:cs="Arial"/>
          <w:color w:val="000000"/>
          <w:lang w:val="es-ES_tradnl" w:eastAsia="es-MX"/>
        </w:rPr>
        <w:t>Guía</w:t>
      </w:r>
      <w:r w:rsidRPr="00724A07">
        <w:rPr>
          <w:rFonts w:ascii="ITC Avant Garde" w:eastAsia="MS Mincho" w:hAnsi="ITC Avant Garde" w:cs="Arial"/>
          <w:color w:val="000000"/>
          <w:lang w:val="es-ES_tradnl" w:eastAsia="es-MX"/>
        </w:rPr>
        <w:t xml:space="preserve"> se buscó alcanzar los siguientes objetivos: </w:t>
      </w:r>
    </w:p>
    <w:p w14:paraId="0F47271C" w14:textId="0379CD98" w:rsidR="00E01A9C" w:rsidRPr="00724A07" w:rsidRDefault="00E01A9C" w:rsidP="00DD32EC">
      <w:pPr>
        <w:pStyle w:val="Prrafodelista"/>
        <w:numPr>
          <w:ilvl w:val="0"/>
          <w:numId w:val="40"/>
        </w:numPr>
        <w:tabs>
          <w:tab w:val="left" w:pos="0"/>
        </w:tabs>
        <w:autoSpaceDE w:val="0"/>
        <w:autoSpaceDN w:val="0"/>
        <w:adjustRightInd w:val="0"/>
        <w:spacing w:after="120"/>
        <w:jc w:val="both"/>
        <w:rPr>
          <w:rFonts w:ascii="ITC Avant Garde" w:hAnsi="ITC Avant Garde"/>
          <w:b/>
          <w:bCs/>
          <w:smallCaps/>
        </w:rPr>
      </w:pPr>
      <w:r w:rsidRPr="00724A07">
        <w:rPr>
          <w:rFonts w:ascii="ITC Avant Garde" w:hAnsi="ITC Avant Garde"/>
          <w:color w:val="000000"/>
          <w:shd w:val="clear" w:color="auto" w:fill="FFFFFF"/>
        </w:rPr>
        <w:t>Transparentar y dar a conocer el Anteproyecto de Gu</w:t>
      </w:r>
      <w:r w:rsidRPr="00724A07">
        <w:rPr>
          <w:rFonts w:ascii="ITC Avant Garde" w:hAnsi="ITC Avant Garde" w:cs="Calibri"/>
          <w:color w:val="000000"/>
          <w:shd w:val="clear" w:color="auto" w:fill="FFFFFF"/>
        </w:rPr>
        <w:t>í</w:t>
      </w:r>
      <w:r w:rsidRPr="00724A07">
        <w:rPr>
          <w:rFonts w:ascii="ITC Avant Garde" w:hAnsi="ITC Avant Garde"/>
          <w:color w:val="000000"/>
          <w:shd w:val="clear" w:color="auto" w:fill="FFFFFF"/>
        </w:rPr>
        <w:t>a, acompa</w:t>
      </w:r>
      <w:r w:rsidRPr="00724A07">
        <w:rPr>
          <w:rFonts w:ascii="ITC Avant Garde" w:hAnsi="ITC Avant Garde" w:cs="Calibri"/>
          <w:color w:val="000000"/>
          <w:shd w:val="clear" w:color="auto" w:fill="FFFFFF"/>
        </w:rPr>
        <w:t>ñ</w:t>
      </w:r>
      <w:r w:rsidRPr="00724A07">
        <w:rPr>
          <w:rFonts w:ascii="ITC Avant Garde" w:hAnsi="ITC Avant Garde"/>
          <w:color w:val="000000"/>
          <w:shd w:val="clear" w:color="auto" w:fill="FFFFFF"/>
        </w:rPr>
        <w:t>ado de su An</w:t>
      </w:r>
      <w:r w:rsidRPr="00724A07">
        <w:rPr>
          <w:rFonts w:ascii="ITC Avant Garde" w:hAnsi="ITC Avant Garde" w:cs="Calibri"/>
          <w:color w:val="000000"/>
          <w:shd w:val="clear" w:color="auto" w:fill="FFFFFF"/>
        </w:rPr>
        <w:t>á</w:t>
      </w:r>
      <w:r w:rsidRPr="00724A07">
        <w:rPr>
          <w:rFonts w:ascii="ITC Avant Garde" w:hAnsi="ITC Avant Garde"/>
          <w:color w:val="000000"/>
          <w:shd w:val="clear" w:color="auto" w:fill="FFFFFF"/>
        </w:rPr>
        <w:t>lisis de Nulo Impacto Regu</w:t>
      </w:r>
      <w:bookmarkStart w:id="0" w:name="_GoBack"/>
      <w:bookmarkEnd w:id="0"/>
      <w:r w:rsidRPr="00724A07">
        <w:rPr>
          <w:rFonts w:ascii="ITC Avant Garde" w:hAnsi="ITC Avant Garde"/>
          <w:color w:val="000000"/>
          <w:shd w:val="clear" w:color="auto" w:fill="FFFFFF"/>
        </w:rPr>
        <w:t>latorio, ambos acompa</w:t>
      </w:r>
      <w:r w:rsidRPr="00724A07">
        <w:rPr>
          <w:rFonts w:ascii="ITC Avant Garde" w:hAnsi="ITC Avant Garde" w:cs="Calibri"/>
          <w:color w:val="000000"/>
          <w:shd w:val="clear" w:color="auto" w:fill="FFFFFF"/>
        </w:rPr>
        <w:t>ñ</w:t>
      </w:r>
      <w:r w:rsidRPr="00724A07">
        <w:rPr>
          <w:rFonts w:ascii="ITC Avant Garde" w:hAnsi="ITC Avant Garde"/>
          <w:color w:val="000000"/>
          <w:shd w:val="clear" w:color="auto" w:fill="FFFFFF"/>
        </w:rPr>
        <w:t xml:space="preserve">ados de un documento de referencia intitulado </w:t>
      </w:r>
      <w:r w:rsidRPr="00724A07">
        <w:rPr>
          <w:rFonts w:ascii="ITC Avant Garde" w:hAnsi="ITC Avant Garde" w:cs="Calibri"/>
          <w:color w:val="000000"/>
          <w:shd w:val="clear" w:color="auto" w:fill="FFFFFF"/>
        </w:rPr>
        <w:t>“</w:t>
      </w:r>
      <w:r w:rsidRPr="008743AE">
        <w:rPr>
          <w:rFonts w:ascii="ITC Avant Garde" w:hAnsi="ITC Avant Garde"/>
          <w:i/>
          <w:iCs/>
          <w:color w:val="000000"/>
          <w:shd w:val="clear" w:color="auto" w:fill="FFFFFF"/>
        </w:rPr>
        <w:t>Nota T</w:t>
      </w:r>
      <w:r w:rsidRPr="008743AE">
        <w:rPr>
          <w:rFonts w:ascii="ITC Avant Garde" w:hAnsi="ITC Avant Garde" w:cs="Calibri"/>
          <w:i/>
          <w:iCs/>
          <w:color w:val="000000"/>
          <w:shd w:val="clear" w:color="auto" w:fill="FFFFFF"/>
        </w:rPr>
        <w:t>é</w:t>
      </w:r>
      <w:r w:rsidRPr="008743AE">
        <w:rPr>
          <w:rFonts w:ascii="ITC Avant Garde" w:hAnsi="ITC Avant Garde"/>
          <w:i/>
          <w:iCs/>
          <w:color w:val="000000"/>
          <w:shd w:val="clear" w:color="auto" w:fill="FFFFFF"/>
        </w:rPr>
        <w:t>cnica del Anteproyecto de Gu</w:t>
      </w:r>
      <w:r w:rsidRPr="008743AE">
        <w:rPr>
          <w:rFonts w:ascii="ITC Avant Garde" w:hAnsi="ITC Avant Garde" w:cs="Calibri"/>
          <w:i/>
          <w:iCs/>
          <w:color w:val="000000"/>
          <w:shd w:val="clear" w:color="auto" w:fill="FFFFFF"/>
        </w:rPr>
        <w:t>í</w:t>
      </w:r>
      <w:r w:rsidRPr="008743AE">
        <w:rPr>
          <w:rFonts w:ascii="ITC Avant Garde" w:hAnsi="ITC Avant Garde"/>
          <w:i/>
          <w:iCs/>
          <w:color w:val="000000"/>
          <w:shd w:val="clear" w:color="auto" w:fill="FFFFFF"/>
        </w:rPr>
        <w:t>a para determinar Mercados Relevantes en los Sectores de Telecomunicaciones y Radiodifusi</w:t>
      </w:r>
      <w:r w:rsidRPr="008743AE">
        <w:rPr>
          <w:rFonts w:ascii="ITC Avant Garde" w:hAnsi="ITC Avant Garde" w:cs="Calibri"/>
          <w:i/>
          <w:iCs/>
          <w:color w:val="000000"/>
          <w:shd w:val="clear" w:color="auto" w:fill="FFFFFF"/>
        </w:rPr>
        <w:t>ó</w:t>
      </w:r>
      <w:r w:rsidRPr="008743AE">
        <w:rPr>
          <w:rFonts w:ascii="ITC Avant Garde" w:hAnsi="ITC Avant Garde"/>
          <w:i/>
          <w:iCs/>
          <w:color w:val="000000"/>
          <w:shd w:val="clear" w:color="auto" w:fill="FFFFFF"/>
        </w:rPr>
        <w:t>n</w:t>
      </w:r>
      <w:r w:rsidRPr="00724A07">
        <w:rPr>
          <w:rFonts w:ascii="ITC Avant Garde" w:hAnsi="ITC Avant Garde" w:cs="Calibri"/>
          <w:color w:val="000000"/>
          <w:shd w:val="clear" w:color="auto" w:fill="FFFFFF"/>
        </w:rPr>
        <w:t>”</w:t>
      </w:r>
      <w:r w:rsidR="0091558E" w:rsidRPr="00724A07">
        <w:rPr>
          <w:rFonts w:ascii="ITC Avant Garde" w:hAnsi="ITC Avant Garde" w:cs="Calibri"/>
          <w:color w:val="000000"/>
          <w:shd w:val="clear" w:color="auto" w:fill="FFFFFF"/>
          <w:lang w:val="es-MX"/>
        </w:rPr>
        <w:t>.</w:t>
      </w:r>
    </w:p>
    <w:p w14:paraId="06358AA1" w14:textId="3EB3B2CE" w:rsidR="00771911" w:rsidRPr="00724A07" w:rsidRDefault="00771911" w:rsidP="00DD32EC">
      <w:pPr>
        <w:numPr>
          <w:ilvl w:val="0"/>
          <w:numId w:val="40"/>
        </w:numPr>
        <w:tabs>
          <w:tab w:val="left" w:pos="0"/>
        </w:tabs>
        <w:autoSpaceDE w:val="0"/>
        <w:autoSpaceDN w:val="0"/>
        <w:adjustRightInd w:val="0"/>
        <w:spacing w:after="120"/>
        <w:jc w:val="both"/>
        <w:rPr>
          <w:rFonts w:ascii="ITC Avant Garde" w:eastAsia="MS Mincho" w:hAnsi="ITC Avant Garde" w:cs="Arial"/>
          <w:color w:val="000000"/>
          <w:lang w:val="es-ES_tradnl" w:eastAsia="es-MX"/>
        </w:rPr>
      </w:pPr>
      <w:r w:rsidRPr="00724A07">
        <w:rPr>
          <w:rFonts w:ascii="ITC Avant Garde" w:eastAsia="MS Mincho" w:hAnsi="ITC Avant Garde" w:cs="Arial"/>
          <w:color w:val="000000"/>
          <w:lang w:val="es-ES_tradnl" w:eastAsia="es-MX"/>
        </w:rPr>
        <w:t>Promover la participación ciudadana</w:t>
      </w:r>
      <w:r w:rsidR="00E01A9C" w:rsidRPr="00724A07">
        <w:rPr>
          <w:rFonts w:ascii="ITC Avant Garde" w:eastAsia="MS Mincho" w:hAnsi="ITC Avant Garde" w:cs="Arial"/>
          <w:color w:val="000000"/>
          <w:lang w:val="es-ES_tradnl" w:eastAsia="es-MX"/>
        </w:rPr>
        <w:t xml:space="preserve"> y</w:t>
      </w:r>
      <w:r w:rsidRPr="00724A07">
        <w:rPr>
          <w:rFonts w:ascii="ITC Avant Garde" w:eastAsia="MS Mincho" w:hAnsi="ITC Avant Garde" w:cs="Arial"/>
          <w:color w:val="000000"/>
          <w:lang w:val="es-ES_tradnl" w:eastAsia="es-MX"/>
        </w:rPr>
        <w:t xml:space="preserve"> </w:t>
      </w:r>
      <w:r w:rsidR="00F11324" w:rsidRPr="00724A07">
        <w:rPr>
          <w:rFonts w:ascii="ITC Avant Garde" w:eastAsia="MS Mincho" w:hAnsi="ITC Avant Garde" w:cs="Arial"/>
          <w:color w:val="000000"/>
          <w:lang w:val="es-ES_tradnl" w:eastAsia="es-MX"/>
        </w:rPr>
        <w:t>fortalecer el Anteproyecto de Guía al incorporar,</w:t>
      </w:r>
      <w:r w:rsidRPr="00724A07">
        <w:rPr>
          <w:rFonts w:ascii="ITC Avant Garde" w:eastAsia="MS Mincho" w:hAnsi="ITC Avant Garde" w:cs="Arial"/>
          <w:color w:val="000000"/>
          <w:lang w:val="es-ES_tradnl" w:eastAsia="es-MX"/>
        </w:rPr>
        <w:t xml:space="preserve"> en lo procedente,</w:t>
      </w:r>
      <w:r w:rsidR="00F11324" w:rsidRPr="00724A07">
        <w:rPr>
          <w:rFonts w:ascii="ITC Avant Garde" w:eastAsia="MS Mincho" w:hAnsi="ITC Avant Garde" w:cs="Arial"/>
          <w:color w:val="000000"/>
          <w:lang w:val="es-ES_tradnl" w:eastAsia="es-MX"/>
        </w:rPr>
        <w:t xml:space="preserve"> </w:t>
      </w:r>
      <w:r w:rsidRPr="00724A07">
        <w:rPr>
          <w:rFonts w:ascii="ITC Avant Garde" w:eastAsia="MS Mincho" w:hAnsi="ITC Avant Garde" w:cs="Arial"/>
          <w:color w:val="000000"/>
          <w:lang w:val="es-ES_tradnl" w:eastAsia="es-MX"/>
        </w:rPr>
        <w:t>las sugerencias de los participantes.</w:t>
      </w:r>
    </w:p>
    <w:p w14:paraId="40D1EF06" w14:textId="6C265C8F" w:rsidR="006072E6" w:rsidRDefault="006072E6" w:rsidP="0036114D">
      <w:pPr>
        <w:spacing w:before="120" w:after="120" w:line="240" w:lineRule="auto"/>
        <w:jc w:val="both"/>
        <w:outlineLvl w:val="0"/>
        <w:rPr>
          <w:rFonts w:ascii="ITC Avant Garde" w:hAnsi="ITC Avant Garde"/>
          <w:b/>
          <w:bCs/>
          <w:smallCaps/>
        </w:rPr>
      </w:pPr>
      <w:r>
        <w:rPr>
          <w:rFonts w:ascii="ITC Avant Garde" w:hAnsi="ITC Avant Garde"/>
          <w:b/>
          <w:bCs/>
          <w:smallCaps/>
        </w:rPr>
        <w:t>6</w:t>
      </w:r>
      <w:r w:rsidR="009F622B" w:rsidRPr="00724A07">
        <w:rPr>
          <w:rFonts w:ascii="ITC Avant Garde" w:hAnsi="ITC Avant Garde"/>
          <w:b/>
          <w:bCs/>
          <w:smallCaps/>
        </w:rPr>
        <w:t>.</w:t>
      </w:r>
      <w:r>
        <w:rPr>
          <w:rFonts w:ascii="ITC Avant Garde" w:hAnsi="ITC Avant Garde"/>
          <w:b/>
          <w:bCs/>
          <w:smallCaps/>
        </w:rPr>
        <w:t xml:space="preserve"> Unidades responsables de la consulta pública</w:t>
      </w:r>
      <w:r w:rsidR="009F622B" w:rsidRPr="00724A07">
        <w:rPr>
          <w:rFonts w:ascii="ITC Avant Garde" w:hAnsi="ITC Avant Garde"/>
          <w:b/>
          <w:bCs/>
          <w:smallCaps/>
        </w:rPr>
        <w:t xml:space="preserve"> </w:t>
      </w:r>
    </w:p>
    <w:p w14:paraId="2D29511E" w14:textId="30D9FD33" w:rsidR="006072E6" w:rsidRPr="00DD32EC" w:rsidRDefault="006072E6" w:rsidP="00DD32EC">
      <w:pPr>
        <w:tabs>
          <w:tab w:val="left" w:pos="0"/>
        </w:tabs>
        <w:autoSpaceDE w:val="0"/>
        <w:autoSpaceDN w:val="0"/>
        <w:adjustRightInd w:val="0"/>
        <w:spacing w:after="120"/>
        <w:jc w:val="both"/>
        <w:rPr>
          <w:rFonts w:ascii="ITC Avant Garde" w:eastAsia="MS Mincho" w:hAnsi="ITC Avant Garde" w:cs="Arial"/>
          <w:color w:val="000000"/>
          <w:lang w:val="es-ES_tradnl" w:eastAsia="es-MX"/>
        </w:rPr>
      </w:pPr>
      <w:r w:rsidRPr="00DD32EC">
        <w:rPr>
          <w:rFonts w:ascii="ITC Avant Garde" w:eastAsia="MS Mincho" w:hAnsi="ITC Avant Garde" w:cs="Arial"/>
          <w:color w:val="000000"/>
          <w:lang w:val="es-ES_tradnl" w:eastAsia="es-MX"/>
        </w:rPr>
        <w:t>AI y UCE</w:t>
      </w:r>
      <w:r w:rsidR="00022CFE">
        <w:rPr>
          <w:rFonts w:ascii="ITC Avant Garde" w:eastAsia="MS Mincho" w:hAnsi="ITC Avant Garde" w:cs="Arial"/>
          <w:color w:val="000000"/>
          <w:lang w:val="es-ES_tradnl" w:eastAsia="es-MX"/>
        </w:rPr>
        <w:t>.</w:t>
      </w:r>
    </w:p>
    <w:p w14:paraId="33CC95BA" w14:textId="35049368" w:rsidR="00F20D08" w:rsidRPr="00724A07" w:rsidRDefault="006072E6" w:rsidP="005476F9">
      <w:pPr>
        <w:spacing w:before="120" w:after="120" w:line="240" w:lineRule="auto"/>
        <w:jc w:val="both"/>
        <w:outlineLvl w:val="0"/>
        <w:rPr>
          <w:rFonts w:ascii="ITC Avant Garde" w:hAnsi="ITC Avant Garde"/>
          <w:b/>
          <w:bCs/>
          <w:smallCaps/>
        </w:rPr>
      </w:pPr>
      <w:r>
        <w:rPr>
          <w:rFonts w:ascii="ITC Avant Garde" w:hAnsi="ITC Avant Garde"/>
          <w:b/>
          <w:bCs/>
          <w:smallCaps/>
        </w:rPr>
        <w:t>7</w:t>
      </w:r>
      <w:r w:rsidR="00F20D08" w:rsidRPr="00724A07">
        <w:rPr>
          <w:rFonts w:ascii="ITC Avant Garde" w:hAnsi="ITC Avant Garde"/>
          <w:b/>
          <w:bCs/>
          <w:smallCaps/>
        </w:rPr>
        <w:t xml:space="preserve">. </w:t>
      </w:r>
      <w:r>
        <w:rPr>
          <w:rFonts w:ascii="ITC Avant Garde" w:hAnsi="ITC Avant Garde"/>
          <w:b/>
          <w:bCs/>
          <w:smallCaps/>
        </w:rPr>
        <w:t>descripción de los participantes en</w:t>
      </w:r>
      <w:r w:rsidR="00F20D08" w:rsidRPr="00724A07">
        <w:rPr>
          <w:rFonts w:ascii="ITC Avant Garde" w:hAnsi="ITC Avant Garde"/>
          <w:b/>
          <w:bCs/>
          <w:smallCaps/>
        </w:rPr>
        <w:t xml:space="preserve"> la consulta pública</w:t>
      </w:r>
    </w:p>
    <w:p w14:paraId="4A98DF48" w14:textId="0E0CCC53" w:rsidR="00F20D08" w:rsidRPr="00724A07" w:rsidRDefault="00F20D08" w:rsidP="00250818">
      <w:pPr>
        <w:spacing w:after="120" w:line="240" w:lineRule="auto"/>
        <w:jc w:val="both"/>
        <w:rPr>
          <w:rFonts w:ascii="ITC Avant Garde" w:hAnsi="ITC Avant Garde"/>
        </w:rPr>
      </w:pPr>
      <w:r w:rsidRPr="00724A07">
        <w:rPr>
          <w:rFonts w:ascii="ITC Avant Garde" w:hAnsi="ITC Avant Garde"/>
        </w:rPr>
        <w:t xml:space="preserve">En la </w:t>
      </w:r>
      <w:r w:rsidR="006072E6">
        <w:rPr>
          <w:rFonts w:ascii="ITC Avant Garde" w:hAnsi="ITC Avant Garde"/>
        </w:rPr>
        <w:t>C</w:t>
      </w:r>
      <w:r w:rsidRPr="00724A07">
        <w:rPr>
          <w:rFonts w:ascii="ITC Avant Garde" w:hAnsi="ITC Avant Garde"/>
        </w:rPr>
        <w:t xml:space="preserve">onsulta </w:t>
      </w:r>
      <w:r w:rsidR="006072E6">
        <w:rPr>
          <w:rFonts w:ascii="ITC Avant Garde" w:hAnsi="ITC Avant Garde"/>
        </w:rPr>
        <w:t>P</w:t>
      </w:r>
      <w:r w:rsidRPr="00724A07">
        <w:rPr>
          <w:rFonts w:ascii="ITC Avant Garde" w:hAnsi="ITC Avant Garde"/>
        </w:rPr>
        <w:t>ública</w:t>
      </w:r>
      <w:r w:rsidR="006072E6">
        <w:rPr>
          <w:rFonts w:ascii="ITC Avant Garde" w:hAnsi="ITC Avant Garde"/>
        </w:rPr>
        <w:t xml:space="preserve"> se recibieron 3 (tres) escritos de participantes a través del correo electrónico habilitado para tal efecto, mismos que se listan en el cuadro siguiente</w:t>
      </w:r>
      <w:r w:rsidRPr="00724A07">
        <w:rPr>
          <w:rFonts w:ascii="ITC Avant Garde" w:hAnsi="ITC Avant Garde"/>
        </w:rPr>
        <w:t>:</w:t>
      </w:r>
    </w:p>
    <w:tbl>
      <w:tblPr>
        <w:tblStyle w:val="Tablaconcuadrcula4-nfasis6"/>
        <w:tblW w:w="0" w:type="auto"/>
        <w:tblLayout w:type="fixed"/>
        <w:tblLook w:val="04A0" w:firstRow="1" w:lastRow="0" w:firstColumn="1" w:lastColumn="0" w:noHBand="0" w:noVBand="1"/>
      </w:tblPr>
      <w:tblGrid>
        <w:gridCol w:w="3681"/>
        <w:gridCol w:w="2126"/>
        <w:gridCol w:w="1745"/>
        <w:gridCol w:w="2518"/>
      </w:tblGrid>
      <w:tr w:rsidR="00CF125C" w:rsidRPr="00724A07" w14:paraId="2B984122" w14:textId="77777777" w:rsidTr="00472E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shd w:val="clear" w:color="auto" w:fill="92D050"/>
          </w:tcPr>
          <w:p w14:paraId="65BA9769" w14:textId="77777777" w:rsidR="00F20D08" w:rsidRPr="00724A07" w:rsidRDefault="00F20D08" w:rsidP="00D7295D">
            <w:pPr>
              <w:spacing w:after="0" w:line="240" w:lineRule="auto"/>
              <w:jc w:val="center"/>
              <w:rPr>
                <w:rFonts w:ascii="ITC Avant Garde" w:hAnsi="ITC Avant Garde"/>
                <w:bCs w:val="0"/>
                <w:color w:val="auto"/>
                <w:sz w:val="18"/>
                <w:szCs w:val="18"/>
              </w:rPr>
            </w:pPr>
            <w:r w:rsidRPr="00724A07">
              <w:rPr>
                <w:rFonts w:ascii="ITC Avant Garde" w:hAnsi="ITC Avant Garde"/>
                <w:bCs w:val="0"/>
                <w:color w:val="auto"/>
                <w:sz w:val="18"/>
                <w:szCs w:val="18"/>
              </w:rPr>
              <w:t>Persona(s) que presenta(n) comentarios</w:t>
            </w:r>
          </w:p>
        </w:tc>
        <w:tc>
          <w:tcPr>
            <w:tcW w:w="2126" w:type="dxa"/>
            <w:shd w:val="clear" w:color="auto" w:fill="92D050"/>
          </w:tcPr>
          <w:p w14:paraId="424F7135" w14:textId="77777777" w:rsidR="00F20D08" w:rsidRPr="00724A07" w:rsidRDefault="00F20D08" w:rsidP="00D729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auto"/>
                <w:sz w:val="18"/>
                <w:szCs w:val="18"/>
              </w:rPr>
            </w:pPr>
            <w:r w:rsidRPr="00724A07">
              <w:rPr>
                <w:rFonts w:ascii="ITC Avant Garde" w:hAnsi="ITC Avant Garde"/>
                <w:bCs w:val="0"/>
                <w:color w:val="auto"/>
                <w:sz w:val="18"/>
                <w:szCs w:val="18"/>
              </w:rPr>
              <w:t>Sector</w:t>
            </w:r>
          </w:p>
        </w:tc>
        <w:tc>
          <w:tcPr>
            <w:tcW w:w="1745" w:type="dxa"/>
            <w:shd w:val="clear" w:color="auto" w:fill="92D050"/>
          </w:tcPr>
          <w:p w14:paraId="7CB6E4D4" w14:textId="77777777" w:rsidR="00F20D08" w:rsidRPr="00724A07" w:rsidRDefault="00F20D08" w:rsidP="00D729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auto"/>
                <w:sz w:val="18"/>
                <w:szCs w:val="18"/>
              </w:rPr>
            </w:pPr>
            <w:r w:rsidRPr="00724A07">
              <w:rPr>
                <w:rFonts w:ascii="ITC Avant Garde" w:hAnsi="ITC Avant Garde"/>
                <w:bCs w:val="0"/>
                <w:color w:val="auto"/>
                <w:sz w:val="18"/>
                <w:szCs w:val="18"/>
              </w:rPr>
              <w:t>Fecha de presentación</w:t>
            </w:r>
          </w:p>
        </w:tc>
        <w:tc>
          <w:tcPr>
            <w:tcW w:w="2518" w:type="dxa"/>
            <w:shd w:val="clear" w:color="auto" w:fill="92D050"/>
          </w:tcPr>
          <w:p w14:paraId="0F758C69" w14:textId="77777777" w:rsidR="00F20D08" w:rsidRPr="00724A07" w:rsidRDefault="00F20D08" w:rsidP="00D729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auto"/>
                <w:sz w:val="18"/>
                <w:szCs w:val="18"/>
              </w:rPr>
            </w:pPr>
            <w:r w:rsidRPr="00724A07">
              <w:rPr>
                <w:rFonts w:ascii="ITC Avant Garde" w:hAnsi="ITC Avant Garde"/>
                <w:bCs w:val="0"/>
                <w:color w:val="auto"/>
                <w:sz w:val="18"/>
                <w:szCs w:val="18"/>
              </w:rPr>
              <w:t>Formato de presentación</w:t>
            </w:r>
          </w:p>
        </w:tc>
      </w:tr>
      <w:tr w:rsidR="00CF125C" w:rsidRPr="00724A07" w14:paraId="3E08244D" w14:textId="77777777" w:rsidTr="00472E6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tcPr>
          <w:p w14:paraId="0B07768B" w14:textId="52CD9CE3" w:rsidR="00CF125C" w:rsidRPr="00724A07" w:rsidRDefault="00440A1E" w:rsidP="00D7295D">
            <w:pPr>
              <w:numPr>
                <w:ilvl w:val="0"/>
                <w:numId w:val="1"/>
              </w:numPr>
              <w:spacing w:after="0" w:line="240" w:lineRule="auto"/>
              <w:rPr>
                <w:rFonts w:ascii="ITC Avant Garde" w:hAnsi="ITC Avant Garde"/>
                <w:sz w:val="18"/>
                <w:szCs w:val="18"/>
              </w:rPr>
            </w:pPr>
            <w:r w:rsidRPr="00724A07">
              <w:rPr>
                <w:rFonts w:ascii="ITC Avant Garde" w:hAnsi="ITC Avant Garde"/>
                <w:sz w:val="18"/>
                <w:szCs w:val="18"/>
              </w:rPr>
              <w:t xml:space="preserve">Jorge </w:t>
            </w:r>
            <w:r w:rsidR="00665E4B" w:rsidRPr="00724A07">
              <w:rPr>
                <w:rFonts w:ascii="ITC Avant Garde" w:hAnsi="ITC Avant Garde"/>
                <w:sz w:val="18"/>
                <w:szCs w:val="18"/>
              </w:rPr>
              <w:t>Solís</w:t>
            </w:r>
            <w:r w:rsidRPr="00724A07">
              <w:rPr>
                <w:rFonts w:ascii="ITC Avant Garde" w:hAnsi="ITC Avant Garde"/>
                <w:sz w:val="18"/>
                <w:szCs w:val="18"/>
              </w:rPr>
              <w:t xml:space="preserve"> </w:t>
            </w:r>
            <w:r w:rsidR="00665E4B" w:rsidRPr="00724A07">
              <w:rPr>
                <w:rFonts w:ascii="ITC Avant Garde" w:hAnsi="ITC Avant Garde"/>
                <w:sz w:val="18"/>
                <w:szCs w:val="18"/>
              </w:rPr>
              <w:t>Fernández</w:t>
            </w:r>
          </w:p>
        </w:tc>
        <w:tc>
          <w:tcPr>
            <w:tcW w:w="2126" w:type="dxa"/>
          </w:tcPr>
          <w:p w14:paraId="385B6706" w14:textId="688F190B" w:rsidR="00CF125C" w:rsidRPr="00724A07" w:rsidRDefault="00440A1E" w:rsidP="00D72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N</w:t>
            </w:r>
            <w:r w:rsidR="00D15490">
              <w:rPr>
                <w:rFonts w:ascii="ITC Avant Garde" w:hAnsi="ITC Avant Garde"/>
                <w:sz w:val="18"/>
                <w:szCs w:val="18"/>
              </w:rPr>
              <w:t>o especificó</w:t>
            </w:r>
          </w:p>
        </w:tc>
        <w:tc>
          <w:tcPr>
            <w:tcW w:w="1745" w:type="dxa"/>
          </w:tcPr>
          <w:p w14:paraId="258C1152" w14:textId="0C409A82" w:rsidR="00CF125C" w:rsidRPr="00724A07" w:rsidRDefault="00440A1E" w:rsidP="00D72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03/09/2021</w:t>
            </w:r>
          </w:p>
        </w:tc>
        <w:tc>
          <w:tcPr>
            <w:tcW w:w="2518" w:type="dxa"/>
          </w:tcPr>
          <w:p w14:paraId="09813CDA" w14:textId="77777777" w:rsidR="00CF125C" w:rsidRPr="00724A07" w:rsidRDefault="00CF125C" w:rsidP="00D72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Correo electrónico</w:t>
            </w:r>
          </w:p>
        </w:tc>
      </w:tr>
      <w:tr w:rsidR="00CF125C" w:rsidRPr="00724A07" w14:paraId="6D358F30" w14:textId="77777777" w:rsidTr="00472E67">
        <w:trPr>
          <w:trHeight w:val="170"/>
        </w:trPr>
        <w:tc>
          <w:tcPr>
            <w:cnfStyle w:val="001000000000" w:firstRow="0" w:lastRow="0" w:firstColumn="1" w:lastColumn="0" w:oddVBand="0" w:evenVBand="0" w:oddHBand="0" w:evenHBand="0" w:firstRowFirstColumn="0" w:firstRowLastColumn="0" w:lastRowFirstColumn="0" w:lastRowLastColumn="0"/>
            <w:tcW w:w="3681" w:type="dxa"/>
          </w:tcPr>
          <w:p w14:paraId="59658526" w14:textId="217D8CCB" w:rsidR="00CF125C" w:rsidRPr="00724A07" w:rsidRDefault="00DB3AB8" w:rsidP="00D7295D">
            <w:pPr>
              <w:numPr>
                <w:ilvl w:val="0"/>
                <w:numId w:val="1"/>
              </w:numPr>
              <w:spacing w:after="0" w:line="240" w:lineRule="auto"/>
              <w:rPr>
                <w:rFonts w:ascii="ITC Avant Garde" w:hAnsi="ITC Avant Garde"/>
                <w:sz w:val="18"/>
                <w:szCs w:val="18"/>
              </w:rPr>
            </w:pPr>
            <w:r w:rsidRPr="00724A07">
              <w:rPr>
                <w:rFonts w:ascii="ITC Avant Garde" w:hAnsi="ITC Avant Garde"/>
                <w:sz w:val="18"/>
                <w:szCs w:val="18"/>
              </w:rPr>
              <w:t>Ana de Saracho O´Brien</w:t>
            </w:r>
            <w:r w:rsidR="00773290" w:rsidRPr="00724A07">
              <w:rPr>
                <w:rFonts w:ascii="ITC Avant Garde" w:hAnsi="ITC Avant Garde"/>
                <w:sz w:val="18"/>
                <w:szCs w:val="18"/>
              </w:rPr>
              <w:t xml:space="preserve">, en representación de </w:t>
            </w:r>
            <w:r w:rsidR="00E16B5D">
              <w:rPr>
                <w:rFonts w:ascii="ITC Avant Garde" w:hAnsi="ITC Avant Garde"/>
                <w:sz w:val="18"/>
                <w:szCs w:val="18"/>
              </w:rPr>
              <w:t>Telefónica</w:t>
            </w:r>
            <w:r w:rsidR="00274B52" w:rsidRPr="00724A07">
              <w:rPr>
                <w:rFonts w:ascii="ITC Avant Garde" w:hAnsi="ITC Avant Garde"/>
                <w:sz w:val="18"/>
                <w:szCs w:val="18"/>
              </w:rPr>
              <w:t>.</w:t>
            </w:r>
          </w:p>
        </w:tc>
        <w:tc>
          <w:tcPr>
            <w:tcW w:w="2126" w:type="dxa"/>
          </w:tcPr>
          <w:p w14:paraId="26B1E137" w14:textId="5ACA1DA6" w:rsidR="00CF125C" w:rsidRPr="00724A07" w:rsidRDefault="00773290" w:rsidP="00D72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Telecomunicaciones</w:t>
            </w:r>
          </w:p>
        </w:tc>
        <w:tc>
          <w:tcPr>
            <w:tcW w:w="1745" w:type="dxa"/>
          </w:tcPr>
          <w:p w14:paraId="1119CFBA" w14:textId="0D09D151" w:rsidR="00CF125C" w:rsidRPr="00724A07" w:rsidRDefault="00440A1E" w:rsidP="00D72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03/09/2021</w:t>
            </w:r>
          </w:p>
        </w:tc>
        <w:tc>
          <w:tcPr>
            <w:tcW w:w="2518" w:type="dxa"/>
          </w:tcPr>
          <w:p w14:paraId="2642D6C2" w14:textId="77777777" w:rsidR="00CF125C" w:rsidRPr="00724A07" w:rsidRDefault="00CF125C" w:rsidP="00D729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Correo electrónico</w:t>
            </w:r>
          </w:p>
        </w:tc>
      </w:tr>
      <w:tr w:rsidR="00CF125C" w:rsidRPr="00724A07" w14:paraId="5497419A" w14:textId="77777777" w:rsidTr="00472E6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681" w:type="dxa"/>
          </w:tcPr>
          <w:p w14:paraId="3AC325EA" w14:textId="4364D22B" w:rsidR="00CF125C" w:rsidRPr="00724A07" w:rsidRDefault="00440A1E" w:rsidP="00D7295D">
            <w:pPr>
              <w:numPr>
                <w:ilvl w:val="0"/>
                <w:numId w:val="1"/>
              </w:numPr>
              <w:spacing w:after="0" w:line="240" w:lineRule="auto"/>
              <w:rPr>
                <w:rFonts w:ascii="ITC Avant Garde" w:hAnsi="ITC Avant Garde"/>
                <w:sz w:val="18"/>
                <w:szCs w:val="18"/>
              </w:rPr>
            </w:pPr>
            <w:r w:rsidRPr="00724A07">
              <w:rPr>
                <w:rFonts w:ascii="ITC Avant Garde" w:hAnsi="ITC Avant Garde"/>
                <w:sz w:val="18"/>
                <w:szCs w:val="18"/>
              </w:rPr>
              <w:t>León Efrén Jiménez Domínguez y Priscila Barba Rivas</w:t>
            </w:r>
          </w:p>
        </w:tc>
        <w:tc>
          <w:tcPr>
            <w:tcW w:w="2126" w:type="dxa"/>
          </w:tcPr>
          <w:p w14:paraId="6B92570D" w14:textId="54C097E8" w:rsidR="00CF125C" w:rsidRPr="00724A07" w:rsidRDefault="00CF125C" w:rsidP="00D72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N</w:t>
            </w:r>
            <w:r w:rsidR="00D15490">
              <w:rPr>
                <w:rFonts w:ascii="ITC Avant Garde" w:hAnsi="ITC Avant Garde"/>
                <w:sz w:val="18"/>
                <w:szCs w:val="18"/>
              </w:rPr>
              <w:t>o Especificó</w:t>
            </w:r>
          </w:p>
        </w:tc>
        <w:tc>
          <w:tcPr>
            <w:tcW w:w="1745" w:type="dxa"/>
          </w:tcPr>
          <w:p w14:paraId="68226DC7" w14:textId="761998CF" w:rsidR="00CF125C" w:rsidRPr="00724A07" w:rsidRDefault="00773290" w:rsidP="00D72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0</w:t>
            </w:r>
            <w:r w:rsidR="00440A1E" w:rsidRPr="00724A07">
              <w:rPr>
                <w:rFonts w:ascii="ITC Avant Garde" w:hAnsi="ITC Avant Garde"/>
                <w:sz w:val="18"/>
                <w:szCs w:val="18"/>
              </w:rPr>
              <w:t>3</w:t>
            </w:r>
            <w:r w:rsidRPr="00724A07">
              <w:rPr>
                <w:rFonts w:ascii="ITC Avant Garde" w:hAnsi="ITC Avant Garde"/>
                <w:sz w:val="18"/>
                <w:szCs w:val="18"/>
              </w:rPr>
              <w:t>/0</w:t>
            </w:r>
            <w:r w:rsidR="00440A1E" w:rsidRPr="00724A07">
              <w:rPr>
                <w:rFonts w:ascii="ITC Avant Garde" w:hAnsi="ITC Avant Garde"/>
                <w:sz w:val="18"/>
                <w:szCs w:val="18"/>
              </w:rPr>
              <w:t>9</w:t>
            </w:r>
            <w:r w:rsidRPr="00724A07">
              <w:rPr>
                <w:rFonts w:ascii="ITC Avant Garde" w:hAnsi="ITC Avant Garde"/>
                <w:sz w:val="18"/>
                <w:szCs w:val="18"/>
              </w:rPr>
              <w:t>/2021</w:t>
            </w:r>
          </w:p>
        </w:tc>
        <w:tc>
          <w:tcPr>
            <w:tcW w:w="2518" w:type="dxa"/>
          </w:tcPr>
          <w:p w14:paraId="0BDA6667" w14:textId="77777777" w:rsidR="00CF125C" w:rsidRPr="00724A07" w:rsidRDefault="00CF125C" w:rsidP="00D729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Correo electrónico</w:t>
            </w:r>
          </w:p>
        </w:tc>
      </w:tr>
    </w:tbl>
    <w:p w14:paraId="49BC9606" w14:textId="33F4AA58" w:rsidR="00F20D08" w:rsidRPr="00724A07" w:rsidRDefault="00F20D08" w:rsidP="00250818">
      <w:pPr>
        <w:spacing w:before="120" w:after="120" w:line="240" w:lineRule="auto"/>
        <w:jc w:val="both"/>
        <w:rPr>
          <w:rFonts w:ascii="ITC Avant Garde" w:hAnsi="ITC Avant Garde"/>
        </w:rPr>
      </w:pPr>
      <w:r w:rsidRPr="00724A07">
        <w:rPr>
          <w:rFonts w:ascii="ITC Avant Garde" w:hAnsi="ITC Avant Garde"/>
        </w:rPr>
        <w:t>Todos los escritos fueron presentados dentro del periodo de co</w:t>
      </w:r>
      <w:r w:rsidR="00605150" w:rsidRPr="00724A07">
        <w:rPr>
          <w:rFonts w:ascii="ITC Avant Garde" w:hAnsi="ITC Avant Garde"/>
        </w:rPr>
        <w:t>nsulta pública</w:t>
      </w:r>
      <w:r w:rsidR="000C632B" w:rsidRPr="00724A07">
        <w:rPr>
          <w:rFonts w:ascii="ITC Avant Garde" w:hAnsi="ITC Avant Garde"/>
        </w:rPr>
        <w:t xml:space="preserve"> y sus consideraciones se recopilan</w:t>
      </w:r>
      <w:r w:rsidR="003711E0" w:rsidRPr="00724A07">
        <w:rPr>
          <w:rFonts w:ascii="ITC Avant Garde" w:hAnsi="ITC Avant Garde"/>
        </w:rPr>
        <w:t xml:space="preserve"> en el presente informe.</w:t>
      </w:r>
    </w:p>
    <w:p w14:paraId="4C37C404" w14:textId="45F3F6D9" w:rsidR="00C71FB6" w:rsidRPr="00724A07" w:rsidRDefault="00C71FB6" w:rsidP="00250818">
      <w:pPr>
        <w:spacing w:before="120" w:after="120" w:line="240" w:lineRule="auto"/>
        <w:jc w:val="both"/>
        <w:rPr>
          <w:rFonts w:ascii="ITC Avant Garde" w:hAnsi="ITC Avant Garde"/>
        </w:rPr>
      </w:pPr>
      <w:r w:rsidRPr="00724A07">
        <w:rPr>
          <w:rFonts w:ascii="ITC Avant Garde" w:hAnsi="ITC Avant Garde"/>
        </w:rPr>
        <w:lastRenderedPageBreak/>
        <w:t xml:space="preserve">Adicionalmente, el veintitrés de septiembre de dos mil veintiuno, se recibió </w:t>
      </w:r>
      <w:r w:rsidR="006072E6">
        <w:rPr>
          <w:rFonts w:ascii="ITC Avant Garde" w:hAnsi="ITC Avant Garde"/>
        </w:rPr>
        <w:t xml:space="preserve">1 (un) escrito que contiene </w:t>
      </w:r>
      <w:r w:rsidRPr="00724A07">
        <w:rPr>
          <w:rFonts w:ascii="ITC Avant Garde" w:hAnsi="ITC Avant Garde"/>
        </w:rPr>
        <w:t xml:space="preserve">la </w:t>
      </w:r>
      <w:r w:rsidR="008A1F4F">
        <w:rPr>
          <w:rFonts w:ascii="ITC Avant Garde" w:hAnsi="ITC Avant Garde"/>
        </w:rPr>
        <w:t>o</w:t>
      </w:r>
      <w:r w:rsidRPr="00724A07">
        <w:rPr>
          <w:rFonts w:ascii="ITC Avant Garde" w:hAnsi="ITC Avant Garde"/>
        </w:rPr>
        <w:t xml:space="preserve">pinión de la COFECE referida en el Antecedente </w:t>
      </w:r>
      <w:r w:rsidR="00556F1C">
        <w:rPr>
          <w:rFonts w:ascii="ITC Avant Garde" w:hAnsi="ITC Avant Garde"/>
        </w:rPr>
        <w:t>v</w:t>
      </w:r>
      <w:r w:rsidR="008A1F4F">
        <w:rPr>
          <w:rFonts w:ascii="ITC Avant Garde" w:hAnsi="ITC Avant Garde"/>
        </w:rPr>
        <w:t>,</w:t>
      </w:r>
      <w:r w:rsidR="00501AE5">
        <w:rPr>
          <w:rFonts w:ascii="ITC Avant Garde" w:hAnsi="ITC Avant Garde"/>
        </w:rPr>
        <w:t xml:space="preserve"> </w:t>
      </w:r>
      <w:r w:rsidR="009D72B0" w:rsidRPr="009D72B0">
        <w:rPr>
          <w:rFonts w:ascii="ITC Avant Garde" w:hAnsi="ITC Avant Garde"/>
        </w:rPr>
        <w:t>y sus comentarios y sugerencias se toman en consideración en el presente informe</w:t>
      </w:r>
      <w:r w:rsidR="006072E6">
        <w:rPr>
          <w:rFonts w:ascii="ITC Avant Garde" w:hAnsi="ITC Avant Garde"/>
        </w:rPr>
        <w:t>.</w:t>
      </w:r>
    </w:p>
    <w:p w14:paraId="62D43F4A" w14:textId="1C074E04" w:rsidR="00F20D08" w:rsidRPr="00724A07" w:rsidRDefault="00DD32EC" w:rsidP="009131BA">
      <w:pPr>
        <w:spacing w:before="120" w:after="120" w:line="240" w:lineRule="auto"/>
        <w:jc w:val="both"/>
        <w:outlineLvl w:val="0"/>
        <w:rPr>
          <w:rFonts w:ascii="ITC Avant Garde" w:hAnsi="ITC Avant Garde"/>
          <w:b/>
          <w:bCs/>
          <w:smallCaps/>
        </w:rPr>
      </w:pPr>
      <w:r>
        <w:rPr>
          <w:rFonts w:ascii="ITC Avant Garde" w:hAnsi="ITC Avant Garde"/>
          <w:b/>
          <w:bCs/>
          <w:smallCaps/>
        </w:rPr>
        <w:t>8</w:t>
      </w:r>
      <w:r w:rsidR="00F20D08" w:rsidRPr="00724A07">
        <w:rPr>
          <w:rFonts w:ascii="ITC Avant Garde" w:hAnsi="ITC Avant Garde"/>
          <w:b/>
          <w:bCs/>
          <w:smallCaps/>
        </w:rPr>
        <w:t>. A</w:t>
      </w:r>
      <w:r w:rsidR="003058B4" w:rsidRPr="00724A07">
        <w:rPr>
          <w:rFonts w:ascii="ITC Avant Garde" w:hAnsi="ITC Avant Garde"/>
          <w:b/>
          <w:bCs/>
          <w:smallCaps/>
        </w:rPr>
        <w:t>partado</w:t>
      </w:r>
      <w:r w:rsidR="00E23B29" w:rsidRPr="00724A07">
        <w:rPr>
          <w:rFonts w:ascii="ITC Avant Garde" w:hAnsi="ITC Avant Garde"/>
          <w:b/>
          <w:bCs/>
          <w:smallCaps/>
        </w:rPr>
        <w:t>s</w:t>
      </w:r>
      <w:r w:rsidR="00F20D08" w:rsidRPr="00724A07">
        <w:rPr>
          <w:rFonts w:ascii="ITC Avant Garde" w:hAnsi="ITC Avant Garde"/>
          <w:b/>
          <w:bCs/>
          <w:smallCaps/>
        </w:rPr>
        <w:t xml:space="preserve"> sobre los que se recibieron comentarios </w:t>
      </w:r>
      <w:r w:rsidR="00AE2165" w:rsidRPr="00724A07">
        <w:rPr>
          <w:rFonts w:ascii="ITC Avant Garde" w:hAnsi="ITC Avant Garde"/>
          <w:b/>
          <w:bCs/>
          <w:smallCaps/>
        </w:rPr>
        <w:t>en el</w:t>
      </w:r>
      <w:r w:rsidR="00F20D08" w:rsidRPr="00724A07">
        <w:rPr>
          <w:rFonts w:ascii="ITC Avant Garde" w:hAnsi="ITC Avant Garde"/>
          <w:b/>
          <w:bCs/>
          <w:smallCaps/>
        </w:rPr>
        <w:t xml:space="preserve"> Anteproyecto de </w:t>
      </w:r>
      <w:r w:rsidR="003058B4" w:rsidRPr="00724A07">
        <w:rPr>
          <w:rFonts w:ascii="ITC Avant Garde" w:hAnsi="ITC Avant Garde"/>
          <w:b/>
          <w:bCs/>
          <w:smallCaps/>
        </w:rPr>
        <w:t>Guía</w:t>
      </w:r>
    </w:p>
    <w:p w14:paraId="1467F6F0" w14:textId="5F48BC54" w:rsidR="00EE03CE" w:rsidRPr="00724A07" w:rsidRDefault="00F20D08" w:rsidP="00F20D08">
      <w:pPr>
        <w:spacing w:after="120" w:line="247" w:lineRule="auto"/>
        <w:jc w:val="both"/>
        <w:rPr>
          <w:rFonts w:ascii="ITC Avant Garde" w:hAnsi="ITC Avant Garde"/>
        </w:rPr>
      </w:pPr>
      <w:r w:rsidRPr="00724A07">
        <w:rPr>
          <w:rFonts w:ascii="ITC Avant Garde" w:hAnsi="ITC Avant Garde"/>
        </w:rPr>
        <w:t>En total</w:t>
      </w:r>
      <w:r w:rsidR="00D76050" w:rsidRPr="00724A07">
        <w:rPr>
          <w:rFonts w:ascii="ITC Avant Garde" w:hAnsi="ITC Avant Garde"/>
        </w:rPr>
        <w:t>,</w:t>
      </w:r>
      <w:r w:rsidRPr="00724A07">
        <w:rPr>
          <w:rFonts w:ascii="ITC Avant Garde" w:hAnsi="ITC Avant Garde"/>
        </w:rPr>
        <w:t xml:space="preserve"> se recibieron </w:t>
      </w:r>
      <w:r w:rsidR="005F70FA" w:rsidRPr="00724A07">
        <w:rPr>
          <w:rFonts w:ascii="ITC Avant Garde" w:hAnsi="ITC Avant Garde"/>
        </w:rPr>
        <w:t>veintidós</w:t>
      </w:r>
      <w:r w:rsidRPr="00724A07">
        <w:rPr>
          <w:rFonts w:ascii="ITC Avant Garde" w:hAnsi="ITC Avant Garde"/>
        </w:rPr>
        <w:t xml:space="preserve"> comentarios </w:t>
      </w:r>
      <w:r w:rsidR="00320227" w:rsidRPr="00724A07">
        <w:rPr>
          <w:rFonts w:ascii="ITC Avant Garde" w:hAnsi="ITC Avant Garde"/>
        </w:rPr>
        <w:t xml:space="preserve">en el periodo de Consulta Pública, </w:t>
      </w:r>
      <w:r w:rsidRPr="00724A07">
        <w:rPr>
          <w:rFonts w:ascii="ITC Avant Garde" w:hAnsi="ITC Avant Garde"/>
        </w:rPr>
        <w:t>respecto de</w:t>
      </w:r>
      <w:r w:rsidR="00937F22" w:rsidRPr="00724A07">
        <w:rPr>
          <w:rFonts w:ascii="ITC Avant Garde" w:hAnsi="ITC Avant Garde"/>
        </w:rPr>
        <w:t>l Anteproyecto de</w:t>
      </w:r>
      <w:r w:rsidR="002B231D" w:rsidRPr="00724A07">
        <w:rPr>
          <w:rFonts w:ascii="ITC Avant Garde" w:hAnsi="ITC Avant Garde"/>
        </w:rPr>
        <w:t xml:space="preserve"> Guía</w:t>
      </w:r>
      <w:r w:rsidR="00292A47" w:rsidRPr="00724A07">
        <w:rPr>
          <w:rFonts w:ascii="ITC Avant Garde" w:hAnsi="ITC Avant Garde"/>
        </w:rPr>
        <w:t>,</w:t>
      </w:r>
      <w:r w:rsidR="00C560D3" w:rsidRPr="00724A07">
        <w:rPr>
          <w:rFonts w:ascii="ITC Avant Garde" w:hAnsi="ITC Avant Garde"/>
        </w:rPr>
        <w:t xml:space="preserve"> </w:t>
      </w:r>
      <w:r w:rsidR="00320227" w:rsidRPr="00724A07">
        <w:rPr>
          <w:rFonts w:ascii="ITC Avant Garde" w:hAnsi="ITC Avant Garde"/>
        </w:rPr>
        <w:t xml:space="preserve">mismos </w:t>
      </w:r>
      <w:r w:rsidR="00292A47" w:rsidRPr="00724A07">
        <w:rPr>
          <w:rFonts w:ascii="ITC Avant Garde" w:hAnsi="ITC Avant Garde"/>
        </w:rPr>
        <w:t xml:space="preserve">que </w:t>
      </w:r>
      <w:r w:rsidRPr="00724A07">
        <w:rPr>
          <w:rFonts w:ascii="ITC Avant Garde" w:hAnsi="ITC Avant Garde"/>
        </w:rPr>
        <w:t>se re</w:t>
      </w:r>
      <w:r w:rsidR="00D2006C">
        <w:rPr>
          <w:rFonts w:ascii="ITC Avant Garde" w:hAnsi="ITC Avant Garde"/>
        </w:rPr>
        <w:t>sumen</w:t>
      </w:r>
      <w:r w:rsidRPr="00724A07">
        <w:rPr>
          <w:rFonts w:ascii="ITC Avant Garde" w:hAnsi="ITC Avant Garde"/>
        </w:rPr>
        <w:t xml:space="preserve"> a continuación</w:t>
      </w:r>
      <w:r w:rsidR="00E47A94" w:rsidRPr="00724A07">
        <w:rPr>
          <w:rFonts w:ascii="ITC Avant Garde" w:hAnsi="ITC Avant Garde"/>
        </w:rPr>
        <w:t>:</w:t>
      </w:r>
    </w:p>
    <w:tbl>
      <w:tblPr>
        <w:tblStyle w:val="Tablaconcuadrcula4-nfasis6"/>
        <w:tblW w:w="0" w:type="auto"/>
        <w:tblLook w:val="04A0" w:firstRow="1" w:lastRow="0" w:firstColumn="1" w:lastColumn="0" w:noHBand="0" w:noVBand="1"/>
      </w:tblPr>
      <w:tblGrid>
        <w:gridCol w:w="2169"/>
        <w:gridCol w:w="1309"/>
        <w:gridCol w:w="6598"/>
      </w:tblGrid>
      <w:tr w:rsidR="00964E42" w:rsidRPr="00724A07" w14:paraId="48E73A1A" w14:textId="77777777" w:rsidTr="00D2006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200" w:type="dxa"/>
            <w:shd w:val="clear" w:color="auto" w:fill="92D050"/>
            <w:vAlign w:val="center"/>
            <w:hideMark/>
          </w:tcPr>
          <w:p w14:paraId="06F169E3" w14:textId="1F41B4EE" w:rsidR="00964E42" w:rsidRPr="00724A07" w:rsidRDefault="0098078B" w:rsidP="000456C0">
            <w:pPr>
              <w:spacing w:after="0" w:line="240" w:lineRule="auto"/>
              <w:jc w:val="center"/>
              <w:rPr>
                <w:rFonts w:ascii="ITC Avant Garde" w:eastAsia="Times New Roman" w:hAnsi="ITC Avant Garde" w:cs="Calibri"/>
                <w:color w:val="auto"/>
                <w:sz w:val="18"/>
                <w:szCs w:val="18"/>
                <w:lang w:eastAsia="es-MX"/>
              </w:rPr>
            </w:pPr>
            <w:r w:rsidRPr="00724A07">
              <w:rPr>
                <w:rFonts w:ascii="ITC Avant Garde" w:eastAsia="Times New Roman" w:hAnsi="ITC Avant Garde" w:cs="Calibri"/>
                <w:color w:val="auto"/>
                <w:sz w:val="18"/>
                <w:szCs w:val="18"/>
                <w:lang w:eastAsia="es-MX"/>
              </w:rPr>
              <w:t>Apartado</w:t>
            </w:r>
            <w:r w:rsidR="00964E42" w:rsidRPr="00724A07">
              <w:rPr>
                <w:rFonts w:ascii="ITC Avant Garde" w:eastAsia="Times New Roman" w:hAnsi="ITC Avant Garde" w:cs="Calibri"/>
                <w:color w:val="auto"/>
                <w:sz w:val="18"/>
                <w:szCs w:val="18"/>
                <w:lang w:eastAsia="es-MX"/>
              </w:rPr>
              <w:t xml:space="preserve"> del Anteproyecto de </w:t>
            </w:r>
            <w:r w:rsidRPr="00724A07">
              <w:rPr>
                <w:rFonts w:ascii="ITC Avant Garde" w:eastAsia="Times New Roman" w:hAnsi="ITC Avant Garde" w:cs="Calibri"/>
                <w:color w:val="auto"/>
                <w:sz w:val="18"/>
                <w:szCs w:val="18"/>
                <w:lang w:eastAsia="es-MX"/>
              </w:rPr>
              <w:t>Guía</w:t>
            </w:r>
          </w:p>
        </w:tc>
        <w:tc>
          <w:tcPr>
            <w:tcW w:w="1056" w:type="dxa"/>
            <w:shd w:val="clear" w:color="auto" w:fill="92D050"/>
            <w:vAlign w:val="center"/>
            <w:hideMark/>
          </w:tcPr>
          <w:p w14:paraId="7677ECBF" w14:textId="77777777" w:rsidR="00964E42" w:rsidRPr="00724A07" w:rsidRDefault="00964E42" w:rsidP="000E06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8"/>
                <w:szCs w:val="18"/>
                <w:lang w:eastAsia="es-MX"/>
              </w:rPr>
            </w:pPr>
            <w:r w:rsidRPr="00724A07">
              <w:rPr>
                <w:rFonts w:ascii="ITC Avant Garde" w:eastAsia="Times New Roman" w:hAnsi="ITC Avant Garde" w:cs="Calibri"/>
                <w:color w:val="auto"/>
                <w:sz w:val="18"/>
                <w:szCs w:val="18"/>
                <w:lang w:eastAsia="es-MX"/>
              </w:rPr>
              <w:t>Número de comentarios recibidos</w:t>
            </w:r>
          </w:p>
        </w:tc>
        <w:tc>
          <w:tcPr>
            <w:tcW w:w="6820" w:type="dxa"/>
            <w:shd w:val="clear" w:color="auto" w:fill="92D050"/>
            <w:vAlign w:val="center"/>
            <w:hideMark/>
          </w:tcPr>
          <w:p w14:paraId="71C25FEF" w14:textId="6A36AC50" w:rsidR="00964E42" w:rsidRPr="00724A07" w:rsidRDefault="00964E42" w:rsidP="00472E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8"/>
                <w:szCs w:val="18"/>
                <w:lang w:eastAsia="es-MX"/>
              </w:rPr>
            </w:pPr>
            <w:r w:rsidRPr="00724A07">
              <w:rPr>
                <w:rFonts w:ascii="ITC Avant Garde" w:eastAsia="Times New Roman" w:hAnsi="ITC Avant Garde" w:cs="Calibri"/>
                <w:color w:val="auto"/>
                <w:sz w:val="18"/>
                <w:szCs w:val="18"/>
                <w:lang w:eastAsia="es-MX"/>
              </w:rPr>
              <w:t>Resumen de los comentarios</w:t>
            </w:r>
          </w:p>
        </w:tc>
      </w:tr>
      <w:tr w:rsidR="005D6191" w:rsidRPr="00724A07" w14:paraId="296CFE0E"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val="restart"/>
          </w:tcPr>
          <w:p w14:paraId="42D7D5B2" w14:textId="56EE8DFC" w:rsidR="005D6191" w:rsidRPr="00724A07" w:rsidRDefault="009F4D15" w:rsidP="00A651CE">
            <w:pPr>
              <w:spacing w:after="0" w:line="240" w:lineRule="auto"/>
              <w:jc w:val="both"/>
              <w:rPr>
                <w:rFonts w:ascii="ITC Avant Garde" w:hAnsi="ITC Avant Garde" w:cs="Arial"/>
                <w:bCs w:val="0"/>
                <w:sz w:val="18"/>
                <w:szCs w:val="18"/>
              </w:rPr>
            </w:pPr>
            <w:r w:rsidRPr="00724A07">
              <w:rPr>
                <w:rFonts w:ascii="ITC Avant Garde" w:hAnsi="ITC Avant Garde"/>
                <w:sz w:val="18"/>
                <w:szCs w:val="18"/>
              </w:rPr>
              <w:t xml:space="preserve">Temas </w:t>
            </w:r>
            <w:r w:rsidR="005D6191" w:rsidRPr="00724A07">
              <w:rPr>
                <w:rFonts w:ascii="ITC Avant Garde" w:hAnsi="ITC Avant Garde"/>
                <w:sz w:val="18"/>
                <w:szCs w:val="18"/>
              </w:rPr>
              <w:t>generales</w:t>
            </w:r>
          </w:p>
        </w:tc>
        <w:tc>
          <w:tcPr>
            <w:tcW w:w="1056" w:type="dxa"/>
            <w:vMerge w:val="restart"/>
          </w:tcPr>
          <w:p w14:paraId="6D2DDCB6" w14:textId="14326BCC" w:rsidR="005D6191" w:rsidRPr="00724A07" w:rsidRDefault="007560F6"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3</w:t>
            </w:r>
          </w:p>
        </w:tc>
        <w:tc>
          <w:tcPr>
            <w:tcW w:w="6820" w:type="dxa"/>
          </w:tcPr>
          <w:p w14:paraId="13792429" w14:textId="3DC95533" w:rsidR="005D6191" w:rsidRPr="00724A07" w:rsidRDefault="001758DF"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w:t>
            </w:r>
            <w:r w:rsidR="004818EF" w:rsidRPr="00724A07">
              <w:rPr>
                <w:rFonts w:ascii="ITC Avant Garde" w:eastAsia="Times New Roman" w:hAnsi="ITC Avant Garde" w:cs="Calibri"/>
                <w:color w:val="000000"/>
                <w:sz w:val="18"/>
                <w:szCs w:val="18"/>
                <w:lang w:eastAsia="es-MX"/>
              </w:rPr>
              <w:t xml:space="preserve"> señala que, si bien determinar los mercados relevantes es importante para corregir las distorsiones competitivas en el sector de </w:t>
            </w:r>
            <w:proofErr w:type="spellStart"/>
            <w:r w:rsidR="00B25655" w:rsidRPr="00724A07">
              <w:rPr>
                <w:rFonts w:ascii="ITC Avant Garde" w:eastAsia="Times New Roman" w:hAnsi="ITC Avant Garde" w:cs="Calibri"/>
                <w:color w:val="000000"/>
                <w:sz w:val="18"/>
                <w:szCs w:val="18"/>
                <w:lang w:eastAsia="es-MX"/>
              </w:rPr>
              <w:t>TyR</w:t>
            </w:r>
            <w:proofErr w:type="spellEnd"/>
            <w:r w:rsidR="004818EF" w:rsidRPr="00724A07">
              <w:rPr>
                <w:rFonts w:ascii="ITC Avant Garde" w:eastAsia="Times New Roman" w:hAnsi="ITC Avant Garde" w:cs="Calibri"/>
                <w:color w:val="000000"/>
                <w:sz w:val="18"/>
                <w:szCs w:val="18"/>
                <w:lang w:eastAsia="es-MX"/>
              </w:rPr>
              <w:t xml:space="preserve">, la principal forma para restaurar las condiciones de sana competencia en dicho </w:t>
            </w:r>
            <w:r w:rsidR="005F70FA" w:rsidRPr="00724A07">
              <w:rPr>
                <w:rFonts w:ascii="ITC Avant Garde" w:eastAsia="Times New Roman" w:hAnsi="ITC Avant Garde" w:cs="Calibri"/>
                <w:color w:val="000000"/>
                <w:sz w:val="18"/>
                <w:szCs w:val="18"/>
                <w:lang w:eastAsia="es-MX"/>
              </w:rPr>
              <w:t>mercado</w:t>
            </w:r>
            <w:r w:rsidR="004818EF" w:rsidRPr="00724A07">
              <w:rPr>
                <w:rFonts w:ascii="ITC Avant Garde" w:eastAsia="Times New Roman" w:hAnsi="ITC Avant Garde" w:cs="Calibri"/>
                <w:color w:val="000000"/>
                <w:sz w:val="18"/>
                <w:szCs w:val="18"/>
                <w:lang w:eastAsia="es-MX"/>
              </w:rPr>
              <w:t xml:space="preserve"> es a </w:t>
            </w:r>
            <w:r w:rsidR="00061131" w:rsidRPr="00724A07">
              <w:rPr>
                <w:rFonts w:ascii="ITC Avant Garde" w:eastAsia="Times New Roman" w:hAnsi="ITC Avant Garde" w:cs="Calibri"/>
                <w:color w:val="000000"/>
                <w:sz w:val="18"/>
                <w:szCs w:val="18"/>
                <w:lang w:eastAsia="es-MX"/>
              </w:rPr>
              <w:t>través</w:t>
            </w:r>
            <w:r w:rsidR="004818EF" w:rsidRPr="00724A07">
              <w:rPr>
                <w:rFonts w:ascii="ITC Avant Garde" w:eastAsia="Times New Roman" w:hAnsi="ITC Avant Garde" w:cs="Calibri"/>
                <w:color w:val="000000"/>
                <w:sz w:val="18"/>
                <w:szCs w:val="18"/>
                <w:lang w:eastAsia="es-MX"/>
              </w:rPr>
              <w:t xml:space="preserve"> de la figura de la “</w:t>
            </w:r>
            <w:r w:rsidR="004818EF" w:rsidRPr="006072E6">
              <w:rPr>
                <w:rFonts w:ascii="ITC Avant Garde" w:eastAsia="Times New Roman" w:hAnsi="ITC Avant Garde" w:cs="Calibri"/>
                <w:i/>
                <w:color w:val="000000"/>
                <w:sz w:val="18"/>
                <w:szCs w:val="18"/>
                <w:lang w:eastAsia="es-MX"/>
              </w:rPr>
              <w:t>preponderan</w:t>
            </w:r>
            <w:r w:rsidR="002B231D" w:rsidRPr="006072E6">
              <w:rPr>
                <w:rFonts w:ascii="ITC Avant Garde" w:eastAsia="Times New Roman" w:hAnsi="ITC Avant Garde" w:cs="Calibri"/>
                <w:i/>
                <w:color w:val="000000"/>
                <w:sz w:val="18"/>
                <w:szCs w:val="18"/>
                <w:lang w:eastAsia="es-MX"/>
              </w:rPr>
              <w:t>c</w:t>
            </w:r>
            <w:r w:rsidR="004818EF" w:rsidRPr="006072E6">
              <w:rPr>
                <w:rFonts w:ascii="ITC Avant Garde" w:eastAsia="Times New Roman" w:hAnsi="ITC Avant Garde" w:cs="Calibri"/>
                <w:i/>
                <w:color w:val="000000"/>
                <w:sz w:val="18"/>
                <w:szCs w:val="18"/>
                <w:lang w:eastAsia="es-MX"/>
              </w:rPr>
              <w:t>ia</w:t>
            </w:r>
            <w:r w:rsidR="004818EF" w:rsidRPr="00724A07">
              <w:rPr>
                <w:rFonts w:ascii="ITC Avant Garde" w:eastAsia="Times New Roman" w:hAnsi="ITC Avant Garde" w:cs="Calibri"/>
                <w:color w:val="000000"/>
                <w:sz w:val="18"/>
                <w:szCs w:val="18"/>
                <w:lang w:eastAsia="es-MX"/>
              </w:rPr>
              <w:t>”.</w:t>
            </w:r>
          </w:p>
        </w:tc>
      </w:tr>
      <w:tr w:rsidR="005D6191" w:rsidRPr="00724A07" w14:paraId="2D7549D0"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525EFA37" w14:textId="77777777" w:rsidR="005D6191" w:rsidRPr="00724A07" w:rsidRDefault="005D6191" w:rsidP="00A651CE">
            <w:pPr>
              <w:spacing w:after="0" w:line="240" w:lineRule="auto"/>
              <w:jc w:val="both"/>
              <w:rPr>
                <w:rFonts w:ascii="ITC Avant Garde" w:hAnsi="ITC Avant Garde" w:cs="Arial"/>
                <w:bCs w:val="0"/>
                <w:sz w:val="18"/>
                <w:szCs w:val="18"/>
              </w:rPr>
            </w:pPr>
          </w:p>
        </w:tc>
        <w:tc>
          <w:tcPr>
            <w:tcW w:w="1056" w:type="dxa"/>
            <w:vMerge/>
          </w:tcPr>
          <w:p w14:paraId="20B1F570" w14:textId="77777777" w:rsidR="005D6191" w:rsidRPr="00724A07" w:rsidRDefault="005D6191"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shd w:val="clear" w:color="auto" w:fill="E2EFD9" w:themeFill="accent6" w:themeFillTint="33"/>
          </w:tcPr>
          <w:p w14:paraId="66217AEA" w14:textId="02F668AE" w:rsidR="005D6191" w:rsidRPr="00724A07" w:rsidRDefault="00E4288E" w:rsidP="00DA32A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 señala que el análisis de definición de MR debe considerar la convergencia de servicios. Además, el análisis de competencia en los mercados de telecomunicaciones debe tener como base el principio de neutralidad tecnológica e incorporar el concepto de competencia potencial.</w:t>
            </w:r>
          </w:p>
        </w:tc>
      </w:tr>
      <w:tr w:rsidR="005D6191" w:rsidRPr="00724A07" w14:paraId="725DDB3F"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2C822ED0" w14:textId="77777777" w:rsidR="005D6191" w:rsidRPr="00724A07" w:rsidRDefault="005D6191" w:rsidP="00A651CE">
            <w:pPr>
              <w:spacing w:after="0" w:line="240" w:lineRule="auto"/>
              <w:jc w:val="both"/>
              <w:rPr>
                <w:rFonts w:ascii="ITC Avant Garde" w:hAnsi="ITC Avant Garde" w:cs="Arial"/>
                <w:bCs w:val="0"/>
                <w:sz w:val="18"/>
                <w:szCs w:val="18"/>
              </w:rPr>
            </w:pPr>
          </w:p>
        </w:tc>
        <w:tc>
          <w:tcPr>
            <w:tcW w:w="1056" w:type="dxa"/>
            <w:vMerge/>
          </w:tcPr>
          <w:p w14:paraId="194AA1B4" w14:textId="77777777" w:rsidR="005D6191" w:rsidRPr="00724A07" w:rsidRDefault="005D6191"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tcPr>
          <w:p w14:paraId="5F2A3C72" w14:textId="2F5851DC" w:rsidR="005D6191" w:rsidRPr="00724A07" w:rsidRDefault="00C075A5" w:rsidP="005D619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sugiere mantener la práctica de hacer públicas las partes de las resoluciones del IFT en las que se sienten precedentes sobre la definición del MR.</w:t>
            </w:r>
          </w:p>
        </w:tc>
      </w:tr>
      <w:tr w:rsidR="00DA32A8" w:rsidRPr="00724A07" w14:paraId="7247F3F1"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val="restart"/>
          </w:tcPr>
          <w:p w14:paraId="69ACCF09" w14:textId="11765CA6" w:rsidR="00DA32A8" w:rsidRPr="00724A07" w:rsidRDefault="00E4288E" w:rsidP="00472E67">
            <w:pPr>
              <w:spacing w:after="0" w:line="240" w:lineRule="auto"/>
              <w:jc w:val="both"/>
              <w:rPr>
                <w:rFonts w:ascii="ITC Avant Garde" w:hAnsi="ITC Avant Garde" w:cs="Arial"/>
                <w:bCs w:val="0"/>
                <w:sz w:val="18"/>
                <w:szCs w:val="18"/>
              </w:rPr>
            </w:pPr>
            <w:r w:rsidRPr="00724A07">
              <w:rPr>
                <w:rFonts w:ascii="ITC Avant Garde" w:hAnsi="ITC Avant Garde" w:cs="Arial"/>
                <w:bCs w:val="0"/>
                <w:sz w:val="18"/>
                <w:szCs w:val="18"/>
              </w:rPr>
              <w:t xml:space="preserve">1. </w:t>
            </w:r>
            <w:r w:rsidR="00DA32A8" w:rsidRPr="00724A07">
              <w:rPr>
                <w:rFonts w:ascii="ITC Avant Garde" w:hAnsi="ITC Avant Garde" w:cs="Arial"/>
                <w:bCs w:val="0"/>
                <w:sz w:val="18"/>
                <w:szCs w:val="18"/>
              </w:rPr>
              <w:t>Presentación</w:t>
            </w:r>
          </w:p>
        </w:tc>
        <w:tc>
          <w:tcPr>
            <w:tcW w:w="1056" w:type="dxa"/>
            <w:vMerge w:val="restart"/>
          </w:tcPr>
          <w:p w14:paraId="258F7313" w14:textId="0CB89D09" w:rsidR="00DA32A8" w:rsidRPr="00724A07" w:rsidRDefault="00790901"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5</w:t>
            </w:r>
          </w:p>
        </w:tc>
        <w:tc>
          <w:tcPr>
            <w:tcW w:w="6820" w:type="dxa"/>
          </w:tcPr>
          <w:p w14:paraId="0B3E5B79" w14:textId="788E1BB4" w:rsidR="00DA32A8" w:rsidRPr="00724A07" w:rsidRDefault="003E1578"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bookmarkStart w:id="1" w:name="_Hlk83283222"/>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propone que la guía sea vinculante para dar certidumbre jurídica a los agentes económicos respecto del sentido para analizar y determinar los límites de los mercados relevantes, pues así se ha realizado en otras jurisdicciones.</w:t>
            </w:r>
            <w:bookmarkEnd w:id="1"/>
          </w:p>
        </w:tc>
      </w:tr>
      <w:tr w:rsidR="00DA32A8" w:rsidRPr="00724A07" w14:paraId="51A30597"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4D664D3A" w14:textId="77777777" w:rsidR="00DA32A8" w:rsidRPr="00724A07" w:rsidRDefault="00DA32A8" w:rsidP="00A651CE">
            <w:pPr>
              <w:spacing w:after="0" w:line="240" w:lineRule="auto"/>
              <w:jc w:val="both"/>
              <w:rPr>
                <w:rFonts w:ascii="ITC Avant Garde" w:hAnsi="ITC Avant Garde" w:cs="Arial"/>
                <w:bCs w:val="0"/>
                <w:sz w:val="18"/>
                <w:szCs w:val="18"/>
              </w:rPr>
            </w:pPr>
          </w:p>
        </w:tc>
        <w:tc>
          <w:tcPr>
            <w:tcW w:w="1056" w:type="dxa"/>
            <w:vMerge/>
          </w:tcPr>
          <w:p w14:paraId="68AD7A77" w14:textId="77777777" w:rsidR="00DA32A8" w:rsidRPr="00724A07" w:rsidRDefault="00DA32A8"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shd w:val="clear" w:color="auto" w:fill="FFFFFF" w:themeFill="background1"/>
          </w:tcPr>
          <w:p w14:paraId="5417F07F" w14:textId="71EF41EC" w:rsidR="00DA32A8" w:rsidRPr="00724A07" w:rsidRDefault="003E1578" w:rsidP="00481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bookmarkStart w:id="2" w:name="_Hlk83283249"/>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propone que no se establezca en la guía que la definición de mercado relevante puede depender “</w:t>
            </w:r>
            <w:r w:rsidR="00DA32A8" w:rsidRPr="00724A07">
              <w:rPr>
                <w:rFonts w:ascii="ITC Avant Garde" w:eastAsia="Times New Roman" w:hAnsi="ITC Avant Garde" w:cs="Calibri"/>
                <w:i/>
                <w:iCs/>
                <w:color w:val="000000"/>
                <w:sz w:val="18"/>
                <w:szCs w:val="18"/>
                <w:lang w:eastAsia="es-MX"/>
              </w:rPr>
              <w:t>de la temporalidad</w:t>
            </w:r>
            <w:r w:rsidR="00525A6A">
              <w:rPr>
                <w:rFonts w:ascii="ITC Avant Garde" w:eastAsia="Times New Roman" w:hAnsi="ITC Avant Garde" w:cs="Calibri"/>
                <w:color w:val="000000"/>
                <w:sz w:val="18"/>
                <w:szCs w:val="18"/>
                <w:lang w:eastAsia="es-MX"/>
              </w:rPr>
              <w:t>”</w:t>
            </w:r>
            <w:r w:rsidR="00DA32A8" w:rsidRPr="00724A07">
              <w:rPr>
                <w:rFonts w:ascii="ITC Avant Garde" w:eastAsia="Times New Roman" w:hAnsi="ITC Avant Garde" w:cs="Calibri"/>
                <w:color w:val="000000"/>
                <w:sz w:val="18"/>
                <w:szCs w:val="18"/>
                <w:lang w:eastAsia="es-MX"/>
              </w:rPr>
              <w:t xml:space="preserve"> o </w:t>
            </w:r>
            <w:r w:rsidR="00B01090">
              <w:rPr>
                <w:rFonts w:ascii="ITC Avant Garde" w:eastAsia="Times New Roman" w:hAnsi="ITC Avant Garde" w:cs="Calibri"/>
                <w:color w:val="000000"/>
                <w:sz w:val="18"/>
                <w:szCs w:val="18"/>
                <w:lang w:eastAsia="es-MX"/>
              </w:rPr>
              <w:t>“</w:t>
            </w:r>
            <w:r w:rsidR="00DA32A8" w:rsidRPr="00724A07">
              <w:rPr>
                <w:rFonts w:ascii="ITC Avant Garde" w:eastAsia="Times New Roman" w:hAnsi="ITC Avant Garde" w:cs="Calibri"/>
                <w:i/>
                <w:iCs/>
                <w:color w:val="000000"/>
                <w:sz w:val="18"/>
                <w:szCs w:val="18"/>
                <w:lang w:eastAsia="es-MX"/>
              </w:rPr>
              <w:t>de la información disponible</w:t>
            </w:r>
            <w:r w:rsidR="00B01090">
              <w:rPr>
                <w:rFonts w:ascii="ITC Avant Garde" w:eastAsia="Times New Roman" w:hAnsi="ITC Avant Garde" w:cs="Calibri"/>
                <w:color w:val="000000"/>
                <w:sz w:val="18"/>
                <w:szCs w:val="18"/>
                <w:lang w:eastAsia="es-MX"/>
              </w:rPr>
              <w:t>”</w:t>
            </w:r>
            <w:r w:rsidR="00DA32A8" w:rsidRPr="00724A07">
              <w:rPr>
                <w:rFonts w:ascii="ITC Avant Garde" w:eastAsia="Times New Roman" w:hAnsi="ITC Avant Garde" w:cs="Calibri"/>
                <w:color w:val="000000"/>
                <w:sz w:val="18"/>
                <w:szCs w:val="18"/>
                <w:lang w:eastAsia="es-MX"/>
              </w:rPr>
              <w:t xml:space="preserve">. </w:t>
            </w:r>
          </w:p>
          <w:p w14:paraId="357225E8" w14:textId="77777777" w:rsidR="00DA32A8" w:rsidRPr="00724A07" w:rsidRDefault="00DA32A8" w:rsidP="00481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
          <w:p w14:paraId="77251317" w14:textId="3BFDEDD6" w:rsidR="00DA32A8" w:rsidRPr="00724A07" w:rsidRDefault="00DA32A8" w:rsidP="00481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 xml:space="preserve">Respecto de la </w:t>
            </w:r>
            <w:r w:rsidR="00251E4B">
              <w:rPr>
                <w:rFonts w:ascii="ITC Avant Garde" w:eastAsia="Times New Roman" w:hAnsi="ITC Avant Garde" w:cs="Calibri"/>
                <w:color w:val="000000"/>
                <w:sz w:val="18"/>
                <w:szCs w:val="18"/>
                <w:lang w:eastAsia="es-MX"/>
              </w:rPr>
              <w:t>“</w:t>
            </w:r>
            <w:r w:rsidRPr="00724A07">
              <w:rPr>
                <w:rFonts w:ascii="ITC Avant Garde" w:eastAsia="Times New Roman" w:hAnsi="ITC Avant Garde" w:cs="Calibri"/>
                <w:i/>
                <w:iCs/>
                <w:color w:val="000000"/>
                <w:sz w:val="18"/>
                <w:szCs w:val="18"/>
                <w:lang w:eastAsia="es-MX"/>
              </w:rPr>
              <w:t>temporalidad</w:t>
            </w:r>
            <w:r w:rsidR="00251E4B">
              <w:rPr>
                <w:rFonts w:ascii="ITC Avant Garde" w:eastAsia="Times New Roman" w:hAnsi="ITC Avant Garde" w:cs="Calibri"/>
                <w:color w:val="000000"/>
                <w:sz w:val="18"/>
                <w:szCs w:val="18"/>
                <w:lang w:eastAsia="es-MX"/>
              </w:rPr>
              <w:t>”</w:t>
            </w:r>
            <w:r w:rsidRPr="00724A07">
              <w:rPr>
                <w:rFonts w:ascii="ITC Avant Garde" w:eastAsia="Times New Roman" w:hAnsi="ITC Avant Garde" w:cs="Calibri"/>
                <w:color w:val="000000"/>
                <w:sz w:val="18"/>
                <w:szCs w:val="18"/>
                <w:lang w:eastAsia="es-MX"/>
              </w:rPr>
              <w:t xml:space="preserve">, </w:t>
            </w:r>
            <w:r w:rsidR="00675EAB" w:rsidRPr="00724A07">
              <w:rPr>
                <w:rFonts w:ascii="ITC Avant Garde" w:eastAsia="Times New Roman" w:hAnsi="ITC Avant Garde" w:cs="Calibri"/>
                <w:color w:val="000000"/>
                <w:sz w:val="18"/>
                <w:szCs w:val="18"/>
                <w:lang w:eastAsia="es-MX"/>
              </w:rPr>
              <w:t xml:space="preserve">se señala que </w:t>
            </w:r>
            <w:r w:rsidRPr="00724A07">
              <w:rPr>
                <w:rFonts w:ascii="ITC Avant Garde" w:eastAsia="Times New Roman" w:hAnsi="ITC Avant Garde" w:cs="Calibri"/>
                <w:color w:val="000000"/>
                <w:sz w:val="18"/>
                <w:szCs w:val="18"/>
                <w:lang w:eastAsia="es-MX"/>
              </w:rPr>
              <w:t xml:space="preserve">el periodo de tiempo está intrínsecamente implícito en el análisis de mercado relevante por lo que no es necesario reiterarlo de forma aislada. </w:t>
            </w:r>
          </w:p>
          <w:p w14:paraId="645A4314" w14:textId="77777777" w:rsidR="00DA32A8" w:rsidRPr="00724A07" w:rsidRDefault="00DA32A8" w:rsidP="00481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
          <w:p w14:paraId="6240239C" w14:textId="08336D63" w:rsidR="00DA32A8" w:rsidRPr="00724A07" w:rsidRDefault="00DA32A8" w:rsidP="00481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En cuanto a la “información disponible”</w:t>
            </w:r>
            <w:r w:rsidR="00675EAB" w:rsidRPr="00724A07">
              <w:rPr>
                <w:rFonts w:ascii="ITC Avant Garde" w:eastAsia="Times New Roman" w:hAnsi="ITC Avant Garde" w:cs="Calibri"/>
                <w:color w:val="000000"/>
                <w:sz w:val="18"/>
                <w:szCs w:val="18"/>
                <w:lang w:eastAsia="es-MX"/>
              </w:rPr>
              <w:t xml:space="preserve">, se </w:t>
            </w:r>
            <w:r w:rsidRPr="00724A07">
              <w:rPr>
                <w:rFonts w:ascii="ITC Avant Garde" w:eastAsia="Times New Roman" w:hAnsi="ITC Avant Garde" w:cs="Calibri"/>
                <w:color w:val="000000"/>
                <w:sz w:val="18"/>
                <w:szCs w:val="18"/>
                <w:lang w:eastAsia="es-MX"/>
              </w:rPr>
              <w:t xml:space="preserve">sugiere en su lugar señalar que el Instituto </w:t>
            </w:r>
            <w:r w:rsidR="00251E4B">
              <w:rPr>
                <w:rFonts w:ascii="ITC Avant Garde" w:eastAsia="Times New Roman" w:hAnsi="ITC Avant Garde" w:cs="Calibri"/>
                <w:color w:val="000000"/>
                <w:sz w:val="18"/>
                <w:szCs w:val="18"/>
                <w:lang w:eastAsia="es-MX"/>
              </w:rPr>
              <w:t>“</w:t>
            </w:r>
            <w:r w:rsidRPr="00724A07">
              <w:rPr>
                <w:rFonts w:ascii="ITC Avant Garde" w:eastAsia="Times New Roman" w:hAnsi="ITC Avant Garde" w:cs="Calibri"/>
                <w:i/>
                <w:iCs/>
                <w:color w:val="000000"/>
                <w:sz w:val="18"/>
                <w:szCs w:val="18"/>
                <w:lang w:eastAsia="es-MX"/>
              </w:rPr>
              <w:t>determinará mercados relevantes haciendo uso de la mejor información disponible</w:t>
            </w:r>
            <w:r w:rsidR="00251E4B">
              <w:rPr>
                <w:rFonts w:ascii="ITC Avant Garde" w:eastAsia="Times New Roman" w:hAnsi="ITC Avant Garde" w:cs="Calibri"/>
                <w:color w:val="000000"/>
                <w:sz w:val="18"/>
                <w:szCs w:val="18"/>
                <w:lang w:eastAsia="es-MX"/>
              </w:rPr>
              <w:t>”</w:t>
            </w:r>
            <w:r w:rsidR="003E1578" w:rsidRPr="00724A07">
              <w:rPr>
                <w:rFonts w:ascii="ITC Avant Garde" w:eastAsia="Times New Roman" w:hAnsi="ITC Avant Garde" w:cs="Calibri"/>
                <w:color w:val="000000"/>
                <w:sz w:val="18"/>
                <w:szCs w:val="18"/>
                <w:lang w:eastAsia="es-MX"/>
              </w:rPr>
              <w:t>.</w:t>
            </w:r>
            <w:bookmarkEnd w:id="2"/>
          </w:p>
        </w:tc>
      </w:tr>
      <w:tr w:rsidR="00DA32A8" w:rsidRPr="00724A07" w14:paraId="4CC11BF4"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0FBC473B" w14:textId="77777777" w:rsidR="00DA32A8" w:rsidRPr="00724A07" w:rsidRDefault="00DA32A8" w:rsidP="00A651CE">
            <w:pPr>
              <w:spacing w:after="0" w:line="240" w:lineRule="auto"/>
              <w:jc w:val="both"/>
              <w:rPr>
                <w:rFonts w:ascii="ITC Avant Garde" w:hAnsi="ITC Avant Garde" w:cs="Arial"/>
                <w:bCs w:val="0"/>
                <w:sz w:val="18"/>
                <w:szCs w:val="18"/>
              </w:rPr>
            </w:pPr>
          </w:p>
        </w:tc>
        <w:tc>
          <w:tcPr>
            <w:tcW w:w="1056" w:type="dxa"/>
            <w:vMerge/>
          </w:tcPr>
          <w:p w14:paraId="45054D98" w14:textId="77777777" w:rsidR="00DA32A8" w:rsidRPr="00724A07" w:rsidRDefault="00DA32A8"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tcPr>
          <w:p w14:paraId="7C6C8D63" w14:textId="69926E3D" w:rsidR="00DA32A8" w:rsidRPr="00724A07" w:rsidRDefault="00675EAB" w:rsidP="004818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bookmarkStart w:id="3" w:name="_Hlk83283271"/>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recomienda que la definición casuística de mercados relevantes construida en México sea homogénea con la de otras jurisdicciones en aquellos casos donde técnica y económicamente sea justificable. </w:t>
            </w:r>
          </w:p>
          <w:p w14:paraId="777E8BAB" w14:textId="421A8EFD" w:rsidR="00DA32A8" w:rsidRPr="00724A07" w:rsidRDefault="00DA32A8" w:rsidP="004818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 xml:space="preserve">Asimismo, </w:t>
            </w:r>
            <w:r w:rsidR="00675EAB" w:rsidRPr="00724A07">
              <w:rPr>
                <w:rFonts w:ascii="ITC Avant Garde" w:eastAsia="Times New Roman" w:hAnsi="ITC Avant Garde" w:cs="Calibri"/>
                <w:color w:val="000000"/>
                <w:sz w:val="18"/>
                <w:szCs w:val="18"/>
                <w:lang w:eastAsia="es-MX"/>
              </w:rPr>
              <w:t xml:space="preserve">se </w:t>
            </w:r>
            <w:r w:rsidRPr="00724A07">
              <w:rPr>
                <w:rFonts w:ascii="ITC Avant Garde" w:eastAsia="Times New Roman" w:hAnsi="ITC Avant Garde" w:cs="Calibri"/>
                <w:color w:val="000000"/>
                <w:sz w:val="18"/>
                <w:szCs w:val="18"/>
                <w:lang w:eastAsia="es-MX"/>
              </w:rPr>
              <w:t xml:space="preserve">solicita que las definiciones previas de mercado relevante realizadas por el Instituto no </w:t>
            </w:r>
            <w:r w:rsidR="005F70FA" w:rsidRPr="00724A07">
              <w:rPr>
                <w:rFonts w:ascii="ITC Avant Garde" w:eastAsia="Times New Roman" w:hAnsi="ITC Avant Garde" w:cs="Calibri"/>
                <w:color w:val="000000"/>
                <w:sz w:val="18"/>
                <w:szCs w:val="18"/>
                <w:lang w:eastAsia="es-MX"/>
              </w:rPr>
              <w:t>prejuzguen</w:t>
            </w:r>
            <w:r w:rsidRPr="00724A07">
              <w:rPr>
                <w:rFonts w:ascii="ITC Avant Garde" w:eastAsia="Times New Roman" w:hAnsi="ITC Avant Garde" w:cs="Calibri"/>
                <w:color w:val="000000"/>
                <w:sz w:val="18"/>
                <w:szCs w:val="18"/>
                <w:lang w:eastAsia="es-MX"/>
              </w:rPr>
              <w:t xml:space="preserve"> ni predeterminen una definición de mercado relevante en un caso posterior, debido a la rápida evolución de la industria.</w:t>
            </w:r>
            <w:bookmarkEnd w:id="3"/>
          </w:p>
        </w:tc>
      </w:tr>
      <w:tr w:rsidR="00DA32A8" w:rsidRPr="00724A07" w14:paraId="35CC0B43"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275A2ACC" w14:textId="77777777" w:rsidR="00DA32A8" w:rsidRPr="00724A07" w:rsidRDefault="00DA32A8" w:rsidP="00A651CE">
            <w:pPr>
              <w:spacing w:after="0" w:line="240" w:lineRule="auto"/>
              <w:jc w:val="both"/>
              <w:rPr>
                <w:rFonts w:ascii="ITC Avant Garde" w:hAnsi="ITC Avant Garde" w:cs="Arial"/>
                <w:bCs w:val="0"/>
                <w:sz w:val="18"/>
                <w:szCs w:val="18"/>
              </w:rPr>
            </w:pPr>
          </w:p>
        </w:tc>
        <w:tc>
          <w:tcPr>
            <w:tcW w:w="1056" w:type="dxa"/>
            <w:vMerge/>
          </w:tcPr>
          <w:p w14:paraId="49288EB4" w14:textId="77777777" w:rsidR="00DA32A8" w:rsidRPr="00724A07" w:rsidRDefault="00DA32A8"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shd w:val="clear" w:color="auto" w:fill="FFFFFF" w:themeFill="background1"/>
          </w:tcPr>
          <w:p w14:paraId="33F76AE1" w14:textId="15AA9DAE" w:rsidR="00DA32A8" w:rsidRPr="00724A07" w:rsidRDefault="00675EAB" w:rsidP="004818EF">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bookmarkStart w:id="4" w:name="_Hlk83283383"/>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señala que es importante que la guía final que emita el Instituto incluya, como parte de los elementos a considerar en la determinación de mercados, aquellos elementos que ya hayan sido (o que en un futuro serán) contemplados por las distintas jurisprudencias emitidas por los tribunales nacionales.</w:t>
            </w:r>
            <w:bookmarkEnd w:id="4"/>
          </w:p>
        </w:tc>
      </w:tr>
      <w:tr w:rsidR="00DA32A8" w:rsidRPr="00724A07" w14:paraId="5CD2C74A"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747C485C" w14:textId="77777777" w:rsidR="00DA32A8" w:rsidRPr="00724A07" w:rsidRDefault="00DA32A8" w:rsidP="00A651CE">
            <w:pPr>
              <w:spacing w:after="0" w:line="240" w:lineRule="auto"/>
              <w:jc w:val="both"/>
              <w:rPr>
                <w:rFonts w:ascii="ITC Avant Garde" w:hAnsi="ITC Avant Garde" w:cs="Arial"/>
                <w:bCs w:val="0"/>
                <w:sz w:val="18"/>
                <w:szCs w:val="18"/>
              </w:rPr>
            </w:pPr>
          </w:p>
        </w:tc>
        <w:tc>
          <w:tcPr>
            <w:tcW w:w="1056" w:type="dxa"/>
            <w:vMerge/>
          </w:tcPr>
          <w:p w14:paraId="5EF0F871" w14:textId="77777777" w:rsidR="00DA32A8" w:rsidRPr="00724A07" w:rsidRDefault="00DA32A8"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tcPr>
          <w:p w14:paraId="5D77ED2D" w14:textId="7441CAA8" w:rsidR="00DA32A8" w:rsidRPr="00724A07" w:rsidRDefault="00675EAB" w:rsidP="004818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señala que la guía debe hacer explícito que deberá ser revisada, al menos, cada 5 años, a la luz de experiencia adquirida por el Instituto en la definición de MR, así como de los avances </w:t>
            </w:r>
            <w:r w:rsidR="00E4288E" w:rsidRPr="00724A07">
              <w:rPr>
                <w:rFonts w:ascii="ITC Avant Garde" w:eastAsia="Times New Roman" w:hAnsi="ITC Avant Garde" w:cs="Calibri"/>
                <w:color w:val="000000"/>
                <w:sz w:val="18"/>
                <w:szCs w:val="18"/>
                <w:lang w:eastAsia="es-MX"/>
              </w:rPr>
              <w:t xml:space="preserve">en </w:t>
            </w:r>
            <w:r w:rsidR="00DA32A8" w:rsidRPr="00724A07">
              <w:rPr>
                <w:rFonts w:ascii="ITC Avant Garde" w:eastAsia="Times New Roman" w:hAnsi="ITC Avant Garde" w:cs="Calibri"/>
                <w:color w:val="000000"/>
                <w:sz w:val="18"/>
                <w:szCs w:val="18"/>
                <w:lang w:eastAsia="es-MX"/>
              </w:rPr>
              <w:t>la teoría económica subyacente</w:t>
            </w:r>
            <w:r w:rsidR="00E4288E" w:rsidRPr="00724A07">
              <w:rPr>
                <w:rFonts w:ascii="ITC Avant Garde" w:eastAsia="Times New Roman" w:hAnsi="ITC Avant Garde" w:cs="Calibri"/>
                <w:color w:val="000000"/>
                <w:sz w:val="18"/>
                <w:szCs w:val="18"/>
                <w:lang w:eastAsia="es-MX"/>
              </w:rPr>
              <w:t>.</w:t>
            </w:r>
          </w:p>
        </w:tc>
      </w:tr>
      <w:tr w:rsidR="00964E42" w:rsidRPr="00724A07" w14:paraId="458A1C1D"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val="restart"/>
          </w:tcPr>
          <w:p w14:paraId="3151F187" w14:textId="6F7DC60B" w:rsidR="00964E42" w:rsidRPr="00724A07" w:rsidRDefault="004818EF" w:rsidP="00A651CE">
            <w:pPr>
              <w:spacing w:after="0" w:line="240" w:lineRule="auto"/>
              <w:jc w:val="both"/>
              <w:rPr>
                <w:rFonts w:ascii="ITC Avant Garde" w:hAnsi="ITC Avant Garde" w:cs="Arial"/>
                <w:bCs w:val="0"/>
                <w:sz w:val="18"/>
                <w:szCs w:val="18"/>
              </w:rPr>
            </w:pPr>
            <w:r w:rsidRPr="00724A07">
              <w:rPr>
                <w:rFonts w:ascii="ITC Avant Garde" w:hAnsi="ITC Avant Garde" w:cs="Arial"/>
                <w:bCs w:val="0"/>
                <w:sz w:val="18"/>
                <w:szCs w:val="18"/>
              </w:rPr>
              <w:t>2</w:t>
            </w:r>
            <w:r w:rsidR="007560F6" w:rsidRPr="00724A07">
              <w:rPr>
                <w:rFonts w:ascii="ITC Avant Garde" w:hAnsi="ITC Avant Garde" w:cs="Arial"/>
                <w:bCs w:val="0"/>
                <w:sz w:val="18"/>
                <w:szCs w:val="18"/>
              </w:rPr>
              <w:t>. Concepto de MR y su utilidad</w:t>
            </w:r>
          </w:p>
        </w:tc>
        <w:tc>
          <w:tcPr>
            <w:tcW w:w="1056" w:type="dxa"/>
            <w:vMerge w:val="restart"/>
          </w:tcPr>
          <w:p w14:paraId="2FAB991E" w14:textId="216D0C3B" w:rsidR="00964E42" w:rsidRPr="00724A07" w:rsidRDefault="00790901"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3</w:t>
            </w:r>
          </w:p>
        </w:tc>
        <w:tc>
          <w:tcPr>
            <w:tcW w:w="6820" w:type="dxa"/>
          </w:tcPr>
          <w:p w14:paraId="651DDBE7" w14:textId="7F009540" w:rsidR="00964E42" w:rsidRPr="00724A07" w:rsidRDefault="00675EAB"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w:t>
            </w:r>
            <w:r w:rsidR="004818EF" w:rsidRPr="00724A07">
              <w:rPr>
                <w:rFonts w:ascii="ITC Avant Garde" w:eastAsia="Times New Roman" w:hAnsi="ITC Avant Garde" w:cs="Calibri"/>
                <w:color w:val="000000"/>
                <w:sz w:val="18"/>
                <w:szCs w:val="18"/>
                <w:lang w:eastAsia="es-MX"/>
              </w:rPr>
              <w:t xml:space="preserve"> solicita precisar que el mercado relevante es un medio para determinar la presencia o ausencia de poder en el mercado.</w:t>
            </w:r>
          </w:p>
        </w:tc>
      </w:tr>
      <w:tr w:rsidR="00964E42" w:rsidRPr="00724A07" w14:paraId="390BA552"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5E654D4A" w14:textId="77777777" w:rsidR="00964E42" w:rsidRPr="00724A07" w:rsidRDefault="00964E42" w:rsidP="00A651CE">
            <w:pPr>
              <w:spacing w:after="0" w:line="240" w:lineRule="auto"/>
              <w:jc w:val="both"/>
              <w:rPr>
                <w:rFonts w:ascii="ITC Avant Garde" w:hAnsi="ITC Avant Garde" w:cs="Arial"/>
                <w:bCs w:val="0"/>
                <w:sz w:val="18"/>
                <w:szCs w:val="18"/>
              </w:rPr>
            </w:pPr>
            <w:bookmarkStart w:id="5" w:name="_Hlk83283669"/>
          </w:p>
        </w:tc>
        <w:tc>
          <w:tcPr>
            <w:tcW w:w="1056" w:type="dxa"/>
            <w:vMerge/>
          </w:tcPr>
          <w:p w14:paraId="6F52F808" w14:textId="77777777" w:rsidR="00964E42" w:rsidRPr="00724A07" w:rsidRDefault="00964E42"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shd w:val="clear" w:color="auto" w:fill="E2EFD9" w:themeFill="accent6" w:themeFillTint="33"/>
          </w:tcPr>
          <w:p w14:paraId="5D02372D" w14:textId="2B0D6A1C" w:rsidR="00964E42" w:rsidRPr="00724A07" w:rsidRDefault="00675EAB"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solicita especificar el </w:t>
            </w:r>
            <w:r w:rsidR="006072E6" w:rsidRPr="00724A07">
              <w:rPr>
                <w:rFonts w:ascii="ITC Avant Garde" w:eastAsia="Times New Roman" w:hAnsi="ITC Avant Garde" w:cs="Calibri"/>
                <w:color w:val="000000"/>
                <w:sz w:val="18"/>
                <w:szCs w:val="18"/>
                <w:lang w:eastAsia="es-MX"/>
              </w:rPr>
              <w:t>término” costos</w:t>
            </w:r>
            <w:r w:rsidR="00DA32A8" w:rsidRPr="006072E6">
              <w:rPr>
                <w:rFonts w:ascii="ITC Avant Garde" w:eastAsia="Times New Roman" w:hAnsi="ITC Avant Garde" w:cs="Calibri"/>
                <w:i/>
                <w:iCs/>
                <w:color w:val="000000"/>
                <w:sz w:val="18"/>
                <w:szCs w:val="18"/>
                <w:lang w:eastAsia="es-MX"/>
              </w:rPr>
              <w:t xml:space="preserve"> significativos</w:t>
            </w:r>
            <w:r w:rsidR="00940F38">
              <w:rPr>
                <w:rFonts w:ascii="ITC Avant Garde" w:eastAsia="Times New Roman" w:hAnsi="ITC Avant Garde" w:cs="Calibri"/>
                <w:color w:val="000000"/>
                <w:sz w:val="18"/>
                <w:szCs w:val="18"/>
                <w:lang w:eastAsia="es-MX"/>
              </w:rPr>
              <w:t>”</w:t>
            </w:r>
            <w:r w:rsidR="00DA32A8" w:rsidRPr="00724A07">
              <w:rPr>
                <w:rFonts w:ascii="ITC Avant Garde" w:eastAsia="Times New Roman" w:hAnsi="ITC Avant Garde" w:cs="Calibri"/>
                <w:color w:val="000000"/>
                <w:sz w:val="18"/>
                <w:szCs w:val="18"/>
                <w:lang w:eastAsia="es-MX"/>
              </w:rPr>
              <w:t xml:space="preserve"> del </w:t>
            </w:r>
            <w:r w:rsidR="005F70FA" w:rsidRPr="00724A07">
              <w:rPr>
                <w:rFonts w:ascii="ITC Avant Garde" w:eastAsia="Times New Roman" w:hAnsi="ITC Avant Garde" w:cs="Calibri"/>
                <w:color w:val="000000"/>
                <w:sz w:val="18"/>
                <w:szCs w:val="18"/>
                <w:lang w:eastAsia="es-MX"/>
              </w:rPr>
              <w:t>análisis</w:t>
            </w:r>
            <w:r w:rsidR="00DA32A8" w:rsidRPr="00724A07">
              <w:rPr>
                <w:rFonts w:ascii="ITC Avant Garde" w:eastAsia="Times New Roman" w:hAnsi="ITC Avant Garde" w:cs="Calibri"/>
                <w:color w:val="000000"/>
                <w:sz w:val="18"/>
                <w:szCs w:val="18"/>
                <w:lang w:eastAsia="es-MX"/>
              </w:rPr>
              <w:t xml:space="preserve"> de la dimensión </w:t>
            </w:r>
            <w:r w:rsidR="005F70FA" w:rsidRPr="00724A07">
              <w:rPr>
                <w:rFonts w:ascii="ITC Avant Garde" w:eastAsia="Times New Roman" w:hAnsi="ITC Avant Garde" w:cs="Calibri"/>
                <w:color w:val="000000"/>
                <w:sz w:val="18"/>
                <w:szCs w:val="18"/>
                <w:lang w:eastAsia="es-MX"/>
              </w:rPr>
              <w:t>geográfica</w:t>
            </w:r>
            <w:r w:rsidR="00FC232C" w:rsidRPr="00724A07">
              <w:rPr>
                <w:rFonts w:ascii="ITC Avant Garde" w:eastAsia="Times New Roman" w:hAnsi="ITC Avant Garde" w:cs="Calibri"/>
                <w:color w:val="000000"/>
                <w:sz w:val="18"/>
                <w:szCs w:val="18"/>
                <w:lang w:eastAsia="es-MX"/>
              </w:rPr>
              <w:t xml:space="preserve"> </w:t>
            </w:r>
            <w:r w:rsidR="00DA32A8" w:rsidRPr="00724A07">
              <w:rPr>
                <w:rFonts w:ascii="ITC Avant Garde" w:eastAsia="Times New Roman" w:hAnsi="ITC Avant Garde" w:cs="Calibri"/>
                <w:color w:val="000000"/>
                <w:sz w:val="18"/>
                <w:szCs w:val="18"/>
                <w:lang w:eastAsia="es-MX"/>
              </w:rPr>
              <w:t xml:space="preserve">para no inducir al error, confusión o una incorrecta </w:t>
            </w:r>
            <w:r w:rsidR="00DA32A8" w:rsidRPr="00724A07">
              <w:rPr>
                <w:rFonts w:ascii="ITC Avant Garde" w:eastAsia="Times New Roman" w:hAnsi="ITC Avant Garde" w:cs="Calibri"/>
                <w:color w:val="000000"/>
                <w:sz w:val="18"/>
                <w:szCs w:val="18"/>
                <w:lang w:eastAsia="es-MX"/>
              </w:rPr>
              <w:lastRenderedPageBreak/>
              <w:t>interpretación. En su caso se debe especificar que se refiere a los costos de transacción incrementales o adicionales que podría enfrentar un usuario o consumidor, al momento de buscar un oferente.</w:t>
            </w:r>
          </w:p>
        </w:tc>
      </w:tr>
      <w:tr w:rsidR="00964E42" w:rsidRPr="00724A07" w14:paraId="1D0B602F"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0ED20AD1" w14:textId="77777777" w:rsidR="00964E42" w:rsidRPr="00724A07" w:rsidRDefault="00964E42" w:rsidP="00A651CE">
            <w:pPr>
              <w:spacing w:after="0" w:line="240" w:lineRule="auto"/>
              <w:jc w:val="both"/>
              <w:rPr>
                <w:rFonts w:ascii="ITC Avant Garde" w:hAnsi="ITC Avant Garde" w:cs="Arial"/>
                <w:bCs w:val="0"/>
                <w:sz w:val="18"/>
                <w:szCs w:val="18"/>
              </w:rPr>
            </w:pPr>
            <w:bookmarkStart w:id="6" w:name="_Hlk83283759"/>
            <w:bookmarkEnd w:id="5"/>
          </w:p>
        </w:tc>
        <w:tc>
          <w:tcPr>
            <w:tcW w:w="1056" w:type="dxa"/>
            <w:vMerge/>
          </w:tcPr>
          <w:p w14:paraId="2AF5A71A" w14:textId="77777777" w:rsidR="00964E42" w:rsidRPr="00724A07" w:rsidRDefault="00964E42"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820" w:type="dxa"/>
          </w:tcPr>
          <w:p w14:paraId="2D186C9C" w14:textId="6ED0263D" w:rsidR="00964E42" w:rsidRPr="00724A07" w:rsidRDefault="00675EAB"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Se</w:t>
            </w:r>
            <w:r w:rsidR="00DA32A8" w:rsidRPr="00724A07">
              <w:rPr>
                <w:rFonts w:ascii="ITC Avant Garde" w:eastAsia="Times New Roman" w:hAnsi="ITC Avant Garde" w:cs="Calibri"/>
                <w:color w:val="000000"/>
                <w:sz w:val="18"/>
                <w:szCs w:val="18"/>
                <w:lang w:eastAsia="es-MX"/>
              </w:rPr>
              <w:t xml:space="preserve"> sugiere que la guía refiera expresamente la utilidad del MR en las investigaciones por prácticas monopólicas.</w:t>
            </w:r>
          </w:p>
        </w:tc>
      </w:tr>
      <w:bookmarkEnd w:id="6"/>
      <w:tr w:rsidR="00964E42" w:rsidRPr="00724A07" w14:paraId="160410B0"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tcPr>
          <w:p w14:paraId="5875B7CD" w14:textId="53F0AF34" w:rsidR="00964E42" w:rsidRPr="00724A07" w:rsidRDefault="004818EF" w:rsidP="004818EF">
            <w:pPr>
              <w:spacing w:after="0" w:line="240" w:lineRule="auto"/>
              <w:rPr>
                <w:rFonts w:ascii="ITC Avant Garde" w:hAnsi="ITC Avant Garde"/>
                <w:sz w:val="18"/>
                <w:szCs w:val="18"/>
              </w:rPr>
            </w:pPr>
            <w:r w:rsidRPr="00724A07">
              <w:rPr>
                <w:rFonts w:ascii="ITC Avant Garde" w:hAnsi="ITC Avant Garde"/>
                <w:sz w:val="18"/>
                <w:szCs w:val="18"/>
              </w:rPr>
              <w:t>3</w:t>
            </w:r>
            <w:r w:rsidR="007560F6" w:rsidRPr="00724A07">
              <w:rPr>
                <w:rFonts w:ascii="ITC Avant Garde" w:hAnsi="ITC Avant Garde"/>
                <w:sz w:val="18"/>
                <w:szCs w:val="18"/>
              </w:rPr>
              <w:t>.</w:t>
            </w:r>
            <w:r w:rsidR="00790901" w:rsidRPr="00724A07">
              <w:rPr>
                <w:rFonts w:ascii="ITC Avant Garde" w:hAnsi="ITC Avant Garde"/>
                <w:sz w:val="18"/>
                <w:szCs w:val="18"/>
              </w:rPr>
              <w:t xml:space="preserve"> Enfoques para el análisis de sustitución</w:t>
            </w:r>
          </w:p>
        </w:tc>
        <w:tc>
          <w:tcPr>
            <w:tcW w:w="1056" w:type="dxa"/>
          </w:tcPr>
          <w:p w14:paraId="37190D50" w14:textId="73DD16BA" w:rsidR="00964E42" w:rsidRPr="00724A07" w:rsidRDefault="00790901"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1</w:t>
            </w:r>
          </w:p>
        </w:tc>
        <w:tc>
          <w:tcPr>
            <w:tcW w:w="6820" w:type="dxa"/>
          </w:tcPr>
          <w:p w14:paraId="572087BC" w14:textId="5EDD3F9D" w:rsidR="00964E42" w:rsidRPr="00724A07" w:rsidRDefault="00790901"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bookmarkStart w:id="7" w:name="_Hlk83283928"/>
            <w:r w:rsidRPr="00724A07">
              <w:rPr>
                <w:rFonts w:ascii="ITC Avant Garde" w:hAnsi="ITC Avant Garde"/>
                <w:sz w:val="18"/>
                <w:szCs w:val="18"/>
              </w:rPr>
              <w:t>Se</w:t>
            </w:r>
            <w:r w:rsidR="006E428A" w:rsidRPr="00724A07">
              <w:rPr>
                <w:rFonts w:ascii="ITC Avant Garde" w:hAnsi="ITC Avant Garde"/>
                <w:sz w:val="18"/>
                <w:szCs w:val="18"/>
              </w:rPr>
              <w:t xml:space="preserve"> solicita caracterizar el concepto de </w:t>
            </w:r>
            <w:r w:rsidR="00940F38">
              <w:rPr>
                <w:rFonts w:ascii="ITC Avant Garde" w:hAnsi="ITC Avant Garde"/>
                <w:sz w:val="18"/>
                <w:szCs w:val="18"/>
              </w:rPr>
              <w:t>“</w:t>
            </w:r>
            <w:r w:rsidR="006E428A" w:rsidRPr="00724A07">
              <w:rPr>
                <w:rFonts w:ascii="ITC Avant Garde" w:hAnsi="ITC Avant Garde"/>
                <w:i/>
                <w:iCs/>
                <w:sz w:val="18"/>
                <w:szCs w:val="18"/>
              </w:rPr>
              <w:t>competencia potencial</w:t>
            </w:r>
            <w:r w:rsidR="00940F38">
              <w:rPr>
                <w:rFonts w:ascii="ITC Avant Garde" w:hAnsi="ITC Avant Garde"/>
                <w:sz w:val="18"/>
                <w:szCs w:val="18"/>
              </w:rPr>
              <w:t>”</w:t>
            </w:r>
            <w:r w:rsidR="006E428A" w:rsidRPr="00724A07">
              <w:rPr>
                <w:rFonts w:ascii="ITC Avant Garde" w:hAnsi="ITC Avant Garde"/>
                <w:sz w:val="18"/>
                <w:szCs w:val="18"/>
              </w:rPr>
              <w:t xml:space="preserve"> así </w:t>
            </w:r>
            <w:r w:rsidR="00B33924">
              <w:rPr>
                <w:rFonts w:ascii="ITC Avant Garde" w:hAnsi="ITC Avant Garde"/>
                <w:sz w:val="18"/>
                <w:szCs w:val="18"/>
              </w:rPr>
              <w:t>como</w:t>
            </w:r>
            <w:r w:rsidR="00755F4D" w:rsidRPr="00724A07">
              <w:rPr>
                <w:rFonts w:ascii="ITC Avant Garde" w:hAnsi="ITC Avant Garde"/>
                <w:sz w:val="18"/>
                <w:szCs w:val="18"/>
              </w:rPr>
              <w:t xml:space="preserve"> </w:t>
            </w:r>
            <w:r w:rsidR="006E428A" w:rsidRPr="00724A07">
              <w:rPr>
                <w:rFonts w:ascii="ITC Avant Garde" w:hAnsi="ITC Avant Garde"/>
                <w:sz w:val="18"/>
                <w:szCs w:val="18"/>
              </w:rPr>
              <w:t xml:space="preserve">señalar las diferencias entre este y el concepto de </w:t>
            </w:r>
            <w:r w:rsidR="003856D5">
              <w:rPr>
                <w:rFonts w:ascii="ITC Avant Garde" w:hAnsi="ITC Avant Garde"/>
                <w:sz w:val="18"/>
                <w:szCs w:val="18"/>
              </w:rPr>
              <w:t>“</w:t>
            </w:r>
            <w:r w:rsidRPr="00724A07">
              <w:rPr>
                <w:rFonts w:ascii="ITC Avant Garde" w:hAnsi="ITC Avant Garde"/>
                <w:i/>
                <w:iCs/>
                <w:sz w:val="18"/>
                <w:szCs w:val="18"/>
              </w:rPr>
              <w:t>análisis</w:t>
            </w:r>
            <w:r w:rsidR="006E428A" w:rsidRPr="00724A07">
              <w:rPr>
                <w:rFonts w:ascii="ITC Avant Garde" w:hAnsi="ITC Avant Garde"/>
                <w:i/>
                <w:iCs/>
                <w:sz w:val="18"/>
                <w:szCs w:val="18"/>
              </w:rPr>
              <w:t xml:space="preserve"> de sustitución</w:t>
            </w:r>
            <w:r w:rsidR="003856D5">
              <w:rPr>
                <w:rFonts w:ascii="ITC Avant Garde" w:hAnsi="ITC Avant Garde"/>
                <w:sz w:val="18"/>
                <w:szCs w:val="18"/>
              </w:rPr>
              <w:t>”</w:t>
            </w:r>
            <w:r w:rsidR="006E428A" w:rsidRPr="00724A07">
              <w:rPr>
                <w:rFonts w:ascii="ITC Avant Garde" w:hAnsi="ITC Avant Garde"/>
                <w:sz w:val="18"/>
                <w:szCs w:val="18"/>
              </w:rPr>
              <w:t xml:space="preserve">. En particular, </w:t>
            </w:r>
            <w:r w:rsidRPr="00724A07">
              <w:rPr>
                <w:rFonts w:ascii="ITC Avant Garde" w:hAnsi="ITC Avant Garde"/>
                <w:sz w:val="18"/>
                <w:szCs w:val="18"/>
              </w:rPr>
              <w:t xml:space="preserve">se </w:t>
            </w:r>
            <w:r w:rsidR="006E428A" w:rsidRPr="00724A07">
              <w:rPr>
                <w:rFonts w:ascii="ITC Avant Garde" w:hAnsi="ITC Avant Garde"/>
                <w:sz w:val="18"/>
                <w:szCs w:val="18"/>
              </w:rPr>
              <w:t>sugiere darle relevancia al horizonte temporal dentro del cual ocurre (o podría ocurrir) la sustitución por el lado de la oferta (es más inmediato con respecto al del concepto de competencia potencial).</w:t>
            </w:r>
            <w:bookmarkEnd w:id="7"/>
          </w:p>
        </w:tc>
      </w:tr>
      <w:tr w:rsidR="00DA32A8" w:rsidRPr="00724A07" w14:paraId="0BC1F555"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val="restart"/>
          </w:tcPr>
          <w:p w14:paraId="55C3F632" w14:textId="527B67B0" w:rsidR="00DA32A8" w:rsidRPr="00724A07" w:rsidRDefault="00DA32A8" w:rsidP="00A651CE">
            <w:pPr>
              <w:spacing w:after="0" w:line="240" w:lineRule="auto"/>
              <w:jc w:val="both"/>
              <w:rPr>
                <w:rFonts w:ascii="ITC Avant Garde" w:hAnsi="ITC Avant Garde"/>
                <w:sz w:val="18"/>
                <w:szCs w:val="18"/>
              </w:rPr>
            </w:pPr>
            <w:r w:rsidRPr="00724A07">
              <w:rPr>
                <w:rFonts w:ascii="ITC Avant Garde" w:hAnsi="ITC Avant Garde"/>
                <w:sz w:val="18"/>
                <w:szCs w:val="18"/>
              </w:rPr>
              <w:t>5</w:t>
            </w:r>
            <w:r w:rsidR="007560F6" w:rsidRPr="00724A07">
              <w:rPr>
                <w:rFonts w:ascii="ITC Avant Garde" w:hAnsi="ITC Avant Garde"/>
                <w:sz w:val="18"/>
                <w:szCs w:val="18"/>
              </w:rPr>
              <w:t>.</w:t>
            </w:r>
            <w:r w:rsidR="00F11070">
              <w:rPr>
                <w:rFonts w:ascii="ITC Avant Garde" w:hAnsi="ITC Avant Garde"/>
                <w:sz w:val="18"/>
                <w:szCs w:val="18"/>
              </w:rPr>
              <w:t xml:space="preserve"> </w:t>
            </w:r>
            <w:r w:rsidR="005935B2" w:rsidRPr="00724A07">
              <w:rPr>
                <w:rFonts w:ascii="ITC Avant Garde" w:hAnsi="ITC Avant Garde"/>
                <w:sz w:val="18"/>
                <w:szCs w:val="18"/>
              </w:rPr>
              <w:t>Determinación de la dimensión producto</w:t>
            </w:r>
          </w:p>
        </w:tc>
        <w:tc>
          <w:tcPr>
            <w:tcW w:w="1056" w:type="dxa"/>
            <w:vMerge w:val="restart"/>
          </w:tcPr>
          <w:p w14:paraId="59C8B16E" w14:textId="51E0275F" w:rsidR="00DA32A8" w:rsidRPr="00724A07" w:rsidRDefault="00320227"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3</w:t>
            </w:r>
          </w:p>
        </w:tc>
        <w:tc>
          <w:tcPr>
            <w:tcW w:w="6820" w:type="dxa"/>
          </w:tcPr>
          <w:p w14:paraId="034BBDEE" w14:textId="5D1A6889" w:rsidR="00DA32A8" w:rsidRPr="00724A07" w:rsidRDefault="008D575A"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bookmarkStart w:id="8" w:name="_Hlk83284020"/>
            <w:r w:rsidRPr="00724A07">
              <w:rPr>
                <w:rFonts w:ascii="ITC Avant Garde" w:hAnsi="ITC Avant Garde"/>
                <w:sz w:val="18"/>
                <w:szCs w:val="18"/>
              </w:rPr>
              <w:t>Se</w:t>
            </w:r>
            <w:r w:rsidR="00DA32A8" w:rsidRPr="00724A07">
              <w:rPr>
                <w:rFonts w:ascii="ITC Avant Garde" w:hAnsi="ITC Avant Garde"/>
                <w:sz w:val="18"/>
                <w:szCs w:val="18"/>
              </w:rPr>
              <w:t xml:space="preserve"> solicita que se establezca un criterio cuantitativo de lo que entiende por un “</w:t>
            </w:r>
            <w:r w:rsidR="00DA32A8" w:rsidRPr="00724A07">
              <w:rPr>
                <w:rFonts w:ascii="ITC Avant Garde" w:hAnsi="ITC Avant Garde"/>
                <w:i/>
                <w:iCs/>
                <w:sz w:val="18"/>
                <w:szCs w:val="18"/>
              </w:rPr>
              <w:t>grupo suficientemente grande</w:t>
            </w:r>
            <w:r w:rsidR="00DA32A8" w:rsidRPr="00724A07">
              <w:rPr>
                <w:rFonts w:ascii="ITC Avant Garde" w:hAnsi="ITC Avant Garde"/>
                <w:sz w:val="18"/>
                <w:szCs w:val="18"/>
              </w:rPr>
              <w:t>” de consumidores haciendo un cambio de producto para fines de la aplicación del SSNIP Test.</w:t>
            </w:r>
            <w:bookmarkEnd w:id="8"/>
          </w:p>
        </w:tc>
      </w:tr>
      <w:tr w:rsidR="00DA32A8" w:rsidRPr="00724A07" w14:paraId="3B896037"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2AED7541" w14:textId="77777777" w:rsidR="00DA32A8" w:rsidRPr="00724A07" w:rsidRDefault="00DA32A8" w:rsidP="00A651CE">
            <w:pPr>
              <w:spacing w:after="0" w:line="240" w:lineRule="auto"/>
              <w:rPr>
                <w:rFonts w:ascii="ITC Avant Garde" w:hAnsi="ITC Avant Garde"/>
                <w:sz w:val="18"/>
                <w:szCs w:val="18"/>
              </w:rPr>
            </w:pPr>
          </w:p>
        </w:tc>
        <w:tc>
          <w:tcPr>
            <w:tcW w:w="1056" w:type="dxa"/>
            <w:vMerge/>
          </w:tcPr>
          <w:p w14:paraId="72B811FF" w14:textId="77777777" w:rsidR="00DA32A8" w:rsidRPr="00724A07" w:rsidRDefault="00DA32A8"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c>
          <w:tcPr>
            <w:tcW w:w="6820" w:type="dxa"/>
            <w:shd w:val="clear" w:color="auto" w:fill="E2EFD9" w:themeFill="accent6" w:themeFillTint="33"/>
          </w:tcPr>
          <w:p w14:paraId="1A975AF6" w14:textId="0B0FAA5A" w:rsidR="00DA32A8" w:rsidRPr="00724A07" w:rsidRDefault="008D575A"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bookmarkStart w:id="9" w:name="_Hlk83284165"/>
            <w:r w:rsidRPr="00724A07">
              <w:rPr>
                <w:rFonts w:ascii="ITC Avant Garde" w:hAnsi="ITC Avant Garde"/>
                <w:sz w:val="18"/>
                <w:szCs w:val="18"/>
              </w:rPr>
              <w:t>Se</w:t>
            </w:r>
            <w:r w:rsidR="00DA32A8" w:rsidRPr="00724A07">
              <w:rPr>
                <w:rFonts w:ascii="ITC Avant Garde" w:hAnsi="ITC Avant Garde"/>
                <w:sz w:val="18"/>
                <w:szCs w:val="18"/>
              </w:rPr>
              <w:t xml:space="preserve"> sugiere que el Anteproyecto</w:t>
            </w:r>
            <w:r w:rsidR="00BF4A9E" w:rsidRPr="00724A07">
              <w:rPr>
                <w:rFonts w:ascii="ITC Avant Garde" w:hAnsi="ITC Avant Garde"/>
                <w:sz w:val="18"/>
                <w:szCs w:val="18"/>
              </w:rPr>
              <w:t xml:space="preserve"> de Guía</w:t>
            </w:r>
            <w:r w:rsidR="00DA32A8" w:rsidRPr="00724A07">
              <w:rPr>
                <w:rFonts w:ascii="ITC Avant Garde" w:hAnsi="ITC Avant Garde"/>
                <w:sz w:val="18"/>
                <w:szCs w:val="18"/>
              </w:rPr>
              <w:t xml:space="preserve"> contemple para el análisis de mercados digitales que involucren la provisión de servicios aparentemente gratuitos, que el uso de pruebas de precios tradicionales para definir mercados relevantes, como el SSNIP Test, sea reemplazado por pruebas equivalentes, pero más idóneas para identificar este tipo de mercados </w:t>
            </w:r>
            <w:r w:rsidR="00DA32A8" w:rsidRPr="00724A07">
              <w:rPr>
                <w:rFonts w:ascii="Arial" w:hAnsi="Arial" w:cs="Arial"/>
                <w:sz w:val="18"/>
                <w:szCs w:val="18"/>
              </w:rPr>
              <w:t>―</w:t>
            </w:r>
            <w:r w:rsidR="00DA32A8" w:rsidRPr="00724A07">
              <w:rPr>
                <w:rFonts w:ascii="ITC Avant Garde" w:hAnsi="ITC Avant Garde"/>
                <w:sz w:val="18"/>
                <w:szCs w:val="18"/>
              </w:rPr>
              <w:t>como el SSNDQ o el SSNIC Test.</w:t>
            </w:r>
            <w:bookmarkEnd w:id="9"/>
          </w:p>
        </w:tc>
      </w:tr>
      <w:tr w:rsidR="00DA32A8" w:rsidRPr="00724A07" w14:paraId="229291B1"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203CF772" w14:textId="77777777" w:rsidR="00DA32A8" w:rsidRPr="00724A07" w:rsidRDefault="00DA32A8" w:rsidP="00A651CE">
            <w:pPr>
              <w:spacing w:after="0" w:line="240" w:lineRule="auto"/>
              <w:rPr>
                <w:rFonts w:ascii="ITC Avant Garde" w:hAnsi="ITC Avant Garde"/>
                <w:sz w:val="18"/>
                <w:szCs w:val="18"/>
              </w:rPr>
            </w:pPr>
            <w:bookmarkStart w:id="10" w:name="_Hlk83284212"/>
          </w:p>
        </w:tc>
        <w:tc>
          <w:tcPr>
            <w:tcW w:w="1056" w:type="dxa"/>
            <w:vMerge/>
          </w:tcPr>
          <w:p w14:paraId="5DEDA59B" w14:textId="77777777" w:rsidR="00DA32A8" w:rsidRPr="00724A07" w:rsidRDefault="00DA32A8"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tc>
        <w:tc>
          <w:tcPr>
            <w:tcW w:w="6820" w:type="dxa"/>
          </w:tcPr>
          <w:p w14:paraId="00F7194F" w14:textId="381EAA15" w:rsidR="00DA32A8" w:rsidRPr="00724A07" w:rsidRDefault="00E4288E"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eastAsia="Times New Roman" w:hAnsi="ITC Avant Garde" w:cs="Calibri"/>
                <w:color w:val="000000"/>
                <w:sz w:val="18"/>
                <w:szCs w:val="18"/>
                <w:lang w:eastAsia="es-MX"/>
              </w:rPr>
              <w:t xml:space="preserve"> Se sugiere abundar en los criterios para la determinación del producto focal.</w:t>
            </w:r>
          </w:p>
        </w:tc>
      </w:tr>
      <w:bookmarkEnd w:id="10"/>
      <w:tr w:rsidR="00964E42" w:rsidRPr="00724A07" w14:paraId="47DF587B"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tcPr>
          <w:p w14:paraId="21590878" w14:textId="2434BB92" w:rsidR="00964E42" w:rsidRPr="00724A07" w:rsidRDefault="004818EF" w:rsidP="00A651CE">
            <w:pPr>
              <w:spacing w:after="0" w:line="240" w:lineRule="auto"/>
              <w:rPr>
                <w:rFonts w:ascii="ITC Avant Garde" w:hAnsi="ITC Avant Garde"/>
                <w:sz w:val="18"/>
                <w:szCs w:val="18"/>
              </w:rPr>
            </w:pPr>
            <w:r w:rsidRPr="00724A07">
              <w:rPr>
                <w:rFonts w:ascii="ITC Avant Garde" w:hAnsi="ITC Avant Garde"/>
                <w:sz w:val="18"/>
                <w:szCs w:val="18"/>
              </w:rPr>
              <w:t>6</w:t>
            </w:r>
            <w:r w:rsidR="007560F6" w:rsidRPr="00724A07">
              <w:rPr>
                <w:rFonts w:ascii="ITC Avant Garde" w:hAnsi="ITC Avant Garde"/>
                <w:sz w:val="18"/>
                <w:szCs w:val="18"/>
              </w:rPr>
              <w:t>.</w:t>
            </w:r>
            <w:r w:rsidR="00790901" w:rsidRPr="00724A07">
              <w:rPr>
                <w:rFonts w:ascii="ITC Avant Garde" w:hAnsi="ITC Avant Garde"/>
                <w:sz w:val="18"/>
                <w:szCs w:val="18"/>
              </w:rPr>
              <w:t xml:space="preserve"> Determinación de la dimensión geográfica</w:t>
            </w:r>
          </w:p>
        </w:tc>
        <w:tc>
          <w:tcPr>
            <w:tcW w:w="1056" w:type="dxa"/>
          </w:tcPr>
          <w:p w14:paraId="6FA6A348" w14:textId="18167321" w:rsidR="00964E42" w:rsidRPr="00724A07" w:rsidRDefault="0063242D"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1</w:t>
            </w:r>
          </w:p>
        </w:tc>
        <w:tc>
          <w:tcPr>
            <w:tcW w:w="6820" w:type="dxa"/>
          </w:tcPr>
          <w:p w14:paraId="66D30122" w14:textId="68ADAA5E" w:rsidR="00964E42" w:rsidRPr="00724A07" w:rsidRDefault="008D575A"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DA32A8" w:rsidRPr="00724A07">
              <w:rPr>
                <w:rFonts w:ascii="ITC Avant Garde" w:hAnsi="ITC Avant Garde"/>
                <w:sz w:val="18"/>
                <w:szCs w:val="18"/>
              </w:rPr>
              <w:t xml:space="preserve"> sugiere agregar al análisis de determinación de la dimensión geográfica de un mercado relevante el proceso de formación de precios en la industria en particular.</w:t>
            </w:r>
          </w:p>
        </w:tc>
      </w:tr>
      <w:tr w:rsidR="00964E42" w:rsidRPr="00724A07" w14:paraId="2CE20D1B"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tcPr>
          <w:p w14:paraId="3B16A9C4" w14:textId="32D542F4" w:rsidR="00964E42" w:rsidRPr="00724A07" w:rsidRDefault="004818EF" w:rsidP="00A651CE">
            <w:pPr>
              <w:spacing w:after="0" w:line="240" w:lineRule="auto"/>
              <w:jc w:val="both"/>
              <w:rPr>
                <w:rFonts w:ascii="ITC Avant Garde" w:hAnsi="ITC Avant Garde"/>
                <w:sz w:val="18"/>
                <w:szCs w:val="18"/>
              </w:rPr>
            </w:pPr>
            <w:bookmarkStart w:id="11" w:name="_Hlk83284433"/>
            <w:r w:rsidRPr="00724A07">
              <w:rPr>
                <w:rFonts w:ascii="ITC Avant Garde" w:hAnsi="ITC Avant Garde"/>
                <w:sz w:val="18"/>
                <w:szCs w:val="18"/>
              </w:rPr>
              <w:t>7</w:t>
            </w:r>
            <w:r w:rsidR="007560F6" w:rsidRPr="00724A07">
              <w:rPr>
                <w:rFonts w:ascii="ITC Avant Garde" w:hAnsi="ITC Avant Garde"/>
                <w:sz w:val="18"/>
                <w:szCs w:val="18"/>
              </w:rPr>
              <w:t>.</w:t>
            </w:r>
            <w:r w:rsidR="00D45D3A" w:rsidRPr="00724A07">
              <w:t xml:space="preserve"> </w:t>
            </w:r>
            <w:r w:rsidR="00D45D3A" w:rsidRPr="00724A07">
              <w:rPr>
                <w:rFonts w:ascii="ITC Avant Garde" w:hAnsi="ITC Avant Garde"/>
                <w:sz w:val="18"/>
                <w:szCs w:val="18"/>
              </w:rPr>
              <w:t>Exhaustividad en la delimitación del MR</w:t>
            </w:r>
          </w:p>
        </w:tc>
        <w:tc>
          <w:tcPr>
            <w:tcW w:w="1056" w:type="dxa"/>
          </w:tcPr>
          <w:p w14:paraId="6F7BA755" w14:textId="304B64D3" w:rsidR="00964E42" w:rsidRPr="00724A07" w:rsidRDefault="0063242D"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1</w:t>
            </w:r>
          </w:p>
        </w:tc>
        <w:tc>
          <w:tcPr>
            <w:tcW w:w="6820" w:type="dxa"/>
          </w:tcPr>
          <w:p w14:paraId="75CF4DA1" w14:textId="0E4CD24C" w:rsidR="00964E42" w:rsidRPr="00724A07" w:rsidRDefault="008D575A"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4818EF" w:rsidRPr="00724A07">
              <w:rPr>
                <w:rFonts w:ascii="ITC Avant Garde" w:hAnsi="ITC Avant Garde"/>
                <w:sz w:val="18"/>
                <w:szCs w:val="18"/>
              </w:rPr>
              <w:t xml:space="preserve"> solicita que se precise que cuando no se acredite una conducta anticompetitiva según el </w:t>
            </w:r>
            <w:r w:rsidR="005F70FA" w:rsidRPr="00724A07">
              <w:rPr>
                <w:rFonts w:ascii="ITC Avant Garde" w:hAnsi="ITC Avant Garde"/>
                <w:sz w:val="18"/>
                <w:szCs w:val="18"/>
              </w:rPr>
              <w:t>artículo</w:t>
            </w:r>
            <w:r w:rsidR="004818EF" w:rsidRPr="00724A07">
              <w:rPr>
                <w:rFonts w:ascii="ITC Avant Garde" w:hAnsi="ITC Avant Garde"/>
                <w:sz w:val="18"/>
                <w:szCs w:val="18"/>
              </w:rPr>
              <w:t xml:space="preserve"> 56 de la LFCE, no es necesario determinar el mercado relevante (ni el poder sustancial), por los </w:t>
            </w:r>
            <w:r w:rsidR="0063242D" w:rsidRPr="00724A07">
              <w:rPr>
                <w:rFonts w:ascii="ITC Avant Garde" w:hAnsi="ITC Avant Garde"/>
                <w:sz w:val="18"/>
                <w:szCs w:val="18"/>
              </w:rPr>
              <w:t>principios</w:t>
            </w:r>
            <w:r w:rsidR="004818EF" w:rsidRPr="00724A07">
              <w:rPr>
                <w:rFonts w:ascii="ITC Avant Garde" w:hAnsi="ITC Avant Garde"/>
                <w:sz w:val="18"/>
                <w:szCs w:val="18"/>
              </w:rPr>
              <w:t xml:space="preserve"> de </w:t>
            </w:r>
            <w:r w:rsidR="0063242D" w:rsidRPr="00724A07">
              <w:rPr>
                <w:rFonts w:ascii="ITC Avant Garde" w:hAnsi="ITC Avant Garde"/>
                <w:sz w:val="18"/>
                <w:szCs w:val="18"/>
              </w:rPr>
              <w:t>economía</w:t>
            </w:r>
            <w:r w:rsidR="004818EF" w:rsidRPr="00724A07">
              <w:rPr>
                <w:rFonts w:ascii="ITC Avant Garde" w:hAnsi="ITC Avant Garde"/>
                <w:sz w:val="18"/>
                <w:szCs w:val="18"/>
              </w:rPr>
              <w:t xml:space="preserve"> procesal y celeridad administrativa.</w:t>
            </w:r>
          </w:p>
        </w:tc>
      </w:tr>
      <w:bookmarkEnd w:id="11"/>
      <w:tr w:rsidR="00964E42" w:rsidRPr="00724A07" w14:paraId="2A58A971"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tcPr>
          <w:p w14:paraId="3CEB7CBD" w14:textId="2F310209" w:rsidR="00964E42" w:rsidRPr="00724A07" w:rsidRDefault="004818EF" w:rsidP="00A651CE">
            <w:pPr>
              <w:spacing w:after="0" w:line="240" w:lineRule="auto"/>
              <w:jc w:val="both"/>
              <w:rPr>
                <w:rFonts w:ascii="ITC Avant Garde" w:hAnsi="ITC Avant Garde"/>
                <w:sz w:val="18"/>
                <w:szCs w:val="18"/>
              </w:rPr>
            </w:pPr>
            <w:r w:rsidRPr="00724A07">
              <w:rPr>
                <w:rFonts w:ascii="ITC Avant Garde" w:hAnsi="ITC Avant Garde"/>
                <w:sz w:val="18"/>
                <w:szCs w:val="18"/>
              </w:rPr>
              <w:t>8</w:t>
            </w:r>
            <w:r w:rsidR="007560F6" w:rsidRPr="00724A07">
              <w:rPr>
                <w:rFonts w:ascii="ITC Avant Garde" w:hAnsi="ITC Avant Garde"/>
                <w:sz w:val="18"/>
                <w:szCs w:val="18"/>
              </w:rPr>
              <w:t>.</w:t>
            </w:r>
            <w:r w:rsidR="00157A29">
              <w:t xml:space="preserve"> </w:t>
            </w:r>
            <w:r w:rsidR="00790901" w:rsidRPr="00724A07">
              <w:rPr>
                <w:rFonts w:ascii="ITC Avant Garde" w:hAnsi="ITC Avant Garde"/>
                <w:sz w:val="18"/>
                <w:szCs w:val="18"/>
              </w:rPr>
              <w:t>Mercados relacionados</w:t>
            </w:r>
          </w:p>
        </w:tc>
        <w:tc>
          <w:tcPr>
            <w:tcW w:w="1056" w:type="dxa"/>
          </w:tcPr>
          <w:p w14:paraId="311D23E5" w14:textId="5767B018" w:rsidR="00964E42" w:rsidRPr="00724A07" w:rsidRDefault="0063242D"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1</w:t>
            </w:r>
          </w:p>
        </w:tc>
        <w:tc>
          <w:tcPr>
            <w:tcW w:w="6820" w:type="dxa"/>
          </w:tcPr>
          <w:p w14:paraId="45F6DBBD" w14:textId="12611D1A" w:rsidR="00964E42" w:rsidRPr="00724A07" w:rsidRDefault="008D575A"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bookmarkStart w:id="12" w:name="_Hlk83284299"/>
            <w:r w:rsidRPr="00724A07">
              <w:rPr>
                <w:rFonts w:ascii="ITC Avant Garde" w:hAnsi="ITC Avant Garde"/>
                <w:sz w:val="18"/>
                <w:szCs w:val="18"/>
              </w:rPr>
              <w:t>Se considera</w:t>
            </w:r>
            <w:r w:rsidR="00790901" w:rsidRPr="00724A07">
              <w:rPr>
                <w:rFonts w:ascii="ITC Avant Garde" w:hAnsi="ITC Avant Garde"/>
                <w:sz w:val="18"/>
                <w:szCs w:val="18"/>
              </w:rPr>
              <w:t xml:space="preserve"> que </w:t>
            </w:r>
            <w:r w:rsidR="00320227" w:rsidRPr="00724A07">
              <w:rPr>
                <w:rFonts w:ascii="ITC Avant Garde" w:hAnsi="ITC Avant Garde"/>
                <w:sz w:val="18"/>
                <w:szCs w:val="18"/>
              </w:rPr>
              <w:t xml:space="preserve">en el Anteproyecto </w:t>
            </w:r>
            <w:r w:rsidR="00755F4D">
              <w:rPr>
                <w:rFonts w:ascii="ITC Avant Garde" w:hAnsi="ITC Avant Garde"/>
                <w:sz w:val="18"/>
                <w:szCs w:val="18"/>
              </w:rPr>
              <w:t xml:space="preserve">de Guía </w:t>
            </w:r>
            <w:r w:rsidR="00790901" w:rsidRPr="00724A07">
              <w:rPr>
                <w:rFonts w:ascii="ITC Avant Garde" w:hAnsi="ITC Avant Garde"/>
                <w:sz w:val="18"/>
                <w:szCs w:val="18"/>
              </w:rPr>
              <w:t>no se aportan elementos para determinar mercados relacionados</w:t>
            </w:r>
            <w:bookmarkEnd w:id="12"/>
            <w:r w:rsidRPr="00724A07">
              <w:rPr>
                <w:rFonts w:ascii="ITC Avant Garde" w:hAnsi="ITC Avant Garde"/>
                <w:sz w:val="18"/>
                <w:szCs w:val="18"/>
              </w:rPr>
              <w:t>.</w:t>
            </w:r>
          </w:p>
        </w:tc>
      </w:tr>
      <w:tr w:rsidR="0002629E" w:rsidRPr="00724A07" w14:paraId="58CB2245"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val="restart"/>
          </w:tcPr>
          <w:p w14:paraId="26692E57" w14:textId="58B152E0" w:rsidR="0002629E" w:rsidRPr="00724A07" w:rsidRDefault="0002629E" w:rsidP="00A651CE">
            <w:pPr>
              <w:spacing w:after="0" w:line="240" w:lineRule="auto"/>
              <w:jc w:val="both"/>
              <w:rPr>
                <w:rFonts w:ascii="ITC Avant Garde" w:hAnsi="ITC Avant Garde"/>
                <w:sz w:val="18"/>
                <w:szCs w:val="18"/>
              </w:rPr>
            </w:pPr>
            <w:bookmarkStart w:id="13" w:name="_Hlk83284844"/>
            <w:r w:rsidRPr="00724A07">
              <w:rPr>
                <w:rFonts w:ascii="ITC Avant Garde" w:hAnsi="ITC Avant Garde"/>
                <w:sz w:val="18"/>
                <w:szCs w:val="18"/>
              </w:rPr>
              <w:t xml:space="preserve">9. Temas específicos de los sectores de </w:t>
            </w:r>
            <w:proofErr w:type="spellStart"/>
            <w:r w:rsidRPr="00724A07">
              <w:rPr>
                <w:rFonts w:ascii="ITC Avant Garde" w:hAnsi="ITC Avant Garde"/>
                <w:sz w:val="18"/>
                <w:szCs w:val="18"/>
              </w:rPr>
              <w:t>TyR</w:t>
            </w:r>
            <w:proofErr w:type="spellEnd"/>
          </w:p>
        </w:tc>
        <w:tc>
          <w:tcPr>
            <w:tcW w:w="1056" w:type="dxa"/>
            <w:vMerge w:val="restart"/>
          </w:tcPr>
          <w:p w14:paraId="2C2394BA" w14:textId="33BBD8F3" w:rsidR="0002629E" w:rsidRPr="00724A07" w:rsidRDefault="00320227"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4</w:t>
            </w:r>
          </w:p>
        </w:tc>
        <w:tc>
          <w:tcPr>
            <w:tcW w:w="6820" w:type="dxa"/>
          </w:tcPr>
          <w:p w14:paraId="6C0D643B" w14:textId="780562F8" w:rsidR="0002629E" w:rsidRPr="00724A07" w:rsidRDefault="008D575A"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02629E" w:rsidRPr="00724A07">
              <w:rPr>
                <w:rFonts w:ascii="ITC Avant Garde" w:hAnsi="ITC Avant Garde"/>
                <w:sz w:val="18"/>
                <w:szCs w:val="18"/>
              </w:rPr>
              <w:t xml:space="preserve"> solicita cambiar la redacción</w:t>
            </w:r>
            <w:r w:rsidR="00320227" w:rsidRPr="00724A07">
              <w:rPr>
                <w:rFonts w:ascii="ITC Avant Garde" w:hAnsi="ITC Avant Garde"/>
                <w:sz w:val="18"/>
                <w:szCs w:val="18"/>
              </w:rPr>
              <w:t xml:space="preserve"> sobre</w:t>
            </w:r>
            <w:r w:rsidR="0002629E" w:rsidRPr="00724A07">
              <w:rPr>
                <w:rFonts w:ascii="ITC Avant Garde" w:hAnsi="ITC Avant Garde"/>
                <w:sz w:val="18"/>
                <w:szCs w:val="18"/>
              </w:rPr>
              <w:t xml:space="preserve"> el análisis de </w:t>
            </w:r>
            <w:r w:rsidR="00320227" w:rsidRPr="00724A07">
              <w:rPr>
                <w:rFonts w:ascii="ITC Avant Garde" w:hAnsi="ITC Avant Garde"/>
                <w:sz w:val="18"/>
                <w:szCs w:val="18"/>
              </w:rPr>
              <w:t xml:space="preserve">MR </w:t>
            </w:r>
            <w:r w:rsidR="0002629E" w:rsidRPr="00724A07">
              <w:rPr>
                <w:rFonts w:ascii="ITC Avant Garde" w:hAnsi="ITC Avant Garde"/>
                <w:sz w:val="18"/>
                <w:szCs w:val="18"/>
              </w:rPr>
              <w:t xml:space="preserve">en integraciones verticales para hacer explícito que, en casos que involucren escenarios de integración vertical, el análisis competitivo no necesariamente requiere la definición de </w:t>
            </w:r>
            <w:r w:rsidR="00320227" w:rsidRPr="00724A07">
              <w:rPr>
                <w:rFonts w:ascii="ITC Avant Garde" w:hAnsi="ITC Avant Garde"/>
                <w:sz w:val="18"/>
                <w:szCs w:val="18"/>
              </w:rPr>
              <w:t>MR</w:t>
            </w:r>
            <w:r w:rsidR="0002629E" w:rsidRPr="00724A07">
              <w:rPr>
                <w:rFonts w:ascii="ITC Avant Garde" w:hAnsi="ITC Avant Garde"/>
                <w:sz w:val="18"/>
                <w:szCs w:val="18"/>
              </w:rPr>
              <w:t xml:space="preserve"> en los segmentos mayoristas y minoristas.</w:t>
            </w:r>
          </w:p>
        </w:tc>
      </w:tr>
      <w:tr w:rsidR="0002629E" w:rsidRPr="00724A07" w14:paraId="25B428DD"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6F186217" w14:textId="77777777" w:rsidR="0002629E" w:rsidRPr="00724A07" w:rsidRDefault="0002629E" w:rsidP="00A651CE">
            <w:pPr>
              <w:spacing w:after="0" w:line="240" w:lineRule="auto"/>
              <w:jc w:val="both"/>
              <w:rPr>
                <w:rFonts w:ascii="ITC Avant Garde" w:hAnsi="ITC Avant Garde"/>
                <w:sz w:val="18"/>
                <w:szCs w:val="18"/>
              </w:rPr>
            </w:pPr>
            <w:bookmarkStart w:id="14" w:name="_Hlk83284860"/>
            <w:bookmarkEnd w:id="13"/>
          </w:p>
        </w:tc>
        <w:tc>
          <w:tcPr>
            <w:tcW w:w="1056" w:type="dxa"/>
            <w:vMerge/>
          </w:tcPr>
          <w:p w14:paraId="15780106" w14:textId="77777777" w:rsidR="0002629E" w:rsidRPr="00724A07" w:rsidRDefault="0002629E"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c>
          <w:tcPr>
            <w:tcW w:w="6820" w:type="dxa"/>
            <w:shd w:val="clear" w:color="auto" w:fill="E2EFD9" w:themeFill="accent6" w:themeFillTint="33"/>
          </w:tcPr>
          <w:p w14:paraId="37CBEF9D" w14:textId="59207386" w:rsidR="00320227" w:rsidRPr="00724A07" w:rsidRDefault="008D575A" w:rsidP="000456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hAnsi="ITC Avant Garde"/>
                <w:sz w:val="18"/>
                <w:szCs w:val="18"/>
              </w:rPr>
              <w:t>Se</w:t>
            </w:r>
            <w:r w:rsidR="0002629E" w:rsidRPr="00724A07">
              <w:rPr>
                <w:rFonts w:ascii="ITC Avant Garde" w:hAnsi="ITC Avant Garde"/>
                <w:sz w:val="18"/>
                <w:szCs w:val="18"/>
              </w:rPr>
              <w:t xml:space="preserve"> solicita que</w:t>
            </w:r>
            <w:r w:rsidR="00320227" w:rsidRPr="00724A07">
              <w:rPr>
                <w:rFonts w:ascii="ITC Avant Garde" w:hAnsi="ITC Avant Garde"/>
                <w:sz w:val="18"/>
                <w:szCs w:val="18"/>
              </w:rPr>
              <w:t xml:space="preserve"> se adopte el </w:t>
            </w:r>
            <w:r w:rsidR="00320227" w:rsidRPr="00724A07">
              <w:rPr>
                <w:rFonts w:ascii="ITC Avant Garde" w:eastAsia="Times New Roman" w:hAnsi="ITC Avant Garde" w:cs="Calibri"/>
                <w:color w:val="000000"/>
                <w:sz w:val="18"/>
                <w:szCs w:val="18"/>
                <w:lang w:eastAsia="es-MX"/>
              </w:rPr>
              <w:t>enfoque de determinar MR separados para el producto focal y para los productos alternativos y considerar las presiones competitivas que ejerzan entre sí en etapas posteriores del análisis.</w:t>
            </w:r>
          </w:p>
        </w:tc>
      </w:tr>
      <w:tr w:rsidR="0002629E" w:rsidRPr="00724A07" w14:paraId="1B03B365"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32FC7511" w14:textId="77777777" w:rsidR="0002629E" w:rsidRPr="00724A07" w:rsidRDefault="0002629E" w:rsidP="00A651CE">
            <w:pPr>
              <w:spacing w:after="0" w:line="240" w:lineRule="auto"/>
              <w:jc w:val="both"/>
              <w:rPr>
                <w:rFonts w:ascii="ITC Avant Garde" w:hAnsi="ITC Avant Garde"/>
                <w:sz w:val="18"/>
                <w:szCs w:val="18"/>
              </w:rPr>
            </w:pPr>
            <w:bookmarkStart w:id="15" w:name="_Hlk83284879"/>
            <w:bookmarkEnd w:id="14"/>
          </w:p>
        </w:tc>
        <w:tc>
          <w:tcPr>
            <w:tcW w:w="1056" w:type="dxa"/>
            <w:vMerge/>
          </w:tcPr>
          <w:p w14:paraId="1A23CCB8" w14:textId="77777777" w:rsidR="0002629E" w:rsidRPr="00724A07" w:rsidRDefault="0002629E" w:rsidP="00A651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tc>
        <w:tc>
          <w:tcPr>
            <w:tcW w:w="6820" w:type="dxa"/>
          </w:tcPr>
          <w:p w14:paraId="6A716384" w14:textId="6AEDF9F8" w:rsidR="0002629E" w:rsidRPr="00724A07" w:rsidRDefault="008D575A" w:rsidP="00A651C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02629E" w:rsidRPr="00724A07">
              <w:rPr>
                <w:rFonts w:ascii="ITC Avant Garde" w:hAnsi="ITC Avant Garde"/>
                <w:sz w:val="18"/>
                <w:szCs w:val="18"/>
              </w:rPr>
              <w:t xml:space="preserve"> señala que es necesario incorporar a la Guía, de manera explícita, el otorgamiento de descuentos sobre paquetes de servicios o sobre sus componentes, como un elemento adicional a evaluar al momento de definir MR.</w:t>
            </w:r>
          </w:p>
        </w:tc>
      </w:tr>
      <w:tr w:rsidR="0002629E" w:rsidRPr="00724A07" w14:paraId="1BCBA189"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200" w:type="dxa"/>
            <w:vMerge/>
          </w:tcPr>
          <w:p w14:paraId="745AB86C" w14:textId="77777777" w:rsidR="0002629E" w:rsidRPr="00724A07" w:rsidRDefault="0002629E" w:rsidP="00A651CE">
            <w:pPr>
              <w:spacing w:after="0" w:line="240" w:lineRule="auto"/>
              <w:jc w:val="both"/>
              <w:rPr>
                <w:rFonts w:ascii="ITC Avant Garde" w:hAnsi="ITC Avant Garde"/>
                <w:sz w:val="18"/>
                <w:szCs w:val="18"/>
              </w:rPr>
            </w:pPr>
          </w:p>
        </w:tc>
        <w:tc>
          <w:tcPr>
            <w:tcW w:w="1056" w:type="dxa"/>
            <w:vMerge/>
          </w:tcPr>
          <w:p w14:paraId="576201F7" w14:textId="77777777" w:rsidR="0002629E" w:rsidRPr="00724A07" w:rsidRDefault="0002629E" w:rsidP="00A651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c>
          <w:tcPr>
            <w:tcW w:w="6820" w:type="dxa"/>
            <w:shd w:val="clear" w:color="auto" w:fill="E2EFD9" w:themeFill="accent6" w:themeFillTint="33"/>
          </w:tcPr>
          <w:p w14:paraId="65F24EF3" w14:textId="298A3BDB" w:rsidR="0002629E" w:rsidRPr="00724A07" w:rsidRDefault="008D575A" w:rsidP="00A651C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02629E" w:rsidRPr="00724A07">
              <w:rPr>
                <w:rFonts w:ascii="ITC Avant Garde" w:hAnsi="ITC Avant Garde"/>
                <w:sz w:val="18"/>
                <w:szCs w:val="18"/>
              </w:rPr>
              <w:t xml:space="preserve"> sugiere agregar una subsección en la que se aborden las características, complejidades y metodologías para la definición de mercados digitales, particularmente cuando involucran varios lados.</w:t>
            </w:r>
          </w:p>
        </w:tc>
      </w:tr>
    </w:tbl>
    <w:bookmarkEnd w:id="15"/>
    <w:p w14:paraId="6BEAA7F9" w14:textId="488F8E48" w:rsidR="0085737C" w:rsidRPr="00724A07" w:rsidRDefault="00DD32EC" w:rsidP="00320227">
      <w:pPr>
        <w:spacing w:before="120" w:after="120" w:line="240" w:lineRule="auto"/>
        <w:ind w:left="708"/>
        <w:outlineLvl w:val="2"/>
        <w:rPr>
          <w:rFonts w:ascii="ITC Avant Garde" w:hAnsi="ITC Avant Garde"/>
          <w:b/>
          <w:bCs/>
        </w:rPr>
      </w:pPr>
      <w:r>
        <w:rPr>
          <w:rFonts w:ascii="ITC Avant Garde" w:hAnsi="ITC Avant Garde"/>
          <w:b/>
          <w:bCs/>
        </w:rPr>
        <w:t>8</w:t>
      </w:r>
      <w:r w:rsidR="0085737C" w:rsidRPr="00724A07">
        <w:rPr>
          <w:rFonts w:ascii="ITC Avant Garde" w:hAnsi="ITC Avant Garde"/>
          <w:b/>
          <w:bCs/>
        </w:rPr>
        <w:t xml:space="preserve">.1. Apartados del Anteproyecto de Guía sobre los que </w:t>
      </w:r>
      <w:r w:rsidR="00320227" w:rsidRPr="00724A07">
        <w:rPr>
          <w:rFonts w:ascii="ITC Avant Garde" w:hAnsi="ITC Avant Garde"/>
          <w:b/>
          <w:bCs/>
        </w:rPr>
        <w:t xml:space="preserve">la </w:t>
      </w:r>
      <w:r w:rsidR="0085737C" w:rsidRPr="00724A07">
        <w:rPr>
          <w:rFonts w:ascii="ITC Avant Garde" w:hAnsi="ITC Avant Garde"/>
          <w:b/>
          <w:bCs/>
        </w:rPr>
        <w:t>COFECE realizó comentarios</w:t>
      </w:r>
    </w:p>
    <w:p w14:paraId="0DC92E64" w14:textId="6345A839" w:rsidR="00D76050" w:rsidRPr="00724A07" w:rsidRDefault="00D76050" w:rsidP="00D76050">
      <w:pPr>
        <w:spacing w:after="120" w:line="247" w:lineRule="auto"/>
        <w:jc w:val="both"/>
        <w:rPr>
          <w:rFonts w:ascii="ITC Avant Garde" w:hAnsi="ITC Avant Garde"/>
        </w:rPr>
      </w:pPr>
      <w:r w:rsidRPr="00724A07">
        <w:rPr>
          <w:rFonts w:ascii="ITC Avant Garde" w:hAnsi="ITC Avant Garde"/>
        </w:rPr>
        <w:t xml:space="preserve">En total, se recibieron </w:t>
      </w:r>
      <w:r w:rsidR="00DD32EC">
        <w:rPr>
          <w:rFonts w:ascii="ITC Avant Garde" w:hAnsi="ITC Avant Garde"/>
        </w:rPr>
        <w:t>9 (</w:t>
      </w:r>
      <w:r w:rsidR="009A005D">
        <w:rPr>
          <w:rFonts w:ascii="ITC Avant Garde" w:hAnsi="ITC Avant Garde"/>
        </w:rPr>
        <w:t>nueve</w:t>
      </w:r>
      <w:r w:rsidR="00DD32EC">
        <w:rPr>
          <w:rFonts w:ascii="ITC Avant Garde" w:hAnsi="ITC Avant Garde"/>
        </w:rPr>
        <w:t>)</w:t>
      </w:r>
      <w:r w:rsidR="009A005D" w:rsidRPr="00724A07">
        <w:rPr>
          <w:rFonts w:ascii="ITC Avant Garde" w:hAnsi="ITC Avant Garde"/>
        </w:rPr>
        <w:t xml:space="preserve"> </w:t>
      </w:r>
      <w:r w:rsidRPr="00724A07">
        <w:rPr>
          <w:rFonts w:ascii="ITC Avant Garde" w:hAnsi="ITC Avant Garde"/>
        </w:rPr>
        <w:t>comentarios por parte de la COFECE, respecto del Anteproyecto de Guía, mismos que se re</w:t>
      </w:r>
      <w:r w:rsidR="00556F1C">
        <w:rPr>
          <w:rFonts w:ascii="ITC Avant Garde" w:hAnsi="ITC Avant Garde"/>
        </w:rPr>
        <w:t>sumen</w:t>
      </w:r>
      <w:r w:rsidRPr="00724A07">
        <w:rPr>
          <w:rFonts w:ascii="ITC Avant Garde" w:hAnsi="ITC Avant Garde"/>
        </w:rPr>
        <w:t xml:space="preserve"> a continuación:</w:t>
      </w:r>
    </w:p>
    <w:tbl>
      <w:tblPr>
        <w:tblStyle w:val="Tablaconcuadrcula4-nfasis6"/>
        <w:tblW w:w="0" w:type="auto"/>
        <w:tblInd w:w="-5" w:type="dxa"/>
        <w:tblLook w:val="04A0" w:firstRow="1" w:lastRow="0" w:firstColumn="1" w:lastColumn="0" w:noHBand="0" w:noVBand="1"/>
      </w:tblPr>
      <w:tblGrid>
        <w:gridCol w:w="2123"/>
        <w:gridCol w:w="1309"/>
        <w:gridCol w:w="6649"/>
      </w:tblGrid>
      <w:tr w:rsidR="0085737C" w:rsidRPr="00724A07" w14:paraId="22A2A884" w14:textId="77777777" w:rsidTr="00D2006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right w:val="none" w:sz="0" w:space="0" w:color="auto"/>
            </w:tcBorders>
            <w:shd w:val="clear" w:color="auto" w:fill="92D050"/>
            <w:vAlign w:val="center"/>
            <w:hideMark/>
          </w:tcPr>
          <w:p w14:paraId="3C4D7860" w14:textId="77777777" w:rsidR="0085737C" w:rsidRPr="00724A07" w:rsidRDefault="0085737C" w:rsidP="000456C0">
            <w:pPr>
              <w:spacing w:after="0" w:line="240" w:lineRule="auto"/>
              <w:jc w:val="center"/>
              <w:rPr>
                <w:rFonts w:ascii="ITC Avant Garde" w:eastAsia="Times New Roman" w:hAnsi="ITC Avant Garde" w:cs="Calibri"/>
                <w:color w:val="auto"/>
                <w:sz w:val="18"/>
                <w:szCs w:val="18"/>
                <w:lang w:eastAsia="es-MX"/>
              </w:rPr>
            </w:pPr>
            <w:r w:rsidRPr="00724A07">
              <w:rPr>
                <w:rFonts w:ascii="ITC Avant Garde" w:eastAsia="Times New Roman" w:hAnsi="ITC Avant Garde" w:cs="Calibri"/>
                <w:color w:val="auto"/>
                <w:sz w:val="18"/>
                <w:szCs w:val="18"/>
                <w:lang w:eastAsia="es-MX"/>
              </w:rPr>
              <w:lastRenderedPageBreak/>
              <w:t>Apartado del Anteproyecto de Guía</w:t>
            </w:r>
          </w:p>
        </w:tc>
        <w:tc>
          <w:tcPr>
            <w:tcW w:w="1275" w:type="dxa"/>
            <w:tcBorders>
              <w:top w:val="none" w:sz="0" w:space="0" w:color="auto"/>
              <w:left w:val="none" w:sz="0" w:space="0" w:color="auto"/>
              <w:bottom w:val="none" w:sz="0" w:space="0" w:color="auto"/>
              <w:right w:val="none" w:sz="0" w:space="0" w:color="auto"/>
            </w:tcBorders>
            <w:shd w:val="clear" w:color="auto" w:fill="92D050"/>
            <w:vAlign w:val="center"/>
            <w:hideMark/>
          </w:tcPr>
          <w:p w14:paraId="030FD445" w14:textId="77777777" w:rsidR="0085737C" w:rsidRPr="00724A07" w:rsidRDefault="0085737C" w:rsidP="000E06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8"/>
                <w:szCs w:val="18"/>
                <w:lang w:eastAsia="es-MX"/>
              </w:rPr>
            </w:pPr>
            <w:r w:rsidRPr="00724A07">
              <w:rPr>
                <w:rFonts w:ascii="ITC Avant Garde" w:eastAsia="Times New Roman" w:hAnsi="ITC Avant Garde" w:cs="Calibri"/>
                <w:color w:val="auto"/>
                <w:sz w:val="18"/>
                <w:szCs w:val="18"/>
                <w:lang w:eastAsia="es-MX"/>
              </w:rPr>
              <w:t>Número de comentarios recibidos</w:t>
            </w:r>
          </w:p>
        </w:tc>
        <w:tc>
          <w:tcPr>
            <w:tcW w:w="6679" w:type="dxa"/>
            <w:tcBorders>
              <w:top w:val="none" w:sz="0" w:space="0" w:color="auto"/>
              <w:left w:val="none" w:sz="0" w:space="0" w:color="auto"/>
              <w:bottom w:val="none" w:sz="0" w:space="0" w:color="auto"/>
              <w:right w:val="none" w:sz="0" w:space="0" w:color="auto"/>
            </w:tcBorders>
            <w:shd w:val="clear" w:color="auto" w:fill="92D050"/>
            <w:vAlign w:val="center"/>
            <w:hideMark/>
          </w:tcPr>
          <w:p w14:paraId="114F19EF" w14:textId="1E0A4836" w:rsidR="0085737C" w:rsidRPr="00724A07" w:rsidRDefault="0085737C" w:rsidP="00472E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8"/>
                <w:szCs w:val="18"/>
                <w:lang w:eastAsia="es-MX"/>
              </w:rPr>
            </w:pPr>
            <w:r w:rsidRPr="00724A07">
              <w:rPr>
                <w:rFonts w:ascii="ITC Avant Garde" w:eastAsia="Times New Roman" w:hAnsi="ITC Avant Garde" w:cs="Calibri"/>
                <w:color w:val="auto"/>
                <w:sz w:val="18"/>
                <w:szCs w:val="18"/>
                <w:lang w:eastAsia="es-MX"/>
              </w:rPr>
              <w:t>Resumen de los comentarios</w:t>
            </w:r>
          </w:p>
        </w:tc>
      </w:tr>
      <w:tr w:rsidR="0085737C" w:rsidRPr="00724A07" w14:paraId="10F067B8"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tcPr>
          <w:p w14:paraId="55278D65" w14:textId="08A523F2" w:rsidR="0085737C" w:rsidRPr="00724A07" w:rsidRDefault="0085737C" w:rsidP="0085737C">
            <w:pPr>
              <w:spacing w:after="0" w:line="240" w:lineRule="auto"/>
              <w:jc w:val="both"/>
              <w:rPr>
                <w:rFonts w:ascii="ITC Avant Garde" w:hAnsi="ITC Avant Garde" w:cs="Arial"/>
                <w:bCs w:val="0"/>
                <w:sz w:val="18"/>
                <w:szCs w:val="18"/>
              </w:rPr>
            </w:pPr>
            <w:r w:rsidRPr="00724A07">
              <w:rPr>
                <w:rFonts w:ascii="ITC Avant Garde" w:hAnsi="ITC Avant Garde" w:cs="Arial"/>
                <w:bCs w:val="0"/>
                <w:sz w:val="18"/>
                <w:szCs w:val="18"/>
              </w:rPr>
              <w:t>2.</w:t>
            </w:r>
            <w:r w:rsidR="00157A29">
              <w:rPr>
                <w:rFonts w:ascii="ITC Avant Garde" w:hAnsi="ITC Avant Garde" w:cs="Arial"/>
                <w:bCs w:val="0"/>
                <w:sz w:val="18"/>
                <w:szCs w:val="18"/>
              </w:rPr>
              <w:t xml:space="preserve"> </w:t>
            </w:r>
            <w:r w:rsidRPr="00724A07">
              <w:rPr>
                <w:rFonts w:ascii="ITC Avant Garde" w:hAnsi="ITC Avant Garde" w:cs="Arial"/>
                <w:bCs w:val="0"/>
                <w:sz w:val="18"/>
                <w:szCs w:val="18"/>
              </w:rPr>
              <w:t>Concepto de MR y su utilidad</w:t>
            </w:r>
          </w:p>
        </w:tc>
        <w:tc>
          <w:tcPr>
            <w:tcW w:w="1275" w:type="dxa"/>
            <w:vMerge w:val="restart"/>
          </w:tcPr>
          <w:p w14:paraId="6968336E" w14:textId="5BA051AD" w:rsidR="0085737C" w:rsidRPr="00724A07" w:rsidRDefault="0085737C" w:rsidP="008573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eastAsia="Times New Roman" w:hAnsi="ITC Avant Garde" w:cs="Calibri"/>
                <w:color w:val="000000"/>
                <w:sz w:val="18"/>
                <w:szCs w:val="18"/>
                <w:lang w:eastAsia="es-MX"/>
              </w:rPr>
              <w:t>2</w:t>
            </w:r>
          </w:p>
        </w:tc>
        <w:tc>
          <w:tcPr>
            <w:tcW w:w="6679" w:type="dxa"/>
          </w:tcPr>
          <w:p w14:paraId="5D89F7B3" w14:textId="391AB776" w:rsidR="0085737C" w:rsidRPr="00724A07" w:rsidRDefault="0016573F" w:rsidP="0085737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hAnsi="ITC Avant Garde"/>
                <w:sz w:val="18"/>
                <w:szCs w:val="18"/>
              </w:rPr>
              <w:t>Se s</w:t>
            </w:r>
            <w:r w:rsidR="0085737C" w:rsidRPr="00724A07">
              <w:rPr>
                <w:rFonts w:ascii="ITC Avant Garde" w:hAnsi="ITC Avant Garde"/>
                <w:sz w:val="18"/>
                <w:szCs w:val="18"/>
              </w:rPr>
              <w:t xml:space="preserve">ugiere </w:t>
            </w:r>
            <w:bookmarkStart w:id="16" w:name="_Hlk83831147"/>
            <w:r w:rsidR="0085737C" w:rsidRPr="00724A07">
              <w:rPr>
                <w:rFonts w:ascii="ITC Avant Garde" w:hAnsi="ITC Avant Garde"/>
                <w:sz w:val="18"/>
                <w:szCs w:val="18"/>
              </w:rPr>
              <w:t xml:space="preserve">incluir ejemplos </w:t>
            </w:r>
            <w:r w:rsidRPr="00724A07">
              <w:rPr>
                <w:rFonts w:ascii="ITC Avant Garde" w:hAnsi="ITC Avant Garde"/>
                <w:sz w:val="18"/>
                <w:szCs w:val="18"/>
              </w:rPr>
              <w:t>de</w:t>
            </w:r>
            <w:r w:rsidR="0085737C" w:rsidRPr="00724A07">
              <w:rPr>
                <w:rFonts w:ascii="ITC Avant Garde" w:hAnsi="ITC Avant Garde"/>
                <w:sz w:val="18"/>
                <w:szCs w:val="18"/>
              </w:rPr>
              <w:t xml:space="preserve"> la dimensión temporal en el sector de telecomunicaciones.</w:t>
            </w:r>
            <w:bookmarkEnd w:id="16"/>
          </w:p>
        </w:tc>
      </w:tr>
      <w:tr w:rsidR="0085737C" w:rsidRPr="00724A07" w14:paraId="5D4A0133"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127" w:type="dxa"/>
            <w:vMerge/>
          </w:tcPr>
          <w:p w14:paraId="75AA95A4" w14:textId="77777777" w:rsidR="0085737C" w:rsidRPr="00724A07" w:rsidRDefault="0085737C" w:rsidP="0085737C">
            <w:pPr>
              <w:spacing w:after="0" w:line="240" w:lineRule="auto"/>
              <w:jc w:val="both"/>
              <w:rPr>
                <w:rFonts w:ascii="ITC Avant Garde" w:hAnsi="ITC Avant Garde"/>
                <w:sz w:val="18"/>
                <w:szCs w:val="18"/>
              </w:rPr>
            </w:pPr>
          </w:p>
        </w:tc>
        <w:tc>
          <w:tcPr>
            <w:tcW w:w="1275" w:type="dxa"/>
            <w:vMerge/>
          </w:tcPr>
          <w:p w14:paraId="2C3B9C81" w14:textId="77777777" w:rsidR="0085737C" w:rsidRPr="00724A07" w:rsidRDefault="0085737C" w:rsidP="008573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p>
        </w:tc>
        <w:tc>
          <w:tcPr>
            <w:tcW w:w="6679" w:type="dxa"/>
            <w:shd w:val="clear" w:color="auto" w:fill="E2EFD9" w:themeFill="accent6" w:themeFillTint="33"/>
          </w:tcPr>
          <w:p w14:paraId="05EFD84F" w14:textId="77BC8D96" w:rsidR="0085737C" w:rsidRPr="00724A07" w:rsidRDefault="0016573F" w:rsidP="0085737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000000"/>
                <w:sz w:val="18"/>
                <w:szCs w:val="18"/>
                <w:lang w:eastAsia="es-MX"/>
              </w:rPr>
            </w:pPr>
            <w:r w:rsidRPr="00724A07">
              <w:rPr>
                <w:rFonts w:ascii="ITC Avant Garde" w:hAnsi="ITC Avant Garde"/>
                <w:sz w:val="18"/>
                <w:szCs w:val="18"/>
              </w:rPr>
              <w:t>Se</w:t>
            </w:r>
            <w:r w:rsidR="0085737C" w:rsidRPr="00724A07">
              <w:rPr>
                <w:rFonts w:ascii="ITC Avant Garde" w:hAnsi="ITC Avant Garde"/>
                <w:sz w:val="18"/>
                <w:szCs w:val="18"/>
              </w:rPr>
              <w:t xml:space="preserve"> sugiere </w:t>
            </w:r>
            <w:bookmarkStart w:id="17" w:name="_Hlk83831590"/>
            <w:r w:rsidR="0085737C" w:rsidRPr="00724A07">
              <w:rPr>
                <w:rFonts w:ascii="ITC Avant Garde" w:hAnsi="ITC Avant Garde"/>
                <w:sz w:val="18"/>
                <w:szCs w:val="18"/>
              </w:rPr>
              <w:t xml:space="preserve">incluir en definición conceptual de </w:t>
            </w:r>
            <w:r w:rsidRPr="00724A07">
              <w:rPr>
                <w:rFonts w:ascii="ITC Avant Garde" w:hAnsi="ITC Avant Garde"/>
                <w:sz w:val="18"/>
                <w:szCs w:val="18"/>
              </w:rPr>
              <w:t>MR</w:t>
            </w:r>
            <w:r w:rsidR="0085737C" w:rsidRPr="00724A07">
              <w:rPr>
                <w:rFonts w:ascii="ITC Avant Garde" w:hAnsi="ITC Avant Garde"/>
                <w:sz w:val="18"/>
                <w:szCs w:val="18"/>
              </w:rPr>
              <w:t xml:space="preserve"> </w:t>
            </w:r>
            <w:r w:rsidRPr="00724A07">
              <w:rPr>
                <w:rFonts w:ascii="ITC Avant Garde" w:hAnsi="ITC Avant Garde"/>
                <w:sz w:val="18"/>
                <w:szCs w:val="18"/>
              </w:rPr>
              <w:t>la posibilidad de realizar un análisis de</w:t>
            </w:r>
            <w:r w:rsidR="0085737C" w:rsidRPr="00724A07">
              <w:rPr>
                <w:rFonts w:ascii="ITC Avant Garde" w:hAnsi="ITC Avant Garde"/>
                <w:sz w:val="18"/>
                <w:szCs w:val="18"/>
              </w:rPr>
              <w:t xml:space="preserve"> sustitución por el lado de la oferta</w:t>
            </w:r>
            <w:bookmarkEnd w:id="17"/>
            <w:r w:rsidR="0085737C" w:rsidRPr="00724A07">
              <w:rPr>
                <w:rFonts w:ascii="ITC Avant Garde" w:hAnsi="ITC Avant Garde"/>
                <w:sz w:val="18"/>
                <w:szCs w:val="18"/>
              </w:rPr>
              <w:t>.</w:t>
            </w:r>
          </w:p>
        </w:tc>
      </w:tr>
      <w:tr w:rsidR="008D575A" w:rsidRPr="00724A07" w14:paraId="7879A86E"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shd w:val="clear" w:color="auto" w:fill="FFFFFF" w:themeFill="background1"/>
          </w:tcPr>
          <w:p w14:paraId="650F3230" w14:textId="04BEB17C" w:rsidR="008D575A" w:rsidRPr="00724A07" w:rsidRDefault="008D575A" w:rsidP="0085737C">
            <w:pPr>
              <w:spacing w:after="0" w:line="240" w:lineRule="auto"/>
              <w:rPr>
                <w:rFonts w:ascii="ITC Avant Garde" w:hAnsi="ITC Avant Garde"/>
                <w:sz w:val="18"/>
                <w:szCs w:val="18"/>
              </w:rPr>
            </w:pPr>
            <w:r w:rsidRPr="00724A07">
              <w:rPr>
                <w:rFonts w:ascii="ITC Avant Garde" w:hAnsi="ITC Avant Garde"/>
                <w:sz w:val="18"/>
                <w:szCs w:val="18"/>
              </w:rPr>
              <w:t>3.</w:t>
            </w:r>
            <w:r w:rsidR="00157A29">
              <w:rPr>
                <w:rFonts w:ascii="ITC Avant Garde" w:hAnsi="ITC Avant Garde"/>
                <w:sz w:val="18"/>
                <w:szCs w:val="18"/>
              </w:rPr>
              <w:t xml:space="preserve"> </w:t>
            </w:r>
            <w:r w:rsidRPr="00724A07">
              <w:rPr>
                <w:rFonts w:ascii="ITC Avant Garde" w:hAnsi="ITC Avant Garde"/>
                <w:sz w:val="18"/>
                <w:szCs w:val="18"/>
              </w:rPr>
              <w:t>Enfoques para el análisis de sustitución</w:t>
            </w:r>
          </w:p>
        </w:tc>
        <w:tc>
          <w:tcPr>
            <w:tcW w:w="1275" w:type="dxa"/>
            <w:shd w:val="clear" w:color="auto" w:fill="FFFFFF" w:themeFill="background1"/>
          </w:tcPr>
          <w:p w14:paraId="130557AC" w14:textId="4260A8D8" w:rsidR="008D575A" w:rsidRPr="00724A07" w:rsidRDefault="007D57A0" w:rsidP="008573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Pr>
                <w:rFonts w:ascii="ITC Avant Garde" w:hAnsi="ITC Avant Garde"/>
                <w:sz w:val="18"/>
                <w:szCs w:val="18"/>
              </w:rPr>
              <w:t>1</w:t>
            </w:r>
          </w:p>
        </w:tc>
        <w:tc>
          <w:tcPr>
            <w:tcW w:w="6679" w:type="dxa"/>
            <w:shd w:val="clear" w:color="auto" w:fill="FFFFFF" w:themeFill="background1"/>
          </w:tcPr>
          <w:p w14:paraId="4F011B1B" w14:textId="24D06E75" w:rsidR="008D575A" w:rsidRPr="00724A07" w:rsidRDefault="0094398F" w:rsidP="0085737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8D575A" w:rsidRPr="00724A07">
              <w:rPr>
                <w:rFonts w:ascii="ITC Avant Garde" w:hAnsi="ITC Avant Garde"/>
                <w:sz w:val="18"/>
                <w:szCs w:val="18"/>
              </w:rPr>
              <w:t xml:space="preserve"> sugiere añadir que un plazo razonable </w:t>
            </w:r>
            <w:r w:rsidRPr="00724A07">
              <w:rPr>
                <w:rFonts w:ascii="ITC Avant Garde" w:hAnsi="ITC Avant Garde"/>
                <w:sz w:val="18"/>
                <w:szCs w:val="18"/>
              </w:rPr>
              <w:t>para</w:t>
            </w:r>
            <w:r w:rsidR="008D575A" w:rsidRPr="00724A07">
              <w:rPr>
                <w:rFonts w:ascii="ITC Avant Garde" w:hAnsi="ITC Avant Garde"/>
                <w:sz w:val="18"/>
                <w:szCs w:val="18"/>
              </w:rPr>
              <w:t xml:space="preserve"> la sustitución por el lado de la oferta podría ser menor de un año.</w:t>
            </w:r>
            <w:r w:rsidR="007D57A0">
              <w:rPr>
                <w:rFonts w:ascii="ITC Avant Garde" w:hAnsi="ITC Avant Garde"/>
                <w:sz w:val="18"/>
                <w:szCs w:val="18"/>
              </w:rPr>
              <w:t xml:space="preserve"> Asimismo, s</w:t>
            </w:r>
            <w:r w:rsidR="007D57A0" w:rsidRPr="00724A07">
              <w:rPr>
                <w:rFonts w:ascii="ITC Avant Garde" w:hAnsi="ITC Avant Garde"/>
                <w:sz w:val="18"/>
                <w:szCs w:val="18"/>
              </w:rPr>
              <w:t>e sugiere incorporar conceptual o analíticamente la definición de la elasticidad precio de la oferta.</w:t>
            </w:r>
            <w:r w:rsidR="007D57A0">
              <w:rPr>
                <w:rFonts w:ascii="ITC Avant Garde" w:hAnsi="ITC Avant Garde"/>
                <w:sz w:val="18"/>
                <w:szCs w:val="18"/>
              </w:rPr>
              <w:t xml:space="preserve"> Adicionalmente, se sugiere aclarar</w:t>
            </w:r>
            <w:r w:rsidR="007D57A0" w:rsidRPr="00724A07">
              <w:rPr>
                <w:rFonts w:ascii="ITC Avant Garde" w:hAnsi="ITC Avant Garde"/>
                <w:sz w:val="18"/>
                <w:szCs w:val="18"/>
              </w:rPr>
              <w:t xml:space="preserve"> cómo y en qué momentos</w:t>
            </w:r>
            <w:r w:rsidR="007D57A0">
              <w:rPr>
                <w:rFonts w:ascii="ITC Avant Garde" w:hAnsi="ITC Avant Garde"/>
                <w:sz w:val="18"/>
                <w:szCs w:val="18"/>
              </w:rPr>
              <w:t xml:space="preserve"> se debe</w:t>
            </w:r>
            <w:r w:rsidR="007D57A0" w:rsidRPr="00724A07">
              <w:rPr>
                <w:rFonts w:ascii="ITC Avant Garde" w:hAnsi="ITC Avant Garde"/>
                <w:sz w:val="18"/>
                <w:szCs w:val="18"/>
              </w:rPr>
              <w:t xml:space="preserve"> </w:t>
            </w:r>
            <w:r w:rsidR="007D57A0">
              <w:rPr>
                <w:rFonts w:ascii="ITC Avant Garde" w:hAnsi="ITC Avant Garde"/>
                <w:sz w:val="18"/>
                <w:szCs w:val="18"/>
              </w:rPr>
              <w:t>tomar en cuenta</w:t>
            </w:r>
            <w:r w:rsidR="007D57A0" w:rsidRPr="00724A07">
              <w:rPr>
                <w:rFonts w:ascii="ITC Avant Garde" w:hAnsi="ITC Avant Garde"/>
                <w:sz w:val="18"/>
                <w:szCs w:val="18"/>
              </w:rPr>
              <w:t xml:space="preserve"> la competencia potencial</w:t>
            </w:r>
            <w:r w:rsidR="00251984">
              <w:rPr>
                <w:rFonts w:ascii="ITC Avant Garde" w:hAnsi="ITC Avant Garde"/>
                <w:sz w:val="18"/>
                <w:szCs w:val="18"/>
              </w:rPr>
              <w:t>.</w:t>
            </w:r>
          </w:p>
        </w:tc>
      </w:tr>
      <w:tr w:rsidR="002167FD" w:rsidRPr="00724A07" w14:paraId="20FFBCD7"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127" w:type="dxa"/>
            <w:vMerge w:val="restart"/>
            <w:shd w:val="clear" w:color="auto" w:fill="E2EFD9" w:themeFill="accent6" w:themeFillTint="33"/>
          </w:tcPr>
          <w:p w14:paraId="6E3F8B0E" w14:textId="22AB948D" w:rsidR="002167FD" w:rsidRPr="00724A07" w:rsidRDefault="002167FD" w:rsidP="0085737C">
            <w:pPr>
              <w:spacing w:after="0" w:line="240" w:lineRule="auto"/>
              <w:jc w:val="both"/>
              <w:rPr>
                <w:rFonts w:ascii="ITC Avant Garde" w:hAnsi="ITC Avant Garde"/>
                <w:sz w:val="18"/>
                <w:szCs w:val="18"/>
              </w:rPr>
            </w:pPr>
            <w:r w:rsidRPr="00724A07">
              <w:rPr>
                <w:rFonts w:ascii="ITC Avant Garde" w:hAnsi="ITC Avant Garde"/>
                <w:sz w:val="18"/>
                <w:szCs w:val="18"/>
              </w:rPr>
              <w:t>5.</w:t>
            </w:r>
            <w:r w:rsidR="00FC77E4">
              <w:rPr>
                <w:rFonts w:ascii="ITC Avant Garde" w:hAnsi="ITC Avant Garde"/>
                <w:sz w:val="18"/>
                <w:szCs w:val="18"/>
              </w:rPr>
              <w:t xml:space="preserve"> </w:t>
            </w:r>
            <w:r w:rsidRPr="00724A07">
              <w:rPr>
                <w:rFonts w:ascii="ITC Avant Garde" w:hAnsi="ITC Avant Garde"/>
                <w:sz w:val="18"/>
                <w:szCs w:val="18"/>
              </w:rPr>
              <w:t>Determinación de la dimensión producto</w:t>
            </w:r>
          </w:p>
        </w:tc>
        <w:tc>
          <w:tcPr>
            <w:tcW w:w="1275" w:type="dxa"/>
            <w:vMerge w:val="restart"/>
            <w:shd w:val="clear" w:color="auto" w:fill="E2EFD9" w:themeFill="accent6" w:themeFillTint="33"/>
          </w:tcPr>
          <w:p w14:paraId="16C6851C" w14:textId="11832941" w:rsidR="002167FD" w:rsidRPr="00724A07" w:rsidRDefault="002167FD" w:rsidP="008573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4</w:t>
            </w:r>
          </w:p>
        </w:tc>
        <w:tc>
          <w:tcPr>
            <w:tcW w:w="6679" w:type="dxa"/>
            <w:shd w:val="clear" w:color="auto" w:fill="E2EFD9" w:themeFill="accent6" w:themeFillTint="33"/>
          </w:tcPr>
          <w:p w14:paraId="58ED41BC" w14:textId="1B9AF6F7" w:rsidR="002167FD" w:rsidRPr="00724A07" w:rsidRDefault="006C359B" w:rsidP="0085737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2167FD" w:rsidRPr="00724A07">
              <w:rPr>
                <w:rFonts w:ascii="ITC Avant Garde" w:hAnsi="ITC Avant Garde"/>
                <w:sz w:val="18"/>
                <w:szCs w:val="18"/>
              </w:rPr>
              <w:t xml:space="preserve"> sugiere aclarar que los márgenes de ganancia </w:t>
            </w:r>
            <w:r w:rsidRPr="00724A07">
              <w:rPr>
                <w:rFonts w:ascii="ITC Avant Garde" w:hAnsi="ITC Avant Garde"/>
                <w:sz w:val="18"/>
                <w:szCs w:val="18"/>
              </w:rPr>
              <w:t>pueden ser difíciles de medir en la práctica porque los márgenes contables, que son la información usualmente disponible</w:t>
            </w:r>
            <w:r w:rsidR="0033580C">
              <w:rPr>
                <w:rFonts w:ascii="ITC Avant Garde" w:hAnsi="ITC Avant Garde"/>
                <w:sz w:val="18"/>
                <w:szCs w:val="18"/>
              </w:rPr>
              <w:t>,</w:t>
            </w:r>
            <w:r w:rsidRPr="00724A07">
              <w:rPr>
                <w:rFonts w:ascii="ITC Avant Garde" w:hAnsi="ITC Avant Garde"/>
                <w:sz w:val="18"/>
                <w:szCs w:val="18"/>
              </w:rPr>
              <w:t xml:space="preserve"> generalmente</w:t>
            </w:r>
            <w:r w:rsidR="002167FD" w:rsidRPr="00724A07">
              <w:rPr>
                <w:rFonts w:ascii="ITC Avant Garde" w:hAnsi="ITC Avant Garde"/>
                <w:sz w:val="18"/>
                <w:szCs w:val="18"/>
              </w:rPr>
              <w:t xml:space="preserve"> no corresponden a márgenes económicos. </w:t>
            </w:r>
          </w:p>
        </w:tc>
      </w:tr>
      <w:tr w:rsidR="002167FD" w:rsidRPr="00724A07" w14:paraId="2063805D"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tcPr>
          <w:p w14:paraId="6C22CB80" w14:textId="77777777" w:rsidR="002167FD" w:rsidRPr="00724A07" w:rsidRDefault="002167FD" w:rsidP="0085737C">
            <w:pPr>
              <w:spacing w:after="0" w:line="240" w:lineRule="auto"/>
              <w:jc w:val="both"/>
              <w:rPr>
                <w:rFonts w:ascii="ITC Avant Garde" w:hAnsi="ITC Avant Garde"/>
                <w:sz w:val="18"/>
                <w:szCs w:val="18"/>
              </w:rPr>
            </w:pPr>
          </w:p>
        </w:tc>
        <w:tc>
          <w:tcPr>
            <w:tcW w:w="1275" w:type="dxa"/>
            <w:vMerge/>
          </w:tcPr>
          <w:p w14:paraId="0DE5E324" w14:textId="77777777" w:rsidR="002167FD" w:rsidRPr="00724A07" w:rsidRDefault="002167FD" w:rsidP="008573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tc>
        <w:tc>
          <w:tcPr>
            <w:tcW w:w="6679" w:type="dxa"/>
          </w:tcPr>
          <w:p w14:paraId="47479672" w14:textId="7D95D963" w:rsidR="002167FD" w:rsidRPr="00724A07" w:rsidRDefault="006C359B" w:rsidP="002167F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2167FD" w:rsidRPr="00724A07">
              <w:rPr>
                <w:rFonts w:ascii="ITC Avant Garde" w:hAnsi="ITC Avant Garde"/>
                <w:sz w:val="18"/>
                <w:szCs w:val="18"/>
              </w:rPr>
              <w:t xml:space="preserve"> sugiere mencionar que la elasticidad de precio de la demanda puede ser una herramienta</w:t>
            </w:r>
            <w:r w:rsidRPr="00724A07">
              <w:rPr>
                <w:rFonts w:ascii="ITC Avant Garde" w:hAnsi="ITC Avant Garde"/>
                <w:sz w:val="18"/>
                <w:szCs w:val="18"/>
              </w:rPr>
              <w:t xml:space="preserve"> complementaria útil </w:t>
            </w:r>
            <w:r w:rsidR="002167FD" w:rsidRPr="00724A07">
              <w:rPr>
                <w:rFonts w:ascii="ITC Avant Garde" w:hAnsi="ITC Avant Garde"/>
                <w:sz w:val="18"/>
                <w:szCs w:val="18"/>
              </w:rPr>
              <w:t>para medir el poder de mercado</w:t>
            </w:r>
            <w:r w:rsidRPr="00724A07">
              <w:rPr>
                <w:rFonts w:ascii="ITC Avant Garde" w:hAnsi="ITC Avant Garde"/>
                <w:sz w:val="18"/>
                <w:szCs w:val="18"/>
              </w:rPr>
              <w:t>;</w:t>
            </w:r>
            <w:r w:rsidR="00E778B9">
              <w:rPr>
                <w:rFonts w:ascii="ITC Avant Garde" w:hAnsi="ITC Avant Garde"/>
                <w:sz w:val="18"/>
                <w:szCs w:val="18"/>
              </w:rPr>
              <w:t xml:space="preserve"> así como señalar que</w:t>
            </w:r>
            <w:r w:rsidRPr="00724A07">
              <w:rPr>
                <w:rFonts w:ascii="ITC Avant Garde" w:hAnsi="ITC Avant Garde"/>
                <w:sz w:val="18"/>
                <w:szCs w:val="18"/>
              </w:rPr>
              <w:t xml:space="preserve"> </w:t>
            </w:r>
            <w:r w:rsidR="00B9086E" w:rsidRPr="00724A07">
              <w:rPr>
                <w:rFonts w:ascii="ITC Avant Garde" w:hAnsi="ITC Avant Garde"/>
                <w:sz w:val="18"/>
                <w:szCs w:val="18"/>
              </w:rPr>
              <w:t>se prefiere la elasticidad cruzada para un análisis puntual de sustitución.</w:t>
            </w:r>
          </w:p>
        </w:tc>
      </w:tr>
      <w:tr w:rsidR="006C359B" w:rsidRPr="00724A07" w14:paraId="22FDD16C"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127" w:type="dxa"/>
            <w:vMerge/>
          </w:tcPr>
          <w:p w14:paraId="4A5B9009" w14:textId="77777777" w:rsidR="006C359B" w:rsidRPr="00724A07" w:rsidRDefault="006C359B" w:rsidP="0085737C">
            <w:pPr>
              <w:spacing w:after="0" w:line="240" w:lineRule="auto"/>
              <w:jc w:val="both"/>
              <w:rPr>
                <w:rFonts w:ascii="ITC Avant Garde" w:hAnsi="ITC Avant Garde"/>
                <w:sz w:val="18"/>
                <w:szCs w:val="18"/>
              </w:rPr>
            </w:pPr>
          </w:p>
        </w:tc>
        <w:tc>
          <w:tcPr>
            <w:tcW w:w="1275" w:type="dxa"/>
            <w:vMerge/>
          </w:tcPr>
          <w:p w14:paraId="35B18369" w14:textId="77777777" w:rsidR="006C359B" w:rsidRPr="00724A07" w:rsidRDefault="006C359B" w:rsidP="008573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c>
          <w:tcPr>
            <w:tcW w:w="6679" w:type="dxa"/>
          </w:tcPr>
          <w:p w14:paraId="760B1A53" w14:textId="2F430244" w:rsidR="006C359B" w:rsidRPr="00724A07" w:rsidDel="006C359B" w:rsidRDefault="006C359B" w:rsidP="000456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 xml:space="preserve">Se sugiere hacer referencia </w:t>
            </w:r>
            <w:r w:rsidR="006578E0" w:rsidRPr="00724A07">
              <w:rPr>
                <w:rFonts w:ascii="ITC Avant Garde" w:hAnsi="ITC Avant Garde"/>
                <w:sz w:val="18"/>
                <w:szCs w:val="18"/>
              </w:rPr>
              <w:t xml:space="preserve">a </w:t>
            </w:r>
            <w:r w:rsidR="006578E0">
              <w:rPr>
                <w:rFonts w:ascii="ITC Avant Garde" w:hAnsi="ITC Avant Garde"/>
                <w:sz w:val="18"/>
                <w:szCs w:val="18"/>
              </w:rPr>
              <w:t xml:space="preserve">las estrategias comerciales que incrementan </w:t>
            </w:r>
            <w:r w:rsidR="006578E0" w:rsidRPr="00724A07">
              <w:rPr>
                <w:rFonts w:ascii="ITC Avant Garde" w:hAnsi="ITC Avant Garde"/>
                <w:sz w:val="18"/>
                <w:szCs w:val="18"/>
              </w:rPr>
              <w:t xml:space="preserve">los costos implícitos </w:t>
            </w:r>
            <w:r w:rsidR="006578E0">
              <w:rPr>
                <w:rFonts w:ascii="ITC Avant Garde" w:hAnsi="ITC Avant Garde"/>
                <w:sz w:val="18"/>
                <w:szCs w:val="18"/>
              </w:rPr>
              <w:t>de cambiarse de proveedor</w:t>
            </w:r>
            <w:r w:rsidR="006578E0">
              <w:rPr>
                <w:rFonts w:ascii="ITC Avant Garde" w:hAnsi="ITC Avant Garde"/>
                <w:i/>
                <w:iCs/>
                <w:sz w:val="18"/>
                <w:szCs w:val="18"/>
              </w:rPr>
              <w:t>,</w:t>
            </w:r>
            <w:r w:rsidR="006578E0" w:rsidRPr="00DD70E1">
              <w:rPr>
                <w:rFonts w:ascii="ITC Avant Garde" w:hAnsi="ITC Avant Garde"/>
                <w:sz w:val="18"/>
                <w:szCs w:val="18"/>
              </w:rPr>
              <w:t xml:space="preserve"> tales como el tiempo o los puntos de lealtad</w:t>
            </w:r>
            <w:r w:rsidR="00DD70E1" w:rsidRPr="00DD70E1">
              <w:rPr>
                <w:rFonts w:ascii="ITC Avant Garde" w:hAnsi="ITC Avant Garde"/>
                <w:sz w:val="18"/>
                <w:szCs w:val="18"/>
              </w:rPr>
              <w:t>.</w:t>
            </w:r>
          </w:p>
        </w:tc>
      </w:tr>
      <w:tr w:rsidR="002167FD" w:rsidRPr="00724A07" w14:paraId="1FC7C29F"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vMerge/>
          </w:tcPr>
          <w:p w14:paraId="550B0557" w14:textId="77777777" w:rsidR="002167FD" w:rsidRPr="00724A07" w:rsidRDefault="002167FD" w:rsidP="0085737C">
            <w:pPr>
              <w:spacing w:after="0" w:line="240" w:lineRule="auto"/>
              <w:jc w:val="both"/>
              <w:rPr>
                <w:rFonts w:ascii="ITC Avant Garde" w:hAnsi="ITC Avant Garde"/>
                <w:sz w:val="18"/>
                <w:szCs w:val="18"/>
              </w:rPr>
            </w:pPr>
          </w:p>
        </w:tc>
        <w:tc>
          <w:tcPr>
            <w:tcW w:w="1275" w:type="dxa"/>
            <w:vMerge/>
          </w:tcPr>
          <w:p w14:paraId="22D8B9C4" w14:textId="77777777" w:rsidR="002167FD" w:rsidRPr="00724A07" w:rsidRDefault="002167FD" w:rsidP="008573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p>
        </w:tc>
        <w:tc>
          <w:tcPr>
            <w:tcW w:w="6679" w:type="dxa"/>
          </w:tcPr>
          <w:p w14:paraId="6F5B61E7" w14:textId="698610CD" w:rsidR="002167FD" w:rsidRPr="00724A07" w:rsidRDefault="006F75A7" w:rsidP="0085737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w:t>
            </w:r>
            <w:r w:rsidR="002167FD" w:rsidRPr="00724A07">
              <w:rPr>
                <w:rFonts w:ascii="ITC Avant Garde" w:hAnsi="ITC Avant Garde"/>
                <w:sz w:val="18"/>
                <w:szCs w:val="18"/>
              </w:rPr>
              <w:t xml:space="preserve"> sugiere incluir una definición del concepto de </w:t>
            </w:r>
            <w:r w:rsidR="00CF5B7D">
              <w:rPr>
                <w:rFonts w:ascii="ITC Avant Garde" w:hAnsi="ITC Avant Garde"/>
                <w:sz w:val="18"/>
                <w:szCs w:val="18"/>
              </w:rPr>
              <w:t>”</w:t>
            </w:r>
            <w:r w:rsidR="002167FD" w:rsidRPr="00DD32EC">
              <w:rPr>
                <w:rFonts w:ascii="ITC Avant Garde" w:hAnsi="ITC Avant Garde"/>
                <w:i/>
                <w:iCs/>
                <w:sz w:val="18"/>
                <w:szCs w:val="18"/>
              </w:rPr>
              <w:t>efectos de red</w:t>
            </w:r>
            <w:r w:rsidR="00CF5B7D">
              <w:rPr>
                <w:rFonts w:ascii="ITC Avant Garde" w:hAnsi="ITC Avant Garde"/>
                <w:sz w:val="18"/>
                <w:szCs w:val="18"/>
              </w:rPr>
              <w:t>”</w:t>
            </w:r>
            <w:r w:rsidR="002167FD" w:rsidRPr="00724A07">
              <w:rPr>
                <w:rFonts w:ascii="ITC Avant Garde" w:hAnsi="ITC Avant Garde"/>
                <w:sz w:val="18"/>
                <w:szCs w:val="18"/>
              </w:rPr>
              <w:t>.</w:t>
            </w:r>
          </w:p>
        </w:tc>
      </w:tr>
      <w:tr w:rsidR="0085737C" w:rsidRPr="00724A07" w14:paraId="0B0C22D7" w14:textId="77777777" w:rsidTr="00D2006C">
        <w:trPr>
          <w:trHeight w:val="2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0DFC3B08" w14:textId="2B6EA909" w:rsidR="0085737C" w:rsidRPr="00724A07" w:rsidRDefault="0085737C" w:rsidP="0085737C">
            <w:pPr>
              <w:spacing w:after="0" w:line="240" w:lineRule="auto"/>
              <w:jc w:val="both"/>
              <w:rPr>
                <w:rFonts w:ascii="ITC Avant Garde" w:hAnsi="ITC Avant Garde"/>
                <w:sz w:val="18"/>
                <w:szCs w:val="18"/>
              </w:rPr>
            </w:pPr>
            <w:r w:rsidRPr="00724A07">
              <w:rPr>
                <w:rFonts w:ascii="ITC Avant Garde" w:hAnsi="ITC Avant Garde"/>
                <w:sz w:val="18"/>
                <w:szCs w:val="18"/>
              </w:rPr>
              <w:t>6.</w:t>
            </w:r>
            <w:r w:rsidR="00FC77E4">
              <w:rPr>
                <w:rFonts w:ascii="ITC Avant Garde" w:hAnsi="ITC Avant Garde"/>
                <w:sz w:val="18"/>
                <w:szCs w:val="18"/>
              </w:rPr>
              <w:t xml:space="preserve"> </w:t>
            </w:r>
            <w:r w:rsidRPr="00724A07">
              <w:rPr>
                <w:rFonts w:ascii="ITC Avant Garde" w:hAnsi="ITC Avant Garde"/>
                <w:sz w:val="18"/>
                <w:szCs w:val="18"/>
              </w:rPr>
              <w:t>Determinación de la dimensión geográfica</w:t>
            </w:r>
          </w:p>
        </w:tc>
        <w:tc>
          <w:tcPr>
            <w:tcW w:w="1275" w:type="dxa"/>
            <w:shd w:val="clear" w:color="auto" w:fill="auto"/>
          </w:tcPr>
          <w:p w14:paraId="20715ADB" w14:textId="4DD3D4D3" w:rsidR="0085737C" w:rsidRPr="00724A07" w:rsidRDefault="0085737C" w:rsidP="008573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1</w:t>
            </w:r>
          </w:p>
        </w:tc>
        <w:tc>
          <w:tcPr>
            <w:tcW w:w="6679" w:type="dxa"/>
            <w:shd w:val="clear" w:color="auto" w:fill="auto"/>
          </w:tcPr>
          <w:p w14:paraId="37B738D5" w14:textId="3634AD04" w:rsidR="0085737C" w:rsidRPr="00724A07" w:rsidRDefault="0085737C" w:rsidP="0085737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En la nota al pie 53, se sugiere señalar que</w:t>
            </w:r>
            <w:r w:rsidR="006F75A7" w:rsidRPr="00724A07">
              <w:rPr>
                <w:rFonts w:ascii="ITC Avant Garde" w:hAnsi="ITC Avant Garde"/>
                <w:sz w:val="18"/>
                <w:szCs w:val="18"/>
              </w:rPr>
              <w:t xml:space="preserve"> el límite numérico utilizado en</w:t>
            </w:r>
            <w:r w:rsidRPr="00724A07">
              <w:rPr>
                <w:rFonts w:ascii="ITC Avant Garde" w:hAnsi="ITC Avant Garde"/>
                <w:sz w:val="18"/>
                <w:szCs w:val="18"/>
              </w:rPr>
              <w:t xml:space="preserve"> la prueba </w:t>
            </w:r>
            <w:proofErr w:type="spellStart"/>
            <w:r w:rsidRPr="00724A07">
              <w:rPr>
                <w:rFonts w:ascii="ITC Avant Garde" w:hAnsi="ITC Avant Garde"/>
                <w:sz w:val="18"/>
                <w:szCs w:val="18"/>
              </w:rPr>
              <w:t>Elzinga-Hogarty</w:t>
            </w:r>
            <w:proofErr w:type="spellEnd"/>
            <w:r w:rsidR="006F75A7" w:rsidRPr="00724A07">
              <w:rPr>
                <w:rFonts w:ascii="ITC Avant Garde" w:hAnsi="ITC Avant Garde"/>
                <w:sz w:val="18"/>
                <w:szCs w:val="18"/>
              </w:rPr>
              <w:t xml:space="preserve"> carece de sustento teórico y normalmente parte de la experiencia o sentido crítico del investigador.</w:t>
            </w:r>
          </w:p>
        </w:tc>
      </w:tr>
      <w:tr w:rsidR="00FC77E4" w:rsidRPr="00724A07" w14:paraId="519074BB" w14:textId="77777777" w:rsidTr="00D2006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Pr>
          <w:p w14:paraId="0D3C1E6E" w14:textId="53325B09" w:rsidR="00FC77E4" w:rsidRPr="00724A07" w:rsidRDefault="00FC77E4" w:rsidP="0085737C">
            <w:pPr>
              <w:spacing w:after="0" w:line="240" w:lineRule="auto"/>
              <w:jc w:val="both"/>
              <w:rPr>
                <w:rFonts w:ascii="ITC Avant Garde" w:hAnsi="ITC Avant Garde"/>
                <w:sz w:val="18"/>
                <w:szCs w:val="18"/>
              </w:rPr>
            </w:pPr>
            <w:r w:rsidRPr="00724A07">
              <w:rPr>
                <w:rFonts w:ascii="ITC Avant Garde" w:hAnsi="ITC Avant Garde"/>
                <w:sz w:val="18"/>
                <w:szCs w:val="18"/>
              </w:rPr>
              <w:t>9.</w:t>
            </w:r>
            <w:r>
              <w:rPr>
                <w:rFonts w:ascii="ITC Avant Garde" w:hAnsi="ITC Avant Garde"/>
                <w:sz w:val="18"/>
                <w:szCs w:val="18"/>
              </w:rPr>
              <w:t xml:space="preserve"> </w:t>
            </w:r>
            <w:r w:rsidRPr="00724A07">
              <w:rPr>
                <w:rFonts w:ascii="ITC Avant Garde" w:hAnsi="ITC Avant Garde"/>
                <w:sz w:val="18"/>
                <w:szCs w:val="18"/>
              </w:rPr>
              <w:t xml:space="preserve">Temas específicos de los sectores de </w:t>
            </w:r>
            <w:proofErr w:type="spellStart"/>
            <w:r w:rsidRPr="00724A07">
              <w:rPr>
                <w:rFonts w:ascii="ITC Avant Garde" w:hAnsi="ITC Avant Garde"/>
                <w:sz w:val="18"/>
                <w:szCs w:val="18"/>
              </w:rPr>
              <w:t>TyR</w:t>
            </w:r>
            <w:proofErr w:type="spellEnd"/>
          </w:p>
        </w:tc>
        <w:tc>
          <w:tcPr>
            <w:tcW w:w="1275" w:type="dxa"/>
          </w:tcPr>
          <w:p w14:paraId="56681210" w14:textId="6D000176" w:rsidR="00FC77E4" w:rsidRPr="00724A07" w:rsidRDefault="00FC77E4" w:rsidP="0085737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1</w:t>
            </w:r>
          </w:p>
        </w:tc>
        <w:tc>
          <w:tcPr>
            <w:tcW w:w="6679" w:type="dxa"/>
          </w:tcPr>
          <w:p w14:paraId="7189E12D" w14:textId="12303EE0" w:rsidR="00FC77E4" w:rsidRPr="00724A07" w:rsidRDefault="00FC77E4" w:rsidP="0085737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rPr>
            </w:pPr>
            <w:r w:rsidRPr="00724A07">
              <w:rPr>
                <w:rFonts w:ascii="ITC Avant Garde" w:hAnsi="ITC Avant Garde"/>
                <w:sz w:val="18"/>
                <w:szCs w:val="18"/>
              </w:rPr>
              <w:t>Se sugiere incluir definiciones o argumentos relacionados con mercados de plataformas.</w:t>
            </w:r>
          </w:p>
        </w:tc>
      </w:tr>
    </w:tbl>
    <w:p w14:paraId="529AF2CA" w14:textId="5649DF17" w:rsidR="001270D7" w:rsidRPr="00724A07" w:rsidRDefault="00DD32EC" w:rsidP="00A2036B">
      <w:pPr>
        <w:spacing w:before="120" w:after="120" w:line="240" w:lineRule="auto"/>
        <w:jc w:val="both"/>
        <w:outlineLvl w:val="0"/>
        <w:rPr>
          <w:rFonts w:ascii="ITC Avant Garde" w:hAnsi="ITC Avant Garde"/>
          <w:b/>
          <w:bCs/>
          <w:smallCaps/>
        </w:rPr>
      </w:pPr>
      <w:r>
        <w:rPr>
          <w:rFonts w:ascii="ITC Avant Garde" w:hAnsi="ITC Avant Garde"/>
          <w:b/>
          <w:bCs/>
          <w:smallCaps/>
        </w:rPr>
        <w:t>9</w:t>
      </w:r>
      <w:r w:rsidR="006567DF" w:rsidRPr="00724A07">
        <w:rPr>
          <w:rFonts w:ascii="ITC Avant Garde" w:hAnsi="ITC Avant Garde"/>
          <w:b/>
          <w:bCs/>
          <w:smallCaps/>
        </w:rPr>
        <w:t xml:space="preserve">. </w:t>
      </w:r>
      <w:r>
        <w:rPr>
          <w:rFonts w:ascii="ITC Avant Garde" w:hAnsi="ITC Avant Garde"/>
          <w:b/>
          <w:bCs/>
          <w:smallCaps/>
        </w:rPr>
        <w:t xml:space="preserve">Respuestas o posicionamientos de la </w:t>
      </w:r>
      <w:proofErr w:type="spellStart"/>
      <w:r>
        <w:rPr>
          <w:rFonts w:ascii="ITC Avant Garde" w:hAnsi="ITC Avant Garde"/>
          <w:b/>
          <w:bCs/>
          <w:smallCaps/>
        </w:rPr>
        <w:t>ai</w:t>
      </w:r>
      <w:proofErr w:type="spellEnd"/>
      <w:r>
        <w:rPr>
          <w:rFonts w:ascii="ITC Avant Garde" w:hAnsi="ITC Avant Garde"/>
          <w:b/>
          <w:bCs/>
          <w:smallCaps/>
        </w:rPr>
        <w:t xml:space="preserve"> y la </w:t>
      </w:r>
      <w:proofErr w:type="spellStart"/>
      <w:r>
        <w:rPr>
          <w:rFonts w:ascii="ITC Avant Garde" w:hAnsi="ITC Avant Garde"/>
          <w:b/>
          <w:bCs/>
          <w:smallCaps/>
        </w:rPr>
        <w:t>uce</w:t>
      </w:r>
      <w:proofErr w:type="spellEnd"/>
      <w:r>
        <w:rPr>
          <w:rFonts w:ascii="ITC Avant Garde" w:hAnsi="ITC Avant Garde"/>
          <w:b/>
          <w:bCs/>
          <w:smallCaps/>
        </w:rPr>
        <w:t xml:space="preserve"> que corresponden a los comentarios, opiniones y aportaciones recibidos.</w:t>
      </w:r>
    </w:p>
    <w:p w14:paraId="1D610028" w14:textId="367DB4EF" w:rsidR="001270D7" w:rsidRPr="00724A07" w:rsidRDefault="001270D7" w:rsidP="001270D7">
      <w:pPr>
        <w:spacing w:after="120" w:line="240" w:lineRule="auto"/>
        <w:jc w:val="both"/>
        <w:rPr>
          <w:rFonts w:ascii="ITC Avant Garde" w:hAnsi="ITC Avant Garde"/>
        </w:rPr>
      </w:pPr>
      <w:r w:rsidRPr="00724A07">
        <w:rPr>
          <w:rFonts w:ascii="ITC Avant Garde" w:hAnsi="ITC Avant Garde"/>
        </w:rPr>
        <w:t xml:space="preserve">Los comentarios recibidos se agrupan por </w:t>
      </w:r>
      <w:r w:rsidR="00E828EE" w:rsidRPr="00724A07">
        <w:rPr>
          <w:rFonts w:ascii="ITC Avant Garde" w:hAnsi="ITC Avant Garde"/>
        </w:rPr>
        <w:t>apartado</w:t>
      </w:r>
      <w:r w:rsidR="00BB5158" w:rsidRPr="00724A07">
        <w:rPr>
          <w:rFonts w:ascii="ITC Avant Garde" w:hAnsi="ITC Avant Garde"/>
        </w:rPr>
        <w:t xml:space="preserve"> al que corresponden</w:t>
      </w:r>
      <w:r w:rsidR="00E924E0" w:rsidRPr="00724A07">
        <w:rPr>
          <w:rFonts w:ascii="ITC Avant Garde" w:hAnsi="ITC Avant Garde"/>
        </w:rPr>
        <w:t>, siguiendo el orden del Anteproyecto de</w:t>
      </w:r>
      <w:r w:rsidRPr="00724A07">
        <w:rPr>
          <w:rFonts w:ascii="ITC Avant Garde" w:hAnsi="ITC Avant Garde"/>
        </w:rPr>
        <w:t xml:space="preserve"> </w:t>
      </w:r>
      <w:r w:rsidR="00E828EE" w:rsidRPr="00724A07">
        <w:rPr>
          <w:rFonts w:ascii="ITC Avant Garde" w:hAnsi="ITC Avant Garde"/>
        </w:rPr>
        <w:t>Guía</w:t>
      </w:r>
      <w:r w:rsidRPr="00724A07">
        <w:rPr>
          <w:rFonts w:ascii="ITC Avant Garde" w:hAnsi="ITC Avant Garde"/>
        </w:rPr>
        <w:t>.</w:t>
      </w:r>
    </w:p>
    <w:p w14:paraId="0294182F" w14:textId="6CBAEEFB" w:rsidR="00DC4094" w:rsidRPr="00724A07" w:rsidRDefault="00DD32EC" w:rsidP="00EF18BF">
      <w:pPr>
        <w:keepNext/>
        <w:spacing w:before="120" w:after="120" w:line="240" w:lineRule="auto"/>
        <w:jc w:val="both"/>
        <w:outlineLvl w:val="1"/>
        <w:rPr>
          <w:rFonts w:ascii="ITC Avant Garde" w:hAnsi="ITC Avant Garde"/>
          <w:b/>
          <w:bCs/>
        </w:rPr>
      </w:pPr>
      <w:r>
        <w:rPr>
          <w:rFonts w:ascii="ITC Avant Garde" w:hAnsi="ITC Avant Garde"/>
          <w:b/>
          <w:bCs/>
        </w:rPr>
        <w:t>9</w:t>
      </w:r>
      <w:r w:rsidR="007E4906">
        <w:rPr>
          <w:rFonts w:ascii="ITC Avant Garde" w:hAnsi="ITC Avant Garde"/>
          <w:b/>
          <w:bCs/>
        </w:rPr>
        <w:t>.</w:t>
      </w:r>
      <w:r w:rsidR="00DC4094" w:rsidRPr="00724A07">
        <w:rPr>
          <w:rFonts w:ascii="ITC Avant Garde" w:hAnsi="ITC Avant Garde"/>
          <w:b/>
          <w:bCs/>
        </w:rPr>
        <w:t>1. Temas generales</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DC4094" w:rsidRPr="00724A07" w14:paraId="23C8ADAA" w14:textId="77777777" w:rsidTr="00D2006C">
        <w:trPr>
          <w:trHeight w:val="20"/>
          <w:jc w:val="center"/>
        </w:trPr>
        <w:tc>
          <w:tcPr>
            <w:tcW w:w="9785" w:type="dxa"/>
            <w:shd w:val="clear" w:color="auto" w:fill="92D050"/>
            <w:vAlign w:val="center"/>
          </w:tcPr>
          <w:p w14:paraId="0670786D" w14:textId="1358B05A" w:rsidR="00DC4094" w:rsidRPr="00724A07" w:rsidRDefault="00C46AB1" w:rsidP="00A651CE">
            <w:pPr>
              <w:pStyle w:val="Default"/>
              <w:keepNext/>
              <w:spacing w:before="60" w:after="60"/>
              <w:contextualSpacing/>
              <w:jc w:val="center"/>
              <w:rPr>
                <w:rFonts w:ascii="ITC Avant Garde" w:hAnsi="ITC Avant Garde"/>
                <w:b/>
                <w:bCs/>
                <w:iCs/>
                <w:sz w:val="20"/>
                <w:szCs w:val="20"/>
              </w:rPr>
            </w:pPr>
            <w:r w:rsidRPr="00724A07">
              <w:rPr>
                <w:rFonts w:ascii="ITC Avant Garde" w:hAnsi="ITC Avant Garde"/>
                <w:b/>
                <w:bCs/>
                <w:iCs/>
                <w:color w:val="auto"/>
                <w:sz w:val="20"/>
                <w:szCs w:val="20"/>
              </w:rPr>
              <w:t>Telefónica</w:t>
            </w:r>
          </w:p>
        </w:tc>
      </w:tr>
      <w:tr w:rsidR="00DC4094" w:rsidRPr="00724A07" w14:paraId="7B1AA5BE" w14:textId="77777777" w:rsidTr="00D2006C">
        <w:trPr>
          <w:trHeight w:val="20"/>
          <w:jc w:val="center"/>
        </w:trPr>
        <w:tc>
          <w:tcPr>
            <w:tcW w:w="9785" w:type="dxa"/>
            <w:shd w:val="clear" w:color="auto" w:fill="E2EFD9" w:themeFill="accent6" w:themeFillTint="33"/>
            <w:vAlign w:val="center"/>
          </w:tcPr>
          <w:p w14:paraId="64BB28D7" w14:textId="2C1E4794" w:rsidR="00DC4094" w:rsidRPr="00724A07" w:rsidRDefault="00C7449E" w:rsidP="00556F1C">
            <w:pPr>
              <w:pStyle w:val="Default"/>
              <w:spacing w:after="120"/>
              <w:jc w:val="both"/>
              <w:rPr>
                <w:rFonts w:ascii="ITC Avant Garde" w:hAnsi="ITC Avant Garde"/>
                <w:i/>
                <w:sz w:val="18"/>
                <w:szCs w:val="18"/>
              </w:rPr>
            </w:pPr>
            <w:r>
              <w:rPr>
                <w:rFonts w:ascii="ITC Avant Garde" w:hAnsi="ITC Avant Garde"/>
                <w:i/>
                <w:sz w:val="18"/>
                <w:szCs w:val="18"/>
              </w:rPr>
              <w:t>“</w:t>
            </w:r>
            <w:r w:rsidRPr="003431A8">
              <w:rPr>
                <w:rFonts w:ascii="ITC Avant Garde" w:hAnsi="ITC Avant Garde"/>
                <w:sz w:val="18"/>
                <w:szCs w:val="18"/>
              </w:rPr>
              <w:t>[…]</w:t>
            </w:r>
            <w:r>
              <w:rPr>
                <w:rFonts w:ascii="ITC Avant Garde" w:hAnsi="ITC Avant Garde"/>
                <w:i/>
                <w:sz w:val="18"/>
                <w:szCs w:val="18"/>
              </w:rPr>
              <w:t xml:space="preserve"> </w:t>
            </w:r>
            <w:r w:rsidRPr="00ED0FDC">
              <w:rPr>
                <w:rFonts w:ascii="ITC Avant Garde" w:hAnsi="ITC Avant Garde"/>
                <w:i/>
                <w:sz w:val="18"/>
                <w:szCs w:val="18"/>
              </w:rPr>
              <w:t>la regulación de preponderancia en el sector es (y debe seguir siendo) el principal instrumento del Instituto para corregir las distorsiones competitivas que aún persisten en el mercado mexicano</w:t>
            </w:r>
            <w:r>
              <w:rPr>
                <w:rFonts w:ascii="ITC Avant Garde" w:hAnsi="ITC Avant Garde"/>
                <w:i/>
                <w:sz w:val="18"/>
                <w:szCs w:val="18"/>
              </w:rPr>
              <w:t xml:space="preserve"> (</w:t>
            </w:r>
            <w:r w:rsidRPr="00ED0FDC">
              <w:rPr>
                <w:rFonts w:ascii="ITC Avant Garde" w:hAnsi="ITC Avant Garde"/>
                <w:i/>
                <w:sz w:val="18"/>
                <w:szCs w:val="18"/>
              </w:rPr>
              <w:t>...</w:t>
            </w:r>
            <w:r>
              <w:rPr>
                <w:rFonts w:ascii="ITC Avant Garde" w:hAnsi="ITC Avant Garde"/>
                <w:i/>
                <w:sz w:val="18"/>
                <w:szCs w:val="18"/>
              </w:rPr>
              <w:t xml:space="preserve">) </w:t>
            </w:r>
            <w:r w:rsidRPr="00ED0FDC">
              <w:rPr>
                <w:rFonts w:ascii="ITC Avant Garde" w:hAnsi="ITC Avant Garde"/>
                <w:i/>
                <w:sz w:val="18"/>
                <w:szCs w:val="18"/>
              </w:rPr>
              <w:t>el Instituto no puede perder de vista que, desde la reforma constitucional de 2013, cuenta con facultades amplias para diseñar e instrumentar medidas regulatorias asimétricas en el sector, con el objeto de restaurar las condiciones de sana competencia en nuestra industria. De manera que, a diferencia del contexto regulatorio observado en otros países donde la figura de preponderancia no existe, la definición de mercados relevantes juega un papel importante, pero de segundo orden, al momento de identificar los principales riesgos competitivos que se observan en el sector mexicano de las telecomunicaciones.</w:t>
            </w:r>
            <w:r>
              <w:rPr>
                <w:rFonts w:ascii="ITC Avant Garde" w:hAnsi="ITC Avant Garde"/>
                <w:i/>
                <w:sz w:val="18"/>
                <w:szCs w:val="18"/>
              </w:rPr>
              <w:t>”</w:t>
            </w:r>
          </w:p>
        </w:tc>
      </w:tr>
    </w:tbl>
    <w:p w14:paraId="48556641" w14:textId="77777777" w:rsidR="00DC4094" w:rsidRPr="00724A07" w:rsidRDefault="00DC4094" w:rsidP="002308AD">
      <w:pPr>
        <w:spacing w:before="120" w:after="120" w:line="240" w:lineRule="auto"/>
        <w:outlineLvl w:val="2"/>
        <w:rPr>
          <w:rFonts w:ascii="ITC Avant Garde" w:hAnsi="ITC Avant Garde"/>
          <w:b/>
          <w:bCs/>
        </w:rPr>
      </w:pPr>
      <w:r w:rsidRPr="00724A07">
        <w:rPr>
          <w:rFonts w:ascii="ITC Avant Garde" w:hAnsi="ITC Avant Garde"/>
          <w:b/>
          <w:bCs/>
        </w:rPr>
        <w:t>Consideraciones</w:t>
      </w:r>
    </w:p>
    <w:p w14:paraId="1DD38CCD" w14:textId="6E456CE4" w:rsidR="00D974B4" w:rsidRPr="00724A07" w:rsidRDefault="00DC4094" w:rsidP="00D2006C">
      <w:pPr>
        <w:spacing w:after="120" w:line="240" w:lineRule="auto"/>
        <w:jc w:val="both"/>
        <w:rPr>
          <w:rFonts w:ascii="ITC Avant Garde" w:eastAsia="Times New Roman" w:hAnsi="ITC Avant Garde" w:cs="Arial"/>
          <w:lang w:val="es-ES" w:eastAsia="es-ES"/>
        </w:rPr>
      </w:pPr>
      <w:r w:rsidRPr="00724A07">
        <w:rPr>
          <w:rFonts w:ascii="ITC Avant Garde" w:hAnsi="ITC Avant Garde"/>
          <w:color w:val="000000"/>
        </w:rPr>
        <w:t xml:space="preserve">Con </w:t>
      </w:r>
      <w:r w:rsidRPr="00724A07">
        <w:rPr>
          <w:rFonts w:ascii="ITC Avant Garde" w:hAnsi="ITC Avant Garde"/>
        </w:rPr>
        <w:t xml:space="preserve">relación al comentario de </w:t>
      </w:r>
      <w:r w:rsidR="001165E8" w:rsidRPr="00724A07">
        <w:rPr>
          <w:rFonts w:ascii="ITC Avant Garde" w:hAnsi="ITC Avant Garde"/>
        </w:rPr>
        <w:t xml:space="preserve">Telefónica </w:t>
      </w:r>
      <w:r w:rsidR="001774B4" w:rsidRPr="00724A07">
        <w:rPr>
          <w:rFonts w:ascii="ITC Avant Garde" w:hAnsi="ITC Avant Garde"/>
        </w:rPr>
        <w:t xml:space="preserve">en el que </w:t>
      </w:r>
      <w:r w:rsidR="000456C0" w:rsidRPr="00724A07">
        <w:rPr>
          <w:rFonts w:ascii="ITC Avant Garde" w:hAnsi="ITC Avant Garde"/>
        </w:rPr>
        <w:t xml:space="preserve">considera que la determinación del MR tiene </w:t>
      </w:r>
      <w:r w:rsidR="001774B4" w:rsidRPr="00724A07">
        <w:rPr>
          <w:rFonts w:ascii="ITC Avant Garde" w:hAnsi="ITC Avant Garde"/>
        </w:rPr>
        <w:t>un valor “</w:t>
      </w:r>
      <w:r w:rsidR="001774B4" w:rsidRPr="00724A07">
        <w:rPr>
          <w:rFonts w:ascii="ITC Avant Garde" w:hAnsi="ITC Avant Garde"/>
          <w:i/>
          <w:iCs/>
        </w:rPr>
        <w:t>de segundo orden</w:t>
      </w:r>
      <w:r w:rsidR="001774B4" w:rsidRPr="00724A07">
        <w:rPr>
          <w:rFonts w:ascii="ITC Avant Garde" w:hAnsi="ITC Avant Garde"/>
        </w:rPr>
        <w:t xml:space="preserve">” frente </w:t>
      </w:r>
      <w:r w:rsidR="00D974B4" w:rsidRPr="00724A07">
        <w:rPr>
          <w:rFonts w:ascii="ITC Avant Garde" w:hAnsi="ITC Avant Garde"/>
        </w:rPr>
        <w:t xml:space="preserve">a </w:t>
      </w:r>
      <w:r w:rsidR="001774B4" w:rsidRPr="00724A07">
        <w:rPr>
          <w:rFonts w:ascii="ITC Avant Garde" w:hAnsi="ITC Avant Garde"/>
        </w:rPr>
        <w:t xml:space="preserve">las </w:t>
      </w:r>
      <w:r w:rsidR="004114FA" w:rsidRPr="00724A07">
        <w:rPr>
          <w:rFonts w:ascii="ITC Avant Garde" w:hAnsi="ITC Avant Garde"/>
        </w:rPr>
        <w:t xml:space="preserve">facultades que tiene el Instituto para diseñar e instrumentar medidas regulatorias asimétricas en el sector, </w:t>
      </w:r>
      <w:r w:rsidR="00D974B4" w:rsidRPr="00724A07">
        <w:rPr>
          <w:rFonts w:ascii="ITC Avant Garde" w:eastAsia="Times New Roman" w:hAnsi="ITC Avant Garde" w:cs="Arial"/>
          <w:lang w:val="es-ES" w:eastAsia="es-ES"/>
        </w:rPr>
        <w:t>se señala que el objeto del Anteproyecto de Guía es establecer un marco de referencia que podrá seguir el Instituto para la determinación de</w:t>
      </w:r>
      <w:r w:rsidR="000456C0" w:rsidRPr="00724A07">
        <w:rPr>
          <w:rFonts w:ascii="ITC Avant Garde" w:eastAsia="Times New Roman" w:hAnsi="ITC Avant Garde" w:cs="Arial"/>
          <w:lang w:val="es-ES" w:eastAsia="es-ES"/>
        </w:rPr>
        <w:t xml:space="preserve"> MR</w:t>
      </w:r>
      <w:r w:rsidR="00D974B4" w:rsidRPr="00724A07">
        <w:rPr>
          <w:rFonts w:ascii="ITC Avant Garde" w:eastAsia="Times New Roman" w:hAnsi="ITC Avant Garde" w:cs="Arial"/>
          <w:lang w:val="es-ES" w:eastAsia="es-ES"/>
        </w:rPr>
        <w:t xml:space="preserve"> en los sectores de </w:t>
      </w:r>
      <w:proofErr w:type="spellStart"/>
      <w:r w:rsidR="00B25655" w:rsidRPr="00724A07">
        <w:rPr>
          <w:rFonts w:ascii="ITC Avant Garde" w:eastAsia="Times New Roman" w:hAnsi="ITC Avant Garde" w:cs="Arial"/>
          <w:lang w:val="es-ES" w:eastAsia="es-ES"/>
        </w:rPr>
        <w:t>TyR</w:t>
      </w:r>
      <w:proofErr w:type="spellEnd"/>
      <w:r w:rsidR="00B25655" w:rsidRPr="00724A07">
        <w:rPr>
          <w:rFonts w:ascii="ITC Avant Garde" w:eastAsia="Times New Roman" w:hAnsi="ITC Avant Garde" w:cs="Arial"/>
          <w:lang w:val="es-ES" w:eastAsia="es-ES"/>
        </w:rPr>
        <w:t xml:space="preserve"> </w:t>
      </w:r>
      <w:r w:rsidR="00D974B4" w:rsidRPr="00724A07">
        <w:rPr>
          <w:rFonts w:ascii="ITC Avant Garde" w:eastAsia="Times New Roman" w:hAnsi="ITC Avant Garde" w:cs="Arial"/>
          <w:lang w:val="es-ES" w:eastAsia="es-ES"/>
        </w:rPr>
        <w:t>en asuntos que se tramiten en términos de la LFCE o de la LFTR</w:t>
      </w:r>
      <w:r w:rsidR="00FB7F4B" w:rsidRPr="00724A07">
        <w:rPr>
          <w:rFonts w:ascii="ITC Avant Garde" w:eastAsia="Times New Roman" w:hAnsi="ITC Avant Garde" w:cs="Arial"/>
          <w:lang w:val="es-ES" w:eastAsia="es-ES"/>
        </w:rPr>
        <w:t>. En este sentido, el Anteproyecto de Guía</w:t>
      </w:r>
      <w:r w:rsidR="00D974B4" w:rsidRPr="00724A07">
        <w:rPr>
          <w:rFonts w:ascii="ITC Avant Garde" w:eastAsia="Times New Roman" w:hAnsi="ITC Avant Garde" w:cs="Arial"/>
          <w:lang w:val="es-ES" w:eastAsia="es-ES"/>
        </w:rPr>
        <w:t xml:space="preserve"> no busca establecer una valoración </w:t>
      </w:r>
      <w:r w:rsidR="00FB7F4B" w:rsidRPr="00724A07">
        <w:rPr>
          <w:rFonts w:ascii="ITC Avant Garde" w:eastAsia="Times New Roman" w:hAnsi="ITC Avant Garde" w:cs="Arial"/>
          <w:lang w:val="es-ES" w:eastAsia="es-ES"/>
        </w:rPr>
        <w:t xml:space="preserve">del concepto del </w:t>
      </w:r>
      <w:r w:rsidR="000456C0" w:rsidRPr="00724A07">
        <w:rPr>
          <w:rFonts w:ascii="ITC Avant Garde" w:eastAsia="Times New Roman" w:hAnsi="ITC Avant Garde" w:cs="Arial"/>
          <w:lang w:val="es-ES" w:eastAsia="es-ES"/>
        </w:rPr>
        <w:t>MR</w:t>
      </w:r>
      <w:r w:rsidR="00FB7F4B" w:rsidRPr="00724A07">
        <w:rPr>
          <w:rFonts w:ascii="ITC Avant Garde" w:eastAsia="Times New Roman" w:hAnsi="ITC Avant Garde" w:cs="Arial"/>
          <w:lang w:val="es-ES" w:eastAsia="es-ES"/>
        </w:rPr>
        <w:t xml:space="preserve"> </w:t>
      </w:r>
      <w:r w:rsidR="000456C0" w:rsidRPr="00724A07">
        <w:rPr>
          <w:rFonts w:ascii="ITC Avant Garde" w:eastAsia="Times New Roman" w:hAnsi="ITC Avant Garde" w:cs="Arial"/>
          <w:lang w:val="es-ES" w:eastAsia="es-ES"/>
        </w:rPr>
        <w:t>o de</w:t>
      </w:r>
      <w:r w:rsidR="00FB7F4B" w:rsidRPr="00724A07">
        <w:rPr>
          <w:rFonts w:ascii="ITC Avant Garde" w:eastAsia="Times New Roman" w:hAnsi="ITC Avant Garde" w:cs="Arial"/>
          <w:lang w:val="es-ES" w:eastAsia="es-ES"/>
        </w:rPr>
        <w:t xml:space="preserve"> </w:t>
      </w:r>
      <w:r w:rsidR="000456C0" w:rsidRPr="00724A07">
        <w:rPr>
          <w:rFonts w:ascii="ITC Avant Garde" w:eastAsia="Times New Roman" w:hAnsi="ITC Avant Garde" w:cs="Arial"/>
          <w:lang w:val="es-ES" w:eastAsia="es-ES"/>
        </w:rPr>
        <w:t>los distintos procedimientos en los que se emplea,</w:t>
      </w:r>
      <w:r w:rsidR="00FB7F4B" w:rsidRPr="00724A07">
        <w:rPr>
          <w:rFonts w:ascii="ITC Avant Garde" w:eastAsia="Times New Roman" w:hAnsi="ITC Avant Garde" w:cs="Arial"/>
          <w:lang w:val="es-ES" w:eastAsia="es-ES"/>
        </w:rPr>
        <w:t xml:space="preserve"> </w:t>
      </w:r>
      <w:r w:rsidR="00D974B4" w:rsidRPr="00724A07">
        <w:rPr>
          <w:rFonts w:ascii="ITC Avant Garde" w:eastAsia="Times New Roman" w:hAnsi="ITC Avant Garde" w:cs="Arial"/>
          <w:lang w:val="es-ES" w:eastAsia="es-ES"/>
        </w:rPr>
        <w:t xml:space="preserve">respecto a otras </w:t>
      </w:r>
      <w:r w:rsidR="000456C0" w:rsidRPr="00724A07">
        <w:rPr>
          <w:rFonts w:ascii="ITC Avant Garde" w:eastAsia="Times New Roman" w:hAnsi="ITC Avant Garde" w:cs="Arial"/>
          <w:lang w:val="es-ES" w:eastAsia="es-ES"/>
        </w:rPr>
        <w:lastRenderedPageBreak/>
        <w:t>herramientas regulatorias</w:t>
      </w:r>
      <w:r w:rsidR="00D974B4" w:rsidRPr="00724A07">
        <w:rPr>
          <w:rFonts w:ascii="ITC Avant Garde" w:eastAsia="Times New Roman" w:hAnsi="ITC Avant Garde" w:cs="Arial"/>
          <w:lang w:val="es-ES" w:eastAsia="es-ES"/>
        </w:rPr>
        <w:t xml:space="preserve"> con las que cuenta el Instituto</w:t>
      </w:r>
      <w:r w:rsidR="000456C0" w:rsidRPr="00724A07">
        <w:rPr>
          <w:rFonts w:ascii="ITC Avant Garde" w:eastAsia="Times New Roman" w:hAnsi="ITC Avant Garde" w:cs="Arial"/>
          <w:lang w:val="es-ES" w:eastAsia="es-ES"/>
        </w:rPr>
        <w:t>, entre las que se encuentra la regulación de preponderancia</w:t>
      </w:r>
      <w:r w:rsidR="00D974B4" w:rsidRPr="00724A07">
        <w:rPr>
          <w:rFonts w:ascii="ITC Avant Garde" w:eastAsia="Times New Roman" w:hAnsi="ITC Avant Garde" w:cs="Arial"/>
          <w:lang w:val="es-ES" w:eastAsia="es-ES"/>
        </w:rPr>
        <w:t xml:space="preserve">. </w:t>
      </w:r>
    </w:p>
    <w:p w14:paraId="3F0999F3" w14:textId="5EE59D59" w:rsidR="00DC4094" w:rsidRPr="00724A07" w:rsidRDefault="00DC4094" w:rsidP="00D2006C">
      <w:pPr>
        <w:spacing w:after="240" w:line="240" w:lineRule="auto"/>
        <w:jc w:val="both"/>
        <w:rPr>
          <w:rFonts w:ascii="ITC Avant Garde" w:hAnsi="ITC Avant Garde"/>
        </w:rPr>
      </w:pPr>
      <w:r w:rsidRPr="00724A07">
        <w:rPr>
          <w:rFonts w:ascii="ITC Avant Garde" w:hAnsi="ITC Avant Garde"/>
        </w:rPr>
        <w:t xml:space="preserve">En este sentido, se considera improcedente lo señalado por </w:t>
      </w:r>
      <w:r w:rsidR="001165E8" w:rsidRPr="00724A07">
        <w:rPr>
          <w:rFonts w:ascii="ITC Avant Garde" w:hAnsi="ITC Avant Garde"/>
        </w:rPr>
        <w:t>Telefónica</w:t>
      </w:r>
      <w:r w:rsidRPr="00724A07">
        <w:rPr>
          <w:rFonts w:ascii="ITC Avant Garde" w:hAnsi="ITC Avant Garde"/>
        </w:rPr>
        <w:t xml:space="preserve">. </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0456C0" w:rsidRPr="00724A07" w14:paraId="4C83FAD0" w14:textId="77777777" w:rsidTr="00D2006C">
        <w:trPr>
          <w:trHeight w:val="20"/>
          <w:jc w:val="center"/>
        </w:trPr>
        <w:tc>
          <w:tcPr>
            <w:tcW w:w="9785" w:type="dxa"/>
            <w:shd w:val="clear" w:color="auto" w:fill="92D050"/>
            <w:vAlign w:val="center"/>
          </w:tcPr>
          <w:p w14:paraId="0793CF4A" w14:textId="77777777" w:rsidR="000456C0" w:rsidRPr="00724A07" w:rsidRDefault="000456C0" w:rsidP="00540040">
            <w:pPr>
              <w:pStyle w:val="Default"/>
              <w:keepNex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Telefónica</w:t>
            </w:r>
          </w:p>
        </w:tc>
      </w:tr>
      <w:tr w:rsidR="000456C0" w:rsidRPr="00724A07" w14:paraId="09CD55D4" w14:textId="77777777" w:rsidTr="00D2006C">
        <w:trPr>
          <w:trHeight w:val="20"/>
          <w:jc w:val="center"/>
        </w:trPr>
        <w:tc>
          <w:tcPr>
            <w:tcW w:w="9785" w:type="dxa"/>
            <w:shd w:val="clear" w:color="auto" w:fill="E2EFD9" w:themeFill="accent6" w:themeFillTint="33"/>
            <w:vAlign w:val="center"/>
          </w:tcPr>
          <w:p w14:paraId="565EA749" w14:textId="77777777" w:rsidR="00C7449E" w:rsidRPr="00197363" w:rsidRDefault="00C7449E" w:rsidP="00C7449E">
            <w:pPr>
              <w:pStyle w:val="Default"/>
              <w:spacing w:after="120"/>
              <w:jc w:val="both"/>
              <w:rPr>
                <w:rFonts w:ascii="ITC Avant Garde" w:hAnsi="ITC Avant Garde"/>
                <w:i/>
                <w:sz w:val="18"/>
                <w:szCs w:val="18"/>
              </w:rPr>
            </w:pPr>
            <w:r>
              <w:rPr>
                <w:rFonts w:ascii="ITC Avant Garde" w:hAnsi="ITC Avant Garde"/>
                <w:i/>
                <w:sz w:val="18"/>
                <w:szCs w:val="18"/>
              </w:rPr>
              <w:t>“</w:t>
            </w:r>
            <w:r w:rsidRPr="00C4210A">
              <w:rPr>
                <w:rFonts w:ascii="ITC Avant Garde" w:hAnsi="ITC Avant Garde"/>
                <w:iCs/>
                <w:sz w:val="18"/>
                <w:szCs w:val="18"/>
              </w:rPr>
              <w:t>(…)</w:t>
            </w:r>
            <w:r w:rsidRPr="0032002F">
              <w:rPr>
                <w:rFonts w:ascii="ITC Avant Garde" w:hAnsi="ITC Avant Garde"/>
                <w:i/>
                <w:sz w:val="18"/>
                <w:szCs w:val="18"/>
              </w:rPr>
              <w:t xml:space="preserve"> es necesario que el Instituto adopte una visión más agnóstica respecto a la tecnología sobre la cual se proveen los servicios. En parte, </w:t>
            </w:r>
            <w:r w:rsidRPr="00A116BD">
              <w:rPr>
                <w:rFonts w:ascii="ITC Avant Garde" w:hAnsi="ITC Avant Garde"/>
                <w:i/>
                <w:sz w:val="18"/>
                <w:szCs w:val="18"/>
              </w:rPr>
              <w:t>el análisis tradicional de mercado relevante permite incorporar dentro del mismo mercado relevante distintas tecnologías, ya sea en el consumo o en la provisión de servicios. Sin embargo, el avance en el desarrollo de la economía digital requiere reforzar el principio de neutralidad tecnológica como base para llevar a cabo el análisis de competencia</w:t>
            </w:r>
            <w:r>
              <w:rPr>
                <w:rFonts w:ascii="ITC Avant Garde" w:hAnsi="ITC Avant Garde"/>
                <w:i/>
                <w:sz w:val="18"/>
                <w:szCs w:val="18"/>
              </w:rPr>
              <w:t xml:space="preserve"> </w:t>
            </w:r>
            <w:r w:rsidRPr="00A116BD">
              <w:rPr>
                <w:rFonts w:ascii="ITC Avant Garde" w:hAnsi="ITC Avant Garde"/>
                <w:iCs/>
                <w:sz w:val="18"/>
                <w:szCs w:val="18"/>
              </w:rPr>
              <w:t>(…)</w:t>
            </w:r>
          </w:p>
          <w:p w14:paraId="08448313" w14:textId="77777777" w:rsidR="00C7449E" w:rsidRPr="00A116BD" w:rsidRDefault="00C7449E" w:rsidP="00C7449E">
            <w:pPr>
              <w:pStyle w:val="Default"/>
              <w:spacing w:after="120"/>
              <w:jc w:val="both"/>
              <w:rPr>
                <w:rFonts w:ascii="ITC Avant Garde" w:hAnsi="ITC Avant Garde"/>
                <w:i/>
                <w:sz w:val="18"/>
                <w:szCs w:val="18"/>
              </w:rPr>
            </w:pPr>
            <w:r>
              <w:rPr>
                <w:rFonts w:ascii="ITC Avant Garde" w:hAnsi="ITC Avant Garde"/>
                <w:i/>
                <w:sz w:val="18"/>
                <w:szCs w:val="18"/>
              </w:rPr>
              <w:t xml:space="preserve">48. </w:t>
            </w:r>
            <w:r w:rsidRPr="0032002F">
              <w:rPr>
                <w:rFonts w:ascii="ITC Avant Garde" w:hAnsi="ITC Avant Garde"/>
                <w:i/>
                <w:sz w:val="18"/>
                <w:szCs w:val="18"/>
              </w:rPr>
              <w:t xml:space="preserve">En </w:t>
            </w:r>
            <w:r w:rsidRPr="00A116BD">
              <w:rPr>
                <w:rFonts w:ascii="ITC Avant Garde" w:hAnsi="ITC Avant Garde"/>
                <w:i/>
                <w:sz w:val="18"/>
                <w:szCs w:val="18"/>
              </w:rPr>
              <w:t>suma, se considera importante que el análisis de definición de mercados relevantes que haga el Instituto considere la cada vez más clara convergencia de servicios que hoy está ocurriendo en los mercados, de manera que la definición de mercados sea robusta</w:t>
            </w:r>
            <w:r>
              <w:rPr>
                <w:rFonts w:ascii="ITC Avant Garde" w:hAnsi="ITC Avant Garde"/>
                <w:i/>
                <w:sz w:val="18"/>
                <w:szCs w:val="18"/>
              </w:rPr>
              <w:t xml:space="preserve"> </w:t>
            </w:r>
            <w:r w:rsidRPr="00C4210A">
              <w:rPr>
                <w:rFonts w:ascii="ITC Avant Garde" w:hAnsi="ITC Avant Garde"/>
                <w:iCs/>
                <w:sz w:val="18"/>
                <w:szCs w:val="18"/>
              </w:rPr>
              <w:t>(…)</w:t>
            </w:r>
            <w:r w:rsidRPr="00A116BD">
              <w:rPr>
                <w:rFonts w:ascii="ITC Avant Garde" w:hAnsi="ITC Avant Garde"/>
                <w:i/>
                <w:sz w:val="18"/>
                <w:szCs w:val="18"/>
              </w:rPr>
              <w:t xml:space="preserve"> </w:t>
            </w:r>
          </w:p>
          <w:p w14:paraId="7E39C87D" w14:textId="4765246D" w:rsidR="000456C0" w:rsidRPr="00724A07" w:rsidRDefault="00C7449E" w:rsidP="00C7449E">
            <w:pPr>
              <w:pStyle w:val="Default"/>
              <w:spacing w:after="120"/>
              <w:jc w:val="both"/>
              <w:rPr>
                <w:rFonts w:ascii="ITC Avant Garde" w:hAnsi="ITC Avant Garde"/>
                <w:i/>
                <w:sz w:val="18"/>
                <w:szCs w:val="18"/>
              </w:rPr>
            </w:pPr>
            <w:r w:rsidRPr="00A116BD">
              <w:rPr>
                <w:rFonts w:ascii="ITC Avant Garde" w:hAnsi="ITC Avant Garde"/>
                <w:i/>
                <w:sz w:val="18"/>
                <w:szCs w:val="18"/>
              </w:rPr>
              <w:t>La incorporación de la noción de competencia potencial en el análisis competitivo mexicano permitirá llevar a cabo una evaluación más precisa de las posiciones de dominio que se pudiesen estar generando en estos mercados.”</w:t>
            </w:r>
          </w:p>
        </w:tc>
      </w:tr>
    </w:tbl>
    <w:p w14:paraId="5CCAD6F9" w14:textId="3A9A3549" w:rsidR="00AE6BBB" w:rsidRPr="00724A07" w:rsidRDefault="00AE6BBB" w:rsidP="00AE6BBB">
      <w:pPr>
        <w:spacing w:before="120" w:after="120" w:line="240" w:lineRule="auto"/>
        <w:outlineLvl w:val="2"/>
        <w:rPr>
          <w:rFonts w:ascii="ITC Avant Garde" w:hAnsi="ITC Avant Garde"/>
          <w:b/>
          <w:bCs/>
        </w:rPr>
      </w:pPr>
      <w:r w:rsidRPr="00724A07">
        <w:rPr>
          <w:rFonts w:ascii="ITC Avant Garde" w:hAnsi="ITC Avant Garde"/>
          <w:b/>
          <w:bCs/>
        </w:rPr>
        <w:t>Consideraciones</w:t>
      </w:r>
    </w:p>
    <w:p w14:paraId="64CE0FA6" w14:textId="475D5550" w:rsidR="008F1307" w:rsidRPr="00724A07" w:rsidRDefault="006E1029" w:rsidP="00C46AB1">
      <w:pPr>
        <w:spacing w:after="120" w:line="240" w:lineRule="auto"/>
        <w:jc w:val="both"/>
        <w:rPr>
          <w:rFonts w:ascii="ITC Avant Garde" w:hAnsi="ITC Avant Garde"/>
        </w:rPr>
      </w:pPr>
      <w:r w:rsidRPr="00724A07">
        <w:rPr>
          <w:rFonts w:ascii="ITC Avant Garde" w:hAnsi="ITC Avant Garde"/>
        </w:rPr>
        <w:t>Con relación al comentario de Telefónica respecto a que se requiere</w:t>
      </w:r>
      <w:r w:rsidR="000A5656" w:rsidRPr="00724A07">
        <w:rPr>
          <w:rFonts w:ascii="ITC Avant Garde" w:hAnsi="ITC Avant Garde"/>
        </w:rPr>
        <w:t>: i)</w:t>
      </w:r>
      <w:r w:rsidRPr="00724A07">
        <w:rPr>
          <w:rFonts w:ascii="ITC Avant Garde" w:hAnsi="ITC Avant Garde"/>
        </w:rPr>
        <w:t xml:space="preserve"> reforzar el principio de neutralidad tecnológica</w:t>
      </w:r>
      <w:r w:rsidR="008F1307" w:rsidRPr="00724A07">
        <w:rPr>
          <w:rFonts w:ascii="ITC Avant Garde" w:hAnsi="ITC Avant Garde"/>
        </w:rPr>
        <w:t xml:space="preserve"> como base para llevar a cabo el análisis de competencia en los mercados de telecomunicaciones,</w:t>
      </w:r>
      <w:r w:rsidR="000A5656" w:rsidRPr="00724A07">
        <w:rPr>
          <w:rFonts w:ascii="ITC Avant Garde" w:hAnsi="ITC Avant Garde"/>
        </w:rPr>
        <w:t xml:space="preserve"> </w:t>
      </w:r>
      <w:proofErr w:type="spellStart"/>
      <w:r w:rsidR="000A5656" w:rsidRPr="00724A07">
        <w:rPr>
          <w:rFonts w:ascii="ITC Avant Garde" w:hAnsi="ITC Avant Garde"/>
        </w:rPr>
        <w:t>ii</w:t>
      </w:r>
      <w:proofErr w:type="spellEnd"/>
      <w:r w:rsidR="000A5656" w:rsidRPr="00724A07">
        <w:rPr>
          <w:rFonts w:ascii="ITC Avant Garde" w:hAnsi="ITC Avant Garde"/>
        </w:rPr>
        <w:t xml:space="preserve">) considerar la convergencia de servicios que se observa en los mercados y </w:t>
      </w:r>
      <w:proofErr w:type="spellStart"/>
      <w:r w:rsidR="000A5656" w:rsidRPr="00724A07">
        <w:rPr>
          <w:rFonts w:ascii="ITC Avant Garde" w:hAnsi="ITC Avant Garde"/>
        </w:rPr>
        <w:t>iii</w:t>
      </w:r>
      <w:proofErr w:type="spellEnd"/>
      <w:r w:rsidR="000A5656" w:rsidRPr="00724A07">
        <w:rPr>
          <w:rFonts w:ascii="ITC Avant Garde" w:hAnsi="ITC Avant Garde"/>
        </w:rPr>
        <w:t>) tomar en cuenta la noción de competencia potencial como parte del análisis competitivo,</w:t>
      </w:r>
      <w:r w:rsidR="008F1307" w:rsidRPr="00724A07">
        <w:rPr>
          <w:rFonts w:ascii="ITC Avant Garde" w:hAnsi="ITC Avant Garde"/>
        </w:rPr>
        <w:t xml:space="preserve"> se </w:t>
      </w:r>
      <w:r w:rsidR="00060A31">
        <w:rPr>
          <w:rFonts w:ascii="ITC Avant Garde" w:hAnsi="ITC Avant Garde"/>
        </w:rPr>
        <w:t>aclara</w:t>
      </w:r>
      <w:r w:rsidR="00526472">
        <w:rPr>
          <w:rFonts w:ascii="ITC Avant Garde" w:hAnsi="ITC Avant Garde"/>
        </w:rPr>
        <w:t xml:space="preserve"> </w:t>
      </w:r>
      <w:r w:rsidR="008F1307" w:rsidRPr="00724A07">
        <w:rPr>
          <w:rFonts w:ascii="ITC Avant Garde" w:hAnsi="ITC Avant Garde"/>
        </w:rPr>
        <w:t xml:space="preserve">que el objetivo del Anteproyecto de Guía no es abordar todos los aspectos o etapas del análisis de competencia, sino establecer criterios, elementos y herramientas que podrá considerar el Instituto en la determinación de MR en los análisis de competencia económica en los sectores de </w:t>
      </w:r>
      <w:proofErr w:type="spellStart"/>
      <w:r w:rsidR="008F1307" w:rsidRPr="00724A07">
        <w:rPr>
          <w:rFonts w:ascii="ITC Avant Garde" w:hAnsi="ITC Avant Garde"/>
        </w:rPr>
        <w:t>TyR</w:t>
      </w:r>
      <w:proofErr w:type="spellEnd"/>
      <w:r w:rsidR="008F1307" w:rsidRPr="00724A07">
        <w:rPr>
          <w:rFonts w:ascii="ITC Avant Garde" w:hAnsi="ITC Avant Garde"/>
        </w:rPr>
        <w:t xml:space="preserve">. </w:t>
      </w:r>
    </w:p>
    <w:p w14:paraId="2BB2DD09" w14:textId="07D6651C" w:rsidR="00194EA2" w:rsidRDefault="00060A31" w:rsidP="00C46AB1">
      <w:pPr>
        <w:spacing w:after="120" w:line="240" w:lineRule="auto"/>
        <w:jc w:val="both"/>
        <w:rPr>
          <w:rFonts w:ascii="ITC Avant Garde" w:hAnsi="ITC Avant Garde"/>
        </w:rPr>
      </w:pPr>
      <w:r>
        <w:rPr>
          <w:rFonts w:ascii="ITC Avant Garde" w:hAnsi="ITC Avant Garde"/>
        </w:rPr>
        <w:t>Adicionalmente</w:t>
      </w:r>
      <w:r w:rsidR="008F1307" w:rsidRPr="00724A07">
        <w:rPr>
          <w:rFonts w:ascii="ITC Avant Garde" w:hAnsi="ITC Avant Garde"/>
        </w:rPr>
        <w:t xml:space="preserve">, </w:t>
      </w:r>
      <w:r>
        <w:rPr>
          <w:rFonts w:ascii="ITC Avant Garde" w:hAnsi="ITC Avant Garde"/>
        </w:rPr>
        <w:t>el Anteproyecto de Guía contempla criterios que permiten</w:t>
      </w:r>
      <w:r w:rsidR="008F1307" w:rsidRPr="00724A07">
        <w:rPr>
          <w:rFonts w:ascii="ITC Avant Garde" w:hAnsi="ITC Avant Garde"/>
        </w:rPr>
        <w:t xml:space="preserve"> </w:t>
      </w:r>
      <w:r>
        <w:rPr>
          <w:rFonts w:ascii="ITC Avant Garde" w:hAnsi="ITC Avant Garde"/>
        </w:rPr>
        <w:t>analizar la sustitución, tanto por el lado de la oferta como por el lado de la demanda, de las</w:t>
      </w:r>
      <w:r w:rsidR="008F1307" w:rsidRPr="00724A07">
        <w:rPr>
          <w:rFonts w:ascii="ITC Avant Garde" w:hAnsi="ITC Avant Garde"/>
        </w:rPr>
        <w:t xml:space="preserve"> distintas tecnologías</w:t>
      </w:r>
      <w:r>
        <w:rPr>
          <w:rFonts w:ascii="ITC Avant Garde" w:hAnsi="ITC Avant Garde"/>
        </w:rPr>
        <w:t xml:space="preserve"> a través de las que se provee un producto</w:t>
      </w:r>
      <w:r w:rsidR="008F1307" w:rsidRPr="00724A07">
        <w:rPr>
          <w:rFonts w:ascii="ITC Avant Garde" w:hAnsi="ITC Avant Garde"/>
        </w:rPr>
        <w:t xml:space="preserve">. </w:t>
      </w:r>
      <w:r w:rsidRPr="00D52BE8">
        <w:rPr>
          <w:rFonts w:ascii="ITC Avant Garde" w:hAnsi="ITC Avant Garde"/>
        </w:rPr>
        <w:t xml:space="preserve">Por ejemplo, en </w:t>
      </w:r>
      <w:r>
        <w:rPr>
          <w:rFonts w:ascii="ITC Avant Garde" w:hAnsi="ITC Avant Garde"/>
        </w:rPr>
        <w:t>la sección “</w:t>
      </w:r>
      <w:r w:rsidRPr="00D52BE8">
        <w:rPr>
          <w:rFonts w:ascii="ITC Avant Garde" w:hAnsi="ITC Avant Garde"/>
          <w:i/>
          <w:iCs/>
        </w:rPr>
        <w:t>5.3.3.2.</w:t>
      </w:r>
      <w:r w:rsidR="00194EA2">
        <w:rPr>
          <w:rFonts w:ascii="ITC Avant Garde" w:hAnsi="ITC Avant Garde"/>
          <w:i/>
          <w:iCs/>
        </w:rPr>
        <w:t xml:space="preserve"> </w:t>
      </w:r>
      <w:r w:rsidRPr="00D52BE8">
        <w:rPr>
          <w:rFonts w:ascii="ITC Avant Garde" w:hAnsi="ITC Avant Garde"/>
          <w:i/>
          <w:iCs/>
        </w:rPr>
        <w:t>Sustitución por el lado de la oferta</w:t>
      </w:r>
      <w:r>
        <w:rPr>
          <w:rFonts w:ascii="ITC Avant Garde" w:hAnsi="ITC Avant Garde"/>
        </w:rPr>
        <w:t xml:space="preserve">” se señala que para determinar la dimensión producto </w:t>
      </w:r>
      <w:r w:rsidR="00165A50">
        <w:rPr>
          <w:rFonts w:ascii="ITC Avant Garde" w:hAnsi="ITC Avant Garde"/>
        </w:rPr>
        <w:t xml:space="preserve">del MR </w:t>
      </w:r>
      <w:r>
        <w:rPr>
          <w:rFonts w:ascii="ITC Avant Garde" w:hAnsi="ITC Avant Garde"/>
        </w:rPr>
        <w:t>se puede</w:t>
      </w:r>
      <w:r w:rsidR="00165A50">
        <w:rPr>
          <w:rFonts w:ascii="ITC Avant Garde" w:hAnsi="ITC Avant Garde"/>
        </w:rPr>
        <w:t>n</w:t>
      </w:r>
      <w:r>
        <w:rPr>
          <w:rFonts w:ascii="ITC Avant Garde" w:hAnsi="ITC Avant Garde"/>
        </w:rPr>
        <w:t xml:space="preserve"> considerar</w:t>
      </w:r>
      <w:r w:rsidR="00165A50">
        <w:rPr>
          <w:rFonts w:ascii="ITC Avant Garde" w:hAnsi="ITC Avant Garde"/>
        </w:rPr>
        <w:t xml:space="preserve"> las</w:t>
      </w:r>
      <w:r>
        <w:rPr>
          <w:rFonts w:ascii="ITC Avant Garde" w:hAnsi="ITC Avant Garde"/>
        </w:rPr>
        <w:t>“</w:t>
      </w:r>
      <w:r w:rsidR="00165A50">
        <w:rPr>
          <w:rFonts w:ascii="ITC Avant Garde" w:hAnsi="ITC Avant Garde"/>
        </w:rPr>
        <w:t>[c]</w:t>
      </w:r>
      <w:proofErr w:type="spellStart"/>
      <w:r w:rsidRPr="00D52BE8">
        <w:rPr>
          <w:rFonts w:ascii="ITC Avant Garde" w:hAnsi="ITC Avant Garde"/>
          <w:i/>
          <w:iCs/>
        </w:rPr>
        <w:t>aracterísticas</w:t>
      </w:r>
      <w:proofErr w:type="spellEnd"/>
      <w:r w:rsidRPr="00D52BE8">
        <w:rPr>
          <w:rFonts w:ascii="ITC Avant Garde" w:hAnsi="ITC Avant Garde"/>
          <w:i/>
          <w:iCs/>
        </w:rPr>
        <w:t xml:space="preserve"> técnicas de la infraestructura necesaria para ofrecer los productos</w:t>
      </w:r>
      <w:r>
        <w:rPr>
          <w:rFonts w:ascii="ITC Avant Garde" w:hAnsi="ITC Avant Garde"/>
        </w:rPr>
        <w:t>”</w:t>
      </w:r>
      <w:r w:rsidR="000B6A26">
        <w:rPr>
          <w:rFonts w:ascii="ITC Avant Garde" w:hAnsi="ITC Avant Garde"/>
        </w:rPr>
        <w:t xml:space="preserve">, </w:t>
      </w:r>
      <w:r>
        <w:rPr>
          <w:rFonts w:ascii="ITC Avant Garde" w:hAnsi="ITC Avant Garde"/>
        </w:rPr>
        <w:t xml:space="preserve">con lo cual se </w:t>
      </w:r>
      <w:r w:rsidR="0074434C">
        <w:rPr>
          <w:rFonts w:ascii="ITC Avant Garde" w:hAnsi="ITC Avant Garde"/>
        </w:rPr>
        <w:t xml:space="preserve">pueden tomar </w:t>
      </w:r>
      <w:r>
        <w:rPr>
          <w:rFonts w:ascii="ITC Avant Garde" w:hAnsi="ITC Avant Garde"/>
        </w:rPr>
        <w:t xml:space="preserve">en cuenta </w:t>
      </w:r>
      <w:r w:rsidR="00165A50">
        <w:rPr>
          <w:rFonts w:ascii="ITC Avant Garde" w:hAnsi="ITC Avant Garde"/>
        </w:rPr>
        <w:t>aspectos tales</w:t>
      </w:r>
      <w:r>
        <w:rPr>
          <w:rFonts w:ascii="ITC Avant Garde" w:hAnsi="ITC Avant Garde"/>
        </w:rPr>
        <w:t xml:space="preserve"> como la convergencia </w:t>
      </w:r>
      <w:r w:rsidR="00165A50">
        <w:rPr>
          <w:rFonts w:ascii="ITC Avant Garde" w:hAnsi="ITC Avant Garde"/>
        </w:rPr>
        <w:t xml:space="preserve">y la neutralidad </w:t>
      </w:r>
      <w:r>
        <w:rPr>
          <w:rFonts w:ascii="ITC Avant Garde" w:hAnsi="ITC Avant Garde"/>
        </w:rPr>
        <w:t>tecnológica</w:t>
      </w:r>
      <w:r w:rsidR="00165A50">
        <w:rPr>
          <w:rFonts w:ascii="ITC Avant Garde" w:hAnsi="ITC Avant Garde"/>
        </w:rPr>
        <w:t>, a los que refiere Telefónica</w:t>
      </w:r>
      <w:r>
        <w:rPr>
          <w:rFonts w:ascii="ITC Avant Garde" w:hAnsi="ITC Avant Garde"/>
        </w:rPr>
        <w:t>.</w:t>
      </w:r>
      <w:r w:rsidR="000A5656" w:rsidRPr="00724A07">
        <w:rPr>
          <w:rFonts w:ascii="ITC Avant Garde" w:hAnsi="ITC Avant Garde"/>
        </w:rPr>
        <w:t xml:space="preserve"> </w:t>
      </w:r>
    </w:p>
    <w:p w14:paraId="14A83A06" w14:textId="1DC0A6DE" w:rsidR="00D03599" w:rsidRPr="00724A07" w:rsidRDefault="000A5656" w:rsidP="00C46AB1">
      <w:pPr>
        <w:spacing w:after="120" w:line="240" w:lineRule="auto"/>
        <w:jc w:val="both"/>
        <w:rPr>
          <w:rFonts w:ascii="ITC Avant Garde" w:hAnsi="ITC Avant Garde"/>
        </w:rPr>
      </w:pPr>
      <w:r w:rsidRPr="00724A07">
        <w:rPr>
          <w:rFonts w:ascii="ITC Avant Garde" w:hAnsi="ITC Avant Garde"/>
        </w:rPr>
        <w:t>Asimismo, el Anteproyecto de Guía señala explícitamente que “</w:t>
      </w:r>
      <w:r w:rsidRPr="00724A07">
        <w:rPr>
          <w:rFonts w:ascii="ITC Avant Garde" w:hAnsi="ITC Avant Garde"/>
          <w:i/>
          <w:iCs/>
        </w:rPr>
        <w:t>la conclusión respecto a la sustitución entre dos productos dependerá de la presión competitiva que ejerzan entre sí</w:t>
      </w:r>
      <w:r w:rsidRPr="00724A07">
        <w:rPr>
          <w:rFonts w:ascii="ITC Avant Garde" w:hAnsi="ITC Avant Garde"/>
        </w:rPr>
        <w:t>”</w:t>
      </w:r>
      <w:r w:rsidR="00194EA2">
        <w:rPr>
          <w:rFonts w:ascii="ITC Avant Garde" w:hAnsi="ITC Avant Garde"/>
        </w:rPr>
        <w:t xml:space="preserve"> (sección </w:t>
      </w:r>
      <w:r w:rsidR="00C20489">
        <w:rPr>
          <w:rFonts w:ascii="ITC Avant Garde" w:hAnsi="ITC Avant Garde"/>
        </w:rPr>
        <w:t>“</w:t>
      </w:r>
      <w:r w:rsidR="00194EA2" w:rsidRPr="00194EA2">
        <w:rPr>
          <w:rFonts w:ascii="ITC Avant Garde" w:hAnsi="ITC Avant Garde"/>
          <w:i/>
          <w:iCs/>
        </w:rPr>
        <w:t>9.3.3. Elementos para determinar MR en presencia de diferenciación de productos</w:t>
      </w:r>
      <w:r w:rsidR="00C20489">
        <w:rPr>
          <w:rFonts w:ascii="ITC Avant Garde" w:hAnsi="ITC Avant Garde"/>
          <w:i/>
          <w:iCs/>
        </w:rPr>
        <w:t>”</w:t>
      </w:r>
      <w:r w:rsidR="00194EA2">
        <w:rPr>
          <w:rFonts w:ascii="ITC Avant Garde" w:hAnsi="ITC Avant Garde"/>
        </w:rPr>
        <w:t>)</w:t>
      </w:r>
      <w:r w:rsidR="00D03599" w:rsidRPr="00724A07">
        <w:rPr>
          <w:rFonts w:ascii="ITC Avant Garde" w:hAnsi="ITC Avant Garde"/>
        </w:rPr>
        <w:t xml:space="preserve">. Es decir, la tecnología de provisión de los servicios es solo uno de múltiples aspectos que se toman en consideración al realizar el análisis de sustitución y, siguiendo los criterios que se plantean en el Anteproyecto de Guía, es posible determinar MR que comprendan uno o más servicios, provistos a través de una o más tecnologías. </w:t>
      </w:r>
    </w:p>
    <w:p w14:paraId="5F5F21C4" w14:textId="629EAC83" w:rsidR="00D03599" w:rsidRPr="00724A07" w:rsidRDefault="00D03599" w:rsidP="00C46AB1">
      <w:pPr>
        <w:spacing w:after="120" w:line="240" w:lineRule="auto"/>
        <w:jc w:val="both"/>
        <w:rPr>
          <w:rFonts w:ascii="ITC Avant Garde" w:hAnsi="ITC Avant Garde"/>
        </w:rPr>
      </w:pPr>
      <w:r w:rsidRPr="00724A07">
        <w:rPr>
          <w:rFonts w:ascii="ITC Avant Garde" w:hAnsi="ITC Avant Garde"/>
        </w:rPr>
        <w:t xml:space="preserve">Por lo anterior, se considera </w:t>
      </w:r>
      <w:r w:rsidR="00E67A95">
        <w:rPr>
          <w:rFonts w:ascii="ITC Avant Garde" w:hAnsi="ITC Avant Garde"/>
        </w:rPr>
        <w:t>im</w:t>
      </w:r>
      <w:r w:rsidRPr="00724A07">
        <w:rPr>
          <w:rFonts w:ascii="ITC Avant Garde" w:hAnsi="ITC Avant Garde"/>
        </w:rPr>
        <w:t xml:space="preserve">procedente incluir </w:t>
      </w:r>
      <w:r w:rsidR="00352FDF" w:rsidRPr="00724A07">
        <w:rPr>
          <w:rFonts w:ascii="ITC Avant Garde" w:hAnsi="ITC Avant Garde"/>
        </w:rPr>
        <w:t xml:space="preserve">en el Anteproyecto de Guía </w:t>
      </w:r>
      <w:r w:rsidRPr="00724A07">
        <w:rPr>
          <w:rFonts w:ascii="ITC Avant Garde" w:hAnsi="ITC Avant Garde"/>
        </w:rPr>
        <w:t xml:space="preserve">criterios o aclaraciones adicionales </w:t>
      </w:r>
      <w:r w:rsidR="00352FDF" w:rsidRPr="00724A07">
        <w:rPr>
          <w:rFonts w:ascii="ITC Avant Garde" w:hAnsi="ITC Avant Garde"/>
        </w:rPr>
        <w:t>sobre el principio de neutralidad tecnológica y la convergencia de servicios.</w:t>
      </w:r>
    </w:p>
    <w:p w14:paraId="5640FFB9" w14:textId="52C80D7B" w:rsidR="00D03599" w:rsidRPr="00724A07" w:rsidRDefault="00D03599" w:rsidP="00D2006C">
      <w:pPr>
        <w:spacing w:after="240" w:line="240" w:lineRule="auto"/>
        <w:jc w:val="both"/>
        <w:rPr>
          <w:rFonts w:ascii="ITC Avant Garde" w:hAnsi="ITC Avant Garde"/>
        </w:rPr>
      </w:pPr>
      <w:r w:rsidRPr="00724A07">
        <w:rPr>
          <w:rFonts w:ascii="ITC Avant Garde" w:hAnsi="ITC Avant Garde"/>
        </w:rPr>
        <w:t>Sobre la noción de competencia potencial, este concepto se presenta en el Anteproyecto de Guía</w:t>
      </w:r>
      <w:r w:rsidR="00352FDF" w:rsidRPr="00724A07">
        <w:rPr>
          <w:rFonts w:ascii="ITC Avant Garde" w:hAnsi="ITC Avant Garde"/>
        </w:rPr>
        <w:t xml:space="preserve"> con el único propósito de abonar a la caracterización de la </w:t>
      </w:r>
      <w:r w:rsidRPr="00724A07">
        <w:rPr>
          <w:rFonts w:ascii="ITC Avant Garde" w:hAnsi="ITC Avant Garde"/>
        </w:rPr>
        <w:t>sustitución por el lado de la oferta</w:t>
      </w:r>
      <w:r w:rsidR="00A16F23">
        <w:rPr>
          <w:rFonts w:ascii="ITC Avant Garde" w:hAnsi="ITC Avant Garde"/>
        </w:rPr>
        <w:t xml:space="preserve">. </w:t>
      </w:r>
      <w:r w:rsidR="00FC3661">
        <w:rPr>
          <w:rFonts w:ascii="ITC Avant Garde" w:hAnsi="ITC Avant Garde"/>
        </w:rPr>
        <w:t>A mayor abundamiento</w:t>
      </w:r>
      <w:r w:rsidR="00A16F23">
        <w:rPr>
          <w:rFonts w:ascii="ITC Avant Garde" w:hAnsi="ITC Avant Garde"/>
        </w:rPr>
        <w:t>, el Anteproyecto de Guía señala</w:t>
      </w:r>
      <w:r w:rsidR="00F72728">
        <w:rPr>
          <w:rFonts w:ascii="ITC Avant Garde" w:hAnsi="ITC Avant Garde"/>
        </w:rPr>
        <w:t xml:space="preserve"> en la sección “</w:t>
      </w:r>
      <w:r w:rsidR="00F72728" w:rsidRPr="00F72728">
        <w:rPr>
          <w:rFonts w:ascii="ITC Avant Garde" w:hAnsi="ITC Avant Garde"/>
          <w:i/>
          <w:iCs/>
        </w:rPr>
        <w:t>3.1. Enfoque del análisis de sustitución</w:t>
      </w:r>
      <w:r w:rsidR="00F72728">
        <w:rPr>
          <w:rFonts w:ascii="ITC Avant Garde" w:hAnsi="ITC Avant Garde"/>
        </w:rPr>
        <w:t>”</w:t>
      </w:r>
      <w:r w:rsidR="00A16F23">
        <w:rPr>
          <w:rFonts w:ascii="ITC Avant Garde" w:hAnsi="ITC Avant Garde"/>
        </w:rPr>
        <w:t xml:space="preserve"> que c</w:t>
      </w:r>
      <w:r w:rsidR="00A16F23" w:rsidRPr="00A16F23">
        <w:rPr>
          <w:rFonts w:ascii="ITC Avant Garde" w:hAnsi="ITC Avant Garde"/>
        </w:rPr>
        <w:t xml:space="preserve">uando se identifique la existencia de competencia potencial, </w:t>
      </w:r>
      <w:r w:rsidR="00A16F23" w:rsidRPr="00A16F23">
        <w:rPr>
          <w:rFonts w:ascii="ITC Avant Garde" w:hAnsi="ITC Avant Garde"/>
        </w:rPr>
        <w:lastRenderedPageBreak/>
        <w:t>su evaluación no se considerará en la etapa de determinación del MR sino, en caso necesario, podrá llevarse a cabo al analizar la existencia de poder sustancial de mercado o en la evaluación de condiciones de competencia o competencia efectiva.</w:t>
      </w:r>
      <w:r w:rsidR="00352FDF" w:rsidRPr="00724A07">
        <w:rPr>
          <w:rFonts w:ascii="ITC Avant Garde" w:hAnsi="ITC Avant Garde"/>
        </w:rPr>
        <w:t xml:space="preserve"> </w:t>
      </w:r>
      <w:r w:rsidR="00A16F23">
        <w:rPr>
          <w:rFonts w:ascii="ITC Avant Garde" w:hAnsi="ITC Avant Garde"/>
        </w:rPr>
        <w:t>Por lo anterior,</w:t>
      </w:r>
      <w:r w:rsidR="00F72728">
        <w:rPr>
          <w:rFonts w:ascii="ITC Avant Garde" w:hAnsi="ITC Avant Garde"/>
        </w:rPr>
        <w:t xml:space="preserve"> </w:t>
      </w:r>
      <w:r w:rsidR="00352FDF" w:rsidRPr="00724A07">
        <w:rPr>
          <w:rFonts w:ascii="ITC Avant Garde" w:hAnsi="ITC Avant Garde"/>
        </w:rPr>
        <w:t xml:space="preserve">se considera </w:t>
      </w:r>
      <w:r w:rsidR="00E67A95">
        <w:rPr>
          <w:rFonts w:ascii="ITC Avant Garde" w:hAnsi="ITC Avant Garde"/>
        </w:rPr>
        <w:t>im</w:t>
      </w:r>
      <w:r w:rsidR="00352FDF" w:rsidRPr="00724A07">
        <w:rPr>
          <w:rFonts w:ascii="ITC Avant Garde" w:hAnsi="ITC Avant Garde"/>
        </w:rPr>
        <w:t>procedente incluir criterios o aclaraciones adicionales.</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E6BBB" w:rsidRPr="00724A07" w14:paraId="0EC35A12" w14:textId="77777777" w:rsidTr="00D2006C">
        <w:trPr>
          <w:trHeight w:val="276"/>
          <w:jc w:val="center"/>
        </w:trPr>
        <w:tc>
          <w:tcPr>
            <w:tcW w:w="9785" w:type="dxa"/>
            <w:shd w:val="clear" w:color="auto" w:fill="92D050"/>
            <w:vAlign w:val="center"/>
          </w:tcPr>
          <w:p w14:paraId="74196EFA" w14:textId="6CA4DDF9" w:rsidR="00AE6BBB" w:rsidRPr="00724A07" w:rsidRDefault="00AE6BBB" w:rsidP="000E06E9">
            <w:pPr>
              <w:pStyle w:val="Default"/>
              <w:keepNex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León Efrén Jiménez Domínguez y Priscila Barba Rivas</w:t>
            </w:r>
          </w:p>
        </w:tc>
      </w:tr>
      <w:tr w:rsidR="00AE6BBB" w:rsidRPr="00724A07" w14:paraId="2EABADFD" w14:textId="77777777" w:rsidTr="00D2006C">
        <w:trPr>
          <w:trHeight w:val="443"/>
          <w:jc w:val="center"/>
        </w:trPr>
        <w:tc>
          <w:tcPr>
            <w:tcW w:w="9785" w:type="dxa"/>
            <w:shd w:val="clear" w:color="auto" w:fill="E2EFD9" w:themeFill="accent6" w:themeFillTint="33"/>
            <w:vAlign w:val="center"/>
          </w:tcPr>
          <w:p w14:paraId="776311B8" w14:textId="28F2AD5B" w:rsidR="00AE6BBB" w:rsidRPr="00724A07" w:rsidRDefault="00C7449E" w:rsidP="00D2006C">
            <w:pPr>
              <w:pStyle w:val="Default"/>
              <w:spacing w:after="120"/>
              <w:jc w:val="both"/>
              <w:rPr>
                <w:rFonts w:ascii="ITC Avant Garde" w:hAnsi="ITC Avant Garde"/>
                <w:i/>
                <w:sz w:val="18"/>
                <w:szCs w:val="18"/>
              </w:rPr>
            </w:pPr>
            <w:r w:rsidRPr="007C2396">
              <w:rPr>
                <w:rFonts w:ascii="ITC Avant Garde" w:hAnsi="ITC Avant Garde"/>
                <w:i/>
                <w:sz w:val="18"/>
                <w:szCs w:val="18"/>
              </w:rPr>
              <w:t>“Como comentario general, se sugiere reconocer la utilidad de hacer públicas las partes de las resoluciones que emite el IFT en las que se sienten precedentes sobre la definición de MR. Con la finalidad de que puedan ser consultados por los practicantes y el público en general. Mantener esta práctica generará mayor entendimiento y predictibilidad de las resoluciones del IFT</w:t>
            </w:r>
            <w:r>
              <w:rPr>
                <w:rFonts w:ascii="ITC Avant Garde" w:hAnsi="ITC Avant Garde"/>
                <w:i/>
                <w:sz w:val="18"/>
                <w:szCs w:val="18"/>
              </w:rPr>
              <w:t xml:space="preserve"> </w:t>
            </w:r>
            <w:r w:rsidRPr="009A7EB0">
              <w:rPr>
                <w:rFonts w:ascii="ITC Avant Garde" w:hAnsi="ITC Avant Garde"/>
                <w:iCs/>
                <w:sz w:val="18"/>
                <w:szCs w:val="18"/>
              </w:rPr>
              <w:t>(…)</w:t>
            </w:r>
            <w:r w:rsidRPr="007C2396">
              <w:rPr>
                <w:rFonts w:ascii="ITC Avant Garde" w:hAnsi="ITC Avant Garde"/>
                <w:i/>
                <w:sz w:val="18"/>
                <w:szCs w:val="18"/>
              </w:rPr>
              <w:t>”</w:t>
            </w:r>
          </w:p>
        </w:tc>
      </w:tr>
    </w:tbl>
    <w:p w14:paraId="71DFA68F" w14:textId="77777777" w:rsidR="00AE6BBB" w:rsidRPr="00724A07" w:rsidRDefault="00AE6BBB" w:rsidP="00AE6BBB">
      <w:pPr>
        <w:spacing w:before="120" w:after="120" w:line="240" w:lineRule="auto"/>
        <w:outlineLvl w:val="2"/>
        <w:rPr>
          <w:rFonts w:ascii="ITC Avant Garde" w:hAnsi="ITC Avant Garde"/>
          <w:b/>
          <w:bCs/>
        </w:rPr>
      </w:pPr>
      <w:r w:rsidRPr="00724A07">
        <w:rPr>
          <w:rFonts w:ascii="ITC Avant Garde" w:hAnsi="ITC Avant Garde"/>
          <w:b/>
          <w:bCs/>
        </w:rPr>
        <w:t>Consideraciones</w:t>
      </w:r>
    </w:p>
    <w:p w14:paraId="3D8D011A" w14:textId="7E23FFFC" w:rsidR="002D4FFC" w:rsidRPr="00724A07" w:rsidRDefault="00933D45" w:rsidP="00D2006C">
      <w:pPr>
        <w:spacing w:after="240" w:line="240" w:lineRule="auto"/>
        <w:jc w:val="both"/>
        <w:rPr>
          <w:rFonts w:ascii="ITC Avant Garde" w:hAnsi="ITC Avant Garde"/>
        </w:rPr>
      </w:pPr>
      <w:r w:rsidRPr="00724A07">
        <w:rPr>
          <w:rFonts w:ascii="ITC Avant Garde" w:hAnsi="ITC Avant Garde"/>
        </w:rPr>
        <w:t xml:space="preserve">Respecto al comentario de los participantes, en relación con la práctica del Instituto de hacer públicas las partes de </w:t>
      </w:r>
      <w:r w:rsidR="002D4FFC" w:rsidRPr="00724A07">
        <w:rPr>
          <w:rFonts w:ascii="ITC Avant Garde" w:hAnsi="ITC Avant Garde"/>
        </w:rPr>
        <w:t>las</w:t>
      </w:r>
      <w:r w:rsidRPr="00724A07">
        <w:rPr>
          <w:rFonts w:ascii="ITC Avant Garde" w:hAnsi="ITC Avant Garde"/>
        </w:rPr>
        <w:t xml:space="preserve"> </w:t>
      </w:r>
      <w:r w:rsidR="002D4FFC" w:rsidRPr="00724A07">
        <w:rPr>
          <w:rFonts w:ascii="ITC Avant Garde" w:hAnsi="ITC Avant Garde"/>
        </w:rPr>
        <w:t>r</w:t>
      </w:r>
      <w:r w:rsidRPr="00724A07">
        <w:rPr>
          <w:rFonts w:ascii="ITC Avant Garde" w:hAnsi="ITC Avant Garde"/>
        </w:rPr>
        <w:t xml:space="preserve">esoluciones </w:t>
      </w:r>
      <w:r w:rsidR="002D4FFC" w:rsidRPr="00724A07">
        <w:rPr>
          <w:rFonts w:ascii="ITC Avant Garde" w:hAnsi="ITC Avant Garde"/>
        </w:rPr>
        <w:t xml:space="preserve">del Pleno que sientan precedentes sobre la definición del MR, se considera que, al igual que los criterios desarrollados en el Anteproyecto de Guía, dicha práctica contribuye a la transparencia y consistencia de los criterios que utiliza el Instituto para determinar MR. </w:t>
      </w:r>
      <w:r w:rsidR="00784935" w:rsidRPr="00724A07">
        <w:rPr>
          <w:rFonts w:ascii="ITC Avant Garde" w:hAnsi="ITC Avant Garde"/>
        </w:rPr>
        <w:t>No obstante</w:t>
      </w:r>
      <w:r w:rsidR="002D4FFC" w:rsidRPr="00724A07">
        <w:rPr>
          <w:rFonts w:ascii="ITC Avant Garde" w:hAnsi="ITC Avant Garde"/>
        </w:rPr>
        <w:t>,</w:t>
      </w:r>
      <w:r w:rsidR="00784935" w:rsidRPr="00724A07">
        <w:rPr>
          <w:rFonts w:ascii="ITC Avant Garde" w:hAnsi="ITC Avant Garde"/>
        </w:rPr>
        <w:t xml:space="preserve"> el comentario excede el objetivo y alcance del Anteproyecto de Guía, por lo</w:t>
      </w:r>
      <w:r w:rsidR="002D4FFC" w:rsidRPr="00724A07">
        <w:rPr>
          <w:rFonts w:ascii="ITC Avant Garde" w:hAnsi="ITC Avant Garde"/>
        </w:rPr>
        <w:t xml:space="preserve"> </w:t>
      </w:r>
      <w:r w:rsidR="00D66E31">
        <w:rPr>
          <w:rFonts w:ascii="ITC Avant Garde" w:hAnsi="ITC Avant Garde"/>
        </w:rPr>
        <w:t>que</w:t>
      </w:r>
      <w:r w:rsidR="002D4FFC" w:rsidRPr="00724A07">
        <w:rPr>
          <w:rFonts w:ascii="ITC Avant Garde" w:hAnsi="ITC Avant Garde"/>
        </w:rPr>
        <w:t xml:space="preserve"> se considera </w:t>
      </w:r>
      <w:r w:rsidR="00DA4B86">
        <w:rPr>
          <w:rFonts w:ascii="ITC Avant Garde" w:hAnsi="ITC Avant Garde"/>
        </w:rPr>
        <w:t>im</w:t>
      </w:r>
      <w:r w:rsidR="002D4FFC" w:rsidRPr="00724A07">
        <w:rPr>
          <w:rFonts w:ascii="ITC Avant Garde" w:hAnsi="ITC Avant Garde"/>
        </w:rPr>
        <w:t xml:space="preserve">procedente realizar alguna modificación </w:t>
      </w:r>
      <w:r w:rsidR="00FC3661">
        <w:rPr>
          <w:rFonts w:ascii="ITC Avant Garde" w:hAnsi="ITC Avant Garde"/>
        </w:rPr>
        <w:t xml:space="preserve">al mismo </w:t>
      </w:r>
      <w:r w:rsidR="00DF46AF" w:rsidRPr="00724A07">
        <w:rPr>
          <w:rFonts w:ascii="ITC Avant Garde" w:hAnsi="ITC Avant Garde"/>
        </w:rPr>
        <w:t>relacionada</w:t>
      </w:r>
      <w:r w:rsidR="002D4FFC" w:rsidRPr="00724A07">
        <w:rPr>
          <w:rFonts w:ascii="ITC Avant Garde" w:hAnsi="ITC Avant Garde"/>
        </w:rPr>
        <w:t xml:space="preserve"> con la práctica del Instituto para hacer públicas sus resoluciones.</w:t>
      </w:r>
    </w:p>
    <w:p w14:paraId="58522DC0" w14:textId="61163EF9" w:rsidR="00C46AB1" w:rsidRPr="00724A07" w:rsidRDefault="00DD32EC" w:rsidP="00C46AB1">
      <w:pPr>
        <w:keepNext/>
        <w:spacing w:before="12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.2. Presentación</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6B6794AA" w14:textId="77777777" w:rsidTr="00D2006C">
        <w:trPr>
          <w:trHeight w:val="276"/>
          <w:jc w:val="center"/>
        </w:trPr>
        <w:tc>
          <w:tcPr>
            <w:tcW w:w="9785" w:type="dxa"/>
            <w:shd w:val="clear" w:color="auto" w:fill="92D050"/>
            <w:vAlign w:val="center"/>
          </w:tcPr>
          <w:p w14:paraId="6C6EA2C7" w14:textId="4ACD3CBE" w:rsidR="00A165D0" w:rsidRPr="00724A07" w:rsidRDefault="00A165D0" w:rsidP="00101A5A">
            <w:pPr>
              <w:pStyle w:val="Default"/>
              <w:keepNex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724A07" w14:paraId="66E1164D" w14:textId="77777777" w:rsidTr="00D2006C">
        <w:trPr>
          <w:trHeight w:val="443"/>
          <w:jc w:val="center"/>
        </w:trPr>
        <w:tc>
          <w:tcPr>
            <w:tcW w:w="9785" w:type="dxa"/>
            <w:shd w:val="clear" w:color="auto" w:fill="E2EFD9" w:themeFill="accent6" w:themeFillTint="33"/>
            <w:vAlign w:val="center"/>
          </w:tcPr>
          <w:p w14:paraId="7FBF3F01" w14:textId="379B6CD9" w:rsidR="00A165D0" w:rsidRPr="00724A07" w:rsidRDefault="00C7449E" w:rsidP="00ED0FDC">
            <w:pPr>
              <w:pStyle w:val="Default"/>
              <w:spacing w:before="120" w:after="120"/>
              <w:jc w:val="both"/>
              <w:rPr>
                <w:rFonts w:ascii="ITC Avant Garde" w:hAnsi="ITC Avant Garde"/>
                <w:i/>
                <w:iCs/>
                <w:sz w:val="18"/>
                <w:szCs w:val="18"/>
              </w:rPr>
            </w:pPr>
            <w:r w:rsidRPr="007C2396">
              <w:rPr>
                <w:rFonts w:ascii="ITC Avant Garde" w:eastAsia="Times New Roman" w:hAnsi="ITC Avant Garde" w:cs="Calibri"/>
                <w:sz w:val="18"/>
                <w:szCs w:val="18"/>
              </w:rPr>
              <w:t>“</w:t>
            </w:r>
            <w:r w:rsidRPr="00B425DB">
              <w:rPr>
                <w:rFonts w:ascii="ITC Avant Garde" w:eastAsia="Times New Roman" w:hAnsi="ITC Avant Garde" w:cs="Calibri"/>
                <w:sz w:val="18"/>
                <w:szCs w:val="18"/>
              </w:rPr>
              <w:t>(…)</w:t>
            </w:r>
            <w:r>
              <w:rPr>
                <w:rFonts w:ascii="ITC Avant Garde" w:eastAsia="Times New Roman" w:hAnsi="ITC Avant Garde" w:cs="Calibri"/>
                <w:sz w:val="18"/>
                <w:szCs w:val="18"/>
              </w:rPr>
              <w:t xml:space="preserve"> </w:t>
            </w:r>
            <w:r w:rsidRPr="007C2396">
              <w:rPr>
                <w:rFonts w:ascii="ITC Avant Garde" w:eastAsia="Times New Roman" w:hAnsi="ITC Avant Garde" w:cs="Calibri"/>
                <w:i/>
                <w:iCs/>
                <w:sz w:val="18"/>
                <w:szCs w:val="18"/>
              </w:rPr>
              <w:t>a fin de generar verdaderamente certidumbre a los agentes económicos respecto a los criterios que utilizará el Instituto para determinar mercados relevantes, así como para hacer el uso de estos criterios verdaderamente consistentes entre sí, resulta indispensable que el Instituto adopte como vinculantes los criterios que este mismo órgano establecerá a través de la publicación de esta guía.</w:t>
            </w:r>
            <w:r w:rsidRPr="007C2396">
              <w:rPr>
                <w:rFonts w:ascii="ITC Avant Garde" w:eastAsia="Times New Roman" w:hAnsi="ITC Avant Garde" w:cs="Calibri"/>
                <w:sz w:val="18"/>
                <w:szCs w:val="18"/>
              </w:rPr>
              <w:t>”</w:t>
            </w:r>
          </w:p>
        </w:tc>
      </w:tr>
    </w:tbl>
    <w:p w14:paraId="64217B6F" w14:textId="77777777" w:rsidR="00A165D0" w:rsidRPr="00724A07" w:rsidRDefault="00A165D0" w:rsidP="00A165D0">
      <w:pPr>
        <w:spacing w:before="120" w:after="120" w:line="240" w:lineRule="auto"/>
        <w:outlineLvl w:val="2"/>
        <w:rPr>
          <w:rFonts w:ascii="ITC Avant Garde" w:hAnsi="ITC Avant Garde"/>
          <w:b/>
          <w:bCs/>
        </w:rPr>
      </w:pPr>
      <w:r w:rsidRPr="00724A07">
        <w:rPr>
          <w:rFonts w:ascii="ITC Avant Garde" w:hAnsi="ITC Avant Garde"/>
          <w:b/>
          <w:bCs/>
        </w:rPr>
        <w:t>Consideraciones</w:t>
      </w:r>
    </w:p>
    <w:p w14:paraId="54AAFFC1" w14:textId="2741CC00" w:rsidR="00D5427A" w:rsidRPr="00724A07" w:rsidRDefault="00A165D0" w:rsidP="00A165D0">
      <w:pPr>
        <w:spacing w:after="12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al comentario</w:t>
      </w:r>
      <w:r w:rsidR="0041717E" w:rsidRPr="00724A07">
        <w:rPr>
          <w:rFonts w:ascii="ITC Avant Garde" w:hAnsi="ITC Avant Garde"/>
        </w:rPr>
        <w:t xml:space="preserve"> de Telefónica respecto a que los criterios establecidos en el </w:t>
      </w:r>
      <w:r w:rsidR="00F67BAC" w:rsidRPr="00724A07">
        <w:rPr>
          <w:rFonts w:ascii="ITC Avant Garde" w:hAnsi="ITC Avant Garde"/>
        </w:rPr>
        <w:t xml:space="preserve">Anteproyecto de Guía </w:t>
      </w:r>
      <w:r w:rsidR="0041717E" w:rsidRPr="00724A07">
        <w:rPr>
          <w:rFonts w:ascii="ITC Avant Garde" w:hAnsi="ITC Avant Garde"/>
        </w:rPr>
        <w:t>deben de ser vinculantes para el Instituto</w:t>
      </w:r>
      <w:r w:rsidR="00F67BAC" w:rsidRPr="00724A07">
        <w:rPr>
          <w:rFonts w:ascii="ITC Avant Garde" w:hAnsi="ITC Avant Garde"/>
        </w:rPr>
        <w:t>,</w:t>
      </w:r>
      <w:r w:rsidR="0041717E" w:rsidRPr="00724A07">
        <w:rPr>
          <w:rFonts w:ascii="ITC Avant Garde" w:hAnsi="ITC Avant Garde"/>
        </w:rPr>
        <w:t xml:space="preserve"> se </w:t>
      </w:r>
      <w:r w:rsidR="00F67BAC" w:rsidRPr="00724A07">
        <w:rPr>
          <w:rFonts w:ascii="ITC Avant Garde" w:hAnsi="ITC Avant Garde"/>
        </w:rPr>
        <w:t>advierte</w:t>
      </w:r>
      <w:r w:rsidR="0041717E" w:rsidRPr="00724A07">
        <w:rPr>
          <w:rFonts w:ascii="ITC Avant Garde" w:hAnsi="ITC Avant Garde"/>
        </w:rPr>
        <w:t xml:space="preserve"> que</w:t>
      </w:r>
      <w:r w:rsidRPr="00724A07">
        <w:rPr>
          <w:rFonts w:ascii="ITC Avant Garde" w:hAnsi="ITC Avant Garde"/>
        </w:rPr>
        <w:t xml:space="preserve"> </w:t>
      </w:r>
      <w:r w:rsidR="00D5427A" w:rsidRPr="00724A07">
        <w:rPr>
          <w:rFonts w:ascii="ITC Avant Garde" w:hAnsi="ITC Avant Garde"/>
        </w:rPr>
        <w:t xml:space="preserve">el Anteproyecto de Guía señala </w:t>
      </w:r>
      <w:r w:rsidR="0041717E" w:rsidRPr="00724A07">
        <w:rPr>
          <w:rFonts w:ascii="ITC Avant Garde" w:hAnsi="ITC Avant Garde"/>
        </w:rPr>
        <w:t>lo siguiente:</w:t>
      </w:r>
    </w:p>
    <w:p w14:paraId="2588D12B" w14:textId="4E806912" w:rsidR="00D5427A" w:rsidRPr="00724A07" w:rsidRDefault="00F732E3" w:rsidP="00D5427A">
      <w:pPr>
        <w:spacing w:after="120" w:line="240" w:lineRule="auto"/>
        <w:ind w:left="851"/>
        <w:jc w:val="both"/>
        <w:rPr>
          <w:rFonts w:ascii="ITC Avant Garde" w:hAnsi="ITC Avant Garde"/>
          <w:i/>
          <w:iCs/>
          <w:sz w:val="20"/>
          <w:szCs w:val="20"/>
        </w:rPr>
      </w:pPr>
      <w:r w:rsidRPr="00724A07">
        <w:rPr>
          <w:rFonts w:ascii="ITC Avant Garde" w:hAnsi="ITC Avant Garde"/>
          <w:i/>
          <w:iCs/>
          <w:sz w:val="20"/>
          <w:szCs w:val="20"/>
        </w:rPr>
        <w:t xml:space="preserve">La Guía constituye un marco de referencia que podrá seguir el Instituto para la determinación de MR en los sectores de </w:t>
      </w:r>
      <w:proofErr w:type="spellStart"/>
      <w:r w:rsidRPr="00724A07">
        <w:rPr>
          <w:rFonts w:ascii="ITC Avant Garde" w:hAnsi="ITC Avant Garde"/>
          <w:i/>
          <w:iCs/>
          <w:sz w:val="20"/>
          <w:szCs w:val="20"/>
        </w:rPr>
        <w:t>TyR</w:t>
      </w:r>
      <w:proofErr w:type="spellEnd"/>
      <w:r w:rsidRPr="00724A07">
        <w:rPr>
          <w:rFonts w:ascii="ITC Avant Garde" w:hAnsi="ITC Avant Garde"/>
          <w:i/>
          <w:iCs/>
          <w:sz w:val="20"/>
          <w:szCs w:val="20"/>
        </w:rPr>
        <w:t xml:space="preserve"> en asuntos que se tramiten en términos de la LFCE o de la LFTR, mas </w:t>
      </w:r>
      <w:r w:rsidRPr="00724A07">
        <w:rPr>
          <w:rFonts w:ascii="ITC Avant Garde" w:hAnsi="ITC Avant Garde"/>
          <w:i/>
          <w:iCs/>
          <w:sz w:val="20"/>
          <w:szCs w:val="20"/>
          <w:u w:val="single"/>
        </w:rPr>
        <w:t>no tiene el carácter de vinculante para el Pleno del Instituto</w:t>
      </w:r>
      <w:r w:rsidR="00D5427A" w:rsidRPr="00724A07">
        <w:rPr>
          <w:rFonts w:ascii="ITC Avant Garde" w:hAnsi="ITC Avant Garde"/>
          <w:i/>
          <w:iCs/>
          <w:sz w:val="20"/>
          <w:szCs w:val="20"/>
        </w:rPr>
        <w:t>.</w:t>
      </w:r>
    </w:p>
    <w:p w14:paraId="1FDA699C" w14:textId="38746483" w:rsidR="00D14308" w:rsidRDefault="00F732E3" w:rsidP="005D6947">
      <w:pPr>
        <w:spacing w:after="120" w:line="240" w:lineRule="auto"/>
        <w:jc w:val="both"/>
        <w:rPr>
          <w:rFonts w:ascii="ITC Avant Garde" w:hAnsi="ITC Avant Garde"/>
        </w:rPr>
      </w:pPr>
      <w:r w:rsidRPr="00724A07">
        <w:rPr>
          <w:rFonts w:ascii="ITC Avant Garde" w:hAnsi="ITC Avant Garde"/>
        </w:rPr>
        <w:t xml:space="preserve">En este sentido, se aclara que los criterios, elementos y herramientas establecidos en el Anteproyecto de Guía </w:t>
      </w:r>
      <w:r w:rsidR="00F67BAC" w:rsidRPr="00724A07">
        <w:rPr>
          <w:rFonts w:ascii="ITC Avant Garde" w:hAnsi="ITC Avant Garde"/>
        </w:rPr>
        <w:t>serán</w:t>
      </w:r>
      <w:r w:rsidRPr="00724A07">
        <w:rPr>
          <w:rFonts w:ascii="ITC Avant Garde" w:hAnsi="ITC Avant Garde"/>
        </w:rPr>
        <w:t xml:space="preserve"> considera</w:t>
      </w:r>
      <w:r w:rsidR="00C72C4A" w:rsidRPr="00724A07">
        <w:rPr>
          <w:rFonts w:ascii="ITC Avant Garde" w:hAnsi="ITC Avant Garde"/>
        </w:rPr>
        <w:t>dos por</w:t>
      </w:r>
      <w:r w:rsidRPr="00724A07">
        <w:rPr>
          <w:rFonts w:ascii="ITC Avant Garde" w:hAnsi="ITC Avant Garde"/>
        </w:rPr>
        <w:t xml:space="preserve"> el Instituto en la determinación de</w:t>
      </w:r>
      <w:r w:rsidR="00C72C4A" w:rsidRPr="00724A07">
        <w:rPr>
          <w:rFonts w:ascii="ITC Avant Garde" w:hAnsi="ITC Avant Garde"/>
        </w:rPr>
        <w:t xml:space="preserve">l </w:t>
      </w:r>
      <w:r w:rsidR="00F67BAC" w:rsidRPr="00724A07">
        <w:rPr>
          <w:rFonts w:ascii="ITC Avant Garde" w:hAnsi="ITC Avant Garde"/>
        </w:rPr>
        <w:t>MR</w:t>
      </w:r>
      <w:r w:rsidRPr="00724A07">
        <w:rPr>
          <w:rFonts w:ascii="ITC Avant Garde" w:hAnsi="ITC Avant Garde"/>
        </w:rPr>
        <w:t xml:space="preserve"> en </w:t>
      </w:r>
      <w:r w:rsidR="00C72C4A" w:rsidRPr="00724A07">
        <w:rPr>
          <w:rFonts w:ascii="ITC Avant Garde" w:hAnsi="ITC Avant Garde"/>
        </w:rPr>
        <w:t xml:space="preserve">los </w:t>
      </w:r>
      <w:r w:rsidRPr="00724A07">
        <w:rPr>
          <w:rFonts w:ascii="ITC Avant Garde" w:hAnsi="ITC Avant Garde"/>
        </w:rPr>
        <w:t xml:space="preserve">análisis de competencia económica en los sectores de </w:t>
      </w:r>
      <w:proofErr w:type="spellStart"/>
      <w:r w:rsidR="00F67BAC" w:rsidRPr="00724A07">
        <w:rPr>
          <w:rFonts w:ascii="ITC Avant Garde" w:hAnsi="ITC Avant Garde"/>
        </w:rPr>
        <w:t>TyR</w:t>
      </w:r>
      <w:proofErr w:type="spellEnd"/>
      <w:r w:rsidR="00784A51" w:rsidRPr="00724A07">
        <w:rPr>
          <w:rFonts w:ascii="ITC Avant Garde" w:hAnsi="ITC Avant Garde"/>
        </w:rPr>
        <w:t>. N</w:t>
      </w:r>
      <w:r w:rsidR="00C72C4A" w:rsidRPr="00724A07">
        <w:rPr>
          <w:rFonts w:ascii="ITC Avant Garde" w:hAnsi="ITC Avant Garde"/>
        </w:rPr>
        <w:t>o obstante</w:t>
      </w:r>
      <w:r w:rsidR="008F4A8F" w:rsidRPr="00724A07">
        <w:rPr>
          <w:rFonts w:ascii="ITC Avant Garde" w:hAnsi="ITC Avant Garde"/>
        </w:rPr>
        <w:t xml:space="preserve">, </w:t>
      </w:r>
      <w:r w:rsidR="00D14308" w:rsidRPr="00724A07">
        <w:rPr>
          <w:rFonts w:ascii="ITC Avant Garde" w:hAnsi="ITC Avant Garde"/>
        </w:rPr>
        <w:t>el Pleno, en su carácter de órgano de gobierno y de decisión, de conformidad con los artículos 3, fracción XIII, 12, fracción X, y 18, de la LFCE, así como los artículos 15, fracción XVIII, y 16, de la LFTR</w:t>
      </w:r>
      <w:r w:rsidR="00AA5478" w:rsidRPr="00AA5478">
        <w:rPr>
          <w:rFonts w:ascii="ITC Avant Garde" w:hAnsi="ITC Avant Garde"/>
        </w:rPr>
        <w:t xml:space="preserve"> </w:t>
      </w:r>
      <w:r w:rsidR="00AA5478" w:rsidRPr="00724A07">
        <w:rPr>
          <w:rFonts w:ascii="ITC Avant Garde" w:hAnsi="ITC Avant Garde"/>
        </w:rPr>
        <w:t xml:space="preserve">podrá considerar lo establecido en </w:t>
      </w:r>
      <w:r w:rsidR="00AA5478">
        <w:rPr>
          <w:rFonts w:ascii="ITC Avant Garde" w:hAnsi="ITC Avant Garde"/>
        </w:rPr>
        <w:t xml:space="preserve">el Anteproyecto de </w:t>
      </w:r>
      <w:r w:rsidR="00AA5478" w:rsidRPr="00724A07">
        <w:rPr>
          <w:rFonts w:ascii="ITC Avant Garde" w:hAnsi="ITC Avant Garde"/>
        </w:rPr>
        <w:t xml:space="preserve">Guía, pero también cualquier otro criterio, elemento o herramienta adicional que requiera para el ejercicio de sus facultades. </w:t>
      </w:r>
    </w:p>
    <w:p w14:paraId="66C5665B" w14:textId="59EF3B3A" w:rsidR="008F4A8F" w:rsidRPr="00724A07" w:rsidRDefault="00AA5478" w:rsidP="005D6947">
      <w:pPr>
        <w:spacing w:after="120" w:line="240" w:lineRule="auto"/>
        <w:jc w:val="both"/>
        <w:rPr>
          <w:rFonts w:ascii="ITC Avant Garde" w:hAnsi="ITC Avant Garde"/>
        </w:rPr>
      </w:pPr>
      <w:r>
        <w:rPr>
          <w:rFonts w:ascii="ITC Avant Garde" w:hAnsi="ITC Avant Garde"/>
        </w:rPr>
        <w:t xml:space="preserve">Adicionalmente, </w:t>
      </w:r>
      <w:r w:rsidR="00784A51" w:rsidRPr="00724A07">
        <w:rPr>
          <w:rFonts w:ascii="ITC Avant Garde" w:hAnsi="ITC Avant Garde"/>
        </w:rPr>
        <w:t>se advierte que</w:t>
      </w:r>
      <w:r w:rsidR="005A0EB2" w:rsidRPr="00724A07">
        <w:rPr>
          <w:rFonts w:ascii="ITC Avant Garde" w:hAnsi="ITC Avant Garde"/>
        </w:rPr>
        <w:t xml:space="preserve"> </w:t>
      </w:r>
      <w:r w:rsidR="00784A51" w:rsidRPr="00724A07">
        <w:rPr>
          <w:rFonts w:ascii="ITC Avant Garde" w:hAnsi="ITC Avant Garde"/>
        </w:rPr>
        <w:t xml:space="preserve">el dinamismo y las particularidades técnicas </w:t>
      </w:r>
      <w:r w:rsidR="005A0EB2" w:rsidRPr="00724A07">
        <w:rPr>
          <w:rFonts w:ascii="ITC Avant Garde" w:hAnsi="ITC Avant Garde"/>
        </w:rPr>
        <w:t xml:space="preserve">de los diferentes casos que se analizan en materia de competencia económica en dichos sectores, </w:t>
      </w:r>
      <w:r w:rsidR="00784A51" w:rsidRPr="00724A07">
        <w:rPr>
          <w:rFonts w:ascii="ITC Avant Garde" w:hAnsi="ITC Avant Garde"/>
        </w:rPr>
        <w:t xml:space="preserve">pueden dar lugar a situaciones </w:t>
      </w:r>
      <w:r w:rsidR="005A0EB2" w:rsidRPr="00724A07">
        <w:rPr>
          <w:rFonts w:ascii="ITC Avant Garde" w:hAnsi="ITC Avant Garde"/>
        </w:rPr>
        <w:t xml:space="preserve">en las que se requiera hacer uso de algún criterio, elemento o herramienta adicional a los que se plantean en </w:t>
      </w:r>
      <w:r w:rsidR="00E64E1E">
        <w:rPr>
          <w:rFonts w:ascii="ITC Avant Garde" w:hAnsi="ITC Avant Garde"/>
        </w:rPr>
        <w:t>el Anteproyecto de</w:t>
      </w:r>
      <w:r w:rsidR="005A0EB2" w:rsidRPr="00724A07">
        <w:rPr>
          <w:rFonts w:ascii="ITC Avant Garde" w:hAnsi="ITC Avant Garde"/>
        </w:rPr>
        <w:t xml:space="preserve"> Guía. </w:t>
      </w:r>
      <w:r w:rsidRPr="00724A07">
        <w:rPr>
          <w:rFonts w:ascii="ITC Avant Garde" w:hAnsi="ITC Avant Garde"/>
        </w:rPr>
        <w:t xml:space="preserve">Esto es consistente con el hecho de que </w:t>
      </w:r>
      <w:r>
        <w:rPr>
          <w:rFonts w:ascii="ITC Avant Garde" w:hAnsi="ITC Avant Garde"/>
        </w:rPr>
        <w:t>el Anteproyecto de</w:t>
      </w:r>
      <w:r w:rsidRPr="00724A07">
        <w:rPr>
          <w:rFonts w:ascii="ITC Avant Garde" w:hAnsi="ITC Avant Garde"/>
        </w:rPr>
        <w:t xml:space="preserve"> Guía no se concibe como un instrumento estático, sino como un </w:t>
      </w:r>
      <w:r w:rsidRPr="00724A07">
        <w:rPr>
          <w:rFonts w:ascii="ITC Avant Garde" w:hAnsi="ITC Avant Garde"/>
        </w:rPr>
        <w:lastRenderedPageBreak/>
        <w:t>instrumento que evolucionará en la medida en que los criterios que la sustentan cambien, para lo cual será revisada por lo menos cada cinco años.</w:t>
      </w:r>
      <w:r w:rsidR="00784A51" w:rsidRPr="00724A07">
        <w:rPr>
          <w:rFonts w:ascii="ITC Avant Garde" w:hAnsi="ITC Avant Garde"/>
        </w:rPr>
        <w:t xml:space="preserve"> </w:t>
      </w:r>
      <w:r w:rsidRPr="00AA5478">
        <w:rPr>
          <w:rFonts w:ascii="ITC Avant Garde" w:hAnsi="ITC Avant Garde"/>
        </w:rPr>
        <w:t xml:space="preserve"> </w:t>
      </w:r>
    </w:p>
    <w:p w14:paraId="4467B38A" w14:textId="77777777" w:rsidR="00D56D25" w:rsidRPr="00724A07" w:rsidRDefault="00D56D25" w:rsidP="00D2006C">
      <w:pPr>
        <w:spacing w:after="240" w:line="240" w:lineRule="auto"/>
        <w:jc w:val="both"/>
        <w:rPr>
          <w:rFonts w:ascii="ITC Avant Garde" w:hAnsi="ITC Avant Garde"/>
        </w:rPr>
      </w:pPr>
      <w:r w:rsidRPr="00724A07">
        <w:rPr>
          <w:rFonts w:ascii="ITC Avant Garde" w:hAnsi="ITC Avant Garde"/>
        </w:rPr>
        <w:t xml:space="preserve">En este sentido, se considera improcedente lo señalado por Telefónica. </w:t>
      </w:r>
    </w:p>
    <w:tbl>
      <w:tblPr>
        <w:tblStyle w:val="Tablaconcuadrcula"/>
        <w:tblW w:w="0" w:type="auto"/>
        <w:jc w:val="center"/>
        <w:shd w:val="clear" w:color="auto" w:fill="C5E0B3" w:themeFill="accent6" w:themeFillTint="66"/>
        <w:tblLook w:val="0600" w:firstRow="0" w:lastRow="0" w:firstColumn="0" w:lastColumn="0" w:noHBand="1" w:noVBand="1"/>
      </w:tblPr>
      <w:tblGrid>
        <w:gridCol w:w="9787"/>
      </w:tblGrid>
      <w:tr w:rsidR="00A165D0" w:rsidRPr="00724A07" w14:paraId="4AD271A7" w14:textId="77777777" w:rsidTr="00D2006C">
        <w:trPr>
          <w:trHeight w:val="20"/>
          <w:jc w:val="center"/>
        </w:trPr>
        <w:tc>
          <w:tcPr>
            <w:tcW w:w="9787" w:type="dxa"/>
            <w:shd w:val="clear" w:color="auto" w:fill="92D050"/>
            <w:vAlign w:val="center"/>
          </w:tcPr>
          <w:p w14:paraId="25A1CA16" w14:textId="659D6393" w:rsidR="00A165D0" w:rsidRPr="00724A07" w:rsidRDefault="00A165D0"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724A07" w14:paraId="02EA047B" w14:textId="77777777" w:rsidTr="00D2006C">
        <w:trPr>
          <w:trHeight w:val="20"/>
          <w:jc w:val="center"/>
        </w:trPr>
        <w:tc>
          <w:tcPr>
            <w:tcW w:w="9787" w:type="dxa"/>
            <w:shd w:val="clear" w:color="auto" w:fill="E2EFD9" w:themeFill="accent6" w:themeFillTint="33"/>
            <w:vAlign w:val="center"/>
          </w:tcPr>
          <w:p w14:paraId="06BC12CB" w14:textId="77777777" w:rsidR="00C7449E" w:rsidRPr="007C2396" w:rsidRDefault="00C7449E" w:rsidP="00D2006C">
            <w:pPr>
              <w:pStyle w:val="Default"/>
              <w:spacing w:after="120"/>
              <w:jc w:val="both"/>
              <w:rPr>
                <w:rFonts w:ascii="ITC Avant Garde" w:hAnsi="ITC Avant Garde"/>
                <w:i/>
                <w:sz w:val="18"/>
                <w:szCs w:val="18"/>
              </w:rPr>
            </w:pPr>
            <w:r w:rsidRPr="007C2396">
              <w:rPr>
                <w:rFonts w:ascii="ITC Avant Garde" w:hAnsi="ITC Avant Garde"/>
                <w:i/>
                <w:sz w:val="18"/>
                <w:szCs w:val="18"/>
              </w:rPr>
              <w:t>“</w:t>
            </w:r>
            <w:r w:rsidRPr="00B425DB">
              <w:rPr>
                <w:rFonts w:ascii="ITC Avant Garde" w:hAnsi="ITC Avant Garde"/>
                <w:iCs/>
                <w:sz w:val="18"/>
                <w:szCs w:val="18"/>
              </w:rPr>
              <w:t>(…)</w:t>
            </w:r>
            <w:r>
              <w:rPr>
                <w:rFonts w:ascii="ITC Avant Garde" w:hAnsi="ITC Avant Garde"/>
                <w:iCs/>
                <w:sz w:val="18"/>
                <w:szCs w:val="18"/>
              </w:rPr>
              <w:t xml:space="preserve"> </w:t>
            </w:r>
            <w:r w:rsidRPr="007C2396">
              <w:rPr>
                <w:rFonts w:ascii="ITC Avant Garde" w:hAnsi="ITC Avant Garde"/>
                <w:i/>
                <w:sz w:val="18"/>
                <w:szCs w:val="18"/>
              </w:rPr>
              <w:t>el posicionamiento inicial del Instituto respecto a la posibilidad de que la determinación específica del mercado relevante pueda depender de la información y evidencia disponible es riesgosa, porque implica reconocer que esta autoridad podría ser más laxa o más estricta en la aplicación de la ley de competencia mexicana, dependiendo de su capacidad para tener acceso a mayor o menor información en un caso específico.</w:t>
            </w:r>
          </w:p>
          <w:p w14:paraId="7829A4F3" w14:textId="77777777" w:rsidR="00C7449E" w:rsidRPr="007C2396" w:rsidRDefault="00C7449E" w:rsidP="00D2006C">
            <w:pPr>
              <w:pStyle w:val="Default"/>
              <w:spacing w:after="120"/>
              <w:jc w:val="both"/>
              <w:rPr>
                <w:rFonts w:ascii="ITC Avant Garde" w:hAnsi="ITC Avant Garde"/>
                <w:i/>
                <w:sz w:val="18"/>
                <w:szCs w:val="18"/>
              </w:rPr>
            </w:pPr>
            <w:r w:rsidRPr="007C2396">
              <w:rPr>
                <w:rFonts w:ascii="ITC Avant Garde" w:hAnsi="ITC Avant Garde"/>
                <w:i/>
                <w:sz w:val="18"/>
                <w:szCs w:val="18"/>
              </w:rPr>
              <w:t>9. La perspectiva anterior, no es consistente con el posicionamiento que el Instituto en su calidad de autoridad de competencia debería tener. Por el contrario, el posicionamiento natural de cualquier autoridad de competencia es manifestar, explícitamente, que determinará mercados relevantes haciendo uso de la mejor información disponible</w:t>
            </w:r>
            <w:r>
              <w:rPr>
                <w:rFonts w:ascii="ITC Avant Garde" w:hAnsi="ITC Avant Garde"/>
                <w:i/>
                <w:sz w:val="18"/>
                <w:szCs w:val="18"/>
              </w:rPr>
              <w:t xml:space="preserve"> </w:t>
            </w:r>
            <w:r w:rsidRPr="009F3CDF">
              <w:rPr>
                <w:rFonts w:ascii="ITC Avant Garde" w:hAnsi="ITC Avant Garde"/>
                <w:iCs/>
                <w:sz w:val="18"/>
                <w:szCs w:val="18"/>
              </w:rPr>
              <w:t>(…)</w:t>
            </w:r>
          </w:p>
          <w:p w14:paraId="065EEE56" w14:textId="70A9E8BF" w:rsidR="0013185D" w:rsidRPr="00724A07" w:rsidRDefault="00C7449E" w:rsidP="00D2006C">
            <w:pPr>
              <w:pStyle w:val="Default"/>
              <w:spacing w:after="120"/>
              <w:jc w:val="both"/>
              <w:rPr>
                <w:rFonts w:ascii="ITC Avant Garde" w:hAnsi="ITC Avant Garde"/>
                <w:i/>
                <w:sz w:val="18"/>
                <w:szCs w:val="18"/>
              </w:rPr>
            </w:pPr>
            <w:r w:rsidRPr="007C2396">
              <w:rPr>
                <w:rFonts w:ascii="ITC Avant Garde" w:hAnsi="ITC Avant Garde"/>
                <w:i/>
                <w:sz w:val="18"/>
                <w:szCs w:val="18"/>
              </w:rPr>
              <w:t>10. Por otra parte, se considera innecesario que el Instituto haga referencia a que la determinación del mercado relevante podría ser afectada por la “temporalidad”</w:t>
            </w:r>
            <w:r>
              <w:rPr>
                <w:rFonts w:ascii="ITC Avant Garde" w:hAnsi="ITC Avant Garde"/>
                <w:i/>
                <w:sz w:val="18"/>
                <w:szCs w:val="18"/>
              </w:rPr>
              <w:t xml:space="preserve"> </w:t>
            </w:r>
            <w:r w:rsidRPr="009F3CDF">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No es equivocado el posicionamiento del Instituto, pero es punto que resulta innecesario destacar.”</w:t>
            </w:r>
          </w:p>
        </w:tc>
      </w:tr>
    </w:tbl>
    <w:p w14:paraId="3A7E1D18" w14:textId="556EA803" w:rsidR="009048E1" w:rsidRPr="00724A07" w:rsidRDefault="00726313" w:rsidP="00726313">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5182B2C5" w14:textId="19BC9724" w:rsidR="0013185D" w:rsidRPr="00724A07" w:rsidRDefault="0041717E" w:rsidP="009048E1">
      <w:pPr>
        <w:spacing w:after="120" w:line="240" w:lineRule="auto"/>
        <w:jc w:val="both"/>
        <w:rPr>
          <w:rFonts w:ascii="ITC Avant Garde" w:hAnsi="ITC Avant Garde"/>
        </w:rPr>
      </w:pPr>
      <w:r w:rsidRPr="00724A07">
        <w:rPr>
          <w:rFonts w:ascii="ITC Avant Garde" w:hAnsi="ITC Avant Garde"/>
          <w:color w:val="000000"/>
        </w:rPr>
        <w:t xml:space="preserve">En primer lugar, </w:t>
      </w:r>
      <w:r w:rsidR="000E06E9" w:rsidRPr="00724A07">
        <w:rPr>
          <w:rFonts w:ascii="ITC Avant Garde" w:hAnsi="ITC Avant Garde"/>
          <w:color w:val="000000"/>
        </w:rPr>
        <w:t xml:space="preserve">se considera improcedente </w:t>
      </w:r>
      <w:r w:rsidR="0013185D" w:rsidRPr="00724A07">
        <w:rPr>
          <w:rFonts w:ascii="ITC Avant Garde" w:hAnsi="ITC Avant Garde"/>
        </w:rPr>
        <w:t xml:space="preserve">la sugerencia de Telefónica </w:t>
      </w:r>
      <w:r w:rsidR="00FF0824" w:rsidRPr="00724A07">
        <w:rPr>
          <w:rFonts w:ascii="ITC Avant Garde" w:hAnsi="ITC Avant Garde"/>
        </w:rPr>
        <w:t xml:space="preserve">respecto a </w:t>
      </w:r>
      <w:r w:rsidR="0013185D" w:rsidRPr="00724A07">
        <w:rPr>
          <w:rFonts w:ascii="ITC Avant Garde" w:hAnsi="ITC Avant Garde"/>
        </w:rPr>
        <w:t xml:space="preserve">que el Anteproyecto </w:t>
      </w:r>
      <w:r w:rsidR="00FF0824" w:rsidRPr="00724A07">
        <w:rPr>
          <w:rFonts w:ascii="ITC Avant Garde" w:hAnsi="ITC Avant Garde"/>
        </w:rPr>
        <w:t xml:space="preserve">de Guía </w:t>
      </w:r>
      <w:r w:rsidR="0013185D" w:rsidRPr="00724A07">
        <w:rPr>
          <w:rFonts w:ascii="ITC Avant Garde" w:hAnsi="ITC Avant Garde"/>
        </w:rPr>
        <w:t xml:space="preserve">no </w:t>
      </w:r>
      <w:r w:rsidR="00FF0824" w:rsidRPr="00724A07">
        <w:rPr>
          <w:rFonts w:ascii="ITC Avant Garde" w:hAnsi="ITC Avant Garde"/>
        </w:rPr>
        <w:t>debe señalar que</w:t>
      </w:r>
      <w:r w:rsidR="0013185D" w:rsidRPr="00724A07">
        <w:rPr>
          <w:rFonts w:ascii="ITC Avant Garde" w:hAnsi="ITC Avant Garde"/>
        </w:rPr>
        <w:t xml:space="preserve"> la determinación del </w:t>
      </w:r>
      <w:r w:rsidR="000E06E9" w:rsidRPr="00724A07">
        <w:rPr>
          <w:rFonts w:ascii="ITC Avant Garde" w:hAnsi="ITC Avant Garde"/>
        </w:rPr>
        <w:t>MR</w:t>
      </w:r>
      <w:r w:rsidR="0013185D" w:rsidRPr="00724A07">
        <w:rPr>
          <w:rFonts w:ascii="ITC Avant Garde" w:hAnsi="ITC Avant Garde"/>
        </w:rPr>
        <w:t xml:space="preserve"> puede ser afectada por la “</w:t>
      </w:r>
      <w:r w:rsidR="0013185D" w:rsidRPr="00724A07">
        <w:rPr>
          <w:rFonts w:ascii="ITC Avant Garde" w:hAnsi="ITC Avant Garde"/>
          <w:i/>
          <w:iCs/>
        </w:rPr>
        <w:t>temporalidad</w:t>
      </w:r>
      <w:r w:rsidR="0013185D" w:rsidRPr="00724A07">
        <w:rPr>
          <w:rFonts w:ascii="ITC Avant Garde" w:hAnsi="ITC Avant Garde"/>
        </w:rPr>
        <w:t>” t</w:t>
      </w:r>
      <w:r w:rsidR="00FF0824" w:rsidRPr="00724A07">
        <w:rPr>
          <w:rFonts w:ascii="ITC Avant Garde" w:hAnsi="ITC Avant Garde"/>
        </w:rPr>
        <w:t>o</w:t>
      </w:r>
      <w:r w:rsidR="0013185D" w:rsidRPr="00724A07">
        <w:rPr>
          <w:rFonts w:ascii="ITC Avant Garde" w:hAnsi="ITC Avant Garde"/>
        </w:rPr>
        <w:t>da vez que</w:t>
      </w:r>
      <w:r w:rsidR="00435495">
        <w:rPr>
          <w:rFonts w:ascii="ITC Avant Garde" w:hAnsi="ITC Avant Garde"/>
        </w:rPr>
        <w:t xml:space="preserve"> </w:t>
      </w:r>
      <w:r w:rsidR="00FF0824" w:rsidRPr="00724A07">
        <w:rPr>
          <w:rFonts w:ascii="ITC Avant Garde" w:hAnsi="ITC Avant Garde"/>
        </w:rPr>
        <w:t>resulta</w:t>
      </w:r>
      <w:r w:rsidR="00435495">
        <w:rPr>
          <w:rFonts w:ascii="ITC Avant Garde" w:hAnsi="ITC Avant Garde"/>
        </w:rPr>
        <w:t>ría</w:t>
      </w:r>
      <w:r w:rsidR="0013185D" w:rsidRPr="00724A07">
        <w:rPr>
          <w:rFonts w:ascii="ITC Avant Garde" w:hAnsi="ITC Avant Garde"/>
        </w:rPr>
        <w:t xml:space="preserve"> </w:t>
      </w:r>
      <w:r w:rsidR="00FF0824" w:rsidRPr="00724A07">
        <w:rPr>
          <w:rFonts w:ascii="ITC Avant Garde" w:hAnsi="ITC Avant Garde"/>
        </w:rPr>
        <w:t>innecesario. Lo anterior</w:t>
      </w:r>
      <w:r w:rsidR="00694B5C" w:rsidRPr="00724A07">
        <w:rPr>
          <w:rFonts w:ascii="ITC Avant Garde" w:hAnsi="ITC Avant Garde"/>
        </w:rPr>
        <w:t>,</w:t>
      </w:r>
      <w:r w:rsidR="00FF0824" w:rsidRPr="00724A07">
        <w:rPr>
          <w:rFonts w:ascii="ITC Avant Garde" w:hAnsi="ITC Avant Garde"/>
        </w:rPr>
        <w:t xml:space="preserve"> </w:t>
      </w:r>
      <w:r w:rsidR="00435495">
        <w:rPr>
          <w:rFonts w:ascii="ITC Avant Garde" w:hAnsi="ITC Avant Garde"/>
        </w:rPr>
        <w:t>ya</w:t>
      </w:r>
      <w:r w:rsidR="00FF0824" w:rsidRPr="00724A07">
        <w:rPr>
          <w:rFonts w:ascii="ITC Avant Garde" w:hAnsi="ITC Avant Garde"/>
        </w:rPr>
        <w:t xml:space="preserve"> que</w:t>
      </w:r>
      <w:r w:rsidR="000E06E9" w:rsidRPr="00724A07">
        <w:rPr>
          <w:rFonts w:ascii="ITC Avant Garde" w:hAnsi="ITC Avant Garde"/>
        </w:rPr>
        <w:t xml:space="preserve"> </w:t>
      </w:r>
      <w:r w:rsidR="00FF0824" w:rsidRPr="00724A07">
        <w:rPr>
          <w:rFonts w:ascii="ITC Avant Garde" w:hAnsi="ITC Avant Garde"/>
        </w:rPr>
        <w:t xml:space="preserve">el </w:t>
      </w:r>
      <w:r w:rsidR="000E06E9" w:rsidRPr="00724A07">
        <w:rPr>
          <w:rFonts w:ascii="ITC Avant Garde" w:hAnsi="ITC Avant Garde"/>
        </w:rPr>
        <w:t>A</w:t>
      </w:r>
      <w:r w:rsidR="00FF0824" w:rsidRPr="00724A07">
        <w:rPr>
          <w:rFonts w:ascii="ITC Avant Garde" w:hAnsi="ITC Avant Garde"/>
        </w:rPr>
        <w:t>nteproyecto</w:t>
      </w:r>
      <w:r w:rsidR="000E06E9" w:rsidRPr="00724A07">
        <w:rPr>
          <w:rFonts w:ascii="ITC Avant Garde" w:hAnsi="ITC Avant Garde"/>
        </w:rPr>
        <w:t xml:space="preserve"> de Guía</w:t>
      </w:r>
      <w:r w:rsidR="00FF0824" w:rsidRPr="00724A07">
        <w:rPr>
          <w:rFonts w:ascii="ITC Avant Garde" w:hAnsi="ITC Avant Garde"/>
        </w:rPr>
        <w:t xml:space="preserve"> </w:t>
      </w:r>
      <w:r w:rsidR="000E06E9" w:rsidRPr="00724A07">
        <w:rPr>
          <w:rFonts w:ascii="ITC Avant Garde" w:hAnsi="ITC Avant Garde"/>
        </w:rPr>
        <w:t xml:space="preserve">busca </w:t>
      </w:r>
      <w:r w:rsidR="00FF0824" w:rsidRPr="00724A07">
        <w:rPr>
          <w:rFonts w:ascii="ITC Avant Garde" w:hAnsi="ITC Avant Garde"/>
        </w:rPr>
        <w:t>incrementar la transparencia</w:t>
      </w:r>
      <w:r w:rsidR="00BF4A9E" w:rsidRPr="00724A07">
        <w:rPr>
          <w:rFonts w:ascii="ITC Avant Garde" w:hAnsi="ITC Avant Garde"/>
        </w:rPr>
        <w:t>, así como</w:t>
      </w:r>
      <w:r w:rsidR="00FF0824" w:rsidRPr="00724A07">
        <w:rPr>
          <w:rFonts w:ascii="ITC Avant Garde" w:hAnsi="ITC Avant Garde"/>
        </w:rPr>
        <w:t xml:space="preserve"> orientar a los </w:t>
      </w:r>
      <w:r w:rsidR="001C37F7" w:rsidRPr="00724A07">
        <w:rPr>
          <w:rFonts w:ascii="ITC Avant Garde" w:hAnsi="ITC Avant Garde"/>
        </w:rPr>
        <w:t>agentes económicos</w:t>
      </w:r>
      <w:r w:rsidR="00FF0824" w:rsidRPr="00724A07">
        <w:rPr>
          <w:rFonts w:ascii="ITC Avant Garde" w:hAnsi="ITC Avant Garde"/>
        </w:rPr>
        <w:t xml:space="preserve">, a los interesados y a la sociedad en general, respecto a los criterios, elementos y herramientas que podrá considerar el Instituto en la determinación de MR en </w:t>
      </w:r>
      <w:r w:rsidR="00C80D91" w:rsidRPr="00724A07">
        <w:rPr>
          <w:rFonts w:ascii="ITC Avant Garde" w:hAnsi="ITC Avant Garde"/>
        </w:rPr>
        <w:t xml:space="preserve">los </w:t>
      </w:r>
      <w:r w:rsidR="00FF0824" w:rsidRPr="00724A07">
        <w:rPr>
          <w:rFonts w:ascii="ITC Avant Garde" w:hAnsi="ITC Avant Garde"/>
        </w:rPr>
        <w:t xml:space="preserve">análisis de competencia económica en los sectores de </w:t>
      </w:r>
      <w:proofErr w:type="spellStart"/>
      <w:r w:rsidR="00FF0824" w:rsidRPr="00724A07">
        <w:rPr>
          <w:rFonts w:ascii="ITC Avant Garde" w:hAnsi="ITC Avant Garde"/>
        </w:rPr>
        <w:t>TyR</w:t>
      </w:r>
      <w:proofErr w:type="spellEnd"/>
      <w:r w:rsidR="00FF0824" w:rsidRPr="00724A07">
        <w:rPr>
          <w:rFonts w:ascii="ITC Avant Garde" w:hAnsi="ITC Avant Garde"/>
        </w:rPr>
        <w:t>.</w:t>
      </w:r>
    </w:p>
    <w:p w14:paraId="4932BA82" w14:textId="684928BD" w:rsidR="009048E1" w:rsidRPr="00724A07" w:rsidRDefault="0041717E" w:rsidP="00DE6155">
      <w:pPr>
        <w:spacing w:after="120" w:line="240" w:lineRule="auto"/>
        <w:jc w:val="both"/>
        <w:rPr>
          <w:rFonts w:ascii="ITC Avant Garde" w:hAnsi="ITC Avant Garde"/>
        </w:rPr>
      </w:pPr>
      <w:r w:rsidRPr="001A232A">
        <w:rPr>
          <w:rFonts w:ascii="ITC Avant Garde" w:hAnsi="ITC Avant Garde"/>
          <w:color w:val="000000"/>
        </w:rPr>
        <w:t xml:space="preserve">En segundo lugar, </w:t>
      </w:r>
      <w:r w:rsidR="009B4F1A" w:rsidRPr="001A232A">
        <w:rPr>
          <w:rFonts w:ascii="ITC Avant Garde" w:hAnsi="ITC Avant Garde"/>
          <w:color w:val="000000"/>
        </w:rPr>
        <w:t xml:space="preserve">se considera </w:t>
      </w:r>
      <w:r w:rsidR="00D727AE" w:rsidRPr="001A232A">
        <w:rPr>
          <w:rFonts w:ascii="ITC Avant Garde" w:hAnsi="ITC Avant Garde"/>
          <w:color w:val="000000"/>
        </w:rPr>
        <w:t>im</w:t>
      </w:r>
      <w:r w:rsidR="009B4F1A" w:rsidRPr="001A232A">
        <w:rPr>
          <w:rFonts w:ascii="ITC Avant Garde" w:hAnsi="ITC Avant Garde"/>
          <w:color w:val="000000"/>
        </w:rPr>
        <w:t xml:space="preserve">procedente </w:t>
      </w:r>
      <w:r w:rsidR="00A165D0" w:rsidRPr="001A232A">
        <w:rPr>
          <w:rFonts w:ascii="ITC Avant Garde" w:hAnsi="ITC Avant Garde"/>
        </w:rPr>
        <w:t>l</w:t>
      </w:r>
      <w:r w:rsidR="005E5E74" w:rsidRPr="001A232A">
        <w:rPr>
          <w:rFonts w:ascii="ITC Avant Garde" w:hAnsi="ITC Avant Garde"/>
        </w:rPr>
        <w:t>a</w:t>
      </w:r>
      <w:r w:rsidR="00A165D0" w:rsidRPr="001A232A">
        <w:rPr>
          <w:rFonts w:ascii="ITC Avant Garde" w:hAnsi="ITC Avant Garde"/>
        </w:rPr>
        <w:t xml:space="preserve"> </w:t>
      </w:r>
      <w:r w:rsidR="005E5E74" w:rsidRPr="001A232A">
        <w:rPr>
          <w:rFonts w:ascii="ITC Avant Garde" w:hAnsi="ITC Avant Garde"/>
        </w:rPr>
        <w:t xml:space="preserve">sugerencia </w:t>
      </w:r>
      <w:r w:rsidR="00A5553A" w:rsidRPr="001A232A">
        <w:rPr>
          <w:rFonts w:ascii="ITC Avant Garde" w:hAnsi="ITC Avant Garde"/>
        </w:rPr>
        <w:t xml:space="preserve">de Telefónica </w:t>
      </w:r>
      <w:r w:rsidR="005E5E74" w:rsidRPr="001A232A">
        <w:rPr>
          <w:rFonts w:ascii="ITC Avant Garde" w:hAnsi="ITC Avant Garde"/>
        </w:rPr>
        <w:t>de modificar la redacción del Anteproyecto de Guía</w:t>
      </w:r>
      <w:r w:rsidR="009B4F1A" w:rsidRPr="001A232A">
        <w:rPr>
          <w:rFonts w:ascii="ITC Avant Garde" w:hAnsi="ITC Avant Garde"/>
        </w:rPr>
        <w:t>,</w:t>
      </w:r>
      <w:r w:rsidR="005E5E74" w:rsidRPr="001A232A">
        <w:rPr>
          <w:rFonts w:ascii="ITC Avant Garde" w:hAnsi="ITC Avant Garde"/>
        </w:rPr>
        <w:t xml:space="preserve"> de manera que se establezca que el Instituto determinará los </w:t>
      </w:r>
      <w:r w:rsidR="009B4F1A" w:rsidRPr="001A232A">
        <w:rPr>
          <w:rFonts w:ascii="ITC Avant Garde" w:hAnsi="ITC Avant Garde"/>
        </w:rPr>
        <w:t>MR</w:t>
      </w:r>
      <w:r w:rsidR="005E5E74" w:rsidRPr="001A232A">
        <w:rPr>
          <w:rFonts w:ascii="ITC Avant Garde" w:hAnsi="ITC Avant Garde"/>
        </w:rPr>
        <w:t xml:space="preserve"> haciendo uso de la mejor información y evidencia disponibles</w:t>
      </w:r>
      <w:r w:rsidR="00D727AE" w:rsidRPr="001A232A">
        <w:rPr>
          <w:rFonts w:ascii="ITC Avant Garde" w:hAnsi="ITC Avant Garde"/>
        </w:rPr>
        <w:t>, toda vez que el Anteproyecto ya lo establec</w:t>
      </w:r>
      <w:r w:rsidR="00A055E3" w:rsidRPr="001A232A">
        <w:rPr>
          <w:rFonts w:ascii="ITC Avant Garde" w:hAnsi="ITC Avant Garde"/>
        </w:rPr>
        <w:t>e</w:t>
      </w:r>
      <w:r w:rsidR="00D727AE" w:rsidRPr="001A232A">
        <w:rPr>
          <w:rFonts w:ascii="ITC Avant Garde" w:hAnsi="ITC Avant Garde"/>
        </w:rPr>
        <w:t xml:space="preserve">. No obstante, a efecto de dotar de mayor claridad a lo previsto en el Anteproyecto de Guía se considera procedente </w:t>
      </w:r>
      <w:r w:rsidR="00ED0FDC" w:rsidRPr="001A232A">
        <w:rPr>
          <w:rFonts w:ascii="ITC Avant Garde" w:hAnsi="ITC Avant Garde"/>
        </w:rPr>
        <w:t>modifica</w:t>
      </w:r>
      <w:r w:rsidR="00D727AE" w:rsidRPr="001A232A">
        <w:rPr>
          <w:rFonts w:ascii="ITC Avant Garde" w:hAnsi="ITC Avant Garde"/>
        </w:rPr>
        <w:t>r</w:t>
      </w:r>
      <w:r w:rsidR="00ED0FDC" w:rsidRPr="001A232A">
        <w:rPr>
          <w:rFonts w:ascii="ITC Avant Garde" w:hAnsi="ITC Avant Garde"/>
        </w:rPr>
        <w:t xml:space="preserve"> la sección “</w:t>
      </w:r>
      <w:r w:rsidR="00ED0FDC" w:rsidRPr="001A232A">
        <w:rPr>
          <w:rFonts w:ascii="ITC Avant Garde" w:hAnsi="ITC Avant Garde"/>
          <w:i/>
          <w:iCs/>
        </w:rPr>
        <w:t>1. Presentación</w:t>
      </w:r>
      <w:r w:rsidR="00ED0FDC" w:rsidRPr="001A232A">
        <w:rPr>
          <w:rFonts w:ascii="ITC Avant Garde" w:hAnsi="ITC Avant Garde"/>
        </w:rPr>
        <w:t xml:space="preserve">”, </w:t>
      </w:r>
      <w:r w:rsidR="00D25732" w:rsidRPr="001A232A">
        <w:rPr>
          <w:rFonts w:ascii="ITC Avant Garde" w:hAnsi="ITC Avant Garde"/>
        </w:rPr>
        <w:t>para quedar de la siguiente manera</w:t>
      </w:r>
      <w:r w:rsidR="00ED0FDC" w:rsidRPr="001A232A">
        <w:rPr>
          <w:rFonts w:ascii="ITC Avant Garde" w:hAnsi="ITC Avant Garde"/>
        </w:rPr>
        <w:t>:</w:t>
      </w:r>
    </w:p>
    <w:tbl>
      <w:tblPr>
        <w:tblStyle w:val="Tablaconcuadrcula"/>
        <w:tblW w:w="0" w:type="auto"/>
        <w:jc w:val="center"/>
        <w:tblLook w:val="04A0" w:firstRow="1" w:lastRow="0" w:firstColumn="1" w:lastColumn="0" w:noHBand="0" w:noVBand="1"/>
      </w:tblPr>
      <w:tblGrid>
        <w:gridCol w:w="4830"/>
        <w:gridCol w:w="4829"/>
      </w:tblGrid>
      <w:tr w:rsidR="009048E1" w:rsidRPr="00724A07" w14:paraId="3132A6D8" w14:textId="77777777" w:rsidTr="00D2006C">
        <w:trPr>
          <w:jc w:val="center"/>
        </w:trPr>
        <w:tc>
          <w:tcPr>
            <w:tcW w:w="4830" w:type="dxa"/>
            <w:shd w:val="clear" w:color="auto" w:fill="92D050"/>
            <w:vAlign w:val="center"/>
          </w:tcPr>
          <w:p w14:paraId="3A29DBAD" w14:textId="3D5900C4" w:rsidR="009048E1" w:rsidRPr="00724A07" w:rsidRDefault="009048E1" w:rsidP="007A390D">
            <w:pPr>
              <w:keepNext/>
              <w:spacing w:after="0" w:line="240" w:lineRule="auto"/>
              <w:jc w:val="center"/>
              <w:rPr>
                <w:rFonts w:ascii="ITC Avant Garde" w:hAnsi="ITC Avant Garde"/>
                <w:b/>
                <w:sz w:val="18"/>
                <w:szCs w:val="18"/>
              </w:rPr>
            </w:pPr>
            <w:r w:rsidRPr="00724A07">
              <w:rPr>
                <w:rFonts w:ascii="ITC Avant Garde" w:hAnsi="ITC Avant Garde"/>
                <w:b/>
                <w:sz w:val="18"/>
                <w:szCs w:val="18"/>
              </w:rPr>
              <w:t xml:space="preserve">Anteproyecto de </w:t>
            </w:r>
            <w:r w:rsidR="002B6331" w:rsidRPr="00724A07">
              <w:rPr>
                <w:rFonts w:ascii="ITC Avant Garde" w:hAnsi="ITC Avant Garde"/>
                <w:b/>
                <w:sz w:val="18"/>
                <w:szCs w:val="18"/>
              </w:rPr>
              <w:t>Guía</w:t>
            </w:r>
          </w:p>
        </w:tc>
        <w:tc>
          <w:tcPr>
            <w:tcW w:w="4829" w:type="dxa"/>
            <w:shd w:val="clear" w:color="auto" w:fill="92D050"/>
            <w:vAlign w:val="center"/>
          </w:tcPr>
          <w:p w14:paraId="72DD5C81" w14:textId="2BA78471" w:rsidR="009048E1" w:rsidRPr="00724A07" w:rsidRDefault="009048E1" w:rsidP="007A390D">
            <w:pPr>
              <w:keepNext/>
              <w:spacing w:after="0" w:line="240" w:lineRule="auto"/>
              <w:jc w:val="center"/>
              <w:rPr>
                <w:rFonts w:ascii="ITC Avant Garde" w:hAnsi="ITC Avant Garde"/>
                <w:b/>
                <w:sz w:val="18"/>
                <w:szCs w:val="18"/>
              </w:rPr>
            </w:pPr>
            <w:r w:rsidRPr="00724A07">
              <w:rPr>
                <w:rFonts w:ascii="ITC Avant Garde" w:hAnsi="ITC Avant Garde"/>
                <w:b/>
                <w:sz w:val="18"/>
                <w:szCs w:val="18"/>
              </w:rPr>
              <w:t xml:space="preserve">Modificación al Anteproyecto de </w:t>
            </w:r>
            <w:r w:rsidR="002B6331" w:rsidRPr="00724A07">
              <w:rPr>
                <w:rFonts w:ascii="ITC Avant Garde" w:hAnsi="ITC Avant Garde"/>
                <w:b/>
                <w:sz w:val="18"/>
                <w:szCs w:val="18"/>
              </w:rPr>
              <w:t>Guía</w:t>
            </w:r>
          </w:p>
        </w:tc>
      </w:tr>
      <w:tr w:rsidR="009048E1" w:rsidRPr="00724A07" w14:paraId="44808BDC" w14:textId="77777777" w:rsidTr="00D2006C">
        <w:trPr>
          <w:jc w:val="center"/>
        </w:trPr>
        <w:tc>
          <w:tcPr>
            <w:tcW w:w="4830" w:type="dxa"/>
            <w:shd w:val="clear" w:color="auto" w:fill="auto"/>
          </w:tcPr>
          <w:p w14:paraId="0637F601" w14:textId="19432C88" w:rsidR="002B6331" w:rsidRPr="00724A07" w:rsidRDefault="002B6331" w:rsidP="007A390D">
            <w:pPr>
              <w:keepNext/>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1.</w:t>
            </w:r>
            <w:r w:rsidRPr="00724A07">
              <w:rPr>
                <w:rFonts w:ascii="ITC Avant Garde" w:hAnsi="ITC Avant Garde" w:cs="Arial"/>
                <w:b/>
                <w:bCs/>
                <w:sz w:val="18"/>
                <w:szCs w:val="18"/>
              </w:rPr>
              <w:tab/>
              <w:t>Presentación (párrafo tercero)</w:t>
            </w:r>
          </w:p>
          <w:p w14:paraId="0BA4CA5D" w14:textId="7F1BD545" w:rsidR="002B6331" w:rsidRPr="00724A07" w:rsidRDefault="002B6331" w:rsidP="007A390D">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 La determinación específica del MR que adopte el Pleno del Instituto dependerá de los objetivos del procedimiento en el que se encuentre el análisis y de las condiciones particulares del caso, tales como: i) el tipo de enfoque (retrospectivo en las investigaciones de PMR y prospectivo en casos de concentraciones),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la temporalidad (en la determinación del MR es posible que las condiciones varíen en el tiempo, por lo que la delimitación del MR para un producto en el tiempo</w:t>
            </w:r>
            <w:r w:rsidRPr="00724A07">
              <w:rPr>
                <w:rFonts w:ascii="ITC Avant Garde" w:hAnsi="ITC Avant Garde" w:cs="Arial"/>
                <w:i/>
                <w:iCs/>
                <w:sz w:val="18"/>
                <w:szCs w:val="18"/>
              </w:rPr>
              <w:t xml:space="preserve"> t</w:t>
            </w:r>
            <w:r w:rsidRPr="00724A07">
              <w:rPr>
                <w:rFonts w:ascii="ITC Avant Garde" w:hAnsi="ITC Avant Garde" w:cs="Arial"/>
                <w:sz w:val="18"/>
                <w:szCs w:val="18"/>
              </w:rPr>
              <w:t xml:space="preserve"> puede ser distinta a la que se defina en el tiempo </w:t>
            </w:r>
            <w:r w:rsidRPr="00724A07">
              <w:rPr>
                <w:rFonts w:ascii="ITC Avant Garde" w:hAnsi="ITC Avant Garde" w:cs="Arial"/>
                <w:i/>
                <w:iCs/>
                <w:sz w:val="18"/>
                <w:szCs w:val="18"/>
              </w:rPr>
              <w:t>t+1</w:t>
            </w:r>
            <w:r w:rsidRPr="00724A07">
              <w:rPr>
                <w:rFonts w:ascii="ITC Avant Garde" w:hAnsi="ITC Avant Garde" w:cs="Arial"/>
                <w:sz w:val="18"/>
                <w:szCs w:val="18"/>
              </w:rPr>
              <w:t xml:space="preserve">; esas variaciones pueden deberse a factores como la innovación, estrategias de los proveedores, cambios regulatorios, entre otros), y </w:t>
            </w:r>
            <w:proofErr w:type="spellStart"/>
            <w:r w:rsidRPr="00724A07">
              <w:rPr>
                <w:rFonts w:ascii="ITC Avant Garde" w:hAnsi="ITC Avant Garde" w:cs="Arial"/>
                <w:sz w:val="18"/>
                <w:szCs w:val="18"/>
              </w:rPr>
              <w:t>iii</w:t>
            </w:r>
            <w:proofErr w:type="spellEnd"/>
            <w:r w:rsidRPr="00724A07">
              <w:rPr>
                <w:rFonts w:ascii="ITC Avant Garde" w:hAnsi="ITC Avant Garde" w:cs="Arial"/>
                <w:sz w:val="18"/>
                <w:szCs w:val="18"/>
              </w:rPr>
              <w:t>) la información y evidencia disponibles.</w:t>
            </w:r>
          </w:p>
        </w:tc>
        <w:tc>
          <w:tcPr>
            <w:tcW w:w="4829" w:type="dxa"/>
            <w:shd w:val="clear" w:color="auto" w:fill="auto"/>
          </w:tcPr>
          <w:p w14:paraId="7ECC582F" w14:textId="77777777" w:rsidR="002B6331" w:rsidRPr="00724A07" w:rsidRDefault="002B6331" w:rsidP="007A390D">
            <w:pPr>
              <w:keepNext/>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1.</w:t>
            </w:r>
            <w:r w:rsidRPr="00724A07">
              <w:rPr>
                <w:rFonts w:ascii="ITC Avant Garde" w:hAnsi="ITC Avant Garde" w:cs="Arial"/>
                <w:b/>
                <w:bCs/>
                <w:sz w:val="18"/>
                <w:szCs w:val="18"/>
              </w:rPr>
              <w:tab/>
              <w:t>Presentación (párrafo tercero)</w:t>
            </w:r>
          </w:p>
          <w:p w14:paraId="6C77A1A1" w14:textId="594DE96A" w:rsidR="009048E1" w:rsidRPr="00724A07" w:rsidRDefault="002B6331" w:rsidP="007A390D">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 La determinación específica del MR que adopte el Pleno del Instituto dependerá de los objetivos del procedimiento en el que se encuentre el análisis y de las condiciones particulares del caso, tales como: i) el tipo de enfoque (retrospectivo en las investigaciones de PMR y prospectivo en casos de concentraciones), </w:t>
            </w:r>
            <w:r w:rsidRPr="00724A07">
              <w:rPr>
                <w:rFonts w:ascii="ITC Avant Garde" w:hAnsi="ITC Avant Garde" w:cs="Arial"/>
                <w:sz w:val="18"/>
                <w:szCs w:val="18"/>
                <w:u w:val="single"/>
              </w:rPr>
              <w:t>y</w:t>
            </w:r>
            <w:r w:rsidRPr="00724A07">
              <w:rPr>
                <w:rFonts w:ascii="ITC Avant Garde" w:hAnsi="ITC Avant Garde" w:cs="Arial"/>
                <w:sz w:val="18"/>
                <w:szCs w:val="18"/>
              </w:rPr>
              <w:t xml:space="preserve">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xml:space="preserve">) la temporalidad (en la determinación del MR es posible que las condiciones varíen en el tiempo, por lo que la delimitación del MR para un producto en el tiempo </w:t>
            </w:r>
            <w:r w:rsidRPr="00724A07">
              <w:rPr>
                <w:rFonts w:ascii="ITC Avant Garde" w:hAnsi="ITC Avant Garde" w:cs="Arial"/>
                <w:i/>
                <w:iCs/>
                <w:sz w:val="18"/>
                <w:szCs w:val="18"/>
              </w:rPr>
              <w:t>t</w:t>
            </w:r>
            <w:r w:rsidRPr="00724A07">
              <w:rPr>
                <w:rFonts w:ascii="ITC Avant Garde" w:hAnsi="ITC Avant Garde" w:cs="Arial"/>
                <w:sz w:val="18"/>
                <w:szCs w:val="18"/>
              </w:rPr>
              <w:t xml:space="preserve"> puede ser distinta a la que se defina en el tiempo </w:t>
            </w:r>
            <w:r w:rsidRPr="00724A07">
              <w:rPr>
                <w:rFonts w:ascii="ITC Avant Garde" w:hAnsi="ITC Avant Garde" w:cs="Arial"/>
                <w:i/>
                <w:iCs/>
                <w:sz w:val="18"/>
                <w:szCs w:val="18"/>
              </w:rPr>
              <w:t>t+1</w:t>
            </w:r>
            <w:r w:rsidRPr="00724A07">
              <w:rPr>
                <w:rFonts w:ascii="ITC Avant Garde" w:hAnsi="ITC Avant Garde" w:cs="Arial"/>
                <w:sz w:val="18"/>
                <w:szCs w:val="18"/>
              </w:rPr>
              <w:t xml:space="preserve">; esas variaciones pueden deberse a factores como la innovación, estrategias de los proveedores, cambios regulatorios, entre otros). </w:t>
            </w:r>
            <w:r w:rsidRPr="00724A07">
              <w:rPr>
                <w:rFonts w:ascii="ITC Avant Garde" w:hAnsi="ITC Avant Garde" w:cs="Arial"/>
                <w:sz w:val="18"/>
                <w:szCs w:val="18"/>
                <w:u w:val="single"/>
              </w:rPr>
              <w:t xml:space="preserve">En todo caso, el Instituto determinará los </w:t>
            </w:r>
            <w:r w:rsidR="003F6D48" w:rsidRPr="00724A07">
              <w:rPr>
                <w:rFonts w:ascii="ITC Avant Garde" w:hAnsi="ITC Avant Garde" w:cs="Arial"/>
                <w:sz w:val="18"/>
                <w:szCs w:val="18"/>
                <w:u w:val="single"/>
              </w:rPr>
              <w:t>MR</w:t>
            </w:r>
            <w:r w:rsidRPr="00724A07">
              <w:rPr>
                <w:rFonts w:ascii="ITC Avant Garde" w:hAnsi="ITC Avant Garde" w:cs="Arial"/>
                <w:sz w:val="18"/>
                <w:szCs w:val="18"/>
                <w:u w:val="single"/>
              </w:rPr>
              <w:t xml:space="preserve"> haciendo uso de la mejor información y evidencia disponibles.</w:t>
            </w:r>
          </w:p>
        </w:tc>
      </w:tr>
    </w:tbl>
    <w:p w14:paraId="2352300B" w14:textId="36814033" w:rsidR="00C46AB1" w:rsidRPr="00724A07" w:rsidRDefault="00C46AB1" w:rsidP="00C46AB1">
      <w:pPr>
        <w:spacing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5FBC45F9" w14:textId="77777777" w:rsidTr="00D2512E">
        <w:trPr>
          <w:trHeight w:val="276"/>
          <w:jc w:val="center"/>
        </w:trPr>
        <w:tc>
          <w:tcPr>
            <w:tcW w:w="9785" w:type="dxa"/>
            <w:shd w:val="clear" w:color="auto" w:fill="92D050"/>
            <w:vAlign w:val="center"/>
          </w:tcPr>
          <w:p w14:paraId="62FB5A18" w14:textId="25D8A03C" w:rsidR="00A165D0" w:rsidRPr="00724A07" w:rsidRDefault="00A165D0"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lastRenderedPageBreak/>
              <w:t>Telefónica</w:t>
            </w:r>
          </w:p>
        </w:tc>
      </w:tr>
      <w:tr w:rsidR="00A165D0" w:rsidRPr="00724A07" w14:paraId="17E84F64" w14:textId="77777777" w:rsidTr="00D2512E">
        <w:trPr>
          <w:trHeight w:val="397"/>
          <w:jc w:val="center"/>
        </w:trPr>
        <w:tc>
          <w:tcPr>
            <w:tcW w:w="9785" w:type="dxa"/>
            <w:shd w:val="clear" w:color="auto" w:fill="E2EFD9" w:themeFill="accent6" w:themeFillTint="33"/>
            <w:vAlign w:val="center"/>
          </w:tcPr>
          <w:p w14:paraId="39A321DB" w14:textId="77777777" w:rsidR="00C7449E" w:rsidRPr="007C2396" w:rsidRDefault="00C7449E" w:rsidP="00D2512E">
            <w:pPr>
              <w:pStyle w:val="Default"/>
              <w:spacing w:after="120"/>
              <w:jc w:val="both"/>
              <w:rPr>
                <w:rFonts w:ascii="ITC Avant Garde" w:hAnsi="ITC Avant Garde"/>
                <w:i/>
                <w:sz w:val="18"/>
                <w:szCs w:val="18"/>
              </w:rPr>
            </w:pPr>
            <w:r w:rsidRPr="007C2396">
              <w:rPr>
                <w:rFonts w:ascii="ITC Avant Garde" w:hAnsi="ITC Avant Garde"/>
                <w:i/>
                <w:sz w:val="18"/>
                <w:szCs w:val="18"/>
              </w:rPr>
              <w:t>“12. Se considera de particular importancia que el Instituto tome en cuenta la experiencia y las definiciones de mercado relevante que, en distintos segmentos del sector de las telecomunicaciones, se hayan elaborado en otras jurisdicciones con una amplia experiencia en materia de política de competencia, como la Comunidad Europea o los Estados Unidos, por citar algunos ejemplos. Esto es, en casos donde técnica y económicamente sea justificable, los mercados relevantes identificados en México no tendrían por qué diferir de los mercados identificados en otras jurisdicciones.</w:t>
            </w:r>
          </w:p>
          <w:p w14:paraId="54D559F1" w14:textId="4256B37D" w:rsidR="00A165D0" w:rsidRPr="00724A07" w:rsidRDefault="00C7449E" w:rsidP="00D2512E">
            <w:pPr>
              <w:pStyle w:val="Default"/>
              <w:spacing w:after="120"/>
              <w:jc w:val="both"/>
              <w:rPr>
                <w:rFonts w:ascii="ITC Avant Garde" w:hAnsi="ITC Avant Garde"/>
                <w:i/>
                <w:sz w:val="18"/>
                <w:szCs w:val="18"/>
              </w:rPr>
            </w:pPr>
            <w:r w:rsidRPr="007C2396">
              <w:rPr>
                <w:rFonts w:ascii="ITC Avant Garde" w:hAnsi="ITC Avant Garde"/>
                <w:i/>
                <w:sz w:val="18"/>
                <w:szCs w:val="18"/>
              </w:rPr>
              <w:t>13. Por otra parte, se considera importante establecer en la guía que, uno de los principios base que deberá gobernar su uso, es que una definición de mercado relevante previamente realizada por el Instituto en un caso particular no puede prejuzgar ni predeterminar una definición de mercado relevante que pudiese ser determinada a la luz del análisis asociado a un caso posterior</w:t>
            </w:r>
            <w:r>
              <w:rPr>
                <w:rFonts w:ascii="ITC Avant Garde" w:hAnsi="ITC Avant Garde"/>
                <w:i/>
                <w:sz w:val="18"/>
                <w:szCs w:val="18"/>
              </w:rPr>
              <w:t xml:space="preserve"> </w:t>
            </w:r>
            <w:r w:rsidRPr="00FA68E7">
              <w:rPr>
                <w:rFonts w:ascii="ITC Avant Garde" w:hAnsi="ITC Avant Garde"/>
                <w:iCs/>
                <w:sz w:val="18"/>
                <w:szCs w:val="18"/>
              </w:rPr>
              <w:t>(…)</w:t>
            </w:r>
            <w:r w:rsidRPr="007C2396">
              <w:rPr>
                <w:rFonts w:ascii="ITC Avant Garde" w:hAnsi="ITC Avant Garde"/>
                <w:i/>
                <w:sz w:val="18"/>
                <w:szCs w:val="18"/>
              </w:rPr>
              <w:t>”</w:t>
            </w:r>
          </w:p>
        </w:tc>
      </w:tr>
    </w:tbl>
    <w:p w14:paraId="1263E65E" w14:textId="394C82CA" w:rsidR="00726313" w:rsidRPr="00724A07" w:rsidRDefault="00726313" w:rsidP="00726313">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155E3B89" w14:textId="53C73641" w:rsidR="003F6D48" w:rsidRPr="00724A07" w:rsidRDefault="00885F35" w:rsidP="00885F35">
      <w:pPr>
        <w:spacing w:after="120" w:line="240" w:lineRule="auto"/>
        <w:jc w:val="both"/>
        <w:rPr>
          <w:rFonts w:ascii="ITC Avant Garde" w:hAnsi="ITC Avant Garde"/>
        </w:rPr>
      </w:pPr>
      <w:r w:rsidRPr="00724A07">
        <w:rPr>
          <w:rFonts w:ascii="ITC Avant Garde" w:hAnsi="ITC Avant Garde"/>
          <w:color w:val="000000"/>
        </w:rPr>
        <w:t xml:space="preserve">En primer lugar, </w:t>
      </w:r>
      <w:r w:rsidR="003F6D48" w:rsidRPr="00724A07">
        <w:rPr>
          <w:rFonts w:ascii="ITC Avant Garde" w:hAnsi="ITC Avant Garde"/>
          <w:color w:val="000000"/>
        </w:rPr>
        <w:t xml:space="preserve">se considera improcedente </w:t>
      </w:r>
      <w:r w:rsidR="003F6D48" w:rsidRPr="00724A07">
        <w:rPr>
          <w:rFonts w:ascii="ITC Avant Garde" w:hAnsi="ITC Avant Garde"/>
        </w:rPr>
        <w:t>e</w:t>
      </w:r>
      <w:r w:rsidR="00A165D0" w:rsidRPr="00724A07">
        <w:rPr>
          <w:rFonts w:ascii="ITC Avant Garde" w:hAnsi="ITC Avant Garde"/>
        </w:rPr>
        <w:t xml:space="preserve">l comentario </w:t>
      </w:r>
      <w:r w:rsidR="00160624" w:rsidRPr="00724A07">
        <w:rPr>
          <w:rFonts w:ascii="ITC Avant Garde" w:hAnsi="ITC Avant Garde"/>
        </w:rPr>
        <w:t xml:space="preserve">de </w:t>
      </w:r>
      <w:r w:rsidR="00CD5ECA" w:rsidRPr="00724A07">
        <w:rPr>
          <w:rFonts w:ascii="ITC Avant Garde" w:hAnsi="ITC Avant Garde"/>
        </w:rPr>
        <w:t>T</w:t>
      </w:r>
      <w:r w:rsidR="00160624" w:rsidRPr="00724A07">
        <w:rPr>
          <w:rFonts w:ascii="ITC Avant Garde" w:hAnsi="ITC Avant Garde"/>
        </w:rPr>
        <w:t xml:space="preserve">elefónica respecto a que </w:t>
      </w:r>
      <w:r w:rsidR="00CD5ECA" w:rsidRPr="00724A07">
        <w:rPr>
          <w:rFonts w:ascii="ITC Avant Garde" w:hAnsi="ITC Avant Garde"/>
        </w:rPr>
        <w:t xml:space="preserve">el Instituto debe </w:t>
      </w:r>
      <w:r w:rsidR="00ED0FDC" w:rsidRPr="00724A07">
        <w:rPr>
          <w:rFonts w:ascii="ITC Avant Garde" w:hAnsi="ITC Avant Garde"/>
        </w:rPr>
        <w:t xml:space="preserve">tomar en cuenta la experiencia </w:t>
      </w:r>
      <w:r w:rsidR="00A626DB" w:rsidRPr="00724A07">
        <w:rPr>
          <w:rFonts w:ascii="ITC Avant Garde" w:hAnsi="ITC Avant Garde"/>
        </w:rPr>
        <w:t xml:space="preserve">y las definiciones de </w:t>
      </w:r>
      <w:r w:rsidR="003F6D48" w:rsidRPr="00724A07">
        <w:rPr>
          <w:rFonts w:ascii="ITC Avant Garde" w:hAnsi="ITC Avant Garde"/>
        </w:rPr>
        <w:t>MR</w:t>
      </w:r>
      <w:r w:rsidR="00CD5ECA" w:rsidRPr="00724A07">
        <w:rPr>
          <w:rFonts w:ascii="ITC Avant Garde" w:hAnsi="ITC Avant Garde"/>
        </w:rPr>
        <w:t xml:space="preserve"> </w:t>
      </w:r>
      <w:r w:rsidR="003F6D48" w:rsidRPr="00724A07">
        <w:rPr>
          <w:rFonts w:ascii="ITC Avant Garde" w:hAnsi="ITC Avant Garde"/>
        </w:rPr>
        <w:t xml:space="preserve">elaboradas en otras jurisdicciones </w:t>
      </w:r>
      <w:r w:rsidR="00CD5ECA" w:rsidRPr="00724A07">
        <w:rPr>
          <w:rFonts w:ascii="ITC Avant Garde" w:hAnsi="ITC Avant Garde"/>
        </w:rPr>
        <w:t>para casos similares</w:t>
      </w:r>
      <w:r w:rsidR="003F6D48" w:rsidRPr="00724A07">
        <w:rPr>
          <w:rFonts w:ascii="ITC Avant Garde" w:hAnsi="ITC Avant Garde"/>
        </w:rPr>
        <w:t xml:space="preserve">, lo que implicaría que los MR identificados en México no tendrían por qué diferir de los mercados identificados en </w:t>
      </w:r>
      <w:r w:rsidR="00D855AE" w:rsidRPr="00724A07">
        <w:rPr>
          <w:rFonts w:ascii="ITC Avant Garde" w:hAnsi="ITC Avant Garde"/>
        </w:rPr>
        <w:t>aquellas</w:t>
      </w:r>
      <w:r w:rsidR="00CD5ECA" w:rsidRPr="00724A07">
        <w:rPr>
          <w:rFonts w:ascii="ITC Avant Garde" w:hAnsi="ITC Avant Garde"/>
        </w:rPr>
        <w:t>. Lo anterior</w:t>
      </w:r>
      <w:r w:rsidR="00694B5C" w:rsidRPr="00724A07">
        <w:rPr>
          <w:rFonts w:ascii="ITC Avant Garde" w:hAnsi="ITC Avant Garde"/>
        </w:rPr>
        <w:t>,</w:t>
      </w:r>
      <w:r w:rsidR="00CD5ECA" w:rsidRPr="00724A07">
        <w:rPr>
          <w:rFonts w:ascii="ITC Avant Garde" w:hAnsi="ITC Avant Garde"/>
        </w:rPr>
        <w:t xml:space="preserve"> ya que, como se establece en el Anteproyecto de </w:t>
      </w:r>
      <w:r w:rsidR="00F35839" w:rsidRPr="00724A07">
        <w:rPr>
          <w:rFonts w:ascii="ITC Avant Garde" w:hAnsi="ITC Avant Garde"/>
        </w:rPr>
        <w:t>G</w:t>
      </w:r>
      <w:r w:rsidR="00CD5ECA" w:rsidRPr="00724A07">
        <w:rPr>
          <w:rFonts w:ascii="ITC Avant Garde" w:hAnsi="ITC Avant Garde"/>
        </w:rPr>
        <w:t xml:space="preserve">uía, la delimitación del MR dependerá de las condiciones particulares del caso. </w:t>
      </w:r>
    </w:p>
    <w:p w14:paraId="463A64D4" w14:textId="67451836" w:rsidR="00A165D0" w:rsidRPr="00724A07" w:rsidRDefault="00CD5ECA" w:rsidP="00885F35">
      <w:pPr>
        <w:spacing w:after="120" w:line="240" w:lineRule="auto"/>
        <w:jc w:val="both"/>
        <w:rPr>
          <w:rFonts w:ascii="ITC Avant Garde" w:hAnsi="ITC Avant Garde"/>
        </w:rPr>
      </w:pPr>
      <w:r w:rsidRPr="00724A07">
        <w:rPr>
          <w:rFonts w:ascii="ITC Avant Garde" w:hAnsi="ITC Avant Garde"/>
        </w:rPr>
        <w:t xml:space="preserve">En este sentido, se aclara que la delimitación de los </w:t>
      </w:r>
      <w:r w:rsidR="003F6D48" w:rsidRPr="00724A07">
        <w:rPr>
          <w:rFonts w:ascii="ITC Avant Garde" w:hAnsi="ITC Avant Garde"/>
        </w:rPr>
        <w:t xml:space="preserve">MR por parte de las </w:t>
      </w:r>
      <w:r w:rsidRPr="00724A07">
        <w:rPr>
          <w:rFonts w:ascii="ITC Avant Garde" w:hAnsi="ITC Avant Garde"/>
        </w:rPr>
        <w:t>autoridades de competencia</w:t>
      </w:r>
      <w:r w:rsidR="00D855AE" w:rsidRPr="00724A07">
        <w:rPr>
          <w:rFonts w:ascii="ITC Avant Garde" w:hAnsi="ITC Avant Garde"/>
        </w:rPr>
        <w:t xml:space="preserve"> en otras jurisdicciones</w:t>
      </w:r>
      <w:r w:rsidRPr="00724A07">
        <w:rPr>
          <w:rFonts w:ascii="ITC Avant Garde" w:hAnsi="ITC Avant Garde"/>
        </w:rPr>
        <w:t xml:space="preserve"> se realiza con base en las características propias de los mercados analizados, las cuales pueden variar con respecto a las observadas en México (por ejemplo, en términos de precio, calidad</w:t>
      </w:r>
      <w:r w:rsidR="00D855AE" w:rsidRPr="00724A07">
        <w:rPr>
          <w:rFonts w:ascii="ITC Avant Garde" w:hAnsi="ITC Avant Garde"/>
        </w:rPr>
        <w:t>, disponibilidad</w:t>
      </w:r>
      <w:r w:rsidRPr="00724A07">
        <w:rPr>
          <w:rFonts w:ascii="ITC Avant Garde" w:hAnsi="ITC Avant Garde"/>
        </w:rPr>
        <w:t xml:space="preserve"> y otras características de los productos analizados, </w:t>
      </w:r>
      <w:r w:rsidR="00D855AE" w:rsidRPr="00724A07">
        <w:rPr>
          <w:rFonts w:ascii="ITC Avant Garde" w:hAnsi="ITC Avant Garde"/>
        </w:rPr>
        <w:t xml:space="preserve">así como las </w:t>
      </w:r>
      <w:r w:rsidRPr="00724A07">
        <w:rPr>
          <w:rFonts w:ascii="ITC Avant Garde" w:hAnsi="ITC Avant Garde"/>
        </w:rPr>
        <w:t xml:space="preserve">preferencias de los consumidores, </w:t>
      </w:r>
      <w:r w:rsidR="00D855AE" w:rsidRPr="00724A07">
        <w:rPr>
          <w:rFonts w:ascii="ITC Avant Garde" w:hAnsi="ITC Avant Garde"/>
        </w:rPr>
        <w:t xml:space="preserve">los </w:t>
      </w:r>
      <w:r w:rsidRPr="00724A07">
        <w:rPr>
          <w:rFonts w:ascii="ITC Avant Garde" w:hAnsi="ITC Avant Garde"/>
        </w:rPr>
        <w:t>costos asociados a la provisión de los productos,</w:t>
      </w:r>
      <w:r w:rsidR="00897599" w:rsidRPr="00724A07">
        <w:rPr>
          <w:rFonts w:ascii="ITC Avant Garde" w:hAnsi="ITC Avant Garde"/>
        </w:rPr>
        <w:t xml:space="preserve"> las</w:t>
      </w:r>
      <w:r w:rsidRPr="00724A07">
        <w:rPr>
          <w:rFonts w:ascii="ITC Avant Garde" w:hAnsi="ITC Avant Garde"/>
        </w:rPr>
        <w:t xml:space="preserve"> </w:t>
      </w:r>
      <w:r w:rsidR="00897599" w:rsidRPr="00724A07">
        <w:rPr>
          <w:rFonts w:ascii="ITC Avant Garde" w:hAnsi="ITC Avant Garde"/>
        </w:rPr>
        <w:t>restricciones normativas que puedan enfrentar los consumidores y oferentes para acceder a otros mercados</w:t>
      </w:r>
      <w:r w:rsidRPr="00724A07">
        <w:rPr>
          <w:rFonts w:ascii="ITC Avant Garde" w:hAnsi="ITC Avant Garde"/>
        </w:rPr>
        <w:t>, entre otros</w:t>
      </w:r>
      <w:r w:rsidR="00D855AE" w:rsidRPr="00724A07">
        <w:rPr>
          <w:rFonts w:ascii="ITC Avant Garde" w:hAnsi="ITC Avant Garde"/>
        </w:rPr>
        <w:t xml:space="preserve"> aspectos</w:t>
      </w:r>
      <w:r w:rsidRPr="00724A07">
        <w:rPr>
          <w:rFonts w:ascii="ITC Avant Garde" w:hAnsi="ITC Avant Garde"/>
        </w:rPr>
        <w:t>)</w:t>
      </w:r>
      <w:r w:rsidR="00897599" w:rsidRPr="00724A07">
        <w:rPr>
          <w:rFonts w:ascii="ITC Avant Garde" w:hAnsi="ITC Avant Garde"/>
        </w:rPr>
        <w:t xml:space="preserve">. </w:t>
      </w:r>
      <w:r w:rsidR="00885F35" w:rsidRPr="00724A07">
        <w:rPr>
          <w:rFonts w:ascii="ITC Avant Garde" w:hAnsi="ITC Avant Garde"/>
        </w:rPr>
        <w:t xml:space="preserve">No obstante, se hace notar que </w:t>
      </w:r>
      <w:r w:rsidR="00D855AE" w:rsidRPr="00724A07">
        <w:rPr>
          <w:rFonts w:ascii="ITC Avant Garde" w:hAnsi="ITC Avant Garde"/>
        </w:rPr>
        <w:t xml:space="preserve">los diversos criterios establecidos en </w:t>
      </w:r>
      <w:r w:rsidR="00885F35" w:rsidRPr="00724A07">
        <w:rPr>
          <w:rFonts w:ascii="ITC Avant Garde" w:hAnsi="ITC Avant Garde"/>
        </w:rPr>
        <w:t xml:space="preserve">el Anteproyecto de Guía guardan consistencia con la teoría económica, la práctica internacional y los precedentes decisorios del Pleno y del PJF. </w:t>
      </w:r>
    </w:p>
    <w:p w14:paraId="74E746C4" w14:textId="537A6188" w:rsidR="00CD5ECA" w:rsidRPr="00724A07" w:rsidRDefault="00885F35" w:rsidP="00A165D0">
      <w:pPr>
        <w:spacing w:after="120" w:line="240" w:lineRule="auto"/>
        <w:jc w:val="both"/>
        <w:rPr>
          <w:rFonts w:ascii="ITC Avant Garde" w:hAnsi="ITC Avant Garde"/>
        </w:rPr>
      </w:pPr>
      <w:r w:rsidRPr="00724A07">
        <w:rPr>
          <w:rFonts w:ascii="ITC Avant Garde" w:hAnsi="ITC Avant Garde"/>
          <w:color w:val="000000"/>
        </w:rPr>
        <w:t>En segundo lugar,</w:t>
      </w:r>
      <w:r w:rsidR="00D855AE" w:rsidRPr="00724A07">
        <w:rPr>
          <w:rFonts w:ascii="ITC Avant Garde" w:hAnsi="ITC Avant Garde"/>
          <w:color w:val="000000"/>
        </w:rPr>
        <w:t xml:space="preserve"> se considera improcedente</w:t>
      </w:r>
      <w:r w:rsidR="00D855AE" w:rsidRPr="00724A07">
        <w:rPr>
          <w:rFonts w:ascii="ITC Avant Garde" w:hAnsi="ITC Avant Garde"/>
        </w:rPr>
        <w:t xml:space="preserve"> e</w:t>
      </w:r>
      <w:r w:rsidR="003C5329" w:rsidRPr="00724A07">
        <w:rPr>
          <w:rFonts w:ascii="ITC Avant Garde" w:hAnsi="ITC Avant Garde"/>
        </w:rPr>
        <w:t xml:space="preserve">l comentario de Telefónica respecto a que el Anteproyecto de Guía debe establecer que una definición de </w:t>
      </w:r>
      <w:r w:rsidR="00D855AE" w:rsidRPr="00724A07">
        <w:rPr>
          <w:rFonts w:ascii="ITC Avant Garde" w:hAnsi="ITC Avant Garde"/>
        </w:rPr>
        <w:t>MR</w:t>
      </w:r>
      <w:r w:rsidR="003C5329" w:rsidRPr="00724A07">
        <w:rPr>
          <w:rFonts w:ascii="ITC Avant Garde" w:hAnsi="ITC Avant Garde"/>
        </w:rPr>
        <w:t xml:space="preserve"> previamente realizada por el Instituto en un caso particular no puede prejuzgar ni predeterminar una definición de </w:t>
      </w:r>
      <w:r w:rsidR="00D855AE" w:rsidRPr="00724A07">
        <w:rPr>
          <w:rFonts w:ascii="ITC Avant Garde" w:hAnsi="ITC Avant Garde"/>
        </w:rPr>
        <w:t>MR</w:t>
      </w:r>
      <w:r w:rsidR="003C5329" w:rsidRPr="00724A07">
        <w:rPr>
          <w:rFonts w:ascii="ITC Avant Garde" w:hAnsi="ITC Avant Garde"/>
        </w:rPr>
        <w:t xml:space="preserve"> que pudiese ser determinada a la luz del análisis asociado a un caso posterior. Lo anterior</w:t>
      </w:r>
      <w:r w:rsidR="00694B5C" w:rsidRPr="00724A07">
        <w:rPr>
          <w:rFonts w:ascii="ITC Avant Garde" w:hAnsi="ITC Avant Garde"/>
        </w:rPr>
        <w:t>,</w:t>
      </w:r>
      <w:r w:rsidR="003C5329" w:rsidRPr="00724A07">
        <w:rPr>
          <w:rFonts w:ascii="ITC Avant Garde" w:hAnsi="ITC Avant Garde"/>
        </w:rPr>
        <w:t xml:space="preserve"> toda vez que el Anteproyecto de Guía</w:t>
      </w:r>
      <w:r w:rsidR="009D2028" w:rsidRPr="00724A07">
        <w:rPr>
          <w:rFonts w:ascii="ITC Avant Garde" w:hAnsi="ITC Avant Garde"/>
        </w:rPr>
        <w:t xml:space="preserve"> ya considera que la definición del MR puede cambiar en el tiempo</w:t>
      </w:r>
      <w:r w:rsidR="003C5329" w:rsidRPr="00724A07">
        <w:rPr>
          <w:rFonts w:ascii="ITC Avant Garde" w:hAnsi="ITC Avant Garde"/>
        </w:rPr>
        <w:t>:</w:t>
      </w:r>
    </w:p>
    <w:p w14:paraId="4B057290" w14:textId="4F1B98FF" w:rsidR="003C5329" w:rsidRPr="00724A07" w:rsidRDefault="003C5329" w:rsidP="003C5329">
      <w:pPr>
        <w:spacing w:after="120" w:line="240" w:lineRule="auto"/>
        <w:ind w:left="851"/>
        <w:jc w:val="both"/>
        <w:rPr>
          <w:rFonts w:ascii="ITC Avant Garde" w:hAnsi="ITC Avant Garde"/>
          <w:i/>
          <w:iCs/>
          <w:sz w:val="20"/>
          <w:szCs w:val="20"/>
        </w:rPr>
      </w:pPr>
      <w:r w:rsidRPr="00724A07">
        <w:rPr>
          <w:rFonts w:ascii="ITC Avant Garde" w:hAnsi="ITC Avant Garde"/>
          <w:i/>
          <w:iCs/>
          <w:sz w:val="20"/>
          <w:szCs w:val="20"/>
        </w:rPr>
        <w:t xml:space="preserve">La determinación específica del MR que adopte el Pleno del Instituto dependerá de los objetivos del procedimiento en el que se encuentre el análisis y de las condiciones particulares del caso, tales como: </w:t>
      </w:r>
      <w:r w:rsidRPr="00724A07">
        <w:rPr>
          <w:rFonts w:ascii="ITC Avant Garde" w:hAnsi="ITC Avant Garde"/>
          <w:sz w:val="20"/>
          <w:szCs w:val="20"/>
        </w:rPr>
        <w:t>[…]</w:t>
      </w:r>
      <w:r w:rsidRPr="00724A07">
        <w:rPr>
          <w:rFonts w:ascii="ITC Avant Garde" w:hAnsi="ITC Avant Garde"/>
          <w:i/>
          <w:iCs/>
          <w:sz w:val="20"/>
          <w:szCs w:val="20"/>
        </w:rPr>
        <w:t xml:space="preserve"> </w:t>
      </w:r>
      <w:proofErr w:type="spellStart"/>
      <w:r w:rsidRPr="00724A07">
        <w:rPr>
          <w:rFonts w:ascii="ITC Avant Garde" w:hAnsi="ITC Avant Garde"/>
          <w:i/>
          <w:iCs/>
          <w:sz w:val="20"/>
          <w:szCs w:val="20"/>
          <w:u w:val="single"/>
        </w:rPr>
        <w:t>ii</w:t>
      </w:r>
      <w:proofErr w:type="spellEnd"/>
      <w:r w:rsidRPr="00724A07">
        <w:rPr>
          <w:rFonts w:ascii="ITC Avant Garde" w:hAnsi="ITC Avant Garde"/>
          <w:i/>
          <w:iCs/>
          <w:sz w:val="20"/>
          <w:szCs w:val="20"/>
          <w:u w:val="single"/>
        </w:rPr>
        <w:t>) la temporalidad (en la determinación del MR es posible que las condiciones varíen en el tiempo, por lo que la delimitación del MR para un producto en el tiempo t puede ser distinta a la que se defina en el tiempo t+1; esas variaciones pueden deberse a factores como la innovación, estrategias de los proveedores, cambios regulatorios, entre otros)</w:t>
      </w:r>
      <w:r w:rsidRPr="00724A07">
        <w:rPr>
          <w:rFonts w:ascii="ITC Avant Garde" w:hAnsi="ITC Avant Garde"/>
          <w:i/>
          <w:iCs/>
          <w:sz w:val="20"/>
          <w:szCs w:val="20"/>
        </w:rPr>
        <w:t>.</w:t>
      </w:r>
      <w:r w:rsidR="00885F35" w:rsidRPr="00724A07">
        <w:rPr>
          <w:rFonts w:ascii="ITC Avant Garde" w:hAnsi="ITC Avant Garde"/>
          <w:i/>
          <w:iCs/>
          <w:sz w:val="20"/>
          <w:szCs w:val="20"/>
        </w:rPr>
        <w:t xml:space="preserve"> </w:t>
      </w:r>
      <w:r w:rsidR="00885F35" w:rsidRPr="00724A07">
        <w:rPr>
          <w:rFonts w:ascii="ITC Avant Garde" w:hAnsi="ITC Avant Garde"/>
          <w:sz w:val="20"/>
          <w:szCs w:val="20"/>
        </w:rPr>
        <w:t>[Énfasis añadido].</w:t>
      </w:r>
    </w:p>
    <w:p w14:paraId="1788C603" w14:textId="740BE3C8" w:rsidR="00C46AB1" w:rsidRPr="00724A07" w:rsidRDefault="0032009D" w:rsidP="00D2512E">
      <w:pPr>
        <w:spacing w:after="240" w:line="240" w:lineRule="auto"/>
        <w:jc w:val="both"/>
        <w:rPr>
          <w:rFonts w:ascii="ITC Avant Garde" w:hAnsi="ITC Avant Garde"/>
        </w:rPr>
      </w:pPr>
      <w:r w:rsidRPr="00724A07">
        <w:rPr>
          <w:rFonts w:ascii="ITC Avant Garde" w:hAnsi="ITC Avant Garde"/>
        </w:rPr>
        <w:t xml:space="preserve">Asimismo, el Anteproyecto de Guía no establece como criterio para delimitar los </w:t>
      </w:r>
      <w:r w:rsidR="00D855AE" w:rsidRPr="00724A07">
        <w:rPr>
          <w:rFonts w:ascii="ITC Avant Garde" w:hAnsi="ITC Avant Garde"/>
        </w:rPr>
        <w:t>MR</w:t>
      </w:r>
      <w:r w:rsidRPr="00724A07">
        <w:rPr>
          <w:rFonts w:ascii="ITC Avant Garde" w:hAnsi="ITC Avant Garde"/>
        </w:rPr>
        <w:t xml:space="preserve"> las </w:t>
      </w:r>
      <w:r w:rsidR="00D855AE" w:rsidRPr="00724A07">
        <w:rPr>
          <w:rFonts w:ascii="ITC Avant Garde" w:hAnsi="ITC Avant Garde"/>
        </w:rPr>
        <w:t xml:space="preserve">definiciones adoptadas en </w:t>
      </w:r>
      <w:r w:rsidRPr="00724A07">
        <w:rPr>
          <w:rFonts w:ascii="ITC Avant Garde" w:hAnsi="ITC Avant Garde"/>
        </w:rPr>
        <w:t xml:space="preserve">resoluciones previas </w:t>
      </w:r>
      <w:r w:rsidR="00D855AE" w:rsidRPr="00724A07">
        <w:rPr>
          <w:rFonts w:ascii="ITC Avant Garde" w:hAnsi="ITC Avant Garde"/>
        </w:rPr>
        <w:t>d</w:t>
      </w:r>
      <w:r w:rsidRPr="00724A07">
        <w:rPr>
          <w:rFonts w:ascii="ITC Avant Garde" w:hAnsi="ITC Avant Garde"/>
        </w:rPr>
        <w:t xml:space="preserve">el propio Instituto. </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FA1D9B" w:rsidRPr="00724A07" w14:paraId="4C3B47B0" w14:textId="77777777" w:rsidTr="00D2512E">
        <w:trPr>
          <w:trHeight w:val="276"/>
          <w:jc w:val="center"/>
        </w:trPr>
        <w:tc>
          <w:tcPr>
            <w:tcW w:w="9785" w:type="dxa"/>
            <w:shd w:val="clear" w:color="auto" w:fill="92D050"/>
            <w:vAlign w:val="center"/>
          </w:tcPr>
          <w:p w14:paraId="330B1BEE" w14:textId="77777777" w:rsidR="00FA1D9B" w:rsidRPr="00724A07" w:rsidRDefault="00FA1D9B" w:rsidP="00753ED5">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FA1D9B" w:rsidRPr="00C7449E" w14:paraId="71AC74AC" w14:textId="77777777" w:rsidTr="00D2512E">
        <w:trPr>
          <w:trHeight w:val="443"/>
          <w:jc w:val="center"/>
        </w:trPr>
        <w:tc>
          <w:tcPr>
            <w:tcW w:w="9785" w:type="dxa"/>
            <w:shd w:val="clear" w:color="auto" w:fill="E2EFD9" w:themeFill="accent6" w:themeFillTint="33"/>
            <w:vAlign w:val="center"/>
          </w:tcPr>
          <w:p w14:paraId="5FB9B047" w14:textId="5021FCE7" w:rsidR="00D15DDA" w:rsidRPr="00C7449E" w:rsidRDefault="00C7449E" w:rsidP="00C7449E">
            <w:pPr>
              <w:pStyle w:val="Default"/>
              <w:spacing w:before="120" w:after="120"/>
              <w:jc w:val="both"/>
              <w:rPr>
                <w:rFonts w:ascii="ITC Avant Garde" w:hAnsi="ITC Avant Garde"/>
                <w:i/>
                <w:sz w:val="18"/>
                <w:szCs w:val="18"/>
              </w:rPr>
            </w:pPr>
            <w:r w:rsidRPr="00C7449E">
              <w:rPr>
                <w:rFonts w:ascii="ITC Avant Garde" w:hAnsi="ITC Avant Garde"/>
                <w:i/>
                <w:sz w:val="18"/>
                <w:szCs w:val="18"/>
              </w:rPr>
              <w:t xml:space="preserve">“50. En línea con las mejores prácticas internacionales relacionadas con la publicación de guías técnicas para la definición de mercados relevantes, es importante que la guía final que emita el Instituto Federal de Telecomunicaciones incluya también, como parte de los elementos a considerar en la determinación de </w:t>
            </w:r>
            <w:r w:rsidRPr="00C7449E">
              <w:rPr>
                <w:rFonts w:ascii="ITC Avant Garde" w:hAnsi="ITC Avant Garde"/>
                <w:i/>
                <w:sz w:val="18"/>
                <w:szCs w:val="18"/>
              </w:rPr>
              <w:lastRenderedPageBreak/>
              <w:t>mercados, aquellos elementos que ya hayan sido (o que en un futuro serán) contemplados por las distintas jurisprudencias emitidas sobre la materia por los tribunales nacionales. Esto garantizará que la práctica de definir mercados relevantes en los sectores de telecomunicaciones y radiodifusión en México, evolucionen en concordancia con los mandatos judiciales relevantes en la materia (...)”</w:t>
            </w:r>
          </w:p>
        </w:tc>
      </w:tr>
    </w:tbl>
    <w:p w14:paraId="78B8A430" w14:textId="77777777" w:rsidR="00D15DDA" w:rsidRPr="00724A07" w:rsidRDefault="00D15DDA" w:rsidP="00D15DDA">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013F6955" w14:textId="2BD5C326" w:rsidR="00D15DDA" w:rsidRPr="00724A07" w:rsidRDefault="000B4CD6" w:rsidP="00C46AB1">
      <w:pPr>
        <w:spacing w:after="120" w:line="240" w:lineRule="auto"/>
        <w:jc w:val="both"/>
        <w:rPr>
          <w:rFonts w:ascii="ITC Avant Garde" w:hAnsi="ITC Avant Garde"/>
        </w:rPr>
      </w:pPr>
      <w:r w:rsidRPr="00724A07">
        <w:rPr>
          <w:rFonts w:ascii="ITC Avant Garde" w:hAnsi="ITC Avant Garde"/>
        </w:rPr>
        <w:t>En relación con el comentario de Telefónica sobre la importancia de que la guía final que emita el Instituto incluya elementos que hayan sido contemplados por las jurisprudencias emitidas en la materia por los tribunales nacionales, se advierte que el Anteproyecto de Guía hace referencia a diversas tesis emitidas por el Poder Judicial sobre el concepto y la definición del MR</w:t>
      </w:r>
      <w:r w:rsidR="00DF46AF" w:rsidRPr="00724A07">
        <w:rPr>
          <w:rFonts w:ascii="ITC Avant Garde" w:hAnsi="ITC Avant Garde"/>
        </w:rPr>
        <w:t xml:space="preserve">, por lo que </w:t>
      </w:r>
      <w:r w:rsidRPr="00724A07">
        <w:rPr>
          <w:rFonts w:ascii="ITC Avant Garde" w:hAnsi="ITC Avant Garde"/>
        </w:rPr>
        <w:t>los criterios que se plantean guardan consistencia con</w:t>
      </w:r>
      <w:r w:rsidR="00BE5FE4" w:rsidRPr="00724A07">
        <w:rPr>
          <w:rFonts w:ascii="ITC Avant Garde" w:hAnsi="ITC Avant Garde"/>
        </w:rPr>
        <w:t xml:space="preserve"> los precedentes decisorios del Poder Judicial, además de</w:t>
      </w:r>
      <w:r w:rsidRPr="00724A07">
        <w:rPr>
          <w:rFonts w:ascii="ITC Avant Garde" w:hAnsi="ITC Avant Garde"/>
        </w:rPr>
        <w:t xml:space="preserve"> la teoría económica, la práctica internacional y </w:t>
      </w:r>
      <w:r w:rsidR="00BE5FE4" w:rsidRPr="00724A07">
        <w:rPr>
          <w:rFonts w:ascii="ITC Avant Garde" w:hAnsi="ITC Avant Garde"/>
        </w:rPr>
        <w:t>las decisiones adoptadas por el Pleno</w:t>
      </w:r>
      <w:r w:rsidRPr="00724A07">
        <w:rPr>
          <w:rFonts w:ascii="ITC Avant Garde" w:hAnsi="ITC Avant Garde"/>
        </w:rPr>
        <w:t xml:space="preserve">.  </w:t>
      </w:r>
    </w:p>
    <w:p w14:paraId="207A120D" w14:textId="42AC5D40" w:rsidR="00DF46AF" w:rsidRPr="00724A07" w:rsidRDefault="00DF46AF" w:rsidP="00D2512E">
      <w:pPr>
        <w:spacing w:after="240" w:line="240" w:lineRule="auto"/>
        <w:jc w:val="both"/>
        <w:rPr>
          <w:rFonts w:ascii="ITC Avant Garde" w:hAnsi="ITC Avant Garde"/>
        </w:rPr>
      </w:pPr>
      <w:r w:rsidRPr="00724A07">
        <w:rPr>
          <w:rFonts w:ascii="ITC Avant Garde" w:hAnsi="ITC Avant Garde"/>
        </w:rPr>
        <w:t>Asimismo, respecto a los elementos que en el futuro serán contemplados por los tribunales nacionales, el Anteproyecto de Guía señala que las modificaciones futuras a la Guía se realizarán “</w:t>
      </w:r>
      <w:r w:rsidRPr="00724A07">
        <w:rPr>
          <w:rFonts w:ascii="ITC Avant Garde" w:hAnsi="ITC Avant Garde"/>
          <w:i/>
          <w:iCs/>
        </w:rPr>
        <w:t>en la medida en que la legislación y los criterios que la sustentan cambien y en atención a las interpretaciones y los criterios que emitan las autoridades competentes, incluido el PJF</w:t>
      </w:r>
      <w:r w:rsidRPr="00724A07">
        <w:rPr>
          <w:rFonts w:ascii="ITC Avant Garde" w:hAnsi="ITC Avant Garde"/>
        </w:rPr>
        <w:t xml:space="preserve">.” (véase el apartado </w:t>
      </w:r>
      <w:r w:rsidR="00AA648A">
        <w:rPr>
          <w:rFonts w:ascii="ITC Avant Garde" w:hAnsi="ITC Avant Garde"/>
        </w:rPr>
        <w:t>“</w:t>
      </w:r>
      <w:r w:rsidRPr="00FD422E">
        <w:rPr>
          <w:rFonts w:ascii="ITC Avant Garde" w:hAnsi="ITC Avant Garde"/>
          <w:i/>
        </w:rPr>
        <w:t>1. Presentación</w:t>
      </w:r>
      <w:r w:rsidR="00AA648A">
        <w:rPr>
          <w:rFonts w:ascii="ITC Avant Garde" w:hAnsi="ITC Avant Garde"/>
        </w:rPr>
        <w:t>”</w:t>
      </w:r>
      <w:r w:rsidRPr="00724A07">
        <w:rPr>
          <w:rFonts w:ascii="ITC Avant Garde" w:hAnsi="ITC Avant Garde"/>
        </w:rPr>
        <w:t xml:space="preserve">). Por lo tanto, se </w:t>
      </w:r>
      <w:r w:rsidR="00BE5FE4" w:rsidRPr="00724A07">
        <w:rPr>
          <w:rFonts w:ascii="ITC Avant Garde" w:hAnsi="ITC Avant Garde"/>
        </w:rPr>
        <w:t xml:space="preserve">considera </w:t>
      </w:r>
      <w:r w:rsidR="00E8150C">
        <w:rPr>
          <w:rFonts w:ascii="ITC Avant Garde" w:hAnsi="ITC Avant Garde"/>
        </w:rPr>
        <w:t>im</w:t>
      </w:r>
      <w:r w:rsidR="00BE5FE4" w:rsidRPr="00724A07">
        <w:rPr>
          <w:rFonts w:ascii="ITC Avant Garde" w:hAnsi="ITC Avant Garde"/>
        </w:rPr>
        <w:t>procedente</w:t>
      </w:r>
      <w:r w:rsidRPr="00724A07">
        <w:rPr>
          <w:rFonts w:ascii="ITC Avant Garde" w:hAnsi="ITC Avant Garde"/>
        </w:rPr>
        <w:t xml:space="preserve"> incluir precisiones adicionales, ya que el Anteproyecto de Guía no soslaya la necesidad de que los criterios que adopte el Instituto para determinar MR guarden consistencia con el desarrollo de la jurisprudencia en la materia. </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D15DDA" w:rsidRPr="00724A07" w14:paraId="30519427" w14:textId="77777777" w:rsidTr="00D2512E">
        <w:trPr>
          <w:trHeight w:val="276"/>
          <w:jc w:val="center"/>
        </w:trPr>
        <w:tc>
          <w:tcPr>
            <w:tcW w:w="9785" w:type="dxa"/>
            <w:shd w:val="clear" w:color="auto" w:fill="92D050"/>
            <w:vAlign w:val="center"/>
          </w:tcPr>
          <w:p w14:paraId="2925F5C0" w14:textId="77777777" w:rsidR="00D15DDA" w:rsidRPr="00724A07" w:rsidRDefault="00D15DDA" w:rsidP="00753ED5">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D15DDA" w:rsidRPr="00724A07" w14:paraId="5A3454E4" w14:textId="77777777" w:rsidTr="00D2512E">
        <w:trPr>
          <w:trHeight w:val="443"/>
          <w:jc w:val="center"/>
        </w:trPr>
        <w:tc>
          <w:tcPr>
            <w:tcW w:w="9785" w:type="dxa"/>
            <w:shd w:val="clear" w:color="auto" w:fill="E2EFD9" w:themeFill="accent6" w:themeFillTint="33"/>
            <w:vAlign w:val="center"/>
          </w:tcPr>
          <w:p w14:paraId="4B7B7495" w14:textId="6D91F6C1" w:rsidR="00D15DDA" w:rsidRPr="00724A07" w:rsidRDefault="00C7449E" w:rsidP="00472E67">
            <w:pPr>
              <w:pStyle w:val="Default"/>
              <w:spacing w:before="120" w:after="120"/>
              <w:jc w:val="both"/>
              <w:rPr>
                <w:rFonts w:ascii="ITC Avant Garde" w:hAnsi="ITC Avant Garde"/>
                <w:i/>
                <w:sz w:val="18"/>
                <w:szCs w:val="18"/>
              </w:rPr>
            </w:pPr>
            <w:r w:rsidRPr="007C2396">
              <w:rPr>
                <w:rFonts w:ascii="ITC Avant Garde" w:hAnsi="ITC Avant Garde"/>
                <w:i/>
                <w:sz w:val="18"/>
                <w:szCs w:val="18"/>
              </w:rPr>
              <w:t>“</w:t>
            </w:r>
            <w:r w:rsidRPr="00FA68E7">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consideramos que la guía también debe hacer explícito, en línea con lo contenido en el artículo 138 de la Ley Federal de Competencia Económica, que la guía deberá ser revisada, al menos, cada 5 años, a la luz de experiencia adquirida por el Instituto en la definición de mercados relevantes, así como de los avances la teoría económica subyacente</w:t>
            </w:r>
            <w:r>
              <w:rPr>
                <w:rFonts w:ascii="ITC Avant Garde" w:hAnsi="ITC Avant Garde"/>
                <w:i/>
                <w:sz w:val="18"/>
                <w:szCs w:val="18"/>
              </w:rPr>
              <w:t xml:space="preserve"> </w:t>
            </w:r>
            <w:r w:rsidRPr="00FA68E7">
              <w:rPr>
                <w:rFonts w:ascii="ITC Avant Garde" w:hAnsi="ITC Avant Garde"/>
                <w:iCs/>
                <w:sz w:val="18"/>
                <w:szCs w:val="18"/>
              </w:rPr>
              <w:t>(…)</w:t>
            </w:r>
            <w:r w:rsidRPr="007C2396">
              <w:rPr>
                <w:rFonts w:ascii="ITC Avant Garde" w:hAnsi="ITC Avant Garde"/>
                <w:i/>
                <w:sz w:val="18"/>
                <w:szCs w:val="18"/>
              </w:rPr>
              <w:t>”</w:t>
            </w:r>
          </w:p>
        </w:tc>
      </w:tr>
    </w:tbl>
    <w:p w14:paraId="63D9449B" w14:textId="77777777" w:rsidR="00D15DDA" w:rsidRPr="00724A07" w:rsidRDefault="00D15DDA" w:rsidP="00D15DDA">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2129E0A7" w14:textId="69822EEC" w:rsidR="00D15DDA" w:rsidRPr="00724A07" w:rsidRDefault="00BE5FE4" w:rsidP="00D15DDA">
      <w:pPr>
        <w:spacing w:after="120" w:line="240" w:lineRule="auto"/>
        <w:jc w:val="both"/>
        <w:rPr>
          <w:rFonts w:ascii="ITC Avant Garde" w:hAnsi="ITC Avant Garde"/>
        </w:rPr>
      </w:pPr>
      <w:r w:rsidRPr="00724A07">
        <w:rPr>
          <w:rFonts w:ascii="ITC Avant Garde" w:hAnsi="ITC Avant Garde"/>
        </w:rPr>
        <w:t>En relación con la sugerencia de Telefónica de que se haga explícito que la Guía deberá ser revisada, al menos, cada 5 años, se advierte que el Anteproyecto de Guía ya establece dicha precisión; en particular, en</w:t>
      </w:r>
      <w:r w:rsidR="00CF7090" w:rsidRPr="00724A07">
        <w:rPr>
          <w:rFonts w:ascii="ITC Avant Garde" w:hAnsi="ITC Avant Garde"/>
        </w:rPr>
        <w:t xml:space="preserve"> </w:t>
      </w:r>
      <w:r w:rsidRPr="00724A07">
        <w:rPr>
          <w:rFonts w:ascii="ITC Avant Garde" w:hAnsi="ITC Avant Garde"/>
        </w:rPr>
        <w:t xml:space="preserve">la sección </w:t>
      </w:r>
      <w:r w:rsidR="00524980">
        <w:rPr>
          <w:rFonts w:ascii="ITC Avant Garde" w:hAnsi="ITC Avant Garde"/>
        </w:rPr>
        <w:t>“</w:t>
      </w:r>
      <w:r w:rsidRPr="00FD422E">
        <w:rPr>
          <w:rFonts w:ascii="ITC Avant Garde" w:hAnsi="ITC Avant Garde"/>
          <w:i/>
        </w:rPr>
        <w:t>1.</w:t>
      </w:r>
      <w:r w:rsidRPr="00724A07">
        <w:rPr>
          <w:rFonts w:ascii="ITC Avant Garde" w:hAnsi="ITC Avant Garde"/>
        </w:rPr>
        <w:t xml:space="preserve"> </w:t>
      </w:r>
      <w:r w:rsidRPr="00FD422E">
        <w:rPr>
          <w:rFonts w:ascii="ITC Avant Garde" w:hAnsi="ITC Avant Garde"/>
          <w:i/>
        </w:rPr>
        <w:t>Presentación</w:t>
      </w:r>
      <w:r w:rsidR="00EA35FC">
        <w:rPr>
          <w:rFonts w:ascii="ITC Avant Garde" w:hAnsi="ITC Avant Garde"/>
        </w:rPr>
        <w:t>”</w:t>
      </w:r>
      <w:r w:rsidR="00CF7090" w:rsidRPr="00724A07">
        <w:rPr>
          <w:rFonts w:ascii="ITC Avant Garde" w:hAnsi="ITC Avant Garde"/>
        </w:rPr>
        <w:t xml:space="preserve"> se puntualiza que</w:t>
      </w:r>
      <w:r w:rsidRPr="00724A07">
        <w:rPr>
          <w:rFonts w:ascii="ITC Avant Garde" w:hAnsi="ITC Avant Garde"/>
        </w:rPr>
        <w:t xml:space="preserve"> “(…) </w:t>
      </w:r>
      <w:r w:rsidRPr="00724A07">
        <w:rPr>
          <w:rFonts w:ascii="ITC Avant Garde" w:hAnsi="ITC Avant Garde"/>
          <w:i/>
          <w:iCs/>
        </w:rPr>
        <w:t xml:space="preserve">esta Guía será revisada por el Instituto por lo menos cada 5 (cinco) años, de conformidad con lo señalado en el artículo 138 in fine, de la LFCE”. </w:t>
      </w:r>
      <w:r w:rsidRPr="00724A07">
        <w:rPr>
          <w:rFonts w:ascii="ITC Avant Garde" w:hAnsi="ITC Avant Garde"/>
        </w:rPr>
        <w:t xml:space="preserve">Asimismo, </w:t>
      </w:r>
      <w:r w:rsidR="00CF7090" w:rsidRPr="00724A07">
        <w:rPr>
          <w:rFonts w:ascii="ITC Avant Garde" w:hAnsi="ITC Avant Garde"/>
        </w:rPr>
        <w:t>se señala</w:t>
      </w:r>
      <w:r w:rsidRPr="00724A07">
        <w:rPr>
          <w:rFonts w:ascii="ITC Avant Garde" w:hAnsi="ITC Avant Garde"/>
        </w:rPr>
        <w:t xml:space="preserve"> que el documento “</w:t>
      </w:r>
      <w:r w:rsidR="00CF7090" w:rsidRPr="00724A07">
        <w:rPr>
          <w:rFonts w:ascii="ITC Avant Garde" w:hAnsi="ITC Avant Garde"/>
          <w:i/>
          <w:iCs/>
        </w:rPr>
        <w:t>es susceptible de modificaciones futuras en la medida en que la legislación y los criterios que la sustentan cambien y en atención a las interpretaciones y los criterios que emitan las autoridades competentes, incluido el PJF</w:t>
      </w:r>
      <w:r w:rsidR="00CF7090" w:rsidRPr="00724A07">
        <w:rPr>
          <w:rFonts w:ascii="ITC Avant Garde" w:hAnsi="ITC Avant Garde"/>
        </w:rPr>
        <w:t xml:space="preserve">”. </w:t>
      </w:r>
    </w:p>
    <w:p w14:paraId="06B8C249" w14:textId="43C7A292" w:rsidR="00CF7090" w:rsidRPr="00724A07" w:rsidRDefault="00CF7090" w:rsidP="00D2512E">
      <w:pPr>
        <w:spacing w:after="240" w:line="240" w:lineRule="auto"/>
        <w:jc w:val="both"/>
        <w:rPr>
          <w:rFonts w:ascii="ITC Avant Garde" w:hAnsi="ITC Avant Garde"/>
        </w:rPr>
      </w:pPr>
      <w:r w:rsidRPr="00724A07">
        <w:rPr>
          <w:rFonts w:ascii="ITC Avant Garde" w:hAnsi="ITC Avant Garde"/>
        </w:rPr>
        <w:t xml:space="preserve">Por lo tanto, se considera </w:t>
      </w:r>
      <w:r w:rsidR="00EA35FC">
        <w:rPr>
          <w:rFonts w:ascii="ITC Avant Garde" w:hAnsi="ITC Avant Garde"/>
        </w:rPr>
        <w:t>im</w:t>
      </w:r>
      <w:r w:rsidRPr="00724A07">
        <w:rPr>
          <w:rFonts w:ascii="ITC Avant Garde" w:hAnsi="ITC Avant Garde"/>
        </w:rPr>
        <w:t xml:space="preserve">procedente realizar modificaciones al Anteproyecto de Guía considerando el comentario de Telefónica, dado que ya se prevé un plazo específico para </w:t>
      </w:r>
      <w:r w:rsidR="00EA35FC">
        <w:rPr>
          <w:rFonts w:ascii="ITC Avant Garde" w:hAnsi="ITC Avant Garde"/>
        </w:rPr>
        <w:t>su</w:t>
      </w:r>
      <w:r w:rsidRPr="00724A07">
        <w:rPr>
          <w:rFonts w:ascii="ITC Avant Garde" w:hAnsi="ITC Avant Garde"/>
        </w:rPr>
        <w:t xml:space="preserve"> revisión.</w:t>
      </w:r>
    </w:p>
    <w:p w14:paraId="121534AA" w14:textId="7BC11763" w:rsidR="00C46AB1" w:rsidRDefault="00DD32EC" w:rsidP="00C46AB1">
      <w:pPr>
        <w:keepNext/>
        <w:spacing w:before="12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.3. Concepto de MR y su utilidad</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D2512E" w:rsidRPr="00724A07" w14:paraId="7CF8F0DB" w14:textId="77777777" w:rsidTr="008A0A7D">
        <w:trPr>
          <w:trHeight w:val="276"/>
          <w:jc w:val="center"/>
        </w:trPr>
        <w:tc>
          <w:tcPr>
            <w:tcW w:w="9785" w:type="dxa"/>
            <w:shd w:val="clear" w:color="auto" w:fill="92D050"/>
            <w:vAlign w:val="center"/>
          </w:tcPr>
          <w:p w14:paraId="4BE07518" w14:textId="77777777" w:rsidR="00D2512E" w:rsidRPr="00724A07" w:rsidRDefault="00D2512E" w:rsidP="008A0A7D">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León Efrén Jiménez Domínguez y Priscila Barba Rivas</w:t>
            </w:r>
          </w:p>
        </w:tc>
      </w:tr>
      <w:tr w:rsidR="00D2512E" w:rsidRPr="00724A07" w14:paraId="41E6773D" w14:textId="77777777" w:rsidTr="008A0A7D">
        <w:trPr>
          <w:trHeight w:val="443"/>
          <w:jc w:val="center"/>
        </w:trPr>
        <w:tc>
          <w:tcPr>
            <w:tcW w:w="9785" w:type="dxa"/>
            <w:shd w:val="clear" w:color="auto" w:fill="E2EFD9" w:themeFill="accent6" w:themeFillTint="33"/>
            <w:vAlign w:val="center"/>
          </w:tcPr>
          <w:p w14:paraId="753D0B46" w14:textId="77777777" w:rsidR="00D2512E" w:rsidRPr="00724A07" w:rsidRDefault="00D2512E" w:rsidP="008A0A7D">
            <w:pPr>
              <w:pStyle w:val="Default"/>
              <w:spacing w:before="120" w:after="120"/>
              <w:jc w:val="both"/>
              <w:rPr>
                <w:rFonts w:ascii="ITC Avant Garde" w:hAnsi="ITC Avant Garde"/>
                <w:i/>
                <w:sz w:val="18"/>
                <w:szCs w:val="18"/>
              </w:rPr>
            </w:pPr>
            <w:r w:rsidRPr="007C2396">
              <w:rPr>
                <w:rFonts w:ascii="ITC Avant Garde" w:hAnsi="ITC Avant Garde"/>
                <w:i/>
                <w:sz w:val="18"/>
                <w:szCs w:val="18"/>
              </w:rPr>
              <w:t xml:space="preserve">“En el antepenúltimo párrafo de esta sección </w:t>
            </w:r>
            <w:r w:rsidRPr="007C2396">
              <w:rPr>
                <w:rFonts w:ascii="ITC Avant Garde" w:hAnsi="ITC Avant Garde"/>
                <w:iCs/>
                <w:sz w:val="18"/>
                <w:szCs w:val="18"/>
              </w:rPr>
              <w:t>[2. Concepto de MR y su utilidad]</w:t>
            </w:r>
            <w:r w:rsidRPr="007C2396">
              <w:rPr>
                <w:rFonts w:ascii="ITC Avant Garde" w:hAnsi="ITC Avant Garde"/>
                <w:i/>
                <w:sz w:val="18"/>
                <w:szCs w:val="18"/>
              </w:rPr>
              <w:t xml:space="preserve"> es mencionado que el MR es fundamental para delimitar el entorno en el que ocurre una conducta</w:t>
            </w:r>
            <w:r>
              <w:rPr>
                <w:rFonts w:ascii="ITC Avant Garde" w:hAnsi="ITC Avant Garde"/>
                <w:i/>
                <w:sz w:val="18"/>
                <w:szCs w:val="18"/>
              </w:rPr>
              <w:t xml:space="preserve"> </w:t>
            </w:r>
            <w:r w:rsidRPr="001604F8">
              <w:rPr>
                <w:rFonts w:ascii="ITC Avant Garde" w:hAnsi="ITC Avant Garde"/>
                <w:iCs/>
                <w:sz w:val="18"/>
                <w:szCs w:val="18"/>
              </w:rPr>
              <w:t>(…)</w:t>
            </w:r>
            <w:r w:rsidRPr="007C2396">
              <w:rPr>
                <w:rFonts w:ascii="ITC Avant Garde" w:hAnsi="ITC Avant Garde"/>
                <w:i/>
                <w:sz w:val="18"/>
                <w:szCs w:val="18"/>
              </w:rPr>
              <w:t xml:space="preserve"> Sugerimos que se haga referencia </w:t>
            </w:r>
            <w:r w:rsidRPr="007C2396">
              <w:rPr>
                <w:rFonts w:ascii="ITC Avant Garde" w:hAnsi="ITC Avant Garde"/>
                <w:i/>
                <w:sz w:val="18"/>
                <w:szCs w:val="18"/>
              </w:rPr>
              <w:lastRenderedPageBreak/>
              <w:t>expresa a la utilidad del MR en las investigaciones por prácticas monopólicas, ya que el MR como herramienta resulta fundamental para llevar a cabo investigaciones exitosas.”</w:t>
            </w:r>
          </w:p>
        </w:tc>
      </w:tr>
    </w:tbl>
    <w:p w14:paraId="41792DE9" w14:textId="77777777" w:rsidR="00D2512E" w:rsidRPr="00724A07" w:rsidRDefault="00D2512E" w:rsidP="00D2512E">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60E319CF" w14:textId="77777777" w:rsidR="00D2512E" w:rsidRPr="00724A07" w:rsidRDefault="00D2512E" w:rsidP="00D2512E">
      <w:pPr>
        <w:spacing w:before="120" w:after="120" w:line="240" w:lineRule="auto"/>
        <w:jc w:val="both"/>
        <w:rPr>
          <w:rFonts w:ascii="ITC Avant Garde" w:hAnsi="ITC Avant Garde"/>
          <w:color w:val="000000"/>
        </w:rPr>
      </w:pPr>
      <w:r w:rsidRPr="00724A07">
        <w:rPr>
          <w:rFonts w:ascii="ITC Avant Garde" w:hAnsi="ITC Avant Garde"/>
          <w:color w:val="000000"/>
        </w:rPr>
        <w:t>En relación con la sugerencia de los participantes de hacer referencia expresa a la utilidad del MR en investigaciones por prácticas monopólicas, se considera procedente, toda vez que contribuirá a proporcionar a los agentes económicos mayor claridad acerca de la utilidad e importancia del MR en la aplicación de la LFCE.</w:t>
      </w:r>
    </w:p>
    <w:p w14:paraId="0362160F" w14:textId="77777777" w:rsidR="00D2512E" w:rsidRPr="00724A07" w:rsidRDefault="00D2512E" w:rsidP="00D2512E">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 xml:space="preserve">2. </w:t>
      </w:r>
      <w:r>
        <w:rPr>
          <w:rFonts w:ascii="ITC Avant Garde" w:hAnsi="ITC Avant Garde"/>
          <w:i/>
          <w:iCs/>
        </w:rPr>
        <w:t>Concepto de MR</w:t>
      </w:r>
      <w:r w:rsidRPr="00724A07">
        <w:rPr>
          <w:rFonts w:ascii="ITC Avant Garde" w:hAnsi="ITC Avant Garde"/>
          <w:i/>
          <w:iCs/>
        </w:rPr>
        <w:t xml:space="preserve"> y su </w:t>
      </w:r>
      <w:r>
        <w:rPr>
          <w:rFonts w:ascii="ITC Avant Garde" w:hAnsi="ITC Avant Garde"/>
          <w:i/>
          <w:iCs/>
        </w:rPr>
        <w:t>utilidad</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D2512E" w:rsidRPr="00724A07" w14:paraId="63530BD9" w14:textId="77777777" w:rsidTr="00D2512E">
        <w:trPr>
          <w:jc w:val="center"/>
        </w:trPr>
        <w:tc>
          <w:tcPr>
            <w:tcW w:w="4830" w:type="dxa"/>
            <w:shd w:val="clear" w:color="auto" w:fill="92D050"/>
            <w:vAlign w:val="center"/>
          </w:tcPr>
          <w:p w14:paraId="64F4FA97" w14:textId="77777777" w:rsidR="00D2512E" w:rsidRPr="00724A07" w:rsidRDefault="00D2512E" w:rsidP="008A0A7D">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253E5517" w14:textId="77777777" w:rsidR="00D2512E" w:rsidRPr="00724A07" w:rsidRDefault="00D2512E" w:rsidP="008A0A7D">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D2512E" w:rsidRPr="00724A07" w14:paraId="76C736ED" w14:textId="77777777" w:rsidTr="00D2512E">
        <w:trPr>
          <w:jc w:val="center"/>
        </w:trPr>
        <w:tc>
          <w:tcPr>
            <w:tcW w:w="4830" w:type="dxa"/>
            <w:shd w:val="clear" w:color="auto" w:fill="auto"/>
          </w:tcPr>
          <w:p w14:paraId="03FA8264" w14:textId="77777777" w:rsidR="00D2512E" w:rsidRPr="00724A07" w:rsidRDefault="00D2512E" w:rsidP="008A0A7D">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 xml:space="preserve">2. Concepto de MR y su utilidad (párrafo </w:t>
            </w:r>
            <w:r>
              <w:rPr>
                <w:rFonts w:ascii="ITC Avant Garde" w:hAnsi="ITC Avant Garde" w:cs="Arial"/>
                <w:b/>
                <w:bCs/>
                <w:sz w:val="18"/>
                <w:szCs w:val="18"/>
              </w:rPr>
              <w:t>quinto</w:t>
            </w:r>
            <w:r w:rsidRPr="00724A07">
              <w:rPr>
                <w:rFonts w:ascii="ITC Avant Garde" w:hAnsi="ITC Avant Garde" w:cs="Arial"/>
                <w:b/>
                <w:bCs/>
                <w:sz w:val="18"/>
                <w:szCs w:val="18"/>
              </w:rPr>
              <w:t>)</w:t>
            </w:r>
          </w:p>
          <w:p w14:paraId="3C68E1C9" w14:textId="77777777" w:rsidR="00D2512E" w:rsidRPr="00724A07" w:rsidRDefault="00D2512E" w:rsidP="008A0A7D">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Determinar el MR es fundamental para delimitar el entorno en el que ocurre una conducta, identificar los efectos de una concentración y caracterizar las condiciones de competencia y libre concurrencia. No obstante, dicha determinación no es un fin en sí mismo, sino una herramienta para establecer el marco de referencia para la evaluación de efectos o condiciones de competencia </w:t>
            </w:r>
            <w:r>
              <w:rPr>
                <w:rFonts w:ascii="ITC Avant Garde" w:hAnsi="ITC Avant Garde" w:cs="Arial"/>
                <w:sz w:val="18"/>
                <w:szCs w:val="18"/>
              </w:rPr>
              <w:t>[</w:t>
            </w:r>
            <w:r w:rsidRPr="00724A07">
              <w:rPr>
                <w:rFonts w:ascii="ITC Avant Garde" w:hAnsi="ITC Avant Garde" w:cs="Arial"/>
                <w:sz w:val="18"/>
                <w:szCs w:val="18"/>
              </w:rPr>
              <w:t>…</w:t>
            </w:r>
            <w:r>
              <w:rPr>
                <w:rFonts w:ascii="ITC Avant Garde" w:hAnsi="ITC Avant Garde" w:cs="Arial"/>
                <w:sz w:val="18"/>
                <w:szCs w:val="18"/>
              </w:rPr>
              <w:t>]</w:t>
            </w:r>
          </w:p>
        </w:tc>
        <w:tc>
          <w:tcPr>
            <w:tcW w:w="4830" w:type="dxa"/>
            <w:shd w:val="clear" w:color="auto" w:fill="auto"/>
          </w:tcPr>
          <w:p w14:paraId="1EAAC359" w14:textId="77777777" w:rsidR="00D2512E" w:rsidRPr="00724A07" w:rsidRDefault="00D2512E" w:rsidP="008A0A7D">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 xml:space="preserve">2. Concepto de MR y su utilidad (párrafo </w:t>
            </w:r>
            <w:r>
              <w:rPr>
                <w:rFonts w:ascii="ITC Avant Garde" w:hAnsi="ITC Avant Garde" w:cs="Arial"/>
                <w:b/>
                <w:bCs/>
                <w:sz w:val="18"/>
                <w:szCs w:val="18"/>
              </w:rPr>
              <w:t>quinto</w:t>
            </w:r>
            <w:r w:rsidRPr="00724A07">
              <w:rPr>
                <w:rFonts w:ascii="ITC Avant Garde" w:hAnsi="ITC Avant Garde" w:cs="Arial"/>
                <w:b/>
                <w:bCs/>
                <w:sz w:val="18"/>
                <w:szCs w:val="18"/>
              </w:rPr>
              <w:t>)</w:t>
            </w:r>
          </w:p>
          <w:p w14:paraId="1814F351" w14:textId="2D7ABE16" w:rsidR="00D2512E" w:rsidRPr="00724A07" w:rsidRDefault="00D2512E" w:rsidP="008A0A7D">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Determinar el MR es fundamental para delimitar el entorno en el que ocurre una conducta, identificar los efectos de una concentración y caracterizar las condiciones de competencia y libre concurrencia. </w:t>
            </w:r>
            <w:r w:rsidRPr="00724A07">
              <w:rPr>
                <w:rFonts w:ascii="ITC Avant Garde" w:hAnsi="ITC Avant Garde" w:cs="Arial"/>
                <w:sz w:val="18"/>
                <w:szCs w:val="18"/>
                <w:u w:val="single"/>
              </w:rPr>
              <w:t>Por ello, la LFCE prevé la necesidad de determinar el MR en diversos artículos que se refieren al análisis de concentraciones, investigación de prácticas monopólicas relativas, así como al procedimiento para resolver u opinar sobre cuestiones de competencia efectiva y existencia de poder sustancial, entre otros. En ese sentido</w:t>
            </w:r>
            <w:r w:rsidRPr="00724A07">
              <w:rPr>
                <w:rFonts w:ascii="ITC Avant Garde" w:hAnsi="ITC Avant Garde" w:cs="Arial"/>
                <w:sz w:val="18"/>
                <w:szCs w:val="18"/>
              </w:rPr>
              <w:t xml:space="preserve">, dicha determinación no es un fin en sí mismo, sino una herramienta para establecer el marco de referencia para la evaluación de efectos o condiciones de competencia </w:t>
            </w:r>
            <w:r>
              <w:rPr>
                <w:rFonts w:ascii="ITC Avant Garde" w:hAnsi="ITC Avant Garde" w:cs="Arial"/>
                <w:sz w:val="18"/>
                <w:szCs w:val="18"/>
              </w:rPr>
              <w:t>[</w:t>
            </w:r>
            <w:r w:rsidRPr="00724A07">
              <w:rPr>
                <w:rFonts w:ascii="ITC Avant Garde" w:hAnsi="ITC Avant Garde" w:cs="Arial"/>
                <w:sz w:val="18"/>
                <w:szCs w:val="18"/>
              </w:rPr>
              <w:t>…</w:t>
            </w:r>
            <w:r>
              <w:rPr>
                <w:rFonts w:ascii="ITC Avant Garde" w:hAnsi="ITC Avant Garde" w:cs="Arial"/>
                <w:sz w:val="18"/>
                <w:szCs w:val="18"/>
              </w:rPr>
              <w:t>]</w:t>
            </w:r>
          </w:p>
        </w:tc>
      </w:tr>
    </w:tbl>
    <w:p w14:paraId="39AB246E" w14:textId="77777777" w:rsidR="00D2512E" w:rsidRPr="00724A07" w:rsidRDefault="00D2512E" w:rsidP="00D2512E">
      <w:pPr>
        <w:spacing w:before="120" w:after="120" w:line="240" w:lineRule="auto"/>
        <w:jc w:val="both"/>
        <w:rPr>
          <w:rFonts w:ascii="ITC Avant Garde" w:hAnsi="ITC Avant Garde"/>
          <w:b/>
          <w:bCs/>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43588F19" w14:textId="77777777" w:rsidTr="00D2512E">
        <w:trPr>
          <w:trHeight w:val="276"/>
          <w:jc w:val="center"/>
        </w:trPr>
        <w:tc>
          <w:tcPr>
            <w:tcW w:w="9785" w:type="dxa"/>
            <w:shd w:val="clear" w:color="auto" w:fill="92D050"/>
            <w:vAlign w:val="center"/>
          </w:tcPr>
          <w:p w14:paraId="73BD61A9" w14:textId="3AF3B309" w:rsidR="00A165D0" w:rsidRPr="00724A07" w:rsidRDefault="005B138D"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Jorge Solís Fernández</w:t>
            </w:r>
          </w:p>
        </w:tc>
      </w:tr>
      <w:tr w:rsidR="00A165D0" w:rsidRPr="00724A07" w14:paraId="5AC8A40F" w14:textId="77777777" w:rsidTr="00D2512E">
        <w:trPr>
          <w:trHeight w:val="443"/>
          <w:jc w:val="center"/>
        </w:trPr>
        <w:tc>
          <w:tcPr>
            <w:tcW w:w="9785" w:type="dxa"/>
            <w:shd w:val="clear" w:color="auto" w:fill="E2EFD9" w:themeFill="accent6" w:themeFillTint="33"/>
            <w:vAlign w:val="center"/>
          </w:tcPr>
          <w:p w14:paraId="5E286654" w14:textId="77777777" w:rsidR="00C7449E" w:rsidRPr="007C2396" w:rsidRDefault="00C7449E" w:rsidP="00C7449E">
            <w:pPr>
              <w:pStyle w:val="Default"/>
              <w:spacing w:after="120"/>
              <w:jc w:val="both"/>
              <w:rPr>
                <w:rFonts w:ascii="ITC Avant Garde" w:hAnsi="ITC Avant Garde"/>
                <w:i/>
                <w:sz w:val="18"/>
                <w:szCs w:val="18"/>
              </w:rPr>
            </w:pPr>
            <w:r w:rsidRPr="007C2396">
              <w:rPr>
                <w:rFonts w:ascii="ITC Avant Garde" w:hAnsi="ITC Avant Garde"/>
                <w:i/>
                <w:sz w:val="18"/>
                <w:szCs w:val="18"/>
              </w:rPr>
              <w:t>“El Anteproyecto de Guía señala en su apartado “2.1 Definición conceptual de MR y su determinación” que “La determinación de MR no es un fin en sí misma, sino que cobra importancia en un contexto de análisis de competencia e implica una valoración económica compleja de carácter discrecional</w:t>
            </w:r>
            <w:r>
              <w:rPr>
                <w:rFonts w:ascii="ITC Avant Garde" w:hAnsi="ITC Avant Garde"/>
                <w:i/>
                <w:sz w:val="18"/>
                <w:szCs w:val="18"/>
              </w:rPr>
              <w:t xml:space="preserve"> </w:t>
            </w:r>
            <w:r w:rsidRPr="002D31C7">
              <w:rPr>
                <w:rFonts w:ascii="ITC Avant Garde" w:hAnsi="ITC Avant Garde"/>
                <w:iCs/>
                <w:sz w:val="18"/>
                <w:szCs w:val="18"/>
              </w:rPr>
              <w:t>[…]</w:t>
            </w:r>
            <w:r w:rsidRPr="007C2396">
              <w:rPr>
                <w:rFonts w:ascii="ITC Avant Garde" w:hAnsi="ITC Avant Garde"/>
                <w:i/>
                <w:sz w:val="18"/>
                <w:szCs w:val="18"/>
              </w:rPr>
              <w:t xml:space="preserve">”. </w:t>
            </w:r>
          </w:p>
          <w:p w14:paraId="377691EB" w14:textId="4EEA8C97" w:rsidR="00A165D0" w:rsidRPr="00724A07" w:rsidRDefault="00C7449E" w:rsidP="00C7449E">
            <w:pPr>
              <w:pStyle w:val="Default"/>
              <w:spacing w:before="120" w:after="120"/>
              <w:jc w:val="both"/>
              <w:rPr>
                <w:rFonts w:ascii="ITC Avant Garde" w:hAnsi="ITC Avant Garde"/>
                <w:i/>
                <w:sz w:val="18"/>
                <w:szCs w:val="18"/>
              </w:rPr>
            </w:pPr>
            <w:r w:rsidRPr="007C2396">
              <w:rPr>
                <w:rFonts w:ascii="ITC Avant Garde" w:hAnsi="ITC Avant Garde"/>
                <w:i/>
                <w:sz w:val="18"/>
                <w:szCs w:val="18"/>
              </w:rPr>
              <w:t>Al respecto, parece que el Instituto tomó como referencia el criterio judicial con rubro MERCADO RELEVANTE. SU CONCEPTO EN MATERIA DE COMPETENCIA ECONÓMICA, pero lo aplicó de manera incompleta pues el referido criterio señala que la definición de marcado relevante se convierte sólo en un medio para determinar la presencia o ausencia de poder en el mercado</w:t>
            </w:r>
            <w:r>
              <w:rPr>
                <w:rFonts w:ascii="ITC Avant Garde" w:hAnsi="ITC Avant Garde"/>
                <w:i/>
                <w:sz w:val="18"/>
                <w:szCs w:val="18"/>
              </w:rPr>
              <w:t xml:space="preserve"> </w:t>
            </w:r>
            <w:r w:rsidRPr="00FA68E7">
              <w:rPr>
                <w:rFonts w:ascii="ITC Avant Garde" w:hAnsi="ITC Avant Garde"/>
                <w:iCs/>
                <w:sz w:val="18"/>
                <w:szCs w:val="18"/>
              </w:rPr>
              <w:t>(…)</w:t>
            </w:r>
            <w:r>
              <w:rPr>
                <w:rFonts w:ascii="ITC Avant Garde" w:hAnsi="ITC Avant Garde"/>
                <w:iCs/>
                <w:sz w:val="18"/>
                <w:szCs w:val="18"/>
              </w:rPr>
              <w:t>”</w:t>
            </w:r>
          </w:p>
        </w:tc>
      </w:tr>
    </w:tbl>
    <w:p w14:paraId="11713D3F" w14:textId="77777777" w:rsidR="00726313" w:rsidRPr="00724A07" w:rsidRDefault="00726313" w:rsidP="00726313">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742B676E" w14:textId="57854449" w:rsidR="00A165D0" w:rsidRPr="00724A07" w:rsidRDefault="00A165D0" w:rsidP="00F071AE">
      <w:pPr>
        <w:spacing w:after="12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al comentario de</w:t>
      </w:r>
      <w:r w:rsidR="005B138D" w:rsidRPr="00724A07">
        <w:rPr>
          <w:rFonts w:ascii="ITC Avant Garde" w:hAnsi="ITC Avant Garde"/>
        </w:rPr>
        <w:t xml:space="preserve"> Jorge Solís Fernández respecto a que se debe precisar que el </w:t>
      </w:r>
      <w:r w:rsidR="00C83B45" w:rsidRPr="00724A07">
        <w:rPr>
          <w:rFonts w:ascii="ITC Avant Garde" w:hAnsi="ITC Avant Garde"/>
        </w:rPr>
        <w:t>MR</w:t>
      </w:r>
      <w:r w:rsidR="005B138D" w:rsidRPr="00724A07">
        <w:rPr>
          <w:rFonts w:ascii="ITC Avant Garde" w:hAnsi="ITC Avant Garde"/>
        </w:rPr>
        <w:t xml:space="preserve"> es “</w:t>
      </w:r>
      <w:r w:rsidR="005B138D" w:rsidRPr="00724A07">
        <w:rPr>
          <w:rFonts w:ascii="ITC Avant Garde" w:hAnsi="ITC Avant Garde"/>
          <w:i/>
          <w:iCs/>
        </w:rPr>
        <w:t>el medio para determinar la presencia o ausencia de poder en el mercado</w:t>
      </w:r>
      <w:r w:rsidR="005B138D" w:rsidRPr="00724A07">
        <w:rPr>
          <w:rFonts w:ascii="ITC Avant Garde" w:hAnsi="ITC Avant Garde"/>
        </w:rPr>
        <w:t>”</w:t>
      </w:r>
      <w:r w:rsidR="00C83B45" w:rsidRPr="00724A07">
        <w:rPr>
          <w:rFonts w:ascii="ITC Avant Garde" w:hAnsi="ITC Avant Garde"/>
        </w:rPr>
        <w:t>,</w:t>
      </w:r>
      <w:r w:rsidR="005B138D" w:rsidRPr="00724A07">
        <w:rPr>
          <w:rFonts w:ascii="ITC Avant Garde" w:hAnsi="ITC Avant Garde"/>
        </w:rPr>
        <w:t xml:space="preserve"> se considera </w:t>
      </w:r>
      <w:r w:rsidR="00F071AE">
        <w:rPr>
          <w:rFonts w:ascii="ITC Avant Garde" w:hAnsi="ITC Avant Garde"/>
        </w:rPr>
        <w:t>im</w:t>
      </w:r>
      <w:r w:rsidR="0036518C" w:rsidRPr="00724A07">
        <w:rPr>
          <w:rFonts w:ascii="ITC Avant Garde" w:hAnsi="ITC Avant Garde"/>
        </w:rPr>
        <w:t>procedente</w:t>
      </w:r>
      <w:r w:rsidR="00F071AE">
        <w:rPr>
          <w:rFonts w:ascii="ITC Avant Garde" w:hAnsi="ITC Avant Garde"/>
        </w:rPr>
        <w:t xml:space="preserve"> toda vez que </w:t>
      </w:r>
      <w:r w:rsidR="0036518C" w:rsidRPr="00724A07">
        <w:rPr>
          <w:rFonts w:ascii="ITC Avant Garde" w:hAnsi="ITC Avant Garde"/>
        </w:rPr>
        <w:t xml:space="preserve">el Anteproyecto de </w:t>
      </w:r>
      <w:r w:rsidR="00AA33A0" w:rsidRPr="00724A07">
        <w:rPr>
          <w:rFonts w:ascii="ITC Avant Garde" w:hAnsi="ITC Avant Garde"/>
        </w:rPr>
        <w:t>G</w:t>
      </w:r>
      <w:r w:rsidR="0036518C" w:rsidRPr="00724A07">
        <w:rPr>
          <w:rFonts w:ascii="ITC Avant Garde" w:hAnsi="ITC Avant Garde"/>
        </w:rPr>
        <w:t>uía hace dicha precisión unos párrafos antes</w:t>
      </w:r>
      <w:r w:rsidR="00C83B45" w:rsidRPr="00724A07">
        <w:rPr>
          <w:rFonts w:ascii="ITC Avant Garde" w:hAnsi="ITC Avant Garde"/>
        </w:rPr>
        <w:t xml:space="preserve"> e</w:t>
      </w:r>
      <w:r w:rsidR="00FA4765" w:rsidRPr="00724A07">
        <w:rPr>
          <w:rFonts w:ascii="ITC Avant Garde" w:hAnsi="ITC Avant Garde"/>
        </w:rPr>
        <w:t xml:space="preserve"> </w:t>
      </w:r>
      <w:r w:rsidR="0036518C" w:rsidRPr="00724A07">
        <w:rPr>
          <w:rFonts w:ascii="ITC Avant Garde" w:hAnsi="ITC Avant Garde"/>
        </w:rPr>
        <w:t xml:space="preserve">incluso se refiere a la misma </w:t>
      </w:r>
      <w:r w:rsidR="00A000CE">
        <w:rPr>
          <w:rFonts w:ascii="ITC Avant Garde" w:hAnsi="ITC Avant Garde"/>
        </w:rPr>
        <w:t>t</w:t>
      </w:r>
      <w:r w:rsidR="0036518C" w:rsidRPr="00724A07">
        <w:rPr>
          <w:rFonts w:ascii="ITC Avant Garde" w:hAnsi="ITC Avant Garde"/>
        </w:rPr>
        <w:t>esis citada por el p</w:t>
      </w:r>
      <w:r w:rsidR="00C83B45" w:rsidRPr="00724A07">
        <w:rPr>
          <w:rFonts w:ascii="ITC Avant Garde" w:hAnsi="ITC Avant Garde"/>
        </w:rPr>
        <w:t>articipante</w:t>
      </w:r>
      <w:r w:rsidR="0036518C" w:rsidRPr="00724A07">
        <w:rPr>
          <w:rFonts w:ascii="ITC Avant Garde" w:hAnsi="ITC Avant Garde"/>
        </w:rPr>
        <w:t xml:space="preserve"> (véase párrafo 5 de la sección </w:t>
      </w:r>
      <w:r w:rsidR="00524980">
        <w:rPr>
          <w:rFonts w:ascii="ITC Avant Garde" w:hAnsi="ITC Avant Garde"/>
        </w:rPr>
        <w:t>“</w:t>
      </w:r>
      <w:r w:rsidR="0036518C" w:rsidRPr="002B0BAB">
        <w:rPr>
          <w:rFonts w:ascii="ITC Avant Garde" w:hAnsi="ITC Avant Garde"/>
          <w:i/>
        </w:rPr>
        <w:t>2.</w:t>
      </w:r>
      <w:r w:rsidR="0036518C" w:rsidRPr="00724A07">
        <w:rPr>
          <w:rFonts w:ascii="ITC Avant Garde" w:hAnsi="ITC Avant Garde"/>
        </w:rPr>
        <w:t xml:space="preserve"> </w:t>
      </w:r>
      <w:r w:rsidR="0036518C" w:rsidRPr="00724A07">
        <w:rPr>
          <w:rFonts w:ascii="ITC Avant Garde" w:hAnsi="ITC Avant Garde"/>
          <w:i/>
          <w:iCs/>
        </w:rPr>
        <w:t>Concepto de MR y su utilidad</w:t>
      </w:r>
      <w:r w:rsidR="00D426D8" w:rsidRPr="00724A07">
        <w:rPr>
          <w:rFonts w:ascii="ITC Avant Garde" w:hAnsi="ITC Avant Garde"/>
        </w:rPr>
        <w:t>”</w:t>
      </w:r>
      <w:r w:rsidR="00FA4765" w:rsidRPr="00724A07">
        <w:rPr>
          <w:rFonts w:ascii="ITC Avant Garde" w:hAnsi="ITC Avant Garde"/>
        </w:rPr>
        <w:t>)</w:t>
      </w:r>
      <w:r w:rsidR="00F071AE">
        <w:rPr>
          <w:rFonts w:ascii="ITC Avant Garde" w:hAnsi="ITC Avant Garde"/>
        </w:rPr>
        <w:t xml:space="preserve">. </w:t>
      </w:r>
      <w:r w:rsidR="00F071AE" w:rsidRPr="00F071AE">
        <w:rPr>
          <w:rFonts w:ascii="ITC Avant Garde" w:hAnsi="ITC Avant Garde"/>
        </w:rPr>
        <w:t xml:space="preserve">No obstante, a efecto de dotar de mayor claridad a lo previsto en el Anteproyecto de Guía se considera procedente </w:t>
      </w:r>
      <w:r w:rsidR="00F071AE">
        <w:rPr>
          <w:rFonts w:ascii="ITC Avant Garde" w:hAnsi="ITC Avant Garde"/>
        </w:rPr>
        <w:t xml:space="preserve">modificar </w:t>
      </w:r>
      <w:r w:rsidR="005B138D" w:rsidRPr="00724A07">
        <w:rPr>
          <w:rFonts w:ascii="ITC Avant Garde" w:hAnsi="ITC Avant Garde"/>
        </w:rPr>
        <w:t xml:space="preserve">la sección </w:t>
      </w:r>
      <w:r w:rsidR="00AA33A0" w:rsidRPr="00724A07">
        <w:rPr>
          <w:rFonts w:ascii="ITC Avant Garde" w:hAnsi="ITC Avant Garde"/>
        </w:rPr>
        <w:t>“</w:t>
      </w:r>
      <w:r w:rsidR="00AA33A0" w:rsidRPr="00724A07">
        <w:rPr>
          <w:rFonts w:ascii="ITC Avant Garde" w:hAnsi="ITC Avant Garde"/>
          <w:i/>
          <w:iCs/>
        </w:rPr>
        <w:t>2.1</w:t>
      </w:r>
      <w:r w:rsidR="0089798B" w:rsidRPr="00724A07">
        <w:rPr>
          <w:rFonts w:ascii="ITC Avant Garde" w:hAnsi="ITC Avant Garde"/>
          <w:i/>
          <w:iCs/>
        </w:rPr>
        <w:t xml:space="preserve">. </w:t>
      </w:r>
      <w:r w:rsidR="00AA33A0" w:rsidRPr="00724A07">
        <w:rPr>
          <w:rFonts w:ascii="ITC Avant Garde" w:hAnsi="ITC Avant Garde"/>
          <w:i/>
          <w:iCs/>
        </w:rPr>
        <w:t>Definición conceptual de MR y su determinación</w:t>
      </w:r>
      <w:r w:rsidR="00AA33A0" w:rsidRPr="00724A07">
        <w:rPr>
          <w:rFonts w:ascii="ITC Avant Garde" w:hAnsi="ITC Avant Garde"/>
        </w:rPr>
        <w:t>”</w:t>
      </w:r>
      <w:r w:rsidR="005B138D" w:rsidRPr="00724A07">
        <w:rPr>
          <w:rFonts w:ascii="ITC Avant Garde" w:hAnsi="ITC Avant Garde"/>
        </w:rPr>
        <w:t xml:space="preserve">, </w:t>
      </w:r>
      <w:r w:rsidR="00D25732" w:rsidRPr="00724A07">
        <w:rPr>
          <w:rFonts w:ascii="ITC Avant Garde" w:hAnsi="ITC Avant Garde"/>
        </w:rPr>
        <w:t>para quedar de la siguiente manera</w:t>
      </w:r>
      <w:r w:rsidR="005B138D" w:rsidRPr="00724A07">
        <w:rPr>
          <w:rFonts w:ascii="ITC Avant Garde" w:hAnsi="ITC Avant Garde"/>
        </w:rPr>
        <w:t>:</w:t>
      </w:r>
    </w:p>
    <w:tbl>
      <w:tblPr>
        <w:tblStyle w:val="Tablaconcuadrcula"/>
        <w:tblW w:w="0" w:type="auto"/>
        <w:jc w:val="center"/>
        <w:tblLook w:val="04A0" w:firstRow="1" w:lastRow="0" w:firstColumn="1" w:lastColumn="0" w:noHBand="0" w:noVBand="1"/>
      </w:tblPr>
      <w:tblGrid>
        <w:gridCol w:w="4830"/>
        <w:gridCol w:w="4830"/>
      </w:tblGrid>
      <w:tr w:rsidR="005B138D" w:rsidRPr="00724A07" w14:paraId="726FBC9A" w14:textId="77777777" w:rsidTr="00D2512E">
        <w:trPr>
          <w:jc w:val="center"/>
        </w:trPr>
        <w:tc>
          <w:tcPr>
            <w:tcW w:w="4830" w:type="dxa"/>
            <w:shd w:val="clear" w:color="auto" w:fill="92D050"/>
            <w:vAlign w:val="center"/>
          </w:tcPr>
          <w:p w14:paraId="1A663DC4" w14:textId="77777777" w:rsidR="005B138D" w:rsidRPr="00724A07" w:rsidRDefault="005B138D" w:rsidP="00903EDE">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5F5C492A" w14:textId="77777777" w:rsidR="005B138D" w:rsidRPr="00724A07" w:rsidRDefault="005B138D" w:rsidP="00903EDE">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5B138D" w:rsidRPr="00724A07" w14:paraId="239BA83F" w14:textId="77777777" w:rsidTr="00D2512E">
        <w:trPr>
          <w:jc w:val="center"/>
        </w:trPr>
        <w:tc>
          <w:tcPr>
            <w:tcW w:w="4830" w:type="dxa"/>
            <w:shd w:val="clear" w:color="auto" w:fill="auto"/>
          </w:tcPr>
          <w:p w14:paraId="43A352CF" w14:textId="2D380182" w:rsidR="005B138D" w:rsidRPr="00724A07" w:rsidRDefault="005B138D" w:rsidP="00903EDE">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2.</w:t>
            </w:r>
            <w:r w:rsidR="0036518C" w:rsidRPr="00724A07">
              <w:rPr>
                <w:rFonts w:ascii="ITC Avant Garde" w:hAnsi="ITC Avant Garde" w:cs="Arial"/>
                <w:b/>
                <w:bCs/>
                <w:sz w:val="18"/>
                <w:szCs w:val="18"/>
              </w:rPr>
              <w:t>1</w:t>
            </w:r>
            <w:r w:rsidRPr="00724A07">
              <w:rPr>
                <w:rFonts w:ascii="ITC Avant Garde" w:hAnsi="ITC Avant Garde" w:cs="Arial"/>
                <w:b/>
                <w:bCs/>
                <w:sz w:val="18"/>
                <w:szCs w:val="18"/>
              </w:rPr>
              <w:tab/>
            </w:r>
            <w:r w:rsidR="0036518C" w:rsidRPr="00724A07">
              <w:rPr>
                <w:rFonts w:ascii="ITC Avant Garde" w:hAnsi="ITC Avant Garde" w:cs="Arial"/>
                <w:b/>
                <w:bCs/>
                <w:sz w:val="18"/>
                <w:szCs w:val="18"/>
              </w:rPr>
              <w:t xml:space="preserve">Definición conceptual de MR y su determinación </w:t>
            </w:r>
            <w:r w:rsidRPr="00724A07">
              <w:rPr>
                <w:rFonts w:ascii="ITC Avant Garde" w:hAnsi="ITC Avant Garde" w:cs="Arial"/>
                <w:b/>
                <w:bCs/>
                <w:sz w:val="18"/>
                <w:szCs w:val="18"/>
              </w:rPr>
              <w:t>(párrafo</w:t>
            </w:r>
            <w:r w:rsidR="00E214B3" w:rsidRPr="00724A07">
              <w:rPr>
                <w:rFonts w:ascii="ITC Avant Garde" w:hAnsi="ITC Avant Garde" w:cs="Arial"/>
                <w:b/>
                <w:bCs/>
                <w:sz w:val="18"/>
                <w:szCs w:val="18"/>
              </w:rPr>
              <w:t xml:space="preserve"> </w:t>
            </w:r>
            <w:r w:rsidR="001B4B75">
              <w:rPr>
                <w:rFonts w:ascii="ITC Avant Garde" w:hAnsi="ITC Avant Garde" w:cs="Arial"/>
                <w:b/>
                <w:bCs/>
                <w:sz w:val="18"/>
                <w:szCs w:val="18"/>
              </w:rPr>
              <w:t>cuarto</w:t>
            </w:r>
            <w:r w:rsidR="00E214B3" w:rsidRPr="00724A07">
              <w:rPr>
                <w:rFonts w:ascii="ITC Avant Garde" w:hAnsi="ITC Avant Garde" w:cs="Arial"/>
                <w:b/>
                <w:bCs/>
                <w:sz w:val="18"/>
                <w:szCs w:val="18"/>
              </w:rPr>
              <w:t>)</w:t>
            </w:r>
          </w:p>
          <w:p w14:paraId="6BACBA92" w14:textId="29C77015" w:rsidR="005B138D" w:rsidRPr="00724A07" w:rsidRDefault="0036518C" w:rsidP="00903EDE">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La determinación del MR no es un fin en sí misma, sino que cobra importancia en un contexto de análisis de </w:t>
            </w:r>
            <w:r w:rsidRPr="00724A07">
              <w:rPr>
                <w:rFonts w:ascii="ITC Avant Garde" w:hAnsi="ITC Avant Garde" w:cs="Arial"/>
                <w:sz w:val="18"/>
                <w:szCs w:val="18"/>
              </w:rPr>
              <w:lastRenderedPageBreak/>
              <w:t xml:space="preserve">competencia e implica una valoración económica compleja de carácter discrecional que, en los sectores de </w:t>
            </w:r>
            <w:proofErr w:type="spellStart"/>
            <w:r w:rsidRPr="00724A07">
              <w:rPr>
                <w:rFonts w:ascii="ITC Avant Garde" w:hAnsi="ITC Avant Garde" w:cs="Arial"/>
                <w:sz w:val="18"/>
                <w:szCs w:val="18"/>
              </w:rPr>
              <w:t>TyR</w:t>
            </w:r>
            <w:proofErr w:type="spellEnd"/>
            <w:r w:rsidRPr="00724A07">
              <w:rPr>
                <w:rFonts w:ascii="ITC Avant Garde" w:hAnsi="ITC Avant Garde" w:cs="Arial"/>
                <w:sz w:val="18"/>
                <w:szCs w:val="18"/>
              </w:rPr>
              <w:t xml:space="preserve"> sólo el Instituto puede construir a partir de la evidencia de que dispone en cada caso y de la aplicación de sus propios criterios metodológicos.</w:t>
            </w:r>
          </w:p>
        </w:tc>
        <w:tc>
          <w:tcPr>
            <w:tcW w:w="4830" w:type="dxa"/>
            <w:shd w:val="clear" w:color="auto" w:fill="auto"/>
          </w:tcPr>
          <w:p w14:paraId="5BA9994A" w14:textId="589EA733" w:rsidR="0036518C" w:rsidRPr="00724A07" w:rsidRDefault="0036518C" w:rsidP="0036518C">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lastRenderedPageBreak/>
              <w:t>2.1</w:t>
            </w:r>
            <w:r w:rsidRPr="00724A07">
              <w:rPr>
                <w:rFonts w:ascii="ITC Avant Garde" w:hAnsi="ITC Avant Garde" w:cs="Arial"/>
                <w:b/>
                <w:bCs/>
                <w:sz w:val="18"/>
                <w:szCs w:val="18"/>
              </w:rPr>
              <w:tab/>
              <w:t xml:space="preserve">Definición conceptual de MR y su determinación (párrafo </w:t>
            </w:r>
            <w:r w:rsidR="001B4B75">
              <w:rPr>
                <w:rFonts w:ascii="ITC Avant Garde" w:hAnsi="ITC Avant Garde" w:cs="Arial"/>
                <w:b/>
                <w:bCs/>
                <w:sz w:val="18"/>
                <w:szCs w:val="18"/>
              </w:rPr>
              <w:t>cuarto</w:t>
            </w:r>
            <w:r w:rsidRPr="00724A07">
              <w:rPr>
                <w:rFonts w:ascii="ITC Avant Garde" w:hAnsi="ITC Avant Garde" w:cs="Arial"/>
                <w:b/>
                <w:bCs/>
                <w:sz w:val="18"/>
                <w:szCs w:val="18"/>
              </w:rPr>
              <w:t>)</w:t>
            </w:r>
          </w:p>
          <w:p w14:paraId="76047223" w14:textId="46AB6F1D" w:rsidR="005B138D" w:rsidRPr="00724A07" w:rsidRDefault="0036518C" w:rsidP="0036518C">
            <w:pPr>
              <w:spacing w:after="0" w:line="240" w:lineRule="auto"/>
              <w:jc w:val="both"/>
              <w:rPr>
                <w:rFonts w:ascii="ITC Avant Garde" w:hAnsi="ITC Avant Garde" w:cs="Arial"/>
                <w:sz w:val="18"/>
                <w:szCs w:val="18"/>
              </w:rPr>
            </w:pPr>
            <w:r w:rsidRPr="00724A07">
              <w:rPr>
                <w:rFonts w:ascii="ITC Avant Garde" w:hAnsi="ITC Avant Garde" w:cs="Arial"/>
                <w:sz w:val="18"/>
                <w:szCs w:val="18"/>
              </w:rPr>
              <w:t>La determinación del MR no es un fin en sí mism</w:t>
            </w:r>
            <w:r w:rsidR="00C83B45" w:rsidRPr="00724A07">
              <w:rPr>
                <w:rFonts w:ascii="ITC Avant Garde" w:hAnsi="ITC Avant Garde" w:cs="Arial"/>
                <w:sz w:val="18"/>
                <w:szCs w:val="18"/>
              </w:rPr>
              <w:t>a</w:t>
            </w:r>
            <w:r w:rsidRPr="00724A07">
              <w:rPr>
                <w:rFonts w:ascii="ITC Avant Garde" w:hAnsi="ITC Avant Garde" w:cs="Arial"/>
                <w:sz w:val="18"/>
                <w:szCs w:val="18"/>
              </w:rPr>
              <w:t xml:space="preserve">, sino que </w:t>
            </w:r>
            <w:r w:rsidR="00C83B45" w:rsidRPr="00724A07">
              <w:rPr>
                <w:rFonts w:ascii="ITC Avant Garde" w:hAnsi="ITC Avant Garde" w:cs="Arial"/>
                <w:sz w:val="18"/>
                <w:szCs w:val="18"/>
                <w:u w:val="single"/>
              </w:rPr>
              <w:t xml:space="preserve">proporciona </w:t>
            </w:r>
            <w:r w:rsidRPr="00724A07">
              <w:rPr>
                <w:rFonts w:ascii="ITC Avant Garde" w:hAnsi="ITC Avant Garde" w:cs="Arial"/>
                <w:sz w:val="18"/>
                <w:szCs w:val="18"/>
                <w:u w:val="single"/>
              </w:rPr>
              <w:t xml:space="preserve">un medio para determinar si uno o </w:t>
            </w:r>
            <w:r w:rsidRPr="00724A07">
              <w:rPr>
                <w:rFonts w:ascii="ITC Avant Garde" w:hAnsi="ITC Avant Garde" w:cs="Arial"/>
                <w:sz w:val="18"/>
                <w:szCs w:val="18"/>
                <w:u w:val="single"/>
              </w:rPr>
              <w:lastRenderedPageBreak/>
              <w:t xml:space="preserve">varios Agentes Económicos tienen poder </w:t>
            </w:r>
            <w:r w:rsidR="003B3401">
              <w:rPr>
                <w:rFonts w:ascii="ITC Avant Garde" w:hAnsi="ITC Avant Garde" w:cs="Arial"/>
                <w:sz w:val="18"/>
                <w:szCs w:val="18"/>
                <w:u w:val="single"/>
              </w:rPr>
              <w:t>sustancial en el</w:t>
            </w:r>
            <w:r w:rsidR="003B3401" w:rsidRPr="00724A07">
              <w:rPr>
                <w:rFonts w:ascii="ITC Avant Garde" w:hAnsi="ITC Avant Garde" w:cs="Arial"/>
                <w:sz w:val="18"/>
                <w:szCs w:val="18"/>
                <w:u w:val="single"/>
              </w:rPr>
              <w:t xml:space="preserve"> </w:t>
            </w:r>
            <w:r w:rsidR="009123D6">
              <w:rPr>
                <w:rFonts w:ascii="ITC Avant Garde" w:hAnsi="ITC Avant Garde" w:cs="Arial"/>
                <w:sz w:val="18"/>
                <w:szCs w:val="18"/>
                <w:u w:val="single"/>
              </w:rPr>
              <w:t>MR</w:t>
            </w:r>
            <w:r w:rsidRPr="00724A07">
              <w:rPr>
                <w:rFonts w:ascii="ITC Avant Garde" w:hAnsi="ITC Avant Garde" w:cs="Arial"/>
                <w:sz w:val="18"/>
                <w:szCs w:val="18"/>
                <w:u w:val="single"/>
              </w:rPr>
              <w:t>, o bien, para resolver sobre condiciones</w:t>
            </w:r>
            <w:r w:rsidR="009D2425">
              <w:rPr>
                <w:rFonts w:ascii="ITC Avant Garde" w:hAnsi="ITC Avant Garde" w:cs="Arial"/>
                <w:sz w:val="18"/>
                <w:szCs w:val="18"/>
                <w:u w:val="single"/>
              </w:rPr>
              <w:t xml:space="preserve"> </w:t>
            </w:r>
            <w:r w:rsidRPr="00724A07">
              <w:rPr>
                <w:rFonts w:ascii="ITC Avant Garde" w:hAnsi="ITC Avant Garde" w:cs="Arial"/>
                <w:sz w:val="18"/>
                <w:szCs w:val="18"/>
                <w:u w:val="single"/>
              </w:rPr>
              <w:t>de</w:t>
            </w:r>
            <w:r w:rsidR="009D2425">
              <w:rPr>
                <w:rFonts w:ascii="ITC Avant Garde" w:hAnsi="ITC Avant Garde" w:cs="Arial"/>
                <w:sz w:val="18"/>
                <w:szCs w:val="18"/>
                <w:u w:val="single"/>
              </w:rPr>
              <w:t xml:space="preserve"> </w:t>
            </w:r>
            <w:r w:rsidRPr="00724A07">
              <w:rPr>
                <w:rFonts w:ascii="ITC Avant Garde" w:hAnsi="ITC Avant Garde" w:cs="Arial"/>
                <w:sz w:val="18"/>
                <w:szCs w:val="18"/>
                <w:u w:val="single"/>
              </w:rPr>
              <w:t>competencia, competencia efectiva u otras cuestiones relativas al proceso de competencia o libre concurrencia</w:t>
            </w:r>
            <w:r w:rsidR="00C83B45" w:rsidRPr="00724A07">
              <w:rPr>
                <w:rFonts w:ascii="ITC Avant Garde" w:hAnsi="ITC Avant Garde" w:cs="Arial"/>
                <w:sz w:val="18"/>
                <w:szCs w:val="18"/>
                <w:u w:val="single"/>
              </w:rPr>
              <w:t>,</w:t>
            </w:r>
            <w:r w:rsidRPr="00724A07">
              <w:rPr>
                <w:rFonts w:ascii="ITC Avant Garde" w:hAnsi="ITC Avant Garde" w:cs="Arial"/>
                <w:sz w:val="18"/>
                <w:szCs w:val="18"/>
              </w:rPr>
              <w:t xml:space="preserve"> e implica una valoración económica compleja de carácter discrecional que, en los sectores de </w:t>
            </w:r>
            <w:proofErr w:type="spellStart"/>
            <w:r w:rsidRPr="00724A07">
              <w:rPr>
                <w:rFonts w:ascii="ITC Avant Garde" w:hAnsi="ITC Avant Garde" w:cs="Arial"/>
                <w:sz w:val="18"/>
                <w:szCs w:val="18"/>
              </w:rPr>
              <w:t>TyR</w:t>
            </w:r>
            <w:proofErr w:type="spellEnd"/>
            <w:r w:rsidRPr="00724A07">
              <w:rPr>
                <w:rFonts w:ascii="ITC Avant Garde" w:hAnsi="ITC Avant Garde" w:cs="Arial"/>
                <w:sz w:val="18"/>
                <w:szCs w:val="18"/>
              </w:rPr>
              <w:t xml:space="preserve"> sólo el Instituto puede construir a partir de la evidencia de que dispone en cada caso y de la aplicación de sus propios criterios metodológicos.</w:t>
            </w:r>
          </w:p>
        </w:tc>
      </w:tr>
    </w:tbl>
    <w:p w14:paraId="582F0B5C" w14:textId="77777777" w:rsidR="005B138D" w:rsidRPr="00724A07" w:rsidRDefault="005B138D" w:rsidP="005B138D">
      <w:pPr>
        <w:spacing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6B39B714" w14:textId="77777777" w:rsidTr="00D2512E">
        <w:trPr>
          <w:trHeight w:val="276"/>
          <w:jc w:val="center"/>
        </w:trPr>
        <w:tc>
          <w:tcPr>
            <w:tcW w:w="9785" w:type="dxa"/>
            <w:shd w:val="clear" w:color="auto" w:fill="92D050"/>
            <w:vAlign w:val="center"/>
          </w:tcPr>
          <w:p w14:paraId="402BCBE4" w14:textId="5836DC91" w:rsidR="00A165D0" w:rsidRPr="00724A07" w:rsidRDefault="00F0287A"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724A07" w14:paraId="2103EFA8" w14:textId="77777777" w:rsidTr="00D2512E">
        <w:trPr>
          <w:trHeight w:val="443"/>
          <w:jc w:val="center"/>
        </w:trPr>
        <w:tc>
          <w:tcPr>
            <w:tcW w:w="9785" w:type="dxa"/>
            <w:shd w:val="clear" w:color="auto" w:fill="E2EFD9" w:themeFill="accent6" w:themeFillTint="33"/>
            <w:vAlign w:val="center"/>
          </w:tcPr>
          <w:p w14:paraId="7502E171" w14:textId="77777777" w:rsidR="00C7449E" w:rsidRPr="007C2396" w:rsidRDefault="00C7449E" w:rsidP="00C7449E">
            <w:pPr>
              <w:pStyle w:val="Default"/>
              <w:spacing w:after="120"/>
              <w:jc w:val="both"/>
              <w:rPr>
                <w:rFonts w:ascii="ITC Avant Garde" w:hAnsi="ITC Avant Garde"/>
                <w:i/>
                <w:sz w:val="18"/>
                <w:szCs w:val="18"/>
              </w:rPr>
            </w:pPr>
            <w:r w:rsidRPr="007C2396">
              <w:rPr>
                <w:rFonts w:ascii="ITC Avant Garde" w:hAnsi="ITC Avant Garde"/>
                <w:i/>
                <w:sz w:val="18"/>
                <w:szCs w:val="18"/>
              </w:rPr>
              <w:t>“17. En el apartado de “Definición Conceptual de MR y su Determinación”, el Anteproyecto de Guía señala lo siguiente:</w:t>
            </w:r>
          </w:p>
          <w:p w14:paraId="0A8FA8CF" w14:textId="77777777" w:rsidR="00C7449E" w:rsidRPr="007C2396" w:rsidRDefault="00C7449E" w:rsidP="00C7449E">
            <w:pPr>
              <w:pStyle w:val="Default"/>
              <w:spacing w:after="120"/>
              <w:ind w:left="708"/>
              <w:jc w:val="both"/>
              <w:rPr>
                <w:rFonts w:ascii="ITC Avant Garde" w:hAnsi="ITC Avant Garde"/>
                <w:i/>
                <w:sz w:val="18"/>
                <w:szCs w:val="18"/>
              </w:rPr>
            </w:pPr>
            <w:r w:rsidRPr="007C2396">
              <w:rPr>
                <w:rFonts w:ascii="ITC Avant Garde" w:hAnsi="ITC Avant Garde"/>
                <w:i/>
                <w:sz w:val="18"/>
                <w:szCs w:val="18"/>
              </w:rPr>
              <w:t xml:space="preserve">“La dimensión geográfica del MR es el espacio geográfico donde: i) se ofrecen o demandan los productos que forman parte del MR en su dimensión producto, </w:t>
            </w:r>
            <w:proofErr w:type="spellStart"/>
            <w:r w:rsidRPr="007C2396">
              <w:rPr>
                <w:rFonts w:ascii="ITC Avant Garde" w:hAnsi="ITC Avant Garde"/>
                <w:i/>
                <w:sz w:val="18"/>
                <w:szCs w:val="18"/>
              </w:rPr>
              <w:t>ii</w:t>
            </w:r>
            <w:proofErr w:type="spellEnd"/>
            <w:r w:rsidRPr="007C2396">
              <w:rPr>
                <w:rFonts w:ascii="ITC Avant Garde" w:hAnsi="ITC Avant Garde"/>
                <w:i/>
                <w:sz w:val="18"/>
                <w:szCs w:val="18"/>
              </w:rPr>
              <w:t xml:space="preserve">) los usuarios o consumidores pueden acudir indistintamente a los proveedores y éstos a los primeros sin incurrir en costos significativos, y…” </w:t>
            </w:r>
          </w:p>
          <w:p w14:paraId="20315E86" w14:textId="444BD14F" w:rsidR="00A165D0" w:rsidRPr="00724A07" w:rsidRDefault="00C7449E" w:rsidP="00C7449E">
            <w:pPr>
              <w:pStyle w:val="Default"/>
              <w:spacing w:before="120" w:after="120"/>
              <w:jc w:val="both"/>
              <w:rPr>
                <w:rFonts w:ascii="ITC Avant Garde" w:hAnsi="ITC Avant Garde"/>
                <w:i/>
                <w:sz w:val="18"/>
                <w:szCs w:val="18"/>
              </w:rPr>
            </w:pPr>
            <w:r w:rsidRPr="007A5B8D">
              <w:rPr>
                <w:rFonts w:ascii="ITC Avant Garde" w:hAnsi="ITC Avant Garde"/>
                <w:iCs/>
                <w:sz w:val="18"/>
                <w:szCs w:val="18"/>
              </w:rPr>
              <w:t>(…)</w:t>
            </w:r>
            <w:r w:rsidRPr="007C2396">
              <w:rPr>
                <w:rFonts w:ascii="ITC Avant Garde" w:hAnsi="ITC Avant Garde"/>
                <w:i/>
                <w:sz w:val="18"/>
                <w:szCs w:val="18"/>
              </w:rPr>
              <w:t xml:space="preserve"> en el contexto del análisis de la dimensión geográfica, se analizan los costos de transacción </w:t>
            </w:r>
            <w:r w:rsidRPr="007A5B8D">
              <w:rPr>
                <w:rFonts w:ascii="ITC Avant Garde" w:hAnsi="ITC Avant Garde"/>
                <w:iCs/>
                <w:sz w:val="18"/>
                <w:szCs w:val="18"/>
              </w:rPr>
              <w:t>(…)</w:t>
            </w:r>
            <w:r>
              <w:rPr>
                <w:rFonts w:ascii="ITC Avant Garde" w:hAnsi="ITC Avant Garde"/>
                <w:iCs/>
                <w:sz w:val="18"/>
                <w:szCs w:val="18"/>
              </w:rPr>
              <w:t xml:space="preserve"> </w:t>
            </w:r>
            <w:r w:rsidRPr="007C2396">
              <w:rPr>
                <w:rFonts w:ascii="ITC Avant Garde" w:hAnsi="ITC Avant Garde"/>
                <w:i/>
                <w:sz w:val="18"/>
                <w:szCs w:val="18"/>
              </w:rPr>
              <w:t>lo importante no es si estos costos de transacción son altos o bajos en términos absolutos, sino que tanto estos costos de transacción se incrementan (costos incrementales) en caso de que un usuario/consumidor decidiese adquirir su bien/servicio de un oferente localizado en una zona geográfica distinta a la inicialmente considerada</w:t>
            </w:r>
            <w:r>
              <w:rPr>
                <w:rFonts w:ascii="ITC Avant Garde" w:hAnsi="ITC Avant Garde"/>
                <w:i/>
                <w:sz w:val="18"/>
                <w:szCs w:val="18"/>
              </w:rPr>
              <w:t xml:space="preserve"> </w:t>
            </w:r>
            <w:r w:rsidRPr="007A5B8D">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La redacción contenida en el Anteproyecto de Guía es confusa en tanto que solo hace referencia a “costos significativos”, lo que podría mal interpretarse en el sentido de que la dimensión geográfica solo se refiere al espacio donde los demandantes y oferentes interactúan solo si los costos “absolutos” en el mercado (y no los costos de transacción adicionales) son particularmente altos. Con el objetivo de ganar precisión en el contenido de la guía, se sugiere ser más específicos</w:t>
            </w:r>
            <w:r>
              <w:rPr>
                <w:rFonts w:ascii="ITC Avant Garde" w:hAnsi="ITC Avant Garde"/>
                <w:i/>
                <w:sz w:val="18"/>
                <w:szCs w:val="18"/>
              </w:rPr>
              <w:t xml:space="preserve"> </w:t>
            </w:r>
            <w:r w:rsidRPr="001604F8">
              <w:rPr>
                <w:rFonts w:ascii="ITC Avant Garde" w:hAnsi="ITC Avant Garde"/>
                <w:iCs/>
                <w:sz w:val="18"/>
                <w:szCs w:val="18"/>
              </w:rPr>
              <w:t>(…)</w:t>
            </w:r>
            <w:r w:rsidRPr="007C2396">
              <w:rPr>
                <w:rFonts w:ascii="ITC Avant Garde" w:hAnsi="ITC Avant Garde"/>
                <w:i/>
                <w:sz w:val="18"/>
                <w:szCs w:val="18"/>
              </w:rPr>
              <w:t>”</w:t>
            </w:r>
          </w:p>
        </w:tc>
      </w:tr>
    </w:tbl>
    <w:p w14:paraId="7471EEFE" w14:textId="2BE29754" w:rsidR="0094129E" w:rsidRPr="00724A07" w:rsidRDefault="0094129E" w:rsidP="0094129E">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63F49047" w14:textId="358610CE" w:rsidR="0008436F" w:rsidRPr="00724A07" w:rsidRDefault="00F07196" w:rsidP="00A165D0">
      <w:pPr>
        <w:spacing w:after="120" w:line="240" w:lineRule="auto"/>
        <w:jc w:val="both"/>
        <w:rPr>
          <w:rFonts w:ascii="ITC Avant Garde" w:hAnsi="ITC Avant Garde"/>
        </w:rPr>
      </w:pPr>
      <w:r w:rsidRPr="00724A07">
        <w:rPr>
          <w:rFonts w:ascii="ITC Avant Garde" w:hAnsi="ITC Avant Garde"/>
          <w:color w:val="000000"/>
        </w:rPr>
        <w:t>Primeramente, con</w:t>
      </w:r>
      <w:r w:rsidR="00A165D0" w:rsidRPr="00724A07">
        <w:rPr>
          <w:rFonts w:ascii="ITC Avant Garde" w:hAnsi="ITC Avant Garde"/>
          <w:color w:val="000000"/>
        </w:rPr>
        <w:t xml:space="preserve"> </w:t>
      </w:r>
      <w:r w:rsidR="00A165D0" w:rsidRPr="00724A07">
        <w:rPr>
          <w:rFonts w:ascii="ITC Avant Garde" w:hAnsi="ITC Avant Garde"/>
        </w:rPr>
        <w:t>relación al comentario de</w:t>
      </w:r>
      <w:r w:rsidR="007048C8" w:rsidRPr="00724A07">
        <w:rPr>
          <w:rFonts w:ascii="ITC Avant Garde" w:hAnsi="ITC Avant Garde"/>
        </w:rPr>
        <w:t xml:space="preserve"> Telefónica respecto a que se debe precisar que los costos a los que refiere el párrafo citado corresponden a costos “</w:t>
      </w:r>
      <w:r w:rsidR="007048C8" w:rsidRPr="00724A07">
        <w:rPr>
          <w:rFonts w:ascii="ITC Avant Garde" w:hAnsi="ITC Avant Garde"/>
          <w:i/>
          <w:iCs/>
        </w:rPr>
        <w:t>adicionales</w:t>
      </w:r>
      <w:r w:rsidR="007048C8" w:rsidRPr="00724A07">
        <w:rPr>
          <w:rFonts w:ascii="ITC Avant Garde" w:hAnsi="ITC Avant Garde"/>
        </w:rPr>
        <w:t>” (o marginales), de manera que no se entienda que se refiere a costos “</w:t>
      </w:r>
      <w:r w:rsidR="007048C8" w:rsidRPr="00724A07">
        <w:rPr>
          <w:rFonts w:ascii="ITC Avant Garde" w:hAnsi="ITC Avant Garde"/>
          <w:i/>
          <w:iCs/>
        </w:rPr>
        <w:t>absolutos</w:t>
      </w:r>
      <w:r w:rsidR="007048C8" w:rsidRPr="00724A07">
        <w:rPr>
          <w:rFonts w:ascii="ITC Avant Garde" w:hAnsi="ITC Avant Garde"/>
        </w:rPr>
        <w:t>”, se considera procedente. Lo anterior</w:t>
      </w:r>
      <w:r w:rsidR="00B61132" w:rsidRPr="00724A07">
        <w:rPr>
          <w:rFonts w:ascii="ITC Avant Garde" w:hAnsi="ITC Avant Garde"/>
        </w:rPr>
        <w:t>,</w:t>
      </w:r>
      <w:r w:rsidR="007048C8" w:rsidRPr="00724A07">
        <w:rPr>
          <w:rFonts w:ascii="ITC Avant Garde" w:hAnsi="ITC Avant Garde"/>
        </w:rPr>
        <w:t xml:space="preserve"> a fin de </w:t>
      </w:r>
      <w:r w:rsidR="00961983">
        <w:rPr>
          <w:rFonts w:ascii="ITC Avant Garde" w:hAnsi="ITC Avant Garde"/>
        </w:rPr>
        <w:t>clarificar el texto del</w:t>
      </w:r>
      <w:r w:rsidR="007048C8" w:rsidRPr="00724A07">
        <w:rPr>
          <w:rFonts w:ascii="ITC Avant Garde" w:hAnsi="ITC Avant Garde"/>
        </w:rPr>
        <w:t xml:space="preserve"> Anteproyecto de Guía. </w:t>
      </w:r>
    </w:p>
    <w:p w14:paraId="3E165818" w14:textId="7F93606B" w:rsidR="00A165D0" w:rsidRPr="00724A07" w:rsidRDefault="00CE6A5C" w:rsidP="00CE6A5C">
      <w:pPr>
        <w:spacing w:after="120" w:line="240" w:lineRule="auto"/>
        <w:jc w:val="both"/>
        <w:rPr>
          <w:rFonts w:ascii="ITC Avant Garde" w:hAnsi="ITC Avant Garde"/>
        </w:rPr>
      </w:pPr>
      <w:r w:rsidRPr="00724A07">
        <w:rPr>
          <w:rFonts w:ascii="ITC Avant Garde" w:hAnsi="ITC Avant Garde"/>
        </w:rPr>
        <w:t>Por lo anterior</w:t>
      </w:r>
      <w:r w:rsidR="00903EDE" w:rsidRPr="00724A07">
        <w:rPr>
          <w:rFonts w:ascii="ITC Avant Garde" w:hAnsi="ITC Avant Garde"/>
        </w:rPr>
        <w:t>,</w:t>
      </w:r>
      <w:r w:rsidRPr="00724A07">
        <w:rPr>
          <w:rFonts w:ascii="ITC Avant Garde" w:hAnsi="ITC Avant Garde"/>
        </w:rPr>
        <w:t xml:space="preserve"> se modifica la sección “</w:t>
      </w:r>
      <w:r w:rsidRPr="00724A07">
        <w:rPr>
          <w:rFonts w:ascii="ITC Avant Garde" w:hAnsi="ITC Avant Garde"/>
          <w:i/>
          <w:iCs/>
        </w:rPr>
        <w:t>2.1</w:t>
      </w:r>
      <w:r w:rsidR="0089798B" w:rsidRPr="00724A07">
        <w:rPr>
          <w:rFonts w:ascii="ITC Avant Garde" w:hAnsi="ITC Avant Garde"/>
          <w:i/>
          <w:iCs/>
        </w:rPr>
        <w:t xml:space="preserve"> </w:t>
      </w:r>
      <w:r w:rsidRPr="00724A07">
        <w:rPr>
          <w:rFonts w:ascii="ITC Avant Garde" w:hAnsi="ITC Avant Garde"/>
          <w:i/>
          <w:iCs/>
        </w:rPr>
        <w:t>Definición conceptual de MR y su determinación</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4B1865" w:rsidRPr="00724A07" w14:paraId="10330BB9" w14:textId="77777777" w:rsidTr="00D2512E">
        <w:trPr>
          <w:jc w:val="center"/>
        </w:trPr>
        <w:tc>
          <w:tcPr>
            <w:tcW w:w="4830" w:type="dxa"/>
            <w:shd w:val="clear" w:color="auto" w:fill="92D050"/>
            <w:vAlign w:val="center"/>
          </w:tcPr>
          <w:p w14:paraId="25329638" w14:textId="77777777" w:rsidR="004B1865" w:rsidRPr="00724A07" w:rsidRDefault="004B1865" w:rsidP="00903EDE">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20B9BA76" w14:textId="77777777" w:rsidR="004B1865" w:rsidRPr="00724A07" w:rsidRDefault="004B1865" w:rsidP="00903EDE">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4B1865" w:rsidRPr="00724A07" w14:paraId="706A555B" w14:textId="77777777" w:rsidTr="00D2512E">
        <w:trPr>
          <w:jc w:val="center"/>
        </w:trPr>
        <w:tc>
          <w:tcPr>
            <w:tcW w:w="4830" w:type="dxa"/>
            <w:shd w:val="clear" w:color="auto" w:fill="auto"/>
          </w:tcPr>
          <w:p w14:paraId="11557D4B" w14:textId="01568007" w:rsidR="004B1865" w:rsidRPr="00724A07" w:rsidRDefault="004B1865" w:rsidP="00903EDE">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2.1</w:t>
            </w:r>
            <w:r w:rsidRPr="00724A07">
              <w:rPr>
                <w:rFonts w:ascii="ITC Avant Garde" w:hAnsi="ITC Avant Garde" w:cs="Arial"/>
                <w:b/>
                <w:bCs/>
                <w:sz w:val="18"/>
                <w:szCs w:val="18"/>
              </w:rPr>
              <w:tab/>
              <w:t>Definición conceptual de MR y su determinación (párrafo</w:t>
            </w:r>
            <w:r w:rsidR="001B4B75">
              <w:rPr>
                <w:rFonts w:ascii="ITC Avant Garde" w:hAnsi="ITC Avant Garde" w:cs="Arial"/>
                <w:b/>
                <w:bCs/>
                <w:sz w:val="18"/>
                <w:szCs w:val="18"/>
              </w:rPr>
              <w:t xml:space="preserve"> tercero</w:t>
            </w:r>
            <w:r w:rsidRPr="00724A07">
              <w:rPr>
                <w:rFonts w:ascii="ITC Avant Garde" w:hAnsi="ITC Avant Garde" w:cs="Arial"/>
                <w:b/>
                <w:bCs/>
                <w:sz w:val="18"/>
                <w:szCs w:val="18"/>
              </w:rPr>
              <w:t>)</w:t>
            </w:r>
          </w:p>
          <w:p w14:paraId="17B46BDB" w14:textId="78947AA5" w:rsidR="004B1865" w:rsidRPr="00724A07" w:rsidRDefault="004B1865" w:rsidP="00903EDE">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La dimensión geográfica del MR es el espacio geográfico donde: i) se ofrecen o demandan los productos que forman parte del MR en su dimensión producto,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xml:space="preserve">) los usuarios o consumidores pueden acudir indistintamente a los proveedores y éstos a los primeros sin incurrir en costos significativos, y </w:t>
            </w:r>
            <w:proofErr w:type="spellStart"/>
            <w:r w:rsidRPr="00724A07">
              <w:rPr>
                <w:rFonts w:ascii="ITC Avant Garde" w:hAnsi="ITC Avant Garde" w:cs="Arial"/>
                <w:sz w:val="18"/>
                <w:szCs w:val="18"/>
              </w:rPr>
              <w:t>iii</w:t>
            </w:r>
            <w:proofErr w:type="spellEnd"/>
            <w:r w:rsidRPr="00724A07">
              <w:rPr>
                <w:rFonts w:ascii="ITC Avant Garde" w:hAnsi="ITC Avant Garde" w:cs="Arial"/>
                <w:sz w:val="18"/>
                <w:szCs w:val="18"/>
              </w:rPr>
              <w:t>) las condiciones de competencia son suficientemente homogéneas y puede distinguirse de otros espacios geográficos colindantes en razón de que las condiciones de competencia que en él prevalecen son apreciablemente distintas a las de aquéllos.</w:t>
            </w:r>
          </w:p>
        </w:tc>
        <w:tc>
          <w:tcPr>
            <w:tcW w:w="4830" w:type="dxa"/>
            <w:shd w:val="clear" w:color="auto" w:fill="auto"/>
          </w:tcPr>
          <w:p w14:paraId="5780ECF2" w14:textId="6E7A41F7" w:rsidR="004B1865" w:rsidRPr="00724A07" w:rsidRDefault="004B1865" w:rsidP="004B1865">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2.1</w:t>
            </w:r>
            <w:r w:rsidRPr="00724A07">
              <w:rPr>
                <w:rFonts w:ascii="ITC Avant Garde" w:hAnsi="ITC Avant Garde" w:cs="Arial"/>
                <w:b/>
                <w:bCs/>
                <w:sz w:val="18"/>
                <w:szCs w:val="18"/>
              </w:rPr>
              <w:tab/>
              <w:t xml:space="preserve">Definición conceptual de MR y su determinación (párrafo </w:t>
            </w:r>
            <w:r w:rsidR="001B4B75">
              <w:rPr>
                <w:rFonts w:ascii="ITC Avant Garde" w:hAnsi="ITC Avant Garde" w:cs="Arial"/>
                <w:b/>
                <w:bCs/>
                <w:sz w:val="18"/>
                <w:szCs w:val="18"/>
              </w:rPr>
              <w:t>tercero</w:t>
            </w:r>
            <w:r w:rsidRPr="00724A07">
              <w:rPr>
                <w:rFonts w:ascii="ITC Avant Garde" w:hAnsi="ITC Avant Garde" w:cs="Arial"/>
                <w:b/>
                <w:bCs/>
                <w:sz w:val="18"/>
                <w:szCs w:val="18"/>
              </w:rPr>
              <w:t>)</w:t>
            </w:r>
          </w:p>
          <w:p w14:paraId="6543ADAB" w14:textId="63418E20" w:rsidR="004B1865" w:rsidRPr="00724A07" w:rsidRDefault="004B1865" w:rsidP="00903EDE">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La dimensión geográfica del MR es el espacio geográfico donde: i) se ofrecen o demandan los productos que forman parte del MR en su dimensión producto,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xml:space="preserve">) los usuarios o consumidores pueden acudir indistintamente a los proveedores y </w:t>
            </w:r>
            <w:r w:rsidR="009123D6" w:rsidRPr="0020201B">
              <w:rPr>
                <w:rFonts w:ascii="ITC Avant Garde" w:hAnsi="ITC Avant Garde" w:cs="Arial"/>
                <w:sz w:val="18"/>
                <w:szCs w:val="18"/>
              </w:rPr>
              <w:t>e</w:t>
            </w:r>
            <w:r w:rsidRPr="00961983">
              <w:rPr>
                <w:rFonts w:ascii="ITC Avant Garde" w:hAnsi="ITC Avant Garde" w:cs="Arial"/>
                <w:sz w:val="18"/>
                <w:szCs w:val="18"/>
              </w:rPr>
              <w:t>s</w:t>
            </w:r>
            <w:r w:rsidRPr="00724A07">
              <w:rPr>
                <w:rFonts w:ascii="ITC Avant Garde" w:hAnsi="ITC Avant Garde" w:cs="Arial"/>
                <w:sz w:val="18"/>
                <w:szCs w:val="18"/>
              </w:rPr>
              <w:t xml:space="preserve">tos a los primeros sin incurrir en costos </w:t>
            </w:r>
            <w:r w:rsidRPr="00724A07">
              <w:rPr>
                <w:rFonts w:ascii="ITC Avant Garde" w:hAnsi="ITC Avant Garde" w:cs="Arial"/>
                <w:sz w:val="18"/>
                <w:szCs w:val="18"/>
                <w:u w:val="single"/>
              </w:rPr>
              <w:t>adicionales</w:t>
            </w:r>
            <w:r w:rsidRPr="00724A07">
              <w:rPr>
                <w:rFonts w:ascii="ITC Avant Garde" w:hAnsi="ITC Avant Garde" w:cs="Arial"/>
                <w:sz w:val="18"/>
                <w:szCs w:val="18"/>
              </w:rPr>
              <w:t xml:space="preserve"> significativos, y </w:t>
            </w:r>
            <w:proofErr w:type="spellStart"/>
            <w:r w:rsidRPr="00724A07">
              <w:rPr>
                <w:rFonts w:ascii="ITC Avant Garde" w:hAnsi="ITC Avant Garde" w:cs="Arial"/>
                <w:sz w:val="18"/>
                <w:szCs w:val="18"/>
              </w:rPr>
              <w:t>iii</w:t>
            </w:r>
            <w:proofErr w:type="spellEnd"/>
            <w:r w:rsidRPr="00724A07">
              <w:rPr>
                <w:rFonts w:ascii="ITC Avant Garde" w:hAnsi="ITC Avant Garde" w:cs="Arial"/>
                <w:sz w:val="18"/>
                <w:szCs w:val="18"/>
              </w:rPr>
              <w:t>) las condiciones de competencia son suficientemente homogéneas y puede distinguirse de otros espacios geográficos colindantes en razón de que las condiciones de competencia que en él prevalecen son apreciablemente distintas a las de aquéllos.</w:t>
            </w:r>
          </w:p>
        </w:tc>
      </w:tr>
    </w:tbl>
    <w:p w14:paraId="52B1C32B" w14:textId="3424A689" w:rsidR="00F42AB2" w:rsidRDefault="00F42AB2" w:rsidP="00A165D0">
      <w:pPr>
        <w:spacing w:before="120" w:after="120" w:line="240" w:lineRule="auto"/>
        <w:jc w:val="both"/>
        <w:rPr>
          <w:rFonts w:ascii="ITC Avant Garde" w:hAnsi="ITC Avant Garde"/>
        </w:rPr>
      </w:pPr>
    </w:p>
    <w:p w14:paraId="7D1592AF" w14:textId="77777777" w:rsidR="00D2512E" w:rsidRPr="00724A07" w:rsidRDefault="00D2512E" w:rsidP="00A165D0">
      <w:pPr>
        <w:spacing w:before="120"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827E58" w:rsidRPr="00724A07" w14:paraId="2C68E0B1" w14:textId="77777777" w:rsidTr="00D2512E">
        <w:trPr>
          <w:trHeight w:val="276"/>
          <w:jc w:val="center"/>
        </w:trPr>
        <w:tc>
          <w:tcPr>
            <w:tcW w:w="9785" w:type="dxa"/>
            <w:shd w:val="clear" w:color="auto" w:fill="92D050"/>
            <w:vAlign w:val="center"/>
          </w:tcPr>
          <w:p w14:paraId="5507EF01" w14:textId="24F7E1BA" w:rsidR="00827E58" w:rsidRPr="00724A07" w:rsidRDefault="00827E58" w:rsidP="00A00520">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lastRenderedPageBreak/>
              <w:t>COFECE</w:t>
            </w:r>
          </w:p>
        </w:tc>
      </w:tr>
      <w:tr w:rsidR="00827E58" w:rsidRPr="00724A07" w14:paraId="395E3906" w14:textId="77777777" w:rsidTr="00D2512E">
        <w:trPr>
          <w:trHeight w:val="443"/>
          <w:jc w:val="center"/>
        </w:trPr>
        <w:tc>
          <w:tcPr>
            <w:tcW w:w="9785" w:type="dxa"/>
            <w:shd w:val="clear" w:color="auto" w:fill="E2EFD9" w:themeFill="accent6" w:themeFillTint="33"/>
            <w:vAlign w:val="center"/>
          </w:tcPr>
          <w:p w14:paraId="4E80AC49" w14:textId="026CE196" w:rsidR="00827E58" w:rsidRPr="00724A07" w:rsidRDefault="00C7449E" w:rsidP="00A00520">
            <w:pPr>
              <w:pStyle w:val="Default"/>
              <w:spacing w:before="120" w:after="120"/>
              <w:jc w:val="both"/>
              <w:rPr>
                <w:rFonts w:ascii="ITC Avant Garde" w:hAnsi="ITC Avant Garde"/>
                <w:i/>
                <w:sz w:val="18"/>
                <w:szCs w:val="18"/>
              </w:rPr>
            </w:pPr>
            <w:r w:rsidRPr="007C2396">
              <w:rPr>
                <w:rFonts w:ascii="ITC Avant Garde" w:hAnsi="ITC Avant Garde"/>
                <w:i/>
                <w:sz w:val="18"/>
                <w:szCs w:val="18"/>
              </w:rPr>
              <w:t>“Si bien en la nota al pie número 9 se menciona que la dimensión temporal se interpretará como una extensión de la dimensión producto, tal vez, para mayor claridad convenga incorporar ejemplos de esta dimensión en el sector de telecomunicaciones.”</w:t>
            </w:r>
          </w:p>
        </w:tc>
      </w:tr>
    </w:tbl>
    <w:p w14:paraId="20789DF3" w14:textId="4B4513F2" w:rsidR="0094129E" w:rsidRPr="00724A07" w:rsidRDefault="0094129E" w:rsidP="0094129E">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6EBE601C" w14:textId="297FC97C" w:rsidR="00827E58" w:rsidRPr="00724A07" w:rsidRDefault="00827E58" w:rsidP="00827E58">
      <w:pPr>
        <w:spacing w:after="120" w:line="240" w:lineRule="auto"/>
        <w:jc w:val="both"/>
        <w:rPr>
          <w:rFonts w:ascii="ITC Avant Garde" w:hAnsi="ITC Avant Garde"/>
          <w:b/>
          <w:color w:val="000000"/>
        </w:rPr>
      </w:pPr>
      <w:r w:rsidRPr="00724A07">
        <w:rPr>
          <w:rFonts w:ascii="ITC Avant Garde" w:hAnsi="ITC Avant Garde"/>
          <w:color w:val="000000"/>
        </w:rPr>
        <w:t xml:space="preserve">Con </w:t>
      </w:r>
      <w:r w:rsidRPr="00724A07">
        <w:rPr>
          <w:rFonts w:ascii="ITC Avant Garde" w:hAnsi="ITC Avant Garde"/>
        </w:rPr>
        <w:t>relación al comentario de la COFECE</w:t>
      </w:r>
      <w:r w:rsidR="00D426D8" w:rsidRPr="00724A07">
        <w:rPr>
          <w:rFonts w:ascii="ITC Avant Garde" w:hAnsi="ITC Avant Garde"/>
        </w:rPr>
        <w:t xml:space="preserve">, </w:t>
      </w:r>
      <w:r w:rsidR="00E14CF5" w:rsidRPr="00724A07">
        <w:rPr>
          <w:rFonts w:ascii="ITC Avant Garde" w:hAnsi="ITC Avant Garde"/>
        </w:rPr>
        <w:t xml:space="preserve">respecto </w:t>
      </w:r>
      <w:r w:rsidR="00DD1AC3" w:rsidRPr="00724A07">
        <w:rPr>
          <w:rFonts w:ascii="ITC Avant Garde" w:hAnsi="ITC Avant Garde"/>
        </w:rPr>
        <w:t>que puede ser relevante incluir ejemplos respecto a</w:t>
      </w:r>
      <w:r w:rsidR="00E14CF5" w:rsidRPr="00724A07">
        <w:rPr>
          <w:rFonts w:ascii="ITC Avant Garde" w:hAnsi="ITC Avant Garde"/>
        </w:rPr>
        <w:t xml:space="preserve"> la dimensión temporal en el sector de telecomunicaciones, </w:t>
      </w:r>
      <w:r w:rsidRPr="00724A07">
        <w:rPr>
          <w:rFonts w:ascii="ITC Avant Garde" w:hAnsi="ITC Avant Garde"/>
        </w:rPr>
        <w:t>se considera procedente</w:t>
      </w:r>
      <w:r w:rsidR="00AF1E6A" w:rsidRPr="00724A07">
        <w:rPr>
          <w:rFonts w:ascii="ITC Avant Garde" w:hAnsi="ITC Avant Garde"/>
        </w:rPr>
        <w:t xml:space="preserve">, a efecto de dotar </w:t>
      </w:r>
      <w:r w:rsidR="00F42AB2" w:rsidRPr="00724A07">
        <w:rPr>
          <w:rFonts w:ascii="ITC Avant Garde" w:hAnsi="ITC Avant Garde"/>
        </w:rPr>
        <w:t xml:space="preserve">de </w:t>
      </w:r>
      <w:r w:rsidR="00AF1E6A" w:rsidRPr="00724A07">
        <w:rPr>
          <w:rFonts w:ascii="ITC Avant Garde" w:hAnsi="ITC Avant Garde"/>
        </w:rPr>
        <w:t>mayor</w:t>
      </w:r>
      <w:r w:rsidRPr="00724A07">
        <w:rPr>
          <w:rFonts w:ascii="ITC Avant Garde" w:hAnsi="ITC Avant Garde"/>
        </w:rPr>
        <w:t xml:space="preserve"> claridad </w:t>
      </w:r>
      <w:r w:rsidR="00AF1E6A" w:rsidRPr="00724A07">
        <w:rPr>
          <w:rFonts w:ascii="ITC Avant Garde" w:hAnsi="ITC Avant Garde"/>
        </w:rPr>
        <w:t>al</w:t>
      </w:r>
      <w:r w:rsidRPr="00724A07">
        <w:rPr>
          <w:rFonts w:ascii="ITC Avant Garde" w:hAnsi="ITC Avant Garde"/>
        </w:rPr>
        <w:t xml:space="preserve"> Anteproyecto de Guía. </w:t>
      </w:r>
    </w:p>
    <w:p w14:paraId="2936DCF3" w14:textId="37B2726D" w:rsidR="00827E58" w:rsidRPr="00724A07" w:rsidRDefault="00827E58" w:rsidP="00827E58">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2. Concepto de MR y su utilidad</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827E58" w:rsidRPr="00724A07" w14:paraId="555144AB" w14:textId="77777777" w:rsidTr="00D2512E">
        <w:trPr>
          <w:jc w:val="center"/>
        </w:trPr>
        <w:tc>
          <w:tcPr>
            <w:tcW w:w="4830" w:type="dxa"/>
            <w:shd w:val="clear" w:color="auto" w:fill="92D050"/>
            <w:vAlign w:val="center"/>
          </w:tcPr>
          <w:p w14:paraId="1E45C0DE" w14:textId="77777777" w:rsidR="00827E58" w:rsidRPr="00724A07" w:rsidRDefault="00827E58"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7504D44B" w14:textId="77777777" w:rsidR="00827E58" w:rsidRPr="00724A07" w:rsidRDefault="00827E58"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827E58" w:rsidRPr="00724A07" w14:paraId="6B3EEC2F" w14:textId="77777777" w:rsidTr="00D2512E">
        <w:trPr>
          <w:jc w:val="center"/>
        </w:trPr>
        <w:tc>
          <w:tcPr>
            <w:tcW w:w="4830" w:type="dxa"/>
            <w:shd w:val="clear" w:color="auto" w:fill="auto"/>
          </w:tcPr>
          <w:p w14:paraId="29C4450A" w14:textId="136C267B" w:rsidR="00827E58" w:rsidRPr="00724A07" w:rsidRDefault="00827E58"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2. Concepto de MR y su utilidad (nota al pie 9)</w:t>
            </w:r>
          </w:p>
          <w:p w14:paraId="69996034" w14:textId="55E834F7" w:rsidR="00827E58" w:rsidRPr="00724A07" w:rsidRDefault="00827E58" w:rsidP="00A00520">
            <w:pPr>
              <w:spacing w:after="0" w:line="240" w:lineRule="auto"/>
              <w:jc w:val="both"/>
              <w:rPr>
                <w:rFonts w:ascii="ITC Avant Garde" w:hAnsi="ITC Avant Garde" w:cs="Arial"/>
                <w:sz w:val="18"/>
                <w:szCs w:val="18"/>
              </w:rPr>
            </w:pPr>
            <w:r w:rsidRPr="00724A07">
              <w:rPr>
                <w:rFonts w:ascii="ITC Avant Garde" w:hAnsi="ITC Avant Garde" w:cs="Arial"/>
                <w:sz w:val="18"/>
                <w:szCs w:val="18"/>
              </w:rPr>
              <w:t>La delimitación temporal a la que se refiere la tesis del PJF, generalmente se aborda en la experiencia internacional como parte de la dimensión producto y no como una dimensión independiente. Por ejemplo, la CMA/OFT han señalado que “</w:t>
            </w:r>
            <w:r w:rsidRPr="00724A07">
              <w:rPr>
                <w:rFonts w:ascii="ITC Avant Garde" w:hAnsi="ITC Avant Garde" w:cs="Arial"/>
                <w:i/>
                <w:iCs/>
                <w:sz w:val="18"/>
                <w:szCs w:val="18"/>
              </w:rPr>
              <w:t>Hasta cierto punto, la dimensión temporal es simplemente una extensión de la dimensión producto: es decir, el producto puede definirse como la oferta de servicios ferroviarios a determinada hora del día</w:t>
            </w:r>
            <w:r w:rsidRPr="00724A07">
              <w:rPr>
                <w:rFonts w:ascii="ITC Avant Garde" w:hAnsi="ITC Avant Garde" w:cs="Arial"/>
                <w:sz w:val="18"/>
                <w:szCs w:val="18"/>
              </w:rPr>
              <w:t xml:space="preserve">”. CMA/OFT (2004). </w:t>
            </w:r>
            <w:proofErr w:type="spellStart"/>
            <w:r w:rsidRPr="00724A07">
              <w:rPr>
                <w:rFonts w:ascii="ITC Avant Garde" w:hAnsi="ITC Avant Garde" w:cs="Arial"/>
                <w:i/>
                <w:iCs/>
                <w:sz w:val="18"/>
                <w:szCs w:val="18"/>
              </w:rPr>
              <w:t>Market</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definition</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Understanding</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competition</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law</w:t>
            </w:r>
            <w:proofErr w:type="spellEnd"/>
            <w:r w:rsidRPr="00724A07">
              <w:rPr>
                <w:rFonts w:ascii="ITC Avant Garde" w:hAnsi="ITC Avant Garde" w:cs="Arial"/>
                <w:sz w:val="18"/>
                <w:szCs w:val="18"/>
              </w:rPr>
              <w:t>. p. 18.</w:t>
            </w:r>
          </w:p>
        </w:tc>
        <w:tc>
          <w:tcPr>
            <w:tcW w:w="4830" w:type="dxa"/>
            <w:shd w:val="clear" w:color="auto" w:fill="auto"/>
          </w:tcPr>
          <w:p w14:paraId="0B8A9EFE" w14:textId="77777777" w:rsidR="00827E58" w:rsidRPr="00724A07" w:rsidRDefault="00827E58" w:rsidP="00827E58">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2. Concepto de MR y su utilidad (nota al pie 9)</w:t>
            </w:r>
          </w:p>
          <w:p w14:paraId="4C7CCFDB" w14:textId="46205C01" w:rsidR="00827E58" w:rsidRPr="00724A07" w:rsidRDefault="00827E58" w:rsidP="00827E58">
            <w:pPr>
              <w:spacing w:after="0" w:line="240" w:lineRule="auto"/>
              <w:jc w:val="both"/>
              <w:rPr>
                <w:rFonts w:ascii="ITC Avant Garde" w:hAnsi="ITC Avant Garde" w:cs="Arial"/>
                <w:sz w:val="18"/>
                <w:szCs w:val="18"/>
              </w:rPr>
            </w:pPr>
            <w:r w:rsidRPr="00724A07">
              <w:rPr>
                <w:rFonts w:ascii="ITC Avant Garde" w:hAnsi="ITC Avant Garde" w:cs="Arial"/>
                <w:sz w:val="18"/>
                <w:szCs w:val="18"/>
              </w:rPr>
              <w:t>La delimitación temporal a la que se refiere la tesis del PJF, generalmente se aborda en la experiencia internacional como parte de la dimensión producto y no como una dimensión independiente. Por ejemplo, la CMA/OFT han señalado que “</w:t>
            </w:r>
            <w:r w:rsidRPr="00724A07">
              <w:rPr>
                <w:rFonts w:ascii="ITC Avant Garde" w:hAnsi="ITC Avant Garde" w:cs="Arial"/>
                <w:i/>
                <w:iCs/>
                <w:sz w:val="18"/>
                <w:szCs w:val="18"/>
              </w:rPr>
              <w:t>Hasta cierto punto, la dimensión temporal es simplemente una extensión de la dimensión producto: es decir, el producto puede definirse como la oferta de servicios ferroviarios a determinada hora del día</w:t>
            </w:r>
            <w:r w:rsidRPr="00724A07">
              <w:rPr>
                <w:rFonts w:ascii="ITC Avant Garde" w:hAnsi="ITC Avant Garde" w:cs="Arial"/>
                <w:sz w:val="18"/>
                <w:szCs w:val="18"/>
              </w:rPr>
              <w:t xml:space="preserve">”. CMA/OFT (2004). </w:t>
            </w:r>
            <w:proofErr w:type="spellStart"/>
            <w:r w:rsidRPr="00724A07">
              <w:rPr>
                <w:rFonts w:ascii="ITC Avant Garde" w:hAnsi="ITC Avant Garde" w:cs="Arial"/>
                <w:i/>
                <w:iCs/>
                <w:sz w:val="18"/>
                <w:szCs w:val="18"/>
              </w:rPr>
              <w:t>Market</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definition</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Understanding</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competition</w:t>
            </w:r>
            <w:proofErr w:type="spellEnd"/>
            <w:r w:rsidRPr="00724A07">
              <w:rPr>
                <w:rFonts w:ascii="ITC Avant Garde" w:hAnsi="ITC Avant Garde" w:cs="Arial"/>
                <w:i/>
                <w:iCs/>
                <w:sz w:val="18"/>
                <w:szCs w:val="18"/>
              </w:rPr>
              <w:t xml:space="preserve"> </w:t>
            </w:r>
            <w:proofErr w:type="spellStart"/>
            <w:r w:rsidRPr="00724A07">
              <w:rPr>
                <w:rFonts w:ascii="ITC Avant Garde" w:hAnsi="ITC Avant Garde" w:cs="Arial"/>
                <w:i/>
                <w:iCs/>
                <w:sz w:val="18"/>
                <w:szCs w:val="18"/>
              </w:rPr>
              <w:t>law</w:t>
            </w:r>
            <w:proofErr w:type="spellEnd"/>
            <w:r w:rsidRPr="00724A07">
              <w:rPr>
                <w:rFonts w:ascii="ITC Avant Garde" w:hAnsi="ITC Avant Garde" w:cs="Arial"/>
                <w:sz w:val="18"/>
                <w:szCs w:val="18"/>
              </w:rPr>
              <w:t xml:space="preserve">. p. 18. </w:t>
            </w:r>
            <w:r w:rsidRPr="00724A07">
              <w:rPr>
                <w:rFonts w:ascii="ITC Avant Garde" w:hAnsi="ITC Avant Garde" w:cs="Arial"/>
                <w:sz w:val="18"/>
                <w:szCs w:val="18"/>
                <w:u w:val="single"/>
              </w:rPr>
              <w:t>Un ejemplo de cómo la dimensión temporal p</w:t>
            </w:r>
            <w:r w:rsidR="00CB0846" w:rsidRPr="00724A07">
              <w:rPr>
                <w:rFonts w:ascii="ITC Avant Garde" w:hAnsi="ITC Avant Garde" w:cs="Arial"/>
                <w:sz w:val="18"/>
                <w:szCs w:val="18"/>
                <w:u w:val="single"/>
              </w:rPr>
              <w:t>odría</w:t>
            </w:r>
            <w:r w:rsidRPr="00724A07">
              <w:rPr>
                <w:rFonts w:ascii="ITC Avant Garde" w:hAnsi="ITC Avant Garde" w:cs="Arial"/>
                <w:sz w:val="18"/>
                <w:szCs w:val="18"/>
                <w:u w:val="single"/>
              </w:rPr>
              <w:t xml:space="preserve"> considera</w:t>
            </w:r>
            <w:r w:rsidR="00FA1D9B" w:rsidRPr="00724A07">
              <w:rPr>
                <w:rFonts w:ascii="ITC Avant Garde" w:hAnsi="ITC Avant Garde" w:cs="Arial"/>
                <w:sz w:val="18"/>
                <w:szCs w:val="18"/>
                <w:u w:val="single"/>
              </w:rPr>
              <w:t>rse</w:t>
            </w:r>
            <w:r w:rsidRPr="00724A07">
              <w:rPr>
                <w:rFonts w:ascii="ITC Avant Garde" w:hAnsi="ITC Avant Garde" w:cs="Arial"/>
                <w:sz w:val="18"/>
                <w:szCs w:val="18"/>
                <w:u w:val="single"/>
              </w:rPr>
              <w:t xml:space="preserve"> al delimitar la dimensión producto del </w:t>
            </w:r>
            <w:r w:rsidR="00CB0846" w:rsidRPr="00724A07">
              <w:rPr>
                <w:rFonts w:ascii="ITC Avant Garde" w:hAnsi="ITC Avant Garde" w:cs="Arial"/>
                <w:sz w:val="18"/>
                <w:szCs w:val="18"/>
                <w:u w:val="single"/>
              </w:rPr>
              <w:t>MR</w:t>
            </w:r>
            <w:r w:rsidRPr="00724A07">
              <w:rPr>
                <w:rFonts w:ascii="ITC Avant Garde" w:hAnsi="ITC Avant Garde" w:cs="Arial"/>
                <w:sz w:val="18"/>
                <w:szCs w:val="18"/>
                <w:u w:val="single"/>
              </w:rPr>
              <w:t xml:space="preserve"> en </w:t>
            </w:r>
            <w:r w:rsidR="00C91D23" w:rsidRPr="00724A07">
              <w:rPr>
                <w:rFonts w:ascii="ITC Avant Garde" w:hAnsi="ITC Avant Garde" w:cs="Arial"/>
                <w:sz w:val="18"/>
                <w:szCs w:val="18"/>
                <w:u w:val="single"/>
              </w:rPr>
              <w:t xml:space="preserve">los </w:t>
            </w:r>
            <w:r w:rsidRPr="00724A07">
              <w:rPr>
                <w:rFonts w:ascii="ITC Avant Garde" w:hAnsi="ITC Avant Garde" w:cs="Arial"/>
                <w:sz w:val="18"/>
                <w:szCs w:val="18"/>
                <w:u w:val="single"/>
              </w:rPr>
              <w:t>sector</w:t>
            </w:r>
            <w:r w:rsidR="00C91D23" w:rsidRPr="00724A07">
              <w:rPr>
                <w:rFonts w:ascii="ITC Avant Garde" w:hAnsi="ITC Avant Garde" w:cs="Arial"/>
                <w:sz w:val="18"/>
                <w:szCs w:val="18"/>
                <w:u w:val="single"/>
              </w:rPr>
              <w:t>es</w:t>
            </w:r>
            <w:r w:rsidRPr="00724A07">
              <w:rPr>
                <w:rFonts w:ascii="ITC Avant Garde" w:hAnsi="ITC Avant Garde" w:cs="Arial"/>
                <w:sz w:val="18"/>
                <w:szCs w:val="18"/>
                <w:u w:val="single"/>
              </w:rPr>
              <w:t xml:space="preserve"> </w:t>
            </w:r>
            <w:r w:rsidR="00C91D23" w:rsidRPr="00724A07">
              <w:rPr>
                <w:rFonts w:ascii="ITC Avant Garde" w:hAnsi="ITC Avant Garde" w:cs="Arial"/>
                <w:sz w:val="18"/>
                <w:szCs w:val="18"/>
                <w:u w:val="single"/>
              </w:rPr>
              <w:t xml:space="preserve">de </w:t>
            </w:r>
            <w:proofErr w:type="spellStart"/>
            <w:r w:rsidR="00C91D23" w:rsidRPr="00724A07">
              <w:rPr>
                <w:rFonts w:ascii="ITC Avant Garde" w:hAnsi="ITC Avant Garde" w:cs="Arial"/>
                <w:sz w:val="18"/>
                <w:szCs w:val="18"/>
                <w:u w:val="single"/>
              </w:rPr>
              <w:t>TyR</w:t>
            </w:r>
            <w:proofErr w:type="spellEnd"/>
            <w:r w:rsidR="00CB0846" w:rsidRPr="00724A07">
              <w:rPr>
                <w:rFonts w:ascii="ITC Avant Garde" w:hAnsi="ITC Avant Garde" w:cs="Arial"/>
                <w:sz w:val="18"/>
                <w:szCs w:val="18"/>
                <w:u w:val="single"/>
              </w:rPr>
              <w:t>, es el análisis de</w:t>
            </w:r>
            <w:r w:rsidRPr="00724A07">
              <w:rPr>
                <w:rFonts w:ascii="ITC Avant Garde" w:hAnsi="ITC Avant Garde" w:cs="Arial"/>
                <w:sz w:val="18"/>
                <w:szCs w:val="18"/>
                <w:u w:val="single"/>
              </w:rPr>
              <w:t xml:space="preserve"> contenidos audiovisuales que se transmiten en la televisión radiodifundida o </w:t>
            </w:r>
            <w:r w:rsidR="0024741E" w:rsidRPr="00724A07">
              <w:rPr>
                <w:rFonts w:ascii="ITC Avant Garde" w:hAnsi="ITC Avant Garde" w:cs="Arial"/>
                <w:sz w:val="18"/>
                <w:szCs w:val="18"/>
                <w:u w:val="single"/>
              </w:rPr>
              <w:t xml:space="preserve">en </w:t>
            </w:r>
            <w:r w:rsidRPr="00724A07">
              <w:rPr>
                <w:rFonts w:ascii="ITC Avant Garde" w:hAnsi="ITC Avant Garde" w:cs="Arial"/>
                <w:sz w:val="18"/>
                <w:szCs w:val="18"/>
                <w:u w:val="single"/>
              </w:rPr>
              <w:t>el servicio de televisión y audio restringidos</w:t>
            </w:r>
            <w:r w:rsidR="00CB0846" w:rsidRPr="00724A07">
              <w:rPr>
                <w:rFonts w:ascii="ITC Avant Garde" w:hAnsi="ITC Avant Garde" w:cs="Arial"/>
                <w:sz w:val="18"/>
                <w:szCs w:val="18"/>
                <w:u w:val="single"/>
              </w:rPr>
              <w:t>,</w:t>
            </w:r>
            <w:r w:rsidRPr="00724A07">
              <w:rPr>
                <w:rFonts w:ascii="ITC Avant Garde" w:hAnsi="ITC Avant Garde" w:cs="Arial"/>
                <w:sz w:val="18"/>
                <w:szCs w:val="18"/>
                <w:u w:val="single"/>
              </w:rPr>
              <w:t xml:space="preserve"> ya que el grado de novedad puede ser un factor importante </w:t>
            </w:r>
            <w:r w:rsidR="00CB0846" w:rsidRPr="00724A07">
              <w:rPr>
                <w:rFonts w:ascii="ITC Avant Garde" w:hAnsi="ITC Avant Garde" w:cs="Arial"/>
                <w:sz w:val="18"/>
                <w:szCs w:val="18"/>
                <w:u w:val="single"/>
              </w:rPr>
              <w:t>para</w:t>
            </w:r>
            <w:r w:rsidRPr="00724A07">
              <w:rPr>
                <w:rFonts w:ascii="ITC Avant Garde" w:hAnsi="ITC Avant Garde" w:cs="Arial"/>
                <w:sz w:val="18"/>
                <w:szCs w:val="18"/>
                <w:u w:val="single"/>
              </w:rPr>
              <w:t xml:space="preserve"> determinar si un contenido audiovisual es un sustituto de otro</w:t>
            </w:r>
            <w:r w:rsidR="00CB0846" w:rsidRPr="00724A07">
              <w:rPr>
                <w:rFonts w:ascii="ITC Avant Garde" w:hAnsi="ITC Avant Garde" w:cs="Arial"/>
                <w:sz w:val="18"/>
                <w:szCs w:val="18"/>
                <w:u w:val="single"/>
              </w:rPr>
              <w:t>. Por lo tanto, podría determinarse una ventana de tiempo en la que el contenido analizado sería considerado como “</w:t>
            </w:r>
            <w:r w:rsidR="00CB0846" w:rsidRPr="00FD5AB1">
              <w:rPr>
                <w:rFonts w:ascii="ITC Avant Garde" w:hAnsi="ITC Avant Garde" w:cs="Arial"/>
                <w:i/>
                <w:sz w:val="18"/>
                <w:szCs w:val="18"/>
                <w:u w:val="single"/>
              </w:rPr>
              <w:t>novedoso</w:t>
            </w:r>
            <w:r w:rsidR="00CB0846" w:rsidRPr="00724A07">
              <w:rPr>
                <w:rFonts w:ascii="ITC Avant Garde" w:hAnsi="ITC Avant Garde" w:cs="Arial"/>
                <w:sz w:val="18"/>
                <w:szCs w:val="18"/>
                <w:u w:val="single"/>
              </w:rPr>
              <w:t xml:space="preserve">”, lo que </w:t>
            </w:r>
            <w:r w:rsidR="005A5AB3" w:rsidRPr="00724A07">
              <w:rPr>
                <w:rFonts w:ascii="ITC Avant Garde" w:hAnsi="ITC Avant Garde" w:cs="Arial"/>
                <w:sz w:val="18"/>
                <w:szCs w:val="18"/>
                <w:u w:val="single"/>
              </w:rPr>
              <w:t>impactar</w:t>
            </w:r>
            <w:r w:rsidR="00CB0846" w:rsidRPr="00724A07">
              <w:rPr>
                <w:rFonts w:ascii="ITC Avant Garde" w:hAnsi="ITC Avant Garde" w:cs="Arial"/>
                <w:sz w:val="18"/>
                <w:szCs w:val="18"/>
                <w:u w:val="single"/>
              </w:rPr>
              <w:t>ía</w:t>
            </w:r>
            <w:r w:rsidR="005A5AB3" w:rsidRPr="00724A07">
              <w:rPr>
                <w:rFonts w:ascii="ITC Avant Garde" w:hAnsi="ITC Avant Garde" w:cs="Arial"/>
                <w:sz w:val="18"/>
                <w:szCs w:val="18"/>
                <w:u w:val="single"/>
              </w:rPr>
              <w:t xml:space="preserve"> la delimitación de la dimensión producto del </w:t>
            </w:r>
            <w:r w:rsidR="00CB0846" w:rsidRPr="00724A07">
              <w:rPr>
                <w:rFonts w:ascii="ITC Avant Garde" w:hAnsi="ITC Avant Garde" w:cs="Arial"/>
                <w:sz w:val="18"/>
                <w:szCs w:val="18"/>
                <w:u w:val="single"/>
              </w:rPr>
              <w:t>MR</w:t>
            </w:r>
            <w:r w:rsidR="001E60D7" w:rsidRPr="00724A07">
              <w:rPr>
                <w:rFonts w:ascii="ITC Avant Garde" w:hAnsi="ITC Avant Garde" w:cs="Arial"/>
                <w:sz w:val="18"/>
                <w:szCs w:val="18"/>
                <w:u w:val="single"/>
              </w:rPr>
              <w:t>.</w:t>
            </w:r>
          </w:p>
        </w:tc>
      </w:tr>
    </w:tbl>
    <w:p w14:paraId="0A99C192" w14:textId="005C072F" w:rsidR="004B1865" w:rsidRPr="00724A07" w:rsidRDefault="004B1865" w:rsidP="00A165D0">
      <w:pPr>
        <w:spacing w:before="120"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94129E" w:rsidRPr="00724A07" w14:paraId="5C07D360" w14:textId="77777777" w:rsidTr="00D2512E">
        <w:trPr>
          <w:trHeight w:val="276"/>
          <w:jc w:val="center"/>
        </w:trPr>
        <w:tc>
          <w:tcPr>
            <w:tcW w:w="9785" w:type="dxa"/>
            <w:shd w:val="clear" w:color="auto" w:fill="92D050"/>
            <w:vAlign w:val="center"/>
          </w:tcPr>
          <w:p w14:paraId="52673277" w14:textId="549B6A45" w:rsidR="0094129E" w:rsidRPr="00724A07" w:rsidRDefault="0094129E" w:rsidP="00A00520">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COFECE</w:t>
            </w:r>
          </w:p>
        </w:tc>
      </w:tr>
      <w:tr w:rsidR="0094129E" w:rsidRPr="00724A07" w14:paraId="74C6D650" w14:textId="77777777" w:rsidTr="00D2512E">
        <w:trPr>
          <w:trHeight w:val="443"/>
          <w:jc w:val="center"/>
        </w:trPr>
        <w:tc>
          <w:tcPr>
            <w:tcW w:w="9785" w:type="dxa"/>
            <w:shd w:val="clear" w:color="auto" w:fill="E2EFD9" w:themeFill="accent6" w:themeFillTint="33"/>
            <w:vAlign w:val="center"/>
          </w:tcPr>
          <w:p w14:paraId="3344E30A" w14:textId="7BBCD04F" w:rsidR="0094129E" w:rsidRPr="00724A07" w:rsidRDefault="00C7449E" w:rsidP="00A00520">
            <w:pPr>
              <w:pStyle w:val="Default"/>
              <w:spacing w:before="120" w:after="120"/>
              <w:jc w:val="both"/>
              <w:rPr>
                <w:rFonts w:ascii="ITC Avant Garde" w:hAnsi="ITC Avant Garde"/>
                <w:i/>
                <w:sz w:val="18"/>
                <w:szCs w:val="18"/>
              </w:rPr>
            </w:pPr>
            <w:r w:rsidRPr="007C2396">
              <w:rPr>
                <w:rFonts w:ascii="ITC Avant Garde" w:hAnsi="ITC Avant Garde"/>
                <w:i/>
                <w:sz w:val="18"/>
                <w:szCs w:val="18"/>
              </w:rPr>
              <w:t>“En la página 12 de la Guía se indica que “la dimensión producto del MR es el conjunto de productos que son razonablemente intercambiables, o sustituibles oportunamente</w:t>
            </w:r>
            <w:r>
              <w:rPr>
                <w:rFonts w:ascii="ITC Avant Garde" w:hAnsi="ITC Avant Garde"/>
                <w:i/>
                <w:sz w:val="18"/>
                <w:szCs w:val="18"/>
              </w:rPr>
              <w:t xml:space="preserve"> </w:t>
            </w:r>
            <w:r w:rsidRPr="002D31C7">
              <w:rPr>
                <w:rFonts w:ascii="ITC Avant Garde" w:hAnsi="ITC Avant Garde"/>
                <w:iCs/>
                <w:sz w:val="18"/>
                <w:szCs w:val="18"/>
              </w:rPr>
              <w:t>[…]</w:t>
            </w:r>
            <w:r>
              <w:rPr>
                <w:rFonts w:ascii="ITC Avant Garde" w:hAnsi="ITC Avant Garde"/>
                <w:i/>
                <w:sz w:val="18"/>
                <w:szCs w:val="18"/>
              </w:rPr>
              <w:t>”</w:t>
            </w:r>
            <w:r w:rsidRPr="007C2396">
              <w:rPr>
                <w:rFonts w:ascii="ITC Avant Garde" w:hAnsi="ITC Avant Garde"/>
                <w:i/>
                <w:sz w:val="18"/>
                <w:szCs w:val="18"/>
              </w:rPr>
              <w:t xml:space="preserve"> Al respecto, se advierte que en esta definición conceptual se centra únicamente en el análisis de sustitución por el lado de la demanda, dejando de lado la posibilidad de realizar un análisis de sustitución por el lado de la oferta. En este contexto, se sugiere incorporar esa posibilidad (</w:t>
            </w:r>
            <w:r>
              <w:rPr>
                <w:rFonts w:ascii="ITC Avant Garde" w:hAnsi="ITC Avant Garde"/>
                <w:i/>
                <w:sz w:val="18"/>
                <w:szCs w:val="18"/>
              </w:rPr>
              <w:t>…)”</w:t>
            </w:r>
          </w:p>
        </w:tc>
      </w:tr>
    </w:tbl>
    <w:p w14:paraId="476D1CAD" w14:textId="77777777" w:rsidR="0094129E" w:rsidRPr="00724A07" w:rsidRDefault="0094129E" w:rsidP="0094129E">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0B18B98C" w14:textId="3FCE8A20" w:rsidR="0094129E" w:rsidRPr="00724A07" w:rsidRDefault="0094129E" w:rsidP="0094129E">
      <w:pPr>
        <w:spacing w:after="120" w:line="240" w:lineRule="auto"/>
        <w:jc w:val="both"/>
        <w:rPr>
          <w:rFonts w:ascii="ITC Avant Garde" w:hAnsi="ITC Avant Garde"/>
          <w:b/>
          <w:color w:val="000000"/>
        </w:rPr>
      </w:pPr>
      <w:r w:rsidRPr="00724A07">
        <w:rPr>
          <w:rFonts w:ascii="ITC Avant Garde" w:hAnsi="ITC Avant Garde"/>
          <w:color w:val="000000"/>
        </w:rPr>
        <w:t xml:space="preserve">Con </w:t>
      </w:r>
      <w:r w:rsidRPr="00724A07">
        <w:rPr>
          <w:rFonts w:ascii="ITC Avant Garde" w:hAnsi="ITC Avant Garde"/>
        </w:rPr>
        <w:t>relación al comentario de la COFECE</w:t>
      </w:r>
      <w:r w:rsidR="00E66012" w:rsidRPr="00724A07">
        <w:rPr>
          <w:rFonts w:ascii="ITC Avant Garde" w:hAnsi="ITC Avant Garde"/>
        </w:rPr>
        <w:t>, respecto a</w:t>
      </w:r>
      <w:r w:rsidR="00E66012" w:rsidRPr="00724A07">
        <w:t xml:space="preserve"> </w:t>
      </w:r>
      <w:r w:rsidR="00FA1D9B" w:rsidRPr="00724A07">
        <w:rPr>
          <w:rFonts w:ascii="ITC Avant Garde" w:hAnsi="ITC Avant Garde"/>
        </w:rPr>
        <w:t>referir</w:t>
      </w:r>
      <w:r w:rsidR="00E66012" w:rsidRPr="00724A07">
        <w:rPr>
          <w:rFonts w:ascii="ITC Avant Garde" w:hAnsi="ITC Avant Garde"/>
        </w:rPr>
        <w:t xml:space="preserve"> </w:t>
      </w:r>
      <w:r w:rsidR="00FA1D9B" w:rsidRPr="00724A07">
        <w:rPr>
          <w:rFonts w:ascii="ITC Avant Garde" w:hAnsi="ITC Avant Garde"/>
        </w:rPr>
        <w:t xml:space="preserve">el análisis de sustitución por el lado de la oferta en </w:t>
      </w:r>
      <w:r w:rsidR="00DD1AC3" w:rsidRPr="00724A07">
        <w:rPr>
          <w:rFonts w:ascii="ITC Avant Garde" w:hAnsi="ITC Avant Garde"/>
        </w:rPr>
        <w:t xml:space="preserve">la definición conceptual de </w:t>
      </w:r>
      <w:r w:rsidR="00FA1D9B" w:rsidRPr="00724A07">
        <w:rPr>
          <w:rFonts w:ascii="ITC Avant Garde" w:hAnsi="ITC Avant Garde"/>
        </w:rPr>
        <w:t>MR</w:t>
      </w:r>
      <w:r w:rsidR="00E66012" w:rsidRPr="00724A07">
        <w:rPr>
          <w:rFonts w:ascii="ITC Avant Garde" w:hAnsi="ITC Avant Garde"/>
        </w:rPr>
        <w:t xml:space="preserve">, se </w:t>
      </w:r>
      <w:r w:rsidRPr="00724A07">
        <w:rPr>
          <w:rFonts w:ascii="ITC Avant Garde" w:hAnsi="ITC Avant Garde"/>
        </w:rPr>
        <w:t xml:space="preserve">considera procedente, </w:t>
      </w:r>
      <w:r w:rsidR="00AF1E6A" w:rsidRPr="00724A07">
        <w:rPr>
          <w:rFonts w:ascii="ITC Avant Garde" w:hAnsi="ITC Avant Garde"/>
        </w:rPr>
        <w:t xml:space="preserve">a efecto de dotar </w:t>
      </w:r>
      <w:r w:rsidR="00FA1D9B" w:rsidRPr="00724A07">
        <w:rPr>
          <w:rFonts w:ascii="ITC Avant Garde" w:hAnsi="ITC Avant Garde"/>
        </w:rPr>
        <w:t xml:space="preserve">de </w:t>
      </w:r>
      <w:r w:rsidR="00AF1E6A" w:rsidRPr="00724A07">
        <w:rPr>
          <w:rFonts w:ascii="ITC Avant Garde" w:hAnsi="ITC Avant Garde"/>
        </w:rPr>
        <w:t>mayor</w:t>
      </w:r>
      <w:r w:rsidRPr="00724A07">
        <w:rPr>
          <w:rFonts w:ascii="ITC Avant Garde" w:hAnsi="ITC Avant Garde"/>
        </w:rPr>
        <w:t xml:space="preserve"> claridad y consistencia </w:t>
      </w:r>
      <w:r w:rsidR="00AF1E6A" w:rsidRPr="00724A07">
        <w:rPr>
          <w:rFonts w:ascii="ITC Avant Garde" w:hAnsi="ITC Avant Garde"/>
        </w:rPr>
        <w:t>al</w:t>
      </w:r>
      <w:r w:rsidRPr="00724A07">
        <w:rPr>
          <w:rFonts w:ascii="ITC Avant Garde" w:hAnsi="ITC Avant Garde"/>
        </w:rPr>
        <w:t xml:space="preserve"> Anteproyecto de Guía. </w:t>
      </w:r>
    </w:p>
    <w:p w14:paraId="4E92D459" w14:textId="5B72723C" w:rsidR="0094129E" w:rsidRPr="00724A07" w:rsidRDefault="0094129E" w:rsidP="0094129E">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2.1. Definición conceptual de MR y su determinación</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94129E" w:rsidRPr="00724A07" w14:paraId="74EA33CC" w14:textId="77777777" w:rsidTr="00D2512E">
        <w:trPr>
          <w:jc w:val="center"/>
        </w:trPr>
        <w:tc>
          <w:tcPr>
            <w:tcW w:w="4830" w:type="dxa"/>
            <w:shd w:val="clear" w:color="auto" w:fill="92D050"/>
            <w:vAlign w:val="center"/>
          </w:tcPr>
          <w:p w14:paraId="71E945C7" w14:textId="77777777" w:rsidR="0094129E" w:rsidRPr="00724A07" w:rsidRDefault="0094129E"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lastRenderedPageBreak/>
              <w:t>Anteproyecto de Guía</w:t>
            </w:r>
          </w:p>
        </w:tc>
        <w:tc>
          <w:tcPr>
            <w:tcW w:w="4830" w:type="dxa"/>
            <w:shd w:val="clear" w:color="auto" w:fill="92D050"/>
            <w:vAlign w:val="center"/>
          </w:tcPr>
          <w:p w14:paraId="1D26CF44" w14:textId="77777777" w:rsidR="0094129E" w:rsidRPr="00724A07" w:rsidRDefault="0094129E"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94129E" w:rsidRPr="00724A07" w14:paraId="7AF508D9" w14:textId="77777777" w:rsidTr="00D2512E">
        <w:trPr>
          <w:jc w:val="center"/>
        </w:trPr>
        <w:tc>
          <w:tcPr>
            <w:tcW w:w="4830" w:type="dxa"/>
            <w:shd w:val="clear" w:color="auto" w:fill="FFFFFF" w:themeFill="background1"/>
          </w:tcPr>
          <w:p w14:paraId="57D21FFB" w14:textId="4B8B0C72" w:rsidR="0094129E" w:rsidRPr="00724A07" w:rsidRDefault="0094129E"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 xml:space="preserve">2.1. Definición conceptual de MR y su determinación (párrafo </w:t>
            </w:r>
            <w:r w:rsidR="001B4B75">
              <w:rPr>
                <w:rFonts w:ascii="ITC Avant Garde" w:hAnsi="ITC Avant Garde" w:cs="Arial"/>
                <w:b/>
                <w:bCs/>
                <w:sz w:val="18"/>
                <w:szCs w:val="18"/>
              </w:rPr>
              <w:t>segundo</w:t>
            </w:r>
            <w:r w:rsidRPr="00724A07">
              <w:rPr>
                <w:rFonts w:ascii="ITC Avant Garde" w:hAnsi="ITC Avant Garde" w:cs="Arial"/>
                <w:b/>
                <w:bCs/>
                <w:sz w:val="18"/>
                <w:szCs w:val="18"/>
              </w:rPr>
              <w:t>)</w:t>
            </w:r>
          </w:p>
          <w:p w14:paraId="3321B83A" w14:textId="057BF5A2" w:rsidR="0094129E" w:rsidRPr="00724A07" w:rsidRDefault="0094129E" w:rsidP="00A00520">
            <w:pPr>
              <w:spacing w:after="0" w:line="240" w:lineRule="auto"/>
              <w:jc w:val="both"/>
              <w:rPr>
                <w:rFonts w:ascii="ITC Avant Garde" w:hAnsi="ITC Avant Garde" w:cs="Arial"/>
                <w:sz w:val="18"/>
                <w:szCs w:val="18"/>
              </w:rPr>
            </w:pPr>
            <w:r w:rsidRPr="00724A07">
              <w:rPr>
                <w:rFonts w:ascii="ITC Avant Garde" w:hAnsi="ITC Avant Garde" w:cs="Arial"/>
                <w:sz w:val="18"/>
                <w:szCs w:val="18"/>
              </w:rPr>
              <w:t>La dimensión producto del MR es el conjunto de productos que son razonablemente intercambiables, o sustituibles oportunamente, en razón de sus características y los fines para los que fueron hechos, considerando cuestiones de precio, uso y calidad, por lo que ejercen una presión competitiva entre sí.</w:t>
            </w:r>
          </w:p>
        </w:tc>
        <w:tc>
          <w:tcPr>
            <w:tcW w:w="4830" w:type="dxa"/>
            <w:shd w:val="clear" w:color="auto" w:fill="FFFFFF" w:themeFill="background1"/>
          </w:tcPr>
          <w:p w14:paraId="315916ED" w14:textId="30695332" w:rsidR="0094129E" w:rsidRPr="00724A07" w:rsidRDefault="00DD1AC3" w:rsidP="00D65F1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 xml:space="preserve">2.1. </w:t>
            </w:r>
            <w:r w:rsidR="0094129E" w:rsidRPr="00724A07">
              <w:rPr>
                <w:rFonts w:ascii="ITC Avant Garde" w:hAnsi="ITC Avant Garde" w:cs="Arial"/>
                <w:b/>
                <w:bCs/>
                <w:sz w:val="18"/>
                <w:szCs w:val="18"/>
              </w:rPr>
              <w:t xml:space="preserve">Definición conceptual de MR y su determinación (párrafo </w:t>
            </w:r>
            <w:r w:rsidR="001B4B75">
              <w:rPr>
                <w:rFonts w:ascii="ITC Avant Garde" w:hAnsi="ITC Avant Garde" w:cs="Arial"/>
                <w:b/>
                <w:bCs/>
                <w:sz w:val="18"/>
                <w:szCs w:val="18"/>
              </w:rPr>
              <w:t>segundo</w:t>
            </w:r>
            <w:r w:rsidR="0094129E" w:rsidRPr="00724A07">
              <w:rPr>
                <w:rFonts w:ascii="ITC Avant Garde" w:hAnsi="ITC Avant Garde" w:cs="Arial"/>
                <w:b/>
                <w:bCs/>
                <w:sz w:val="18"/>
                <w:szCs w:val="18"/>
              </w:rPr>
              <w:t>)</w:t>
            </w:r>
          </w:p>
          <w:p w14:paraId="73861C35" w14:textId="4D8DF7FE" w:rsidR="0094129E" w:rsidRPr="00724A07" w:rsidRDefault="0094129E" w:rsidP="0094129E">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La dimensión producto del MR es el conjunto de productos que son razonablemente intercambiables, o sustituibles oportunamente, en razón de sus características y los fines para los que fueron hechos, considerando cuestiones de precio, uso y calidad, por lo que ejercen una presión competitiva entre sí. </w:t>
            </w:r>
            <w:r w:rsidR="00A959D3" w:rsidRPr="00724A07">
              <w:rPr>
                <w:rFonts w:ascii="ITC Avant Garde" w:hAnsi="ITC Avant Garde" w:cs="Arial"/>
                <w:sz w:val="18"/>
                <w:szCs w:val="18"/>
                <w:u w:val="single"/>
              </w:rPr>
              <w:t>Dentro de dicho conjunto de productos se pueden considerar</w:t>
            </w:r>
            <w:r w:rsidRPr="00724A07">
              <w:rPr>
                <w:rFonts w:ascii="ITC Avant Garde" w:hAnsi="ITC Avant Garde" w:cs="Arial"/>
                <w:sz w:val="18"/>
                <w:szCs w:val="18"/>
                <w:u w:val="single"/>
              </w:rPr>
              <w:t xml:space="preserve"> tanto </w:t>
            </w:r>
            <w:r w:rsidR="00A959D3" w:rsidRPr="00724A07">
              <w:rPr>
                <w:rFonts w:ascii="ITC Avant Garde" w:hAnsi="ITC Avant Garde" w:cs="Arial"/>
                <w:sz w:val="18"/>
                <w:szCs w:val="18"/>
                <w:u w:val="single"/>
              </w:rPr>
              <w:t xml:space="preserve">aquellos </w:t>
            </w:r>
            <w:r w:rsidRPr="00724A07">
              <w:rPr>
                <w:rFonts w:ascii="ITC Avant Garde" w:hAnsi="ITC Avant Garde" w:cs="Arial"/>
                <w:sz w:val="18"/>
                <w:szCs w:val="18"/>
                <w:u w:val="single"/>
              </w:rPr>
              <w:t xml:space="preserve">provistos por empresas que actualmente </w:t>
            </w:r>
            <w:r w:rsidR="00A959D3" w:rsidRPr="00724A07">
              <w:rPr>
                <w:rFonts w:ascii="ITC Avant Garde" w:hAnsi="ITC Avant Garde" w:cs="Arial"/>
                <w:sz w:val="18"/>
                <w:szCs w:val="18"/>
                <w:u w:val="single"/>
              </w:rPr>
              <w:t>participan en el mercado como los de otras</w:t>
            </w:r>
            <w:r w:rsidRPr="00724A07">
              <w:rPr>
                <w:rFonts w:ascii="ITC Avant Garde" w:hAnsi="ITC Avant Garde" w:cs="Arial"/>
                <w:sz w:val="18"/>
                <w:szCs w:val="18"/>
                <w:u w:val="single"/>
              </w:rPr>
              <w:t xml:space="preserve"> empresas </w:t>
            </w:r>
            <w:r w:rsidR="00A959D3" w:rsidRPr="00724A07">
              <w:rPr>
                <w:rFonts w:ascii="ITC Avant Garde" w:hAnsi="ITC Avant Garde" w:cs="Arial"/>
                <w:sz w:val="18"/>
                <w:szCs w:val="18"/>
                <w:u w:val="single"/>
              </w:rPr>
              <w:t xml:space="preserve">que </w:t>
            </w:r>
            <w:r w:rsidRPr="00724A07">
              <w:rPr>
                <w:rFonts w:ascii="ITC Avant Garde" w:hAnsi="ITC Avant Garde" w:cs="Arial"/>
                <w:sz w:val="18"/>
                <w:szCs w:val="18"/>
                <w:u w:val="single"/>
              </w:rPr>
              <w:t xml:space="preserve">puedan </w:t>
            </w:r>
            <w:r w:rsidR="007D5193" w:rsidRPr="00724A07">
              <w:rPr>
                <w:rFonts w:ascii="ITC Avant Garde" w:hAnsi="ITC Avant Garde" w:cs="Arial"/>
                <w:sz w:val="18"/>
                <w:szCs w:val="18"/>
                <w:u w:val="single"/>
              </w:rPr>
              <w:t xml:space="preserve">comenzar a </w:t>
            </w:r>
            <w:r w:rsidRPr="00724A07">
              <w:rPr>
                <w:rFonts w:ascii="ITC Avant Garde" w:hAnsi="ITC Avant Garde" w:cs="Arial"/>
                <w:sz w:val="18"/>
                <w:szCs w:val="18"/>
                <w:u w:val="single"/>
              </w:rPr>
              <w:t>proveer</w:t>
            </w:r>
            <w:r w:rsidR="00A959D3" w:rsidRPr="00724A07">
              <w:rPr>
                <w:rFonts w:ascii="ITC Avant Garde" w:hAnsi="ITC Avant Garde" w:cs="Arial"/>
                <w:sz w:val="18"/>
                <w:szCs w:val="18"/>
                <w:u w:val="single"/>
              </w:rPr>
              <w:t>los</w:t>
            </w:r>
            <w:r w:rsidRPr="00724A07">
              <w:rPr>
                <w:rFonts w:ascii="ITC Avant Garde" w:hAnsi="ITC Avant Garde" w:cs="Arial"/>
                <w:sz w:val="18"/>
                <w:szCs w:val="18"/>
                <w:u w:val="single"/>
              </w:rPr>
              <w:t xml:space="preserve"> de manera inmediata y sin incurrir en costos apreciables (véase</w:t>
            </w:r>
            <w:r w:rsidR="00A959D3" w:rsidRPr="00724A07">
              <w:rPr>
                <w:rFonts w:ascii="ITC Avant Garde" w:hAnsi="ITC Avant Garde" w:cs="Arial"/>
                <w:sz w:val="18"/>
                <w:szCs w:val="18"/>
                <w:u w:val="single"/>
              </w:rPr>
              <w:t xml:space="preserve"> sección 3 de la presente guía en la que se desarrolla con detalle el</w:t>
            </w:r>
            <w:r w:rsidRPr="00724A07">
              <w:rPr>
                <w:rFonts w:ascii="ITC Avant Garde" w:hAnsi="ITC Avant Garde" w:cs="Arial"/>
                <w:sz w:val="18"/>
                <w:szCs w:val="18"/>
                <w:u w:val="single"/>
              </w:rPr>
              <w:t xml:space="preserve"> concepto de sustitución por el lado de la oferta</w:t>
            </w:r>
            <w:r w:rsidR="00A959D3" w:rsidRPr="00724A07">
              <w:rPr>
                <w:rFonts w:ascii="ITC Avant Garde" w:hAnsi="ITC Avant Garde" w:cs="Arial"/>
                <w:sz w:val="18"/>
                <w:szCs w:val="18"/>
                <w:u w:val="single"/>
              </w:rPr>
              <w:t>)</w:t>
            </w:r>
            <w:r w:rsidR="00A959D3" w:rsidRPr="00724A07">
              <w:rPr>
                <w:rFonts w:ascii="ITC Avant Garde" w:hAnsi="ITC Avant Garde" w:cs="Arial"/>
                <w:sz w:val="18"/>
                <w:szCs w:val="18"/>
              </w:rPr>
              <w:t>.</w:t>
            </w:r>
          </w:p>
        </w:tc>
      </w:tr>
    </w:tbl>
    <w:p w14:paraId="576917CE" w14:textId="77777777" w:rsidR="00FA1D9B" w:rsidRPr="00724A07" w:rsidRDefault="00FA1D9B" w:rsidP="00DD32EC">
      <w:pPr>
        <w:spacing w:after="120" w:line="240" w:lineRule="auto"/>
        <w:jc w:val="both"/>
        <w:rPr>
          <w:rFonts w:ascii="ITC Avant Garde" w:hAnsi="ITC Avant Garde"/>
          <w:b/>
          <w:bCs/>
        </w:rPr>
      </w:pPr>
    </w:p>
    <w:p w14:paraId="52920D09" w14:textId="390CF818" w:rsidR="00C46AB1" w:rsidRPr="00724A07" w:rsidRDefault="00C7449E" w:rsidP="00C46AB1">
      <w:pPr>
        <w:keepNext/>
        <w:spacing w:before="12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.4. Enfoques para el análisis de sustitución</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1EA37915" w14:textId="77777777" w:rsidTr="00D2512E">
        <w:trPr>
          <w:trHeight w:val="276"/>
          <w:jc w:val="center"/>
        </w:trPr>
        <w:tc>
          <w:tcPr>
            <w:tcW w:w="9785" w:type="dxa"/>
            <w:shd w:val="clear" w:color="auto" w:fill="92D050"/>
            <w:vAlign w:val="center"/>
          </w:tcPr>
          <w:p w14:paraId="00C848F4" w14:textId="5B2F3449" w:rsidR="00A165D0" w:rsidRPr="00724A07" w:rsidRDefault="00F0287A" w:rsidP="009E3E64">
            <w:pPr>
              <w:pStyle w:val="Default"/>
              <w:keepNex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C7449E" w14:paraId="50EE3104" w14:textId="77777777" w:rsidTr="00D2512E">
        <w:trPr>
          <w:trHeight w:val="50"/>
          <w:jc w:val="center"/>
        </w:trPr>
        <w:tc>
          <w:tcPr>
            <w:tcW w:w="9785" w:type="dxa"/>
            <w:shd w:val="clear" w:color="auto" w:fill="E2EFD9" w:themeFill="accent6" w:themeFillTint="33"/>
            <w:vAlign w:val="center"/>
          </w:tcPr>
          <w:p w14:paraId="2F7566A1" w14:textId="77777777" w:rsidR="00C7449E" w:rsidRPr="007C2396" w:rsidRDefault="00C7449E" w:rsidP="00D2512E">
            <w:pPr>
              <w:pStyle w:val="Default"/>
              <w:spacing w:after="120"/>
              <w:jc w:val="both"/>
              <w:rPr>
                <w:rFonts w:ascii="ITC Avant Garde" w:hAnsi="ITC Avant Garde"/>
                <w:i/>
                <w:sz w:val="18"/>
                <w:szCs w:val="18"/>
              </w:rPr>
            </w:pPr>
            <w:r w:rsidRPr="007C2396">
              <w:rPr>
                <w:rFonts w:ascii="ITC Avant Garde" w:hAnsi="ITC Avant Garde"/>
                <w:i/>
                <w:sz w:val="18"/>
                <w:szCs w:val="18"/>
              </w:rPr>
              <w:t>“</w:t>
            </w:r>
            <w:r w:rsidRPr="001604F8">
              <w:rPr>
                <w:rFonts w:ascii="ITC Avant Garde" w:hAnsi="ITC Avant Garde"/>
                <w:iCs/>
                <w:sz w:val="18"/>
                <w:szCs w:val="18"/>
              </w:rPr>
              <w:t>(…)</w:t>
            </w:r>
            <w:r w:rsidRPr="007C2396">
              <w:rPr>
                <w:rFonts w:ascii="ITC Avant Garde" w:hAnsi="ITC Avant Garde"/>
                <w:sz w:val="18"/>
                <w:szCs w:val="18"/>
              </w:rPr>
              <w:t xml:space="preserve"> </w:t>
            </w:r>
            <w:r w:rsidRPr="007C2396">
              <w:rPr>
                <w:rFonts w:ascii="ITC Avant Garde" w:hAnsi="ITC Avant Garde"/>
                <w:i/>
                <w:sz w:val="18"/>
                <w:szCs w:val="18"/>
              </w:rPr>
              <w:t xml:space="preserve">el Anteproyecto de Guía no provee una caracterización de lo que se entiende por “competencia potencial”, ni de cómo este concepto difiere del análisis de sustitución por el lado de la oferta. Es importante que la guía haga una caracterización apropiada de cada uno de estos conceptos, con especial énfasis en dos de sus características distintivas: la velocidad de la sustitución </w:t>
            </w:r>
            <w:r w:rsidRPr="007C2396">
              <w:rPr>
                <w:rFonts w:ascii="Arial" w:hAnsi="Arial" w:cs="Arial"/>
                <w:i/>
                <w:sz w:val="18"/>
                <w:szCs w:val="18"/>
              </w:rPr>
              <w:t>―</w:t>
            </w:r>
            <w:r w:rsidRPr="007C2396">
              <w:rPr>
                <w:rFonts w:ascii="ITC Avant Garde" w:hAnsi="ITC Avant Garde" w:cs="ITC Avant Garde"/>
                <w:i/>
                <w:sz w:val="18"/>
                <w:szCs w:val="18"/>
              </w:rPr>
              <w:t>”</w:t>
            </w:r>
            <w:r w:rsidRPr="007C2396">
              <w:rPr>
                <w:rFonts w:ascii="ITC Avant Garde" w:hAnsi="ITC Avant Garde"/>
                <w:i/>
                <w:sz w:val="18"/>
                <w:szCs w:val="18"/>
              </w:rPr>
              <w:t>alta velocidad</w:t>
            </w:r>
            <w:r w:rsidRPr="007C2396">
              <w:rPr>
                <w:rFonts w:ascii="ITC Avant Garde" w:hAnsi="ITC Avant Garde" w:cs="ITC Avant Garde"/>
                <w:i/>
                <w:sz w:val="18"/>
                <w:szCs w:val="18"/>
              </w:rPr>
              <w:t>”</w:t>
            </w:r>
            <w:r w:rsidRPr="007C2396">
              <w:rPr>
                <w:rFonts w:ascii="ITC Avant Garde" w:hAnsi="ITC Avant Garde"/>
                <w:i/>
                <w:sz w:val="18"/>
                <w:szCs w:val="18"/>
              </w:rPr>
              <w:t xml:space="preserve"> en el caso de la sustituci</w:t>
            </w:r>
            <w:r w:rsidRPr="007C2396">
              <w:rPr>
                <w:rFonts w:ascii="ITC Avant Garde" w:hAnsi="ITC Avant Garde" w:cs="ITC Avant Garde"/>
                <w:i/>
                <w:sz w:val="18"/>
                <w:szCs w:val="18"/>
              </w:rPr>
              <w:t>ó</w:t>
            </w:r>
            <w:r w:rsidRPr="007C2396">
              <w:rPr>
                <w:rFonts w:ascii="ITC Avant Garde" w:hAnsi="ITC Avant Garde"/>
                <w:i/>
                <w:sz w:val="18"/>
                <w:szCs w:val="18"/>
              </w:rPr>
              <w:t xml:space="preserve">n por el lado de la oferta y </w:t>
            </w:r>
            <w:r w:rsidRPr="007C2396">
              <w:rPr>
                <w:rFonts w:ascii="ITC Avant Garde" w:hAnsi="ITC Avant Garde" w:cs="ITC Avant Garde"/>
                <w:i/>
                <w:sz w:val="18"/>
                <w:szCs w:val="18"/>
              </w:rPr>
              <w:t>“</w:t>
            </w:r>
            <w:r w:rsidRPr="007C2396">
              <w:rPr>
                <w:rFonts w:ascii="ITC Avant Garde" w:hAnsi="ITC Avant Garde"/>
                <w:i/>
                <w:sz w:val="18"/>
                <w:szCs w:val="18"/>
              </w:rPr>
              <w:t>baja velocidad</w:t>
            </w:r>
            <w:r w:rsidRPr="007C2396">
              <w:rPr>
                <w:rFonts w:ascii="ITC Avant Garde" w:hAnsi="ITC Avant Garde" w:cs="ITC Avant Garde"/>
                <w:i/>
                <w:sz w:val="18"/>
                <w:szCs w:val="18"/>
              </w:rPr>
              <w:t>”</w:t>
            </w:r>
            <w:r w:rsidRPr="007C2396">
              <w:rPr>
                <w:rFonts w:ascii="ITC Avant Garde" w:hAnsi="ITC Avant Garde"/>
                <w:i/>
                <w:sz w:val="18"/>
                <w:szCs w:val="18"/>
              </w:rPr>
              <w:t xml:space="preserve"> en el caso de competencia potencial</w:t>
            </w:r>
            <w:r w:rsidRPr="007C2396">
              <w:rPr>
                <w:rFonts w:ascii="ITC Avant Garde" w:hAnsi="ITC Avant Garde" w:cs="ITC Avant Garde"/>
                <w:i/>
                <w:sz w:val="18"/>
                <w:szCs w:val="18"/>
              </w:rPr>
              <w:t>”</w:t>
            </w:r>
            <w:r w:rsidRPr="007C2396">
              <w:rPr>
                <w:rFonts w:ascii="Arial" w:hAnsi="Arial" w:cs="Arial"/>
                <w:i/>
                <w:sz w:val="18"/>
                <w:szCs w:val="18"/>
              </w:rPr>
              <w:t>―</w:t>
            </w:r>
            <w:r w:rsidRPr="007C2396">
              <w:rPr>
                <w:rFonts w:ascii="ITC Avant Garde" w:hAnsi="ITC Avant Garde"/>
                <w:i/>
                <w:sz w:val="18"/>
                <w:szCs w:val="18"/>
              </w:rPr>
              <w:t xml:space="preserve"> as</w:t>
            </w:r>
            <w:r w:rsidRPr="007C2396">
              <w:rPr>
                <w:rFonts w:ascii="ITC Avant Garde" w:hAnsi="ITC Avant Garde" w:cs="ITC Avant Garde"/>
                <w:i/>
                <w:sz w:val="18"/>
                <w:szCs w:val="18"/>
              </w:rPr>
              <w:t>í</w:t>
            </w:r>
            <w:r w:rsidRPr="007C2396">
              <w:rPr>
                <w:rFonts w:ascii="ITC Avant Garde" w:hAnsi="ITC Avant Garde"/>
                <w:i/>
                <w:sz w:val="18"/>
                <w:szCs w:val="18"/>
              </w:rPr>
              <w:t xml:space="preserve"> como de la naturaleza de la entrada al mercado </w:t>
            </w:r>
            <w:r w:rsidRPr="007C2396">
              <w:rPr>
                <w:rFonts w:ascii="Arial" w:hAnsi="Arial" w:cs="Arial"/>
                <w:i/>
                <w:sz w:val="18"/>
                <w:szCs w:val="18"/>
              </w:rPr>
              <w:t>―</w:t>
            </w:r>
            <w:r w:rsidRPr="007C2396">
              <w:rPr>
                <w:rFonts w:ascii="ITC Avant Garde" w:hAnsi="ITC Avant Garde"/>
                <w:i/>
                <w:sz w:val="18"/>
                <w:szCs w:val="18"/>
              </w:rPr>
              <w:t>un patr</w:t>
            </w:r>
            <w:r w:rsidRPr="007C2396">
              <w:rPr>
                <w:rFonts w:ascii="ITC Avant Garde" w:hAnsi="ITC Avant Garde" w:cs="ITC Avant Garde"/>
                <w:i/>
                <w:sz w:val="18"/>
                <w:szCs w:val="18"/>
              </w:rPr>
              <w:t>ó</w:t>
            </w:r>
            <w:r w:rsidRPr="007C2396">
              <w:rPr>
                <w:rFonts w:ascii="ITC Avant Garde" w:hAnsi="ITC Avant Garde"/>
                <w:i/>
                <w:sz w:val="18"/>
                <w:szCs w:val="18"/>
              </w:rPr>
              <w:t>n de entrada de corto plazo, en el caso de la sustituci</w:t>
            </w:r>
            <w:r w:rsidRPr="007C2396">
              <w:rPr>
                <w:rFonts w:ascii="ITC Avant Garde" w:hAnsi="ITC Avant Garde" w:cs="ITC Avant Garde"/>
                <w:i/>
                <w:sz w:val="18"/>
                <w:szCs w:val="18"/>
              </w:rPr>
              <w:t>ó</w:t>
            </w:r>
            <w:r w:rsidRPr="007C2396">
              <w:rPr>
                <w:rFonts w:ascii="ITC Avant Garde" w:hAnsi="ITC Avant Garde"/>
                <w:i/>
                <w:sz w:val="18"/>
                <w:szCs w:val="18"/>
              </w:rPr>
              <w:t>n por el lado de la oferta, y un patr</w:t>
            </w:r>
            <w:r w:rsidRPr="007C2396">
              <w:rPr>
                <w:rFonts w:ascii="ITC Avant Garde" w:hAnsi="ITC Avant Garde" w:cs="ITC Avant Garde"/>
                <w:i/>
                <w:sz w:val="18"/>
                <w:szCs w:val="18"/>
              </w:rPr>
              <w:t>ó</w:t>
            </w:r>
            <w:r w:rsidRPr="007C2396">
              <w:rPr>
                <w:rFonts w:ascii="ITC Avant Garde" w:hAnsi="ITC Avant Garde"/>
                <w:i/>
                <w:sz w:val="18"/>
                <w:szCs w:val="18"/>
              </w:rPr>
              <w:t>n de entrada de largo plazo en el caso de la competencia potencial que podr</w:t>
            </w:r>
            <w:r w:rsidRPr="007C2396">
              <w:rPr>
                <w:rFonts w:ascii="ITC Avant Garde" w:hAnsi="ITC Avant Garde" w:cs="ITC Avant Garde"/>
                <w:i/>
                <w:sz w:val="18"/>
                <w:szCs w:val="18"/>
              </w:rPr>
              <w:t>í</w:t>
            </w:r>
            <w:r w:rsidRPr="007C2396">
              <w:rPr>
                <w:rFonts w:ascii="ITC Avant Garde" w:hAnsi="ITC Avant Garde"/>
                <w:i/>
                <w:sz w:val="18"/>
                <w:szCs w:val="18"/>
              </w:rPr>
              <w:t>a implicar, incluso, la realizaci</w:t>
            </w:r>
            <w:r w:rsidRPr="007C2396">
              <w:rPr>
                <w:rFonts w:ascii="ITC Avant Garde" w:hAnsi="ITC Avant Garde" w:cs="ITC Avant Garde"/>
                <w:i/>
                <w:sz w:val="18"/>
                <w:szCs w:val="18"/>
              </w:rPr>
              <w:t>ó</w:t>
            </w:r>
            <w:r w:rsidRPr="007C2396">
              <w:rPr>
                <w:rFonts w:ascii="ITC Avant Garde" w:hAnsi="ITC Avant Garde"/>
                <w:i/>
                <w:sz w:val="18"/>
                <w:szCs w:val="18"/>
              </w:rPr>
              <w:t>n de inversiones irreversibles en el mercado.</w:t>
            </w:r>
          </w:p>
          <w:p w14:paraId="0068D634" w14:textId="45EF0495" w:rsidR="004640D0" w:rsidRPr="00C7449E" w:rsidRDefault="00C7449E" w:rsidP="00D2512E">
            <w:pPr>
              <w:pStyle w:val="Default"/>
              <w:keepNext/>
              <w:spacing w:before="120" w:after="120"/>
              <w:ind w:left="741"/>
              <w:jc w:val="both"/>
              <w:rPr>
                <w:rFonts w:ascii="ITC Avant Garde" w:hAnsi="ITC Avant Garde"/>
                <w:i/>
                <w:sz w:val="18"/>
                <w:szCs w:val="18"/>
              </w:rPr>
            </w:pPr>
            <w:r w:rsidRPr="00855079">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Es de llamar la atención que, dentro de los elementos considerados por la Guía, el Instituto no otorgue un peso relevante al horizonte temporal dentro del cual ocurre (o podría ocurrir) la sustitución por el lado de la oferta. Esto es importante porque, aun cuando un agente económico pueda replicar la oferta existente en el mercado que se analiza, esta oferta no podría ser considerada como parte del mercado relevante si ésta no se encuentra disponible para los usuarios dentro de un plazo de tiempo razonable. En virtud que la dimensión de temporalidad en la disposición de la oferta podría modificar la definición de mercado relevante, resulta importante que el Instituto la considere de manera explícita dentro de los elementos que deben ser contemplados dentro del análisis de sustitución por el lado de la oferta</w:t>
            </w:r>
            <w:r>
              <w:rPr>
                <w:rFonts w:ascii="ITC Avant Garde" w:hAnsi="ITC Avant Garde"/>
                <w:i/>
                <w:sz w:val="18"/>
                <w:szCs w:val="18"/>
              </w:rPr>
              <w:t xml:space="preserve"> </w:t>
            </w:r>
            <w:r w:rsidRPr="00855079">
              <w:rPr>
                <w:rFonts w:ascii="ITC Avant Garde" w:hAnsi="ITC Avant Garde"/>
                <w:iCs/>
                <w:sz w:val="18"/>
                <w:szCs w:val="18"/>
              </w:rPr>
              <w:t>(...)</w:t>
            </w:r>
            <w:r w:rsidRPr="00855079">
              <w:rPr>
                <w:rFonts w:ascii="ITC Avant Garde" w:hAnsi="ITC Avant Garde"/>
                <w:i/>
                <w:sz w:val="18"/>
                <w:szCs w:val="18"/>
              </w:rPr>
              <w:t>”</w:t>
            </w:r>
          </w:p>
        </w:tc>
      </w:tr>
    </w:tbl>
    <w:p w14:paraId="5601D6CB" w14:textId="5B54E6EE" w:rsidR="00D72A94" w:rsidRPr="00724A07" w:rsidRDefault="00D72A94" w:rsidP="00D72A94">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5CDB376A" w14:textId="6E5D1525" w:rsidR="00A165D0" w:rsidRPr="00724A07" w:rsidRDefault="00F10336" w:rsidP="00A165D0">
      <w:pPr>
        <w:spacing w:after="120" w:line="240" w:lineRule="auto"/>
        <w:jc w:val="both"/>
        <w:rPr>
          <w:rFonts w:ascii="ITC Avant Garde" w:hAnsi="ITC Avant Garde"/>
        </w:rPr>
      </w:pPr>
      <w:r w:rsidRPr="00724A07">
        <w:rPr>
          <w:rFonts w:ascii="ITC Avant Garde" w:hAnsi="ITC Avant Garde"/>
          <w:color w:val="000000"/>
        </w:rPr>
        <w:t>Primeramente, c</w:t>
      </w:r>
      <w:r w:rsidR="00A165D0" w:rsidRPr="00724A07">
        <w:rPr>
          <w:rFonts w:ascii="ITC Avant Garde" w:hAnsi="ITC Avant Garde"/>
          <w:color w:val="000000"/>
        </w:rPr>
        <w:t xml:space="preserve">on </w:t>
      </w:r>
      <w:r w:rsidR="00A165D0" w:rsidRPr="00724A07">
        <w:rPr>
          <w:rFonts w:ascii="ITC Avant Garde" w:hAnsi="ITC Avant Garde"/>
        </w:rPr>
        <w:t xml:space="preserve">relación al comentario </w:t>
      </w:r>
      <w:r w:rsidRPr="00724A07">
        <w:rPr>
          <w:rFonts w:ascii="ITC Avant Garde" w:hAnsi="ITC Avant Garde"/>
        </w:rPr>
        <w:t xml:space="preserve">de </w:t>
      </w:r>
      <w:r w:rsidR="00F41E3A" w:rsidRPr="00724A07">
        <w:rPr>
          <w:rFonts w:ascii="ITC Avant Garde" w:hAnsi="ITC Avant Garde"/>
        </w:rPr>
        <w:t>Telefónica</w:t>
      </w:r>
      <w:r w:rsidR="00670D0A" w:rsidRPr="00724A07">
        <w:rPr>
          <w:rFonts w:ascii="ITC Avant Garde" w:hAnsi="ITC Avant Garde"/>
        </w:rPr>
        <w:t>,</w:t>
      </w:r>
      <w:r w:rsidR="00F41E3A" w:rsidRPr="00724A07">
        <w:rPr>
          <w:rFonts w:ascii="ITC Avant Garde" w:hAnsi="ITC Avant Garde"/>
        </w:rPr>
        <w:t xml:space="preserve"> respecto a que el Anteproyecto de Guía debe</w:t>
      </w:r>
      <w:r w:rsidR="00BE2E96">
        <w:rPr>
          <w:rFonts w:ascii="ITC Avant Garde" w:hAnsi="ITC Avant Garde"/>
        </w:rPr>
        <w:t xml:space="preserve"> de</w:t>
      </w:r>
      <w:r w:rsidR="00F41E3A" w:rsidRPr="00724A07">
        <w:rPr>
          <w:rFonts w:ascii="ITC Avant Garde" w:hAnsi="ITC Avant Garde"/>
        </w:rPr>
        <w:t xml:space="preserve"> </w:t>
      </w:r>
      <w:r w:rsidRPr="00724A07">
        <w:rPr>
          <w:rFonts w:ascii="ITC Avant Garde" w:hAnsi="ITC Avant Garde"/>
        </w:rPr>
        <w:t>proveer una caracterización de lo que se entiende por “</w:t>
      </w:r>
      <w:r w:rsidRPr="00724A07">
        <w:rPr>
          <w:rFonts w:ascii="ITC Avant Garde" w:hAnsi="ITC Avant Garde"/>
          <w:i/>
          <w:iCs/>
        </w:rPr>
        <w:t>competencia potencial</w:t>
      </w:r>
      <w:r w:rsidRPr="00724A07">
        <w:rPr>
          <w:rFonts w:ascii="ITC Avant Garde" w:hAnsi="ITC Avant Garde"/>
        </w:rPr>
        <w:t>”, así como una explicación sobre c</w:t>
      </w:r>
      <w:r w:rsidR="00636CE1" w:rsidRPr="00724A07">
        <w:rPr>
          <w:rFonts w:ascii="ITC Avant Garde" w:hAnsi="ITC Avant Garde"/>
        </w:rPr>
        <w:t>ó</w:t>
      </w:r>
      <w:r w:rsidRPr="00724A07">
        <w:rPr>
          <w:rFonts w:ascii="ITC Avant Garde" w:hAnsi="ITC Avant Garde"/>
        </w:rPr>
        <w:t>mo este concepto difiere del análisis de sustitución por el lado de la oferta, refiriendo en particular a</w:t>
      </w:r>
      <w:r w:rsidR="00F41E3A" w:rsidRPr="00724A07">
        <w:rPr>
          <w:rFonts w:ascii="ITC Avant Garde" w:hAnsi="ITC Avant Garde"/>
        </w:rPr>
        <w:t xml:space="preserve"> la</w:t>
      </w:r>
      <w:r w:rsidRPr="00724A07">
        <w:rPr>
          <w:rFonts w:ascii="ITC Avant Garde" w:hAnsi="ITC Avant Garde"/>
        </w:rPr>
        <w:t xml:space="preserve"> diferencia en la</w:t>
      </w:r>
      <w:r w:rsidR="00F41E3A" w:rsidRPr="00724A07">
        <w:rPr>
          <w:rFonts w:ascii="ITC Avant Garde" w:hAnsi="ITC Avant Garde"/>
        </w:rPr>
        <w:t xml:space="preserve"> velocidad con la que </w:t>
      </w:r>
      <w:r w:rsidR="00636CE1" w:rsidRPr="00724A07">
        <w:rPr>
          <w:rFonts w:ascii="ITC Avant Garde" w:hAnsi="ITC Avant Garde"/>
        </w:rPr>
        <w:t xml:space="preserve">ambos fenómenos </w:t>
      </w:r>
      <w:r w:rsidRPr="00724A07">
        <w:rPr>
          <w:rFonts w:ascii="ITC Avant Garde" w:hAnsi="ITC Avant Garde"/>
        </w:rPr>
        <w:t>ocurren</w:t>
      </w:r>
      <w:r w:rsidR="004640D0" w:rsidRPr="00724A07">
        <w:rPr>
          <w:rFonts w:ascii="ITC Avant Garde" w:hAnsi="ITC Avant Garde"/>
        </w:rPr>
        <w:t>,</w:t>
      </w:r>
      <w:r w:rsidRPr="00724A07">
        <w:rPr>
          <w:rFonts w:ascii="ITC Avant Garde" w:hAnsi="ITC Avant Garde"/>
        </w:rPr>
        <w:t xml:space="preserve"> se considera </w:t>
      </w:r>
      <w:r w:rsidR="00EA3C67">
        <w:rPr>
          <w:rFonts w:ascii="ITC Avant Garde" w:hAnsi="ITC Avant Garde"/>
        </w:rPr>
        <w:t>im</w:t>
      </w:r>
      <w:r w:rsidRPr="00724A07">
        <w:rPr>
          <w:rFonts w:ascii="ITC Avant Garde" w:hAnsi="ITC Avant Garde"/>
        </w:rPr>
        <w:t>pr</w:t>
      </w:r>
      <w:r w:rsidR="0063026A">
        <w:rPr>
          <w:rFonts w:ascii="ITC Avant Garde" w:hAnsi="ITC Avant Garde"/>
        </w:rPr>
        <w:t>o</w:t>
      </w:r>
      <w:r w:rsidRPr="00724A07">
        <w:rPr>
          <w:rFonts w:ascii="ITC Avant Garde" w:hAnsi="ITC Avant Garde"/>
        </w:rPr>
        <w:t xml:space="preserve">cedente. Lo anterior, </w:t>
      </w:r>
      <w:bookmarkStart w:id="18" w:name="_Hlk83826540"/>
      <w:r w:rsidR="00EA3C67">
        <w:rPr>
          <w:rFonts w:ascii="ITC Avant Garde" w:hAnsi="ITC Avant Garde"/>
        </w:rPr>
        <w:t xml:space="preserve">toda vez que </w:t>
      </w:r>
      <w:r w:rsidR="00EA3C67" w:rsidRPr="00EA3C67">
        <w:rPr>
          <w:rFonts w:ascii="ITC Avant Garde" w:hAnsi="ITC Avant Garde"/>
        </w:rPr>
        <w:t xml:space="preserve">el objeto del Anteproyecto de Guía es establecer un marco de referencia que podrá seguir el Instituto para la determinación de MR en los sectores de </w:t>
      </w:r>
      <w:proofErr w:type="spellStart"/>
      <w:r w:rsidR="00EA3C67" w:rsidRPr="00EA3C67">
        <w:rPr>
          <w:rFonts w:ascii="ITC Avant Garde" w:hAnsi="ITC Avant Garde"/>
        </w:rPr>
        <w:t>TyR</w:t>
      </w:r>
      <w:proofErr w:type="spellEnd"/>
      <w:r w:rsidR="00EA3C67" w:rsidRPr="00EA3C67">
        <w:rPr>
          <w:rFonts w:ascii="ITC Avant Garde" w:hAnsi="ITC Avant Garde"/>
        </w:rPr>
        <w:t xml:space="preserve"> en asuntos que se tramiten en términos de la LFCE o de la LFTR. En este sentido, el Anteproyecto de Guía no busca </w:t>
      </w:r>
      <w:r w:rsidR="00E97840">
        <w:rPr>
          <w:rFonts w:ascii="ITC Avant Garde" w:hAnsi="ITC Avant Garde"/>
        </w:rPr>
        <w:t>definir las características del concepto</w:t>
      </w:r>
      <w:r w:rsidR="00EA3C67">
        <w:rPr>
          <w:rFonts w:ascii="ITC Avant Garde" w:hAnsi="ITC Avant Garde"/>
        </w:rPr>
        <w:t xml:space="preserve"> de </w:t>
      </w:r>
      <w:r w:rsidR="00DB5D97">
        <w:rPr>
          <w:rFonts w:ascii="ITC Avant Garde" w:hAnsi="ITC Avant Garde"/>
        </w:rPr>
        <w:t>“</w:t>
      </w:r>
      <w:r w:rsidR="00EA3C67" w:rsidRPr="00DB5D97">
        <w:rPr>
          <w:rFonts w:ascii="ITC Avant Garde" w:hAnsi="ITC Avant Garde"/>
          <w:i/>
          <w:iCs/>
        </w:rPr>
        <w:t>competencia potencial</w:t>
      </w:r>
      <w:r w:rsidR="00DB5D97">
        <w:rPr>
          <w:rFonts w:ascii="ITC Avant Garde" w:hAnsi="ITC Avant Garde"/>
        </w:rPr>
        <w:t>”</w:t>
      </w:r>
      <w:r w:rsidR="00EA3C67" w:rsidRPr="00EA3C67">
        <w:rPr>
          <w:rFonts w:ascii="ITC Avant Garde" w:hAnsi="ITC Avant Garde"/>
        </w:rPr>
        <w:t>. No obstante, a efecto de dotar de mayor claridad a lo previsto en el Anteproyecto de Guía se considera procedente modificar la sección “</w:t>
      </w:r>
      <w:r w:rsidR="00EA3C67" w:rsidRPr="005A709F">
        <w:rPr>
          <w:rFonts w:ascii="ITC Avant Garde" w:hAnsi="ITC Avant Garde"/>
          <w:i/>
          <w:iCs/>
        </w:rPr>
        <w:t>3. Enfoques para el análisis de sustitución</w:t>
      </w:r>
      <w:r w:rsidR="00EA3C67" w:rsidRPr="00EA3C67">
        <w:rPr>
          <w:rFonts w:ascii="ITC Avant Garde" w:hAnsi="ITC Avant Garde"/>
        </w:rPr>
        <w:t>”</w:t>
      </w:r>
      <w:r w:rsidR="00EA3C67">
        <w:rPr>
          <w:rFonts w:ascii="ITC Avant Garde" w:hAnsi="ITC Avant Garde"/>
        </w:rPr>
        <w:t xml:space="preserve"> como se detalla más abajo.</w:t>
      </w:r>
      <w:bookmarkEnd w:id="18"/>
    </w:p>
    <w:p w14:paraId="752612A8" w14:textId="3AEF07C6" w:rsidR="001D55F6" w:rsidRPr="00724A07" w:rsidRDefault="00F10336" w:rsidP="00BE2E96">
      <w:pPr>
        <w:spacing w:line="240" w:lineRule="auto"/>
        <w:jc w:val="both"/>
        <w:rPr>
          <w:rFonts w:ascii="ITC Avant Garde" w:hAnsi="ITC Avant Garde"/>
        </w:rPr>
      </w:pPr>
      <w:r w:rsidRPr="00724A07">
        <w:rPr>
          <w:rFonts w:ascii="ITC Avant Garde" w:hAnsi="ITC Avant Garde"/>
        </w:rPr>
        <w:t>En segundo lugar, con relación al comentario de Telefónica</w:t>
      </w:r>
      <w:r w:rsidR="00670D0A" w:rsidRPr="00724A07">
        <w:rPr>
          <w:rFonts w:ascii="ITC Avant Garde" w:hAnsi="ITC Avant Garde"/>
        </w:rPr>
        <w:t>,</w:t>
      </w:r>
      <w:r w:rsidRPr="00724A07">
        <w:rPr>
          <w:rFonts w:ascii="ITC Avant Garde" w:hAnsi="ITC Avant Garde"/>
        </w:rPr>
        <w:t xml:space="preserve"> respecto a que el Instituto no otorga un peso relevante al horizonte temporal dentro del cual ocurre (o podría ocurrir) la </w:t>
      </w:r>
      <w:r w:rsidRPr="00724A07">
        <w:rPr>
          <w:rFonts w:ascii="ITC Avant Garde" w:hAnsi="ITC Avant Garde"/>
        </w:rPr>
        <w:lastRenderedPageBreak/>
        <w:t xml:space="preserve">sustitución por el lado de la </w:t>
      </w:r>
      <w:r w:rsidR="00C64664" w:rsidRPr="00724A07">
        <w:rPr>
          <w:rFonts w:ascii="ITC Avant Garde" w:hAnsi="ITC Avant Garde"/>
        </w:rPr>
        <w:t>oferta</w:t>
      </w:r>
      <w:r w:rsidR="0023708C" w:rsidRPr="00724A07">
        <w:rPr>
          <w:rFonts w:ascii="ITC Avant Garde" w:hAnsi="ITC Avant Garde"/>
        </w:rPr>
        <w:t>,</w:t>
      </w:r>
      <w:r w:rsidRPr="00724A07">
        <w:rPr>
          <w:rFonts w:ascii="ITC Avant Garde" w:hAnsi="ITC Avant Garde"/>
        </w:rPr>
        <w:t xml:space="preserve"> se </w:t>
      </w:r>
      <w:r w:rsidR="0023708C" w:rsidRPr="00724A07">
        <w:rPr>
          <w:rFonts w:ascii="ITC Avant Garde" w:hAnsi="ITC Avant Garde"/>
        </w:rPr>
        <w:t>aclara</w:t>
      </w:r>
      <w:r w:rsidRPr="00724A07">
        <w:rPr>
          <w:rFonts w:ascii="ITC Avant Garde" w:hAnsi="ITC Avant Garde"/>
        </w:rPr>
        <w:t xml:space="preserve"> que el Anteproyecto de Guía </w:t>
      </w:r>
      <w:r w:rsidR="00903EDE" w:rsidRPr="00724A07">
        <w:rPr>
          <w:rFonts w:ascii="ITC Avant Garde" w:hAnsi="ITC Avant Garde"/>
        </w:rPr>
        <w:t>señala que “[e]</w:t>
      </w:r>
      <w:r w:rsidR="00903EDE" w:rsidRPr="00724A07">
        <w:rPr>
          <w:rFonts w:ascii="ITC Avant Garde" w:hAnsi="ITC Avant Garde"/>
          <w:i/>
          <w:iCs/>
        </w:rPr>
        <w:t xml:space="preserve">n cuanto a la sustitución por el lado de la oferta, se considerará que esta </w:t>
      </w:r>
      <w:r w:rsidR="00903EDE" w:rsidRPr="00724A07">
        <w:rPr>
          <w:rFonts w:ascii="ITC Avant Garde" w:hAnsi="ITC Avant Garde"/>
          <w:i/>
          <w:iCs/>
          <w:u w:val="single"/>
        </w:rPr>
        <w:t>debe ser inmediata y sin incurrir en costos apreciables</w:t>
      </w:r>
      <w:r w:rsidR="00903EDE" w:rsidRPr="00724A07">
        <w:rPr>
          <w:rFonts w:ascii="ITC Avant Garde" w:hAnsi="ITC Avant Garde"/>
          <w:i/>
          <w:iCs/>
        </w:rPr>
        <w:t xml:space="preserve">, de tal manera que pueda restringir el comportamiento de los competidores y </w:t>
      </w:r>
      <w:r w:rsidR="00903EDE" w:rsidRPr="00724A07">
        <w:rPr>
          <w:rFonts w:ascii="ITC Avant Garde" w:hAnsi="ITC Avant Garde"/>
          <w:i/>
          <w:iCs/>
          <w:u w:val="single"/>
        </w:rPr>
        <w:t>tener efectos equivalentes a los de la sustitución por el lado de la demanda, en términos de eficacia y respuesta inmediata</w:t>
      </w:r>
      <w:r w:rsidR="00636CE1" w:rsidRPr="00724A07">
        <w:rPr>
          <w:rFonts w:ascii="ITC Avant Garde" w:hAnsi="ITC Avant Garde"/>
          <w:i/>
          <w:iCs/>
          <w:u w:val="single"/>
        </w:rPr>
        <w:t>”</w:t>
      </w:r>
      <w:r w:rsidR="00903EDE" w:rsidRPr="00724A07">
        <w:rPr>
          <w:rFonts w:ascii="ITC Avant Garde" w:hAnsi="ITC Avant Garde"/>
        </w:rPr>
        <w:t>.</w:t>
      </w:r>
      <w:r w:rsidR="0023708C" w:rsidRPr="00724A07">
        <w:rPr>
          <w:rFonts w:ascii="ITC Avant Garde" w:hAnsi="ITC Avant Garde"/>
        </w:rPr>
        <w:t xml:space="preserve"> De donde se advierte que el Instituto considera relevante el horizonte temporal en el que ocurre o podría ocurrir la sustitución por el lado de la oferta.</w:t>
      </w:r>
    </w:p>
    <w:p w14:paraId="7A849B92" w14:textId="6C9FABA1" w:rsidR="00903EDE" w:rsidRPr="00724A07" w:rsidRDefault="00903EDE" w:rsidP="00903EDE">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3.</w:t>
      </w:r>
      <w:r w:rsidR="0089798B" w:rsidRPr="00724A07">
        <w:rPr>
          <w:rFonts w:ascii="ITC Avant Garde" w:hAnsi="ITC Avant Garde"/>
          <w:i/>
          <w:iCs/>
        </w:rPr>
        <w:t xml:space="preserve"> </w:t>
      </w:r>
      <w:r w:rsidRPr="00724A07">
        <w:rPr>
          <w:rFonts w:ascii="ITC Avant Garde" w:hAnsi="ITC Avant Garde"/>
          <w:i/>
          <w:iCs/>
        </w:rPr>
        <w:t>Enfoques para el análisis de sustitución</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903EDE" w:rsidRPr="00724A07" w14:paraId="0C0E5DED" w14:textId="77777777" w:rsidTr="00D2512E">
        <w:trPr>
          <w:jc w:val="center"/>
        </w:trPr>
        <w:tc>
          <w:tcPr>
            <w:tcW w:w="4830" w:type="dxa"/>
            <w:shd w:val="clear" w:color="auto" w:fill="92D050"/>
            <w:vAlign w:val="center"/>
          </w:tcPr>
          <w:p w14:paraId="4C51290C" w14:textId="77777777" w:rsidR="00903EDE" w:rsidRPr="00724A07" w:rsidRDefault="00903EDE" w:rsidP="00903EDE">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60A098AF" w14:textId="77777777" w:rsidR="00903EDE" w:rsidRPr="00724A07" w:rsidRDefault="00903EDE" w:rsidP="00BE2E96">
            <w:pPr>
              <w:keepNext/>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903EDE" w:rsidRPr="00724A07" w14:paraId="0CB02C08" w14:textId="77777777" w:rsidTr="00D2512E">
        <w:trPr>
          <w:trHeight w:val="6614"/>
          <w:jc w:val="center"/>
        </w:trPr>
        <w:tc>
          <w:tcPr>
            <w:tcW w:w="4830" w:type="dxa"/>
            <w:shd w:val="clear" w:color="auto" w:fill="auto"/>
          </w:tcPr>
          <w:p w14:paraId="1E35F33D" w14:textId="163B9258" w:rsidR="00903EDE" w:rsidRPr="00724A07" w:rsidRDefault="00903EDE" w:rsidP="00903EDE">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3.</w:t>
            </w:r>
            <w:r w:rsidRPr="00724A07">
              <w:rPr>
                <w:rFonts w:ascii="ITC Avant Garde" w:hAnsi="ITC Avant Garde" w:cs="Arial"/>
                <w:b/>
                <w:bCs/>
                <w:sz w:val="18"/>
                <w:szCs w:val="18"/>
              </w:rPr>
              <w:tab/>
              <w:t xml:space="preserve">Enfoques para el análisis de sustitución (párrafo </w:t>
            </w:r>
            <w:r w:rsidR="001B4B75">
              <w:rPr>
                <w:rFonts w:ascii="ITC Avant Garde" w:hAnsi="ITC Avant Garde" w:cs="Arial"/>
                <w:b/>
                <w:bCs/>
                <w:sz w:val="18"/>
                <w:szCs w:val="18"/>
              </w:rPr>
              <w:t>tercero</w:t>
            </w:r>
            <w:r w:rsidRPr="00724A07">
              <w:rPr>
                <w:rFonts w:ascii="ITC Avant Garde" w:hAnsi="ITC Avant Garde" w:cs="Arial"/>
                <w:b/>
                <w:bCs/>
                <w:sz w:val="18"/>
                <w:szCs w:val="18"/>
              </w:rPr>
              <w:t>)</w:t>
            </w:r>
          </w:p>
          <w:p w14:paraId="16C13019" w14:textId="560BCF9E" w:rsidR="00EF1FF4" w:rsidRPr="00724A07" w:rsidRDefault="00903EDE" w:rsidP="00EF1FF4">
            <w:pPr>
              <w:spacing w:after="0" w:line="240" w:lineRule="auto"/>
              <w:jc w:val="both"/>
              <w:rPr>
                <w:rFonts w:ascii="ITC Avant Garde" w:hAnsi="ITC Avant Garde" w:cs="Arial"/>
                <w:sz w:val="18"/>
                <w:szCs w:val="18"/>
              </w:rPr>
            </w:pPr>
            <w:r w:rsidRPr="00724A07">
              <w:rPr>
                <w:rFonts w:ascii="ITC Avant Garde" w:hAnsi="ITC Avant Garde" w:cs="Arial"/>
                <w:sz w:val="18"/>
                <w:szCs w:val="18"/>
              </w:rPr>
              <w:t>Existen básicamente dos enfoques sobre el análisis de sustitución utilizados en la Unión Europea, por un lado, y en Estados Unidos de América, por otro. Ambos enfoques analizan la sustitución por el lado de la demanda para delimitar el MR (considerado el medio más inmediato y eficaz para restringir el comportamiento de los proveedores de un determinado producto) y reconocen la importancia de incorporar en el análisis de competencia las presiones competitivas por el lado de la oferta y la competencia potencial, pero difieren en la etapa en que se evalúan dichas presiones.</w:t>
            </w:r>
          </w:p>
        </w:tc>
        <w:tc>
          <w:tcPr>
            <w:tcW w:w="4830" w:type="dxa"/>
            <w:shd w:val="clear" w:color="auto" w:fill="auto"/>
          </w:tcPr>
          <w:p w14:paraId="16CCE926" w14:textId="0669ECA0" w:rsidR="003D2734" w:rsidRPr="00724A07" w:rsidRDefault="003D2734" w:rsidP="00BE2E96">
            <w:pPr>
              <w:keepNext/>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3.</w:t>
            </w:r>
            <w:r w:rsidRPr="00724A07">
              <w:rPr>
                <w:rFonts w:ascii="ITC Avant Garde" w:hAnsi="ITC Avant Garde" w:cs="Arial"/>
                <w:b/>
                <w:bCs/>
                <w:sz w:val="18"/>
                <w:szCs w:val="18"/>
              </w:rPr>
              <w:tab/>
              <w:t xml:space="preserve">Enfoques para el análisis de sustitución (párrafo </w:t>
            </w:r>
            <w:r w:rsidR="001B4B75">
              <w:rPr>
                <w:rFonts w:ascii="ITC Avant Garde" w:hAnsi="ITC Avant Garde" w:cs="Arial"/>
                <w:b/>
                <w:bCs/>
                <w:sz w:val="18"/>
                <w:szCs w:val="18"/>
              </w:rPr>
              <w:t>tercero</w:t>
            </w:r>
            <w:r w:rsidRPr="00724A07">
              <w:rPr>
                <w:rFonts w:ascii="ITC Avant Garde" w:hAnsi="ITC Avant Garde" w:cs="Arial"/>
                <w:b/>
                <w:bCs/>
                <w:sz w:val="18"/>
                <w:szCs w:val="18"/>
              </w:rPr>
              <w:t>)</w:t>
            </w:r>
          </w:p>
          <w:p w14:paraId="4E190509" w14:textId="77777777" w:rsidR="003D2734" w:rsidRPr="00724A07" w:rsidRDefault="003D2734" w:rsidP="00BE2E96">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Existen básicamente dos enfoques sobre el análisis de sustitución utilizados en la Unión Europea, por un lado, y en Estados Unidos de América, por otro. Ambos enfoques analizan la sustitución por el lado de la demanda para delimitar el MR (considerado el medio más inmediato y eficaz para restringir el comportamiento de los proveedores de un determinado producto) y reconocen la importancia de incorporar en el análisis de competencia las presiones competitivas por el lado de la oferta y la competencia potencial,</w:t>
            </w:r>
            <w:r w:rsidRPr="00724A07">
              <w:rPr>
                <w:rFonts w:ascii="ITC Avant Garde" w:hAnsi="ITC Avant Garde" w:cs="Arial"/>
                <w:sz w:val="18"/>
                <w:szCs w:val="18"/>
                <w:u w:val="single"/>
              </w:rPr>
              <w:t>**</w:t>
            </w:r>
            <w:r w:rsidRPr="00724A07">
              <w:rPr>
                <w:rFonts w:ascii="ITC Avant Garde" w:hAnsi="ITC Avant Garde" w:cs="Arial"/>
                <w:sz w:val="18"/>
                <w:szCs w:val="18"/>
                <w:u w:val="single"/>
                <w:vertAlign w:val="superscript"/>
              </w:rPr>
              <w:t>[nueva nota al pie]</w:t>
            </w:r>
            <w:r w:rsidRPr="00724A07">
              <w:rPr>
                <w:rFonts w:ascii="ITC Avant Garde" w:hAnsi="ITC Avant Garde" w:cs="Arial"/>
                <w:sz w:val="18"/>
                <w:szCs w:val="18"/>
                <w:u w:val="single"/>
              </w:rPr>
              <w:t xml:space="preserve"> </w:t>
            </w:r>
            <w:r w:rsidRPr="00724A07">
              <w:rPr>
                <w:rFonts w:ascii="ITC Avant Garde" w:hAnsi="ITC Avant Garde" w:cs="Arial"/>
                <w:sz w:val="18"/>
                <w:szCs w:val="18"/>
              </w:rPr>
              <w:t>pero difieren en la etapa en que se evalúan dichas presiones.</w:t>
            </w:r>
          </w:p>
          <w:p w14:paraId="30E306E2" w14:textId="77777777" w:rsidR="003D2734" w:rsidRPr="00724A07" w:rsidRDefault="003D2734" w:rsidP="00BE2E96">
            <w:pPr>
              <w:keepNext/>
              <w:spacing w:after="0" w:line="240" w:lineRule="auto"/>
              <w:jc w:val="both"/>
              <w:rPr>
                <w:rFonts w:ascii="ITC Avant Garde" w:hAnsi="ITC Avant Garde" w:cs="Arial"/>
                <w:sz w:val="18"/>
                <w:szCs w:val="18"/>
              </w:rPr>
            </w:pPr>
          </w:p>
          <w:p w14:paraId="2FC75261" w14:textId="6DCEB499" w:rsidR="00903EDE" w:rsidRPr="00724A07" w:rsidRDefault="003D2734" w:rsidP="00BE2E96">
            <w:pPr>
              <w:keepNext/>
              <w:spacing w:after="0" w:line="240" w:lineRule="auto"/>
              <w:jc w:val="both"/>
              <w:rPr>
                <w:rFonts w:ascii="ITC Avant Garde" w:hAnsi="ITC Avant Garde" w:cs="Arial"/>
                <w:sz w:val="18"/>
                <w:szCs w:val="18"/>
                <w:u w:val="single"/>
              </w:rPr>
            </w:pPr>
            <w:r w:rsidRPr="00724A07">
              <w:rPr>
                <w:rFonts w:ascii="ITC Avant Garde" w:hAnsi="ITC Avant Garde" w:cs="Arial"/>
                <w:sz w:val="18"/>
                <w:szCs w:val="18"/>
                <w:u w:val="single"/>
              </w:rPr>
              <w:t xml:space="preserve">** [nueva nota al pie]: La diferencia entre competencia potencial e intercambiabilidad </w:t>
            </w:r>
            <w:r w:rsidR="003431A8" w:rsidRPr="00724A07">
              <w:rPr>
                <w:rFonts w:ascii="ITC Avant Garde" w:hAnsi="ITC Avant Garde" w:cs="Arial"/>
                <w:sz w:val="18"/>
                <w:szCs w:val="18"/>
                <w:u w:val="single"/>
              </w:rPr>
              <w:t>(</w:t>
            </w:r>
            <w:r w:rsidRPr="00724A07">
              <w:rPr>
                <w:rFonts w:ascii="ITC Avant Garde" w:hAnsi="ITC Avant Garde" w:cs="Arial"/>
                <w:sz w:val="18"/>
                <w:szCs w:val="18"/>
                <w:u w:val="single"/>
              </w:rPr>
              <w:t>o sustitución</w:t>
            </w:r>
            <w:r w:rsidR="003431A8" w:rsidRPr="00724A07">
              <w:rPr>
                <w:rFonts w:ascii="ITC Avant Garde" w:hAnsi="ITC Avant Garde" w:cs="Arial"/>
                <w:sz w:val="18"/>
                <w:szCs w:val="18"/>
                <w:u w:val="single"/>
              </w:rPr>
              <w:t>)</w:t>
            </w:r>
            <w:r w:rsidRPr="00724A07">
              <w:rPr>
                <w:rFonts w:ascii="ITC Avant Garde" w:hAnsi="ITC Avant Garde" w:cs="Arial"/>
                <w:sz w:val="18"/>
                <w:szCs w:val="18"/>
                <w:u w:val="single"/>
              </w:rPr>
              <w:t xml:space="preserve"> desde el punto de vista de la oferta reside en que esta última responde con </w:t>
            </w:r>
            <w:r w:rsidR="00656C85" w:rsidRPr="00724A07">
              <w:rPr>
                <w:rFonts w:ascii="ITC Avant Garde" w:hAnsi="ITC Avant Garde" w:cs="Arial"/>
                <w:sz w:val="18"/>
                <w:szCs w:val="18"/>
                <w:u w:val="single"/>
              </w:rPr>
              <w:t>prontitud</w:t>
            </w:r>
            <w:r w:rsidRPr="00724A07">
              <w:rPr>
                <w:rFonts w:ascii="ITC Avant Garde" w:hAnsi="ITC Avant Garde" w:cs="Arial"/>
                <w:sz w:val="18"/>
                <w:szCs w:val="18"/>
                <w:u w:val="single"/>
              </w:rPr>
              <w:t xml:space="preserve"> a un aumento de los precios, mientras que los entrantes potenciales pueden necesitar más tiempo para empezar a atender el mercado. </w:t>
            </w:r>
            <w:r w:rsidR="00771BEE">
              <w:rPr>
                <w:rFonts w:ascii="ITC Avant Garde" w:hAnsi="ITC Avant Garde" w:cs="Arial"/>
                <w:sz w:val="18"/>
                <w:szCs w:val="18"/>
                <w:u w:val="single"/>
              </w:rPr>
              <w:t>Asimismo, l</w:t>
            </w:r>
            <w:r w:rsidRPr="00724A07">
              <w:rPr>
                <w:rFonts w:ascii="ITC Avant Garde" w:hAnsi="ITC Avant Garde" w:cs="Arial"/>
                <w:sz w:val="18"/>
                <w:szCs w:val="18"/>
                <w:u w:val="single"/>
              </w:rPr>
              <w:t xml:space="preserve">a </w:t>
            </w:r>
            <w:r w:rsidR="00656C85">
              <w:rPr>
                <w:rFonts w:ascii="ITC Avant Garde" w:hAnsi="ITC Avant Garde" w:cs="Arial"/>
                <w:sz w:val="18"/>
                <w:szCs w:val="18"/>
                <w:u w:val="single"/>
              </w:rPr>
              <w:t>sustitución</w:t>
            </w:r>
            <w:r w:rsidR="00656C85" w:rsidRPr="00724A07">
              <w:rPr>
                <w:rFonts w:ascii="ITC Avant Garde" w:hAnsi="ITC Avant Garde" w:cs="Arial"/>
                <w:sz w:val="18"/>
                <w:szCs w:val="18"/>
                <w:u w:val="single"/>
              </w:rPr>
              <w:t xml:space="preserve"> </w:t>
            </w:r>
            <w:r w:rsidRPr="00724A07">
              <w:rPr>
                <w:rFonts w:ascii="ITC Avant Garde" w:hAnsi="ITC Avant Garde" w:cs="Arial"/>
                <w:sz w:val="18"/>
                <w:szCs w:val="18"/>
                <w:u w:val="single"/>
              </w:rPr>
              <w:t>desde el punto de vista de la oferta implica cost</w:t>
            </w:r>
            <w:r w:rsidR="0089798B" w:rsidRPr="00724A07">
              <w:rPr>
                <w:rFonts w:ascii="ITC Avant Garde" w:hAnsi="ITC Avant Garde" w:cs="Arial"/>
                <w:sz w:val="18"/>
                <w:szCs w:val="18"/>
                <w:u w:val="single"/>
              </w:rPr>
              <w:t>o</w:t>
            </w:r>
            <w:r w:rsidRPr="00724A07">
              <w:rPr>
                <w:rFonts w:ascii="ITC Avant Garde" w:hAnsi="ITC Avant Garde" w:cs="Arial"/>
                <w:sz w:val="18"/>
                <w:szCs w:val="18"/>
                <w:u w:val="single"/>
              </w:rPr>
              <w:t xml:space="preserve">s adicionales </w:t>
            </w:r>
            <w:r w:rsidR="00771BEE">
              <w:rPr>
                <w:rFonts w:ascii="ITC Avant Garde" w:hAnsi="ITC Avant Garde" w:cs="Arial"/>
                <w:sz w:val="18"/>
                <w:szCs w:val="18"/>
                <w:u w:val="single"/>
              </w:rPr>
              <w:t>menores a los relacionados con la entrada potencial</w:t>
            </w:r>
            <w:r w:rsidR="0089798B" w:rsidRPr="00724A07">
              <w:rPr>
                <w:rFonts w:ascii="ITC Avant Garde" w:hAnsi="ITC Avant Garde" w:cs="Arial"/>
                <w:sz w:val="18"/>
                <w:szCs w:val="18"/>
                <w:u w:val="single"/>
              </w:rPr>
              <w:t>.</w:t>
            </w:r>
            <w:r w:rsidRPr="00724A07">
              <w:rPr>
                <w:rFonts w:ascii="ITC Avant Garde" w:hAnsi="ITC Avant Garde" w:cs="Arial"/>
                <w:sz w:val="18"/>
                <w:szCs w:val="18"/>
                <w:u w:val="single"/>
              </w:rPr>
              <w:t xml:space="preserve"> </w:t>
            </w:r>
            <w:r w:rsidR="00771BEE">
              <w:rPr>
                <w:rFonts w:ascii="ITC Avant Garde" w:hAnsi="ITC Avant Garde" w:cs="Arial"/>
                <w:sz w:val="18"/>
                <w:szCs w:val="18"/>
                <w:u w:val="single"/>
              </w:rPr>
              <w:t xml:space="preserve">Con base en </w:t>
            </w:r>
            <w:r w:rsidR="00967295" w:rsidRPr="00724A07">
              <w:rPr>
                <w:rFonts w:ascii="ITC Avant Garde" w:hAnsi="ITC Avant Garde" w:cs="Arial"/>
                <w:sz w:val="18"/>
                <w:szCs w:val="18"/>
                <w:u w:val="single"/>
              </w:rPr>
              <w:t xml:space="preserve">UE (2002). </w:t>
            </w:r>
            <w:r w:rsidRPr="00724A07">
              <w:rPr>
                <w:rFonts w:ascii="ITC Avant Garde" w:hAnsi="ITC Avant Garde" w:cs="Arial"/>
                <w:i/>
                <w:iCs/>
                <w:sz w:val="18"/>
                <w:szCs w:val="18"/>
                <w:u w:val="single"/>
              </w:rPr>
              <w:t>Directrices sobre análisis del mercado y evaluación del peso significativo en el mercado dentro del marco regulador de las redes y los servicios de comunicaciones electrónicas</w:t>
            </w:r>
            <w:r w:rsidR="00967295" w:rsidRPr="00724A07">
              <w:rPr>
                <w:rFonts w:ascii="ITC Avant Garde" w:hAnsi="ITC Avant Garde" w:cs="Arial"/>
                <w:sz w:val="18"/>
                <w:szCs w:val="18"/>
                <w:u w:val="single"/>
              </w:rPr>
              <w:t xml:space="preserve">. </w:t>
            </w:r>
            <w:r w:rsidRPr="00724A07">
              <w:rPr>
                <w:rFonts w:ascii="ITC Avant Garde" w:hAnsi="ITC Avant Garde" w:cs="Arial"/>
                <w:sz w:val="18"/>
                <w:szCs w:val="18"/>
                <w:u w:val="single"/>
              </w:rPr>
              <w:t>párrafo 38</w:t>
            </w:r>
            <w:r w:rsidR="00967295" w:rsidRPr="00724A07">
              <w:rPr>
                <w:rFonts w:ascii="ITC Avant Garde" w:hAnsi="ITC Avant Garde" w:cs="Arial"/>
                <w:sz w:val="18"/>
                <w:szCs w:val="18"/>
                <w:u w:val="single"/>
              </w:rPr>
              <w:t>, p6</w:t>
            </w:r>
            <w:r w:rsidRPr="00724A07">
              <w:rPr>
                <w:rFonts w:ascii="ITC Avant Garde" w:hAnsi="ITC Avant Garde" w:cs="Arial"/>
                <w:sz w:val="18"/>
                <w:szCs w:val="18"/>
                <w:u w:val="single"/>
              </w:rPr>
              <w:t>.</w:t>
            </w:r>
          </w:p>
        </w:tc>
      </w:tr>
    </w:tbl>
    <w:p w14:paraId="281400BF" w14:textId="71849657" w:rsidR="0023708C" w:rsidRPr="00724A07" w:rsidRDefault="001D0959" w:rsidP="00D2512E">
      <w:pPr>
        <w:spacing w:before="120" w:after="240" w:line="240" w:lineRule="auto"/>
        <w:jc w:val="both"/>
        <w:rPr>
          <w:rFonts w:ascii="ITC Avant Garde" w:hAnsi="ITC Avant Garde"/>
        </w:rPr>
      </w:pPr>
      <w:r w:rsidRPr="00724A07">
        <w:rPr>
          <w:rFonts w:ascii="ITC Avant Garde" w:hAnsi="ITC Avant Garde"/>
        </w:rPr>
        <w:t>Asimismo</w:t>
      </w:r>
      <w:r w:rsidR="0023708C" w:rsidRPr="00724A07">
        <w:rPr>
          <w:rFonts w:ascii="ITC Avant Garde" w:hAnsi="ITC Avant Garde"/>
        </w:rPr>
        <w:t xml:space="preserve">, en relación con este comentario y con el </w:t>
      </w:r>
      <w:r w:rsidRPr="00724A07">
        <w:rPr>
          <w:rFonts w:ascii="ITC Avant Garde" w:hAnsi="ITC Avant Garde"/>
        </w:rPr>
        <w:t xml:space="preserve">siguiente </w:t>
      </w:r>
      <w:r w:rsidR="0023708C" w:rsidRPr="00724A07">
        <w:rPr>
          <w:rFonts w:ascii="ITC Avant Garde" w:hAnsi="ITC Avant Garde"/>
        </w:rPr>
        <w:t>comentario de la COFECE</w:t>
      </w:r>
      <w:r w:rsidRPr="00724A07">
        <w:rPr>
          <w:rFonts w:ascii="ITC Avant Garde" w:hAnsi="ITC Avant Garde"/>
        </w:rPr>
        <w:t xml:space="preserve">, </w:t>
      </w:r>
      <w:r w:rsidR="0023708C" w:rsidRPr="00724A07">
        <w:rPr>
          <w:rFonts w:ascii="ITC Avant Garde" w:hAnsi="ITC Avant Garde"/>
        </w:rPr>
        <w:t xml:space="preserve">se modifica la sección </w:t>
      </w:r>
      <w:r w:rsidR="00CD59BB">
        <w:rPr>
          <w:rFonts w:ascii="ITC Avant Garde" w:hAnsi="ITC Avant Garde"/>
        </w:rPr>
        <w:t>“</w:t>
      </w:r>
      <w:r w:rsidR="0023708C" w:rsidRPr="00DD32EC">
        <w:rPr>
          <w:rFonts w:ascii="ITC Avant Garde" w:hAnsi="ITC Avant Garde"/>
        </w:rPr>
        <w:t>3.1. del Anteproyecto de Guía</w:t>
      </w:r>
      <w:r w:rsidR="00CD59BB">
        <w:rPr>
          <w:rFonts w:ascii="ITC Avant Garde" w:hAnsi="ITC Avant Garde"/>
        </w:rPr>
        <w:t>”</w:t>
      </w:r>
      <w:r w:rsidR="0023708C" w:rsidRPr="00724A07">
        <w:rPr>
          <w:rFonts w:ascii="ITC Avant Garde" w:hAnsi="ITC Avant Garde"/>
        </w:rPr>
        <w:t xml:space="preserve">, a efecto de orientar sobre el periodo que podría considerarse </w:t>
      </w:r>
      <w:r w:rsidRPr="00724A07">
        <w:rPr>
          <w:rFonts w:ascii="ITC Avant Garde" w:hAnsi="ITC Avant Garde"/>
        </w:rPr>
        <w:t>como referencia para determinar si la sustitución por el lado de la oferta ocurre de manera “</w:t>
      </w:r>
      <w:r w:rsidRPr="00DD32EC">
        <w:rPr>
          <w:rFonts w:ascii="ITC Avant Garde" w:hAnsi="ITC Avant Garde"/>
        </w:rPr>
        <w:t>inmediata</w:t>
      </w:r>
      <w:r w:rsidRPr="00724A07">
        <w:rPr>
          <w:rFonts w:ascii="ITC Avant Garde" w:hAnsi="ITC Avant Garde"/>
        </w:rPr>
        <w:t>”.</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D72A94" w:rsidRPr="00724A07" w14:paraId="3F7A2A39" w14:textId="77777777" w:rsidTr="000F4D66">
        <w:trPr>
          <w:trHeight w:val="276"/>
          <w:jc w:val="center"/>
        </w:trPr>
        <w:tc>
          <w:tcPr>
            <w:tcW w:w="9785" w:type="dxa"/>
            <w:shd w:val="clear" w:color="auto" w:fill="92D050"/>
            <w:vAlign w:val="center"/>
          </w:tcPr>
          <w:p w14:paraId="0B1F011B" w14:textId="3337C786" w:rsidR="00D72A94" w:rsidRPr="00724A07" w:rsidRDefault="00D72A94" w:rsidP="00A00520">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COFECE</w:t>
            </w:r>
          </w:p>
        </w:tc>
      </w:tr>
      <w:tr w:rsidR="00D72A94" w:rsidRPr="00724A07" w14:paraId="6AE34014" w14:textId="77777777" w:rsidTr="000F4D66">
        <w:trPr>
          <w:trHeight w:val="443"/>
          <w:jc w:val="center"/>
        </w:trPr>
        <w:tc>
          <w:tcPr>
            <w:tcW w:w="9785" w:type="dxa"/>
            <w:shd w:val="clear" w:color="auto" w:fill="E2EFD9" w:themeFill="accent6" w:themeFillTint="33"/>
            <w:vAlign w:val="center"/>
          </w:tcPr>
          <w:p w14:paraId="3535A08A" w14:textId="77777777" w:rsidR="00C7449E" w:rsidRPr="007C2396" w:rsidRDefault="00C7449E" w:rsidP="00C7449E">
            <w:pPr>
              <w:pStyle w:val="Default"/>
              <w:spacing w:after="120"/>
              <w:jc w:val="both"/>
              <w:rPr>
                <w:rFonts w:ascii="ITC Avant Garde" w:hAnsi="ITC Avant Garde"/>
                <w:i/>
                <w:sz w:val="18"/>
                <w:szCs w:val="18"/>
              </w:rPr>
            </w:pPr>
            <w:r w:rsidRPr="007C2396">
              <w:rPr>
                <w:rFonts w:ascii="ITC Avant Garde" w:hAnsi="ITC Avant Garde"/>
                <w:i/>
                <w:sz w:val="18"/>
                <w:szCs w:val="18"/>
              </w:rPr>
              <w:t>“Se indica que “</w:t>
            </w:r>
            <w:r w:rsidRPr="007C2396">
              <w:rPr>
                <w:rFonts w:ascii="ITC Avant Garde" w:hAnsi="ITC Avant Garde"/>
                <w:sz w:val="18"/>
                <w:szCs w:val="18"/>
              </w:rPr>
              <w:t>[e]</w:t>
            </w:r>
            <w:r w:rsidRPr="007C2396">
              <w:rPr>
                <w:rFonts w:ascii="ITC Avant Garde" w:hAnsi="ITC Avant Garde"/>
                <w:i/>
                <w:sz w:val="18"/>
                <w:szCs w:val="18"/>
              </w:rPr>
              <w:t>n cuanto a la sustitución por el lado de la oferta, se considerará que esta debe ser inmediata" al respecto, se sugiere añadir que un plazo razonable, el cual podría ser menor de un año</w:t>
            </w:r>
            <w:r>
              <w:rPr>
                <w:rFonts w:ascii="ITC Avant Garde" w:hAnsi="ITC Avant Garde"/>
                <w:i/>
                <w:sz w:val="18"/>
                <w:szCs w:val="18"/>
              </w:rPr>
              <w:t xml:space="preserve"> </w:t>
            </w:r>
            <w:r w:rsidRPr="003066BA">
              <w:rPr>
                <w:rFonts w:ascii="ITC Avant Garde" w:hAnsi="ITC Avant Garde"/>
                <w:iCs/>
                <w:sz w:val="18"/>
                <w:szCs w:val="18"/>
              </w:rPr>
              <w:t>(...)</w:t>
            </w:r>
            <w:r>
              <w:rPr>
                <w:rFonts w:ascii="ITC Avant Garde" w:hAnsi="ITC Avant Garde"/>
                <w:iCs/>
                <w:sz w:val="18"/>
                <w:szCs w:val="18"/>
              </w:rPr>
              <w:t xml:space="preserve"> </w:t>
            </w:r>
            <w:r w:rsidRPr="007C2396">
              <w:rPr>
                <w:rFonts w:ascii="ITC Avant Garde" w:hAnsi="ITC Avant Garde"/>
                <w:i/>
                <w:sz w:val="18"/>
                <w:szCs w:val="18"/>
              </w:rPr>
              <w:t xml:space="preserve">se sugiere incorporar conceptual o analíticamente la definición de la elasticidad precio de la oferta </w:t>
            </w:r>
            <w:r w:rsidRPr="003066BA">
              <w:rPr>
                <w:rFonts w:ascii="ITC Avant Garde" w:hAnsi="ITC Avant Garde"/>
                <w:iCs/>
                <w:sz w:val="18"/>
                <w:szCs w:val="18"/>
              </w:rPr>
              <w:t>(…)</w:t>
            </w:r>
          </w:p>
          <w:p w14:paraId="1B4616BE" w14:textId="655C953D" w:rsidR="00D72A94" w:rsidRPr="00724A07" w:rsidRDefault="00C7449E" w:rsidP="00C7449E">
            <w:pPr>
              <w:pStyle w:val="Default"/>
              <w:spacing w:before="120" w:after="120"/>
              <w:jc w:val="both"/>
              <w:rPr>
                <w:rFonts w:ascii="ITC Avant Garde" w:hAnsi="ITC Avant Garde"/>
                <w:i/>
                <w:sz w:val="18"/>
                <w:szCs w:val="18"/>
              </w:rPr>
            </w:pPr>
            <w:r w:rsidRPr="007C2396">
              <w:rPr>
                <w:rFonts w:ascii="ITC Avant Garde" w:hAnsi="ITC Avant Garde"/>
                <w:i/>
                <w:sz w:val="18"/>
                <w:szCs w:val="18"/>
              </w:rPr>
              <w:t>La Guía indica que “</w:t>
            </w:r>
            <w:r w:rsidRPr="007C2396">
              <w:rPr>
                <w:rFonts w:ascii="ITC Avant Garde" w:hAnsi="ITC Avant Garde"/>
                <w:iCs/>
                <w:sz w:val="18"/>
                <w:szCs w:val="18"/>
              </w:rPr>
              <w:t>[</w:t>
            </w:r>
            <w:r w:rsidRPr="007C2396">
              <w:rPr>
                <w:rFonts w:ascii="ITC Avant Garde" w:hAnsi="ITC Avant Garde"/>
                <w:sz w:val="18"/>
                <w:szCs w:val="18"/>
              </w:rPr>
              <w:t>c]</w:t>
            </w:r>
            <w:proofErr w:type="spellStart"/>
            <w:r w:rsidRPr="007C2396">
              <w:rPr>
                <w:rFonts w:ascii="ITC Avant Garde" w:hAnsi="ITC Avant Garde"/>
                <w:i/>
                <w:sz w:val="18"/>
                <w:szCs w:val="18"/>
              </w:rPr>
              <w:t>uando</w:t>
            </w:r>
            <w:proofErr w:type="spellEnd"/>
            <w:r w:rsidRPr="007C2396">
              <w:rPr>
                <w:rFonts w:ascii="ITC Avant Garde" w:hAnsi="ITC Avant Garde"/>
                <w:i/>
                <w:sz w:val="18"/>
                <w:szCs w:val="18"/>
              </w:rPr>
              <w:t xml:space="preserve"> se identifique la existencia de competencia potencial, su evaluación no se considerará en la etapa de determinación del MR</w:t>
            </w:r>
            <w:r>
              <w:rPr>
                <w:rFonts w:ascii="ITC Avant Garde" w:hAnsi="ITC Avant Garde"/>
                <w:i/>
                <w:sz w:val="18"/>
                <w:szCs w:val="18"/>
              </w:rPr>
              <w:t xml:space="preserve"> (…)</w:t>
            </w:r>
            <w:r w:rsidRPr="007C2396">
              <w:rPr>
                <w:rFonts w:ascii="ITC Avant Garde" w:hAnsi="ITC Avant Garde"/>
                <w:i/>
                <w:sz w:val="18"/>
                <w:szCs w:val="18"/>
              </w:rPr>
              <w:t>”. Al respecto, es importante señalar que no es claro sobre cómo y en qué momentos tratar la competencia potencial, por lo que esta afirmación o criterio podría ser un tanto discrecional.”</w:t>
            </w:r>
          </w:p>
        </w:tc>
      </w:tr>
    </w:tbl>
    <w:p w14:paraId="2B1E1CED" w14:textId="77777777" w:rsidR="00D72A94" w:rsidRPr="00724A07" w:rsidRDefault="00D72A94" w:rsidP="00D72A94">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556C250E" w14:textId="4159A886" w:rsidR="00F314F9" w:rsidRPr="00724A07" w:rsidRDefault="00B722BE" w:rsidP="00B722BE">
      <w:pPr>
        <w:spacing w:after="12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w:t>
      </w:r>
      <w:r w:rsidR="00384CFB" w:rsidRPr="00724A07">
        <w:rPr>
          <w:rFonts w:ascii="ITC Avant Garde" w:hAnsi="ITC Avant Garde"/>
        </w:rPr>
        <w:t xml:space="preserve"> la sugerencia de l</w:t>
      </w:r>
      <w:r w:rsidRPr="00724A07">
        <w:rPr>
          <w:rFonts w:ascii="ITC Avant Garde" w:hAnsi="ITC Avant Garde"/>
        </w:rPr>
        <w:t>a COFECE</w:t>
      </w:r>
      <w:r w:rsidR="00670D0A" w:rsidRPr="00724A07">
        <w:rPr>
          <w:rFonts w:ascii="ITC Avant Garde" w:hAnsi="ITC Avant Garde"/>
        </w:rPr>
        <w:t>,</w:t>
      </w:r>
      <w:r w:rsidRPr="00724A07">
        <w:rPr>
          <w:rFonts w:ascii="ITC Avant Garde" w:hAnsi="ITC Avant Garde"/>
        </w:rPr>
        <w:t xml:space="preserve"> </w:t>
      </w:r>
      <w:r w:rsidR="00384CFB" w:rsidRPr="00724A07">
        <w:rPr>
          <w:rFonts w:ascii="ITC Avant Garde" w:hAnsi="ITC Avant Garde"/>
        </w:rPr>
        <w:t xml:space="preserve">respecto a que el Anteproyecto de Guía debería </w:t>
      </w:r>
      <w:r w:rsidR="00F314F9" w:rsidRPr="00724A07">
        <w:rPr>
          <w:rFonts w:ascii="ITC Avant Garde" w:hAnsi="ITC Avant Garde"/>
        </w:rPr>
        <w:t>precisar un período razonable en el que puede ocurrir la sustitución por el lado de la oferta</w:t>
      </w:r>
      <w:r w:rsidR="001D0959" w:rsidRPr="00724A07">
        <w:rPr>
          <w:rFonts w:ascii="ITC Avant Garde" w:hAnsi="ITC Avant Garde"/>
        </w:rPr>
        <w:t>,</w:t>
      </w:r>
      <w:r w:rsidR="00F314F9" w:rsidRPr="00724A07">
        <w:rPr>
          <w:rFonts w:ascii="ITC Avant Garde" w:hAnsi="ITC Avant Garde"/>
        </w:rPr>
        <w:t xml:space="preserve"> se considera procedente. Lo anterior</w:t>
      </w:r>
      <w:r w:rsidR="00F05FC5" w:rsidRPr="00724A07">
        <w:rPr>
          <w:rFonts w:ascii="ITC Avant Garde" w:hAnsi="ITC Avant Garde"/>
        </w:rPr>
        <w:t>,</w:t>
      </w:r>
      <w:r w:rsidR="00F314F9" w:rsidRPr="00724A07">
        <w:rPr>
          <w:rFonts w:ascii="ITC Avant Garde" w:hAnsi="ITC Avant Garde"/>
        </w:rPr>
        <w:t xml:space="preserve"> ya que puede contribuir a </w:t>
      </w:r>
      <w:r w:rsidR="001D0959" w:rsidRPr="00724A07">
        <w:rPr>
          <w:rFonts w:ascii="ITC Avant Garde" w:hAnsi="ITC Avant Garde"/>
        </w:rPr>
        <w:t xml:space="preserve">dar mayor </w:t>
      </w:r>
      <w:r w:rsidR="00F314F9" w:rsidRPr="00724A07">
        <w:rPr>
          <w:rFonts w:ascii="ITC Avant Garde" w:hAnsi="ITC Avant Garde"/>
        </w:rPr>
        <w:t xml:space="preserve">claridad y certeza jurídica </w:t>
      </w:r>
      <w:r w:rsidR="001D0959" w:rsidRPr="00724A07">
        <w:rPr>
          <w:rFonts w:ascii="ITC Avant Garde" w:hAnsi="ITC Avant Garde"/>
        </w:rPr>
        <w:t xml:space="preserve">a los agentes económicos sobre </w:t>
      </w:r>
      <w:r w:rsidR="00F314F9" w:rsidRPr="00724A07">
        <w:rPr>
          <w:rFonts w:ascii="ITC Avant Garde" w:hAnsi="ITC Avant Garde"/>
        </w:rPr>
        <w:t xml:space="preserve">el Anteproyecto de Guía. </w:t>
      </w:r>
    </w:p>
    <w:p w14:paraId="0B97AF8B" w14:textId="3CBE2B22" w:rsidR="00384CFB" w:rsidRPr="00724A07" w:rsidRDefault="00384CFB" w:rsidP="00B722BE">
      <w:pPr>
        <w:spacing w:after="120" w:line="240" w:lineRule="auto"/>
        <w:jc w:val="both"/>
        <w:rPr>
          <w:rFonts w:ascii="ITC Avant Garde" w:hAnsi="ITC Avant Garde"/>
        </w:rPr>
      </w:pPr>
      <w:r w:rsidRPr="00724A07">
        <w:rPr>
          <w:rFonts w:ascii="ITC Avant Garde" w:hAnsi="ITC Avant Garde"/>
        </w:rPr>
        <w:t xml:space="preserve">En segundo lugar, respecto al comentario de la COFECE </w:t>
      </w:r>
      <w:r w:rsidR="00F314F9" w:rsidRPr="00724A07">
        <w:rPr>
          <w:rFonts w:ascii="ITC Avant Garde" w:hAnsi="ITC Avant Garde"/>
        </w:rPr>
        <w:t>referente</w:t>
      </w:r>
      <w:r w:rsidRPr="00724A07">
        <w:rPr>
          <w:rFonts w:ascii="ITC Avant Garde" w:hAnsi="ITC Avant Garde"/>
        </w:rPr>
        <w:t xml:space="preserve"> a incorporar la definición de la elasticidad precio de la oferta</w:t>
      </w:r>
      <w:r w:rsidR="001D0959" w:rsidRPr="00724A07">
        <w:rPr>
          <w:rFonts w:ascii="ITC Avant Garde" w:hAnsi="ITC Avant Garde"/>
        </w:rPr>
        <w:t>,</w:t>
      </w:r>
      <w:r w:rsidRPr="00724A07">
        <w:rPr>
          <w:rFonts w:ascii="ITC Avant Garde" w:hAnsi="ITC Avant Garde"/>
        </w:rPr>
        <w:t xml:space="preserve"> se considera improcedente</w:t>
      </w:r>
      <w:r w:rsidR="00F314F9" w:rsidRPr="00724A07">
        <w:rPr>
          <w:rFonts w:ascii="ITC Avant Garde" w:hAnsi="ITC Avant Garde"/>
        </w:rPr>
        <w:t>. Lo anterior,</w:t>
      </w:r>
      <w:r w:rsidRPr="00724A07">
        <w:rPr>
          <w:rFonts w:ascii="ITC Avant Garde" w:hAnsi="ITC Avant Garde"/>
        </w:rPr>
        <w:t xml:space="preserve"> en virtud de que no </w:t>
      </w:r>
      <w:r w:rsidR="00F314F9" w:rsidRPr="00724A07">
        <w:rPr>
          <w:rFonts w:ascii="ITC Avant Garde" w:hAnsi="ITC Avant Garde"/>
        </w:rPr>
        <w:t xml:space="preserve">es común que en el contexto del análisis para delimitar el mercado relevante se haga </w:t>
      </w:r>
      <w:r w:rsidRPr="00724A07">
        <w:rPr>
          <w:rFonts w:ascii="ITC Avant Garde" w:hAnsi="ITC Avant Garde"/>
        </w:rPr>
        <w:t>uso de</w:t>
      </w:r>
      <w:r w:rsidR="00F314F9" w:rsidRPr="00724A07">
        <w:rPr>
          <w:rFonts w:ascii="ITC Avant Garde" w:hAnsi="ITC Avant Garde"/>
        </w:rPr>
        <w:t>l concepto de la elasticidad de la oferta</w:t>
      </w:r>
      <w:r w:rsidRPr="00724A07">
        <w:rPr>
          <w:rFonts w:ascii="ITC Avant Garde" w:hAnsi="ITC Avant Garde"/>
        </w:rPr>
        <w:t xml:space="preserve">. </w:t>
      </w:r>
      <w:r w:rsidR="00711101">
        <w:rPr>
          <w:rFonts w:ascii="ITC Avant Garde" w:hAnsi="ITC Avant Garde"/>
        </w:rPr>
        <w:t>De conformidad con</w:t>
      </w:r>
      <w:r w:rsidR="00F314F9" w:rsidRPr="00724A07">
        <w:rPr>
          <w:rFonts w:ascii="ITC Avant Garde" w:hAnsi="ITC Avant Garde"/>
        </w:rPr>
        <w:t xml:space="preserve"> la experiencia internacional</w:t>
      </w:r>
      <w:r w:rsidR="00880368">
        <w:rPr>
          <w:rFonts w:ascii="ITC Avant Garde" w:hAnsi="ITC Avant Garde"/>
        </w:rPr>
        <w:t>,</w:t>
      </w:r>
      <w:r w:rsidR="00F314F9" w:rsidRPr="00724A07">
        <w:rPr>
          <w:rFonts w:ascii="ITC Avant Garde" w:hAnsi="ITC Avant Garde"/>
        </w:rPr>
        <w:t xml:space="preserve"> </w:t>
      </w:r>
      <w:r w:rsidRPr="00724A07">
        <w:rPr>
          <w:rFonts w:ascii="ITC Avant Garde" w:hAnsi="ITC Avant Garde"/>
        </w:rPr>
        <w:t xml:space="preserve">se hace referencia a los conceptos de elasticidad precio propio y cruzado </w:t>
      </w:r>
      <w:r w:rsidRPr="00724A07">
        <w:rPr>
          <w:rFonts w:ascii="ITC Avant Garde" w:hAnsi="ITC Avant Garde"/>
          <w:u w:val="single"/>
        </w:rPr>
        <w:t>de la demanda</w:t>
      </w:r>
      <w:r w:rsidR="00F314F9" w:rsidRPr="00724A07">
        <w:rPr>
          <w:rFonts w:ascii="ITC Avant Garde" w:hAnsi="ITC Avant Garde"/>
          <w:u w:val="single"/>
        </w:rPr>
        <w:t xml:space="preserve"> como herramientas útiles para determinar el mercado relevante</w:t>
      </w:r>
      <w:r w:rsidRPr="00724A07">
        <w:rPr>
          <w:rFonts w:ascii="ITC Avant Garde" w:hAnsi="ITC Avant Garde"/>
        </w:rPr>
        <w:t>.</w:t>
      </w:r>
      <w:r w:rsidR="00F314F9" w:rsidRPr="00724A07">
        <w:rPr>
          <w:rFonts w:ascii="ITC Avant Garde" w:hAnsi="ITC Avant Garde"/>
        </w:rPr>
        <w:t xml:space="preserve"> No obstante, se hace notar que el Anteproyecto de Guía establece diversos criterios para determinar la sustitución por el lado de la oferta que guardan consistencia con la teoría económica, la práctica internacional y los precedentes decisorios del Pleno y del PJF. </w:t>
      </w:r>
    </w:p>
    <w:p w14:paraId="2B629F40" w14:textId="2125697A" w:rsidR="00D72A94" w:rsidRDefault="00F314F9" w:rsidP="005A709F">
      <w:pPr>
        <w:spacing w:after="120" w:line="240" w:lineRule="auto"/>
        <w:jc w:val="both"/>
        <w:rPr>
          <w:rFonts w:ascii="ITC Avant Garde" w:hAnsi="ITC Avant Garde"/>
        </w:rPr>
      </w:pPr>
      <w:r w:rsidRPr="00724A07">
        <w:rPr>
          <w:rFonts w:ascii="ITC Avant Garde" w:hAnsi="ITC Avant Garde"/>
        </w:rPr>
        <w:t>En tercer lugar, respecto al comentario de la COFECE</w:t>
      </w:r>
      <w:r w:rsidR="00670D0A" w:rsidRPr="00724A07">
        <w:rPr>
          <w:rFonts w:ascii="ITC Avant Garde" w:hAnsi="ITC Avant Garde"/>
        </w:rPr>
        <w:t>,</w:t>
      </w:r>
      <w:r w:rsidRPr="00724A07">
        <w:rPr>
          <w:rFonts w:ascii="ITC Avant Garde" w:hAnsi="ITC Avant Garde"/>
        </w:rPr>
        <w:t xml:space="preserve"> referente a </w:t>
      </w:r>
      <w:r w:rsidR="00DC52C5" w:rsidRPr="00724A07">
        <w:rPr>
          <w:rFonts w:ascii="ITC Avant Garde" w:hAnsi="ITC Avant Garde"/>
        </w:rPr>
        <w:t>aclarar</w:t>
      </w:r>
      <w:r w:rsidRPr="00724A07">
        <w:rPr>
          <w:rFonts w:ascii="ITC Avant Garde" w:hAnsi="ITC Avant Garde"/>
        </w:rPr>
        <w:t xml:space="preserve"> cómo y en qué momentos </w:t>
      </w:r>
      <w:r w:rsidR="00DC52C5" w:rsidRPr="00724A07">
        <w:rPr>
          <w:rFonts w:ascii="ITC Avant Garde" w:hAnsi="ITC Avant Garde"/>
        </w:rPr>
        <w:t>se incorporará al análisis</w:t>
      </w:r>
      <w:r w:rsidRPr="00724A07">
        <w:rPr>
          <w:rFonts w:ascii="ITC Avant Garde" w:hAnsi="ITC Avant Garde"/>
        </w:rPr>
        <w:t xml:space="preserve"> la competencia potencial, </w:t>
      </w:r>
      <w:r w:rsidR="00DC52C5" w:rsidRPr="00724A07">
        <w:rPr>
          <w:rFonts w:ascii="ITC Avant Garde" w:hAnsi="ITC Avant Garde"/>
        </w:rPr>
        <w:t xml:space="preserve">se considera </w:t>
      </w:r>
      <w:r w:rsidR="005A709F">
        <w:rPr>
          <w:rFonts w:ascii="ITC Avant Garde" w:hAnsi="ITC Avant Garde"/>
        </w:rPr>
        <w:t>im</w:t>
      </w:r>
      <w:r w:rsidR="00DC52C5" w:rsidRPr="00724A07">
        <w:rPr>
          <w:rFonts w:ascii="ITC Avant Garde" w:hAnsi="ITC Avant Garde"/>
        </w:rPr>
        <w:t>procedente. Lo anterior</w:t>
      </w:r>
      <w:r w:rsidR="00694B5C" w:rsidRPr="00724A07">
        <w:rPr>
          <w:rFonts w:ascii="ITC Avant Garde" w:hAnsi="ITC Avant Garde"/>
        </w:rPr>
        <w:t>,</w:t>
      </w:r>
      <w:r w:rsidR="00DC52C5" w:rsidRPr="00724A07">
        <w:rPr>
          <w:rFonts w:ascii="ITC Avant Garde" w:hAnsi="ITC Avant Garde"/>
        </w:rPr>
        <w:t xml:space="preserve"> ya que </w:t>
      </w:r>
      <w:r w:rsidR="005A709F">
        <w:rPr>
          <w:rFonts w:ascii="ITC Avant Garde" w:hAnsi="ITC Avant Garde"/>
        </w:rPr>
        <w:t>el Anteproyecto</w:t>
      </w:r>
      <w:r w:rsidR="00663CFD">
        <w:rPr>
          <w:rFonts w:ascii="ITC Avant Garde" w:hAnsi="ITC Avant Garde"/>
        </w:rPr>
        <w:t xml:space="preserve"> de Guía</w:t>
      </w:r>
      <w:r w:rsidR="005A709F">
        <w:rPr>
          <w:rFonts w:ascii="ITC Avant Garde" w:hAnsi="ITC Avant Garde"/>
        </w:rPr>
        <w:t xml:space="preserve"> señala que “[c]</w:t>
      </w:r>
      <w:proofErr w:type="spellStart"/>
      <w:r w:rsidR="005A709F" w:rsidRPr="0084042B">
        <w:rPr>
          <w:rFonts w:ascii="ITC Avant Garde" w:hAnsi="ITC Avant Garde"/>
          <w:i/>
          <w:iCs/>
        </w:rPr>
        <w:t>uando</w:t>
      </w:r>
      <w:proofErr w:type="spellEnd"/>
      <w:r w:rsidR="005A709F" w:rsidRPr="0084042B">
        <w:rPr>
          <w:rFonts w:ascii="ITC Avant Garde" w:hAnsi="ITC Avant Garde"/>
          <w:i/>
          <w:iCs/>
        </w:rPr>
        <w:t xml:space="preserve"> se identifique la existencia de competencia potencial, su evaluación no se considerará en la etapa de determinación del MR sino, en caso necesario, podrá llevarse a cabo al analizar la existencia de poder sustancial de mercado o en la evaluación de condiciones de competencia o competencia efectiva</w:t>
      </w:r>
      <w:r w:rsidR="005A709F" w:rsidRPr="0084042B">
        <w:rPr>
          <w:rFonts w:ascii="ITC Avant Garde" w:hAnsi="ITC Avant Garde"/>
        </w:rPr>
        <w:t>”</w:t>
      </w:r>
      <w:r w:rsidR="005A709F">
        <w:rPr>
          <w:rFonts w:ascii="ITC Avant Garde" w:hAnsi="ITC Avant Garde"/>
        </w:rPr>
        <w:t xml:space="preserve">. </w:t>
      </w:r>
      <w:r w:rsidR="005A709F" w:rsidRPr="005A709F">
        <w:rPr>
          <w:rFonts w:ascii="ITC Avant Garde" w:hAnsi="ITC Avant Garde"/>
        </w:rPr>
        <w:t xml:space="preserve">No obstante, a efecto de dotar de mayor claridad a lo previsto en el Anteproyecto de Guía se considera procedente modificar </w:t>
      </w:r>
      <w:r w:rsidR="00B722BE" w:rsidRPr="00724A07">
        <w:rPr>
          <w:rFonts w:ascii="ITC Avant Garde" w:hAnsi="ITC Avant Garde"/>
        </w:rPr>
        <w:t>la sección “</w:t>
      </w:r>
      <w:r w:rsidR="00B722BE" w:rsidRPr="00724A07">
        <w:rPr>
          <w:rFonts w:ascii="ITC Avant Garde" w:hAnsi="ITC Avant Garde"/>
          <w:i/>
          <w:iCs/>
        </w:rPr>
        <w:t>3.1.</w:t>
      </w:r>
      <w:r w:rsidR="00C469C4" w:rsidRPr="00724A07">
        <w:rPr>
          <w:rFonts w:ascii="ITC Avant Garde" w:hAnsi="ITC Avant Garde"/>
          <w:i/>
          <w:iCs/>
        </w:rPr>
        <w:t xml:space="preserve"> </w:t>
      </w:r>
      <w:r w:rsidR="00B722BE" w:rsidRPr="00724A07">
        <w:rPr>
          <w:rFonts w:ascii="ITC Avant Garde" w:hAnsi="ITC Avant Garde"/>
          <w:i/>
          <w:iCs/>
        </w:rPr>
        <w:t>Enfoque del análisis de sustitución</w:t>
      </w:r>
      <w:r w:rsidR="00B722BE"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D72A94" w:rsidRPr="00724A07" w14:paraId="7B1F3992" w14:textId="77777777" w:rsidTr="00D2512E">
        <w:trPr>
          <w:jc w:val="center"/>
        </w:trPr>
        <w:tc>
          <w:tcPr>
            <w:tcW w:w="4830" w:type="dxa"/>
            <w:shd w:val="clear" w:color="auto" w:fill="92D050"/>
            <w:vAlign w:val="center"/>
          </w:tcPr>
          <w:p w14:paraId="018432F8" w14:textId="77777777" w:rsidR="00D72A94" w:rsidRPr="00724A07" w:rsidRDefault="00D72A94"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47A409F8" w14:textId="77777777" w:rsidR="00D72A94" w:rsidRPr="00724A07" w:rsidRDefault="00D72A94" w:rsidP="00711101">
            <w:pPr>
              <w:keepNext/>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D72A94" w:rsidRPr="00724A07" w14:paraId="64C9A596" w14:textId="77777777" w:rsidTr="00D2512E">
        <w:trPr>
          <w:trHeight w:val="6227"/>
          <w:jc w:val="center"/>
        </w:trPr>
        <w:tc>
          <w:tcPr>
            <w:tcW w:w="4830" w:type="dxa"/>
            <w:shd w:val="clear" w:color="auto" w:fill="auto"/>
          </w:tcPr>
          <w:p w14:paraId="31AE3B84" w14:textId="05FB366B" w:rsidR="00B722BE" w:rsidRPr="00724A07" w:rsidRDefault="00B722BE" w:rsidP="00B722BE">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3.1.</w:t>
            </w:r>
            <w:r w:rsidRPr="00724A07">
              <w:rPr>
                <w:rFonts w:ascii="ITC Avant Garde" w:hAnsi="ITC Avant Garde" w:cs="Arial"/>
                <w:b/>
                <w:bCs/>
                <w:sz w:val="18"/>
                <w:szCs w:val="18"/>
              </w:rPr>
              <w:tab/>
              <w:t>Enfoque del análisis de sustitución</w:t>
            </w:r>
            <w:r w:rsidR="009B41A9">
              <w:rPr>
                <w:rFonts w:ascii="ITC Avant Garde" w:hAnsi="ITC Avant Garde" w:cs="Arial"/>
                <w:b/>
                <w:bCs/>
                <w:sz w:val="18"/>
                <w:szCs w:val="18"/>
              </w:rPr>
              <w:t xml:space="preserve"> (párrafo</w:t>
            </w:r>
            <w:r w:rsidR="005C2DE9">
              <w:rPr>
                <w:rFonts w:ascii="ITC Avant Garde" w:hAnsi="ITC Avant Garde" w:cs="Arial"/>
                <w:b/>
                <w:bCs/>
                <w:sz w:val="18"/>
                <w:szCs w:val="18"/>
              </w:rPr>
              <w:t>s</w:t>
            </w:r>
            <w:r w:rsidR="009B41A9">
              <w:rPr>
                <w:rFonts w:ascii="ITC Avant Garde" w:hAnsi="ITC Avant Garde" w:cs="Arial"/>
                <w:b/>
                <w:bCs/>
                <w:sz w:val="18"/>
                <w:szCs w:val="18"/>
              </w:rPr>
              <w:t xml:space="preserve"> </w:t>
            </w:r>
            <w:r w:rsidR="001B4B75">
              <w:rPr>
                <w:rFonts w:ascii="ITC Avant Garde" w:hAnsi="ITC Avant Garde" w:cs="Arial"/>
                <w:b/>
                <w:bCs/>
                <w:sz w:val="18"/>
                <w:szCs w:val="18"/>
              </w:rPr>
              <w:t>segundo y tercero</w:t>
            </w:r>
            <w:r w:rsidR="009B41A9">
              <w:rPr>
                <w:rFonts w:ascii="ITC Avant Garde" w:hAnsi="ITC Avant Garde" w:cs="Arial"/>
                <w:b/>
                <w:bCs/>
                <w:sz w:val="18"/>
                <w:szCs w:val="18"/>
              </w:rPr>
              <w:t>)</w:t>
            </w:r>
          </w:p>
          <w:p w14:paraId="4D718C52" w14:textId="77777777" w:rsidR="00B722BE" w:rsidRPr="00724A07" w:rsidRDefault="00B722BE" w:rsidP="00B722BE">
            <w:pPr>
              <w:spacing w:after="0" w:line="240" w:lineRule="auto"/>
              <w:jc w:val="both"/>
              <w:rPr>
                <w:rFonts w:ascii="ITC Avant Garde" w:hAnsi="ITC Avant Garde" w:cs="Arial"/>
                <w:sz w:val="18"/>
                <w:szCs w:val="18"/>
              </w:rPr>
            </w:pPr>
            <w:r w:rsidRPr="00724A07">
              <w:rPr>
                <w:rFonts w:ascii="ITC Avant Garde" w:hAnsi="ITC Avant Garde" w:cs="Arial"/>
                <w:sz w:val="18"/>
                <w:szCs w:val="18"/>
              </w:rPr>
              <w:t>En cuanto a la sustitución por el lado de la oferta, se considerará que esta debe ser inmediata y sin incurrir en costos apreciables, de tal manera que pueda restringir el comportamiento de los competidores y tener efectos equivalentes a los de la sustitución por el lado de la demanda, en términos de eficacia y respuesta inmediata.</w:t>
            </w:r>
          </w:p>
          <w:p w14:paraId="1820FE22" w14:textId="77777777" w:rsidR="00B722BE" w:rsidRPr="00724A07" w:rsidRDefault="00B722BE" w:rsidP="00B722BE">
            <w:pPr>
              <w:spacing w:after="0" w:line="240" w:lineRule="auto"/>
              <w:jc w:val="both"/>
              <w:rPr>
                <w:rFonts w:ascii="ITC Avant Garde" w:hAnsi="ITC Avant Garde" w:cs="Arial"/>
                <w:sz w:val="18"/>
                <w:szCs w:val="18"/>
              </w:rPr>
            </w:pPr>
          </w:p>
          <w:p w14:paraId="62E3444D" w14:textId="44C217BF" w:rsidR="00D72A94" w:rsidRPr="00724A07" w:rsidRDefault="00B722BE" w:rsidP="00B722BE">
            <w:pPr>
              <w:spacing w:after="0" w:line="240" w:lineRule="auto"/>
              <w:jc w:val="both"/>
              <w:rPr>
                <w:rFonts w:ascii="ITC Avant Garde" w:hAnsi="ITC Avant Garde" w:cs="Arial"/>
                <w:sz w:val="18"/>
                <w:szCs w:val="18"/>
              </w:rPr>
            </w:pPr>
            <w:r w:rsidRPr="00724A07">
              <w:rPr>
                <w:rFonts w:ascii="ITC Avant Garde" w:hAnsi="ITC Avant Garde" w:cs="Arial"/>
                <w:sz w:val="18"/>
                <w:szCs w:val="18"/>
              </w:rPr>
              <w:t>Cuando se identifique la existencia de competencia potencial, su evaluación no se considerará en la etapa de determinación del MR sino, en caso necesario, podrá llevarse a cabo al analizar la existencia de poder sustancial de mercado o en la evaluación de condiciones de competencia o competencia efectiva.</w:t>
            </w:r>
          </w:p>
        </w:tc>
        <w:tc>
          <w:tcPr>
            <w:tcW w:w="4830" w:type="dxa"/>
            <w:shd w:val="clear" w:color="auto" w:fill="auto"/>
          </w:tcPr>
          <w:p w14:paraId="52968862" w14:textId="37B6B683" w:rsidR="00B722BE" w:rsidRPr="00724A07" w:rsidRDefault="00B722BE" w:rsidP="00711101">
            <w:pPr>
              <w:keepNext/>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3.1.</w:t>
            </w:r>
            <w:r w:rsidRPr="00724A07">
              <w:rPr>
                <w:rFonts w:ascii="ITC Avant Garde" w:hAnsi="ITC Avant Garde" w:cs="Arial"/>
                <w:b/>
                <w:bCs/>
                <w:sz w:val="18"/>
                <w:szCs w:val="18"/>
              </w:rPr>
              <w:tab/>
              <w:t>Enfoque del análisis de sustitución</w:t>
            </w:r>
            <w:r w:rsidR="009B41A9">
              <w:rPr>
                <w:rFonts w:ascii="ITC Avant Garde" w:hAnsi="ITC Avant Garde" w:cs="Arial"/>
                <w:b/>
                <w:bCs/>
                <w:sz w:val="18"/>
                <w:szCs w:val="18"/>
              </w:rPr>
              <w:t xml:space="preserve"> (párrafo</w:t>
            </w:r>
            <w:r w:rsidR="005C2DE9">
              <w:rPr>
                <w:rFonts w:ascii="ITC Avant Garde" w:hAnsi="ITC Avant Garde" w:cs="Arial"/>
                <w:b/>
                <w:bCs/>
                <w:sz w:val="18"/>
                <w:szCs w:val="18"/>
              </w:rPr>
              <w:t>s</w:t>
            </w:r>
            <w:r w:rsidR="009B41A9">
              <w:rPr>
                <w:rFonts w:ascii="ITC Avant Garde" w:hAnsi="ITC Avant Garde" w:cs="Arial"/>
                <w:b/>
                <w:bCs/>
                <w:sz w:val="18"/>
                <w:szCs w:val="18"/>
              </w:rPr>
              <w:t xml:space="preserve"> </w:t>
            </w:r>
            <w:r w:rsidR="001B4B75">
              <w:rPr>
                <w:rFonts w:ascii="ITC Avant Garde" w:hAnsi="ITC Avant Garde" w:cs="Arial"/>
                <w:b/>
                <w:bCs/>
                <w:sz w:val="18"/>
                <w:szCs w:val="18"/>
              </w:rPr>
              <w:t>segundo y tercero</w:t>
            </w:r>
            <w:r w:rsidR="009B41A9">
              <w:rPr>
                <w:rFonts w:ascii="ITC Avant Garde" w:hAnsi="ITC Avant Garde" w:cs="Arial"/>
                <w:b/>
                <w:bCs/>
                <w:sz w:val="18"/>
                <w:szCs w:val="18"/>
              </w:rPr>
              <w:t>)</w:t>
            </w:r>
          </w:p>
          <w:p w14:paraId="44E88A72" w14:textId="50D13756" w:rsidR="00B722BE" w:rsidRPr="00724A07" w:rsidRDefault="00B722BE" w:rsidP="00711101">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En cuanto a la sustitución por el lado de la oferta, se considerará que esta debe ser inmediata</w:t>
            </w:r>
            <w:r w:rsidR="00384CFB" w:rsidRPr="00724A07">
              <w:rPr>
                <w:rFonts w:ascii="ITC Avant Garde" w:hAnsi="ITC Avant Garde" w:cs="Arial"/>
                <w:sz w:val="18"/>
                <w:szCs w:val="18"/>
              </w:rPr>
              <w:t xml:space="preserve"> </w:t>
            </w:r>
            <w:r w:rsidR="00384CFB" w:rsidRPr="00724A07">
              <w:rPr>
                <w:rFonts w:ascii="ITC Avant Garde" w:hAnsi="ITC Avant Garde" w:cs="Arial"/>
                <w:sz w:val="18"/>
                <w:szCs w:val="18"/>
                <w:u w:val="single"/>
              </w:rPr>
              <w:t>(</w:t>
            </w:r>
            <w:r w:rsidR="00B9086E" w:rsidRPr="00724A07">
              <w:rPr>
                <w:rFonts w:ascii="ITC Avant Garde" w:hAnsi="ITC Avant Garde" w:cs="Arial"/>
                <w:sz w:val="18"/>
                <w:szCs w:val="18"/>
                <w:u w:val="single"/>
              </w:rPr>
              <w:t xml:space="preserve">p.ej. </w:t>
            </w:r>
            <w:r w:rsidR="00384CFB" w:rsidRPr="00724A07">
              <w:rPr>
                <w:rFonts w:ascii="ITC Avant Garde" w:hAnsi="ITC Avant Garde" w:cs="Arial"/>
                <w:sz w:val="18"/>
                <w:szCs w:val="18"/>
                <w:u w:val="single"/>
              </w:rPr>
              <w:t>menos de un año</w:t>
            </w:r>
            <w:r w:rsidR="00384CFB" w:rsidRPr="00724A07">
              <w:rPr>
                <w:rFonts w:ascii="ITC Avant Garde" w:hAnsi="ITC Avant Garde" w:cs="Arial"/>
                <w:sz w:val="18"/>
                <w:szCs w:val="18"/>
              </w:rPr>
              <w:t>)</w:t>
            </w:r>
            <w:r w:rsidR="003A3D6E" w:rsidRPr="00724A07">
              <w:rPr>
                <w:rFonts w:ascii="ITC Avant Garde" w:hAnsi="ITC Avant Garde" w:cs="Arial"/>
                <w:sz w:val="18"/>
                <w:szCs w:val="18"/>
              </w:rPr>
              <w:t xml:space="preserve"> </w:t>
            </w:r>
            <w:r w:rsidRPr="00724A07">
              <w:rPr>
                <w:rFonts w:ascii="ITC Avant Garde" w:hAnsi="ITC Avant Garde" w:cs="Arial"/>
                <w:sz w:val="18"/>
                <w:szCs w:val="18"/>
              </w:rPr>
              <w:t xml:space="preserve">y sin incurrir en </w:t>
            </w:r>
            <w:r w:rsidRPr="00AB4864">
              <w:rPr>
                <w:rFonts w:ascii="ITC Avant Garde" w:hAnsi="ITC Avant Garde" w:cs="Arial"/>
                <w:sz w:val="18"/>
                <w:szCs w:val="18"/>
              </w:rPr>
              <w:t>costos</w:t>
            </w:r>
            <w:r w:rsidR="00D968ED" w:rsidRPr="00B02F32">
              <w:rPr>
                <w:rFonts w:ascii="ITC Avant Garde" w:hAnsi="ITC Avant Garde" w:cs="Arial"/>
                <w:sz w:val="18"/>
                <w:szCs w:val="18"/>
              </w:rPr>
              <w:t xml:space="preserve"> apreciables</w:t>
            </w:r>
            <w:r w:rsidRPr="00724A07">
              <w:rPr>
                <w:rFonts w:ascii="ITC Avant Garde" w:hAnsi="ITC Avant Garde" w:cs="Arial"/>
                <w:sz w:val="18"/>
                <w:szCs w:val="18"/>
              </w:rPr>
              <w:t>, de tal manera que pueda restringir el comportamiento de los competidores y tener efectos equivalentes a los de la sustitución por el lado de la demanda, en términos de eficacia y respuesta inmediata.</w:t>
            </w:r>
          </w:p>
          <w:p w14:paraId="28141D3E" w14:textId="77777777" w:rsidR="00B722BE" w:rsidRPr="00724A07" w:rsidRDefault="00B722BE" w:rsidP="00711101">
            <w:pPr>
              <w:keepNext/>
              <w:spacing w:after="0" w:line="240" w:lineRule="auto"/>
              <w:jc w:val="both"/>
              <w:rPr>
                <w:rFonts w:ascii="ITC Avant Garde" w:hAnsi="ITC Avant Garde" w:cs="Arial"/>
                <w:sz w:val="18"/>
                <w:szCs w:val="18"/>
              </w:rPr>
            </w:pPr>
          </w:p>
          <w:p w14:paraId="43C02FCA" w14:textId="6FE97BC3" w:rsidR="00D72A94" w:rsidRPr="00724A07" w:rsidRDefault="00B722BE" w:rsidP="00711101">
            <w:pPr>
              <w:keepNext/>
              <w:spacing w:after="0" w:line="240" w:lineRule="auto"/>
              <w:jc w:val="both"/>
              <w:rPr>
                <w:rFonts w:ascii="ITC Avant Garde" w:hAnsi="ITC Avant Garde" w:cs="Arial"/>
                <w:sz w:val="18"/>
                <w:szCs w:val="18"/>
                <w:vertAlign w:val="superscript"/>
              </w:rPr>
            </w:pPr>
            <w:r w:rsidRPr="00724A07">
              <w:rPr>
                <w:rFonts w:ascii="ITC Avant Garde" w:hAnsi="ITC Avant Garde" w:cs="Arial"/>
                <w:sz w:val="18"/>
                <w:szCs w:val="18"/>
              </w:rPr>
              <w:t>Cuando se identifique la existencia de competencia potencial, su evaluación no se considerará en la etapa de determinación del MR sino, en caso necesario, podrá llevarse a cabo al analizar la existencia de poder sustancial de mercado o en la evaluación de condiciones de competencia o competencia efectiva.</w:t>
            </w:r>
            <w:r w:rsidR="008943F0" w:rsidRPr="00724A07">
              <w:rPr>
                <w:rFonts w:ascii="ITC Avant Garde" w:hAnsi="ITC Avant Garde" w:cs="Arial"/>
                <w:sz w:val="18"/>
                <w:szCs w:val="18"/>
                <w:vertAlign w:val="superscript"/>
              </w:rPr>
              <w:t xml:space="preserve"> </w:t>
            </w:r>
            <w:r w:rsidR="008943F0" w:rsidRPr="00724A07">
              <w:rPr>
                <w:rFonts w:ascii="ITC Avant Garde" w:hAnsi="ITC Avant Garde" w:cs="Arial"/>
                <w:sz w:val="18"/>
                <w:szCs w:val="18"/>
                <w:u w:val="single"/>
                <w:vertAlign w:val="superscript"/>
              </w:rPr>
              <w:t xml:space="preserve">** </w:t>
            </w:r>
            <w:r w:rsidR="00953A7D" w:rsidRPr="00724A07">
              <w:rPr>
                <w:rFonts w:ascii="ITC Avant Garde" w:hAnsi="ITC Avant Garde" w:cs="Arial"/>
                <w:sz w:val="18"/>
                <w:szCs w:val="18"/>
                <w:u w:val="single"/>
                <w:vertAlign w:val="superscript"/>
              </w:rPr>
              <w:t>[</w:t>
            </w:r>
            <w:r w:rsidR="008943F0" w:rsidRPr="00724A07">
              <w:rPr>
                <w:rFonts w:ascii="ITC Avant Garde" w:hAnsi="ITC Avant Garde" w:cs="Arial"/>
                <w:sz w:val="18"/>
                <w:szCs w:val="18"/>
                <w:u w:val="single"/>
                <w:vertAlign w:val="superscript"/>
              </w:rPr>
              <w:t>Nueva nota al pie</w:t>
            </w:r>
            <w:r w:rsidR="00953A7D" w:rsidRPr="00724A07">
              <w:rPr>
                <w:rFonts w:ascii="ITC Avant Garde" w:hAnsi="ITC Avant Garde" w:cs="Arial"/>
                <w:sz w:val="18"/>
                <w:szCs w:val="18"/>
                <w:u w:val="single"/>
                <w:vertAlign w:val="superscript"/>
              </w:rPr>
              <w:t>]</w:t>
            </w:r>
          </w:p>
          <w:p w14:paraId="1B4D2E7F" w14:textId="77777777" w:rsidR="00846058" w:rsidRPr="00724A07" w:rsidRDefault="00846058" w:rsidP="00711101">
            <w:pPr>
              <w:keepNext/>
              <w:spacing w:after="0" w:line="240" w:lineRule="auto"/>
              <w:jc w:val="both"/>
              <w:rPr>
                <w:rFonts w:ascii="ITC Avant Garde" w:hAnsi="ITC Avant Garde" w:cs="Arial"/>
                <w:sz w:val="18"/>
                <w:szCs w:val="18"/>
                <w:u w:val="single"/>
              </w:rPr>
            </w:pPr>
          </w:p>
          <w:p w14:paraId="3B5C738C" w14:textId="0EFF1C1C" w:rsidR="00D72A94" w:rsidRPr="00724A07" w:rsidRDefault="00846058" w:rsidP="00711101">
            <w:pPr>
              <w:keepNext/>
              <w:spacing w:after="0" w:line="240" w:lineRule="auto"/>
              <w:jc w:val="both"/>
              <w:rPr>
                <w:rFonts w:ascii="ITC Avant Garde" w:hAnsi="ITC Avant Garde" w:cs="Arial"/>
                <w:sz w:val="18"/>
                <w:szCs w:val="18"/>
                <w:u w:val="single"/>
              </w:rPr>
            </w:pPr>
            <w:r w:rsidRPr="00724A07">
              <w:rPr>
                <w:rFonts w:ascii="ITC Avant Garde" w:hAnsi="ITC Avant Garde" w:cs="Arial"/>
                <w:sz w:val="18"/>
                <w:szCs w:val="18"/>
                <w:u w:val="single"/>
              </w:rPr>
              <w:t xml:space="preserve">** </w:t>
            </w:r>
            <w:r w:rsidR="00953A7D" w:rsidRPr="00724A07">
              <w:rPr>
                <w:rFonts w:ascii="ITC Avant Garde" w:hAnsi="ITC Avant Garde" w:cs="Arial"/>
                <w:sz w:val="18"/>
                <w:szCs w:val="18"/>
                <w:u w:val="single"/>
              </w:rPr>
              <w:t>[</w:t>
            </w:r>
            <w:r w:rsidRPr="00724A07">
              <w:rPr>
                <w:rFonts w:ascii="ITC Avant Garde" w:hAnsi="ITC Avant Garde" w:cs="Arial"/>
                <w:sz w:val="18"/>
                <w:szCs w:val="18"/>
                <w:u w:val="single"/>
              </w:rPr>
              <w:t>Nueva nota al pie</w:t>
            </w:r>
            <w:r w:rsidR="00953A7D" w:rsidRPr="00724A07">
              <w:rPr>
                <w:rFonts w:ascii="ITC Avant Garde" w:hAnsi="ITC Avant Garde" w:cs="Arial"/>
                <w:sz w:val="18"/>
                <w:szCs w:val="18"/>
                <w:u w:val="single"/>
              </w:rPr>
              <w:t>]</w:t>
            </w:r>
            <w:r w:rsidRPr="00724A07">
              <w:rPr>
                <w:rFonts w:ascii="ITC Avant Garde" w:hAnsi="ITC Avant Garde" w:cs="Arial"/>
                <w:sz w:val="18"/>
                <w:szCs w:val="18"/>
                <w:u w:val="single"/>
              </w:rPr>
              <w:t xml:space="preserve"> Esto es, la existencia de competencia potencial se tomará en </w:t>
            </w:r>
            <w:r w:rsidR="00953A7D" w:rsidRPr="00724A07">
              <w:rPr>
                <w:rFonts w:ascii="ITC Avant Garde" w:hAnsi="ITC Avant Garde" w:cs="Arial"/>
                <w:sz w:val="18"/>
                <w:szCs w:val="18"/>
                <w:u w:val="single"/>
              </w:rPr>
              <w:t>c</w:t>
            </w:r>
            <w:r w:rsidRPr="00724A07">
              <w:rPr>
                <w:rFonts w:ascii="ITC Avant Garde" w:hAnsi="ITC Avant Garde" w:cs="Arial"/>
                <w:sz w:val="18"/>
                <w:szCs w:val="18"/>
                <w:u w:val="single"/>
              </w:rPr>
              <w:t>uenta</w:t>
            </w:r>
            <w:r w:rsidR="00B9086E" w:rsidRPr="00724A07">
              <w:rPr>
                <w:rFonts w:ascii="ITC Avant Garde" w:hAnsi="ITC Avant Garde" w:cs="Arial"/>
                <w:sz w:val="18"/>
                <w:szCs w:val="18"/>
                <w:u w:val="single"/>
              </w:rPr>
              <w:t>, una vez definido el MR, al</w:t>
            </w:r>
            <w:r w:rsidRPr="00724A07">
              <w:rPr>
                <w:rFonts w:ascii="ITC Avant Garde" w:hAnsi="ITC Avant Garde" w:cs="Arial"/>
                <w:sz w:val="18"/>
                <w:szCs w:val="18"/>
                <w:u w:val="single"/>
              </w:rPr>
              <w:t xml:space="preserve"> anali</w:t>
            </w:r>
            <w:r w:rsidR="00B9086E" w:rsidRPr="00724A07">
              <w:rPr>
                <w:rFonts w:ascii="ITC Avant Garde" w:hAnsi="ITC Avant Garde" w:cs="Arial"/>
                <w:sz w:val="18"/>
                <w:szCs w:val="18"/>
                <w:u w:val="single"/>
              </w:rPr>
              <w:t>zar</w:t>
            </w:r>
            <w:r w:rsidRPr="00724A07">
              <w:rPr>
                <w:rFonts w:ascii="ITC Avant Garde" w:hAnsi="ITC Avant Garde" w:cs="Arial"/>
                <w:sz w:val="18"/>
                <w:szCs w:val="18"/>
                <w:u w:val="single"/>
              </w:rPr>
              <w:t xml:space="preserve"> </w:t>
            </w:r>
            <w:r w:rsidR="00953A7D" w:rsidRPr="00724A07">
              <w:rPr>
                <w:rFonts w:ascii="ITC Avant Garde" w:hAnsi="ITC Avant Garde" w:cs="Arial"/>
                <w:sz w:val="18"/>
                <w:szCs w:val="18"/>
                <w:u w:val="single"/>
              </w:rPr>
              <w:t xml:space="preserve">si uno o varios AE </w:t>
            </w:r>
            <w:r w:rsidR="005D48A3" w:rsidRPr="00724A07">
              <w:rPr>
                <w:rFonts w:ascii="ITC Avant Garde" w:hAnsi="ITC Avant Garde" w:cs="Arial"/>
                <w:sz w:val="18"/>
                <w:szCs w:val="18"/>
                <w:u w:val="single"/>
              </w:rPr>
              <w:t xml:space="preserve">en conjunto, </w:t>
            </w:r>
            <w:r w:rsidR="00953A7D" w:rsidRPr="00724A07">
              <w:rPr>
                <w:rFonts w:ascii="ITC Avant Garde" w:hAnsi="ITC Avant Garde" w:cs="Arial"/>
                <w:sz w:val="18"/>
                <w:szCs w:val="18"/>
                <w:u w:val="single"/>
              </w:rPr>
              <w:t xml:space="preserve">tienen poder sustancial, o bien, para resolver sobre condiciones de competencia, competencia efectiva, existencia de poder sustancial en el </w:t>
            </w:r>
            <w:r w:rsidR="004574FB">
              <w:rPr>
                <w:rFonts w:ascii="ITC Avant Garde" w:hAnsi="ITC Avant Garde" w:cs="Arial"/>
                <w:sz w:val="18"/>
                <w:szCs w:val="18"/>
                <w:u w:val="single"/>
              </w:rPr>
              <w:t>MR</w:t>
            </w:r>
            <w:r w:rsidR="00953A7D" w:rsidRPr="00724A07">
              <w:rPr>
                <w:rFonts w:ascii="ITC Avant Garde" w:hAnsi="ITC Avant Garde" w:cs="Arial"/>
                <w:sz w:val="18"/>
                <w:szCs w:val="18"/>
                <w:u w:val="single"/>
              </w:rPr>
              <w:t xml:space="preserve"> u otras cuestiones relativas al proceso de competencia o libre concurrencia conforme al artículo 59 de la LFCE.</w:t>
            </w:r>
          </w:p>
        </w:tc>
      </w:tr>
    </w:tbl>
    <w:p w14:paraId="33D5D5E9" w14:textId="77777777" w:rsidR="00D72A94" w:rsidRPr="00724A07" w:rsidRDefault="00D72A94" w:rsidP="00DD32EC">
      <w:pPr>
        <w:spacing w:after="120" w:line="240" w:lineRule="auto"/>
        <w:jc w:val="both"/>
        <w:rPr>
          <w:rFonts w:ascii="ITC Avant Garde" w:hAnsi="ITC Avant Garde"/>
          <w:b/>
          <w:bCs/>
        </w:rPr>
      </w:pPr>
    </w:p>
    <w:p w14:paraId="480B03B6" w14:textId="6A721C16" w:rsidR="00C46AB1" w:rsidRPr="00724A07" w:rsidRDefault="00C7449E" w:rsidP="00C46AB1">
      <w:pPr>
        <w:keepNext/>
        <w:spacing w:before="12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.5. Propuesta de elementos para determinar la dimensión producto</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5D7F1506" w14:textId="77777777" w:rsidTr="000F4D66">
        <w:trPr>
          <w:trHeight w:val="276"/>
          <w:jc w:val="center"/>
        </w:trPr>
        <w:tc>
          <w:tcPr>
            <w:tcW w:w="9785" w:type="dxa"/>
            <w:shd w:val="clear" w:color="auto" w:fill="92D050"/>
            <w:vAlign w:val="center"/>
          </w:tcPr>
          <w:p w14:paraId="1FAA25F6" w14:textId="66E5A56C" w:rsidR="00A165D0" w:rsidRPr="00724A07" w:rsidRDefault="00F0287A"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724A07" w14:paraId="617B5B7A" w14:textId="77777777" w:rsidTr="000F4D66">
        <w:trPr>
          <w:trHeight w:val="443"/>
          <w:jc w:val="center"/>
        </w:trPr>
        <w:tc>
          <w:tcPr>
            <w:tcW w:w="9785" w:type="dxa"/>
            <w:shd w:val="clear" w:color="auto" w:fill="E2EFD9" w:themeFill="accent6" w:themeFillTint="33"/>
            <w:vAlign w:val="center"/>
          </w:tcPr>
          <w:p w14:paraId="6F566C08" w14:textId="587318F3" w:rsidR="00A165D0" w:rsidRPr="00724A07" w:rsidRDefault="00C7449E" w:rsidP="00241C08">
            <w:pPr>
              <w:pStyle w:val="Default"/>
              <w:spacing w:before="120" w:after="120"/>
              <w:jc w:val="both"/>
              <w:rPr>
                <w:rFonts w:ascii="ITC Avant Garde" w:hAnsi="ITC Avant Garde"/>
                <w:i/>
                <w:sz w:val="18"/>
                <w:szCs w:val="18"/>
              </w:rPr>
            </w:pPr>
            <w:r w:rsidRPr="007C2396">
              <w:rPr>
                <w:rFonts w:ascii="ITC Avant Garde" w:hAnsi="ITC Avant Garde"/>
                <w:i/>
                <w:sz w:val="18"/>
                <w:szCs w:val="18"/>
              </w:rPr>
              <w:t>“</w:t>
            </w:r>
            <w:r w:rsidRPr="005E04E0">
              <w:rPr>
                <w:rFonts w:ascii="ITC Avant Garde" w:hAnsi="ITC Avant Garde"/>
                <w:iCs/>
                <w:sz w:val="18"/>
                <w:szCs w:val="18"/>
              </w:rPr>
              <w:t>(…)</w:t>
            </w:r>
            <w:r w:rsidRPr="007C2396">
              <w:rPr>
                <w:rFonts w:ascii="ITC Avant Garde" w:hAnsi="ITC Avant Garde"/>
                <w:i/>
                <w:sz w:val="18"/>
                <w:szCs w:val="18"/>
              </w:rPr>
              <w:t xml:space="preserve"> es importante que la guía establezca un criterio cuantitativo de lo que entiende por un “grupo suficientemente grande” de consumidores haciendo un cambio de producto para fines de la aplicación del SSNIP Test.”</w:t>
            </w:r>
          </w:p>
        </w:tc>
      </w:tr>
    </w:tbl>
    <w:p w14:paraId="787B341B" w14:textId="1A68A6FD" w:rsidR="00D244EF" w:rsidRPr="00724A07" w:rsidRDefault="00D244EF" w:rsidP="00D244EF">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169CF661" w14:textId="00123800" w:rsidR="00A165D0" w:rsidRPr="00724A07" w:rsidRDefault="00A165D0" w:rsidP="00BE5BFC">
      <w:pPr>
        <w:spacing w:after="12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al comentario d</w:t>
      </w:r>
      <w:r w:rsidR="00A23F38" w:rsidRPr="00724A07">
        <w:rPr>
          <w:rFonts w:ascii="ITC Avant Garde" w:hAnsi="ITC Avant Garde"/>
        </w:rPr>
        <w:t>e Telefónica</w:t>
      </w:r>
      <w:r w:rsidR="00670D0A" w:rsidRPr="00724A07">
        <w:rPr>
          <w:rFonts w:ascii="ITC Avant Garde" w:hAnsi="ITC Avant Garde"/>
        </w:rPr>
        <w:t>,</w:t>
      </w:r>
      <w:r w:rsidR="00A23F38" w:rsidRPr="00724A07">
        <w:rPr>
          <w:rFonts w:ascii="ITC Avant Garde" w:hAnsi="ITC Avant Garde"/>
        </w:rPr>
        <w:t xml:space="preserve"> respecto a</w:t>
      </w:r>
      <w:r w:rsidR="00D52562" w:rsidRPr="00724A07">
        <w:rPr>
          <w:rFonts w:ascii="ITC Avant Garde" w:hAnsi="ITC Avant Garde"/>
        </w:rPr>
        <w:t xml:space="preserve"> que, en el contexto de la </w:t>
      </w:r>
      <w:r w:rsidR="005935B2" w:rsidRPr="00724A07">
        <w:rPr>
          <w:rFonts w:ascii="ITC Avant Garde" w:hAnsi="ITC Avant Garde"/>
        </w:rPr>
        <w:t>P</w:t>
      </w:r>
      <w:r w:rsidR="00D52562" w:rsidRPr="00724A07">
        <w:rPr>
          <w:rFonts w:ascii="ITC Avant Garde" w:hAnsi="ITC Avant Garde"/>
        </w:rPr>
        <w:t>rueba SSNIP, el Anteproyecto de Guía debe establecer un criterio cuantitativo de lo que entiende por un “</w:t>
      </w:r>
      <w:r w:rsidR="00D52562" w:rsidRPr="00724A07">
        <w:rPr>
          <w:rFonts w:ascii="ITC Avant Garde" w:hAnsi="ITC Avant Garde"/>
          <w:i/>
          <w:iCs/>
        </w:rPr>
        <w:t>grupo suficientemente grande</w:t>
      </w:r>
      <w:r w:rsidR="00D52562" w:rsidRPr="00724A07">
        <w:rPr>
          <w:rFonts w:ascii="ITC Avant Garde" w:hAnsi="ITC Avant Garde"/>
        </w:rPr>
        <w:t xml:space="preserve">” de consumidores </w:t>
      </w:r>
      <w:r w:rsidR="005935B2" w:rsidRPr="00724A07">
        <w:rPr>
          <w:rFonts w:ascii="ITC Avant Garde" w:hAnsi="ITC Avant Garde"/>
        </w:rPr>
        <w:t xml:space="preserve">que </w:t>
      </w:r>
      <w:r w:rsidR="00D52562" w:rsidRPr="00724A07">
        <w:rPr>
          <w:rFonts w:ascii="ITC Avant Garde" w:hAnsi="ITC Avant Garde"/>
        </w:rPr>
        <w:t>estén dispuestos a cambiarse ante un incremento en precios</w:t>
      </w:r>
      <w:r w:rsidR="002F6C98" w:rsidRPr="00724A07">
        <w:rPr>
          <w:rFonts w:ascii="ITC Avant Garde" w:hAnsi="ITC Avant Garde"/>
        </w:rPr>
        <w:t xml:space="preserve">, se considera improcedente. Lo anterior, toda vez que el Anteproyecto de Guía ya </w:t>
      </w:r>
      <w:r w:rsidR="007F06A6" w:rsidRPr="00724A07">
        <w:rPr>
          <w:rFonts w:ascii="ITC Avant Garde" w:hAnsi="ITC Avant Garde"/>
        </w:rPr>
        <w:t>provee una explicación al respecto</w:t>
      </w:r>
      <w:r w:rsidR="005935B2" w:rsidRPr="00724A07">
        <w:rPr>
          <w:rFonts w:ascii="ITC Avant Garde" w:hAnsi="ITC Avant Garde"/>
        </w:rPr>
        <w:t>;</w:t>
      </w:r>
      <w:r w:rsidR="007F06A6" w:rsidRPr="00724A07">
        <w:rPr>
          <w:rFonts w:ascii="ITC Avant Garde" w:hAnsi="ITC Avant Garde"/>
        </w:rPr>
        <w:t xml:space="preserve"> en particular</w:t>
      </w:r>
      <w:r w:rsidR="005935B2" w:rsidRPr="00724A07">
        <w:rPr>
          <w:rFonts w:ascii="ITC Avant Garde" w:hAnsi="ITC Avant Garde"/>
        </w:rPr>
        <w:t>,</w:t>
      </w:r>
      <w:r w:rsidR="007F06A6" w:rsidRPr="00724A07">
        <w:rPr>
          <w:rFonts w:ascii="ITC Avant Garde" w:hAnsi="ITC Avant Garde"/>
        </w:rPr>
        <w:t xml:space="preserve"> </w:t>
      </w:r>
      <w:r w:rsidR="003E65D7" w:rsidRPr="00724A07">
        <w:rPr>
          <w:rFonts w:ascii="ITC Avant Garde" w:hAnsi="ITC Avant Garde"/>
        </w:rPr>
        <w:t>se</w:t>
      </w:r>
      <w:r w:rsidR="007F06A6" w:rsidRPr="00724A07">
        <w:rPr>
          <w:rFonts w:ascii="ITC Avant Garde" w:hAnsi="ITC Avant Garde"/>
        </w:rPr>
        <w:t xml:space="preserve"> </w:t>
      </w:r>
      <w:r w:rsidR="003E65D7" w:rsidRPr="00724A07">
        <w:rPr>
          <w:rFonts w:ascii="ITC Avant Garde" w:hAnsi="ITC Avant Garde"/>
        </w:rPr>
        <w:t>explica</w:t>
      </w:r>
      <w:r w:rsidR="007F06A6" w:rsidRPr="00724A07">
        <w:rPr>
          <w:rFonts w:ascii="ITC Avant Garde" w:hAnsi="ITC Avant Garde"/>
        </w:rPr>
        <w:t xml:space="preserve"> el concepto de pérdida crítica</w:t>
      </w:r>
      <w:r w:rsidR="005935B2" w:rsidRPr="00724A07">
        <w:rPr>
          <w:rFonts w:ascii="ITC Avant Garde" w:hAnsi="ITC Avant Garde"/>
        </w:rPr>
        <w:t>,</w:t>
      </w:r>
      <w:r w:rsidR="00351BDF" w:rsidRPr="00724A07">
        <w:rPr>
          <w:rFonts w:ascii="ITC Avant Garde" w:hAnsi="ITC Avant Garde"/>
        </w:rPr>
        <w:t xml:space="preserve"> el cual es la pérdida mínima en el volumen de ventas necesaria para que un SSNIP no sea rentable</w:t>
      </w:r>
      <w:r w:rsidR="003E65D7" w:rsidRPr="00724A07">
        <w:rPr>
          <w:rFonts w:ascii="ITC Avant Garde" w:hAnsi="ITC Avant Garde"/>
        </w:rPr>
        <w:t xml:space="preserve"> (véase página 23 del Anteproyecto de Guía)</w:t>
      </w:r>
      <w:r w:rsidR="007F06A6" w:rsidRPr="00724A07">
        <w:rPr>
          <w:rFonts w:ascii="ITC Avant Garde" w:hAnsi="ITC Avant Garde"/>
        </w:rPr>
        <w:t>.</w:t>
      </w:r>
      <w:r w:rsidRPr="00724A07">
        <w:rPr>
          <w:rFonts w:ascii="ITC Avant Garde" w:hAnsi="ITC Avant Garde"/>
        </w:rPr>
        <w:t xml:space="preserve"> </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2BFE2E16" w14:textId="77777777" w:rsidTr="000F4D66">
        <w:trPr>
          <w:trHeight w:val="276"/>
          <w:jc w:val="center"/>
        </w:trPr>
        <w:tc>
          <w:tcPr>
            <w:tcW w:w="9785" w:type="dxa"/>
            <w:shd w:val="clear" w:color="auto" w:fill="92D050"/>
            <w:vAlign w:val="center"/>
          </w:tcPr>
          <w:p w14:paraId="1EA49BEA" w14:textId="0098D4E5" w:rsidR="00A165D0" w:rsidRPr="00724A07" w:rsidRDefault="00F0287A"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724A07" w14:paraId="55DD3C6B" w14:textId="77777777" w:rsidTr="000F4D66">
        <w:trPr>
          <w:trHeight w:val="443"/>
          <w:jc w:val="center"/>
        </w:trPr>
        <w:tc>
          <w:tcPr>
            <w:tcW w:w="9785" w:type="dxa"/>
            <w:shd w:val="clear" w:color="auto" w:fill="E2EFD9" w:themeFill="accent6" w:themeFillTint="33"/>
            <w:vAlign w:val="center"/>
          </w:tcPr>
          <w:p w14:paraId="387E07CB" w14:textId="77777777" w:rsidR="00C7449E" w:rsidRPr="007C2396" w:rsidRDefault="00C7449E" w:rsidP="00C7449E">
            <w:pPr>
              <w:pStyle w:val="Default"/>
              <w:spacing w:after="120"/>
              <w:jc w:val="both"/>
              <w:rPr>
                <w:rFonts w:ascii="ITC Avant Garde" w:hAnsi="ITC Avant Garde"/>
                <w:i/>
                <w:sz w:val="18"/>
                <w:szCs w:val="18"/>
              </w:rPr>
            </w:pPr>
            <w:r w:rsidRPr="007C2396">
              <w:rPr>
                <w:rFonts w:ascii="ITC Avant Garde" w:hAnsi="ITC Avant Garde"/>
                <w:i/>
                <w:sz w:val="18"/>
                <w:szCs w:val="18"/>
              </w:rPr>
              <w:t>“</w:t>
            </w:r>
            <w:r w:rsidRPr="003423F9">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la guía no se pronuncia sobre si es posible definir mercados relevantes en escenarios donde se observa la provisión de servicios a “precio cero”</w:t>
            </w:r>
            <w:r>
              <w:rPr>
                <w:rFonts w:ascii="ITC Avant Garde" w:hAnsi="ITC Avant Garde"/>
                <w:i/>
                <w:sz w:val="18"/>
                <w:szCs w:val="18"/>
              </w:rPr>
              <w:t xml:space="preserve"> </w:t>
            </w:r>
            <w:r w:rsidRPr="003423F9">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y de manera más importante, es necesario reconocer que en mercados donde se observan este tipo de transacciones, el uso de técnicas tradicionales para la determinación de mercados relevantes como el SSNIP Test resultan completamente inoperantes</w:t>
            </w:r>
            <w:r>
              <w:rPr>
                <w:rFonts w:ascii="ITC Avant Garde" w:hAnsi="ITC Avant Garde"/>
                <w:i/>
                <w:sz w:val="18"/>
                <w:szCs w:val="18"/>
              </w:rPr>
              <w:t xml:space="preserve"> </w:t>
            </w:r>
            <w:r w:rsidRPr="003423F9">
              <w:rPr>
                <w:rFonts w:ascii="ITC Avant Garde" w:hAnsi="ITC Avant Garde"/>
                <w:iCs/>
                <w:sz w:val="18"/>
                <w:szCs w:val="18"/>
              </w:rPr>
              <w:t>(…)</w:t>
            </w:r>
          </w:p>
          <w:p w14:paraId="513ABFCF" w14:textId="55FDC951" w:rsidR="00A165D0" w:rsidRPr="00724A07" w:rsidRDefault="00C7449E" w:rsidP="00C7449E">
            <w:pPr>
              <w:pStyle w:val="Default"/>
              <w:spacing w:before="120" w:after="120"/>
              <w:jc w:val="both"/>
              <w:rPr>
                <w:rFonts w:ascii="ITC Avant Garde" w:hAnsi="ITC Avant Garde"/>
                <w:i/>
                <w:sz w:val="18"/>
                <w:szCs w:val="18"/>
              </w:rPr>
            </w:pPr>
            <w:r w:rsidRPr="007C2396">
              <w:rPr>
                <w:rFonts w:ascii="ITC Avant Garde" w:hAnsi="ITC Avant Garde"/>
                <w:i/>
                <w:sz w:val="18"/>
                <w:szCs w:val="18"/>
              </w:rPr>
              <w:t xml:space="preserve">22. En virtud de lo anterior, es importante y necesario que, en el análisis de mercados digitales que involucren la provisión de servicios aparentemente gratuitos, el uso de pruebas de precios tradicionales para definir mercados relevantes, como el SSNIP Test, sea reemplazado por pruebas equivalentes, pero más idóneas para identificar este tipo de mercados </w:t>
            </w:r>
            <w:r w:rsidRPr="007C2396">
              <w:rPr>
                <w:rFonts w:ascii="Arial" w:hAnsi="Arial" w:cs="Arial"/>
                <w:i/>
                <w:sz w:val="18"/>
                <w:szCs w:val="18"/>
              </w:rPr>
              <w:t>―</w:t>
            </w:r>
            <w:r w:rsidRPr="007C2396">
              <w:rPr>
                <w:rFonts w:ascii="ITC Avant Garde" w:hAnsi="ITC Avant Garde"/>
                <w:i/>
                <w:sz w:val="18"/>
                <w:szCs w:val="18"/>
              </w:rPr>
              <w:t xml:space="preserve">como el SSNDQ o el SSNIC </w:t>
            </w:r>
            <w:proofErr w:type="spellStart"/>
            <w:r w:rsidRPr="007C2396">
              <w:rPr>
                <w:rFonts w:ascii="ITC Avant Garde" w:hAnsi="ITC Avant Garde"/>
                <w:i/>
                <w:sz w:val="18"/>
                <w:szCs w:val="18"/>
              </w:rPr>
              <w:t>Tests</w:t>
            </w:r>
            <w:proofErr w:type="spellEnd"/>
            <w:r>
              <w:rPr>
                <w:rFonts w:ascii="ITC Avant Garde" w:hAnsi="ITC Avant Garde"/>
                <w:i/>
                <w:sz w:val="18"/>
                <w:szCs w:val="18"/>
              </w:rPr>
              <w:t xml:space="preserve"> </w:t>
            </w:r>
            <w:r w:rsidRPr="00427A6F">
              <w:rPr>
                <w:rFonts w:ascii="ITC Avant Garde" w:hAnsi="ITC Avant Garde"/>
                <w:iCs/>
                <w:sz w:val="18"/>
                <w:szCs w:val="18"/>
              </w:rPr>
              <w:t>(…)</w:t>
            </w:r>
            <w:r>
              <w:rPr>
                <w:rFonts w:ascii="ITC Avant Garde" w:hAnsi="ITC Avant Garde"/>
                <w:iCs/>
                <w:sz w:val="18"/>
                <w:szCs w:val="18"/>
              </w:rPr>
              <w:t>”</w:t>
            </w:r>
          </w:p>
        </w:tc>
      </w:tr>
    </w:tbl>
    <w:p w14:paraId="4FBE3FBB" w14:textId="77777777" w:rsidR="005935B2" w:rsidRPr="00724A07" w:rsidRDefault="005935B2" w:rsidP="005935B2">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25D3499B" w14:textId="691888A0" w:rsidR="00791545" w:rsidRPr="00724A07" w:rsidRDefault="00A165D0" w:rsidP="00791545">
      <w:pPr>
        <w:spacing w:before="120" w:after="12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al comentario de</w:t>
      </w:r>
      <w:r w:rsidR="00116413" w:rsidRPr="00724A07">
        <w:rPr>
          <w:rFonts w:ascii="ITC Avant Garde" w:hAnsi="ITC Avant Garde"/>
        </w:rPr>
        <w:t xml:space="preserve"> Telefónica respecto a la necesidad de que el Anteproyecto de Guía </w:t>
      </w:r>
      <w:r w:rsidR="006642DA" w:rsidRPr="00724A07">
        <w:rPr>
          <w:rFonts w:ascii="ITC Avant Garde" w:hAnsi="ITC Avant Garde"/>
        </w:rPr>
        <w:t xml:space="preserve">contemple </w:t>
      </w:r>
      <w:r w:rsidR="00116413" w:rsidRPr="00724A07">
        <w:rPr>
          <w:rFonts w:ascii="ITC Avant Garde" w:hAnsi="ITC Avant Garde"/>
        </w:rPr>
        <w:t>métodos alternativos al SSNIP test que consideren variables de competencia diferentes al precio</w:t>
      </w:r>
      <w:r w:rsidR="00791545" w:rsidRPr="00724A07">
        <w:rPr>
          <w:rFonts w:ascii="ITC Avant Garde" w:hAnsi="ITC Avant Garde"/>
        </w:rPr>
        <w:t xml:space="preserve">, </w:t>
      </w:r>
      <w:r w:rsidR="006642DA" w:rsidRPr="00724A07">
        <w:rPr>
          <w:rFonts w:ascii="ITC Avant Garde" w:hAnsi="ITC Avant Garde"/>
        </w:rPr>
        <w:t>por ejemplo,</w:t>
      </w:r>
      <w:r w:rsidR="00791545" w:rsidRPr="00724A07">
        <w:rPr>
          <w:rFonts w:ascii="ITC Avant Garde" w:hAnsi="ITC Avant Garde"/>
        </w:rPr>
        <w:t xml:space="preserve"> </w:t>
      </w:r>
      <w:r w:rsidR="00116413" w:rsidRPr="00724A07">
        <w:rPr>
          <w:rFonts w:ascii="ITC Avant Garde" w:hAnsi="ITC Avant Garde"/>
        </w:rPr>
        <w:t>la calidad, se considera i</w:t>
      </w:r>
      <w:r w:rsidR="00791545" w:rsidRPr="00724A07">
        <w:rPr>
          <w:rFonts w:ascii="ITC Avant Garde" w:hAnsi="ITC Avant Garde"/>
        </w:rPr>
        <w:t>m</w:t>
      </w:r>
      <w:r w:rsidR="00116413" w:rsidRPr="00724A07">
        <w:rPr>
          <w:rFonts w:ascii="ITC Avant Garde" w:hAnsi="ITC Avant Garde"/>
        </w:rPr>
        <w:t>procedente. Lo anterior</w:t>
      </w:r>
      <w:r w:rsidR="006642DA" w:rsidRPr="00724A07">
        <w:rPr>
          <w:rFonts w:ascii="ITC Avant Garde" w:hAnsi="ITC Avant Garde"/>
        </w:rPr>
        <w:t>,</w:t>
      </w:r>
      <w:r w:rsidR="00116413" w:rsidRPr="00724A07">
        <w:rPr>
          <w:rFonts w:ascii="ITC Avant Garde" w:hAnsi="ITC Avant Garde"/>
        </w:rPr>
        <w:t xml:space="preserve"> toda vez que </w:t>
      </w:r>
      <w:r w:rsidR="00791545" w:rsidRPr="00724A07">
        <w:rPr>
          <w:rFonts w:ascii="ITC Avant Garde" w:hAnsi="ITC Avant Garde"/>
        </w:rPr>
        <w:t>el Anteproyecto de Guía ya refiere a la prueba SSN</w:t>
      </w:r>
      <w:r w:rsidR="002F7F49" w:rsidRPr="00724A07">
        <w:rPr>
          <w:rFonts w:ascii="ITC Avant Garde" w:hAnsi="ITC Avant Garde"/>
        </w:rPr>
        <w:t>DQ</w:t>
      </w:r>
      <w:r w:rsidR="00791545" w:rsidRPr="00724A07">
        <w:rPr>
          <w:rFonts w:ascii="ITC Avant Garde" w:hAnsi="ITC Avant Garde"/>
        </w:rPr>
        <w:t>. Refiérase a la nota al pie 19 en la cual se señala que “[s]</w:t>
      </w:r>
      <w:r w:rsidR="00791545" w:rsidRPr="00724A07">
        <w:rPr>
          <w:rFonts w:ascii="ITC Avant Garde" w:hAnsi="ITC Avant Garde"/>
          <w:i/>
          <w:iCs/>
        </w:rPr>
        <w:t>e ha desarrollado, aunque rara vez se ha aplicado, una alternativa a la Prueba SSNIP adaptada a la variable calidad, denominada prueba de pequeños pero significativos no transitorios decrementos en la calidad o SSNDQ (por sus siglas en inglés Small-</w:t>
      </w:r>
      <w:proofErr w:type="spellStart"/>
      <w:r w:rsidR="00791545" w:rsidRPr="00724A07">
        <w:rPr>
          <w:rFonts w:ascii="ITC Avant Garde" w:hAnsi="ITC Avant Garde"/>
          <w:i/>
          <w:iCs/>
        </w:rPr>
        <w:t>but</w:t>
      </w:r>
      <w:proofErr w:type="spellEnd"/>
      <w:r w:rsidR="00C64664" w:rsidRPr="00724A07">
        <w:rPr>
          <w:rFonts w:ascii="ITC Avant Garde" w:hAnsi="ITC Avant Garde"/>
          <w:i/>
          <w:iCs/>
        </w:rPr>
        <w:t xml:space="preserve"> </w:t>
      </w:r>
      <w:proofErr w:type="spellStart"/>
      <w:r w:rsidR="00791545" w:rsidRPr="00724A07">
        <w:rPr>
          <w:rFonts w:ascii="ITC Avant Garde" w:hAnsi="ITC Avant Garde"/>
          <w:i/>
          <w:iCs/>
        </w:rPr>
        <w:t>significant</w:t>
      </w:r>
      <w:proofErr w:type="spellEnd"/>
      <w:r w:rsidR="00791545" w:rsidRPr="00724A07">
        <w:rPr>
          <w:rFonts w:ascii="ITC Avant Garde" w:hAnsi="ITC Avant Garde"/>
          <w:i/>
          <w:iCs/>
        </w:rPr>
        <w:t xml:space="preserve"> non-</w:t>
      </w:r>
      <w:proofErr w:type="spellStart"/>
      <w:r w:rsidR="00791545" w:rsidRPr="00724A07">
        <w:rPr>
          <w:rFonts w:ascii="ITC Avant Garde" w:hAnsi="ITC Avant Garde"/>
          <w:i/>
          <w:iCs/>
        </w:rPr>
        <w:t>transitory</w:t>
      </w:r>
      <w:proofErr w:type="spellEnd"/>
      <w:r w:rsidR="00791545" w:rsidRPr="00724A07">
        <w:rPr>
          <w:rFonts w:ascii="ITC Avant Garde" w:hAnsi="ITC Avant Garde"/>
          <w:i/>
          <w:iCs/>
        </w:rPr>
        <w:t xml:space="preserve"> </w:t>
      </w:r>
      <w:proofErr w:type="spellStart"/>
      <w:r w:rsidR="00791545" w:rsidRPr="00724A07">
        <w:rPr>
          <w:rFonts w:ascii="ITC Avant Garde" w:hAnsi="ITC Avant Garde"/>
          <w:i/>
          <w:iCs/>
        </w:rPr>
        <w:t>decrease</w:t>
      </w:r>
      <w:proofErr w:type="spellEnd"/>
      <w:r w:rsidR="00791545" w:rsidRPr="00724A07">
        <w:rPr>
          <w:rFonts w:ascii="ITC Avant Garde" w:hAnsi="ITC Avant Garde"/>
          <w:i/>
          <w:iCs/>
        </w:rPr>
        <w:t xml:space="preserve"> in </w:t>
      </w:r>
      <w:proofErr w:type="spellStart"/>
      <w:r w:rsidR="00791545" w:rsidRPr="00724A07">
        <w:rPr>
          <w:rFonts w:ascii="ITC Avant Garde" w:hAnsi="ITC Avant Garde"/>
          <w:i/>
          <w:iCs/>
        </w:rPr>
        <w:t>quality</w:t>
      </w:r>
      <w:proofErr w:type="spellEnd"/>
      <w:r w:rsidR="00791545" w:rsidRPr="00724A07">
        <w:rPr>
          <w:rFonts w:ascii="ITC Avant Garde" w:hAnsi="ITC Avant Garde"/>
          <w:i/>
          <w:iCs/>
        </w:rPr>
        <w:t xml:space="preserve"> test). </w:t>
      </w:r>
      <w:r w:rsidR="00791545" w:rsidRPr="00724A07">
        <w:rPr>
          <w:rFonts w:ascii="ITC Avant Garde" w:hAnsi="ITC Avant Garde"/>
          <w:i/>
          <w:iCs/>
          <w:lang w:val="en-US"/>
        </w:rPr>
        <w:t xml:space="preserve">Ver OCDE (2018). Quality considerations in digital zero-price markets. Background note by the Secretariat. </w:t>
      </w:r>
      <w:r w:rsidR="00791545" w:rsidRPr="00724A07">
        <w:rPr>
          <w:rFonts w:ascii="ITC Avant Garde" w:hAnsi="ITC Avant Garde"/>
          <w:i/>
          <w:iCs/>
        </w:rPr>
        <w:t xml:space="preserve">Disponible en: </w:t>
      </w:r>
      <w:hyperlink r:id="rId11" w:history="1">
        <w:r w:rsidR="00791545" w:rsidRPr="00724A07">
          <w:rPr>
            <w:rStyle w:val="Hipervnculo"/>
            <w:rFonts w:ascii="ITC Avant Garde" w:hAnsi="ITC Avant Garde"/>
            <w:i/>
            <w:iCs/>
          </w:rPr>
          <w:t>https://one.oecd.org/document/DAF/COMP(2018)14/en/pdf</w:t>
        </w:r>
      </w:hyperlink>
      <w:r w:rsidR="00EC09B8">
        <w:rPr>
          <w:rStyle w:val="Hipervnculo"/>
          <w:rFonts w:ascii="ITC Avant Garde" w:hAnsi="ITC Avant Garde"/>
          <w:i/>
          <w:iCs/>
        </w:rPr>
        <w:t>”</w:t>
      </w:r>
      <w:r w:rsidR="00791545" w:rsidRPr="00724A07">
        <w:rPr>
          <w:rFonts w:ascii="ITC Avant Garde" w:hAnsi="ITC Avant Garde"/>
          <w:i/>
          <w:iCs/>
        </w:rPr>
        <w:t xml:space="preserve">. </w:t>
      </w:r>
      <w:r w:rsidR="00791545" w:rsidRPr="00724A07">
        <w:rPr>
          <w:rFonts w:ascii="ITC Avant Garde" w:hAnsi="ITC Avant Garde"/>
        </w:rPr>
        <w:t xml:space="preserve">Asimismo, </w:t>
      </w:r>
      <w:r w:rsidR="006642DA" w:rsidRPr="00724A07">
        <w:rPr>
          <w:rFonts w:ascii="ITC Avant Garde" w:hAnsi="ITC Avant Garde"/>
        </w:rPr>
        <w:t xml:space="preserve">en </w:t>
      </w:r>
      <w:r w:rsidR="00791545" w:rsidRPr="00724A07">
        <w:rPr>
          <w:rFonts w:ascii="ITC Avant Garde" w:hAnsi="ITC Avant Garde"/>
        </w:rPr>
        <w:t xml:space="preserve">el Anteproyecto de Guía </w:t>
      </w:r>
      <w:r w:rsidR="0044465D" w:rsidRPr="00724A07">
        <w:rPr>
          <w:rFonts w:ascii="ITC Avant Garde" w:hAnsi="ITC Avant Garde"/>
        </w:rPr>
        <w:t>(</w:t>
      </w:r>
      <w:r w:rsidR="00D5514A" w:rsidRPr="00724A07">
        <w:rPr>
          <w:rFonts w:ascii="ITC Avant Garde" w:hAnsi="ITC Avant Garde"/>
        </w:rPr>
        <w:t>v</w:t>
      </w:r>
      <w:r w:rsidR="0044465D" w:rsidRPr="00724A07">
        <w:rPr>
          <w:rFonts w:ascii="ITC Avant Garde" w:hAnsi="ITC Avant Garde"/>
        </w:rPr>
        <w:t xml:space="preserve">éase secciones </w:t>
      </w:r>
      <w:r w:rsidR="00BF530B" w:rsidRPr="00724A07">
        <w:rPr>
          <w:rFonts w:ascii="ITC Avant Garde" w:hAnsi="ITC Avant Garde"/>
        </w:rPr>
        <w:t xml:space="preserve">5.3.3. y </w:t>
      </w:r>
      <w:r w:rsidR="0044465D" w:rsidRPr="00724A07">
        <w:rPr>
          <w:rFonts w:ascii="ITC Avant Garde" w:hAnsi="ITC Avant Garde"/>
        </w:rPr>
        <w:t>6.3.3.</w:t>
      </w:r>
      <w:r w:rsidR="00E52336" w:rsidRPr="00724A07">
        <w:rPr>
          <w:rFonts w:ascii="ITC Avant Garde" w:hAnsi="ITC Avant Garde"/>
        </w:rPr>
        <w:t xml:space="preserve"> ambas denominadas</w:t>
      </w:r>
      <w:r w:rsidR="0044465D" w:rsidRPr="00724A07">
        <w:rPr>
          <w:rFonts w:ascii="ITC Avant Garde" w:hAnsi="ITC Avant Garde"/>
        </w:rPr>
        <w:t xml:space="preserve"> </w:t>
      </w:r>
      <w:r w:rsidR="00BF530B" w:rsidRPr="00724A07">
        <w:rPr>
          <w:rFonts w:ascii="ITC Avant Garde" w:hAnsi="ITC Avant Garde"/>
        </w:rPr>
        <w:t>“</w:t>
      </w:r>
      <w:r w:rsidR="00BF530B" w:rsidRPr="00724A07">
        <w:rPr>
          <w:rFonts w:ascii="ITC Avant Garde" w:hAnsi="ITC Avant Garde"/>
          <w:i/>
          <w:iCs/>
        </w:rPr>
        <w:t>Análisis de sustitución</w:t>
      </w:r>
      <w:r w:rsidR="00BF530B" w:rsidRPr="00724A07">
        <w:rPr>
          <w:rFonts w:ascii="ITC Avant Garde" w:hAnsi="ITC Avant Garde"/>
        </w:rPr>
        <w:t>”</w:t>
      </w:r>
      <w:r w:rsidR="0044465D" w:rsidRPr="00724A07">
        <w:rPr>
          <w:rFonts w:ascii="ITC Avant Garde" w:hAnsi="ITC Avant Garde"/>
        </w:rPr>
        <w:t xml:space="preserve">) se </w:t>
      </w:r>
      <w:r w:rsidR="00791545" w:rsidRPr="00724A07">
        <w:rPr>
          <w:rFonts w:ascii="ITC Avant Garde" w:hAnsi="ITC Avant Garde"/>
        </w:rPr>
        <w:t>establece</w:t>
      </w:r>
      <w:r w:rsidR="0044465D" w:rsidRPr="00724A07">
        <w:rPr>
          <w:rFonts w:ascii="ITC Avant Garde" w:hAnsi="ITC Avant Garde"/>
        </w:rPr>
        <w:t>n</w:t>
      </w:r>
      <w:r w:rsidR="007217BD" w:rsidRPr="00724A07">
        <w:rPr>
          <w:rFonts w:ascii="ITC Avant Garde" w:hAnsi="ITC Avant Garde"/>
        </w:rPr>
        <w:t xml:space="preserve"> diversos</w:t>
      </w:r>
      <w:r w:rsidR="00791545" w:rsidRPr="00724A07">
        <w:rPr>
          <w:rFonts w:ascii="ITC Avant Garde" w:hAnsi="ITC Avant Garde"/>
        </w:rPr>
        <w:t xml:space="preserve"> criterios </w:t>
      </w:r>
      <w:r w:rsidR="007217BD" w:rsidRPr="00724A07">
        <w:rPr>
          <w:rFonts w:ascii="ITC Avant Garde" w:hAnsi="ITC Avant Garde"/>
        </w:rPr>
        <w:t xml:space="preserve">que </w:t>
      </w:r>
      <w:r w:rsidR="006642DA" w:rsidRPr="00724A07">
        <w:rPr>
          <w:rFonts w:ascii="ITC Avant Garde" w:hAnsi="ITC Avant Garde"/>
        </w:rPr>
        <w:t xml:space="preserve">se </w:t>
      </w:r>
      <w:r w:rsidR="007217BD" w:rsidRPr="00724A07">
        <w:rPr>
          <w:rFonts w:ascii="ITC Avant Garde" w:hAnsi="ITC Avant Garde"/>
        </w:rPr>
        <w:t xml:space="preserve">refieren a distintas variables de competencia, además del precio. </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854D61" w:rsidRPr="00724A07" w14:paraId="2823601A" w14:textId="77777777" w:rsidTr="000F4D66">
        <w:trPr>
          <w:trHeight w:val="276"/>
          <w:jc w:val="center"/>
        </w:trPr>
        <w:tc>
          <w:tcPr>
            <w:tcW w:w="9785" w:type="dxa"/>
            <w:shd w:val="clear" w:color="auto" w:fill="92D050"/>
            <w:vAlign w:val="center"/>
          </w:tcPr>
          <w:p w14:paraId="790AA330" w14:textId="3D77C371" w:rsidR="00854D61" w:rsidRPr="00724A07" w:rsidRDefault="00854D61"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León Efrén Jiménez Domínguez y Priscila Barba Rivas</w:t>
            </w:r>
          </w:p>
        </w:tc>
      </w:tr>
      <w:tr w:rsidR="00854D61" w:rsidRPr="00724A07" w14:paraId="2AA12E0F" w14:textId="77777777" w:rsidTr="000F4D66">
        <w:trPr>
          <w:trHeight w:val="443"/>
          <w:jc w:val="center"/>
        </w:trPr>
        <w:tc>
          <w:tcPr>
            <w:tcW w:w="9785" w:type="dxa"/>
            <w:shd w:val="clear" w:color="auto" w:fill="E2EFD9" w:themeFill="accent6" w:themeFillTint="33"/>
            <w:vAlign w:val="center"/>
          </w:tcPr>
          <w:p w14:paraId="702A879B" w14:textId="1199C235" w:rsidR="00854D61" w:rsidRPr="00724A07" w:rsidRDefault="00C7449E" w:rsidP="00753ED5">
            <w:pPr>
              <w:pStyle w:val="Default"/>
              <w:spacing w:before="120" w:after="120"/>
              <w:jc w:val="both"/>
              <w:rPr>
                <w:rFonts w:ascii="ITC Avant Garde" w:hAnsi="ITC Avant Garde"/>
                <w:i/>
                <w:sz w:val="18"/>
                <w:szCs w:val="18"/>
              </w:rPr>
            </w:pPr>
            <w:r w:rsidRPr="007C2396">
              <w:rPr>
                <w:rFonts w:ascii="ITC Avant Garde" w:hAnsi="ITC Avant Garde"/>
                <w:i/>
                <w:sz w:val="18"/>
                <w:szCs w:val="18"/>
              </w:rPr>
              <w:t>“</w:t>
            </w:r>
            <w:r w:rsidRPr="00F91D10">
              <w:rPr>
                <w:rFonts w:ascii="ITC Avant Garde" w:hAnsi="ITC Avant Garde"/>
                <w:iCs/>
                <w:sz w:val="18"/>
                <w:szCs w:val="18"/>
              </w:rPr>
              <w:t>(…)</w:t>
            </w:r>
            <w:r w:rsidRPr="007C2396">
              <w:rPr>
                <w:rFonts w:ascii="ITC Avant Garde" w:hAnsi="ITC Avant Garde"/>
                <w:i/>
                <w:sz w:val="18"/>
                <w:szCs w:val="18"/>
              </w:rPr>
              <w:t xml:space="preserve"> sugerimos abundar en los criterios para la determinación del producto focal. No quedan claras las herramientas que se utilizarán para el análisis (por ejemplo, uso de encuestas, estudios de mercado, etc.)”  </w:t>
            </w:r>
          </w:p>
        </w:tc>
      </w:tr>
    </w:tbl>
    <w:p w14:paraId="0CF5930B" w14:textId="74708618" w:rsidR="000F4D66" w:rsidRDefault="000F4D66" w:rsidP="000F4D66">
      <w:pPr>
        <w:spacing w:before="120" w:after="120" w:line="240" w:lineRule="auto"/>
        <w:jc w:val="both"/>
        <w:rPr>
          <w:rFonts w:ascii="ITC Avant Garde" w:hAnsi="ITC Avant Garde"/>
          <w:color w:val="000000"/>
        </w:rPr>
      </w:pPr>
    </w:p>
    <w:p w14:paraId="1BD52D26" w14:textId="77777777" w:rsidR="000F4D66" w:rsidRPr="000F4D66" w:rsidRDefault="000F4D66" w:rsidP="000F4D66">
      <w:pPr>
        <w:spacing w:before="120" w:after="120" w:line="240" w:lineRule="auto"/>
        <w:jc w:val="both"/>
        <w:rPr>
          <w:rFonts w:ascii="ITC Avant Garde" w:hAnsi="ITC Avant Garde"/>
          <w:color w:val="000000"/>
        </w:rPr>
      </w:pPr>
    </w:p>
    <w:p w14:paraId="6CD9B379" w14:textId="77777777" w:rsidR="00854D61" w:rsidRPr="00724A07" w:rsidRDefault="00854D61" w:rsidP="00854D61">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6B146A13" w14:textId="16793CDA" w:rsidR="00854D61" w:rsidRPr="00724A07" w:rsidRDefault="00845DBA" w:rsidP="00791545">
      <w:pPr>
        <w:spacing w:before="120" w:after="120" w:line="240" w:lineRule="auto"/>
        <w:jc w:val="both"/>
        <w:rPr>
          <w:rFonts w:ascii="ITC Avant Garde" w:hAnsi="ITC Avant Garde"/>
          <w:color w:val="000000"/>
        </w:rPr>
      </w:pPr>
      <w:r w:rsidRPr="00724A07">
        <w:rPr>
          <w:rFonts w:ascii="ITC Avant Garde" w:hAnsi="ITC Avant Garde"/>
          <w:color w:val="000000"/>
        </w:rPr>
        <w:t xml:space="preserve">En relación con el comentario de los participantes sobre abundar en los criterios para la determinación del producto focal, se considera procedente realizar precisiones en el Anteproyecto de Guía, </w:t>
      </w:r>
      <w:r w:rsidR="001455F3" w:rsidRPr="00724A07">
        <w:rPr>
          <w:rFonts w:ascii="ITC Avant Garde" w:hAnsi="ITC Avant Garde"/>
          <w:color w:val="000000"/>
        </w:rPr>
        <w:t xml:space="preserve">en consistencia con la experiencia internacional, </w:t>
      </w:r>
      <w:r w:rsidRPr="00724A07">
        <w:rPr>
          <w:rFonts w:ascii="ITC Avant Garde" w:hAnsi="ITC Avant Garde"/>
          <w:color w:val="000000"/>
        </w:rPr>
        <w:t xml:space="preserve">a fin de contribuir a que los agentes económicos </w:t>
      </w:r>
      <w:r w:rsidR="001455F3" w:rsidRPr="00724A07">
        <w:rPr>
          <w:rFonts w:ascii="ITC Avant Garde" w:hAnsi="ITC Avant Garde"/>
          <w:color w:val="000000"/>
        </w:rPr>
        <w:t xml:space="preserve">y el público en general </w:t>
      </w:r>
      <w:r w:rsidRPr="00724A07">
        <w:rPr>
          <w:rFonts w:ascii="ITC Avant Garde" w:hAnsi="ITC Avant Garde"/>
          <w:color w:val="000000"/>
        </w:rPr>
        <w:t>cuenten con mayor</w:t>
      </w:r>
      <w:r w:rsidR="001455F3" w:rsidRPr="00724A07">
        <w:rPr>
          <w:rFonts w:ascii="ITC Avant Garde" w:hAnsi="ITC Avant Garde"/>
          <w:color w:val="000000"/>
        </w:rPr>
        <w:t xml:space="preserve"> claridad sobre la identificación del producto de interés o producto focal.</w:t>
      </w:r>
      <w:r w:rsidRPr="00724A07">
        <w:rPr>
          <w:rFonts w:ascii="ITC Avant Garde" w:hAnsi="ITC Avant Garde"/>
          <w:color w:val="000000"/>
        </w:rPr>
        <w:t xml:space="preserve"> </w:t>
      </w:r>
    </w:p>
    <w:p w14:paraId="585DE6B3" w14:textId="37B4F8F2" w:rsidR="001455F3" w:rsidRPr="00724A07" w:rsidRDefault="001455F3" w:rsidP="001455F3">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5.3.1. Producto focal</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1455F3" w:rsidRPr="00724A07" w14:paraId="7100E41C" w14:textId="77777777" w:rsidTr="00887937">
        <w:trPr>
          <w:jc w:val="center"/>
        </w:trPr>
        <w:tc>
          <w:tcPr>
            <w:tcW w:w="4830" w:type="dxa"/>
            <w:shd w:val="clear" w:color="auto" w:fill="92D050"/>
            <w:vAlign w:val="center"/>
          </w:tcPr>
          <w:p w14:paraId="25685445" w14:textId="77777777" w:rsidR="001455F3" w:rsidRPr="00724A07" w:rsidRDefault="001455F3"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2E759C7B" w14:textId="77777777" w:rsidR="001455F3" w:rsidRPr="00724A07" w:rsidRDefault="001455F3"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1455F3" w:rsidRPr="00724A07" w14:paraId="60C724C1" w14:textId="77777777" w:rsidTr="00887937">
        <w:trPr>
          <w:trHeight w:val="4873"/>
          <w:jc w:val="center"/>
        </w:trPr>
        <w:tc>
          <w:tcPr>
            <w:tcW w:w="4830" w:type="dxa"/>
            <w:shd w:val="clear" w:color="auto" w:fill="auto"/>
          </w:tcPr>
          <w:p w14:paraId="448856E5" w14:textId="7CC9D362" w:rsidR="001455F3" w:rsidRPr="00724A07" w:rsidRDefault="001455F3" w:rsidP="001455F3">
            <w:pPr>
              <w:jc w:val="both"/>
              <w:rPr>
                <w:rFonts w:ascii="ITC Avant Garde" w:hAnsi="ITC Avant Garde" w:cs="Arial"/>
                <w:b/>
                <w:bCs/>
                <w:sz w:val="18"/>
                <w:szCs w:val="18"/>
              </w:rPr>
            </w:pPr>
            <w:r w:rsidRPr="00724A07">
              <w:rPr>
                <w:rFonts w:ascii="ITC Avant Garde" w:hAnsi="ITC Avant Garde" w:cs="Arial"/>
                <w:b/>
                <w:bCs/>
                <w:sz w:val="18"/>
                <w:szCs w:val="18"/>
              </w:rPr>
              <w:t>5.3.1.</w:t>
            </w:r>
            <w:r w:rsidRPr="00724A07">
              <w:rPr>
                <w:rFonts w:ascii="ITC Avant Garde" w:hAnsi="ITC Avant Garde" w:cs="Arial"/>
                <w:b/>
                <w:bCs/>
                <w:sz w:val="18"/>
                <w:szCs w:val="18"/>
              </w:rPr>
              <w:tab/>
              <w:t>Producto focal</w:t>
            </w:r>
          </w:p>
          <w:p w14:paraId="7EDBDA77" w14:textId="2DA5966B" w:rsidR="001455F3" w:rsidRPr="00724A07" w:rsidRDefault="001455F3" w:rsidP="001455F3">
            <w:pPr>
              <w:jc w:val="both"/>
              <w:rPr>
                <w:rFonts w:ascii="ITC Avant Garde" w:hAnsi="ITC Avant Garde" w:cs="Arial"/>
                <w:b/>
                <w:bCs/>
                <w:sz w:val="18"/>
                <w:szCs w:val="18"/>
              </w:rPr>
            </w:pPr>
            <w:r w:rsidRPr="00724A07">
              <w:rPr>
                <w:rFonts w:ascii="ITC Avant Garde" w:hAnsi="ITC Avant Garde" w:cs="Arial"/>
                <w:sz w:val="18"/>
                <w:szCs w:val="18"/>
              </w:rPr>
              <w:t xml:space="preserve">Para delimitar el MR en su dimensión producto, el Instituto iniciará con la identificación del </w:t>
            </w:r>
            <w:r w:rsidRPr="00724A07">
              <w:rPr>
                <w:rFonts w:ascii="ITC Avant Garde" w:hAnsi="ITC Avant Garde" w:cs="Arial"/>
                <w:b/>
                <w:sz w:val="18"/>
                <w:szCs w:val="18"/>
              </w:rPr>
              <w:t>producto de interés</w:t>
            </w:r>
            <w:r w:rsidRPr="00724A07">
              <w:rPr>
                <w:rFonts w:ascii="ITC Avant Garde" w:hAnsi="ITC Avant Garde" w:cs="Arial"/>
                <w:sz w:val="18"/>
                <w:szCs w:val="18"/>
              </w:rPr>
              <w:t xml:space="preserve"> (producto focal), para lo cual </w:t>
            </w:r>
            <w:r w:rsidRPr="00724A07">
              <w:rPr>
                <w:rFonts w:ascii="ITC Avant Garde" w:hAnsi="ITC Avant Garde" w:cs="Arial"/>
                <w:sz w:val="18"/>
                <w:szCs w:val="18"/>
                <w:lang w:eastAsia="es-MX"/>
              </w:rPr>
              <w:t>podrá considerar, conforme al caso de que se trate, lo siguiente:</w:t>
            </w:r>
          </w:p>
          <w:p w14:paraId="5359009D" w14:textId="77777777" w:rsidR="001455F3" w:rsidRPr="00724A07" w:rsidRDefault="001455F3" w:rsidP="001455F3">
            <w:pPr>
              <w:pStyle w:val="Prrafodelista"/>
              <w:numPr>
                <w:ilvl w:val="0"/>
                <w:numId w:val="32"/>
              </w:numPr>
              <w:spacing w:after="0"/>
              <w:ind w:left="709" w:hanging="567"/>
              <w:contextualSpacing w:val="0"/>
              <w:jc w:val="both"/>
              <w:rPr>
                <w:rFonts w:ascii="ITC Avant Garde" w:hAnsi="ITC Avant Garde" w:cs="Arial"/>
                <w:sz w:val="18"/>
                <w:szCs w:val="18"/>
                <w:lang w:eastAsia="es-MX"/>
              </w:rPr>
            </w:pPr>
            <w:r w:rsidRPr="00724A07">
              <w:rPr>
                <w:rFonts w:ascii="ITC Avant Garde" w:hAnsi="ITC Avant Garde" w:cs="Arial"/>
                <w:sz w:val="18"/>
                <w:szCs w:val="18"/>
              </w:rPr>
              <w:t>Las coincidencias en la provisión de los productos de los AE involucrados en una concentración o cesión de derechos de concesiones,</w:t>
            </w:r>
          </w:p>
          <w:p w14:paraId="18796AC4" w14:textId="77777777" w:rsidR="001455F3" w:rsidRPr="00724A07" w:rsidRDefault="001455F3" w:rsidP="001455F3">
            <w:pPr>
              <w:pStyle w:val="Prrafodelista"/>
              <w:spacing w:after="0"/>
              <w:ind w:left="709"/>
              <w:contextualSpacing w:val="0"/>
              <w:jc w:val="both"/>
              <w:rPr>
                <w:rFonts w:ascii="ITC Avant Garde" w:hAnsi="ITC Avant Garde" w:cs="Arial"/>
                <w:sz w:val="18"/>
                <w:szCs w:val="18"/>
                <w:lang w:eastAsia="es-MX"/>
              </w:rPr>
            </w:pPr>
          </w:p>
          <w:p w14:paraId="0501B1FB" w14:textId="77777777" w:rsidR="001455F3" w:rsidRPr="00724A07" w:rsidRDefault="001455F3" w:rsidP="001455F3">
            <w:pPr>
              <w:pStyle w:val="Prrafodelista"/>
              <w:numPr>
                <w:ilvl w:val="0"/>
                <w:numId w:val="32"/>
              </w:numPr>
              <w:spacing w:after="0"/>
              <w:ind w:left="709" w:hanging="567"/>
              <w:contextualSpacing w:val="0"/>
              <w:jc w:val="both"/>
              <w:rPr>
                <w:rFonts w:ascii="ITC Avant Garde" w:hAnsi="ITC Avant Garde" w:cs="Arial"/>
                <w:sz w:val="18"/>
                <w:szCs w:val="18"/>
                <w:lang w:eastAsia="es-MX"/>
              </w:rPr>
            </w:pPr>
            <w:r w:rsidRPr="00724A07">
              <w:rPr>
                <w:rFonts w:ascii="ITC Avant Garde" w:hAnsi="ITC Avant Garde" w:cs="Arial"/>
                <w:sz w:val="18"/>
                <w:szCs w:val="18"/>
              </w:rPr>
              <w:t>El producto donde se investiga una PMR, la existencia de un insumo esencial, barreras a la competencia o PSM, y</w:t>
            </w:r>
          </w:p>
          <w:p w14:paraId="2D159651" w14:textId="77777777" w:rsidR="001455F3" w:rsidRPr="00724A07" w:rsidRDefault="001455F3" w:rsidP="001455F3">
            <w:pPr>
              <w:pStyle w:val="Prrafodelista"/>
              <w:spacing w:after="0"/>
              <w:ind w:left="709"/>
              <w:contextualSpacing w:val="0"/>
              <w:jc w:val="both"/>
              <w:rPr>
                <w:rFonts w:ascii="ITC Avant Garde" w:hAnsi="ITC Avant Garde" w:cs="Arial"/>
                <w:sz w:val="18"/>
                <w:szCs w:val="18"/>
                <w:lang w:eastAsia="es-MX"/>
              </w:rPr>
            </w:pPr>
          </w:p>
          <w:p w14:paraId="30347ABE" w14:textId="77777777" w:rsidR="001455F3" w:rsidRPr="00724A07" w:rsidRDefault="001455F3" w:rsidP="001455F3">
            <w:pPr>
              <w:pStyle w:val="Prrafodelista"/>
              <w:numPr>
                <w:ilvl w:val="0"/>
                <w:numId w:val="32"/>
              </w:numPr>
              <w:spacing w:after="0"/>
              <w:ind w:left="709" w:hanging="567"/>
              <w:contextualSpacing w:val="0"/>
              <w:jc w:val="both"/>
              <w:rPr>
                <w:rFonts w:ascii="ITC Avant Garde" w:hAnsi="ITC Avant Garde" w:cs="Arial"/>
                <w:sz w:val="18"/>
                <w:szCs w:val="18"/>
                <w:lang w:eastAsia="es-MX"/>
              </w:rPr>
            </w:pPr>
            <w:r w:rsidRPr="00724A07">
              <w:rPr>
                <w:rFonts w:ascii="ITC Avant Garde" w:hAnsi="ITC Avant Garde" w:cs="Arial"/>
                <w:sz w:val="18"/>
                <w:szCs w:val="18"/>
                <w:lang w:eastAsia="es-MX"/>
              </w:rPr>
              <w:t>Las condiciones de mercado (por ejemplo, el producto con mayor volumen de consumo entre los consumidores o usuarios).</w:t>
            </w:r>
          </w:p>
          <w:p w14:paraId="17F92985" w14:textId="46CE994C" w:rsidR="001455F3" w:rsidRPr="00724A07" w:rsidRDefault="001455F3" w:rsidP="00302B76">
            <w:pPr>
              <w:spacing w:after="0" w:line="240" w:lineRule="auto"/>
              <w:jc w:val="both"/>
              <w:rPr>
                <w:rFonts w:ascii="ITC Avant Garde" w:hAnsi="ITC Avant Garde" w:cs="Arial"/>
                <w:sz w:val="18"/>
                <w:szCs w:val="18"/>
                <w:lang w:val="x-none"/>
              </w:rPr>
            </w:pPr>
          </w:p>
        </w:tc>
        <w:tc>
          <w:tcPr>
            <w:tcW w:w="4830" w:type="dxa"/>
            <w:shd w:val="clear" w:color="auto" w:fill="auto"/>
          </w:tcPr>
          <w:p w14:paraId="3F5E8944" w14:textId="428AEB3E" w:rsidR="001455F3" w:rsidRPr="00724A07" w:rsidRDefault="001455F3" w:rsidP="001455F3">
            <w:pPr>
              <w:jc w:val="both"/>
              <w:rPr>
                <w:rFonts w:ascii="ITC Avant Garde" w:hAnsi="ITC Avant Garde" w:cs="Arial"/>
                <w:b/>
                <w:bCs/>
                <w:sz w:val="18"/>
                <w:szCs w:val="18"/>
              </w:rPr>
            </w:pPr>
            <w:r w:rsidRPr="00724A07">
              <w:rPr>
                <w:rFonts w:ascii="ITC Avant Garde" w:hAnsi="ITC Avant Garde" w:cs="Arial"/>
                <w:b/>
                <w:bCs/>
                <w:sz w:val="18"/>
                <w:szCs w:val="18"/>
              </w:rPr>
              <w:t>5.3.1.</w:t>
            </w:r>
            <w:r w:rsidRPr="00724A07">
              <w:rPr>
                <w:rFonts w:ascii="ITC Avant Garde" w:hAnsi="ITC Avant Garde" w:cs="Arial"/>
                <w:b/>
                <w:bCs/>
                <w:sz w:val="18"/>
                <w:szCs w:val="18"/>
              </w:rPr>
              <w:tab/>
              <w:t>Producto focal</w:t>
            </w:r>
          </w:p>
          <w:p w14:paraId="42C70CCB" w14:textId="3002474B" w:rsidR="00620362" w:rsidRPr="00724A07" w:rsidRDefault="001455F3" w:rsidP="001455F3">
            <w:pPr>
              <w:jc w:val="both"/>
              <w:rPr>
                <w:rFonts w:ascii="ITC Avant Garde" w:hAnsi="ITC Avant Garde" w:cs="Arial"/>
                <w:sz w:val="18"/>
                <w:szCs w:val="18"/>
                <w:u w:val="single"/>
                <w:lang w:eastAsia="es-MX"/>
              </w:rPr>
            </w:pPr>
            <w:r w:rsidRPr="00724A07">
              <w:rPr>
                <w:rFonts w:ascii="ITC Avant Garde" w:hAnsi="ITC Avant Garde" w:cs="Arial"/>
                <w:sz w:val="18"/>
                <w:szCs w:val="18"/>
              </w:rPr>
              <w:t xml:space="preserve">Para delimitar el MR en su dimensión producto, el Instituto iniciará con la identificación del </w:t>
            </w:r>
            <w:r w:rsidRPr="00724A07">
              <w:rPr>
                <w:rFonts w:ascii="ITC Avant Garde" w:hAnsi="ITC Avant Garde" w:cs="Arial"/>
                <w:b/>
                <w:sz w:val="18"/>
                <w:szCs w:val="18"/>
              </w:rPr>
              <w:t>producto de interés</w:t>
            </w:r>
            <w:r w:rsidRPr="00724A07">
              <w:rPr>
                <w:rFonts w:ascii="ITC Avant Garde" w:hAnsi="ITC Avant Garde" w:cs="Arial"/>
                <w:sz w:val="18"/>
                <w:szCs w:val="18"/>
              </w:rPr>
              <w:t xml:space="preserve"> (producto focal), </w:t>
            </w:r>
            <w:r w:rsidRPr="00724A07">
              <w:rPr>
                <w:rFonts w:ascii="ITC Avant Garde" w:hAnsi="ITC Avant Garde" w:cs="Arial"/>
                <w:sz w:val="18"/>
                <w:szCs w:val="18"/>
                <w:u w:val="single"/>
              </w:rPr>
              <w:t>que consiste en el producto que se encuentra bajo análisis o investigación,</w:t>
            </w:r>
            <w:r w:rsidRPr="00724A07">
              <w:rPr>
                <w:rFonts w:ascii="ITC Avant Garde" w:hAnsi="ITC Avant Garde" w:cs="Arial"/>
                <w:sz w:val="18"/>
                <w:szCs w:val="18"/>
              </w:rPr>
              <w:t xml:space="preserve"> </w:t>
            </w:r>
            <w:r w:rsidRPr="00724A07">
              <w:rPr>
                <w:rFonts w:ascii="ITC Avant Garde" w:hAnsi="ITC Avant Garde" w:cs="Arial"/>
                <w:sz w:val="18"/>
                <w:szCs w:val="18"/>
                <w:lang w:eastAsia="es-MX"/>
              </w:rPr>
              <w:t>conforme al caso de que se trate</w:t>
            </w:r>
            <w:r w:rsidR="00486A01">
              <w:rPr>
                <w:rFonts w:ascii="ITC Avant Garde" w:hAnsi="ITC Avant Garde" w:cs="Arial"/>
                <w:sz w:val="18"/>
                <w:szCs w:val="18"/>
                <w:lang w:eastAsia="es-MX"/>
              </w:rPr>
              <w:t>,</w:t>
            </w:r>
            <w:r w:rsidR="00620362" w:rsidRPr="00724A07">
              <w:rPr>
                <w:rFonts w:ascii="ITC Avant Garde" w:hAnsi="ITC Avant Garde" w:cs="Arial"/>
                <w:sz w:val="18"/>
                <w:szCs w:val="18"/>
                <w:lang w:eastAsia="es-MX"/>
              </w:rPr>
              <w:t xml:space="preserve"> </w:t>
            </w:r>
            <w:r w:rsidR="00620362" w:rsidRPr="00724A07">
              <w:rPr>
                <w:rFonts w:ascii="ITC Avant Garde" w:hAnsi="ITC Avant Garde" w:cs="Arial"/>
                <w:sz w:val="18"/>
                <w:szCs w:val="18"/>
                <w:u w:val="single"/>
                <w:lang w:eastAsia="es-MX"/>
              </w:rPr>
              <w:t>en particular:</w:t>
            </w:r>
          </w:p>
          <w:p w14:paraId="21F05272" w14:textId="39F28143" w:rsidR="001455F3" w:rsidRPr="00724A07" w:rsidRDefault="00620362" w:rsidP="001455F3">
            <w:pPr>
              <w:pStyle w:val="Prrafodelista"/>
              <w:numPr>
                <w:ilvl w:val="0"/>
                <w:numId w:val="32"/>
              </w:numPr>
              <w:spacing w:after="0"/>
              <w:ind w:left="709" w:hanging="567"/>
              <w:contextualSpacing w:val="0"/>
              <w:jc w:val="both"/>
              <w:rPr>
                <w:rFonts w:ascii="ITC Avant Garde" w:hAnsi="ITC Avant Garde" w:cs="Arial"/>
                <w:sz w:val="18"/>
                <w:szCs w:val="18"/>
                <w:lang w:eastAsia="es-MX"/>
              </w:rPr>
            </w:pPr>
            <w:bookmarkStart w:id="19" w:name="_Hlk85143402"/>
            <w:r w:rsidRPr="00724A07">
              <w:rPr>
                <w:rFonts w:ascii="ITC Avant Garde" w:hAnsi="ITC Avant Garde" w:cs="Arial"/>
                <w:sz w:val="18"/>
                <w:szCs w:val="18"/>
                <w:u w:val="single"/>
                <w:lang w:val="es-MX"/>
              </w:rPr>
              <w:t>El producto en cuya provisión participan</w:t>
            </w:r>
            <w:r w:rsidRPr="00724A07">
              <w:rPr>
                <w:rFonts w:ascii="ITC Avant Garde" w:hAnsi="ITC Avant Garde" w:cs="Arial"/>
                <w:sz w:val="18"/>
                <w:szCs w:val="18"/>
                <w:lang w:val="es-MX"/>
              </w:rPr>
              <w:t xml:space="preserve"> </w:t>
            </w:r>
            <w:bookmarkEnd w:id="19"/>
            <w:r w:rsidR="001455F3" w:rsidRPr="00724A07">
              <w:rPr>
                <w:rFonts w:ascii="ITC Avant Garde" w:hAnsi="ITC Avant Garde" w:cs="Arial"/>
                <w:sz w:val="18"/>
                <w:szCs w:val="18"/>
              </w:rPr>
              <w:t>los AE involucrados en una concentración</w:t>
            </w:r>
            <w:r w:rsidR="005C64AD" w:rsidRPr="00724A07">
              <w:rPr>
                <w:rFonts w:ascii="ITC Avant Garde" w:hAnsi="ITC Avant Garde" w:cs="Arial"/>
                <w:sz w:val="18"/>
                <w:szCs w:val="18"/>
                <w:lang w:val="es-MX"/>
              </w:rPr>
              <w:t xml:space="preserve">, </w:t>
            </w:r>
            <w:r w:rsidR="005C64AD" w:rsidRPr="00724A07">
              <w:rPr>
                <w:rFonts w:ascii="ITC Avant Garde" w:hAnsi="ITC Avant Garde" w:cs="Arial"/>
                <w:sz w:val="18"/>
                <w:szCs w:val="18"/>
                <w:u w:val="single"/>
                <w:lang w:val="es-MX"/>
              </w:rPr>
              <w:t>acuerdo</w:t>
            </w:r>
            <w:r w:rsidR="001455F3" w:rsidRPr="00724A07">
              <w:rPr>
                <w:rFonts w:ascii="ITC Avant Garde" w:hAnsi="ITC Avant Garde" w:cs="Arial"/>
                <w:sz w:val="18"/>
                <w:szCs w:val="18"/>
              </w:rPr>
              <w:t xml:space="preserve"> o cesión de derechos de concesiones,</w:t>
            </w:r>
          </w:p>
          <w:p w14:paraId="1B97A254" w14:textId="77777777" w:rsidR="001455F3" w:rsidRPr="00724A07" w:rsidRDefault="001455F3" w:rsidP="001455F3">
            <w:pPr>
              <w:pStyle w:val="Prrafodelista"/>
              <w:spacing w:after="0"/>
              <w:ind w:left="709"/>
              <w:contextualSpacing w:val="0"/>
              <w:jc w:val="both"/>
              <w:rPr>
                <w:rFonts w:ascii="ITC Avant Garde" w:hAnsi="ITC Avant Garde" w:cs="Arial"/>
                <w:sz w:val="18"/>
                <w:szCs w:val="18"/>
                <w:lang w:eastAsia="es-MX"/>
              </w:rPr>
            </w:pPr>
          </w:p>
          <w:p w14:paraId="233B2BDC" w14:textId="563EC2A4" w:rsidR="001455F3" w:rsidRPr="00724A07" w:rsidRDefault="001455F3" w:rsidP="001455F3">
            <w:pPr>
              <w:pStyle w:val="Prrafodelista"/>
              <w:numPr>
                <w:ilvl w:val="0"/>
                <w:numId w:val="32"/>
              </w:numPr>
              <w:spacing w:after="0"/>
              <w:ind w:left="709" w:hanging="567"/>
              <w:contextualSpacing w:val="0"/>
              <w:jc w:val="both"/>
              <w:rPr>
                <w:rFonts w:ascii="ITC Avant Garde" w:hAnsi="ITC Avant Garde" w:cs="Arial"/>
                <w:sz w:val="18"/>
                <w:szCs w:val="18"/>
                <w:lang w:eastAsia="es-MX"/>
              </w:rPr>
            </w:pPr>
            <w:r w:rsidRPr="009B0A96">
              <w:rPr>
                <w:rFonts w:ascii="ITC Avant Garde" w:hAnsi="ITC Avant Garde" w:cs="Arial"/>
                <w:sz w:val="18"/>
                <w:szCs w:val="18"/>
                <w:u w:val="single"/>
              </w:rPr>
              <w:t xml:space="preserve">El producto </w:t>
            </w:r>
            <w:r w:rsidR="00620362" w:rsidRPr="00724A07">
              <w:rPr>
                <w:rFonts w:ascii="ITC Avant Garde" w:hAnsi="ITC Avant Garde" w:cs="Arial"/>
                <w:sz w:val="18"/>
                <w:szCs w:val="18"/>
                <w:u w:val="single"/>
                <w:lang w:val="es-MX"/>
              </w:rPr>
              <w:t xml:space="preserve">para </w:t>
            </w:r>
            <w:r w:rsidR="00D24191">
              <w:rPr>
                <w:rFonts w:ascii="ITC Avant Garde" w:hAnsi="ITC Avant Garde" w:cs="Arial"/>
                <w:sz w:val="18"/>
                <w:szCs w:val="18"/>
                <w:u w:val="single"/>
                <w:lang w:val="es-MX"/>
              </w:rPr>
              <w:t>el</w:t>
            </w:r>
            <w:r w:rsidR="00620362" w:rsidRPr="00724A07">
              <w:rPr>
                <w:rFonts w:ascii="ITC Avant Garde" w:hAnsi="ITC Avant Garde" w:cs="Arial"/>
                <w:sz w:val="18"/>
                <w:szCs w:val="18"/>
                <w:u w:val="single"/>
                <w:lang w:val="es-MX"/>
              </w:rPr>
              <w:t xml:space="preserve"> cual </w:t>
            </w:r>
            <w:r w:rsidRPr="00724A07">
              <w:rPr>
                <w:rFonts w:ascii="ITC Avant Garde" w:hAnsi="ITC Avant Garde" w:cs="Arial"/>
                <w:sz w:val="18"/>
                <w:szCs w:val="18"/>
              </w:rPr>
              <w:t>se investiga una PMR, la existencia de un insumo esencial, barreras a la competencia o PSM, y</w:t>
            </w:r>
          </w:p>
          <w:p w14:paraId="300E6B5E" w14:textId="77777777" w:rsidR="001455F3" w:rsidRPr="00724A07" w:rsidRDefault="001455F3" w:rsidP="001455F3">
            <w:pPr>
              <w:pStyle w:val="Prrafodelista"/>
              <w:spacing w:after="0"/>
              <w:ind w:left="709"/>
              <w:contextualSpacing w:val="0"/>
              <w:jc w:val="both"/>
              <w:rPr>
                <w:rFonts w:ascii="ITC Avant Garde" w:hAnsi="ITC Avant Garde" w:cs="Arial"/>
                <w:sz w:val="18"/>
                <w:szCs w:val="18"/>
                <w:lang w:eastAsia="es-MX"/>
              </w:rPr>
            </w:pPr>
          </w:p>
          <w:p w14:paraId="3439C3D3" w14:textId="40BDF654" w:rsidR="001455F3" w:rsidRPr="00724A07" w:rsidRDefault="00620362" w:rsidP="001455F3">
            <w:pPr>
              <w:pStyle w:val="Prrafodelista"/>
              <w:numPr>
                <w:ilvl w:val="0"/>
                <w:numId w:val="32"/>
              </w:numPr>
              <w:spacing w:after="0"/>
              <w:ind w:left="709" w:hanging="567"/>
              <w:contextualSpacing w:val="0"/>
              <w:jc w:val="both"/>
              <w:rPr>
                <w:rFonts w:ascii="ITC Avant Garde" w:hAnsi="ITC Avant Garde" w:cs="Arial"/>
                <w:sz w:val="18"/>
                <w:szCs w:val="18"/>
                <w:lang w:eastAsia="es-MX"/>
              </w:rPr>
            </w:pPr>
            <w:bookmarkStart w:id="20" w:name="_Hlk84501718"/>
            <w:r w:rsidRPr="00724A07">
              <w:rPr>
                <w:rFonts w:ascii="ITC Avant Garde" w:hAnsi="ITC Avant Garde" w:cs="Arial"/>
                <w:sz w:val="18"/>
                <w:szCs w:val="18"/>
                <w:u w:val="single"/>
                <w:lang w:val="es-MX" w:eastAsia="es-MX"/>
              </w:rPr>
              <w:t>El producto para el cual se quiere conocer</w:t>
            </w:r>
            <w:r w:rsidRPr="009B0A96">
              <w:rPr>
                <w:rFonts w:ascii="ITC Avant Garde" w:hAnsi="ITC Avant Garde" w:cs="Arial"/>
                <w:sz w:val="18"/>
                <w:szCs w:val="18"/>
                <w:lang w:val="es-MX" w:eastAsia="es-MX"/>
              </w:rPr>
              <w:t xml:space="preserve"> </w:t>
            </w:r>
            <w:bookmarkEnd w:id="20"/>
            <w:r w:rsidRPr="009B0A96">
              <w:rPr>
                <w:rFonts w:ascii="ITC Avant Garde" w:hAnsi="ITC Avant Garde" w:cs="Arial"/>
                <w:sz w:val="18"/>
                <w:szCs w:val="18"/>
                <w:lang w:val="es-MX" w:eastAsia="es-MX"/>
              </w:rPr>
              <w:t>sus</w:t>
            </w:r>
            <w:r w:rsidR="001455F3" w:rsidRPr="00724A07">
              <w:rPr>
                <w:rFonts w:ascii="ITC Avant Garde" w:hAnsi="ITC Avant Garde" w:cs="Arial"/>
                <w:sz w:val="18"/>
                <w:szCs w:val="18"/>
                <w:lang w:eastAsia="es-MX"/>
              </w:rPr>
              <w:t xml:space="preserve"> condiciones de mercado (por ejemplo, el producto con mayor volumen de consumo entre los consumidores o usuarios).</w:t>
            </w:r>
          </w:p>
          <w:p w14:paraId="2BDC5D47" w14:textId="0B35FB34" w:rsidR="005C64AD" w:rsidRPr="00724A07" w:rsidRDefault="00620362" w:rsidP="00302B76">
            <w:pPr>
              <w:spacing w:after="0" w:line="240" w:lineRule="auto"/>
              <w:jc w:val="both"/>
              <w:rPr>
                <w:rFonts w:ascii="ITC Avant Garde" w:hAnsi="ITC Avant Garde" w:cs="Arial"/>
                <w:sz w:val="18"/>
                <w:szCs w:val="18"/>
                <w:u w:val="single"/>
              </w:rPr>
            </w:pPr>
            <w:bookmarkStart w:id="21" w:name="_Hlk84501853"/>
            <w:r w:rsidRPr="00724A07">
              <w:rPr>
                <w:rFonts w:ascii="ITC Avant Garde" w:hAnsi="ITC Avant Garde" w:cs="Arial"/>
                <w:sz w:val="18"/>
                <w:szCs w:val="18"/>
                <w:u w:val="single"/>
              </w:rPr>
              <w:t>A efecto de lo anterior, el Instituto podría emplear información contenida en documentos o registros internos que proporcionen los propios AE, estudios de mercado, encuestas u otros documentos que se encuentren disponible</w:t>
            </w:r>
            <w:r w:rsidR="005C64AD" w:rsidRPr="00724A07">
              <w:rPr>
                <w:rFonts w:ascii="ITC Avant Garde" w:hAnsi="ITC Avant Garde" w:cs="Arial"/>
                <w:sz w:val="18"/>
                <w:szCs w:val="18"/>
                <w:u w:val="single"/>
              </w:rPr>
              <w:t xml:space="preserve">s al momento de realizar el análisis. </w:t>
            </w:r>
          </w:p>
          <w:p w14:paraId="725F8CBA" w14:textId="77777777" w:rsidR="005C64AD" w:rsidRPr="00724A07" w:rsidRDefault="005C64AD" w:rsidP="00302B76">
            <w:pPr>
              <w:spacing w:after="0" w:line="240" w:lineRule="auto"/>
              <w:jc w:val="both"/>
              <w:rPr>
                <w:rFonts w:ascii="ITC Avant Garde" w:hAnsi="ITC Avant Garde" w:cs="Arial"/>
                <w:sz w:val="18"/>
                <w:szCs w:val="18"/>
                <w:u w:val="single"/>
              </w:rPr>
            </w:pPr>
          </w:p>
          <w:p w14:paraId="4D055628" w14:textId="575A8F20" w:rsidR="005C64AD" w:rsidRPr="00724A07" w:rsidRDefault="005C64AD" w:rsidP="00302B76">
            <w:pPr>
              <w:spacing w:after="0" w:line="240" w:lineRule="auto"/>
              <w:jc w:val="both"/>
              <w:rPr>
                <w:rFonts w:ascii="ITC Avant Garde" w:hAnsi="ITC Avant Garde" w:cs="Arial"/>
                <w:sz w:val="18"/>
                <w:szCs w:val="18"/>
                <w:u w:val="single"/>
              </w:rPr>
            </w:pPr>
            <w:r w:rsidRPr="00724A07">
              <w:rPr>
                <w:rFonts w:ascii="ITC Avant Garde" w:hAnsi="ITC Avant Garde" w:cs="Arial"/>
                <w:sz w:val="18"/>
                <w:szCs w:val="18"/>
                <w:u w:val="single"/>
              </w:rPr>
              <w:t xml:space="preserve">Por otra parte, si el análisis o investigación comprende más de un producto, cada uno de ellos se podrá considerar como un producto focal. Por ejemplo, en el caso de una concentración en la que dos empresas coincidan, tanto en la provisión de servicios móviles, como en la provisión </w:t>
            </w:r>
            <w:r w:rsidR="00D24191">
              <w:rPr>
                <w:rFonts w:ascii="ITC Avant Garde" w:hAnsi="ITC Avant Garde" w:cs="Arial"/>
                <w:sz w:val="18"/>
                <w:szCs w:val="18"/>
                <w:u w:val="single"/>
              </w:rPr>
              <w:t>del servicio de banda ancha fija</w:t>
            </w:r>
            <w:r w:rsidRPr="00724A07">
              <w:rPr>
                <w:rFonts w:ascii="ITC Avant Garde" w:hAnsi="ITC Avant Garde" w:cs="Arial"/>
                <w:sz w:val="18"/>
                <w:szCs w:val="18"/>
                <w:u w:val="single"/>
              </w:rPr>
              <w:t>.</w:t>
            </w:r>
            <w:bookmarkEnd w:id="21"/>
          </w:p>
        </w:tc>
      </w:tr>
    </w:tbl>
    <w:p w14:paraId="75FDF184" w14:textId="77777777" w:rsidR="00887937" w:rsidRPr="00724A07" w:rsidRDefault="00887937" w:rsidP="00791545">
      <w:pPr>
        <w:spacing w:before="120" w:after="120" w:line="240" w:lineRule="auto"/>
        <w:jc w:val="both"/>
        <w:rPr>
          <w:rFonts w:ascii="ITC Avant Garde" w:hAnsi="ITC Avant Garde"/>
          <w:i/>
          <w:iCs/>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25337D" w:rsidRPr="00724A07" w14:paraId="0850DF80" w14:textId="77777777" w:rsidTr="00887937">
        <w:trPr>
          <w:trHeight w:val="276"/>
          <w:jc w:val="center"/>
        </w:trPr>
        <w:tc>
          <w:tcPr>
            <w:tcW w:w="9785" w:type="dxa"/>
            <w:shd w:val="clear" w:color="auto" w:fill="92D050"/>
            <w:vAlign w:val="center"/>
          </w:tcPr>
          <w:p w14:paraId="5351E87D" w14:textId="6948C0C4" w:rsidR="0025337D" w:rsidRPr="00724A07" w:rsidRDefault="0025337D" w:rsidP="00A00520">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COFECE</w:t>
            </w:r>
          </w:p>
        </w:tc>
      </w:tr>
      <w:tr w:rsidR="0025337D" w:rsidRPr="00724A07" w14:paraId="6B4CF3EE" w14:textId="77777777" w:rsidTr="00887937">
        <w:trPr>
          <w:trHeight w:val="443"/>
          <w:jc w:val="center"/>
        </w:trPr>
        <w:tc>
          <w:tcPr>
            <w:tcW w:w="9785" w:type="dxa"/>
            <w:shd w:val="clear" w:color="auto" w:fill="E2EFD9" w:themeFill="accent6" w:themeFillTint="33"/>
            <w:vAlign w:val="center"/>
          </w:tcPr>
          <w:p w14:paraId="4FAAECD8" w14:textId="29054506" w:rsidR="0025337D" w:rsidRPr="00724A07" w:rsidRDefault="00C7449E" w:rsidP="003322FF">
            <w:pPr>
              <w:pStyle w:val="Default"/>
              <w:spacing w:before="120" w:after="120"/>
              <w:jc w:val="both"/>
              <w:rPr>
                <w:rFonts w:ascii="ITC Avant Garde" w:hAnsi="ITC Avant Garde"/>
                <w:i/>
                <w:sz w:val="18"/>
                <w:szCs w:val="18"/>
              </w:rPr>
            </w:pPr>
            <w:r w:rsidRPr="007C2396">
              <w:rPr>
                <w:rFonts w:ascii="ITC Avant Garde" w:hAnsi="ITC Avant Garde"/>
                <w:i/>
                <w:sz w:val="18"/>
                <w:szCs w:val="18"/>
              </w:rPr>
              <w:t>“Se sugiere aclarar que los márgenes de ganancia pueden ser difíciles de medir en la práctica porque los márgenes contables, que son la información que usualmente se encuentra disponible sobre márgenes, generalmente no corresponden a márgenes económicos para el cambio de producción considerado.”</w:t>
            </w:r>
          </w:p>
        </w:tc>
      </w:tr>
    </w:tbl>
    <w:p w14:paraId="541683A0" w14:textId="77777777" w:rsidR="00887937" w:rsidRDefault="00887937" w:rsidP="00887937">
      <w:pPr>
        <w:spacing w:after="120" w:line="240" w:lineRule="auto"/>
        <w:jc w:val="both"/>
        <w:rPr>
          <w:rFonts w:ascii="ITC Avant Garde" w:hAnsi="ITC Avant Garde"/>
          <w:b/>
          <w:bCs/>
        </w:rPr>
      </w:pPr>
    </w:p>
    <w:p w14:paraId="0236ED06" w14:textId="4E0C9755" w:rsidR="0025337D" w:rsidRPr="00724A07" w:rsidRDefault="0025337D" w:rsidP="0025337D">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1AFFDD60" w14:textId="6F46AC2C" w:rsidR="001D55F6" w:rsidRPr="00724A07" w:rsidRDefault="0025337D" w:rsidP="00887937">
      <w:pPr>
        <w:spacing w:after="24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 la sugerencia de la COFECE</w:t>
      </w:r>
      <w:r w:rsidR="00670D0A" w:rsidRPr="00724A07">
        <w:rPr>
          <w:rFonts w:ascii="ITC Avant Garde" w:hAnsi="ITC Avant Garde"/>
        </w:rPr>
        <w:t>,</w:t>
      </w:r>
      <w:r w:rsidRPr="00724A07">
        <w:rPr>
          <w:rFonts w:ascii="ITC Avant Garde" w:hAnsi="ITC Avant Garde"/>
        </w:rPr>
        <w:t xml:space="preserve"> respecto a que el Anteproyecto de Guía debería </w:t>
      </w:r>
      <w:r w:rsidR="00BA5AA1" w:rsidRPr="00724A07">
        <w:rPr>
          <w:rFonts w:ascii="ITC Avant Garde" w:hAnsi="ITC Avant Garde"/>
        </w:rPr>
        <w:t>reconocer que en la práctica la información del margen de ganancia puede ser difícil de obtener,</w:t>
      </w:r>
      <w:r w:rsidRPr="00724A07">
        <w:rPr>
          <w:rFonts w:ascii="ITC Avant Garde" w:hAnsi="ITC Avant Garde"/>
        </w:rPr>
        <w:t xml:space="preserve"> se considera </w:t>
      </w:r>
      <w:r w:rsidR="006A1D8B">
        <w:rPr>
          <w:rFonts w:ascii="ITC Avant Garde" w:hAnsi="ITC Avant Garde"/>
        </w:rPr>
        <w:t>im</w:t>
      </w:r>
      <w:r w:rsidRPr="00724A07">
        <w:rPr>
          <w:rFonts w:ascii="ITC Avant Garde" w:hAnsi="ITC Avant Garde"/>
        </w:rPr>
        <w:t>procedente. Lo anterior ya que el Anteproyecto de Guía</w:t>
      </w:r>
      <w:r w:rsidR="006A1D8B">
        <w:rPr>
          <w:rFonts w:ascii="ITC Avant Garde" w:hAnsi="ITC Avant Garde"/>
        </w:rPr>
        <w:t xml:space="preserve"> señala que el Instituto </w:t>
      </w:r>
      <w:r w:rsidR="006A1D8B" w:rsidRPr="006A1D8B">
        <w:rPr>
          <w:rFonts w:ascii="ITC Avant Garde" w:hAnsi="ITC Avant Garde"/>
        </w:rPr>
        <w:t>determinará los MR haciendo uso de la mejor información y evidencia disponibles</w:t>
      </w:r>
      <w:r w:rsidRPr="00724A07">
        <w:rPr>
          <w:rFonts w:ascii="ITC Avant Garde" w:hAnsi="ITC Avant Garde"/>
        </w:rPr>
        <w:t xml:space="preserve">. </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3322FF" w:rsidRPr="00724A07" w14:paraId="4544159A" w14:textId="77777777" w:rsidTr="00887937">
        <w:trPr>
          <w:trHeight w:val="276"/>
          <w:jc w:val="center"/>
        </w:trPr>
        <w:tc>
          <w:tcPr>
            <w:tcW w:w="9785" w:type="dxa"/>
            <w:shd w:val="clear" w:color="auto" w:fill="92D050"/>
            <w:vAlign w:val="center"/>
          </w:tcPr>
          <w:p w14:paraId="54D6889F" w14:textId="27180808" w:rsidR="003322FF" w:rsidRPr="00724A07" w:rsidRDefault="003322FF" w:rsidP="00A00520">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COFECE</w:t>
            </w:r>
          </w:p>
        </w:tc>
      </w:tr>
      <w:tr w:rsidR="003322FF" w:rsidRPr="00724A07" w14:paraId="01DAE76E" w14:textId="77777777" w:rsidTr="00887937">
        <w:trPr>
          <w:trHeight w:val="443"/>
          <w:jc w:val="center"/>
        </w:trPr>
        <w:tc>
          <w:tcPr>
            <w:tcW w:w="9785" w:type="dxa"/>
            <w:shd w:val="clear" w:color="auto" w:fill="E2EFD9" w:themeFill="accent6" w:themeFillTint="33"/>
            <w:vAlign w:val="center"/>
          </w:tcPr>
          <w:p w14:paraId="674FF79B" w14:textId="75D5A646" w:rsidR="003322FF" w:rsidRPr="00724A07" w:rsidRDefault="00D40DB8" w:rsidP="003322FF">
            <w:pPr>
              <w:pStyle w:val="Default"/>
              <w:spacing w:before="120" w:after="120"/>
              <w:jc w:val="both"/>
              <w:rPr>
                <w:rFonts w:ascii="ITC Avant Garde" w:hAnsi="ITC Avant Garde"/>
                <w:i/>
                <w:sz w:val="18"/>
                <w:szCs w:val="18"/>
              </w:rPr>
            </w:pPr>
            <w:r w:rsidRPr="007C2396">
              <w:rPr>
                <w:rFonts w:ascii="ITC Avant Garde" w:hAnsi="ITC Avant Garde"/>
                <w:i/>
                <w:sz w:val="18"/>
                <w:szCs w:val="18"/>
              </w:rPr>
              <w:t xml:space="preserve">“Se sugiere señalar que la elasticidad precio de la demanda es una herramienta más útil para medir, de forma suplementaria, el poder de mercado. Se prefiere la elasticidad cruzada para un análisis puntual de sustitución, pues es más certero para identificar sustitutos o complementos </w:t>
            </w:r>
            <w:r w:rsidRPr="00A331FE">
              <w:rPr>
                <w:rFonts w:ascii="ITC Avant Garde" w:hAnsi="ITC Avant Garde"/>
                <w:iCs/>
                <w:sz w:val="18"/>
                <w:szCs w:val="18"/>
              </w:rPr>
              <w:t>(…)</w:t>
            </w:r>
            <w:r w:rsidRPr="007C2396">
              <w:rPr>
                <w:rFonts w:ascii="ITC Avant Garde" w:hAnsi="ITC Avant Garde"/>
                <w:i/>
                <w:sz w:val="18"/>
                <w:szCs w:val="18"/>
              </w:rPr>
              <w:t>”</w:t>
            </w:r>
          </w:p>
        </w:tc>
      </w:tr>
    </w:tbl>
    <w:p w14:paraId="588A8328" w14:textId="5B6B109C" w:rsidR="003322FF" w:rsidRPr="00724A07" w:rsidRDefault="003322FF" w:rsidP="003322FF">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0A44A1FE" w14:textId="7A0007BF" w:rsidR="00A34334" w:rsidRPr="00724A07" w:rsidRDefault="003322FF" w:rsidP="00D52B25">
      <w:pPr>
        <w:spacing w:after="120" w:line="240" w:lineRule="auto"/>
        <w:jc w:val="both"/>
        <w:rPr>
          <w:rFonts w:ascii="ITC Avant Garde" w:hAnsi="ITC Avant Garde"/>
        </w:rPr>
      </w:pPr>
      <w:r w:rsidRPr="00724A07">
        <w:rPr>
          <w:rFonts w:ascii="ITC Avant Garde" w:hAnsi="ITC Avant Garde"/>
        </w:rPr>
        <w:t>Con respecto al comentario de la COFECE</w:t>
      </w:r>
      <w:r w:rsidR="00016FF6" w:rsidRPr="00724A07">
        <w:rPr>
          <w:rFonts w:ascii="ITC Avant Garde" w:hAnsi="ITC Avant Garde"/>
        </w:rPr>
        <w:t>, respecto a que la elasticidad precio de la demanda puede ser una herramienta complementaria para medir el poder de mercado</w:t>
      </w:r>
      <w:r w:rsidRPr="00724A07">
        <w:rPr>
          <w:rFonts w:ascii="ITC Avant Garde" w:hAnsi="ITC Avant Garde"/>
        </w:rPr>
        <w:t xml:space="preserve">, se considera </w:t>
      </w:r>
      <w:r w:rsidR="0038646C">
        <w:rPr>
          <w:rFonts w:ascii="ITC Avant Garde" w:hAnsi="ITC Avant Garde"/>
        </w:rPr>
        <w:t>im</w:t>
      </w:r>
      <w:r w:rsidRPr="00724A07">
        <w:rPr>
          <w:rFonts w:ascii="ITC Avant Garde" w:hAnsi="ITC Avant Garde"/>
        </w:rPr>
        <w:t xml:space="preserve">procedente. Lo anterior </w:t>
      </w:r>
      <w:r w:rsidR="00D52B25" w:rsidRPr="00D52B25">
        <w:rPr>
          <w:rFonts w:ascii="ITC Avant Garde" w:hAnsi="ITC Avant Garde"/>
        </w:rPr>
        <w:t xml:space="preserve">toda vez que el objeto del Anteproyecto de Guía es establecer un marco de referencia que podrá seguir el Instituto para la determinación de MR en los sectores de </w:t>
      </w:r>
      <w:proofErr w:type="spellStart"/>
      <w:r w:rsidR="00D52B25" w:rsidRPr="00D52B25">
        <w:rPr>
          <w:rFonts w:ascii="ITC Avant Garde" w:hAnsi="ITC Avant Garde"/>
        </w:rPr>
        <w:t>TyR</w:t>
      </w:r>
      <w:proofErr w:type="spellEnd"/>
      <w:r w:rsidR="00D52B25" w:rsidRPr="00D52B25">
        <w:rPr>
          <w:rFonts w:ascii="ITC Avant Garde" w:hAnsi="ITC Avant Garde"/>
        </w:rPr>
        <w:t xml:space="preserve"> en asuntos que se tramiten en términos de la LFCE o de la LFTR. En este sentido, el Anteproyecto de Guía no busca definir </w:t>
      </w:r>
      <w:r w:rsidR="00D52B25">
        <w:rPr>
          <w:rFonts w:ascii="ITC Avant Garde" w:hAnsi="ITC Avant Garde"/>
        </w:rPr>
        <w:t>las herramientas para medir el “</w:t>
      </w:r>
      <w:r w:rsidR="00D52B25" w:rsidRPr="00D52B25">
        <w:rPr>
          <w:rFonts w:ascii="ITC Avant Garde" w:hAnsi="ITC Avant Garde"/>
          <w:i/>
          <w:iCs/>
        </w:rPr>
        <w:t>poder de mercado</w:t>
      </w:r>
      <w:r w:rsidR="00D52B25">
        <w:rPr>
          <w:rFonts w:ascii="ITC Avant Garde" w:hAnsi="ITC Avant Garde"/>
        </w:rPr>
        <w:t>”</w:t>
      </w:r>
      <w:r w:rsidR="00D52B25" w:rsidRPr="00D52B25">
        <w:rPr>
          <w:rFonts w:ascii="ITC Avant Garde" w:hAnsi="ITC Avant Garde"/>
        </w:rPr>
        <w:t>. No obstante, a efecto de dotar de mayor claridad a lo previsto en el Anteproyecto de Guía se considera procedente modificar la sección</w:t>
      </w:r>
      <w:r w:rsidR="00C469C4" w:rsidRPr="00724A07">
        <w:rPr>
          <w:rFonts w:ascii="ITC Avant Garde" w:hAnsi="ITC Avant Garde"/>
        </w:rPr>
        <w:t xml:space="preserve"> la sección “</w:t>
      </w:r>
      <w:r w:rsidR="00C469C4" w:rsidRPr="00724A07">
        <w:rPr>
          <w:rFonts w:ascii="ITC Avant Garde" w:hAnsi="ITC Avant Garde"/>
          <w:i/>
          <w:iCs/>
        </w:rPr>
        <w:t>5.3.3.</w:t>
      </w:r>
      <w:r w:rsidR="00663CFD" w:rsidRPr="00724A07">
        <w:rPr>
          <w:rFonts w:ascii="ITC Avant Garde" w:hAnsi="ITC Avant Garde"/>
          <w:i/>
          <w:iCs/>
        </w:rPr>
        <w:t>1. Sustitución</w:t>
      </w:r>
      <w:r w:rsidR="00C469C4" w:rsidRPr="00724A07">
        <w:rPr>
          <w:rFonts w:ascii="ITC Avant Garde" w:hAnsi="ITC Avant Garde"/>
          <w:i/>
          <w:iCs/>
        </w:rPr>
        <w:t xml:space="preserve"> por el lado de la demanda</w:t>
      </w:r>
      <w:r w:rsidR="00C469C4"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1739C3" w:rsidRPr="00724A07" w14:paraId="27CD6D8D" w14:textId="77777777" w:rsidTr="00887937">
        <w:trPr>
          <w:jc w:val="center"/>
        </w:trPr>
        <w:tc>
          <w:tcPr>
            <w:tcW w:w="4830" w:type="dxa"/>
            <w:shd w:val="clear" w:color="auto" w:fill="92D050"/>
            <w:vAlign w:val="center"/>
          </w:tcPr>
          <w:p w14:paraId="5C61B3B6" w14:textId="77777777" w:rsidR="00BA5AA1" w:rsidRPr="00724A07" w:rsidRDefault="00BA5AA1"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2B383EC9" w14:textId="77777777" w:rsidR="00BA5AA1" w:rsidRPr="00724A07" w:rsidRDefault="00BA5AA1"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BA5AA1" w:rsidRPr="00724A07" w14:paraId="314471B3" w14:textId="77777777" w:rsidTr="00DC367E">
        <w:trPr>
          <w:trHeight w:val="416"/>
          <w:jc w:val="center"/>
        </w:trPr>
        <w:tc>
          <w:tcPr>
            <w:tcW w:w="4830" w:type="dxa"/>
            <w:shd w:val="clear" w:color="auto" w:fill="auto"/>
          </w:tcPr>
          <w:p w14:paraId="0EF08D79" w14:textId="77777777" w:rsidR="00BA5AA1" w:rsidRPr="00724A07" w:rsidRDefault="00BA5AA1"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5.3.3.1.</w:t>
            </w:r>
            <w:r w:rsidRPr="00724A07">
              <w:rPr>
                <w:rFonts w:ascii="ITC Avant Garde" w:hAnsi="ITC Avant Garde" w:cs="Arial"/>
                <w:b/>
                <w:bCs/>
                <w:sz w:val="18"/>
                <w:szCs w:val="18"/>
              </w:rPr>
              <w:tab/>
              <w:t>Sustitución por el lado de la demanda</w:t>
            </w:r>
          </w:p>
          <w:p w14:paraId="3D7006DE" w14:textId="702132B4" w:rsidR="00BA5AA1" w:rsidRPr="00724A07" w:rsidRDefault="00BA5AA1"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Subapartado: •</w:t>
            </w:r>
            <w:r w:rsidRPr="00724A07">
              <w:rPr>
                <w:rFonts w:ascii="ITC Avant Garde" w:hAnsi="ITC Avant Garde" w:cs="Arial"/>
                <w:b/>
                <w:bCs/>
                <w:sz w:val="18"/>
                <w:szCs w:val="18"/>
              </w:rPr>
              <w:tab/>
              <w:t>Pruebas cuantitativas, por ejemplo, pruebas sobre la elasticidad de la demanda, evolución de precios y relaciones de causalidad (párrafo</w:t>
            </w:r>
            <w:r w:rsidR="001B4B75" w:rsidRPr="00724A07">
              <w:rPr>
                <w:rFonts w:ascii="ITC Avant Garde" w:hAnsi="ITC Avant Garde" w:cs="Arial"/>
                <w:b/>
                <w:bCs/>
                <w:sz w:val="18"/>
                <w:szCs w:val="18"/>
              </w:rPr>
              <w:t xml:space="preserve"> segundo</w:t>
            </w:r>
            <w:r w:rsidRPr="00724A07">
              <w:rPr>
                <w:rFonts w:ascii="ITC Avant Garde" w:hAnsi="ITC Avant Garde" w:cs="Arial"/>
                <w:b/>
                <w:bCs/>
                <w:sz w:val="18"/>
                <w:szCs w:val="18"/>
              </w:rPr>
              <w:t>)</w:t>
            </w:r>
          </w:p>
          <w:p w14:paraId="1BF9D17D" w14:textId="64022C7E" w:rsidR="00BA5AA1" w:rsidRPr="00724A07" w:rsidRDefault="00BA5AA1" w:rsidP="00A00520">
            <w:pPr>
              <w:spacing w:after="0" w:line="240" w:lineRule="auto"/>
              <w:jc w:val="both"/>
              <w:rPr>
                <w:rFonts w:ascii="ITC Avant Garde" w:hAnsi="ITC Avant Garde" w:cs="Arial"/>
                <w:sz w:val="18"/>
                <w:szCs w:val="18"/>
              </w:rPr>
            </w:pPr>
            <w:r w:rsidRPr="00724A07">
              <w:rPr>
                <w:rFonts w:ascii="ITC Avant Garde" w:hAnsi="ITC Avant Garde" w:cs="Arial"/>
                <w:sz w:val="18"/>
                <w:szCs w:val="18"/>
              </w:rPr>
              <w:t>Por ejemplo, las elasticidades de la demanda son medidas cuantitativas del grado de sensibilidad o respuesta de la cantidad que se demanda de un producto ante un cambio en su propio precio (elasticidad precio de la demanda) o ante un cambio en el precio de otro producto (elasticidad precio cruzada); cuando se observa un valor absoluto alto en la elasticidad precio de la demanda, significa que pequeños incrementos en el precio implican una caída importante de la cantidad demandada, lo cual puede deberse a la existencia de</w:t>
            </w:r>
            <w:r w:rsidR="00FC232C" w:rsidRPr="00724A07">
              <w:rPr>
                <w:rFonts w:ascii="ITC Avant Garde" w:hAnsi="ITC Avant Garde" w:cs="Arial"/>
                <w:sz w:val="18"/>
                <w:szCs w:val="18"/>
              </w:rPr>
              <w:t xml:space="preserve"> </w:t>
            </w:r>
            <w:r w:rsidRPr="00724A07">
              <w:rPr>
                <w:rFonts w:ascii="ITC Avant Garde" w:hAnsi="ITC Avant Garde" w:cs="Arial"/>
                <w:sz w:val="18"/>
                <w:szCs w:val="18"/>
              </w:rPr>
              <w:t>productos sustitutos. Asimismo, una alta y positiva elasticidad precio cruzada con algún otro producto específico representa un indicio de que ese producto es un sustituto del producto cuyo precio cambió y, por lo tanto, debería incluirse en el MR.</w:t>
            </w:r>
          </w:p>
        </w:tc>
        <w:tc>
          <w:tcPr>
            <w:tcW w:w="4830" w:type="dxa"/>
            <w:shd w:val="clear" w:color="auto" w:fill="auto"/>
          </w:tcPr>
          <w:p w14:paraId="62388CB7" w14:textId="77777777" w:rsidR="00BA5AA1" w:rsidRPr="00724A07" w:rsidRDefault="00BA5AA1" w:rsidP="00BA5AA1">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5.3.3.1.</w:t>
            </w:r>
            <w:r w:rsidRPr="00724A07">
              <w:rPr>
                <w:rFonts w:ascii="ITC Avant Garde" w:hAnsi="ITC Avant Garde" w:cs="Arial"/>
                <w:b/>
                <w:bCs/>
                <w:sz w:val="18"/>
                <w:szCs w:val="18"/>
              </w:rPr>
              <w:tab/>
              <w:t>Sustitución por el lado de la demanda</w:t>
            </w:r>
          </w:p>
          <w:p w14:paraId="2E7B3E32" w14:textId="44A30C84" w:rsidR="00BA5AA1" w:rsidRPr="00724A07" w:rsidRDefault="00BA5AA1" w:rsidP="00BA5AA1">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Subapartado: •</w:t>
            </w:r>
            <w:r w:rsidRPr="00724A07">
              <w:rPr>
                <w:rFonts w:ascii="ITC Avant Garde" w:hAnsi="ITC Avant Garde" w:cs="Arial"/>
                <w:b/>
                <w:bCs/>
                <w:sz w:val="18"/>
                <w:szCs w:val="18"/>
              </w:rPr>
              <w:tab/>
              <w:t>Pruebas cuantitativas, por ejemplo, pruebas sobre la elasticidad de la demanda, evolución de precios y relaciones de causalidad (párrafo</w:t>
            </w:r>
            <w:r w:rsidR="001B4B75" w:rsidRPr="00724A07">
              <w:rPr>
                <w:rFonts w:ascii="ITC Avant Garde" w:hAnsi="ITC Avant Garde" w:cs="Arial"/>
                <w:b/>
                <w:bCs/>
                <w:sz w:val="18"/>
                <w:szCs w:val="18"/>
              </w:rPr>
              <w:t xml:space="preserve"> segundo</w:t>
            </w:r>
            <w:r w:rsidRPr="00724A07">
              <w:rPr>
                <w:rFonts w:ascii="ITC Avant Garde" w:hAnsi="ITC Avant Garde" w:cs="Arial"/>
                <w:b/>
                <w:bCs/>
                <w:sz w:val="18"/>
                <w:szCs w:val="18"/>
              </w:rPr>
              <w:t>)</w:t>
            </w:r>
          </w:p>
          <w:p w14:paraId="49F403D9" w14:textId="064314AA" w:rsidR="00BA5AA1" w:rsidRPr="00724A07" w:rsidRDefault="00BA5AA1" w:rsidP="00BA5AA1">
            <w:pPr>
              <w:spacing w:after="0" w:line="240" w:lineRule="auto"/>
              <w:jc w:val="both"/>
              <w:rPr>
                <w:rFonts w:ascii="ITC Avant Garde" w:hAnsi="ITC Avant Garde" w:cs="Arial"/>
                <w:sz w:val="18"/>
                <w:szCs w:val="18"/>
                <w:u w:val="single"/>
              </w:rPr>
            </w:pPr>
            <w:r w:rsidRPr="00724A07">
              <w:rPr>
                <w:rFonts w:ascii="ITC Avant Garde" w:hAnsi="ITC Avant Garde" w:cs="Arial"/>
                <w:sz w:val="18"/>
                <w:szCs w:val="18"/>
              </w:rPr>
              <w:t>Por ejemplo, las elasticidades de la demanda son medidas cuantitativas del grado de sensibilidad o respuesta de la cantidad que se demanda de un producto ante un cambio en su propio precio (elasticidad precio de la demanda) o ante un cambio en el precio de otro producto (elasticidad precio cruzada)</w:t>
            </w:r>
            <w:r w:rsidR="00A34334" w:rsidRPr="00724A07">
              <w:rPr>
                <w:rFonts w:ascii="ITC Avant Garde" w:hAnsi="ITC Avant Garde" w:cs="Arial"/>
                <w:sz w:val="18"/>
                <w:szCs w:val="18"/>
              </w:rPr>
              <w:t xml:space="preserve">. </w:t>
            </w:r>
            <w:r w:rsidR="00A34334" w:rsidRPr="00724A07">
              <w:rPr>
                <w:rFonts w:ascii="ITC Avant Garde" w:hAnsi="ITC Avant Garde" w:cs="Arial"/>
                <w:sz w:val="18"/>
                <w:szCs w:val="18"/>
                <w:u w:val="single"/>
              </w:rPr>
              <w:t>A mayor abundamiento,</w:t>
            </w:r>
            <w:r w:rsidRPr="00724A07">
              <w:rPr>
                <w:rFonts w:ascii="ITC Avant Garde" w:hAnsi="ITC Avant Garde" w:cs="Arial"/>
                <w:sz w:val="18"/>
                <w:szCs w:val="18"/>
              </w:rPr>
              <w:t xml:space="preserve"> cuando se observa un valor absoluto alto en la elasticidad precio de la demanda, significa que pequeños incrementos en el precio implican una caída importante de la cantidad demandada, lo cual puede deberse a la existencia de productos sustitutos</w:t>
            </w:r>
            <w:r w:rsidR="00A34334" w:rsidRPr="00724A07">
              <w:rPr>
                <w:rFonts w:ascii="ITC Avant Garde" w:hAnsi="ITC Avant Garde" w:cs="Arial"/>
                <w:sz w:val="18"/>
                <w:szCs w:val="18"/>
              </w:rPr>
              <w:t xml:space="preserve"> </w:t>
            </w:r>
            <w:bookmarkStart w:id="22" w:name="_Hlk84502417"/>
            <w:r w:rsidR="00A34334" w:rsidRPr="00724A07">
              <w:rPr>
                <w:rFonts w:ascii="ITC Avant Garde" w:hAnsi="ITC Avant Garde" w:cs="Arial"/>
                <w:sz w:val="18"/>
                <w:szCs w:val="18"/>
              </w:rPr>
              <w:t>(</w:t>
            </w:r>
            <w:r w:rsidR="00A34334" w:rsidRPr="00724A07">
              <w:rPr>
                <w:rFonts w:ascii="ITC Avant Garde" w:hAnsi="ITC Avant Garde" w:cs="Arial"/>
                <w:sz w:val="18"/>
                <w:szCs w:val="18"/>
                <w:u w:val="single"/>
              </w:rPr>
              <w:t xml:space="preserve">en este sentido, la elasticidad precio propio de la demanda </w:t>
            </w:r>
            <w:r w:rsidR="00BC5618" w:rsidRPr="00724A07">
              <w:rPr>
                <w:rFonts w:ascii="ITC Avant Garde" w:hAnsi="ITC Avant Garde" w:cs="Arial"/>
                <w:sz w:val="18"/>
                <w:szCs w:val="18"/>
                <w:u w:val="single"/>
              </w:rPr>
              <w:t xml:space="preserve">proporciona </w:t>
            </w:r>
            <w:r w:rsidR="00A34334" w:rsidRPr="00724A07">
              <w:rPr>
                <w:rFonts w:ascii="ITC Avant Garde" w:hAnsi="ITC Avant Garde" w:cs="Arial"/>
                <w:sz w:val="18"/>
                <w:szCs w:val="18"/>
                <w:u w:val="single"/>
              </w:rPr>
              <w:t xml:space="preserve">indicios </w:t>
            </w:r>
            <w:r w:rsidR="00BC5618" w:rsidRPr="00724A07">
              <w:rPr>
                <w:rFonts w:ascii="ITC Avant Garde" w:hAnsi="ITC Avant Garde" w:cs="Arial"/>
                <w:sz w:val="18"/>
                <w:szCs w:val="18"/>
                <w:u w:val="single"/>
              </w:rPr>
              <w:t xml:space="preserve">respecto al grado </w:t>
            </w:r>
            <w:r w:rsidR="009A3B87" w:rsidRPr="00724A07">
              <w:rPr>
                <w:rFonts w:ascii="ITC Avant Garde" w:hAnsi="ITC Avant Garde" w:cs="Arial"/>
                <w:sz w:val="18"/>
                <w:szCs w:val="18"/>
                <w:u w:val="single"/>
              </w:rPr>
              <w:t xml:space="preserve">en el </w:t>
            </w:r>
            <w:r w:rsidR="00BC5618" w:rsidRPr="00724A07">
              <w:rPr>
                <w:rFonts w:ascii="ITC Avant Garde" w:hAnsi="ITC Avant Garde" w:cs="Arial"/>
                <w:sz w:val="18"/>
                <w:szCs w:val="18"/>
                <w:u w:val="single"/>
              </w:rPr>
              <w:t>que</w:t>
            </w:r>
            <w:r w:rsidR="00A34334" w:rsidRPr="00724A07">
              <w:rPr>
                <w:rFonts w:ascii="ITC Avant Garde" w:hAnsi="ITC Avant Garde" w:cs="Arial"/>
                <w:sz w:val="18"/>
                <w:szCs w:val="18"/>
                <w:u w:val="single"/>
              </w:rPr>
              <w:t xml:space="preserve"> un monopolista hipotético del producto analizado </w:t>
            </w:r>
            <w:r w:rsidR="00BC5618" w:rsidRPr="00724A07">
              <w:rPr>
                <w:rFonts w:ascii="ITC Avant Garde" w:hAnsi="ITC Avant Garde" w:cs="Arial"/>
                <w:sz w:val="18"/>
                <w:szCs w:val="18"/>
                <w:u w:val="single"/>
              </w:rPr>
              <w:t>podría</w:t>
            </w:r>
            <w:r w:rsidR="00A34334" w:rsidRPr="00724A07">
              <w:rPr>
                <w:rFonts w:ascii="ITC Avant Garde" w:hAnsi="ITC Avant Garde" w:cs="Arial"/>
                <w:sz w:val="18"/>
                <w:szCs w:val="18"/>
                <w:u w:val="single"/>
              </w:rPr>
              <w:t xml:space="preserve"> incrementar los precios de manera rentable</w:t>
            </w:r>
            <w:bookmarkEnd w:id="22"/>
            <w:r w:rsidR="00A34334" w:rsidRPr="00724A07">
              <w:rPr>
                <w:rFonts w:ascii="ITC Avant Garde" w:hAnsi="ITC Avant Garde" w:cs="Arial"/>
                <w:sz w:val="18"/>
                <w:szCs w:val="18"/>
              </w:rPr>
              <w:t>)</w:t>
            </w:r>
            <w:r w:rsidRPr="00724A07">
              <w:rPr>
                <w:rFonts w:ascii="ITC Avant Garde" w:hAnsi="ITC Avant Garde" w:cs="Arial"/>
                <w:sz w:val="18"/>
                <w:szCs w:val="18"/>
              </w:rPr>
              <w:t>. Asimismo, una alta y positiva elasticidad precio cruzada con algún otro producto específico representa un indicio de que ese producto es un sustituto del producto cuyo precio cambió y, por lo tanto, debería incluirse en el MR</w:t>
            </w:r>
            <w:r w:rsidR="00A34334" w:rsidRPr="00724A07">
              <w:rPr>
                <w:rFonts w:ascii="ITC Avant Garde" w:hAnsi="ITC Avant Garde" w:cs="Arial"/>
                <w:sz w:val="18"/>
                <w:szCs w:val="18"/>
              </w:rPr>
              <w:t xml:space="preserve"> </w:t>
            </w:r>
            <w:bookmarkStart w:id="23" w:name="_Hlk84502471"/>
            <w:r w:rsidR="00A34334" w:rsidRPr="00724A07">
              <w:rPr>
                <w:rFonts w:ascii="ITC Avant Garde" w:hAnsi="ITC Avant Garde" w:cs="Arial"/>
                <w:sz w:val="18"/>
                <w:szCs w:val="18"/>
                <w:u w:val="single"/>
              </w:rPr>
              <w:t>(en este sentido, la elasticidad precio cruzada resulta útil para analizar la sustitución entre dos productos)</w:t>
            </w:r>
            <w:r w:rsidRPr="00724A07">
              <w:rPr>
                <w:rFonts w:ascii="ITC Avant Garde" w:hAnsi="ITC Avant Garde" w:cs="Arial"/>
                <w:sz w:val="18"/>
                <w:szCs w:val="18"/>
              </w:rPr>
              <w:t>.</w:t>
            </w:r>
            <w:bookmarkEnd w:id="23"/>
          </w:p>
        </w:tc>
      </w:tr>
    </w:tbl>
    <w:p w14:paraId="3208444A" w14:textId="77777777" w:rsidR="003322FF" w:rsidRPr="00724A07" w:rsidRDefault="003322FF" w:rsidP="0025337D">
      <w:pPr>
        <w:spacing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3322FF" w:rsidRPr="00724A07" w14:paraId="44059A41" w14:textId="77777777" w:rsidTr="00887937">
        <w:trPr>
          <w:trHeight w:val="276"/>
          <w:jc w:val="center"/>
        </w:trPr>
        <w:tc>
          <w:tcPr>
            <w:tcW w:w="9785" w:type="dxa"/>
            <w:shd w:val="clear" w:color="auto" w:fill="92D050"/>
            <w:vAlign w:val="center"/>
          </w:tcPr>
          <w:p w14:paraId="16BF4D4F" w14:textId="5FF8D2CD" w:rsidR="003322FF" w:rsidRPr="00724A07" w:rsidRDefault="003322FF" w:rsidP="00A00520">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lastRenderedPageBreak/>
              <w:t>COFECE</w:t>
            </w:r>
          </w:p>
        </w:tc>
      </w:tr>
      <w:tr w:rsidR="003322FF" w:rsidRPr="00724A07" w14:paraId="0E3E9F17" w14:textId="77777777" w:rsidTr="00887937">
        <w:trPr>
          <w:trHeight w:val="443"/>
          <w:jc w:val="center"/>
        </w:trPr>
        <w:tc>
          <w:tcPr>
            <w:tcW w:w="9785" w:type="dxa"/>
            <w:shd w:val="clear" w:color="auto" w:fill="E2EFD9" w:themeFill="accent6" w:themeFillTint="33"/>
            <w:vAlign w:val="center"/>
          </w:tcPr>
          <w:p w14:paraId="2AAB71EF" w14:textId="0C8FA9F7" w:rsidR="003322FF" w:rsidRPr="00724A07" w:rsidRDefault="00D40DB8" w:rsidP="00A00520">
            <w:pPr>
              <w:pStyle w:val="Default"/>
              <w:spacing w:before="120" w:after="120"/>
              <w:jc w:val="both"/>
              <w:rPr>
                <w:rFonts w:ascii="ITC Avant Garde" w:hAnsi="ITC Avant Garde"/>
                <w:i/>
                <w:sz w:val="18"/>
                <w:szCs w:val="18"/>
              </w:rPr>
            </w:pPr>
            <w:r w:rsidRPr="007C2396">
              <w:rPr>
                <w:rFonts w:ascii="ITC Avant Garde" w:hAnsi="ITC Avant Garde"/>
                <w:i/>
                <w:sz w:val="18"/>
                <w:szCs w:val="18"/>
              </w:rPr>
              <w:t>“Se sugiere hacer referencia a los costos implícitos a los que se hace referencia. En este sentido, se podría mencionar lo que toma de tiempo aprender sobre un nuevo producto (porque ya han invertido en productos complementarios que no funcionarán con otro producto), o porque tienen puntos de lealtad que perderían con un cambio, y demás.”</w:t>
            </w:r>
          </w:p>
        </w:tc>
      </w:tr>
    </w:tbl>
    <w:p w14:paraId="35692928" w14:textId="77777777" w:rsidR="003322FF" w:rsidRPr="00724A07" w:rsidRDefault="003322FF" w:rsidP="003322FF">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16F5D83F" w14:textId="32EEF0A9" w:rsidR="0025337D" w:rsidRPr="00724A07" w:rsidRDefault="003322FF" w:rsidP="0025337D">
      <w:pPr>
        <w:spacing w:after="120" w:line="240" w:lineRule="auto"/>
        <w:jc w:val="both"/>
        <w:rPr>
          <w:rFonts w:ascii="ITC Avant Garde" w:hAnsi="ITC Avant Garde"/>
        </w:rPr>
      </w:pPr>
      <w:r w:rsidRPr="00724A07">
        <w:rPr>
          <w:rFonts w:ascii="ITC Avant Garde" w:hAnsi="ITC Avant Garde"/>
        </w:rPr>
        <w:t>Con</w:t>
      </w:r>
      <w:r w:rsidR="0025337D" w:rsidRPr="00724A07">
        <w:rPr>
          <w:rFonts w:ascii="ITC Avant Garde" w:hAnsi="ITC Avant Garde"/>
        </w:rPr>
        <w:t xml:space="preserve"> respecto al comentario de la COFECE</w:t>
      </w:r>
      <w:r w:rsidR="00016FF6" w:rsidRPr="00724A07">
        <w:rPr>
          <w:rFonts w:ascii="ITC Avant Garde" w:hAnsi="ITC Avant Garde"/>
        </w:rPr>
        <w:t>, respecto a</w:t>
      </w:r>
      <w:r w:rsidR="00670D0A" w:rsidRPr="00724A07">
        <w:rPr>
          <w:rFonts w:ascii="ITC Avant Garde" w:hAnsi="ITC Avant Garde"/>
        </w:rPr>
        <w:t xml:space="preserve"> incluir</w:t>
      </w:r>
      <w:r w:rsidR="00016FF6" w:rsidRPr="00724A07">
        <w:rPr>
          <w:rFonts w:ascii="ITC Avant Garde" w:hAnsi="ITC Avant Garde"/>
        </w:rPr>
        <w:t xml:space="preserve"> los costos implícitos de usar un nuevo producto,</w:t>
      </w:r>
      <w:r w:rsidR="0025337D" w:rsidRPr="00724A07">
        <w:rPr>
          <w:rFonts w:ascii="ITC Avant Garde" w:hAnsi="ITC Avant Garde"/>
        </w:rPr>
        <w:t xml:space="preserve"> se considera procedente. Lo anterior ya que puede contribuir a</w:t>
      </w:r>
      <w:r w:rsidR="009A3B87" w:rsidRPr="00724A07">
        <w:rPr>
          <w:rFonts w:ascii="ITC Avant Garde" w:hAnsi="ITC Avant Garde"/>
        </w:rPr>
        <w:t xml:space="preserve"> dar mayor</w:t>
      </w:r>
      <w:r w:rsidR="0025337D" w:rsidRPr="00724A07">
        <w:rPr>
          <w:rFonts w:ascii="ITC Avant Garde" w:hAnsi="ITC Avant Garde"/>
        </w:rPr>
        <w:t xml:space="preserve"> claridad y certeza jurídica </w:t>
      </w:r>
      <w:r w:rsidR="009A3B87" w:rsidRPr="00724A07">
        <w:rPr>
          <w:rFonts w:ascii="ITC Avant Garde" w:hAnsi="ITC Avant Garde"/>
        </w:rPr>
        <w:t xml:space="preserve">a los agentes económicos, en relación con </w:t>
      </w:r>
      <w:r w:rsidR="0025337D" w:rsidRPr="00724A07">
        <w:rPr>
          <w:rFonts w:ascii="ITC Avant Garde" w:hAnsi="ITC Avant Garde"/>
        </w:rPr>
        <w:t xml:space="preserve">el Anteproyecto de Guía. </w:t>
      </w:r>
    </w:p>
    <w:p w14:paraId="7075A01B" w14:textId="15784EA7" w:rsidR="0025337D" w:rsidRPr="00724A07" w:rsidRDefault="0025337D" w:rsidP="0025337D">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5.3.3.1.</w:t>
      </w:r>
      <w:r w:rsidRPr="00724A07">
        <w:rPr>
          <w:rFonts w:ascii="ITC Avant Garde" w:hAnsi="ITC Avant Garde"/>
          <w:i/>
          <w:iCs/>
        </w:rPr>
        <w:tab/>
        <w:t>Sustitución por el lado de la demanda</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5E69A2" w:rsidRPr="00724A07" w14:paraId="50120192" w14:textId="77777777" w:rsidTr="00887937">
        <w:trPr>
          <w:jc w:val="center"/>
        </w:trPr>
        <w:tc>
          <w:tcPr>
            <w:tcW w:w="4830" w:type="dxa"/>
            <w:shd w:val="clear" w:color="auto" w:fill="92D050"/>
            <w:vAlign w:val="center"/>
          </w:tcPr>
          <w:p w14:paraId="424148E0" w14:textId="77777777" w:rsidR="005E69A2" w:rsidRPr="00724A07" w:rsidRDefault="005E69A2"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5D959F6D" w14:textId="77777777" w:rsidR="005E69A2" w:rsidRPr="00724A07" w:rsidRDefault="005E69A2"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5E69A2" w:rsidRPr="00724A07" w14:paraId="5798130F" w14:textId="77777777" w:rsidTr="00887937">
        <w:trPr>
          <w:trHeight w:val="4873"/>
          <w:jc w:val="center"/>
        </w:trPr>
        <w:tc>
          <w:tcPr>
            <w:tcW w:w="4830" w:type="dxa"/>
            <w:shd w:val="clear" w:color="auto" w:fill="auto"/>
          </w:tcPr>
          <w:p w14:paraId="5DD32A3C" w14:textId="77777777" w:rsidR="005E69A2" w:rsidRPr="00724A07" w:rsidRDefault="005E69A2"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5.3.3.1.</w:t>
            </w:r>
            <w:r w:rsidRPr="00724A07">
              <w:rPr>
                <w:rFonts w:ascii="ITC Avant Garde" w:hAnsi="ITC Avant Garde" w:cs="Arial"/>
                <w:b/>
                <w:bCs/>
                <w:sz w:val="18"/>
                <w:szCs w:val="18"/>
              </w:rPr>
              <w:tab/>
              <w:t>Sustitución por el lado de la demanda</w:t>
            </w:r>
          </w:p>
          <w:p w14:paraId="090824BB" w14:textId="5D361145" w:rsidR="005E69A2" w:rsidRPr="00724A07" w:rsidRDefault="005E69A2"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Subapartado: •</w:t>
            </w:r>
            <w:r w:rsidRPr="00724A07">
              <w:rPr>
                <w:rFonts w:ascii="ITC Avant Garde" w:hAnsi="ITC Avant Garde" w:cs="Arial"/>
                <w:b/>
                <w:bCs/>
                <w:sz w:val="18"/>
                <w:szCs w:val="18"/>
              </w:rPr>
              <w:tab/>
              <w:t xml:space="preserve">Estrategias comerciales de los oferentes (incluyendo costos de cambio, posibilidad de hacer portabilidad, o </w:t>
            </w:r>
            <w:proofErr w:type="spellStart"/>
            <w:r w:rsidRPr="00724A07">
              <w:rPr>
                <w:rFonts w:ascii="ITC Avant Garde" w:hAnsi="ITC Avant Garde" w:cs="Arial"/>
                <w:b/>
                <w:bCs/>
                <w:sz w:val="18"/>
                <w:szCs w:val="18"/>
              </w:rPr>
              <w:t>multi-homing</w:t>
            </w:r>
            <w:proofErr w:type="spellEnd"/>
            <w:r w:rsidRPr="00724A07">
              <w:rPr>
                <w:rFonts w:ascii="ITC Avant Garde" w:hAnsi="ITC Avant Garde" w:cs="Arial"/>
                <w:b/>
                <w:bCs/>
                <w:sz w:val="18"/>
                <w:szCs w:val="18"/>
              </w:rPr>
              <w:t>, y discriminación de precios u otras condiciones de comercialización enfocadas en grupos de usuarios) (párrafo</w:t>
            </w:r>
            <w:r w:rsidR="001B4B75" w:rsidRPr="00724A07">
              <w:rPr>
                <w:rFonts w:ascii="ITC Avant Garde" w:hAnsi="ITC Avant Garde" w:cs="Arial"/>
                <w:b/>
                <w:bCs/>
                <w:sz w:val="18"/>
                <w:szCs w:val="18"/>
              </w:rPr>
              <w:t xml:space="preserve"> primer</w:t>
            </w:r>
            <w:r w:rsidR="001B4B75">
              <w:rPr>
                <w:rFonts w:ascii="ITC Avant Garde" w:hAnsi="ITC Avant Garde" w:cs="Arial"/>
                <w:b/>
                <w:bCs/>
                <w:sz w:val="18"/>
                <w:szCs w:val="18"/>
              </w:rPr>
              <w:t>o</w:t>
            </w:r>
            <w:r w:rsidRPr="00724A07">
              <w:rPr>
                <w:rFonts w:ascii="ITC Avant Garde" w:hAnsi="ITC Avant Garde" w:cs="Arial"/>
                <w:b/>
                <w:bCs/>
                <w:sz w:val="18"/>
                <w:szCs w:val="18"/>
              </w:rPr>
              <w:t>)</w:t>
            </w:r>
          </w:p>
          <w:p w14:paraId="1875C0C0" w14:textId="06FD49DC" w:rsidR="005E69A2" w:rsidRPr="00724A07" w:rsidRDefault="005E69A2" w:rsidP="00A00520">
            <w:pPr>
              <w:spacing w:after="0" w:line="240" w:lineRule="auto"/>
              <w:jc w:val="both"/>
              <w:rPr>
                <w:rFonts w:ascii="ITC Avant Garde" w:hAnsi="ITC Avant Garde" w:cs="Arial"/>
                <w:sz w:val="18"/>
                <w:szCs w:val="18"/>
              </w:rPr>
            </w:pPr>
            <w:r w:rsidRPr="00724A07">
              <w:rPr>
                <w:rFonts w:ascii="ITC Avant Garde" w:hAnsi="ITC Avant Garde" w:cs="Arial"/>
                <w:sz w:val="18"/>
                <w:szCs w:val="18"/>
              </w:rPr>
              <w:t>El Instituto podrá tomar en cuenta la existencia de estrategias, por parte de los oferentes, que disminuyan la posibilidad de que los consumidores efectivamente sustituyan un producto por otro. Entre dichas estrategias se encuentran aquellas que elevan los costos explícitos e implícitos que enfrenta un consumidor al cambiar de un proveedor a otro, por ejemplo, debido al establecimiento de plazos contractuales muy extensos (“</w:t>
            </w:r>
            <w:r w:rsidRPr="009628AF">
              <w:rPr>
                <w:rFonts w:ascii="ITC Avant Garde" w:hAnsi="ITC Avant Garde" w:cs="Arial"/>
                <w:i/>
                <w:iCs/>
                <w:sz w:val="18"/>
                <w:szCs w:val="18"/>
              </w:rPr>
              <w:t>plazos forzosos</w:t>
            </w:r>
            <w:r w:rsidRPr="00724A07">
              <w:rPr>
                <w:rFonts w:ascii="ITC Avant Garde" w:hAnsi="ITC Avant Garde" w:cs="Arial"/>
                <w:sz w:val="18"/>
                <w:szCs w:val="18"/>
              </w:rPr>
              <w:t>”) y penalizaciones por terminación anticipada de contratos, obstáculos a la portabilidad, falta de información sobre proveedores alternativos o incluso, el empaquetamiento de servicios.</w:t>
            </w:r>
          </w:p>
        </w:tc>
        <w:tc>
          <w:tcPr>
            <w:tcW w:w="4830" w:type="dxa"/>
            <w:shd w:val="clear" w:color="auto" w:fill="auto"/>
          </w:tcPr>
          <w:p w14:paraId="4B5FDD28" w14:textId="77777777" w:rsidR="005E69A2" w:rsidRPr="00724A07" w:rsidRDefault="005E69A2" w:rsidP="005E69A2">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5.3.3.1.</w:t>
            </w:r>
            <w:r w:rsidRPr="00724A07">
              <w:rPr>
                <w:rFonts w:ascii="ITC Avant Garde" w:hAnsi="ITC Avant Garde" w:cs="Arial"/>
                <w:b/>
                <w:bCs/>
                <w:sz w:val="18"/>
                <w:szCs w:val="18"/>
              </w:rPr>
              <w:tab/>
              <w:t>Sustitución por el lado de la demanda</w:t>
            </w:r>
          </w:p>
          <w:p w14:paraId="37B436F3" w14:textId="6275D33F" w:rsidR="005E69A2" w:rsidRPr="00724A07" w:rsidRDefault="005E69A2" w:rsidP="005E69A2">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Subapartado: •</w:t>
            </w:r>
            <w:r w:rsidRPr="00724A07">
              <w:rPr>
                <w:rFonts w:ascii="ITC Avant Garde" w:hAnsi="ITC Avant Garde" w:cs="Arial"/>
                <w:b/>
                <w:bCs/>
                <w:sz w:val="18"/>
                <w:szCs w:val="18"/>
              </w:rPr>
              <w:tab/>
              <w:t xml:space="preserve">Estrategias comerciales de los oferentes (incluyendo costos de cambio, posibilidad de hacer portabilidad, o </w:t>
            </w:r>
            <w:proofErr w:type="spellStart"/>
            <w:r w:rsidRPr="00724A07">
              <w:rPr>
                <w:rFonts w:ascii="ITC Avant Garde" w:hAnsi="ITC Avant Garde" w:cs="Arial"/>
                <w:b/>
                <w:bCs/>
                <w:sz w:val="18"/>
                <w:szCs w:val="18"/>
              </w:rPr>
              <w:t>multi-homing</w:t>
            </w:r>
            <w:proofErr w:type="spellEnd"/>
            <w:r w:rsidRPr="00724A07">
              <w:rPr>
                <w:rFonts w:ascii="ITC Avant Garde" w:hAnsi="ITC Avant Garde" w:cs="Arial"/>
                <w:b/>
                <w:bCs/>
                <w:sz w:val="18"/>
                <w:szCs w:val="18"/>
              </w:rPr>
              <w:t>, y discriminación de precios u otras condiciones de comercialización enfocadas en grupos de usuarios) (párrafo</w:t>
            </w:r>
            <w:r w:rsidR="001B4B75" w:rsidRPr="00724A07">
              <w:rPr>
                <w:rFonts w:ascii="ITC Avant Garde" w:hAnsi="ITC Avant Garde" w:cs="Arial"/>
                <w:b/>
                <w:bCs/>
                <w:sz w:val="18"/>
                <w:szCs w:val="18"/>
              </w:rPr>
              <w:t xml:space="preserve"> primer</w:t>
            </w:r>
            <w:r w:rsidR="001B4B75">
              <w:rPr>
                <w:rFonts w:ascii="ITC Avant Garde" w:hAnsi="ITC Avant Garde" w:cs="Arial"/>
                <w:b/>
                <w:bCs/>
                <w:sz w:val="18"/>
                <w:szCs w:val="18"/>
              </w:rPr>
              <w:t>o</w:t>
            </w:r>
            <w:r w:rsidRPr="00724A07">
              <w:rPr>
                <w:rFonts w:ascii="ITC Avant Garde" w:hAnsi="ITC Avant Garde" w:cs="Arial"/>
                <w:b/>
                <w:bCs/>
                <w:sz w:val="18"/>
                <w:szCs w:val="18"/>
              </w:rPr>
              <w:t>)</w:t>
            </w:r>
          </w:p>
          <w:p w14:paraId="651E5462" w14:textId="291D2FE4" w:rsidR="005E69A2" w:rsidRPr="00724A07" w:rsidRDefault="005E69A2" w:rsidP="005E69A2">
            <w:pPr>
              <w:spacing w:after="0" w:line="240" w:lineRule="auto"/>
              <w:jc w:val="both"/>
              <w:rPr>
                <w:rFonts w:ascii="ITC Avant Garde" w:hAnsi="ITC Avant Garde" w:cs="Arial"/>
                <w:sz w:val="18"/>
                <w:szCs w:val="18"/>
                <w:u w:val="single"/>
              </w:rPr>
            </w:pPr>
            <w:r w:rsidRPr="00724A07">
              <w:rPr>
                <w:rFonts w:ascii="ITC Avant Garde" w:hAnsi="ITC Avant Garde" w:cs="Arial"/>
                <w:sz w:val="18"/>
                <w:szCs w:val="18"/>
              </w:rPr>
              <w:t>El Instituto podrá tomar en cuenta la existencia de estrategias, por parte de los oferentes, que disminuyan la posibilidad de que los consumidores efectivamente sustituyan un producto por otro. Entre dichas estrategias se encuentran aquellas que elevan los costos explícitos e implícitos que enfrenta un consumidor al cambiar de un proveedor a otro, por ejemplo, debido al establecimiento de plazos contractuales muy extensos (“</w:t>
            </w:r>
            <w:r w:rsidRPr="009628AF">
              <w:rPr>
                <w:rFonts w:ascii="ITC Avant Garde" w:hAnsi="ITC Avant Garde" w:cs="Arial"/>
                <w:i/>
                <w:iCs/>
                <w:sz w:val="18"/>
                <w:szCs w:val="18"/>
              </w:rPr>
              <w:t>plazos forzosos</w:t>
            </w:r>
            <w:r w:rsidRPr="00724A07">
              <w:rPr>
                <w:rFonts w:ascii="ITC Avant Garde" w:hAnsi="ITC Avant Garde" w:cs="Arial"/>
                <w:sz w:val="18"/>
                <w:szCs w:val="18"/>
              </w:rPr>
              <w:t>”)</w:t>
            </w:r>
            <w:r w:rsidR="00862919" w:rsidRPr="006C7AF9">
              <w:rPr>
                <w:rFonts w:ascii="ITC Avant Garde" w:hAnsi="ITC Avant Garde" w:cs="Arial"/>
                <w:sz w:val="18"/>
                <w:szCs w:val="18"/>
              </w:rPr>
              <w:t>,</w:t>
            </w:r>
            <w:r w:rsidRPr="00724A07">
              <w:rPr>
                <w:rFonts w:ascii="ITC Avant Garde" w:hAnsi="ITC Avant Garde" w:cs="Arial"/>
                <w:sz w:val="18"/>
                <w:szCs w:val="18"/>
              </w:rPr>
              <w:t xml:space="preserve"> penalizaciones por terminación anticipada de contratos, obstáculos a la portabilidad, falta de información sobre proveedores alternativos o incluso, el empaquetamiento de servicios.</w:t>
            </w:r>
            <w:r w:rsidR="009A3B87" w:rsidRPr="00724A07">
              <w:rPr>
                <w:rFonts w:ascii="ITC Avant Garde" w:hAnsi="ITC Avant Garde" w:cs="Arial"/>
                <w:sz w:val="18"/>
                <w:szCs w:val="18"/>
              </w:rPr>
              <w:t xml:space="preserve"> </w:t>
            </w:r>
            <w:bookmarkStart w:id="24" w:name="_Hlk84502908"/>
            <w:r w:rsidR="009A3B87" w:rsidRPr="00724A07">
              <w:rPr>
                <w:rFonts w:ascii="ITC Avant Garde" w:hAnsi="ITC Avant Garde" w:cs="Arial"/>
                <w:sz w:val="18"/>
                <w:szCs w:val="18"/>
                <w:u w:val="single"/>
              </w:rPr>
              <w:t xml:space="preserve">Al respecto, como ejemplos de costos implícitos pueden considerarse el tiempo que el consumidor necesitaría para aprender a usar un nuevo producto, los costos de haber adquirido productos complementarios que no sean compatibles con el posible sustituto, la perdida de beneficios derivados de programas </w:t>
            </w:r>
            <w:r w:rsidR="009A3B87" w:rsidRPr="00B01EC9">
              <w:rPr>
                <w:rFonts w:ascii="ITC Avant Garde" w:hAnsi="ITC Avant Garde" w:cs="Arial"/>
                <w:sz w:val="18"/>
                <w:szCs w:val="18"/>
                <w:u w:val="single"/>
              </w:rPr>
              <w:t xml:space="preserve">de </w:t>
            </w:r>
            <w:r w:rsidR="009A3B87" w:rsidRPr="001A232A">
              <w:rPr>
                <w:rFonts w:ascii="ITC Avant Garde" w:hAnsi="ITC Avant Garde" w:cs="Arial"/>
                <w:sz w:val="18"/>
                <w:szCs w:val="18"/>
                <w:u w:val="single"/>
              </w:rPr>
              <w:t>lealtad, entre otros.</w:t>
            </w:r>
            <w:bookmarkEnd w:id="24"/>
          </w:p>
        </w:tc>
      </w:tr>
    </w:tbl>
    <w:p w14:paraId="72F2451A" w14:textId="2294063A" w:rsidR="0025337D" w:rsidRPr="00724A07" w:rsidRDefault="0025337D" w:rsidP="00791545">
      <w:pPr>
        <w:spacing w:before="120"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854D61" w:rsidRPr="00724A07" w14:paraId="434BAE4D" w14:textId="77777777" w:rsidTr="00887937">
        <w:trPr>
          <w:trHeight w:val="276"/>
          <w:jc w:val="center"/>
        </w:trPr>
        <w:tc>
          <w:tcPr>
            <w:tcW w:w="9785" w:type="dxa"/>
            <w:shd w:val="clear" w:color="auto" w:fill="92D050"/>
            <w:vAlign w:val="center"/>
          </w:tcPr>
          <w:p w14:paraId="0879CA1F" w14:textId="77777777" w:rsidR="00854D61" w:rsidRPr="00724A07" w:rsidRDefault="00854D61" w:rsidP="00753ED5">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COFECE</w:t>
            </w:r>
          </w:p>
        </w:tc>
      </w:tr>
      <w:tr w:rsidR="00854D61" w:rsidRPr="00724A07" w14:paraId="17820A6C" w14:textId="77777777" w:rsidTr="00887937">
        <w:trPr>
          <w:trHeight w:val="443"/>
          <w:jc w:val="center"/>
        </w:trPr>
        <w:tc>
          <w:tcPr>
            <w:tcW w:w="9785" w:type="dxa"/>
            <w:shd w:val="clear" w:color="auto" w:fill="E2EFD9" w:themeFill="accent6" w:themeFillTint="33"/>
            <w:vAlign w:val="center"/>
          </w:tcPr>
          <w:p w14:paraId="496A8BCD" w14:textId="018CE843" w:rsidR="00854D61" w:rsidRPr="00724A07" w:rsidRDefault="00D40DB8" w:rsidP="00753ED5">
            <w:pPr>
              <w:pStyle w:val="Default"/>
              <w:spacing w:before="120" w:after="120"/>
              <w:jc w:val="both"/>
              <w:rPr>
                <w:rFonts w:ascii="ITC Avant Garde" w:hAnsi="ITC Avant Garde"/>
                <w:i/>
                <w:sz w:val="18"/>
                <w:szCs w:val="18"/>
              </w:rPr>
            </w:pPr>
            <w:r w:rsidRPr="007C2396">
              <w:rPr>
                <w:rFonts w:ascii="ITC Avant Garde" w:hAnsi="ITC Avant Garde"/>
                <w:i/>
                <w:sz w:val="18"/>
                <w:szCs w:val="18"/>
              </w:rPr>
              <w:t>“En el apartado “La escala de operación de oferentes que pudieran tener incentivos para proveer el producto analizado”4, el concepto de “efectos de red” ameritaría una definición o explicación</w:t>
            </w:r>
            <w:r>
              <w:rPr>
                <w:rFonts w:ascii="ITC Avant Garde" w:hAnsi="ITC Avant Garde"/>
                <w:i/>
                <w:sz w:val="18"/>
                <w:szCs w:val="18"/>
              </w:rPr>
              <w:t xml:space="preserve"> </w:t>
            </w:r>
            <w:r w:rsidRPr="00E26931">
              <w:rPr>
                <w:rFonts w:ascii="ITC Avant Garde" w:hAnsi="ITC Avant Garde"/>
                <w:iCs/>
                <w:sz w:val="18"/>
                <w:szCs w:val="18"/>
              </w:rPr>
              <w:t>(…)</w:t>
            </w:r>
            <w:r w:rsidRPr="007C2396">
              <w:rPr>
                <w:rFonts w:ascii="ITC Avant Garde" w:hAnsi="ITC Avant Garde"/>
                <w:i/>
                <w:sz w:val="18"/>
                <w:szCs w:val="18"/>
              </w:rPr>
              <w:t>”</w:t>
            </w:r>
          </w:p>
        </w:tc>
      </w:tr>
    </w:tbl>
    <w:p w14:paraId="58E27B23" w14:textId="77777777" w:rsidR="00854D61" w:rsidRPr="00724A07" w:rsidRDefault="00854D61" w:rsidP="00854D61">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1187C371" w14:textId="77777777" w:rsidR="004459E2" w:rsidRPr="00724A07" w:rsidRDefault="004459E2" w:rsidP="004459E2">
      <w:pPr>
        <w:spacing w:after="120" w:line="240" w:lineRule="auto"/>
        <w:jc w:val="both"/>
        <w:rPr>
          <w:rFonts w:ascii="ITC Avant Garde" w:hAnsi="ITC Avant Garde"/>
        </w:rPr>
      </w:pPr>
      <w:r w:rsidRPr="00724A07">
        <w:rPr>
          <w:rFonts w:ascii="ITC Avant Garde" w:hAnsi="ITC Avant Garde"/>
        </w:rPr>
        <w:t xml:space="preserve">En relación con el comentario de la COFECE, de incluir una definición del concepto de efectos de red, se considera procedente, a efecto de contribuir a la claridad y la certeza jurídica de los agentes económicos, en relación con el Anteproyecto de Guía. </w:t>
      </w:r>
    </w:p>
    <w:p w14:paraId="2F2EB453" w14:textId="6C2FCF99" w:rsidR="004459E2" w:rsidRPr="00724A07" w:rsidRDefault="004459E2" w:rsidP="004459E2">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5.3.3.2.</w:t>
      </w:r>
      <w:r w:rsidRPr="00724A07">
        <w:rPr>
          <w:rFonts w:ascii="ITC Avant Garde" w:hAnsi="ITC Avant Garde"/>
          <w:i/>
          <w:iCs/>
        </w:rPr>
        <w:tab/>
        <w:t>Sustitución por el lado de la oferta</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4459E2" w:rsidRPr="00724A07" w14:paraId="7889A20A" w14:textId="77777777" w:rsidTr="00887937">
        <w:trPr>
          <w:jc w:val="center"/>
        </w:trPr>
        <w:tc>
          <w:tcPr>
            <w:tcW w:w="4830" w:type="dxa"/>
            <w:shd w:val="clear" w:color="auto" w:fill="92D050"/>
            <w:vAlign w:val="center"/>
          </w:tcPr>
          <w:p w14:paraId="0DA3D694" w14:textId="77777777" w:rsidR="004459E2" w:rsidRPr="00724A07" w:rsidRDefault="004459E2"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lastRenderedPageBreak/>
              <w:t>Anteproyecto de Guía</w:t>
            </w:r>
          </w:p>
        </w:tc>
        <w:tc>
          <w:tcPr>
            <w:tcW w:w="4830" w:type="dxa"/>
            <w:shd w:val="clear" w:color="auto" w:fill="92D050"/>
            <w:vAlign w:val="center"/>
          </w:tcPr>
          <w:p w14:paraId="616B9D97" w14:textId="77777777" w:rsidR="004459E2" w:rsidRPr="00724A07" w:rsidRDefault="004459E2"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4459E2" w:rsidRPr="00724A07" w14:paraId="100EBDC6" w14:textId="77777777" w:rsidTr="00887937">
        <w:trPr>
          <w:trHeight w:val="4873"/>
          <w:jc w:val="center"/>
        </w:trPr>
        <w:tc>
          <w:tcPr>
            <w:tcW w:w="4830" w:type="dxa"/>
            <w:shd w:val="clear" w:color="auto" w:fill="auto"/>
          </w:tcPr>
          <w:p w14:paraId="69C07C95" w14:textId="181047AA" w:rsidR="000C78B2" w:rsidRPr="000C78B2" w:rsidRDefault="000C78B2" w:rsidP="000C78B2">
            <w:pPr>
              <w:spacing w:after="0" w:line="240" w:lineRule="auto"/>
              <w:jc w:val="both"/>
              <w:rPr>
                <w:rFonts w:ascii="ITC Avant Garde" w:hAnsi="ITC Avant Garde" w:cs="Arial"/>
                <w:b/>
                <w:bCs/>
                <w:sz w:val="18"/>
                <w:szCs w:val="18"/>
              </w:rPr>
            </w:pPr>
            <w:r w:rsidRPr="000C78B2">
              <w:rPr>
                <w:rFonts w:ascii="ITC Avant Garde" w:hAnsi="ITC Avant Garde" w:cs="Arial"/>
                <w:b/>
                <w:bCs/>
                <w:sz w:val="18"/>
                <w:szCs w:val="18"/>
              </w:rPr>
              <w:t>5.3.3.2.</w:t>
            </w:r>
            <w:r w:rsidRPr="000C78B2">
              <w:rPr>
                <w:rFonts w:ascii="ITC Avant Garde" w:hAnsi="ITC Avant Garde" w:cs="Arial"/>
                <w:b/>
                <w:bCs/>
                <w:sz w:val="18"/>
                <w:szCs w:val="18"/>
              </w:rPr>
              <w:tab/>
            </w:r>
            <w:r w:rsidR="0038137E" w:rsidRPr="000C78B2">
              <w:rPr>
                <w:rFonts w:ascii="ITC Avant Garde" w:hAnsi="ITC Avant Garde" w:cs="Arial"/>
                <w:b/>
                <w:bCs/>
                <w:sz w:val="18"/>
                <w:szCs w:val="18"/>
              </w:rPr>
              <w:t xml:space="preserve">Sustitución por el lado de la oferta </w:t>
            </w:r>
          </w:p>
          <w:p w14:paraId="03F524AF" w14:textId="3198BBE5" w:rsidR="004459E2" w:rsidRPr="000C78B2" w:rsidRDefault="004459E2" w:rsidP="000C78B2">
            <w:pPr>
              <w:rPr>
                <w:rFonts w:ascii="ITC Avant Garde" w:hAnsi="ITC Avant Garde"/>
                <w:b/>
                <w:bCs/>
                <w:sz w:val="18"/>
                <w:szCs w:val="18"/>
              </w:rPr>
            </w:pPr>
            <w:r w:rsidRPr="000C78B2">
              <w:rPr>
                <w:rFonts w:ascii="ITC Avant Garde" w:hAnsi="ITC Avant Garde"/>
                <w:b/>
                <w:bCs/>
                <w:sz w:val="18"/>
                <w:szCs w:val="18"/>
              </w:rPr>
              <w:t>•</w:t>
            </w:r>
            <w:r w:rsidR="0038137E" w:rsidRPr="000C78B2">
              <w:rPr>
                <w:rFonts w:ascii="ITC Avant Garde" w:hAnsi="ITC Avant Garde"/>
                <w:b/>
                <w:bCs/>
                <w:sz w:val="18"/>
                <w:szCs w:val="18"/>
              </w:rPr>
              <w:t xml:space="preserve"> </w:t>
            </w:r>
            <w:r w:rsidRPr="000C78B2">
              <w:rPr>
                <w:rFonts w:ascii="ITC Avant Garde" w:hAnsi="ITC Avant Garde"/>
                <w:b/>
                <w:bCs/>
                <w:sz w:val="18"/>
                <w:szCs w:val="18"/>
              </w:rPr>
              <w:t>La escala de operación de oferentes que pudieran tener incentivos para proveer el producto analizado</w:t>
            </w:r>
            <w:r w:rsidR="0024526E">
              <w:rPr>
                <w:rFonts w:ascii="ITC Avant Garde" w:hAnsi="ITC Avant Garde"/>
                <w:b/>
                <w:bCs/>
                <w:sz w:val="18"/>
                <w:szCs w:val="18"/>
              </w:rPr>
              <w:t xml:space="preserve"> (párra</w:t>
            </w:r>
            <w:r w:rsidR="00DA2B94">
              <w:rPr>
                <w:rFonts w:ascii="ITC Avant Garde" w:hAnsi="ITC Avant Garde"/>
                <w:b/>
                <w:bCs/>
                <w:sz w:val="18"/>
                <w:szCs w:val="18"/>
              </w:rPr>
              <w:t>f</w:t>
            </w:r>
            <w:r w:rsidR="0024526E">
              <w:rPr>
                <w:rFonts w:ascii="ITC Avant Garde" w:hAnsi="ITC Avant Garde"/>
                <w:b/>
                <w:bCs/>
                <w:sz w:val="18"/>
                <w:szCs w:val="18"/>
              </w:rPr>
              <w:t xml:space="preserve">o </w:t>
            </w:r>
            <w:r w:rsidR="00DA2B94">
              <w:rPr>
                <w:rFonts w:ascii="ITC Avant Garde" w:hAnsi="ITC Avant Garde"/>
                <w:b/>
                <w:bCs/>
                <w:sz w:val="18"/>
                <w:szCs w:val="18"/>
              </w:rPr>
              <w:t>pr</w:t>
            </w:r>
            <w:r w:rsidR="0024526E">
              <w:rPr>
                <w:rFonts w:ascii="ITC Avant Garde" w:hAnsi="ITC Avant Garde"/>
                <w:b/>
                <w:bCs/>
                <w:sz w:val="18"/>
                <w:szCs w:val="18"/>
              </w:rPr>
              <w:t>imero)</w:t>
            </w:r>
          </w:p>
          <w:p w14:paraId="6E8CFA4E" w14:textId="77777777" w:rsidR="004459E2" w:rsidRPr="00724A07" w:rsidRDefault="004459E2" w:rsidP="004459E2">
            <w:pPr>
              <w:spacing w:after="0" w:line="240" w:lineRule="auto"/>
              <w:jc w:val="both"/>
              <w:rPr>
                <w:rFonts w:ascii="ITC Avant Garde" w:hAnsi="ITC Avant Garde" w:cs="Arial"/>
                <w:sz w:val="18"/>
                <w:szCs w:val="18"/>
              </w:rPr>
            </w:pPr>
          </w:p>
          <w:p w14:paraId="3B33A012" w14:textId="316B6D09" w:rsidR="004459E2" w:rsidRPr="00724A07" w:rsidRDefault="004459E2" w:rsidP="004459E2">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La escala de operación necesaria puede representar limitaciones para competir en la provisión del producto analizado, por ejemplo, debido a: i) la presencia efectos de red que benefician a los operadores con mayor escala,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la capacidad económica que podría limitar las posibilidades de acceso a fuentes de financiamiento y mercados de capitales, o la capacidad para formular ofertas competitivas.</w:t>
            </w:r>
          </w:p>
        </w:tc>
        <w:tc>
          <w:tcPr>
            <w:tcW w:w="4830" w:type="dxa"/>
            <w:shd w:val="clear" w:color="auto" w:fill="auto"/>
          </w:tcPr>
          <w:p w14:paraId="1E6AAF8B" w14:textId="66666877" w:rsidR="000C78B2" w:rsidRPr="000C78B2" w:rsidRDefault="000C78B2" w:rsidP="000C78B2">
            <w:pPr>
              <w:spacing w:after="0" w:line="240" w:lineRule="auto"/>
              <w:jc w:val="both"/>
              <w:rPr>
                <w:rFonts w:ascii="ITC Avant Garde" w:hAnsi="ITC Avant Garde" w:cs="Arial"/>
                <w:sz w:val="18"/>
                <w:szCs w:val="18"/>
              </w:rPr>
            </w:pPr>
            <w:r w:rsidRPr="000C78B2">
              <w:rPr>
                <w:rFonts w:ascii="ITC Avant Garde" w:hAnsi="ITC Avant Garde" w:cs="Arial"/>
                <w:b/>
                <w:bCs/>
                <w:sz w:val="18"/>
                <w:szCs w:val="18"/>
              </w:rPr>
              <w:t>5.3.3.2.</w:t>
            </w:r>
            <w:r w:rsidRPr="000C78B2">
              <w:rPr>
                <w:rFonts w:ascii="ITC Avant Garde" w:hAnsi="ITC Avant Garde" w:cs="Arial"/>
                <w:b/>
                <w:bCs/>
                <w:sz w:val="18"/>
                <w:szCs w:val="18"/>
              </w:rPr>
              <w:tab/>
            </w:r>
            <w:r w:rsidR="0038137E" w:rsidRPr="000C78B2">
              <w:rPr>
                <w:rFonts w:ascii="ITC Avant Garde" w:hAnsi="ITC Avant Garde" w:cs="Arial"/>
                <w:b/>
                <w:bCs/>
                <w:sz w:val="18"/>
                <w:szCs w:val="18"/>
              </w:rPr>
              <w:t>Sustitución por el lado de la oferta</w:t>
            </w:r>
            <w:r w:rsidR="0038137E" w:rsidRPr="000C78B2">
              <w:rPr>
                <w:rFonts w:ascii="ITC Avant Garde" w:hAnsi="ITC Avant Garde" w:cs="Arial"/>
                <w:sz w:val="18"/>
                <w:szCs w:val="18"/>
              </w:rPr>
              <w:t xml:space="preserve"> </w:t>
            </w:r>
          </w:p>
          <w:p w14:paraId="0403136F" w14:textId="4B6D1935" w:rsidR="004459E2" w:rsidRPr="000C78B2" w:rsidRDefault="004459E2" w:rsidP="000C78B2">
            <w:pPr>
              <w:rPr>
                <w:rFonts w:ascii="ITC Avant Garde" w:hAnsi="ITC Avant Garde"/>
                <w:b/>
                <w:bCs/>
                <w:sz w:val="18"/>
                <w:szCs w:val="18"/>
              </w:rPr>
            </w:pPr>
            <w:r w:rsidRPr="000C78B2">
              <w:rPr>
                <w:rFonts w:ascii="ITC Avant Garde" w:hAnsi="ITC Avant Garde"/>
                <w:b/>
                <w:bCs/>
                <w:sz w:val="18"/>
                <w:szCs w:val="18"/>
              </w:rPr>
              <w:t>•</w:t>
            </w:r>
            <w:r w:rsidR="0038137E" w:rsidRPr="000C78B2">
              <w:rPr>
                <w:rFonts w:ascii="ITC Avant Garde" w:hAnsi="ITC Avant Garde"/>
                <w:b/>
                <w:bCs/>
                <w:sz w:val="18"/>
                <w:szCs w:val="18"/>
              </w:rPr>
              <w:t xml:space="preserve"> </w:t>
            </w:r>
            <w:r w:rsidRPr="000C78B2">
              <w:rPr>
                <w:rFonts w:ascii="ITC Avant Garde" w:hAnsi="ITC Avant Garde"/>
                <w:b/>
                <w:bCs/>
                <w:sz w:val="18"/>
                <w:szCs w:val="18"/>
              </w:rPr>
              <w:t>La escala de operación de oferentes que pudieran tener incentivos para proveer el producto analizado</w:t>
            </w:r>
            <w:r w:rsidR="0024526E">
              <w:rPr>
                <w:rFonts w:ascii="ITC Avant Garde" w:hAnsi="ITC Avant Garde"/>
                <w:b/>
                <w:bCs/>
                <w:sz w:val="18"/>
                <w:szCs w:val="18"/>
              </w:rPr>
              <w:t xml:space="preserve"> (párra</w:t>
            </w:r>
            <w:r w:rsidR="00DA2B94">
              <w:rPr>
                <w:rFonts w:ascii="ITC Avant Garde" w:hAnsi="ITC Avant Garde"/>
                <w:b/>
                <w:bCs/>
                <w:sz w:val="18"/>
                <w:szCs w:val="18"/>
              </w:rPr>
              <w:t>f</w:t>
            </w:r>
            <w:r w:rsidR="0024526E">
              <w:rPr>
                <w:rFonts w:ascii="ITC Avant Garde" w:hAnsi="ITC Avant Garde"/>
                <w:b/>
                <w:bCs/>
                <w:sz w:val="18"/>
                <w:szCs w:val="18"/>
              </w:rPr>
              <w:t xml:space="preserve">o </w:t>
            </w:r>
            <w:r w:rsidR="00DA2B94">
              <w:rPr>
                <w:rFonts w:ascii="ITC Avant Garde" w:hAnsi="ITC Avant Garde"/>
                <w:b/>
                <w:bCs/>
                <w:sz w:val="18"/>
                <w:szCs w:val="18"/>
              </w:rPr>
              <w:t>pr</w:t>
            </w:r>
            <w:r w:rsidR="0024526E">
              <w:rPr>
                <w:rFonts w:ascii="ITC Avant Garde" w:hAnsi="ITC Avant Garde"/>
                <w:b/>
                <w:bCs/>
                <w:sz w:val="18"/>
                <w:szCs w:val="18"/>
              </w:rPr>
              <w:t>imero)</w:t>
            </w:r>
          </w:p>
          <w:p w14:paraId="050D481E" w14:textId="77777777" w:rsidR="004459E2" w:rsidRPr="00724A07" w:rsidRDefault="004459E2" w:rsidP="004459E2">
            <w:pPr>
              <w:spacing w:after="0" w:line="240" w:lineRule="auto"/>
              <w:jc w:val="both"/>
              <w:rPr>
                <w:rFonts w:ascii="ITC Avant Garde" w:hAnsi="ITC Avant Garde" w:cs="Arial"/>
                <w:sz w:val="18"/>
                <w:szCs w:val="18"/>
              </w:rPr>
            </w:pPr>
          </w:p>
          <w:p w14:paraId="52EA72D6" w14:textId="200F365F" w:rsidR="004459E2" w:rsidRPr="00724A07" w:rsidRDefault="004459E2" w:rsidP="004459E2">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La escala de operación necesaria puede representar limitaciones para competir en la provisión del producto analizado, por ejemplo, debido a: i) la presencia efectos </w:t>
            </w:r>
            <w:r w:rsidR="00887776" w:rsidRPr="00D24191">
              <w:rPr>
                <w:rFonts w:ascii="ITC Avant Garde" w:hAnsi="ITC Avant Garde" w:cs="Arial"/>
                <w:sz w:val="18"/>
                <w:szCs w:val="18"/>
                <w:u w:val="single"/>
              </w:rPr>
              <w:t>directos</w:t>
            </w:r>
            <w:r w:rsidR="00887776">
              <w:rPr>
                <w:rFonts w:ascii="ITC Avant Garde" w:hAnsi="ITC Avant Garde" w:cs="Arial"/>
                <w:sz w:val="18"/>
                <w:szCs w:val="18"/>
              </w:rPr>
              <w:t xml:space="preserve"> </w:t>
            </w:r>
            <w:r w:rsidRPr="00724A07">
              <w:rPr>
                <w:rFonts w:ascii="ITC Avant Garde" w:hAnsi="ITC Avant Garde" w:cs="Arial"/>
                <w:sz w:val="18"/>
                <w:szCs w:val="18"/>
              </w:rPr>
              <w:t>de red</w:t>
            </w:r>
            <w:r w:rsidRPr="00724A07">
              <w:rPr>
                <w:rFonts w:ascii="ITC Avant Garde" w:hAnsi="ITC Avant Garde" w:cs="Arial"/>
                <w:sz w:val="18"/>
                <w:szCs w:val="18"/>
                <w:u w:val="single"/>
                <w:vertAlign w:val="superscript"/>
              </w:rPr>
              <w:t xml:space="preserve"> ** [Nueva nota al pie]</w:t>
            </w:r>
            <w:r w:rsidRPr="00724A07">
              <w:rPr>
                <w:rFonts w:ascii="ITC Avant Garde" w:hAnsi="ITC Avant Garde" w:cs="Arial"/>
                <w:sz w:val="18"/>
                <w:szCs w:val="18"/>
              </w:rPr>
              <w:t xml:space="preserve"> que benefician a los operadores con mayor escala,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la capacidad económica que podría limitar las posibilidades de acceso a fuentes de financiamiento y mercados de capitales, o la capacidad para formular ofertas competitivas.</w:t>
            </w:r>
          </w:p>
          <w:p w14:paraId="637A27F6" w14:textId="77777777" w:rsidR="004459E2" w:rsidRPr="00724A07" w:rsidRDefault="004459E2" w:rsidP="004459E2">
            <w:pPr>
              <w:spacing w:after="0" w:line="240" w:lineRule="auto"/>
              <w:jc w:val="both"/>
              <w:rPr>
                <w:rFonts w:ascii="ITC Avant Garde" w:hAnsi="ITC Avant Garde" w:cs="Arial"/>
                <w:sz w:val="18"/>
                <w:szCs w:val="18"/>
                <w:u w:val="single"/>
              </w:rPr>
            </w:pPr>
          </w:p>
          <w:p w14:paraId="5BC13389" w14:textId="2DBCABB7" w:rsidR="004459E2" w:rsidRPr="00724A07" w:rsidRDefault="004459E2" w:rsidP="004459E2">
            <w:pPr>
              <w:spacing w:after="0" w:line="240" w:lineRule="auto"/>
              <w:jc w:val="both"/>
              <w:rPr>
                <w:rFonts w:ascii="ITC Avant Garde" w:hAnsi="ITC Avant Garde"/>
                <w:sz w:val="18"/>
                <w:szCs w:val="18"/>
                <w:u w:val="single"/>
              </w:rPr>
            </w:pPr>
            <w:r w:rsidRPr="00724A07">
              <w:rPr>
                <w:rFonts w:ascii="ITC Avant Garde" w:hAnsi="ITC Avant Garde" w:cs="Arial"/>
                <w:sz w:val="18"/>
                <w:szCs w:val="18"/>
                <w:u w:val="single"/>
              </w:rPr>
              <w:t xml:space="preserve">** [Nueva nota al pie] </w:t>
            </w:r>
            <w:bookmarkStart w:id="25" w:name="_Hlk84503274"/>
            <w:r w:rsidR="00C72D15" w:rsidRPr="00724A07">
              <w:rPr>
                <w:rFonts w:ascii="ITC Avant Garde" w:hAnsi="ITC Avant Garde"/>
                <w:sz w:val="18"/>
                <w:szCs w:val="18"/>
                <w:u w:val="single"/>
              </w:rPr>
              <w:t xml:space="preserve">La demanda se caracteriza por un efecto o externalidad de red directa cuando la disposición de los consumidores a pagar por un producto depende del número de otros consumidores (o de la cantidad comprada) del mismo producto. </w:t>
            </w:r>
          </w:p>
          <w:p w14:paraId="2E305A8E" w14:textId="285F79ED" w:rsidR="00C72D15" w:rsidRPr="00724A07" w:rsidRDefault="00C72D15" w:rsidP="004459E2">
            <w:pPr>
              <w:spacing w:after="0" w:line="240" w:lineRule="auto"/>
              <w:jc w:val="both"/>
              <w:rPr>
                <w:rFonts w:ascii="ITC Avant Garde" w:hAnsi="ITC Avant Garde" w:cs="Arial"/>
                <w:sz w:val="18"/>
                <w:szCs w:val="18"/>
                <w:u w:val="single"/>
              </w:rPr>
            </w:pPr>
            <w:r w:rsidRPr="00724A07">
              <w:rPr>
                <w:rFonts w:ascii="ITC Avant Garde" w:hAnsi="ITC Avant Garde"/>
                <w:sz w:val="18"/>
                <w:szCs w:val="18"/>
                <w:u w:val="single"/>
                <w:lang w:val="en-US"/>
              </w:rPr>
              <w:t xml:space="preserve">OCDE (2018). </w:t>
            </w:r>
            <w:r w:rsidRPr="000F79E8">
              <w:rPr>
                <w:rFonts w:ascii="ITC Avant Garde" w:hAnsi="ITC Avant Garde"/>
                <w:i/>
                <w:sz w:val="18"/>
                <w:szCs w:val="18"/>
                <w:u w:val="single"/>
                <w:lang w:val="en-US"/>
              </w:rPr>
              <w:t>Rethinking Antitrust Tools for Multi-sided Platforms</w:t>
            </w:r>
            <w:r w:rsidRPr="00724A07">
              <w:rPr>
                <w:rFonts w:ascii="ITC Avant Garde" w:hAnsi="ITC Avant Garde"/>
                <w:sz w:val="18"/>
                <w:szCs w:val="18"/>
                <w:u w:val="single"/>
                <w:lang w:val="en-US"/>
              </w:rPr>
              <w:t xml:space="preserve">. </w:t>
            </w:r>
            <w:r w:rsidRPr="00724A07">
              <w:rPr>
                <w:rFonts w:ascii="ITC Avant Garde" w:hAnsi="ITC Avant Garde"/>
                <w:sz w:val="18"/>
                <w:szCs w:val="18"/>
                <w:u w:val="single"/>
              </w:rPr>
              <w:t xml:space="preserve">Disponible en: </w:t>
            </w:r>
            <w:hyperlink r:id="rId12" w:history="1">
              <w:r w:rsidR="000F79E8" w:rsidRPr="00B4640F">
                <w:rPr>
                  <w:rStyle w:val="Hipervnculo"/>
                  <w:rFonts w:ascii="ITC Avant Garde" w:hAnsi="ITC Avant Garde"/>
                  <w:sz w:val="18"/>
                  <w:szCs w:val="18"/>
                </w:rPr>
                <w:t>https://www.oecd.org/daf/competition/Rethinking-antitrust-tools-for-multi-sided-platforms-2018.pdf</w:t>
              </w:r>
            </w:hyperlink>
            <w:r w:rsidR="00867720">
              <w:rPr>
                <w:rFonts w:ascii="ITC Avant Garde" w:hAnsi="ITC Avant Garde"/>
                <w:sz w:val="18"/>
                <w:szCs w:val="18"/>
              </w:rPr>
              <w:t>.</w:t>
            </w:r>
            <w:r w:rsidR="000F79E8">
              <w:rPr>
                <w:rFonts w:ascii="ITC Avant Garde" w:hAnsi="ITC Avant Garde"/>
                <w:sz w:val="18"/>
                <w:szCs w:val="18"/>
              </w:rPr>
              <w:t xml:space="preserve"> </w:t>
            </w:r>
            <w:r w:rsidRPr="00724A07">
              <w:rPr>
                <w:rFonts w:ascii="ITC Avant Garde" w:hAnsi="ITC Avant Garde"/>
                <w:sz w:val="18"/>
                <w:szCs w:val="18"/>
                <w:u w:val="single"/>
              </w:rPr>
              <w:t>(Nota 3)</w:t>
            </w:r>
            <w:bookmarkEnd w:id="25"/>
          </w:p>
        </w:tc>
      </w:tr>
    </w:tbl>
    <w:p w14:paraId="699A371B" w14:textId="3A145DFA" w:rsidR="00C46AB1" w:rsidRPr="00724A07" w:rsidRDefault="00C7449E" w:rsidP="00887937">
      <w:pPr>
        <w:keepNext/>
        <w:spacing w:before="24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.6. Determinación de la dimensión geográfica</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377470A1" w14:textId="77777777" w:rsidTr="00887937">
        <w:trPr>
          <w:trHeight w:val="276"/>
          <w:jc w:val="center"/>
        </w:trPr>
        <w:tc>
          <w:tcPr>
            <w:tcW w:w="9785" w:type="dxa"/>
            <w:shd w:val="clear" w:color="auto" w:fill="92D050"/>
            <w:vAlign w:val="center"/>
          </w:tcPr>
          <w:p w14:paraId="0B863A3A" w14:textId="6DDC45A4" w:rsidR="00A165D0" w:rsidRPr="00724A07" w:rsidRDefault="00F0287A"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Telefónica</w:t>
            </w:r>
          </w:p>
        </w:tc>
      </w:tr>
      <w:tr w:rsidR="00A165D0" w:rsidRPr="00724A07" w14:paraId="02844F70" w14:textId="77777777" w:rsidTr="00887937">
        <w:trPr>
          <w:trHeight w:val="443"/>
          <w:jc w:val="center"/>
        </w:trPr>
        <w:tc>
          <w:tcPr>
            <w:tcW w:w="9785" w:type="dxa"/>
            <w:shd w:val="clear" w:color="auto" w:fill="E2EFD9" w:themeFill="accent6" w:themeFillTint="33"/>
            <w:vAlign w:val="center"/>
          </w:tcPr>
          <w:p w14:paraId="091194C0" w14:textId="7D0CFC71" w:rsidR="00A165D0" w:rsidRPr="00724A07" w:rsidRDefault="00D40DB8" w:rsidP="00472E67">
            <w:pPr>
              <w:spacing w:after="160" w:line="259" w:lineRule="auto"/>
              <w:jc w:val="both"/>
              <w:rPr>
                <w:rFonts w:ascii="ITC Avant Garde" w:hAnsi="ITC Avant Garde"/>
                <w:i/>
                <w:sz w:val="18"/>
                <w:szCs w:val="18"/>
              </w:rPr>
            </w:pPr>
            <w:r w:rsidRPr="007C2396">
              <w:rPr>
                <w:rFonts w:ascii="ITC Avant Garde" w:hAnsi="ITC Avant Garde" w:cs="Tahoma"/>
                <w:i/>
                <w:color w:val="000000"/>
                <w:sz w:val="18"/>
                <w:szCs w:val="18"/>
                <w:lang w:eastAsia="es-MX"/>
              </w:rPr>
              <w:t>“</w:t>
            </w:r>
            <w:r w:rsidRPr="00410AF1">
              <w:rPr>
                <w:rFonts w:ascii="ITC Avant Garde" w:hAnsi="ITC Avant Garde" w:cs="Tahoma"/>
                <w:iCs/>
                <w:color w:val="000000"/>
                <w:sz w:val="18"/>
                <w:szCs w:val="18"/>
                <w:lang w:eastAsia="es-MX"/>
              </w:rPr>
              <w:t>(…)</w:t>
            </w:r>
            <w:r>
              <w:rPr>
                <w:rFonts w:ascii="ITC Avant Garde" w:hAnsi="ITC Avant Garde" w:cs="Tahoma"/>
                <w:i/>
                <w:color w:val="000000"/>
                <w:sz w:val="18"/>
                <w:szCs w:val="18"/>
                <w:lang w:eastAsia="es-MX"/>
              </w:rPr>
              <w:t xml:space="preserve"> </w:t>
            </w:r>
            <w:r>
              <w:rPr>
                <w:rFonts w:ascii="ITC Avant Garde" w:hAnsi="ITC Avant Garde"/>
                <w:i/>
                <w:sz w:val="18"/>
                <w:szCs w:val="18"/>
              </w:rPr>
              <w:t>s</w:t>
            </w:r>
            <w:r w:rsidRPr="007C2396">
              <w:rPr>
                <w:rFonts w:ascii="ITC Avant Garde" w:hAnsi="ITC Avant Garde"/>
                <w:i/>
                <w:sz w:val="18"/>
                <w:szCs w:val="18"/>
              </w:rPr>
              <w:t>e sugiere que la guía incorpore como uno de los criterios a emplear para la determinación de la dimensión geográfica de un mercado relevante, el análisis del proceso de formación de precios en la industria en particular."</w:t>
            </w:r>
          </w:p>
        </w:tc>
      </w:tr>
    </w:tbl>
    <w:p w14:paraId="40179F92" w14:textId="77777777" w:rsidR="002675D0" w:rsidRPr="00724A07" w:rsidRDefault="002675D0" w:rsidP="002675D0">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29C19FE7" w14:textId="5002C718" w:rsidR="00C46AB1" w:rsidRPr="00724A07" w:rsidRDefault="00A165D0" w:rsidP="00887937">
      <w:pPr>
        <w:spacing w:before="120" w:after="24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al comentario de</w:t>
      </w:r>
      <w:r w:rsidR="007217BD" w:rsidRPr="00724A07">
        <w:rPr>
          <w:rFonts w:ascii="ITC Avant Garde" w:hAnsi="ITC Avant Garde"/>
        </w:rPr>
        <w:t xml:space="preserve"> Telefónica</w:t>
      </w:r>
      <w:r w:rsidR="00670D0A" w:rsidRPr="00724A07">
        <w:rPr>
          <w:rFonts w:ascii="ITC Avant Garde" w:hAnsi="ITC Avant Garde"/>
        </w:rPr>
        <w:t>,</w:t>
      </w:r>
      <w:r w:rsidR="007217BD" w:rsidRPr="00724A07">
        <w:rPr>
          <w:rFonts w:ascii="ITC Avant Garde" w:hAnsi="ITC Avant Garde"/>
        </w:rPr>
        <w:t xml:space="preserve"> respecto a </w:t>
      </w:r>
      <w:r w:rsidR="006B479F" w:rsidRPr="00724A07">
        <w:rPr>
          <w:rFonts w:ascii="ITC Avant Garde" w:hAnsi="ITC Avant Garde"/>
        </w:rPr>
        <w:t>que el Anteproyecto de Guía debe considerar “</w:t>
      </w:r>
      <w:r w:rsidR="006B479F" w:rsidRPr="003A72C9">
        <w:rPr>
          <w:rFonts w:ascii="ITC Avant Garde" w:hAnsi="ITC Avant Garde"/>
          <w:i/>
        </w:rPr>
        <w:t>el proceso de formación de precios</w:t>
      </w:r>
      <w:r w:rsidR="006B479F" w:rsidRPr="00724A07">
        <w:rPr>
          <w:rFonts w:ascii="ITC Avant Garde" w:hAnsi="ITC Avant Garde"/>
        </w:rPr>
        <w:t>” como un criterio adicional para determinar la dimensión geográfica del mercado relevante, se considera improcedente. Lo anterior, toda vez que se considera que el “</w:t>
      </w:r>
      <w:r w:rsidR="006B479F" w:rsidRPr="00724A07">
        <w:rPr>
          <w:rFonts w:ascii="ITC Avant Garde" w:hAnsi="ITC Avant Garde"/>
          <w:i/>
          <w:iCs/>
        </w:rPr>
        <w:t>proceso de formación de precios</w:t>
      </w:r>
      <w:r w:rsidR="006B479F" w:rsidRPr="00724A07">
        <w:rPr>
          <w:rFonts w:ascii="ITC Avant Garde" w:hAnsi="ITC Avant Garde"/>
        </w:rPr>
        <w:t xml:space="preserve">” depende a su vez de los criterios </w:t>
      </w:r>
      <w:r w:rsidR="002675D0" w:rsidRPr="00724A07">
        <w:rPr>
          <w:rFonts w:ascii="ITC Avant Garde" w:hAnsi="ITC Avant Garde"/>
        </w:rPr>
        <w:t xml:space="preserve">que </w:t>
      </w:r>
      <w:r w:rsidR="006B479F" w:rsidRPr="00724A07">
        <w:rPr>
          <w:rFonts w:ascii="ITC Avant Garde" w:hAnsi="ITC Avant Garde"/>
        </w:rPr>
        <w:t xml:space="preserve">ya </w:t>
      </w:r>
      <w:r w:rsidR="002675D0" w:rsidRPr="00724A07">
        <w:rPr>
          <w:rFonts w:ascii="ITC Avant Garde" w:hAnsi="ITC Avant Garde"/>
        </w:rPr>
        <w:t xml:space="preserve">se </w:t>
      </w:r>
      <w:r w:rsidR="006B479F" w:rsidRPr="00724A07">
        <w:rPr>
          <w:rFonts w:ascii="ITC Avant Garde" w:hAnsi="ITC Avant Garde"/>
        </w:rPr>
        <w:t>considera</w:t>
      </w:r>
      <w:r w:rsidR="002675D0" w:rsidRPr="00724A07">
        <w:rPr>
          <w:rFonts w:ascii="ITC Avant Garde" w:hAnsi="ITC Avant Garde"/>
        </w:rPr>
        <w:t>n</w:t>
      </w:r>
      <w:r w:rsidR="006B479F" w:rsidRPr="00724A07">
        <w:rPr>
          <w:rFonts w:ascii="ITC Avant Garde" w:hAnsi="ITC Avant Garde"/>
        </w:rPr>
        <w:t xml:space="preserve"> en el Anteproyecto de Guía. A mayor abundamiento, el precio de los productos depende de factores tales como los costos</w:t>
      </w:r>
      <w:r w:rsidR="002675D0" w:rsidRPr="00724A07">
        <w:rPr>
          <w:rFonts w:ascii="ITC Avant Garde" w:hAnsi="ITC Avant Garde"/>
        </w:rPr>
        <w:t xml:space="preserve"> de producción, distribución y comercialización,</w:t>
      </w:r>
      <w:r w:rsidR="006B479F" w:rsidRPr="00724A07">
        <w:rPr>
          <w:rFonts w:ascii="ITC Avant Garde" w:hAnsi="ITC Avant Garde"/>
        </w:rPr>
        <w:t xml:space="preserve"> la capacidad de los oferentes de discriminar con base en la zona geográfica y de los demandantes para evitar esta discriminación mediante arbitraje</w:t>
      </w:r>
      <w:r w:rsidR="009941BA" w:rsidRPr="00724A07">
        <w:rPr>
          <w:rFonts w:ascii="ITC Avant Garde" w:hAnsi="ITC Avant Garde"/>
        </w:rPr>
        <w:t xml:space="preserve">, las condiciones de competencia </w:t>
      </w:r>
      <w:r w:rsidR="002675D0" w:rsidRPr="00724A07">
        <w:rPr>
          <w:rFonts w:ascii="ITC Avant Garde" w:hAnsi="ITC Avant Garde"/>
        </w:rPr>
        <w:t xml:space="preserve">existentes </w:t>
      </w:r>
      <w:r w:rsidR="009941BA" w:rsidRPr="00724A07">
        <w:rPr>
          <w:rFonts w:ascii="ITC Avant Garde" w:hAnsi="ITC Avant Garde"/>
        </w:rPr>
        <w:t xml:space="preserve">en las diferentes zonas geográficas, </w:t>
      </w:r>
      <w:r w:rsidR="002675D0" w:rsidRPr="00724A07">
        <w:rPr>
          <w:rFonts w:ascii="ITC Avant Garde" w:hAnsi="ITC Avant Garde"/>
        </w:rPr>
        <w:t>entre otros,</w:t>
      </w:r>
      <w:r w:rsidR="009941BA" w:rsidRPr="00724A07">
        <w:rPr>
          <w:rFonts w:ascii="ITC Avant Garde" w:hAnsi="ITC Avant Garde"/>
        </w:rPr>
        <w:t xml:space="preserve"> los cuales son considerados dentro de los criterios establecidos en el Anteproyecto de Guía.</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2675D0" w:rsidRPr="00724A07" w14:paraId="302DFC89" w14:textId="77777777" w:rsidTr="00887937">
        <w:trPr>
          <w:trHeight w:val="276"/>
          <w:jc w:val="center"/>
        </w:trPr>
        <w:tc>
          <w:tcPr>
            <w:tcW w:w="9785" w:type="dxa"/>
            <w:shd w:val="clear" w:color="auto" w:fill="92D050"/>
            <w:vAlign w:val="center"/>
          </w:tcPr>
          <w:p w14:paraId="247824F1" w14:textId="030691DB" w:rsidR="002675D0" w:rsidRPr="00724A07" w:rsidRDefault="002675D0" w:rsidP="00753ED5">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COFECE</w:t>
            </w:r>
          </w:p>
        </w:tc>
      </w:tr>
      <w:tr w:rsidR="002675D0" w:rsidRPr="00724A07" w14:paraId="35F98989" w14:textId="77777777" w:rsidTr="00887937">
        <w:trPr>
          <w:trHeight w:val="443"/>
          <w:jc w:val="center"/>
        </w:trPr>
        <w:tc>
          <w:tcPr>
            <w:tcW w:w="9785" w:type="dxa"/>
            <w:shd w:val="clear" w:color="auto" w:fill="E2EFD9" w:themeFill="accent6" w:themeFillTint="33"/>
            <w:vAlign w:val="center"/>
          </w:tcPr>
          <w:p w14:paraId="6F3DEEA8" w14:textId="71D53CC1" w:rsidR="002675D0" w:rsidRPr="00724A07" w:rsidRDefault="00D40DB8" w:rsidP="00753ED5">
            <w:pPr>
              <w:spacing w:after="160" w:line="259" w:lineRule="auto"/>
              <w:jc w:val="both"/>
              <w:rPr>
                <w:rFonts w:ascii="ITC Avant Garde" w:hAnsi="ITC Avant Garde"/>
                <w:i/>
                <w:sz w:val="18"/>
                <w:szCs w:val="18"/>
              </w:rPr>
            </w:pPr>
            <w:r w:rsidRPr="007C2396">
              <w:rPr>
                <w:rFonts w:ascii="ITC Avant Garde" w:hAnsi="ITC Avant Garde" w:cs="Tahoma"/>
                <w:i/>
                <w:color w:val="000000"/>
                <w:sz w:val="18"/>
                <w:szCs w:val="18"/>
                <w:lang w:eastAsia="es-MX"/>
              </w:rPr>
              <w:t xml:space="preserve">“En la nota al pie de página número 53, se puede mencionar que una preocupación general al aplicar esta prueba </w:t>
            </w:r>
            <w:r w:rsidRPr="007C2396">
              <w:rPr>
                <w:rFonts w:ascii="ITC Avant Garde" w:hAnsi="ITC Avant Garde" w:cs="Tahoma"/>
                <w:iCs/>
                <w:color w:val="000000"/>
                <w:sz w:val="18"/>
                <w:szCs w:val="18"/>
                <w:lang w:eastAsia="es-MX"/>
              </w:rPr>
              <w:t>[</w:t>
            </w:r>
            <w:proofErr w:type="spellStart"/>
            <w:r w:rsidRPr="007C2396">
              <w:rPr>
                <w:rFonts w:ascii="ITC Avant Garde" w:hAnsi="ITC Avant Garde" w:cs="Tahoma"/>
                <w:iCs/>
                <w:color w:val="000000"/>
                <w:sz w:val="18"/>
                <w:szCs w:val="18"/>
                <w:lang w:eastAsia="es-MX"/>
              </w:rPr>
              <w:t>Elzinga-Hogarty</w:t>
            </w:r>
            <w:proofErr w:type="spellEnd"/>
            <w:r w:rsidRPr="007C2396">
              <w:rPr>
                <w:rFonts w:ascii="ITC Avant Garde" w:hAnsi="ITC Avant Garde" w:cs="Tahoma"/>
                <w:iCs/>
                <w:color w:val="000000"/>
                <w:sz w:val="18"/>
                <w:szCs w:val="18"/>
                <w:lang w:eastAsia="es-MX"/>
              </w:rPr>
              <w:t xml:space="preserve">] </w:t>
            </w:r>
            <w:r w:rsidRPr="007C2396">
              <w:rPr>
                <w:rFonts w:ascii="ITC Avant Garde" w:hAnsi="ITC Avant Garde" w:cs="Tahoma"/>
                <w:i/>
                <w:color w:val="000000"/>
                <w:sz w:val="18"/>
                <w:szCs w:val="18"/>
                <w:lang w:eastAsia="es-MX"/>
              </w:rPr>
              <w:t>es que el límite numérico considerado en la prueba carece de sustento teórico y que normalmente parte de la experiencia o sentido crítico del investigador, y no está directamente relacionado con la prueba del monopolista hipotético</w:t>
            </w:r>
            <w:r w:rsidRPr="007C2396">
              <w:rPr>
                <w:rFonts w:ascii="ITC Avant Garde" w:hAnsi="ITC Avant Garde"/>
                <w:i/>
                <w:sz w:val="18"/>
                <w:szCs w:val="18"/>
              </w:rPr>
              <w:t>."</w:t>
            </w:r>
          </w:p>
        </w:tc>
      </w:tr>
    </w:tbl>
    <w:p w14:paraId="50451B15" w14:textId="1D47240F" w:rsidR="00AB6F1E" w:rsidRPr="00724A07" w:rsidRDefault="00AB6F1E" w:rsidP="00AB6F1E">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4D3F23B2" w14:textId="5A4AAD57" w:rsidR="00AD5B3C" w:rsidRPr="00C7449E" w:rsidRDefault="00AF2956" w:rsidP="00C7449E">
      <w:pPr>
        <w:spacing w:before="120" w:after="120" w:line="240" w:lineRule="auto"/>
        <w:jc w:val="both"/>
        <w:rPr>
          <w:rFonts w:ascii="ITC Avant Garde" w:hAnsi="ITC Avant Garde"/>
          <w:color w:val="000000"/>
        </w:rPr>
      </w:pPr>
      <w:r w:rsidRPr="00C7449E">
        <w:rPr>
          <w:rFonts w:ascii="ITC Avant Garde" w:hAnsi="ITC Avant Garde"/>
          <w:color w:val="000000"/>
        </w:rPr>
        <w:t xml:space="preserve">En relación con el comentario de la COFECE de incluir precisiones respecto a la prueba </w:t>
      </w:r>
      <w:proofErr w:type="spellStart"/>
      <w:r w:rsidRPr="00C7449E">
        <w:rPr>
          <w:rFonts w:ascii="ITC Avant Garde" w:hAnsi="ITC Avant Garde"/>
          <w:color w:val="000000"/>
        </w:rPr>
        <w:t>Elzinga-Hogarty</w:t>
      </w:r>
      <w:proofErr w:type="spellEnd"/>
      <w:r w:rsidRPr="00C7449E">
        <w:rPr>
          <w:rFonts w:ascii="ITC Avant Garde" w:hAnsi="ITC Avant Garde"/>
          <w:color w:val="000000"/>
        </w:rPr>
        <w:t>, se considera procedente, toda vez que contribuye a que las herramientas que se utilizan en la experiencia internacional para la definición de MR sean más transparentes para los agentes económicos y el público en general.</w:t>
      </w:r>
    </w:p>
    <w:p w14:paraId="037908E0" w14:textId="1C88B924" w:rsidR="00AF2956" w:rsidRPr="00724A07" w:rsidRDefault="00AF2956" w:rsidP="00AF2956">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6.2.</w:t>
      </w:r>
      <w:r w:rsidR="00867720">
        <w:rPr>
          <w:rFonts w:ascii="ITC Avant Garde" w:hAnsi="ITC Avant Garde"/>
          <w:i/>
          <w:iCs/>
        </w:rPr>
        <w:t xml:space="preserve"> </w:t>
      </w:r>
      <w:r w:rsidRPr="00724A07">
        <w:rPr>
          <w:rFonts w:ascii="ITC Avant Garde" w:hAnsi="ITC Avant Garde"/>
          <w:i/>
          <w:iCs/>
        </w:rPr>
        <w:t>Experiencia internacional</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AF2956" w:rsidRPr="00724A07" w14:paraId="671C2362" w14:textId="77777777" w:rsidTr="00887937">
        <w:trPr>
          <w:jc w:val="center"/>
        </w:trPr>
        <w:tc>
          <w:tcPr>
            <w:tcW w:w="4830" w:type="dxa"/>
            <w:shd w:val="clear" w:color="auto" w:fill="92D050"/>
            <w:vAlign w:val="center"/>
          </w:tcPr>
          <w:p w14:paraId="555636E4" w14:textId="77777777" w:rsidR="00AF2956" w:rsidRPr="00724A07" w:rsidRDefault="00AF2956"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6784A789" w14:textId="77777777" w:rsidR="00AF2956" w:rsidRPr="00724A07" w:rsidRDefault="00AF2956"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AF2956" w:rsidRPr="00724A07" w14:paraId="61F7EB6D" w14:textId="77777777" w:rsidTr="00887937">
        <w:trPr>
          <w:trHeight w:val="4873"/>
          <w:jc w:val="center"/>
        </w:trPr>
        <w:tc>
          <w:tcPr>
            <w:tcW w:w="4830" w:type="dxa"/>
            <w:shd w:val="clear" w:color="auto" w:fill="auto"/>
          </w:tcPr>
          <w:p w14:paraId="03AA46F5" w14:textId="77777777" w:rsidR="00E155E7" w:rsidRDefault="00E155E7" w:rsidP="00AF2956">
            <w:pPr>
              <w:spacing w:after="0" w:line="240" w:lineRule="auto"/>
              <w:jc w:val="both"/>
              <w:rPr>
                <w:rFonts w:ascii="ITC Avant Garde" w:hAnsi="ITC Avant Garde" w:cs="Arial"/>
                <w:b/>
                <w:bCs/>
                <w:sz w:val="18"/>
                <w:szCs w:val="18"/>
              </w:rPr>
            </w:pPr>
            <w:r>
              <w:rPr>
                <w:rFonts w:ascii="ITC Avant Garde" w:hAnsi="ITC Avant Garde" w:cs="Arial"/>
                <w:b/>
                <w:bCs/>
                <w:sz w:val="18"/>
                <w:szCs w:val="18"/>
              </w:rPr>
              <w:t>6.2 Experiencia internacional</w:t>
            </w:r>
          </w:p>
          <w:p w14:paraId="73244167" w14:textId="5E8DDED4" w:rsidR="00AF2956" w:rsidRPr="00724A07" w:rsidRDefault="00AF2956" w:rsidP="00AF2956">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Por el lado de la demanda:</w:t>
            </w:r>
          </w:p>
          <w:p w14:paraId="0FEF0002" w14:textId="61EEA9F7" w:rsidR="00AF2956" w:rsidRPr="00724A07" w:rsidRDefault="00E155E7" w:rsidP="00AF2956">
            <w:pPr>
              <w:spacing w:after="0" w:line="240" w:lineRule="auto"/>
              <w:jc w:val="both"/>
              <w:rPr>
                <w:rFonts w:ascii="ITC Avant Garde" w:hAnsi="ITC Avant Garde" w:cs="Arial"/>
                <w:sz w:val="18"/>
                <w:szCs w:val="18"/>
              </w:rPr>
            </w:pPr>
            <w:r>
              <w:rPr>
                <w:rFonts w:ascii="ITC Avant Garde" w:hAnsi="ITC Avant Garde" w:cs="Arial"/>
                <w:sz w:val="18"/>
                <w:szCs w:val="18"/>
              </w:rPr>
              <w:t>[…]</w:t>
            </w:r>
          </w:p>
          <w:p w14:paraId="729B4467" w14:textId="77777777" w:rsidR="00AF2956" w:rsidRPr="00724A07" w:rsidRDefault="00AF2956" w:rsidP="00AF2956">
            <w:pPr>
              <w:spacing w:after="0" w:line="240" w:lineRule="auto"/>
              <w:jc w:val="both"/>
              <w:rPr>
                <w:rFonts w:ascii="ITC Avant Garde" w:hAnsi="ITC Avant Garde" w:cs="Arial"/>
                <w:sz w:val="18"/>
                <w:szCs w:val="18"/>
                <w:vertAlign w:val="superscript"/>
              </w:rPr>
            </w:pPr>
            <w:r w:rsidRPr="00724A07">
              <w:rPr>
                <w:rFonts w:ascii="ITC Avant Garde" w:hAnsi="ITC Avant Garde" w:cs="Arial"/>
                <w:sz w:val="18"/>
                <w:szCs w:val="18"/>
              </w:rPr>
              <w:t>•</w:t>
            </w:r>
            <w:r w:rsidRPr="00724A07">
              <w:rPr>
                <w:rFonts w:ascii="ITC Avant Garde" w:hAnsi="ITC Avant Garde" w:cs="Arial"/>
                <w:sz w:val="18"/>
                <w:szCs w:val="18"/>
              </w:rPr>
              <w:tab/>
              <w:t xml:space="preserve">Localización geográfica de las compras y flujos comerciales entre zonas (porcentaje de ventas hechas por empresas ubicadas dentro de la zona analizada y a consumidores ubicados en la zona analizada); </w:t>
            </w:r>
            <w:r w:rsidRPr="00724A07">
              <w:rPr>
                <w:rFonts w:ascii="ITC Avant Garde" w:hAnsi="ITC Avant Garde" w:cs="Arial"/>
                <w:sz w:val="18"/>
                <w:szCs w:val="18"/>
                <w:vertAlign w:val="superscript"/>
              </w:rPr>
              <w:t>53</w:t>
            </w:r>
          </w:p>
          <w:p w14:paraId="0240E847" w14:textId="77777777" w:rsidR="00AF2956" w:rsidRPr="00724A07" w:rsidRDefault="00AF2956" w:rsidP="00AF2956">
            <w:pPr>
              <w:spacing w:after="0" w:line="240" w:lineRule="auto"/>
              <w:jc w:val="both"/>
              <w:rPr>
                <w:rFonts w:ascii="ITC Avant Garde" w:hAnsi="ITC Avant Garde" w:cs="Arial"/>
                <w:sz w:val="18"/>
                <w:szCs w:val="18"/>
                <w:vertAlign w:val="superscript"/>
                <w:lang w:val="x-none"/>
              </w:rPr>
            </w:pPr>
          </w:p>
          <w:p w14:paraId="62C69849" w14:textId="0A24016B" w:rsidR="00AF2956" w:rsidRPr="00724A07" w:rsidRDefault="00AF2956" w:rsidP="00AF2956">
            <w:pPr>
              <w:spacing w:after="0" w:line="240" w:lineRule="auto"/>
              <w:jc w:val="both"/>
              <w:rPr>
                <w:rFonts w:ascii="ITC Avant Garde" w:hAnsi="ITC Avant Garde" w:cs="Arial"/>
                <w:sz w:val="18"/>
                <w:szCs w:val="18"/>
                <w:vertAlign w:val="superscript"/>
              </w:rPr>
            </w:pPr>
            <w:r w:rsidRPr="00724A07">
              <w:rPr>
                <w:rFonts w:ascii="ITC Avant Garde" w:hAnsi="ITC Avant Garde" w:cs="Arial"/>
                <w:sz w:val="18"/>
                <w:szCs w:val="18"/>
                <w:vertAlign w:val="superscript"/>
              </w:rPr>
              <w:t>53</w:t>
            </w:r>
            <w:r w:rsidRPr="00724A07">
              <w:rPr>
                <w:rFonts w:ascii="ITC Avant Garde" w:hAnsi="ITC Avant Garde" w:cs="Arial"/>
                <w:sz w:val="18"/>
                <w:szCs w:val="18"/>
              </w:rPr>
              <w:t xml:space="preserve"> </w:t>
            </w:r>
            <w:proofErr w:type="gramStart"/>
            <w:r w:rsidRPr="00724A07">
              <w:rPr>
                <w:rFonts w:ascii="ITC Avant Garde" w:hAnsi="ITC Avant Garde" w:cs="Arial"/>
                <w:sz w:val="18"/>
                <w:szCs w:val="18"/>
              </w:rPr>
              <w:t>Se</w:t>
            </w:r>
            <w:proofErr w:type="gramEnd"/>
            <w:r w:rsidRPr="00724A07">
              <w:rPr>
                <w:rFonts w:ascii="ITC Avant Garde" w:hAnsi="ITC Avant Garde" w:cs="Arial"/>
                <w:sz w:val="18"/>
                <w:szCs w:val="18"/>
              </w:rPr>
              <w:t xml:space="preserve"> puede aplicar la prueba de </w:t>
            </w:r>
            <w:proofErr w:type="spellStart"/>
            <w:r w:rsidRPr="00724A07">
              <w:rPr>
                <w:rFonts w:ascii="ITC Avant Garde" w:hAnsi="ITC Avant Garde" w:cs="Arial"/>
                <w:sz w:val="18"/>
                <w:szCs w:val="18"/>
              </w:rPr>
              <w:t>Elzinga-Hogarty</w:t>
            </w:r>
            <w:proofErr w:type="spellEnd"/>
            <w:r w:rsidRPr="00724A07">
              <w:rPr>
                <w:rFonts w:ascii="ITC Avant Garde" w:hAnsi="ITC Avant Garde" w:cs="Arial"/>
                <w:sz w:val="18"/>
                <w:szCs w:val="18"/>
              </w:rPr>
              <w:t>, la cual consiste en analizar</w:t>
            </w:r>
            <w:r w:rsidR="00F216C0" w:rsidRPr="00724A07">
              <w:rPr>
                <w:rFonts w:ascii="ITC Avant Garde" w:hAnsi="ITC Avant Garde" w:cs="Arial"/>
                <w:sz w:val="18"/>
                <w:szCs w:val="18"/>
              </w:rPr>
              <w:t xml:space="preserve"> </w:t>
            </w:r>
            <w:r w:rsidRPr="00724A07">
              <w:rPr>
                <w:rFonts w:ascii="ITC Avant Garde" w:hAnsi="ITC Avant Garde" w:cs="Arial"/>
                <w:sz w:val="18"/>
                <w:szCs w:val="18"/>
              </w:rPr>
              <w:t>el porcentaje de ventas hechas por empresas ubicadas dentro de la zona focal y a consumidores ubicados en la zona focal; si dichos porcentajes se encuentra entre 75% y 90%, las zonas geográficas analizadas pertenecen al mismo MR.</w:t>
            </w:r>
          </w:p>
        </w:tc>
        <w:tc>
          <w:tcPr>
            <w:tcW w:w="4830" w:type="dxa"/>
            <w:shd w:val="clear" w:color="auto" w:fill="auto"/>
          </w:tcPr>
          <w:p w14:paraId="1BF4AD48" w14:textId="77777777" w:rsidR="00E155E7" w:rsidRDefault="00E155E7" w:rsidP="00E155E7">
            <w:pPr>
              <w:spacing w:after="0" w:line="240" w:lineRule="auto"/>
              <w:jc w:val="both"/>
              <w:rPr>
                <w:rFonts w:ascii="ITC Avant Garde" w:hAnsi="ITC Avant Garde" w:cs="Arial"/>
                <w:b/>
                <w:bCs/>
                <w:sz w:val="18"/>
                <w:szCs w:val="18"/>
              </w:rPr>
            </w:pPr>
            <w:r>
              <w:rPr>
                <w:rFonts w:ascii="ITC Avant Garde" w:hAnsi="ITC Avant Garde" w:cs="Arial"/>
                <w:b/>
                <w:bCs/>
                <w:sz w:val="18"/>
                <w:szCs w:val="18"/>
              </w:rPr>
              <w:t>6.2 Experiencia internacional</w:t>
            </w:r>
          </w:p>
          <w:p w14:paraId="17A87488" w14:textId="77777777" w:rsidR="00AF2956" w:rsidRPr="00724A07" w:rsidRDefault="00AF2956" w:rsidP="00AF2956">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Por el lado de la demanda:</w:t>
            </w:r>
          </w:p>
          <w:p w14:paraId="348B33F1" w14:textId="7AEA9090" w:rsidR="00AF2956" w:rsidRPr="00724A07" w:rsidRDefault="00E155E7" w:rsidP="00AF2956">
            <w:pPr>
              <w:spacing w:after="0" w:line="240" w:lineRule="auto"/>
              <w:jc w:val="both"/>
              <w:rPr>
                <w:rFonts w:ascii="ITC Avant Garde" w:hAnsi="ITC Avant Garde" w:cs="Arial"/>
                <w:sz w:val="18"/>
                <w:szCs w:val="18"/>
              </w:rPr>
            </w:pPr>
            <w:r>
              <w:rPr>
                <w:rFonts w:ascii="ITC Avant Garde" w:hAnsi="ITC Avant Garde" w:cs="Arial"/>
                <w:sz w:val="18"/>
                <w:szCs w:val="18"/>
              </w:rPr>
              <w:t>[…]</w:t>
            </w:r>
          </w:p>
          <w:p w14:paraId="5B546750" w14:textId="77777777" w:rsidR="00AF2956" w:rsidRPr="00724A07" w:rsidRDefault="00AF2956" w:rsidP="00AF2956">
            <w:pPr>
              <w:spacing w:after="0" w:line="240" w:lineRule="auto"/>
              <w:jc w:val="both"/>
              <w:rPr>
                <w:rFonts w:ascii="ITC Avant Garde" w:hAnsi="ITC Avant Garde" w:cs="Arial"/>
                <w:sz w:val="18"/>
                <w:szCs w:val="18"/>
                <w:vertAlign w:val="superscript"/>
              </w:rPr>
            </w:pPr>
            <w:r w:rsidRPr="00724A07">
              <w:rPr>
                <w:rFonts w:ascii="ITC Avant Garde" w:hAnsi="ITC Avant Garde" w:cs="Arial"/>
                <w:sz w:val="18"/>
                <w:szCs w:val="18"/>
              </w:rPr>
              <w:t>•</w:t>
            </w:r>
            <w:r w:rsidRPr="00724A07">
              <w:rPr>
                <w:rFonts w:ascii="ITC Avant Garde" w:hAnsi="ITC Avant Garde" w:cs="Arial"/>
                <w:sz w:val="18"/>
                <w:szCs w:val="18"/>
              </w:rPr>
              <w:tab/>
              <w:t xml:space="preserve">Localización geográfica de las compras y flujos comerciales entre zonas (porcentaje de ventas hechas por empresas ubicadas dentro de la zona analizada y a consumidores ubicados en la zona analizada); </w:t>
            </w:r>
            <w:r w:rsidRPr="00724A07">
              <w:rPr>
                <w:rFonts w:ascii="ITC Avant Garde" w:hAnsi="ITC Avant Garde" w:cs="Arial"/>
                <w:sz w:val="18"/>
                <w:szCs w:val="18"/>
                <w:vertAlign w:val="superscript"/>
              </w:rPr>
              <w:t>53</w:t>
            </w:r>
          </w:p>
          <w:p w14:paraId="500C3BD5" w14:textId="77777777" w:rsidR="00AF2956" w:rsidRPr="00724A07" w:rsidRDefault="00AF2956" w:rsidP="00AF2956">
            <w:pPr>
              <w:spacing w:after="0" w:line="240" w:lineRule="auto"/>
              <w:jc w:val="both"/>
              <w:rPr>
                <w:rFonts w:ascii="ITC Avant Garde" w:hAnsi="ITC Avant Garde" w:cs="Arial"/>
                <w:sz w:val="18"/>
                <w:szCs w:val="18"/>
                <w:vertAlign w:val="superscript"/>
                <w:lang w:val="x-none"/>
              </w:rPr>
            </w:pPr>
          </w:p>
          <w:p w14:paraId="059C8DC8" w14:textId="4FB1131D" w:rsidR="00F216C0" w:rsidRPr="00724A07" w:rsidRDefault="00AF2956" w:rsidP="0031571D">
            <w:pPr>
              <w:spacing w:after="0" w:line="240" w:lineRule="auto"/>
              <w:jc w:val="both"/>
              <w:rPr>
                <w:rFonts w:ascii="ITC Avant Garde" w:hAnsi="ITC Avant Garde" w:cs="Arial"/>
                <w:iCs/>
                <w:sz w:val="18"/>
                <w:szCs w:val="18"/>
                <w:u w:val="single"/>
              </w:rPr>
            </w:pPr>
            <w:r w:rsidRPr="00724A07">
              <w:rPr>
                <w:rFonts w:ascii="ITC Avant Garde" w:hAnsi="ITC Avant Garde" w:cs="Arial"/>
                <w:sz w:val="18"/>
                <w:szCs w:val="18"/>
                <w:vertAlign w:val="superscript"/>
              </w:rPr>
              <w:t>53</w:t>
            </w:r>
            <w:r w:rsidRPr="00724A07">
              <w:rPr>
                <w:rFonts w:ascii="ITC Avant Garde" w:hAnsi="ITC Avant Garde" w:cs="Arial"/>
                <w:sz w:val="18"/>
                <w:szCs w:val="18"/>
              </w:rPr>
              <w:t xml:space="preserve"> </w:t>
            </w:r>
            <w:proofErr w:type="gramStart"/>
            <w:r w:rsidRPr="00724A07">
              <w:rPr>
                <w:rFonts w:ascii="ITC Avant Garde" w:hAnsi="ITC Avant Garde" w:cs="Arial"/>
                <w:sz w:val="18"/>
                <w:szCs w:val="18"/>
              </w:rPr>
              <w:t>Se</w:t>
            </w:r>
            <w:proofErr w:type="gramEnd"/>
            <w:r w:rsidRPr="00724A07">
              <w:rPr>
                <w:rFonts w:ascii="ITC Avant Garde" w:hAnsi="ITC Avant Garde" w:cs="Arial"/>
                <w:sz w:val="18"/>
                <w:szCs w:val="18"/>
              </w:rPr>
              <w:t xml:space="preserve"> puede aplicar la prueba de </w:t>
            </w:r>
            <w:proofErr w:type="spellStart"/>
            <w:r w:rsidRPr="00724A07">
              <w:rPr>
                <w:rFonts w:ascii="ITC Avant Garde" w:hAnsi="ITC Avant Garde" w:cs="Arial"/>
                <w:sz w:val="18"/>
                <w:szCs w:val="18"/>
              </w:rPr>
              <w:t>Elzinga-Hogarty</w:t>
            </w:r>
            <w:proofErr w:type="spellEnd"/>
            <w:r w:rsidRPr="00724A07">
              <w:rPr>
                <w:rFonts w:ascii="ITC Avant Garde" w:hAnsi="ITC Avant Garde" w:cs="Arial"/>
                <w:sz w:val="18"/>
                <w:szCs w:val="18"/>
              </w:rPr>
              <w:t>, la cual consiste en analizar</w:t>
            </w:r>
            <w:r w:rsidR="00F216C0" w:rsidRPr="00724A07">
              <w:rPr>
                <w:rFonts w:ascii="ITC Avant Garde" w:hAnsi="ITC Avant Garde" w:cs="Arial"/>
                <w:sz w:val="18"/>
                <w:szCs w:val="18"/>
              </w:rPr>
              <w:t xml:space="preserve"> </w:t>
            </w:r>
            <w:r w:rsidRPr="00724A07">
              <w:rPr>
                <w:rFonts w:ascii="ITC Avant Garde" w:hAnsi="ITC Avant Garde" w:cs="Arial"/>
                <w:sz w:val="18"/>
                <w:szCs w:val="18"/>
              </w:rPr>
              <w:t>el porcentaje de ventas hechas por empresas ubicadas dentro de la zona focal y a consumidores ubicados en la zona focal; si dichos porcentajes</w:t>
            </w:r>
            <w:r w:rsidR="00F216C0" w:rsidRPr="00724A07">
              <w:rPr>
                <w:rFonts w:ascii="ITC Avant Garde" w:hAnsi="ITC Avant Garde" w:cs="Arial"/>
                <w:sz w:val="18"/>
                <w:szCs w:val="18"/>
              </w:rPr>
              <w:t xml:space="preserve"> </w:t>
            </w:r>
            <w:bookmarkStart w:id="26" w:name="_Hlk84503841"/>
            <w:r w:rsidR="00F216C0" w:rsidRPr="00724A07">
              <w:rPr>
                <w:rFonts w:ascii="ITC Avant Garde" w:hAnsi="ITC Avant Garde" w:cs="Arial"/>
                <w:sz w:val="18"/>
                <w:szCs w:val="18"/>
                <w:u w:val="single"/>
              </w:rPr>
              <w:t>son altos, generalmente</w:t>
            </w:r>
            <w:r w:rsidRPr="00724A07">
              <w:rPr>
                <w:rFonts w:ascii="ITC Avant Garde" w:hAnsi="ITC Avant Garde" w:cs="Arial"/>
                <w:sz w:val="18"/>
                <w:szCs w:val="18"/>
              </w:rPr>
              <w:t xml:space="preserve"> </w:t>
            </w:r>
            <w:bookmarkEnd w:id="26"/>
            <w:r w:rsidRPr="00724A07">
              <w:rPr>
                <w:rFonts w:ascii="ITC Avant Garde" w:hAnsi="ITC Avant Garde" w:cs="Arial"/>
                <w:sz w:val="18"/>
                <w:szCs w:val="18"/>
              </w:rPr>
              <w:t>entre 75% y 90%,</w:t>
            </w:r>
            <w:r w:rsidR="00F216C0" w:rsidRPr="00724A07">
              <w:rPr>
                <w:rFonts w:ascii="ITC Avant Garde" w:hAnsi="ITC Avant Garde" w:cs="Arial"/>
                <w:sz w:val="18"/>
                <w:szCs w:val="18"/>
              </w:rPr>
              <w:t xml:space="preserve"> </w:t>
            </w:r>
            <w:r w:rsidR="00F216C0" w:rsidRPr="00724A07">
              <w:rPr>
                <w:rFonts w:ascii="ITC Avant Garde" w:hAnsi="ITC Avant Garde" w:cs="Arial"/>
                <w:sz w:val="18"/>
                <w:szCs w:val="18"/>
                <w:u w:val="single"/>
              </w:rPr>
              <w:t>indican que</w:t>
            </w:r>
            <w:r w:rsidR="00F216C0" w:rsidRPr="00724A07">
              <w:rPr>
                <w:rFonts w:ascii="ITC Avant Garde" w:hAnsi="ITC Avant Garde" w:cs="Arial"/>
                <w:sz w:val="18"/>
                <w:szCs w:val="18"/>
              </w:rPr>
              <w:t xml:space="preserve"> </w:t>
            </w:r>
            <w:r w:rsidRPr="00724A07">
              <w:rPr>
                <w:rFonts w:ascii="ITC Avant Garde" w:hAnsi="ITC Avant Garde" w:cs="Arial"/>
                <w:sz w:val="18"/>
                <w:szCs w:val="18"/>
              </w:rPr>
              <w:t>las zonas geográficas analizadas pertenecen al mismo MR.</w:t>
            </w:r>
            <w:r w:rsidR="00F216C0" w:rsidRPr="00724A07">
              <w:rPr>
                <w:rFonts w:ascii="ITC Avant Garde" w:hAnsi="ITC Avant Garde" w:cs="Arial"/>
                <w:sz w:val="18"/>
                <w:szCs w:val="18"/>
              </w:rPr>
              <w:t xml:space="preserve"> </w:t>
            </w:r>
            <w:bookmarkStart w:id="27" w:name="_Hlk84503952"/>
            <w:r w:rsidR="00F216C0" w:rsidRPr="00724A07">
              <w:rPr>
                <w:rFonts w:ascii="ITC Avant Garde" w:hAnsi="ITC Avant Garde" w:cs="Arial"/>
                <w:sz w:val="18"/>
                <w:szCs w:val="18"/>
                <w:u w:val="single"/>
              </w:rPr>
              <w:t xml:space="preserve">No obstante, </w:t>
            </w:r>
            <w:r w:rsidR="00F216C0" w:rsidRPr="00724A07">
              <w:rPr>
                <w:rFonts w:ascii="ITC Avant Garde" w:hAnsi="ITC Avant Garde" w:cs="Tahoma"/>
                <w:color w:val="000000"/>
                <w:sz w:val="18"/>
                <w:szCs w:val="18"/>
                <w:u w:val="single"/>
                <w:lang w:eastAsia="es-MX"/>
              </w:rPr>
              <w:t>una preocupación general al aplicar esta prueba es que el límite numérico considerado no está directamente relacionado con la Prueba SSNIP y normalmente parte de la experiencia o sentido crítico del investigador.</w:t>
            </w:r>
            <w:r w:rsidR="00F216C0" w:rsidRPr="00724A07">
              <w:rPr>
                <w:rFonts w:ascii="ITC Avant Garde" w:hAnsi="ITC Avant Garde" w:cs="Tahoma"/>
                <w:i/>
                <w:color w:val="000000"/>
                <w:sz w:val="18"/>
                <w:szCs w:val="18"/>
                <w:u w:val="single"/>
                <w:lang w:eastAsia="es-MX"/>
              </w:rPr>
              <w:t xml:space="preserve"> </w:t>
            </w:r>
            <w:r w:rsidR="00F216C0" w:rsidRPr="00724A07">
              <w:rPr>
                <w:rFonts w:ascii="ITC Avant Garde" w:hAnsi="ITC Avant Garde" w:cs="Tahoma"/>
                <w:iCs/>
                <w:color w:val="000000"/>
                <w:sz w:val="18"/>
                <w:szCs w:val="18"/>
                <w:u w:val="single"/>
                <w:lang w:eastAsia="es-MX"/>
              </w:rPr>
              <w:t>Por lo tanto, constituye un método indirecto, que proporciona evidencia cuantitativa útil para complementar el análisis de la dimensión geográfica del MR.</w:t>
            </w:r>
            <w:r w:rsidR="00F216C0" w:rsidRPr="00724A07">
              <w:rPr>
                <w:rFonts w:ascii="ITC Avant Garde" w:hAnsi="ITC Avant Garde" w:cs="Tahoma"/>
                <w:iCs/>
                <w:color w:val="000000"/>
                <w:sz w:val="18"/>
                <w:szCs w:val="18"/>
                <w:lang w:eastAsia="es-MX"/>
              </w:rPr>
              <w:t xml:space="preserve"> </w:t>
            </w:r>
            <w:bookmarkEnd w:id="27"/>
          </w:p>
        </w:tc>
      </w:tr>
    </w:tbl>
    <w:p w14:paraId="5C40E66A" w14:textId="3A661923" w:rsidR="00C46AB1" w:rsidRPr="00724A07" w:rsidRDefault="00C7449E" w:rsidP="00887937">
      <w:pPr>
        <w:keepNext/>
        <w:spacing w:before="24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.7. Exhaustividad en la delimitación del MR</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A165D0" w:rsidRPr="00724A07" w14:paraId="3FB34144" w14:textId="77777777" w:rsidTr="00887937">
        <w:trPr>
          <w:trHeight w:val="276"/>
          <w:jc w:val="center"/>
        </w:trPr>
        <w:tc>
          <w:tcPr>
            <w:tcW w:w="9785" w:type="dxa"/>
            <w:shd w:val="clear" w:color="auto" w:fill="92D050"/>
            <w:vAlign w:val="center"/>
          </w:tcPr>
          <w:p w14:paraId="3ED9AC49" w14:textId="0CDD3FFF" w:rsidR="00A165D0" w:rsidRPr="00724A07" w:rsidRDefault="009C7E2B" w:rsidP="00101A5A">
            <w:pPr>
              <w:pStyle w:val="Default"/>
              <w:spacing w:before="60" w:after="60"/>
              <w:jc w:val="center"/>
              <w:rPr>
                <w:rFonts w:ascii="ITC Avant Garde" w:hAnsi="ITC Avant Garde"/>
                <w:b/>
                <w:bCs/>
                <w:iCs/>
                <w:sz w:val="20"/>
                <w:szCs w:val="20"/>
              </w:rPr>
            </w:pPr>
            <w:r w:rsidRPr="00724A07">
              <w:rPr>
                <w:rFonts w:ascii="ITC Avant Garde" w:hAnsi="ITC Avant Garde"/>
                <w:b/>
                <w:bCs/>
                <w:iCs/>
                <w:sz w:val="20"/>
                <w:szCs w:val="20"/>
              </w:rPr>
              <w:t>Jorge Solís Fernández</w:t>
            </w:r>
          </w:p>
        </w:tc>
      </w:tr>
      <w:tr w:rsidR="00A165D0" w:rsidRPr="00724A07" w14:paraId="3478968B" w14:textId="77777777" w:rsidTr="00887937">
        <w:trPr>
          <w:trHeight w:val="443"/>
          <w:jc w:val="center"/>
        </w:trPr>
        <w:tc>
          <w:tcPr>
            <w:tcW w:w="9785" w:type="dxa"/>
            <w:shd w:val="clear" w:color="auto" w:fill="E2EFD9" w:themeFill="accent6" w:themeFillTint="33"/>
            <w:vAlign w:val="center"/>
          </w:tcPr>
          <w:p w14:paraId="60587D17" w14:textId="77777777" w:rsidR="00D40DB8" w:rsidRPr="007C2396" w:rsidRDefault="00D40DB8" w:rsidP="00D40DB8">
            <w:pPr>
              <w:pStyle w:val="Default"/>
              <w:spacing w:after="120"/>
              <w:jc w:val="both"/>
              <w:rPr>
                <w:rFonts w:ascii="ITC Avant Garde" w:hAnsi="ITC Avant Garde"/>
                <w:i/>
                <w:sz w:val="18"/>
                <w:szCs w:val="18"/>
              </w:rPr>
            </w:pPr>
            <w:r w:rsidRPr="007C2396">
              <w:rPr>
                <w:rFonts w:ascii="ITC Avant Garde" w:hAnsi="ITC Avant Garde"/>
                <w:i/>
                <w:sz w:val="18"/>
                <w:szCs w:val="18"/>
              </w:rPr>
              <w:t>“</w:t>
            </w:r>
            <w:r w:rsidRPr="007C2396">
              <w:rPr>
                <w:rFonts w:ascii="ITC Avant Garde" w:hAnsi="ITC Avant Garde"/>
                <w:sz w:val="18"/>
                <w:szCs w:val="18"/>
              </w:rPr>
              <w:t>[…]</w:t>
            </w:r>
            <w:r w:rsidRPr="007C2396">
              <w:rPr>
                <w:rFonts w:ascii="ITC Avant Garde" w:hAnsi="ITC Avant Garde"/>
                <w:i/>
                <w:sz w:val="18"/>
                <w:szCs w:val="18"/>
              </w:rPr>
              <w:t xml:space="preserve"> se sugiere que la guía aclare que cuando se revise la posible comisión de prácticas monopólicas relativas, la autoridad investigadora sólo determinará un mercado relevante cuando haya determinado previamente que la conducta que desplegó el agente económico encuadra en alguno de los supuestos previstos en el artículo 56 de la ley de competencia, pues de lo contrario no tendría sentido definir un mercado relevante ya que no habría posibilidad de que se actualice la práctica monopólica relativa. </w:t>
            </w:r>
          </w:p>
          <w:p w14:paraId="5ADB91E3" w14:textId="3DC3D544" w:rsidR="00A165D0" w:rsidRPr="00724A07" w:rsidRDefault="00D40DB8" w:rsidP="00D40DB8">
            <w:pPr>
              <w:pStyle w:val="Default"/>
              <w:spacing w:before="120" w:after="120"/>
              <w:jc w:val="both"/>
              <w:rPr>
                <w:rFonts w:ascii="ITC Avant Garde" w:hAnsi="ITC Avant Garde"/>
                <w:i/>
                <w:sz w:val="18"/>
                <w:szCs w:val="18"/>
              </w:rPr>
            </w:pPr>
            <w:r w:rsidRPr="007C2396">
              <w:rPr>
                <w:rFonts w:ascii="ITC Avant Garde" w:hAnsi="ITC Avant Garde"/>
                <w:i/>
                <w:sz w:val="18"/>
                <w:szCs w:val="18"/>
              </w:rPr>
              <w:t>Lo anterior es así, toda vez que las autoridades administrativas deben respetar el principio de economía procesal y celeridad administrativa</w:t>
            </w:r>
            <w:r>
              <w:rPr>
                <w:rFonts w:ascii="ITC Avant Garde" w:hAnsi="ITC Avant Garde"/>
                <w:i/>
                <w:sz w:val="18"/>
                <w:szCs w:val="18"/>
              </w:rPr>
              <w:t xml:space="preserve"> </w:t>
            </w:r>
            <w:r w:rsidRPr="00537EEF">
              <w:rPr>
                <w:rFonts w:ascii="ITC Avant Garde" w:hAnsi="ITC Avant Garde"/>
                <w:iCs/>
                <w:sz w:val="18"/>
                <w:szCs w:val="18"/>
              </w:rPr>
              <w:t>(…)</w:t>
            </w:r>
            <w:r>
              <w:rPr>
                <w:rFonts w:ascii="ITC Avant Garde" w:hAnsi="ITC Avant Garde"/>
                <w:iCs/>
                <w:sz w:val="18"/>
                <w:szCs w:val="18"/>
              </w:rPr>
              <w:t>”</w:t>
            </w:r>
          </w:p>
        </w:tc>
      </w:tr>
    </w:tbl>
    <w:p w14:paraId="6AA9A0B5" w14:textId="77777777" w:rsidR="00AB6F1E" w:rsidRPr="00724A07" w:rsidRDefault="00AB6F1E" w:rsidP="00AB6F1E">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2ED9BEF4" w14:textId="7D09F072" w:rsidR="007D4EFF" w:rsidRPr="0050179F" w:rsidRDefault="00A165D0" w:rsidP="007D4EFF">
      <w:pPr>
        <w:spacing w:after="120" w:line="240" w:lineRule="auto"/>
        <w:jc w:val="both"/>
        <w:rPr>
          <w:rFonts w:ascii="ITC Avant Garde" w:hAnsi="ITC Avant Garde"/>
        </w:rPr>
      </w:pPr>
      <w:r w:rsidRPr="00724A07">
        <w:rPr>
          <w:rFonts w:ascii="ITC Avant Garde" w:hAnsi="ITC Avant Garde"/>
          <w:color w:val="000000"/>
        </w:rPr>
        <w:t xml:space="preserve">Con </w:t>
      </w:r>
      <w:r w:rsidRPr="00724A07">
        <w:rPr>
          <w:rFonts w:ascii="ITC Avant Garde" w:hAnsi="ITC Avant Garde"/>
        </w:rPr>
        <w:t>relación al comentario de</w:t>
      </w:r>
      <w:r w:rsidR="00D047FC" w:rsidRPr="00724A07">
        <w:rPr>
          <w:rFonts w:ascii="ITC Avant Garde" w:hAnsi="ITC Avant Garde"/>
        </w:rPr>
        <w:t xml:space="preserve"> Jorge Solís Fernández</w:t>
      </w:r>
      <w:r w:rsidR="000D335D" w:rsidRPr="00724A07">
        <w:rPr>
          <w:rFonts w:ascii="ITC Avant Garde" w:hAnsi="ITC Avant Garde"/>
        </w:rPr>
        <w:t>,</w:t>
      </w:r>
      <w:r w:rsidR="00D2028F" w:rsidRPr="00724A07">
        <w:rPr>
          <w:rFonts w:ascii="ITC Avant Garde" w:hAnsi="ITC Avant Garde"/>
        </w:rPr>
        <w:t xml:space="preserve"> </w:t>
      </w:r>
      <w:r w:rsidR="0098703C" w:rsidRPr="00724A07">
        <w:rPr>
          <w:rFonts w:ascii="ITC Avant Garde" w:hAnsi="ITC Avant Garde"/>
        </w:rPr>
        <w:t xml:space="preserve">respecto a que </w:t>
      </w:r>
      <w:r w:rsidR="00867720">
        <w:rPr>
          <w:rFonts w:ascii="ITC Avant Garde" w:hAnsi="ITC Avant Garde"/>
        </w:rPr>
        <w:t xml:space="preserve">el Anteproyecto de </w:t>
      </w:r>
      <w:r w:rsidR="00AB6F1E" w:rsidRPr="00724A07">
        <w:rPr>
          <w:rFonts w:ascii="ITC Avant Garde" w:hAnsi="ITC Avant Garde"/>
        </w:rPr>
        <w:t xml:space="preserve">Guía </w:t>
      </w:r>
      <w:r w:rsidR="0098703C" w:rsidRPr="00724A07">
        <w:rPr>
          <w:rFonts w:ascii="ITC Avant Garde" w:hAnsi="ITC Avant Garde"/>
        </w:rPr>
        <w:t xml:space="preserve">precise </w:t>
      </w:r>
      <w:r w:rsidR="00AB6F1E" w:rsidRPr="00724A07">
        <w:rPr>
          <w:rFonts w:ascii="ITC Avant Garde" w:hAnsi="ITC Avant Garde"/>
        </w:rPr>
        <w:t xml:space="preserve">que </w:t>
      </w:r>
      <w:r w:rsidR="0098703C" w:rsidRPr="00724A07">
        <w:rPr>
          <w:rFonts w:ascii="ITC Avant Garde" w:hAnsi="ITC Avant Garde"/>
        </w:rPr>
        <w:t xml:space="preserve">cuando no se acredite </w:t>
      </w:r>
      <w:r w:rsidR="0098703C" w:rsidRPr="00EE06E1">
        <w:rPr>
          <w:rFonts w:ascii="ITC Avant Garde" w:hAnsi="ITC Avant Garde"/>
        </w:rPr>
        <w:t>una conducta anticompetitiva</w:t>
      </w:r>
      <w:r w:rsidR="0098703C" w:rsidRPr="000F79E8">
        <w:rPr>
          <w:rFonts w:ascii="ITC Avant Garde" w:hAnsi="ITC Avant Garde"/>
        </w:rPr>
        <w:t xml:space="preserve"> </w:t>
      </w:r>
      <w:r w:rsidR="0098703C" w:rsidRPr="00EE06E1">
        <w:rPr>
          <w:rFonts w:ascii="ITC Avant Garde" w:hAnsi="ITC Avant Garde"/>
        </w:rPr>
        <w:t xml:space="preserve">según el artículo 56 de la LFCE, no es necesario determinar el </w:t>
      </w:r>
      <w:r w:rsidR="00AB6F1E" w:rsidRPr="00EE06E1">
        <w:rPr>
          <w:rFonts w:ascii="ITC Avant Garde" w:hAnsi="ITC Avant Garde"/>
        </w:rPr>
        <w:t>MR</w:t>
      </w:r>
      <w:r w:rsidR="0092217C" w:rsidRPr="00EE06E1">
        <w:rPr>
          <w:rFonts w:ascii="ITC Avant Garde" w:hAnsi="ITC Avant Garde"/>
        </w:rPr>
        <w:t>,</w:t>
      </w:r>
      <w:r w:rsidR="0098703C" w:rsidRPr="00EE06E1">
        <w:rPr>
          <w:rFonts w:ascii="ITC Avant Garde" w:hAnsi="ITC Avant Garde"/>
        </w:rPr>
        <w:t xml:space="preserve"> se</w:t>
      </w:r>
      <w:r w:rsidR="00D2028F" w:rsidRPr="00EE06E1">
        <w:rPr>
          <w:rFonts w:ascii="ITC Avant Garde" w:hAnsi="ITC Avant Garde"/>
        </w:rPr>
        <w:t xml:space="preserve"> considera procedente. Lo anterior</w:t>
      </w:r>
      <w:r w:rsidR="00AB6F1E" w:rsidRPr="00EE06E1">
        <w:rPr>
          <w:rFonts w:ascii="ITC Avant Garde" w:hAnsi="ITC Avant Garde"/>
        </w:rPr>
        <w:t>,</w:t>
      </w:r>
      <w:r w:rsidR="00D2028F" w:rsidRPr="00EE06E1">
        <w:rPr>
          <w:rFonts w:ascii="ITC Avant Garde" w:hAnsi="ITC Avant Garde"/>
        </w:rPr>
        <w:t xml:space="preserve"> toda vez que</w:t>
      </w:r>
      <w:r w:rsidR="00810537">
        <w:rPr>
          <w:rFonts w:ascii="ITC Avant Garde" w:hAnsi="ITC Avant Garde"/>
        </w:rPr>
        <w:t>,</w:t>
      </w:r>
      <w:r w:rsidR="007D4EFF" w:rsidRPr="0050179F">
        <w:rPr>
          <w:rFonts w:ascii="ITC Avant Garde" w:hAnsi="ITC Avant Garde"/>
        </w:rPr>
        <w:t xml:space="preserve"> </w:t>
      </w:r>
      <w:r w:rsidR="0050179F">
        <w:rPr>
          <w:rFonts w:ascii="ITC Avant Garde" w:hAnsi="ITC Avant Garde"/>
        </w:rPr>
        <w:t>en el caso particular de las</w:t>
      </w:r>
      <w:r w:rsidR="0050179F" w:rsidRPr="009E65F2">
        <w:rPr>
          <w:rFonts w:ascii="ITC Avant Garde" w:hAnsi="ITC Avant Garde"/>
        </w:rPr>
        <w:t xml:space="preserve"> práctica</w:t>
      </w:r>
      <w:r w:rsidR="0050179F">
        <w:rPr>
          <w:rFonts w:ascii="ITC Avant Garde" w:hAnsi="ITC Avant Garde"/>
        </w:rPr>
        <w:t>s</w:t>
      </w:r>
      <w:r w:rsidR="0050179F" w:rsidRPr="009E65F2">
        <w:rPr>
          <w:rFonts w:ascii="ITC Avant Garde" w:hAnsi="ITC Avant Garde"/>
        </w:rPr>
        <w:t xml:space="preserve"> monopólica</w:t>
      </w:r>
      <w:r w:rsidR="0050179F">
        <w:rPr>
          <w:rFonts w:ascii="ITC Avant Garde" w:hAnsi="ITC Avant Garde"/>
        </w:rPr>
        <w:t>s</w:t>
      </w:r>
      <w:r w:rsidR="0050179F" w:rsidRPr="009E65F2">
        <w:rPr>
          <w:rFonts w:ascii="ITC Avant Garde" w:hAnsi="ITC Avant Garde"/>
        </w:rPr>
        <w:t xml:space="preserve"> relativa</w:t>
      </w:r>
      <w:r w:rsidR="0050179F">
        <w:rPr>
          <w:rFonts w:ascii="ITC Avant Garde" w:hAnsi="ITC Avant Garde"/>
        </w:rPr>
        <w:t>s</w:t>
      </w:r>
      <w:r w:rsidR="0050179F" w:rsidRPr="009E65F2">
        <w:rPr>
          <w:rFonts w:ascii="ITC Avant Garde" w:hAnsi="ITC Avant Garde"/>
        </w:rPr>
        <w:t xml:space="preserve">, </w:t>
      </w:r>
      <w:r w:rsidR="0050179F">
        <w:rPr>
          <w:rFonts w:ascii="ITC Avant Garde" w:hAnsi="ITC Avant Garde"/>
        </w:rPr>
        <w:t>la determinación de responsabilidad implica la demostración de dos supuestos:</w:t>
      </w:r>
    </w:p>
    <w:p w14:paraId="727F514F" w14:textId="001F0549" w:rsidR="007D4EFF" w:rsidRPr="0050179F" w:rsidRDefault="007D4EFF" w:rsidP="0050179F">
      <w:pPr>
        <w:spacing w:after="120" w:line="240" w:lineRule="auto"/>
        <w:ind w:left="426"/>
        <w:jc w:val="both"/>
        <w:rPr>
          <w:rFonts w:ascii="ITC Avant Garde" w:hAnsi="ITC Avant Garde"/>
        </w:rPr>
      </w:pPr>
      <w:r w:rsidRPr="0050179F">
        <w:rPr>
          <w:rFonts w:ascii="ITC Avant Garde" w:hAnsi="ITC Avant Garde"/>
        </w:rPr>
        <w:t xml:space="preserve">1.- </w:t>
      </w:r>
      <w:r w:rsidR="00810537">
        <w:rPr>
          <w:rFonts w:ascii="ITC Avant Garde" w:hAnsi="ITC Avant Garde"/>
        </w:rPr>
        <w:t>L</w:t>
      </w:r>
      <w:r w:rsidRPr="0050179F">
        <w:rPr>
          <w:rFonts w:ascii="ITC Avant Garde" w:hAnsi="ITC Avant Garde"/>
        </w:rPr>
        <w:t>a realización de alguna conducta establecida en el artículo 56 de la LFCE, por parte de un agente económico, y</w:t>
      </w:r>
    </w:p>
    <w:p w14:paraId="29FBC3D5" w14:textId="1195D9EC" w:rsidR="007D4EFF" w:rsidRPr="0050179F" w:rsidRDefault="007D4EFF" w:rsidP="007D4EFF">
      <w:pPr>
        <w:spacing w:after="120" w:line="240" w:lineRule="auto"/>
        <w:ind w:left="426"/>
        <w:jc w:val="both"/>
        <w:rPr>
          <w:rFonts w:ascii="ITC Avant Garde" w:hAnsi="ITC Avant Garde"/>
        </w:rPr>
      </w:pPr>
      <w:r w:rsidRPr="0050179F">
        <w:rPr>
          <w:rFonts w:ascii="ITC Avant Garde" w:hAnsi="ITC Avant Garde"/>
        </w:rPr>
        <w:lastRenderedPageBreak/>
        <w:t xml:space="preserve">2.- </w:t>
      </w:r>
      <w:r w:rsidR="00810537">
        <w:rPr>
          <w:rFonts w:ascii="ITC Avant Garde" w:hAnsi="ITC Avant Garde"/>
        </w:rPr>
        <w:t>Q</w:t>
      </w:r>
      <w:r w:rsidRPr="0050179F">
        <w:rPr>
          <w:rFonts w:ascii="ITC Avant Garde" w:hAnsi="ITC Avant Garde"/>
        </w:rPr>
        <w:t xml:space="preserve">ue el agente económico responsable de realizar la conducta indicada en el numeral anterior tenga poder sustancial en un mercado relevante; esto conforme al análisis exhaustivo de todas las fracciones que establecen los artículos 58 y 59 de la LFCE. </w:t>
      </w:r>
    </w:p>
    <w:p w14:paraId="7E59D6B9" w14:textId="79DF1AF8" w:rsidR="00D047FC" w:rsidRPr="00EE06E1" w:rsidRDefault="007D4EFF" w:rsidP="007D4EFF">
      <w:pPr>
        <w:spacing w:after="120" w:line="240" w:lineRule="auto"/>
        <w:jc w:val="both"/>
        <w:rPr>
          <w:rFonts w:ascii="ITC Avant Garde" w:hAnsi="ITC Avant Garde"/>
          <w:lang w:val="x-none"/>
        </w:rPr>
      </w:pPr>
      <w:r w:rsidRPr="0050179F">
        <w:rPr>
          <w:rFonts w:ascii="ITC Avant Garde" w:hAnsi="ITC Avant Garde"/>
        </w:rPr>
        <w:t>Por tanto, si no se actualiza que un agente económico haya realizado alguna conducta establecida por el artículo 56 de la LFCE</w:t>
      </w:r>
      <w:r w:rsidR="0050179F">
        <w:rPr>
          <w:rFonts w:ascii="ITC Avant Garde" w:hAnsi="ITC Avant Garde"/>
        </w:rPr>
        <w:t xml:space="preserve">, conforme a lo señalado en el numeral 1 anterior, </w:t>
      </w:r>
      <w:r w:rsidRPr="0050179F">
        <w:rPr>
          <w:rFonts w:ascii="ITC Avant Garde" w:hAnsi="ITC Avant Garde"/>
        </w:rPr>
        <w:t xml:space="preserve">continuar con el análisis de </w:t>
      </w:r>
      <w:r w:rsidR="00810537">
        <w:rPr>
          <w:rFonts w:ascii="ITC Avant Garde" w:hAnsi="ITC Avant Garde"/>
        </w:rPr>
        <w:t>MR</w:t>
      </w:r>
      <w:r w:rsidRPr="0050179F">
        <w:rPr>
          <w:rFonts w:ascii="ITC Avant Garde" w:hAnsi="ITC Avant Garde"/>
        </w:rPr>
        <w:t xml:space="preserve"> y poder sustancial indicado en el numeral 2 no conduce a demostrar la responsabilidad del agente económico.</w:t>
      </w:r>
    </w:p>
    <w:p w14:paraId="15136EB5" w14:textId="01A32FFF" w:rsidR="00D2028F" w:rsidRPr="00724A07" w:rsidRDefault="00D2028F" w:rsidP="00A165D0">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7.3. Aplicación de criterios</w:t>
      </w:r>
      <w:r w:rsidRPr="00724A07">
        <w:rPr>
          <w:rFonts w:ascii="ITC Avant Garde" w:hAnsi="ITC Avant Garde"/>
        </w:rPr>
        <w:t>”, como sigue:</w:t>
      </w:r>
    </w:p>
    <w:tbl>
      <w:tblPr>
        <w:tblStyle w:val="Tablaconcuadrcula"/>
        <w:tblW w:w="0" w:type="auto"/>
        <w:jc w:val="center"/>
        <w:tblLook w:val="04A0" w:firstRow="1" w:lastRow="0" w:firstColumn="1" w:lastColumn="0" w:noHBand="0" w:noVBand="1"/>
      </w:tblPr>
      <w:tblGrid>
        <w:gridCol w:w="4830"/>
        <w:gridCol w:w="4830"/>
      </w:tblGrid>
      <w:tr w:rsidR="00D2028F" w:rsidRPr="00724A07" w14:paraId="26690E54" w14:textId="77777777" w:rsidTr="00887937">
        <w:trPr>
          <w:jc w:val="center"/>
        </w:trPr>
        <w:tc>
          <w:tcPr>
            <w:tcW w:w="4830" w:type="dxa"/>
            <w:shd w:val="clear" w:color="auto" w:fill="92D050"/>
            <w:vAlign w:val="center"/>
          </w:tcPr>
          <w:p w14:paraId="1316F652" w14:textId="77777777" w:rsidR="00D2028F" w:rsidRPr="00724A07" w:rsidRDefault="00D2028F"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72F46F91" w14:textId="77777777" w:rsidR="00D2028F" w:rsidRPr="00724A07" w:rsidRDefault="00D2028F" w:rsidP="00A00520">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D2028F" w:rsidRPr="00724A07" w14:paraId="22C98D8F" w14:textId="77777777" w:rsidTr="00887937">
        <w:trPr>
          <w:trHeight w:val="5560"/>
          <w:jc w:val="center"/>
        </w:trPr>
        <w:tc>
          <w:tcPr>
            <w:tcW w:w="4830" w:type="dxa"/>
            <w:shd w:val="clear" w:color="auto" w:fill="auto"/>
          </w:tcPr>
          <w:p w14:paraId="0BBB2455" w14:textId="77777777" w:rsidR="00D2028F" w:rsidRPr="00724A07" w:rsidRDefault="00D2028F" w:rsidP="00A00520">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7.3.</w:t>
            </w:r>
            <w:r w:rsidRPr="00724A07">
              <w:rPr>
                <w:rFonts w:ascii="ITC Avant Garde" w:hAnsi="ITC Avant Garde" w:cs="Arial"/>
                <w:b/>
                <w:bCs/>
                <w:sz w:val="18"/>
                <w:szCs w:val="18"/>
              </w:rPr>
              <w:tab/>
              <w:t xml:space="preserve">Aplicación de criterios </w:t>
            </w:r>
          </w:p>
          <w:p w14:paraId="54FA05D6" w14:textId="27B612E2" w:rsidR="00AB6F1E" w:rsidRPr="00724A07" w:rsidRDefault="00AB6F1E" w:rsidP="00A00520">
            <w:pPr>
              <w:spacing w:after="0" w:line="240" w:lineRule="auto"/>
              <w:jc w:val="both"/>
              <w:rPr>
                <w:rFonts w:ascii="ITC Avant Garde" w:hAnsi="ITC Avant Garde" w:cs="Arial"/>
                <w:sz w:val="18"/>
                <w:szCs w:val="18"/>
              </w:rPr>
            </w:pPr>
            <w:r w:rsidRPr="00724A07">
              <w:rPr>
                <w:rFonts w:ascii="ITC Avant Garde" w:hAnsi="ITC Avant Garde" w:cs="Arial"/>
                <w:sz w:val="18"/>
                <w:szCs w:val="18"/>
              </w:rPr>
              <w:t>El Instituto, salvo en aquellos análisis que realice la Autoridad Investigadora, podrá dejar abierta la delimitación precisa del MR, sin necesidad de aplicar de manera exhaustiva todos y cada uno de los criterios establecidos en el artículo 58 de la LFCE, el artículo 5 de las DRLFCE y la presente Guía, cuando:</w:t>
            </w:r>
          </w:p>
          <w:p w14:paraId="0EFF3F79" w14:textId="63B12388" w:rsidR="00AB6F1E" w:rsidRPr="00724A07" w:rsidRDefault="00AB6F1E" w:rsidP="00A00520">
            <w:pPr>
              <w:spacing w:after="0" w:line="240" w:lineRule="auto"/>
              <w:jc w:val="both"/>
              <w:rPr>
                <w:rFonts w:ascii="ITC Avant Garde" w:hAnsi="ITC Avant Garde" w:cs="Arial"/>
                <w:sz w:val="18"/>
                <w:szCs w:val="18"/>
              </w:rPr>
            </w:pPr>
            <w:r w:rsidRPr="00724A07">
              <w:rPr>
                <w:rFonts w:ascii="ITC Avant Garde" w:hAnsi="ITC Avant Garde" w:cs="Arial"/>
                <w:sz w:val="18"/>
                <w:szCs w:val="18"/>
              </w:rPr>
              <w:t>[…]</w:t>
            </w:r>
          </w:p>
          <w:p w14:paraId="6317EABF" w14:textId="701E4996" w:rsidR="00D2028F" w:rsidRPr="00724A07" w:rsidRDefault="00D2028F" w:rsidP="00A00520">
            <w:pPr>
              <w:spacing w:after="0" w:line="240" w:lineRule="auto"/>
              <w:jc w:val="both"/>
              <w:rPr>
                <w:rFonts w:ascii="ITC Avant Garde" w:hAnsi="ITC Avant Garde" w:cs="Arial"/>
                <w:sz w:val="18"/>
                <w:szCs w:val="18"/>
                <w:lang w:val="x-none"/>
              </w:rPr>
            </w:pPr>
            <w:r w:rsidRPr="00724A07">
              <w:rPr>
                <w:rFonts w:ascii="ITC Avant Garde" w:hAnsi="ITC Avant Garde" w:cs="Arial"/>
                <w:sz w:val="18"/>
                <w:szCs w:val="18"/>
              </w:rPr>
              <w:t xml:space="preserve">• </w:t>
            </w:r>
            <w:r w:rsidR="008A1049" w:rsidRPr="00724A07">
              <w:rPr>
                <w:rFonts w:ascii="ITC Avant Garde" w:hAnsi="ITC Avant Garde" w:cs="Arial"/>
                <w:sz w:val="18"/>
                <w:szCs w:val="18"/>
              </w:rPr>
              <w:t>Bajo una delimitación estrecha del mercado, sea posible descartar afectaciones a la competencia y libre concurrencia o existencia, adquisición o reforzamiento de PSM derivados de la operación evaluada.</w:t>
            </w:r>
          </w:p>
        </w:tc>
        <w:tc>
          <w:tcPr>
            <w:tcW w:w="4830" w:type="dxa"/>
            <w:shd w:val="clear" w:color="auto" w:fill="auto"/>
          </w:tcPr>
          <w:p w14:paraId="30E1FB57" w14:textId="210E063C" w:rsidR="00D2028F" w:rsidRPr="00724A07" w:rsidRDefault="00D2028F" w:rsidP="00D2028F">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7.3.</w:t>
            </w:r>
            <w:r w:rsidRPr="00724A07">
              <w:rPr>
                <w:rFonts w:ascii="ITC Avant Garde" w:hAnsi="ITC Avant Garde" w:cs="Arial"/>
                <w:b/>
                <w:bCs/>
                <w:sz w:val="18"/>
                <w:szCs w:val="18"/>
              </w:rPr>
              <w:tab/>
              <w:t xml:space="preserve">Aplicación de criterios </w:t>
            </w:r>
          </w:p>
          <w:p w14:paraId="48892DF6" w14:textId="55ABE7F6" w:rsidR="00AB6F1E" w:rsidRPr="00724A07" w:rsidRDefault="00AB6F1E" w:rsidP="00D2028F">
            <w:pPr>
              <w:spacing w:after="0" w:line="240" w:lineRule="auto"/>
              <w:jc w:val="both"/>
              <w:rPr>
                <w:rFonts w:ascii="ITC Avant Garde" w:hAnsi="ITC Avant Garde" w:cs="Arial"/>
                <w:sz w:val="18"/>
                <w:szCs w:val="18"/>
              </w:rPr>
            </w:pPr>
            <w:r w:rsidRPr="00724A07">
              <w:rPr>
                <w:rFonts w:ascii="ITC Avant Garde" w:hAnsi="ITC Avant Garde" w:cs="Arial"/>
                <w:sz w:val="18"/>
                <w:szCs w:val="18"/>
              </w:rPr>
              <w:t>El Instituto podrá dejar abierta la delimitación precisa del MR, sin necesidad de aplicar de manera exhaustiva todos y cada uno de los criterios establecidos en el artículo 58 de la LFCE, el artículo 5 de las DRLFCE y la presente Guía, cuando:</w:t>
            </w:r>
          </w:p>
          <w:p w14:paraId="1273C2EB" w14:textId="0F35FFB0" w:rsidR="00AB6F1E" w:rsidRPr="00724A07" w:rsidRDefault="00AB6F1E" w:rsidP="00D2028F">
            <w:pPr>
              <w:spacing w:after="0" w:line="240" w:lineRule="auto"/>
              <w:jc w:val="both"/>
              <w:rPr>
                <w:rFonts w:ascii="ITC Avant Garde" w:hAnsi="ITC Avant Garde" w:cs="Arial"/>
                <w:sz w:val="18"/>
                <w:szCs w:val="18"/>
              </w:rPr>
            </w:pPr>
            <w:r w:rsidRPr="00724A07">
              <w:rPr>
                <w:rFonts w:ascii="ITC Avant Garde" w:hAnsi="ITC Avant Garde" w:cs="Arial"/>
                <w:sz w:val="18"/>
                <w:szCs w:val="18"/>
              </w:rPr>
              <w:t>[…]</w:t>
            </w:r>
          </w:p>
          <w:p w14:paraId="783B8B28" w14:textId="0B1BE768" w:rsidR="008A1049" w:rsidRPr="00724A07" w:rsidRDefault="008A1049" w:rsidP="00D2028F">
            <w:pPr>
              <w:spacing w:after="0" w:line="240" w:lineRule="auto"/>
              <w:jc w:val="both"/>
              <w:rPr>
                <w:rFonts w:ascii="ITC Avant Garde" w:hAnsi="ITC Avant Garde" w:cs="Arial"/>
                <w:sz w:val="18"/>
                <w:szCs w:val="18"/>
              </w:rPr>
            </w:pPr>
            <w:r w:rsidRPr="00724A07">
              <w:rPr>
                <w:rFonts w:ascii="ITC Avant Garde" w:hAnsi="ITC Avant Garde" w:cs="Arial"/>
                <w:sz w:val="18"/>
                <w:szCs w:val="18"/>
              </w:rPr>
              <w:t>• Bajo una delimitación estrecha del mercado, sea posible descartar afectaciones a la competencia y libre concurrencia o existencia, adquisición o reforzamiento de PSM derivados de la operación evaluada.</w:t>
            </w:r>
          </w:p>
          <w:p w14:paraId="66B45BB0" w14:textId="77777777" w:rsidR="00AB6F1E" w:rsidRPr="00724A07" w:rsidRDefault="00AB6F1E" w:rsidP="00D2028F">
            <w:pPr>
              <w:spacing w:after="0" w:line="240" w:lineRule="auto"/>
              <w:jc w:val="both"/>
              <w:rPr>
                <w:rFonts w:ascii="ITC Avant Garde" w:hAnsi="ITC Avant Garde" w:cs="Arial"/>
                <w:sz w:val="18"/>
                <w:szCs w:val="18"/>
                <w:u w:val="single"/>
              </w:rPr>
            </w:pPr>
          </w:p>
          <w:p w14:paraId="7423F70C" w14:textId="49FE7707" w:rsidR="008A1049" w:rsidRPr="00724A07" w:rsidRDefault="008A1049" w:rsidP="00D2028F">
            <w:pPr>
              <w:spacing w:after="0" w:line="240" w:lineRule="auto"/>
              <w:jc w:val="both"/>
              <w:rPr>
                <w:rFonts w:ascii="ITC Avant Garde" w:hAnsi="ITC Avant Garde" w:cs="Arial"/>
                <w:sz w:val="18"/>
                <w:szCs w:val="18"/>
                <w:u w:val="single"/>
              </w:rPr>
            </w:pPr>
            <w:bookmarkStart w:id="28" w:name="_Hlk84504573"/>
            <w:r w:rsidRPr="00724A07">
              <w:rPr>
                <w:rFonts w:ascii="ITC Avant Garde" w:hAnsi="ITC Avant Garde" w:cs="Arial"/>
                <w:sz w:val="18"/>
                <w:szCs w:val="18"/>
                <w:u w:val="single"/>
              </w:rPr>
              <w:t>Asimismo, la A</w:t>
            </w:r>
            <w:r w:rsidR="00EF64A1">
              <w:rPr>
                <w:rFonts w:ascii="ITC Avant Garde" w:hAnsi="ITC Avant Garde" w:cs="Arial"/>
                <w:sz w:val="18"/>
                <w:szCs w:val="18"/>
                <w:u w:val="single"/>
              </w:rPr>
              <w:t>utoridad Investigadora del Instituto</w:t>
            </w:r>
            <w:r w:rsidRPr="00724A07">
              <w:rPr>
                <w:rFonts w:ascii="ITC Avant Garde" w:hAnsi="ITC Avant Garde" w:cs="Arial"/>
                <w:sz w:val="18"/>
                <w:szCs w:val="18"/>
                <w:u w:val="single"/>
              </w:rPr>
              <w:t xml:space="preserve">, </w:t>
            </w:r>
            <w:r w:rsidR="00D51005" w:rsidRPr="00724A07">
              <w:rPr>
                <w:rFonts w:ascii="ITC Avant Garde" w:hAnsi="ITC Avant Garde" w:cs="Arial"/>
                <w:sz w:val="18"/>
                <w:szCs w:val="18"/>
                <w:u w:val="single"/>
              </w:rPr>
              <w:t xml:space="preserve">en los casos en los que analice las </w:t>
            </w:r>
            <w:r w:rsidR="004574FB">
              <w:rPr>
                <w:rFonts w:ascii="ITC Avant Garde" w:hAnsi="ITC Avant Garde" w:cs="Arial"/>
                <w:sz w:val="18"/>
                <w:szCs w:val="18"/>
                <w:u w:val="single"/>
              </w:rPr>
              <w:t>PMR</w:t>
            </w:r>
            <w:r w:rsidR="00D51005" w:rsidRPr="00724A07">
              <w:rPr>
                <w:rFonts w:ascii="ITC Avant Garde" w:hAnsi="ITC Avant Garde" w:cs="Arial"/>
                <w:sz w:val="18"/>
                <w:szCs w:val="18"/>
                <w:u w:val="single"/>
              </w:rPr>
              <w:t xml:space="preserve"> a las que refiere el artículo 54 de la LFCE, </w:t>
            </w:r>
            <w:r w:rsidRPr="00724A07">
              <w:rPr>
                <w:rFonts w:ascii="ITC Avant Garde" w:hAnsi="ITC Avant Garde" w:cs="Arial"/>
                <w:sz w:val="18"/>
                <w:szCs w:val="18"/>
                <w:u w:val="single"/>
              </w:rPr>
              <w:t xml:space="preserve">podrá omitir la delimitación del </w:t>
            </w:r>
            <w:r w:rsidR="004574FB">
              <w:rPr>
                <w:rFonts w:ascii="ITC Avant Garde" w:hAnsi="ITC Avant Garde" w:cs="Arial"/>
                <w:sz w:val="18"/>
                <w:szCs w:val="18"/>
                <w:u w:val="single"/>
              </w:rPr>
              <w:t>MR</w:t>
            </w:r>
            <w:r w:rsidRPr="00724A07">
              <w:rPr>
                <w:rFonts w:ascii="ITC Avant Garde" w:hAnsi="ITC Avant Garde" w:cs="Arial"/>
                <w:sz w:val="18"/>
                <w:szCs w:val="18"/>
                <w:u w:val="single"/>
              </w:rPr>
              <w:t xml:space="preserve"> conforme </w:t>
            </w:r>
            <w:r w:rsidR="00753ED5" w:rsidRPr="00724A07">
              <w:rPr>
                <w:rFonts w:ascii="ITC Avant Garde" w:hAnsi="ITC Avant Garde" w:cs="Arial"/>
                <w:sz w:val="18"/>
                <w:szCs w:val="18"/>
                <w:u w:val="single"/>
              </w:rPr>
              <w:t>a</w:t>
            </w:r>
            <w:r w:rsidRPr="00724A07">
              <w:rPr>
                <w:rFonts w:ascii="ITC Avant Garde" w:hAnsi="ITC Avant Garde" w:cs="Arial"/>
                <w:sz w:val="18"/>
                <w:szCs w:val="18"/>
                <w:u w:val="single"/>
              </w:rPr>
              <w:t>l artículo 58 de la LFCE, el artículo 5 de las DRLFCE y la presente Guía cuando la conducta analizada no encuadre en alguno de los supuestos a los que se refiere el artículo 56 de la LFCE.</w:t>
            </w:r>
            <w:r w:rsidR="00D51005" w:rsidRPr="00724A07">
              <w:rPr>
                <w:rFonts w:ascii="ITC Avant Garde" w:hAnsi="ITC Avant Garde" w:cs="Arial"/>
                <w:sz w:val="18"/>
                <w:szCs w:val="18"/>
                <w:u w:val="single"/>
              </w:rPr>
              <w:t xml:space="preserve"> </w:t>
            </w:r>
            <w:bookmarkEnd w:id="28"/>
            <w:r w:rsidR="007D4EFF">
              <w:rPr>
                <w:rFonts w:ascii="ITC Avant Garde" w:hAnsi="ITC Avant Garde" w:cs="Arial"/>
                <w:sz w:val="18"/>
                <w:szCs w:val="18"/>
                <w:u w:val="single"/>
              </w:rPr>
              <w:t>Lo anterior es así, toda vez que</w:t>
            </w:r>
            <w:r w:rsidR="00810537">
              <w:rPr>
                <w:rFonts w:ascii="ITC Avant Garde" w:hAnsi="ITC Avant Garde" w:cs="Arial"/>
                <w:sz w:val="18"/>
                <w:szCs w:val="18"/>
                <w:u w:val="single"/>
              </w:rPr>
              <w:t>,</w:t>
            </w:r>
            <w:r w:rsidR="007D4EFF">
              <w:rPr>
                <w:rFonts w:ascii="ITC Avant Garde" w:hAnsi="ITC Avant Garde" w:cs="Arial"/>
                <w:sz w:val="18"/>
                <w:szCs w:val="18"/>
                <w:u w:val="single"/>
              </w:rPr>
              <w:t xml:space="preserve"> si </w:t>
            </w:r>
            <w:r w:rsidR="007D4EFF" w:rsidRPr="007D4EFF">
              <w:rPr>
                <w:rFonts w:ascii="ITC Avant Garde" w:hAnsi="ITC Avant Garde" w:cs="Arial"/>
                <w:sz w:val="18"/>
                <w:szCs w:val="18"/>
                <w:u w:val="single"/>
              </w:rPr>
              <w:t xml:space="preserve">no se actualiza alguna conducta </w:t>
            </w:r>
            <w:r w:rsidR="000B022E">
              <w:rPr>
                <w:rFonts w:ascii="ITC Avant Garde" w:hAnsi="ITC Avant Garde" w:cs="Arial"/>
                <w:sz w:val="18"/>
                <w:szCs w:val="18"/>
                <w:u w:val="single"/>
              </w:rPr>
              <w:t xml:space="preserve">prevista en </w:t>
            </w:r>
            <w:r w:rsidR="007D4EFF" w:rsidRPr="007D4EFF">
              <w:rPr>
                <w:rFonts w:ascii="ITC Avant Garde" w:hAnsi="ITC Avant Garde" w:cs="Arial"/>
                <w:sz w:val="18"/>
                <w:szCs w:val="18"/>
                <w:u w:val="single"/>
              </w:rPr>
              <w:t>el artículo 56 de la LFCE</w:t>
            </w:r>
            <w:r w:rsidR="007D4EFF">
              <w:rPr>
                <w:rFonts w:ascii="ITC Avant Garde" w:hAnsi="ITC Avant Garde" w:cs="Arial"/>
                <w:sz w:val="18"/>
                <w:szCs w:val="18"/>
                <w:u w:val="single"/>
              </w:rPr>
              <w:t>,</w:t>
            </w:r>
            <w:r w:rsidR="007D4EFF" w:rsidRPr="007D4EFF">
              <w:rPr>
                <w:rFonts w:ascii="ITC Avant Garde" w:hAnsi="ITC Avant Garde" w:cs="Arial"/>
                <w:sz w:val="18"/>
                <w:szCs w:val="18"/>
                <w:u w:val="single"/>
              </w:rPr>
              <w:t xml:space="preserve"> continuar con el análisis de </w:t>
            </w:r>
            <w:r w:rsidR="00810537">
              <w:rPr>
                <w:rFonts w:ascii="ITC Avant Garde" w:hAnsi="ITC Avant Garde" w:cs="Arial"/>
                <w:sz w:val="18"/>
                <w:szCs w:val="18"/>
                <w:u w:val="single"/>
              </w:rPr>
              <w:t>MR</w:t>
            </w:r>
            <w:r w:rsidR="007D4EFF" w:rsidRPr="007D4EFF">
              <w:rPr>
                <w:rFonts w:ascii="ITC Avant Garde" w:hAnsi="ITC Avant Garde" w:cs="Arial"/>
                <w:sz w:val="18"/>
                <w:szCs w:val="18"/>
                <w:u w:val="single"/>
              </w:rPr>
              <w:t xml:space="preserve"> y poder sustancial no conduce a demostrar la responsabilidad del agente económico</w:t>
            </w:r>
            <w:r w:rsidR="00EE06E1">
              <w:rPr>
                <w:rFonts w:ascii="ITC Avant Garde" w:hAnsi="ITC Avant Garde" w:cs="Arial"/>
                <w:sz w:val="18"/>
                <w:szCs w:val="18"/>
                <w:u w:val="single"/>
              </w:rPr>
              <w:t xml:space="preserve"> </w:t>
            </w:r>
            <w:r w:rsidR="00704B74">
              <w:rPr>
                <w:rFonts w:ascii="ITC Avant Garde" w:hAnsi="ITC Avant Garde" w:cs="Arial"/>
                <w:sz w:val="18"/>
                <w:szCs w:val="18"/>
                <w:u w:val="single"/>
              </w:rPr>
              <w:t>en la comisión de dicha conducta.</w:t>
            </w:r>
          </w:p>
        </w:tc>
      </w:tr>
    </w:tbl>
    <w:p w14:paraId="40D46805" w14:textId="396C92A2" w:rsidR="00C46AB1" w:rsidRPr="00724A07" w:rsidRDefault="00C7449E" w:rsidP="00887937">
      <w:pPr>
        <w:keepNext/>
        <w:spacing w:before="24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.8. Mercados relacionados</w:t>
      </w: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753ED5" w:rsidRPr="00724A07" w14:paraId="4F2D98A6" w14:textId="77777777" w:rsidTr="00887937">
        <w:trPr>
          <w:trHeight w:val="276"/>
          <w:jc w:val="center"/>
        </w:trPr>
        <w:tc>
          <w:tcPr>
            <w:tcW w:w="9785" w:type="dxa"/>
            <w:shd w:val="clear" w:color="auto" w:fill="92D050"/>
            <w:vAlign w:val="center"/>
          </w:tcPr>
          <w:p w14:paraId="5F801189" w14:textId="3F0D4A2D" w:rsidR="00753ED5" w:rsidRPr="00724A07" w:rsidRDefault="00753ED5"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León Efrén Jiménez Domínguez y Priscila Barba Rivas</w:t>
            </w:r>
          </w:p>
        </w:tc>
      </w:tr>
      <w:tr w:rsidR="00753ED5" w:rsidRPr="00724A07" w14:paraId="4E221EB5" w14:textId="77777777" w:rsidTr="00887937">
        <w:trPr>
          <w:trHeight w:val="443"/>
          <w:jc w:val="center"/>
        </w:trPr>
        <w:tc>
          <w:tcPr>
            <w:tcW w:w="9785" w:type="dxa"/>
            <w:shd w:val="clear" w:color="auto" w:fill="E2EFD9" w:themeFill="accent6" w:themeFillTint="33"/>
            <w:vAlign w:val="center"/>
          </w:tcPr>
          <w:p w14:paraId="2345F704" w14:textId="78D39C3C" w:rsidR="00753ED5" w:rsidRPr="00724A07" w:rsidRDefault="00D40DB8" w:rsidP="00753ED5">
            <w:pPr>
              <w:spacing w:after="160" w:line="259" w:lineRule="auto"/>
              <w:jc w:val="both"/>
              <w:rPr>
                <w:rFonts w:ascii="ITC Avant Garde" w:hAnsi="ITC Avant Garde"/>
                <w:i/>
                <w:sz w:val="18"/>
                <w:szCs w:val="18"/>
              </w:rPr>
            </w:pPr>
            <w:r w:rsidRPr="007C2396">
              <w:rPr>
                <w:rFonts w:ascii="ITC Avant Garde" w:hAnsi="ITC Avant Garde" w:cs="Tahoma"/>
                <w:i/>
                <w:color w:val="000000"/>
                <w:sz w:val="18"/>
                <w:szCs w:val="18"/>
                <w:lang w:eastAsia="es-MX"/>
              </w:rPr>
              <w:t>“En relación a los elementos para determinar mercados relacionados, consideramos que no se aportan tales, simplemente se define el concepto de mercado relacionado.</w:t>
            </w:r>
            <w:r w:rsidRPr="007C2396">
              <w:rPr>
                <w:rFonts w:ascii="ITC Avant Garde" w:hAnsi="ITC Avant Garde"/>
                <w:i/>
                <w:sz w:val="18"/>
                <w:szCs w:val="18"/>
              </w:rPr>
              <w:t>"</w:t>
            </w:r>
          </w:p>
        </w:tc>
      </w:tr>
    </w:tbl>
    <w:p w14:paraId="742253F8" w14:textId="63FC46CE" w:rsidR="00753ED5" w:rsidRPr="00724A07" w:rsidRDefault="00753ED5" w:rsidP="00753ED5">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7527873B" w14:textId="519C3772" w:rsidR="00C46AB1" w:rsidRPr="00724A07" w:rsidRDefault="00CE585A" w:rsidP="00C46AB1">
      <w:pPr>
        <w:spacing w:after="120" w:line="240" w:lineRule="auto"/>
        <w:jc w:val="both"/>
        <w:rPr>
          <w:rFonts w:ascii="ITC Avant Garde" w:hAnsi="ITC Avant Garde"/>
        </w:rPr>
      </w:pPr>
      <w:r w:rsidRPr="00724A07">
        <w:rPr>
          <w:rFonts w:ascii="ITC Avant Garde" w:hAnsi="ITC Avant Garde"/>
        </w:rPr>
        <w:t xml:space="preserve">En relación con el comentario de los participantes, sobre el hecho de que en el Anteproyecto de Guía no se proporcionan elementos para determinar mercados relacionados, se considera procedente realizar precisiones al Anteproyecto de Guía, a fin de proporcionar mayor claridad a los agentes económicos y al público en general sobre la determinación de los mercados relacionados.  </w:t>
      </w:r>
    </w:p>
    <w:p w14:paraId="0692E62B" w14:textId="469F8E00" w:rsidR="00CE585A" w:rsidRDefault="00CE585A" w:rsidP="00CE585A">
      <w:pPr>
        <w:spacing w:after="120" w:line="240" w:lineRule="auto"/>
        <w:jc w:val="both"/>
        <w:rPr>
          <w:rFonts w:ascii="ITC Avant Garde" w:hAnsi="ITC Avant Garde"/>
        </w:rPr>
      </w:pPr>
      <w:r w:rsidRPr="00724A07">
        <w:rPr>
          <w:rFonts w:ascii="ITC Avant Garde" w:hAnsi="ITC Avant Garde"/>
        </w:rPr>
        <w:t>Por lo anterior, se modifica la sección “</w:t>
      </w:r>
      <w:r w:rsidRPr="00724A07">
        <w:rPr>
          <w:rFonts w:ascii="ITC Avant Garde" w:hAnsi="ITC Avant Garde"/>
          <w:i/>
          <w:iCs/>
        </w:rPr>
        <w:t>8.3 Elementos para determinar mercados relacionados</w:t>
      </w:r>
      <w:r w:rsidRPr="00724A07">
        <w:rPr>
          <w:rFonts w:ascii="ITC Avant Garde" w:hAnsi="ITC Avant Garde"/>
        </w:rPr>
        <w:t>”, como sigue:</w:t>
      </w:r>
    </w:p>
    <w:p w14:paraId="72175F6D" w14:textId="77777777" w:rsidR="00887937" w:rsidRPr="00724A07" w:rsidRDefault="00887937" w:rsidP="00CE585A">
      <w:pPr>
        <w:spacing w:after="12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4830"/>
        <w:gridCol w:w="4830"/>
      </w:tblGrid>
      <w:tr w:rsidR="00CE585A" w:rsidRPr="00724A07" w14:paraId="7B3A21B3" w14:textId="77777777" w:rsidTr="00887937">
        <w:trPr>
          <w:jc w:val="center"/>
        </w:trPr>
        <w:tc>
          <w:tcPr>
            <w:tcW w:w="4830" w:type="dxa"/>
            <w:shd w:val="clear" w:color="auto" w:fill="92D050"/>
            <w:vAlign w:val="center"/>
          </w:tcPr>
          <w:p w14:paraId="4C94A8AE" w14:textId="77777777" w:rsidR="00CE585A" w:rsidRPr="00724A07" w:rsidRDefault="00CE585A"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lastRenderedPageBreak/>
              <w:t>Anteproyecto de Guía</w:t>
            </w:r>
          </w:p>
        </w:tc>
        <w:tc>
          <w:tcPr>
            <w:tcW w:w="4830" w:type="dxa"/>
            <w:shd w:val="clear" w:color="auto" w:fill="92D050"/>
            <w:vAlign w:val="center"/>
          </w:tcPr>
          <w:p w14:paraId="7E1809BA" w14:textId="77777777" w:rsidR="00CE585A" w:rsidRPr="00724A07" w:rsidRDefault="00CE585A"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CE585A" w:rsidRPr="00724A07" w14:paraId="581D0016" w14:textId="77777777" w:rsidTr="00887937">
        <w:trPr>
          <w:trHeight w:val="2879"/>
          <w:jc w:val="center"/>
        </w:trPr>
        <w:tc>
          <w:tcPr>
            <w:tcW w:w="4830" w:type="dxa"/>
            <w:shd w:val="clear" w:color="auto" w:fill="auto"/>
          </w:tcPr>
          <w:p w14:paraId="52969766" w14:textId="77777777" w:rsidR="00CE585A" w:rsidRPr="00724A07" w:rsidRDefault="00CE585A" w:rsidP="00302B76">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8.3.</w:t>
            </w:r>
            <w:r w:rsidRPr="00724A07">
              <w:rPr>
                <w:rFonts w:ascii="ITC Avant Garde" w:hAnsi="ITC Avant Garde" w:cs="Arial"/>
                <w:b/>
                <w:bCs/>
                <w:sz w:val="18"/>
                <w:szCs w:val="18"/>
              </w:rPr>
              <w:tab/>
              <w:t>Elementos para determinar mercados relacionados</w:t>
            </w:r>
          </w:p>
          <w:p w14:paraId="2B84E4AC" w14:textId="3F908F6B" w:rsidR="006B4797" w:rsidRDefault="006B4797" w:rsidP="00302B76">
            <w:pPr>
              <w:spacing w:after="0" w:line="240" w:lineRule="auto"/>
              <w:jc w:val="both"/>
              <w:rPr>
                <w:rFonts w:ascii="ITC Avant Garde" w:hAnsi="ITC Avant Garde" w:cs="Arial"/>
                <w:sz w:val="18"/>
                <w:szCs w:val="18"/>
              </w:rPr>
            </w:pPr>
            <w:r w:rsidRPr="006B4797">
              <w:rPr>
                <w:rFonts w:ascii="ITC Avant Garde" w:hAnsi="ITC Avant Garde" w:cs="Arial"/>
                <w:sz w:val="18"/>
                <w:szCs w:val="18"/>
              </w:rPr>
              <w:t>El Instituto podrá considerar como mercados relacionados aquellos que comprendan:</w:t>
            </w:r>
          </w:p>
          <w:p w14:paraId="002BB70F" w14:textId="7E234E6F" w:rsidR="00CE585A" w:rsidRPr="00724A07" w:rsidRDefault="00CE585A" w:rsidP="00302B76">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 </w:t>
            </w:r>
          </w:p>
          <w:p w14:paraId="107498E7" w14:textId="31530403" w:rsidR="00CE585A" w:rsidRPr="00724A07" w:rsidRDefault="00CE585A" w:rsidP="00302B76">
            <w:pPr>
              <w:spacing w:after="0" w:line="240" w:lineRule="auto"/>
              <w:jc w:val="both"/>
              <w:rPr>
                <w:rFonts w:ascii="ITC Avant Garde" w:hAnsi="ITC Avant Garde" w:cs="Arial"/>
                <w:sz w:val="18"/>
                <w:szCs w:val="18"/>
                <w:lang w:val="x-none"/>
              </w:rPr>
            </w:pPr>
            <w:r w:rsidRPr="00724A07">
              <w:rPr>
                <w:rFonts w:ascii="ITC Avant Garde" w:hAnsi="ITC Avant Garde" w:cs="Arial"/>
                <w:sz w:val="18"/>
                <w:szCs w:val="18"/>
              </w:rPr>
              <w:t>•</w:t>
            </w:r>
            <w:r w:rsidRPr="00724A07">
              <w:rPr>
                <w:rFonts w:ascii="ITC Avant Garde" w:hAnsi="ITC Avant Garde" w:cs="Arial"/>
                <w:sz w:val="18"/>
                <w:szCs w:val="18"/>
              </w:rPr>
              <w:tab/>
              <w:t>Actividades económicas que incidan o influyan en las condiciones de competencia y libre concurrencia del MR, o viceversa.</w:t>
            </w:r>
          </w:p>
        </w:tc>
        <w:tc>
          <w:tcPr>
            <w:tcW w:w="4830" w:type="dxa"/>
            <w:shd w:val="clear" w:color="auto" w:fill="auto"/>
          </w:tcPr>
          <w:p w14:paraId="5B5EFA08" w14:textId="77777777" w:rsidR="00CE585A" w:rsidRPr="00724A07" w:rsidRDefault="00CE585A" w:rsidP="00CE585A">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8.3.</w:t>
            </w:r>
            <w:r w:rsidRPr="00724A07">
              <w:rPr>
                <w:rFonts w:ascii="ITC Avant Garde" w:hAnsi="ITC Avant Garde" w:cs="Arial"/>
                <w:b/>
                <w:bCs/>
                <w:sz w:val="18"/>
                <w:szCs w:val="18"/>
              </w:rPr>
              <w:tab/>
              <w:t>Elementos para determinar mercados relacionados</w:t>
            </w:r>
          </w:p>
          <w:p w14:paraId="753275C4" w14:textId="49B7D3F4" w:rsidR="006B4797" w:rsidRDefault="006B4797" w:rsidP="00CE585A">
            <w:pPr>
              <w:spacing w:after="0" w:line="240" w:lineRule="auto"/>
              <w:jc w:val="both"/>
              <w:rPr>
                <w:rFonts w:ascii="ITC Avant Garde" w:hAnsi="ITC Avant Garde" w:cs="Arial"/>
                <w:sz w:val="18"/>
                <w:szCs w:val="18"/>
              </w:rPr>
            </w:pPr>
            <w:r w:rsidRPr="006B4797">
              <w:rPr>
                <w:rFonts w:ascii="ITC Avant Garde" w:hAnsi="ITC Avant Garde" w:cs="Arial"/>
                <w:sz w:val="18"/>
                <w:szCs w:val="18"/>
              </w:rPr>
              <w:t>El Instituto podrá considerar como mercados relacionados aquellos que comprendan:</w:t>
            </w:r>
          </w:p>
          <w:p w14:paraId="65AAFCCA" w14:textId="2C312A59" w:rsidR="00CE585A" w:rsidRPr="00724A07" w:rsidRDefault="00CE585A" w:rsidP="00CE585A">
            <w:pPr>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 </w:t>
            </w:r>
          </w:p>
          <w:p w14:paraId="067F6ECB" w14:textId="77777777" w:rsidR="00CE585A" w:rsidRPr="00724A07" w:rsidRDefault="00CE585A" w:rsidP="00CE585A">
            <w:pPr>
              <w:spacing w:after="0" w:line="240" w:lineRule="auto"/>
              <w:jc w:val="both"/>
              <w:rPr>
                <w:rFonts w:ascii="ITC Avant Garde" w:hAnsi="ITC Avant Garde" w:cs="Arial"/>
                <w:sz w:val="18"/>
                <w:szCs w:val="18"/>
              </w:rPr>
            </w:pPr>
            <w:r w:rsidRPr="00724A07">
              <w:rPr>
                <w:rFonts w:ascii="ITC Avant Garde" w:hAnsi="ITC Avant Garde" w:cs="Arial"/>
                <w:sz w:val="18"/>
                <w:szCs w:val="18"/>
              </w:rPr>
              <w:t>•</w:t>
            </w:r>
            <w:r w:rsidRPr="00724A07">
              <w:rPr>
                <w:rFonts w:ascii="ITC Avant Garde" w:hAnsi="ITC Avant Garde" w:cs="Arial"/>
                <w:sz w:val="18"/>
                <w:szCs w:val="18"/>
              </w:rPr>
              <w:tab/>
              <w:t>Actividades económicas que incidan o influyan en las condiciones de competencia y libre concurrencia del MR, o viceversa.</w:t>
            </w:r>
          </w:p>
          <w:p w14:paraId="21B0F0F7" w14:textId="77777777" w:rsidR="00CE585A" w:rsidRPr="00724A07" w:rsidRDefault="00CE585A" w:rsidP="00CE585A">
            <w:pPr>
              <w:spacing w:after="0" w:line="240" w:lineRule="auto"/>
              <w:jc w:val="both"/>
              <w:rPr>
                <w:rFonts w:ascii="ITC Avant Garde" w:hAnsi="ITC Avant Garde" w:cs="Arial"/>
                <w:sz w:val="18"/>
                <w:szCs w:val="18"/>
                <w:u w:val="single"/>
              </w:rPr>
            </w:pPr>
          </w:p>
          <w:p w14:paraId="3CEC80FB" w14:textId="50A07120" w:rsidR="00CE585A" w:rsidRPr="00724A07" w:rsidRDefault="00CE585A" w:rsidP="00CE585A">
            <w:pPr>
              <w:spacing w:after="0" w:line="240" w:lineRule="auto"/>
              <w:jc w:val="both"/>
              <w:rPr>
                <w:rFonts w:ascii="ITC Avant Garde" w:hAnsi="ITC Avant Garde" w:cs="Arial"/>
                <w:sz w:val="18"/>
                <w:szCs w:val="18"/>
                <w:u w:val="single"/>
              </w:rPr>
            </w:pPr>
            <w:r w:rsidRPr="00724A07">
              <w:rPr>
                <w:rFonts w:ascii="ITC Avant Garde" w:hAnsi="ITC Avant Garde" w:cs="Arial"/>
                <w:sz w:val="18"/>
                <w:szCs w:val="18"/>
                <w:u w:val="single"/>
              </w:rPr>
              <w:t xml:space="preserve">Cuando se considere necesario </w:t>
            </w:r>
            <w:r w:rsidR="0071687A" w:rsidRPr="00724A07">
              <w:rPr>
                <w:rFonts w:ascii="ITC Avant Garde" w:hAnsi="ITC Avant Garde" w:cs="Arial"/>
                <w:sz w:val="18"/>
                <w:szCs w:val="18"/>
                <w:u w:val="single"/>
              </w:rPr>
              <w:t xml:space="preserve">definir </w:t>
            </w:r>
            <w:r w:rsidRPr="00724A07">
              <w:rPr>
                <w:rFonts w:ascii="ITC Avant Garde" w:hAnsi="ITC Avant Garde" w:cs="Arial"/>
                <w:sz w:val="18"/>
                <w:szCs w:val="18"/>
                <w:u w:val="single"/>
              </w:rPr>
              <w:t xml:space="preserve">mercados relacionados en un procedimiento particular, </w:t>
            </w:r>
            <w:r w:rsidR="00AE5E72">
              <w:rPr>
                <w:rFonts w:ascii="ITC Avant Garde" w:hAnsi="ITC Avant Garde" w:cs="Arial"/>
                <w:sz w:val="18"/>
                <w:szCs w:val="18"/>
                <w:u w:val="single"/>
              </w:rPr>
              <w:t xml:space="preserve">se </w:t>
            </w:r>
            <w:r w:rsidR="009B50F2">
              <w:rPr>
                <w:rFonts w:ascii="ITC Avant Garde" w:hAnsi="ITC Avant Garde" w:cs="Arial"/>
                <w:sz w:val="18"/>
                <w:szCs w:val="18"/>
                <w:u w:val="single"/>
              </w:rPr>
              <w:t>podrán delimitar</w:t>
            </w:r>
            <w:r w:rsidR="009B50F2" w:rsidRPr="00724A07">
              <w:rPr>
                <w:rFonts w:ascii="ITC Avant Garde" w:hAnsi="ITC Avant Garde" w:cs="Arial"/>
                <w:sz w:val="18"/>
                <w:szCs w:val="18"/>
                <w:u w:val="single"/>
              </w:rPr>
              <w:t xml:space="preserve"> </w:t>
            </w:r>
            <w:r w:rsidRPr="00724A07">
              <w:rPr>
                <w:rFonts w:ascii="ITC Avant Garde" w:hAnsi="ITC Avant Garde" w:cs="Arial"/>
                <w:sz w:val="18"/>
                <w:szCs w:val="18"/>
                <w:u w:val="single"/>
              </w:rPr>
              <w:t>tomando en consideración los mismos criterios que para la determinación de MR.</w:t>
            </w:r>
          </w:p>
        </w:tc>
      </w:tr>
    </w:tbl>
    <w:p w14:paraId="3EA0F31A" w14:textId="15421CE8" w:rsidR="00C46AB1" w:rsidRPr="00724A07" w:rsidRDefault="00C7449E" w:rsidP="00887937">
      <w:pPr>
        <w:keepNext/>
        <w:spacing w:before="240" w:after="120" w:line="240" w:lineRule="auto"/>
        <w:jc w:val="both"/>
        <w:outlineLvl w:val="1"/>
        <w:rPr>
          <w:rFonts w:ascii="ITC Avant Garde" w:hAnsi="ITC Avant Garde"/>
          <w:b/>
          <w:bCs/>
        </w:rPr>
      </w:pPr>
      <w:r>
        <w:rPr>
          <w:rFonts w:ascii="ITC Avant Garde" w:hAnsi="ITC Avant Garde"/>
          <w:b/>
          <w:bCs/>
        </w:rPr>
        <w:t>9</w:t>
      </w:r>
      <w:r w:rsidR="00C46AB1" w:rsidRPr="00724A07">
        <w:rPr>
          <w:rFonts w:ascii="ITC Avant Garde" w:hAnsi="ITC Avant Garde"/>
          <w:b/>
          <w:bCs/>
        </w:rPr>
        <w:t xml:space="preserve">.9. Temas específicos de los sectores de </w:t>
      </w:r>
      <w:proofErr w:type="spellStart"/>
      <w:r w:rsidR="00C46AB1" w:rsidRPr="00724A07">
        <w:rPr>
          <w:rFonts w:ascii="ITC Avant Garde" w:hAnsi="ITC Avant Garde"/>
          <w:b/>
          <w:bCs/>
        </w:rPr>
        <w:t>TyR</w:t>
      </w:r>
      <w:proofErr w:type="spellEnd"/>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753ED5" w:rsidRPr="00724A07" w14:paraId="2E87CBC4" w14:textId="77777777" w:rsidTr="00887937">
        <w:trPr>
          <w:trHeight w:val="276"/>
          <w:jc w:val="center"/>
        </w:trPr>
        <w:tc>
          <w:tcPr>
            <w:tcW w:w="9785" w:type="dxa"/>
            <w:shd w:val="clear" w:color="auto" w:fill="92D050"/>
            <w:vAlign w:val="center"/>
          </w:tcPr>
          <w:p w14:paraId="25544FD8" w14:textId="2357831C" w:rsidR="00753ED5" w:rsidRPr="00724A07" w:rsidRDefault="00753ED5"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Telefónica</w:t>
            </w:r>
          </w:p>
        </w:tc>
      </w:tr>
      <w:tr w:rsidR="00753ED5" w:rsidRPr="00724A07" w14:paraId="786A7CEE" w14:textId="77777777" w:rsidTr="00887937">
        <w:trPr>
          <w:trHeight w:val="443"/>
          <w:jc w:val="center"/>
        </w:trPr>
        <w:tc>
          <w:tcPr>
            <w:tcW w:w="9785" w:type="dxa"/>
            <w:shd w:val="clear" w:color="auto" w:fill="E2EFD9" w:themeFill="accent6" w:themeFillTint="33"/>
            <w:vAlign w:val="center"/>
          </w:tcPr>
          <w:p w14:paraId="36A8089E" w14:textId="77777777" w:rsidR="00D40DB8" w:rsidRPr="007C2396" w:rsidRDefault="00D40DB8" w:rsidP="00D40DB8">
            <w:pPr>
              <w:spacing w:after="120" w:line="259" w:lineRule="auto"/>
              <w:jc w:val="both"/>
              <w:rPr>
                <w:rFonts w:ascii="ITC Avant Garde" w:hAnsi="ITC Avant Garde"/>
                <w:i/>
                <w:sz w:val="18"/>
                <w:szCs w:val="18"/>
              </w:rPr>
            </w:pPr>
            <w:r w:rsidRPr="007C2396">
              <w:rPr>
                <w:rFonts w:ascii="ITC Avant Garde" w:hAnsi="ITC Avant Garde"/>
                <w:i/>
                <w:sz w:val="18"/>
                <w:szCs w:val="18"/>
              </w:rPr>
              <w:t>“</w:t>
            </w:r>
            <w:r w:rsidRPr="007C2396">
              <w:rPr>
                <w:rFonts w:ascii="ITC Avant Garde" w:hAnsi="ITC Avant Garde"/>
                <w:b/>
                <w:bCs/>
                <w:i/>
                <w:sz w:val="18"/>
                <w:szCs w:val="18"/>
              </w:rPr>
              <w:t>3.4. Integración Vertical</w:t>
            </w:r>
          </w:p>
          <w:p w14:paraId="2AA0DDD2" w14:textId="675F5875" w:rsidR="00753ED5" w:rsidRPr="00724A07" w:rsidRDefault="00D40DB8" w:rsidP="00887937">
            <w:pPr>
              <w:spacing w:after="120" w:line="259" w:lineRule="auto"/>
              <w:jc w:val="both"/>
              <w:rPr>
                <w:rFonts w:ascii="ITC Avant Garde" w:hAnsi="ITC Avant Garde"/>
                <w:i/>
                <w:sz w:val="18"/>
                <w:szCs w:val="18"/>
              </w:rPr>
            </w:pPr>
            <w:r w:rsidRPr="00EA0C10">
              <w:rPr>
                <w:rFonts w:ascii="ITC Avant Garde" w:hAnsi="ITC Avant Garde"/>
                <w:iCs/>
                <w:sz w:val="18"/>
                <w:szCs w:val="18"/>
              </w:rPr>
              <w:t>(…)</w:t>
            </w:r>
            <w:r>
              <w:rPr>
                <w:rFonts w:ascii="ITC Avant Garde" w:hAnsi="ITC Avant Garde"/>
                <w:i/>
                <w:sz w:val="18"/>
                <w:szCs w:val="18"/>
              </w:rPr>
              <w:t xml:space="preserve"> </w:t>
            </w:r>
            <w:r w:rsidRPr="007C2396">
              <w:rPr>
                <w:rFonts w:ascii="ITC Avant Garde" w:hAnsi="ITC Avant Garde"/>
                <w:i/>
                <w:sz w:val="18"/>
                <w:szCs w:val="18"/>
              </w:rPr>
              <w:t xml:space="preserve">el Anteproyecto de Guía genera la impresión de que el Instituto siempre procederá a definir mercados relevantes tanto aguas abajo como aguas arriba cuando el tema analizado involucre uno o más agentes económicos integrados verticalmente. Es importante observar, sin embargo, que el análisis de competencia en mercados de telecomunicaciones donde frecuentemente se observan fenómenos de integración vertical, no requiere la definición simultánea de mercados relevantes </w:t>
            </w:r>
            <w:proofErr w:type="spellStart"/>
            <w:r w:rsidRPr="007C2396">
              <w:rPr>
                <w:rFonts w:ascii="ITC Avant Garde" w:hAnsi="ITC Avant Garde"/>
                <w:i/>
                <w:sz w:val="18"/>
                <w:szCs w:val="18"/>
              </w:rPr>
              <w:t>upstream</w:t>
            </w:r>
            <w:proofErr w:type="spellEnd"/>
            <w:r w:rsidRPr="007C2396">
              <w:rPr>
                <w:rFonts w:ascii="ITC Avant Garde" w:hAnsi="ITC Avant Garde"/>
                <w:i/>
                <w:sz w:val="18"/>
                <w:szCs w:val="18"/>
              </w:rPr>
              <w:t xml:space="preserve"> y </w:t>
            </w:r>
            <w:proofErr w:type="spellStart"/>
            <w:r w:rsidRPr="007C2396">
              <w:rPr>
                <w:rFonts w:ascii="ITC Avant Garde" w:hAnsi="ITC Avant Garde"/>
                <w:i/>
                <w:sz w:val="18"/>
                <w:szCs w:val="18"/>
              </w:rPr>
              <w:t>downstream</w:t>
            </w:r>
            <w:proofErr w:type="spellEnd"/>
            <w:r>
              <w:rPr>
                <w:rFonts w:ascii="ITC Avant Garde" w:hAnsi="ITC Avant Garde"/>
                <w:i/>
                <w:sz w:val="18"/>
                <w:szCs w:val="18"/>
              </w:rPr>
              <w:t xml:space="preserve"> </w:t>
            </w:r>
            <w:r>
              <w:rPr>
                <w:rFonts w:ascii="Arial" w:hAnsi="Arial" w:cs="Arial"/>
                <w:i/>
                <w:sz w:val="18"/>
                <w:szCs w:val="18"/>
              </w:rPr>
              <w:t xml:space="preserve">(…) </w:t>
            </w:r>
            <w:r w:rsidRPr="007C2396">
              <w:rPr>
                <w:rFonts w:ascii="ITC Avant Garde" w:hAnsi="ITC Avant Garde"/>
                <w:i/>
                <w:sz w:val="18"/>
                <w:szCs w:val="18"/>
              </w:rPr>
              <w:t>el Anteproyecto de Gu</w:t>
            </w:r>
            <w:r w:rsidRPr="007C2396">
              <w:rPr>
                <w:rFonts w:ascii="ITC Avant Garde" w:hAnsi="ITC Avant Garde" w:cs="ITC Avant Garde"/>
                <w:i/>
                <w:sz w:val="18"/>
                <w:szCs w:val="18"/>
              </w:rPr>
              <w:t>í</w:t>
            </w:r>
            <w:r w:rsidRPr="007C2396">
              <w:rPr>
                <w:rFonts w:ascii="ITC Avant Garde" w:hAnsi="ITC Avant Garde"/>
                <w:i/>
                <w:sz w:val="18"/>
                <w:szCs w:val="18"/>
              </w:rPr>
              <w:t>a debe hacer expl</w:t>
            </w:r>
            <w:r w:rsidRPr="007C2396">
              <w:rPr>
                <w:rFonts w:ascii="ITC Avant Garde" w:hAnsi="ITC Avant Garde" w:cs="ITC Avant Garde"/>
                <w:i/>
                <w:sz w:val="18"/>
                <w:szCs w:val="18"/>
              </w:rPr>
              <w:t>í</w:t>
            </w:r>
            <w:r w:rsidRPr="007C2396">
              <w:rPr>
                <w:rFonts w:ascii="ITC Avant Garde" w:hAnsi="ITC Avant Garde"/>
                <w:i/>
                <w:sz w:val="18"/>
                <w:szCs w:val="18"/>
              </w:rPr>
              <w:t>cito que, en casos que involucren escenarios de integración vertical, el análisis competitivo no necesariamente requiere la definición de mercados relevantes en los segmentos mayoristas y minoristas.”</w:t>
            </w:r>
          </w:p>
        </w:tc>
      </w:tr>
    </w:tbl>
    <w:p w14:paraId="695C4FFA" w14:textId="77777777" w:rsidR="00753ED5" w:rsidRPr="00724A07" w:rsidRDefault="00753ED5" w:rsidP="00753ED5">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20A6798B" w14:textId="66FE4D87" w:rsidR="00A85E25" w:rsidRPr="00724A07" w:rsidRDefault="00A85E25" w:rsidP="00C7449E">
      <w:pPr>
        <w:spacing w:after="120" w:line="240" w:lineRule="auto"/>
        <w:jc w:val="both"/>
        <w:rPr>
          <w:rFonts w:ascii="ITC Avant Garde" w:hAnsi="ITC Avant Garde"/>
        </w:rPr>
      </w:pPr>
      <w:r w:rsidRPr="00724A07">
        <w:rPr>
          <w:rFonts w:ascii="ITC Avant Garde" w:hAnsi="ITC Avant Garde"/>
        </w:rPr>
        <w:t xml:space="preserve">En relación con el comentario de Telefónica, respecto a que no en todos los casos que involucran escenarios de integración vertical se requiere la definición de MR tanto en el segmento mayorista como el minorista, se considera procedente realizar la precisión sugerida en el Anteproyecto de Guía, ya que puede contribuir a dar claridad y certeza jurídica a los agentes económicos y contribuye a evitar la interpretación errónea de que la definición de ambos MR es invariablemente necesaria. </w:t>
      </w:r>
    </w:p>
    <w:p w14:paraId="2D918777" w14:textId="245BB1C5" w:rsidR="00A85E25" w:rsidRPr="00724A07" w:rsidRDefault="00A85E25" w:rsidP="00A85E25">
      <w:pPr>
        <w:spacing w:after="120" w:line="240" w:lineRule="auto"/>
        <w:jc w:val="both"/>
        <w:rPr>
          <w:rFonts w:ascii="ITC Avant Garde" w:hAnsi="ITC Avant Garde"/>
        </w:rPr>
      </w:pPr>
      <w:r w:rsidRPr="00724A07">
        <w:rPr>
          <w:rFonts w:ascii="ITC Avant Garde" w:hAnsi="ITC Avant Garde"/>
        </w:rPr>
        <w:t>Por lo anterior, se modifica la sección “</w:t>
      </w:r>
      <w:r w:rsidRPr="00810537">
        <w:rPr>
          <w:rFonts w:ascii="ITC Avant Garde" w:hAnsi="ITC Avant Garde"/>
          <w:i/>
          <w:iCs/>
        </w:rPr>
        <w:t>9.</w:t>
      </w:r>
      <w:r w:rsidRPr="00EC09B8">
        <w:rPr>
          <w:rFonts w:ascii="ITC Avant Garde" w:hAnsi="ITC Avant Garde"/>
          <w:i/>
          <w:iCs/>
        </w:rPr>
        <w:t>1.3.</w:t>
      </w:r>
      <w:r w:rsidR="002E4733" w:rsidRPr="00EC09B8">
        <w:rPr>
          <w:rFonts w:ascii="ITC Avant Garde" w:hAnsi="ITC Avant Garde"/>
          <w:i/>
          <w:iCs/>
        </w:rPr>
        <w:t xml:space="preserve"> </w:t>
      </w:r>
      <w:r w:rsidRPr="00724A07">
        <w:rPr>
          <w:rFonts w:ascii="ITC Avant Garde" w:hAnsi="ITC Avant Garde"/>
          <w:i/>
          <w:iCs/>
        </w:rPr>
        <w:t>Elementos para determinar MR en presencia de integración vertical</w:t>
      </w:r>
      <w:r w:rsidRPr="00724A07">
        <w:rPr>
          <w:rFonts w:ascii="ITC Avant Garde" w:hAnsi="ITC Avant Garde"/>
        </w:rPr>
        <w:t>”, para quedar de la siguiente manera:</w:t>
      </w:r>
    </w:p>
    <w:tbl>
      <w:tblPr>
        <w:tblStyle w:val="Tablaconcuadrcula"/>
        <w:tblW w:w="0" w:type="auto"/>
        <w:jc w:val="center"/>
        <w:tblLook w:val="04A0" w:firstRow="1" w:lastRow="0" w:firstColumn="1" w:lastColumn="0" w:noHBand="0" w:noVBand="1"/>
      </w:tblPr>
      <w:tblGrid>
        <w:gridCol w:w="4830"/>
        <w:gridCol w:w="4830"/>
      </w:tblGrid>
      <w:tr w:rsidR="00A85E25" w:rsidRPr="00724A07" w14:paraId="3917124F" w14:textId="77777777" w:rsidTr="00887937">
        <w:trPr>
          <w:jc w:val="center"/>
        </w:trPr>
        <w:tc>
          <w:tcPr>
            <w:tcW w:w="4830" w:type="dxa"/>
            <w:shd w:val="clear" w:color="auto" w:fill="92D050"/>
            <w:vAlign w:val="center"/>
          </w:tcPr>
          <w:p w14:paraId="75C8ABB9" w14:textId="77777777" w:rsidR="00A85E25" w:rsidRPr="00724A07" w:rsidRDefault="00A85E25" w:rsidP="00810537">
            <w:pPr>
              <w:keepNext/>
              <w:spacing w:after="0" w:line="240" w:lineRule="auto"/>
              <w:jc w:val="center"/>
              <w:rPr>
                <w:rFonts w:ascii="ITC Avant Garde" w:hAnsi="ITC Avant Garde"/>
                <w:b/>
                <w:sz w:val="18"/>
                <w:szCs w:val="18"/>
              </w:rPr>
            </w:pPr>
            <w:r w:rsidRPr="00724A07">
              <w:rPr>
                <w:rFonts w:ascii="ITC Avant Garde" w:hAnsi="ITC Avant Garde"/>
                <w:b/>
                <w:sz w:val="18"/>
                <w:szCs w:val="18"/>
              </w:rPr>
              <w:lastRenderedPageBreak/>
              <w:t>Anteproyecto de Guía</w:t>
            </w:r>
          </w:p>
        </w:tc>
        <w:tc>
          <w:tcPr>
            <w:tcW w:w="4830" w:type="dxa"/>
            <w:shd w:val="clear" w:color="auto" w:fill="92D050"/>
            <w:vAlign w:val="center"/>
          </w:tcPr>
          <w:p w14:paraId="2E70D138" w14:textId="77777777" w:rsidR="00A85E25" w:rsidRPr="00724A07" w:rsidRDefault="00A85E25" w:rsidP="00810537">
            <w:pPr>
              <w:keepNext/>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A85E25" w:rsidRPr="00724A07" w14:paraId="044A24DE" w14:textId="77777777" w:rsidTr="00887937">
        <w:trPr>
          <w:trHeight w:val="2252"/>
          <w:jc w:val="center"/>
        </w:trPr>
        <w:tc>
          <w:tcPr>
            <w:tcW w:w="4830" w:type="dxa"/>
            <w:shd w:val="clear" w:color="auto" w:fill="auto"/>
          </w:tcPr>
          <w:p w14:paraId="5B1B1B33" w14:textId="77777777" w:rsidR="002B67D1" w:rsidRPr="00724A07" w:rsidRDefault="002B67D1" w:rsidP="00810537">
            <w:pPr>
              <w:keepNext/>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9.1.3.</w:t>
            </w:r>
            <w:r w:rsidRPr="00724A07">
              <w:rPr>
                <w:rFonts w:ascii="ITC Avant Garde" w:hAnsi="ITC Avant Garde" w:cs="Arial"/>
                <w:b/>
                <w:bCs/>
                <w:sz w:val="18"/>
                <w:szCs w:val="18"/>
              </w:rPr>
              <w:tab/>
              <w:t>Elementos para determinar MR en presencia de integración vertical</w:t>
            </w:r>
          </w:p>
          <w:p w14:paraId="39EF6425" w14:textId="77777777" w:rsidR="002B67D1" w:rsidRPr="00724A07" w:rsidRDefault="002B67D1" w:rsidP="00810537">
            <w:pPr>
              <w:keepNext/>
              <w:spacing w:after="0" w:line="240" w:lineRule="auto"/>
              <w:jc w:val="both"/>
              <w:rPr>
                <w:rFonts w:ascii="ITC Avant Garde" w:hAnsi="ITC Avant Garde" w:cs="Arial"/>
                <w:b/>
                <w:bCs/>
                <w:sz w:val="18"/>
                <w:szCs w:val="18"/>
              </w:rPr>
            </w:pPr>
          </w:p>
          <w:p w14:paraId="539B3906" w14:textId="77777777" w:rsidR="00A85E25" w:rsidRPr="00724A07" w:rsidRDefault="002B67D1" w:rsidP="00810537">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Para determinar el MR en presencia de integraciones verticales, el Instituto podrá favorecer un análisis que inicie con la definición de MR aguas abajo y prosiga con la definición de MR aguas arriba, para lo cual podrá identificar la cadena de valor del producto involucrado aguas abajo y los eslabones en los que intervienen las partes involucradas en la operación o conducta bajo análisis.</w:t>
            </w:r>
          </w:p>
          <w:p w14:paraId="3D0E432C" w14:textId="77777777" w:rsidR="002B67D1" w:rsidRPr="00724A07" w:rsidRDefault="002B67D1" w:rsidP="00810537">
            <w:pPr>
              <w:keepNext/>
              <w:spacing w:after="0" w:line="240" w:lineRule="auto"/>
              <w:jc w:val="both"/>
              <w:rPr>
                <w:rFonts w:ascii="ITC Avant Garde" w:hAnsi="ITC Avant Garde" w:cs="Arial"/>
                <w:sz w:val="18"/>
                <w:szCs w:val="18"/>
              </w:rPr>
            </w:pPr>
          </w:p>
          <w:p w14:paraId="6F9DB6FB" w14:textId="77777777" w:rsidR="002B67D1" w:rsidRPr="00724A07" w:rsidRDefault="002B67D1" w:rsidP="00810537">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En la determinación de MR mayoristas, el Instituto podrá tomar en cuenta las presiones competitivas directas e indirectas bajo un análisis caso por caso, y cuando las presiones indirectas no sean suficientemente fuertes para ampliar el MR, estas podrán considerarse en la fase de evaluación de efectos o condiciones de competencia.</w:t>
            </w:r>
          </w:p>
          <w:p w14:paraId="10819BFF" w14:textId="77777777" w:rsidR="002B67D1" w:rsidRPr="00724A07" w:rsidRDefault="002B67D1" w:rsidP="00810537">
            <w:pPr>
              <w:keepNext/>
              <w:spacing w:after="0" w:line="240" w:lineRule="auto"/>
              <w:jc w:val="both"/>
              <w:rPr>
                <w:rFonts w:ascii="ITC Avant Garde" w:hAnsi="ITC Avant Garde" w:cs="Arial"/>
                <w:sz w:val="18"/>
                <w:szCs w:val="18"/>
              </w:rPr>
            </w:pPr>
          </w:p>
          <w:p w14:paraId="1222C834" w14:textId="574A2CD3" w:rsidR="002B67D1" w:rsidRPr="00724A07" w:rsidRDefault="002B67D1" w:rsidP="00810537">
            <w:pPr>
              <w:keepNext/>
              <w:spacing w:after="0" w:line="240" w:lineRule="auto"/>
              <w:jc w:val="both"/>
              <w:rPr>
                <w:rFonts w:ascii="ITC Avant Garde" w:hAnsi="ITC Avant Garde" w:cs="Arial"/>
                <w:sz w:val="18"/>
                <w:szCs w:val="18"/>
              </w:rPr>
            </w:pPr>
            <w:r w:rsidRPr="00724A07">
              <w:rPr>
                <w:rFonts w:ascii="ITC Avant Garde" w:hAnsi="ITC Avant Garde" w:cs="Arial"/>
                <w:sz w:val="18"/>
                <w:szCs w:val="18"/>
              </w:rPr>
              <w:t xml:space="preserve">En la determinación de restricciones (presiones) competitivas indirectas, el Instituto podrá considerar, entre otros elementos, i) el cociente entre los precios de los mercados mayorista y minorista;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xml:space="preserve">) el nivel de competencia en el mercado minorista; y </w:t>
            </w:r>
            <w:proofErr w:type="spellStart"/>
            <w:r w:rsidRPr="00724A07">
              <w:rPr>
                <w:rFonts w:ascii="ITC Avant Garde" w:hAnsi="ITC Avant Garde" w:cs="Arial"/>
                <w:sz w:val="18"/>
                <w:szCs w:val="18"/>
              </w:rPr>
              <w:t>iii</w:t>
            </w:r>
            <w:proofErr w:type="spellEnd"/>
            <w:r w:rsidRPr="00724A07">
              <w:rPr>
                <w:rFonts w:ascii="ITC Avant Garde" w:hAnsi="ITC Avant Garde" w:cs="Arial"/>
                <w:sz w:val="18"/>
                <w:szCs w:val="18"/>
              </w:rPr>
              <w:t>) la sensibilidad de los consumidores en el mercado minorista al precio u otras características de los productos.</w:t>
            </w:r>
          </w:p>
        </w:tc>
        <w:tc>
          <w:tcPr>
            <w:tcW w:w="4830" w:type="dxa"/>
            <w:shd w:val="clear" w:color="auto" w:fill="auto"/>
          </w:tcPr>
          <w:p w14:paraId="44115405" w14:textId="77777777" w:rsidR="002B67D1" w:rsidRPr="00724A07" w:rsidRDefault="002B67D1" w:rsidP="00810537">
            <w:pPr>
              <w:keepNext/>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9.1.3.</w:t>
            </w:r>
            <w:r w:rsidRPr="00724A07">
              <w:rPr>
                <w:rFonts w:ascii="ITC Avant Garde" w:hAnsi="ITC Avant Garde" w:cs="Arial"/>
                <w:b/>
                <w:bCs/>
                <w:sz w:val="18"/>
                <w:szCs w:val="18"/>
              </w:rPr>
              <w:tab/>
              <w:t>Elementos para determinar MR en presencia de integración vertical</w:t>
            </w:r>
          </w:p>
          <w:p w14:paraId="67D12BAA" w14:textId="77777777" w:rsidR="002B67D1" w:rsidRPr="00724A07" w:rsidRDefault="002B67D1" w:rsidP="00810537">
            <w:pPr>
              <w:keepNext/>
              <w:spacing w:after="0" w:line="240" w:lineRule="auto"/>
              <w:jc w:val="both"/>
              <w:rPr>
                <w:rFonts w:ascii="ITC Avant Garde" w:hAnsi="ITC Avant Garde" w:cs="Arial"/>
                <w:b/>
                <w:bCs/>
                <w:sz w:val="18"/>
                <w:szCs w:val="18"/>
              </w:rPr>
            </w:pPr>
          </w:p>
          <w:p w14:paraId="33CCF793" w14:textId="4DCB5B7B" w:rsidR="00A85E25" w:rsidRPr="00724A07" w:rsidRDefault="002B67D1" w:rsidP="00810537">
            <w:pPr>
              <w:keepNext/>
              <w:spacing w:after="0" w:line="240" w:lineRule="auto"/>
              <w:jc w:val="both"/>
              <w:rPr>
                <w:rFonts w:ascii="ITC Avant Garde" w:hAnsi="ITC Avant Garde" w:cs="Arial"/>
                <w:sz w:val="18"/>
                <w:szCs w:val="18"/>
                <w:u w:val="single"/>
              </w:rPr>
            </w:pPr>
            <w:r w:rsidRPr="00724A07">
              <w:rPr>
                <w:rFonts w:ascii="ITC Avant Garde" w:hAnsi="ITC Avant Garde" w:cs="Arial"/>
                <w:sz w:val="18"/>
                <w:szCs w:val="18"/>
                <w:u w:val="single"/>
              </w:rPr>
              <w:t>E</w:t>
            </w:r>
            <w:r w:rsidRPr="00724A07">
              <w:rPr>
                <w:rFonts w:ascii="ITC Avant Garde" w:hAnsi="ITC Avant Garde" w:cs="Arial"/>
                <w:sz w:val="18"/>
                <w:szCs w:val="18"/>
              </w:rPr>
              <w:t xml:space="preserve">n presencia de integraciones verticales, el Instituto podrá identificar la cadena de valor del producto involucrado y los eslabones en los que intervienen las partes involucradas en la operación o conducta bajo análisis. </w:t>
            </w:r>
            <w:bookmarkStart w:id="29" w:name="_Hlk84505135"/>
            <w:r w:rsidR="00AB2CBC">
              <w:rPr>
                <w:rFonts w:ascii="ITC Avant Garde" w:hAnsi="ITC Avant Garde" w:cs="Arial"/>
                <w:sz w:val="18"/>
                <w:szCs w:val="18"/>
                <w:u w:val="single"/>
              </w:rPr>
              <w:t>En este sentido</w:t>
            </w:r>
            <w:r w:rsidRPr="00724A07">
              <w:rPr>
                <w:rFonts w:ascii="ITC Avant Garde" w:hAnsi="ITC Avant Garde" w:cs="Arial"/>
                <w:sz w:val="18"/>
                <w:szCs w:val="18"/>
                <w:u w:val="single"/>
              </w:rPr>
              <w:t>, la definición de MR mayoristas o minoristas se hará tomando en consideración los criterios que se presentan a lo largo de esta Guía, así como siguientes elementos:</w:t>
            </w:r>
            <w:bookmarkEnd w:id="29"/>
          </w:p>
          <w:p w14:paraId="6BFDA1DB" w14:textId="77777777" w:rsidR="002B67D1" w:rsidRPr="00724A07" w:rsidRDefault="002B67D1" w:rsidP="00810537">
            <w:pPr>
              <w:keepNext/>
              <w:spacing w:after="0" w:line="240" w:lineRule="auto"/>
              <w:jc w:val="both"/>
              <w:rPr>
                <w:rFonts w:ascii="ITC Avant Garde" w:hAnsi="ITC Avant Garde" w:cs="Arial"/>
                <w:sz w:val="18"/>
                <w:szCs w:val="18"/>
                <w:u w:val="single"/>
              </w:rPr>
            </w:pPr>
          </w:p>
          <w:p w14:paraId="7A714A6F" w14:textId="77777777" w:rsidR="002B67D1" w:rsidRPr="00724A07" w:rsidRDefault="002B67D1" w:rsidP="00810537">
            <w:pPr>
              <w:pStyle w:val="Prrafodelista"/>
              <w:keepNext/>
              <w:numPr>
                <w:ilvl w:val="0"/>
                <w:numId w:val="32"/>
              </w:numPr>
              <w:spacing w:after="120" w:line="240" w:lineRule="auto"/>
              <w:ind w:left="312" w:hanging="284"/>
              <w:contextualSpacing w:val="0"/>
              <w:jc w:val="both"/>
              <w:rPr>
                <w:rFonts w:ascii="ITC Avant Garde" w:hAnsi="ITC Avant Garde" w:cs="Arial"/>
                <w:sz w:val="18"/>
                <w:szCs w:val="18"/>
              </w:rPr>
            </w:pPr>
            <w:r w:rsidRPr="00724A07">
              <w:rPr>
                <w:rFonts w:ascii="ITC Avant Garde" w:hAnsi="ITC Avant Garde" w:cs="Arial"/>
                <w:sz w:val="18"/>
                <w:szCs w:val="18"/>
              </w:rPr>
              <w:t>En la determinación de MR mayoristas, el Instituto podrá tomar en cuenta las presiones competitivas directas e indirectas bajo un análisis caso por caso, y cuando las presiones indirectas no sean suficientemente fuertes para ampliar el MR, estas podrán considerarse en la fase de evaluación de efectos o condiciones de competencia.</w:t>
            </w:r>
          </w:p>
          <w:p w14:paraId="7329A59D" w14:textId="77777777" w:rsidR="00E146AD" w:rsidRDefault="002B67D1" w:rsidP="00810537">
            <w:pPr>
              <w:pStyle w:val="Prrafodelista"/>
              <w:keepNext/>
              <w:numPr>
                <w:ilvl w:val="0"/>
                <w:numId w:val="32"/>
              </w:numPr>
              <w:spacing w:after="0" w:line="240" w:lineRule="auto"/>
              <w:ind w:left="310" w:hanging="283"/>
              <w:jc w:val="both"/>
              <w:rPr>
                <w:rFonts w:ascii="ITC Avant Garde" w:hAnsi="ITC Avant Garde" w:cs="Arial"/>
                <w:sz w:val="18"/>
                <w:szCs w:val="18"/>
              </w:rPr>
            </w:pPr>
            <w:r w:rsidRPr="00724A07">
              <w:rPr>
                <w:rFonts w:ascii="ITC Avant Garde" w:hAnsi="ITC Avant Garde" w:cs="Arial"/>
                <w:sz w:val="18"/>
                <w:szCs w:val="18"/>
              </w:rPr>
              <w:t xml:space="preserve">En la determinación de restricciones (presiones) competitivas indirectas, el Instituto podrá considerar, entre otros elementos, i) el cociente entre los precios de los mercados mayorista y minorista; </w:t>
            </w:r>
            <w:proofErr w:type="spellStart"/>
            <w:r w:rsidRPr="00724A07">
              <w:rPr>
                <w:rFonts w:ascii="ITC Avant Garde" w:hAnsi="ITC Avant Garde" w:cs="Arial"/>
                <w:sz w:val="18"/>
                <w:szCs w:val="18"/>
              </w:rPr>
              <w:t>ii</w:t>
            </w:r>
            <w:proofErr w:type="spellEnd"/>
            <w:r w:rsidRPr="00724A07">
              <w:rPr>
                <w:rFonts w:ascii="ITC Avant Garde" w:hAnsi="ITC Avant Garde" w:cs="Arial"/>
                <w:sz w:val="18"/>
                <w:szCs w:val="18"/>
              </w:rPr>
              <w:t xml:space="preserve">) el nivel de competencia en el mercado minorista; y </w:t>
            </w:r>
            <w:proofErr w:type="spellStart"/>
            <w:r w:rsidRPr="00724A07">
              <w:rPr>
                <w:rFonts w:ascii="ITC Avant Garde" w:hAnsi="ITC Avant Garde" w:cs="Arial"/>
                <w:sz w:val="18"/>
                <w:szCs w:val="18"/>
              </w:rPr>
              <w:t>iii</w:t>
            </w:r>
            <w:proofErr w:type="spellEnd"/>
            <w:r w:rsidRPr="00724A07">
              <w:rPr>
                <w:rFonts w:ascii="ITC Avant Garde" w:hAnsi="ITC Avant Garde" w:cs="Arial"/>
                <w:sz w:val="18"/>
                <w:szCs w:val="18"/>
              </w:rPr>
              <w:t>) la sensibilidad de los consumidores en el mercado minorista al precio u otras características de los productos.</w:t>
            </w:r>
          </w:p>
          <w:p w14:paraId="29C30414" w14:textId="77777777" w:rsidR="00E146AD" w:rsidRDefault="00E146AD" w:rsidP="00810537">
            <w:pPr>
              <w:pStyle w:val="Prrafodelista"/>
              <w:keepNext/>
              <w:spacing w:after="0" w:line="240" w:lineRule="auto"/>
              <w:ind w:left="310"/>
              <w:jc w:val="both"/>
              <w:rPr>
                <w:rFonts w:ascii="ITC Avant Garde" w:hAnsi="ITC Avant Garde" w:cs="Arial"/>
                <w:sz w:val="18"/>
                <w:szCs w:val="18"/>
                <w:u w:val="single"/>
              </w:rPr>
            </w:pPr>
          </w:p>
          <w:p w14:paraId="7DE9901A" w14:textId="7389DA5C" w:rsidR="00E146AD" w:rsidRPr="00E146AD" w:rsidRDefault="00E146AD" w:rsidP="00810537">
            <w:pPr>
              <w:pStyle w:val="Prrafodelista"/>
              <w:keepNext/>
              <w:spacing w:after="0" w:line="240" w:lineRule="auto"/>
              <w:ind w:left="26"/>
              <w:jc w:val="both"/>
              <w:rPr>
                <w:rFonts w:ascii="ITC Avant Garde" w:hAnsi="ITC Avant Garde" w:cs="Arial"/>
                <w:sz w:val="18"/>
                <w:szCs w:val="18"/>
              </w:rPr>
            </w:pPr>
            <w:bookmarkStart w:id="30" w:name="_Hlk84505257"/>
            <w:r w:rsidRPr="00E146AD">
              <w:rPr>
                <w:rFonts w:ascii="ITC Avant Garde" w:hAnsi="ITC Avant Garde" w:cs="Arial"/>
                <w:sz w:val="18"/>
                <w:szCs w:val="18"/>
                <w:u w:val="single"/>
              </w:rPr>
              <w:t xml:space="preserve">No obstante, lo anterior no implica, necesariamente, que </w:t>
            </w:r>
            <w:r w:rsidR="00AB2CBC">
              <w:rPr>
                <w:rFonts w:ascii="ITC Avant Garde" w:hAnsi="ITC Avant Garde" w:cs="Arial"/>
                <w:sz w:val="18"/>
                <w:szCs w:val="18"/>
                <w:u w:val="single"/>
                <w:lang w:val="es-MX"/>
              </w:rPr>
              <w:t xml:space="preserve">en todos los casos </w:t>
            </w:r>
            <w:r w:rsidR="00BE49EE">
              <w:rPr>
                <w:rFonts w:ascii="ITC Avant Garde" w:hAnsi="ITC Avant Garde" w:cs="Arial"/>
                <w:sz w:val="18"/>
                <w:szCs w:val="18"/>
                <w:u w:val="single"/>
                <w:lang w:val="es-MX"/>
              </w:rPr>
              <w:t xml:space="preserve">en los que se presenten integraciones verticales </w:t>
            </w:r>
            <w:r w:rsidRPr="00E146AD">
              <w:rPr>
                <w:rFonts w:ascii="ITC Avant Garde" w:hAnsi="ITC Avant Garde" w:cs="Arial"/>
                <w:sz w:val="18"/>
                <w:szCs w:val="18"/>
                <w:u w:val="single"/>
              </w:rPr>
              <w:t>se requiera definir varios MR a lo largo de la cadena de valor identificada.</w:t>
            </w:r>
            <w:bookmarkEnd w:id="30"/>
          </w:p>
        </w:tc>
      </w:tr>
    </w:tbl>
    <w:p w14:paraId="57E6BD39" w14:textId="77777777" w:rsidR="00A85E25" w:rsidRPr="00724A07" w:rsidRDefault="00A85E25" w:rsidP="00C7449E">
      <w:pPr>
        <w:spacing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753ED5" w:rsidRPr="00724A07" w14:paraId="0D11D535" w14:textId="77777777" w:rsidTr="009B5D24">
        <w:trPr>
          <w:trHeight w:val="276"/>
          <w:jc w:val="center"/>
        </w:trPr>
        <w:tc>
          <w:tcPr>
            <w:tcW w:w="9785" w:type="dxa"/>
            <w:shd w:val="clear" w:color="auto" w:fill="92D050"/>
            <w:vAlign w:val="center"/>
          </w:tcPr>
          <w:p w14:paraId="23EE6E7F" w14:textId="77777777" w:rsidR="00753ED5" w:rsidRPr="00724A07" w:rsidRDefault="00753ED5"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Telefónica</w:t>
            </w:r>
          </w:p>
        </w:tc>
      </w:tr>
      <w:tr w:rsidR="00753ED5" w:rsidRPr="00724A07" w14:paraId="5AA36435" w14:textId="77777777" w:rsidTr="009B5D24">
        <w:trPr>
          <w:trHeight w:val="443"/>
          <w:jc w:val="center"/>
        </w:trPr>
        <w:tc>
          <w:tcPr>
            <w:tcW w:w="9785" w:type="dxa"/>
            <w:shd w:val="clear" w:color="auto" w:fill="E2EFD9" w:themeFill="accent6" w:themeFillTint="33"/>
            <w:vAlign w:val="center"/>
          </w:tcPr>
          <w:p w14:paraId="07200CF1" w14:textId="77777777" w:rsidR="00D40DB8" w:rsidRPr="007C2396" w:rsidRDefault="00D40DB8" w:rsidP="00D40DB8">
            <w:pPr>
              <w:spacing w:after="120" w:line="259" w:lineRule="auto"/>
              <w:jc w:val="both"/>
              <w:rPr>
                <w:rFonts w:ascii="ITC Avant Garde" w:hAnsi="ITC Avant Garde"/>
                <w:i/>
                <w:sz w:val="18"/>
                <w:szCs w:val="18"/>
              </w:rPr>
            </w:pPr>
            <w:r w:rsidRPr="007C2396">
              <w:rPr>
                <w:rFonts w:ascii="ITC Avant Garde" w:hAnsi="ITC Avant Garde"/>
                <w:i/>
                <w:sz w:val="18"/>
                <w:szCs w:val="18"/>
              </w:rPr>
              <w:t>“</w:t>
            </w:r>
            <w:r w:rsidRPr="007C2396">
              <w:rPr>
                <w:rFonts w:ascii="ITC Avant Garde" w:hAnsi="ITC Avant Garde"/>
                <w:b/>
                <w:bCs/>
                <w:i/>
                <w:sz w:val="18"/>
                <w:szCs w:val="18"/>
              </w:rPr>
              <w:t>3.5. Sustitución Asimétrica</w:t>
            </w:r>
          </w:p>
          <w:p w14:paraId="739D1FFC" w14:textId="77777777" w:rsidR="00D40DB8" w:rsidRPr="007C2396" w:rsidRDefault="00D40DB8" w:rsidP="00D40DB8">
            <w:pPr>
              <w:spacing w:after="120" w:line="259" w:lineRule="auto"/>
              <w:jc w:val="both"/>
              <w:rPr>
                <w:rFonts w:ascii="ITC Avant Garde" w:hAnsi="ITC Avant Garde"/>
                <w:i/>
                <w:sz w:val="18"/>
                <w:szCs w:val="18"/>
              </w:rPr>
            </w:pPr>
            <w:r w:rsidRPr="009160EA">
              <w:rPr>
                <w:rFonts w:ascii="ITC Avant Garde" w:hAnsi="ITC Avant Garde"/>
                <w:iCs/>
                <w:sz w:val="18"/>
                <w:szCs w:val="18"/>
              </w:rPr>
              <w:t>(…)</w:t>
            </w:r>
            <w:r>
              <w:rPr>
                <w:rFonts w:ascii="ITC Avant Garde" w:hAnsi="ITC Avant Garde"/>
                <w:iCs/>
                <w:sz w:val="18"/>
                <w:szCs w:val="18"/>
              </w:rPr>
              <w:t xml:space="preserve"> </w:t>
            </w:r>
            <w:r w:rsidRPr="007C2396">
              <w:rPr>
                <w:rFonts w:ascii="ITC Avant Garde" w:hAnsi="ITC Avant Garde"/>
                <w:i/>
                <w:sz w:val="18"/>
                <w:szCs w:val="18"/>
              </w:rPr>
              <w:t>el enfoque propuesto por el Instituto para el tratamiento de la sustitución asimétrica en la definición de mercado relevante no es correcto</w:t>
            </w:r>
            <w:r>
              <w:rPr>
                <w:rFonts w:ascii="ITC Avant Garde" w:hAnsi="ITC Avant Garde"/>
                <w:i/>
                <w:sz w:val="18"/>
                <w:szCs w:val="18"/>
              </w:rPr>
              <w:t xml:space="preserve"> (…)</w:t>
            </w:r>
            <w:bookmarkStart w:id="31" w:name="_Hlk84407008"/>
            <w:r>
              <w:rPr>
                <w:rFonts w:ascii="ITC Avant Garde" w:hAnsi="ITC Avant Garde"/>
                <w:i/>
                <w:sz w:val="18"/>
                <w:szCs w:val="18"/>
              </w:rPr>
              <w:t xml:space="preserve"> </w:t>
            </w:r>
            <w:r w:rsidRPr="007C2396">
              <w:rPr>
                <w:rFonts w:ascii="ITC Avant Garde" w:hAnsi="ITC Avant Garde"/>
                <w:i/>
                <w:sz w:val="18"/>
                <w:szCs w:val="18"/>
              </w:rPr>
              <w:t>permite</w:t>
            </w:r>
            <w:r>
              <w:rPr>
                <w:rFonts w:ascii="ITC Avant Garde" w:hAnsi="ITC Avant Garde"/>
                <w:i/>
                <w:sz w:val="18"/>
                <w:szCs w:val="18"/>
              </w:rPr>
              <w:t xml:space="preserve"> (…)</w:t>
            </w:r>
            <w:r w:rsidRPr="007C2396">
              <w:rPr>
                <w:rFonts w:ascii="ITC Avant Garde" w:hAnsi="ITC Avant Garde"/>
                <w:i/>
                <w:sz w:val="18"/>
                <w:szCs w:val="18"/>
              </w:rPr>
              <w:t xml:space="preserve"> la posibilidad de incluir en el mercado relevante productos o servicios que no son sustitutos de otros, </w:t>
            </w:r>
            <w:bookmarkEnd w:id="31"/>
            <w:r w:rsidRPr="007C2396">
              <w:rPr>
                <w:rFonts w:ascii="ITC Avant Garde" w:hAnsi="ITC Avant Garde"/>
                <w:i/>
                <w:sz w:val="18"/>
                <w:szCs w:val="18"/>
              </w:rPr>
              <w:t xml:space="preserve">dependiendo del punto inicial de análisis seleccionado por la autoridad. </w:t>
            </w:r>
          </w:p>
          <w:p w14:paraId="6DE10DB7" w14:textId="77777777" w:rsidR="00D40DB8" w:rsidRPr="007C2396" w:rsidRDefault="00D40DB8" w:rsidP="00D40DB8">
            <w:pPr>
              <w:spacing w:after="120" w:line="259" w:lineRule="auto"/>
              <w:jc w:val="both"/>
              <w:rPr>
                <w:rFonts w:ascii="ITC Avant Garde" w:hAnsi="ITC Avant Garde"/>
                <w:i/>
                <w:sz w:val="18"/>
                <w:szCs w:val="18"/>
              </w:rPr>
            </w:pPr>
            <w:r w:rsidRPr="009160EA">
              <w:rPr>
                <w:rFonts w:ascii="ITC Avant Garde" w:hAnsi="ITC Avant Garde"/>
                <w:iCs/>
                <w:sz w:val="18"/>
                <w:szCs w:val="18"/>
              </w:rPr>
              <w:t>(…)</w:t>
            </w:r>
            <w:r>
              <w:rPr>
                <w:rFonts w:ascii="ITC Avant Garde" w:hAnsi="ITC Avant Garde"/>
                <w:iCs/>
                <w:sz w:val="18"/>
                <w:szCs w:val="18"/>
              </w:rPr>
              <w:t xml:space="preserve"> </w:t>
            </w:r>
            <w:r w:rsidRPr="007C2396">
              <w:rPr>
                <w:rFonts w:ascii="ITC Avant Garde" w:hAnsi="ITC Avant Garde"/>
                <w:i/>
                <w:sz w:val="18"/>
                <w:szCs w:val="18"/>
              </w:rPr>
              <w:t xml:space="preserve">Consideremos el mercado de compraventa de </w:t>
            </w:r>
            <w:r w:rsidRPr="007A0119">
              <w:rPr>
                <w:rFonts w:ascii="ITC Avant Garde" w:hAnsi="ITC Avant Garde"/>
                <w:iCs/>
                <w:sz w:val="18"/>
                <w:szCs w:val="18"/>
              </w:rPr>
              <w:t>[canales de televisión]</w:t>
            </w:r>
            <w:r w:rsidRPr="007C2396">
              <w:rPr>
                <w:rFonts w:ascii="ITC Avant Garde" w:hAnsi="ITC Avant Garde"/>
                <w:i/>
                <w:sz w:val="18"/>
                <w:szCs w:val="18"/>
              </w:rPr>
              <w:t xml:space="preserve"> SD (Standard </w:t>
            </w:r>
            <w:proofErr w:type="spellStart"/>
            <w:r w:rsidRPr="007C2396">
              <w:rPr>
                <w:rFonts w:ascii="ITC Avant Garde" w:hAnsi="ITC Avant Garde"/>
                <w:i/>
                <w:sz w:val="18"/>
                <w:szCs w:val="18"/>
              </w:rPr>
              <w:t>Definition</w:t>
            </w:r>
            <w:proofErr w:type="spellEnd"/>
            <w:r w:rsidRPr="007C2396">
              <w:rPr>
                <w:rFonts w:ascii="ITC Avant Garde" w:hAnsi="ITC Avant Garde"/>
                <w:i/>
                <w:sz w:val="18"/>
                <w:szCs w:val="18"/>
              </w:rPr>
              <w:t xml:space="preserve">) y HD (High </w:t>
            </w:r>
            <w:proofErr w:type="spellStart"/>
            <w:r w:rsidRPr="007C2396">
              <w:rPr>
                <w:rFonts w:ascii="ITC Avant Garde" w:hAnsi="ITC Avant Garde"/>
                <w:i/>
                <w:sz w:val="18"/>
                <w:szCs w:val="18"/>
              </w:rPr>
              <w:t>Definition</w:t>
            </w:r>
            <w:proofErr w:type="spellEnd"/>
            <w:r w:rsidRPr="007C2396">
              <w:rPr>
                <w:rFonts w:ascii="ITC Avant Garde" w:hAnsi="ITC Avant Garde"/>
                <w:i/>
                <w:sz w:val="18"/>
                <w:szCs w:val="18"/>
              </w:rPr>
              <w:t>)</w:t>
            </w:r>
            <w:r>
              <w:rPr>
                <w:rFonts w:ascii="ITC Avant Garde" w:hAnsi="ITC Avant Garde"/>
                <w:i/>
                <w:sz w:val="18"/>
                <w:szCs w:val="18"/>
              </w:rPr>
              <w:t xml:space="preserve"> (…)</w:t>
            </w:r>
            <w:r w:rsidRPr="007C2396">
              <w:rPr>
                <w:rFonts w:ascii="ITC Avant Garde" w:hAnsi="ITC Avant Garde"/>
                <w:i/>
                <w:sz w:val="18"/>
                <w:szCs w:val="18"/>
              </w:rPr>
              <w:t xml:space="preserve"> estos dos servicios están caracterizados por sustitución asimétrica</w:t>
            </w:r>
            <w:r>
              <w:rPr>
                <w:rFonts w:ascii="ITC Avant Garde" w:hAnsi="ITC Avant Garde"/>
                <w:i/>
                <w:sz w:val="18"/>
                <w:szCs w:val="18"/>
              </w:rPr>
              <w:t xml:space="preserve"> (…)</w:t>
            </w:r>
            <w:r w:rsidRPr="007C2396">
              <w:rPr>
                <w:rFonts w:ascii="ITC Avant Garde" w:hAnsi="ITC Avant Garde"/>
                <w:i/>
                <w:sz w:val="18"/>
                <w:szCs w:val="18"/>
              </w:rPr>
              <w:t xml:space="preserve"> el enfoque que sugiere adoptar el Instituto para el tratamiento de la sustitución asimétrica implicaría la definición de un mercado relevante demasiado amplio en caso de que el servicio focal sean los canales SD. Esto es así porque, en este caso, un canal HD sí sustituye a un canal SD, por lo que debe ser incluido como parte del mercado. En contraste, si el servicio focal son los canales HD, entonces la definición de mercado relevante no puede incluir a los canales SD porque estos no sustituyen a los canales HD. </w:t>
            </w:r>
          </w:p>
          <w:p w14:paraId="002D0848" w14:textId="6DD81964" w:rsidR="00753ED5" w:rsidRPr="00724A07" w:rsidRDefault="00D40DB8" w:rsidP="009B5D24">
            <w:pPr>
              <w:spacing w:after="120" w:line="259" w:lineRule="auto"/>
              <w:jc w:val="both"/>
              <w:rPr>
                <w:rFonts w:ascii="ITC Avant Garde" w:hAnsi="ITC Avant Garde"/>
                <w:i/>
                <w:sz w:val="18"/>
                <w:szCs w:val="18"/>
              </w:rPr>
            </w:pPr>
            <w:r>
              <w:rPr>
                <w:rFonts w:ascii="ITC Avant Garde" w:hAnsi="ITC Avant Garde"/>
                <w:i/>
                <w:sz w:val="18"/>
                <w:szCs w:val="18"/>
              </w:rPr>
              <w:t>(…)</w:t>
            </w:r>
            <w:r w:rsidRPr="007C2396">
              <w:rPr>
                <w:rFonts w:ascii="ITC Avant Garde" w:hAnsi="ITC Avant Garde"/>
                <w:i/>
                <w:sz w:val="18"/>
                <w:szCs w:val="18"/>
              </w:rPr>
              <w:t xml:space="preserve"> el hecho de que se puedan determinar dos mercados relevantes distintos dependiendo del punto inicial de análisis genera un rasgo de arbitrariedad en el proceso de definición. En segundo término, este enfoque mina la consistencia interna del concepto mismo de mercado relevante, al incluir productos que, en algunos casos, pueden ser sustitutos y, en otros casos, no</w:t>
            </w:r>
            <w:r>
              <w:rPr>
                <w:rFonts w:ascii="ITC Avant Garde" w:hAnsi="ITC Avant Garde"/>
                <w:i/>
                <w:sz w:val="18"/>
                <w:szCs w:val="18"/>
              </w:rPr>
              <w:t xml:space="preserve"> (…)</w:t>
            </w:r>
            <w:r w:rsidRPr="007C2396">
              <w:rPr>
                <w:rFonts w:ascii="ITC Avant Garde" w:hAnsi="ITC Avant Garde"/>
                <w:i/>
                <w:sz w:val="18"/>
                <w:szCs w:val="18"/>
              </w:rPr>
              <w:t xml:space="preserve"> en el caso específico del ejemplo discutido, el enfoque propuesto por el Instituto podría generar fricción respecto al enfoque analítico adoptado por otras autoridades sectoriales para el tratamiento de bienes diferenciados verticalmente</w:t>
            </w:r>
            <w:r>
              <w:rPr>
                <w:rFonts w:ascii="ITC Avant Garde" w:hAnsi="ITC Avant Garde"/>
                <w:i/>
                <w:sz w:val="18"/>
                <w:szCs w:val="18"/>
              </w:rPr>
              <w:t xml:space="preserve"> </w:t>
            </w:r>
            <w:r w:rsidRPr="00FA7A43">
              <w:rPr>
                <w:rFonts w:ascii="ITC Avant Garde" w:hAnsi="ITC Avant Garde"/>
                <w:iCs/>
                <w:sz w:val="18"/>
                <w:szCs w:val="18"/>
              </w:rPr>
              <w:t>(…)</w:t>
            </w:r>
            <w:r>
              <w:rPr>
                <w:rFonts w:ascii="ITC Avant Garde" w:hAnsi="ITC Avant Garde"/>
                <w:iCs/>
                <w:sz w:val="18"/>
                <w:szCs w:val="18"/>
              </w:rPr>
              <w:t xml:space="preserve"> </w:t>
            </w:r>
            <w:r w:rsidRPr="007C2396">
              <w:rPr>
                <w:rFonts w:ascii="ITC Avant Garde" w:hAnsi="ITC Avant Garde"/>
                <w:i/>
                <w:sz w:val="18"/>
                <w:szCs w:val="18"/>
              </w:rPr>
              <w:t xml:space="preserve">Este tipo de fricciones </w:t>
            </w:r>
            <w:r w:rsidRPr="007C2396">
              <w:rPr>
                <w:rFonts w:ascii="ITC Avant Garde" w:hAnsi="ITC Avant Garde"/>
                <w:i/>
                <w:sz w:val="18"/>
                <w:szCs w:val="18"/>
              </w:rPr>
              <w:lastRenderedPageBreak/>
              <w:t>e inconsistencias debiesen ser evitadas y, por lo tanto, se sugiere que el Anteproyecto de Guía adopte el segundo enfoque identificado por el Instituto.”</w:t>
            </w:r>
          </w:p>
        </w:tc>
      </w:tr>
    </w:tbl>
    <w:p w14:paraId="20A632EF" w14:textId="77777777" w:rsidR="00753ED5" w:rsidRPr="00724A07" w:rsidRDefault="00753ED5" w:rsidP="00753ED5">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22FCAE87" w14:textId="0D8162D7" w:rsidR="00753ED5" w:rsidRPr="00724A07" w:rsidRDefault="00F14320" w:rsidP="00C7449E">
      <w:pPr>
        <w:spacing w:after="120" w:line="240" w:lineRule="auto"/>
        <w:jc w:val="both"/>
        <w:rPr>
          <w:rFonts w:ascii="ITC Avant Garde" w:hAnsi="ITC Avant Garde"/>
        </w:rPr>
      </w:pPr>
      <w:r w:rsidRPr="00724A07">
        <w:rPr>
          <w:rFonts w:ascii="ITC Avant Garde" w:hAnsi="ITC Avant Garde"/>
        </w:rPr>
        <w:t xml:space="preserve">En relación con el comentario de Telefónica de que el enfoque propuesto en el Anteproyecto de Guía para determinar MR en presencia de sustitución asimétrica es incorrecto y, por lo tanto, debería adoptarse un enfoque diferente, se considera </w:t>
      </w:r>
      <w:r w:rsidR="00910F28">
        <w:rPr>
          <w:rFonts w:ascii="ITC Avant Garde" w:hAnsi="ITC Avant Garde"/>
        </w:rPr>
        <w:t>im</w:t>
      </w:r>
      <w:r w:rsidRPr="00724A07">
        <w:rPr>
          <w:rFonts w:ascii="ITC Avant Garde" w:hAnsi="ITC Avant Garde"/>
        </w:rPr>
        <w:t>procedente.</w:t>
      </w:r>
    </w:p>
    <w:p w14:paraId="66F391D1" w14:textId="08F947B8" w:rsidR="00736BF8" w:rsidRPr="00724A07" w:rsidRDefault="00736BF8" w:rsidP="00C7449E">
      <w:pPr>
        <w:spacing w:after="120" w:line="240" w:lineRule="auto"/>
        <w:jc w:val="both"/>
        <w:rPr>
          <w:rFonts w:ascii="ITC Avant Garde" w:hAnsi="ITC Avant Garde"/>
        </w:rPr>
      </w:pPr>
      <w:r w:rsidRPr="00724A07">
        <w:rPr>
          <w:rFonts w:ascii="ITC Avant Garde" w:hAnsi="ITC Avant Garde"/>
        </w:rPr>
        <w:t>Telefónica señala, entre otras cosas, que el enfoque propuesto en el Anteproyecto de Guía permite la posibilidad de incluir en el MR productos o servicios que no son sustitutos de otros. Para ilustrar esta situación, proporciona un ejemplo en el que se definiría un mercado “</w:t>
      </w:r>
      <w:r w:rsidRPr="00C7449E">
        <w:rPr>
          <w:rFonts w:ascii="ITC Avant Garde" w:hAnsi="ITC Avant Garde"/>
        </w:rPr>
        <w:t>demasiado amplio</w:t>
      </w:r>
      <w:r w:rsidRPr="00724A07">
        <w:rPr>
          <w:rFonts w:ascii="ITC Avant Garde" w:hAnsi="ITC Avant Garde"/>
        </w:rPr>
        <w:t xml:space="preserve">” (canales SD y HD) en un caso hipotético en el que el servicio focal sean canales SD y se identifique que los canales HD sustituyan a los canales SD. En contraste, si el servicio </w:t>
      </w:r>
      <w:r w:rsidR="00B07526">
        <w:rPr>
          <w:rFonts w:ascii="ITC Avant Garde" w:hAnsi="ITC Avant Garde"/>
        </w:rPr>
        <w:t>d</w:t>
      </w:r>
      <w:r w:rsidRPr="00724A07">
        <w:rPr>
          <w:rFonts w:ascii="ITC Avant Garde" w:hAnsi="ITC Avant Garde"/>
        </w:rPr>
        <w:t xml:space="preserve"> son los canales HD, la definición del MR no incluiría a los canales SD porque estos no sustituyen a los canales HD.</w:t>
      </w:r>
    </w:p>
    <w:p w14:paraId="5302CD7B" w14:textId="41DC6A25" w:rsidR="00736BF8" w:rsidRPr="00724A07" w:rsidRDefault="00736BF8" w:rsidP="00C7449E">
      <w:pPr>
        <w:spacing w:after="120" w:line="240" w:lineRule="auto"/>
        <w:jc w:val="both"/>
        <w:rPr>
          <w:rFonts w:ascii="ITC Avant Garde" w:hAnsi="ITC Avant Garde"/>
        </w:rPr>
      </w:pPr>
      <w:r w:rsidRPr="00724A07">
        <w:rPr>
          <w:rFonts w:ascii="ITC Avant Garde" w:hAnsi="ITC Avant Garde"/>
        </w:rPr>
        <w:t xml:space="preserve">Al respecto, se advierte que el enfoque y los resultados que describe Telefónica son consistentes con los criterios que se desarrollan a lo largo del Anteproyecto de Guía; en particular, la sección </w:t>
      </w:r>
      <w:r w:rsidR="00614909">
        <w:rPr>
          <w:rFonts w:ascii="ITC Avant Garde" w:hAnsi="ITC Avant Garde"/>
        </w:rPr>
        <w:t>“</w:t>
      </w:r>
      <w:r w:rsidRPr="00C7449E">
        <w:rPr>
          <w:rFonts w:ascii="ITC Avant Garde" w:hAnsi="ITC Avant Garde"/>
        </w:rPr>
        <w:t>5.3. Elementos para determinar la dimensión producto</w:t>
      </w:r>
      <w:r w:rsidR="00614909" w:rsidRPr="00C7449E">
        <w:rPr>
          <w:rFonts w:ascii="ITC Avant Garde" w:hAnsi="ITC Avant Garde"/>
        </w:rPr>
        <w:t>”</w:t>
      </w:r>
      <w:r w:rsidRPr="00724A07">
        <w:rPr>
          <w:rFonts w:ascii="ITC Avant Garde" w:hAnsi="ITC Avant Garde"/>
        </w:rPr>
        <w:t xml:space="preserve"> contiene los pasos a seguir para </w:t>
      </w:r>
      <w:r w:rsidR="001F7DD3" w:rsidRPr="00724A07">
        <w:rPr>
          <w:rFonts w:ascii="ITC Avant Garde" w:hAnsi="ITC Avant Garde"/>
        </w:rPr>
        <w:t xml:space="preserve">llegar a una determinación de la dimensión producto del MR, a saber: i) identificar el producto de interés (producto focal), </w:t>
      </w:r>
      <w:proofErr w:type="spellStart"/>
      <w:r w:rsidR="001F7DD3" w:rsidRPr="00724A07">
        <w:rPr>
          <w:rFonts w:ascii="ITC Avant Garde" w:hAnsi="ITC Avant Garde"/>
        </w:rPr>
        <w:t>ii</w:t>
      </w:r>
      <w:proofErr w:type="spellEnd"/>
      <w:r w:rsidR="001F7DD3" w:rsidRPr="00724A07">
        <w:rPr>
          <w:rFonts w:ascii="ITC Avant Garde" w:hAnsi="ITC Avant Garde"/>
        </w:rPr>
        <w:t xml:space="preserve">) identificar, de manera preliminar, los productos candidatos a sustitutos o que podrían ejercer presión competitiva sobre el producto focal y </w:t>
      </w:r>
      <w:proofErr w:type="spellStart"/>
      <w:r w:rsidR="001F7DD3" w:rsidRPr="00724A07">
        <w:rPr>
          <w:rFonts w:ascii="ITC Avant Garde" w:hAnsi="ITC Avant Garde"/>
        </w:rPr>
        <w:t>iii</w:t>
      </w:r>
      <w:proofErr w:type="spellEnd"/>
      <w:r w:rsidR="001F7DD3" w:rsidRPr="00724A07">
        <w:rPr>
          <w:rFonts w:ascii="ITC Avant Garde" w:hAnsi="ITC Avant Garde"/>
        </w:rPr>
        <w:t>) realizar el análisis de sustitución por el lado de la demanda y por el lado de la oferta sobre los productos candidatos identificados.</w:t>
      </w:r>
    </w:p>
    <w:p w14:paraId="6B2506C7" w14:textId="2B8AE796" w:rsidR="001F7DD3" w:rsidRPr="00724A07" w:rsidRDefault="001F7DD3" w:rsidP="00C7449E">
      <w:pPr>
        <w:spacing w:after="120" w:line="240" w:lineRule="auto"/>
        <w:jc w:val="both"/>
        <w:rPr>
          <w:rFonts w:ascii="ITC Avant Garde" w:hAnsi="ITC Avant Garde"/>
        </w:rPr>
      </w:pPr>
      <w:r w:rsidRPr="00724A07">
        <w:rPr>
          <w:rFonts w:ascii="ITC Avant Garde" w:hAnsi="ITC Avant Garde"/>
        </w:rPr>
        <w:t>Por lo tanto, los pasos señalados anteriormente permiten evaluar la capacidad que tienen los demandantes de migrar hacia productos alternativos al producto analizado en respuesta a pequeñas variaciones no transitorias en los precios relativos u otras variables relevantes. En el ejemplo que proporciona Telefónica, si se identifica que los canales HD ejercen suficiente presión competitiva sobre los canales SD</w:t>
      </w:r>
      <w:r w:rsidR="006A66BD" w:rsidRPr="00724A07">
        <w:rPr>
          <w:rFonts w:ascii="ITC Avant Garde" w:hAnsi="ITC Avant Garde"/>
        </w:rPr>
        <w:t>,</w:t>
      </w:r>
      <w:r w:rsidRPr="00724A07">
        <w:rPr>
          <w:rFonts w:ascii="ITC Avant Garde" w:hAnsi="ITC Avant Garde"/>
        </w:rPr>
        <w:t xml:space="preserve"> pero se excluyen de la definición del MR</w:t>
      </w:r>
      <w:r w:rsidR="006A66BD" w:rsidRPr="00724A07">
        <w:rPr>
          <w:rFonts w:ascii="ITC Avant Garde" w:hAnsi="ITC Avant Garde"/>
        </w:rPr>
        <w:t>, la definición del MR sería incorrecta</w:t>
      </w:r>
      <w:r w:rsidR="008100E3" w:rsidRPr="00724A07">
        <w:rPr>
          <w:rFonts w:ascii="ITC Avant Garde" w:hAnsi="ITC Avant Garde"/>
        </w:rPr>
        <w:t xml:space="preserve"> </w:t>
      </w:r>
      <w:r w:rsidR="006A66BD" w:rsidRPr="00724A07">
        <w:rPr>
          <w:rFonts w:ascii="ITC Avant Garde" w:hAnsi="ITC Avant Garde"/>
        </w:rPr>
        <w:t>pues no reflejaría las posibilidades reales de sustitución que se observan en el mercado.</w:t>
      </w:r>
    </w:p>
    <w:p w14:paraId="2F0AB0AD" w14:textId="6A4C7C94" w:rsidR="006A66BD" w:rsidRPr="00724A07" w:rsidRDefault="006A66BD" w:rsidP="009B5D24">
      <w:pPr>
        <w:spacing w:after="240" w:line="240" w:lineRule="auto"/>
        <w:jc w:val="both"/>
        <w:rPr>
          <w:rFonts w:ascii="ITC Avant Garde" w:hAnsi="ITC Avant Garde"/>
        </w:rPr>
      </w:pPr>
      <w:r w:rsidRPr="00724A07">
        <w:rPr>
          <w:rFonts w:ascii="ITC Avant Garde" w:hAnsi="ITC Avant Garde"/>
        </w:rPr>
        <w:t xml:space="preserve">Finalmente, respecto a que el enfoque propuesto en el Anteproyecto de Guía podría dar lugar a fricciones e inconsistencias con definiciones de mercado específicas adoptadas por las autoridades de competencia en otras jurisdicciones, se advierte que, en la descripción de la experiencia internacional (sección 9.2.2.) se reconoce que, a nivel internacional existe más de un enfoque para abordar la determinación del MR en presencia de sustitución asimétrica. Por lo tanto, </w:t>
      </w:r>
      <w:r w:rsidR="008100E3" w:rsidRPr="00724A07">
        <w:rPr>
          <w:rFonts w:ascii="ITC Avant Garde" w:hAnsi="ITC Avant Garde"/>
        </w:rPr>
        <w:t xml:space="preserve">independientemente de cuál sea </w:t>
      </w:r>
      <w:r w:rsidRPr="00724A07">
        <w:rPr>
          <w:rFonts w:ascii="ITC Avant Garde" w:hAnsi="ITC Avant Garde"/>
        </w:rPr>
        <w:t xml:space="preserve">el enfoque que utilice el </w:t>
      </w:r>
      <w:r w:rsidR="008100E3" w:rsidRPr="00724A07">
        <w:rPr>
          <w:rFonts w:ascii="ITC Avant Garde" w:hAnsi="ITC Avant Garde"/>
        </w:rPr>
        <w:t>Instituto,</w:t>
      </w:r>
      <w:r w:rsidRPr="00724A07">
        <w:rPr>
          <w:rFonts w:ascii="ITC Avant Garde" w:hAnsi="ITC Avant Garde"/>
        </w:rPr>
        <w:t xml:space="preserve"> necesariamente será distinto al enfoque adoptado en algunas jurisdicciones; no obstante, el enfoque que se propone en el Anteproyecto de Guía es consistente con el conjunto de criterios propuestos, así como con </w:t>
      </w:r>
      <w:r w:rsidR="0059682E" w:rsidRPr="00724A07">
        <w:rPr>
          <w:rFonts w:ascii="ITC Avant Garde" w:hAnsi="ITC Avant Garde"/>
        </w:rPr>
        <w:t xml:space="preserve">la teoría económica, la práctica internacional </w:t>
      </w:r>
      <w:r w:rsidR="00647EE4" w:rsidRPr="00724A07">
        <w:rPr>
          <w:rFonts w:ascii="ITC Avant Garde" w:hAnsi="ITC Avant Garde"/>
        </w:rPr>
        <w:t xml:space="preserve">en varias jurisdicciones </w:t>
      </w:r>
      <w:r w:rsidR="0059682E" w:rsidRPr="00724A07">
        <w:rPr>
          <w:rFonts w:ascii="ITC Avant Garde" w:hAnsi="ITC Avant Garde"/>
        </w:rPr>
        <w:t>y los precedentes decisorios del Pleno y del PJF.</w:t>
      </w:r>
    </w:p>
    <w:tbl>
      <w:tblPr>
        <w:tblStyle w:val="Tablaconcuadrcula"/>
        <w:tblW w:w="0" w:type="auto"/>
        <w:jc w:val="center"/>
        <w:shd w:val="clear" w:color="auto" w:fill="C5E0B3" w:themeFill="accent6" w:themeFillTint="66"/>
        <w:tblLook w:val="0600" w:firstRow="0" w:lastRow="0" w:firstColumn="0" w:lastColumn="0" w:noHBand="1" w:noVBand="1"/>
      </w:tblPr>
      <w:tblGrid>
        <w:gridCol w:w="9498"/>
      </w:tblGrid>
      <w:tr w:rsidR="00753ED5" w:rsidRPr="00724A07" w14:paraId="3F5DDE3B" w14:textId="77777777" w:rsidTr="00753ED5">
        <w:trPr>
          <w:trHeight w:val="276"/>
          <w:jc w:val="center"/>
        </w:trPr>
        <w:tc>
          <w:tcPr>
            <w:tcW w:w="9498" w:type="dxa"/>
            <w:shd w:val="clear" w:color="auto" w:fill="92D050"/>
            <w:vAlign w:val="center"/>
          </w:tcPr>
          <w:p w14:paraId="2FD2A703" w14:textId="77777777" w:rsidR="00753ED5" w:rsidRPr="00724A07" w:rsidRDefault="00753ED5"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Telefónica</w:t>
            </w:r>
          </w:p>
        </w:tc>
      </w:tr>
      <w:tr w:rsidR="00753ED5" w:rsidRPr="00724A07" w14:paraId="56E10C3E" w14:textId="77777777" w:rsidTr="00753ED5">
        <w:trPr>
          <w:trHeight w:val="443"/>
          <w:jc w:val="center"/>
        </w:trPr>
        <w:tc>
          <w:tcPr>
            <w:tcW w:w="9498" w:type="dxa"/>
            <w:shd w:val="clear" w:color="auto" w:fill="E2EFD9" w:themeFill="accent6" w:themeFillTint="33"/>
            <w:vAlign w:val="center"/>
          </w:tcPr>
          <w:p w14:paraId="0A85CB46" w14:textId="77777777" w:rsidR="00D40DB8" w:rsidRPr="007C2396" w:rsidRDefault="00D40DB8" w:rsidP="00D40DB8">
            <w:pPr>
              <w:spacing w:after="120" w:line="259" w:lineRule="auto"/>
              <w:jc w:val="both"/>
              <w:rPr>
                <w:rFonts w:ascii="ITC Avant Garde" w:hAnsi="ITC Avant Garde"/>
                <w:i/>
                <w:sz w:val="18"/>
                <w:szCs w:val="18"/>
              </w:rPr>
            </w:pPr>
            <w:r w:rsidRPr="007C2396">
              <w:rPr>
                <w:rFonts w:ascii="ITC Avant Garde" w:hAnsi="ITC Avant Garde"/>
                <w:i/>
                <w:sz w:val="18"/>
                <w:szCs w:val="18"/>
              </w:rPr>
              <w:t>“</w:t>
            </w:r>
            <w:r w:rsidRPr="007C2396">
              <w:rPr>
                <w:rFonts w:ascii="ITC Avant Garde" w:hAnsi="ITC Avant Garde"/>
                <w:b/>
                <w:bCs/>
                <w:i/>
                <w:sz w:val="18"/>
                <w:szCs w:val="18"/>
              </w:rPr>
              <w:t>3.6. Empaquetamientos</w:t>
            </w:r>
          </w:p>
          <w:p w14:paraId="0F23437F" w14:textId="5FEBB004" w:rsidR="00753ED5" w:rsidRPr="00724A07" w:rsidRDefault="00D40DB8" w:rsidP="009B5D24">
            <w:pPr>
              <w:spacing w:after="120" w:line="259" w:lineRule="auto"/>
              <w:jc w:val="both"/>
              <w:rPr>
                <w:rFonts w:ascii="ITC Avant Garde" w:hAnsi="ITC Avant Garde"/>
                <w:i/>
                <w:sz w:val="18"/>
                <w:szCs w:val="18"/>
              </w:rPr>
            </w:pPr>
            <w:r w:rsidRPr="007C2396">
              <w:rPr>
                <w:rFonts w:ascii="ITC Avant Garde" w:hAnsi="ITC Avant Garde"/>
                <w:i/>
                <w:sz w:val="18"/>
                <w:szCs w:val="18"/>
              </w:rPr>
              <w:t xml:space="preserve">35. En su identificación de los elementos que el Instituto evaluará para determinar mercados relevantes en la presencia de empaquetamientos, la autoridad de competencia </w:t>
            </w:r>
            <w:r w:rsidRPr="00E775FB">
              <w:rPr>
                <w:rFonts w:ascii="ITC Avant Garde" w:hAnsi="ITC Avant Garde"/>
                <w:i/>
                <w:sz w:val="18"/>
                <w:szCs w:val="18"/>
              </w:rPr>
              <w:t xml:space="preserve">omite identificar uno de los elementos claves que racionalizan esta estrategia de las empresas en la industria: el otorgamiento de descuentos en paquetes de servicios. Si bien la autoridad menciona que, como parte de </w:t>
            </w:r>
            <w:r w:rsidR="00810537" w:rsidRPr="00E775FB">
              <w:rPr>
                <w:rFonts w:ascii="ITC Avant Garde" w:hAnsi="ITC Avant Garde"/>
                <w:i/>
                <w:sz w:val="18"/>
                <w:szCs w:val="18"/>
              </w:rPr>
              <w:t>los elementos</w:t>
            </w:r>
            <w:r w:rsidRPr="00E775FB">
              <w:rPr>
                <w:rFonts w:ascii="ITC Avant Garde" w:hAnsi="ITC Avant Garde"/>
                <w:i/>
                <w:sz w:val="18"/>
                <w:szCs w:val="18"/>
              </w:rPr>
              <w:t xml:space="preserve"> a considerar, se </w:t>
            </w:r>
            <w:r w:rsidRPr="00E775FB">
              <w:rPr>
                <w:rFonts w:ascii="ITC Avant Garde" w:hAnsi="ITC Avant Garde"/>
                <w:i/>
                <w:sz w:val="18"/>
                <w:szCs w:val="18"/>
              </w:rPr>
              <w:lastRenderedPageBreak/>
              <w:t xml:space="preserve">encuentran los “precios relativos” de los paquetes y </w:t>
            </w:r>
            <w:r w:rsidR="00DC367E" w:rsidRPr="00E775FB">
              <w:rPr>
                <w:rFonts w:ascii="ITC Avant Garde" w:hAnsi="ITC Avant Garde"/>
                <w:i/>
                <w:sz w:val="18"/>
                <w:szCs w:val="18"/>
              </w:rPr>
              <w:t>de los</w:t>
            </w:r>
            <w:r w:rsidRPr="00E775FB">
              <w:rPr>
                <w:rFonts w:ascii="ITC Avant Garde" w:hAnsi="ITC Avant Garde"/>
                <w:i/>
                <w:sz w:val="18"/>
                <w:szCs w:val="18"/>
              </w:rPr>
              <w:t xml:space="preserve"> servicios individuales, lo</w:t>
            </w:r>
            <w:r w:rsidRPr="007C2396">
              <w:rPr>
                <w:rFonts w:ascii="ITC Avant Garde" w:hAnsi="ITC Avant Garde"/>
                <w:i/>
                <w:sz w:val="18"/>
                <w:szCs w:val="18"/>
              </w:rPr>
              <w:t xml:space="preserve"> que implícitamente podría comprender el análisis de los descuentos otorgados en el proceso de empaquetamiento, creemos necesario que la autoridad haga explícito que el otorgamiento de descuentos sobre empaquetamientos o sobre sus componentes, representa un elemento adicional a evaluar </w:t>
            </w:r>
            <w:r>
              <w:rPr>
                <w:rFonts w:ascii="ITC Avant Garde" w:hAnsi="ITC Avant Garde"/>
                <w:i/>
                <w:sz w:val="18"/>
                <w:szCs w:val="18"/>
              </w:rPr>
              <w:t>(…)”</w:t>
            </w:r>
          </w:p>
        </w:tc>
      </w:tr>
    </w:tbl>
    <w:p w14:paraId="7A2D9F6E" w14:textId="77777777" w:rsidR="00753ED5" w:rsidRPr="00724A07" w:rsidRDefault="00753ED5" w:rsidP="00753ED5">
      <w:pPr>
        <w:spacing w:before="120" w:after="120" w:line="240" w:lineRule="auto"/>
        <w:jc w:val="both"/>
        <w:outlineLvl w:val="3"/>
        <w:rPr>
          <w:rFonts w:ascii="ITC Avant Garde" w:hAnsi="ITC Avant Garde"/>
          <w:b/>
          <w:bCs/>
        </w:rPr>
      </w:pPr>
      <w:r w:rsidRPr="00724A07">
        <w:rPr>
          <w:rFonts w:ascii="ITC Avant Garde" w:hAnsi="ITC Avant Garde"/>
          <w:b/>
          <w:bCs/>
        </w:rPr>
        <w:lastRenderedPageBreak/>
        <w:t>Consideraciones</w:t>
      </w:r>
    </w:p>
    <w:p w14:paraId="69EA072F" w14:textId="57D40496" w:rsidR="001D2298" w:rsidRPr="00724A07" w:rsidRDefault="001D2298" w:rsidP="00C7449E">
      <w:pPr>
        <w:spacing w:after="120" w:line="240" w:lineRule="auto"/>
        <w:jc w:val="both"/>
        <w:rPr>
          <w:rFonts w:ascii="ITC Avant Garde" w:hAnsi="ITC Avant Garde"/>
        </w:rPr>
      </w:pPr>
      <w:r w:rsidRPr="00724A07">
        <w:rPr>
          <w:rFonts w:ascii="ITC Avant Garde" w:hAnsi="ITC Avant Garde"/>
        </w:rPr>
        <w:t xml:space="preserve">En relación con el comentario de Telefónica sobre la necesidad de incluir el otorgamiento de descuentos sobre paquetes de servicios como un elemento adicional para definir el MR, se advierte que, tal como señala Telefónica, el Anteproyecto de Guía ya contempla los precios relativos de los paquetes y de los servicios individuales como criterio para definir el MR en presencia de empaquetamientos. Al respecto, el análisis de precios relativos </w:t>
      </w:r>
      <w:r w:rsidR="00C9787A" w:rsidRPr="00724A07">
        <w:rPr>
          <w:rFonts w:ascii="ITC Avant Garde" w:hAnsi="ITC Avant Garde"/>
        </w:rPr>
        <w:t>permite</w:t>
      </w:r>
      <w:r w:rsidRPr="00724A07">
        <w:rPr>
          <w:rFonts w:ascii="ITC Avant Garde" w:hAnsi="ITC Avant Garde"/>
        </w:rPr>
        <w:t xml:space="preserve"> incorporar </w:t>
      </w:r>
      <w:r w:rsidR="00C9787A" w:rsidRPr="00724A07">
        <w:rPr>
          <w:rFonts w:ascii="ITC Avant Garde" w:hAnsi="ITC Avant Garde"/>
        </w:rPr>
        <w:t>la existencia</w:t>
      </w:r>
      <w:r w:rsidRPr="00724A07">
        <w:rPr>
          <w:rFonts w:ascii="ITC Avant Garde" w:hAnsi="ITC Avant Garde"/>
        </w:rPr>
        <w:t xml:space="preserve"> de descuentos sobre los paquetes de servicios; no obstante, se considera procedente incluir la precisión señalada, ya que puede contribuir a dar claridad y certeza jurídica a los agentes económicos sobre los criterios que podrá considerar el Instituto. </w:t>
      </w:r>
    </w:p>
    <w:p w14:paraId="5222947A" w14:textId="1C576F6F" w:rsidR="001D2298" w:rsidRPr="00724A07" w:rsidRDefault="001D2298" w:rsidP="001D2298">
      <w:pPr>
        <w:spacing w:after="120" w:line="240" w:lineRule="auto"/>
        <w:jc w:val="both"/>
        <w:rPr>
          <w:rFonts w:ascii="ITC Avant Garde" w:hAnsi="ITC Avant Garde"/>
        </w:rPr>
      </w:pPr>
      <w:r w:rsidRPr="00724A07">
        <w:rPr>
          <w:rFonts w:ascii="ITC Avant Garde" w:hAnsi="ITC Avant Garde"/>
        </w:rPr>
        <w:t>Por lo anterior, se modifica la sección “9.</w:t>
      </w:r>
      <w:r w:rsidR="00C9787A" w:rsidRPr="00C7449E">
        <w:rPr>
          <w:rFonts w:ascii="ITC Avant Garde" w:hAnsi="ITC Avant Garde"/>
        </w:rPr>
        <w:t>4</w:t>
      </w:r>
      <w:r w:rsidRPr="00C7449E">
        <w:rPr>
          <w:rFonts w:ascii="ITC Avant Garde" w:hAnsi="ITC Avant Garde"/>
        </w:rPr>
        <w:t>.3.</w:t>
      </w:r>
      <w:r w:rsidR="00614909" w:rsidRPr="00C7449E">
        <w:rPr>
          <w:rFonts w:ascii="ITC Avant Garde" w:hAnsi="ITC Avant Garde"/>
        </w:rPr>
        <w:t xml:space="preserve"> </w:t>
      </w:r>
      <w:r w:rsidRPr="00C7449E">
        <w:rPr>
          <w:rFonts w:ascii="ITC Avant Garde" w:hAnsi="ITC Avant Garde"/>
        </w:rPr>
        <w:t xml:space="preserve">Elementos para determinar MR en presencia de </w:t>
      </w:r>
      <w:r w:rsidR="00C9787A" w:rsidRPr="00C7449E">
        <w:rPr>
          <w:rFonts w:ascii="ITC Avant Garde" w:hAnsi="ITC Avant Garde"/>
        </w:rPr>
        <w:t>paquetes de servicios</w:t>
      </w:r>
      <w:r w:rsidRPr="00724A07">
        <w:rPr>
          <w:rFonts w:ascii="ITC Avant Garde" w:hAnsi="ITC Avant Garde"/>
        </w:rPr>
        <w:t>”, para quedar de la siguiente manera:</w:t>
      </w:r>
    </w:p>
    <w:tbl>
      <w:tblPr>
        <w:tblStyle w:val="Tablaconcuadrcula"/>
        <w:tblW w:w="0" w:type="auto"/>
        <w:jc w:val="center"/>
        <w:tblLook w:val="04A0" w:firstRow="1" w:lastRow="0" w:firstColumn="1" w:lastColumn="0" w:noHBand="0" w:noVBand="1"/>
      </w:tblPr>
      <w:tblGrid>
        <w:gridCol w:w="4830"/>
        <w:gridCol w:w="4830"/>
      </w:tblGrid>
      <w:tr w:rsidR="001D2298" w:rsidRPr="00724A07" w14:paraId="579F1E1F" w14:textId="77777777" w:rsidTr="009B5D24">
        <w:trPr>
          <w:jc w:val="center"/>
        </w:trPr>
        <w:tc>
          <w:tcPr>
            <w:tcW w:w="4830" w:type="dxa"/>
            <w:shd w:val="clear" w:color="auto" w:fill="92D050"/>
            <w:vAlign w:val="center"/>
          </w:tcPr>
          <w:p w14:paraId="13A6F692" w14:textId="77777777" w:rsidR="001D2298" w:rsidRPr="00724A07" w:rsidRDefault="001D2298"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Anteproyecto de Guía</w:t>
            </w:r>
          </w:p>
        </w:tc>
        <w:tc>
          <w:tcPr>
            <w:tcW w:w="4830" w:type="dxa"/>
            <w:shd w:val="clear" w:color="auto" w:fill="92D050"/>
            <w:vAlign w:val="center"/>
          </w:tcPr>
          <w:p w14:paraId="074E083F" w14:textId="77777777" w:rsidR="001D2298" w:rsidRPr="00724A07" w:rsidRDefault="001D2298" w:rsidP="00302B76">
            <w:pPr>
              <w:spacing w:after="0" w:line="240" w:lineRule="auto"/>
              <w:jc w:val="center"/>
              <w:rPr>
                <w:rFonts w:ascii="ITC Avant Garde" w:hAnsi="ITC Avant Garde"/>
                <w:b/>
                <w:sz w:val="18"/>
                <w:szCs w:val="18"/>
              </w:rPr>
            </w:pPr>
            <w:r w:rsidRPr="00724A07">
              <w:rPr>
                <w:rFonts w:ascii="ITC Avant Garde" w:hAnsi="ITC Avant Garde"/>
                <w:b/>
                <w:sz w:val="18"/>
                <w:szCs w:val="18"/>
              </w:rPr>
              <w:t>Modificación al Anteproyecto de Guía</w:t>
            </w:r>
          </w:p>
        </w:tc>
      </w:tr>
      <w:tr w:rsidR="001D2298" w:rsidRPr="00724A07" w14:paraId="4E141347" w14:textId="77777777" w:rsidTr="009B5D24">
        <w:trPr>
          <w:trHeight w:val="3255"/>
          <w:jc w:val="center"/>
        </w:trPr>
        <w:tc>
          <w:tcPr>
            <w:tcW w:w="4830" w:type="dxa"/>
            <w:shd w:val="clear" w:color="auto" w:fill="auto"/>
          </w:tcPr>
          <w:p w14:paraId="2F68F2FB" w14:textId="302B8989" w:rsidR="001D2298" w:rsidRPr="00724A07" w:rsidRDefault="00C9787A" w:rsidP="00302B76">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9.4.3.</w:t>
            </w:r>
            <w:r w:rsidRPr="00724A07">
              <w:rPr>
                <w:rFonts w:ascii="ITC Avant Garde" w:hAnsi="ITC Avant Garde" w:cs="Arial"/>
                <w:b/>
                <w:bCs/>
                <w:sz w:val="18"/>
                <w:szCs w:val="18"/>
              </w:rPr>
              <w:tab/>
              <w:t>Elementos para determinar MR en presencia de paquetes de servicios</w:t>
            </w:r>
          </w:p>
          <w:p w14:paraId="6520350D" w14:textId="77777777" w:rsidR="00C9787A" w:rsidRPr="00724A07" w:rsidRDefault="00C9787A" w:rsidP="005B6703">
            <w:pPr>
              <w:jc w:val="both"/>
              <w:rPr>
                <w:rFonts w:ascii="ITC Avant Garde" w:hAnsi="ITC Avant Garde" w:cs="Arial"/>
                <w:sz w:val="18"/>
                <w:szCs w:val="18"/>
              </w:rPr>
            </w:pPr>
            <w:r w:rsidRPr="00724A07">
              <w:rPr>
                <w:rFonts w:ascii="ITC Avant Garde" w:hAnsi="ITC Avant Garde" w:cs="Arial"/>
                <w:sz w:val="18"/>
                <w:szCs w:val="18"/>
              </w:rPr>
              <w:t>Para determinar el MR en presencia de paquetes de servicios, el Instituto podrá considerar las herramientas y elementos de evidencia que se presentan a continuación, sin orden de importancia o prelación en su aplicación:</w:t>
            </w:r>
          </w:p>
          <w:p w14:paraId="18BC14D8" w14:textId="6E1BD15E" w:rsidR="001D2298" w:rsidRPr="00724A07" w:rsidRDefault="007F4B38" w:rsidP="00302B76">
            <w:pPr>
              <w:spacing w:after="0" w:line="240" w:lineRule="auto"/>
              <w:jc w:val="both"/>
              <w:rPr>
                <w:rFonts w:ascii="ITC Avant Garde" w:hAnsi="ITC Avant Garde" w:cs="Arial"/>
                <w:sz w:val="18"/>
                <w:szCs w:val="18"/>
              </w:rPr>
            </w:pPr>
            <w:r>
              <w:rPr>
                <w:rFonts w:ascii="ITC Avant Garde" w:hAnsi="ITC Avant Garde" w:cs="Arial"/>
                <w:sz w:val="18"/>
                <w:szCs w:val="18"/>
              </w:rPr>
              <w:t>[</w:t>
            </w:r>
            <w:r w:rsidR="00C9787A" w:rsidRPr="00724A07">
              <w:rPr>
                <w:rFonts w:ascii="ITC Avant Garde" w:hAnsi="ITC Avant Garde" w:cs="Arial"/>
                <w:sz w:val="18"/>
                <w:szCs w:val="18"/>
              </w:rPr>
              <w:t>…</w:t>
            </w:r>
            <w:r>
              <w:rPr>
                <w:rFonts w:ascii="ITC Avant Garde" w:hAnsi="ITC Avant Garde" w:cs="Arial"/>
                <w:sz w:val="18"/>
                <w:szCs w:val="18"/>
              </w:rPr>
              <w:t>]</w:t>
            </w:r>
          </w:p>
          <w:p w14:paraId="5F0CE4FF" w14:textId="77777777" w:rsidR="00C9787A" w:rsidRPr="00724A07" w:rsidRDefault="00C9787A" w:rsidP="00302B76">
            <w:pPr>
              <w:spacing w:after="0" w:line="240" w:lineRule="auto"/>
              <w:jc w:val="both"/>
              <w:rPr>
                <w:rFonts w:ascii="ITC Avant Garde" w:hAnsi="ITC Avant Garde" w:cs="Arial"/>
                <w:sz w:val="18"/>
                <w:szCs w:val="18"/>
              </w:rPr>
            </w:pPr>
          </w:p>
          <w:p w14:paraId="2FCFFAD0" w14:textId="2508E689" w:rsidR="00C9787A" w:rsidRPr="00724A07" w:rsidRDefault="00C9787A" w:rsidP="00302B76">
            <w:pPr>
              <w:spacing w:after="0" w:line="240" w:lineRule="auto"/>
              <w:jc w:val="both"/>
              <w:rPr>
                <w:rFonts w:ascii="ITC Avant Garde" w:hAnsi="ITC Avant Garde" w:cs="Arial"/>
                <w:sz w:val="18"/>
                <w:szCs w:val="18"/>
                <w:lang w:val="x-none"/>
              </w:rPr>
            </w:pPr>
            <w:r w:rsidRPr="00724A07">
              <w:rPr>
                <w:rFonts w:ascii="ITC Avant Garde" w:hAnsi="ITC Avant Garde" w:cs="Arial"/>
                <w:sz w:val="18"/>
                <w:szCs w:val="18"/>
                <w:lang w:val="x-none"/>
              </w:rPr>
              <w:t>•</w:t>
            </w:r>
            <w:r w:rsidRPr="00724A07">
              <w:rPr>
                <w:rFonts w:ascii="ITC Avant Garde" w:hAnsi="ITC Avant Garde" w:cs="Arial"/>
                <w:sz w:val="18"/>
                <w:szCs w:val="18"/>
                <w:lang w:val="x-none"/>
              </w:rPr>
              <w:tab/>
              <w:t>Los precios relativos de los paquetes y de los servicios individuales, así como las diferencias en calidad.</w:t>
            </w:r>
          </w:p>
        </w:tc>
        <w:tc>
          <w:tcPr>
            <w:tcW w:w="4830" w:type="dxa"/>
            <w:shd w:val="clear" w:color="auto" w:fill="auto"/>
          </w:tcPr>
          <w:p w14:paraId="05DD1DCA" w14:textId="77777777" w:rsidR="00C9787A" w:rsidRPr="00724A07" w:rsidRDefault="00C9787A" w:rsidP="00C9787A">
            <w:pPr>
              <w:spacing w:after="0" w:line="240" w:lineRule="auto"/>
              <w:jc w:val="both"/>
              <w:rPr>
                <w:rFonts w:ascii="ITC Avant Garde" w:hAnsi="ITC Avant Garde" w:cs="Arial"/>
                <w:b/>
                <w:bCs/>
                <w:sz w:val="18"/>
                <w:szCs w:val="18"/>
              </w:rPr>
            </w:pPr>
            <w:r w:rsidRPr="00724A07">
              <w:rPr>
                <w:rFonts w:ascii="ITC Avant Garde" w:hAnsi="ITC Avant Garde" w:cs="Arial"/>
                <w:b/>
                <w:bCs/>
                <w:sz w:val="18"/>
                <w:szCs w:val="18"/>
              </w:rPr>
              <w:t>9.4.3.</w:t>
            </w:r>
            <w:r w:rsidRPr="00724A07">
              <w:rPr>
                <w:rFonts w:ascii="ITC Avant Garde" w:hAnsi="ITC Avant Garde" w:cs="Arial"/>
                <w:b/>
                <w:bCs/>
                <w:sz w:val="18"/>
                <w:szCs w:val="18"/>
              </w:rPr>
              <w:tab/>
              <w:t>Elementos para determinar MR en presencia de paquetes de servicios</w:t>
            </w:r>
          </w:p>
          <w:p w14:paraId="0ECC8C47" w14:textId="77777777" w:rsidR="00C9787A" w:rsidRPr="00724A07" w:rsidRDefault="00C9787A" w:rsidP="00C9787A">
            <w:pPr>
              <w:jc w:val="both"/>
              <w:rPr>
                <w:rFonts w:ascii="ITC Avant Garde" w:hAnsi="ITC Avant Garde" w:cs="Arial"/>
                <w:sz w:val="18"/>
                <w:szCs w:val="18"/>
              </w:rPr>
            </w:pPr>
            <w:r w:rsidRPr="00724A07">
              <w:rPr>
                <w:rFonts w:ascii="ITC Avant Garde" w:hAnsi="ITC Avant Garde" w:cs="Arial"/>
                <w:sz w:val="18"/>
                <w:szCs w:val="18"/>
              </w:rPr>
              <w:t>Para determinar el MR en presencia de paquetes de servicios, el Instituto podrá considerar las herramientas y elementos de evidencia que se presentan a continuación, sin orden de importancia o prelación en su aplicación:</w:t>
            </w:r>
          </w:p>
          <w:p w14:paraId="582E349E" w14:textId="619390E5" w:rsidR="00C9787A" w:rsidRPr="00724A07" w:rsidRDefault="007F4B38" w:rsidP="00C9787A">
            <w:pPr>
              <w:spacing w:after="0" w:line="240" w:lineRule="auto"/>
              <w:jc w:val="both"/>
              <w:rPr>
                <w:rFonts w:ascii="ITC Avant Garde" w:hAnsi="ITC Avant Garde" w:cs="Arial"/>
                <w:sz w:val="18"/>
                <w:szCs w:val="18"/>
              </w:rPr>
            </w:pPr>
            <w:r>
              <w:rPr>
                <w:rFonts w:ascii="ITC Avant Garde" w:hAnsi="ITC Avant Garde" w:cs="Arial"/>
                <w:sz w:val="18"/>
                <w:szCs w:val="18"/>
              </w:rPr>
              <w:t>[</w:t>
            </w:r>
            <w:r w:rsidR="00C9787A" w:rsidRPr="00724A07">
              <w:rPr>
                <w:rFonts w:ascii="ITC Avant Garde" w:hAnsi="ITC Avant Garde" w:cs="Arial"/>
                <w:sz w:val="18"/>
                <w:szCs w:val="18"/>
              </w:rPr>
              <w:t>…</w:t>
            </w:r>
            <w:r>
              <w:rPr>
                <w:rFonts w:ascii="ITC Avant Garde" w:hAnsi="ITC Avant Garde" w:cs="Arial"/>
                <w:sz w:val="18"/>
                <w:szCs w:val="18"/>
              </w:rPr>
              <w:t>]</w:t>
            </w:r>
          </w:p>
          <w:p w14:paraId="7FA56D68" w14:textId="77777777" w:rsidR="00C9787A" w:rsidRPr="00724A07" w:rsidRDefault="00C9787A" w:rsidP="00C9787A">
            <w:pPr>
              <w:spacing w:after="0" w:line="240" w:lineRule="auto"/>
              <w:jc w:val="both"/>
              <w:rPr>
                <w:rFonts w:ascii="ITC Avant Garde" w:hAnsi="ITC Avant Garde" w:cs="Arial"/>
                <w:sz w:val="18"/>
                <w:szCs w:val="18"/>
              </w:rPr>
            </w:pPr>
          </w:p>
          <w:p w14:paraId="6D7C213D" w14:textId="5B7A6EE3" w:rsidR="001D2298" w:rsidRPr="00724A07" w:rsidRDefault="00C9787A" w:rsidP="005B6703">
            <w:pPr>
              <w:spacing w:after="0" w:line="240" w:lineRule="auto"/>
              <w:jc w:val="both"/>
              <w:rPr>
                <w:rFonts w:ascii="ITC Avant Garde" w:hAnsi="ITC Avant Garde" w:cs="Arial"/>
                <w:sz w:val="18"/>
                <w:szCs w:val="18"/>
              </w:rPr>
            </w:pPr>
            <w:r w:rsidRPr="00724A07">
              <w:rPr>
                <w:rFonts w:ascii="ITC Avant Garde" w:hAnsi="ITC Avant Garde" w:cs="Arial"/>
                <w:sz w:val="18"/>
                <w:szCs w:val="18"/>
              </w:rPr>
              <w:t>•</w:t>
            </w:r>
            <w:r w:rsidRPr="00724A07">
              <w:rPr>
                <w:rFonts w:ascii="ITC Avant Garde" w:hAnsi="ITC Avant Garde" w:cs="Arial"/>
                <w:sz w:val="18"/>
                <w:szCs w:val="18"/>
              </w:rPr>
              <w:tab/>
              <w:t xml:space="preserve">Los precios relativos de los paquetes y de los servicios individuales, </w:t>
            </w:r>
            <w:bookmarkStart w:id="32" w:name="_Hlk84505386"/>
            <w:r w:rsidRPr="00724A07">
              <w:rPr>
                <w:rFonts w:ascii="ITC Avant Garde" w:hAnsi="ITC Avant Garde" w:cs="Arial"/>
                <w:sz w:val="18"/>
                <w:szCs w:val="18"/>
                <w:u w:val="single"/>
              </w:rPr>
              <w:t>incluyendo el otorgamiento de descuentos sobre los servicios empaquetados,</w:t>
            </w:r>
            <w:r w:rsidRPr="00724A07">
              <w:rPr>
                <w:rFonts w:ascii="ITC Avant Garde" w:hAnsi="ITC Avant Garde" w:cs="Arial"/>
                <w:sz w:val="18"/>
                <w:szCs w:val="18"/>
              </w:rPr>
              <w:t xml:space="preserve"> </w:t>
            </w:r>
            <w:bookmarkEnd w:id="32"/>
            <w:r w:rsidRPr="00724A07">
              <w:rPr>
                <w:rFonts w:ascii="ITC Avant Garde" w:hAnsi="ITC Avant Garde" w:cs="Arial"/>
                <w:sz w:val="18"/>
                <w:szCs w:val="18"/>
              </w:rPr>
              <w:t>así como las diferencias en calidad.</w:t>
            </w:r>
          </w:p>
        </w:tc>
      </w:tr>
    </w:tbl>
    <w:p w14:paraId="4CF83A86" w14:textId="77777777" w:rsidR="001D2298" w:rsidRPr="00724A07" w:rsidRDefault="001D2298" w:rsidP="00C7449E">
      <w:pPr>
        <w:spacing w:after="120" w:line="240" w:lineRule="auto"/>
        <w:jc w:val="both"/>
        <w:rPr>
          <w:rFonts w:ascii="ITC Avant Garde" w:hAnsi="ITC Avant Garde"/>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753ED5" w:rsidRPr="00724A07" w14:paraId="66DD5669" w14:textId="77777777" w:rsidTr="009B5D24">
        <w:trPr>
          <w:trHeight w:val="276"/>
          <w:jc w:val="center"/>
        </w:trPr>
        <w:tc>
          <w:tcPr>
            <w:tcW w:w="9785" w:type="dxa"/>
            <w:shd w:val="clear" w:color="auto" w:fill="92D050"/>
            <w:vAlign w:val="center"/>
          </w:tcPr>
          <w:p w14:paraId="19DA4D8A" w14:textId="027CC4AC" w:rsidR="00753ED5" w:rsidRPr="00724A07" w:rsidRDefault="00753ED5"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León Efrén Jiménez Domínguez y Priscila Barba Rivas</w:t>
            </w:r>
          </w:p>
        </w:tc>
      </w:tr>
      <w:tr w:rsidR="00753ED5" w:rsidRPr="00724A07" w14:paraId="0C82B37C" w14:textId="77777777" w:rsidTr="009B5D24">
        <w:trPr>
          <w:trHeight w:val="443"/>
          <w:jc w:val="center"/>
        </w:trPr>
        <w:tc>
          <w:tcPr>
            <w:tcW w:w="9785" w:type="dxa"/>
            <w:shd w:val="clear" w:color="auto" w:fill="E2EFD9" w:themeFill="accent6" w:themeFillTint="33"/>
            <w:vAlign w:val="center"/>
          </w:tcPr>
          <w:p w14:paraId="5448EB96" w14:textId="1473DD07" w:rsidR="00753ED5" w:rsidRPr="00724A07" w:rsidRDefault="00C6307E" w:rsidP="00753ED5">
            <w:pPr>
              <w:spacing w:after="160" w:line="259" w:lineRule="auto"/>
              <w:jc w:val="both"/>
              <w:rPr>
                <w:rFonts w:ascii="ITC Avant Garde" w:hAnsi="ITC Avant Garde"/>
                <w:i/>
                <w:sz w:val="18"/>
                <w:szCs w:val="18"/>
              </w:rPr>
            </w:pPr>
            <w:r w:rsidRPr="00724A07">
              <w:rPr>
                <w:rFonts w:ascii="ITC Avant Garde" w:hAnsi="ITC Avant Garde"/>
                <w:i/>
                <w:sz w:val="18"/>
                <w:szCs w:val="18"/>
              </w:rPr>
              <w:t>“Se sugiere al Instituto agregar una subsección en la que, tomando en cuenta la importancia y desarrollo que han obtenido en los últimos años los mercados digitales, particularmente cuando involucran varios lados, para que se aborden sus características, complejidades, y metodología para definirlos.”</w:t>
            </w:r>
          </w:p>
        </w:tc>
      </w:tr>
    </w:tbl>
    <w:p w14:paraId="41C91046" w14:textId="1138A06D" w:rsidR="00506A77" w:rsidRPr="00AC7F62" w:rsidRDefault="00506A77" w:rsidP="00C7449E">
      <w:pPr>
        <w:spacing w:after="120" w:line="240" w:lineRule="auto"/>
        <w:jc w:val="both"/>
        <w:rPr>
          <w:rFonts w:ascii="ITC Avant Garde" w:hAnsi="ITC Avant Garde"/>
          <w:b/>
          <w:bCs/>
        </w:rPr>
      </w:pPr>
    </w:p>
    <w:tbl>
      <w:tblPr>
        <w:tblStyle w:val="Tablaconcuadrcula"/>
        <w:tblW w:w="0" w:type="auto"/>
        <w:jc w:val="center"/>
        <w:shd w:val="clear" w:color="auto" w:fill="C5E0B3" w:themeFill="accent6" w:themeFillTint="66"/>
        <w:tblLook w:val="0600" w:firstRow="0" w:lastRow="0" w:firstColumn="0" w:lastColumn="0" w:noHBand="1" w:noVBand="1"/>
      </w:tblPr>
      <w:tblGrid>
        <w:gridCol w:w="9785"/>
      </w:tblGrid>
      <w:tr w:rsidR="00753ED5" w:rsidRPr="00724A07" w14:paraId="41C03D39" w14:textId="77777777" w:rsidTr="009B5D24">
        <w:trPr>
          <w:trHeight w:val="276"/>
          <w:jc w:val="center"/>
        </w:trPr>
        <w:tc>
          <w:tcPr>
            <w:tcW w:w="9785" w:type="dxa"/>
            <w:shd w:val="clear" w:color="auto" w:fill="92D050"/>
            <w:vAlign w:val="center"/>
          </w:tcPr>
          <w:p w14:paraId="71A0D2B4" w14:textId="1CFB372D" w:rsidR="00753ED5" w:rsidRPr="00724A07" w:rsidRDefault="00753ED5" w:rsidP="00753ED5">
            <w:pPr>
              <w:pStyle w:val="Default"/>
              <w:spacing w:before="60" w:after="60"/>
              <w:jc w:val="center"/>
              <w:rPr>
                <w:rFonts w:ascii="ITC Avant Garde" w:hAnsi="ITC Avant Garde"/>
                <w:b/>
                <w:bCs/>
                <w:iCs/>
                <w:sz w:val="20"/>
                <w:szCs w:val="20"/>
              </w:rPr>
            </w:pPr>
            <w:r w:rsidRPr="00724A07">
              <w:rPr>
                <w:rFonts w:ascii="ITC Avant Garde" w:hAnsi="ITC Avant Garde"/>
                <w:b/>
                <w:bCs/>
                <w:iCs/>
                <w:color w:val="auto"/>
                <w:sz w:val="20"/>
                <w:szCs w:val="20"/>
              </w:rPr>
              <w:t>COFECE</w:t>
            </w:r>
          </w:p>
        </w:tc>
      </w:tr>
      <w:tr w:rsidR="00753ED5" w:rsidRPr="00724A07" w14:paraId="30BD6E41" w14:textId="77777777" w:rsidTr="009B5D24">
        <w:trPr>
          <w:trHeight w:val="443"/>
          <w:jc w:val="center"/>
        </w:trPr>
        <w:tc>
          <w:tcPr>
            <w:tcW w:w="9785" w:type="dxa"/>
            <w:shd w:val="clear" w:color="auto" w:fill="E2EFD9" w:themeFill="accent6" w:themeFillTint="33"/>
            <w:vAlign w:val="center"/>
          </w:tcPr>
          <w:p w14:paraId="06F99B09" w14:textId="019455A9" w:rsidR="00753ED5" w:rsidRPr="00724A07" w:rsidRDefault="00D40DB8" w:rsidP="00472E67">
            <w:pPr>
              <w:spacing w:after="160" w:line="259" w:lineRule="auto"/>
              <w:jc w:val="both"/>
              <w:rPr>
                <w:rFonts w:ascii="ITC Avant Garde" w:hAnsi="ITC Avant Garde"/>
                <w:i/>
                <w:sz w:val="18"/>
                <w:szCs w:val="18"/>
              </w:rPr>
            </w:pPr>
            <w:r w:rsidRPr="007C2396">
              <w:rPr>
                <w:rFonts w:ascii="ITC Avant Garde" w:hAnsi="ITC Avant Garde"/>
                <w:i/>
                <w:sz w:val="18"/>
                <w:szCs w:val="18"/>
              </w:rPr>
              <w:t xml:space="preserve">“Se sugiere incluir definiciones o argumentos relacionados con mercados de plataformas. En este sentido, podría ampliarse el concepto de "efectos de red" antes mencionados, o abordar que existen plataformas cuyos lados son interdependientes y complementarios, por lo que cambios en los precios y la demanda de un solo lado afecta los precios y la demanda de los otros lados. Se podría abordar estos temas, y poner ejemplos al respecto relacionados con el sector de </w:t>
            </w:r>
            <w:proofErr w:type="spellStart"/>
            <w:r w:rsidRPr="007C2396">
              <w:rPr>
                <w:rFonts w:ascii="ITC Avant Garde" w:hAnsi="ITC Avant Garde"/>
                <w:i/>
                <w:sz w:val="18"/>
                <w:szCs w:val="18"/>
              </w:rPr>
              <w:t>TyR</w:t>
            </w:r>
            <w:proofErr w:type="spellEnd"/>
            <w:r w:rsidRPr="007C2396">
              <w:rPr>
                <w:rFonts w:ascii="ITC Avant Garde" w:hAnsi="ITC Avant Garde"/>
                <w:i/>
                <w:sz w:val="18"/>
                <w:szCs w:val="18"/>
              </w:rPr>
              <w:t>.”</w:t>
            </w:r>
          </w:p>
        </w:tc>
      </w:tr>
    </w:tbl>
    <w:p w14:paraId="3138E72F" w14:textId="3FA5DADA" w:rsidR="00753ED5" w:rsidRPr="00724A07" w:rsidRDefault="00C6307E" w:rsidP="00CC72A7">
      <w:pPr>
        <w:spacing w:before="120" w:after="120" w:line="240" w:lineRule="auto"/>
        <w:jc w:val="both"/>
        <w:outlineLvl w:val="3"/>
        <w:rPr>
          <w:rFonts w:ascii="ITC Avant Garde" w:hAnsi="ITC Avant Garde"/>
          <w:b/>
          <w:bCs/>
        </w:rPr>
      </w:pPr>
      <w:r w:rsidRPr="00724A07">
        <w:rPr>
          <w:rFonts w:ascii="ITC Avant Garde" w:hAnsi="ITC Avant Garde"/>
          <w:b/>
          <w:bCs/>
        </w:rPr>
        <w:t>Consideraciones</w:t>
      </w:r>
    </w:p>
    <w:p w14:paraId="5CEB0BFC" w14:textId="78A0E24A" w:rsidR="00E778B9" w:rsidRPr="00E778B9" w:rsidRDefault="00E778B9" w:rsidP="00E778B9">
      <w:pPr>
        <w:spacing w:after="120" w:line="240" w:lineRule="auto"/>
        <w:jc w:val="both"/>
        <w:rPr>
          <w:rFonts w:ascii="ITC Avant Garde" w:hAnsi="ITC Avant Garde"/>
        </w:rPr>
      </w:pPr>
      <w:r w:rsidRPr="00E778B9">
        <w:rPr>
          <w:rFonts w:ascii="ITC Avant Garde" w:hAnsi="ITC Avant Garde"/>
        </w:rPr>
        <w:t xml:space="preserve">En relación con: i) la sugerencia de León Efrén Jiménez Domínguez y Priscila Barba Rivas, respecto a agregar al Anteproyecto de Guía una subsección en la que se aborde la definición de mercados de múltiples lados, y </w:t>
      </w:r>
      <w:proofErr w:type="spellStart"/>
      <w:r w:rsidRPr="00E778B9">
        <w:rPr>
          <w:rFonts w:ascii="ITC Avant Garde" w:hAnsi="ITC Avant Garde"/>
        </w:rPr>
        <w:t>ii</w:t>
      </w:r>
      <w:proofErr w:type="spellEnd"/>
      <w:r w:rsidRPr="00E778B9">
        <w:rPr>
          <w:rFonts w:ascii="ITC Avant Garde" w:hAnsi="ITC Avant Garde"/>
        </w:rPr>
        <w:t xml:space="preserve">) la sugerencia de la COFECE, de incluir definiciones o </w:t>
      </w:r>
      <w:r w:rsidRPr="00E778B9">
        <w:rPr>
          <w:rFonts w:ascii="ITC Avant Garde" w:hAnsi="ITC Avant Garde"/>
        </w:rPr>
        <w:lastRenderedPageBreak/>
        <w:t xml:space="preserve">argumentos relacionados con mercados de plataformas o mercados de múltiples lados, se considera procedente incorporar al Anteproyecto de Guía una sección sobre aspectos para la determinación de MR en presencia de múltiples lados, en los sectores de </w:t>
      </w:r>
      <w:proofErr w:type="spellStart"/>
      <w:r w:rsidRPr="00E778B9">
        <w:rPr>
          <w:rFonts w:ascii="ITC Avant Garde" w:hAnsi="ITC Avant Garde"/>
        </w:rPr>
        <w:t>TyR</w:t>
      </w:r>
      <w:proofErr w:type="spellEnd"/>
      <w:r w:rsidRPr="00E778B9">
        <w:rPr>
          <w:rFonts w:ascii="ITC Avant Garde" w:hAnsi="ITC Avant Garde"/>
        </w:rPr>
        <w:t xml:space="preserve">. </w:t>
      </w:r>
    </w:p>
    <w:p w14:paraId="4037AEBE" w14:textId="752A8525" w:rsidR="00E778B9" w:rsidRPr="00E778B9" w:rsidRDefault="00E778B9" w:rsidP="00E778B9">
      <w:pPr>
        <w:spacing w:after="120" w:line="240" w:lineRule="auto"/>
        <w:jc w:val="both"/>
        <w:rPr>
          <w:rFonts w:ascii="ITC Avant Garde" w:hAnsi="ITC Avant Garde"/>
        </w:rPr>
      </w:pPr>
      <w:r w:rsidRPr="00E778B9">
        <w:rPr>
          <w:rFonts w:ascii="ITC Avant Garde" w:hAnsi="ITC Avant Garde"/>
        </w:rPr>
        <w:t>Por lo anterior, se incorpora la sección “</w:t>
      </w:r>
      <w:r w:rsidRPr="00810537">
        <w:rPr>
          <w:rFonts w:ascii="ITC Avant Garde" w:hAnsi="ITC Avant Garde"/>
          <w:i/>
          <w:iCs/>
        </w:rPr>
        <w:t>9.</w:t>
      </w:r>
      <w:r w:rsidRPr="00EC09B8">
        <w:rPr>
          <w:rFonts w:ascii="ITC Avant Garde" w:hAnsi="ITC Avant Garde"/>
          <w:i/>
          <w:iCs/>
        </w:rPr>
        <w:t>5.</w:t>
      </w:r>
      <w:r w:rsidR="003A2107" w:rsidRPr="00EC09B8">
        <w:rPr>
          <w:rFonts w:ascii="ITC Avant Garde" w:hAnsi="ITC Avant Garde"/>
          <w:i/>
          <w:iCs/>
        </w:rPr>
        <w:t xml:space="preserve"> </w:t>
      </w:r>
      <w:r w:rsidRPr="00E778B9">
        <w:rPr>
          <w:rFonts w:ascii="ITC Avant Garde" w:hAnsi="ITC Avant Garde"/>
          <w:i/>
          <w:iCs/>
        </w:rPr>
        <w:t>Mercados de múltiples lados</w:t>
      </w:r>
      <w:r w:rsidRPr="00E778B9">
        <w:rPr>
          <w:rFonts w:ascii="ITC Avant Garde" w:hAnsi="ITC Avant Garde"/>
        </w:rPr>
        <w:t>”, para quedar de la siguiente manera:</w:t>
      </w:r>
    </w:p>
    <w:tbl>
      <w:tblPr>
        <w:tblStyle w:val="Tablaconcuadrcula"/>
        <w:tblW w:w="5000" w:type="pct"/>
        <w:jc w:val="center"/>
        <w:tblLook w:val="04A0" w:firstRow="1" w:lastRow="0" w:firstColumn="1" w:lastColumn="0" w:noHBand="0" w:noVBand="1"/>
      </w:tblPr>
      <w:tblGrid>
        <w:gridCol w:w="10076"/>
      </w:tblGrid>
      <w:tr w:rsidR="0099058B" w:rsidRPr="006A1654" w14:paraId="699B8DF4" w14:textId="77777777" w:rsidTr="0099058B">
        <w:trPr>
          <w:jc w:val="center"/>
        </w:trPr>
        <w:tc>
          <w:tcPr>
            <w:tcW w:w="5000" w:type="pct"/>
            <w:shd w:val="clear" w:color="auto" w:fill="92D050"/>
            <w:vAlign w:val="center"/>
          </w:tcPr>
          <w:p w14:paraId="293ECF18" w14:textId="77777777" w:rsidR="0099058B" w:rsidRPr="00D25793" w:rsidRDefault="0099058B" w:rsidP="0099058B">
            <w:pPr>
              <w:spacing w:after="0" w:line="240" w:lineRule="auto"/>
              <w:jc w:val="center"/>
              <w:rPr>
                <w:rFonts w:ascii="ITC Avant Garde" w:hAnsi="ITC Avant Garde"/>
                <w:b/>
                <w:sz w:val="18"/>
                <w:szCs w:val="18"/>
              </w:rPr>
            </w:pPr>
            <w:r w:rsidRPr="00D25793">
              <w:rPr>
                <w:rFonts w:ascii="ITC Avant Garde" w:hAnsi="ITC Avant Garde"/>
                <w:b/>
                <w:sz w:val="18"/>
                <w:szCs w:val="18"/>
              </w:rPr>
              <w:t>Modificación al Anteproyecto de Guía</w:t>
            </w:r>
          </w:p>
        </w:tc>
      </w:tr>
      <w:tr w:rsidR="0099058B" w:rsidRPr="001A232A" w14:paraId="66BA3CED" w14:textId="77777777" w:rsidTr="009B5D24">
        <w:trPr>
          <w:trHeight w:val="2967"/>
          <w:jc w:val="center"/>
        </w:trPr>
        <w:tc>
          <w:tcPr>
            <w:tcW w:w="5000" w:type="pct"/>
            <w:shd w:val="clear" w:color="auto" w:fill="auto"/>
          </w:tcPr>
          <w:p w14:paraId="0FA1B95D" w14:textId="7837F985" w:rsidR="0099058B" w:rsidRPr="00D25793" w:rsidRDefault="0099058B" w:rsidP="0099058B">
            <w:pPr>
              <w:spacing w:after="0" w:line="240" w:lineRule="auto"/>
              <w:jc w:val="both"/>
              <w:rPr>
                <w:rFonts w:ascii="ITC Avant Garde" w:hAnsi="ITC Avant Garde" w:cs="Arial"/>
                <w:b/>
                <w:bCs/>
                <w:sz w:val="18"/>
                <w:szCs w:val="18"/>
                <w:lang w:val="x-none"/>
              </w:rPr>
            </w:pPr>
            <w:r w:rsidRPr="00D25793">
              <w:rPr>
                <w:rFonts w:ascii="ITC Avant Garde" w:hAnsi="ITC Avant Garde" w:cs="Arial"/>
                <w:b/>
                <w:bCs/>
                <w:sz w:val="18"/>
                <w:szCs w:val="18"/>
                <w:lang w:val="x-none"/>
              </w:rPr>
              <w:t>9.</w:t>
            </w:r>
            <w:r w:rsidRPr="00D25793">
              <w:rPr>
                <w:rFonts w:ascii="ITC Avant Garde" w:hAnsi="ITC Avant Garde" w:cs="Arial"/>
                <w:b/>
                <w:bCs/>
                <w:sz w:val="18"/>
                <w:szCs w:val="18"/>
              </w:rPr>
              <w:t>5</w:t>
            </w:r>
            <w:r w:rsidRPr="00D25793">
              <w:rPr>
                <w:rFonts w:ascii="ITC Avant Garde" w:hAnsi="ITC Avant Garde" w:cs="Arial"/>
                <w:b/>
                <w:bCs/>
                <w:sz w:val="18"/>
                <w:szCs w:val="18"/>
                <w:lang w:val="x-none"/>
              </w:rPr>
              <w:t>.</w:t>
            </w:r>
            <w:r w:rsidRPr="00D25793">
              <w:rPr>
                <w:rFonts w:ascii="ITC Avant Garde" w:hAnsi="ITC Avant Garde" w:cs="Arial"/>
                <w:b/>
                <w:bCs/>
                <w:sz w:val="18"/>
                <w:szCs w:val="18"/>
                <w:lang w:val="x-none"/>
              </w:rPr>
              <w:tab/>
              <w:t>Mercados de múltiples lados</w:t>
            </w:r>
          </w:p>
          <w:p w14:paraId="4A50D198" w14:textId="77777777" w:rsidR="0099058B" w:rsidRPr="00D25793" w:rsidRDefault="0099058B" w:rsidP="0099058B">
            <w:pPr>
              <w:spacing w:after="0" w:line="240" w:lineRule="auto"/>
              <w:jc w:val="both"/>
              <w:rPr>
                <w:rFonts w:ascii="ITC Avant Garde" w:hAnsi="ITC Avant Garde" w:cs="Arial"/>
                <w:sz w:val="18"/>
                <w:szCs w:val="18"/>
                <w:lang w:val="x-none"/>
              </w:rPr>
            </w:pPr>
          </w:p>
          <w:p w14:paraId="765EA655" w14:textId="0EDBB3C0" w:rsidR="005D04FE" w:rsidRDefault="0099058B" w:rsidP="0099058B">
            <w:pPr>
              <w:spacing w:after="120" w:line="240" w:lineRule="auto"/>
              <w:jc w:val="both"/>
              <w:rPr>
                <w:rFonts w:ascii="ITC Avant Garde" w:hAnsi="ITC Avant Garde" w:cs="Arial"/>
                <w:sz w:val="18"/>
                <w:szCs w:val="18"/>
                <w:lang w:val="x-none"/>
              </w:rPr>
            </w:pPr>
            <w:r w:rsidRPr="00D25793">
              <w:rPr>
                <w:rFonts w:ascii="ITC Avant Garde" w:hAnsi="ITC Avant Garde" w:cs="Arial"/>
                <w:sz w:val="18"/>
                <w:szCs w:val="18"/>
                <w:lang w:val="x-none"/>
              </w:rPr>
              <w:t xml:space="preserve">Los mercados de múltiples lados son aquellos en los que, actuando como una plataforma, los AE ofrecen diferentes productos a diferentes grupos de usuarios con demandas interdependientes entre sí, y existen </w:t>
            </w:r>
            <w:r w:rsidR="003B4D74">
              <w:rPr>
                <w:rFonts w:ascii="ITC Avant Garde" w:hAnsi="ITC Avant Garde" w:cs="Arial"/>
                <w:sz w:val="18"/>
                <w:szCs w:val="18"/>
              </w:rPr>
              <w:t xml:space="preserve">efectos o </w:t>
            </w:r>
            <w:r w:rsidRPr="00D25793">
              <w:rPr>
                <w:rFonts w:ascii="ITC Avant Garde" w:hAnsi="ITC Avant Garde" w:cs="Arial"/>
                <w:sz w:val="18"/>
                <w:szCs w:val="18"/>
                <w:lang w:val="x-none"/>
              </w:rPr>
              <w:t>externalidades indirectas de red.</w:t>
            </w:r>
            <w:r w:rsidRPr="00D25793">
              <w:rPr>
                <w:rFonts w:ascii="ITC Avant Garde" w:hAnsi="ITC Avant Garde" w:cs="Arial"/>
                <w:sz w:val="18"/>
                <w:szCs w:val="18"/>
              </w:rPr>
              <w:t>**</w:t>
            </w:r>
            <w:r w:rsidRPr="00D25793">
              <w:rPr>
                <w:rFonts w:ascii="ITC Avant Garde" w:hAnsi="ITC Avant Garde" w:cs="Arial"/>
                <w:sz w:val="18"/>
                <w:szCs w:val="18"/>
                <w:vertAlign w:val="superscript"/>
              </w:rPr>
              <w:t>[Nueva nota al pie 1]</w:t>
            </w:r>
            <w:r w:rsidRPr="00D25793">
              <w:rPr>
                <w:rFonts w:ascii="ITC Avant Garde" w:hAnsi="ITC Avant Garde" w:cs="Arial"/>
                <w:sz w:val="18"/>
                <w:szCs w:val="18"/>
                <w:lang w:val="x-none"/>
              </w:rPr>
              <w:t xml:space="preserve"> </w:t>
            </w:r>
            <w:r w:rsidR="005532CF" w:rsidRPr="00E63F19">
              <w:rPr>
                <w:rFonts w:ascii="ITC Avant Garde" w:hAnsi="ITC Avant Garde" w:cs="Arial"/>
                <w:sz w:val="18"/>
                <w:szCs w:val="18"/>
              </w:rPr>
              <w:t>La presencia de efectos indirectos de red afecta los mecanismos de fijación de precios y la manera en la que compiten los agentes económicos en estos mercados</w:t>
            </w:r>
            <w:r w:rsidR="00EF1AB4">
              <w:rPr>
                <w:rFonts w:ascii="ITC Avant Garde" w:hAnsi="ITC Avant Garde" w:cs="Arial"/>
                <w:sz w:val="18"/>
                <w:szCs w:val="18"/>
              </w:rPr>
              <w:t xml:space="preserve">, así como la delimitación del </w:t>
            </w:r>
            <w:r w:rsidR="003B4D74">
              <w:rPr>
                <w:rFonts w:ascii="ITC Avant Garde" w:hAnsi="ITC Avant Garde" w:cs="Arial"/>
                <w:sz w:val="18"/>
                <w:szCs w:val="18"/>
              </w:rPr>
              <w:t>MR</w:t>
            </w:r>
            <w:r w:rsidR="005532CF" w:rsidRPr="00E63F19">
              <w:rPr>
                <w:rFonts w:ascii="ITC Avant Garde" w:hAnsi="ITC Avant Garde" w:cs="Arial"/>
                <w:sz w:val="18"/>
                <w:szCs w:val="18"/>
              </w:rPr>
              <w:t>.</w:t>
            </w:r>
            <w:r w:rsidR="005532CF">
              <w:rPr>
                <w:rFonts w:ascii="ITC Avant Garde" w:hAnsi="ITC Avant Garde" w:cs="Arial"/>
                <w:sz w:val="18"/>
                <w:szCs w:val="18"/>
              </w:rPr>
              <w:t xml:space="preserve"> </w:t>
            </w:r>
            <w:r w:rsidRPr="00D25793">
              <w:rPr>
                <w:rFonts w:ascii="ITC Avant Garde" w:hAnsi="ITC Avant Garde" w:cs="Arial"/>
                <w:sz w:val="18"/>
                <w:szCs w:val="18"/>
                <w:lang w:val="x-none"/>
              </w:rPr>
              <w:t>Como ejemplos de este tipo de mercados se encuentran los servicios de TV Abierta y Radio Sonora, el STAR</w:t>
            </w:r>
            <w:r w:rsidRPr="00D25793">
              <w:rPr>
                <w:rFonts w:ascii="ITC Avant Garde" w:hAnsi="ITC Avant Garde" w:cs="Arial"/>
                <w:sz w:val="18"/>
                <w:szCs w:val="18"/>
              </w:rPr>
              <w:t xml:space="preserve"> </w:t>
            </w:r>
            <w:r w:rsidRPr="00D25793">
              <w:rPr>
                <w:rFonts w:ascii="ITC Avant Garde" w:hAnsi="ITC Avant Garde" w:cs="Arial"/>
                <w:sz w:val="18"/>
                <w:szCs w:val="18"/>
                <w:lang w:val="x-none"/>
              </w:rPr>
              <w:t xml:space="preserve">y algunos servicios OTT. </w:t>
            </w:r>
          </w:p>
          <w:p w14:paraId="3066EADD" w14:textId="4CFDC121" w:rsidR="0099058B" w:rsidRPr="00D25793" w:rsidRDefault="003B4D74" w:rsidP="0099058B">
            <w:pPr>
              <w:spacing w:after="120" w:line="240" w:lineRule="auto"/>
              <w:jc w:val="both"/>
              <w:rPr>
                <w:rFonts w:ascii="ITC Avant Garde" w:hAnsi="ITC Avant Garde" w:cs="Arial"/>
                <w:sz w:val="18"/>
                <w:szCs w:val="18"/>
                <w:vertAlign w:val="superscript"/>
              </w:rPr>
            </w:pPr>
            <w:r>
              <w:rPr>
                <w:rFonts w:ascii="ITC Avant Garde" w:hAnsi="ITC Avant Garde" w:cs="Arial"/>
                <w:sz w:val="18"/>
                <w:szCs w:val="18"/>
              </w:rPr>
              <w:t xml:space="preserve">La </w:t>
            </w:r>
            <w:r w:rsidR="0099058B" w:rsidRPr="00D25793">
              <w:rPr>
                <w:rFonts w:ascii="ITC Avant Garde" w:hAnsi="ITC Avant Garde" w:cs="Arial"/>
                <w:sz w:val="18"/>
                <w:szCs w:val="18"/>
                <w:lang w:val="x-none"/>
              </w:rPr>
              <w:t>OCDE sugiere clasificar los mercados de múltiples lados o plataformas en función de la capacidad del proveedor de servicios para observar las transacciones que ocurren entre los grupos de usuarios de la plataforma</w:t>
            </w:r>
            <w:r w:rsidR="00A05486">
              <w:rPr>
                <w:rFonts w:ascii="ITC Avant Garde" w:hAnsi="ITC Avant Garde" w:cs="Arial"/>
                <w:sz w:val="18"/>
                <w:szCs w:val="18"/>
              </w:rPr>
              <w:t>, a saber</w:t>
            </w:r>
            <w:r w:rsidR="0099058B" w:rsidRPr="00D25793">
              <w:rPr>
                <w:rFonts w:ascii="ITC Avant Garde" w:hAnsi="ITC Avant Garde" w:cs="Arial"/>
                <w:sz w:val="18"/>
                <w:szCs w:val="18"/>
                <w:lang w:val="x-none"/>
              </w:rPr>
              <w:t xml:space="preserve">: </w:t>
            </w:r>
            <w:r w:rsidR="0099058B" w:rsidRPr="00D25793">
              <w:rPr>
                <w:rFonts w:ascii="ITC Avant Garde" w:hAnsi="ITC Avant Garde" w:cs="Arial"/>
                <w:sz w:val="18"/>
                <w:szCs w:val="18"/>
              </w:rPr>
              <w:t>**</w:t>
            </w:r>
            <w:r w:rsidR="0099058B" w:rsidRPr="00D25793">
              <w:rPr>
                <w:rFonts w:ascii="ITC Avant Garde" w:hAnsi="ITC Avant Garde" w:cs="Arial"/>
                <w:sz w:val="18"/>
                <w:szCs w:val="18"/>
                <w:vertAlign w:val="superscript"/>
              </w:rPr>
              <w:t xml:space="preserve">[Nueva nota al pie </w:t>
            </w:r>
            <w:r w:rsidR="00032116">
              <w:rPr>
                <w:rFonts w:ascii="ITC Avant Garde" w:hAnsi="ITC Avant Garde" w:cs="Arial"/>
                <w:sz w:val="18"/>
                <w:szCs w:val="18"/>
                <w:vertAlign w:val="superscript"/>
              </w:rPr>
              <w:t>2</w:t>
            </w:r>
            <w:r w:rsidR="0099058B" w:rsidRPr="00D25793">
              <w:rPr>
                <w:rFonts w:ascii="ITC Avant Garde" w:hAnsi="ITC Avant Garde" w:cs="Arial"/>
                <w:sz w:val="18"/>
                <w:szCs w:val="18"/>
                <w:vertAlign w:val="superscript"/>
              </w:rPr>
              <w:t>]</w:t>
            </w:r>
          </w:p>
          <w:p w14:paraId="774CF28E" w14:textId="0EC56016" w:rsidR="0099058B" w:rsidRPr="00D25793" w:rsidRDefault="0099058B" w:rsidP="0099058B">
            <w:pPr>
              <w:pStyle w:val="Prrafodelista"/>
              <w:numPr>
                <w:ilvl w:val="0"/>
                <w:numId w:val="34"/>
              </w:numPr>
              <w:spacing w:after="120" w:line="240" w:lineRule="auto"/>
              <w:ind w:left="709" w:hanging="709"/>
              <w:contextualSpacing w:val="0"/>
              <w:jc w:val="both"/>
              <w:rPr>
                <w:rFonts w:ascii="ITC Avant Garde" w:hAnsi="ITC Avant Garde" w:cs="Arial"/>
                <w:sz w:val="18"/>
                <w:szCs w:val="18"/>
              </w:rPr>
            </w:pPr>
            <w:bookmarkStart w:id="33" w:name="_Hlk84528839"/>
            <w:r w:rsidRPr="00D25793">
              <w:rPr>
                <w:rFonts w:ascii="ITC Avant Garde" w:hAnsi="ITC Avant Garde" w:cs="Arial"/>
                <w:b/>
                <w:bCs/>
                <w:sz w:val="18"/>
                <w:szCs w:val="18"/>
              </w:rPr>
              <w:t>Plataformas transaccionales.</w:t>
            </w:r>
            <w:r w:rsidRPr="00D25793">
              <w:rPr>
                <w:rFonts w:ascii="ITC Avant Garde" w:hAnsi="ITC Avant Garde" w:cs="Arial"/>
                <w:sz w:val="18"/>
                <w:szCs w:val="18"/>
              </w:rPr>
              <w:t xml:space="preserve"> Son aquellas en las que el proveedor del servicio </w:t>
            </w:r>
            <w:r w:rsidR="00601320">
              <w:rPr>
                <w:rFonts w:ascii="ITC Avant Garde" w:hAnsi="ITC Avant Garde" w:cs="Arial"/>
                <w:sz w:val="18"/>
                <w:szCs w:val="18"/>
                <w:lang w:val="es-MX"/>
              </w:rPr>
              <w:t xml:space="preserve">tiene como objetivo permitir transacciones directas entre </w:t>
            </w:r>
            <w:r w:rsidR="0074060E">
              <w:rPr>
                <w:rFonts w:ascii="ITC Avant Garde" w:hAnsi="ITC Avant Garde" w:cs="Arial"/>
                <w:sz w:val="18"/>
                <w:szCs w:val="18"/>
                <w:lang w:val="es-MX"/>
              </w:rPr>
              <w:t xml:space="preserve">dos grupos de </w:t>
            </w:r>
            <w:r w:rsidR="00716F0D">
              <w:rPr>
                <w:rFonts w:ascii="ITC Avant Garde" w:hAnsi="ITC Avant Garde" w:cs="Arial"/>
                <w:sz w:val="18"/>
                <w:szCs w:val="18"/>
                <w:lang w:val="es-MX"/>
              </w:rPr>
              <w:t>usuarios</w:t>
            </w:r>
            <w:r w:rsidR="00601320">
              <w:rPr>
                <w:rFonts w:ascii="ITC Avant Garde" w:hAnsi="ITC Avant Garde" w:cs="Arial"/>
                <w:sz w:val="18"/>
                <w:szCs w:val="18"/>
                <w:lang w:val="es-MX"/>
              </w:rPr>
              <w:t xml:space="preserve"> </w:t>
            </w:r>
            <w:r w:rsidR="0074060E">
              <w:rPr>
                <w:rFonts w:ascii="ITC Avant Garde" w:hAnsi="ITC Avant Garde" w:cs="Arial"/>
                <w:sz w:val="18"/>
                <w:szCs w:val="18"/>
                <w:lang w:val="es-MX"/>
              </w:rPr>
              <w:t>distintos</w:t>
            </w:r>
            <w:r w:rsidR="00601320">
              <w:rPr>
                <w:rFonts w:ascii="ITC Avant Garde" w:hAnsi="ITC Avant Garde" w:cs="Arial"/>
                <w:sz w:val="18"/>
                <w:szCs w:val="18"/>
                <w:lang w:val="es-MX"/>
              </w:rPr>
              <w:t xml:space="preserve"> y las </w:t>
            </w:r>
            <w:r w:rsidRPr="00D25793">
              <w:rPr>
                <w:rFonts w:ascii="ITC Avant Garde" w:hAnsi="ITC Avant Garde" w:cs="Arial"/>
                <w:sz w:val="18"/>
                <w:szCs w:val="18"/>
              </w:rPr>
              <w:t xml:space="preserve">puede observar, lo cual le permite cobrar una comisión por cada transacción, además de los cargos que, en su caso, establezca por el acceso a la plataforma. </w:t>
            </w:r>
            <w:r w:rsidR="00601320">
              <w:rPr>
                <w:rFonts w:ascii="ITC Avant Garde" w:hAnsi="ITC Avant Garde" w:cs="Arial"/>
                <w:sz w:val="18"/>
                <w:szCs w:val="18"/>
                <w:lang w:val="es-MX"/>
              </w:rPr>
              <w:t xml:space="preserve">En este sentido, </w:t>
            </w:r>
            <w:r w:rsidR="0074060E">
              <w:rPr>
                <w:rFonts w:ascii="ITC Avant Garde" w:hAnsi="ITC Avant Garde" w:cs="Arial"/>
                <w:sz w:val="18"/>
                <w:szCs w:val="18"/>
              </w:rPr>
              <w:t>a</w:t>
            </w:r>
            <w:r w:rsidR="0074060E">
              <w:rPr>
                <w:rFonts w:ascii="ITC Avant Garde" w:hAnsi="ITC Avant Garde" w:cs="Arial"/>
                <w:sz w:val="18"/>
                <w:szCs w:val="18"/>
                <w:lang w:val="es-MX"/>
              </w:rPr>
              <w:t xml:space="preserve">mbos </w:t>
            </w:r>
            <w:r w:rsidR="00601320">
              <w:rPr>
                <w:rFonts w:ascii="ITC Avant Garde" w:hAnsi="ITC Avant Garde" w:cs="Arial"/>
                <w:sz w:val="18"/>
                <w:szCs w:val="18"/>
                <w:lang w:val="es-MX"/>
              </w:rPr>
              <w:t xml:space="preserve">grupos de </w:t>
            </w:r>
            <w:r w:rsidR="00716F0D">
              <w:rPr>
                <w:rFonts w:ascii="ITC Avant Garde" w:hAnsi="ITC Avant Garde" w:cs="Arial"/>
                <w:sz w:val="18"/>
                <w:szCs w:val="18"/>
                <w:lang w:val="es-MX"/>
              </w:rPr>
              <w:t>usuarios</w:t>
            </w:r>
            <w:r w:rsidR="00601320">
              <w:rPr>
                <w:rFonts w:ascii="ITC Avant Garde" w:hAnsi="ITC Avant Garde" w:cs="Arial"/>
                <w:sz w:val="18"/>
                <w:szCs w:val="18"/>
                <w:lang w:val="es-MX"/>
              </w:rPr>
              <w:t xml:space="preserve"> </w:t>
            </w:r>
            <w:r w:rsidR="00601320" w:rsidRPr="00601320">
              <w:rPr>
                <w:rFonts w:ascii="ITC Avant Garde" w:hAnsi="ITC Avant Garde" w:cs="Arial"/>
                <w:sz w:val="18"/>
                <w:szCs w:val="18"/>
              </w:rPr>
              <w:t xml:space="preserve">comparten el mismo objetivo, es decir, realizar una transacción (como la comercialización de un producto) con la otra parte respectiva. </w:t>
            </w:r>
            <w:r w:rsidR="0074060E">
              <w:rPr>
                <w:rFonts w:ascii="ITC Avant Garde" w:hAnsi="ITC Avant Garde" w:cs="Arial"/>
                <w:sz w:val="18"/>
                <w:szCs w:val="18"/>
                <w:lang w:val="es-MX"/>
              </w:rPr>
              <w:t xml:space="preserve">En este caso, </w:t>
            </w:r>
            <w:r w:rsidR="0074060E">
              <w:rPr>
                <w:rFonts w:ascii="ITC Avant Garde" w:hAnsi="ITC Avant Garde" w:cs="Arial"/>
                <w:sz w:val="18"/>
                <w:szCs w:val="18"/>
              </w:rPr>
              <w:t>h</w:t>
            </w:r>
            <w:r w:rsidR="00601320" w:rsidRPr="00601320">
              <w:rPr>
                <w:rFonts w:ascii="ITC Avant Garde" w:hAnsi="ITC Avant Garde" w:cs="Arial"/>
                <w:sz w:val="18"/>
                <w:szCs w:val="18"/>
              </w:rPr>
              <w:t xml:space="preserve">ay efectos de red indirectos bilaterales positivos entre los dos grupos </w:t>
            </w:r>
            <w:r w:rsidR="0074060E">
              <w:rPr>
                <w:rFonts w:ascii="ITC Avant Garde" w:hAnsi="ITC Avant Garde" w:cs="Arial"/>
                <w:sz w:val="18"/>
                <w:szCs w:val="18"/>
                <w:lang w:val="es-MX"/>
              </w:rPr>
              <w:t xml:space="preserve">de </w:t>
            </w:r>
            <w:r w:rsidR="00716F0D">
              <w:rPr>
                <w:rFonts w:ascii="ITC Avant Garde" w:hAnsi="ITC Avant Garde" w:cs="Arial"/>
                <w:sz w:val="18"/>
                <w:szCs w:val="18"/>
                <w:lang w:val="es-MX"/>
              </w:rPr>
              <w:t>usuarios</w:t>
            </w:r>
            <w:r w:rsidR="0074060E">
              <w:rPr>
                <w:rFonts w:ascii="ITC Avant Garde" w:hAnsi="ITC Avant Garde" w:cs="Arial"/>
                <w:sz w:val="18"/>
                <w:szCs w:val="18"/>
                <w:lang w:val="es-MX"/>
              </w:rPr>
              <w:t xml:space="preserve"> </w:t>
            </w:r>
            <w:r w:rsidR="00601320" w:rsidRPr="00601320">
              <w:rPr>
                <w:rFonts w:ascii="ITC Avant Garde" w:hAnsi="ITC Avant Garde" w:cs="Arial"/>
                <w:sz w:val="18"/>
                <w:szCs w:val="18"/>
              </w:rPr>
              <w:t>que son internalizados por la plataforma.</w:t>
            </w:r>
            <w:r w:rsidR="0074060E">
              <w:rPr>
                <w:rFonts w:ascii="ITC Avant Garde" w:hAnsi="ITC Avant Garde" w:cs="Arial"/>
                <w:sz w:val="18"/>
                <w:szCs w:val="18"/>
                <w:lang w:val="es-MX"/>
              </w:rPr>
              <w:t xml:space="preserve"> Además, en estos casos, ambos lados de la plataforma son necesarios para que</w:t>
            </w:r>
            <w:r w:rsidR="003B4D74">
              <w:rPr>
                <w:rFonts w:ascii="ITC Avant Garde" w:hAnsi="ITC Avant Garde" w:cs="Arial"/>
                <w:sz w:val="18"/>
                <w:szCs w:val="18"/>
                <w:lang w:val="es-MX"/>
              </w:rPr>
              <w:t xml:space="preserve"> esta</w:t>
            </w:r>
            <w:r w:rsidR="0074060E">
              <w:rPr>
                <w:rFonts w:ascii="ITC Avant Garde" w:hAnsi="ITC Avant Garde" w:cs="Arial"/>
                <w:sz w:val="18"/>
                <w:szCs w:val="18"/>
                <w:lang w:val="es-MX"/>
              </w:rPr>
              <w:t xml:space="preserve"> funcione (</w:t>
            </w:r>
            <w:r w:rsidR="000C33B6">
              <w:rPr>
                <w:rFonts w:ascii="ITC Avant Garde" w:hAnsi="ITC Avant Garde" w:cs="Arial"/>
                <w:sz w:val="18"/>
                <w:szCs w:val="18"/>
                <w:lang w:val="es-MX"/>
              </w:rPr>
              <w:t xml:space="preserve">esto es, </w:t>
            </w:r>
            <w:r w:rsidR="00A05486">
              <w:rPr>
                <w:rFonts w:ascii="ITC Avant Garde" w:hAnsi="ITC Avant Garde" w:cs="Arial"/>
                <w:sz w:val="18"/>
                <w:szCs w:val="18"/>
                <w:lang w:val="es-MX"/>
              </w:rPr>
              <w:t xml:space="preserve">para </w:t>
            </w:r>
            <w:r w:rsidR="000C33B6">
              <w:rPr>
                <w:rFonts w:ascii="ITC Avant Garde" w:hAnsi="ITC Avant Garde" w:cs="Arial"/>
                <w:sz w:val="18"/>
                <w:szCs w:val="18"/>
                <w:lang w:val="es-MX"/>
              </w:rPr>
              <w:t>que ocurra</w:t>
            </w:r>
            <w:r w:rsidR="0074060E">
              <w:rPr>
                <w:rFonts w:ascii="ITC Avant Garde" w:hAnsi="ITC Avant Garde" w:cs="Arial"/>
                <w:sz w:val="18"/>
                <w:szCs w:val="18"/>
                <w:lang w:val="es-MX"/>
              </w:rPr>
              <w:t xml:space="preserve"> la transacción). </w:t>
            </w:r>
          </w:p>
          <w:p w14:paraId="5E021C5B" w14:textId="167CD74F" w:rsidR="0099058B" w:rsidRPr="00D25793" w:rsidRDefault="0099058B" w:rsidP="0099058B">
            <w:pPr>
              <w:pStyle w:val="Prrafodelista"/>
              <w:numPr>
                <w:ilvl w:val="0"/>
                <w:numId w:val="34"/>
              </w:numPr>
              <w:spacing w:after="0" w:line="240" w:lineRule="auto"/>
              <w:jc w:val="both"/>
              <w:rPr>
                <w:rFonts w:ascii="ITC Avant Garde" w:hAnsi="ITC Avant Garde" w:cs="Arial"/>
                <w:sz w:val="18"/>
                <w:szCs w:val="18"/>
              </w:rPr>
            </w:pPr>
            <w:r w:rsidRPr="00D25793">
              <w:rPr>
                <w:rFonts w:ascii="ITC Avant Garde" w:hAnsi="ITC Avant Garde" w:cs="Arial"/>
                <w:b/>
                <w:bCs/>
                <w:sz w:val="18"/>
                <w:szCs w:val="18"/>
              </w:rPr>
              <w:t>Plataformas no transaccionales.</w:t>
            </w:r>
            <w:r w:rsidRPr="00D25793">
              <w:rPr>
                <w:rFonts w:ascii="ITC Avant Garde" w:hAnsi="ITC Avant Garde" w:cs="Arial"/>
                <w:sz w:val="18"/>
                <w:szCs w:val="18"/>
              </w:rPr>
              <w:t xml:space="preserve"> Son aquellas en las que</w:t>
            </w:r>
            <w:r w:rsidR="00CE3A82">
              <w:rPr>
                <w:rFonts w:ascii="ITC Avant Garde" w:hAnsi="ITC Avant Garde" w:cs="Arial"/>
                <w:sz w:val="18"/>
                <w:szCs w:val="18"/>
                <w:lang w:val="es-MX"/>
              </w:rPr>
              <w:t xml:space="preserve"> el proveedor media entre</w:t>
            </w:r>
            <w:r w:rsidRPr="00D25793">
              <w:rPr>
                <w:rFonts w:ascii="ITC Avant Garde" w:hAnsi="ITC Avant Garde" w:cs="Arial"/>
                <w:sz w:val="18"/>
                <w:szCs w:val="18"/>
              </w:rPr>
              <w:t xml:space="preserve"> los grupos de usuarios o consumidores </w:t>
            </w:r>
            <w:r w:rsidR="00CE3A82">
              <w:rPr>
                <w:rFonts w:ascii="ITC Avant Garde" w:hAnsi="ITC Avant Garde" w:cs="Arial"/>
                <w:sz w:val="18"/>
                <w:szCs w:val="18"/>
                <w:lang w:val="es-MX"/>
              </w:rPr>
              <w:t xml:space="preserve">que llevan a cabo un tipo de </w:t>
            </w:r>
            <w:r w:rsidRPr="00D25793">
              <w:rPr>
                <w:rFonts w:ascii="ITC Avant Garde" w:hAnsi="ITC Avant Garde" w:cs="Arial"/>
                <w:sz w:val="18"/>
                <w:szCs w:val="18"/>
              </w:rPr>
              <w:t>interac</w:t>
            </w:r>
            <w:r w:rsidR="00CE3A82">
              <w:rPr>
                <w:rFonts w:ascii="ITC Avant Garde" w:hAnsi="ITC Avant Garde" w:cs="Arial"/>
                <w:sz w:val="18"/>
                <w:szCs w:val="18"/>
                <w:lang w:val="es-MX"/>
              </w:rPr>
              <w:t>ción no transaccional y no</w:t>
            </w:r>
            <w:r w:rsidR="00CE3A82" w:rsidRPr="00CE3A82">
              <w:rPr>
                <w:rFonts w:ascii="ITC Avant Garde" w:hAnsi="ITC Avant Garde" w:cs="Arial"/>
                <w:sz w:val="18"/>
                <w:szCs w:val="18"/>
                <w:lang w:val="es-MX"/>
              </w:rPr>
              <w:t xml:space="preserve"> necesariamente exhiben efectos de red positivos bilaterales</w:t>
            </w:r>
            <w:r w:rsidRPr="00D25793">
              <w:rPr>
                <w:rFonts w:ascii="ITC Avant Garde" w:hAnsi="ITC Avant Garde" w:cs="Arial"/>
                <w:sz w:val="18"/>
                <w:szCs w:val="18"/>
              </w:rPr>
              <w:t xml:space="preserve">. </w:t>
            </w:r>
            <w:r w:rsidR="00CE3A82">
              <w:rPr>
                <w:rFonts w:ascii="ITC Avant Garde" w:hAnsi="ITC Avant Garde" w:cs="Arial"/>
                <w:sz w:val="18"/>
                <w:szCs w:val="18"/>
                <w:lang w:val="es-MX"/>
              </w:rPr>
              <w:t>A</w:t>
            </w:r>
            <w:proofErr w:type="spellStart"/>
            <w:r w:rsidR="00CE3A82" w:rsidRPr="00CE3A82">
              <w:rPr>
                <w:rFonts w:ascii="ITC Avant Garde" w:hAnsi="ITC Avant Garde" w:cs="Arial"/>
                <w:sz w:val="18"/>
                <w:szCs w:val="18"/>
              </w:rPr>
              <w:t>lgunas</w:t>
            </w:r>
            <w:proofErr w:type="spellEnd"/>
            <w:r w:rsidR="00CE3A82" w:rsidRPr="00CE3A82">
              <w:rPr>
                <w:rFonts w:ascii="ITC Avant Garde" w:hAnsi="ITC Avant Garde" w:cs="Arial"/>
                <w:sz w:val="18"/>
                <w:szCs w:val="18"/>
              </w:rPr>
              <w:t xml:space="preserve"> plataformas </w:t>
            </w:r>
            <w:r w:rsidR="00CE3A82">
              <w:rPr>
                <w:rFonts w:ascii="ITC Avant Garde" w:hAnsi="ITC Avant Garde" w:cs="Arial"/>
                <w:sz w:val="18"/>
                <w:szCs w:val="18"/>
                <w:lang w:val="es-MX"/>
              </w:rPr>
              <w:t>no transaccionales</w:t>
            </w:r>
            <w:r w:rsidR="00CE3A82" w:rsidRPr="00CE3A82">
              <w:rPr>
                <w:rFonts w:ascii="ITC Avant Garde" w:hAnsi="ITC Avant Garde" w:cs="Arial"/>
                <w:sz w:val="18"/>
                <w:szCs w:val="18"/>
              </w:rPr>
              <w:t xml:space="preserve"> pueden </w:t>
            </w:r>
            <w:r w:rsidR="008043FA">
              <w:rPr>
                <w:rFonts w:ascii="ITC Avant Garde" w:hAnsi="ITC Avant Garde" w:cs="Arial"/>
                <w:sz w:val="18"/>
                <w:szCs w:val="18"/>
                <w:lang w:val="es-MX"/>
              </w:rPr>
              <w:t>surgir</w:t>
            </w:r>
            <w:r w:rsidR="008043FA" w:rsidRPr="00CE3A82">
              <w:rPr>
                <w:rFonts w:ascii="ITC Avant Garde" w:hAnsi="ITC Avant Garde" w:cs="Arial"/>
                <w:sz w:val="18"/>
                <w:szCs w:val="18"/>
              </w:rPr>
              <w:t xml:space="preserve"> </w:t>
            </w:r>
            <w:r w:rsidR="00CE3A82" w:rsidRPr="00CE3A82">
              <w:rPr>
                <w:rFonts w:ascii="ITC Avant Garde" w:hAnsi="ITC Avant Garde" w:cs="Arial"/>
                <w:sz w:val="18"/>
                <w:szCs w:val="18"/>
              </w:rPr>
              <w:t>con un solo lado y el segundo lado puede agregarse en una etapa posterior.</w:t>
            </w:r>
            <w:r w:rsidR="00CE3A82">
              <w:rPr>
                <w:rFonts w:ascii="ITC Avant Garde" w:hAnsi="ITC Avant Garde" w:cs="Arial"/>
                <w:sz w:val="18"/>
                <w:szCs w:val="18"/>
                <w:lang w:val="es-MX"/>
              </w:rPr>
              <w:t xml:space="preserve"> </w:t>
            </w:r>
            <w:r w:rsidRPr="00D25793">
              <w:rPr>
                <w:rFonts w:ascii="ITC Avant Garde" w:hAnsi="ITC Avant Garde" w:cs="Arial"/>
                <w:sz w:val="18"/>
                <w:szCs w:val="18"/>
              </w:rPr>
              <w:t xml:space="preserve">En este tipo de plataformas se incluyen la TV Abierta y Radio Sonora, las redes sociales y </w:t>
            </w:r>
            <w:r w:rsidRPr="00D25793">
              <w:rPr>
                <w:rFonts w:ascii="ITC Avant Garde" w:hAnsi="ITC Avant Garde" w:cs="Arial"/>
                <w:sz w:val="18"/>
                <w:szCs w:val="18"/>
                <w:lang w:val="es-MX"/>
              </w:rPr>
              <w:t xml:space="preserve">los </w:t>
            </w:r>
            <w:r w:rsidRPr="00D25793">
              <w:rPr>
                <w:rFonts w:ascii="ITC Avant Garde" w:hAnsi="ITC Avant Garde" w:cs="Arial"/>
                <w:sz w:val="18"/>
                <w:szCs w:val="18"/>
              </w:rPr>
              <w:t>servicios de audio o audio y video por Internet respaldados por publicidad.</w:t>
            </w:r>
          </w:p>
          <w:p w14:paraId="031605A5" w14:textId="77777777" w:rsidR="00B04C59" w:rsidRPr="00D25793" w:rsidRDefault="00B04C59" w:rsidP="0099058B">
            <w:pPr>
              <w:spacing w:after="0" w:line="240" w:lineRule="auto"/>
              <w:jc w:val="both"/>
              <w:rPr>
                <w:rFonts w:ascii="ITC Avant Garde" w:hAnsi="ITC Avant Garde" w:cs="Arial"/>
                <w:sz w:val="18"/>
                <w:szCs w:val="18"/>
                <w:lang w:val="x-none"/>
              </w:rPr>
            </w:pPr>
            <w:bookmarkStart w:id="34" w:name="_Hlk84528916"/>
            <w:bookmarkEnd w:id="33"/>
          </w:p>
          <w:p w14:paraId="53CB18AF" w14:textId="7DC2ABB9" w:rsidR="006B2288"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lang w:val="x-none"/>
              </w:rPr>
              <w:t xml:space="preserve">La delimitación del MR en estas situaciones presenta como principales retos, </w:t>
            </w:r>
            <w:r w:rsidR="00032116">
              <w:rPr>
                <w:rFonts w:ascii="ITC Avant Garde" w:hAnsi="ITC Avant Garde" w:cs="Arial"/>
                <w:sz w:val="18"/>
                <w:szCs w:val="18"/>
              </w:rPr>
              <w:t>lo siguiente</w:t>
            </w:r>
            <w:r w:rsidRPr="00D25793">
              <w:rPr>
                <w:rFonts w:ascii="ITC Avant Garde" w:hAnsi="ITC Avant Garde" w:cs="Arial"/>
                <w:sz w:val="18"/>
                <w:szCs w:val="18"/>
              </w:rPr>
              <w:t>:</w:t>
            </w:r>
          </w:p>
          <w:p w14:paraId="3EF09AE9" w14:textId="5261EAB8" w:rsidR="006B2288" w:rsidRPr="00D533B7" w:rsidRDefault="00175A53" w:rsidP="00D533B7">
            <w:pPr>
              <w:pStyle w:val="Prrafodelista"/>
              <w:numPr>
                <w:ilvl w:val="0"/>
                <w:numId w:val="37"/>
              </w:numPr>
              <w:spacing w:after="0" w:line="240" w:lineRule="auto"/>
              <w:jc w:val="both"/>
              <w:rPr>
                <w:rFonts w:ascii="ITC Avant Garde" w:hAnsi="ITC Avant Garde" w:cs="Arial"/>
                <w:sz w:val="18"/>
                <w:szCs w:val="18"/>
              </w:rPr>
            </w:pPr>
            <w:r>
              <w:rPr>
                <w:rFonts w:ascii="ITC Avant Garde" w:hAnsi="ITC Avant Garde" w:cs="Arial"/>
                <w:sz w:val="18"/>
                <w:szCs w:val="18"/>
                <w:lang w:val="es-MX"/>
              </w:rPr>
              <w:t>C</w:t>
            </w:r>
            <w:r w:rsidR="002E4FF7">
              <w:rPr>
                <w:rFonts w:ascii="ITC Avant Garde" w:hAnsi="ITC Avant Garde" w:cs="Arial"/>
                <w:sz w:val="18"/>
                <w:szCs w:val="18"/>
                <w:lang w:val="es-MX"/>
              </w:rPr>
              <w:t>orroborar</w:t>
            </w:r>
            <w:r w:rsidR="00CF1E28">
              <w:rPr>
                <w:rFonts w:ascii="ITC Avant Garde" w:hAnsi="ITC Avant Garde" w:cs="Arial"/>
                <w:sz w:val="18"/>
                <w:szCs w:val="18"/>
                <w:lang w:val="es-MX"/>
              </w:rPr>
              <w:t xml:space="preserve"> </w:t>
            </w:r>
            <w:r w:rsidR="0099058B" w:rsidRPr="00D533B7">
              <w:rPr>
                <w:rFonts w:ascii="ITC Avant Garde" w:hAnsi="ITC Avant Garde" w:cs="Arial"/>
                <w:sz w:val="18"/>
                <w:szCs w:val="18"/>
              </w:rPr>
              <w:t>si efectivamente se trata de un mercado de múltiples lados, para lo cual se deben identificar y caracterizar los efectos indirectos de red que ligan las demandas de los lados de la plataforma y evaluar si dichos efectos son positivos o negativos</w:t>
            </w:r>
            <w:r w:rsidR="00907257">
              <w:rPr>
                <w:rFonts w:ascii="ITC Avant Garde" w:hAnsi="ITC Avant Garde" w:cs="Arial"/>
                <w:sz w:val="18"/>
                <w:szCs w:val="18"/>
                <w:lang w:val="es-MX"/>
              </w:rPr>
              <w:t>.</w:t>
            </w:r>
            <w:r w:rsidR="0099058B" w:rsidRPr="00D533B7">
              <w:rPr>
                <w:rFonts w:ascii="ITC Avant Garde" w:hAnsi="ITC Avant Garde" w:cs="Arial"/>
                <w:sz w:val="18"/>
                <w:szCs w:val="18"/>
              </w:rPr>
              <w:t xml:space="preserve"> </w:t>
            </w:r>
          </w:p>
          <w:p w14:paraId="2E26458E" w14:textId="07C31E46" w:rsidR="006B2288" w:rsidRDefault="00175A53" w:rsidP="006B2288">
            <w:pPr>
              <w:pStyle w:val="Prrafodelista"/>
              <w:numPr>
                <w:ilvl w:val="0"/>
                <w:numId w:val="37"/>
              </w:numPr>
              <w:spacing w:after="0" w:line="240" w:lineRule="auto"/>
              <w:jc w:val="both"/>
              <w:rPr>
                <w:rFonts w:ascii="ITC Avant Garde" w:hAnsi="ITC Avant Garde" w:cs="Arial"/>
                <w:sz w:val="18"/>
                <w:szCs w:val="18"/>
              </w:rPr>
            </w:pPr>
            <w:r>
              <w:rPr>
                <w:rFonts w:ascii="ITC Avant Garde" w:hAnsi="ITC Avant Garde" w:cs="Arial"/>
                <w:sz w:val="18"/>
                <w:szCs w:val="18"/>
                <w:lang w:val="es-MX"/>
              </w:rPr>
              <w:t>D</w:t>
            </w:r>
            <w:proofErr w:type="spellStart"/>
            <w:r w:rsidR="0099058B" w:rsidRPr="00D533B7">
              <w:rPr>
                <w:rFonts w:ascii="ITC Avant Garde" w:hAnsi="ITC Avant Garde" w:cs="Arial"/>
                <w:sz w:val="18"/>
                <w:szCs w:val="18"/>
              </w:rPr>
              <w:t>eterminar</w:t>
            </w:r>
            <w:proofErr w:type="spellEnd"/>
            <w:r w:rsidR="0099058B" w:rsidRPr="00D533B7">
              <w:rPr>
                <w:rFonts w:ascii="ITC Avant Garde" w:hAnsi="ITC Avant Garde" w:cs="Arial"/>
                <w:sz w:val="18"/>
                <w:szCs w:val="18"/>
              </w:rPr>
              <w:t xml:space="preserve"> si existen límites a la fijación bilateral de precios entre </w:t>
            </w:r>
            <w:r w:rsidR="006D7F7F" w:rsidRPr="00D533B7">
              <w:rPr>
                <w:rFonts w:ascii="ITC Avant Garde" w:hAnsi="ITC Avant Garde" w:cs="Arial"/>
                <w:sz w:val="18"/>
                <w:szCs w:val="18"/>
              </w:rPr>
              <w:t xml:space="preserve">usuarios de </w:t>
            </w:r>
            <w:r w:rsidR="00716F0D">
              <w:rPr>
                <w:rFonts w:ascii="ITC Avant Garde" w:hAnsi="ITC Avant Garde" w:cs="Arial"/>
                <w:sz w:val="18"/>
                <w:szCs w:val="18"/>
                <w:lang w:val="es-MX"/>
              </w:rPr>
              <w:t xml:space="preserve">los </w:t>
            </w:r>
            <w:r w:rsidR="006D7F7F" w:rsidRPr="00D533B7">
              <w:rPr>
                <w:rFonts w:ascii="ITC Avant Garde" w:hAnsi="ITC Avant Garde" w:cs="Arial"/>
                <w:sz w:val="18"/>
                <w:szCs w:val="18"/>
              </w:rPr>
              <w:t>diferentes lados</w:t>
            </w:r>
            <w:r w:rsidR="0099058B" w:rsidRPr="00D533B7">
              <w:rPr>
                <w:rFonts w:ascii="ITC Avant Garde" w:hAnsi="ITC Avant Garde" w:cs="Arial"/>
                <w:sz w:val="18"/>
                <w:szCs w:val="18"/>
              </w:rPr>
              <w:t xml:space="preserve">, esto es, si la plataforma puede limitar la capacidad de los diferentes </w:t>
            </w:r>
            <w:r w:rsidR="00716F0D">
              <w:rPr>
                <w:rFonts w:ascii="ITC Avant Garde" w:hAnsi="ITC Avant Garde" w:cs="Arial"/>
                <w:sz w:val="18"/>
                <w:szCs w:val="18"/>
                <w:lang w:val="es-MX"/>
              </w:rPr>
              <w:t>grupo</w:t>
            </w:r>
            <w:r w:rsidR="00716F0D" w:rsidRPr="00D533B7">
              <w:rPr>
                <w:rFonts w:ascii="ITC Avant Garde" w:hAnsi="ITC Avant Garde" w:cs="Arial"/>
                <w:sz w:val="18"/>
                <w:szCs w:val="18"/>
              </w:rPr>
              <w:t xml:space="preserve">s </w:t>
            </w:r>
            <w:r w:rsidR="0099058B" w:rsidRPr="00D533B7">
              <w:rPr>
                <w:rFonts w:ascii="ITC Avant Garde" w:hAnsi="ITC Avant Garde" w:cs="Arial"/>
                <w:sz w:val="18"/>
                <w:szCs w:val="18"/>
              </w:rPr>
              <w:t xml:space="preserve">de </w:t>
            </w:r>
            <w:r w:rsidR="006D7F7F" w:rsidRPr="00D533B7">
              <w:rPr>
                <w:rFonts w:ascii="ITC Avant Garde" w:hAnsi="ITC Avant Garde" w:cs="Arial"/>
                <w:sz w:val="18"/>
                <w:szCs w:val="18"/>
              </w:rPr>
              <w:t xml:space="preserve">usuarios </w:t>
            </w:r>
            <w:r w:rsidR="0099058B" w:rsidRPr="00D533B7">
              <w:rPr>
                <w:rFonts w:ascii="ITC Avant Garde" w:hAnsi="ITC Avant Garde" w:cs="Arial"/>
                <w:sz w:val="18"/>
                <w:szCs w:val="18"/>
              </w:rPr>
              <w:t>de traspas</w:t>
            </w:r>
            <w:r w:rsidR="006D7F7F" w:rsidRPr="00D533B7">
              <w:rPr>
                <w:rFonts w:ascii="ITC Avant Garde" w:hAnsi="ITC Avant Garde" w:cs="Arial"/>
                <w:sz w:val="18"/>
                <w:szCs w:val="18"/>
              </w:rPr>
              <w:t>ar</w:t>
            </w:r>
            <w:r w:rsidR="0099058B" w:rsidRPr="00D533B7">
              <w:rPr>
                <w:rFonts w:ascii="ITC Avant Garde" w:hAnsi="ITC Avant Garde" w:cs="Arial"/>
                <w:sz w:val="18"/>
                <w:szCs w:val="18"/>
              </w:rPr>
              <w:t xml:space="preserve"> costos o “</w:t>
            </w:r>
            <w:proofErr w:type="spellStart"/>
            <w:r w:rsidR="0099058B" w:rsidRPr="00D533B7">
              <w:rPr>
                <w:rFonts w:ascii="ITC Avant Garde" w:hAnsi="ITC Avant Garde" w:cs="Arial"/>
                <w:i/>
                <w:sz w:val="18"/>
                <w:szCs w:val="18"/>
              </w:rPr>
              <w:t>pass-through</w:t>
            </w:r>
            <w:proofErr w:type="spellEnd"/>
            <w:r w:rsidR="0099058B" w:rsidRPr="00D533B7">
              <w:rPr>
                <w:rFonts w:ascii="ITC Avant Garde" w:hAnsi="ITC Avant Garde" w:cs="Arial"/>
                <w:sz w:val="18"/>
                <w:szCs w:val="18"/>
              </w:rPr>
              <w:t>”, por su término en inglés</w:t>
            </w:r>
            <w:r w:rsidR="00907257">
              <w:rPr>
                <w:rFonts w:ascii="ITC Avant Garde" w:hAnsi="ITC Avant Garde" w:cs="Arial"/>
                <w:sz w:val="18"/>
                <w:szCs w:val="18"/>
                <w:lang w:val="es-MX"/>
              </w:rPr>
              <w:t>.</w:t>
            </w:r>
            <w:r w:rsidR="0099058B" w:rsidRPr="00D533B7">
              <w:rPr>
                <w:rFonts w:ascii="ITC Avant Garde" w:hAnsi="ITC Avant Garde" w:cs="Arial"/>
                <w:sz w:val="18"/>
                <w:szCs w:val="18"/>
              </w:rPr>
              <w:t xml:space="preserve"> </w:t>
            </w:r>
          </w:p>
          <w:p w14:paraId="295E599E" w14:textId="2C6AF404" w:rsidR="0099058B" w:rsidRPr="00B45D4E" w:rsidRDefault="00907257" w:rsidP="00D533B7">
            <w:pPr>
              <w:pStyle w:val="Prrafodelista"/>
              <w:numPr>
                <w:ilvl w:val="0"/>
                <w:numId w:val="37"/>
              </w:numPr>
              <w:spacing w:after="0" w:line="240" w:lineRule="auto"/>
              <w:jc w:val="both"/>
              <w:rPr>
                <w:rFonts w:ascii="ITC Avant Garde" w:hAnsi="ITC Avant Garde" w:cs="Arial"/>
                <w:sz w:val="18"/>
                <w:szCs w:val="18"/>
              </w:rPr>
            </w:pPr>
            <w:r>
              <w:rPr>
                <w:rFonts w:ascii="ITC Avant Garde" w:hAnsi="ITC Avant Garde" w:cs="Arial"/>
                <w:sz w:val="18"/>
                <w:szCs w:val="18"/>
                <w:lang w:val="es-MX"/>
              </w:rPr>
              <w:t>D</w:t>
            </w:r>
            <w:r w:rsidR="006B2288">
              <w:rPr>
                <w:rFonts w:ascii="ITC Avant Garde" w:hAnsi="ITC Avant Garde" w:cs="Arial"/>
                <w:sz w:val="18"/>
                <w:szCs w:val="18"/>
                <w:lang w:val="es-MX"/>
              </w:rPr>
              <w:t xml:space="preserve">efinir </w:t>
            </w:r>
            <w:r w:rsidR="00753FDA" w:rsidRPr="00753FDA">
              <w:rPr>
                <w:rFonts w:ascii="ITC Avant Garde" w:hAnsi="ITC Avant Garde" w:cs="Arial"/>
                <w:sz w:val="18"/>
                <w:szCs w:val="18"/>
                <w:lang w:val="es-MX"/>
              </w:rPr>
              <w:t>la manera más adecuada para representar la estructura del mercado de la plataforma</w:t>
            </w:r>
            <w:r w:rsidR="00753FDA">
              <w:rPr>
                <w:rFonts w:ascii="ITC Avant Garde" w:hAnsi="ITC Avant Garde" w:cs="Arial"/>
                <w:sz w:val="18"/>
                <w:szCs w:val="18"/>
                <w:lang w:val="es-MX"/>
              </w:rPr>
              <w:t>, esto es</w:t>
            </w:r>
            <w:r>
              <w:rPr>
                <w:rFonts w:ascii="ITC Avant Garde" w:hAnsi="ITC Avant Garde" w:cs="Arial"/>
                <w:sz w:val="18"/>
                <w:szCs w:val="18"/>
                <w:lang w:val="es-MX"/>
              </w:rPr>
              <w:t>,</w:t>
            </w:r>
            <w:r w:rsidR="00753FDA">
              <w:rPr>
                <w:rFonts w:ascii="ITC Avant Garde" w:hAnsi="ITC Avant Garde" w:cs="Arial"/>
                <w:sz w:val="18"/>
                <w:szCs w:val="18"/>
                <w:lang w:val="es-MX"/>
              </w:rPr>
              <w:t xml:space="preserve"> si </w:t>
            </w:r>
            <w:r w:rsidR="002E4FF7">
              <w:rPr>
                <w:rFonts w:ascii="ITC Avant Garde" w:hAnsi="ITC Avant Garde" w:cs="Arial"/>
                <w:sz w:val="18"/>
                <w:szCs w:val="18"/>
                <w:lang w:val="es-MX"/>
              </w:rPr>
              <w:t>s</w:t>
            </w:r>
            <w:r w:rsidR="00753FDA">
              <w:rPr>
                <w:rFonts w:ascii="ITC Avant Garde" w:hAnsi="ITC Avant Garde" w:cs="Arial"/>
                <w:sz w:val="18"/>
                <w:szCs w:val="18"/>
                <w:lang w:val="es-MX"/>
              </w:rPr>
              <w:t>e analizan</w:t>
            </w:r>
            <w:r w:rsidR="0099058B" w:rsidDel="00753FDA">
              <w:rPr>
                <w:rFonts w:ascii="ITC Avant Garde" w:hAnsi="ITC Avant Garde" w:cs="Arial"/>
                <w:sz w:val="18"/>
                <w:szCs w:val="18"/>
                <w:lang w:val="es-MX"/>
              </w:rPr>
              <w:t xml:space="preserve"> </w:t>
            </w:r>
            <w:r w:rsidR="0099058B" w:rsidRPr="00907257">
              <w:rPr>
                <w:rFonts w:ascii="ITC Avant Garde" w:hAnsi="ITC Avant Garde" w:cs="Arial"/>
                <w:sz w:val="18"/>
                <w:szCs w:val="18"/>
              </w:rPr>
              <w:t>MR separados para cada uno de los lados o si la plataforma y sus distintos lados conforman un mismo MR.</w:t>
            </w:r>
          </w:p>
          <w:p w14:paraId="23A0D472" w14:textId="77777777" w:rsidR="0099058B" w:rsidRPr="00D25793" w:rsidRDefault="0099058B" w:rsidP="0099058B">
            <w:pPr>
              <w:spacing w:after="0" w:line="240" w:lineRule="auto"/>
              <w:jc w:val="both"/>
              <w:rPr>
                <w:rFonts w:ascii="ITC Avant Garde" w:hAnsi="ITC Avant Garde" w:cs="Arial"/>
                <w:sz w:val="18"/>
                <w:szCs w:val="18"/>
                <w:lang w:val="x-none"/>
              </w:rPr>
            </w:pPr>
          </w:p>
          <w:p w14:paraId="3FA79BC7" w14:textId="4F54A3DC" w:rsidR="0099058B" w:rsidRPr="00D25793" w:rsidRDefault="0099058B" w:rsidP="0099058B">
            <w:pPr>
              <w:spacing w:after="0" w:line="240" w:lineRule="auto"/>
              <w:jc w:val="both"/>
              <w:rPr>
                <w:rFonts w:ascii="ITC Avant Garde" w:hAnsi="ITC Avant Garde" w:cs="Arial"/>
                <w:sz w:val="18"/>
                <w:szCs w:val="18"/>
                <w:lang w:val="x-none"/>
              </w:rPr>
            </w:pPr>
            <w:r w:rsidRPr="00D25793">
              <w:rPr>
                <w:rFonts w:ascii="ITC Avant Garde" w:hAnsi="ITC Avant Garde" w:cs="Arial"/>
                <w:sz w:val="18"/>
                <w:szCs w:val="18"/>
                <w:lang w:val="x-none"/>
              </w:rPr>
              <w:t xml:space="preserve">Otra cuestión a considerar en los mercados de múltiples lados es la presencia de precio cero o pago en especie en alguno de los lados, es decir, </w:t>
            </w:r>
            <w:r w:rsidR="007C6E54" w:rsidRPr="00D25793">
              <w:rPr>
                <w:rFonts w:ascii="ITC Avant Garde" w:hAnsi="ITC Avant Garde" w:cs="Arial"/>
                <w:sz w:val="18"/>
                <w:szCs w:val="18"/>
              </w:rPr>
              <w:t>cuando</w:t>
            </w:r>
            <w:r w:rsidRPr="00D25793">
              <w:rPr>
                <w:rFonts w:ascii="ITC Avant Garde" w:hAnsi="ITC Avant Garde" w:cs="Arial"/>
                <w:sz w:val="18"/>
                <w:szCs w:val="18"/>
                <w:lang w:val="x-none"/>
              </w:rPr>
              <w:t xml:space="preserve"> el proveedor del servicio no establece cargos por el acceso o uso de la plataforma. En ciertos casos, los usuarios del servicio pueden, a cambio, prestar su atención a publicidad o proporcionar acceso a sus datos. Esta característica, como se verá más adelante, tiene implicaciones en la aplicación de la Prueba SSNIP para determinar el MR.</w:t>
            </w:r>
          </w:p>
          <w:bookmarkEnd w:id="34"/>
          <w:p w14:paraId="1C1008FF" w14:textId="77777777" w:rsidR="0099058B" w:rsidRPr="00D25793" w:rsidRDefault="0099058B" w:rsidP="0099058B">
            <w:pPr>
              <w:spacing w:after="0" w:line="240" w:lineRule="auto"/>
              <w:jc w:val="both"/>
              <w:rPr>
                <w:rFonts w:ascii="ITC Avant Garde" w:hAnsi="ITC Avant Garde" w:cs="Arial"/>
                <w:sz w:val="18"/>
                <w:szCs w:val="18"/>
                <w:lang w:val="x-none"/>
              </w:rPr>
            </w:pPr>
          </w:p>
          <w:p w14:paraId="2E35E119" w14:textId="77777777" w:rsidR="0099058B" w:rsidRPr="00D25793" w:rsidRDefault="0099058B" w:rsidP="0099058B">
            <w:pPr>
              <w:spacing w:after="0" w:line="240" w:lineRule="auto"/>
              <w:jc w:val="both"/>
              <w:rPr>
                <w:rFonts w:ascii="ITC Avant Garde" w:hAnsi="ITC Avant Garde" w:cs="Arial"/>
                <w:b/>
                <w:bCs/>
                <w:sz w:val="18"/>
                <w:szCs w:val="18"/>
                <w:lang w:val="x-none"/>
              </w:rPr>
            </w:pPr>
            <w:r w:rsidRPr="00D25793">
              <w:rPr>
                <w:rFonts w:ascii="ITC Avant Garde" w:hAnsi="ITC Avant Garde" w:cs="Arial"/>
                <w:b/>
                <w:bCs/>
                <w:sz w:val="18"/>
                <w:szCs w:val="18"/>
                <w:lang w:val="x-none"/>
              </w:rPr>
              <w:t>9.</w:t>
            </w:r>
            <w:r w:rsidRPr="00D25793">
              <w:rPr>
                <w:rFonts w:ascii="ITC Avant Garde" w:hAnsi="ITC Avant Garde" w:cs="Arial"/>
                <w:b/>
                <w:bCs/>
                <w:sz w:val="18"/>
                <w:szCs w:val="18"/>
              </w:rPr>
              <w:t>5.</w:t>
            </w:r>
            <w:r w:rsidRPr="00D25793">
              <w:rPr>
                <w:rFonts w:ascii="ITC Avant Garde" w:hAnsi="ITC Avant Garde" w:cs="Arial"/>
                <w:b/>
                <w:bCs/>
                <w:sz w:val="18"/>
                <w:szCs w:val="18"/>
                <w:lang w:val="x-none"/>
              </w:rPr>
              <w:t>1.</w:t>
            </w:r>
            <w:r w:rsidRPr="00D25793">
              <w:rPr>
                <w:rFonts w:ascii="ITC Avant Garde" w:hAnsi="ITC Avant Garde" w:cs="Arial"/>
                <w:b/>
                <w:bCs/>
                <w:sz w:val="18"/>
                <w:szCs w:val="18"/>
                <w:lang w:val="x-none"/>
              </w:rPr>
              <w:tab/>
              <w:t>Precedentes decisorios del Instituto</w:t>
            </w:r>
          </w:p>
          <w:p w14:paraId="64095A57" w14:textId="77777777" w:rsidR="0099058B" w:rsidRPr="00D25793" w:rsidRDefault="0099058B" w:rsidP="0099058B">
            <w:pPr>
              <w:spacing w:after="0" w:line="240" w:lineRule="auto"/>
              <w:jc w:val="both"/>
              <w:rPr>
                <w:rFonts w:ascii="ITC Avant Garde" w:hAnsi="ITC Avant Garde" w:cs="Arial"/>
                <w:sz w:val="18"/>
                <w:szCs w:val="18"/>
                <w:lang w:val="x-none"/>
              </w:rPr>
            </w:pPr>
          </w:p>
          <w:p w14:paraId="55DBA8C6" w14:textId="401A90F4" w:rsidR="0099058B" w:rsidRPr="008A0A7D"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lang w:val="x-none"/>
              </w:rPr>
              <w:t>El Instituto ha analizado la Radio Sonora comercial,</w:t>
            </w:r>
            <w:r w:rsidRPr="00D25793">
              <w:rPr>
                <w:rFonts w:ascii="ITC Avant Garde" w:hAnsi="ITC Avant Garde" w:cs="Arial"/>
                <w:sz w:val="18"/>
                <w:szCs w:val="18"/>
                <w:vertAlign w:val="superscript"/>
              </w:rPr>
              <w:t xml:space="preserve">**[Nueva nota al pie </w:t>
            </w:r>
            <w:r w:rsidR="00032116">
              <w:rPr>
                <w:rFonts w:ascii="ITC Avant Garde" w:hAnsi="ITC Avant Garde" w:cs="Arial"/>
                <w:sz w:val="18"/>
                <w:szCs w:val="18"/>
                <w:vertAlign w:val="superscript"/>
              </w:rPr>
              <w:t>3</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la TV Abierta comercial</w:t>
            </w:r>
            <w:r w:rsidRPr="00D25793">
              <w:rPr>
                <w:rFonts w:ascii="ITC Avant Garde" w:hAnsi="ITC Avant Garde" w:cs="Arial"/>
                <w:sz w:val="18"/>
                <w:szCs w:val="18"/>
                <w:vertAlign w:val="superscript"/>
              </w:rPr>
              <w:t xml:space="preserve">**[Nueva nota al pie </w:t>
            </w:r>
            <w:r w:rsidR="00032116">
              <w:rPr>
                <w:rFonts w:ascii="ITC Avant Garde" w:hAnsi="ITC Avant Garde" w:cs="Arial"/>
                <w:sz w:val="18"/>
                <w:szCs w:val="18"/>
                <w:vertAlign w:val="superscript"/>
              </w:rPr>
              <w:t>4</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y el STAR</w:t>
            </w:r>
            <w:r w:rsidRPr="00D25793">
              <w:rPr>
                <w:rFonts w:ascii="ITC Avant Garde" w:hAnsi="ITC Avant Garde" w:cs="Arial"/>
                <w:sz w:val="18"/>
                <w:szCs w:val="18"/>
                <w:vertAlign w:val="superscript"/>
              </w:rPr>
              <w:t>**[Nueva nota al pie</w:t>
            </w:r>
            <w:r w:rsidR="00032116">
              <w:rPr>
                <w:rFonts w:ascii="ITC Avant Garde" w:hAnsi="ITC Avant Garde" w:cs="Arial"/>
                <w:sz w:val="18"/>
                <w:szCs w:val="18"/>
                <w:vertAlign w:val="superscript"/>
              </w:rPr>
              <w:t>5</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como mercados de dos lados; en todos los casos señalados se analizó la estrategia de precios de la plataforma en cada lado y la interdependencia de las demandas de los dos grupos de usuarios. </w:t>
            </w:r>
            <w:bookmarkStart w:id="35" w:name="_Hlk85144928"/>
            <w:r w:rsidR="008A0A7D">
              <w:rPr>
                <w:rFonts w:ascii="ITC Avant Garde" w:hAnsi="ITC Avant Garde" w:cs="Arial"/>
                <w:sz w:val="18"/>
                <w:szCs w:val="18"/>
              </w:rPr>
              <w:t xml:space="preserve">Además, </w:t>
            </w:r>
            <w:r w:rsidR="00AF17D0">
              <w:rPr>
                <w:rFonts w:ascii="ITC Avant Garde" w:hAnsi="ITC Avant Garde" w:cs="Arial"/>
                <w:sz w:val="18"/>
                <w:szCs w:val="18"/>
              </w:rPr>
              <w:t xml:space="preserve">el Instituto </w:t>
            </w:r>
            <w:r w:rsidR="008A0A7D">
              <w:rPr>
                <w:rFonts w:ascii="ITC Avant Garde" w:hAnsi="ITC Avant Garde" w:cs="Arial"/>
                <w:sz w:val="18"/>
                <w:szCs w:val="18"/>
              </w:rPr>
              <w:t xml:space="preserve">ha colaborado </w:t>
            </w:r>
            <w:r w:rsidR="005F4B0E">
              <w:rPr>
                <w:rFonts w:ascii="ITC Avant Garde" w:hAnsi="ITC Avant Garde" w:cs="Arial"/>
                <w:sz w:val="18"/>
                <w:szCs w:val="18"/>
              </w:rPr>
              <w:t xml:space="preserve">a nivel internacional en el desarrollo de elementos y recomendaciones para el análisis </w:t>
            </w:r>
            <w:r w:rsidR="005F4B0E">
              <w:rPr>
                <w:rFonts w:ascii="ITC Avant Garde" w:hAnsi="ITC Avant Garde" w:cs="Arial"/>
                <w:sz w:val="18"/>
                <w:szCs w:val="18"/>
              </w:rPr>
              <w:lastRenderedPageBreak/>
              <w:t xml:space="preserve">de </w:t>
            </w:r>
            <w:r w:rsidR="005F4B0E" w:rsidRPr="005F4B0E">
              <w:rPr>
                <w:rFonts w:ascii="ITC Avant Garde" w:hAnsi="ITC Avant Garde" w:cs="Arial"/>
                <w:sz w:val="18"/>
                <w:szCs w:val="18"/>
              </w:rPr>
              <w:t>competencia económica de las plataformas digitales, entre los cuales destacan</w:t>
            </w:r>
            <w:r w:rsidR="001424FD">
              <w:rPr>
                <w:rFonts w:ascii="ITC Avant Garde" w:hAnsi="ITC Avant Garde" w:cs="Arial"/>
                <w:sz w:val="18"/>
                <w:szCs w:val="18"/>
              </w:rPr>
              <w:t>: i)</w:t>
            </w:r>
            <w:r w:rsidR="001424FD">
              <w:t xml:space="preserve"> </w:t>
            </w:r>
            <w:r w:rsidR="001424FD" w:rsidRPr="001424FD">
              <w:rPr>
                <w:rFonts w:ascii="ITC Avant Garde" w:hAnsi="ITC Avant Garde" w:cs="Arial"/>
                <w:sz w:val="18"/>
                <w:szCs w:val="18"/>
              </w:rPr>
              <w:t xml:space="preserve">la relevancia de considerar el impacto de los efectos indirectos de red </w:t>
            </w:r>
            <w:r w:rsidR="001424FD">
              <w:rPr>
                <w:rFonts w:ascii="ITC Avant Garde" w:hAnsi="ITC Avant Garde" w:cs="Arial"/>
                <w:sz w:val="18"/>
                <w:szCs w:val="18"/>
              </w:rPr>
              <w:t xml:space="preserve">como una característica económica clave de las plataformas digitales, </w:t>
            </w:r>
            <w:proofErr w:type="spellStart"/>
            <w:r w:rsidR="001424FD">
              <w:rPr>
                <w:rFonts w:ascii="ITC Avant Garde" w:hAnsi="ITC Avant Garde" w:cs="Arial"/>
                <w:sz w:val="18"/>
                <w:szCs w:val="18"/>
              </w:rPr>
              <w:t>ii</w:t>
            </w:r>
            <w:proofErr w:type="spellEnd"/>
            <w:r w:rsidR="001424FD">
              <w:rPr>
                <w:rFonts w:ascii="ITC Avant Garde" w:hAnsi="ITC Avant Garde" w:cs="Arial"/>
                <w:sz w:val="18"/>
                <w:szCs w:val="18"/>
              </w:rPr>
              <w:t xml:space="preserve">) </w:t>
            </w:r>
            <w:r w:rsidR="005F4B0E" w:rsidRPr="005F4B0E">
              <w:rPr>
                <w:rFonts w:ascii="ITC Avant Garde" w:hAnsi="ITC Avant Garde" w:cs="Arial"/>
                <w:sz w:val="18"/>
                <w:szCs w:val="18"/>
              </w:rPr>
              <w:t xml:space="preserve">la </w:t>
            </w:r>
            <w:r w:rsidR="001424FD">
              <w:rPr>
                <w:rFonts w:ascii="ITC Avant Garde" w:hAnsi="ITC Avant Garde" w:cs="Arial"/>
                <w:sz w:val="18"/>
                <w:szCs w:val="18"/>
              </w:rPr>
              <w:t>importancia</w:t>
            </w:r>
            <w:r w:rsidR="005F4B0E" w:rsidRPr="005F4B0E">
              <w:rPr>
                <w:rFonts w:ascii="ITC Avant Garde" w:hAnsi="ITC Avant Garde" w:cs="Arial"/>
                <w:sz w:val="18"/>
                <w:szCs w:val="18"/>
              </w:rPr>
              <w:t xml:space="preserve"> de considerar el</w:t>
            </w:r>
            <w:r w:rsidR="001424FD">
              <w:rPr>
                <w:rFonts w:ascii="ITC Avant Garde" w:hAnsi="ITC Avant Garde" w:cs="Arial"/>
                <w:sz w:val="18"/>
                <w:szCs w:val="18"/>
              </w:rPr>
              <w:t xml:space="preserve"> modelo de negocios de la plataforma, </w:t>
            </w:r>
            <w:proofErr w:type="spellStart"/>
            <w:r w:rsidR="00CE2CB8">
              <w:rPr>
                <w:rFonts w:ascii="ITC Avant Garde" w:hAnsi="ITC Avant Garde" w:cs="Arial"/>
                <w:sz w:val="18"/>
                <w:szCs w:val="18"/>
              </w:rPr>
              <w:t>iii</w:t>
            </w:r>
            <w:proofErr w:type="spellEnd"/>
            <w:r w:rsidR="00CE2CB8">
              <w:rPr>
                <w:rFonts w:ascii="ITC Avant Garde" w:hAnsi="ITC Avant Garde" w:cs="Arial"/>
                <w:sz w:val="18"/>
                <w:szCs w:val="18"/>
              </w:rPr>
              <w:t xml:space="preserve">) </w:t>
            </w:r>
            <w:r w:rsidR="001424FD">
              <w:rPr>
                <w:rFonts w:ascii="ITC Avant Garde" w:hAnsi="ITC Avant Garde" w:cs="Arial"/>
                <w:sz w:val="18"/>
                <w:szCs w:val="18"/>
              </w:rPr>
              <w:t>la posibilidad de hacer uso simultáneo de más de una plataforma (“</w:t>
            </w:r>
            <w:proofErr w:type="spellStart"/>
            <w:r w:rsidR="001424FD" w:rsidRPr="001424FD">
              <w:rPr>
                <w:rFonts w:ascii="ITC Avant Garde" w:hAnsi="ITC Avant Garde" w:cs="Arial"/>
                <w:i/>
                <w:iCs/>
                <w:sz w:val="18"/>
                <w:szCs w:val="18"/>
              </w:rPr>
              <w:t>multi-homming</w:t>
            </w:r>
            <w:proofErr w:type="spellEnd"/>
            <w:r w:rsidR="001424FD">
              <w:rPr>
                <w:rFonts w:ascii="ITC Avant Garde" w:hAnsi="ITC Avant Garde" w:cs="Arial"/>
                <w:sz w:val="18"/>
                <w:szCs w:val="18"/>
              </w:rPr>
              <w:t>”)</w:t>
            </w:r>
            <w:r w:rsidR="00CE2CB8">
              <w:rPr>
                <w:rFonts w:ascii="ITC Avant Garde" w:hAnsi="ITC Avant Garde" w:cs="Arial"/>
                <w:sz w:val="18"/>
                <w:szCs w:val="18"/>
              </w:rPr>
              <w:t>,</w:t>
            </w:r>
            <w:r w:rsidR="001424FD">
              <w:rPr>
                <w:rFonts w:ascii="ITC Avant Garde" w:hAnsi="ITC Avant Garde" w:cs="Arial"/>
                <w:sz w:val="18"/>
                <w:szCs w:val="18"/>
              </w:rPr>
              <w:t xml:space="preserve"> y</w:t>
            </w:r>
            <w:r w:rsidR="00CE2CB8">
              <w:rPr>
                <w:rFonts w:ascii="ITC Avant Garde" w:hAnsi="ITC Avant Garde" w:cs="Arial"/>
                <w:sz w:val="18"/>
                <w:szCs w:val="18"/>
              </w:rPr>
              <w:t xml:space="preserve"> </w:t>
            </w:r>
            <w:proofErr w:type="spellStart"/>
            <w:r w:rsidR="00CE2CB8">
              <w:rPr>
                <w:rFonts w:ascii="ITC Avant Garde" w:hAnsi="ITC Avant Garde" w:cs="Arial"/>
                <w:sz w:val="18"/>
                <w:szCs w:val="18"/>
              </w:rPr>
              <w:t>iv</w:t>
            </w:r>
            <w:proofErr w:type="spellEnd"/>
            <w:r w:rsidR="00CE2CB8">
              <w:rPr>
                <w:rFonts w:ascii="ITC Avant Garde" w:hAnsi="ITC Avant Garde" w:cs="Arial"/>
                <w:sz w:val="18"/>
                <w:szCs w:val="18"/>
              </w:rPr>
              <w:t>)</w:t>
            </w:r>
            <w:r w:rsidR="001424FD">
              <w:rPr>
                <w:rFonts w:ascii="ITC Avant Garde" w:hAnsi="ITC Avant Garde" w:cs="Arial"/>
                <w:sz w:val="18"/>
                <w:szCs w:val="18"/>
              </w:rPr>
              <w:t xml:space="preserve"> la existencia de variables no monetarias</w:t>
            </w:r>
            <w:r w:rsidR="0092401B">
              <w:rPr>
                <w:rFonts w:ascii="ITC Avant Garde" w:hAnsi="ITC Avant Garde" w:cs="Arial"/>
                <w:sz w:val="18"/>
                <w:szCs w:val="18"/>
              </w:rPr>
              <w:t xml:space="preserve"> como la calidad y la privacidad</w:t>
            </w:r>
            <w:r w:rsidR="001424FD">
              <w:rPr>
                <w:rFonts w:ascii="ITC Avant Garde" w:hAnsi="ITC Avant Garde" w:cs="Arial"/>
                <w:sz w:val="18"/>
                <w:szCs w:val="18"/>
              </w:rPr>
              <w:t>, en</w:t>
            </w:r>
            <w:r w:rsidR="005F4B0E" w:rsidRPr="005F4B0E">
              <w:rPr>
                <w:rFonts w:ascii="ITC Avant Garde" w:hAnsi="ITC Avant Garde" w:cs="Arial"/>
                <w:sz w:val="18"/>
                <w:szCs w:val="18"/>
              </w:rPr>
              <w:t xml:space="preserve"> la definición del </w:t>
            </w:r>
            <w:r w:rsidR="005F4B0E">
              <w:rPr>
                <w:rFonts w:ascii="ITC Avant Garde" w:hAnsi="ITC Avant Garde" w:cs="Arial"/>
                <w:sz w:val="18"/>
                <w:szCs w:val="18"/>
              </w:rPr>
              <w:t>MR.</w:t>
            </w:r>
            <w:r w:rsidR="005F4B0E" w:rsidRPr="00D25793">
              <w:rPr>
                <w:rFonts w:ascii="ITC Avant Garde" w:hAnsi="ITC Avant Garde" w:cs="Arial"/>
                <w:sz w:val="18"/>
                <w:szCs w:val="18"/>
                <w:vertAlign w:val="superscript"/>
              </w:rPr>
              <w:t xml:space="preserve"> **[Nueva nota al pie </w:t>
            </w:r>
            <w:r w:rsidR="005F4B0E">
              <w:rPr>
                <w:rFonts w:ascii="ITC Avant Garde" w:hAnsi="ITC Avant Garde" w:cs="Arial"/>
                <w:sz w:val="18"/>
                <w:szCs w:val="18"/>
                <w:vertAlign w:val="superscript"/>
              </w:rPr>
              <w:t>6</w:t>
            </w:r>
            <w:r w:rsidR="005F4B0E" w:rsidRPr="00D25793">
              <w:rPr>
                <w:rFonts w:ascii="ITC Avant Garde" w:hAnsi="ITC Avant Garde" w:cs="Arial"/>
                <w:sz w:val="18"/>
                <w:szCs w:val="18"/>
                <w:vertAlign w:val="superscript"/>
              </w:rPr>
              <w:t>]</w:t>
            </w:r>
            <w:bookmarkEnd w:id="35"/>
          </w:p>
          <w:p w14:paraId="66E6A6B8" w14:textId="77777777" w:rsidR="0099058B" w:rsidRPr="00D25793" w:rsidRDefault="0099058B" w:rsidP="0099058B">
            <w:pPr>
              <w:spacing w:after="0" w:line="240" w:lineRule="auto"/>
              <w:jc w:val="both"/>
              <w:rPr>
                <w:rFonts w:ascii="ITC Avant Garde" w:hAnsi="ITC Avant Garde" w:cs="Arial"/>
                <w:sz w:val="18"/>
                <w:szCs w:val="18"/>
                <w:lang w:val="x-none"/>
              </w:rPr>
            </w:pPr>
          </w:p>
          <w:p w14:paraId="3996C52C" w14:textId="77777777" w:rsidR="0099058B" w:rsidRPr="00D25793" w:rsidRDefault="0099058B" w:rsidP="0099058B">
            <w:pPr>
              <w:spacing w:after="0" w:line="240" w:lineRule="auto"/>
              <w:jc w:val="both"/>
              <w:rPr>
                <w:rFonts w:ascii="ITC Avant Garde" w:hAnsi="ITC Avant Garde" w:cs="Arial"/>
                <w:b/>
                <w:bCs/>
                <w:sz w:val="18"/>
                <w:szCs w:val="18"/>
                <w:lang w:val="x-none"/>
              </w:rPr>
            </w:pPr>
            <w:r w:rsidRPr="00D25793">
              <w:rPr>
                <w:rFonts w:ascii="ITC Avant Garde" w:hAnsi="ITC Avant Garde" w:cs="Arial"/>
                <w:b/>
                <w:bCs/>
                <w:sz w:val="18"/>
                <w:szCs w:val="18"/>
                <w:lang w:val="x-none"/>
              </w:rPr>
              <w:t>9.</w:t>
            </w:r>
            <w:r w:rsidRPr="00D25793">
              <w:rPr>
                <w:rFonts w:ascii="ITC Avant Garde" w:hAnsi="ITC Avant Garde" w:cs="Arial"/>
                <w:b/>
                <w:bCs/>
                <w:sz w:val="18"/>
                <w:szCs w:val="18"/>
              </w:rPr>
              <w:t>5</w:t>
            </w:r>
            <w:r w:rsidRPr="00D25793">
              <w:rPr>
                <w:rFonts w:ascii="ITC Avant Garde" w:hAnsi="ITC Avant Garde" w:cs="Arial"/>
                <w:b/>
                <w:bCs/>
                <w:sz w:val="18"/>
                <w:szCs w:val="18"/>
                <w:lang w:val="x-none"/>
              </w:rPr>
              <w:t>.2.</w:t>
            </w:r>
            <w:r w:rsidRPr="00D25793">
              <w:rPr>
                <w:rFonts w:ascii="ITC Avant Garde" w:hAnsi="ITC Avant Garde" w:cs="Arial"/>
                <w:b/>
                <w:bCs/>
                <w:sz w:val="18"/>
                <w:szCs w:val="18"/>
                <w:lang w:val="x-none"/>
              </w:rPr>
              <w:tab/>
              <w:t>Experiencia Internacional</w:t>
            </w:r>
          </w:p>
          <w:p w14:paraId="68170B23" w14:textId="77777777" w:rsidR="0099058B" w:rsidRPr="00D25793" w:rsidRDefault="0099058B" w:rsidP="0099058B">
            <w:pPr>
              <w:spacing w:after="0" w:line="240" w:lineRule="auto"/>
              <w:jc w:val="both"/>
              <w:rPr>
                <w:rFonts w:ascii="ITC Avant Garde" w:hAnsi="ITC Avant Garde" w:cs="Arial"/>
                <w:sz w:val="18"/>
                <w:szCs w:val="18"/>
                <w:lang w:val="x-none"/>
              </w:rPr>
            </w:pPr>
          </w:p>
          <w:p w14:paraId="57133BF8" w14:textId="44BBFA90" w:rsidR="0099058B" w:rsidRPr="00D25793" w:rsidRDefault="0099058B" w:rsidP="0099058B">
            <w:pPr>
              <w:spacing w:after="120" w:line="240" w:lineRule="auto"/>
              <w:jc w:val="both"/>
              <w:rPr>
                <w:rFonts w:ascii="ITC Avant Garde" w:hAnsi="ITC Avant Garde" w:cs="Arial"/>
                <w:sz w:val="18"/>
                <w:szCs w:val="18"/>
                <w:lang w:val="x-none"/>
              </w:rPr>
            </w:pPr>
            <w:r w:rsidRPr="00D25793">
              <w:rPr>
                <w:rFonts w:ascii="ITC Avant Garde" w:hAnsi="ITC Avant Garde" w:cs="Arial"/>
                <w:sz w:val="18"/>
                <w:szCs w:val="18"/>
                <w:lang w:val="x-none"/>
              </w:rPr>
              <w:t>Los principales criterios referidos por la OCDE,</w:t>
            </w:r>
            <w:r w:rsidRPr="00D25793">
              <w:rPr>
                <w:rFonts w:ascii="ITC Avant Garde" w:hAnsi="ITC Avant Garde" w:cs="Arial"/>
                <w:sz w:val="18"/>
                <w:szCs w:val="18"/>
                <w:vertAlign w:val="superscript"/>
              </w:rPr>
              <w:t xml:space="preserve">**[Nueva nota al pie </w:t>
            </w:r>
            <w:r w:rsidR="005F4B0E">
              <w:rPr>
                <w:rFonts w:ascii="ITC Avant Garde" w:hAnsi="ITC Avant Garde" w:cs="Arial"/>
                <w:sz w:val="18"/>
                <w:szCs w:val="18"/>
                <w:vertAlign w:val="superscript"/>
              </w:rPr>
              <w:t>7</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así como aquellos considerados por las autoridades de competencia de la Unión Europea,</w:t>
            </w:r>
            <w:r w:rsidRPr="00D25793">
              <w:rPr>
                <w:rFonts w:ascii="ITC Avant Garde" w:hAnsi="ITC Avant Garde" w:cs="Arial"/>
                <w:sz w:val="18"/>
                <w:szCs w:val="18"/>
                <w:vertAlign w:val="superscript"/>
              </w:rPr>
              <w:t xml:space="preserve">**[Nueva nota al pie </w:t>
            </w:r>
            <w:r w:rsidR="005F4B0E">
              <w:rPr>
                <w:rFonts w:ascii="ITC Avant Garde" w:hAnsi="ITC Avant Garde" w:cs="Arial"/>
                <w:sz w:val="18"/>
                <w:szCs w:val="18"/>
                <w:vertAlign w:val="superscript"/>
              </w:rPr>
              <w:t>8</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Alemania,</w:t>
            </w:r>
            <w:r w:rsidRPr="00D25793">
              <w:rPr>
                <w:rFonts w:ascii="ITC Avant Garde" w:hAnsi="ITC Avant Garde" w:cs="Arial"/>
                <w:sz w:val="18"/>
                <w:szCs w:val="18"/>
                <w:vertAlign w:val="superscript"/>
              </w:rPr>
              <w:t xml:space="preserve">**[Nueva nota al pie </w:t>
            </w:r>
            <w:r w:rsidR="005F4B0E">
              <w:rPr>
                <w:rFonts w:ascii="ITC Avant Garde" w:hAnsi="ITC Avant Garde" w:cs="Arial"/>
                <w:sz w:val="18"/>
                <w:szCs w:val="18"/>
                <w:vertAlign w:val="superscript"/>
              </w:rPr>
              <w:t>9</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Australia,</w:t>
            </w:r>
            <w:r w:rsidRPr="00D25793">
              <w:rPr>
                <w:rFonts w:ascii="ITC Avant Garde" w:hAnsi="ITC Avant Garde" w:cs="Arial"/>
                <w:sz w:val="18"/>
                <w:szCs w:val="18"/>
                <w:vertAlign w:val="superscript"/>
              </w:rPr>
              <w:t xml:space="preserve">**[Nueva nota al pie </w:t>
            </w:r>
            <w:r w:rsidR="005F4B0E">
              <w:rPr>
                <w:rFonts w:ascii="ITC Avant Garde" w:hAnsi="ITC Avant Garde" w:cs="Arial"/>
                <w:sz w:val="18"/>
                <w:szCs w:val="18"/>
                <w:vertAlign w:val="superscript"/>
              </w:rPr>
              <w:t>10</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China</w:t>
            </w:r>
            <w:r w:rsidRPr="00D25793">
              <w:rPr>
                <w:rFonts w:ascii="ITC Avant Garde" w:hAnsi="ITC Avant Garde" w:cs="Arial"/>
                <w:sz w:val="18"/>
                <w:szCs w:val="18"/>
                <w:vertAlign w:val="superscript"/>
              </w:rPr>
              <w:t>**[Nueva nota al pie 1</w:t>
            </w:r>
            <w:r w:rsidR="005F4B0E">
              <w:rPr>
                <w:rFonts w:ascii="ITC Avant Garde" w:hAnsi="ITC Avant Garde" w:cs="Arial"/>
                <w:sz w:val="18"/>
                <w:szCs w:val="18"/>
                <w:vertAlign w:val="superscript"/>
              </w:rPr>
              <w:t>1</w:t>
            </w:r>
            <w:r w:rsidRPr="00D25793">
              <w:rPr>
                <w:rFonts w:ascii="ITC Avant Garde" w:hAnsi="ITC Avant Garde" w:cs="Arial"/>
                <w:sz w:val="18"/>
                <w:szCs w:val="18"/>
                <w:vertAlign w:val="superscript"/>
              </w:rPr>
              <w:t>]</w:t>
            </w:r>
            <w:r w:rsidRPr="00D25793">
              <w:rPr>
                <w:rFonts w:ascii="ITC Avant Garde" w:hAnsi="ITC Avant Garde" w:cs="Arial"/>
                <w:sz w:val="18"/>
                <w:szCs w:val="18"/>
                <w:lang w:val="x-none"/>
              </w:rPr>
              <w:t xml:space="preserve"> </w:t>
            </w:r>
            <w:r w:rsidR="00487D6A">
              <w:rPr>
                <w:rFonts w:ascii="ITC Avant Garde" w:hAnsi="ITC Avant Garde" w:cs="Arial"/>
                <w:sz w:val="18"/>
                <w:szCs w:val="18"/>
              </w:rPr>
              <w:t>y Chile</w:t>
            </w:r>
            <w:r w:rsidR="00487D6A" w:rsidRPr="00D25793">
              <w:rPr>
                <w:rFonts w:ascii="ITC Avant Garde" w:hAnsi="ITC Avant Garde" w:cs="Arial"/>
                <w:sz w:val="18"/>
                <w:szCs w:val="18"/>
                <w:vertAlign w:val="superscript"/>
              </w:rPr>
              <w:t xml:space="preserve">[Nueva nota al pie </w:t>
            </w:r>
            <w:r w:rsidR="00487D6A">
              <w:rPr>
                <w:rFonts w:ascii="ITC Avant Garde" w:hAnsi="ITC Avant Garde" w:cs="Arial"/>
                <w:sz w:val="18"/>
                <w:szCs w:val="18"/>
                <w:vertAlign w:val="superscript"/>
              </w:rPr>
              <w:t>1</w:t>
            </w:r>
            <w:r w:rsidR="005F4B0E">
              <w:rPr>
                <w:rFonts w:ascii="ITC Avant Garde" w:hAnsi="ITC Avant Garde" w:cs="Arial"/>
                <w:sz w:val="18"/>
                <w:szCs w:val="18"/>
                <w:vertAlign w:val="superscript"/>
              </w:rPr>
              <w:t>2</w:t>
            </w:r>
            <w:r w:rsidR="00907257">
              <w:rPr>
                <w:rFonts w:ascii="ITC Avant Garde" w:hAnsi="ITC Avant Garde" w:cs="Arial"/>
                <w:sz w:val="18"/>
                <w:szCs w:val="18"/>
                <w:vertAlign w:val="superscript"/>
              </w:rPr>
              <w:t>]</w:t>
            </w:r>
            <w:r w:rsidR="00487D6A">
              <w:rPr>
                <w:rFonts w:ascii="ITC Avant Garde" w:hAnsi="ITC Avant Garde" w:cs="Arial"/>
                <w:sz w:val="18"/>
                <w:szCs w:val="18"/>
              </w:rPr>
              <w:t xml:space="preserve"> </w:t>
            </w:r>
            <w:r w:rsidRPr="00D25793">
              <w:rPr>
                <w:rFonts w:ascii="ITC Avant Garde" w:hAnsi="ITC Avant Garde" w:cs="Arial"/>
                <w:sz w:val="18"/>
                <w:szCs w:val="18"/>
                <w:lang w:val="x-none"/>
              </w:rPr>
              <w:t>para determinar MR en presencia de mercados de múltiples lados, consisten en analizar:</w:t>
            </w:r>
          </w:p>
          <w:p w14:paraId="17F07568" w14:textId="77777777" w:rsidR="0099058B" w:rsidRPr="00D25793" w:rsidRDefault="0099058B" w:rsidP="0099058B">
            <w:pPr>
              <w:pStyle w:val="Prrafodelista"/>
              <w:numPr>
                <w:ilvl w:val="0"/>
                <w:numId w:val="34"/>
              </w:numPr>
              <w:spacing w:after="0" w:line="240" w:lineRule="auto"/>
              <w:jc w:val="both"/>
              <w:rPr>
                <w:rFonts w:ascii="ITC Avant Garde" w:hAnsi="ITC Avant Garde" w:cs="Arial"/>
                <w:sz w:val="18"/>
                <w:szCs w:val="18"/>
              </w:rPr>
            </w:pPr>
            <w:r w:rsidRPr="00D25793">
              <w:rPr>
                <w:rFonts w:ascii="ITC Avant Garde" w:hAnsi="ITC Avant Garde" w:cs="Arial"/>
                <w:sz w:val="18"/>
                <w:szCs w:val="18"/>
              </w:rPr>
              <w:t>El modelo de negocios de la plataforma, en particular, si es transaccional o no transaccional; generalmente, en mercados no transaccionales se definen MR interrelacionados, mientras que en mercados transaccionales se define solo un MR que incluye todos los lados de la plataforma,</w:t>
            </w:r>
          </w:p>
          <w:p w14:paraId="7ED4E83A" w14:textId="77777777" w:rsidR="0099058B" w:rsidRPr="00D25793" w:rsidRDefault="0099058B" w:rsidP="0099058B">
            <w:pPr>
              <w:pStyle w:val="Prrafodelista"/>
              <w:numPr>
                <w:ilvl w:val="0"/>
                <w:numId w:val="34"/>
              </w:numPr>
              <w:spacing w:after="0" w:line="240" w:lineRule="auto"/>
              <w:jc w:val="both"/>
              <w:rPr>
                <w:rFonts w:ascii="ITC Avant Garde" w:hAnsi="ITC Avant Garde" w:cs="Arial"/>
                <w:sz w:val="18"/>
                <w:szCs w:val="18"/>
              </w:rPr>
            </w:pPr>
            <w:r w:rsidRPr="00D25793">
              <w:rPr>
                <w:rFonts w:ascii="ITC Avant Garde" w:hAnsi="ITC Avant Garde" w:cs="Arial"/>
                <w:sz w:val="18"/>
                <w:szCs w:val="18"/>
              </w:rPr>
              <w:t>Los efectos indirectos de red que subyacen en la interacción entre los distintos grupos de usuarios, lo cual orienta sobre la determinación de uno o más MR. Para evaluar la interdependencia, se han utilizado estudios de mercado, información de ventas, esquemas de contratación y encuestas a usuarios y participantes de la industria.</w:t>
            </w:r>
          </w:p>
          <w:p w14:paraId="037D891D" w14:textId="7A8839EE" w:rsidR="0099058B" w:rsidRPr="00D25793" w:rsidRDefault="0099058B" w:rsidP="0099058B">
            <w:pPr>
              <w:pStyle w:val="Prrafodelista"/>
              <w:numPr>
                <w:ilvl w:val="0"/>
                <w:numId w:val="35"/>
              </w:numPr>
              <w:spacing w:after="0" w:line="240" w:lineRule="auto"/>
              <w:jc w:val="both"/>
              <w:rPr>
                <w:rFonts w:ascii="ITC Avant Garde" w:hAnsi="ITC Avant Garde" w:cs="Arial"/>
                <w:sz w:val="18"/>
                <w:szCs w:val="18"/>
              </w:rPr>
            </w:pPr>
            <w:r w:rsidRPr="00D25793">
              <w:rPr>
                <w:rFonts w:ascii="ITC Avant Garde" w:hAnsi="ITC Avant Garde" w:cs="Arial"/>
                <w:sz w:val="18"/>
                <w:szCs w:val="18"/>
              </w:rPr>
              <w:t>Respecto a la Prueba SSNIP, se identifica que se aplica con ciertas modificaciones para considerar la interdependencia entre las demandas y de los precios entre los distintos lados, así como la existencia de precios cero</w:t>
            </w:r>
            <w:r w:rsidRPr="00D25793">
              <w:rPr>
                <w:rFonts w:ascii="ITC Avant Garde" w:hAnsi="ITC Avant Garde" w:cs="Arial"/>
                <w:sz w:val="18"/>
                <w:szCs w:val="18"/>
                <w:vertAlign w:val="superscript"/>
              </w:rPr>
              <w:t>**[Nueva nota al pie 1</w:t>
            </w:r>
            <w:r w:rsidR="005F4B0E">
              <w:rPr>
                <w:rFonts w:ascii="ITC Avant Garde" w:hAnsi="ITC Avant Garde" w:cs="Arial"/>
                <w:sz w:val="18"/>
                <w:szCs w:val="18"/>
                <w:vertAlign w:val="superscript"/>
                <w:lang w:val="es-MX"/>
              </w:rPr>
              <w:t>3</w:t>
            </w:r>
            <w:r w:rsidRPr="00D25793">
              <w:rPr>
                <w:rFonts w:ascii="ITC Avant Garde" w:hAnsi="ITC Avant Garde" w:cs="Arial"/>
                <w:sz w:val="18"/>
                <w:szCs w:val="18"/>
                <w:vertAlign w:val="superscript"/>
              </w:rPr>
              <w:t>]</w:t>
            </w:r>
            <w:r w:rsidRPr="00D25793">
              <w:rPr>
                <w:rFonts w:ascii="ITC Avant Garde" w:hAnsi="ITC Avant Garde" w:cs="Arial"/>
                <w:sz w:val="18"/>
                <w:szCs w:val="18"/>
              </w:rPr>
              <w:t xml:space="preserve"> o atributos específicos en ciertos lados de un mercado. </w:t>
            </w:r>
          </w:p>
          <w:p w14:paraId="0201CFBE" w14:textId="77777777" w:rsidR="0099058B" w:rsidRPr="00D25793" w:rsidRDefault="0099058B" w:rsidP="0099058B">
            <w:pPr>
              <w:spacing w:after="0" w:line="240" w:lineRule="auto"/>
              <w:jc w:val="both"/>
              <w:rPr>
                <w:rFonts w:ascii="ITC Avant Garde" w:hAnsi="ITC Avant Garde" w:cs="Arial"/>
                <w:sz w:val="18"/>
                <w:szCs w:val="18"/>
                <w:lang w:val="x-none"/>
              </w:rPr>
            </w:pPr>
          </w:p>
          <w:p w14:paraId="1A8B53F6" w14:textId="77777777" w:rsidR="0099058B" w:rsidRPr="00D25793" w:rsidRDefault="0099058B" w:rsidP="0099058B">
            <w:pPr>
              <w:spacing w:after="0" w:line="240" w:lineRule="auto"/>
              <w:jc w:val="both"/>
              <w:rPr>
                <w:rFonts w:ascii="ITC Avant Garde" w:hAnsi="ITC Avant Garde" w:cs="Arial"/>
                <w:b/>
                <w:bCs/>
                <w:sz w:val="18"/>
                <w:szCs w:val="18"/>
                <w:lang w:val="x-none"/>
              </w:rPr>
            </w:pPr>
            <w:r w:rsidRPr="00D25793">
              <w:rPr>
                <w:rFonts w:ascii="ITC Avant Garde" w:hAnsi="ITC Avant Garde" w:cs="Arial"/>
                <w:b/>
                <w:bCs/>
                <w:sz w:val="18"/>
                <w:szCs w:val="18"/>
                <w:lang w:val="x-none"/>
              </w:rPr>
              <w:t>9.</w:t>
            </w:r>
            <w:r w:rsidRPr="00D25793">
              <w:rPr>
                <w:rFonts w:ascii="ITC Avant Garde" w:hAnsi="ITC Avant Garde" w:cs="Arial"/>
                <w:b/>
                <w:bCs/>
                <w:sz w:val="18"/>
                <w:szCs w:val="18"/>
              </w:rPr>
              <w:t>5</w:t>
            </w:r>
            <w:r w:rsidRPr="00D25793">
              <w:rPr>
                <w:rFonts w:ascii="ITC Avant Garde" w:hAnsi="ITC Avant Garde" w:cs="Arial"/>
                <w:b/>
                <w:bCs/>
                <w:sz w:val="18"/>
                <w:szCs w:val="18"/>
                <w:lang w:val="x-none"/>
              </w:rPr>
              <w:t>.3.</w:t>
            </w:r>
            <w:r w:rsidRPr="00D25793">
              <w:rPr>
                <w:rFonts w:ascii="ITC Avant Garde" w:hAnsi="ITC Avant Garde" w:cs="Arial"/>
                <w:b/>
                <w:bCs/>
                <w:sz w:val="18"/>
                <w:szCs w:val="18"/>
                <w:lang w:val="x-none"/>
              </w:rPr>
              <w:tab/>
              <w:t xml:space="preserve">Propuesta de elementos para determinar MR en presencia de múltiples lados </w:t>
            </w:r>
          </w:p>
          <w:p w14:paraId="6E20D716" w14:textId="77777777" w:rsidR="0099058B" w:rsidRPr="00D25793" w:rsidRDefault="0099058B" w:rsidP="0099058B">
            <w:pPr>
              <w:spacing w:after="0" w:line="240" w:lineRule="auto"/>
              <w:jc w:val="both"/>
              <w:rPr>
                <w:rFonts w:ascii="ITC Avant Garde" w:hAnsi="ITC Avant Garde" w:cs="Arial"/>
                <w:sz w:val="18"/>
                <w:szCs w:val="18"/>
                <w:lang w:val="x-none"/>
              </w:rPr>
            </w:pPr>
          </w:p>
          <w:p w14:paraId="746A3C28" w14:textId="57235493" w:rsidR="00E20421" w:rsidRDefault="002E5816" w:rsidP="0099058B">
            <w:pPr>
              <w:spacing w:after="0" w:line="240" w:lineRule="auto"/>
              <w:jc w:val="both"/>
              <w:rPr>
                <w:rFonts w:ascii="ITC Avant Garde" w:hAnsi="ITC Avant Garde" w:cs="Arial"/>
                <w:sz w:val="18"/>
                <w:szCs w:val="18"/>
              </w:rPr>
            </w:pPr>
            <w:bookmarkStart w:id="36" w:name="_Hlk84530410"/>
            <w:r w:rsidRPr="002E5816">
              <w:rPr>
                <w:rFonts w:ascii="ITC Avant Garde" w:hAnsi="ITC Avant Garde" w:cs="Arial"/>
                <w:sz w:val="18"/>
                <w:szCs w:val="18"/>
              </w:rPr>
              <w:t>Para determinar el MR en presencia de proveedores de servicios que atienden a diferentes grupos de usuarios, el Instituto en primer lugar podrá evaluar las interacciones o relaciones entre los distintos tipos de usuarios, en virtud de que la existencia de efectos indirectos de red podría indicar que estos proveedores de servicios configuran una plataforma de múltiples lados.</w:t>
            </w:r>
          </w:p>
          <w:p w14:paraId="7B8C5251" w14:textId="77777777" w:rsidR="0099058B" w:rsidRPr="00D25793" w:rsidRDefault="0099058B" w:rsidP="0099058B">
            <w:pPr>
              <w:spacing w:after="0" w:line="240" w:lineRule="auto"/>
              <w:jc w:val="both"/>
              <w:rPr>
                <w:rFonts w:ascii="ITC Avant Garde" w:hAnsi="ITC Avant Garde" w:cs="Arial"/>
                <w:sz w:val="18"/>
                <w:szCs w:val="18"/>
                <w:lang w:val="x-none"/>
              </w:rPr>
            </w:pPr>
          </w:p>
          <w:p w14:paraId="513EF39F" w14:textId="0A7714C4" w:rsidR="0099058B" w:rsidRDefault="002E5816" w:rsidP="00EB37F1">
            <w:pPr>
              <w:spacing w:after="0" w:line="240" w:lineRule="auto"/>
              <w:jc w:val="both"/>
              <w:rPr>
                <w:rFonts w:ascii="ITC Avant Garde" w:hAnsi="ITC Avant Garde" w:cs="Arial"/>
                <w:sz w:val="18"/>
                <w:szCs w:val="18"/>
                <w:lang w:val="x-none"/>
              </w:rPr>
            </w:pPr>
            <w:r>
              <w:rPr>
                <w:rFonts w:ascii="ITC Avant Garde" w:hAnsi="ITC Avant Garde" w:cs="Arial"/>
                <w:sz w:val="18"/>
                <w:szCs w:val="18"/>
              </w:rPr>
              <w:t xml:space="preserve">De existir efectos indirectos de red, el </w:t>
            </w:r>
            <w:r w:rsidR="007127A1">
              <w:rPr>
                <w:rFonts w:ascii="ITC Avant Garde" w:hAnsi="ITC Avant Garde" w:cs="Arial"/>
                <w:sz w:val="18"/>
                <w:szCs w:val="18"/>
              </w:rPr>
              <w:t>I</w:t>
            </w:r>
            <w:r>
              <w:rPr>
                <w:rFonts w:ascii="ITC Avant Garde" w:hAnsi="ITC Avant Garde" w:cs="Arial"/>
                <w:sz w:val="18"/>
                <w:szCs w:val="18"/>
              </w:rPr>
              <w:t xml:space="preserve">nstituto podrá determinar la </w:t>
            </w:r>
            <w:r w:rsidRPr="00E20421">
              <w:rPr>
                <w:rFonts w:ascii="ITC Avant Garde" w:hAnsi="ITC Avant Garde" w:cs="Arial"/>
                <w:sz w:val="18"/>
                <w:szCs w:val="18"/>
              </w:rPr>
              <w:t>manera más adecuada para representar la estructura del mercado de la plataforma, es</w:t>
            </w:r>
            <w:r w:rsidR="00144225">
              <w:rPr>
                <w:rFonts w:ascii="ITC Avant Garde" w:hAnsi="ITC Avant Garde" w:cs="Arial"/>
                <w:sz w:val="18"/>
                <w:szCs w:val="18"/>
              </w:rPr>
              <w:t xml:space="preserve"> decir</w:t>
            </w:r>
            <w:r>
              <w:rPr>
                <w:rFonts w:ascii="ITC Avant Garde" w:hAnsi="ITC Avant Garde" w:cs="Arial"/>
                <w:sz w:val="18"/>
                <w:szCs w:val="18"/>
              </w:rPr>
              <w:t>,</w:t>
            </w:r>
            <w:r w:rsidRPr="00E20421">
              <w:rPr>
                <w:rFonts w:ascii="ITC Avant Garde" w:hAnsi="ITC Avant Garde" w:cs="Arial"/>
                <w:sz w:val="18"/>
                <w:szCs w:val="18"/>
              </w:rPr>
              <w:t xml:space="preserve"> si </w:t>
            </w:r>
            <w:r>
              <w:rPr>
                <w:rFonts w:ascii="ITC Avant Garde" w:hAnsi="ITC Avant Garde" w:cs="Arial"/>
                <w:sz w:val="18"/>
                <w:szCs w:val="18"/>
              </w:rPr>
              <w:t>se</w:t>
            </w:r>
            <w:r w:rsidRPr="00E20421">
              <w:rPr>
                <w:rFonts w:ascii="ITC Avant Garde" w:hAnsi="ITC Avant Garde" w:cs="Arial"/>
                <w:sz w:val="18"/>
                <w:szCs w:val="18"/>
              </w:rPr>
              <w:t xml:space="preserve"> analizan MR separados para cada uno de los lados o si la plataforma y sus distintos lados </w:t>
            </w:r>
            <w:r>
              <w:rPr>
                <w:rFonts w:ascii="ITC Avant Garde" w:hAnsi="ITC Avant Garde" w:cs="Arial"/>
                <w:sz w:val="18"/>
                <w:szCs w:val="18"/>
              </w:rPr>
              <w:t xml:space="preserve">se analizan como </w:t>
            </w:r>
            <w:r w:rsidRPr="00E20421">
              <w:rPr>
                <w:rFonts w:ascii="ITC Avant Garde" w:hAnsi="ITC Avant Garde" w:cs="Arial"/>
                <w:sz w:val="18"/>
                <w:szCs w:val="18"/>
              </w:rPr>
              <w:t>un mismo MR</w:t>
            </w:r>
            <w:r>
              <w:rPr>
                <w:rFonts w:ascii="ITC Avant Garde" w:hAnsi="ITC Avant Garde" w:cs="Arial"/>
                <w:sz w:val="18"/>
                <w:szCs w:val="18"/>
              </w:rPr>
              <w:t xml:space="preserve">. </w:t>
            </w:r>
            <w:r w:rsidR="0099058B" w:rsidRPr="00D25793">
              <w:rPr>
                <w:rFonts w:ascii="ITC Avant Garde" w:hAnsi="ITC Avant Garde" w:cs="Arial"/>
                <w:sz w:val="18"/>
                <w:szCs w:val="18"/>
                <w:lang w:val="x-none"/>
              </w:rPr>
              <w:t xml:space="preserve">Para </w:t>
            </w:r>
            <w:r w:rsidR="00843979">
              <w:rPr>
                <w:rFonts w:ascii="ITC Avant Garde" w:hAnsi="ITC Avant Garde" w:cs="Arial"/>
                <w:sz w:val="18"/>
                <w:szCs w:val="18"/>
              </w:rPr>
              <w:t>esto</w:t>
            </w:r>
            <w:r w:rsidR="002E4FF7">
              <w:rPr>
                <w:rFonts w:ascii="ITC Avant Garde" w:hAnsi="ITC Avant Garde" w:cs="Arial"/>
                <w:sz w:val="18"/>
                <w:szCs w:val="18"/>
              </w:rPr>
              <w:t>,</w:t>
            </w:r>
            <w:r w:rsidR="00843979">
              <w:rPr>
                <w:rFonts w:ascii="ITC Avant Garde" w:hAnsi="ITC Avant Garde" w:cs="Arial"/>
                <w:sz w:val="18"/>
                <w:szCs w:val="18"/>
              </w:rPr>
              <w:t xml:space="preserve"> </w:t>
            </w:r>
            <w:r w:rsidR="0099058B" w:rsidRPr="00D25793">
              <w:rPr>
                <w:rFonts w:ascii="ITC Avant Garde" w:hAnsi="ITC Avant Garde" w:cs="Arial"/>
                <w:sz w:val="18"/>
                <w:szCs w:val="18"/>
                <w:lang w:val="x-none"/>
              </w:rPr>
              <w:t>el Instituto podrá considerar los siguientes</w:t>
            </w:r>
            <w:r w:rsidR="00843979">
              <w:rPr>
                <w:rFonts w:ascii="ITC Avant Garde" w:hAnsi="ITC Avant Garde" w:cs="Arial"/>
                <w:sz w:val="18"/>
                <w:szCs w:val="18"/>
              </w:rPr>
              <w:t xml:space="preserve"> criterios</w:t>
            </w:r>
            <w:r w:rsidR="0099058B" w:rsidRPr="00D25793">
              <w:rPr>
                <w:rFonts w:ascii="ITC Avant Garde" w:hAnsi="ITC Avant Garde" w:cs="Arial"/>
                <w:sz w:val="18"/>
                <w:szCs w:val="18"/>
                <w:lang w:val="x-none"/>
              </w:rPr>
              <w:t>, sin orden de importancia o prelación en su aplicación:</w:t>
            </w:r>
          </w:p>
          <w:p w14:paraId="50FFEFBD" w14:textId="77777777" w:rsidR="004152DB" w:rsidRPr="00D25793" w:rsidRDefault="004152DB" w:rsidP="00357E3D">
            <w:pPr>
              <w:spacing w:after="0" w:line="240" w:lineRule="auto"/>
              <w:jc w:val="both"/>
              <w:rPr>
                <w:rFonts w:ascii="ITC Avant Garde" w:hAnsi="ITC Avant Garde" w:cs="Arial"/>
                <w:sz w:val="18"/>
                <w:szCs w:val="18"/>
                <w:lang w:val="x-none"/>
              </w:rPr>
            </w:pPr>
          </w:p>
          <w:p w14:paraId="7D44DBCE" w14:textId="41307B8C" w:rsidR="00E50762" w:rsidRPr="00357E3D" w:rsidRDefault="00E50762" w:rsidP="0099058B">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Pr>
                <w:rFonts w:ascii="ITC Avant Garde" w:hAnsi="ITC Avant Garde" w:cs="Arial"/>
                <w:sz w:val="18"/>
                <w:szCs w:val="18"/>
                <w:lang w:val="es-MX"/>
              </w:rPr>
              <w:t>E</w:t>
            </w:r>
            <w:r w:rsidRPr="00E50762">
              <w:rPr>
                <w:rFonts w:ascii="ITC Avant Garde" w:hAnsi="ITC Avant Garde" w:cs="Arial"/>
                <w:sz w:val="18"/>
                <w:szCs w:val="18"/>
              </w:rPr>
              <w:t>l modelo de negocios de la plataforma (por ejemplo, se identificará si la plataforma es transaccional o no</w:t>
            </w:r>
            <w:r w:rsidR="004152DB">
              <w:rPr>
                <w:rFonts w:ascii="ITC Avant Garde" w:hAnsi="ITC Avant Garde" w:cs="Arial"/>
                <w:sz w:val="18"/>
                <w:szCs w:val="18"/>
                <w:lang w:val="es-MX"/>
              </w:rPr>
              <w:t xml:space="preserve"> transaccional</w:t>
            </w:r>
            <w:r w:rsidRPr="00E50762">
              <w:rPr>
                <w:rFonts w:ascii="ITC Avant Garde" w:hAnsi="ITC Avant Garde" w:cs="Arial"/>
                <w:sz w:val="18"/>
                <w:szCs w:val="18"/>
              </w:rPr>
              <w:t>)</w:t>
            </w:r>
            <w:r>
              <w:rPr>
                <w:rFonts w:ascii="ITC Avant Garde" w:hAnsi="ITC Avant Garde" w:cs="Arial"/>
                <w:sz w:val="18"/>
                <w:szCs w:val="18"/>
                <w:lang w:val="es-MX"/>
              </w:rPr>
              <w:t>.</w:t>
            </w:r>
          </w:p>
          <w:p w14:paraId="74922FD9" w14:textId="15645436" w:rsidR="002939B3" w:rsidRPr="0040385A" w:rsidRDefault="0099058B" w:rsidP="0040385A">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sidRPr="00D25793">
              <w:rPr>
                <w:rFonts w:ascii="ITC Avant Garde" w:hAnsi="ITC Avant Garde" w:cs="Arial"/>
                <w:sz w:val="18"/>
                <w:szCs w:val="18"/>
              </w:rPr>
              <w:t>La estructura</w:t>
            </w:r>
            <w:r w:rsidRPr="00D25793">
              <w:rPr>
                <w:rFonts w:ascii="ITC Avant Garde" w:hAnsi="ITC Avant Garde" w:cs="Arial"/>
                <w:sz w:val="18"/>
                <w:szCs w:val="18"/>
                <w:vertAlign w:val="superscript"/>
              </w:rPr>
              <w:t>**[Nueva nota al pie 1</w:t>
            </w:r>
            <w:r w:rsidR="005F4B0E">
              <w:rPr>
                <w:rFonts w:ascii="ITC Avant Garde" w:hAnsi="ITC Avant Garde" w:cs="Arial"/>
                <w:sz w:val="18"/>
                <w:szCs w:val="18"/>
                <w:vertAlign w:val="superscript"/>
                <w:lang w:val="es-MX"/>
              </w:rPr>
              <w:t>4</w:t>
            </w:r>
            <w:r w:rsidRPr="00D25793">
              <w:rPr>
                <w:rFonts w:ascii="ITC Avant Garde" w:hAnsi="ITC Avant Garde" w:cs="Arial"/>
                <w:sz w:val="18"/>
                <w:szCs w:val="18"/>
                <w:vertAlign w:val="superscript"/>
              </w:rPr>
              <w:t>]</w:t>
            </w:r>
            <w:r w:rsidRPr="00D25793">
              <w:rPr>
                <w:rFonts w:ascii="ITC Avant Garde" w:hAnsi="ITC Avant Garde" w:cs="Arial"/>
                <w:sz w:val="18"/>
                <w:szCs w:val="18"/>
              </w:rPr>
              <w:t xml:space="preserve"> y el nivel los precios que el proveedor de la plataforma cobra a cada uno de los lados.</w:t>
            </w:r>
          </w:p>
          <w:p w14:paraId="2F207E46" w14:textId="35C8DC93" w:rsidR="00E75823" w:rsidRPr="00E75823" w:rsidRDefault="00716F0D" w:rsidP="0099058B">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sidRPr="00716F0D">
              <w:rPr>
                <w:rFonts w:ascii="ITC Avant Garde" w:hAnsi="ITC Avant Garde" w:cs="Arial"/>
                <w:sz w:val="18"/>
                <w:szCs w:val="18"/>
                <w:lang w:val="es-MX"/>
              </w:rPr>
              <w:t>L</w:t>
            </w:r>
            <w:r w:rsidR="0040385A">
              <w:rPr>
                <w:rFonts w:ascii="ITC Avant Garde" w:hAnsi="ITC Avant Garde" w:cs="Arial"/>
                <w:sz w:val="18"/>
                <w:szCs w:val="18"/>
                <w:lang w:val="es-MX"/>
              </w:rPr>
              <w:t>a relevancia de l</w:t>
            </w:r>
            <w:r w:rsidRPr="00716F0D">
              <w:rPr>
                <w:rFonts w:ascii="ITC Avant Garde" w:hAnsi="ITC Avant Garde" w:cs="Arial"/>
                <w:sz w:val="18"/>
                <w:szCs w:val="18"/>
                <w:lang w:val="es-MX"/>
              </w:rPr>
              <w:t>os efectos indirectos de red que subyacen en la interacción entre los distintos grupos de usuarios</w:t>
            </w:r>
            <w:r w:rsidR="0040385A">
              <w:rPr>
                <w:rFonts w:ascii="ITC Avant Garde" w:hAnsi="ITC Avant Garde" w:cs="Arial"/>
                <w:sz w:val="18"/>
                <w:szCs w:val="18"/>
                <w:lang w:val="es-MX"/>
              </w:rPr>
              <w:t>, así como</w:t>
            </w:r>
            <w:r w:rsidR="00D533B7">
              <w:rPr>
                <w:rFonts w:ascii="ITC Avant Garde" w:hAnsi="ITC Avant Garde" w:cs="Arial"/>
                <w:sz w:val="18"/>
                <w:szCs w:val="18"/>
                <w:lang w:val="es-MX"/>
              </w:rPr>
              <w:t xml:space="preserve"> </w:t>
            </w:r>
            <w:proofErr w:type="spellStart"/>
            <w:r w:rsidR="00E75823">
              <w:rPr>
                <w:rFonts w:ascii="ITC Avant Garde" w:hAnsi="ITC Avant Garde" w:cs="Arial"/>
                <w:sz w:val="18"/>
                <w:szCs w:val="18"/>
                <w:lang w:val="es-MX"/>
              </w:rPr>
              <w:t>l</w:t>
            </w:r>
            <w:r w:rsidR="00E75823" w:rsidRPr="00D25793">
              <w:rPr>
                <w:rFonts w:ascii="ITC Avant Garde" w:hAnsi="ITC Avant Garde" w:cs="Arial"/>
                <w:sz w:val="18"/>
                <w:szCs w:val="18"/>
              </w:rPr>
              <w:t>a</w:t>
            </w:r>
            <w:proofErr w:type="spellEnd"/>
            <w:r w:rsidR="00ED23D2" w:rsidRPr="00D25793">
              <w:rPr>
                <w:rFonts w:ascii="ITC Avant Garde" w:hAnsi="ITC Avant Garde" w:cs="Arial"/>
                <w:sz w:val="18"/>
                <w:szCs w:val="18"/>
              </w:rPr>
              <w:t xml:space="preserve"> capacidad</w:t>
            </w:r>
            <w:r w:rsidR="00ED23D2">
              <w:rPr>
                <w:rFonts w:ascii="ITC Avant Garde" w:hAnsi="ITC Avant Garde" w:cs="Arial"/>
                <w:sz w:val="18"/>
                <w:szCs w:val="18"/>
                <w:lang w:val="es-MX"/>
              </w:rPr>
              <w:t xml:space="preserve"> </w:t>
            </w:r>
            <w:r w:rsidR="00ED23D2" w:rsidRPr="00E50762">
              <w:rPr>
                <w:rFonts w:ascii="ITC Avant Garde" w:hAnsi="ITC Avant Garde" w:cs="Arial"/>
                <w:sz w:val="18"/>
                <w:szCs w:val="18"/>
              </w:rPr>
              <w:t xml:space="preserve">de </w:t>
            </w:r>
            <w:r w:rsidR="00D533B7">
              <w:rPr>
                <w:rFonts w:ascii="ITC Avant Garde" w:hAnsi="ITC Avant Garde" w:cs="Arial"/>
                <w:sz w:val="18"/>
                <w:szCs w:val="18"/>
                <w:lang w:val="es-MX"/>
              </w:rPr>
              <w:t>estos</w:t>
            </w:r>
            <w:r w:rsidR="00ED23D2" w:rsidRPr="00E50762">
              <w:rPr>
                <w:rFonts w:ascii="ITC Avant Garde" w:hAnsi="ITC Avant Garde" w:cs="Arial"/>
                <w:sz w:val="18"/>
                <w:szCs w:val="18"/>
              </w:rPr>
              <w:t xml:space="preserve"> de traspasar </w:t>
            </w:r>
            <w:r w:rsidR="00ED23D2">
              <w:rPr>
                <w:rFonts w:ascii="ITC Avant Garde" w:hAnsi="ITC Avant Garde" w:cs="Arial"/>
                <w:sz w:val="18"/>
                <w:szCs w:val="18"/>
                <w:lang w:val="es-MX"/>
              </w:rPr>
              <w:t>los</w:t>
            </w:r>
            <w:r w:rsidR="00ED23D2" w:rsidRPr="00E50762">
              <w:rPr>
                <w:rFonts w:ascii="ITC Avant Garde" w:hAnsi="ITC Avant Garde" w:cs="Arial"/>
                <w:sz w:val="18"/>
                <w:szCs w:val="18"/>
              </w:rPr>
              <w:t xml:space="preserve"> costos </w:t>
            </w:r>
            <w:r w:rsidR="00ED23D2">
              <w:rPr>
                <w:rFonts w:ascii="ITC Avant Garde" w:hAnsi="ITC Avant Garde" w:cs="Arial"/>
                <w:sz w:val="18"/>
                <w:szCs w:val="18"/>
                <w:lang w:val="es-MX"/>
              </w:rPr>
              <w:t>(</w:t>
            </w:r>
            <w:r w:rsidR="00ED23D2" w:rsidRPr="00E50762">
              <w:rPr>
                <w:rFonts w:ascii="ITC Avant Garde" w:hAnsi="ITC Avant Garde" w:cs="Arial"/>
                <w:sz w:val="18"/>
                <w:szCs w:val="18"/>
              </w:rPr>
              <w:t>“</w:t>
            </w:r>
            <w:proofErr w:type="spellStart"/>
            <w:r w:rsidR="00ED23D2" w:rsidRPr="00B3396D">
              <w:rPr>
                <w:rFonts w:ascii="ITC Avant Garde" w:hAnsi="ITC Avant Garde" w:cs="Arial"/>
                <w:i/>
                <w:iCs/>
                <w:sz w:val="18"/>
                <w:szCs w:val="18"/>
              </w:rPr>
              <w:t>pass-through</w:t>
            </w:r>
            <w:proofErr w:type="spellEnd"/>
            <w:r w:rsidR="00ED23D2" w:rsidRPr="00E50762">
              <w:rPr>
                <w:rFonts w:ascii="ITC Avant Garde" w:hAnsi="ITC Avant Garde" w:cs="Arial"/>
                <w:sz w:val="18"/>
                <w:szCs w:val="18"/>
              </w:rPr>
              <w:t>”</w:t>
            </w:r>
            <w:r w:rsidR="00ED23D2">
              <w:rPr>
                <w:rFonts w:ascii="ITC Avant Garde" w:hAnsi="ITC Avant Garde" w:cs="Arial"/>
                <w:sz w:val="18"/>
                <w:szCs w:val="18"/>
                <w:lang w:val="es-MX"/>
              </w:rPr>
              <w:t>)</w:t>
            </w:r>
            <w:r w:rsidR="00C86788">
              <w:rPr>
                <w:rFonts w:ascii="ITC Avant Garde" w:hAnsi="ITC Avant Garde" w:cs="Arial"/>
                <w:sz w:val="18"/>
                <w:szCs w:val="18"/>
                <w:lang w:val="es-MX"/>
              </w:rPr>
              <w:t xml:space="preserve"> o realizar </w:t>
            </w:r>
            <w:proofErr w:type="spellStart"/>
            <w:r w:rsidR="00C86788" w:rsidRPr="00810537">
              <w:rPr>
                <w:rFonts w:ascii="ITC Avant Garde" w:hAnsi="ITC Avant Garde" w:cs="Arial"/>
                <w:i/>
                <w:sz w:val="18"/>
                <w:szCs w:val="18"/>
              </w:rPr>
              <w:t>multi-homming</w:t>
            </w:r>
            <w:proofErr w:type="spellEnd"/>
            <w:r w:rsidR="00ED23D2">
              <w:rPr>
                <w:rFonts w:ascii="ITC Avant Garde" w:hAnsi="ITC Avant Garde" w:cs="Arial"/>
                <w:sz w:val="18"/>
                <w:szCs w:val="18"/>
                <w:lang w:val="es-MX"/>
              </w:rPr>
              <w:t>.</w:t>
            </w:r>
            <w:r w:rsidR="00A23F93">
              <w:rPr>
                <w:rFonts w:ascii="ITC Avant Garde" w:hAnsi="ITC Avant Garde" w:cs="Arial"/>
                <w:sz w:val="18"/>
                <w:szCs w:val="18"/>
                <w:lang w:val="es-MX"/>
              </w:rPr>
              <w:t xml:space="preserve"> </w:t>
            </w:r>
          </w:p>
          <w:p w14:paraId="7BCFF468" w14:textId="268293B6" w:rsidR="0099058B" w:rsidRPr="00D25793" w:rsidRDefault="0099058B" w:rsidP="0099058B">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sidRPr="00D25793">
              <w:rPr>
                <w:rFonts w:ascii="ITC Avant Garde" w:hAnsi="ITC Avant Garde" w:cs="Arial"/>
                <w:sz w:val="18"/>
                <w:szCs w:val="18"/>
              </w:rPr>
              <w:t>Las características técnicas y funcionales de los productos of</w:t>
            </w:r>
            <w:r w:rsidR="009E481A" w:rsidRPr="00D25793">
              <w:rPr>
                <w:rFonts w:ascii="ITC Avant Garde" w:hAnsi="ITC Avant Garde" w:cs="Arial"/>
                <w:sz w:val="18"/>
                <w:szCs w:val="18"/>
                <w:lang w:val="es-MX"/>
              </w:rPr>
              <w:t>recidos</w:t>
            </w:r>
            <w:r w:rsidR="00112DEC">
              <w:rPr>
                <w:rFonts w:ascii="ITC Avant Garde" w:hAnsi="ITC Avant Garde" w:cs="Arial"/>
                <w:sz w:val="18"/>
                <w:szCs w:val="18"/>
                <w:lang w:val="es-MX"/>
              </w:rPr>
              <w:t xml:space="preserve"> </w:t>
            </w:r>
            <w:r w:rsidR="00127AD2">
              <w:rPr>
                <w:rFonts w:ascii="ITC Avant Garde" w:hAnsi="ITC Avant Garde" w:cs="Arial"/>
                <w:sz w:val="18"/>
                <w:szCs w:val="18"/>
                <w:lang w:val="es-MX"/>
              </w:rPr>
              <w:t xml:space="preserve">a los diferentes </w:t>
            </w:r>
            <w:r w:rsidR="00716F0D">
              <w:rPr>
                <w:rFonts w:ascii="ITC Avant Garde" w:hAnsi="ITC Avant Garde" w:cs="Arial"/>
                <w:sz w:val="18"/>
                <w:szCs w:val="18"/>
                <w:lang w:val="es-MX"/>
              </w:rPr>
              <w:t>grupos de usuarios</w:t>
            </w:r>
            <w:r w:rsidRPr="00D25793">
              <w:rPr>
                <w:rFonts w:ascii="ITC Avant Garde" w:hAnsi="ITC Avant Garde" w:cs="Arial"/>
                <w:sz w:val="18"/>
                <w:szCs w:val="18"/>
              </w:rPr>
              <w:t xml:space="preserve"> de la plataforma.</w:t>
            </w:r>
          </w:p>
          <w:p w14:paraId="43DF164D" w14:textId="516E864E" w:rsidR="001A411C" w:rsidRPr="00357E3D" w:rsidRDefault="00357E3D" w:rsidP="00357E3D">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Pr>
                <w:rFonts w:ascii="ITC Avant Garde" w:hAnsi="ITC Avant Garde" w:cs="Arial"/>
                <w:sz w:val="18"/>
                <w:szCs w:val="18"/>
                <w:lang w:val="es-MX"/>
              </w:rPr>
              <w:t>L</w:t>
            </w:r>
            <w:r w:rsidR="001A411C" w:rsidRPr="00E75823">
              <w:rPr>
                <w:rFonts w:ascii="ITC Avant Garde" w:hAnsi="ITC Avant Garde" w:cs="Arial"/>
                <w:sz w:val="18"/>
                <w:szCs w:val="18"/>
              </w:rPr>
              <w:t>as presiones competitivas, tanto por el lado de la oferta como de la demanda, que enfrenta la plataforma en los diversos lados que la conforman, para lo cual podrá considerar los</w:t>
            </w:r>
            <w:r w:rsidR="001A411C" w:rsidRPr="00357E3D">
              <w:rPr>
                <w:rFonts w:ascii="ITC Avant Garde" w:hAnsi="ITC Avant Garde" w:cs="Arial"/>
                <w:sz w:val="18"/>
                <w:szCs w:val="18"/>
              </w:rPr>
              <w:t xml:space="preserve"> elementos presentados en las secciones 5 y 6</w:t>
            </w:r>
            <w:r w:rsidR="001A411C" w:rsidRPr="002E5816">
              <w:rPr>
                <w:rFonts w:ascii="ITC Avant Garde" w:hAnsi="ITC Avant Garde" w:cs="Arial"/>
                <w:sz w:val="18"/>
                <w:szCs w:val="18"/>
              </w:rPr>
              <w:t xml:space="preserve"> de la presente guía.</w:t>
            </w:r>
          </w:p>
          <w:p w14:paraId="632C0107" w14:textId="3177922C" w:rsidR="001A411C" w:rsidRDefault="001A411C" w:rsidP="001A411C">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sidRPr="00D25793">
              <w:rPr>
                <w:rFonts w:ascii="ITC Avant Garde" w:hAnsi="ITC Avant Garde" w:cs="Arial"/>
                <w:sz w:val="18"/>
                <w:szCs w:val="18"/>
              </w:rPr>
              <w:t>La existencia de diferenciación en los productos que se ofrecen en los distintos lados y sus implicaciones sobre las estrategias de precios y las decisiones de los consumidores en cada uno de los lados.</w:t>
            </w:r>
          </w:p>
          <w:p w14:paraId="73E02201" w14:textId="2BD3073C" w:rsidR="0099058B" w:rsidRPr="00D25793" w:rsidRDefault="0099058B" w:rsidP="0099058B">
            <w:pPr>
              <w:pStyle w:val="Prrafodelista"/>
              <w:numPr>
                <w:ilvl w:val="0"/>
                <w:numId w:val="33"/>
              </w:numPr>
              <w:spacing w:after="120" w:line="240" w:lineRule="auto"/>
              <w:ind w:left="1066" w:hanging="709"/>
              <w:contextualSpacing w:val="0"/>
              <w:jc w:val="both"/>
              <w:rPr>
                <w:rFonts w:ascii="ITC Avant Garde" w:hAnsi="ITC Avant Garde" w:cs="Arial"/>
                <w:sz w:val="18"/>
                <w:szCs w:val="18"/>
              </w:rPr>
            </w:pPr>
            <w:r w:rsidRPr="00D25793">
              <w:rPr>
                <w:rFonts w:ascii="ITC Avant Garde" w:hAnsi="ITC Avant Garde" w:cs="Arial"/>
                <w:sz w:val="18"/>
                <w:szCs w:val="18"/>
              </w:rPr>
              <w:t>Si resulta factible su implementación, la Prueba SSNIP, en su caso, adaptada para reflejar las interdependencias entre los precios y las demandas entre los distintos lados del mercado. Particularmente, en presencia de precios cero podrán evaluarse variables distintas al precio, tales como la calidad del servicio.</w:t>
            </w:r>
            <w:r w:rsidR="00453A31" w:rsidRPr="00D25793">
              <w:rPr>
                <w:rFonts w:ascii="ITC Avant Garde" w:hAnsi="ITC Avant Garde" w:cs="Arial"/>
                <w:sz w:val="18"/>
                <w:szCs w:val="18"/>
                <w:vertAlign w:val="superscript"/>
              </w:rPr>
              <w:t xml:space="preserve"> </w:t>
            </w:r>
          </w:p>
          <w:bookmarkEnd w:id="36"/>
          <w:p w14:paraId="32B3A2AB" w14:textId="77777777" w:rsidR="0099058B" w:rsidRPr="00D25793" w:rsidRDefault="0099058B" w:rsidP="0099058B">
            <w:pPr>
              <w:spacing w:after="0" w:line="240" w:lineRule="auto"/>
              <w:jc w:val="both"/>
              <w:rPr>
                <w:rFonts w:ascii="ITC Avant Garde" w:hAnsi="ITC Avant Garde" w:cs="Arial"/>
                <w:sz w:val="18"/>
                <w:szCs w:val="18"/>
                <w:lang w:val="x-none"/>
              </w:rPr>
            </w:pPr>
          </w:p>
          <w:p w14:paraId="77C06D51" w14:textId="097F28AD" w:rsidR="0099058B" w:rsidRPr="00D25793" w:rsidRDefault="0099058B" w:rsidP="0099058B">
            <w:pPr>
              <w:spacing w:after="0" w:line="240" w:lineRule="auto"/>
              <w:jc w:val="both"/>
              <w:rPr>
                <w:rFonts w:ascii="ITC Avant Garde" w:hAnsi="ITC Avant Garde" w:cs="Arial"/>
                <w:sz w:val="18"/>
                <w:szCs w:val="18"/>
                <w:lang w:val="x-none"/>
              </w:rPr>
            </w:pPr>
            <w:r w:rsidRPr="00D25793">
              <w:rPr>
                <w:rFonts w:ascii="ITC Avant Garde" w:hAnsi="ITC Avant Garde" w:cs="Arial"/>
                <w:sz w:val="18"/>
                <w:szCs w:val="18"/>
              </w:rPr>
              <w:lastRenderedPageBreak/>
              <w:t>** [Nueva nota al pie 1]</w:t>
            </w:r>
            <w:r w:rsidRPr="00D25793">
              <w:rPr>
                <w:rFonts w:ascii="ITC Avant Garde" w:hAnsi="ITC Avant Garde" w:cs="Arial"/>
                <w:sz w:val="18"/>
                <w:szCs w:val="18"/>
                <w:lang w:val="x-none"/>
              </w:rPr>
              <w:t xml:space="preserve"> </w:t>
            </w:r>
            <w:r w:rsidR="00120BEE">
              <w:rPr>
                <w:rFonts w:ascii="ITC Avant Garde" w:hAnsi="ITC Avant Garde" w:cs="Arial"/>
                <w:sz w:val="18"/>
                <w:szCs w:val="18"/>
              </w:rPr>
              <w:t>Las e</w:t>
            </w:r>
            <w:proofErr w:type="spellStart"/>
            <w:r w:rsidRPr="00D25793">
              <w:rPr>
                <w:rFonts w:ascii="ITC Avant Garde" w:hAnsi="ITC Avant Garde" w:cs="Arial"/>
                <w:sz w:val="18"/>
                <w:szCs w:val="18"/>
                <w:lang w:val="x-none"/>
              </w:rPr>
              <w:t>xternalidades</w:t>
            </w:r>
            <w:proofErr w:type="spellEnd"/>
            <w:r w:rsidRPr="00D25793">
              <w:rPr>
                <w:rFonts w:ascii="ITC Avant Garde" w:hAnsi="ITC Avant Garde" w:cs="Arial"/>
                <w:sz w:val="18"/>
                <w:szCs w:val="18"/>
                <w:lang w:val="x-none"/>
              </w:rPr>
              <w:t xml:space="preserve"> indirectas de red </w:t>
            </w:r>
            <w:r w:rsidR="00120BEE">
              <w:rPr>
                <w:rFonts w:ascii="ITC Avant Garde" w:hAnsi="ITC Avant Garde" w:cs="Arial"/>
                <w:sz w:val="18"/>
                <w:szCs w:val="18"/>
              </w:rPr>
              <w:t>suceden cuando</w:t>
            </w:r>
            <w:r w:rsidRPr="00D25793">
              <w:rPr>
                <w:rFonts w:ascii="ITC Avant Garde" w:hAnsi="ITC Avant Garde" w:cs="Arial"/>
                <w:sz w:val="18"/>
                <w:szCs w:val="18"/>
                <w:lang w:val="x-none"/>
              </w:rPr>
              <w:t xml:space="preserve"> el valor de la plataforma y la demanda de los usuarios de un lado del mercado </w:t>
            </w:r>
            <w:r w:rsidR="00120BEE">
              <w:rPr>
                <w:rFonts w:ascii="ITC Avant Garde" w:hAnsi="ITC Avant Garde" w:cs="Arial"/>
                <w:sz w:val="18"/>
                <w:szCs w:val="18"/>
              </w:rPr>
              <w:t>depende del</w:t>
            </w:r>
            <w:r w:rsidRPr="00D25793">
              <w:rPr>
                <w:rFonts w:ascii="ITC Avant Garde" w:hAnsi="ITC Avant Garde" w:cs="Arial"/>
                <w:sz w:val="18"/>
                <w:szCs w:val="18"/>
                <w:lang w:val="x-none"/>
              </w:rPr>
              <w:t xml:space="preserve"> número de usuarios </w:t>
            </w:r>
            <w:r w:rsidRPr="00D25793">
              <w:rPr>
                <w:rFonts w:ascii="ITC Avant Garde" w:hAnsi="ITC Avant Garde" w:cs="Arial"/>
                <w:sz w:val="18"/>
                <w:szCs w:val="18"/>
              </w:rPr>
              <w:t xml:space="preserve">(o al uso que hacen) </w:t>
            </w:r>
            <w:r w:rsidRPr="00D25793">
              <w:rPr>
                <w:rFonts w:ascii="ITC Avant Garde" w:hAnsi="ITC Avant Garde" w:cs="Arial"/>
                <w:sz w:val="18"/>
                <w:szCs w:val="18"/>
                <w:lang w:val="x-none"/>
              </w:rPr>
              <w:t>en otro</w:t>
            </w:r>
            <w:r w:rsidRPr="00D25793">
              <w:rPr>
                <w:rFonts w:ascii="ITC Avant Garde" w:hAnsi="ITC Avant Garde" w:cs="Arial"/>
                <w:sz w:val="18"/>
                <w:szCs w:val="18"/>
              </w:rPr>
              <w:t xml:space="preserve"> de los</w:t>
            </w:r>
            <w:r w:rsidRPr="00D25793">
              <w:rPr>
                <w:rFonts w:ascii="ITC Avant Garde" w:hAnsi="ITC Avant Garde" w:cs="Arial"/>
                <w:sz w:val="18"/>
                <w:szCs w:val="18"/>
                <w:lang w:val="x-none"/>
              </w:rPr>
              <w:t xml:space="preserve"> lado</w:t>
            </w:r>
            <w:r w:rsidRPr="00D25793">
              <w:rPr>
                <w:rFonts w:ascii="ITC Avant Garde" w:hAnsi="ITC Avant Garde" w:cs="Arial"/>
                <w:sz w:val="18"/>
                <w:szCs w:val="18"/>
              </w:rPr>
              <w:t>s</w:t>
            </w:r>
            <w:r w:rsidRPr="00D25793">
              <w:rPr>
                <w:rFonts w:ascii="ITC Avant Garde" w:hAnsi="ITC Avant Garde" w:cs="Arial"/>
                <w:sz w:val="18"/>
                <w:szCs w:val="18"/>
                <w:lang w:val="x-none"/>
              </w:rPr>
              <w:t xml:space="preserve"> de la plataforma. Para mayor referencia, ver:</w:t>
            </w:r>
          </w:p>
          <w:p w14:paraId="2C2EA2B4"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x-none"/>
              </w:rPr>
              <w:t>•</w:t>
            </w:r>
            <w:r w:rsidRPr="00D25793">
              <w:rPr>
                <w:rFonts w:ascii="ITC Avant Garde" w:hAnsi="ITC Avant Garde" w:cs="Arial"/>
                <w:sz w:val="18"/>
                <w:szCs w:val="18"/>
                <w:lang w:val="x-none"/>
              </w:rPr>
              <w:tab/>
              <w:t xml:space="preserve">Evans, D. (2003). </w:t>
            </w:r>
            <w:proofErr w:type="spellStart"/>
            <w:r w:rsidRPr="00810537">
              <w:rPr>
                <w:rFonts w:ascii="ITC Avant Garde" w:hAnsi="ITC Avant Garde" w:cs="Arial"/>
                <w:i/>
                <w:sz w:val="18"/>
                <w:szCs w:val="18"/>
                <w:lang w:val="x-none"/>
              </w:rPr>
              <w:t>The</w:t>
            </w:r>
            <w:proofErr w:type="spellEnd"/>
            <w:r w:rsidRPr="00810537">
              <w:rPr>
                <w:rFonts w:ascii="ITC Avant Garde" w:hAnsi="ITC Avant Garde" w:cs="Arial"/>
                <w:i/>
                <w:sz w:val="18"/>
                <w:szCs w:val="18"/>
                <w:lang w:val="x-none"/>
              </w:rPr>
              <w:t xml:space="preserve"> Antitrust </w:t>
            </w:r>
            <w:proofErr w:type="spellStart"/>
            <w:r w:rsidRPr="00810537">
              <w:rPr>
                <w:rFonts w:ascii="ITC Avant Garde" w:hAnsi="ITC Avant Garde" w:cs="Arial"/>
                <w:i/>
                <w:sz w:val="18"/>
                <w:szCs w:val="18"/>
                <w:lang w:val="x-none"/>
              </w:rPr>
              <w:t>Economics</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of</w:t>
            </w:r>
            <w:proofErr w:type="spellEnd"/>
            <w:r w:rsidRPr="00810537">
              <w:rPr>
                <w:rFonts w:ascii="ITC Avant Garde" w:hAnsi="ITC Avant Garde" w:cs="Arial"/>
                <w:i/>
                <w:sz w:val="18"/>
                <w:szCs w:val="18"/>
                <w:lang w:val="x-none"/>
              </w:rPr>
              <w:t xml:space="preserve"> Multi-</w:t>
            </w:r>
            <w:proofErr w:type="spellStart"/>
            <w:r w:rsidRPr="00810537">
              <w:rPr>
                <w:rFonts w:ascii="ITC Avant Garde" w:hAnsi="ITC Avant Garde" w:cs="Arial"/>
                <w:i/>
                <w:sz w:val="18"/>
                <w:szCs w:val="18"/>
                <w:lang w:val="x-none"/>
              </w:rPr>
              <w:t>Sided</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Platform</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Markets</w:t>
            </w:r>
            <w:proofErr w:type="spellEnd"/>
            <w:r w:rsidRPr="00D25793">
              <w:rPr>
                <w:rFonts w:ascii="ITC Avant Garde" w:hAnsi="ITC Avant Garde" w:cs="Arial"/>
                <w:sz w:val="18"/>
                <w:szCs w:val="18"/>
                <w:lang w:val="x-none"/>
              </w:rPr>
              <w:t xml:space="preserve">. Disponible en: </w:t>
            </w:r>
            <w:hyperlink r:id="rId13" w:history="1">
              <w:r w:rsidRPr="00D25793">
                <w:rPr>
                  <w:rStyle w:val="Hipervnculo"/>
                  <w:rFonts w:ascii="ITC Avant Garde" w:hAnsi="ITC Avant Garde" w:cs="Arial"/>
                  <w:sz w:val="18"/>
                  <w:szCs w:val="18"/>
                  <w:lang w:val="x-none"/>
                </w:rPr>
                <w:t>https://digitalcommons.law.yale.edu/cgi/viewcontent.cgi?article=1144&amp;context=yjreg</w:t>
              </w:r>
            </w:hyperlink>
            <w:r w:rsidRPr="00D25793">
              <w:rPr>
                <w:rFonts w:ascii="ITC Avant Garde" w:hAnsi="ITC Avant Garde" w:cs="Arial"/>
                <w:sz w:val="18"/>
                <w:szCs w:val="18"/>
              </w:rPr>
              <w:t xml:space="preserve"> </w:t>
            </w:r>
          </w:p>
          <w:p w14:paraId="1424AAFC" w14:textId="297084F6"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x-none"/>
              </w:rPr>
              <w:t>•</w:t>
            </w:r>
            <w:r w:rsidRPr="00D25793">
              <w:rPr>
                <w:rFonts w:ascii="ITC Avant Garde" w:hAnsi="ITC Avant Garde" w:cs="Arial"/>
                <w:sz w:val="18"/>
                <w:szCs w:val="18"/>
                <w:lang w:val="x-none"/>
              </w:rPr>
              <w:tab/>
            </w:r>
            <w:proofErr w:type="spellStart"/>
            <w:r w:rsidRPr="00D25793">
              <w:rPr>
                <w:rFonts w:ascii="ITC Avant Garde" w:hAnsi="ITC Avant Garde" w:cs="Arial"/>
                <w:sz w:val="18"/>
                <w:szCs w:val="18"/>
                <w:lang w:val="x-none"/>
              </w:rPr>
              <w:t>Rochet</w:t>
            </w:r>
            <w:proofErr w:type="spellEnd"/>
            <w:r w:rsidRPr="00D25793">
              <w:rPr>
                <w:rFonts w:ascii="ITC Avant Garde" w:hAnsi="ITC Avant Garde" w:cs="Arial"/>
                <w:sz w:val="18"/>
                <w:szCs w:val="18"/>
                <w:lang w:val="x-none"/>
              </w:rPr>
              <w:t xml:space="preserve">, J-C y </w:t>
            </w:r>
            <w:proofErr w:type="spellStart"/>
            <w:r w:rsidRPr="00D25793">
              <w:rPr>
                <w:rFonts w:ascii="ITC Avant Garde" w:hAnsi="ITC Avant Garde" w:cs="Arial"/>
                <w:sz w:val="18"/>
                <w:szCs w:val="18"/>
                <w:lang w:val="x-none"/>
              </w:rPr>
              <w:t>Tirole</w:t>
            </w:r>
            <w:proofErr w:type="spellEnd"/>
            <w:r w:rsidRPr="00D25793">
              <w:rPr>
                <w:rFonts w:ascii="ITC Avant Garde" w:hAnsi="ITC Avant Garde" w:cs="Arial"/>
                <w:sz w:val="18"/>
                <w:szCs w:val="18"/>
                <w:lang w:val="x-none"/>
              </w:rPr>
              <w:t xml:space="preserve">, J., (2006). </w:t>
            </w:r>
            <w:proofErr w:type="spellStart"/>
            <w:r w:rsidRPr="00810537">
              <w:rPr>
                <w:rFonts w:ascii="ITC Avant Garde" w:hAnsi="ITC Avant Garde" w:cs="Arial"/>
                <w:i/>
                <w:sz w:val="18"/>
                <w:szCs w:val="18"/>
                <w:lang w:val="x-none"/>
              </w:rPr>
              <w:t>Two-sided</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markets</w:t>
            </w:r>
            <w:proofErr w:type="spellEnd"/>
            <w:r w:rsidRPr="00810537">
              <w:rPr>
                <w:rFonts w:ascii="ITC Avant Garde" w:hAnsi="ITC Avant Garde" w:cs="Arial"/>
                <w:i/>
                <w:sz w:val="18"/>
                <w:szCs w:val="18"/>
                <w:lang w:val="x-none"/>
              </w:rPr>
              <w:t xml:space="preserve">: a </w:t>
            </w:r>
            <w:proofErr w:type="spellStart"/>
            <w:r w:rsidRPr="00810537">
              <w:rPr>
                <w:rFonts w:ascii="ITC Avant Garde" w:hAnsi="ITC Avant Garde" w:cs="Arial"/>
                <w:i/>
                <w:sz w:val="18"/>
                <w:szCs w:val="18"/>
                <w:lang w:val="x-none"/>
              </w:rPr>
              <w:t>progress</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report</w:t>
            </w:r>
            <w:proofErr w:type="spellEnd"/>
            <w:r w:rsidR="007632B6">
              <w:rPr>
                <w:rFonts w:ascii="ITC Avant Garde" w:hAnsi="ITC Avant Garde" w:cs="Arial"/>
                <w:sz w:val="18"/>
                <w:szCs w:val="18"/>
                <w:lang w:val="en-US"/>
              </w:rPr>
              <w:t>.</w:t>
            </w:r>
            <w:r w:rsidRPr="00D25793">
              <w:rPr>
                <w:rFonts w:ascii="ITC Avant Garde" w:hAnsi="ITC Avant Garde" w:cs="Arial"/>
                <w:sz w:val="18"/>
                <w:szCs w:val="18"/>
                <w:lang w:val="x-none"/>
              </w:rPr>
              <w:t xml:space="preserve"> Disponible en:  </w:t>
            </w:r>
            <w:hyperlink r:id="rId14" w:history="1">
              <w:r w:rsidRPr="00D25793">
                <w:rPr>
                  <w:rStyle w:val="Hipervnculo"/>
                  <w:rFonts w:ascii="ITC Avant Garde" w:hAnsi="ITC Avant Garde" w:cs="Arial"/>
                  <w:sz w:val="18"/>
                  <w:szCs w:val="18"/>
                  <w:lang w:val="x-none"/>
                </w:rPr>
                <w:t>https://www.researchgate.net/publication/227651905_Two-sided_Markets_A_Progress_Report</w:t>
              </w:r>
            </w:hyperlink>
            <w:r w:rsidRPr="00D25793">
              <w:rPr>
                <w:rFonts w:ascii="ITC Avant Garde" w:hAnsi="ITC Avant Garde" w:cs="Arial"/>
                <w:sz w:val="18"/>
                <w:szCs w:val="18"/>
              </w:rPr>
              <w:t xml:space="preserve"> </w:t>
            </w:r>
          </w:p>
          <w:p w14:paraId="5DC045FC" w14:textId="1BD06DD7" w:rsidR="0099058B" w:rsidRPr="00357E3D" w:rsidRDefault="0099058B" w:rsidP="0099058B">
            <w:pPr>
              <w:spacing w:after="0" w:line="240" w:lineRule="auto"/>
              <w:jc w:val="both"/>
              <w:rPr>
                <w:rFonts w:ascii="ITC Avant Garde" w:hAnsi="ITC Avant Garde"/>
                <w:sz w:val="18"/>
                <w:szCs w:val="18"/>
              </w:rPr>
            </w:pPr>
            <w:r w:rsidRPr="00357E3D">
              <w:rPr>
                <w:rFonts w:ascii="ITC Avant Garde" w:hAnsi="ITC Avant Garde" w:cs="Arial"/>
                <w:sz w:val="18"/>
                <w:szCs w:val="18"/>
              </w:rPr>
              <w:t xml:space="preserve">** [Nueva nota al pie </w:t>
            </w:r>
            <w:r w:rsidR="00032116">
              <w:rPr>
                <w:rFonts w:ascii="ITC Avant Garde" w:hAnsi="ITC Avant Garde" w:cs="Arial"/>
                <w:sz w:val="18"/>
                <w:szCs w:val="18"/>
              </w:rPr>
              <w:t>2</w:t>
            </w:r>
            <w:r w:rsidRPr="00357E3D">
              <w:rPr>
                <w:rFonts w:ascii="ITC Avant Garde" w:hAnsi="ITC Avant Garde" w:cs="Arial"/>
                <w:sz w:val="18"/>
                <w:szCs w:val="18"/>
              </w:rPr>
              <w:t>]</w:t>
            </w:r>
            <w:r w:rsidRPr="00357E3D">
              <w:rPr>
                <w:rFonts w:ascii="ITC Avant Garde" w:hAnsi="ITC Avant Garde" w:cs="Arial"/>
                <w:sz w:val="18"/>
                <w:szCs w:val="18"/>
                <w:vertAlign w:val="superscript"/>
              </w:rPr>
              <w:t xml:space="preserve"> </w:t>
            </w:r>
            <w:r w:rsidRPr="00357E3D">
              <w:rPr>
                <w:rFonts w:ascii="ITC Avant Garde" w:hAnsi="ITC Avant Garde" w:cs="Arial"/>
                <w:sz w:val="18"/>
                <w:szCs w:val="18"/>
                <w:lang w:val="x-none"/>
              </w:rPr>
              <w:t xml:space="preserve">OCDE (2018). </w:t>
            </w:r>
            <w:proofErr w:type="spellStart"/>
            <w:r w:rsidRPr="00810537">
              <w:rPr>
                <w:rFonts w:ascii="ITC Avant Garde" w:hAnsi="ITC Avant Garde" w:cs="Arial"/>
                <w:i/>
                <w:sz w:val="18"/>
                <w:szCs w:val="18"/>
                <w:lang w:val="x-none"/>
              </w:rPr>
              <w:t>Rethinking</w:t>
            </w:r>
            <w:proofErr w:type="spellEnd"/>
            <w:r w:rsidRPr="00810537">
              <w:rPr>
                <w:rFonts w:ascii="ITC Avant Garde" w:hAnsi="ITC Avant Garde" w:cs="Arial"/>
                <w:i/>
                <w:sz w:val="18"/>
                <w:szCs w:val="18"/>
                <w:lang w:val="x-none"/>
              </w:rPr>
              <w:t xml:space="preserve"> antitrust </w:t>
            </w:r>
            <w:proofErr w:type="spellStart"/>
            <w:r w:rsidRPr="00810537">
              <w:rPr>
                <w:rFonts w:ascii="ITC Avant Garde" w:hAnsi="ITC Avant Garde" w:cs="Arial"/>
                <w:i/>
                <w:sz w:val="18"/>
                <w:szCs w:val="18"/>
                <w:lang w:val="x-none"/>
              </w:rPr>
              <w:t>tools</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for</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multi-sided</w:t>
            </w:r>
            <w:proofErr w:type="spellEnd"/>
            <w:r w:rsidRPr="00810537">
              <w:rPr>
                <w:rFonts w:ascii="ITC Avant Garde" w:hAnsi="ITC Avant Garde" w:cs="Arial"/>
                <w:i/>
                <w:sz w:val="18"/>
                <w:szCs w:val="18"/>
                <w:lang w:val="x-none"/>
              </w:rPr>
              <w:t xml:space="preserve"> </w:t>
            </w:r>
            <w:proofErr w:type="spellStart"/>
            <w:r w:rsidRPr="00810537">
              <w:rPr>
                <w:rFonts w:ascii="ITC Avant Garde" w:hAnsi="ITC Avant Garde" w:cs="Arial"/>
                <w:i/>
                <w:sz w:val="18"/>
                <w:szCs w:val="18"/>
                <w:lang w:val="x-none"/>
              </w:rPr>
              <w:t>platforms</w:t>
            </w:r>
            <w:proofErr w:type="spellEnd"/>
            <w:r w:rsidR="00281478" w:rsidRPr="00281478">
              <w:rPr>
                <w:rFonts w:ascii="ITC Avant Garde" w:hAnsi="ITC Avant Garde" w:cs="Arial"/>
                <w:i/>
                <w:sz w:val="18"/>
                <w:szCs w:val="18"/>
                <w:lang w:val="en-US"/>
              </w:rPr>
              <w:t xml:space="preserve">, </w:t>
            </w:r>
            <w:r w:rsidR="00281478" w:rsidRPr="00281478">
              <w:rPr>
                <w:rFonts w:ascii="ITC Avant Garde" w:hAnsi="ITC Avant Garde" w:cs="Arial"/>
                <w:iCs/>
                <w:sz w:val="18"/>
                <w:szCs w:val="18"/>
                <w:lang w:val="en-US"/>
              </w:rPr>
              <w:t>pp.57 y 58</w:t>
            </w:r>
            <w:r w:rsidRPr="00357E3D">
              <w:rPr>
                <w:rFonts w:ascii="ITC Avant Garde" w:hAnsi="ITC Avant Garde" w:cs="Arial"/>
                <w:sz w:val="18"/>
                <w:szCs w:val="18"/>
                <w:lang w:val="x-none"/>
              </w:rPr>
              <w:t xml:space="preserve">. Disponible en: </w:t>
            </w:r>
            <w:hyperlink r:id="rId15" w:history="1">
              <w:r w:rsidRPr="00357E3D">
                <w:rPr>
                  <w:rStyle w:val="Hipervnculo"/>
                  <w:rFonts w:ascii="ITC Avant Garde" w:hAnsi="ITC Avant Garde"/>
                  <w:sz w:val="18"/>
                  <w:szCs w:val="18"/>
                  <w:lang w:val="x-none"/>
                </w:rPr>
                <w:t>http://www.oecd.org/daf/competition/Rethinking-antitrust-tools-for-multi-sided-platforms-2018.pd</w:t>
              </w:r>
              <w:r w:rsidRPr="00357E3D">
                <w:rPr>
                  <w:rStyle w:val="Hipervnculo"/>
                  <w:rFonts w:ascii="ITC Avant Garde" w:hAnsi="ITC Avant Garde"/>
                  <w:sz w:val="18"/>
                  <w:szCs w:val="18"/>
                </w:rPr>
                <w:t>f</w:t>
              </w:r>
            </w:hyperlink>
            <w:r w:rsidRPr="00357E3D">
              <w:rPr>
                <w:rFonts w:ascii="ITC Avant Garde" w:hAnsi="ITC Avant Garde"/>
                <w:sz w:val="18"/>
                <w:szCs w:val="18"/>
              </w:rPr>
              <w:t xml:space="preserve">  </w:t>
            </w:r>
          </w:p>
          <w:p w14:paraId="0AEA4FAC" w14:textId="5CA99FF7" w:rsidR="0099058B" w:rsidRPr="00D25793"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sidR="00032116">
              <w:rPr>
                <w:rFonts w:ascii="ITC Avant Garde" w:hAnsi="ITC Avant Garde" w:cs="Arial"/>
                <w:sz w:val="18"/>
                <w:szCs w:val="18"/>
              </w:rPr>
              <w:t>3</w:t>
            </w:r>
            <w:r w:rsidRPr="00D25793">
              <w:rPr>
                <w:rFonts w:ascii="ITC Avant Garde" w:hAnsi="ITC Avant Garde" w:cs="Arial"/>
                <w:sz w:val="18"/>
                <w:szCs w:val="18"/>
              </w:rPr>
              <w:t>] Ver resoluciones del Instituto correspondientes a los expedientes: E-IFT/UC/OCC/0001/2013, E-IFT/UC/OCC/0007/2013, E-IFT/UC/ONP/0012/2013, E-IFT/UC/ONP/0028/2013, Acuerdo P/IFT/EXT/190216/7 y el Dictamen Preliminar de Cierre del Expediente AI/DC-004-2018. Disponibles en:</w:t>
            </w:r>
          </w:p>
          <w:p w14:paraId="59FF3BCB" w14:textId="77777777" w:rsidR="0099058B" w:rsidRPr="00D25793" w:rsidRDefault="00E658A5" w:rsidP="0099058B">
            <w:pPr>
              <w:spacing w:after="0" w:line="240" w:lineRule="auto"/>
              <w:jc w:val="both"/>
              <w:rPr>
                <w:rFonts w:ascii="ITC Avant Garde" w:hAnsi="ITC Avant Garde" w:cs="Arial"/>
                <w:sz w:val="18"/>
                <w:szCs w:val="18"/>
              </w:rPr>
            </w:pPr>
            <w:hyperlink r:id="rId16" w:history="1">
              <w:r w:rsidR="0099058B" w:rsidRPr="00D25793">
                <w:rPr>
                  <w:rStyle w:val="Hipervnculo"/>
                  <w:rFonts w:ascii="ITC Avant Garde" w:hAnsi="ITC Avant Garde" w:cs="Arial"/>
                  <w:sz w:val="18"/>
                  <w:szCs w:val="18"/>
                </w:rPr>
                <w:t>http://apps.ift.org.mx/publicdata/versionpublicapift18031590_1.pdf</w:t>
              </w:r>
            </w:hyperlink>
            <w:r w:rsidR="0099058B" w:rsidRPr="00D25793">
              <w:rPr>
                <w:rFonts w:ascii="ITC Avant Garde" w:hAnsi="ITC Avant Garde" w:cs="Arial"/>
                <w:sz w:val="18"/>
                <w:szCs w:val="18"/>
              </w:rPr>
              <w:t xml:space="preserve">  </w:t>
            </w:r>
            <w:hyperlink r:id="rId17" w:history="1">
              <w:r w:rsidR="0099058B" w:rsidRPr="00D25793">
                <w:rPr>
                  <w:rStyle w:val="Hipervnculo"/>
                  <w:rFonts w:ascii="ITC Avant Garde" w:hAnsi="ITC Avant Garde" w:cs="Arial"/>
                  <w:sz w:val="18"/>
                  <w:szCs w:val="18"/>
                </w:rPr>
                <w:t>http://apps.ift.org.mx/publicdata/versionpublicapift18031591_2.pdf</w:t>
              </w:r>
            </w:hyperlink>
            <w:r w:rsidR="0099058B" w:rsidRPr="00D25793">
              <w:rPr>
                <w:rFonts w:ascii="ITC Avant Garde" w:hAnsi="ITC Avant Garde" w:cs="Arial"/>
                <w:sz w:val="18"/>
                <w:szCs w:val="18"/>
              </w:rPr>
              <w:t xml:space="preserve">  </w:t>
            </w:r>
            <w:hyperlink r:id="rId18" w:history="1">
              <w:r w:rsidR="0099058B" w:rsidRPr="00D25793">
                <w:rPr>
                  <w:rStyle w:val="Hipervnculo"/>
                  <w:rFonts w:ascii="ITC Avant Garde" w:hAnsi="ITC Avant Garde" w:cs="Arial"/>
                  <w:sz w:val="18"/>
                  <w:szCs w:val="18"/>
                </w:rPr>
                <w:t>http://apps.ift.org.mx/publicdata/versionpublicapift18031592.pdf</w:t>
              </w:r>
            </w:hyperlink>
            <w:r w:rsidR="0099058B" w:rsidRPr="00D25793">
              <w:rPr>
                <w:rFonts w:ascii="ITC Avant Garde" w:hAnsi="ITC Avant Garde" w:cs="Arial"/>
                <w:sz w:val="18"/>
                <w:szCs w:val="18"/>
              </w:rPr>
              <w:t xml:space="preserve"> </w:t>
            </w:r>
          </w:p>
          <w:p w14:paraId="2FA5D16F" w14:textId="77777777" w:rsidR="0099058B" w:rsidRPr="00D25793" w:rsidRDefault="00E658A5" w:rsidP="0099058B">
            <w:pPr>
              <w:spacing w:after="0" w:line="240" w:lineRule="auto"/>
              <w:jc w:val="both"/>
              <w:rPr>
                <w:rFonts w:ascii="ITC Avant Garde" w:hAnsi="ITC Avant Garde" w:cs="Arial"/>
                <w:sz w:val="18"/>
                <w:szCs w:val="18"/>
              </w:rPr>
            </w:pPr>
            <w:hyperlink r:id="rId19" w:history="1">
              <w:r w:rsidR="0099058B" w:rsidRPr="00D25793">
                <w:rPr>
                  <w:rStyle w:val="Hipervnculo"/>
                  <w:rFonts w:ascii="ITC Avant Garde" w:hAnsi="ITC Avant Garde" w:cs="Arial"/>
                  <w:sz w:val="18"/>
                  <w:szCs w:val="18"/>
                </w:rPr>
                <w:t>http://apps.ift.org.mx/publicdata/P_IFT_011014_352_Version_Publica.pdf</w:t>
              </w:r>
            </w:hyperlink>
            <w:r w:rsidR="0099058B" w:rsidRPr="00D25793">
              <w:rPr>
                <w:rFonts w:ascii="ITC Avant Garde" w:hAnsi="ITC Avant Garde" w:cs="Arial"/>
                <w:sz w:val="18"/>
                <w:szCs w:val="18"/>
              </w:rPr>
              <w:t xml:space="preserve"> </w:t>
            </w:r>
          </w:p>
          <w:p w14:paraId="07605E61" w14:textId="77777777" w:rsidR="0099058B" w:rsidRPr="00D25793" w:rsidRDefault="00E658A5" w:rsidP="0099058B">
            <w:pPr>
              <w:spacing w:after="0" w:line="240" w:lineRule="auto"/>
              <w:jc w:val="both"/>
              <w:rPr>
                <w:rFonts w:ascii="ITC Avant Garde" w:hAnsi="ITC Avant Garde" w:cs="Arial"/>
                <w:sz w:val="18"/>
                <w:szCs w:val="18"/>
              </w:rPr>
            </w:pPr>
            <w:hyperlink r:id="rId20" w:history="1">
              <w:r w:rsidR="0099058B" w:rsidRPr="00D25793">
                <w:rPr>
                  <w:rStyle w:val="Hipervnculo"/>
                  <w:rFonts w:ascii="ITC Avant Garde" w:hAnsi="ITC Avant Garde" w:cs="Arial"/>
                  <w:sz w:val="18"/>
                  <w:szCs w:val="18"/>
                </w:rPr>
                <w:t>http://apps.ift.org.mx/publicdata/Version_Publica_P_IFT_EXT_190216_7.pdf</w:t>
              </w:r>
            </w:hyperlink>
            <w:r w:rsidR="0099058B" w:rsidRPr="00D25793">
              <w:rPr>
                <w:rFonts w:ascii="ITC Avant Garde" w:hAnsi="ITC Avant Garde" w:cs="Arial"/>
                <w:sz w:val="18"/>
                <w:szCs w:val="18"/>
              </w:rPr>
              <w:t xml:space="preserve"> y</w:t>
            </w:r>
          </w:p>
          <w:p w14:paraId="1711548E" w14:textId="77777777" w:rsidR="0099058B" w:rsidRPr="00D25793" w:rsidRDefault="00E658A5" w:rsidP="0099058B">
            <w:pPr>
              <w:spacing w:after="0" w:line="240" w:lineRule="auto"/>
              <w:jc w:val="both"/>
              <w:rPr>
                <w:rFonts w:ascii="ITC Avant Garde" w:hAnsi="ITC Avant Garde" w:cs="Arial"/>
                <w:sz w:val="18"/>
                <w:szCs w:val="18"/>
              </w:rPr>
            </w:pPr>
            <w:hyperlink r:id="rId21" w:history="1">
              <w:r w:rsidR="0099058B" w:rsidRPr="00D25793">
                <w:rPr>
                  <w:rStyle w:val="Hipervnculo"/>
                  <w:rFonts w:ascii="ITC Avant Garde" w:hAnsi="ITC Avant Garde" w:cs="Arial"/>
                  <w:sz w:val="18"/>
                  <w:szCs w:val="18"/>
                </w:rPr>
                <w:t>http://www.ift.org.mx/sites/default/files/contenidogeneral/industria/dpdc-004-2018vpaccesiblefinal.pdf</w:t>
              </w:r>
            </w:hyperlink>
            <w:r w:rsidR="0099058B" w:rsidRPr="00D25793">
              <w:rPr>
                <w:rFonts w:ascii="ITC Avant Garde" w:hAnsi="ITC Avant Garde" w:cs="Arial"/>
                <w:sz w:val="18"/>
                <w:szCs w:val="18"/>
              </w:rPr>
              <w:t xml:space="preserve"> </w:t>
            </w:r>
          </w:p>
          <w:p w14:paraId="0EE59099" w14:textId="726AB552" w:rsidR="0099058B" w:rsidRPr="00D25793"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sidR="00032116">
              <w:rPr>
                <w:rFonts w:ascii="ITC Avant Garde" w:hAnsi="ITC Avant Garde" w:cs="Arial"/>
                <w:sz w:val="18"/>
                <w:szCs w:val="18"/>
              </w:rPr>
              <w:t>4</w:t>
            </w:r>
            <w:r w:rsidRPr="00D25793">
              <w:rPr>
                <w:rFonts w:ascii="ITC Avant Garde" w:hAnsi="ITC Avant Garde" w:cs="Arial"/>
                <w:sz w:val="18"/>
                <w:szCs w:val="18"/>
              </w:rPr>
              <w:t>] Para mayor referencia, ver resoluciones del Instituto correspondientes a los expedientes: UCE/OLC-002-2014 a UCE/OLC-009-2014 y Resolución P/IFT/EXT/190216/7. Disponibles en:</w:t>
            </w:r>
          </w:p>
          <w:p w14:paraId="17E8FC3A" w14:textId="77777777" w:rsidR="0099058B" w:rsidRPr="00D25793" w:rsidRDefault="00E658A5" w:rsidP="0099058B">
            <w:pPr>
              <w:spacing w:after="0" w:line="240" w:lineRule="auto"/>
              <w:jc w:val="both"/>
              <w:rPr>
                <w:rFonts w:ascii="ITC Avant Garde" w:hAnsi="ITC Avant Garde" w:cs="Arial"/>
                <w:sz w:val="18"/>
                <w:szCs w:val="18"/>
              </w:rPr>
            </w:pPr>
            <w:hyperlink r:id="rId22" w:history="1">
              <w:r w:rsidR="0099058B" w:rsidRPr="00D25793">
                <w:rPr>
                  <w:rStyle w:val="Hipervnculo"/>
                  <w:rFonts w:ascii="ITC Avant Garde" w:hAnsi="ITC Avant Garde" w:cs="Arial"/>
                  <w:sz w:val="18"/>
                  <w:szCs w:val="18"/>
                </w:rPr>
                <w:t>http://apps.ift.org.mx/publicdata/P_IFT_EXT_131114_217_Version_Publica.pdf</w:t>
              </w:r>
            </w:hyperlink>
            <w:r w:rsidR="0099058B" w:rsidRPr="00D25793">
              <w:rPr>
                <w:rFonts w:ascii="ITC Avant Garde" w:hAnsi="ITC Avant Garde" w:cs="Arial"/>
                <w:sz w:val="18"/>
                <w:szCs w:val="18"/>
              </w:rPr>
              <w:t xml:space="preserve"> </w:t>
            </w:r>
          </w:p>
          <w:p w14:paraId="6020EADA" w14:textId="77777777" w:rsidR="0099058B" w:rsidRPr="00D25793" w:rsidRDefault="00E658A5" w:rsidP="0099058B">
            <w:pPr>
              <w:spacing w:after="0" w:line="240" w:lineRule="auto"/>
              <w:jc w:val="both"/>
              <w:rPr>
                <w:rFonts w:ascii="ITC Avant Garde" w:hAnsi="ITC Avant Garde" w:cs="Arial"/>
                <w:sz w:val="18"/>
                <w:szCs w:val="18"/>
              </w:rPr>
            </w:pPr>
            <w:hyperlink r:id="rId23" w:history="1">
              <w:r w:rsidR="0099058B" w:rsidRPr="00D25793">
                <w:rPr>
                  <w:rStyle w:val="Hipervnculo"/>
                  <w:rFonts w:ascii="ITC Avant Garde" w:hAnsi="ITC Avant Garde" w:cs="Arial"/>
                  <w:sz w:val="18"/>
                  <w:szCs w:val="18"/>
                </w:rPr>
                <w:t>http://apps.ift.org.mx/publicdata/P_IFT_EXT_131114_218_Version_Publica.pdf</w:t>
              </w:r>
            </w:hyperlink>
            <w:r w:rsidR="0099058B" w:rsidRPr="00D25793">
              <w:rPr>
                <w:rFonts w:ascii="ITC Avant Garde" w:hAnsi="ITC Avant Garde" w:cs="Arial"/>
                <w:sz w:val="18"/>
                <w:szCs w:val="18"/>
              </w:rPr>
              <w:t xml:space="preserve"> </w:t>
            </w:r>
          </w:p>
          <w:p w14:paraId="69DE865C" w14:textId="77777777" w:rsidR="0099058B" w:rsidRPr="00D25793" w:rsidRDefault="00E658A5" w:rsidP="0099058B">
            <w:pPr>
              <w:spacing w:after="0" w:line="240" w:lineRule="auto"/>
              <w:jc w:val="both"/>
              <w:rPr>
                <w:rFonts w:ascii="ITC Avant Garde" w:hAnsi="ITC Avant Garde" w:cs="Arial"/>
                <w:sz w:val="18"/>
                <w:szCs w:val="18"/>
              </w:rPr>
            </w:pPr>
            <w:hyperlink r:id="rId24" w:history="1">
              <w:r w:rsidR="0099058B" w:rsidRPr="00D25793">
                <w:rPr>
                  <w:rStyle w:val="Hipervnculo"/>
                  <w:rFonts w:ascii="ITC Avant Garde" w:hAnsi="ITC Avant Garde" w:cs="Arial"/>
                  <w:sz w:val="18"/>
                  <w:szCs w:val="18"/>
                </w:rPr>
                <w:t>http://apps.ift.org.mx/publicdata/P_IFT_EXT_131114_219_Version_Publica.pdf</w:t>
              </w:r>
            </w:hyperlink>
            <w:r w:rsidR="0099058B" w:rsidRPr="00D25793">
              <w:rPr>
                <w:rFonts w:ascii="ITC Avant Garde" w:hAnsi="ITC Avant Garde" w:cs="Arial"/>
                <w:sz w:val="18"/>
                <w:szCs w:val="18"/>
              </w:rPr>
              <w:t xml:space="preserve"> </w:t>
            </w:r>
          </w:p>
          <w:p w14:paraId="18D5571C" w14:textId="77777777" w:rsidR="0099058B" w:rsidRPr="00D25793" w:rsidRDefault="00E658A5" w:rsidP="0099058B">
            <w:pPr>
              <w:spacing w:after="0" w:line="240" w:lineRule="auto"/>
              <w:jc w:val="both"/>
              <w:rPr>
                <w:rFonts w:ascii="ITC Avant Garde" w:hAnsi="ITC Avant Garde" w:cs="Arial"/>
                <w:sz w:val="18"/>
                <w:szCs w:val="18"/>
              </w:rPr>
            </w:pPr>
            <w:hyperlink r:id="rId25" w:history="1">
              <w:r w:rsidR="0099058B" w:rsidRPr="00D25793">
                <w:rPr>
                  <w:rStyle w:val="Hipervnculo"/>
                  <w:rFonts w:ascii="ITC Avant Garde" w:hAnsi="ITC Avant Garde" w:cs="Arial"/>
                  <w:sz w:val="18"/>
                  <w:szCs w:val="18"/>
                </w:rPr>
                <w:t>http://apps.ift.org.mx/publicdata/P_IFT_EXT_131114_220_Version_Publica.pdf</w:t>
              </w:r>
            </w:hyperlink>
            <w:r w:rsidR="0099058B" w:rsidRPr="00D25793">
              <w:rPr>
                <w:rFonts w:ascii="ITC Avant Garde" w:hAnsi="ITC Avant Garde" w:cs="Arial"/>
                <w:sz w:val="18"/>
                <w:szCs w:val="18"/>
              </w:rPr>
              <w:t xml:space="preserve"> </w:t>
            </w:r>
          </w:p>
          <w:p w14:paraId="4B7B7EED" w14:textId="77777777" w:rsidR="0099058B" w:rsidRPr="00D25793" w:rsidRDefault="00E658A5" w:rsidP="0099058B">
            <w:pPr>
              <w:spacing w:after="0" w:line="240" w:lineRule="auto"/>
              <w:jc w:val="both"/>
              <w:rPr>
                <w:rFonts w:ascii="ITC Avant Garde" w:hAnsi="ITC Avant Garde" w:cs="Arial"/>
                <w:sz w:val="18"/>
                <w:szCs w:val="18"/>
              </w:rPr>
            </w:pPr>
            <w:hyperlink r:id="rId26" w:history="1">
              <w:r w:rsidR="0099058B" w:rsidRPr="00D25793">
                <w:rPr>
                  <w:rStyle w:val="Hipervnculo"/>
                  <w:rFonts w:ascii="ITC Avant Garde" w:hAnsi="ITC Avant Garde" w:cs="Arial"/>
                  <w:sz w:val="18"/>
                  <w:szCs w:val="18"/>
                </w:rPr>
                <w:t>http://apps.ift.org.mx/publicdata/P_IFT_EXT_131114_221_Version_Publica.pdf</w:t>
              </w:r>
            </w:hyperlink>
            <w:r w:rsidR="0099058B" w:rsidRPr="00D25793">
              <w:rPr>
                <w:rFonts w:ascii="ITC Avant Garde" w:hAnsi="ITC Avant Garde" w:cs="Arial"/>
                <w:sz w:val="18"/>
                <w:szCs w:val="18"/>
              </w:rPr>
              <w:t xml:space="preserve"> </w:t>
            </w:r>
          </w:p>
          <w:p w14:paraId="5BC114F3" w14:textId="77777777" w:rsidR="0099058B" w:rsidRPr="00D25793" w:rsidRDefault="00E658A5" w:rsidP="0099058B">
            <w:pPr>
              <w:spacing w:after="0" w:line="240" w:lineRule="auto"/>
              <w:jc w:val="both"/>
              <w:rPr>
                <w:rFonts w:ascii="ITC Avant Garde" w:hAnsi="ITC Avant Garde" w:cs="Arial"/>
                <w:sz w:val="18"/>
                <w:szCs w:val="18"/>
              </w:rPr>
            </w:pPr>
            <w:hyperlink r:id="rId27" w:history="1">
              <w:r w:rsidR="0099058B" w:rsidRPr="00D25793">
                <w:rPr>
                  <w:rStyle w:val="Hipervnculo"/>
                  <w:rFonts w:ascii="ITC Avant Garde" w:hAnsi="ITC Avant Garde" w:cs="Arial"/>
                  <w:sz w:val="18"/>
                  <w:szCs w:val="18"/>
                </w:rPr>
                <w:t>http://apps.ift.org.mx/publicdata/P_IFT_EXT_131114_222_Version_Publica.pdf</w:t>
              </w:r>
            </w:hyperlink>
            <w:r w:rsidR="0099058B" w:rsidRPr="00D25793">
              <w:rPr>
                <w:rFonts w:ascii="ITC Avant Garde" w:hAnsi="ITC Avant Garde" w:cs="Arial"/>
                <w:sz w:val="18"/>
                <w:szCs w:val="18"/>
              </w:rPr>
              <w:t xml:space="preserve"> </w:t>
            </w:r>
          </w:p>
          <w:p w14:paraId="194D99BA" w14:textId="77777777" w:rsidR="0099058B" w:rsidRPr="00D25793" w:rsidRDefault="00E658A5" w:rsidP="0099058B">
            <w:pPr>
              <w:spacing w:after="0" w:line="240" w:lineRule="auto"/>
              <w:jc w:val="both"/>
              <w:rPr>
                <w:rFonts w:ascii="ITC Avant Garde" w:hAnsi="ITC Avant Garde" w:cs="Arial"/>
                <w:sz w:val="18"/>
                <w:szCs w:val="18"/>
              </w:rPr>
            </w:pPr>
            <w:hyperlink r:id="rId28" w:history="1">
              <w:r w:rsidR="0099058B" w:rsidRPr="00D25793">
                <w:rPr>
                  <w:rStyle w:val="Hipervnculo"/>
                  <w:rFonts w:ascii="ITC Avant Garde" w:hAnsi="ITC Avant Garde" w:cs="Arial"/>
                  <w:sz w:val="18"/>
                  <w:szCs w:val="18"/>
                </w:rPr>
                <w:t>http://apps.ift.org.mx/publicdata/P_IFT_EXT_131114_223_Version_Publica.pdf</w:t>
              </w:r>
            </w:hyperlink>
            <w:r w:rsidR="0099058B" w:rsidRPr="00D25793">
              <w:rPr>
                <w:rFonts w:ascii="ITC Avant Garde" w:hAnsi="ITC Avant Garde" w:cs="Arial"/>
                <w:sz w:val="18"/>
                <w:szCs w:val="18"/>
              </w:rPr>
              <w:t xml:space="preserve"> </w:t>
            </w:r>
          </w:p>
          <w:p w14:paraId="510F3A2E" w14:textId="77777777" w:rsidR="0099058B" w:rsidRPr="00D25793" w:rsidRDefault="00E658A5" w:rsidP="0099058B">
            <w:pPr>
              <w:spacing w:after="0" w:line="240" w:lineRule="auto"/>
              <w:jc w:val="both"/>
              <w:rPr>
                <w:rFonts w:ascii="ITC Avant Garde" w:hAnsi="ITC Avant Garde" w:cs="Arial"/>
                <w:sz w:val="18"/>
                <w:szCs w:val="18"/>
              </w:rPr>
            </w:pPr>
            <w:hyperlink r:id="rId29" w:history="1">
              <w:r w:rsidR="0099058B" w:rsidRPr="00D25793">
                <w:rPr>
                  <w:rStyle w:val="Hipervnculo"/>
                  <w:rFonts w:ascii="ITC Avant Garde" w:hAnsi="ITC Avant Garde" w:cs="Arial"/>
                  <w:sz w:val="18"/>
                  <w:szCs w:val="18"/>
                </w:rPr>
                <w:t>http://apps.ift.org.mx/publicdata/P_IFT_EXT_131114_224_Version_Publica.pdf</w:t>
              </w:r>
            </w:hyperlink>
            <w:r w:rsidR="0099058B" w:rsidRPr="00D25793">
              <w:rPr>
                <w:rFonts w:ascii="ITC Avant Garde" w:hAnsi="ITC Avant Garde" w:cs="Arial"/>
                <w:sz w:val="18"/>
                <w:szCs w:val="18"/>
              </w:rPr>
              <w:t xml:space="preserve">  y</w:t>
            </w:r>
          </w:p>
          <w:p w14:paraId="5037C6BC" w14:textId="77777777" w:rsidR="0099058B" w:rsidRPr="00D25793" w:rsidRDefault="00E658A5" w:rsidP="0099058B">
            <w:pPr>
              <w:spacing w:after="0" w:line="240" w:lineRule="auto"/>
              <w:jc w:val="both"/>
              <w:rPr>
                <w:rFonts w:ascii="ITC Avant Garde" w:hAnsi="ITC Avant Garde" w:cs="Arial"/>
                <w:sz w:val="18"/>
                <w:szCs w:val="18"/>
              </w:rPr>
            </w:pPr>
            <w:hyperlink r:id="rId30" w:history="1">
              <w:r w:rsidR="0099058B" w:rsidRPr="00D25793">
                <w:rPr>
                  <w:rStyle w:val="Hipervnculo"/>
                  <w:rFonts w:ascii="ITC Avant Garde" w:hAnsi="ITC Avant Garde" w:cs="Arial"/>
                  <w:sz w:val="18"/>
                  <w:szCs w:val="18"/>
                </w:rPr>
                <w:t>http://apps.ift.org.mx/publicdata/Version_Publica_P_IFT_EXT_190216_7.pdf</w:t>
              </w:r>
            </w:hyperlink>
            <w:r w:rsidR="0099058B" w:rsidRPr="00D25793">
              <w:rPr>
                <w:rFonts w:ascii="ITC Avant Garde" w:hAnsi="ITC Avant Garde" w:cs="Arial"/>
                <w:sz w:val="18"/>
                <w:szCs w:val="18"/>
              </w:rPr>
              <w:t xml:space="preserve"> </w:t>
            </w:r>
          </w:p>
          <w:p w14:paraId="06CFF3D7" w14:textId="02BB0EE4" w:rsidR="0099058B" w:rsidRPr="00D25793"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sidR="00032116">
              <w:rPr>
                <w:rFonts w:ascii="ITC Avant Garde" w:hAnsi="ITC Avant Garde" w:cs="Arial"/>
                <w:sz w:val="18"/>
                <w:szCs w:val="18"/>
              </w:rPr>
              <w:t>5</w:t>
            </w:r>
            <w:r w:rsidRPr="00D25793">
              <w:rPr>
                <w:rFonts w:ascii="ITC Avant Garde" w:hAnsi="ITC Avant Garde" w:cs="Arial"/>
                <w:sz w:val="18"/>
                <w:szCs w:val="18"/>
              </w:rPr>
              <w:t xml:space="preserve">] Para mayor referencia, ver las siguientes resoluciones del Instituto: P/IFT/EXT/181214/282, P/IFT/150817/487, P/IFT/110319/122, P/1FT/EXT/300915/114 y P/IFT/181120/436. Disponibles en: </w:t>
            </w:r>
            <w:hyperlink r:id="rId31" w:history="1">
              <w:r w:rsidRPr="00D25793">
                <w:rPr>
                  <w:rStyle w:val="Hipervnculo"/>
                  <w:rFonts w:ascii="ITC Avant Garde" w:hAnsi="ITC Avant Garde" w:cs="Arial"/>
                  <w:sz w:val="18"/>
                  <w:szCs w:val="18"/>
                </w:rPr>
                <w:t>http://apps.ift.org.mx/publicdata/VP2_P_IFT_EXT_181214_282.pdf</w:t>
              </w:r>
            </w:hyperlink>
            <w:r w:rsidRPr="00D25793">
              <w:rPr>
                <w:rFonts w:ascii="ITC Avant Garde" w:hAnsi="ITC Avant Garde" w:cs="Arial"/>
                <w:sz w:val="18"/>
                <w:szCs w:val="18"/>
              </w:rPr>
              <w:t xml:space="preserve"> </w:t>
            </w:r>
          </w:p>
          <w:p w14:paraId="72CA34E7" w14:textId="77777777" w:rsidR="0099058B" w:rsidRPr="00D25793" w:rsidRDefault="00E658A5" w:rsidP="0099058B">
            <w:pPr>
              <w:spacing w:after="0" w:line="240" w:lineRule="auto"/>
              <w:jc w:val="both"/>
              <w:rPr>
                <w:rFonts w:ascii="ITC Avant Garde" w:hAnsi="ITC Avant Garde" w:cs="Arial"/>
                <w:sz w:val="18"/>
                <w:szCs w:val="18"/>
              </w:rPr>
            </w:pPr>
            <w:hyperlink r:id="rId32" w:history="1">
              <w:r w:rsidR="0099058B" w:rsidRPr="00D25793">
                <w:rPr>
                  <w:rStyle w:val="Hipervnculo"/>
                  <w:rFonts w:ascii="ITC Avant Garde" w:hAnsi="ITC Avant Garde" w:cs="Arial"/>
                  <w:sz w:val="18"/>
                  <w:szCs w:val="18"/>
                </w:rPr>
                <w:t>http://apps.ift.org.mx/publicdata/VP_P_IFT_150817_487.pdf</w:t>
              </w:r>
            </w:hyperlink>
            <w:r w:rsidR="0099058B" w:rsidRPr="00D25793">
              <w:rPr>
                <w:rFonts w:ascii="ITC Avant Garde" w:hAnsi="ITC Avant Garde" w:cs="Arial"/>
                <w:sz w:val="18"/>
                <w:szCs w:val="18"/>
              </w:rPr>
              <w:t xml:space="preserve"> </w:t>
            </w:r>
          </w:p>
          <w:p w14:paraId="525C6BCA" w14:textId="77777777" w:rsidR="0099058B" w:rsidRPr="00D25793" w:rsidRDefault="00E658A5" w:rsidP="0099058B">
            <w:pPr>
              <w:spacing w:after="0" w:line="240" w:lineRule="auto"/>
              <w:jc w:val="both"/>
              <w:rPr>
                <w:rFonts w:ascii="ITC Avant Garde" w:hAnsi="ITC Avant Garde" w:cs="Arial"/>
                <w:sz w:val="18"/>
                <w:szCs w:val="18"/>
              </w:rPr>
            </w:pPr>
            <w:hyperlink r:id="rId33" w:history="1">
              <w:r w:rsidR="0099058B" w:rsidRPr="00D25793">
                <w:rPr>
                  <w:rStyle w:val="Hipervnculo"/>
                  <w:rFonts w:ascii="ITC Avant Garde" w:hAnsi="ITC Avant Garde" w:cs="Arial"/>
                  <w:sz w:val="18"/>
                  <w:szCs w:val="18"/>
                </w:rPr>
                <w:t>http://www.ift.org.mx/sites/default/files/conocenos/pleno/sesiones/acuerdoliga/verpubpift110319122canxuce.pdf</w:t>
              </w:r>
            </w:hyperlink>
            <w:r w:rsidR="0099058B" w:rsidRPr="00D25793">
              <w:rPr>
                <w:rFonts w:ascii="ITC Avant Garde" w:hAnsi="ITC Avant Garde" w:cs="Arial"/>
                <w:sz w:val="18"/>
                <w:szCs w:val="18"/>
              </w:rPr>
              <w:t xml:space="preserve"> </w:t>
            </w:r>
          </w:p>
          <w:p w14:paraId="3EA0178C" w14:textId="77777777" w:rsidR="0099058B" w:rsidRPr="00D25793" w:rsidRDefault="00E658A5" w:rsidP="0099058B">
            <w:pPr>
              <w:spacing w:after="0" w:line="240" w:lineRule="auto"/>
              <w:jc w:val="both"/>
              <w:rPr>
                <w:rFonts w:ascii="ITC Avant Garde" w:hAnsi="ITC Avant Garde" w:cs="Arial"/>
                <w:sz w:val="18"/>
                <w:szCs w:val="18"/>
              </w:rPr>
            </w:pPr>
            <w:hyperlink r:id="rId34" w:history="1">
              <w:r w:rsidR="0099058B" w:rsidRPr="00D25793">
                <w:rPr>
                  <w:rStyle w:val="Hipervnculo"/>
                  <w:rFonts w:ascii="ITC Avant Garde" w:hAnsi="ITC Avant Garde" w:cs="Arial"/>
                  <w:sz w:val="18"/>
                  <w:szCs w:val="18"/>
                </w:rPr>
                <w:t>http://apps.ift.org.mx/publicdata/Version_Publica_UCE_RescAnexos_P_IFT_EXT_300915_114_c_DOF.pdf</w:t>
              </w:r>
            </w:hyperlink>
            <w:r w:rsidR="0099058B" w:rsidRPr="00D25793">
              <w:rPr>
                <w:rFonts w:ascii="ITC Avant Garde" w:hAnsi="ITC Avant Garde" w:cs="Arial"/>
                <w:sz w:val="18"/>
                <w:szCs w:val="18"/>
              </w:rPr>
              <w:t xml:space="preserve"> y </w:t>
            </w:r>
            <w:hyperlink r:id="rId35" w:history="1">
              <w:r w:rsidR="0099058B" w:rsidRPr="00D25793">
                <w:rPr>
                  <w:rStyle w:val="Hipervnculo"/>
                  <w:rFonts w:ascii="ITC Avant Garde" w:hAnsi="ITC Avant Garde" w:cs="Arial"/>
                  <w:sz w:val="18"/>
                  <w:szCs w:val="18"/>
                </w:rPr>
                <w:t>http://www.ift.org.mx/sites/default/files/conocenos/pleno/sesiones/acuerdoliga/vp181120436.pdf</w:t>
              </w:r>
            </w:hyperlink>
            <w:r w:rsidR="0099058B" w:rsidRPr="00D25793">
              <w:rPr>
                <w:rFonts w:ascii="ITC Avant Garde" w:hAnsi="ITC Avant Garde" w:cs="Arial"/>
                <w:sz w:val="18"/>
                <w:szCs w:val="18"/>
              </w:rPr>
              <w:t xml:space="preserve"> </w:t>
            </w:r>
          </w:p>
          <w:p w14:paraId="5946CBC5" w14:textId="72299B1C" w:rsidR="005F4B0E" w:rsidRDefault="005F4B0E"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Pr>
                <w:rFonts w:ascii="ITC Avant Garde" w:hAnsi="ITC Avant Garde" w:cs="Arial"/>
                <w:sz w:val="18"/>
                <w:szCs w:val="18"/>
              </w:rPr>
              <w:t>6</w:t>
            </w:r>
            <w:r w:rsidRPr="00D25793">
              <w:rPr>
                <w:rFonts w:ascii="ITC Avant Garde" w:hAnsi="ITC Avant Garde" w:cs="Arial"/>
                <w:sz w:val="18"/>
                <w:szCs w:val="18"/>
              </w:rPr>
              <w:t>]</w:t>
            </w:r>
            <w:r>
              <w:rPr>
                <w:rFonts w:ascii="ITC Avant Garde" w:hAnsi="ITC Avant Garde" w:cs="Arial"/>
                <w:sz w:val="18"/>
                <w:szCs w:val="18"/>
              </w:rPr>
              <w:t xml:space="preserve"> </w:t>
            </w:r>
            <w:bookmarkStart w:id="37" w:name="_Hlk85145078"/>
            <w:r>
              <w:rPr>
                <w:rFonts w:ascii="ITC Avant Garde" w:hAnsi="ITC Avant Garde" w:cs="Arial"/>
                <w:sz w:val="18"/>
                <w:szCs w:val="18"/>
              </w:rPr>
              <w:t xml:space="preserve">APEC e Instituto (2019). </w:t>
            </w:r>
            <w:r w:rsidRPr="001A232A">
              <w:rPr>
                <w:rFonts w:ascii="ITC Avant Garde" w:hAnsi="ITC Avant Garde" w:cs="Arial"/>
                <w:i/>
                <w:iCs/>
                <w:sz w:val="18"/>
                <w:szCs w:val="18"/>
                <w:lang w:val="en-US"/>
              </w:rPr>
              <w:t>Competition Policy for Regulating Online Platforms in the APEC Region.</w:t>
            </w:r>
            <w:r w:rsidRPr="005F4B0E">
              <w:rPr>
                <w:rFonts w:ascii="ITC Avant Garde" w:hAnsi="ITC Avant Garde" w:cs="Arial"/>
                <w:sz w:val="18"/>
                <w:szCs w:val="18"/>
                <w:lang w:val="en-US"/>
              </w:rPr>
              <w:t xml:space="preserve"> </w:t>
            </w:r>
            <w:r w:rsidRPr="005F4B0E">
              <w:rPr>
                <w:rFonts w:ascii="ITC Avant Garde" w:hAnsi="ITC Avant Garde" w:cs="Arial"/>
                <w:sz w:val="18"/>
                <w:szCs w:val="18"/>
              </w:rPr>
              <w:t xml:space="preserve">Disponible en: </w:t>
            </w:r>
            <w:hyperlink r:id="rId36" w:history="1">
              <w:r w:rsidRPr="009B7CD4">
                <w:rPr>
                  <w:rStyle w:val="Hipervnculo"/>
                  <w:rFonts w:ascii="ITC Avant Garde" w:hAnsi="ITC Avant Garde" w:cs="Arial"/>
                  <w:sz w:val="18"/>
                  <w:szCs w:val="18"/>
                </w:rPr>
                <w:t>https://www.apec.org/Publications/2019/08/Competition-Policy-for-Regulating-Online-Platforms-in-the-APEC-Region</w:t>
              </w:r>
            </w:hyperlink>
            <w:bookmarkEnd w:id="37"/>
            <w:r>
              <w:rPr>
                <w:rFonts w:ascii="ITC Avant Garde" w:hAnsi="ITC Avant Garde" w:cs="Arial"/>
                <w:sz w:val="18"/>
                <w:szCs w:val="18"/>
              </w:rPr>
              <w:t xml:space="preserve"> </w:t>
            </w:r>
          </w:p>
          <w:p w14:paraId="1EB436AB" w14:textId="0E389BF4" w:rsidR="0099058B" w:rsidRPr="00810537"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sidR="005F4B0E">
              <w:rPr>
                <w:rFonts w:ascii="ITC Avant Garde" w:hAnsi="ITC Avant Garde" w:cs="Arial"/>
                <w:sz w:val="18"/>
                <w:szCs w:val="18"/>
              </w:rPr>
              <w:t>7</w:t>
            </w:r>
            <w:r w:rsidRPr="00D25793">
              <w:rPr>
                <w:rFonts w:ascii="ITC Avant Garde" w:hAnsi="ITC Avant Garde" w:cs="Arial"/>
                <w:sz w:val="18"/>
                <w:szCs w:val="18"/>
              </w:rPr>
              <w:t xml:space="preserve">] OCDE (2018). </w:t>
            </w:r>
            <w:r w:rsidRPr="00810537">
              <w:rPr>
                <w:rFonts w:ascii="ITC Avant Garde" w:hAnsi="ITC Avant Garde" w:cs="Arial"/>
                <w:i/>
                <w:sz w:val="18"/>
                <w:szCs w:val="18"/>
                <w:lang w:val="en-US"/>
              </w:rPr>
              <w:t>Rethinking antitrust tools for multisided platforms</w:t>
            </w:r>
            <w:r w:rsidRPr="00D25793">
              <w:rPr>
                <w:rFonts w:ascii="ITC Avant Garde" w:hAnsi="ITC Avant Garde" w:cs="Arial"/>
                <w:sz w:val="18"/>
                <w:szCs w:val="18"/>
                <w:lang w:val="en-US"/>
              </w:rPr>
              <w:t>. pp. 10-11, 39-44, 47-48.</w:t>
            </w:r>
            <w:r w:rsidR="00E63F19">
              <w:rPr>
                <w:rFonts w:ascii="ITC Avant Garde" w:hAnsi="ITC Avant Garde" w:cs="Arial"/>
                <w:sz w:val="18"/>
                <w:szCs w:val="18"/>
                <w:lang w:val="en-US"/>
              </w:rPr>
              <w:t xml:space="preserve"> </w:t>
            </w:r>
            <w:r w:rsidR="00E63F19" w:rsidRPr="00357E3D">
              <w:rPr>
                <w:rFonts w:ascii="ITC Avant Garde" w:hAnsi="ITC Avant Garde" w:cs="Arial"/>
                <w:sz w:val="18"/>
                <w:szCs w:val="18"/>
                <w:lang w:val="x-none"/>
              </w:rPr>
              <w:t xml:space="preserve">Disponible en: </w:t>
            </w:r>
            <w:hyperlink r:id="rId37" w:history="1">
              <w:r w:rsidR="00E63F19" w:rsidRPr="00357E3D">
                <w:rPr>
                  <w:rStyle w:val="Hipervnculo"/>
                  <w:rFonts w:ascii="ITC Avant Garde" w:hAnsi="ITC Avant Garde"/>
                  <w:sz w:val="18"/>
                  <w:szCs w:val="18"/>
                  <w:lang w:val="x-none"/>
                </w:rPr>
                <w:t>http://www.oecd.org/daf/competition/Rethinking-antitrust-tools-for-multi-sided-platforms-2018.pd</w:t>
              </w:r>
              <w:r w:rsidR="00E63F19" w:rsidRPr="00357E3D">
                <w:rPr>
                  <w:rStyle w:val="Hipervnculo"/>
                  <w:rFonts w:ascii="ITC Avant Garde" w:hAnsi="ITC Avant Garde"/>
                  <w:sz w:val="18"/>
                  <w:szCs w:val="18"/>
                </w:rPr>
                <w:t>f</w:t>
              </w:r>
            </w:hyperlink>
            <w:r w:rsidR="00E63F19" w:rsidRPr="00357E3D">
              <w:rPr>
                <w:rFonts w:ascii="ITC Avant Garde" w:hAnsi="ITC Avant Garde"/>
                <w:sz w:val="18"/>
                <w:szCs w:val="18"/>
              </w:rPr>
              <w:t xml:space="preserve">  </w:t>
            </w:r>
          </w:p>
          <w:p w14:paraId="02A20BAD" w14:textId="2CC38901" w:rsidR="0099058B" w:rsidRPr="00D25793"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sidR="005F4B0E">
              <w:rPr>
                <w:rFonts w:ascii="ITC Avant Garde" w:hAnsi="ITC Avant Garde" w:cs="Arial"/>
                <w:sz w:val="18"/>
                <w:szCs w:val="18"/>
              </w:rPr>
              <w:t>8</w:t>
            </w:r>
            <w:r w:rsidRPr="00D25793">
              <w:rPr>
                <w:rFonts w:ascii="ITC Avant Garde" w:hAnsi="ITC Avant Garde" w:cs="Arial"/>
                <w:sz w:val="18"/>
                <w:szCs w:val="18"/>
              </w:rPr>
              <w:t xml:space="preserve">] </w:t>
            </w:r>
            <w:bookmarkStart w:id="38" w:name="_Hlk84530202"/>
            <w:r w:rsidRPr="00D25793">
              <w:rPr>
                <w:rFonts w:ascii="ITC Avant Garde" w:hAnsi="ITC Avant Garde" w:cs="Arial"/>
                <w:sz w:val="18"/>
                <w:szCs w:val="18"/>
              </w:rPr>
              <w:t xml:space="preserve">Ver: </w:t>
            </w:r>
          </w:p>
          <w:p w14:paraId="1DA69F40"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t xml:space="preserve">CE (2019). </w:t>
            </w:r>
            <w:r w:rsidRPr="00810537">
              <w:rPr>
                <w:rFonts w:ascii="ITC Avant Garde" w:hAnsi="ITC Avant Garde" w:cs="Arial"/>
                <w:i/>
                <w:sz w:val="18"/>
                <w:szCs w:val="18"/>
                <w:lang w:val="en-US"/>
              </w:rPr>
              <w:t>CASE AT.40099 Google Android</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38" w:history="1">
              <w:r w:rsidRPr="00D25793">
                <w:rPr>
                  <w:rStyle w:val="Hipervnculo"/>
                  <w:rFonts w:ascii="ITC Avant Garde" w:hAnsi="ITC Avant Garde" w:cs="Arial"/>
                  <w:sz w:val="18"/>
                  <w:szCs w:val="18"/>
                </w:rPr>
                <w:t>https://ec.europa.eu/competition/antitrust/cases/dec_docs/40099/40099_9993_3.pdf</w:t>
              </w:r>
            </w:hyperlink>
            <w:r w:rsidRPr="00D25793">
              <w:rPr>
                <w:rFonts w:ascii="ITC Avant Garde" w:hAnsi="ITC Avant Garde" w:cs="Arial"/>
                <w:sz w:val="18"/>
                <w:szCs w:val="18"/>
              </w:rPr>
              <w:t xml:space="preserve"> </w:t>
            </w:r>
          </w:p>
          <w:p w14:paraId="1C3824F5" w14:textId="77777777" w:rsidR="0099058B" w:rsidRPr="001A232A" w:rsidRDefault="0099058B" w:rsidP="0099058B">
            <w:pPr>
              <w:spacing w:after="0" w:line="240" w:lineRule="auto"/>
              <w:ind w:left="708"/>
              <w:jc w:val="both"/>
              <w:rPr>
                <w:rFonts w:ascii="ITC Avant Garde" w:hAnsi="ITC Avant Garde" w:cs="Arial"/>
                <w:sz w:val="18"/>
                <w:szCs w:val="18"/>
                <w:highlight w:val="green"/>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Concentración</w:t>
            </w:r>
            <w:proofErr w:type="spellEnd"/>
            <w:r w:rsidRPr="00D25793">
              <w:rPr>
                <w:rFonts w:ascii="ITC Avant Garde" w:hAnsi="ITC Avant Garde" w:cs="Arial"/>
                <w:sz w:val="18"/>
                <w:szCs w:val="18"/>
                <w:lang w:val="en-US"/>
              </w:rPr>
              <w:t xml:space="preserve"> Yahoo Search Business / Microsoft. CE (2010). </w:t>
            </w:r>
            <w:r w:rsidRPr="00810537">
              <w:rPr>
                <w:rFonts w:ascii="ITC Avant Garde" w:hAnsi="ITC Avant Garde" w:cs="Arial"/>
                <w:i/>
                <w:sz w:val="18"/>
                <w:szCs w:val="18"/>
                <w:lang w:val="en-US"/>
              </w:rPr>
              <w:t>Case No COMP/M.5727 -MICROSOFT/ YAHOO! SEARCH BUSINESS</w:t>
            </w:r>
            <w:r w:rsidRPr="00D25793">
              <w:rPr>
                <w:rFonts w:ascii="ITC Avant Garde" w:hAnsi="ITC Avant Garde" w:cs="Arial"/>
                <w:sz w:val="18"/>
                <w:szCs w:val="18"/>
                <w:lang w:val="en-US"/>
              </w:rPr>
              <w:t xml:space="preserve">. </w:t>
            </w:r>
            <w:r w:rsidRPr="001A232A">
              <w:rPr>
                <w:rFonts w:ascii="ITC Avant Garde" w:hAnsi="ITC Avant Garde" w:cs="Arial"/>
                <w:sz w:val="18"/>
                <w:szCs w:val="18"/>
              </w:rPr>
              <w:t xml:space="preserve">Disponible en: </w:t>
            </w:r>
            <w:hyperlink r:id="rId39" w:history="1">
              <w:r w:rsidRPr="001A232A">
                <w:rPr>
                  <w:rStyle w:val="Hipervnculo"/>
                  <w:rFonts w:ascii="ITC Avant Garde" w:hAnsi="ITC Avant Garde"/>
                  <w:sz w:val="18"/>
                  <w:szCs w:val="18"/>
                </w:rPr>
                <w:t>https://ec.europa.eu/competition/mergers/cases/decisions/M5727_20100218_20310_261202_EN.pdf</w:t>
              </w:r>
            </w:hyperlink>
            <w:r w:rsidRPr="001A232A">
              <w:rPr>
                <w:rFonts w:ascii="ITC Avant Garde" w:hAnsi="ITC Avant Garde" w:cs="Arial"/>
                <w:sz w:val="18"/>
                <w:szCs w:val="18"/>
                <w:highlight w:val="green"/>
              </w:rPr>
              <w:t xml:space="preserve"> </w:t>
            </w:r>
          </w:p>
          <w:p w14:paraId="30EE9928"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Concentración</w:t>
            </w:r>
            <w:proofErr w:type="spellEnd"/>
            <w:r w:rsidRPr="00D25793">
              <w:rPr>
                <w:rFonts w:ascii="ITC Avant Garde" w:hAnsi="ITC Avant Garde" w:cs="Arial"/>
                <w:sz w:val="18"/>
                <w:szCs w:val="18"/>
                <w:lang w:val="en-US"/>
              </w:rPr>
              <w:t xml:space="preserve"> Facebook/WhatsApp. </w:t>
            </w:r>
            <w:r w:rsidRPr="00810537">
              <w:rPr>
                <w:rFonts w:ascii="ITC Avant Garde" w:hAnsi="ITC Avant Garde" w:cs="Arial"/>
                <w:i/>
                <w:sz w:val="18"/>
                <w:szCs w:val="18"/>
                <w:lang w:val="en-US"/>
              </w:rPr>
              <w:t>CE (2014). Case No COMP/M.7217 - FACEBOOK/ WHATSAPP</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40" w:history="1">
              <w:r w:rsidRPr="00D25793">
                <w:rPr>
                  <w:rStyle w:val="Hipervnculo"/>
                  <w:rFonts w:ascii="ITC Avant Garde" w:hAnsi="ITC Avant Garde" w:cs="Arial"/>
                  <w:sz w:val="18"/>
                  <w:szCs w:val="18"/>
                </w:rPr>
                <w:t>https://ec.europa.eu/competition/mergers/cases/decisions/m7217_20141003_20310_3962132_EN.pdf</w:t>
              </w:r>
            </w:hyperlink>
            <w:r w:rsidRPr="00D25793">
              <w:rPr>
                <w:rFonts w:ascii="ITC Avant Garde" w:hAnsi="ITC Avant Garde" w:cs="Arial"/>
                <w:sz w:val="18"/>
                <w:szCs w:val="18"/>
              </w:rPr>
              <w:t xml:space="preserve">  </w:t>
            </w:r>
          </w:p>
          <w:p w14:paraId="4C765851"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Concentración</w:t>
            </w:r>
            <w:proofErr w:type="spellEnd"/>
            <w:r w:rsidRPr="00D25793">
              <w:rPr>
                <w:rFonts w:ascii="ITC Avant Garde" w:hAnsi="ITC Avant Garde" w:cs="Arial"/>
                <w:sz w:val="18"/>
                <w:szCs w:val="18"/>
                <w:lang w:val="en-US"/>
              </w:rPr>
              <w:t xml:space="preserve"> Microsoft/LinkedIn. CE (2016). </w:t>
            </w:r>
            <w:r w:rsidRPr="00810537">
              <w:rPr>
                <w:rFonts w:ascii="ITC Avant Garde" w:hAnsi="ITC Avant Garde" w:cs="Arial"/>
                <w:i/>
                <w:sz w:val="18"/>
                <w:szCs w:val="18"/>
                <w:lang w:val="en-US"/>
              </w:rPr>
              <w:t>Case M.1824 – Microsoft /LinkedIn.</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41" w:history="1">
              <w:r w:rsidRPr="00D25793">
                <w:rPr>
                  <w:rStyle w:val="Hipervnculo"/>
                  <w:rFonts w:ascii="ITC Avant Garde" w:hAnsi="ITC Avant Garde" w:cs="Arial"/>
                  <w:sz w:val="18"/>
                  <w:szCs w:val="18"/>
                </w:rPr>
                <w:t>http://ec.europa.eu/competition/mergers/cases/decisions/m8124_1349_5.pdf</w:t>
              </w:r>
            </w:hyperlink>
            <w:r w:rsidRPr="00D25793">
              <w:rPr>
                <w:rFonts w:ascii="ITC Avant Garde" w:hAnsi="ITC Avant Garde" w:cs="Arial"/>
                <w:sz w:val="18"/>
                <w:szCs w:val="18"/>
              </w:rPr>
              <w:t xml:space="preserve"> </w:t>
            </w:r>
          </w:p>
          <w:p w14:paraId="7326EB85"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Concentración</w:t>
            </w:r>
            <w:proofErr w:type="spellEnd"/>
            <w:r w:rsidRPr="00D25793">
              <w:rPr>
                <w:rFonts w:ascii="ITC Avant Garde" w:hAnsi="ITC Avant Garde" w:cs="Arial"/>
                <w:sz w:val="18"/>
                <w:szCs w:val="18"/>
                <w:lang w:val="en-US"/>
              </w:rPr>
              <w:t xml:space="preserve"> Google/Double Click. CE (2008). </w:t>
            </w:r>
            <w:r w:rsidRPr="00810537">
              <w:rPr>
                <w:rFonts w:ascii="ITC Avant Garde" w:hAnsi="ITC Avant Garde" w:cs="Arial"/>
                <w:i/>
                <w:sz w:val="18"/>
                <w:szCs w:val="18"/>
                <w:lang w:val="en-US"/>
              </w:rPr>
              <w:t>Case No COMP/M.4731 – Google/ DoubleClick</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42" w:history="1">
              <w:r w:rsidRPr="00D25793">
                <w:rPr>
                  <w:rStyle w:val="Hipervnculo"/>
                  <w:rFonts w:ascii="ITC Avant Garde" w:hAnsi="ITC Avant Garde" w:cs="Arial"/>
                  <w:sz w:val="18"/>
                  <w:szCs w:val="18"/>
                </w:rPr>
                <w:t>https://ec.europa.eu/competition/mergers/cases/decisions/m4731_20080311_20682_en.pdf</w:t>
              </w:r>
            </w:hyperlink>
            <w:r w:rsidRPr="00D25793">
              <w:rPr>
                <w:rFonts w:ascii="ITC Avant Garde" w:hAnsi="ITC Avant Garde" w:cs="Arial"/>
                <w:sz w:val="18"/>
                <w:szCs w:val="18"/>
              </w:rPr>
              <w:t xml:space="preserve"> </w:t>
            </w:r>
          </w:p>
          <w:p w14:paraId="37265430"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Investigación</w:t>
            </w:r>
            <w:proofErr w:type="spellEnd"/>
            <w:r w:rsidRPr="00D25793">
              <w:rPr>
                <w:rFonts w:ascii="ITC Avant Garde" w:hAnsi="ITC Avant Garde" w:cs="Arial"/>
                <w:sz w:val="18"/>
                <w:szCs w:val="18"/>
                <w:lang w:val="en-US"/>
              </w:rPr>
              <w:t xml:space="preserve"> </w:t>
            </w:r>
            <w:proofErr w:type="spellStart"/>
            <w:r w:rsidRPr="00D25793">
              <w:rPr>
                <w:rFonts w:ascii="ITC Avant Garde" w:hAnsi="ITC Avant Garde" w:cs="Arial"/>
                <w:sz w:val="18"/>
                <w:szCs w:val="18"/>
                <w:lang w:val="en-US"/>
              </w:rPr>
              <w:t>sobre</w:t>
            </w:r>
            <w:proofErr w:type="spellEnd"/>
            <w:r w:rsidRPr="00D25793">
              <w:rPr>
                <w:rFonts w:ascii="ITC Avant Garde" w:hAnsi="ITC Avant Garde" w:cs="Arial"/>
                <w:sz w:val="18"/>
                <w:szCs w:val="18"/>
                <w:lang w:val="en-US"/>
              </w:rPr>
              <w:t xml:space="preserve"> Google Shopping. CE (2017). </w:t>
            </w:r>
            <w:r w:rsidRPr="00810537">
              <w:rPr>
                <w:rFonts w:ascii="ITC Avant Garde" w:hAnsi="ITC Avant Garde" w:cs="Arial"/>
                <w:i/>
                <w:sz w:val="18"/>
                <w:szCs w:val="18"/>
                <w:lang w:val="en-US"/>
              </w:rPr>
              <w:t>CASE AT.39740 Google Search (Shopping).</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43" w:history="1">
              <w:r w:rsidRPr="00D25793">
                <w:rPr>
                  <w:rStyle w:val="Hipervnculo"/>
                  <w:rFonts w:ascii="ITC Avant Garde" w:hAnsi="ITC Avant Garde" w:cs="Arial"/>
                  <w:sz w:val="18"/>
                  <w:szCs w:val="18"/>
                </w:rPr>
                <w:t>https://ec.europa.eu/competition/antitrust/cases/dec_docs/39740/39740_14996_3.pdf</w:t>
              </w:r>
            </w:hyperlink>
            <w:r w:rsidRPr="00D25793">
              <w:rPr>
                <w:rFonts w:ascii="ITC Avant Garde" w:hAnsi="ITC Avant Garde" w:cs="Arial"/>
                <w:sz w:val="18"/>
                <w:szCs w:val="18"/>
              </w:rPr>
              <w:t xml:space="preserve"> </w:t>
            </w:r>
          </w:p>
          <w:p w14:paraId="54788D7A" w14:textId="77777777" w:rsidR="0099058B" w:rsidRPr="00D25793" w:rsidRDefault="0099058B" w:rsidP="0099058B">
            <w:pPr>
              <w:spacing w:after="0" w:line="240" w:lineRule="auto"/>
              <w:ind w:left="708"/>
              <w:jc w:val="both"/>
              <w:rPr>
                <w:rFonts w:ascii="ITC Avant Garde" w:hAnsi="ITC Avant Garde" w:cs="Arial"/>
                <w:sz w:val="18"/>
                <w:szCs w:val="18"/>
                <w:lang w:val="en-US"/>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t xml:space="preserve">OCDE (2012). </w:t>
            </w:r>
            <w:r w:rsidRPr="00810537">
              <w:rPr>
                <w:rFonts w:ascii="ITC Avant Garde" w:hAnsi="ITC Avant Garde" w:cs="Arial"/>
                <w:i/>
                <w:sz w:val="18"/>
                <w:szCs w:val="18"/>
                <w:lang w:val="en-US"/>
              </w:rPr>
              <w:t>Roundtable on market definition</w:t>
            </w:r>
            <w:r w:rsidRPr="00D25793">
              <w:rPr>
                <w:rFonts w:ascii="ITC Avant Garde" w:hAnsi="ITC Avant Garde" w:cs="Arial"/>
                <w:sz w:val="18"/>
                <w:szCs w:val="18"/>
                <w:lang w:val="en-US"/>
              </w:rPr>
              <w:t xml:space="preserve">. </w:t>
            </w:r>
            <w:r w:rsidRPr="00810537">
              <w:rPr>
                <w:rFonts w:ascii="ITC Avant Garde" w:hAnsi="ITC Avant Garde" w:cs="Arial"/>
                <w:i/>
                <w:sz w:val="18"/>
                <w:szCs w:val="18"/>
                <w:lang w:val="en-US"/>
              </w:rPr>
              <w:t>Note by the delegation of the European Union</w:t>
            </w:r>
            <w:r w:rsidRPr="00D25793">
              <w:rPr>
                <w:rFonts w:ascii="ITC Avant Garde" w:hAnsi="ITC Avant Garde" w:cs="Arial"/>
                <w:sz w:val="18"/>
                <w:szCs w:val="18"/>
                <w:lang w:val="en-US"/>
              </w:rPr>
              <w:t>.</w:t>
            </w:r>
          </w:p>
          <w:bookmarkEnd w:id="38"/>
          <w:p w14:paraId="2FD86B92" w14:textId="646BA907" w:rsidR="0099058B" w:rsidRPr="00D25793"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lastRenderedPageBreak/>
              <w:t xml:space="preserve">** [Nueva nota al pie </w:t>
            </w:r>
            <w:r w:rsidR="005F4B0E">
              <w:rPr>
                <w:rFonts w:ascii="ITC Avant Garde" w:hAnsi="ITC Avant Garde" w:cs="Arial"/>
                <w:sz w:val="18"/>
                <w:szCs w:val="18"/>
              </w:rPr>
              <w:t>9</w:t>
            </w:r>
            <w:r w:rsidRPr="00D25793">
              <w:rPr>
                <w:rFonts w:ascii="ITC Avant Garde" w:hAnsi="ITC Avant Garde" w:cs="Arial"/>
                <w:sz w:val="18"/>
                <w:szCs w:val="18"/>
              </w:rPr>
              <w:t xml:space="preserve">] </w:t>
            </w:r>
            <w:bookmarkStart w:id="39" w:name="_Hlk84530242"/>
            <w:r w:rsidRPr="00D25793">
              <w:rPr>
                <w:rFonts w:ascii="ITC Avant Garde" w:hAnsi="ITC Avant Garde" w:cs="Arial"/>
                <w:sz w:val="18"/>
                <w:szCs w:val="18"/>
              </w:rPr>
              <w:t>Ver:</w:t>
            </w:r>
          </w:p>
          <w:p w14:paraId="1CA3893F"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Bundeskartellamt</w:t>
            </w:r>
            <w:proofErr w:type="spellEnd"/>
            <w:r w:rsidRPr="00D25793">
              <w:rPr>
                <w:rFonts w:ascii="ITC Avant Garde" w:hAnsi="ITC Avant Garde" w:cs="Arial"/>
                <w:sz w:val="18"/>
                <w:szCs w:val="18"/>
                <w:lang w:val="en-US"/>
              </w:rPr>
              <w:t xml:space="preserve"> (2016). </w:t>
            </w:r>
            <w:r w:rsidRPr="00810537">
              <w:rPr>
                <w:rFonts w:ascii="ITC Avant Garde" w:hAnsi="ITC Avant Garde" w:cs="Arial"/>
                <w:i/>
                <w:sz w:val="18"/>
                <w:szCs w:val="18"/>
                <w:lang w:val="en-US"/>
              </w:rPr>
              <w:t>The Market Power of Platforms and Networks, Working Paper</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44" w:history="1">
              <w:r w:rsidRPr="00D25793">
                <w:rPr>
                  <w:rStyle w:val="Hipervnculo"/>
                  <w:rFonts w:ascii="ITC Avant Garde" w:hAnsi="ITC Avant Garde" w:cs="Arial"/>
                  <w:sz w:val="18"/>
                  <w:szCs w:val="18"/>
                </w:rPr>
                <w:t>https://www.bundeskartellamt.de/SharedDocs/Publikation/EN/Berichte/Think-Tank-Bericht-Zusammenfassung.pdf?__blob=publicationFile&amp;v=4</w:t>
              </w:r>
            </w:hyperlink>
            <w:r w:rsidRPr="00D25793">
              <w:rPr>
                <w:rFonts w:ascii="ITC Avant Garde" w:hAnsi="ITC Avant Garde" w:cs="Arial"/>
                <w:sz w:val="18"/>
                <w:szCs w:val="18"/>
              </w:rPr>
              <w:t xml:space="preserve"> </w:t>
            </w:r>
          </w:p>
          <w:p w14:paraId="48D4FB1F" w14:textId="77777777" w:rsidR="0099058B" w:rsidRPr="00D25793" w:rsidRDefault="0099058B" w:rsidP="0099058B">
            <w:pPr>
              <w:spacing w:after="0" w:line="240" w:lineRule="auto"/>
              <w:ind w:left="708"/>
              <w:jc w:val="both"/>
              <w:rPr>
                <w:rFonts w:ascii="ITC Avant Garde" w:hAnsi="ITC Avant Garde" w:cs="Arial"/>
                <w:sz w:val="18"/>
                <w:szCs w:val="18"/>
              </w:rPr>
            </w:pPr>
            <w:r w:rsidRPr="00D25793">
              <w:rPr>
                <w:rFonts w:ascii="ITC Avant Garde" w:hAnsi="ITC Avant Garde" w:cs="Arial"/>
                <w:sz w:val="18"/>
                <w:szCs w:val="18"/>
                <w:lang w:val="en-US"/>
              </w:rPr>
              <w:t>-</w:t>
            </w:r>
            <w:r w:rsidRPr="00D25793">
              <w:rPr>
                <w:rFonts w:ascii="ITC Avant Garde" w:hAnsi="ITC Avant Garde" w:cs="Arial"/>
                <w:sz w:val="18"/>
                <w:szCs w:val="18"/>
                <w:lang w:val="en-US"/>
              </w:rPr>
              <w:tab/>
            </w:r>
            <w:proofErr w:type="spellStart"/>
            <w:r w:rsidRPr="00D25793">
              <w:rPr>
                <w:rFonts w:ascii="ITC Avant Garde" w:hAnsi="ITC Avant Garde" w:cs="Arial"/>
                <w:sz w:val="18"/>
                <w:szCs w:val="18"/>
                <w:lang w:val="en-US"/>
              </w:rPr>
              <w:t>Bundeskartellamnt</w:t>
            </w:r>
            <w:proofErr w:type="spellEnd"/>
            <w:r w:rsidRPr="00D25793">
              <w:rPr>
                <w:rFonts w:ascii="ITC Avant Garde" w:hAnsi="ITC Avant Garde" w:cs="Arial"/>
                <w:sz w:val="18"/>
                <w:szCs w:val="18"/>
                <w:lang w:val="en-US"/>
              </w:rPr>
              <w:t xml:space="preserve"> (2019). </w:t>
            </w:r>
            <w:r w:rsidRPr="00810537">
              <w:rPr>
                <w:rFonts w:ascii="ITC Avant Garde" w:hAnsi="ITC Avant Garde" w:cs="Arial"/>
                <w:i/>
                <w:sz w:val="18"/>
                <w:szCs w:val="18"/>
                <w:lang w:val="en-US"/>
              </w:rPr>
              <w:t>Facebook, Exploitative business terms pursuant to Section 19(1) GWB for inadequate data processing</w:t>
            </w:r>
            <w:r w:rsidRPr="00D25793">
              <w:rPr>
                <w:rFonts w:ascii="ITC Avant Garde" w:hAnsi="ITC Avant Garde" w:cs="Arial"/>
                <w:sz w:val="18"/>
                <w:szCs w:val="18"/>
                <w:lang w:val="en-US"/>
              </w:rPr>
              <w:t xml:space="preserve">. </w:t>
            </w:r>
            <w:r w:rsidRPr="00D25793">
              <w:rPr>
                <w:rFonts w:ascii="ITC Avant Garde" w:hAnsi="ITC Avant Garde" w:cs="Arial"/>
                <w:sz w:val="18"/>
                <w:szCs w:val="18"/>
              </w:rPr>
              <w:t xml:space="preserve">Disponible en: </w:t>
            </w:r>
            <w:hyperlink r:id="rId45" w:history="1">
              <w:r w:rsidRPr="00D25793">
                <w:rPr>
                  <w:rStyle w:val="Hipervnculo"/>
                  <w:rFonts w:ascii="ITC Avant Garde" w:hAnsi="ITC Avant Garde" w:cs="Arial"/>
                  <w:sz w:val="18"/>
                  <w:szCs w:val="18"/>
                </w:rPr>
                <w:t>https://www.bundeskartellamt.de/SharedDocs/Entscheidung/EN/Entscheidungen/Missbrauchsaufsicht/2019/B6-22-16.pdf?__blob=publicationFile&amp;v=5</w:t>
              </w:r>
            </w:hyperlink>
            <w:bookmarkEnd w:id="39"/>
            <w:r w:rsidRPr="00D25793">
              <w:rPr>
                <w:rFonts w:ascii="ITC Avant Garde" w:hAnsi="ITC Avant Garde" w:cs="Arial"/>
                <w:sz w:val="18"/>
                <w:szCs w:val="18"/>
              </w:rPr>
              <w:t xml:space="preserve"> </w:t>
            </w:r>
          </w:p>
          <w:p w14:paraId="2DB2A7CF" w14:textId="11405E31" w:rsidR="0099058B" w:rsidRPr="00D25793"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xml:space="preserve">** [Nueva nota al pie </w:t>
            </w:r>
            <w:r w:rsidR="005F4B0E">
              <w:rPr>
                <w:rFonts w:ascii="ITC Avant Garde" w:hAnsi="ITC Avant Garde" w:cs="Arial"/>
                <w:sz w:val="18"/>
                <w:szCs w:val="18"/>
              </w:rPr>
              <w:t>10</w:t>
            </w:r>
            <w:r w:rsidRPr="00D25793">
              <w:rPr>
                <w:rFonts w:ascii="ITC Avant Garde" w:hAnsi="ITC Avant Garde" w:cs="Arial"/>
                <w:sz w:val="18"/>
                <w:szCs w:val="18"/>
              </w:rPr>
              <w:t xml:space="preserve">] </w:t>
            </w:r>
            <w:bookmarkStart w:id="40" w:name="_Hlk84530279"/>
            <w:r w:rsidRPr="00D25793">
              <w:rPr>
                <w:rFonts w:ascii="ITC Avant Garde" w:hAnsi="ITC Avant Garde" w:cs="Arial"/>
                <w:sz w:val="18"/>
                <w:szCs w:val="18"/>
              </w:rPr>
              <w:t xml:space="preserve">ACCC (2019). </w:t>
            </w:r>
            <w:r w:rsidRPr="00810537">
              <w:rPr>
                <w:rFonts w:ascii="ITC Avant Garde" w:hAnsi="ITC Avant Garde" w:cs="Arial"/>
                <w:i/>
                <w:sz w:val="18"/>
                <w:szCs w:val="18"/>
              </w:rPr>
              <w:t xml:space="preserve">Digital </w:t>
            </w:r>
            <w:proofErr w:type="spellStart"/>
            <w:r w:rsidRPr="00810537">
              <w:rPr>
                <w:rFonts w:ascii="ITC Avant Garde" w:hAnsi="ITC Avant Garde" w:cs="Arial"/>
                <w:i/>
                <w:sz w:val="18"/>
                <w:szCs w:val="18"/>
              </w:rPr>
              <w:t>Platforms</w:t>
            </w:r>
            <w:proofErr w:type="spellEnd"/>
            <w:r w:rsidRPr="00810537">
              <w:rPr>
                <w:rFonts w:ascii="ITC Avant Garde" w:hAnsi="ITC Avant Garde" w:cs="Arial"/>
                <w:i/>
                <w:sz w:val="18"/>
                <w:szCs w:val="18"/>
              </w:rPr>
              <w:t xml:space="preserve"> </w:t>
            </w:r>
            <w:proofErr w:type="spellStart"/>
            <w:r w:rsidRPr="00810537">
              <w:rPr>
                <w:rFonts w:ascii="ITC Avant Garde" w:hAnsi="ITC Avant Garde" w:cs="Arial"/>
                <w:i/>
                <w:sz w:val="18"/>
                <w:szCs w:val="18"/>
              </w:rPr>
              <w:t>Inquiry</w:t>
            </w:r>
            <w:proofErr w:type="spellEnd"/>
            <w:r w:rsidRPr="00810537">
              <w:rPr>
                <w:rFonts w:ascii="ITC Avant Garde" w:hAnsi="ITC Avant Garde" w:cs="Arial"/>
                <w:i/>
                <w:sz w:val="18"/>
                <w:szCs w:val="18"/>
              </w:rPr>
              <w:t xml:space="preserve"> Final </w:t>
            </w:r>
            <w:proofErr w:type="spellStart"/>
            <w:r w:rsidRPr="00810537">
              <w:rPr>
                <w:rFonts w:ascii="ITC Avant Garde" w:hAnsi="ITC Avant Garde" w:cs="Arial"/>
                <w:i/>
                <w:sz w:val="18"/>
                <w:szCs w:val="18"/>
              </w:rPr>
              <w:t>Report</w:t>
            </w:r>
            <w:proofErr w:type="spellEnd"/>
            <w:r w:rsidRPr="00D25793">
              <w:rPr>
                <w:rFonts w:ascii="ITC Avant Garde" w:hAnsi="ITC Avant Garde" w:cs="Arial"/>
                <w:sz w:val="18"/>
                <w:szCs w:val="18"/>
              </w:rPr>
              <w:t xml:space="preserve">. Disponible en: </w:t>
            </w:r>
            <w:hyperlink r:id="rId46" w:history="1">
              <w:r w:rsidRPr="00D25793">
                <w:rPr>
                  <w:rStyle w:val="Hipervnculo"/>
                  <w:rFonts w:ascii="ITC Avant Garde" w:hAnsi="ITC Avant Garde" w:cs="Arial"/>
                  <w:sz w:val="18"/>
                  <w:szCs w:val="18"/>
                </w:rPr>
                <w:t>https://www.accc.gov.au/system/files/Digital%20platforms%20inquiry%20-%20final%20report.pdf</w:t>
              </w:r>
            </w:hyperlink>
            <w:r w:rsidRPr="00D25793">
              <w:rPr>
                <w:rFonts w:ascii="ITC Avant Garde" w:hAnsi="ITC Avant Garde" w:cs="Arial"/>
                <w:sz w:val="18"/>
                <w:szCs w:val="18"/>
              </w:rPr>
              <w:t xml:space="preserve"> </w:t>
            </w:r>
          </w:p>
          <w:bookmarkEnd w:id="40"/>
          <w:p w14:paraId="39DC77FB" w14:textId="6D6A3FCF" w:rsidR="0099058B" w:rsidRPr="00810537"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[Nueva nota al pie 1</w:t>
            </w:r>
            <w:r w:rsidR="005F4B0E">
              <w:rPr>
                <w:rFonts w:ascii="ITC Avant Garde" w:hAnsi="ITC Avant Garde" w:cs="Arial"/>
                <w:sz w:val="18"/>
                <w:szCs w:val="18"/>
              </w:rPr>
              <w:t>1</w:t>
            </w:r>
            <w:r w:rsidRPr="00D25793">
              <w:rPr>
                <w:rFonts w:ascii="ITC Avant Garde" w:hAnsi="ITC Avant Garde" w:cs="Arial"/>
                <w:sz w:val="18"/>
                <w:szCs w:val="18"/>
              </w:rPr>
              <w:t xml:space="preserve">] </w:t>
            </w:r>
            <w:bookmarkStart w:id="41" w:name="_Hlk84530320"/>
            <w:r w:rsidRPr="00D25793">
              <w:rPr>
                <w:rFonts w:ascii="ITC Avant Garde" w:hAnsi="ITC Avant Garde" w:cs="Arial"/>
                <w:sz w:val="18"/>
                <w:szCs w:val="18"/>
              </w:rPr>
              <w:t xml:space="preserve">Charles </w:t>
            </w:r>
            <w:proofErr w:type="spellStart"/>
            <w:r w:rsidRPr="00D25793">
              <w:rPr>
                <w:rFonts w:ascii="ITC Avant Garde" w:hAnsi="ITC Avant Garde" w:cs="Arial"/>
                <w:sz w:val="18"/>
                <w:szCs w:val="18"/>
              </w:rPr>
              <w:t>River</w:t>
            </w:r>
            <w:proofErr w:type="spellEnd"/>
            <w:r w:rsidRPr="00D25793">
              <w:rPr>
                <w:rFonts w:ascii="ITC Avant Garde" w:hAnsi="ITC Avant Garde" w:cs="Arial"/>
                <w:sz w:val="18"/>
                <w:szCs w:val="18"/>
              </w:rPr>
              <w:t xml:space="preserve"> </w:t>
            </w:r>
            <w:proofErr w:type="spellStart"/>
            <w:r w:rsidRPr="00D25793">
              <w:rPr>
                <w:rFonts w:ascii="ITC Avant Garde" w:hAnsi="ITC Avant Garde" w:cs="Arial"/>
                <w:sz w:val="18"/>
                <w:szCs w:val="18"/>
              </w:rPr>
              <w:t>Associates</w:t>
            </w:r>
            <w:proofErr w:type="spellEnd"/>
            <w:r w:rsidRPr="00D25793">
              <w:rPr>
                <w:rFonts w:ascii="ITC Avant Garde" w:hAnsi="ITC Avant Garde" w:cs="Arial"/>
                <w:sz w:val="18"/>
                <w:szCs w:val="18"/>
              </w:rPr>
              <w:t xml:space="preserve"> (2015). </w:t>
            </w:r>
            <w:r w:rsidRPr="00810537">
              <w:rPr>
                <w:rFonts w:ascii="ITC Avant Garde" w:hAnsi="ITC Avant Garde" w:cs="Arial"/>
                <w:i/>
                <w:sz w:val="18"/>
                <w:szCs w:val="18"/>
                <w:lang w:val="en-US"/>
              </w:rPr>
              <w:t>Qihoo v. Tencent: economic analysis of the first Chinese Supreme Court decision under Anti-Monopoly Law</w:t>
            </w:r>
            <w:r w:rsidRPr="00D25793">
              <w:rPr>
                <w:rFonts w:ascii="ITC Avant Garde" w:hAnsi="ITC Avant Garde" w:cs="Arial"/>
                <w:sz w:val="18"/>
                <w:szCs w:val="18"/>
                <w:lang w:val="en-US"/>
              </w:rPr>
              <w:t xml:space="preserve">. </w:t>
            </w:r>
            <w:r w:rsidRPr="00810537">
              <w:rPr>
                <w:rFonts w:ascii="ITC Avant Garde" w:hAnsi="ITC Avant Garde" w:cs="Arial"/>
                <w:sz w:val="18"/>
                <w:szCs w:val="18"/>
              </w:rPr>
              <w:t xml:space="preserve">China </w:t>
            </w:r>
            <w:proofErr w:type="spellStart"/>
            <w:r w:rsidRPr="00810537">
              <w:rPr>
                <w:rFonts w:ascii="ITC Avant Garde" w:hAnsi="ITC Avant Garde" w:cs="Arial"/>
                <w:sz w:val="18"/>
                <w:szCs w:val="18"/>
              </w:rPr>
              <w:t>Highligts</w:t>
            </w:r>
            <w:proofErr w:type="spellEnd"/>
            <w:r w:rsidRPr="00810537">
              <w:rPr>
                <w:rFonts w:ascii="ITC Avant Garde" w:hAnsi="ITC Avant Garde" w:cs="Arial"/>
                <w:sz w:val="18"/>
                <w:szCs w:val="18"/>
              </w:rPr>
              <w:t xml:space="preserve">. </w:t>
            </w:r>
          </w:p>
          <w:bookmarkEnd w:id="41"/>
          <w:p w14:paraId="090BB527" w14:textId="201EE961" w:rsidR="00487D6A" w:rsidRDefault="0099058B" w:rsidP="00487D6A">
            <w:pPr>
              <w:spacing w:after="0" w:line="240" w:lineRule="auto"/>
              <w:jc w:val="both"/>
              <w:rPr>
                <w:rFonts w:ascii="ITC Avant Garde" w:hAnsi="ITC Avant Garde" w:cs="Arial"/>
                <w:sz w:val="18"/>
                <w:szCs w:val="18"/>
              </w:rPr>
            </w:pPr>
            <w:r w:rsidRPr="001E3412">
              <w:rPr>
                <w:rFonts w:ascii="ITC Avant Garde" w:hAnsi="ITC Avant Garde" w:cs="Arial"/>
                <w:sz w:val="18"/>
                <w:szCs w:val="18"/>
              </w:rPr>
              <w:t xml:space="preserve"> </w:t>
            </w:r>
            <w:r w:rsidRPr="00E63F19">
              <w:rPr>
                <w:rFonts w:ascii="ITC Avant Garde" w:hAnsi="ITC Avant Garde" w:cs="Arial"/>
                <w:sz w:val="18"/>
                <w:szCs w:val="18"/>
              </w:rPr>
              <w:t>** [Nueva nota al pie 1</w:t>
            </w:r>
            <w:bookmarkStart w:id="42" w:name="_Hlk84530358"/>
            <w:r w:rsidR="005F4B0E">
              <w:rPr>
                <w:rFonts w:ascii="ITC Avant Garde" w:hAnsi="ITC Avant Garde" w:cs="Arial"/>
                <w:sz w:val="18"/>
                <w:szCs w:val="18"/>
              </w:rPr>
              <w:t>2</w:t>
            </w:r>
            <w:r w:rsidRPr="00E63F19">
              <w:rPr>
                <w:rFonts w:ascii="ITC Avant Garde" w:hAnsi="ITC Avant Garde" w:cs="Arial"/>
                <w:sz w:val="18"/>
                <w:szCs w:val="18"/>
              </w:rPr>
              <w:t xml:space="preserve">] </w:t>
            </w:r>
            <w:bookmarkStart w:id="43" w:name="_Hlk84532331"/>
            <w:r w:rsidR="00487D6A" w:rsidRPr="00E63F19">
              <w:rPr>
                <w:rFonts w:ascii="ITC Avant Garde" w:hAnsi="ITC Avant Garde" w:cs="Arial"/>
                <w:sz w:val="18"/>
                <w:szCs w:val="18"/>
              </w:rPr>
              <w:t xml:space="preserve">Fiscalía Nacional Económica. Guía para el Análisis de Operaciones de Concentración Horizontales. Disponible en: </w:t>
            </w:r>
            <w:hyperlink r:id="rId47" w:history="1">
              <w:r w:rsidR="00907257" w:rsidRPr="00B4640F">
                <w:rPr>
                  <w:rStyle w:val="Hipervnculo"/>
                  <w:rFonts w:ascii="ITC Avant Garde" w:hAnsi="ITC Avant Garde" w:cs="Arial"/>
                  <w:sz w:val="18"/>
                  <w:szCs w:val="18"/>
                </w:rPr>
                <w:t>https://www.fne.gob.cl/wp-content/uploads/2021/05/Guia-para-el-Analisis-de-Operaciones-de-Concentracion-Horizontales-mayo-VF.pdf</w:t>
              </w:r>
            </w:hyperlink>
            <w:bookmarkEnd w:id="43"/>
            <w:r w:rsidR="00907257">
              <w:rPr>
                <w:rFonts w:ascii="ITC Avant Garde" w:hAnsi="ITC Avant Garde" w:cs="Arial"/>
                <w:sz w:val="18"/>
                <w:szCs w:val="18"/>
              </w:rPr>
              <w:t xml:space="preserve"> </w:t>
            </w:r>
          </w:p>
          <w:p w14:paraId="59F3B279" w14:textId="5CEBE768" w:rsidR="0099058B" w:rsidRPr="001A232A" w:rsidRDefault="00487D6A" w:rsidP="0099058B">
            <w:pPr>
              <w:spacing w:after="0" w:line="240" w:lineRule="auto"/>
              <w:jc w:val="both"/>
              <w:rPr>
                <w:rFonts w:ascii="ITC Avant Garde" w:hAnsi="ITC Avant Garde" w:cs="Arial"/>
                <w:sz w:val="18"/>
                <w:szCs w:val="18"/>
              </w:rPr>
            </w:pPr>
            <w:r w:rsidRPr="001E3412">
              <w:rPr>
                <w:rFonts w:ascii="ITC Avant Garde" w:hAnsi="ITC Avant Garde" w:cs="Arial"/>
                <w:sz w:val="18"/>
                <w:szCs w:val="18"/>
              </w:rPr>
              <w:t>** [Nueva nota al pie 1</w:t>
            </w:r>
            <w:r w:rsidR="005F4B0E">
              <w:rPr>
                <w:rFonts w:ascii="ITC Avant Garde" w:hAnsi="ITC Avant Garde" w:cs="Arial"/>
                <w:sz w:val="18"/>
                <w:szCs w:val="18"/>
              </w:rPr>
              <w:t>3</w:t>
            </w:r>
            <w:r w:rsidRPr="001E3412">
              <w:rPr>
                <w:rFonts w:ascii="ITC Avant Garde" w:hAnsi="ITC Avant Garde" w:cs="Arial"/>
                <w:sz w:val="18"/>
                <w:szCs w:val="18"/>
              </w:rPr>
              <w:t xml:space="preserve">] </w:t>
            </w:r>
            <w:r w:rsidR="0099058B" w:rsidRPr="001E3412">
              <w:rPr>
                <w:rFonts w:ascii="ITC Avant Garde" w:hAnsi="ITC Avant Garde" w:cs="Arial"/>
                <w:sz w:val="18"/>
                <w:szCs w:val="18"/>
              </w:rPr>
              <w:t xml:space="preserve">OCDE (2018). </w:t>
            </w:r>
            <w:r w:rsidR="0099058B" w:rsidRPr="00810537">
              <w:rPr>
                <w:rFonts w:ascii="ITC Avant Garde" w:hAnsi="ITC Avant Garde" w:cs="Arial"/>
                <w:i/>
                <w:sz w:val="18"/>
                <w:szCs w:val="18"/>
                <w:lang w:val="en-US"/>
              </w:rPr>
              <w:t>Quality considerations in digital zero-price markets</w:t>
            </w:r>
            <w:r w:rsidR="0099058B" w:rsidRPr="00D25793">
              <w:rPr>
                <w:rFonts w:ascii="ITC Avant Garde" w:hAnsi="ITC Avant Garde" w:cs="Arial"/>
                <w:sz w:val="18"/>
                <w:szCs w:val="18"/>
                <w:lang w:val="en-US"/>
              </w:rPr>
              <w:t xml:space="preserve">. Background note by the Secretariat. </w:t>
            </w:r>
            <w:r w:rsidR="0099058B" w:rsidRPr="001A232A">
              <w:rPr>
                <w:rFonts w:ascii="ITC Avant Garde" w:hAnsi="ITC Avant Garde" w:cs="Arial"/>
                <w:sz w:val="18"/>
                <w:szCs w:val="18"/>
              </w:rPr>
              <w:t xml:space="preserve">Disponible en: </w:t>
            </w:r>
            <w:hyperlink r:id="rId48" w:history="1">
              <w:r w:rsidR="0099058B" w:rsidRPr="001A232A">
                <w:rPr>
                  <w:rStyle w:val="Hipervnculo"/>
                  <w:rFonts w:ascii="ITC Avant Garde" w:hAnsi="ITC Avant Garde" w:cs="Arial"/>
                  <w:sz w:val="18"/>
                  <w:szCs w:val="18"/>
                </w:rPr>
                <w:t>https://one.oecd.org/document/DAF/COMP(2018)14/en/pdf</w:t>
              </w:r>
            </w:hyperlink>
            <w:r w:rsidR="0099058B" w:rsidRPr="001A232A">
              <w:rPr>
                <w:rFonts w:ascii="ITC Avant Garde" w:hAnsi="ITC Avant Garde" w:cs="Arial"/>
                <w:sz w:val="18"/>
                <w:szCs w:val="18"/>
              </w:rPr>
              <w:t xml:space="preserve"> </w:t>
            </w:r>
          </w:p>
          <w:bookmarkEnd w:id="42"/>
          <w:p w14:paraId="7512A113" w14:textId="61197152" w:rsidR="000373A5" w:rsidRPr="001A232A" w:rsidRDefault="0099058B" w:rsidP="0099058B">
            <w:pPr>
              <w:spacing w:after="0" w:line="240" w:lineRule="auto"/>
              <w:jc w:val="both"/>
              <w:rPr>
                <w:rFonts w:ascii="ITC Avant Garde" w:hAnsi="ITC Avant Garde" w:cs="Arial"/>
                <w:sz w:val="18"/>
                <w:szCs w:val="18"/>
              </w:rPr>
            </w:pPr>
            <w:r w:rsidRPr="00D25793">
              <w:rPr>
                <w:rFonts w:ascii="ITC Avant Garde" w:hAnsi="ITC Avant Garde" w:cs="Arial"/>
                <w:sz w:val="18"/>
                <w:szCs w:val="18"/>
              </w:rPr>
              <w:t>** [Nueva nota al pie 1</w:t>
            </w:r>
            <w:r w:rsidR="005F4B0E">
              <w:rPr>
                <w:rFonts w:ascii="ITC Avant Garde" w:hAnsi="ITC Avant Garde" w:cs="Arial"/>
                <w:sz w:val="18"/>
                <w:szCs w:val="18"/>
              </w:rPr>
              <w:t>4</w:t>
            </w:r>
            <w:r w:rsidRPr="00D25793">
              <w:rPr>
                <w:rFonts w:ascii="ITC Avant Garde" w:hAnsi="ITC Avant Garde" w:cs="Arial"/>
                <w:sz w:val="18"/>
                <w:szCs w:val="18"/>
              </w:rPr>
              <w:t xml:space="preserve">] </w:t>
            </w:r>
            <w:bookmarkStart w:id="44" w:name="_Hlk84530453"/>
            <w:r w:rsidRPr="00D25793">
              <w:rPr>
                <w:rFonts w:ascii="ITC Avant Garde" w:hAnsi="ITC Avant Garde" w:cs="Arial"/>
                <w:sz w:val="18"/>
                <w:szCs w:val="18"/>
              </w:rPr>
              <w:t>La estructura, es decir, la relación entre los precios de los lados solo puede afectar el volumen de las transacciones si el lado que paga más a la plataforma no puede trasladar esos costos al otro lado (</w:t>
            </w:r>
            <w:proofErr w:type="spellStart"/>
            <w:r w:rsidRPr="00810537">
              <w:rPr>
                <w:rFonts w:ascii="ITC Avant Garde" w:hAnsi="ITC Avant Garde" w:cs="Arial"/>
                <w:i/>
                <w:sz w:val="18"/>
                <w:szCs w:val="18"/>
              </w:rPr>
              <w:t>pass-though</w:t>
            </w:r>
            <w:proofErr w:type="spellEnd"/>
            <w:r w:rsidRPr="00D25793">
              <w:rPr>
                <w:rFonts w:ascii="ITC Avant Garde" w:hAnsi="ITC Avant Garde" w:cs="Arial"/>
                <w:sz w:val="18"/>
                <w:szCs w:val="18"/>
              </w:rPr>
              <w:t xml:space="preserve">) debido a que no existe una interacción o negociación directa entre ellos. </w:t>
            </w:r>
            <w:r w:rsidRPr="00810537">
              <w:rPr>
                <w:rFonts w:ascii="ITC Avant Garde" w:hAnsi="ITC Avant Garde" w:cs="Arial"/>
                <w:sz w:val="18"/>
                <w:szCs w:val="18"/>
                <w:lang w:val="en-US"/>
              </w:rPr>
              <w:t xml:space="preserve">OCDE (2018). </w:t>
            </w:r>
            <w:r w:rsidRPr="00810537">
              <w:rPr>
                <w:rFonts w:ascii="ITC Avant Garde" w:hAnsi="ITC Avant Garde" w:cs="Arial"/>
                <w:i/>
                <w:sz w:val="18"/>
                <w:szCs w:val="18"/>
                <w:lang w:val="en-US"/>
              </w:rPr>
              <w:t>Rethinking Antitrust Tools for Multi-Sided Platforms</w:t>
            </w:r>
            <w:r w:rsidRPr="00810537">
              <w:rPr>
                <w:rFonts w:ascii="ITC Avant Garde" w:hAnsi="ITC Avant Garde" w:cs="Arial"/>
                <w:sz w:val="18"/>
                <w:szCs w:val="18"/>
                <w:lang w:val="en-US"/>
              </w:rPr>
              <w:t xml:space="preserve">, p. 39. </w:t>
            </w:r>
            <w:r w:rsidR="00A152B4" w:rsidRPr="00357E3D">
              <w:rPr>
                <w:rFonts w:ascii="ITC Avant Garde" w:hAnsi="ITC Avant Garde" w:cs="Arial"/>
                <w:sz w:val="18"/>
                <w:szCs w:val="18"/>
                <w:lang w:val="x-none"/>
              </w:rPr>
              <w:t xml:space="preserve"> Disponible en: </w:t>
            </w:r>
            <w:hyperlink r:id="rId49" w:history="1">
              <w:r w:rsidR="00A152B4" w:rsidRPr="00357E3D">
                <w:rPr>
                  <w:rStyle w:val="Hipervnculo"/>
                  <w:rFonts w:ascii="ITC Avant Garde" w:hAnsi="ITC Avant Garde"/>
                  <w:sz w:val="18"/>
                  <w:szCs w:val="18"/>
                  <w:lang w:val="x-none"/>
                </w:rPr>
                <w:t>http://www.oecd.org/daf/competition/Rethinking-antitrust-tools-for-multi-sided-platforms-2018.pd</w:t>
              </w:r>
              <w:r w:rsidR="00A152B4" w:rsidRPr="001A232A">
                <w:rPr>
                  <w:rStyle w:val="Hipervnculo"/>
                  <w:rFonts w:ascii="ITC Avant Garde" w:hAnsi="ITC Avant Garde"/>
                  <w:sz w:val="18"/>
                  <w:szCs w:val="18"/>
                </w:rPr>
                <w:t>f</w:t>
              </w:r>
            </w:hyperlink>
            <w:r w:rsidR="00A152B4" w:rsidRPr="001A232A">
              <w:rPr>
                <w:rFonts w:ascii="ITC Avant Garde" w:hAnsi="ITC Avant Garde"/>
                <w:sz w:val="18"/>
                <w:szCs w:val="18"/>
              </w:rPr>
              <w:t xml:space="preserve">  </w:t>
            </w:r>
            <w:bookmarkEnd w:id="44"/>
          </w:p>
        </w:tc>
      </w:tr>
    </w:tbl>
    <w:p w14:paraId="5F34ECFA" w14:textId="77777777" w:rsidR="00E778B9" w:rsidRPr="001A232A" w:rsidRDefault="00E778B9" w:rsidP="00CC72A7">
      <w:pPr>
        <w:spacing w:after="120" w:line="240" w:lineRule="auto"/>
        <w:jc w:val="both"/>
        <w:rPr>
          <w:rFonts w:ascii="ITC Avant Garde" w:hAnsi="ITC Avant Garde"/>
        </w:rPr>
      </w:pPr>
    </w:p>
    <w:p w14:paraId="58C9B1A3" w14:textId="77777777" w:rsidR="00CC72A7" w:rsidRPr="001A232A" w:rsidRDefault="00CC72A7" w:rsidP="005B6703">
      <w:pPr>
        <w:spacing w:after="120" w:line="240" w:lineRule="auto"/>
        <w:jc w:val="both"/>
        <w:rPr>
          <w:rFonts w:ascii="ITC Avant Garde" w:hAnsi="ITC Avant Garde"/>
          <w:b/>
          <w:bCs/>
        </w:rPr>
      </w:pPr>
    </w:p>
    <w:sectPr w:rsidR="00CC72A7" w:rsidRPr="001A232A" w:rsidSect="00307596">
      <w:headerReference w:type="even" r:id="rId50"/>
      <w:headerReference w:type="default" r:id="rId51"/>
      <w:footerReference w:type="even" r:id="rId52"/>
      <w:footerReference w:type="default" r:id="rId53"/>
      <w:headerReference w:type="first" r:id="rId54"/>
      <w:footerReference w:type="first" r:id="rId55"/>
      <w:pgSz w:w="12240" w:h="15840"/>
      <w:pgMar w:top="1418" w:right="1077" w:bottom="1134" w:left="107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98BC" w14:textId="77777777" w:rsidR="00E658A5" w:rsidRDefault="00E658A5">
      <w:pPr>
        <w:spacing w:after="0" w:line="240" w:lineRule="auto"/>
      </w:pPr>
      <w:r>
        <w:separator/>
      </w:r>
    </w:p>
  </w:endnote>
  <w:endnote w:type="continuationSeparator" w:id="0">
    <w:p w14:paraId="528EDA9D" w14:textId="77777777" w:rsidR="00E658A5" w:rsidRDefault="00E658A5">
      <w:pPr>
        <w:spacing w:after="0" w:line="240" w:lineRule="auto"/>
      </w:pPr>
      <w:r>
        <w:continuationSeparator/>
      </w:r>
    </w:p>
  </w:endnote>
  <w:endnote w:type="continuationNotice" w:id="1">
    <w:p w14:paraId="502DDD8D" w14:textId="77777777" w:rsidR="00E658A5" w:rsidRDefault="00E658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8215" w14:textId="77777777" w:rsidR="001A232A" w:rsidRDefault="001A23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05EE8F58" w14:textId="7174F9F7" w:rsidR="001A232A" w:rsidRPr="008D5606" w:rsidRDefault="001A232A" w:rsidP="00E8517D">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Pr>
                <w:rFonts w:ascii="ITC Avant Garde" w:hAnsi="ITC Avant Garde"/>
                <w:b/>
                <w:bCs/>
                <w:noProof/>
                <w:sz w:val="20"/>
              </w:rPr>
              <w:t>8</w:t>
            </w:r>
            <w:r w:rsidRPr="008D5606">
              <w:rPr>
                <w:rFonts w:ascii="ITC Avant Garde" w:hAnsi="ITC Avant Garde"/>
                <w:b/>
                <w:bCs/>
                <w:szCs w:val="24"/>
              </w:rPr>
              <w:fldChar w:fldCharType="end"/>
            </w:r>
          </w:p>
          <w:p w14:paraId="2BFDD998" w14:textId="77777777" w:rsidR="001A232A" w:rsidRDefault="001A232A">
            <w:pPr>
              <w:pStyle w:val="Piedepgina"/>
              <w:jc w:val="right"/>
              <w:rPr>
                <w:b/>
                <w:bCs/>
                <w:sz w:val="24"/>
                <w:szCs w:val="24"/>
              </w:rPr>
            </w:pPr>
          </w:p>
          <w:p w14:paraId="44915FA7" w14:textId="33E104DF" w:rsidR="001A232A" w:rsidRDefault="00E658A5">
            <w:pPr>
              <w:pStyle w:val="Piedepgina"/>
              <w:jc w:val="right"/>
            </w:pPr>
          </w:p>
        </w:sdtContent>
      </w:sdt>
    </w:sdtContent>
  </w:sdt>
  <w:p w14:paraId="180F75CB" w14:textId="77777777" w:rsidR="001A232A" w:rsidRDefault="001A23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3EF5" w14:textId="77777777" w:rsidR="001A232A" w:rsidRDefault="001A23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4A004" w14:textId="77777777" w:rsidR="00E658A5" w:rsidRDefault="00E658A5">
      <w:pPr>
        <w:spacing w:after="0" w:line="240" w:lineRule="auto"/>
      </w:pPr>
      <w:r>
        <w:separator/>
      </w:r>
    </w:p>
  </w:footnote>
  <w:footnote w:type="continuationSeparator" w:id="0">
    <w:p w14:paraId="6E53413A" w14:textId="77777777" w:rsidR="00E658A5" w:rsidRDefault="00E658A5">
      <w:pPr>
        <w:spacing w:after="0" w:line="240" w:lineRule="auto"/>
      </w:pPr>
      <w:r>
        <w:continuationSeparator/>
      </w:r>
    </w:p>
  </w:footnote>
  <w:footnote w:type="continuationNotice" w:id="1">
    <w:p w14:paraId="3BD3D0A1" w14:textId="77777777" w:rsidR="00E658A5" w:rsidRDefault="00E658A5">
      <w:pPr>
        <w:spacing w:after="0" w:line="240" w:lineRule="auto"/>
      </w:pPr>
    </w:p>
  </w:footnote>
  <w:footnote w:id="2">
    <w:p w14:paraId="419242DA" w14:textId="77777777" w:rsidR="001A232A" w:rsidRPr="00066CBF" w:rsidRDefault="001A232A" w:rsidP="00221F9C">
      <w:pPr>
        <w:spacing w:after="0" w:line="240" w:lineRule="auto"/>
        <w:jc w:val="both"/>
        <w:rPr>
          <w:rFonts w:ascii="ITC Avant Garde" w:hAnsi="ITC Avant Garde" w:cs="Arial"/>
          <w:i/>
          <w:iCs/>
          <w:sz w:val="14"/>
          <w:szCs w:val="14"/>
        </w:rPr>
      </w:pPr>
      <w:r w:rsidRPr="00066CBF">
        <w:rPr>
          <w:rStyle w:val="Refdenotaalpie"/>
          <w:rFonts w:ascii="ITC Avant Garde" w:hAnsi="ITC Avant Garde" w:cs="Arial"/>
          <w:sz w:val="14"/>
          <w:szCs w:val="14"/>
        </w:rPr>
        <w:footnoteRef/>
      </w:r>
      <w:r w:rsidRPr="00066CBF">
        <w:rPr>
          <w:rFonts w:ascii="ITC Avant Garde" w:hAnsi="ITC Avant Garde" w:cs="Arial"/>
          <w:sz w:val="14"/>
          <w:szCs w:val="14"/>
        </w:rPr>
        <w:t xml:space="preserve"> “</w:t>
      </w:r>
      <w:r w:rsidRPr="00066CBF">
        <w:rPr>
          <w:rFonts w:ascii="ITC Avant Garde" w:hAnsi="ITC Avant Garde" w:cs="Arial"/>
          <w:b/>
          <w:bCs/>
          <w:i/>
          <w:iCs/>
          <w:sz w:val="14"/>
          <w:szCs w:val="14"/>
        </w:rPr>
        <w:t xml:space="preserve">Noveno.- </w:t>
      </w:r>
      <w:r w:rsidRPr="00066CBF">
        <w:rPr>
          <w:rFonts w:ascii="ITC Avant Garde" w:hAnsi="ITC Avant Garde" w:cs="Arial"/>
          <w:i/>
          <w:iCs/>
          <w:sz w:val="14"/>
          <w:szCs w:val="14"/>
        </w:rPr>
        <w:t>La información, comentarios, opiniones, aportaciones u otros elementos de análisis que los participantes presenten al Instituto, en los procesos de consulta pública que realice, no tendrán carácter vinculante. No obstante, siempre y cuando se hayan recibido en tiempo y forma, las Unidades y/o Coordinaciones Generales correspondientes deberán analizarlos, ponderarlos y presentar una respuesta o posicionamiento sobre ellos a través de un Informe de Consideraciones, que contenga, cuando menos, la siguiente información:</w:t>
      </w:r>
    </w:p>
    <w:p w14:paraId="231B8927" w14:textId="2C9BC8B0" w:rsidR="001A232A" w:rsidRPr="00066CBF" w:rsidRDefault="001A232A" w:rsidP="00767DD5">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I. Fecha de elaboración;</w:t>
      </w:r>
    </w:p>
    <w:p w14:paraId="72695C7B" w14:textId="6F6EC9B9"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II. Título o denominación de la consulta pública;</w:t>
      </w:r>
    </w:p>
    <w:p w14:paraId="4F0DC72E" w14:textId="6C126B44"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III. Descripción de la consulta pública;</w:t>
      </w:r>
    </w:p>
    <w:p w14:paraId="5E9F0A26" w14:textId="2C25898C"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IV. Objetivos de la consulta pública;</w:t>
      </w:r>
    </w:p>
    <w:p w14:paraId="165536DD" w14:textId="1A5A95D5"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V. Unidades y/o Coordinaciones Generales responsables de la consulta pública;</w:t>
      </w:r>
    </w:p>
    <w:p w14:paraId="5E2674B4" w14:textId="59F65830"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VI. Descripción de los participantes en la consulta pública, y</w:t>
      </w:r>
    </w:p>
    <w:p w14:paraId="045814FB" w14:textId="5AA21FE6"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VII. Las respuestas o posicionamientos que correspondan por parte del Instituto.</w:t>
      </w:r>
    </w:p>
    <w:p w14:paraId="422990C3" w14:textId="77777777" w:rsidR="001A232A" w:rsidRPr="00066CBF" w:rsidRDefault="001A232A" w:rsidP="00221F9C">
      <w:pPr>
        <w:spacing w:after="0" w:line="240" w:lineRule="auto"/>
        <w:jc w:val="both"/>
        <w:rPr>
          <w:rFonts w:ascii="ITC Avant Garde" w:hAnsi="ITC Avant Garde" w:cs="Arial"/>
          <w:i/>
          <w:iCs/>
          <w:sz w:val="14"/>
          <w:szCs w:val="14"/>
        </w:rPr>
      </w:pPr>
      <w:r w:rsidRPr="00066CBF">
        <w:rPr>
          <w:rFonts w:ascii="ITC Avant Garde" w:hAnsi="ITC Avant Garde" w:cs="Arial"/>
          <w:i/>
          <w:iCs/>
          <w:sz w:val="14"/>
          <w:szCs w:val="14"/>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14:paraId="4FA36FCA" w14:textId="77777777" w:rsidR="001A232A" w:rsidRPr="00B53CE1" w:rsidRDefault="001A232A" w:rsidP="00221F9C">
      <w:pPr>
        <w:spacing w:after="0" w:line="240" w:lineRule="auto"/>
        <w:jc w:val="both"/>
        <w:rPr>
          <w:rFonts w:ascii="Arial" w:hAnsi="Arial" w:cs="Arial"/>
          <w:i/>
          <w:iCs/>
          <w:sz w:val="14"/>
          <w:szCs w:val="14"/>
        </w:rPr>
      </w:pPr>
      <w:r w:rsidRPr="00066CBF">
        <w:rPr>
          <w:rFonts w:ascii="ITC Avant Garde" w:hAnsi="ITC Avant Garde" w:cs="Arial"/>
          <w:i/>
          <w:iCs/>
          <w:sz w:val="14"/>
          <w:szCs w:val="14"/>
        </w:rPr>
        <w:t>En el caso de que el Instituto determine la integración de algún grupo de enfoque, conforme a lo señalado en el Lineamiento Sexto, segundo párrafo, deberán referir en el Informe de Consideraciones los resultados del mismo, preservando la confidencialidad o reserva de la información que se haya determinado con ese carácter”.</w:t>
      </w:r>
    </w:p>
  </w:footnote>
  <w:footnote w:id="3">
    <w:p w14:paraId="2BDB6D34" w14:textId="28BC9690" w:rsidR="001A232A" w:rsidRPr="0086133F" w:rsidRDefault="001A232A">
      <w:pPr>
        <w:pStyle w:val="Textonotapie"/>
        <w:rPr>
          <w:rFonts w:ascii="ITC Avant Garde" w:hAnsi="ITC Avant Garde"/>
          <w:sz w:val="16"/>
          <w:szCs w:val="16"/>
        </w:rPr>
      </w:pPr>
      <w:r w:rsidRPr="0086133F">
        <w:rPr>
          <w:rStyle w:val="Refdenotaalpie"/>
          <w:rFonts w:ascii="ITC Avant Garde" w:hAnsi="ITC Avant Garde"/>
          <w:sz w:val="16"/>
          <w:szCs w:val="16"/>
        </w:rPr>
        <w:footnoteRef/>
      </w:r>
      <w:r w:rsidRPr="0086133F">
        <w:rPr>
          <w:rFonts w:ascii="ITC Avant Garde" w:hAnsi="ITC Avant Garde"/>
          <w:sz w:val="16"/>
          <w:szCs w:val="16"/>
        </w:rPr>
        <w:t xml:space="preserve"> Mediante oficio ST-CFCE-2021-069 de fecha 9 de agosto de 2021, el Secretario Técnico de la C</w:t>
      </w:r>
      <w:r>
        <w:rPr>
          <w:rFonts w:ascii="ITC Avant Garde" w:hAnsi="ITC Avant Garde"/>
          <w:sz w:val="16"/>
          <w:szCs w:val="16"/>
        </w:rPr>
        <w:t>OFECE</w:t>
      </w:r>
      <w:r w:rsidRPr="0086133F">
        <w:rPr>
          <w:rFonts w:ascii="ITC Avant Garde" w:hAnsi="ITC Avant Garde"/>
          <w:sz w:val="16"/>
          <w:szCs w:val="16"/>
        </w:rPr>
        <w:t xml:space="preserve"> dio respuesta al oficio IFT/110/AI/054/2021, solicitando una prórroga al plazo otorgado para emitir opinión a que se refiere el artículo 138, fracción I, in fine, de la LFCE. En respuesta, mediante oficio IFT/110/AI/062/2021, de fecha 12 de agosto de 2021, la AI del Instituto otorgó la prórroga solicitada por la C</w:t>
      </w:r>
      <w:r>
        <w:rPr>
          <w:rFonts w:ascii="ITC Avant Garde" w:hAnsi="ITC Avant Garde"/>
          <w:sz w:val="16"/>
          <w:szCs w:val="16"/>
        </w:rPr>
        <w:t>O</w:t>
      </w:r>
      <w:r w:rsidRPr="0086133F">
        <w:rPr>
          <w:rFonts w:ascii="ITC Avant Garde" w:hAnsi="ITC Avant Garde"/>
          <w:sz w:val="16"/>
          <w:szCs w:val="16"/>
        </w:rPr>
        <w:t>F</w:t>
      </w:r>
      <w:r>
        <w:rPr>
          <w:rFonts w:ascii="ITC Avant Garde" w:hAnsi="ITC Avant Garde"/>
          <w:sz w:val="16"/>
          <w:szCs w:val="16"/>
        </w:rPr>
        <w:t>E</w:t>
      </w:r>
      <w:r w:rsidRPr="0086133F">
        <w:rPr>
          <w:rFonts w:ascii="ITC Avant Garde" w:hAnsi="ITC Avant Garde"/>
          <w:sz w:val="16"/>
          <w:szCs w:val="16"/>
        </w:rPr>
        <w:t>CE para emitir la opinión de referencia.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BA3B" w14:textId="77777777" w:rsidR="001A232A" w:rsidRDefault="00E658A5">
    <w:pPr>
      <w:pStyle w:val="Encabezado"/>
    </w:pPr>
    <w:r>
      <w:rPr>
        <w:noProof/>
        <w:lang w:eastAsia="es-MX"/>
      </w:rPr>
      <w:pict w14:anchorId="1682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43BA" w14:textId="77777777" w:rsidR="001A232A" w:rsidRDefault="001A23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9543" w14:textId="77777777" w:rsidR="001A232A" w:rsidRDefault="00E658A5">
    <w:pPr>
      <w:pStyle w:val="Encabezado"/>
    </w:pPr>
    <w:r>
      <w:rPr>
        <w:noProof/>
        <w:lang w:eastAsia="es-MX"/>
      </w:rPr>
      <w:pict w14:anchorId="207E8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D51"/>
    <w:multiLevelType w:val="multilevel"/>
    <w:tmpl w:val="B61CD4BC"/>
    <w:lvl w:ilvl="0">
      <w:start w:val="1"/>
      <w:numFmt w:val="decimal"/>
      <w:lvlText w:val="%1."/>
      <w:lvlJc w:val="left"/>
      <w:pPr>
        <w:ind w:left="720" w:hanging="360"/>
      </w:pPr>
      <w:rPr>
        <w:rFonts w:hint="default"/>
        <w:b/>
        <w:bCs/>
      </w:rPr>
    </w:lvl>
    <w:lvl w:ilvl="1">
      <w:start w:val="3"/>
      <w:numFmt w:val="decimal"/>
      <w:isLgl/>
      <w:lvlText w:val="%1.%2."/>
      <w:lvlJc w:val="left"/>
      <w:pPr>
        <w:ind w:left="1070" w:hanging="710"/>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713D46"/>
    <w:multiLevelType w:val="hybridMultilevel"/>
    <w:tmpl w:val="64A6B2E2"/>
    <w:lvl w:ilvl="0" w:tplc="02561820">
      <w:start w:val="1"/>
      <w:numFmt w:val="upperRoman"/>
      <w:lvlText w:val="%1."/>
      <w:lvlJc w:val="left"/>
      <w:pPr>
        <w:ind w:left="1080" w:hanging="720"/>
      </w:pPr>
      <w:rPr>
        <w:b/>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7353D3"/>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D74E2"/>
    <w:multiLevelType w:val="hybridMultilevel"/>
    <w:tmpl w:val="9DE4AE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D08A7"/>
    <w:multiLevelType w:val="hybridMultilevel"/>
    <w:tmpl w:val="9A2E6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90AE7"/>
    <w:multiLevelType w:val="hybridMultilevel"/>
    <w:tmpl w:val="BE403542"/>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476218C"/>
    <w:multiLevelType w:val="hybridMultilevel"/>
    <w:tmpl w:val="849CBC3E"/>
    <w:lvl w:ilvl="0" w:tplc="E6DC3FB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3F4797"/>
    <w:multiLevelType w:val="hybridMultilevel"/>
    <w:tmpl w:val="B2D29012"/>
    <w:lvl w:ilvl="0" w:tplc="560C7638">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9D30A3"/>
    <w:multiLevelType w:val="hybridMultilevel"/>
    <w:tmpl w:val="D3F29E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82630"/>
    <w:multiLevelType w:val="hybridMultilevel"/>
    <w:tmpl w:val="1A00E1A0"/>
    <w:lvl w:ilvl="0" w:tplc="5BC88A4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FDD1994"/>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9234DD"/>
    <w:multiLevelType w:val="hybridMultilevel"/>
    <w:tmpl w:val="923A40E6"/>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2" w15:restartNumberingAfterBreak="0">
    <w:nsid w:val="216711CC"/>
    <w:multiLevelType w:val="multilevel"/>
    <w:tmpl w:val="4078BDEA"/>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571DAF"/>
    <w:multiLevelType w:val="hybridMultilevel"/>
    <w:tmpl w:val="49D01472"/>
    <w:lvl w:ilvl="0" w:tplc="A2C257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B80982"/>
    <w:multiLevelType w:val="hybridMultilevel"/>
    <w:tmpl w:val="C638EFD0"/>
    <w:lvl w:ilvl="0" w:tplc="486A87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AD0C9D"/>
    <w:multiLevelType w:val="hybridMultilevel"/>
    <w:tmpl w:val="7D5CD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D4260C"/>
    <w:multiLevelType w:val="hybridMultilevel"/>
    <w:tmpl w:val="923A40E6"/>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17" w15:restartNumberingAfterBreak="0">
    <w:nsid w:val="37DE0C71"/>
    <w:multiLevelType w:val="hybridMultilevel"/>
    <w:tmpl w:val="6A7EE254"/>
    <w:lvl w:ilvl="0" w:tplc="B25861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CE3E46"/>
    <w:multiLevelType w:val="hybridMultilevel"/>
    <w:tmpl w:val="3A402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2E0CFC"/>
    <w:multiLevelType w:val="hybridMultilevel"/>
    <w:tmpl w:val="A0EABF82"/>
    <w:lvl w:ilvl="0" w:tplc="EC8EA47C">
      <w:numFmt w:val="bullet"/>
      <w:lvlText w:val="•"/>
      <w:lvlJc w:val="left"/>
      <w:pPr>
        <w:ind w:left="1070" w:hanging="71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B81A5F"/>
    <w:multiLevelType w:val="hybridMultilevel"/>
    <w:tmpl w:val="A822BF64"/>
    <w:lvl w:ilvl="0" w:tplc="F5F8E2FC">
      <w:numFmt w:val="bullet"/>
      <w:lvlText w:val="•"/>
      <w:lvlJc w:val="left"/>
      <w:pPr>
        <w:ind w:left="710" w:hanging="710"/>
      </w:pPr>
      <w:rPr>
        <w:rFonts w:ascii="ITC Avant Garde" w:eastAsia="Calibr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E65F3E"/>
    <w:multiLevelType w:val="hybridMultilevel"/>
    <w:tmpl w:val="94088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A5E98"/>
    <w:multiLevelType w:val="hybridMultilevel"/>
    <w:tmpl w:val="15A81436"/>
    <w:lvl w:ilvl="0" w:tplc="D4CAF2FC">
      <w:start w:val="1"/>
      <w:numFmt w:val="upperRoman"/>
      <w:lvlText w:val="%1."/>
      <w:lvlJc w:val="left"/>
      <w:pPr>
        <w:ind w:left="1004" w:hanging="72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3" w15:restartNumberingAfterBreak="0">
    <w:nsid w:val="54FE4B7A"/>
    <w:multiLevelType w:val="hybridMultilevel"/>
    <w:tmpl w:val="9A2E6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0C120B"/>
    <w:multiLevelType w:val="hybridMultilevel"/>
    <w:tmpl w:val="7A8CEEE0"/>
    <w:lvl w:ilvl="0" w:tplc="B7AE1FA4">
      <w:start w:val="1"/>
      <w:numFmt w:val="upperRoman"/>
      <w:lvlText w:val="%1."/>
      <w:lvlJc w:val="right"/>
      <w:pPr>
        <w:ind w:left="1004" w:hanging="360"/>
      </w:pPr>
      <w:rPr>
        <w:b/>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25" w15:restartNumberingAfterBreak="0">
    <w:nsid w:val="59BF4C71"/>
    <w:multiLevelType w:val="hybridMultilevel"/>
    <w:tmpl w:val="64A6B2E2"/>
    <w:lvl w:ilvl="0" w:tplc="02561820">
      <w:start w:val="1"/>
      <w:numFmt w:val="upperRoman"/>
      <w:lvlText w:val="%1."/>
      <w:lvlJc w:val="left"/>
      <w:pPr>
        <w:ind w:left="1080" w:hanging="720"/>
      </w:pPr>
      <w:rPr>
        <w:b/>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B3133BD"/>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152352"/>
    <w:multiLevelType w:val="hybridMultilevel"/>
    <w:tmpl w:val="7A8CEEE0"/>
    <w:lvl w:ilvl="0" w:tplc="B7AE1FA4">
      <w:start w:val="1"/>
      <w:numFmt w:val="upperRoman"/>
      <w:lvlText w:val="%1."/>
      <w:lvlJc w:val="right"/>
      <w:pPr>
        <w:ind w:left="1004" w:hanging="360"/>
      </w:pPr>
      <w:rPr>
        <w:b/>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28" w15:restartNumberingAfterBreak="0">
    <w:nsid w:val="62B86E85"/>
    <w:multiLevelType w:val="hybridMultilevel"/>
    <w:tmpl w:val="BB9CCF24"/>
    <w:lvl w:ilvl="0" w:tplc="6C0EB89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B4D30FC"/>
    <w:multiLevelType w:val="hybridMultilevel"/>
    <w:tmpl w:val="0D2A420E"/>
    <w:lvl w:ilvl="0" w:tplc="9F60D30C">
      <w:start w:val="1"/>
      <w:numFmt w:val="lowerRoman"/>
      <w:lvlText w:val="%1)"/>
      <w:lvlJc w:val="left"/>
      <w:pPr>
        <w:ind w:left="970" w:hanging="720"/>
      </w:pPr>
      <w:rPr>
        <w:rFonts w:hint="default"/>
      </w:rPr>
    </w:lvl>
    <w:lvl w:ilvl="1" w:tplc="080A0019" w:tentative="1">
      <w:start w:val="1"/>
      <w:numFmt w:val="lowerLetter"/>
      <w:lvlText w:val="%2."/>
      <w:lvlJc w:val="left"/>
      <w:pPr>
        <w:ind w:left="1330" w:hanging="360"/>
      </w:pPr>
    </w:lvl>
    <w:lvl w:ilvl="2" w:tplc="080A001B" w:tentative="1">
      <w:start w:val="1"/>
      <w:numFmt w:val="lowerRoman"/>
      <w:lvlText w:val="%3."/>
      <w:lvlJc w:val="right"/>
      <w:pPr>
        <w:ind w:left="2050" w:hanging="180"/>
      </w:pPr>
    </w:lvl>
    <w:lvl w:ilvl="3" w:tplc="080A000F" w:tentative="1">
      <w:start w:val="1"/>
      <w:numFmt w:val="decimal"/>
      <w:lvlText w:val="%4."/>
      <w:lvlJc w:val="left"/>
      <w:pPr>
        <w:ind w:left="2770" w:hanging="360"/>
      </w:pPr>
    </w:lvl>
    <w:lvl w:ilvl="4" w:tplc="080A0019" w:tentative="1">
      <w:start w:val="1"/>
      <w:numFmt w:val="lowerLetter"/>
      <w:lvlText w:val="%5."/>
      <w:lvlJc w:val="left"/>
      <w:pPr>
        <w:ind w:left="3490" w:hanging="360"/>
      </w:pPr>
    </w:lvl>
    <w:lvl w:ilvl="5" w:tplc="080A001B" w:tentative="1">
      <w:start w:val="1"/>
      <w:numFmt w:val="lowerRoman"/>
      <w:lvlText w:val="%6."/>
      <w:lvlJc w:val="right"/>
      <w:pPr>
        <w:ind w:left="4210" w:hanging="180"/>
      </w:pPr>
    </w:lvl>
    <w:lvl w:ilvl="6" w:tplc="080A000F" w:tentative="1">
      <w:start w:val="1"/>
      <w:numFmt w:val="decimal"/>
      <w:lvlText w:val="%7."/>
      <w:lvlJc w:val="left"/>
      <w:pPr>
        <w:ind w:left="4930" w:hanging="360"/>
      </w:pPr>
    </w:lvl>
    <w:lvl w:ilvl="7" w:tplc="080A0019" w:tentative="1">
      <w:start w:val="1"/>
      <w:numFmt w:val="lowerLetter"/>
      <w:lvlText w:val="%8."/>
      <w:lvlJc w:val="left"/>
      <w:pPr>
        <w:ind w:left="5650" w:hanging="360"/>
      </w:pPr>
    </w:lvl>
    <w:lvl w:ilvl="8" w:tplc="080A001B" w:tentative="1">
      <w:start w:val="1"/>
      <w:numFmt w:val="lowerRoman"/>
      <w:lvlText w:val="%9."/>
      <w:lvlJc w:val="right"/>
      <w:pPr>
        <w:ind w:left="6370" w:hanging="180"/>
      </w:pPr>
    </w:lvl>
  </w:abstractNum>
  <w:abstractNum w:abstractNumId="30" w15:restartNumberingAfterBreak="0">
    <w:nsid w:val="6C456C63"/>
    <w:multiLevelType w:val="hybridMultilevel"/>
    <w:tmpl w:val="7EDC537A"/>
    <w:lvl w:ilvl="0" w:tplc="274E377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EE17EC4"/>
    <w:multiLevelType w:val="hybridMultilevel"/>
    <w:tmpl w:val="FB6847C8"/>
    <w:lvl w:ilvl="0" w:tplc="1F789E56">
      <w:start w:val="1"/>
      <w:numFmt w:val="lowerRoman"/>
      <w:lvlText w:val="%1."/>
      <w:lvlJc w:val="right"/>
      <w:pPr>
        <w:ind w:left="720" w:hanging="360"/>
      </w:pPr>
      <w:rPr>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56CE0"/>
    <w:multiLevelType w:val="multilevel"/>
    <w:tmpl w:val="6180E1BC"/>
    <w:lvl w:ilvl="0">
      <w:start w:val="1"/>
      <w:numFmt w:val="decimal"/>
      <w:lvlText w:val="%1."/>
      <w:lvlJc w:val="left"/>
      <w:pPr>
        <w:ind w:left="360" w:hanging="360"/>
      </w:pPr>
      <w:rPr>
        <w:rFonts w:hint="default"/>
        <w:b/>
        <w:bCs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33" w15:restartNumberingAfterBreak="0">
    <w:nsid w:val="77AC4A20"/>
    <w:multiLevelType w:val="hybridMultilevel"/>
    <w:tmpl w:val="D2CA4CFE"/>
    <w:lvl w:ilvl="0" w:tplc="F9C4723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8DA2363"/>
    <w:multiLevelType w:val="hybridMultilevel"/>
    <w:tmpl w:val="669275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306B40"/>
    <w:multiLevelType w:val="hybridMultilevel"/>
    <w:tmpl w:val="C3763036"/>
    <w:lvl w:ilvl="0" w:tplc="DD6046F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B01F4F"/>
    <w:multiLevelType w:val="hybridMultilevel"/>
    <w:tmpl w:val="15A81436"/>
    <w:lvl w:ilvl="0" w:tplc="D4CAF2FC">
      <w:start w:val="1"/>
      <w:numFmt w:val="upperRoman"/>
      <w:lvlText w:val="%1."/>
      <w:lvlJc w:val="left"/>
      <w:pPr>
        <w:ind w:left="1004" w:hanging="72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37" w15:restartNumberingAfterBreak="0">
    <w:nsid w:val="7B2D35F8"/>
    <w:multiLevelType w:val="hybridMultilevel"/>
    <w:tmpl w:val="58680F22"/>
    <w:lvl w:ilvl="0" w:tplc="F5F8E2FC">
      <w:numFmt w:val="bullet"/>
      <w:lvlText w:val="•"/>
      <w:lvlJc w:val="left"/>
      <w:pPr>
        <w:ind w:left="710" w:hanging="710"/>
      </w:pPr>
      <w:rPr>
        <w:rFonts w:ascii="ITC Avant Garde" w:eastAsia="Calibri" w:hAnsi="ITC Avant Garde"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D167F21"/>
    <w:multiLevelType w:val="hybridMultilevel"/>
    <w:tmpl w:val="B29462FE"/>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8"/>
  </w:num>
  <w:num w:numId="3">
    <w:abstractNumId w:val="0"/>
  </w:num>
  <w:num w:numId="4">
    <w:abstractNumId w:val="18"/>
  </w:num>
  <w:num w:numId="5">
    <w:abstractNumId w:val="33"/>
  </w:num>
  <w:num w:numId="6">
    <w:abstractNumId w:val="30"/>
  </w:num>
  <w:num w:numId="7">
    <w:abstractNumId w:val="6"/>
  </w:num>
  <w:num w:numId="8">
    <w:abstractNumId w:val="28"/>
  </w:num>
  <w:num w:numId="9">
    <w:abstractNumId w:val="26"/>
  </w:num>
  <w:num w:numId="10">
    <w:abstractNumId w:val="14"/>
  </w:num>
  <w:num w:numId="11">
    <w:abstractNumId w:val="21"/>
  </w:num>
  <w:num w:numId="12">
    <w:abstractNumId w:val="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1"/>
  </w:num>
  <w:num w:numId="21">
    <w:abstractNumId w:val="35"/>
  </w:num>
  <w:num w:numId="22">
    <w:abstractNumId w:val="1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3"/>
  </w:num>
  <w:num w:numId="26">
    <w:abstractNumId w:val="4"/>
  </w:num>
  <w:num w:numId="27">
    <w:abstractNumId w:val="12"/>
  </w:num>
  <w:num w:numId="28">
    <w:abstractNumId w:val="15"/>
  </w:num>
  <w:num w:numId="29">
    <w:abstractNumId w:val="7"/>
  </w:num>
  <w:num w:numId="30">
    <w:abstractNumId w:val="3"/>
  </w:num>
  <w:num w:numId="31">
    <w:abstractNumId w:val="34"/>
  </w:num>
  <w:num w:numId="32">
    <w:abstractNumId w:val="38"/>
  </w:num>
  <w:num w:numId="33">
    <w:abstractNumId w:val="19"/>
  </w:num>
  <w:num w:numId="34">
    <w:abstractNumId w:val="37"/>
  </w:num>
  <w:num w:numId="35">
    <w:abstractNumId w:val="20"/>
  </w:num>
  <w:num w:numId="36">
    <w:abstractNumId w:val="13"/>
  </w:num>
  <w:num w:numId="37">
    <w:abstractNumId w:val="29"/>
  </w:num>
  <w:num w:numId="38">
    <w:abstractNumId w:val="31"/>
  </w:num>
  <w:num w:numId="39">
    <w:abstractNumId w:val="9"/>
  </w:num>
  <w:num w:numId="4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D7"/>
    <w:rsid w:val="00001181"/>
    <w:rsid w:val="0000319D"/>
    <w:rsid w:val="000045CB"/>
    <w:rsid w:val="0000601E"/>
    <w:rsid w:val="000064C7"/>
    <w:rsid w:val="00006849"/>
    <w:rsid w:val="000068B0"/>
    <w:rsid w:val="000070C2"/>
    <w:rsid w:val="00010945"/>
    <w:rsid w:val="000116CB"/>
    <w:rsid w:val="00012894"/>
    <w:rsid w:val="00014D53"/>
    <w:rsid w:val="00015503"/>
    <w:rsid w:val="00015C0C"/>
    <w:rsid w:val="0001663C"/>
    <w:rsid w:val="00016FF6"/>
    <w:rsid w:val="000210DB"/>
    <w:rsid w:val="000211E5"/>
    <w:rsid w:val="00021225"/>
    <w:rsid w:val="00021A82"/>
    <w:rsid w:val="00021BD0"/>
    <w:rsid w:val="000220B9"/>
    <w:rsid w:val="0002240C"/>
    <w:rsid w:val="00022CFE"/>
    <w:rsid w:val="00022DE3"/>
    <w:rsid w:val="000232F7"/>
    <w:rsid w:val="00024321"/>
    <w:rsid w:val="0002451D"/>
    <w:rsid w:val="00026182"/>
    <w:rsid w:val="0002629E"/>
    <w:rsid w:val="000262B4"/>
    <w:rsid w:val="00026D49"/>
    <w:rsid w:val="0002761F"/>
    <w:rsid w:val="00030A39"/>
    <w:rsid w:val="00031527"/>
    <w:rsid w:val="00032116"/>
    <w:rsid w:val="00032191"/>
    <w:rsid w:val="000343EE"/>
    <w:rsid w:val="00035E1C"/>
    <w:rsid w:val="000373A5"/>
    <w:rsid w:val="00041862"/>
    <w:rsid w:val="000419BD"/>
    <w:rsid w:val="00041C30"/>
    <w:rsid w:val="00042066"/>
    <w:rsid w:val="00042433"/>
    <w:rsid w:val="000437AF"/>
    <w:rsid w:val="00043E40"/>
    <w:rsid w:val="0004547B"/>
    <w:rsid w:val="000456C0"/>
    <w:rsid w:val="00046702"/>
    <w:rsid w:val="00046839"/>
    <w:rsid w:val="00047078"/>
    <w:rsid w:val="00047805"/>
    <w:rsid w:val="0005049B"/>
    <w:rsid w:val="00050C52"/>
    <w:rsid w:val="00051DE7"/>
    <w:rsid w:val="0005606D"/>
    <w:rsid w:val="000563B2"/>
    <w:rsid w:val="00056649"/>
    <w:rsid w:val="00060A31"/>
    <w:rsid w:val="00060A4C"/>
    <w:rsid w:val="0006112F"/>
    <w:rsid w:val="00061131"/>
    <w:rsid w:val="00061E2C"/>
    <w:rsid w:val="00062418"/>
    <w:rsid w:val="00062E80"/>
    <w:rsid w:val="000631BA"/>
    <w:rsid w:val="000632F5"/>
    <w:rsid w:val="00063BF0"/>
    <w:rsid w:val="00063E48"/>
    <w:rsid w:val="00063EB8"/>
    <w:rsid w:val="0006460E"/>
    <w:rsid w:val="00065D2C"/>
    <w:rsid w:val="0006654F"/>
    <w:rsid w:val="00066BDC"/>
    <w:rsid w:val="00066C5C"/>
    <w:rsid w:val="00066CBF"/>
    <w:rsid w:val="000676B4"/>
    <w:rsid w:val="000740C5"/>
    <w:rsid w:val="00074872"/>
    <w:rsid w:val="000762CC"/>
    <w:rsid w:val="0007729C"/>
    <w:rsid w:val="00077769"/>
    <w:rsid w:val="00077ED9"/>
    <w:rsid w:val="00082169"/>
    <w:rsid w:val="00082D8A"/>
    <w:rsid w:val="00082F0A"/>
    <w:rsid w:val="0008422F"/>
    <w:rsid w:val="0008436F"/>
    <w:rsid w:val="00085A13"/>
    <w:rsid w:val="0008760C"/>
    <w:rsid w:val="0009022B"/>
    <w:rsid w:val="00090C79"/>
    <w:rsid w:val="00091292"/>
    <w:rsid w:val="00091B0C"/>
    <w:rsid w:val="00092125"/>
    <w:rsid w:val="000922C8"/>
    <w:rsid w:val="00092871"/>
    <w:rsid w:val="0009329A"/>
    <w:rsid w:val="000938C8"/>
    <w:rsid w:val="00097CA5"/>
    <w:rsid w:val="000A08B5"/>
    <w:rsid w:val="000A0F08"/>
    <w:rsid w:val="000A0FA8"/>
    <w:rsid w:val="000A142C"/>
    <w:rsid w:val="000A310C"/>
    <w:rsid w:val="000A3845"/>
    <w:rsid w:val="000A5655"/>
    <w:rsid w:val="000A5656"/>
    <w:rsid w:val="000A5EBC"/>
    <w:rsid w:val="000B022E"/>
    <w:rsid w:val="000B134E"/>
    <w:rsid w:val="000B14F6"/>
    <w:rsid w:val="000B3E4A"/>
    <w:rsid w:val="000B4CD6"/>
    <w:rsid w:val="000B625C"/>
    <w:rsid w:val="000B6425"/>
    <w:rsid w:val="000B6A26"/>
    <w:rsid w:val="000B7722"/>
    <w:rsid w:val="000C01AB"/>
    <w:rsid w:val="000C0540"/>
    <w:rsid w:val="000C17B5"/>
    <w:rsid w:val="000C2845"/>
    <w:rsid w:val="000C33B6"/>
    <w:rsid w:val="000C3C09"/>
    <w:rsid w:val="000C3DF8"/>
    <w:rsid w:val="000C5EDB"/>
    <w:rsid w:val="000C632B"/>
    <w:rsid w:val="000C78B2"/>
    <w:rsid w:val="000C7BAB"/>
    <w:rsid w:val="000D01EB"/>
    <w:rsid w:val="000D117A"/>
    <w:rsid w:val="000D146E"/>
    <w:rsid w:val="000D2ABF"/>
    <w:rsid w:val="000D335D"/>
    <w:rsid w:val="000D4004"/>
    <w:rsid w:val="000D6B12"/>
    <w:rsid w:val="000D6B6B"/>
    <w:rsid w:val="000D78F7"/>
    <w:rsid w:val="000E000A"/>
    <w:rsid w:val="000E0217"/>
    <w:rsid w:val="000E06E9"/>
    <w:rsid w:val="000E1528"/>
    <w:rsid w:val="000E2531"/>
    <w:rsid w:val="000E55D4"/>
    <w:rsid w:val="000E57D6"/>
    <w:rsid w:val="000E5EB3"/>
    <w:rsid w:val="000E61AE"/>
    <w:rsid w:val="000E7ED7"/>
    <w:rsid w:val="000F04D0"/>
    <w:rsid w:val="000F0EC8"/>
    <w:rsid w:val="000F1780"/>
    <w:rsid w:val="000F1EF0"/>
    <w:rsid w:val="000F23D6"/>
    <w:rsid w:val="000F24CB"/>
    <w:rsid w:val="000F3A55"/>
    <w:rsid w:val="000F4004"/>
    <w:rsid w:val="000F4D66"/>
    <w:rsid w:val="000F563E"/>
    <w:rsid w:val="000F588F"/>
    <w:rsid w:val="000F5ADC"/>
    <w:rsid w:val="000F5AF2"/>
    <w:rsid w:val="000F79E8"/>
    <w:rsid w:val="000F7E09"/>
    <w:rsid w:val="00101110"/>
    <w:rsid w:val="00101A5A"/>
    <w:rsid w:val="00101C61"/>
    <w:rsid w:val="00102B2D"/>
    <w:rsid w:val="00103A19"/>
    <w:rsid w:val="00103C1E"/>
    <w:rsid w:val="001045B4"/>
    <w:rsid w:val="001070B2"/>
    <w:rsid w:val="00107193"/>
    <w:rsid w:val="00107B3D"/>
    <w:rsid w:val="0011150D"/>
    <w:rsid w:val="00111CDC"/>
    <w:rsid w:val="00111FD7"/>
    <w:rsid w:val="00112DEC"/>
    <w:rsid w:val="0011404D"/>
    <w:rsid w:val="001145A8"/>
    <w:rsid w:val="00116413"/>
    <w:rsid w:val="001165E8"/>
    <w:rsid w:val="00117914"/>
    <w:rsid w:val="00117928"/>
    <w:rsid w:val="00120BEE"/>
    <w:rsid w:val="00121504"/>
    <w:rsid w:val="001220E5"/>
    <w:rsid w:val="00123AD9"/>
    <w:rsid w:val="001261EC"/>
    <w:rsid w:val="00126A04"/>
    <w:rsid w:val="00126A48"/>
    <w:rsid w:val="001270D7"/>
    <w:rsid w:val="00127AD2"/>
    <w:rsid w:val="001304A3"/>
    <w:rsid w:val="0013079D"/>
    <w:rsid w:val="00130CA0"/>
    <w:rsid w:val="00131056"/>
    <w:rsid w:val="00131321"/>
    <w:rsid w:val="00131566"/>
    <w:rsid w:val="0013185D"/>
    <w:rsid w:val="001324AF"/>
    <w:rsid w:val="00132703"/>
    <w:rsid w:val="0013445C"/>
    <w:rsid w:val="00134EC0"/>
    <w:rsid w:val="001357B1"/>
    <w:rsid w:val="00135D7E"/>
    <w:rsid w:val="0013664F"/>
    <w:rsid w:val="0013767C"/>
    <w:rsid w:val="001413CF"/>
    <w:rsid w:val="00141D6A"/>
    <w:rsid w:val="001424FD"/>
    <w:rsid w:val="00142609"/>
    <w:rsid w:val="0014313C"/>
    <w:rsid w:val="001440A6"/>
    <w:rsid w:val="00144225"/>
    <w:rsid w:val="00144E09"/>
    <w:rsid w:val="001455F3"/>
    <w:rsid w:val="00145C5F"/>
    <w:rsid w:val="00146138"/>
    <w:rsid w:val="00146826"/>
    <w:rsid w:val="00146E9B"/>
    <w:rsid w:val="00147514"/>
    <w:rsid w:val="00147775"/>
    <w:rsid w:val="00151BD0"/>
    <w:rsid w:val="001523D8"/>
    <w:rsid w:val="00152E05"/>
    <w:rsid w:val="00153956"/>
    <w:rsid w:val="00154345"/>
    <w:rsid w:val="00155C42"/>
    <w:rsid w:val="00156073"/>
    <w:rsid w:val="00157628"/>
    <w:rsid w:val="00157A29"/>
    <w:rsid w:val="00160624"/>
    <w:rsid w:val="00160AED"/>
    <w:rsid w:val="00160B31"/>
    <w:rsid w:val="00162091"/>
    <w:rsid w:val="00162A90"/>
    <w:rsid w:val="00163209"/>
    <w:rsid w:val="00163BD6"/>
    <w:rsid w:val="00164098"/>
    <w:rsid w:val="0016573F"/>
    <w:rsid w:val="00165A50"/>
    <w:rsid w:val="00166DF8"/>
    <w:rsid w:val="00166F60"/>
    <w:rsid w:val="00167101"/>
    <w:rsid w:val="0016751B"/>
    <w:rsid w:val="00170225"/>
    <w:rsid w:val="0017114B"/>
    <w:rsid w:val="00173194"/>
    <w:rsid w:val="001739C3"/>
    <w:rsid w:val="00174DB5"/>
    <w:rsid w:val="00174E97"/>
    <w:rsid w:val="00174EFB"/>
    <w:rsid w:val="001750E2"/>
    <w:rsid w:val="00175831"/>
    <w:rsid w:val="001758DF"/>
    <w:rsid w:val="00175A53"/>
    <w:rsid w:val="00176524"/>
    <w:rsid w:val="001766B7"/>
    <w:rsid w:val="00176F10"/>
    <w:rsid w:val="001774B4"/>
    <w:rsid w:val="0017783C"/>
    <w:rsid w:val="0018184A"/>
    <w:rsid w:val="00181886"/>
    <w:rsid w:val="00181B39"/>
    <w:rsid w:val="00183770"/>
    <w:rsid w:val="00183DC0"/>
    <w:rsid w:val="0018418B"/>
    <w:rsid w:val="001841F6"/>
    <w:rsid w:val="00185330"/>
    <w:rsid w:val="001853F7"/>
    <w:rsid w:val="001863E0"/>
    <w:rsid w:val="001867DC"/>
    <w:rsid w:val="00186E92"/>
    <w:rsid w:val="001872A0"/>
    <w:rsid w:val="00190518"/>
    <w:rsid w:val="00190720"/>
    <w:rsid w:val="001915A9"/>
    <w:rsid w:val="0019173B"/>
    <w:rsid w:val="00192338"/>
    <w:rsid w:val="001947BC"/>
    <w:rsid w:val="00194EA2"/>
    <w:rsid w:val="001958BE"/>
    <w:rsid w:val="00195A0E"/>
    <w:rsid w:val="00195B3E"/>
    <w:rsid w:val="00195C09"/>
    <w:rsid w:val="00197448"/>
    <w:rsid w:val="00197658"/>
    <w:rsid w:val="001A0969"/>
    <w:rsid w:val="001A1712"/>
    <w:rsid w:val="001A1B32"/>
    <w:rsid w:val="001A1DCA"/>
    <w:rsid w:val="001A232A"/>
    <w:rsid w:val="001A31E7"/>
    <w:rsid w:val="001A3CB6"/>
    <w:rsid w:val="001A3F6C"/>
    <w:rsid w:val="001A411C"/>
    <w:rsid w:val="001A4574"/>
    <w:rsid w:val="001A5D68"/>
    <w:rsid w:val="001A6036"/>
    <w:rsid w:val="001A67F8"/>
    <w:rsid w:val="001A6D92"/>
    <w:rsid w:val="001B007E"/>
    <w:rsid w:val="001B015B"/>
    <w:rsid w:val="001B07D4"/>
    <w:rsid w:val="001B0C7C"/>
    <w:rsid w:val="001B0E69"/>
    <w:rsid w:val="001B0F00"/>
    <w:rsid w:val="001B2890"/>
    <w:rsid w:val="001B4111"/>
    <w:rsid w:val="001B4766"/>
    <w:rsid w:val="001B4B75"/>
    <w:rsid w:val="001B5303"/>
    <w:rsid w:val="001B5DAE"/>
    <w:rsid w:val="001B6F58"/>
    <w:rsid w:val="001B7A90"/>
    <w:rsid w:val="001B7AF6"/>
    <w:rsid w:val="001C0D75"/>
    <w:rsid w:val="001C1436"/>
    <w:rsid w:val="001C1FED"/>
    <w:rsid w:val="001C33A0"/>
    <w:rsid w:val="001C37F7"/>
    <w:rsid w:val="001C3C20"/>
    <w:rsid w:val="001C573B"/>
    <w:rsid w:val="001C6241"/>
    <w:rsid w:val="001C758D"/>
    <w:rsid w:val="001D04A4"/>
    <w:rsid w:val="001D050B"/>
    <w:rsid w:val="001D0959"/>
    <w:rsid w:val="001D1C9F"/>
    <w:rsid w:val="001D2298"/>
    <w:rsid w:val="001D3065"/>
    <w:rsid w:val="001D323A"/>
    <w:rsid w:val="001D5186"/>
    <w:rsid w:val="001D55F6"/>
    <w:rsid w:val="001D6D4B"/>
    <w:rsid w:val="001D7470"/>
    <w:rsid w:val="001D78E5"/>
    <w:rsid w:val="001E1DAD"/>
    <w:rsid w:val="001E2270"/>
    <w:rsid w:val="001E3412"/>
    <w:rsid w:val="001E38BF"/>
    <w:rsid w:val="001E4DE0"/>
    <w:rsid w:val="001E5736"/>
    <w:rsid w:val="001E5772"/>
    <w:rsid w:val="001E60D7"/>
    <w:rsid w:val="001E63F0"/>
    <w:rsid w:val="001E6DFC"/>
    <w:rsid w:val="001E7575"/>
    <w:rsid w:val="001F0412"/>
    <w:rsid w:val="001F1F22"/>
    <w:rsid w:val="001F4AE7"/>
    <w:rsid w:val="001F4DBC"/>
    <w:rsid w:val="001F5489"/>
    <w:rsid w:val="001F58B1"/>
    <w:rsid w:val="001F6ECC"/>
    <w:rsid w:val="001F7298"/>
    <w:rsid w:val="001F7D5C"/>
    <w:rsid w:val="001F7DD3"/>
    <w:rsid w:val="00200225"/>
    <w:rsid w:val="00201A9E"/>
    <w:rsid w:val="00201AE4"/>
    <w:rsid w:val="00201D50"/>
    <w:rsid w:val="0020201B"/>
    <w:rsid w:val="002024C8"/>
    <w:rsid w:val="00202E02"/>
    <w:rsid w:val="0020301B"/>
    <w:rsid w:val="0020356B"/>
    <w:rsid w:val="00203E83"/>
    <w:rsid w:val="00204AC3"/>
    <w:rsid w:val="00204AFD"/>
    <w:rsid w:val="00204B08"/>
    <w:rsid w:val="00207DA6"/>
    <w:rsid w:val="00207DF3"/>
    <w:rsid w:val="002109C0"/>
    <w:rsid w:val="00210FE1"/>
    <w:rsid w:val="00211F3E"/>
    <w:rsid w:val="002121C0"/>
    <w:rsid w:val="00213412"/>
    <w:rsid w:val="00214061"/>
    <w:rsid w:val="002159BF"/>
    <w:rsid w:val="00216346"/>
    <w:rsid w:val="002167FD"/>
    <w:rsid w:val="00220149"/>
    <w:rsid w:val="00221804"/>
    <w:rsid w:val="00221F9C"/>
    <w:rsid w:val="00222405"/>
    <w:rsid w:val="00223332"/>
    <w:rsid w:val="00224B19"/>
    <w:rsid w:val="00224C14"/>
    <w:rsid w:val="00225457"/>
    <w:rsid w:val="00225C3F"/>
    <w:rsid w:val="002264AF"/>
    <w:rsid w:val="00226FD9"/>
    <w:rsid w:val="00230692"/>
    <w:rsid w:val="002308AD"/>
    <w:rsid w:val="002313CF"/>
    <w:rsid w:val="002319CD"/>
    <w:rsid w:val="00231B95"/>
    <w:rsid w:val="00231F1F"/>
    <w:rsid w:val="00231FDA"/>
    <w:rsid w:val="002324D1"/>
    <w:rsid w:val="0023380A"/>
    <w:rsid w:val="00235513"/>
    <w:rsid w:val="002357C5"/>
    <w:rsid w:val="002367AE"/>
    <w:rsid w:val="0023691A"/>
    <w:rsid w:val="00236D38"/>
    <w:rsid w:val="0023708C"/>
    <w:rsid w:val="002379DC"/>
    <w:rsid w:val="00237D7F"/>
    <w:rsid w:val="00241C08"/>
    <w:rsid w:val="00241D17"/>
    <w:rsid w:val="00243EFF"/>
    <w:rsid w:val="002443F9"/>
    <w:rsid w:val="0024526E"/>
    <w:rsid w:val="002464E8"/>
    <w:rsid w:val="0024741E"/>
    <w:rsid w:val="002475B2"/>
    <w:rsid w:val="002478D6"/>
    <w:rsid w:val="00247D83"/>
    <w:rsid w:val="00250818"/>
    <w:rsid w:val="002509DB"/>
    <w:rsid w:val="00250B08"/>
    <w:rsid w:val="00250C2C"/>
    <w:rsid w:val="00250FD5"/>
    <w:rsid w:val="00251984"/>
    <w:rsid w:val="00251E4B"/>
    <w:rsid w:val="002522E9"/>
    <w:rsid w:val="00252502"/>
    <w:rsid w:val="00253245"/>
    <w:rsid w:val="0025337D"/>
    <w:rsid w:val="002537B6"/>
    <w:rsid w:val="00253A7C"/>
    <w:rsid w:val="00254F3A"/>
    <w:rsid w:val="0025582E"/>
    <w:rsid w:val="00255839"/>
    <w:rsid w:val="002563DA"/>
    <w:rsid w:val="0025649E"/>
    <w:rsid w:val="002570F3"/>
    <w:rsid w:val="00260625"/>
    <w:rsid w:val="002609B7"/>
    <w:rsid w:val="00260DB5"/>
    <w:rsid w:val="00261D71"/>
    <w:rsid w:val="002627BD"/>
    <w:rsid w:val="002638AC"/>
    <w:rsid w:val="00264AC4"/>
    <w:rsid w:val="0026503F"/>
    <w:rsid w:val="002667A5"/>
    <w:rsid w:val="002675D0"/>
    <w:rsid w:val="0026771A"/>
    <w:rsid w:val="00271922"/>
    <w:rsid w:val="002724BF"/>
    <w:rsid w:val="002724D0"/>
    <w:rsid w:val="00274321"/>
    <w:rsid w:val="00274B52"/>
    <w:rsid w:val="00274FF7"/>
    <w:rsid w:val="002776EE"/>
    <w:rsid w:val="0028009E"/>
    <w:rsid w:val="00280A09"/>
    <w:rsid w:val="00280AEC"/>
    <w:rsid w:val="00280B52"/>
    <w:rsid w:val="00281478"/>
    <w:rsid w:val="002823DB"/>
    <w:rsid w:val="00283CEB"/>
    <w:rsid w:val="00283DBE"/>
    <w:rsid w:val="00286D73"/>
    <w:rsid w:val="00287B8D"/>
    <w:rsid w:val="00287E5C"/>
    <w:rsid w:val="00287EB8"/>
    <w:rsid w:val="00290DFB"/>
    <w:rsid w:val="00290F83"/>
    <w:rsid w:val="00291445"/>
    <w:rsid w:val="00291646"/>
    <w:rsid w:val="0029176E"/>
    <w:rsid w:val="00292A47"/>
    <w:rsid w:val="002939B3"/>
    <w:rsid w:val="002941E6"/>
    <w:rsid w:val="00294E04"/>
    <w:rsid w:val="00294E33"/>
    <w:rsid w:val="002954FE"/>
    <w:rsid w:val="002A0602"/>
    <w:rsid w:val="002A0FB2"/>
    <w:rsid w:val="002A1688"/>
    <w:rsid w:val="002A2281"/>
    <w:rsid w:val="002A2A6B"/>
    <w:rsid w:val="002A33B0"/>
    <w:rsid w:val="002A4DAB"/>
    <w:rsid w:val="002A539E"/>
    <w:rsid w:val="002A5496"/>
    <w:rsid w:val="002A5BFE"/>
    <w:rsid w:val="002A6824"/>
    <w:rsid w:val="002A77C6"/>
    <w:rsid w:val="002B0184"/>
    <w:rsid w:val="002B0BAB"/>
    <w:rsid w:val="002B1273"/>
    <w:rsid w:val="002B231D"/>
    <w:rsid w:val="002B2E73"/>
    <w:rsid w:val="002B39DB"/>
    <w:rsid w:val="002B6331"/>
    <w:rsid w:val="002B67D1"/>
    <w:rsid w:val="002B705E"/>
    <w:rsid w:val="002C109F"/>
    <w:rsid w:val="002C1461"/>
    <w:rsid w:val="002C198D"/>
    <w:rsid w:val="002C25C0"/>
    <w:rsid w:val="002C5B62"/>
    <w:rsid w:val="002C5BC8"/>
    <w:rsid w:val="002C748F"/>
    <w:rsid w:val="002D09E7"/>
    <w:rsid w:val="002D13C4"/>
    <w:rsid w:val="002D22D2"/>
    <w:rsid w:val="002D25CE"/>
    <w:rsid w:val="002D25E4"/>
    <w:rsid w:val="002D2695"/>
    <w:rsid w:val="002D26CF"/>
    <w:rsid w:val="002D2ED1"/>
    <w:rsid w:val="002D34FC"/>
    <w:rsid w:val="002D390B"/>
    <w:rsid w:val="002D4616"/>
    <w:rsid w:val="002D4FFC"/>
    <w:rsid w:val="002D6B23"/>
    <w:rsid w:val="002D74D9"/>
    <w:rsid w:val="002E1652"/>
    <w:rsid w:val="002E2F31"/>
    <w:rsid w:val="002E34E9"/>
    <w:rsid w:val="002E4729"/>
    <w:rsid w:val="002E4733"/>
    <w:rsid w:val="002E4FF7"/>
    <w:rsid w:val="002E5816"/>
    <w:rsid w:val="002E61F4"/>
    <w:rsid w:val="002E66A6"/>
    <w:rsid w:val="002E7146"/>
    <w:rsid w:val="002E765F"/>
    <w:rsid w:val="002F0A15"/>
    <w:rsid w:val="002F15B0"/>
    <w:rsid w:val="002F1FE9"/>
    <w:rsid w:val="002F22C0"/>
    <w:rsid w:val="002F26B6"/>
    <w:rsid w:val="002F3448"/>
    <w:rsid w:val="002F52E9"/>
    <w:rsid w:val="002F5EE0"/>
    <w:rsid w:val="002F652F"/>
    <w:rsid w:val="002F6C98"/>
    <w:rsid w:val="002F7ADC"/>
    <w:rsid w:val="002F7F49"/>
    <w:rsid w:val="00301340"/>
    <w:rsid w:val="00301C43"/>
    <w:rsid w:val="003022D3"/>
    <w:rsid w:val="00302308"/>
    <w:rsid w:val="00302B76"/>
    <w:rsid w:val="00302D6F"/>
    <w:rsid w:val="0030337D"/>
    <w:rsid w:val="003034A5"/>
    <w:rsid w:val="00303948"/>
    <w:rsid w:val="003041AB"/>
    <w:rsid w:val="00304352"/>
    <w:rsid w:val="0030439A"/>
    <w:rsid w:val="003043BD"/>
    <w:rsid w:val="0030468D"/>
    <w:rsid w:val="003047DE"/>
    <w:rsid w:val="0030483E"/>
    <w:rsid w:val="00304A2F"/>
    <w:rsid w:val="00304FFB"/>
    <w:rsid w:val="003058B4"/>
    <w:rsid w:val="00305DD6"/>
    <w:rsid w:val="00306C15"/>
    <w:rsid w:val="00307596"/>
    <w:rsid w:val="00307943"/>
    <w:rsid w:val="00312376"/>
    <w:rsid w:val="003127DC"/>
    <w:rsid w:val="00313A72"/>
    <w:rsid w:val="003141F2"/>
    <w:rsid w:val="00314F6F"/>
    <w:rsid w:val="0031571D"/>
    <w:rsid w:val="003175BB"/>
    <w:rsid w:val="0032009D"/>
    <w:rsid w:val="0032014E"/>
    <w:rsid w:val="00320227"/>
    <w:rsid w:val="0032070B"/>
    <w:rsid w:val="00321BC2"/>
    <w:rsid w:val="00322AEC"/>
    <w:rsid w:val="00322C62"/>
    <w:rsid w:val="00323AB6"/>
    <w:rsid w:val="00323DD7"/>
    <w:rsid w:val="003247BD"/>
    <w:rsid w:val="00327335"/>
    <w:rsid w:val="00327C7A"/>
    <w:rsid w:val="0033038F"/>
    <w:rsid w:val="00330555"/>
    <w:rsid w:val="003322FF"/>
    <w:rsid w:val="00333971"/>
    <w:rsid w:val="0033398A"/>
    <w:rsid w:val="00333C91"/>
    <w:rsid w:val="0033429B"/>
    <w:rsid w:val="00334650"/>
    <w:rsid w:val="00334B93"/>
    <w:rsid w:val="003354AB"/>
    <w:rsid w:val="0033580C"/>
    <w:rsid w:val="0033587C"/>
    <w:rsid w:val="00336064"/>
    <w:rsid w:val="00336D7A"/>
    <w:rsid w:val="0034015E"/>
    <w:rsid w:val="00340536"/>
    <w:rsid w:val="00340C9C"/>
    <w:rsid w:val="003422F7"/>
    <w:rsid w:val="00342A40"/>
    <w:rsid w:val="003431A8"/>
    <w:rsid w:val="00343C40"/>
    <w:rsid w:val="00344814"/>
    <w:rsid w:val="00345D1A"/>
    <w:rsid w:val="00345DC9"/>
    <w:rsid w:val="00346B4F"/>
    <w:rsid w:val="00346DF2"/>
    <w:rsid w:val="003476C6"/>
    <w:rsid w:val="003507FD"/>
    <w:rsid w:val="00351478"/>
    <w:rsid w:val="00351BDF"/>
    <w:rsid w:val="00352C78"/>
    <w:rsid w:val="00352F6C"/>
    <w:rsid w:val="00352FDF"/>
    <w:rsid w:val="0035407F"/>
    <w:rsid w:val="0035574E"/>
    <w:rsid w:val="003559C1"/>
    <w:rsid w:val="00355B2D"/>
    <w:rsid w:val="003561B8"/>
    <w:rsid w:val="003568F3"/>
    <w:rsid w:val="00357E3D"/>
    <w:rsid w:val="00360E66"/>
    <w:rsid w:val="0036114D"/>
    <w:rsid w:val="00361906"/>
    <w:rsid w:val="00361D8E"/>
    <w:rsid w:val="00361EAD"/>
    <w:rsid w:val="003634D3"/>
    <w:rsid w:val="00363658"/>
    <w:rsid w:val="00363931"/>
    <w:rsid w:val="00363E38"/>
    <w:rsid w:val="00364571"/>
    <w:rsid w:val="00365124"/>
    <w:rsid w:val="0036518C"/>
    <w:rsid w:val="00365EDE"/>
    <w:rsid w:val="003661F8"/>
    <w:rsid w:val="00366292"/>
    <w:rsid w:val="003675ED"/>
    <w:rsid w:val="00367A64"/>
    <w:rsid w:val="00370959"/>
    <w:rsid w:val="003711E0"/>
    <w:rsid w:val="00371E70"/>
    <w:rsid w:val="003734D2"/>
    <w:rsid w:val="0037366A"/>
    <w:rsid w:val="00373DF3"/>
    <w:rsid w:val="00374074"/>
    <w:rsid w:val="003746DA"/>
    <w:rsid w:val="003750F6"/>
    <w:rsid w:val="0037572A"/>
    <w:rsid w:val="00375CB3"/>
    <w:rsid w:val="003761E5"/>
    <w:rsid w:val="003765CC"/>
    <w:rsid w:val="00377EEC"/>
    <w:rsid w:val="00380A11"/>
    <w:rsid w:val="0038137E"/>
    <w:rsid w:val="003819CD"/>
    <w:rsid w:val="00381DCC"/>
    <w:rsid w:val="003820FE"/>
    <w:rsid w:val="0038266A"/>
    <w:rsid w:val="003826D0"/>
    <w:rsid w:val="00382D83"/>
    <w:rsid w:val="00383A0D"/>
    <w:rsid w:val="00384CFB"/>
    <w:rsid w:val="00385289"/>
    <w:rsid w:val="003856D5"/>
    <w:rsid w:val="003857FC"/>
    <w:rsid w:val="0038646C"/>
    <w:rsid w:val="0039032A"/>
    <w:rsid w:val="00391A23"/>
    <w:rsid w:val="003933A5"/>
    <w:rsid w:val="003936C4"/>
    <w:rsid w:val="0039381C"/>
    <w:rsid w:val="003938D9"/>
    <w:rsid w:val="003955DA"/>
    <w:rsid w:val="003957AE"/>
    <w:rsid w:val="00395BA3"/>
    <w:rsid w:val="00396596"/>
    <w:rsid w:val="003966D4"/>
    <w:rsid w:val="0039700E"/>
    <w:rsid w:val="00397B48"/>
    <w:rsid w:val="003A155F"/>
    <w:rsid w:val="003A2107"/>
    <w:rsid w:val="003A27CD"/>
    <w:rsid w:val="003A390C"/>
    <w:rsid w:val="003A3A49"/>
    <w:rsid w:val="003A3D6E"/>
    <w:rsid w:val="003A42BC"/>
    <w:rsid w:val="003A56BC"/>
    <w:rsid w:val="003A5B65"/>
    <w:rsid w:val="003A61D6"/>
    <w:rsid w:val="003A6A69"/>
    <w:rsid w:val="003A6F6B"/>
    <w:rsid w:val="003A72C9"/>
    <w:rsid w:val="003A7738"/>
    <w:rsid w:val="003B01B6"/>
    <w:rsid w:val="003B01EA"/>
    <w:rsid w:val="003B0B7B"/>
    <w:rsid w:val="003B0B96"/>
    <w:rsid w:val="003B1F69"/>
    <w:rsid w:val="003B3401"/>
    <w:rsid w:val="003B3684"/>
    <w:rsid w:val="003B3770"/>
    <w:rsid w:val="003B3E9C"/>
    <w:rsid w:val="003B3F1D"/>
    <w:rsid w:val="003B442E"/>
    <w:rsid w:val="003B4D74"/>
    <w:rsid w:val="003B4E39"/>
    <w:rsid w:val="003B6470"/>
    <w:rsid w:val="003B77B2"/>
    <w:rsid w:val="003B796F"/>
    <w:rsid w:val="003B79BD"/>
    <w:rsid w:val="003C090A"/>
    <w:rsid w:val="003C1430"/>
    <w:rsid w:val="003C1ACB"/>
    <w:rsid w:val="003C1D42"/>
    <w:rsid w:val="003C2A5D"/>
    <w:rsid w:val="003C2BD7"/>
    <w:rsid w:val="003C50A0"/>
    <w:rsid w:val="003C5329"/>
    <w:rsid w:val="003C535A"/>
    <w:rsid w:val="003C541D"/>
    <w:rsid w:val="003C5753"/>
    <w:rsid w:val="003C5D85"/>
    <w:rsid w:val="003C5E60"/>
    <w:rsid w:val="003C6C84"/>
    <w:rsid w:val="003C7773"/>
    <w:rsid w:val="003D031E"/>
    <w:rsid w:val="003D096D"/>
    <w:rsid w:val="003D0BD8"/>
    <w:rsid w:val="003D0FED"/>
    <w:rsid w:val="003D2734"/>
    <w:rsid w:val="003D280D"/>
    <w:rsid w:val="003D55F8"/>
    <w:rsid w:val="003D58F5"/>
    <w:rsid w:val="003D62DA"/>
    <w:rsid w:val="003D69FC"/>
    <w:rsid w:val="003E0177"/>
    <w:rsid w:val="003E1578"/>
    <w:rsid w:val="003E19BC"/>
    <w:rsid w:val="003E1BF7"/>
    <w:rsid w:val="003E265C"/>
    <w:rsid w:val="003E29D1"/>
    <w:rsid w:val="003E34E4"/>
    <w:rsid w:val="003E3A7F"/>
    <w:rsid w:val="003E3F79"/>
    <w:rsid w:val="003E44EA"/>
    <w:rsid w:val="003E4B6F"/>
    <w:rsid w:val="003E505C"/>
    <w:rsid w:val="003E5C31"/>
    <w:rsid w:val="003E65D7"/>
    <w:rsid w:val="003E69DE"/>
    <w:rsid w:val="003E7B0B"/>
    <w:rsid w:val="003F05EF"/>
    <w:rsid w:val="003F078C"/>
    <w:rsid w:val="003F10F0"/>
    <w:rsid w:val="003F1B39"/>
    <w:rsid w:val="003F1C0C"/>
    <w:rsid w:val="003F2C9B"/>
    <w:rsid w:val="003F310E"/>
    <w:rsid w:val="003F352B"/>
    <w:rsid w:val="003F4310"/>
    <w:rsid w:val="003F4447"/>
    <w:rsid w:val="003F47B1"/>
    <w:rsid w:val="003F50C8"/>
    <w:rsid w:val="003F689F"/>
    <w:rsid w:val="003F6A56"/>
    <w:rsid w:val="003F6D48"/>
    <w:rsid w:val="003F718F"/>
    <w:rsid w:val="003F737A"/>
    <w:rsid w:val="00400FFC"/>
    <w:rsid w:val="00402F28"/>
    <w:rsid w:val="0040385A"/>
    <w:rsid w:val="00403A3C"/>
    <w:rsid w:val="004042EC"/>
    <w:rsid w:val="004043BE"/>
    <w:rsid w:val="00404E89"/>
    <w:rsid w:val="00405471"/>
    <w:rsid w:val="00406B09"/>
    <w:rsid w:val="004073A2"/>
    <w:rsid w:val="004076D6"/>
    <w:rsid w:val="00407FC3"/>
    <w:rsid w:val="00410D05"/>
    <w:rsid w:val="00410E93"/>
    <w:rsid w:val="00410FA5"/>
    <w:rsid w:val="00411041"/>
    <w:rsid w:val="00411140"/>
    <w:rsid w:val="004114FA"/>
    <w:rsid w:val="004120A9"/>
    <w:rsid w:val="00412553"/>
    <w:rsid w:val="00412D5B"/>
    <w:rsid w:val="00413782"/>
    <w:rsid w:val="00414452"/>
    <w:rsid w:val="0041451E"/>
    <w:rsid w:val="004146FD"/>
    <w:rsid w:val="004152DB"/>
    <w:rsid w:val="00415A8C"/>
    <w:rsid w:val="00416DDB"/>
    <w:rsid w:val="0041717E"/>
    <w:rsid w:val="004175B1"/>
    <w:rsid w:val="00417BD3"/>
    <w:rsid w:val="00420BF8"/>
    <w:rsid w:val="00421335"/>
    <w:rsid w:val="00421888"/>
    <w:rsid w:val="0042195F"/>
    <w:rsid w:val="004246AA"/>
    <w:rsid w:val="00425C72"/>
    <w:rsid w:val="00425FA2"/>
    <w:rsid w:val="0042718F"/>
    <w:rsid w:val="00427C23"/>
    <w:rsid w:val="004314EA"/>
    <w:rsid w:val="0043206A"/>
    <w:rsid w:val="00433C6F"/>
    <w:rsid w:val="00434929"/>
    <w:rsid w:val="004349B2"/>
    <w:rsid w:val="00434B3E"/>
    <w:rsid w:val="00435495"/>
    <w:rsid w:val="004374BB"/>
    <w:rsid w:val="004404C1"/>
    <w:rsid w:val="00440768"/>
    <w:rsid w:val="0044088F"/>
    <w:rsid w:val="00440A1E"/>
    <w:rsid w:val="004413CB"/>
    <w:rsid w:val="004422CA"/>
    <w:rsid w:val="00442BAC"/>
    <w:rsid w:val="00442EFD"/>
    <w:rsid w:val="0044387C"/>
    <w:rsid w:val="004439FC"/>
    <w:rsid w:val="00443BBF"/>
    <w:rsid w:val="00443C9A"/>
    <w:rsid w:val="0044465D"/>
    <w:rsid w:val="00444697"/>
    <w:rsid w:val="00445590"/>
    <w:rsid w:val="004459E2"/>
    <w:rsid w:val="00445A70"/>
    <w:rsid w:val="0044724E"/>
    <w:rsid w:val="004511D8"/>
    <w:rsid w:val="00452852"/>
    <w:rsid w:val="004531F6"/>
    <w:rsid w:val="004538D3"/>
    <w:rsid w:val="00453A31"/>
    <w:rsid w:val="00453F30"/>
    <w:rsid w:val="0045422E"/>
    <w:rsid w:val="0045557D"/>
    <w:rsid w:val="00456019"/>
    <w:rsid w:val="004568F9"/>
    <w:rsid w:val="004570AA"/>
    <w:rsid w:val="00457393"/>
    <w:rsid w:val="004574FB"/>
    <w:rsid w:val="00457CB8"/>
    <w:rsid w:val="00457DA9"/>
    <w:rsid w:val="00460211"/>
    <w:rsid w:val="00460248"/>
    <w:rsid w:val="00462638"/>
    <w:rsid w:val="004640D0"/>
    <w:rsid w:val="00464139"/>
    <w:rsid w:val="00465762"/>
    <w:rsid w:val="00465CF7"/>
    <w:rsid w:val="00465ED9"/>
    <w:rsid w:val="00465FD1"/>
    <w:rsid w:val="00465FE5"/>
    <w:rsid w:val="00466ABE"/>
    <w:rsid w:val="00470AF5"/>
    <w:rsid w:val="00470E62"/>
    <w:rsid w:val="00471C70"/>
    <w:rsid w:val="004721E8"/>
    <w:rsid w:val="00472E67"/>
    <w:rsid w:val="00473A6D"/>
    <w:rsid w:val="00473A9E"/>
    <w:rsid w:val="00473E01"/>
    <w:rsid w:val="00476549"/>
    <w:rsid w:val="0047658C"/>
    <w:rsid w:val="00477919"/>
    <w:rsid w:val="00480391"/>
    <w:rsid w:val="00480E13"/>
    <w:rsid w:val="004818EF"/>
    <w:rsid w:val="00481928"/>
    <w:rsid w:val="004845B9"/>
    <w:rsid w:val="00484C36"/>
    <w:rsid w:val="00484DAE"/>
    <w:rsid w:val="00485184"/>
    <w:rsid w:val="004852D6"/>
    <w:rsid w:val="00485D36"/>
    <w:rsid w:val="00486A01"/>
    <w:rsid w:val="00486E8D"/>
    <w:rsid w:val="004877D4"/>
    <w:rsid w:val="00487D6A"/>
    <w:rsid w:val="00490D4E"/>
    <w:rsid w:val="00491946"/>
    <w:rsid w:val="00491A57"/>
    <w:rsid w:val="00492E75"/>
    <w:rsid w:val="00494786"/>
    <w:rsid w:val="004948FB"/>
    <w:rsid w:val="004950CA"/>
    <w:rsid w:val="00495A1F"/>
    <w:rsid w:val="00495DD5"/>
    <w:rsid w:val="0049619E"/>
    <w:rsid w:val="00497017"/>
    <w:rsid w:val="004975AF"/>
    <w:rsid w:val="004976F6"/>
    <w:rsid w:val="004A00A3"/>
    <w:rsid w:val="004A03B4"/>
    <w:rsid w:val="004A060D"/>
    <w:rsid w:val="004A158F"/>
    <w:rsid w:val="004A1908"/>
    <w:rsid w:val="004A2226"/>
    <w:rsid w:val="004A3877"/>
    <w:rsid w:val="004A3C74"/>
    <w:rsid w:val="004A4383"/>
    <w:rsid w:val="004A5B90"/>
    <w:rsid w:val="004A5C7B"/>
    <w:rsid w:val="004A636A"/>
    <w:rsid w:val="004A7CB6"/>
    <w:rsid w:val="004A7E4A"/>
    <w:rsid w:val="004B0045"/>
    <w:rsid w:val="004B0814"/>
    <w:rsid w:val="004B1178"/>
    <w:rsid w:val="004B13A0"/>
    <w:rsid w:val="004B167E"/>
    <w:rsid w:val="004B1865"/>
    <w:rsid w:val="004B2C12"/>
    <w:rsid w:val="004B423A"/>
    <w:rsid w:val="004B4D48"/>
    <w:rsid w:val="004B4E19"/>
    <w:rsid w:val="004B6859"/>
    <w:rsid w:val="004B687E"/>
    <w:rsid w:val="004B68DC"/>
    <w:rsid w:val="004C0082"/>
    <w:rsid w:val="004C117A"/>
    <w:rsid w:val="004C11E9"/>
    <w:rsid w:val="004C23BE"/>
    <w:rsid w:val="004C3AEA"/>
    <w:rsid w:val="004C5728"/>
    <w:rsid w:val="004C6253"/>
    <w:rsid w:val="004D01CE"/>
    <w:rsid w:val="004D240D"/>
    <w:rsid w:val="004D2D10"/>
    <w:rsid w:val="004D3D37"/>
    <w:rsid w:val="004D49CF"/>
    <w:rsid w:val="004D51A6"/>
    <w:rsid w:val="004D5370"/>
    <w:rsid w:val="004D5E51"/>
    <w:rsid w:val="004D7205"/>
    <w:rsid w:val="004E0327"/>
    <w:rsid w:val="004E1E26"/>
    <w:rsid w:val="004E22FA"/>
    <w:rsid w:val="004E2396"/>
    <w:rsid w:val="004E2DA8"/>
    <w:rsid w:val="004E3A7C"/>
    <w:rsid w:val="004E4245"/>
    <w:rsid w:val="004E51DB"/>
    <w:rsid w:val="004E530C"/>
    <w:rsid w:val="004E5C98"/>
    <w:rsid w:val="004E6927"/>
    <w:rsid w:val="004E7F5F"/>
    <w:rsid w:val="004F03EE"/>
    <w:rsid w:val="004F0A2F"/>
    <w:rsid w:val="004F113B"/>
    <w:rsid w:val="004F162F"/>
    <w:rsid w:val="004F1EED"/>
    <w:rsid w:val="004F30AE"/>
    <w:rsid w:val="004F437D"/>
    <w:rsid w:val="004F64B9"/>
    <w:rsid w:val="004F6936"/>
    <w:rsid w:val="004F6A6F"/>
    <w:rsid w:val="004F6B63"/>
    <w:rsid w:val="00500B5F"/>
    <w:rsid w:val="00501145"/>
    <w:rsid w:val="005011F1"/>
    <w:rsid w:val="0050179F"/>
    <w:rsid w:val="00501AE5"/>
    <w:rsid w:val="005028EA"/>
    <w:rsid w:val="00503098"/>
    <w:rsid w:val="005031E8"/>
    <w:rsid w:val="00504AB6"/>
    <w:rsid w:val="00506A77"/>
    <w:rsid w:val="00506EE3"/>
    <w:rsid w:val="00507BDB"/>
    <w:rsid w:val="00507CB7"/>
    <w:rsid w:val="00507DA6"/>
    <w:rsid w:val="0051073D"/>
    <w:rsid w:val="00510B9F"/>
    <w:rsid w:val="0051341F"/>
    <w:rsid w:val="005135CD"/>
    <w:rsid w:val="005149CF"/>
    <w:rsid w:val="00514D52"/>
    <w:rsid w:val="00514DA6"/>
    <w:rsid w:val="005158ED"/>
    <w:rsid w:val="005158FD"/>
    <w:rsid w:val="00516104"/>
    <w:rsid w:val="00516A01"/>
    <w:rsid w:val="00516CB4"/>
    <w:rsid w:val="00516F7A"/>
    <w:rsid w:val="0052137A"/>
    <w:rsid w:val="00523001"/>
    <w:rsid w:val="00524682"/>
    <w:rsid w:val="00524980"/>
    <w:rsid w:val="00524E77"/>
    <w:rsid w:val="0052514F"/>
    <w:rsid w:val="00525514"/>
    <w:rsid w:val="005258A3"/>
    <w:rsid w:val="00525A6A"/>
    <w:rsid w:val="00525B20"/>
    <w:rsid w:val="00526135"/>
    <w:rsid w:val="00526472"/>
    <w:rsid w:val="00531450"/>
    <w:rsid w:val="00531B8C"/>
    <w:rsid w:val="00532629"/>
    <w:rsid w:val="00533508"/>
    <w:rsid w:val="0053385C"/>
    <w:rsid w:val="00533E3E"/>
    <w:rsid w:val="00534B88"/>
    <w:rsid w:val="005351D8"/>
    <w:rsid w:val="00535948"/>
    <w:rsid w:val="00537053"/>
    <w:rsid w:val="00537B8F"/>
    <w:rsid w:val="00540040"/>
    <w:rsid w:val="005423AA"/>
    <w:rsid w:val="00542E30"/>
    <w:rsid w:val="00545A68"/>
    <w:rsid w:val="005476F9"/>
    <w:rsid w:val="00550BF1"/>
    <w:rsid w:val="005525A6"/>
    <w:rsid w:val="0055308C"/>
    <w:rsid w:val="005532CF"/>
    <w:rsid w:val="005538D8"/>
    <w:rsid w:val="005543F0"/>
    <w:rsid w:val="00555D3D"/>
    <w:rsid w:val="00556469"/>
    <w:rsid w:val="00556F1C"/>
    <w:rsid w:val="0055761D"/>
    <w:rsid w:val="0055776A"/>
    <w:rsid w:val="00557C48"/>
    <w:rsid w:val="005601F7"/>
    <w:rsid w:val="00560D95"/>
    <w:rsid w:val="00561F1D"/>
    <w:rsid w:val="00562011"/>
    <w:rsid w:val="00562286"/>
    <w:rsid w:val="005628D8"/>
    <w:rsid w:val="00564DB9"/>
    <w:rsid w:val="00565966"/>
    <w:rsid w:val="005665A2"/>
    <w:rsid w:val="00567EF3"/>
    <w:rsid w:val="00570F58"/>
    <w:rsid w:val="0057197C"/>
    <w:rsid w:val="00572113"/>
    <w:rsid w:val="005723DE"/>
    <w:rsid w:val="00573ADE"/>
    <w:rsid w:val="005764DE"/>
    <w:rsid w:val="005767F5"/>
    <w:rsid w:val="00576A8E"/>
    <w:rsid w:val="00580CE8"/>
    <w:rsid w:val="005815BF"/>
    <w:rsid w:val="00581980"/>
    <w:rsid w:val="00583D93"/>
    <w:rsid w:val="00586DE2"/>
    <w:rsid w:val="005873A3"/>
    <w:rsid w:val="005874C8"/>
    <w:rsid w:val="005879E1"/>
    <w:rsid w:val="00591D10"/>
    <w:rsid w:val="005925C4"/>
    <w:rsid w:val="00592BB6"/>
    <w:rsid w:val="005935B2"/>
    <w:rsid w:val="00593A00"/>
    <w:rsid w:val="00595BC1"/>
    <w:rsid w:val="0059682E"/>
    <w:rsid w:val="005975B6"/>
    <w:rsid w:val="00597BA2"/>
    <w:rsid w:val="005A0EB2"/>
    <w:rsid w:val="005A26A0"/>
    <w:rsid w:val="005A2AC7"/>
    <w:rsid w:val="005A2C46"/>
    <w:rsid w:val="005A4006"/>
    <w:rsid w:val="005A553C"/>
    <w:rsid w:val="005A5540"/>
    <w:rsid w:val="005A5AB3"/>
    <w:rsid w:val="005A6671"/>
    <w:rsid w:val="005A709F"/>
    <w:rsid w:val="005A7145"/>
    <w:rsid w:val="005A7DBB"/>
    <w:rsid w:val="005B138D"/>
    <w:rsid w:val="005B16D3"/>
    <w:rsid w:val="005B1B20"/>
    <w:rsid w:val="005B4041"/>
    <w:rsid w:val="005B42BA"/>
    <w:rsid w:val="005B4AD7"/>
    <w:rsid w:val="005B51C4"/>
    <w:rsid w:val="005B64A5"/>
    <w:rsid w:val="005B6703"/>
    <w:rsid w:val="005C0772"/>
    <w:rsid w:val="005C2583"/>
    <w:rsid w:val="005C2DE9"/>
    <w:rsid w:val="005C312C"/>
    <w:rsid w:val="005C3279"/>
    <w:rsid w:val="005C3AB0"/>
    <w:rsid w:val="005C3E0A"/>
    <w:rsid w:val="005C3EA6"/>
    <w:rsid w:val="005C4DB8"/>
    <w:rsid w:val="005C59FD"/>
    <w:rsid w:val="005C5F03"/>
    <w:rsid w:val="005C64AD"/>
    <w:rsid w:val="005C6C44"/>
    <w:rsid w:val="005D04FE"/>
    <w:rsid w:val="005D2084"/>
    <w:rsid w:val="005D21CF"/>
    <w:rsid w:val="005D2203"/>
    <w:rsid w:val="005D3621"/>
    <w:rsid w:val="005D44BA"/>
    <w:rsid w:val="005D4738"/>
    <w:rsid w:val="005D48A3"/>
    <w:rsid w:val="005D4A09"/>
    <w:rsid w:val="005D4EE9"/>
    <w:rsid w:val="005D5EE4"/>
    <w:rsid w:val="005D612D"/>
    <w:rsid w:val="005D6191"/>
    <w:rsid w:val="005D65C6"/>
    <w:rsid w:val="005D6947"/>
    <w:rsid w:val="005D7556"/>
    <w:rsid w:val="005E0EB4"/>
    <w:rsid w:val="005E3044"/>
    <w:rsid w:val="005E56DC"/>
    <w:rsid w:val="005E583E"/>
    <w:rsid w:val="005E5E74"/>
    <w:rsid w:val="005E667C"/>
    <w:rsid w:val="005E69A2"/>
    <w:rsid w:val="005E6A3D"/>
    <w:rsid w:val="005E75FC"/>
    <w:rsid w:val="005E7E40"/>
    <w:rsid w:val="005E7F81"/>
    <w:rsid w:val="005F06DF"/>
    <w:rsid w:val="005F115A"/>
    <w:rsid w:val="005F1371"/>
    <w:rsid w:val="005F1AC5"/>
    <w:rsid w:val="005F3AD8"/>
    <w:rsid w:val="005F3F95"/>
    <w:rsid w:val="005F4B0E"/>
    <w:rsid w:val="005F5C30"/>
    <w:rsid w:val="005F6075"/>
    <w:rsid w:val="005F70FA"/>
    <w:rsid w:val="005F74BF"/>
    <w:rsid w:val="0060031C"/>
    <w:rsid w:val="006009D2"/>
    <w:rsid w:val="00600AE8"/>
    <w:rsid w:val="00600B18"/>
    <w:rsid w:val="00600E88"/>
    <w:rsid w:val="00601320"/>
    <w:rsid w:val="0060220A"/>
    <w:rsid w:val="00602AC0"/>
    <w:rsid w:val="00602FD2"/>
    <w:rsid w:val="006042BB"/>
    <w:rsid w:val="00604838"/>
    <w:rsid w:val="006048D7"/>
    <w:rsid w:val="00604F5D"/>
    <w:rsid w:val="00605150"/>
    <w:rsid w:val="006063E1"/>
    <w:rsid w:val="006072E6"/>
    <w:rsid w:val="00610033"/>
    <w:rsid w:val="0061067C"/>
    <w:rsid w:val="00611286"/>
    <w:rsid w:val="006126AD"/>
    <w:rsid w:val="00613627"/>
    <w:rsid w:val="00613900"/>
    <w:rsid w:val="0061400F"/>
    <w:rsid w:val="006141DF"/>
    <w:rsid w:val="006141ED"/>
    <w:rsid w:val="00614909"/>
    <w:rsid w:val="0061512C"/>
    <w:rsid w:val="00620362"/>
    <w:rsid w:val="0062306B"/>
    <w:rsid w:val="006230F4"/>
    <w:rsid w:val="00624FDE"/>
    <w:rsid w:val="00626337"/>
    <w:rsid w:val="00626EF4"/>
    <w:rsid w:val="00627218"/>
    <w:rsid w:val="0063026A"/>
    <w:rsid w:val="00631590"/>
    <w:rsid w:val="00631607"/>
    <w:rsid w:val="0063192B"/>
    <w:rsid w:val="006319E0"/>
    <w:rsid w:val="0063242D"/>
    <w:rsid w:val="006325E1"/>
    <w:rsid w:val="006329B3"/>
    <w:rsid w:val="00632DE6"/>
    <w:rsid w:val="0063401B"/>
    <w:rsid w:val="00634809"/>
    <w:rsid w:val="00634940"/>
    <w:rsid w:val="00634F41"/>
    <w:rsid w:val="00636CE1"/>
    <w:rsid w:val="0063717F"/>
    <w:rsid w:val="00640F08"/>
    <w:rsid w:val="00640F9C"/>
    <w:rsid w:val="0064181D"/>
    <w:rsid w:val="006418DC"/>
    <w:rsid w:val="00641B5A"/>
    <w:rsid w:val="006436E9"/>
    <w:rsid w:val="00643764"/>
    <w:rsid w:val="00645364"/>
    <w:rsid w:val="00645E56"/>
    <w:rsid w:val="00646693"/>
    <w:rsid w:val="00647EE4"/>
    <w:rsid w:val="00651BBE"/>
    <w:rsid w:val="006544AF"/>
    <w:rsid w:val="00654EC2"/>
    <w:rsid w:val="006550D3"/>
    <w:rsid w:val="00655DD1"/>
    <w:rsid w:val="006567DF"/>
    <w:rsid w:val="00656C85"/>
    <w:rsid w:val="006578E0"/>
    <w:rsid w:val="00662B7A"/>
    <w:rsid w:val="00663CFD"/>
    <w:rsid w:val="006642DA"/>
    <w:rsid w:val="0066433F"/>
    <w:rsid w:val="00665E4B"/>
    <w:rsid w:val="0066735E"/>
    <w:rsid w:val="00670D0A"/>
    <w:rsid w:val="00672375"/>
    <w:rsid w:val="00672802"/>
    <w:rsid w:val="00672E22"/>
    <w:rsid w:val="00673CC9"/>
    <w:rsid w:val="006745EB"/>
    <w:rsid w:val="006748CA"/>
    <w:rsid w:val="00674D2A"/>
    <w:rsid w:val="00675591"/>
    <w:rsid w:val="00675E5A"/>
    <w:rsid w:val="00675EAB"/>
    <w:rsid w:val="00676902"/>
    <w:rsid w:val="00677AD5"/>
    <w:rsid w:val="006800ED"/>
    <w:rsid w:val="0068098F"/>
    <w:rsid w:val="00681063"/>
    <w:rsid w:val="006816D6"/>
    <w:rsid w:val="00682051"/>
    <w:rsid w:val="00682A0E"/>
    <w:rsid w:val="00683978"/>
    <w:rsid w:val="00683AE7"/>
    <w:rsid w:val="00684261"/>
    <w:rsid w:val="006850D1"/>
    <w:rsid w:val="0069308B"/>
    <w:rsid w:val="006933D9"/>
    <w:rsid w:val="006934BE"/>
    <w:rsid w:val="00694714"/>
    <w:rsid w:val="00694B5C"/>
    <w:rsid w:val="00694BDA"/>
    <w:rsid w:val="00694D8D"/>
    <w:rsid w:val="00694E84"/>
    <w:rsid w:val="00695228"/>
    <w:rsid w:val="00695442"/>
    <w:rsid w:val="006969DA"/>
    <w:rsid w:val="00696AA5"/>
    <w:rsid w:val="006A03CD"/>
    <w:rsid w:val="006A1777"/>
    <w:rsid w:val="006A1D8B"/>
    <w:rsid w:val="006A295E"/>
    <w:rsid w:val="006A2BFE"/>
    <w:rsid w:val="006A2D9A"/>
    <w:rsid w:val="006A45BF"/>
    <w:rsid w:val="006A58A9"/>
    <w:rsid w:val="006A66BD"/>
    <w:rsid w:val="006A7118"/>
    <w:rsid w:val="006B0A08"/>
    <w:rsid w:val="006B0F05"/>
    <w:rsid w:val="006B13D2"/>
    <w:rsid w:val="006B1CDB"/>
    <w:rsid w:val="006B2288"/>
    <w:rsid w:val="006B3572"/>
    <w:rsid w:val="006B4797"/>
    <w:rsid w:val="006B479F"/>
    <w:rsid w:val="006B533B"/>
    <w:rsid w:val="006B577C"/>
    <w:rsid w:val="006B5B9C"/>
    <w:rsid w:val="006B72EB"/>
    <w:rsid w:val="006C0DA0"/>
    <w:rsid w:val="006C1047"/>
    <w:rsid w:val="006C24FA"/>
    <w:rsid w:val="006C2FBB"/>
    <w:rsid w:val="006C359B"/>
    <w:rsid w:val="006C4ABD"/>
    <w:rsid w:val="006C6646"/>
    <w:rsid w:val="006C7150"/>
    <w:rsid w:val="006C7299"/>
    <w:rsid w:val="006C7AF9"/>
    <w:rsid w:val="006C7CA1"/>
    <w:rsid w:val="006D0E76"/>
    <w:rsid w:val="006D1592"/>
    <w:rsid w:val="006D1A58"/>
    <w:rsid w:val="006D1DA2"/>
    <w:rsid w:val="006D25E7"/>
    <w:rsid w:val="006D28C7"/>
    <w:rsid w:val="006D2BF4"/>
    <w:rsid w:val="006D3184"/>
    <w:rsid w:val="006D494E"/>
    <w:rsid w:val="006D4D2A"/>
    <w:rsid w:val="006D5CF2"/>
    <w:rsid w:val="006D5D0A"/>
    <w:rsid w:val="006D5D9A"/>
    <w:rsid w:val="006D6252"/>
    <w:rsid w:val="006D669B"/>
    <w:rsid w:val="006D7ABA"/>
    <w:rsid w:val="006D7C8B"/>
    <w:rsid w:val="006D7F7F"/>
    <w:rsid w:val="006E011E"/>
    <w:rsid w:val="006E073B"/>
    <w:rsid w:val="006E0969"/>
    <w:rsid w:val="006E0BD3"/>
    <w:rsid w:val="006E1029"/>
    <w:rsid w:val="006E10A5"/>
    <w:rsid w:val="006E1341"/>
    <w:rsid w:val="006E24EF"/>
    <w:rsid w:val="006E320B"/>
    <w:rsid w:val="006E369F"/>
    <w:rsid w:val="006E4135"/>
    <w:rsid w:val="006E41EF"/>
    <w:rsid w:val="006E428A"/>
    <w:rsid w:val="006E5765"/>
    <w:rsid w:val="006E5EC2"/>
    <w:rsid w:val="006E6330"/>
    <w:rsid w:val="006F0B52"/>
    <w:rsid w:val="006F0D2B"/>
    <w:rsid w:val="006F1DAD"/>
    <w:rsid w:val="006F2548"/>
    <w:rsid w:val="006F29F6"/>
    <w:rsid w:val="006F50A8"/>
    <w:rsid w:val="006F52DE"/>
    <w:rsid w:val="006F6180"/>
    <w:rsid w:val="006F6250"/>
    <w:rsid w:val="006F69C7"/>
    <w:rsid w:val="006F6CA1"/>
    <w:rsid w:val="006F6FD9"/>
    <w:rsid w:val="006F75A7"/>
    <w:rsid w:val="006F7F1A"/>
    <w:rsid w:val="00700031"/>
    <w:rsid w:val="00700277"/>
    <w:rsid w:val="00700AC5"/>
    <w:rsid w:val="0070300D"/>
    <w:rsid w:val="00703675"/>
    <w:rsid w:val="00703D50"/>
    <w:rsid w:val="00703E6F"/>
    <w:rsid w:val="00703EC4"/>
    <w:rsid w:val="007048C8"/>
    <w:rsid w:val="00704B74"/>
    <w:rsid w:val="00706BC1"/>
    <w:rsid w:val="00707498"/>
    <w:rsid w:val="00710435"/>
    <w:rsid w:val="00711101"/>
    <w:rsid w:val="00711C7A"/>
    <w:rsid w:val="0071238E"/>
    <w:rsid w:val="00712661"/>
    <w:rsid w:val="00712772"/>
    <w:rsid w:val="007127A1"/>
    <w:rsid w:val="007127E0"/>
    <w:rsid w:val="0071386E"/>
    <w:rsid w:val="0071479D"/>
    <w:rsid w:val="00714F6D"/>
    <w:rsid w:val="00715379"/>
    <w:rsid w:val="00715F52"/>
    <w:rsid w:val="0071687A"/>
    <w:rsid w:val="00716F0D"/>
    <w:rsid w:val="0071774F"/>
    <w:rsid w:val="00717A93"/>
    <w:rsid w:val="00720DEF"/>
    <w:rsid w:val="0072152A"/>
    <w:rsid w:val="007217BD"/>
    <w:rsid w:val="00721A9C"/>
    <w:rsid w:val="0072293B"/>
    <w:rsid w:val="00723632"/>
    <w:rsid w:val="00724A07"/>
    <w:rsid w:val="007262C1"/>
    <w:rsid w:val="00726313"/>
    <w:rsid w:val="007269A4"/>
    <w:rsid w:val="00727015"/>
    <w:rsid w:val="0073087E"/>
    <w:rsid w:val="00730B6B"/>
    <w:rsid w:val="00730DAC"/>
    <w:rsid w:val="0073142D"/>
    <w:rsid w:val="0073178A"/>
    <w:rsid w:val="00733753"/>
    <w:rsid w:val="00734987"/>
    <w:rsid w:val="00734F7D"/>
    <w:rsid w:val="00735218"/>
    <w:rsid w:val="00735BDB"/>
    <w:rsid w:val="00736BF8"/>
    <w:rsid w:val="0074060E"/>
    <w:rsid w:val="007422EC"/>
    <w:rsid w:val="0074274C"/>
    <w:rsid w:val="00742ADE"/>
    <w:rsid w:val="0074434C"/>
    <w:rsid w:val="00744686"/>
    <w:rsid w:val="00745053"/>
    <w:rsid w:val="007452DD"/>
    <w:rsid w:val="007460E4"/>
    <w:rsid w:val="00747229"/>
    <w:rsid w:val="0074738B"/>
    <w:rsid w:val="00747C54"/>
    <w:rsid w:val="00747EA5"/>
    <w:rsid w:val="00747EFF"/>
    <w:rsid w:val="00747F44"/>
    <w:rsid w:val="00747FBA"/>
    <w:rsid w:val="00750E20"/>
    <w:rsid w:val="007517B2"/>
    <w:rsid w:val="007525CF"/>
    <w:rsid w:val="007528F3"/>
    <w:rsid w:val="0075295F"/>
    <w:rsid w:val="00752F3E"/>
    <w:rsid w:val="0075353C"/>
    <w:rsid w:val="007539E2"/>
    <w:rsid w:val="00753E09"/>
    <w:rsid w:val="00753ED5"/>
    <w:rsid w:val="00753FDA"/>
    <w:rsid w:val="00755047"/>
    <w:rsid w:val="00755B4F"/>
    <w:rsid w:val="00755F4D"/>
    <w:rsid w:val="007560F6"/>
    <w:rsid w:val="0075765F"/>
    <w:rsid w:val="00757F45"/>
    <w:rsid w:val="007607D8"/>
    <w:rsid w:val="00761362"/>
    <w:rsid w:val="007621B4"/>
    <w:rsid w:val="007632B6"/>
    <w:rsid w:val="007650FE"/>
    <w:rsid w:val="0076671A"/>
    <w:rsid w:val="0076706F"/>
    <w:rsid w:val="00767D16"/>
    <w:rsid w:val="00767DD5"/>
    <w:rsid w:val="0077111C"/>
    <w:rsid w:val="00771911"/>
    <w:rsid w:val="00771A74"/>
    <w:rsid w:val="00771BEE"/>
    <w:rsid w:val="007720A5"/>
    <w:rsid w:val="00773290"/>
    <w:rsid w:val="0077494E"/>
    <w:rsid w:val="0077496C"/>
    <w:rsid w:val="00774A2E"/>
    <w:rsid w:val="00775F78"/>
    <w:rsid w:val="007768BB"/>
    <w:rsid w:val="007769B3"/>
    <w:rsid w:val="0077722D"/>
    <w:rsid w:val="00777644"/>
    <w:rsid w:val="00780823"/>
    <w:rsid w:val="007824E3"/>
    <w:rsid w:val="00784935"/>
    <w:rsid w:val="00784A51"/>
    <w:rsid w:val="00785E02"/>
    <w:rsid w:val="007863EC"/>
    <w:rsid w:val="007864CB"/>
    <w:rsid w:val="007905E7"/>
    <w:rsid w:val="00790901"/>
    <w:rsid w:val="007910BB"/>
    <w:rsid w:val="007911D4"/>
    <w:rsid w:val="00791545"/>
    <w:rsid w:val="00791A38"/>
    <w:rsid w:val="0079221B"/>
    <w:rsid w:val="0079247F"/>
    <w:rsid w:val="00792D88"/>
    <w:rsid w:val="0079336E"/>
    <w:rsid w:val="00793E67"/>
    <w:rsid w:val="007940AB"/>
    <w:rsid w:val="00794677"/>
    <w:rsid w:val="00794CE1"/>
    <w:rsid w:val="007957DB"/>
    <w:rsid w:val="007966CF"/>
    <w:rsid w:val="00796CF8"/>
    <w:rsid w:val="00796DB8"/>
    <w:rsid w:val="00796DBA"/>
    <w:rsid w:val="00797B88"/>
    <w:rsid w:val="007A07C1"/>
    <w:rsid w:val="007A1885"/>
    <w:rsid w:val="007A217D"/>
    <w:rsid w:val="007A2245"/>
    <w:rsid w:val="007A31EC"/>
    <w:rsid w:val="007A390D"/>
    <w:rsid w:val="007A39BF"/>
    <w:rsid w:val="007A3E92"/>
    <w:rsid w:val="007A4E10"/>
    <w:rsid w:val="007A5340"/>
    <w:rsid w:val="007A6605"/>
    <w:rsid w:val="007A7177"/>
    <w:rsid w:val="007A7E38"/>
    <w:rsid w:val="007B17CB"/>
    <w:rsid w:val="007B181A"/>
    <w:rsid w:val="007B18AA"/>
    <w:rsid w:val="007B238D"/>
    <w:rsid w:val="007B2419"/>
    <w:rsid w:val="007B3F4C"/>
    <w:rsid w:val="007B45A5"/>
    <w:rsid w:val="007B474F"/>
    <w:rsid w:val="007B6736"/>
    <w:rsid w:val="007C1583"/>
    <w:rsid w:val="007C2B46"/>
    <w:rsid w:val="007C3774"/>
    <w:rsid w:val="007C6E54"/>
    <w:rsid w:val="007C7A83"/>
    <w:rsid w:val="007C7D96"/>
    <w:rsid w:val="007D121E"/>
    <w:rsid w:val="007D2695"/>
    <w:rsid w:val="007D3335"/>
    <w:rsid w:val="007D41CC"/>
    <w:rsid w:val="007D4D2D"/>
    <w:rsid w:val="007D4EFF"/>
    <w:rsid w:val="007D5193"/>
    <w:rsid w:val="007D57A0"/>
    <w:rsid w:val="007D6641"/>
    <w:rsid w:val="007E1F86"/>
    <w:rsid w:val="007E2768"/>
    <w:rsid w:val="007E3144"/>
    <w:rsid w:val="007E3F4C"/>
    <w:rsid w:val="007E4906"/>
    <w:rsid w:val="007E4CF4"/>
    <w:rsid w:val="007E5194"/>
    <w:rsid w:val="007E5A82"/>
    <w:rsid w:val="007E6860"/>
    <w:rsid w:val="007E7BE7"/>
    <w:rsid w:val="007F06A6"/>
    <w:rsid w:val="007F30C9"/>
    <w:rsid w:val="007F3104"/>
    <w:rsid w:val="007F33B2"/>
    <w:rsid w:val="007F3CC5"/>
    <w:rsid w:val="007F4B38"/>
    <w:rsid w:val="007F5435"/>
    <w:rsid w:val="007F5DC5"/>
    <w:rsid w:val="007F6B67"/>
    <w:rsid w:val="007F6D38"/>
    <w:rsid w:val="007F6DF9"/>
    <w:rsid w:val="007F788F"/>
    <w:rsid w:val="008003E7"/>
    <w:rsid w:val="00800B47"/>
    <w:rsid w:val="008012AA"/>
    <w:rsid w:val="00801AAC"/>
    <w:rsid w:val="00801CA9"/>
    <w:rsid w:val="008022A7"/>
    <w:rsid w:val="00802798"/>
    <w:rsid w:val="00802DAD"/>
    <w:rsid w:val="00803966"/>
    <w:rsid w:val="008043FA"/>
    <w:rsid w:val="00804683"/>
    <w:rsid w:val="008055B2"/>
    <w:rsid w:val="00806953"/>
    <w:rsid w:val="008070D0"/>
    <w:rsid w:val="00807B27"/>
    <w:rsid w:val="008100E3"/>
    <w:rsid w:val="00810537"/>
    <w:rsid w:val="008122ED"/>
    <w:rsid w:val="008131C5"/>
    <w:rsid w:val="008132F8"/>
    <w:rsid w:val="00813323"/>
    <w:rsid w:val="008143B7"/>
    <w:rsid w:val="00814626"/>
    <w:rsid w:val="0081485F"/>
    <w:rsid w:val="008149D3"/>
    <w:rsid w:val="00816472"/>
    <w:rsid w:val="00816916"/>
    <w:rsid w:val="00816D64"/>
    <w:rsid w:val="00817B89"/>
    <w:rsid w:val="00820245"/>
    <w:rsid w:val="00820C64"/>
    <w:rsid w:val="00821359"/>
    <w:rsid w:val="00821E78"/>
    <w:rsid w:val="0082251E"/>
    <w:rsid w:val="008233AA"/>
    <w:rsid w:val="008241E4"/>
    <w:rsid w:val="00825309"/>
    <w:rsid w:val="008256D5"/>
    <w:rsid w:val="00825C92"/>
    <w:rsid w:val="00826BE9"/>
    <w:rsid w:val="00827C04"/>
    <w:rsid w:val="00827E58"/>
    <w:rsid w:val="00827F60"/>
    <w:rsid w:val="0083032F"/>
    <w:rsid w:val="00830B67"/>
    <w:rsid w:val="008313BF"/>
    <w:rsid w:val="008314CB"/>
    <w:rsid w:val="00831C6E"/>
    <w:rsid w:val="00831D9A"/>
    <w:rsid w:val="00831FDB"/>
    <w:rsid w:val="00832C57"/>
    <w:rsid w:val="0083371F"/>
    <w:rsid w:val="0083451D"/>
    <w:rsid w:val="00834BF3"/>
    <w:rsid w:val="00834EB7"/>
    <w:rsid w:val="0083512D"/>
    <w:rsid w:val="00835639"/>
    <w:rsid w:val="008359AB"/>
    <w:rsid w:val="00836252"/>
    <w:rsid w:val="008369E3"/>
    <w:rsid w:val="0084042B"/>
    <w:rsid w:val="00840B4F"/>
    <w:rsid w:val="00841034"/>
    <w:rsid w:val="008417F0"/>
    <w:rsid w:val="00841876"/>
    <w:rsid w:val="00843979"/>
    <w:rsid w:val="008444CD"/>
    <w:rsid w:val="00845DBA"/>
    <w:rsid w:val="00846058"/>
    <w:rsid w:val="00846338"/>
    <w:rsid w:val="0084689D"/>
    <w:rsid w:val="00846AF0"/>
    <w:rsid w:val="00846C6D"/>
    <w:rsid w:val="008505FC"/>
    <w:rsid w:val="008507BB"/>
    <w:rsid w:val="00851C13"/>
    <w:rsid w:val="00851D77"/>
    <w:rsid w:val="0085296B"/>
    <w:rsid w:val="00852F20"/>
    <w:rsid w:val="00854845"/>
    <w:rsid w:val="00854D61"/>
    <w:rsid w:val="00855731"/>
    <w:rsid w:val="00855D4B"/>
    <w:rsid w:val="00857230"/>
    <w:rsid w:val="0085737C"/>
    <w:rsid w:val="00860C18"/>
    <w:rsid w:val="0086133F"/>
    <w:rsid w:val="00862919"/>
    <w:rsid w:val="00863943"/>
    <w:rsid w:val="00863D3E"/>
    <w:rsid w:val="00863EEE"/>
    <w:rsid w:val="00865689"/>
    <w:rsid w:val="00865727"/>
    <w:rsid w:val="00865EF6"/>
    <w:rsid w:val="00866776"/>
    <w:rsid w:val="008672FE"/>
    <w:rsid w:val="0086748A"/>
    <w:rsid w:val="00867720"/>
    <w:rsid w:val="00867E09"/>
    <w:rsid w:val="00870D15"/>
    <w:rsid w:val="00873C8A"/>
    <w:rsid w:val="008743AE"/>
    <w:rsid w:val="00875A22"/>
    <w:rsid w:val="00880368"/>
    <w:rsid w:val="008822F8"/>
    <w:rsid w:val="008845DA"/>
    <w:rsid w:val="00885E8C"/>
    <w:rsid w:val="00885F35"/>
    <w:rsid w:val="008864D0"/>
    <w:rsid w:val="0088661E"/>
    <w:rsid w:val="00887776"/>
    <w:rsid w:val="00887937"/>
    <w:rsid w:val="00890880"/>
    <w:rsid w:val="00890C28"/>
    <w:rsid w:val="00891947"/>
    <w:rsid w:val="00891FAD"/>
    <w:rsid w:val="00893668"/>
    <w:rsid w:val="00893BFB"/>
    <w:rsid w:val="00893F16"/>
    <w:rsid w:val="008940C5"/>
    <w:rsid w:val="008943F0"/>
    <w:rsid w:val="00895382"/>
    <w:rsid w:val="008953E7"/>
    <w:rsid w:val="00895F8A"/>
    <w:rsid w:val="00897157"/>
    <w:rsid w:val="00897599"/>
    <w:rsid w:val="0089798B"/>
    <w:rsid w:val="008A0788"/>
    <w:rsid w:val="008A0A7D"/>
    <w:rsid w:val="008A0ADD"/>
    <w:rsid w:val="008A1049"/>
    <w:rsid w:val="008A1110"/>
    <w:rsid w:val="008A15E5"/>
    <w:rsid w:val="008A1F4F"/>
    <w:rsid w:val="008A28E3"/>
    <w:rsid w:val="008A4C19"/>
    <w:rsid w:val="008A4E0D"/>
    <w:rsid w:val="008A57C6"/>
    <w:rsid w:val="008B06D9"/>
    <w:rsid w:val="008B1289"/>
    <w:rsid w:val="008B142E"/>
    <w:rsid w:val="008B2E04"/>
    <w:rsid w:val="008B36EC"/>
    <w:rsid w:val="008B42CA"/>
    <w:rsid w:val="008B57D8"/>
    <w:rsid w:val="008B6D5A"/>
    <w:rsid w:val="008B7670"/>
    <w:rsid w:val="008C1B94"/>
    <w:rsid w:val="008C40EE"/>
    <w:rsid w:val="008C4CF7"/>
    <w:rsid w:val="008C4E95"/>
    <w:rsid w:val="008C61FD"/>
    <w:rsid w:val="008C6E3E"/>
    <w:rsid w:val="008C7896"/>
    <w:rsid w:val="008D0618"/>
    <w:rsid w:val="008D0977"/>
    <w:rsid w:val="008D0F8F"/>
    <w:rsid w:val="008D3315"/>
    <w:rsid w:val="008D575A"/>
    <w:rsid w:val="008D6AD8"/>
    <w:rsid w:val="008D6BB2"/>
    <w:rsid w:val="008D6C1A"/>
    <w:rsid w:val="008D7593"/>
    <w:rsid w:val="008E0096"/>
    <w:rsid w:val="008E1787"/>
    <w:rsid w:val="008E37FA"/>
    <w:rsid w:val="008E41D2"/>
    <w:rsid w:val="008E5506"/>
    <w:rsid w:val="008E5C82"/>
    <w:rsid w:val="008E6C49"/>
    <w:rsid w:val="008E71B9"/>
    <w:rsid w:val="008E7595"/>
    <w:rsid w:val="008F1307"/>
    <w:rsid w:val="008F2457"/>
    <w:rsid w:val="008F24BD"/>
    <w:rsid w:val="008F265F"/>
    <w:rsid w:val="008F2984"/>
    <w:rsid w:val="008F2DDA"/>
    <w:rsid w:val="008F2E23"/>
    <w:rsid w:val="008F457E"/>
    <w:rsid w:val="008F4A8F"/>
    <w:rsid w:val="008F4B71"/>
    <w:rsid w:val="008F6CD4"/>
    <w:rsid w:val="008F7CD3"/>
    <w:rsid w:val="0090097D"/>
    <w:rsid w:val="009009E4"/>
    <w:rsid w:val="00900D8B"/>
    <w:rsid w:val="00900DF0"/>
    <w:rsid w:val="00901C66"/>
    <w:rsid w:val="009020CE"/>
    <w:rsid w:val="00903347"/>
    <w:rsid w:val="00903EDE"/>
    <w:rsid w:val="009044FC"/>
    <w:rsid w:val="00904751"/>
    <w:rsid w:val="009048E1"/>
    <w:rsid w:val="00904B0F"/>
    <w:rsid w:val="00904BCD"/>
    <w:rsid w:val="009066F5"/>
    <w:rsid w:val="00906C6F"/>
    <w:rsid w:val="009071EF"/>
    <w:rsid w:val="00907257"/>
    <w:rsid w:val="00910F28"/>
    <w:rsid w:val="009123D6"/>
    <w:rsid w:val="009128E6"/>
    <w:rsid w:val="009131BA"/>
    <w:rsid w:val="009134CB"/>
    <w:rsid w:val="00914DFD"/>
    <w:rsid w:val="0091535E"/>
    <w:rsid w:val="0091558E"/>
    <w:rsid w:val="00916DD0"/>
    <w:rsid w:val="00916E81"/>
    <w:rsid w:val="00916EFC"/>
    <w:rsid w:val="00921773"/>
    <w:rsid w:val="00921A2C"/>
    <w:rsid w:val="00921E85"/>
    <w:rsid w:val="00922136"/>
    <w:rsid w:val="0092217C"/>
    <w:rsid w:val="00922BCF"/>
    <w:rsid w:val="00923315"/>
    <w:rsid w:val="00923767"/>
    <w:rsid w:val="0092401B"/>
    <w:rsid w:val="00924A86"/>
    <w:rsid w:val="009267E0"/>
    <w:rsid w:val="00930A3A"/>
    <w:rsid w:val="00930FFE"/>
    <w:rsid w:val="00932F8E"/>
    <w:rsid w:val="009330A8"/>
    <w:rsid w:val="0093369F"/>
    <w:rsid w:val="00933B74"/>
    <w:rsid w:val="00933C79"/>
    <w:rsid w:val="00933D45"/>
    <w:rsid w:val="00934067"/>
    <w:rsid w:val="00934944"/>
    <w:rsid w:val="009358B7"/>
    <w:rsid w:val="00936966"/>
    <w:rsid w:val="00936D63"/>
    <w:rsid w:val="009371EB"/>
    <w:rsid w:val="009378FF"/>
    <w:rsid w:val="00937F22"/>
    <w:rsid w:val="00940C7C"/>
    <w:rsid w:val="00940F38"/>
    <w:rsid w:val="0094129E"/>
    <w:rsid w:val="009412B3"/>
    <w:rsid w:val="009416C1"/>
    <w:rsid w:val="0094187D"/>
    <w:rsid w:val="00941A49"/>
    <w:rsid w:val="00942A80"/>
    <w:rsid w:val="0094398F"/>
    <w:rsid w:val="00943ADD"/>
    <w:rsid w:val="00943DCC"/>
    <w:rsid w:val="00944D78"/>
    <w:rsid w:val="00945F86"/>
    <w:rsid w:val="00946D02"/>
    <w:rsid w:val="0094758C"/>
    <w:rsid w:val="00952289"/>
    <w:rsid w:val="00953A7D"/>
    <w:rsid w:val="00953CDE"/>
    <w:rsid w:val="0095439A"/>
    <w:rsid w:val="009547AC"/>
    <w:rsid w:val="0096046F"/>
    <w:rsid w:val="009608CC"/>
    <w:rsid w:val="009613FF"/>
    <w:rsid w:val="00961720"/>
    <w:rsid w:val="00961983"/>
    <w:rsid w:val="00961B7F"/>
    <w:rsid w:val="009622C7"/>
    <w:rsid w:val="009628AF"/>
    <w:rsid w:val="00963400"/>
    <w:rsid w:val="009649D1"/>
    <w:rsid w:val="00964E42"/>
    <w:rsid w:val="0096528B"/>
    <w:rsid w:val="0096573A"/>
    <w:rsid w:val="00965E72"/>
    <w:rsid w:val="00967295"/>
    <w:rsid w:val="00967E2D"/>
    <w:rsid w:val="00967E40"/>
    <w:rsid w:val="009702DC"/>
    <w:rsid w:val="00970DC6"/>
    <w:rsid w:val="0097149E"/>
    <w:rsid w:val="00971DFD"/>
    <w:rsid w:val="00973A31"/>
    <w:rsid w:val="00975891"/>
    <w:rsid w:val="00975CD5"/>
    <w:rsid w:val="009774C1"/>
    <w:rsid w:val="00977AA1"/>
    <w:rsid w:val="00977DCD"/>
    <w:rsid w:val="0098078B"/>
    <w:rsid w:val="00980AE5"/>
    <w:rsid w:val="00981DD5"/>
    <w:rsid w:val="009822D6"/>
    <w:rsid w:val="00982476"/>
    <w:rsid w:val="0098351A"/>
    <w:rsid w:val="009838AC"/>
    <w:rsid w:val="009839AC"/>
    <w:rsid w:val="00983F6F"/>
    <w:rsid w:val="00984A0E"/>
    <w:rsid w:val="00985486"/>
    <w:rsid w:val="009867F9"/>
    <w:rsid w:val="009868DA"/>
    <w:rsid w:val="0098703C"/>
    <w:rsid w:val="0098736D"/>
    <w:rsid w:val="0099024B"/>
    <w:rsid w:val="00990351"/>
    <w:rsid w:val="0099058B"/>
    <w:rsid w:val="009922B4"/>
    <w:rsid w:val="00993F7F"/>
    <w:rsid w:val="009941BA"/>
    <w:rsid w:val="009948D3"/>
    <w:rsid w:val="0099508E"/>
    <w:rsid w:val="009A005D"/>
    <w:rsid w:val="009A0451"/>
    <w:rsid w:val="009A16B1"/>
    <w:rsid w:val="009A2AF2"/>
    <w:rsid w:val="009A3B87"/>
    <w:rsid w:val="009A4CF3"/>
    <w:rsid w:val="009A5729"/>
    <w:rsid w:val="009A6E6C"/>
    <w:rsid w:val="009A74E3"/>
    <w:rsid w:val="009A7EE7"/>
    <w:rsid w:val="009B070C"/>
    <w:rsid w:val="009B0843"/>
    <w:rsid w:val="009B0A96"/>
    <w:rsid w:val="009B2980"/>
    <w:rsid w:val="009B2B74"/>
    <w:rsid w:val="009B31B7"/>
    <w:rsid w:val="009B3EFC"/>
    <w:rsid w:val="009B3FB8"/>
    <w:rsid w:val="009B409B"/>
    <w:rsid w:val="009B414A"/>
    <w:rsid w:val="009B41A9"/>
    <w:rsid w:val="009B431F"/>
    <w:rsid w:val="009B4F1A"/>
    <w:rsid w:val="009B50F2"/>
    <w:rsid w:val="009B5D1B"/>
    <w:rsid w:val="009B5D24"/>
    <w:rsid w:val="009B6ED7"/>
    <w:rsid w:val="009C0237"/>
    <w:rsid w:val="009C10F5"/>
    <w:rsid w:val="009C2017"/>
    <w:rsid w:val="009C59C1"/>
    <w:rsid w:val="009C5C1B"/>
    <w:rsid w:val="009C5CED"/>
    <w:rsid w:val="009C6B13"/>
    <w:rsid w:val="009C7E2B"/>
    <w:rsid w:val="009D02ED"/>
    <w:rsid w:val="009D09D8"/>
    <w:rsid w:val="009D0E4D"/>
    <w:rsid w:val="009D12B7"/>
    <w:rsid w:val="009D1CCF"/>
    <w:rsid w:val="009D2028"/>
    <w:rsid w:val="009D23D5"/>
    <w:rsid w:val="009D2425"/>
    <w:rsid w:val="009D25CB"/>
    <w:rsid w:val="009D3E7A"/>
    <w:rsid w:val="009D44AF"/>
    <w:rsid w:val="009D6400"/>
    <w:rsid w:val="009D72B0"/>
    <w:rsid w:val="009E01E9"/>
    <w:rsid w:val="009E0F5E"/>
    <w:rsid w:val="009E0FA0"/>
    <w:rsid w:val="009E1EC4"/>
    <w:rsid w:val="009E3B96"/>
    <w:rsid w:val="009E3C98"/>
    <w:rsid w:val="009E3E64"/>
    <w:rsid w:val="009E40BC"/>
    <w:rsid w:val="009E481A"/>
    <w:rsid w:val="009E4CCA"/>
    <w:rsid w:val="009E6739"/>
    <w:rsid w:val="009E7531"/>
    <w:rsid w:val="009E7F80"/>
    <w:rsid w:val="009F108D"/>
    <w:rsid w:val="009F12EF"/>
    <w:rsid w:val="009F14B9"/>
    <w:rsid w:val="009F19CF"/>
    <w:rsid w:val="009F1BB9"/>
    <w:rsid w:val="009F2159"/>
    <w:rsid w:val="009F24D2"/>
    <w:rsid w:val="009F39EC"/>
    <w:rsid w:val="009F3C30"/>
    <w:rsid w:val="009F3CA8"/>
    <w:rsid w:val="009F3E48"/>
    <w:rsid w:val="009F3E83"/>
    <w:rsid w:val="009F40E1"/>
    <w:rsid w:val="009F42C7"/>
    <w:rsid w:val="009F4D15"/>
    <w:rsid w:val="009F54ED"/>
    <w:rsid w:val="009F622B"/>
    <w:rsid w:val="009F6E8C"/>
    <w:rsid w:val="009F7D3A"/>
    <w:rsid w:val="00A000CE"/>
    <w:rsid w:val="00A001D1"/>
    <w:rsid w:val="00A00520"/>
    <w:rsid w:val="00A01FB5"/>
    <w:rsid w:val="00A02AF6"/>
    <w:rsid w:val="00A02CF9"/>
    <w:rsid w:val="00A0381A"/>
    <w:rsid w:val="00A03D97"/>
    <w:rsid w:val="00A045FB"/>
    <w:rsid w:val="00A046B5"/>
    <w:rsid w:val="00A053E5"/>
    <w:rsid w:val="00A05486"/>
    <w:rsid w:val="00A055E3"/>
    <w:rsid w:val="00A0731A"/>
    <w:rsid w:val="00A07C89"/>
    <w:rsid w:val="00A11184"/>
    <w:rsid w:val="00A11262"/>
    <w:rsid w:val="00A12141"/>
    <w:rsid w:val="00A131EA"/>
    <w:rsid w:val="00A138E9"/>
    <w:rsid w:val="00A152B4"/>
    <w:rsid w:val="00A165D0"/>
    <w:rsid w:val="00A16832"/>
    <w:rsid w:val="00A16F23"/>
    <w:rsid w:val="00A170F1"/>
    <w:rsid w:val="00A173DD"/>
    <w:rsid w:val="00A17B4E"/>
    <w:rsid w:val="00A17DE2"/>
    <w:rsid w:val="00A2036B"/>
    <w:rsid w:val="00A211D5"/>
    <w:rsid w:val="00A21BC3"/>
    <w:rsid w:val="00A23BDD"/>
    <w:rsid w:val="00A23F38"/>
    <w:rsid w:val="00A23F93"/>
    <w:rsid w:val="00A24223"/>
    <w:rsid w:val="00A249CF"/>
    <w:rsid w:val="00A24A19"/>
    <w:rsid w:val="00A24D6A"/>
    <w:rsid w:val="00A25EB5"/>
    <w:rsid w:val="00A267FC"/>
    <w:rsid w:val="00A26BD5"/>
    <w:rsid w:val="00A31089"/>
    <w:rsid w:val="00A31348"/>
    <w:rsid w:val="00A31460"/>
    <w:rsid w:val="00A31AC5"/>
    <w:rsid w:val="00A342B5"/>
    <w:rsid w:val="00A34334"/>
    <w:rsid w:val="00A34F8B"/>
    <w:rsid w:val="00A36B1D"/>
    <w:rsid w:val="00A36B55"/>
    <w:rsid w:val="00A37019"/>
    <w:rsid w:val="00A37050"/>
    <w:rsid w:val="00A41ED5"/>
    <w:rsid w:val="00A42291"/>
    <w:rsid w:val="00A422E9"/>
    <w:rsid w:val="00A42880"/>
    <w:rsid w:val="00A4433E"/>
    <w:rsid w:val="00A44C06"/>
    <w:rsid w:val="00A456BA"/>
    <w:rsid w:val="00A458D0"/>
    <w:rsid w:val="00A45A02"/>
    <w:rsid w:val="00A511DB"/>
    <w:rsid w:val="00A51209"/>
    <w:rsid w:val="00A51F4C"/>
    <w:rsid w:val="00A5218D"/>
    <w:rsid w:val="00A52513"/>
    <w:rsid w:val="00A52DCF"/>
    <w:rsid w:val="00A531BB"/>
    <w:rsid w:val="00A53636"/>
    <w:rsid w:val="00A53D94"/>
    <w:rsid w:val="00A5553A"/>
    <w:rsid w:val="00A55D1F"/>
    <w:rsid w:val="00A5704C"/>
    <w:rsid w:val="00A57861"/>
    <w:rsid w:val="00A57A65"/>
    <w:rsid w:val="00A57D29"/>
    <w:rsid w:val="00A61238"/>
    <w:rsid w:val="00A61B47"/>
    <w:rsid w:val="00A6202A"/>
    <w:rsid w:val="00A626DB"/>
    <w:rsid w:val="00A651C8"/>
    <w:rsid w:val="00A651CE"/>
    <w:rsid w:val="00A65F54"/>
    <w:rsid w:val="00A67E09"/>
    <w:rsid w:val="00A702EA"/>
    <w:rsid w:val="00A70357"/>
    <w:rsid w:val="00A704F6"/>
    <w:rsid w:val="00A71406"/>
    <w:rsid w:val="00A72311"/>
    <w:rsid w:val="00A7360F"/>
    <w:rsid w:val="00A74194"/>
    <w:rsid w:val="00A74A92"/>
    <w:rsid w:val="00A74F81"/>
    <w:rsid w:val="00A75817"/>
    <w:rsid w:val="00A75DFA"/>
    <w:rsid w:val="00A7660B"/>
    <w:rsid w:val="00A805A2"/>
    <w:rsid w:val="00A80708"/>
    <w:rsid w:val="00A80CF1"/>
    <w:rsid w:val="00A810FB"/>
    <w:rsid w:val="00A82382"/>
    <w:rsid w:val="00A8270D"/>
    <w:rsid w:val="00A82895"/>
    <w:rsid w:val="00A82F1B"/>
    <w:rsid w:val="00A84261"/>
    <w:rsid w:val="00A84C3F"/>
    <w:rsid w:val="00A852F1"/>
    <w:rsid w:val="00A853A3"/>
    <w:rsid w:val="00A85BC1"/>
    <w:rsid w:val="00A85E25"/>
    <w:rsid w:val="00A871C9"/>
    <w:rsid w:val="00A9091F"/>
    <w:rsid w:val="00A9097E"/>
    <w:rsid w:val="00A94379"/>
    <w:rsid w:val="00A9452E"/>
    <w:rsid w:val="00A94C73"/>
    <w:rsid w:val="00A95149"/>
    <w:rsid w:val="00A9596D"/>
    <w:rsid w:val="00A959D3"/>
    <w:rsid w:val="00A9719F"/>
    <w:rsid w:val="00A97E1B"/>
    <w:rsid w:val="00AA083F"/>
    <w:rsid w:val="00AA0FB9"/>
    <w:rsid w:val="00AA116B"/>
    <w:rsid w:val="00AA1ECB"/>
    <w:rsid w:val="00AA2906"/>
    <w:rsid w:val="00AA33A0"/>
    <w:rsid w:val="00AA5478"/>
    <w:rsid w:val="00AA648A"/>
    <w:rsid w:val="00AA6929"/>
    <w:rsid w:val="00AA733A"/>
    <w:rsid w:val="00AA78E9"/>
    <w:rsid w:val="00AB08AB"/>
    <w:rsid w:val="00AB0AC5"/>
    <w:rsid w:val="00AB0FED"/>
    <w:rsid w:val="00AB165F"/>
    <w:rsid w:val="00AB234C"/>
    <w:rsid w:val="00AB2706"/>
    <w:rsid w:val="00AB2CBC"/>
    <w:rsid w:val="00AB2F29"/>
    <w:rsid w:val="00AB4864"/>
    <w:rsid w:val="00AB5436"/>
    <w:rsid w:val="00AB565A"/>
    <w:rsid w:val="00AB60D8"/>
    <w:rsid w:val="00AB6B14"/>
    <w:rsid w:val="00AB6C48"/>
    <w:rsid w:val="00AB6F1E"/>
    <w:rsid w:val="00AC0B5F"/>
    <w:rsid w:val="00AC3132"/>
    <w:rsid w:val="00AC3FF0"/>
    <w:rsid w:val="00AC478A"/>
    <w:rsid w:val="00AC5D4F"/>
    <w:rsid w:val="00AC6A32"/>
    <w:rsid w:val="00AC7087"/>
    <w:rsid w:val="00AC756C"/>
    <w:rsid w:val="00AC7F62"/>
    <w:rsid w:val="00AD1473"/>
    <w:rsid w:val="00AD14E5"/>
    <w:rsid w:val="00AD25A8"/>
    <w:rsid w:val="00AD2E73"/>
    <w:rsid w:val="00AD3B20"/>
    <w:rsid w:val="00AD5349"/>
    <w:rsid w:val="00AD5377"/>
    <w:rsid w:val="00AD59F1"/>
    <w:rsid w:val="00AD5B3C"/>
    <w:rsid w:val="00AD7DCE"/>
    <w:rsid w:val="00AE0250"/>
    <w:rsid w:val="00AE070A"/>
    <w:rsid w:val="00AE0B73"/>
    <w:rsid w:val="00AE1396"/>
    <w:rsid w:val="00AE1AF9"/>
    <w:rsid w:val="00AE2165"/>
    <w:rsid w:val="00AE2726"/>
    <w:rsid w:val="00AE328B"/>
    <w:rsid w:val="00AE4579"/>
    <w:rsid w:val="00AE5BC3"/>
    <w:rsid w:val="00AE5E72"/>
    <w:rsid w:val="00AE6B9F"/>
    <w:rsid w:val="00AE6BBB"/>
    <w:rsid w:val="00AE6BE1"/>
    <w:rsid w:val="00AF1330"/>
    <w:rsid w:val="00AF17D0"/>
    <w:rsid w:val="00AF1E6A"/>
    <w:rsid w:val="00AF2956"/>
    <w:rsid w:val="00AF2B49"/>
    <w:rsid w:val="00AF2D49"/>
    <w:rsid w:val="00AF4980"/>
    <w:rsid w:val="00AF7FA5"/>
    <w:rsid w:val="00B01090"/>
    <w:rsid w:val="00B01191"/>
    <w:rsid w:val="00B015BC"/>
    <w:rsid w:val="00B01997"/>
    <w:rsid w:val="00B01EC9"/>
    <w:rsid w:val="00B02F32"/>
    <w:rsid w:val="00B031CA"/>
    <w:rsid w:val="00B047FD"/>
    <w:rsid w:val="00B04C59"/>
    <w:rsid w:val="00B059CF"/>
    <w:rsid w:val="00B060F7"/>
    <w:rsid w:val="00B0610C"/>
    <w:rsid w:val="00B06160"/>
    <w:rsid w:val="00B07323"/>
    <w:rsid w:val="00B07526"/>
    <w:rsid w:val="00B10290"/>
    <w:rsid w:val="00B10B81"/>
    <w:rsid w:val="00B1182A"/>
    <w:rsid w:val="00B11ED1"/>
    <w:rsid w:val="00B12AA8"/>
    <w:rsid w:val="00B12B0F"/>
    <w:rsid w:val="00B13D50"/>
    <w:rsid w:val="00B14D46"/>
    <w:rsid w:val="00B157A8"/>
    <w:rsid w:val="00B15958"/>
    <w:rsid w:val="00B15C63"/>
    <w:rsid w:val="00B16C5C"/>
    <w:rsid w:val="00B20735"/>
    <w:rsid w:val="00B20D24"/>
    <w:rsid w:val="00B21BAF"/>
    <w:rsid w:val="00B21E33"/>
    <w:rsid w:val="00B220EC"/>
    <w:rsid w:val="00B241ED"/>
    <w:rsid w:val="00B24A4B"/>
    <w:rsid w:val="00B255D2"/>
    <w:rsid w:val="00B25655"/>
    <w:rsid w:val="00B259F9"/>
    <w:rsid w:val="00B277E1"/>
    <w:rsid w:val="00B27DFB"/>
    <w:rsid w:val="00B30088"/>
    <w:rsid w:val="00B30195"/>
    <w:rsid w:val="00B3092C"/>
    <w:rsid w:val="00B3135E"/>
    <w:rsid w:val="00B321A5"/>
    <w:rsid w:val="00B321DB"/>
    <w:rsid w:val="00B3230B"/>
    <w:rsid w:val="00B32E1F"/>
    <w:rsid w:val="00B331C7"/>
    <w:rsid w:val="00B3391F"/>
    <w:rsid w:val="00B33924"/>
    <w:rsid w:val="00B33EAA"/>
    <w:rsid w:val="00B3516B"/>
    <w:rsid w:val="00B36095"/>
    <w:rsid w:val="00B3643E"/>
    <w:rsid w:val="00B4121E"/>
    <w:rsid w:val="00B41357"/>
    <w:rsid w:val="00B41E87"/>
    <w:rsid w:val="00B424CC"/>
    <w:rsid w:val="00B43376"/>
    <w:rsid w:val="00B43AEC"/>
    <w:rsid w:val="00B44715"/>
    <w:rsid w:val="00B44841"/>
    <w:rsid w:val="00B4491C"/>
    <w:rsid w:val="00B453C8"/>
    <w:rsid w:val="00B45A0F"/>
    <w:rsid w:val="00B45C77"/>
    <w:rsid w:val="00B45D4E"/>
    <w:rsid w:val="00B469A2"/>
    <w:rsid w:val="00B46C8C"/>
    <w:rsid w:val="00B470DB"/>
    <w:rsid w:val="00B47BF0"/>
    <w:rsid w:val="00B521C6"/>
    <w:rsid w:val="00B55524"/>
    <w:rsid w:val="00B55E24"/>
    <w:rsid w:val="00B60AAC"/>
    <w:rsid w:val="00B61132"/>
    <w:rsid w:val="00B61B80"/>
    <w:rsid w:val="00B622F4"/>
    <w:rsid w:val="00B63AF7"/>
    <w:rsid w:val="00B644E6"/>
    <w:rsid w:val="00B70958"/>
    <w:rsid w:val="00B712DC"/>
    <w:rsid w:val="00B722BE"/>
    <w:rsid w:val="00B72402"/>
    <w:rsid w:val="00B729F8"/>
    <w:rsid w:val="00B74457"/>
    <w:rsid w:val="00B7552A"/>
    <w:rsid w:val="00B757A4"/>
    <w:rsid w:val="00B7634F"/>
    <w:rsid w:val="00B817ED"/>
    <w:rsid w:val="00B823AD"/>
    <w:rsid w:val="00B8323E"/>
    <w:rsid w:val="00B83264"/>
    <w:rsid w:val="00B83CC3"/>
    <w:rsid w:val="00B84331"/>
    <w:rsid w:val="00B84D92"/>
    <w:rsid w:val="00B875BF"/>
    <w:rsid w:val="00B87951"/>
    <w:rsid w:val="00B9086E"/>
    <w:rsid w:val="00B914F8"/>
    <w:rsid w:val="00B93137"/>
    <w:rsid w:val="00B94841"/>
    <w:rsid w:val="00B955D1"/>
    <w:rsid w:val="00B95905"/>
    <w:rsid w:val="00B95B11"/>
    <w:rsid w:val="00BA0032"/>
    <w:rsid w:val="00BA0959"/>
    <w:rsid w:val="00BA0FF9"/>
    <w:rsid w:val="00BA110D"/>
    <w:rsid w:val="00BA124D"/>
    <w:rsid w:val="00BA3BF9"/>
    <w:rsid w:val="00BA3CD6"/>
    <w:rsid w:val="00BA43C2"/>
    <w:rsid w:val="00BA549A"/>
    <w:rsid w:val="00BA54EF"/>
    <w:rsid w:val="00BA5AA1"/>
    <w:rsid w:val="00BA61B9"/>
    <w:rsid w:val="00BB06E7"/>
    <w:rsid w:val="00BB1292"/>
    <w:rsid w:val="00BB1B50"/>
    <w:rsid w:val="00BB25A0"/>
    <w:rsid w:val="00BB3B8B"/>
    <w:rsid w:val="00BB3DE2"/>
    <w:rsid w:val="00BB451C"/>
    <w:rsid w:val="00BB491E"/>
    <w:rsid w:val="00BB5158"/>
    <w:rsid w:val="00BB5506"/>
    <w:rsid w:val="00BB75E7"/>
    <w:rsid w:val="00BC01E3"/>
    <w:rsid w:val="00BC040B"/>
    <w:rsid w:val="00BC0DE6"/>
    <w:rsid w:val="00BC2225"/>
    <w:rsid w:val="00BC23E4"/>
    <w:rsid w:val="00BC2442"/>
    <w:rsid w:val="00BC4D93"/>
    <w:rsid w:val="00BC5618"/>
    <w:rsid w:val="00BC5C6A"/>
    <w:rsid w:val="00BC6AEB"/>
    <w:rsid w:val="00BC7439"/>
    <w:rsid w:val="00BC7E52"/>
    <w:rsid w:val="00BD0289"/>
    <w:rsid w:val="00BD0591"/>
    <w:rsid w:val="00BD071A"/>
    <w:rsid w:val="00BD1AE2"/>
    <w:rsid w:val="00BD1B98"/>
    <w:rsid w:val="00BD41B2"/>
    <w:rsid w:val="00BD4A32"/>
    <w:rsid w:val="00BD5EE9"/>
    <w:rsid w:val="00BD6440"/>
    <w:rsid w:val="00BD64E7"/>
    <w:rsid w:val="00BD65EE"/>
    <w:rsid w:val="00BD7823"/>
    <w:rsid w:val="00BE034D"/>
    <w:rsid w:val="00BE04CE"/>
    <w:rsid w:val="00BE2DB5"/>
    <w:rsid w:val="00BE2E96"/>
    <w:rsid w:val="00BE33D1"/>
    <w:rsid w:val="00BE38E6"/>
    <w:rsid w:val="00BE49CD"/>
    <w:rsid w:val="00BE49EE"/>
    <w:rsid w:val="00BE5BFC"/>
    <w:rsid w:val="00BE5FE4"/>
    <w:rsid w:val="00BE68DF"/>
    <w:rsid w:val="00BE6A45"/>
    <w:rsid w:val="00BE7639"/>
    <w:rsid w:val="00BF01E4"/>
    <w:rsid w:val="00BF2BE8"/>
    <w:rsid w:val="00BF3F6A"/>
    <w:rsid w:val="00BF428A"/>
    <w:rsid w:val="00BF4A9E"/>
    <w:rsid w:val="00BF530B"/>
    <w:rsid w:val="00BF5E4E"/>
    <w:rsid w:val="00BF778C"/>
    <w:rsid w:val="00BF7B6E"/>
    <w:rsid w:val="00BF7D55"/>
    <w:rsid w:val="00C01713"/>
    <w:rsid w:val="00C01AF9"/>
    <w:rsid w:val="00C02866"/>
    <w:rsid w:val="00C02EE4"/>
    <w:rsid w:val="00C02FD4"/>
    <w:rsid w:val="00C05D80"/>
    <w:rsid w:val="00C068F1"/>
    <w:rsid w:val="00C075A5"/>
    <w:rsid w:val="00C1151F"/>
    <w:rsid w:val="00C12EBF"/>
    <w:rsid w:val="00C1328B"/>
    <w:rsid w:val="00C13C7E"/>
    <w:rsid w:val="00C13D55"/>
    <w:rsid w:val="00C1707A"/>
    <w:rsid w:val="00C17BF5"/>
    <w:rsid w:val="00C2046B"/>
    <w:rsid w:val="00C20489"/>
    <w:rsid w:val="00C204EB"/>
    <w:rsid w:val="00C22D8D"/>
    <w:rsid w:val="00C22E1C"/>
    <w:rsid w:val="00C2432D"/>
    <w:rsid w:val="00C2435E"/>
    <w:rsid w:val="00C257A5"/>
    <w:rsid w:val="00C2647E"/>
    <w:rsid w:val="00C27B60"/>
    <w:rsid w:val="00C3007D"/>
    <w:rsid w:val="00C306CE"/>
    <w:rsid w:val="00C33487"/>
    <w:rsid w:val="00C33AFC"/>
    <w:rsid w:val="00C33C60"/>
    <w:rsid w:val="00C3414F"/>
    <w:rsid w:val="00C34590"/>
    <w:rsid w:val="00C35723"/>
    <w:rsid w:val="00C35A38"/>
    <w:rsid w:val="00C364B9"/>
    <w:rsid w:val="00C36AA3"/>
    <w:rsid w:val="00C37133"/>
    <w:rsid w:val="00C37D75"/>
    <w:rsid w:val="00C40BC2"/>
    <w:rsid w:val="00C40CEB"/>
    <w:rsid w:val="00C40EE2"/>
    <w:rsid w:val="00C40F99"/>
    <w:rsid w:val="00C4138D"/>
    <w:rsid w:val="00C424FE"/>
    <w:rsid w:val="00C42B6F"/>
    <w:rsid w:val="00C42F80"/>
    <w:rsid w:val="00C435E9"/>
    <w:rsid w:val="00C43ACE"/>
    <w:rsid w:val="00C441EC"/>
    <w:rsid w:val="00C4592D"/>
    <w:rsid w:val="00C46049"/>
    <w:rsid w:val="00C469C4"/>
    <w:rsid w:val="00C46AB1"/>
    <w:rsid w:val="00C46AEB"/>
    <w:rsid w:val="00C46B33"/>
    <w:rsid w:val="00C47F6D"/>
    <w:rsid w:val="00C50F53"/>
    <w:rsid w:val="00C51251"/>
    <w:rsid w:val="00C513A2"/>
    <w:rsid w:val="00C52684"/>
    <w:rsid w:val="00C53FE3"/>
    <w:rsid w:val="00C5415B"/>
    <w:rsid w:val="00C560D3"/>
    <w:rsid w:val="00C57680"/>
    <w:rsid w:val="00C57F29"/>
    <w:rsid w:val="00C60729"/>
    <w:rsid w:val="00C60773"/>
    <w:rsid w:val="00C6307E"/>
    <w:rsid w:val="00C64664"/>
    <w:rsid w:val="00C71B18"/>
    <w:rsid w:val="00C71FB6"/>
    <w:rsid w:val="00C72C4A"/>
    <w:rsid w:val="00C72D15"/>
    <w:rsid w:val="00C7398C"/>
    <w:rsid w:val="00C73FBC"/>
    <w:rsid w:val="00C7449E"/>
    <w:rsid w:val="00C7503A"/>
    <w:rsid w:val="00C75382"/>
    <w:rsid w:val="00C754BF"/>
    <w:rsid w:val="00C76439"/>
    <w:rsid w:val="00C764E8"/>
    <w:rsid w:val="00C778EB"/>
    <w:rsid w:val="00C7793E"/>
    <w:rsid w:val="00C779E9"/>
    <w:rsid w:val="00C77AD0"/>
    <w:rsid w:val="00C802CA"/>
    <w:rsid w:val="00C80D91"/>
    <w:rsid w:val="00C813AC"/>
    <w:rsid w:val="00C81A0E"/>
    <w:rsid w:val="00C81F70"/>
    <w:rsid w:val="00C82300"/>
    <w:rsid w:val="00C83B45"/>
    <w:rsid w:val="00C84180"/>
    <w:rsid w:val="00C84910"/>
    <w:rsid w:val="00C858AD"/>
    <w:rsid w:val="00C85D55"/>
    <w:rsid w:val="00C85F8A"/>
    <w:rsid w:val="00C860BA"/>
    <w:rsid w:val="00C86788"/>
    <w:rsid w:val="00C86F5B"/>
    <w:rsid w:val="00C91946"/>
    <w:rsid w:val="00C91D23"/>
    <w:rsid w:val="00C93FAB"/>
    <w:rsid w:val="00C95235"/>
    <w:rsid w:val="00C95B88"/>
    <w:rsid w:val="00C9608F"/>
    <w:rsid w:val="00C96F7B"/>
    <w:rsid w:val="00C9719E"/>
    <w:rsid w:val="00C9787A"/>
    <w:rsid w:val="00CA102A"/>
    <w:rsid w:val="00CA1ACE"/>
    <w:rsid w:val="00CA1C36"/>
    <w:rsid w:val="00CA2F6B"/>
    <w:rsid w:val="00CA35B7"/>
    <w:rsid w:val="00CA63F0"/>
    <w:rsid w:val="00CB0846"/>
    <w:rsid w:val="00CB08B4"/>
    <w:rsid w:val="00CB0E13"/>
    <w:rsid w:val="00CB1602"/>
    <w:rsid w:val="00CB2969"/>
    <w:rsid w:val="00CB51D8"/>
    <w:rsid w:val="00CC0294"/>
    <w:rsid w:val="00CC0337"/>
    <w:rsid w:val="00CC0720"/>
    <w:rsid w:val="00CC1D88"/>
    <w:rsid w:val="00CC618B"/>
    <w:rsid w:val="00CC6828"/>
    <w:rsid w:val="00CC72A7"/>
    <w:rsid w:val="00CC7637"/>
    <w:rsid w:val="00CC7ABF"/>
    <w:rsid w:val="00CC7B7F"/>
    <w:rsid w:val="00CD16C5"/>
    <w:rsid w:val="00CD32D5"/>
    <w:rsid w:val="00CD3879"/>
    <w:rsid w:val="00CD3B7C"/>
    <w:rsid w:val="00CD59BB"/>
    <w:rsid w:val="00CD5ECA"/>
    <w:rsid w:val="00CD6207"/>
    <w:rsid w:val="00CD6C6C"/>
    <w:rsid w:val="00CD7007"/>
    <w:rsid w:val="00CD7E9F"/>
    <w:rsid w:val="00CE0B8B"/>
    <w:rsid w:val="00CE21B3"/>
    <w:rsid w:val="00CE26D5"/>
    <w:rsid w:val="00CE2CB8"/>
    <w:rsid w:val="00CE39DE"/>
    <w:rsid w:val="00CE3A82"/>
    <w:rsid w:val="00CE3E5A"/>
    <w:rsid w:val="00CE4032"/>
    <w:rsid w:val="00CE42E1"/>
    <w:rsid w:val="00CE556C"/>
    <w:rsid w:val="00CE585A"/>
    <w:rsid w:val="00CE59BC"/>
    <w:rsid w:val="00CE5D44"/>
    <w:rsid w:val="00CE61F3"/>
    <w:rsid w:val="00CE6A5C"/>
    <w:rsid w:val="00CE7B2F"/>
    <w:rsid w:val="00CE7E25"/>
    <w:rsid w:val="00CF0196"/>
    <w:rsid w:val="00CF07A6"/>
    <w:rsid w:val="00CF125C"/>
    <w:rsid w:val="00CF141A"/>
    <w:rsid w:val="00CF1E28"/>
    <w:rsid w:val="00CF2444"/>
    <w:rsid w:val="00CF2BA0"/>
    <w:rsid w:val="00CF35F4"/>
    <w:rsid w:val="00CF3990"/>
    <w:rsid w:val="00CF3C3B"/>
    <w:rsid w:val="00CF40BF"/>
    <w:rsid w:val="00CF56B9"/>
    <w:rsid w:val="00CF56CD"/>
    <w:rsid w:val="00CF5B7D"/>
    <w:rsid w:val="00CF7090"/>
    <w:rsid w:val="00CF7689"/>
    <w:rsid w:val="00CF7AF5"/>
    <w:rsid w:val="00CF7B28"/>
    <w:rsid w:val="00D00227"/>
    <w:rsid w:val="00D00271"/>
    <w:rsid w:val="00D0109C"/>
    <w:rsid w:val="00D011FA"/>
    <w:rsid w:val="00D01E3C"/>
    <w:rsid w:val="00D0299F"/>
    <w:rsid w:val="00D03599"/>
    <w:rsid w:val="00D038BD"/>
    <w:rsid w:val="00D042CC"/>
    <w:rsid w:val="00D047FC"/>
    <w:rsid w:val="00D05C92"/>
    <w:rsid w:val="00D07238"/>
    <w:rsid w:val="00D07250"/>
    <w:rsid w:val="00D11545"/>
    <w:rsid w:val="00D117AB"/>
    <w:rsid w:val="00D1188E"/>
    <w:rsid w:val="00D1196E"/>
    <w:rsid w:val="00D121A9"/>
    <w:rsid w:val="00D12BDC"/>
    <w:rsid w:val="00D13269"/>
    <w:rsid w:val="00D13A50"/>
    <w:rsid w:val="00D140C0"/>
    <w:rsid w:val="00D14308"/>
    <w:rsid w:val="00D14DBE"/>
    <w:rsid w:val="00D15490"/>
    <w:rsid w:val="00D15DDA"/>
    <w:rsid w:val="00D17AA6"/>
    <w:rsid w:val="00D2006C"/>
    <w:rsid w:val="00D2028F"/>
    <w:rsid w:val="00D203E3"/>
    <w:rsid w:val="00D20B61"/>
    <w:rsid w:val="00D22A9F"/>
    <w:rsid w:val="00D23D68"/>
    <w:rsid w:val="00D24191"/>
    <w:rsid w:val="00D24316"/>
    <w:rsid w:val="00D244EF"/>
    <w:rsid w:val="00D24B48"/>
    <w:rsid w:val="00D250F1"/>
    <w:rsid w:val="00D2512E"/>
    <w:rsid w:val="00D25381"/>
    <w:rsid w:val="00D25732"/>
    <w:rsid w:val="00D25793"/>
    <w:rsid w:val="00D25A51"/>
    <w:rsid w:val="00D25EEB"/>
    <w:rsid w:val="00D2656F"/>
    <w:rsid w:val="00D26E48"/>
    <w:rsid w:val="00D275DD"/>
    <w:rsid w:val="00D27929"/>
    <w:rsid w:val="00D27CBC"/>
    <w:rsid w:val="00D31467"/>
    <w:rsid w:val="00D316FB"/>
    <w:rsid w:val="00D32268"/>
    <w:rsid w:val="00D32800"/>
    <w:rsid w:val="00D32ABF"/>
    <w:rsid w:val="00D33336"/>
    <w:rsid w:val="00D33ABF"/>
    <w:rsid w:val="00D33C1B"/>
    <w:rsid w:val="00D34373"/>
    <w:rsid w:val="00D34408"/>
    <w:rsid w:val="00D34A64"/>
    <w:rsid w:val="00D34A86"/>
    <w:rsid w:val="00D360A9"/>
    <w:rsid w:val="00D40DB8"/>
    <w:rsid w:val="00D40F70"/>
    <w:rsid w:val="00D41F15"/>
    <w:rsid w:val="00D42392"/>
    <w:rsid w:val="00D423D4"/>
    <w:rsid w:val="00D426D8"/>
    <w:rsid w:val="00D426E3"/>
    <w:rsid w:val="00D44559"/>
    <w:rsid w:val="00D445AC"/>
    <w:rsid w:val="00D45725"/>
    <w:rsid w:val="00D45D3A"/>
    <w:rsid w:val="00D51005"/>
    <w:rsid w:val="00D51B02"/>
    <w:rsid w:val="00D52562"/>
    <w:rsid w:val="00D529C2"/>
    <w:rsid w:val="00D52B25"/>
    <w:rsid w:val="00D52BE8"/>
    <w:rsid w:val="00D533B7"/>
    <w:rsid w:val="00D53D71"/>
    <w:rsid w:val="00D5427A"/>
    <w:rsid w:val="00D54311"/>
    <w:rsid w:val="00D5514A"/>
    <w:rsid w:val="00D55738"/>
    <w:rsid w:val="00D56D25"/>
    <w:rsid w:val="00D57467"/>
    <w:rsid w:val="00D57592"/>
    <w:rsid w:val="00D60186"/>
    <w:rsid w:val="00D61169"/>
    <w:rsid w:val="00D61DE5"/>
    <w:rsid w:val="00D62A1C"/>
    <w:rsid w:val="00D63376"/>
    <w:rsid w:val="00D64708"/>
    <w:rsid w:val="00D64A02"/>
    <w:rsid w:val="00D65F10"/>
    <w:rsid w:val="00D65FC4"/>
    <w:rsid w:val="00D66389"/>
    <w:rsid w:val="00D66660"/>
    <w:rsid w:val="00D66812"/>
    <w:rsid w:val="00D66E31"/>
    <w:rsid w:val="00D676C2"/>
    <w:rsid w:val="00D67CCA"/>
    <w:rsid w:val="00D70396"/>
    <w:rsid w:val="00D708F4"/>
    <w:rsid w:val="00D7091A"/>
    <w:rsid w:val="00D70BC4"/>
    <w:rsid w:val="00D71A41"/>
    <w:rsid w:val="00D71DDC"/>
    <w:rsid w:val="00D727AE"/>
    <w:rsid w:val="00D7295D"/>
    <w:rsid w:val="00D72A5C"/>
    <w:rsid w:val="00D72A94"/>
    <w:rsid w:val="00D76050"/>
    <w:rsid w:val="00D76659"/>
    <w:rsid w:val="00D76976"/>
    <w:rsid w:val="00D76E47"/>
    <w:rsid w:val="00D76FCF"/>
    <w:rsid w:val="00D8050A"/>
    <w:rsid w:val="00D807CF"/>
    <w:rsid w:val="00D818C9"/>
    <w:rsid w:val="00D82812"/>
    <w:rsid w:val="00D836F6"/>
    <w:rsid w:val="00D83981"/>
    <w:rsid w:val="00D84A92"/>
    <w:rsid w:val="00D855AE"/>
    <w:rsid w:val="00D85B63"/>
    <w:rsid w:val="00D86E89"/>
    <w:rsid w:val="00D876CE"/>
    <w:rsid w:val="00D902AC"/>
    <w:rsid w:val="00D90C07"/>
    <w:rsid w:val="00D90D5A"/>
    <w:rsid w:val="00D9172E"/>
    <w:rsid w:val="00D92119"/>
    <w:rsid w:val="00D92C91"/>
    <w:rsid w:val="00D94A58"/>
    <w:rsid w:val="00D953FA"/>
    <w:rsid w:val="00D954B0"/>
    <w:rsid w:val="00D95D03"/>
    <w:rsid w:val="00D96465"/>
    <w:rsid w:val="00D968ED"/>
    <w:rsid w:val="00D974B4"/>
    <w:rsid w:val="00D9791F"/>
    <w:rsid w:val="00D97A0A"/>
    <w:rsid w:val="00DA0678"/>
    <w:rsid w:val="00DA1960"/>
    <w:rsid w:val="00DA1C56"/>
    <w:rsid w:val="00DA2AB5"/>
    <w:rsid w:val="00DA2B94"/>
    <w:rsid w:val="00DA2BB0"/>
    <w:rsid w:val="00DA2C5A"/>
    <w:rsid w:val="00DA2F55"/>
    <w:rsid w:val="00DA32A8"/>
    <w:rsid w:val="00DA355C"/>
    <w:rsid w:val="00DA36A2"/>
    <w:rsid w:val="00DA3837"/>
    <w:rsid w:val="00DA39F5"/>
    <w:rsid w:val="00DA4270"/>
    <w:rsid w:val="00DA4B86"/>
    <w:rsid w:val="00DA5020"/>
    <w:rsid w:val="00DA5BC8"/>
    <w:rsid w:val="00DA63A0"/>
    <w:rsid w:val="00DA6C61"/>
    <w:rsid w:val="00DA6CC2"/>
    <w:rsid w:val="00DA6E9C"/>
    <w:rsid w:val="00DA70E6"/>
    <w:rsid w:val="00DB03CB"/>
    <w:rsid w:val="00DB0B54"/>
    <w:rsid w:val="00DB10E5"/>
    <w:rsid w:val="00DB186B"/>
    <w:rsid w:val="00DB1A1D"/>
    <w:rsid w:val="00DB1EE4"/>
    <w:rsid w:val="00DB3088"/>
    <w:rsid w:val="00DB3AB8"/>
    <w:rsid w:val="00DB3B8F"/>
    <w:rsid w:val="00DB45A4"/>
    <w:rsid w:val="00DB5041"/>
    <w:rsid w:val="00DB597D"/>
    <w:rsid w:val="00DB5D97"/>
    <w:rsid w:val="00DB792C"/>
    <w:rsid w:val="00DC0113"/>
    <w:rsid w:val="00DC11F9"/>
    <w:rsid w:val="00DC208C"/>
    <w:rsid w:val="00DC29DB"/>
    <w:rsid w:val="00DC367E"/>
    <w:rsid w:val="00DC4094"/>
    <w:rsid w:val="00DC43F2"/>
    <w:rsid w:val="00DC4902"/>
    <w:rsid w:val="00DC52C5"/>
    <w:rsid w:val="00DC55CB"/>
    <w:rsid w:val="00DC6495"/>
    <w:rsid w:val="00DC649F"/>
    <w:rsid w:val="00DC75CD"/>
    <w:rsid w:val="00DC7672"/>
    <w:rsid w:val="00DC78F7"/>
    <w:rsid w:val="00DD07EB"/>
    <w:rsid w:val="00DD0CB7"/>
    <w:rsid w:val="00DD1A7A"/>
    <w:rsid w:val="00DD1AC3"/>
    <w:rsid w:val="00DD2AE1"/>
    <w:rsid w:val="00DD32EC"/>
    <w:rsid w:val="00DD32F7"/>
    <w:rsid w:val="00DD3A2C"/>
    <w:rsid w:val="00DD41E5"/>
    <w:rsid w:val="00DD41F2"/>
    <w:rsid w:val="00DD6C39"/>
    <w:rsid w:val="00DD70E1"/>
    <w:rsid w:val="00DD73F2"/>
    <w:rsid w:val="00DE0387"/>
    <w:rsid w:val="00DE0A39"/>
    <w:rsid w:val="00DE2F18"/>
    <w:rsid w:val="00DE38F8"/>
    <w:rsid w:val="00DE3C8B"/>
    <w:rsid w:val="00DE4A14"/>
    <w:rsid w:val="00DE5B23"/>
    <w:rsid w:val="00DE6155"/>
    <w:rsid w:val="00DE6693"/>
    <w:rsid w:val="00DE678A"/>
    <w:rsid w:val="00DE7D1C"/>
    <w:rsid w:val="00DF0223"/>
    <w:rsid w:val="00DF1911"/>
    <w:rsid w:val="00DF1B4B"/>
    <w:rsid w:val="00DF1FED"/>
    <w:rsid w:val="00DF2B93"/>
    <w:rsid w:val="00DF40EE"/>
    <w:rsid w:val="00DF4618"/>
    <w:rsid w:val="00DF46AF"/>
    <w:rsid w:val="00DF4912"/>
    <w:rsid w:val="00DF5C3D"/>
    <w:rsid w:val="00E0129F"/>
    <w:rsid w:val="00E01A9C"/>
    <w:rsid w:val="00E0227F"/>
    <w:rsid w:val="00E02B43"/>
    <w:rsid w:val="00E03499"/>
    <w:rsid w:val="00E03776"/>
    <w:rsid w:val="00E03952"/>
    <w:rsid w:val="00E044BC"/>
    <w:rsid w:val="00E05378"/>
    <w:rsid w:val="00E0561E"/>
    <w:rsid w:val="00E06C1B"/>
    <w:rsid w:val="00E07D1C"/>
    <w:rsid w:val="00E1060E"/>
    <w:rsid w:val="00E10AED"/>
    <w:rsid w:val="00E112A7"/>
    <w:rsid w:val="00E116A9"/>
    <w:rsid w:val="00E122C0"/>
    <w:rsid w:val="00E12391"/>
    <w:rsid w:val="00E12B33"/>
    <w:rsid w:val="00E13470"/>
    <w:rsid w:val="00E140A5"/>
    <w:rsid w:val="00E146AD"/>
    <w:rsid w:val="00E14CF5"/>
    <w:rsid w:val="00E153BA"/>
    <w:rsid w:val="00E155E7"/>
    <w:rsid w:val="00E15676"/>
    <w:rsid w:val="00E16321"/>
    <w:rsid w:val="00E16783"/>
    <w:rsid w:val="00E16B5D"/>
    <w:rsid w:val="00E16BEC"/>
    <w:rsid w:val="00E16CE5"/>
    <w:rsid w:val="00E17ACF"/>
    <w:rsid w:val="00E17B83"/>
    <w:rsid w:val="00E2013E"/>
    <w:rsid w:val="00E20421"/>
    <w:rsid w:val="00E20E1D"/>
    <w:rsid w:val="00E214B3"/>
    <w:rsid w:val="00E21D45"/>
    <w:rsid w:val="00E237B6"/>
    <w:rsid w:val="00E23B29"/>
    <w:rsid w:val="00E23E1F"/>
    <w:rsid w:val="00E2530C"/>
    <w:rsid w:val="00E26766"/>
    <w:rsid w:val="00E26813"/>
    <w:rsid w:val="00E26866"/>
    <w:rsid w:val="00E301E5"/>
    <w:rsid w:val="00E3156A"/>
    <w:rsid w:val="00E31692"/>
    <w:rsid w:val="00E322D2"/>
    <w:rsid w:val="00E32F63"/>
    <w:rsid w:val="00E331E9"/>
    <w:rsid w:val="00E33309"/>
    <w:rsid w:val="00E33478"/>
    <w:rsid w:val="00E33CA0"/>
    <w:rsid w:val="00E35146"/>
    <w:rsid w:val="00E36908"/>
    <w:rsid w:val="00E369CA"/>
    <w:rsid w:val="00E36DB0"/>
    <w:rsid w:val="00E37BFE"/>
    <w:rsid w:val="00E40711"/>
    <w:rsid w:val="00E411D0"/>
    <w:rsid w:val="00E4168D"/>
    <w:rsid w:val="00E417A1"/>
    <w:rsid w:val="00E4288E"/>
    <w:rsid w:val="00E42B39"/>
    <w:rsid w:val="00E44CBB"/>
    <w:rsid w:val="00E455B9"/>
    <w:rsid w:val="00E4594D"/>
    <w:rsid w:val="00E45A2E"/>
    <w:rsid w:val="00E46288"/>
    <w:rsid w:val="00E462ED"/>
    <w:rsid w:val="00E47A94"/>
    <w:rsid w:val="00E47F4B"/>
    <w:rsid w:val="00E50762"/>
    <w:rsid w:val="00E52336"/>
    <w:rsid w:val="00E5265A"/>
    <w:rsid w:val="00E52B72"/>
    <w:rsid w:val="00E54AB8"/>
    <w:rsid w:val="00E55155"/>
    <w:rsid w:val="00E5553D"/>
    <w:rsid w:val="00E56423"/>
    <w:rsid w:val="00E564E0"/>
    <w:rsid w:val="00E56B0D"/>
    <w:rsid w:val="00E60C51"/>
    <w:rsid w:val="00E62288"/>
    <w:rsid w:val="00E62390"/>
    <w:rsid w:val="00E63048"/>
    <w:rsid w:val="00E63213"/>
    <w:rsid w:val="00E63A04"/>
    <w:rsid w:val="00E63C46"/>
    <w:rsid w:val="00E63F19"/>
    <w:rsid w:val="00E6415C"/>
    <w:rsid w:val="00E64E1E"/>
    <w:rsid w:val="00E65199"/>
    <w:rsid w:val="00E658A5"/>
    <w:rsid w:val="00E65C22"/>
    <w:rsid w:val="00E65CA7"/>
    <w:rsid w:val="00E66012"/>
    <w:rsid w:val="00E67A95"/>
    <w:rsid w:val="00E719BE"/>
    <w:rsid w:val="00E72289"/>
    <w:rsid w:val="00E72DB4"/>
    <w:rsid w:val="00E733FA"/>
    <w:rsid w:val="00E7388D"/>
    <w:rsid w:val="00E74158"/>
    <w:rsid w:val="00E7432A"/>
    <w:rsid w:val="00E747E2"/>
    <w:rsid w:val="00E75092"/>
    <w:rsid w:val="00E75823"/>
    <w:rsid w:val="00E768AA"/>
    <w:rsid w:val="00E777D3"/>
    <w:rsid w:val="00E778B9"/>
    <w:rsid w:val="00E8025F"/>
    <w:rsid w:val="00E8150C"/>
    <w:rsid w:val="00E8281B"/>
    <w:rsid w:val="00E828EE"/>
    <w:rsid w:val="00E829A4"/>
    <w:rsid w:val="00E82A90"/>
    <w:rsid w:val="00E833DB"/>
    <w:rsid w:val="00E83484"/>
    <w:rsid w:val="00E850C4"/>
    <w:rsid w:val="00E8513C"/>
    <w:rsid w:val="00E8517D"/>
    <w:rsid w:val="00E8726A"/>
    <w:rsid w:val="00E87B53"/>
    <w:rsid w:val="00E87C38"/>
    <w:rsid w:val="00E906A5"/>
    <w:rsid w:val="00E910DE"/>
    <w:rsid w:val="00E92057"/>
    <w:rsid w:val="00E9216C"/>
    <w:rsid w:val="00E924E0"/>
    <w:rsid w:val="00E92758"/>
    <w:rsid w:val="00E944D8"/>
    <w:rsid w:val="00E947F1"/>
    <w:rsid w:val="00E95D9C"/>
    <w:rsid w:val="00E9601C"/>
    <w:rsid w:val="00E97813"/>
    <w:rsid w:val="00E97840"/>
    <w:rsid w:val="00EA0A89"/>
    <w:rsid w:val="00EA0AFF"/>
    <w:rsid w:val="00EA35FC"/>
    <w:rsid w:val="00EA3C67"/>
    <w:rsid w:val="00EA4EBB"/>
    <w:rsid w:val="00EA571F"/>
    <w:rsid w:val="00EA5A09"/>
    <w:rsid w:val="00EA5E49"/>
    <w:rsid w:val="00EA62CF"/>
    <w:rsid w:val="00EA6E7A"/>
    <w:rsid w:val="00EA6FAB"/>
    <w:rsid w:val="00EA7A75"/>
    <w:rsid w:val="00EA7B94"/>
    <w:rsid w:val="00EB2960"/>
    <w:rsid w:val="00EB2994"/>
    <w:rsid w:val="00EB37F1"/>
    <w:rsid w:val="00EB3C05"/>
    <w:rsid w:val="00EB4A4C"/>
    <w:rsid w:val="00EB5C2D"/>
    <w:rsid w:val="00EB5D4E"/>
    <w:rsid w:val="00EB6221"/>
    <w:rsid w:val="00EB6ED7"/>
    <w:rsid w:val="00EB73ED"/>
    <w:rsid w:val="00EC09B8"/>
    <w:rsid w:val="00EC0CDB"/>
    <w:rsid w:val="00EC198E"/>
    <w:rsid w:val="00EC1F50"/>
    <w:rsid w:val="00EC24D2"/>
    <w:rsid w:val="00ED02B4"/>
    <w:rsid w:val="00ED0FDC"/>
    <w:rsid w:val="00ED2099"/>
    <w:rsid w:val="00ED23D2"/>
    <w:rsid w:val="00ED3CFB"/>
    <w:rsid w:val="00ED664C"/>
    <w:rsid w:val="00ED6C28"/>
    <w:rsid w:val="00ED7AA9"/>
    <w:rsid w:val="00EE03CE"/>
    <w:rsid w:val="00EE06E1"/>
    <w:rsid w:val="00EE08E2"/>
    <w:rsid w:val="00EE14C7"/>
    <w:rsid w:val="00EE40C8"/>
    <w:rsid w:val="00EE47C1"/>
    <w:rsid w:val="00EE5277"/>
    <w:rsid w:val="00EE5E97"/>
    <w:rsid w:val="00EE5FC9"/>
    <w:rsid w:val="00EE6116"/>
    <w:rsid w:val="00EE6719"/>
    <w:rsid w:val="00EE75E3"/>
    <w:rsid w:val="00EF152E"/>
    <w:rsid w:val="00EF18BF"/>
    <w:rsid w:val="00EF1AB4"/>
    <w:rsid w:val="00EF1FF4"/>
    <w:rsid w:val="00EF38D1"/>
    <w:rsid w:val="00EF4558"/>
    <w:rsid w:val="00EF4E66"/>
    <w:rsid w:val="00EF5FC9"/>
    <w:rsid w:val="00EF64A1"/>
    <w:rsid w:val="00EF670B"/>
    <w:rsid w:val="00F00B93"/>
    <w:rsid w:val="00F01167"/>
    <w:rsid w:val="00F013C7"/>
    <w:rsid w:val="00F02037"/>
    <w:rsid w:val="00F0287A"/>
    <w:rsid w:val="00F030B1"/>
    <w:rsid w:val="00F0442D"/>
    <w:rsid w:val="00F047FD"/>
    <w:rsid w:val="00F049ED"/>
    <w:rsid w:val="00F05FC5"/>
    <w:rsid w:val="00F06173"/>
    <w:rsid w:val="00F068E2"/>
    <w:rsid w:val="00F06BC0"/>
    <w:rsid w:val="00F07196"/>
    <w:rsid w:val="00F071AE"/>
    <w:rsid w:val="00F07306"/>
    <w:rsid w:val="00F079A7"/>
    <w:rsid w:val="00F07A28"/>
    <w:rsid w:val="00F10336"/>
    <w:rsid w:val="00F1085F"/>
    <w:rsid w:val="00F10CF7"/>
    <w:rsid w:val="00F10D16"/>
    <w:rsid w:val="00F11070"/>
    <w:rsid w:val="00F11324"/>
    <w:rsid w:val="00F113FD"/>
    <w:rsid w:val="00F114F1"/>
    <w:rsid w:val="00F11811"/>
    <w:rsid w:val="00F1306E"/>
    <w:rsid w:val="00F138AF"/>
    <w:rsid w:val="00F13D95"/>
    <w:rsid w:val="00F14320"/>
    <w:rsid w:val="00F149B4"/>
    <w:rsid w:val="00F15BB7"/>
    <w:rsid w:val="00F15CA8"/>
    <w:rsid w:val="00F16FDF"/>
    <w:rsid w:val="00F17919"/>
    <w:rsid w:val="00F20D08"/>
    <w:rsid w:val="00F213E7"/>
    <w:rsid w:val="00F216C0"/>
    <w:rsid w:val="00F21E19"/>
    <w:rsid w:val="00F22114"/>
    <w:rsid w:val="00F2253B"/>
    <w:rsid w:val="00F22B13"/>
    <w:rsid w:val="00F23DFF"/>
    <w:rsid w:val="00F24293"/>
    <w:rsid w:val="00F24A8F"/>
    <w:rsid w:val="00F24C70"/>
    <w:rsid w:val="00F25711"/>
    <w:rsid w:val="00F25A5A"/>
    <w:rsid w:val="00F2606F"/>
    <w:rsid w:val="00F26DD8"/>
    <w:rsid w:val="00F2710D"/>
    <w:rsid w:val="00F27293"/>
    <w:rsid w:val="00F30463"/>
    <w:rsid w:val="00F314F9"/>
    <w:rsid w:val="00F335BA"/>
    <w:rsid w:val="00F34504"/>
    <w:rsid w:val="00F347FE"/>
    <w:rsid w:val="00F349E0"/>
    <w:rsid w:val="00F35839"/>
    <w:rsid w:val="00F369C7"/>
    <w:rsid w:val="00F374A9"/>
    <w:rsid w:val="00F379F4"/>
    <w:rsid w:val="00F41E3A"/>
    <w:rsid w:val="00F421D8"/>
    <w:rsid w:val="00F42969"/>
    <w:rsid w:val="00F42AB2"/>
    <w:rsid w:val="00F43B42"/>
    <w:rsid w:val="00F4457B"/>
    <w:rsid w:val="00F462DC"/>
    <w:rsid w:val="00F474DC"/>
    <w:rsid w:val="00F5029C"/>
    <w:rsid w:val="00F507E7"/>
    <w:rsid w:val="00F50941"/>
    <w:rsid w:val="00F525A9"/>
    <w:rsid w:val="00F5261A"/>
    <w:rsid w:val="00F546D9"/>
    <w:rsid w:val="00F54A29"/>
    <w:rsid w:val="00F54A31"/>
    <w:rsid w:val="00F55FF8"/>
    <w:rsid w:val="00F57510"/>
    <w:rsid w:val="00F60FFC"/>
    <w:rsid w:val="00F610AC"/>
    <w:rsid w:val="00F62FA6"/>
    <w:rsid w:val="00F64277"/>
    <w:rsid w:val="00F642C1"/>
    <w:rsid w:val="00F64690"/>
    <w:rsid w:val="00F646C5"/>
    <w:rsid w:val="00F65486"/>
    <w:rsid w:val="00F66506"/>
    <w:rsid w:val="00F66E39"/>
    <w:rsid w:val="00F67BAC"/>
    <w:rsid w:val="00F67F15"/>
    <w:rsid w:val="00F70C2F"/>
    <w:rsid w:val="00F70E55"/>
    <w:rsid w:val="00F716BE"/>
    <w:rsid w:val="00F717FC"/>
    <w:rsid w:val="00F71E83"/>
    <w:rsid w:val="00F72728"/>
    <w:rsid w:val="00F730E0"/>
    <w:rsid w:val="00F7315E"/>
    <w:rsid w:val="00F732E3"/>
    <w:rsid w:val="00F74112"/>
    <w:rsid w:val="00F77203"/>
    <w:rsid w:val="00F802A1"/>
    <w:rsid w:val="00F825B4"/>
    <w:rsid w:val="00F837A9"/>
    <w:rsid w:val="00F84303"/>
    <w:rsid w:val="00F8485B"/>
    <w:rsid w:val="00F848CF"/>
    <w:rsid w:val="00F86BF4"/>
    <w:rsid w:val="00F873AA"/>
    <w:rsid w:val="00F8788D"/>
    <w:rsid w:val="00F90F30"/>
    <w:rsid w:val="00F911C5"/>
    <w:rsid w:val="00F91612"/>
    <w:rsid w:val="00F91C1C"/>
    <w:rsid w:val="00F91EF6"/>
    <w:rsid w:val="00F92934"/>
    <w:rsid w:val="00F92CCA"/>
    <w:rsid w:val="00F92FAA"/>
    <w:rsid w:val="00F950B2"/>
    <w:rsid w:val="00F97375"/>
    <w:rsid w:val="00F97B8A"/>
    <w:rsid w:val="00FA0ED7"/>
    <w:rsid w:val="00FA10D1"/>
    <w:rsid w:val="00FA183B"/>
    <w:rsid w:val="00FA1928"/>
    <w:rsid w:val="00FA1D9B"/>
    <w:rsid w:val="00FA3388"/>
    <w:rsid w:val="00FA4765"/>
    <w:rsid w:val="00FA5454"/>
    <w:rsid w:val="00FA60C6"/>
    <w:rsid w:val="00FA67A9"/>
    <w:rsid w:val="00FB0852"/>
    <w:rsid w:val="00FB133E"/>
    <w:rsid w:val="00FB277C"/>
    <w:rsid w:val="00FB455E"/>
    <w:rsid w:val="00FB766C"/>
    <w:rsid w:val="00FB7F4B"/>
    <w:rsid w:val="00FC03F2"/>
    <w:rsid w:val="00FC0490"/>
    <w:rsid w:val="00FC12FE"/>
    <w:rsid w:val="00FC232C"/>
    <w:rsid w:val="00FC3661"/>
    <w:rsid w:val="00FC38B6"/>
    <w:rsid w:val="00FC38BA"/>
    <w:rsid w:val="00FC424B"/>
    <w:rsid w:val="00FC4307"/>
    <w:rsid w:val="00FC4681"/>
    <w:rsid w:val="00FC6087"/>
    <w:rsid w:val="00FC6101"/>
    <w:rsid w:val="00FC64D5"/>
    <w:rsid w:val="00FC706F"/>
    <w:rsid w:val="00FC72BB"/>
    <w:rsid w:val="00FC77E4"/>
    <w:rsid w:val="00FC78A2"/>
    <w:rsid w:val="00FC7D5D"/>
    <w:rsid w:val="00FD0926"/>
    <w:rsid w:val="00FD0E99"/>
    <w:rsid w:val="00FD2E3E"/>
    <w:rsid w:val="00FD422E"/>
    <w:rsid w:val="00FD4E6A"/>
    <w:rsid w:val="00FD4FB2"/>
    <w:rsid w:val="00FD502C"/>
    <w:rsid w:val="00FD55EF"/>
    <w:rsid w:val="00FD5AB1"/>
    <w:rsid w:val="00FD6E3F"/>
    <w:rsid w:val="00FD7E8C"/>
    <w:rsid w:val="00FE10F7"/>
    <w:rsid w:val="00FE174D"/>
    <w:rsid w:val="00FE1FA9"/>
    <w:rsid w:val="00FE2549"/>
    <w:rsid w:val="00FE2C02"/>
    <w:rsid w:val="00FE2D28"/>
    <w:rsid w:val="00FE4BDA"/>
    <w:rsid w:val="00FE4D88"/>
    <w:rsid w:val="00FE54D3"/>
    <w:rsid w:val="00FE6424"/>
    <w:rsid w:val="00FE646D"/>
    <w:rsid w:val="00FE6607"/>
    <w:rsid w:val="00FE6D94"/>
    <w:rsid w:val="00FF0139"/>
    <w:rsid w:val="00FF0824"/>
    <w:rsid w:val="00FF1A5D"/>
    <w:rsid w:val="00FF2082"/>
    <w:rsid w:val="00FF24B2"/>
    <w:rsid w:val="00FF39D3"/>
    <w:rsid w:val="00FF482D"/>
    <w:rsid w:val="00FF6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60E36"/>
  <w15:chartTrackingRefBased/>
  <w15:docId w15:val="{5E55C466-3D6F-49EA-A8AE-F1C914EF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54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270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64277"/>
    <w:pPr>
      <w:keepNext/>
      <w:keepLines/>
      <w:spacing w:before="40" w:after="0"/>
      <w:outlineLvl w:val="1"/>
    </w:pPr>
    <w:rPr>
      <w:rFonts w:ascii="ITC Avant Garde" w:eastAsiaTheme="majorEastAsia" w:hAnsi="ITC Avant Garde" w:cstheme="majorBidi"/>
      <w:b/>
      <w:szCs w:val="26"/>
    </w:rPr>
  </w:style>
  <w:style w:type="paragraph" w:styleId="Ttulo3">
    <w:name w:val="heading 3"/>
    <w:basedOn w:val="Normal"/>
    <w:next w:val="Normal"/>
    <w:link w:val="Ttulo3Car"/>
    <w:uiPriority w:val="9"/>
    <w:unhideWhenUsed/>
    <w:qFormat/>
    <w:rsid w:val="006C7C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0D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64277"/>
    <w:rPr>
      <w:rFonts w:ascii="ITC Avant Garde" w:eastAsiaTheme="majorEastAsia" w:hAnsi="ITC Avant Garde" w:cstheme="majorBidi"/>
      <w:b/>
      <w:szCs w:val="26"/>
    </w:rPr>
  </w:style>
  <w:style w:type="paragraph" w:styleId="Encabezado">
    <w:name w:val="header"/>
    <w:basedOn w:val="Normal"/>
    <w:link w:val="EncabezadoCar"/>
    <w:uiPriority w:val="99"/>
    <w:unhideWhenUsed/>
    <w:rsid w:val="00127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0D7"/>
    <w:rPr>
      <w:rFonts w:ascii="Calibri" w:eastAsia="Calibri" w:hAnsi="Calibri" w:cs="Times New Roman"/>
    </w:rPr>
  </w:style>
  <w:style w:type="paragraph" w:styleId="Piedepgina">
    <w:name w:val="footer"/>
    <w:basedOn w:val="Normal"/>
    <w:link w:val="PiedepginaCar"/>
    <w:uiPriority w:val="99"/>
    <w:unhideWhenUsed/>
    <w:rsid w:val="00127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0D7"/>
    <w:rPr>
      <w:rFonts w:ascii="Calibri" w:eastAsia="Calibri" w:hAnsi="Calibri" w:cs="Times New Roman"/>
    </w:rPr>
  </w:style>
  <w:style w:type="paragraph" w:customStyle="1" w:styleId="Default">
    <w:name w:val="Default"/>
    <w:rsid w:val="001270D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Bullet List,FooterText,numbered,List Paragraph1,Paragraphe de liste1,Bulletr List Paragraph,列出段落,列出段落1,Cuadros,Lista general,Numeración 1,Cuadrícula media 1 - Énfasis 21,4 Viñ 1nivel,prueba1,lp1,b1,Listas"/>
    <w:basedOn w:val="Normal"/>
    <w:link w:val="PrrafodelistaCar"/>
    <w:uiPriority w:val="34"/>
    <w:qFormat/>
    <w:rsid w:val="001270D7"/>
    <w:pPr>
      <w:ind w:left="720"/>
      <w:contextualSpacing/>
    </w:pPr>
    <w:rPr>
      <w:lang w:val="x-none"/>
    </w:rPr>
  </w:style>
  <w:style w:type="character" w:customStyle="1" w:styleId="PrrafodelistaCar">
    <w:name w:val="Párrafo de lista Car"/>
    <w:aliases w:val="Llista Nivell1 Car,Lista de nivel 1 Car,Bullet List Car,FooterText Car,numbered Car,List Paragraph1 Car,Paragraphe de liste1 Car,Bulletr List Paragraph Car,列出段落 Car,列出段落1 Car,Cuadros Car,Lista general Car,Numeración 1 Car,lp1 Car"/>
    <w:link w:val="Prrafodelista"/>
    <w:uiPriority w:val="34"/>
    <w:qFormat/>
    <w:rsid w:val="001270D7"/>
    <w:rPr>
      <w:rFonts w:ascii="Calibri" w:eastAsia="Calibri" w:hAnsi="Calibri" w:cs="Times New Roman"/>
      <w:lang w:val="x-none"/>
    </w:rPr>
  </w:style>
  <w:style w:type="table" w:styleId="Tablaconcuadrcula">
    <w:name w:val="Table Grid"/>
    <w:basedOn w:val="Tablanormal"/>
    <w:uiPriority w:val="39"/>
    <w:rsid w:val="001270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1270D7"/>
    <w:rPr>
      <w:sz w:val="20"/>
      <w:szCs w:val="20"/>
      <w:lang w:val="x-none"/>
    </w:rPr>
  </w:style>
  <w:style w:type="character" w:customStyle="1" w:styleId="TextocomentarioCar">
    <w:name w:val="Texto comentario Car"/>
    <w:basedOn w:val="Fuentedeprrafopredeter"/>
    <w:link w:val="Textocomentario"/>
    <w:uiPriority w:val="99"/>
    <w:rsid w:val="001270D7"/>
    <w:rPr>
      <w:rFonts w:ascii="Calibri" w:eastAsia="Calibri" w:hAnsi="Calibri" w:cs="Times New Roman"/>
      <w:sz w:val="20"/>
      <w:szCs w:val="20"/>
      <w:lang w:val="x-none"/>
    </w:rPr>
  </w:style>
  <w:style w:type="character" w:styleId="Refdecomentario">
    <w:name w:val="annotation reference"/>
    <w:basedOn w:val="Fuentedeprrafopredeter"/>
    <w:uiPriority w:val="99"/>
    <w:semiHidden/>
    <w:unhideWhenUsed/>
    <w:rsid w:val="001270D7"/>
    <w:rPr>
      <w:sz w:val="16"/>
      <w:szCs w:val="16"/>
    </w:rPr>
  </w:style>
  <w:style w:type="paragraph" w:styleId="Textodeglobo">
    <w:name w:val="Balloon Text"/>
    <w:basedOn w:val="Normal"/>
    <w:link w:val="TextodegloboCar"/>
    <w:uiPriority w:val="99"/>
    <w:semiHidden/>
    <w:unhideWhenUsed/>
    <w:rsid w:val="001270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70D7"/>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65C22"/>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E65C22"/>
    <w:rPr>
      <w:rFonts w:ascii="Calibri" w:eastAsia="Calibri" w:hAnsi="Calibri" w:cs="Times New Roman"/>
      <w:b/>
      <w:bCs/>
      <w:sz w:val="20"/>
      <w:szCs w:val="20"/>
      <w:lang w:val="x-none"/>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1A31E7"/>
    <w:pPr>
      <w:spacing w:after="0" w:line="240" w:lineRule="auto"/>
      <w:jc w:val="both"/>
    </w:pPr>
    <w:rPr>
      <w:rFonts w:ascii="Times New Roman" w:hAnsi="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1A31E7"/>
    <w:rPr>
      <w:rFonts w:ascii="Times New Roman" w:eastAsia="Calibri" w:hAnsi="Times New Roman" w:cs="Times New Roman"/>
      <w:sz w:val="20"/>
      <w:szCs w:val="20"/>
    </w:rPr>
  </w:style>
  <w:style w:type="character" w:styleId="Refdenotaalpie">
    <w:name w:val="footnote reference"/>
    <w:aliases w:val="Ref,de nota al pie,Ref. de nota al pie 2,Footnotes refss,Texto de nota al pie,Appel note de bas de page,(NECG) Footnote Reference,o,fr,Style 3,Appel note de bas de p,Style 12,Style 124,Style 13,FR,Style 17,Style 6,Footnote Reference/"/>
    <w:uiPriority w:val="99"/>
    <w:unhideWhenUsed/>
    <w:qFormat/>
    <w:rsid w:val="001A31E7"/>
    <w:rPr>
      <w:vertAlign w:val="superscript"/>
    </w:rPr>
  </w:style>
  <w:style w:type="paragraph" w:styleId="Textoindependiente">
    <w:name w:val="Body Text"/>
    <w:basedOn w:val="Normal"/>
    <w:link w:val="TextoindependienteCar"/>
    <w:uiPriority w:val="99"/>
    <w:unhideWhenUsed/>
    <w:rsid w:val="001A31E7"/>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A31E7"/>
  </w:style>
  <w:style w:type="character" w:customStyle="1" w:styleId="Ttulo3Car">
    <w:name w:val="Título 3 Car"/>
    <w:basedOn w:val="Fuentedeprrafopredeter"/>
    <w:link w:val="Ttulo3"/>
    <w:uiPriority w:val="9"/>
    <w:rsid w:val="006C7CA1"/>
    <w:rPr>
      <w:rFonts w:asciiTheme="majorHAnsi" w:eastAsiaTheme="majorEastAsia" w:hAnsiTheme="majorHAnsi" w:cstheme="majorBidi"/>
      <w:color w:val="1F4D78" w:themeColor="accent1" w:themeShade="7F"/>
      <w:sz w:val="24"/>
      <w:szCs w:val="24"/>
    </w:rPr>
  </w:style>
  <w:style w:type="paragraph" w:styleId="Revisin">
    <w:name w:val="Revision"/>
    <w:hidden/>
    <w:uiPriority w:val="99"/>
    <w:semiHidden/>
    <w:rsid w:val="005767F5"/>
    <w:pPr>
      <w:spacing w:after="0" w:line="240" w:lineRule="auto"/>
    </w:pPr>
    <w:rPr>
      <w:rFonts w:ascii="Calibri" w:eastAsia="Calibri" w:hAnsi="Calibri" w:cs="Times New Roman"/>
    </w:rPr>
  </w:style>
  <w:style w:type="paragraph" w:customStyle="1" w:styleId="Texto">
    <w:name w:val="Texto"/>
    <w:basedOn w:val="Normal"/>
    <w:link w:val="TextoCar"/>
    <w:rsid w:val="00A8070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0708"/>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7177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F43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44387C"/>
    <w:pPr>
      <w:spacing w:after="120"/>
      <w:ind w:left="283"/>
    </w:pPr>
  </w:style>
  <w:style w:type="character" w:customStyle="1" w:styleId="SangradetextonormalCar">
    <w:name w:val="Sangría de texto normal Car"/>
    <w:basedOn w:val="Fuentedeprrafopredeter"/>
    <w:link w:val="Sangradetextonormal"/>
    <w:uiPriority w:val="99"/>
    <w:semiHidden/>
    <w:rsid w:val="0044387C"/>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44387C"/>
    <w:pPr>
      <w:spacing w:after="200"/>
      <w:ind w:left="360" w:firstLine="360"/>
    </w:pPr>
    <w:rPr>
      <w:lang w:val="es-ES"/>
    </w:rPr>
  </w:style>
  <w:style w:type="character" w:customStyle="1" w:styleId="Textoindependienteprimerasangra2Car">
    <w:name w:val="Texto independiente primera sangría 2 Car"/>
    <w:basedOn w:val="SangradetextonormalCar"/>
    <w:link w:val="Textoindependienteprimerasangra2"/>
    <w:uiPriority w:val="99"/>
    <w:rsid w:val="0044387C"/>
    <w:rPr>
      <w:rFonts w:ascii="Calibri" w:eastAsia="Calibri" w:hAnsi="Calibri" w:cs="Times New Roman"/>
      <w:lang w:val="es-ES"/>
    </w:rPr>
  </w:style>
  <w:style w:type="paragraph" w:styleId="Textoindependiente2">
    <w:name w:val="Body Text 2"/>
    <w:basedOn w:val="Normal"/>
    <w:link w:val="Textoindependiente2Car"/>
    <w:uiPriority w:val="99"/>
    <w:unhideWhenUsed/>
    <w:rsid w:val="00214061"/>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14061"/>
    <w:rPr>
      <w:rFonts w:ascii="Calibri" w:eastAsia="Calibri" w:hAnsi="Calibri" w:cs="Times New Roman"/>
      <w:lang w:val="es-ES"/>
    </w:rPr>
  </w:style>
  <w:style w:type="character" w:styleId="Hipervnculo">
    <w:name w:val="Hyperlink"/>
    <w:basedOn w:val="Fuentedeprrafopredeter"/>
    <w:uiPriority w:val="99"/>
    <w:unhideWhenUsed/>
    <w:rsid w:val="00791545"/>
    <w:rPr>
      <w:color w:val="0563C1" w:themeColor="hyperlink"/>
      <w:u w:val="single"/>
    </w:rPr>
  </w:style>
  <w:style w:type="character" w:styleId="Mencinsinresolver">
    <w:name w:val="Unresolved Mention"/>
    <w:basedOn w:val="Fuentedeprrafopredeter"/>
    <w:uiPriority w:val="99"/>
    <w:semiHidden/>
    <w:unhideWhenUsed/>
    <w:rsid w:val="00791545"/>
    <w:rPr>
      <w:color w:val="605E5C"/>
      <w:shd w:val="clear" w:color="auto" w:fill="E1DFDD"/>
    </w:rPr>
  </w:style>
  <w:style w:type="table" w:styleId="Tablaconcuadrcula3-nfasis6">
    <w:name w:val="Grid Table 3 Accent 6"/>
    <w:basedOn w:val="Tablanormal"/>
    <w:uiPriority w:val="48"/>
    <w:rsid w:val="00600E8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2-nfasis6">
    <w:name w:val="Grid Table 2 Accent 6"/>
    <w:basedOn w:val="Tablanormal"/>
    <w:uiPriority w:val="47"/>
    <w:rsid w:val="00D7295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C71FB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ipervnculovisitado">
    <w:name w:val="FollowedHyperlink"/>
    <w:basedOn w:val="Fuentedeprrafopredeter"/>
    <w:uiPriority w:val="99"/>
    <w:semiHidden/>
    <w:unhideWhenUsed/>
    <w:rsid w:val="002F0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80621">
      <w:bodyDiv w:val="1"/>
      <w:marLeft w:val="0"/>
      <w:marRight w:val="0"/>
      <w:marTop w:val="0"/>
      <w:marBottom w:val="0"/>
      <w:divBdr>
        <w:top w:val="none" w:sz="0" w:space="0" w:color="auto"/>
        <w:left w:val="none" w:sz="0" w:space="0" w:color="auto"/>
        <w:bottom w:val="none" w:sz="0" w:space="0" w:color="auto"/>
        <w:right w:val="none" w:sz="0" w:space="0" w:color="auto"/>
      </w:divBdr>
    </w:div>
    <w:div w:id="801730645">
      <w:bodyDiv w:val="1"/>
      <w:marLeft w:val="0"/>
      <w:marRight w:val="0"/>
      <w:marTop w:val="0"/>
      <w:marBottom w:val="0"/>
      <w:divBdr>
        <w:top w:val="none" w:sz="0" w:space="0" w:color="auto"/>
        <w:left w:val="none" w:sz="0" w:space="0" w:color="auto"/>
        <w:bottom w:val="none" w:sz="0" w:space="0" w:color="auto"/>
        <w:right w:val="none" w:sz="0" w:space="0" w:color="auto"/>
      </w:divBdr>
    </w:div>
    <w:div w:id="1344431356">
      <w:bodyDiv w:val="1"/>
      <w:marLeft w:val="0"/>
      <w:marRight w:val="0"/>
      <w:marTop w:val="0"/>
      <w:marBottom w:val="0"/>
      <w:divBdr>
        <w:top w:val="none" w:sz="0" w:space="0" w:color="auto"/>
        <w:left w:val="none" w:sz="0" w:space="0" w:color="auto"/>
        <w:bottom w:val="none" w:sz="0" w:space="0" w:color="auto"/>
        <w:right w:val="none" w:sz="0" w:space="0" w:color="auto"/>
      </w:divBdr>
    </w:div>
    <w:div w:id="1562594370">
      <w:bodyDiv w:val="1"/>
      <w:marLeft w:val="0"/>
      <w:marRight w:val="0"/>
      <w:marTop w:val="0"/>
      <w:marBottom w:val="0"/>
      <w:divBdr>
        <w:top w:val="none" w:sz="0" w:space="0" w:color="auto"/>
        <w:left w:val="none" w:sz="0" w:space="0" w:color="auto"/>
        <w:bottom w:val="none" w:sz="0" w:space="0" w:color="auto"/>
        <w:right w:val="none" w:sz="0" w:space="0" w:color="auto"/>
      </w:divBdr>
    </w:div>
    <w:div w:id="1662855184">
      <w:bodyDiv w:val="1"/>
      <w:marLeft w:val="0"/>
      <w:marRight w:val="0"/>
      <w:marTop w:val="0"/>
      <w:marBottom w:val="0"/>
      <w:divBdr>
        <w:top w:val="none" w:sz="0" w:space="0" w:color="auto"/>
        <w:left w:val="none" w:sz="0" w:space="0" w:color="auto"/>
        <w:bottom w:val="none" w:sz="0" w:space="0" w:color="auto"/>
        <w:right w:val="none" w:sz="0" w:space="0" w:color="auto"/>
      </w:divBdr>
    </w:div>
    <w:div w:id="1787625524">
      <w:bodyDiv w:val="1"/>
      <w:marLeft w:val="0"/>
      <w:marRight w:val="0"/>
      <w:marTop w:val="0"/>
      <w:marBottom w:val="0"/>
      <w:divBdr>
        <w:top w:val="none" w:sz="0" w:space="0" w:color="auto"/>
        <w:left w:val="none" w:sz="0" w:space="0" w:color="auto"/>
        <w:bottom w:val="none" w:sz="0" w:space="0" w:color="auto"/>
        <w:right w:val="none" w:sz="0" w:space="0" w:color="auto"/>
      </w:divBdr>
    </w:div>
    <w:div w:id="18896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law.yale.edu/cgi/viewcontent.cgi?article=1144&amp;context=yjreg" TargetMode="External"/><Relationship Id="rId18" Type="http://schemas.openxmlformats.org/officeDocument/2006/relationships/hyperlink" Target="http://apps.ift.org.mx/publicdata/versionpublicapift18031592.pdf" TargetMode="External"/><Relationship Id="rId26" Type="http://schemas.openxmlformats.org/officeDocument/2006/relationships/hyperlink" Target="http://apps.ift.org.mx/publicdata/P_IFT_EXT_131114_221_Version_Publica.pdf" TargetMode="External"/><Relationship Id="rId39" Type="http://schemas.openxmlformats.org/officeDocument/2006/relationships/hyperlink" Target="https://ec.europa.eu/competition/mergers/cases/decisions/M5727_20100218_20310_261202_EN.pdf" TargetMode="External"/><Relationship Id="rId21" Type="http://schemas.openxmlformats.org/officeDocument/2006/relationships/hyperlink" Target="http://www.ift.org.mx/sites/default/files/contenidogeneral/industria/dpdc-004-2018vpaccesiblefinal.pdf" TargetMode="External"/><Relationship Id="rId34" Type="http://schemas.openxmlformats.org/officeDocument/2006/relationships/hyperlink" Target="http://apps.ift.org.mx/publicdata/Version_Publica_UCE_RescAnexos_P_IFT_EXT_300915_114_c_DOF.pdf" TargetMode="External"/><Relationship Id="rId42" Type="http://schemas.openxmlformats.org/officeDocument/2006/relationships/hyperlink" Target="https://ec.europa.eu/competition/mergers/cases/decisions/m4731_20080311_20682_en.pdf" TargetMode="External"/><Relationship Id="rId47" Type="http://schemas.openxmlformats.org/officeDocument/2006/relationships/hyperlink" Target="https://www.fne.gob.cl/wp-content/uploads/2021/05/Guia-para-el-Analisis-de-Operaciones-de-Concentracion-Horizontales-mayo-VF.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ift.org.mx/publicdata/versionpublicapift18031590_1.pdf" TargetMode="External"/><Relationship Id="rId29" Type="http://schemas.openxmlformats.org/officeDocument/2006/relationships/hyperlink" Target="http://apps.ift.org.mx/publicdata/P_IFT_EXT_131114_224_Version_Publica.pdf" TargetMode="External"/><Relationship Id="rId11" Type="http://schemas.openxmlformats.org/officeDocument/2006/relationships/hyperlink" Target="https://one.oecd.org/document/DAF/COMP(2018)14/en/pdf" TargetMode="External"/><Relationship Id="rId24" Type="http://schemas.openxmlformats.org/officeDocument/2006/relationships/hyperlink" Target="http://apps.ift.org.mx/publicdata/P_IFT_EXT_131114_219_Version_Publica.pdf" TargetMode="External"/><Relationship Id="rId32" Type="http://schemas.openxmlformats.org/officeDocument/2006/relationships/hyperlink" Target="http://apps.ift.org.mx/publicdata/VP_P_IFT_150817_487.pdf" TargetMode="External"/><Relationship Id="rId37" Type="http://schemas.openxmlformats.org/officeDocument/2006/relationships/hyperlink" Target="http://www.oecd.org/daf/competition/Rethinking-antitrust-tools-for-multi-sided-platforms-2018.pdf" TargetMode="External"/><Relationship Id="rId40" Type="http://schemas.openxmlformats.org/officeDocument/2006/relationships/hyperlink" Target="https://ec.europa.eu/competition/mergers/cases/decisions/m7217_20141003_20310_3962132_EN.pdf" TargetMode="External"/><Relationship Id="rId45" Type="http://schemas.openxmlformats.org/officeDocument/2006/relationships/hyperlink" Target="https://www.bundeskartellamt.de/SharedDocs/Entscheidung/EN/Entscheidungen/Missbrauchsaufsicht/2019/B6-22-16.pdf?__blob=publicationFile&amp;v=5"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apps.ift.org.mx/publicdata/P_IFT_011014_352_Version_Public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227651905_Two-sided_Markets_A_Progress_Report" TargetMode="External"/><Relationship Id="rId22" Type="http://schemas.openxmlformats.org/officeDocument/2006/relationships/hyperlink" Target="http://apps.ift.org.mx/publicdata/P_IFT_EXT_131114_217_Version_Publica.pdf" TargetMode="External"/><Relationship Id="rId27" Type="http://schemas.openxmlformats.org/officeDocument/2006/relationships/hyperlink" Target="http://apps.ift.org.mx/publicdata/P_IFT_EXT_131114_222_Version_Publica.pdf" TargetMode="External"/><Relationship Id="rId30" Type="http://schemas.openxmlformats.org/officeDocument/2006/relationships/hyperlink" Target="http://apps.ift.org.mx/publicdata/Version_Publica_P_IFT_EXT_190216_7.pdf" TargetMode="External"/><Relationship Id="rId35" Type="http://schemas.openxmlformats.org/officeDocument/2006/relationships/hyperlink" Target="http://www.ift.org.mx/sites/default/files/conocenos/pleno/sesiones/acuerdoliga/vp181120436.pdf" TargetMode="External"/><Relationship Id="rId43" Type="http://schemas.openxmlformats.org/officeDocument/2006/relationships/hyperlink" Target="https://ec.europa.eu/competition/antitrust/cases/dec_docs/39740/39740_14996_3.pdf" TargetMode="External"/><Relationship Id="rId48" Type="http://schemas.openxmlformats.org/officeDocument/2006/relationships/hyperlink" Target="https://one.oecd.org/document/DAF/COMP(2018)14/en/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oecd.org/daf/competition/Rethinking-antitrust-tools-for-multi-sided-platforms-2018.pdf" TargetMode="External"/><Relationship Id="rId17" Type="http://schemas.openxmlformats.org/officeDocument/2006/relationships/hyperlink" Target="http://apps.ift.org.mx/publicdata/versionpublicapift18031591_2.pdf" TargetMode="External"/><Relationship Id="rId25" Type="http://schemas.openxmlformats.org/officeDocument/2006/relationships/hyperlink" Target="http://apps.ift.org.mx/publicdata/P_IFT_EXT_131114_220_Version_Publica.pdf" TargetMode="External"/><Relationship Id="rId33" Type="http://schemas.openxmlformats.org/officeDocument/2006/relationships/hyperlink" Target="http://www.ift.org.mx/sites/default/files/conocenos/pleno/sesiones/acuerdoliga/verpubpift110319122canxuce.pdf" TargetMode="External"/><Relationship Id="rId38" Type="http://schemas.openxmlformats.org/officeDocument/2006/relationships/hyperlink" Target="https://ec.europa.eu/competition/antitrust/cases/dec_docs/40099/40099_9993_3.pdf" TargetMode="External"/><Relationship Id="rId46" Type="http://schemas.openxmlformats.org/officeDocument/2006/relationships/hyperlink" Target="https://www.accc.gov.au/system/files/Digital%20platforms%20inquiry%20-%20final%20report.pdf" TargetMode="External"/><Relationship Id="rId20" Type="http://schemas.openxmlformats.org/officeDocument/2006/relationships/hyperlink" Target="http://apps.ift.org.mx/publicdata/Version_Publica_P_IFT_EXT_190216_7.pdf" TargetMode="External"/><Relationship Id="rId41" Type="http://schemas.openxmlformats.org/officeDocument/2006/relationships/hyperlink" Target="http://ec.europa.eu/competition/mergers/cases/decisions/m8124_1349_5.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ecd.org/daf/competition/Rethinking-antitrust-tools-for-multi-sided-platforms-2018.pdf" TargetMode="External"/><Relationship Id="rId23" Type="http://schemas.openxmlformats.org/officeDocument/2006/relationships/hyperlink" Target="http://apps.ift.org.mx/publicdata/P_IFT_EXT_131114_218_Version_Publica.pdf" TargetMode="External"/><Relationship Id="rId28" Type="http://schemas.openxmlformats.org/officeDocument/2006/relationships/hyperlink" Target="http://apps.ift.org.mx/publicdata/P_IFT_EXT_131114_223_Version_Publica.pdf" TargetMode="External"/><Relationship Id="rId36" Type="http://schemas.openxmlformats.org/officeDocument/2006/relationships/hyperlink" Target="https://www.apec.org/Publications/2019/08/Competition-Policy-for-Regulating-Online-Platforms-in-the-APEC-Region" TargetMode="External"/><Relationship Id="rId49" Type="http://schemas.openxmlformats.org/officeDocument/2006/relationships/hyperlink" Target="http://www.oecd.org/daf/competition/Rethinking-antitrust-tools-for-multi-sided-platforms-2018.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apps.ift.org.mx/publicdata/VP2_P_IFT_EXT_181214_282.pdf" TargetMode="External"/><Relationship Id="rId44" Type="http://schemas.openxmlformats.org/officeDocument/2006/relationships/hyperlink" Target="https://www.bundeskartellamt.de/SharedDocs/Publikation/EN/Berichte/Think-Tank-Bericht-Zusammenfassung.pdf?__blob=publicationFile&amp;v=4"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0D42ED0CC3CF4B8D528405130A43D4" ma:contentTypeVersion="0" ma:contentTypeDescription="Crear nuevo documento." ma:contentTypeScope="" ma:versionID="843033550e8e433e66dac43bfcd64ed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46FF-1AB1-4B62-884D-5DC88D13580F}">
  <ds:schemaRefs>
    <ds:schemaRef ds:uri="http://schemas.microsoft.com/sharepoint/v3/contenttype/forms"/>
  </ds:schemaRefs>
</ds:datastoreItem>
</file>

<file path=customXml/itemProps2.xml><?xml version="1.0" encoding="utf-8"?>
<ds:datastoreItem xmlns:ds="http://schemas.openxmlformats.org/officeDocument/2006/customXml" ds:itemID="{E3C58D8C-EDA6-4EC1-AFAC-F691F859F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0B2A38-8E89-4802-BD24-E9E0EEB3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EE8CC5-4896-4738-845F-3A128420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17666</Words>
  <Characters>97164</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Silva Casarrubias</dc:creator>
  <cp:keywords/>
  <dc:description/>
  <cp:lastModifiedBy>Josue Teoyotl Calderon</cp:lastModifiedBy>
  <cp:revision>2</cp:revision>
  <dcterms:created xsi:type="dcterms:W3CDTF">2021-10-15T19:47:00Z</dcterms:created>
  <dcterms:modified xsi:type="dcterms:W3CDTF">2021-10-15T19:47:00Z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0x010100B60D42ED0CC3CF4B8D528405130A43D4</vt:lpwstr>
  </property>
</Properties>
</file>