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FF41" w14:textId="61A7C0A4" w:rsidR="00C6781C" w:rsidRPr="00931D46" w:rsidRDefault="006E3904" w:rsidP="00B904C8">
      <w:pPr>
        <w:spacing w:before="0" w:after="0"/>
        <w:rPr>
          <w:rFonts w:ascii="Arial" w:hAnsi="Arial" w:cs="Arial"/>
          <w:b/>
          <w:sz w:val="26"/>
          <w:szCs w:val="26"/>
        </w:rPr>
      </w:pPr>
      <w:bookmarkStart w:id="0" w:name="_Toc510634319"/>
      <w:bookmarkStart w:id="1" w:name="_Toc510639355"/>
      <w:bookmarkStart w:id="2" w:name="_Toc510640265"/>
      <w:bookmarkStart w:id="3" w:name="_Toc510698209"/>
      <w:bookmarkStart w:id="4" w:name="_Toc510701066"/>
      <w:bookmarkStart w:id="5" w:name="_Toc510710869"/>
      <w:bookmarkStart w:id="6" w:name="_Toc510710907"/>
      <w:bookmarkStart w:id="7" w:name="_Toc17716675"/>
      <w:bookmarkStart w:id="8" w:name="_GoBack"/>
      <w:bookmarkEnd w:id="8"/>
      <w:r>
        <w:rPr>
          <w:rFonts w:ascii="Arial" w:hAnsi="Arial" w:cs="Arial"/>
          <w:b/>
          <w:sz w:val="26"/>
          <w:szCs w:val="26"/>
        </w:rPr>
        <w:t xml:space="preserve">Nota Técnica que acompaña al </w:t>
      </w:r>
      <w:r w:rsidR="009C25E3">
        <w:rPr>
          <w:rFonts w:ascii="Arial" w:hAnsi="Arial" w:cs="Arial"/>
          <w:b/>
          <w:sz w:val="26"/>
          <w:szCs w:val="26"/>
        </w:rPr>
        <w:t>“</w:t>
      </w:r>
      <w:r w:rsidR="00BB7820" w:rsidRPr="00931D46">
        <w:rPr>
          <w:rFonts w:ascii="Arial" w:hAnsi="Arial" w:cs="Arial"/>
          <w:b/>
          <w:sz w:val="26"/>
          <w:szCs w:val="26"/>
        </w:rPr>
        <w:t>A</w:t>
      </w:r>
      <w:r w:rsidR="00387CE1" w:rsidRPr="00931D46">
        <w:rPr>
          <w:rFonts w:ascii="Arial" w:hAnsi="Arial" w:cs="Arial"/>
          <w:b/>
          <w:sz w:val="26"/>
          <w:szCs w:val="26"/>
        </w:rPr>
        <w:t xml:space="preserve">nteproyecto de </w:t>
      </w:r>
      <w:r w:rsidR="00475664" w:rsidRPr="00931D46">
        <w:rPr>
          <w:rFonts w:ascii="Arial" w:hAnsi="Arial" w:cs="Arial"/>
          <w:b/>
          <w:sz w:val="26"/>
          <w:szCs w:val="26"/>
        </w:rPr>
        <w:t>Guía</w:t>
      </w:r>
      <w:r w:rsidR="00B66E56" w:rsidRPr="00931D46">
        <w:rPr>
          <w:rFonts w:ascii="Arial" w:hAnsi="Arial" w:cs="Arial"/>
          <w:b/>
          <w:sz w:val="26"/>
          <w:szCs w:val="26"/>
        </w:rPr>
        <w:t xml:space="preserve"> para d</w:t>
      </w:r>
      <w:r w:rsidR="00387CE1" w:rsidRPr="00931D46">
        <w:rPr>
          <w:rFonts w:ascii="Arial" w:hAnsi="Arial" w:cs="Arial"/>
          <w:b/>
          <w:sz w:val="26"/>
          <w:szCs w:val="26"/>
        </w:rPr>
        <w:t>eterminar Mercados Relevantes en los Sectores de Telecomunicaciones y Radiodifusión</w:t>
      </w:r>
      <w:r w:rsidR="009C25E3">
        <w:rPr>
          <w:rFonts w:ascii="Arial" w:hAnsi="Arial" w:cs="Arial"/>
          <w:b/>
          <w:sz w:val="26"/>
          <w:szCs w:val="26"/>
        </w:rPr>
        <w:t>”</w:t>
      </w:r>
      <w:r w:rsidR="001157D6">
        <w:rPr>
          <w:rFonts w:ascii="Arial" w:hAnsi="Arial" w:cs="Arial"/>
          <w:b/>
          <w:sz w:val="26"/>
          <w:szCs w:val="26"/>
        </w:rPr>
        <w:t>.</w:t>
      </w:r>
    </w:p>
    <w:p w14:paraId="02912BB2" w14:textId="77777777" w:rsidR="007B68B1" w:rsidRPr="00931D46" w:rsidRDefault="007B68B1" w:rsidP="0023353F">
      <w:pPr>
        <w:spacing w:before="0" w:after="0"/>
        <w:rPr>
          <w:rFonts w:ascii="Arial" w:hAnsi="Arial" w:cs="Arial"/>
        </w:rPr>
      </w:pPr>
    </w:p>
    <w:p w14:paraId="1645FF4B" w14:textId="77777777" w:rsidR="007B68B1" w:rsidRPr="00931D46" w:rsidRDefault="007B68B1" w:rsidP="0023353F">
      <w:pPr>
        <w:spacing w:before="0" w:after="0"/>
        <w:jc w:val="center"/>
        <w:rPr>
          <w:rFonts w:ascii="Arial" w:hAnsi="Arial" w:cs="Arial"/>
          <w:b/>
          <w:sz w:val="26"/>
          <w:szCs w:val="26"/>
          <w:u w:val="single"/>
        </w:rPr>
      </w:pPr>
      <w:r w:rsidRPr="00931D46">
        <w:rPr>
          <w:rFonts w:ascii="Arial" w:hAnsi="Arial" w:cs="Arial"/>
          <w:b/>
          <w:sz w:val="26"/>
          <w:szCs w:val="26"/>
          <w:u w:val="single"/>
        </w:rPr>
        <w:t>Contenido</w:t>
      </w:r>
    </w:p>
    <w:bookmarkStart w:id="9" w:name="_Toc35943807"/>
    <w:bookmarkStart w:id="10" w:name="_Toc38377300"/>
    <w:bookmarkStart w:id="11" w:name="_Toc41649746"/>
    <w:bookmarkStart w:id="12" w:name="_Toc41649887"/>
    <w:p w14:paraId="2EAB50E6" w14:textId="6440D28B" w:rsidR="00AE3AC5" w:rsidRDefault="00DB4085">
      <w:pPr>
        <w:pStyle w:val="TDC1"/>
        <w:tabs>
          <w:tab w:val="right" w:leader="dot" w:pos="9394"/>
        </w:tabs>
        <w:rPr>
          <w:rFonts w:asciiTheme="minorHAnsi" w:eastAsiaTheme="minorEastAsia" w:hAnsiTheme="minorHAnsi"/>
          <w:noProof/>
          <w:lang w:eastAsia="es-MX"/>
        </w:rPr>
      </w:pPr>
      <w:r w:rsidRPr="00931D46">
        <w:rPr>
          <w:rFonts w:cs="Arial"/>
          <w:b/>
        </w:rPr>
        <w:fldChar w:fldCharType="begin"/>
      </w:r>
      <w:r w:rsidRPr="00931D46">
        <w:rPr>
          <w:rFonts w:cs="Arial"/>
          <w:b/>
        </w:rPr>
        <w:instrText xml:space="preserve"> TOC \o "1-2" \h \z \u </w:instrText>
      </w:r>
      <w:r w:rsidRPr="00931D46">
        <w:rPr>
          <w:rFonts w:cs="Arial"/>
          <w:b/>
        </w:rPr>
        <w:fldChar w:fldCharType="separate"/>
      </w:r>
      <w:hyperlink w:anchor="_Toc74323816" w:history="1">
        <w:r w:rsidR="00AE3AC5" w:rsidRPr="00D124CC">
          <w:rPr>
            <w:rStyle w:val="Hipervnculo"/>
            <w:rFonts w:cs="Arial"/>
            <w:b/>
            <w:noProof/>
          </w:rPr>
          <w:t>Glosario</w:t>
        </w:r>
        <w:r w:rsidR="00AE3AC5">
          <w:rPr>
            <w:noProof/>
            <w:webHidden/>
          </w:rPr>
          <w:tab/>
        </w:r>
        <w:r w:rsidR="00AE3AC5">
          <w:rPr>
            <w:noProof/>
            <w:webHidden/>
          </w:rPr>
          <w:fldChar w:fldCharType="begin"/>
        </w:r>
        <w:r w:rsidR="00AE3AC5">
          <w:rPr>
            <w:noProof/>
            <w:webHidden/>
          </w:rPr>
          <w:instrText xml:space="preserve"> PAGEREF _Toc74323816 \h </w:instrText>
        </w:r>
        <w:r w:rsidR="00AE3AC5">
          <w:rPr>
            <w:noProof/>
            <w:webHidden/>
          </w:rPr>
        </w:r>
        <w:r w:rsidR="00AE3AC5">
          <w:rPr>
            <w:noProof/>
            <w:webHidden/>
          </w:rPr>
          <w:fldChar w:fldCharType="separate"/>
        </w:r>
        <w:r w:rsidR="0009443F">
          <w:rPr>
            <w:noProof/>
            <w:webHidden/>
          </w:rPr>
          <w:t>2</w:t>
        </w:r>
        <w:r w:rsidR="00AE3AC5">
          <w:rPr>
            <w:noProof/>
            <w:webHidden/>
          </w:rPr>
          <w:fldChar w:fldCharType="end"/>
        </w:r>
      </w:hyperlink>
    </w:p>
    <w:p w14:paraId="7D4B5314" w14:textId="3A153F01"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17" w:history="1">
        <w:r w:rsidR="00AE3AC5" w:rsidRPr="00D124CC">
          <w:rPr>
            <w:rStyle w:val="Hipervnculo"/>
            <w:rFonts w:cs="Arial"/>
            <w:b/>
            <w:noProof/>
          </w:rPr>
          <w:t>1.</w:t>
        </w:r>
        <w:r w:rsidR="00AE3AC5">
          <w:rPr>
            <w:rFonts w:asciiTheme="minorHAnsi" w:eastAsiaTheme="minorEastAsia" w:hAnsiTheme="minorHAnsi"/>
            <w:noProof/>
            <w:lang w:eastAsia="es-MX"/>
          </w:rPr>
          <w:tab/>
        </w:r>
        <w:r w:rsidR="00AE3AC5" w:rsidRPr="00D124CC">
          <w:rPr>
            <w:rStyle w:val="Hipervnculo"/>
            <w:rFonts w:cs="Arial"/>
            <w:b/>
            <w:noProof/>
          </w:rPr>
          <w:t>Introducción</w:t>
        </w:r>
        <w:r w:rsidR="00AE3AC5">
          <w:rPr>
            <w:noProof/>
            <w:webHidden/>
          </w:rPr>
          <w:tab/>
        </w:r>
        <w:r w:rsidR="00AE3AC5">
          <w:rPr>
            <w:noProof/>
            <w:webHidden/>
          </w:rPr>
          <w:fldChar w:fldCharType="begin"/>
        </w:r>
        <w:r w:rsidR="00AE3AC5">
          <w:rPr>
            <w:noProof/>
            <w:webHidden/>
          </w:rPr>
          <w:instrText xml:space="preserve"> PAGEREF _Toc74323817 \h </w:instrText>
        </w:r>
        <w:r w:rsidR="00AE3AC5">
          <w:rPr>
            <w:noProof/>
            <w:webHidden/>
          </w:rPr>
        </w:r>
        <w:r w:rsidR="00AE3AC5">
          <w:rPr>
            <w:noProof/>
            <w:webHidden/>
          </w:rPr>
          <w:fldChar w:fldCharType="separate"/>
        </w:r>
        <w:r w:rsidR="0009443F">
          <w:rPr>
            <w:noProof/>
            <w:webHidden/>
          </w:rPr>
          <w:t>4</w:t>
        </w:r>
        <w:r w:rsidR="00AE3AC5">
          <w:rPr>
            <w:noProof/>
            <w:webHidden/>
          </w:rPr>
          <w:fldChar w:fldCharType="end"/>
        </w:r>
      </w:hyperlink>
    </w:p>
    <w:p w14:paraId="4DBF2A10" w14:textId="27277D44"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18" w:history="1">
        <w:r w:rsidR="00AE3AC5" w:rsidRPr="00D124CC">
          <w:rPr>
            <w:rStyle w:val="Hipervnculo"/>
            <w:rFonts w:cs="Arial"/>
            <w:b/>
            <w:noProof/>
          </w:rPr>
          <w:t>2.</w:t>
        </w:r>
        <w:r w:rsidR="00AE3AC5">
          <w:rPr>
            <w:rFonts w:asciiTheme="minorHAnsi" w:eastAsiaTheme="minorEastAsia" w:hAnsiTheme="minorHAnsi"/>
            <w:noProof/>
            <w:lang w:eastAsia="es-MX"/>
          </w:rPr>
          <w:tab/>
        </w:r>
        <w:r w:rsidR="00AE3AC5" w:rsidRPr="00D124CC">
          <w:rPr>
            <w:rStyle w:val="Hipervnculo"/>
            <w:rFonts w:cs="Arial"/>
            <w:b/>
            <w:noProof/>
          </w:rPr>
          <w:t>Concepto de MR y su utilidad</w:t>
        </w:r>
        <w:r w:rsidR="00AE3AC5">
          <w:rPr>
            <w:noProof/>
            <w:webHidden/>
          </w:rPr>
          <w:tab/>
        </w:r>
        <w:r w:rsidR="00AE3AC5">
          <w:rPr>
            <w:noProof/>
            <w:webHidden/>
          </w:rPr>
          <w:fldChar w:fldCharType="begin"/>
        </w:r>
        <w:r w:rsidR="00AE3AC5">
          <w:rPr>
            <w:noProof/>
            <w:webHidden/>
          </w:rPr>
          <w:instrText xml:space="preserve"> PAGEREF _Toc74323818 \h </w:instrText>
        </w:r>
        <w:r w:rsidR="00AE3AC5">
          <w:rPr>
            <w:noProof/>
            <w:webHidden/>
          </w:rPr>
        </w:r>
        <w:r w:rsidR="00AE3AC5">
          <w:rPr>
            <w:noProof/>
            <w:webHidden/>
          </w:rPr>
          <w:fldChar w:fldCharType="separate"/>
        </w:r>
        <w:r w:rsidR="0009443F">
          <w:rPr>
            <w:noProof/>
            <w:webHidden/>
          </w:rPr>
          <w:t>5</w:t>
        </w:r>
        <w:r w:rsidR="00AE3AC5">
          <w:rPr>
            <w:noProof/>
            <w:webHidden/>
          </w:rPr>
          <w:fldChar w:fldCharType="end"/>
        </w:r>
      </w:hyperlink>
    </w:p>
    <w:p w14:paraId="39BD9522" w14:textId="00C8CC6A"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19" w:history="1">
        <w:r w:rsidR="00AE3AC5" w:rsidRPr="00D124CC">
          <w:rPr>
            <w:rStyle w:val="Hipervnculo"/>
            <w:rFonts w:cs="Arial"/>
            <w:b/>
            <w:noProof/>
          </w:rPr>
          <w:t>3.</w:t>
        </w:r>
        <w:r w:rsidR="00AE3AC5">
          <w:rPr>
            <w:rFonts w:asciiTheme="minorHAnsi" w:eastAsiaTheme="minorEastAsia" w:hAnsiTheme="minorHAnsi"/>
            <w:noProof/>
            <w:lang w:eastAsia="es-MX"/>
          </w:rPr>
          <w:tab/>
        </w:r>
        <w:r w:rsidR="00AE3AC5" w:rsidRPr="00D124CC">
          <w:rPr>
            <w:rStyle w:val="Hipervnculo"/>
            <w:rFonts w:cs="Arial"/>
            <w:b/>
            <w:noProof/>
          </w:rPr>
          <w:t>Enfoques para el análisis de sustitución</w:t>
        </w:r>
        <w:r w:rsidR="00AE3AC5">
          <w:rPr>
            <w:noProof/>
            <w:webHidden/>
          </w:rPr>
          <w:tab/>
        </w:r>
        <w:r w:rsidR="00AE3AC5">
          <w:rPr>
            <w:noProof/>
            <w:webHidden/>
          </w:rPr>
          <w:fldChar w:fldCharType="begin"/>
        </w:r>
        <w:r w:rsidR="00AE3AC5">
          <w:rPr>
            <w:noProof/>
            <w:webHidden/>
          </w:rPr>
          <w:instrText xml:space="preserve"> PAGEREF _Toc74323819 \h </w:instrText>
        </w:r>
        <w:r w:rsidR="00AE3AC5">
          <w:rPr>
            <w:noProof/>
            <w:webHidden/>
          </w:rPr>
        </w:r>
        <w:r w:rsidR="00AE3AC5">
          <w:rPr>
            <w:noProof/>
            <w:webHidden/>
          </w:rPr>
          <w:fldChar w:fldCharType="separate"/>
        </w:r>
        <w:r w:rsidR="0009443F">
          <w:rPr>
            <w:noProof/>
            <w:webHidden/>
          </w:rPr>
          <w:t>9</w:t>
        </w:r>
        <w:r w:rsidR="00AE3AC5">
          <w:rPr>
            <w:noProof/>
            <w:webHidden/>
          </w:rPr>
          <w:fldChar w:fldCharType="end"/>
        </w:r>
      </w:hyperlink>
    </w:p>
    <w:p w14:paraId="390F13B7" w14:textId="4030E22A"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0" w:history="1">
        <w:r w:rsidR="00AE3AC5" w:rsidRPr="00D124CC">
          <w:rPr>
            <w:rStyle w:val="Hipervnculo"/>
            <w:rFonts w:eastAsia="Times New Roman" w:cs="Arial"/>
            <w:noProof/>
            <w:lang w:eastAsia="es-MX"/>
          </w:rPr>
          <w:t>3.1.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Enfoque en la Unión Europea</w:t>
        </w:r>
        <w:r w:rsidR="00AE3AC5">
          <w:rPr>
            <w:noProof/>
            <w:webHidden/>
          </w:rPr>
          <w:tab/>
        </w:r>
        <w:r w:rsidR="00AE3AC5">
          <w:rPr>
            <w:noProof/>
            <w:webHidden/>
          </w:rPr>
          <w:fldChar w:fldCharType="begin"/>
        </w:r>
        <w:r w:rsidR="00AE3AC5">
          <w:rPr>
            <w:noProof/>
            <w:webHidden/>
          </w:rPr>
          <w:instrText xml:space="preserve"> PAGEREF _Toc74323820 \h </w:instrText>
        </w:r>
        <w:r w:rsidR="00AE3AC5">
          <w:rPr>
            <w:noProof/>
            <w:webHidden/>
          </w:rPr>
        </w:r>
        <w:r w:rsidR="00AE3AC5">
          <w:rPr>
            <w:noProof/>
            <w:webHidden/>
          </w:rPr>
          <w:fldChar w:fldCharType="separate"/>
        </w:r>
        <w:r w:rsidR="0009443F">
          <w:rPr>
            <w:noProof/>
            <w:webHidden/>
          </w:rPr>
          <w:t>10</w:t>
        </w:r>
        <w:r w:rsidR="00AE3AC5">
          <w:rPr>
            <w:noProof/>
            <w:webHidden/>
          </w:rPr>
          <w:fldChar w:fldCharType="end"/>
        </w:r>
      </w:hyperlink>
    </w:p>
    <w:p w14:paraId="12742F92" w14:textId="62B76F8C"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1" w:history="1">
        <w:r w:rsidR="00AE3AC5" w:rsidRPr="00D124CC">
          <w:rPr>
            <w:rStyle w:val="Hipervnculo"/>
            <w:rFonts w:eastAsia="Times New Roman" w:cs="Arial"/>
            <w:noProof/>
            <w:lang w:eastAsia="es-MX"/>
          </w:rPr>
          <w:t>3.2.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Enfoque en Estados Unidos de América</w:t>
        </w:r>
        <w:r w:rsidR="00AE3AC5">
          <w:rPr>
            <w:noProof/>
            <w:webHidden/>
          </w:rPr>
          <w:tab/>
        </w:r>
        <w:r w:rsidR="00AE3AC5">
          <w:rPr>
            <w:noProof/>
            <w:webHidden/>
          </w:rPr>
          <w:fldChar w:fldCharType="begin"/>
        </w:r>
        <w:r w:rsidR="00AE3AC5">
          <w:rPr>
            <w:noProof/>
            <w:webHidden/>
          </w:rPr>
          <w:instrText xml:space="preserve"> PAGEREF _Toc74323821 \h </w:instrText>
        </w:r>
        <w:r w:rsidR="00AE3AC5">
          <w:rPr>
            <w:noProof/>
            <w:webHidden/>
          </w:rPr>
        </w:r>
        <w:r w:rsidR="00AE3AC5">
          <w:rPr>
            <w:noProof/>
            <w:webHidden/>
          </w:rPr>
          <w:fldChar w:fldCharType="separate"/>
        </w:r>
        <w:r w:rsidR="0009443F">
          <w:rPr>
            <w:noProof/>
            <w:webHidden/>
          </w:rPr>
          <w:t>11</w:t>
        </w:r>
        <w:r w:rsidR="00AE3AC5">
          <w:rPr>
            <w:noProof/>
            <w:webHidden/>
          </w:rPr>
          <w:fldChar w:fldCharType="end"/>
        </w:r>
      </w:hyperlink>
    </w:p>
    <w:p w14:paraId="0E51B096" w14:textId="40101F97"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2" w:history="1">
        <w:r w:rsidR="00AE3AC5" w:rsidRPr="00D124CC">
          <w:rPr>
            <w:rStyle w:val="Hipervnculo"/>
            <w:rFonts w:eastAsia="Times New Roman" w:cs="Arial"/>
            <w:noProof/>
            <w:lang w:eastAsia="es-MX"/>
          </w:rPr>
          <w:t>3.3.</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Disposiciones legales en México</w:t>
        </w:r>
        <w:r w:rsidR="00AE3AC5">
          <w:rPr>
            <w:noProof/>
            <w:webHidden/>
          </w:rPr>
          <w:tab/>
        </w:r>
        <w:r w:rsidR="00AE3AC5">
          <w:rPr>
            <w:noProof/>
            <w:webHidden/>
          </w:rPr>
          <w:fldChar w:fldCharType="begin"/>
        </w:r>
        <w:r w:rsidR="00AE3AC5">
          <w:rPr>
            <w:noProof/>
            <w:webHidden/>
          </w:rPr>
          <w:instrText xml:space="preserve"> PAGEREF _Toc74323822 \h </w:instrText>
        </w:r>
        <w:r w:rsidR="00AE3AC5">
          <w:rPr>
            <w:noProof/>
            <w:webHidden/>
          </w:rPr>
        </w:r>
        <w:r w:rsidR="00AE3AC5">
          <w:rPr>
            <w:noProof/>
            <w:webHidden/>
          </w:rPr>
          <w:fldChar w:fldCharType="separate"/>
        </w:r>
        <w:r w:rsidR="0009443F">
          <w:rPr>
            <w:noProof/>
            <w:webHidden/>
          </w:rPr>
          <w:t>12</w:t>
        </w:r>
        <w:r w:rsidR="00AE3AC5">
          <w:rPr>
            <w:noProof/>
            <w:webHidden/>
          </w:rPr>
          <w:fldChar w:fldCharType="end"/>
        </w:r>
      </w:hyperlink>
    </w:p>
    <w:p w14:paraId="6EF014F9" w14:textId="0FDA6587"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23" w:history="1">
        <w:r w:rsidR="00AE3AC5" w:rsidRPr="00D124CC">
          <w:rPr>
            <w:rStyle w:val="Hipervnculo"/>
            <w:rFonts w:cs="Arial"/>
            <w:b/>
            <w:noProof/>
          </w:rPr>
          <w:t>4.</w:t>
        </w:r>
        <w:r w:rsidR="00AE3AC5">
          <w:rPr>
            <w:rFonts w:asciiTheme="minorHAnsi" w:eastAsiaTheme="minorEastAsia" w:hAnsiTheme="minorHAnsi"/>
            <w:noProof/>
            <w:lang w:eastAsia="es-MX"/>
          </w:rPr>
          <w:tab/>
        </w:r>
        <w:r w:rsidR="00AE3AC5" w:rsidRPr="00D124CC">
          <w:rPr>
            <w:rStyle w:val="Hipervnculo"/>
            <w:rFonts w:cs="Arial"/>
            <w:b/>
            <w:noProof/>
          </w:rPr>
          <w:t>Herramientas y elementos para el análisis de sustitución</w:t>
        </w:r>
        <w:r w:rsidR="00AE3AC5">
          <w:rPr>
            <w:noProof/>
            <w:webHidden/>
          </w:rPr>
          <w:tab/>
        </w:r>
        <w:r w:rsidR="00AE3AC5">
          <w:rPr>
            <w:noProof/>
            <w:webHidden/>
          </w:rPr>
          <w:fldChar w:fldCharType="begin"/>
        </w:r>
        <w:r w:rsidR="00AE3AC5">
          <w:rPr>
            <w:noProof/>
            <w:webHidden/>
          </w:rPr>
          <w:instrText xml:space="preserve"> PAGEREF _Toc74323823 \h </w:instrText>
        </w:r>
        <w:r w:rsidR="00AE3AC5">
          <w:rPr>
            <w:noProof/>
            <w:webHidden/>
          </w:rPr>
        </w:r>
        <w:r w:rsidR="00AE3AC5">
          <w:rPr>
            <w:noProof/>
            <w:webHidden/>
          </w:rPr>
          <w:fldChar w:fldCharType="separate"/>
        </w:r>
        <w:r w:rsidR="0009443F">
          <w:rPr>
            <w:noProof/>
            <w:webHidden/>
          </w:rPr>
          <w:t>13</w:t>
        </w:r>
        <w:r w:rsidR="00AE3AC5">
          <w:rPr>
            <w:noProof/>
            <w:webHidden/>
          </w:rPr>
          <w:fldChar w:fldCharType="end"/>
        </w:r>
      </w:hyperlink>
    </w:p>
    <w:p w14:paraId="0B61944A" w14:textId="663E62EA"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4" w:history="1">
        <w:r w:rsidR="00AE3AC5" w:rsidRPr="00D124CC">
          <w:rPr>
            <w:rStyle w:val="Hipervnculo"/>
            <w:rFonts w:eastAsia="Times New Roman" w:cs="Arial"/>
            <w:noProof/>
            <w:lang w:eastAsia="es-MX"/>
          </w:rPr>
          <w:t>4.1.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Prueba SSNIP</w:t>
        </w:r>
        <w:r w:rsidR="00AE3AC5">
          <w:rPr>
            <w:noProof/>
            <w:webHidden/>
          </w:rPr>
          <w:tab/>
        </w:r>
        <w:r w:rsidR="00AE3AC5">
          <w:rPr>
            <w:noProof/>
            <w:webHidden/>
          </w:rPr>
          <w:fldChar w:fldCharType="begin"/>
        </w:r>
        <w:r w:rsidR="00AE3AC5">
          <w:rPr>
            <w:noProof/>
            <w:webHidden/>
          </w:rPr>
          <w:instrText xml:space="preserve"> PAGEREF _Toc74323824 \h </w:instrText>
        </w:r>
        <w:r w:rsidR="00AE3AC5">
          <w:rPr>
            <w:noProof/>
            <w:webHidden/>
          </w:rPr>
        </w:r>
        <w:r w:rsidR="00AE3AC5">
          <w:rPr>
            <w:noProof/>
            <w:webHidden/>
          </w:rPr>
          <w:fldChar w:fldCharType="separate"/>
        </w:r>
        <w:r w:rsidR="0009443F">
          <w:rPr>
            <w:noProof/>
            <w:webHidden/>
          </w:rPr>
          <w:t>14</w:t>
        </w:r>
        <w:r w:rsidR="00AE3AC5">
          <w:rPr>
            <w:noProof/>
            <w:webHidden/>
          </w:rPr>
          <w:fldChar w:fldCharType="end"/>
        </w:r>
      </w:hyperlink>
    </w:p>
    <w:p w14:paraId="398289DD" w14:textId="0DA5F37D"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5" w:history="1">
        <w:r w:rsidR="00AE3AC5" w:rsidRPr="00D124CC">
          <w:rPr>
            <w:rStyle w:val="Hipervnculo"/>
            <w:rFonts w:eastAsia="Times New Roman" w:cs="Arial"/>
            <w:noProof/>
            <w:lang w:eastAsia="es-MX"/>
          </w:rPr>
          <w:t>4.2.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Otras herramientas y elementos para el análisis de sustitución</w:t>
        </w:r>
        <w:r w:rsidR="00AE3AC5">
          <w:rPr>
            <w:noProof/>
            <w:webHidden/>
          </w:rPr>
          <w:tab/>
        </w:r>
        <w:r w:rsidR="00AE3AC5">
          <w:rPr>
            <w:noProof/>
            <w:webHidden/>
          </w:rPr>
          <w:fldChar w:fldCharType="begin"/>
        </w:r>
        <w:r w:rsidR="00AE3AC5">
          <w:rPr>
            <w:noProof/>
            <w:webHidden/>
          </w:rPr>
          <w:instrText xml:space="preserve"> PAGEREF _Toc74323825 \h </w:instrText>
        </w:r>
        <w:r w:rsidR="00AE3AC5">
          <w:rPr>
            <w:noProof/>
            <w:webHidden/>
          </w:rPr>
        </w:r>
        <w:r w:rsidR="00AE3AC5">
          <w:rPr>
            <w:noProof/>
            <w:webHidden/>
          </w:rPr>
          <w:fldChar w:fldCharType="separate"/>
        </w:r>
        <w:r w:rsidR="0009443F">
          <w:rPr>
            <w:noProof/>
            <w:webHidden/>
          </w:rPr>
          <w:t>20</w:t>
        </w:r>
        <w:r w:rsidR="00AE3AC5">
          <w:rPr>
            <w:noProof/>
            <w:webHidden/>
          </w:rPr>
          <w:fldChar w:fldCharType="end"/>
        </w:r>
      </w:hyperlink>
    </w:p>
    <w:p w14:paraId="5FEFB8DA" w14:textId="27DD36F0"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26" w:history="1">
        <w:r w:rsidR="00AE3AC5" w:rsidRPr="00D124CC">
          <w:rPr>
            <w:rStyle w:val="Hipervnculo"/>
            <w:rFonts w:cs="Arial"/>
            <w:b/>
            <w:noProof/>
          </w:rPr>
          <w:t>5.</w:t>
        </w:r>
        <w:r w:rsidR="00AE3AC5">
          <w:rPr>
            <w:rFonts w:asciiTheme="minorHAnsi" w:eastAsiaTheme="minorEastAsia" w:hAnsiTheme="minorHAnsi"/>
            <w:noProof/>
            <w:lang w:eastAsia="es-MX"/>
          </w:rPr>
          <w:tab/>
        </w:r>
        <w:r w:rsidR="00AE3AC5" w:rsidRPr="00D124CC">
          <w:rPr>
            <w:rStyle w:val="Hipervnculo"/>
            <w:rFonts w:cs="Arial"/>
            <w:b/>
            <w:noProof/>
          </w:rPr>
          <w:t>Determinación de la dimensión producto</w:t>
        </w:r>
        <w:r w:rsidR="00AE3AC5">
          <w:rPr>
            <w:noProof/>
            <w:webHidden/>
          </w:rPr>
          <w:tab/>
        </w:r>
        <w:r w:rsidR="00AE3AC5">
          <w:rPr>
            <w:noProof/>
            <w:webHidden/>
          </w:rPr>
          <w:fldChar w:fldCharType="begin"/>
        </w:r>
        <w:r w:rsidR="00AE3AC5">
          <w:rPr>
            <w:noProof/>
            <w:webHidden/>
          </w:rPr>
          <w:instrText xml:space="preserve"> PAGEREF _Toc74323826 \h </w:instrText>
        </w:r>
        <w:r w:rsidR="00AE3AC5">
          <w:rPr>
            <w:noProof/>
            <w:webHidden/>
          </w:rPr>
        </w:r>
        <w:r w:rsidR="00AE3AC5">
          <w:rPr>
            <w:noProof/>
            <w:webHidden/>
          </w:rPr>
          <w:fldChar w:fldCharType="separate"/>
        </w:r>
        <w:r w:rsidR="0009443F">
          <w:rPr>
            <w:noProof/>
            <w:webHidden/>
          </w:rPr>
          <w:t>23</w:t>
        </w:r>
        <w:r w:rsidR="00AE3AC5">
          <w:rPr>
            <w:noProof/>
            <w:webHidden/>
          </w:rPr>
          <w:fldChar w:fldCharType="end"/>
        </w:r>
      </w:hyperlink>
    </w:p>
    <w:p w14:paraId="0A936DAC" w14:textId="1CF0CFAF"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7" w:history="1">
        <w:r w:rsidR="00AE3AC5" w:rsidRPr="00D124CC">
          <w:rPr>
            <w:rStyle w:val="Hipervnculo"/>
            <w:rFonts w:eastAsia="Times New Roman" w:cs="Arial"/>
            <w:noProof/>
            <w:lang w:eastAsia="es-MX"/>
          </w:rPr>
          <w:t>5.1.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Precedentes decisorios del Instituto</w:t>
        </w:r>
        <w:r w:rsidR="00AE3AC5">
          <w:rPr>
            <w:noProof/>
            <w:webHidden/>
          </w:rPr>
          <w:tab/>
        </w:r>
        <w:r w:rsidR="00AE3AC5">
          <w:rPr>
            <w:noProof/>
            <w:webHidden/>
          </w:rPr>
          <w:fldChar w:fldCharType="begin"/>
        </w:r>
        <w:r w:rsidR="00AE3AC5">
          <w:rPr>
            <w:noProof/>
            <w:webHidden/>
          </w:rPr>
          <w:instrText xml:space="preserve"> PAGEREF _Toc74323827 \h </w:instrText>
        </w:r>
        <w:r w:rsidR="00AE3AC5">
          <w:rPr>
            <w:noProof/>
            <w:webHidden/>
          </w:rPr>
        </w:r>
        <w:r w:rsidR="00AE3AC5">
          <w:rPr>
            <w:noProof/>
            <w:webHidden/>
          </w:rPr>
          <w:fldChar w:fldCharType="separate"/>
        </w:r>
        <w:r w:rsidR="0009443F">
          <w:rPr>
            <w:noProof/>
            <w:webHidden/>
          </w:rPr>
          <w:t>23</w:t>
        </w:r>
        <w:r w:rsidR="00AE3AC5">
          <w:rPr>
            <w:noProof/>
            <w:webHidden/>
          </w:rPr>
          <w:fldChar w:fldCharType="end"/>
        </w:r>
      </w:hyperlink>
    </w:p>
    <w:p w14:paraId="54E3173B" w14:textId="318E6CAC"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28" w:history="1">
        <w:r w:rsidR="00AE3AC5" w:rsidRPr="00D124CC">
          <w:rPr>
            <w:rStyle w:val="Hipervnculo"/>
            <w:rFonts w:eastAsia="Times New Roman" w:cs="Arial"/>
            <w:noProof/>
            <w:lang w:eastAsia="es-MX"/>
          </w:rPr>
          <w:t>5.2.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Experiencia internacional</w:t>
        </w:r>
        <w:r w:rsidR="00AE3AC5">
          <w:rPr>
            <w:noProof/>
            <w:webHidden/>
          </w:rPr>
          <w:tab/>
        </w:r>
        <w:r w:rsidR="00AE3AC5">
          <w:rPr>
            <w:noProof/>
            <w:webHidden/>
          </w:rPr>
          <w:fldChar w:fldCharType="begin"/>
        </w:r>
        <w:r w:rsidR="00AE3AC5">
          <w:rPr>
            <w:noProof/>
            <w:webHidden/>
          </w:rPr>
          <w:instrText xml:space="preserve"> PAGEREF _Toc74323828 \h </w:instrText>
        </w:r>
        <w:r w:rsidR="00AE3AC5">
          <w:rPr>
            <w:noProof/>
            <w:webHidden/>
          </w:rPr>
        </w:r>
        <w:r w:rsidR="00AE3AC5">
          <w:rPr>
            <w:noProof/>
            <w:webHidden/>
          </w:rPr>
          <w:fldChar w:fldCharType="separate"/>
        </w:r>
        <w:r w:rsidR="0009443F">
          <w:rPr>
            <w:noProof/>
            <w:webHidden/>
          </w:rPr>
          <w:t>30</w:t>
        </w:r>
        <w:r w:rsidR="00AE3AC5">
          <w:rPr>
            <w:noProof/>
            <w:webHidden/>
          </w:rPr>
          <w:fldChar w:fldCharType="end"/>
        </w:r>
      </w:hyperlink>
    </w:p>
    <w:p w14:paraId="26FF11AB" w14:textId="55A6F6E0"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29" w:history="1">
        <w:r w:rsidR="00AE3AC5" w:rsidRPr="00D124CC">
          <w:rPr>
            <w:rStyle w:val="Hipervnculo"/>
            <w:rFonts w:cs="Arial"/>
            <w:b/>
            <w:noProof/>
          </w:rPr>
          <w:t>6.</w:t>
        </w:r>
        <w:r w:rsidR="00AE3AC5">
          <w:rPr>
            <w:rFonts w:asciiTheme="minorHAnsi" w:eastAsiaTheme="minorEastAsia" w:hAnsiTheme="minorHAnsi"/>
            <w:noProof/>
            <w:lang w:eastAsia="es-MX"/>
          </w:rPr>
          <w:tab/>
        </w:r>
        <w:r w:rsidR="00AE3AC5" w:rsidRPr="00D124CC">
          <w:rPr>
            <w:rStyle w:val="Hipervnculo"/>
            <w:rFonts w:cs="Arial"/>
            <w:b/>
            <w:noProof/>
          </w:rPr>
          <w:t>Determinación de la dimensión geográfica</w:t>
        </w:r>
        <w:r w:rsidR="00AE3AC5">
          <w:rPr>
            <w:noProof/>
            <w:webHidden/>
          </w:rPr>
          <w:tab/>
        </w:r>
        <w:r w:rsidR="00AE3AC5">
          <w:rPr>
            <w:noProof/>
            <w:webHidden/>
          </w:rPr>
          <w:fldChar w:fldCharType="begin"/>
        </w:r>
        <w:r w:rsidR="00AE3AC5">
          <w:rPr>
            <w:noProof/>
            <w:webHidden/>
          </w:rPr>
          <w:instrText xml:space="preserve"> PAGEREF _Toc74323829 \h </w:instrText>
        </w:r>
        <w:r w:rsidR="00AE3AC5">
          <w:rPr>
            <w:noProof/>
            <w:webHidden/>
          </w:rPr>
        </w:r>
        <w:r w:rsidR="00AE3AC5">
          <w:rPr>
            <w:noProof/>
            <w:webHidden/>
          </w:rPr>
          <w:fldChar w:fldCharType="separate"/>
        </w:r>
        <w:r w:rsidR="0009443F">
          <w:rPr>
            <w:noProof/>
            <w:webHidden/>
          </w:rPr>
          <w:t>37</w:t>
        </w:r>
        <w:r w:rsidR="00AE3AC5">
          <w:rPr>
            <w:noProof/>
            <w:webHidden/>
          </w:rPr>
          <w:fldChar w:fldCharType="end"/>
        </w:r>
      </w:hyperlink>
    </w:p>
    <w:p w14:paraId="2255A1CB" w14:textId="6F747306"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0" w:history="1">
        <w:r w:rsidR="00AE3AC5" w:rsidRPr="00D124CC">
          <w:rPr>
            <w:rStyle w:val="Hipervnculo"/>
            <w:rFonts w:eastAsia="Times New Roman" w:cs="Arial"/>
            <w:noProof/>
            <w:lang w:eastAsia="es-MX"/>
          </w:rPr>
          <w:t>6.1.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Precedentes decisorios del Instituto</w:t>
        </w:r>
        <w:r w:rsidR="00AE3AC5">
          <w:rPr>
            <w:noProof/>
            <w:webHidden/>
          </w:rPr>
          <w:tab/>
        </w:r>
        <w:r w:rsidR="00AE3AC5">
          <w:rPr>
            <w:noProof/>
            <w:webHidden/>
          </w:rPr>
          <w:fldChar w:fldCharType="begin"/>
        </w:r>
        <w:r w:rsidR="00AE3AC5">
          <w:rPr>
            <w:noProof/>
            <w:webHidden/>
          </w:rPr>
          <w:instrText xml:space="preserve"> PAGEREF _Toc74323830 \h </w:instrText>
        </w:r>
        <w:r w:rsidR="00AE3AC5">
          <w:rPr>
            <w:noProof/>
            <w:webHidden/>
          </w:rPr>
        </w:r>
        <w:r w:rsidR="00AE3AC5">
          <w:rPr>
            <w:noProof/>
            <w:webHidden/>
          </w:rPr>
          <w:fldChar w:fldCharType="separate"/>
        </w:r>
        <w:r w:rsidR="0009443F">
          <w:rPr>
            <w:noProof/>
            <w:webHidden/>
          </w:rPr>
          <w:t>37</w:t>
        </w:r>
        <w:r w:rsidR="00AE3AC5">
          <w:rPr>
            <w:noProof/>
            <w:webHidden/>
          </w:rPr>
          <w:fldChar w:fldCharType="end"/>
        </w:r>
      </w:hyperlink>
    </w:p>
    <w:p w14:paraId="4A2CA5F6" w14:textId="47F7A202"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1" w:history="1">
        <w:r w:rsidR="00AE3AC5" w:rsidRPr="00D124CC">
          <w:rPr>
            <w:rStyle w:val="Hipervnculo"/>
            <w:rFonts w:eastAsia="Times New Roman" w:cs="Arial"/>
            <w:noProof/>
            <w:lang w:eastAsia="es-MX"/>
          </w:rPr>
          <w:t>6.2.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Experiencia internacional</w:t>
        </w:r>
        <w:r w:rsidR="00AE3AC5">
          <w:rPr>
            <w:noProof/>
            <w:webHidden/>
          </w:rPr>
          <w:tab/>
        </w:r>
        <w:r w:rsidR="00AE3AC5">
          <w:rPr>
            <w:noProof/>
            <w:webHidden/>
          </w:rPr>
          <w:fldChar w:fldCharType="begin"/>
        </w:r>
        <w:r w:rsidR="00AE3AC5">
          <w:rPr>
            <w:noProof/>
            <w:webHidden/>
          </w:rPr>
          <w:instrText xml:space="preserve"> PAGEREF _Toc74323831 \h </w:instrText>
        </w:r>
        <w:r w:rsidR="00AE3AC5">
          <w:rPr>
            <w:noProof/>
            <w:webHidden/>
          </w:rPr>
        </w:r>
        <w:r w:rsidR="00AE3AC5">
          <w:rPr>
            <w:noProof/>
            <w:webHidden/>
          </w:rPr>
          <w:fldChar w:fldCharType="separate"/>
        </w:r>
        <w:r w:rsidR="0009443F">
          <w:rPr>
            <w:noProof/>
            <w:webHidden/>
          </w:rPr>
          <w:t>42</w:t>
        </w:r>
        <w:r w:rsidR="00AE3AC5">
          <w:rPr>
            <w:noProof/>
            <w:webHidden/>
          </w:rPr>
          <w:fldChar w:fldCharType="end"/>
        </w:r>
      </w:hyperlink>
    </w:p>
    <w:p w14:paraId="2DE7B791" w14:textId="141FB1A7"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32" w:history="1">
        <w:r w:rsidR="00AE3AC5" w:rsidRPr="00D124CC">
          <w:rPr>
            <w:rStyle w:val="Hipervnculo"/>
            <w:rFonts w:cs="Arial"/>
            <w:b/>
            <w:noProof/>
          </w:rPr>
          <w:t>7.</w:t>
        </w:r>
        <w:r w:rsidR="00AE3AC5">
          <w:rPr>
            <w:rFonts w:asciiTheme="minorHAnsi" w:eastAsiaTheme="minorEastAsia" w:hAnsiTheme="minorHAnsi"/>
            <w:noProof/>
            <w:lang w:eastAsia="es-MX"/>
          </w:rPr>
          <w:tab/>
        </w:r>
        <w:r w:rsidR="00AE3AC5" w:rsidRPr="00D124CC">
          <w:rPr>
            <w:rStyle w:val="Hipervnculo"/>
            <w:rFonts w:cs="Arial"/>
            <w:b/>
            <w:noProof/>
          </w:rPr>
          <w:t>Exhaustividad en la delimitación del MR</w:t>
        </w:r>
        <w:r w:rsidR="00AE3AC5">
          <w:rPr>
            <w:noProof/>
            <w:webHidden/>
          </w:rPr>
          <w:tab/>
        </w:r>
        <w:r w:rsidR="00AE3AC5">
          <w:rPr>
            <w:noProof/>
            <w:webHidden/>
          </w:rPr>
          <w:fldChar w:fldCharType="begin"/>
        </w:r>
        <w:r w:rsidR="00AE3AC5">
          <w:rPr>
            <w:noProof/>
            <w:webHidden/>
          </w:rPr>
          <w:instrText xml:space="preserve"> PAGEREF _Toc74323832 \h </w:instrText>
        </w:r>
        <w:r w:rsidR="00AE3AC5">
          <w:rPr>
            <w:noProof/>
            <w:webHidden/>
          </w:rPr>
        </w:r>
        <w:r w:rsidR="00AE3AC5">
          <w:rPr>
            <w:noProof/>
            <w:webHidden/>
          </w:rPr>
          <w:fldChar w:fldCharType="separate"/>
        </w:r>
        <w:r w:rsidR="0009443F">
          <w:rPr>
            <w:noProof/>
            <w:webHidden/>
          </w:rPr>
          <w:t>48</w:t>
        </w:r>
        <w:r w:rsidR="00AE3AC5">
          <w:rPr>
            <w:noProof/>
            <w:webHidden/>
          </w:rPr>
          <w:fldChar w:fldCharType="end"/>
        </w:r>
      </w:hyperlink>
    </w:p>
    <w:p w14:paraId="2D7A106A" w14:textId="5533C51F"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3" w:history="1">
        <w:r w:rsidR="00AE3AC5" w:rsidRPr="00D124CC">
          <w:rPr>
            <w:rStyle w:val="Hipervnculo"/>
            <w:rFonts w:eastAsia="Times New Roman" w:cs="Arial"/>
            <w:noProof/>
            <w:lang w:eastAsia="es-MX"/>
          </w:rPr>
          <w:t>7.1.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Precedentes decisorios del Instituto</w:t>
        </w:r>
        <w:r w:rsidR="00AE3AC5">
          <w:rPr>
            <w:noProof/>
            <w:webHidden/>
          </w:rPr>
          <w:tab/>
        </w:r>
        <w:r w:rsidR="00AE3AC5">
          <w:rPr>
            <w:noProof/>
            <w:webHidden/>
          </w:rPr>
          <w:fldChar w:fldCharType="begin"/>
        </w:r>
        <w:r w:rsidR="00AE3AC5">
          <w:rPr>
            <w:noProof/>
            <w:webHidden/>
          </w:rPr>
          <w:instrText xml:space="preserve"> PAGEREF _Toc74323833 \h </w:instrText>
        </w:r>
        <w:r w:rsidR="00AE3AC5">
          <w:rPr>
            <w:noProof/>
            <w:webHidden/>
          </w:rPr>
        </w:r>
        <w:r w:rsidR="00AE3AC5">
          <w:rPr>
            <w:noProof/>
            <w:webHidden/>
          </w:rPr>
          <w:fldChar w:fldCharType="separate"/>
        </w:r>
        <w:r w:rsidR="0009443F">
          <w:rPr>
            <w:noProof/>
            <w:webHidden/>
          </w:rPr>
          <w:t>49</w:t>
        </w:r>
        <w:r w:rsidR="00AE3AC5">
          <w:rPr>
            <w:noProof/>
            <w:webHidden/>
          </w:rPr>
          <w:fldChar w:fldCharType="end"/>
        </w:r>
      </w:hyperlink>
    </w:p>
    <w:p w14:paraId="3ED48B13" w14:textId="23483C84"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4" w:history="1">
        <w:r w:rsidR="00AE3AC5" w:rsidRPr="00D124CC">
          <w:rPr>
            <w:rStyle w:val="Hipervnculo"/>
            <w:rFonts w:eastAsia="Times New Roman" w:cs="Arial"/>
            <w:noProof/>
            <w:lang w:eastAsia="es-MX"/>
          </w:rPr>
          <w:t>7.2.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Experiencia internacional</w:t>
        </w:r>
        <w:r w:rsidR="00AE3AC5">
          <w:rPr>
            <w:noProof/>
            <w:webHidden/>
          </w:rPr>
          <w:tab/>
        </w:r>
        <w:r w:rsidR="00AE3AC5">
          <w:rPr>
            <w:noProof/>
            <w:webHidden/>
          </w:rPr>
          <w:fldChar w:fldCharType="begin"/>
        </w:r>
        <w:r w:rsidR="00AE3AC5">
          <w:rPr>
            <w:noProof/>
            <w:webHidden/>
          </w:rPr>
          <w:instrText xml:space="preserve"> PAGEREF _Toc74323834 \h </w:instrText>
        </w:r>
        <w:r w:rsidR="00AE3AC5">
          <w:rPr>
            <w:noProof/>
            <w:webHidden/>
          </w:rPr>
        </w:r>
        <w:r w:rsidR="00AE3AC5">
          <w:rPr>
            <w:noProof/>
            <w:webHidden/>
          </w:rPr>
          <w:fldChar w:fldCharType="separate"/>
        </w:r>
        <w:r w:rsidR="0009443F">
          <w:rPr>
            <w:noProof/>
            <w:webHidden/>
          </w:rPr>
          <w:t>52</w:t>
        </w:r>
        <w:r w:rsidR="00AE3AC5">
          <w:rPr>
            <w:noProof/>
            <w:webHidden/>
          </w:rPr>
          <w:fldChar w:fldCharType="end"/>
        </w:r>
      </w:hyperlink>
    </w:p>
    <w:p w14:paraId="7AE82633" w14:textId="15378CBD"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35" w:history="1">
        <w:r w:rsidR="00AE3AC5" w:rsidRPr="00D124CC">
          <w:rPr>
            <w:rStyle w:val="Hipervnculo"/>
            <w:rFonts w:cs="Arial"/>
            <w:b/>
            <w:noProof/>
          </w:rPr>
          <w:t>8.</w:t>
        </w:r>
        <w:r w:rsidR="00AE3AC5">
          <w:rPr>
            <w:rFonts w:asciiTheme="minorHAnsi" w:eastAsiaTheme="minorEastAsia" w:hAnsiTheme="minorHAnsi"/>
            <w:noProof/>
            <w:lang w:eastAsia="es-MX"/>
          </w:rPr>
          <w:tab/>
        </w:r>
        <w:r w:rsidR="00AE3AC5" w:rsidRPr="00D124CC">
          <w:rPr>
            <w:rStyle w:val="Hipervnculo"/>
            <w:rFonts w:cs="Arial"/>
            <w:b/>
            <w:noProof/>
          </w:rPr>
          <w:t>Mercados relacionados</w:t>
        </w:r>
        <w:r w:rsidR="00AE3AC5">
          <w:rPr>
            <w:noProof/>
            <w:webHidden/>
          </w:rPr>
          <w:tab/>
        </w:r>
        <w:r w:rsidR="00AE3AC5">
          <w:rPr>
            <w:noProof/>
            <w:webHidden/>
          </w:rPr>
          <w:fldChar w:fldCharType="begin"/>
        </w:r>
        <w:r w:rsidR="00AE3AC5">
          <w:rPr>
            <w:noProof/>
            <w:webHidden/>
          </w:rPr>
          <w:instrText xml:space="preserve"> PAGEREF _Toc74323835 \h </w:instrText>
        </w:r>
        <w:r w:rsidR="00AE3AC5">
          <w:rPr>
            <w:noProof/>
            <w:webHidden/>
          </w:rPr>
        </w:r>
        <w:r w:rsidR="00AE3AC5">
          <w:rPr>
            <w:noProof/>
            <w:webHidden/>
          </w:rPr>
          <w:fldChar w:fldCharType="separate"/>
        </w:r>
        <w:r w:rsidR="0009443F">
          <w:rPr>
            <w:noProof/>
            <w:webHidden/>
          </w:rPr>
          <w:t>54</w:t>
        </w:r>
        <w:r w:rsidR="00AE3AC5">
          <w:rPr>
            <w:noProof/>
            <w:webHidden/>
          </w:rPr>
          <w:fldChar w:fldCharType="end"/>
        </w:r>
      </w:hyperlink>
    </w:p>
    <w:p w14:paraId="370E6B9D" w14:textId="2F716368"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6" w:history="1">
        <w:r w:rsidR="00AE3AC5" w:rsidRPr="00D124CC">
          <w:rPr>
            <w:rStyle w:val="Hipervnculo"/>
            <w:rFonts w:eastAsia="Times New Roman" w:cs="Arial"/>
            <w:noProof/>
            <w:lang w:eastAsia="es-MX"/>
          </w:rPr>
          <w:t>8.1.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Definición</w:t>
        </w:r>
        <w:r w:rsidR="00AE3AC5">
          <w:rPr>
            <w:noProof/>
            <w:webHidden/>
          </w:rPr>
          <w:tab/>
        </w:r>
        <w:r w:rsidR="00AE3AC5">
          <w:rPr>
            <w:noProof/>
            <w:webHidden/>
          </w:rPr>
          <w:fldChar w:fldCharType="begin"/>
        </w:r>
        <w:r w:rsidR="00AE3AC5">
          <w:rPr>
            <w:noProof/>
            <w:webHidden/>
          </w:rPr>
          <w:instrText xml:space="preserve"> PAGEREF _Toc74323836 \h </w:instrText>
        </w:r>
        <w:r w:rsidR="00AE3AC5">
          <w:rPr>
            <w:noProof/>
            <w:webHidden/>
          </w:rPr>
        </w:r>
        <w:r w:rsidR="00AE3AC5">
          <w:rPr>
            <w:noProof/>
            <w:webHidden/>
          </w:rPr>
          <w:fldChar w:fldCharType="separate"/>
        </w:r>
        <w:r w:rsidR="0009443F">
          <w:rPr>
            <w:noProof/>
            <w:webHidden/>
          </w:rPr>
          <w:t>54</w:t>
        </w:r>
        <w:r w:rsidR="00AE3AC5">
          <w:rPr>
            <w:noProof/>
            <w:webHidden/>
          </w:rPr>
          <w:fldChar w:fldCharType="end"/>
        </w:r>
      </w:hyperlink>
    </w:p>
    <w:p w14:paraId="3F432DE4" w14:textId="7B64E93B"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7" w:history="1">
        <w:r w:rsidR="00AE3AC5" w:rsidRPr="00D124CC">
          <w:rPr>
            <w:rStyle w:val="Hipervnculo"/>
            <w:rFonts w:eastAsia="Times New Roman" w:cs="Arial"/>
            <w:noProof/>
            <w:lang w:eastAsia="es-MX"/>
          </w:rPr>
          <w:t>8.2.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Precedentes decisorios del Instituto</w:t>
        </w:r>
        <w:r w:rsidR="00AE3AC5">
          <w:rPr>
            <w:noProof/>
            <w:webHidden/>
          </w:rPr>
          <w:tab/>
        </w:r>
        <w:r w:rsidR="00AE3AC5">
          <w:rPr>
            <w:noProof/>
            <w:webHidden/>
          </w:rPr>
          <w:fldChar w:fldCharType="begin"/>
        </w:r>
        <w:r w:rsidR="00AE3AC5">
          <w:rPr>
            <w:noProof/>
            <w:webHidden/>
          </w:rPr>
          <w:instrText xml:space="preserve"> PAGEREF _Toc74323837 \h </w:instrText>
        </w:r>
        <w:r w:rsidR="00AE3AC5">
          <w:rPr>
            <w:noProof/>
            <w:webHidden/>
          </w:rPr>
        </w:r>
        <w:r w:rsidR="00AE3AC5">
          <w:rPr>
            <w:noProof/>
            <w:webHidden/>
          </w:rPr>
          <w:fldChar w:fldCharType="separate"/>
        </w:r>
        <w:r w:rsidR="0009443F">
          <w:rPr>
            <w:noProof/>
            <w:webHidden/>
          </w:rPr>
          <w:t>56</w:t>
        </w:r>
        <w:r w:rsidR="00AE3AC5">
          <w:rPr>
            <w:noProof/>
            <w:webHidden/>
          </w:rPr>
          <w:fldChar w:fldCharType="end"/>
        </w:r>
      </w:hyperlink>
    </w:p>
    <w:p w14:paraId="0F446517" w14:textId="6761206D"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38" w:history="1">
        <w:r w:rsidR="00AE3AC5" w:rsidRPr="00D124CC">
          <w:rPr>
            <w:rStyle w:val="Hipervnculo"/>
            <w:rFonts w:eastAsia="Times New Roman" w:cs="Arial"/>
            <w:noProof/>
            <w:lang w:eastAsia="es-MX"/>
          </w:rPr>
          <w:t>8.3.</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Experiencia internacional</w:t>
        </w:r>
        <w:r w:rsidR="00AE3AC5">
          <w:rPr>
            <w:noProof/>
            <w:webHidden/>
          </w:rPr>
          <w:tab/>
        </w:r>
        <w:r w:rsidR="00AE3AC5">
          <w:rPr>
            <w:noProof/>
            <w:webHidden/>
          </w:rPr>
          <w:fldChar w:fldCharType="begin"/>
        </w:r>
        <w:r w:rsidR="00AE3AC5">
          <w:rPr>
            <w:noProof/>
            <w:webHidden/>
          </w:rPr>
          <w:instrText xml:space="preserve"> PAGEREF _Toc74323838 \h </w:instrText>
        </w:r>
        <w:r w:rsidR="00AE3AC5">
          <w:rPr>
            <w:noProof/>
            <w:webHidden/>
          </w:rPr>
        </w:r>
        <w:r w:rsidR="00AE3AC5">
          <w:rPr>
            <w:noProof/>
            <w:webHidden/>
          </w:rPr>
          <w:fldChar w:fldCharType="separate"/>
        </w:r>
        <w:r w:rsidR="0009443F">
          <w:rPr>
            <w:noProof/>
            <w:webHidden/>
          </w:rPr>
          <w:t>57</w:t>
        </w:r>
        <w:r w:rsidR="00AE3AC5">
          <w:rPr>
            <w:noProof/>
            <w:webHidden/>
          </w:rPr>
          <w:fldChar w:fldCharType="end"/>
        </w:r>
      </w:hyperlink>
    </w:p>
    <w:p w14:paraId="4DE6CDFD" w14:textId="0F566B05" w:rsidR="00AE3AC5" w:rsidRDefault="0040239C">
      <w:pPr>
        <w:pStyle w:val="TDC1"/>
        <w:tabs>
          <w:tab w:val="left" w:pos="440"/>
          <w:tab w:val="right" w:leader="dot" w:pos="9394"/>
        </w:tabs>
        <w:rPr>
          <w:rFonts w:asciiTheme="minorHAnsi" w:eastAsiaTheme="minorEastAsia" w:hAnsiTheme="minorHAnsi"/>
          <w:noProof/>
          <w:lang w:eastAsia="es-MX"/>
        </w:rPr>
      </w:pPr>
      <w:hyperlink w:anchor="_Toc74323839" w:history="1">
        <w:r w:rsidR="00AE3AC5" w:rsidRPr="00D124CC">
          <w:rPr>
            <w:rStyle w:val="Hipervnculo"/>
            <w:rFonts w:cs="Arial"/>
            <w:b/>
            <w:noProof/>
          </w:rPr>
          <w:t>9.</w:t>
        </w:r>
        <w:r w:rsidR="00AE3AC5">
          <w:rPr>
            <w:rFonts w:asciiTheme="minorHAnsi" w:eastAsiaTheme="minorEastAsia" w:hAnsiTheme="minorHAnsi"/>
            <w:noProof/>
            <w:lang w:eastAsia="es-MX"/>
          </w:rPr>
          <w:tab/>
        </w:r>
        <w:r w:rsidR="00AE3AC5" w:rsidRPr="00D124CC">
          <w:rPr>
            <w:rStyle w:val="Hipervnculo"/>
            <w:rFonts w:cs="Arial"/>
            <w:b/>
            <w:noProof/>
          </w:rPr>
          <w:t>Temas específicos de los sectores de TyR</w:t>
        </w:r>
        <w:r w:rsidR="00AE3AC5">
          <w:rPr>
            <w:noProof/>
            <w:webHidden/>
          </w:rPr>
          <w:tab/>
        </w:r>
        <w:r w:rsidR="00AE3AC5">
          <w:rPr>
            <w:noProof/>
            <w:webHidden/>
          </w:rPr>
          <w:fldChar w:fldCharType="begin"/>
        </w:r>
        <w:r w:rsidR="00AE3AC5">
          <w:rPr>
            <w:noProof/>
            <w:webHidden/>
          </w:rPr>
          <w:instrText xml:space="preserve"> PAGEREF _Toc74323839 \h </w:instrText>
        </w:r>
        <w:r w:rsidR="00AE3AC5">
          <w:rPr>
            <w:noProof/>
            <w:webHidden/>
          </w:rPr>
        </w:r>
        <w:r w:rsidR="00AE3AC5">
          <w:rPr>
            <w:noProof/>
            <w:webHidden/>
          </w:rPr>
          <w:fldChar w:fldCharType="separate"/>
        </w:r>
        <w:r w:rsidR="0009443F">
          <w:rPr>
            <w:noProof/>
            <w:webHidden/>
          </w:rPr>
          <w:t>59</w:t>
        </w:r>
        <w:r w:rsidR="00AE3AC5">
          <w:rPr>
            <w:noProof/>
            <w:webHidden/>
          </w:rPr>
          <w:fldChar w:fldCharType="end"/>
        </w:r>
      </w:hyperlink>
    </w:p>
    <w:p w14:paraId="2A794A50" w14:textId="1A3680CF"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40" w:history="1">
        <w:r w:rsidR="00AE3AC5" w:rsidRPr="00D124CC">
          <w:rPr>
            <w:rStyle w:val="Hipervnculo"/>
            <w:rFonts w:eastAsia="Times New Roman" w:cs="Arial"/>
            <w:noProof/>
            <w:lang w:eastAsia="es-MX"/>
          </w:rPr>
          <w:t>9.1.</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Integración vertical</w:t>
        </w:r>
        <w:r w:rsidR="00AE3AC5">
          <w:rPr>
            <w:noProof/>
            <w:webHidden/>
          </w:rPr>
          <w:tab/>
        </w:r>
        <w:r w:rsidR="00AE3AC5">
          <w:rPr>
            <w:noProof/>
            <w:webHidden/>
          </w:rPr>
          <w:fldChar w:fldCharType="begin"/>
        </w:r>
        <w:r w:rsidR="00AE3AC5">
          <w:rPr>
            <w:noProof/>
            <w:webHidden/>
          </w:rPr>
          <w:instrText xml:space="preserve"> PAGEREF _Toc74323840 \h </w:instrText>
        </w:r>
        <w:r w:rsidR="00AE3AC5">
          <w:rPr>
            <w:noProof/>
            <w:webHidden/>
          </w:rPr>
        </w:r>
        <w:r w:rsidR="00AE3AC5">
          <w:rPr>
            <w:noProof/>
            <w:webHidden/>
          </w:rPr>
          <w:fldChar w:fldCharType="separate"/>
        </w:r>
        <w:r w:rsidR="0009443F">
          <w:rPr>
            <w:noProof/>
            <w:webHidden/>
          </w:rPr>
          <w:t>59</w:t>
        </w:r>
        <w:r w:rsidR="00AE3AC5">
          <w:rPr>
            <w:noProof/>
            <w:webHidden/>
          </w:rPr>
          <w:fldChar w:fldCharType="end"/>
        </w:r>
      </w:hyperlink>
    </w:p>
    <w:p w14:paraId="0A24AC04" w14:textId="4BBF5E33"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41" w:history="1">
        <w:r w:rsidR="00AE3AC5" w:rsidRPr="00D124CC">
          <w:rPr>
            <w:rStyle w:val="Hipervnculo"/>
            <w:rFonts w:eastAsia="Times New Roman" w:cs="Arial"/>
            <w:noProof/>
            <w:lang w:eastAsia="es-MX"/>
          </w:rPr>
          <w:t>9.2.</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Sustitución asimétrica</w:t>
        </w:r>
        <w:r w:rsidR="00AE3AC5">
          <w:rPr>
            <w:noProof/>
            <w:webHidden/>
          </w:rPr>
          <w:tab/>
        </w:r>
        <w:r w:rsidR="00AE3AC5">
          <w:rPr>
            <w:noProof/>
            <w:webHidden/>
          </w:rPr>
          <w:fldChar w:fldCharType="begin"/>
        </w:r>
        <w:r w:rsidR="00AE3AC5">
          <w:rPr>
            <w:noProof/>
            <w:webHidden/>
          </w:rPr>
          <w:instrText xml:space="preserve"> PAGEREF _Toc74323841 \h </w:instrText>
        </w:r>
        <w:r w:rsidR="00AE3AC5">
          <w:rPr>
            <w:noProof/>
            <w:webHidden/>
          </w:rPr>
        </w:r>
        <w:r w:rsidR="00AE3AC5">
          <w:rPr>
            <w:noProof/>
            <w:webHidden/>
          </w:rPr>
          <w:fldChar w:fldCharType="separate"/>
        </w:r>
        <w:r w:rsidR="0009443F">
          <w:rPr>
            <w:noProof/>
            <w:webHidden/>
          </w:rPr>
          <w:t>65</w:t>
        </w:r>
        <w:r w:rsidR="00AE3AC5">
          <w:rPr>
            <w:noProof/>
            <w:webHidden/>
          </w:rPr>
          <w:fldChar w:fldCharType="end"/>
        </w:r>
      </w:hyperlink>
    </w:p>
    <w:p w14:paraId="3BE7DDD6" w14:textId="5DB1354C"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42" w:history="1">
        <w:r w:rsidR="00AE3AC5" w:rsidRPr="00D124CC">
          <w:rPr>
            <w:rStyle w:val="Hipervnculo"/>
            <w:rFonts w:eastAsia="Times New Roman" w:cs="Arial"/>
            <w:noProof/>
            <w:lang w:eastAsia="es-MX"/>
          </w:rPr>
          <w:t>9.3.</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Diferenciación de productos</w:t>
        </w:r>
        <w:r w:rsidR="00AE3AC5">
          <w:rPr>
            <w:noProof/>
            <w:webHidden/>
          </w:rPr>
          <w:tab/>
        </w:r>
        <w:r w:rsidR="00AE3AC5">
          <w:rPr>
            <w:noProof/>
            <w:webHidden/>
          </w:rPr>
          <w:fldChar w:fldCharType="begin"/>
        </w:r>
        <w:r w:rsidR="00AE3AC5">
          <w:rPr>
            <w:noProof/>
            <w:webHidden/>
          </w:rPr>
          <w:instrText xml:space="preserve"> PAGEREF _Toc74323842 \h </w:instrText>
        </w:r>
        <w:r w:rsidR="00AE3AC5">
          <w:rPr>
            <w:noProof/>
            <w:webHidden/>
          </w:rPr>
        </w:r>
        <w:r w:rsidR="00AE3AC5">
          <w:rPr>
            <w:noProof/>
            <w:webHidden/>
          </w:rPr>
          <w:fldChar w:fldCharType="separate"/>
        </w:r>
        <w:r w:rsidR="0009443F">
          <w:rPr>
            <w:noProof/>
            <w:webHidden/>
          </w:rPr>
          <w:t>70</w:t>
        </w:r>
        <w:r w:rsidR="00AE3AC5">
          <w:rPr>
            <w:noProof/>
            <w:webHidden/>
          </w:rPr>
          <w:fldChar w:fldCharType="end"/>
        </w:r>
      </w:hyperlink>
    </w:p>
    <w:p w14:paraId="4936200D" w14:textId="7C1B297D" w:rsidR="00AE3AC5" w:rsidRDefault="0040239C">
      <w:pPr>
        <w:pStyle w:val="TDC2"/>
        <w:tabs>
          <w:tab w:val="left" w:pos="880"/>
          <w:tab w:val="right" w:leader="dot" w:pos="9394"/>
        </w:tabs>
        <w:rPr>
          <w:rFonts w:asciiTheme="minorHAnsi" w:eastAsiaTheme="minorEastAsia" w:hAnsiTheme="minorHAnsi"/>
          <w:noProof/>
          <w:lang w:eastAsia="es-MX"/>
        </w:rPr>
      </w:pPr>
      <w:hyperlink w:anchor="_Toc74323843" w:history="1">
        <w:r w:rsidR="00AE3AC5" w:rsidRPr="00D124CC">
          <w:rPr>
            <w:rStyle w:val="Hipervnculo"/>
            <w:rFonts w:eastAsia="Times New Roman" w:cs="Arial"/>
            <w:noProof/>
            <w:lang w:eastAsia="es-MX"/>
          </w:rPr>
          <w:t>9.4.</w:t>
        </w:r>
        <w:r w:rsidR="00AE3AC5">
          <w:rPr>
            <w:rFonts w:asciiTheme="minorHAnsi" w:eastAsiaTheme="minorEastAsia" w:hAnsiTheme="minorHAnsi"/>
            <w:noProof/>
            <w:lang w:eastAsia="es-MX"/>
          </w:rPr>
          <w:tab/>
        </w:r>
        <w:r w:rsidR="00AE3AC5" w:rsidRPr="00D124CC">
          <w:rPr>
            <w:rStyle w:val="Hipervnculo"/>
            <w:rFonts w:eastAsia="Times New Roman" w:cs="Arial"/>
            <w:noProof/>
            <w:lang w:eastAsia="es-MX"/>
          </w:rPr>
          <w:t>Empaquetamiento de servicios</w:t>
        </w:r>
        <w:r w:rsidR="00AE3AC5">
          <w:rPr>
            <w:noProof/>
            <w:webHidden/>
          </w:rPr>
          <w:tab/>
        </w:r>
        <w:r w:rsidR="00AE3AC5">
          <w:rPr>
            <w:noProof/>
            <w:webHidden/>
          </w:rPr>
          <w:fldChar w:fldCharType="begin"/>
        </w:r>
        <w:r w:rsidR="00AE3AC5">
          <w:rPr>
            <w:noProof/>
            <w:webHidden/>
          </w:rPr>
          <w:instrText xml:space="preserve"> PAGEREF _Toc74323843 \h </w:instrText>
        </w:r>
        <w:r w:rsidR="00AE3AC5">
          <w:rPr>
            <w:noProof/>
            <w:webHidden/>
          </w:rPr>
        </w:r>
        <w:r w:rsidR="00AE3AC5">
          <w:rPr>
            <w:noProof/>
            <w:webHidden/>
          </w:rPr>
          <w:fldChar w:fldCharType="separate"/>
        </w:r>
        <w:r w:rsidR="0009443F">
          <w:rPr>
            <w:noProof/>
            <w:webHidden/>
          </w:rPr>
          <w:t>76</w:t>
        </w:r>
        <w:r w:rsidR="00AE3AC5">
          <w:rPr>
            <w:noProof/>
            <w:webHidden/>
          </w:rPr>
          <w:fldChar w:fldCharType="end"/>
        </w:r>
      </w:hyperlink>
    </w:p>
    <w:p w14:paraId="3DA46767" w14:textId="512FB7CF" w:rsidR="00D11008" w:rsidRPr="00931D46" w:rsidRDefault="00DB4085" w:rsidP="000276AF">
      <w:pPr>
        <w:spacing w:before="0" w:after="0"/>
        <w:rPr>
          <w:rFonts w:ascii="Arial" w:eastAsiaTheme="majorEastAsia" w:hAnsi="Arial" w:cs="Arial"/>
          <w:b/>
          <w:szCs w:val="32"/>
        </w:rPr>
      </w:pPr>
      <w:r w:rsidRPr="00931D46">
        <w:rPr>
          <w:rFonts w:ascii="Arial" w:hAnsi="Arial" w:cs="Arial"/>
          <w:b/>
        </w:rPr>
        <w:fldChar w:fldCharType="end"/>
      </w:r>
    </w:p>
    <w:p w14:paraId="671FB5FA" w14:textId="77777777" w:rsidR="0091373E" w:rsidRPr="00931D46" w:rsidRDefault="0091373E" w:rsidP="0023353F">
      <w:pPr>
        <w:pStyle w:val="Ttulo1"/>
        <w:spacing w:before="0"/>
        <w:ind w:left="567"/>
        <w:rPr>
          <w:rFonts w:ascii="Arial" w:hAnsi="Arial" w:cs="Arial"/>
          <w:b/>
          <w:color w:val="auto"/>
          <w:sz w:val="26"/>
          <w:szCs w:val="26"/>
        </w:rPr>
      </w:pPr>
      <w:bookmarkStart w:id="13" w:name="_Toc45216566"/>
      <w:bookmarkStart w:id="14" w:name="_Toc45628311"/>
      <w:bookmarkStart w:id="15" w:name="_Toc74306760"/>
      <w:bookmarkStart w:id="16" w:name="_Toc74323816"/>
      <w:r w:rsidRPr="00931D46">
        <w:rPr>
          <w:rFonts w:ascii="Arial" w:hAnsi="Arial" w:cs="Arial"/>
          <w:b/>
          <w:color w:val="auto"/>
          <w:sz w:val="26"/>
          <w:szCs w:val="26"/>
        </w:rPr>
        <w:t>Glosario</w:t>
      </w:r>
      <w:bookmarkEnd w:id="9"/>
      <w:bookmarkEnd w:id="10"/>
      <w:bookmarkEnd w:id="11"/>
      <w:bookmarkEnd w:id="12"/>
      <w:r w:rsidR="000B0D0C" w:rsidRPr="00931D46">
        <w:rPr>
          <w:rFonts w:ascii="Arial" w:hAnsi="Arial" w:cs="Arial"/>
          <w:b/>
          <w:color w:val="auto"/>
          <w:sz w:val="26"/>
          <w:szCs w:val="26"/>
          <w:vertAlign w:val="superscript"/>
        </w:rPr>
        <w:footnoteReference w:id="2"/>
      </w:r>
      <w:bookmarkEnd w:id="13"/>
      <w:bookmarkEnd w:id="14"/>
      <w:bookmarkEnd w:id="15"/>
      <w:bookmarkEnd w:id="16"/>
    </w:p>
    <w:p w14:paraId="469536AD" w14:textId="77777777" w:rsidR="009F2211" w:rsidRPr="00931D46" w:rsidRDefault="009F2211" w:rsidP="0023353F">
      <w:pPr>
        <w:spacing w:before="0" w:after="0"/>
        <w:rPr>
          <w:rFonts w:ascii="Arial" w:hAnsi="Arial" w:cs="Arial"/>
        </w:rPr>
      </w:pPr>
    </w:p>
    <w:p w14:paraId="655F522D" w14:textId="77777777" w:rsidR="000B0D0C" w:rsidRPr="00931D46" w:rsidRDefault="000B0D0C" w:rsidP="0023353F">
      <w:pPr>
        <w:spacing w:before="0" w:after="0"/>
        <w:rPr>
          <w:rFonts w:ascii="Arial" w:hAnsi="Arial" w:cs="Arial"/>
        </w:rPr>
      </w:pPr>
      <w:r w:rsidRPr="00931D46">
        <w:rPr>
          <w:rFonts w:ascii="Arial" w:hAnsi="Arial" w:cs="Arial"/>
        </w:rPr>
        <w:t>En el presente documento se utilizarán, además de los establecidos en la Ley Federal de Competencia Económica, los siguientes acrónimos y términos.</w:t>
      </w:r>
    </w:p>
    <w:p w14:paraId="14E0858E" w14:textId="77777777" w:rsidR="009F2211" w:rsidRPr="00931D46" w:rsidRDefault="009F2211" w:rsidP="0023353F">
      <w:pPr>
        <w:spacing w:before="0" w:after="0"/>
        <w:rPr>
          <w:rFonts w:ascii="Arial" w:hAnsi="Arial" w:cs="Arial"/>
        </w:rPr>
      </w:pPr>
    </w:p>
    <w:tbl>
      <w:tblPr>
        <w:tblStyle w:val="Tablaconcuadrcula"/>
        <w:tblW w:w="9498" w:type="dxa"/>
        <w:tblInd w:w="-5" w:type="dxa"/>
        <w:tblLayout w:type="fixed"/>
        <w:tblLook w:val="04A0" w:firstRow="1" w:lastRow="0" w:firstColumn="1" w:lastColumn="0" w:noHBand="0" w:noVBand="1"/>
      </w:tblPr>
      <w:tblGrid>
        <w:gridCol w:w="2410"/>
        <w:gridCol w:w="7088"/>
      </w:tblGrid>
      <w:tr w:rsidR="00451256" w:rsidRPr="00931D46" w14:paraId="4D88863E" w14:textId="77777777" w:rsidTr="00662093">
        <w:trPr>
          <w:trHeight w:val="301"/>
          <w:tblHeader/>
        </w:trPr>
        <w:tc>
          <w:tcPr>
            <w:tcW w:w="2410" w:type="dxa"/>
            <w:shd w:val="clear" w:color="auto" w:fill="92D050"/>
            <w:vAlign w:val="center"/>
          </w:tcPr>
          <w:p w14:paraId="04706012" w14:textId="77777777" w:rsidR="00451256" w:rsidRPr="00931D46" w:rsidRDefault="00451256" w:rsidP="0023353F">
            <w:pPr>
              <w:pStyle w:val="TablaTexto"/>
              <w:spacing w:line="276" w:lineRule="auto"/>
              <w:rPr>
                <w:rFonts w:ascii="Arial" w:hAnsi="Arial" w:cs="Arial"/>
                <w:b/>
              </w:rPr>
            </w:pPr>
            <w:r w:rsidRPr="00931D46">
              <w:rPr>
                <w:rFonts w:ascii="Arial" w:hAnsi="Arial" w:cs="Arial"/>
                <w:b/>
              </w:rPr>
              <w:t>Término o acrónimo</w:t>
            </w:r>
          </w:p>
        </w:tc>
        <w:tc>
          <w:tcPr>
            <w:tcW w:w="7088" w:type="dxa"/>
            <w:shd w:val="clear" w:color="auto" w:fill="92D050"/>
            <w:vAlign w:val="center"/>
          </w:tcPr>
          <w:p w14:paraId="662250F4" w14:textId="77777777" w:rsidR="00451256" w:rsidRPr="00931D46" w:rsidRDefault="00451256" w:rsidP="0023353F">
            <w:pPr>
              <w:pStyle w:val="TablaTexto"/>
              <w:spacing w:line="276" w:lineRule="auto"/>
              <w:jc w:val="both"/>
              <w:rPr>
                <w:rFonts w:ascii="Arial" w:hAnsi="Arial" w:cs="Arial"/>
                <w:b/>
              </w:rPr>
            </w:pPr>
            <w:r w:rsidRPr="00931D46">
              <w:rPr>
                <w:rFonts w:ascii="Arial" w:hAnsi="Arial" w:cs="Arial"/>
                <w:b/>
              </w:rPr>
              <w:t>Definición</w:t>
            </w:r>
          </w:p>
        </w:tc>
      </w:tr>
      <w:tr w:rsidR="00451256" w:rsidRPr="00931D46" w14:paraId="36B5E7D6" w14:textId="77777777" w:rsidTr="00662093">
        <w:trPr>
          <w:trHeight w:val="301"/>
        </w:trPr>
        <w:tc>
          <w:tcPr>
            <w:tcW w:w="2410" w:type="dxa"/>
            <w:vAlign w:val="center"/>
          </w:tcPr>
          <w:p w14:paraId="0992DE0E" w14:textId="77777777" w:rsidR="00451256" w:rsidRPr="00931D46" w:rsidRDefault="00451256" w:rsidP="0023353F">
            <w:pPr>
              <w:pStyle w:val="TablaTexto"/>
              <w:spacing w:line="276" w:lineRule="auto"/>
              <w:rPr>
                <w:rFonts w:ascii="Arial" w:hAnsi="Arial" w:cs="Arial"/>
              </w:rPr>
            </w:pPr>
            <w:r w:rsidRPr="00931D46">
              <w:rPr>
                <w:rFonts w:ascii="Arial" w:hAnsi="Arial" w:cs="Arial"/>
              </w:rPr>
              <w:t>ACCC</w:t>
            </w:r>
          </w:p>
        </w:tc>
        <w:tc>
          <w:tcPr>
            <w:tcW w:w="7088" w:type="dxa"/>
            <w:vAlign w:val="center"/>
          </w:tcPr>
          <w:p w14:paraId="625D7748" w14:textId="77777777" w:rsidR="00451256" w:rsidRPr="00931D46" w:rsidRDefault="00451256" w:rsidP="0023353F">
            <w:pPr>
              <w:pStyle w:val="TablaTexto"/>
              <w:spacing w:line="276" w:lineRule="auto"/>
              <w:jc w:val="both"/>
              <w:rPr>
                <w:rFonts w:ascii="Arial" w:hAnsi="Arial" w:cs="Arial"/>
              </w:rPr>
            </w:pPr>
            <w:r w:rsidRPr="00931D46">
              <w:rPr>
                <w:rFonts w:ascii="Arial" w:hAnsi="Arial" w:cs="Arial"/>
              </w:rPr>
              <w:t>Comisión Australiana de la Competencia y del Consumidor (</w:t>
            </w:r>
            <w:r w:rsidRPr="00931D46">
              <w:rPr>
                <w:rFonts w:ascii="Arial" w:hAnsi="Arial" w:cs="Arial"/>
                <w:i/>
              </w:rPr>
              <w:t>Australian Competition &amp; Consumer Commision</w:t>
            </w:r>
            <w:r w:rsidRPr="00931D46">
              <w:rPr>
                <w:rFonts w:ascii="Arial" w:hAnsi="Arial" w:cs="Arial"/>
              </w:rPr>
              <w:t>, en inglés).</w:t>
            </w:r>
          </w:p>
        </w:tc>
      </w:tr>
      <w:tr w:rsidR="00451256" w:rsidRPr="00931D46" w14:paraId="434BC695" w14:textId="77777777" w:rsidTr="00662093">
        <w:trPr>
          <w:trHeight w:val="301"/>
        </w:trPr>
        <w:tc>
          <w:tcPr>
            <w:tcW w:w="2410" w:type="dxa"/>
            <w:vAlign w:val="center"/>
          </w:tcPr>
          <w:p w14:paraId="7B8BDF0B" w14:textId="77777777" w:rsidR="00451256" w:rsidRPr="00931D46" w:rsidRDefault="00451256" w:rsidP="0023353F">
            <w:pPr>
              <w:pStyle w:val="TablaTexto"/>
              <w:spacing w:line="276" w:lineRule="auto"/>
              <w:rPr>
                <w:rFonts w:ascii="Arial" w:hAnsi="Arial" w:cs="Arial"/>
              </w:rPr>
            </w:pPr>
            <w:r w:rsidRPr="00931D46">
              <w:rPr>
                <w:rFonts w:ascii="Arial" w:hAnsi="Arial" w:cs="Arial"/>
              </w:rPr>
              <w:t>AE</w:t>
            </w:r>
            <w:r w:rsidR="00707F4D" w:rsidRPr="00931D46">
              <w:rPr>
                <w:rFonts w:ascii="Arial" w:hAnsi="Arial" w:cs="Arial"/>
              </w:rPr>
              <w:t xml:space="preserve"> / Agente Económico</w:t>
            </w:r>
          </w:p>
        </w:tc>
        <w:tc>
          <w:tcPr>
            <w:tcW w:w="7088" w:type="dxa"/>
            <w:vAlign w:val="center"/>
          </w:tcPr>
          <w:p w14:paraId="3FF8B530" w14:textId="77777777" w:rsidR="00451256" w:rsidRPr="00931D46" w:rsidRDefault="00451256" w:rsidP="0023353F">
            <w:pPr>
              <w:pStyle w:val="TablaTexto"/>
              <w:spacing w:line="276" w:lineRule="auto"/>
              <w:jc w:val="both"/>
              <w:rPr>
                <w:rFonts w:ascii="Arial" w:hAnsi="Arial" w:cs="Arial"/>
              </w:rPr>
            </w:pPr>
            <w:r w:rsidRPr="00931D46">
              <w:rPr>
                <w:rFonts w:ascii="Arial" w:hAnsi="Arial" w:cs="Arial"/>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451256" w:rsidRPr="00931D46" w14:paraId="161CE194" w14:textId="76EED7D3" w:rsidTr="00662093">
        <w:trPr>
          <w:trHeight w:val="301"/>
        </w:trPr>
        <w:tc>
          <w:tcPr>
            <w:tcW w:w="2410" w:type="dxa"/>
            <w:vAlign w:val="center"/>
          </w:tcPr>
          <w:p w14:paraId="4D0E1B4B" w14:textId="76A36A60" w:rsidR="00451256" w:rsidRPr="00931D46" w:rsidRDefault="00451256" w:rsidP="0023353F">
            <w:pPr>
              <w:spacing w:line="276" w:lineRule="auto"/>
              <w:rPr>
                <w:rFonts w:ascii="Arial" w:hAnsi="Arial" w:cs="Arial"/>
              </w:rPr>
            </w:pPr>
            <w:r w:rsidRPr="00931D46">
              <w:rPr>
                <w:rFonts w:ascii="Arial" w:hAnsi="Arial" w:cs="Arial"/>
              </w:rPr>
              <w:t>AMX</w:t>
            </w:r>
          </w:p>
        </w:tc>
        <w:tc>
          <w:tcPr>
            <w:tcW w:w="7088" w:type="dxa"/>
            <w:vAlign w:val="center"/>
          </w:tcPr>
          <w:p w14:paraId="3139EBEE" w14:textId="72C47CA6" w:rsidR="00451256" w:rsidRPr="00931D46" w:rsidRDefault="00451256" w:rsidP="0023353F">
            <w:pPr>
              <w:spacing w:line="276" w:lineRule="auto"/>
              <w:jc w:val="both"/>
              <w:rPr>
                <w:rFonts w:ascii="Arial" w:hAnsi="Arial" w:cs="Arial"/>
              </w:rPr>
            </w:pPr>
            <w:r w:rsidRPr="00931D46">
              <w:rPr>
                <w:rFonts w:ascii="Arial" w:hAnsi="Arial" w:cs="Arial"/>
              </w:rPr>
              <w:t>América Móvil, S.A.B. de C.V.</w:t>
            </w:r>
            <w:r w:rsidR="00542C6F" w:rsidRPr="00931D46">
              <w:rPr>
                <w:rFonts w:ascii="Arial" w:hAnsi="Arial" w:cs="Arial"/>
              </w:rPr>
              <w:t xml:space="preserve"> y</w:t>
            </w:r>
            <w:r w:rsidR="00716DE6" w:rsidRPr="00931D46">
              <w:rPr>
                <w:rFonts w:ascii="Arial" w:hAnsi="Arial" w:cs="Arial"/>
              </w:rPr>
              <w:t>/o</w:t>
            </w:r>
            <w:r w:rsidRPr="00931D46">
              <w:rPr>
                <w:rFonts w:ascii="Arial" w:hAnsi="Arial" w:cs="Arial"/>
              </w:rPr>
              <w:t xml:space="preserve"> Radiomóvil Dipsa, S.A. de C.V.</w:t>
            </w:r>
          </w:p>
        </w:tc>
      </w:tr>
      <w:tr w:rsidR="00973BD2" w:rsidRPr="00931D46" w14:paraId="7EED9F96" w14:textId="77777777" w:rsidTr="00662093">
        <w:trPr>
          <w:trHeight w:val="301"/>
        </w:trPr>
        <w:tc>
          <w:tcPr>
            <w:tcW w:w="2410" w:type="dxa"/>
            <w:vAlign w:val="center"/>
          </w:tcPr>
          <w:p w14:paraId="6D06B59E" w14:textId="77777777" w:rsidR="00973BD2" w:rsidRPr="00931D46" w:rsidRDefault="00973BD2" w:rsidP="0023353F">
            <w:pPr>
              <w:spacing w:line="276" w:lineRule="auto"/>
              <w:rPr>
                <w:rFonts w:ascii="Arial" w:hAnsi="Arial" w:cs="Arial"/>
              </w:rPr>
            </w:pPr>
            <w:r w:rsidRPr="00931D46">
              <w:rPr>
                <w:rFonts w:ascii="Arial" w:hAnsi="Arial" w:cs="Arial"/>
              </w:rPr>
              <w:t>ANACOM</w:t>
            </w:r>
          </w:p>
        </w:tc>
        <w:tc>
          <w:tcPr>
            <w:tcW w:w="7088" w:type="dxa"/>
            <w:vAlign w:val="center"/>
          </w:tcPr>
          <w:p w14:paraId="357259D9" w14:textId="77777777" w:rsidR="00973BD2" w:rsidRPr="00931D46" w:rsidRDefault="006D7B6C" w:rsidP="0023353F">
            <w:pPr>
              <w:spacing w:line="276" w:lineRule="auto"/>
              <w:jc w:val="both"/>
              <w:rPr>
                <w:rFonts w:ascii="Arial" w:hAnsi="Arial" w:cs="Arial"/>
              </w:rPr>
            </w:pPr>
            <w:r w:rsidRPr="00931D46">
              <w:rPr>
                <w:rFonts w:ascii="Arial" w:hAnsi="Arial" w:cs="Arial"/>
              </w:rPr>
              <w:t>Autoridad Nacional de Comunicaciones de Portugal (</w:t>
            </w:r>
            <w:r w:rsidRPr="00931D46">
              <w:rPr>
                <w:rFonts w:ascii="Arial" w:hAnsi="Arial" w:cs="Arial"/>
                <w:i/>
              </w:rPr>
              <w:t>Autoridade Nacional de Comunicações</w:t>
            </w:r>
            <w:r w:rsidRPr="00931D46">
              <w:rPr>
                <w:rFonts w:ascii="Arial" w:hAnsi="Arial" w:cs="Arial"/>
              </w:rPr>
              <w:t>, en portugués)</w:t>
            </w:r>
            <w:r w:rsidR="006A57C6" w:rsidRPr="00931D46">
              <w:rPr>
                <w:rFonts w:ascii="Arial" w:hAnsi="Arial" w:cs="Arial"/>
              </w:rPr>
              <w:t>.</w:t>
            </w:r>
          </w:p>
        </w:tc>
      </w:tr>
      <w:tr w:rsidR="00451256" w:rsidRPr="00931D46" w14:paraId="3815E76F" w14:textId="77777777" w:rsidTr="00662093">
        <w:trPr>
          <w:trHeight w:val="301"/>
        </w:trPr>
        <w:tc>
          <w:tcPr>
            <w:tcW w:w="2410" w:type="dxa"/>
            <w:vAlign w:val="center"/>
          </w:tcPr>
          <w:p w14:paraId="7D1041D0" w14:textId="77777777" w:rsidR="00451256" w:rsidRPr="00931D46" w:rsidRDefault="00451256" w:rsidP="0023353F">
            <w:pPr>
              <w:pStyle w:val="TablaTexto"/>
              <w:spacing w:line="276" w:lineRule="auto"/>
              <w:jc w:val="both"/>
              <w:rPr>
                <w:rFonts w:ascii="Arial" w:hAnsi="Arial" w:cs="Arial"/>
              </w:rPr>
            </w:pPr>
            <w:r w:rsidRPr="00931D46">
              <w:rPr>
                <w:rFonts w:ascii="Arial" w:hAnsi="Arial" w:cs="Arial"/>
              </w:rPr>
              <w:t>ARCEP</w:t>
            </w:r>
          </w:p>
        </w:tc>
        <w:tc>
          <w:tcPr>
            <w:tcW w:w="7088" w:type="dxa"/>
            <w:vAlign w:val="center"/>
          </w:tcPr>
          <w:p w14:paraId="73B9C05F" w14:textId="29CF5160" w:rsidR="00BE27B0" w:rsidRPr="00931D46" w:rsidRDefault="00451256" w:rsidP="0023353F">
            <w:pPr>
              <w:pStyle w:val="TablaTexto"/>
              <w:spacing w:line="276" w:lineRule="auto"/>
              <w:jc w:val="both"/>
              <w:rPr>
                <w:rFonts w:ascii="Arial" w:hAnsi="Arial" w:cs="Arial"/>
                <w:lang w:val="fr-FR"/>
              </w:rPr>
            </w:pPr>
            <w:r w:rsidRPr="00931D46">
              <w:rPr>
                <w:rFonts w:ascii="Arial" w:hAnsi="Arial" w:cs="Arial"/>
                <w:lang w:val="fr-FR"/>
              </w:rPr>
              <w:t>Autoridad Regula</w:t>
            </w:r>
            <w:r w:rsidR="006D7B6C" w:rsidRPr="00931D46">
              <w:rPr>
                <w:rFonts w:ascii="Arial" w:hAnsi="Arial" w:cs="Arial"/>
                <w:lang w:val="fr-FR"/>
              </w:rPr>
              <w:t>dora</w:t>
            </w:r>
            <w:r w:rsidRPr="00931D46">
              <w:rPr>
                <w:rFonts w:ascii="Arial" w:hAnsi="Arial" w:cs="Arial"/>
                <w:lang w:val="fr-FR"/>
              </w:rPr>
              <w:t xml:space="preserve"> de </w:t>
            </w:r>
            <w:r w:rsidR="00BE27B0">
              <w:rPr>
                <w:rFonts w:ascii="Arial" w:hAnsi="Arial" w:cs="Arial"/>
                <w:lang w:val="fr-FR"/>
              </w:rPr>
              <w:t>Comunicaciones Electrónicas y Servicios Postales,</w:t>
            </w:r>
            <w:r w:rsidRPr="00931D46">
              <w:rPr>
                <w:rFonts w:ascii="Arial" w:hAnsi="Arial" w:cs="Arial"/>
                <w:lang w:val="fr-FR"/>
              </w:rPr>
              <w:t xml:space="preserve"> de Francia (</w:t>
            </w:r>
            <w:r w:rsidRPr="00931D46">
              <w:rPr>
                <w:rFonts w:ascii="Arial" w:hAnsi="Arial" w:cs="Arial"/>
                <w:i/>
                <w:lang w:val="fr-FR"/>
              </w:rPr>
              <w:t>Autorité de Régulation des Communications Électroniques et des Postes</w:t>
            </w:r>
            <w:r w:rsidRPr="00931D46">
              <w:rPr>
                <w:rFonts w:ascii="Arial" w:hAnsi="Arial" w:cs="Arial"/>
                <w:lang w:val="fr-FR"/>
              </w:rPr>
              <w:t>, en francés).</w:t>
            </w:r>
          </w:p>
        </w:tc>
      </w:tr>
      <w:tr w:rsidR="00451256" w:rsidRPr="00931D46" w14:paraId="407C937B" w14:textId="77777777" w:rsidTr="00662093">
        <w:trPr>
          <w:trHeight w:val="301"/>
        </w:trPr>
        <w:tc>
          <w:tcPr>
            <w:tcW w:w="2410" w:type="dxa"/>
            <w:vAlign w:val="center"/>
          </w:tcPr>
          <w:p w14:paraId="3B5C6EF5" w14:textId="77777777" w:rsidR="00451256" w:rsidRPr="00931D46" w:rsidRDefault="00451256" w:rsidP="0023353F">
            <w:pPr>
              <w:spacing w:line="276" w:lineRule="auto"/>
              <w:rPr>
                <w:rFonts w:ascii="Arial" w:hAnsi="Arial" w:cs="Arial"/>
              </w:rPr>
            </w:pPr>
            <w:r w:rsidRPr="00931D46">
              <w:rPr>
                <w:rFonts w:ascii="Arial" w:hAnsi="Arial" w:cs="Arial"/>
              </w:rPr>
              <w:t>BEREC</w:t>
            </w:r>
          </w:p>
        </w:tc>
        <w:tc>
          <w:tcPr>
            <w:tcW w:w="7088" w:type="dxa"/>
            <w:vAlign w:val="center"/>
          </w:tcPr>
          <w:p w14:paraId="64197A7A" w14:textId="77777777" w:rsidR="00451256" w:rsidRPr="00931D46" w:rsidRDefault="0085255C" w:rsidP="0023353F">
            <w:pPr>
              <w:spacing w:line="276" w:lineRule="auto"/>
              <w:jc w:val="both"/>
              <w:rPr>
                <w:rFonts w:ascii="Arial" w:hAnsi="Arial" w:cs="Arial"/>
              </w:rPr>
            </w:pPr>
            <w:r w:rsidRPr="00931D46">
              <w:rPr>
                <w:rFonts w:ascii="Arial" w:hAnsi="Arial" w:cs="Arial"/>
              </w:rPr>
              <w:t>Cuerpo de Reguladores Europeos de Comunicaciones Electrónicas (</w:t>
            </w:r>
            <w:r w:rsidR="00451256" w:rsidRPr="00931D46">
              <w:rPr>
                <w:rFonts w:ascii="Arial" w:hAnsi="Arial" w:cs="Arial"/>
                <w:i/>
              </w:rPr>
              <w:t>Body of European Regulators for Electronic Communications</w:t>
            </w:r>
            <w:r w:rsidRPr="00931D46">
              <w:rPr>
                <w:rFonts w:ascii="Arial" w:hAnsi="Arial" w:cs="Arial"/>
              </w:rPr>
              <w:t>, en inglés)</w:t>
            </w:r>
            <w:r w:rsidR="00451256" w:rsidRPr="00931D46">
              <w:rPr>
                <w:rFonts w:ascii="Arial" w:hAnsi="Arial" w:cs="Arial"/>
              </w:rPr>
              <w:t>.</w:t>
            </w:r>
          </w:p>
        </w:tc>
      </w:tr>
      <w:tr w:rsidR="00662093" w:rsidRPr="00931D46" w14:paraId="5FC17D28" w14:textId="77777777" w:rsidTr="00662093">
        <w:trPr>
          <w:trHeight w:val="301"/>
        </w:trPr>
        <w:tc>
          <w:tcPr>
            <w:tcW w:w="2410" w:type="dxa"/>
            <w:vAlign w:val="center"/>
          </w:tcPr>
          <w:p w14:paraId="0632A483" w14:textId="62DD4EB4" w:rsidR="00662093" w:rsidRPr="00931D46" w:rsidRDefault="00707F4D" w:rsidP="0023353F">
            <w:pPr>
              <w:spacing w:line="276" w:lineRule="auto"/>
              <w:rPr>
                <w:rFonts w:ascii="Arial" w:hAnsi="Arial" w:cs="Arial"/>
              </w:rPr>
            </w:pPr>
            <w:r w:rsidRPr="00931D46">
              <w:rPr>
                <w:rFonts w:ascii="Arial" w:hAnsi="Arial" w:cs="Arial"/>
              </w:rPr>
              <w:t>B</w:t>
            </w:r>
            <w:r w:rsidR="00C83874">
              <w:rPr>
                <w:rFonts w:ascii="Arial" w:hAnsi="Arial" w:cs="Arial"/>
              </w:rPr>
              <w:t>undeskartellamt</w:t>
            </w:r>
          </w:p>
        </w:tc>
        <w:tc>
          <w:tcPr>
            <w:tcW w:w="7088" w:type="dxa"/>
            <w:vAlign w:val="center"/>
          </w:tcPr>
          <w:p w14:paraId="5FDDEC5C" w14:textId="68A7153D" w:rsidR="00662093" w:rsidRPr="00931D46" w:rsidRDefault="00F86089" w:rsidP="0023353F">
            <w:pPr>
              <w:spacing w:line="276" w:lineRule="auto"/>
              <w:jc w:val="both"/>
              <w:rPr>
                <w:rFonts w:ascii="Arial" w:hAnsi="Arial" w:cs="Arial"/>
              </w:rPr>
            </w:pPr>
            <w:r w:rsidRPr="00931D46">
              <w:rPr>
                <w:rFonts w:ascii="Arial" w:hAnsi="Arial" w:cs="Arial"/>
              </w:rPr>
              <w:t>Autoridad</w:t>
            </w:r>
            <w:r w:rsidR="00662093" w:rsidRPr="00931D46">
              <w:rPr>
                <w:rFonts w:ascii="Arial" w:hAnsi="Arial" w:cs="Arial"/>
              </w:rPr>
              <w:t xml:space="preserve"> de regulación de competencia y derechos de los consumidores de Alemania.</w:t>
            </w:r>
          </w:p>
        </w:tc>
      </w:tr>
      <w:tr w:rsidR="00662093" w:rsidRPr="00931D46" w14:paraId="138A70D1" w14:textId="77777777" w:rsidTr="00662093">
        <w:trPr>
          <w:trHeight w:val="301"/>
        </w:trPr>
        <w:tc>
          <w:tcPr>
            <w:tcW w:w="2410" w:type="dxa"/>
            <w:vAlign w:val="center"/>
          </w:tcPr>
          <w:p w14:paraId="1CEB4B6A" w14:textId="77777777" w:rsidR="00662093" w:rsidRPr="00931D46" w:rsidRDefault="00662093" w:rsidP="0023353F">
            <w:pPr>
              <w:pStyle w:val="TablaTexto"/>
              <w:spacing w:line="276" w:lineRule="auto"/>
              <w:rPr>
                <w:rFonts w:ascii="Arial" w:hAnsi="Arial" w:cs="Arial"/>
              </w:rPr>
            </w:pPr>
            <w:r w:rsidRPr="00931D46">
              <w:rPr>
                <w:rFonts w:ascii="Arial" w:hAnsi="Arial" w:cs="Arial"/>
              </w:rPr>
              <w:t>CA</w:t>
            </w:r>
          </w:p>
        </w:tc>
        <w:tc>
          <w:tcPr>
            <w:tcW w:w="7088" w:type="dxa"/>
            <w:vAlign w:val="center"/>
          </w:tcPr>
          <w:p w14:paraId="09B8D9DC"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Contenidos Audiovisuales.</w:t>
            </w:r>
          </w:p>
        </w:tc>
      </w:tr>
      <w:tr w:rsidR="00662093" w:rsidRPr="00931D46" w14:paraId="5A42436A" w14:textId="77777777" w:rsidTr="00662093">
        <w:trPr>
          <w:trHeight w:val="301"/>
        </w:trPr>
        <w:tc>
          <w:tcPr>
            <w:tcW w:w="2410" w:type="dxa"/>
            <w:vAlign w:val="center"/>
          </w:tcPr>
          <w:p w14:paraId="4116B5A0" w14:textId="77777777" w:rsidR="00662093" w:rsidRPr="00931D46" w:rsidRDefault="00662093" w:rsidP="0023353F">
            <w:pPr>
              <w:pStyle w:val="TablaTexto"/>
              <w:spacing w:line="276" w:lineRule="auto"/>
              <w:rPr>
                <w:rFonts w:ascii="Arial" w:hAnsi="Arial" w:cs="Arial"/>
              </w:rPr>
            </w:pPr>
            <w:r w:rsidRPr="00931D46">
              <w:rPr>
                <w:rFonts w:ascii="Arial" w:hAnsi="Arial" w:cs="Arial"/>
              </w:rPr>
              <w:t>CBC</w:t>
            </w:r>
          </w:p>
        </w:tc>
        <w:tc>
          <w:tcPr>
            <w:tcW w:w="7088" w:type="dxa"/>
            <w:vAlign w:val="center"/>
          </w:tcPr>
          <w:p w14:paraId="1F42A1B4"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Oficina de Competencia de Canadá (</w:t>
            </w:r>
            <w:r w:rsidRPr="00931D46">
              <w:rPr>
                <w:rFonts w:ascii="Arial" w:hAnsi="Arial" w:cs="Arial"/>
                <w:i/>
              </w:rPr>
              <w:t>Competition Bureau Canada</w:t>
            </w:r>
            <w:r w:rsidRPr="00931D46">
              <w:rPr>
                <w:rFonts w:ascii="Arial" w:hAnsi="Arial" w:cs="Arial"/>
              </w:rPr>
              <w:t>, en inglés).</w:t>
            </w:r>
          </w:p>
        </w:tc>
      </w:tr>
      <w:tr w:rsidR="00662093" w:rsidRPr="00931D46" w14:paraId="18CE5215" w14:textId="77777777" w:rsidTr="00662093">
        <w:trPr>
          <w:trHeight w:val="301"/>
        </w:trPr>
        <w:tc>
          <w:tcPr>
            <w:tcW w:w="2410" w:type="dxa"/>
            <w:tcBorders>
              <w:bottom w:val="single" w:sz="4" w:space="0" w:color="auto"/>
            </w:tcBorders>
            <w:vAlign w:val="center"/>
          </w:tcPr>
          <w:p w14:paraId="3B212F39" w14:textId="77777777" w:rsidR="00662093" w:rsidRPr="00931D46" w:rsidRDefault="00662093" w:rsidP="0023353F">
            <w:pPr>
              <w:pStyle w:val="TablaTexto"/>
              <w:spacing w:line="276" w:lineRule="auto"/>
              <w:rPr>
                <w:rFonts w:ascii="Arial" w:hAnsi="Arial" w:cs="Arial"/>
              </w:rPr>
            </w:pPr>
            <w:r w:rsidRPr="00931D46">
              <w:rPr>
                <w:rFonts w:ascii="Arial" w:hAnsi="Arial" w:cs="Arial"/>
              </w:rPr>
              <w:t>CC</w:t>
            </w:r>
          </w:p>
        </w:tc>
        <w:tc>
          <w:tcPr>
            <w:tcW w:w="7088" w:type="dxa"/>
            <w:tcBorders>
              <w:bottom w:val="single" w:sz="4" w:space="0" w:color="auto"/>
            </w:tcBorders>
            <w:vAlign w:val="center"/>
          </w:tcPr>
          <w:p w14:paraId="031D5EE6" w14:textId="537A5DB6" w:rsidR="00662093" w:rsidRPr="00931D46" w:rsidRDefault="00BF05B4" w:rsidP="00BE27B0">
            <w:pPr>
              <w:pStyle w:val="TablaTexto"/>
              <w:spacing w:line="276" w:lineRule="auto"/>
              <w:jc w:val="both"/>
              <w:rPr>
                <w:rFonts w:ascii="Arial" w:hAnsi="Arial" w:cs="Arial"/>
              </w:rPr>
            </w:pPr>
            <w:r>
              <w:rPr>
                <w:rFonts w:ascii="Arial" w:hAnsi="Arial" w:cs="Arial"/>
              </w:rPr>
              <w:t xml:space="preserve">Extinto </w:t>
            </w:r>
            <w:r w:rsidR="00BE27B0">
              <w:rPr>
                <w:rFonts w:ascii="Arial" w:hAnsi="Arial" w:cs="Arial"/>
              </w:rPr>
              <w:t>Consejo</w:t>
            </w:r>
            <w:r w:rsidR="00662093" w:rsidRPr="00931D46">
              <w:rPr>
                <w:rFonts w:ascii="Arial" w:hAnsi="Arial" w:cs="Arial"/>
              </w:rPr>
              <w:t xml:space="preserve"> de Competencia de Francia</w:t>
            </w:r>
            <w:r w:rsidR="00997D34" w:rsidRPr="00931D46">
              <w:rPr>
                <w:rFonts w:ascii="Arial" w:hAnsi="Arial" w:cs="Arial"/>
              </w:rPr>
              <w:t xml:space="preserve"> (</w:t>
            </w:r>
            <w:r w:rsidR="00997D34" w:rsidRPr="00931D46">
              <w:rPr>
                <w:rFonts w:ascii="Arial" w:hAnsi="Arial" w:cs="Arial"/>
                <w:i/>
              </w:rPr>
              <w:t>Conseil de la Concurrence</w:t>
            </w:r>
            <w:r w:rsidR="00997D34" w:rsidRPr="00931D46">
              <w:rPr>
                <w:rFonts w:ascii="Arial" w:hAnsi="Arial" w:cs="Arial"/>
              </w:rPr>
              <w:t>, en francés)</w:t>
            </w:r>
            <w:r>
              <w:rPr>
                <w:rFonts w:ascii="Arial" w:hAnsi="Arial" w:cs="Arial"/>
              </w:rPr>
              <w:t xml:space="preserve">, ahora </w:t>
            </w:r>
            <w:r w:rsidRPr="00BF05B4">
              <w:rPr>
                <w:rFonts w:ascii="Arial" w:hAnsi="Arial" w:cs="Arial"/>
                <w:i/>
              </w:rPr>
              <w:t>Autorité de la Concurrence</w:t>
            </w:r>
            <w:r w:rsidR="00662093" w:rsidRPr="00931D46">
              <w:rPr>
                <w:rFonts w:ascii="Arial" w:hAnsi="Arial" w:cs="Arial"/>
              </w:rPr>
              <w:t>.</w:t>
            </w:r>
          </w:p>
        </w:tc>
      </w:tr>
      <w:tr w:rsidR="00662093" w:rsidRPr="00931D46" w14:paraId="5CB9EBE4" w14:textId="77777777" w:rsidTr="00662093">
        <w:trPr>
          <w:trHeight w:val="301"/>
        </w:trPr>
        <w:tc>
          <w:tcPr>
            <w:tcW w:w="2410" w:type="dxa"/>
            <w:vAlign w:val="center"/>
          </w:tcPr>
          <w:p w14:paraId="3E2FAFC5" w14:textId="77777777" w:rsidR="00662093" w:rsidRPr="00931D46" w:rsidRDefault="00662093" w:rsidP="0023353F">
            <w:pPr>
              <w:pStyle w:val="TablaTexto"/>
              <w:spacing w:line="276" w:lineRule="auto"/>
              <w:rPr>
                <w:rFonts w:ascii="Arial" w:hAnsi="Arial" w:cs="Arial"/>
              </w:rPr>
            </w:pPr>
            <w:r w:rsidRPr="00931D46">
              <w:rPr>
                <w:rFonts w:ascii="Arial" w:hAnsi="Arial" w:cs="Arial"/>
              </w:rPr>
              <w:t>CE</w:t>
            </w:r>
          </w:p>
        </w:tc>
        <w:tc>
          <w:tcPr>
            <w:tcW w:w="7088" w:type="dxa"/>
            <w:vAlign w:val="center"/>
          </w:tcPr>
          <w:p w14:paraId="4676F5A1"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Comisión Europea.</w:t>
            </w:r>
          </w:p>
        </w:tc>
      </w:tr>
      <w:tr w:rsidR="0043197C" w:rsidRPr="00931D46" w14:paraId="60FC3A78" w14:textId="77777777" w:rsidTr="00662093">
        <w:trPr>
          <w:trHeight w:val="301"/>
        </w:trPr>
        <w:tc>
          <w:tcPr>
            <w:tcW w:w="2410" w:type="dxa"/>
            <w:vAlign w:val="center"/>
          </w:tcPr>
          <w:p w14:paraId="639B71D4" w14:textId="77777777" w:rsidR="0043197C" w:rsidRPr="00931D46" w:rsidRDefault="0043197C" w:rsidP="0023353F">
            <w:pPr>
              <w:pStyle w:val="TablaTexto"/>
              <w:spacing w:line="276" w:lineRule="auto"/>
              <w:rPr>
                <w:rFonts w:ascii="Arial" w:hAnsi="Arial" w:cs="Arial"/>
              </w:rPr>
            </w:pPr>
            <w:r w:rsidRPr="00931D46">
              <w:rPr>
                <w:rFonts w:ascii="Arial" w:hAnsi="Arial" w:cs="Arial"/>
              </w:rPr>
              <w:t>CFC</w:t>
            </w:r>
          </w:p>
        </w:tc>
        <w:tc>
          <w:tcPr>
            <w:tcW w:w="7088" w:type="dxa"/>
            <w:vAlign w:val="center"/>
          </w:tcPr>
          <w:p w14:paraId="5D6AB059" w14:textId="77777777" w:rsidR="0043197C" w:rsidRPr="00931D46" w:rsidRDefault="0043197C" w:rsidP="0023353F">
            <w:pPr>
              <w:pStyle w:val="TablaTexto"/>
              <w:spacing w:line="276" w:lineRule="auto"/>
              <w:rPr>
                <w:rFonts w:ascii="Arial" w:hAnsi="Arial" w:cs="Arial"/>
              </w:rPr>
            </w:pPr>
            <w:r w:rsidRPr="00931D46">
              <w:rPr>
                <w:rFonts w:ascii="Arial" w:hAnsi="Arial" w:cs="Arial"/>
              </w:rPr>
              <w:t>Extinta Comisión Federal de Competencia</w:t>
            </w:r>
            <w:r w:rsidR="00074B18" w:rsidRPr="00931D46">
              <w:rPr>
                <w:rFonts w:ascii="Arial" w:hAnsi="Arial" w:cs="Arial"/>
              </w:rPr>
              <w:t xml:space="preserve"> de México</w:t>
            </w:r>
            <w:r w:rsidRPr="00931D46">
              <w:rPr>
                <w:rFonts w:ascii="Arial" w:hAnsi="Arial" w:cs="Arial"/>
              </w:rPr>
              <w:t>.</w:t>
            </w:r>
          </w:p>
        </w:tc>
      </w:tr>
      <w:tr w:rsidR="00662093" w:rsidRPr="00931D46" w14:paraId="4E2233A1" w14:textId="77777777" w:rsidTr="00662093">
        <w:trPr>
          <w:trHeight w:val="301"/>
        </w:trPr>
        <w:tc>
          <w:tcPr>
            <w:tcW w:w="2410" w:type="dxa"/>
            <w:vAlign w:val="center"/>
          </w:tcPr>
          <w:p w14:paraId="475BFC43" w14:textId="77777777" w:rsidR="00662093" w:rsidRPr="00931D46" w:rsidRDefault="00662093" w:rsidP="0023353F">
            <w:pPr>
              <w:pStyle w:val="TablaTexto"/>
              <w:spacing w:line="276" w:lineRule="auto"/>
              <w:rPr>
                <w:rFonts w:ascii="Arial" w:hAnsi="Arial" w:cs="Arial"/>
              </w:rPr>
            </w:pPr>
            <w:r w:rsidRPr="00931D46">
              <w:rPr>
                <w:rFonts w:ascii="Arial" w:hAnsi="Arial" w:cs="Arial"/>
              </w:rPr>
              <w:t>CMA</w:t>
            </w:r>
          </w:p>
        </w:tc>
        <w:tc>
          <w:tcPr>
            <w:tcW w:w="7088" w:type="dxa"/>
            <w:vAlign w:val="center"/>
          </w:tcPr>
          <w:p w14:paraId="2EE97B0B" w14:textId="233A8844" w:rsidR="00662093" w:rsidRPr="00931D46" w:rsidRDefault="00662093" w:rsidP="0023353F">
            <w:pPr>
              <w:pStyle w:val="TablaTexto"/>
              <w:spacing w:line="276" w:lineRule="auto"/>
              <w:jc w:val="both"/>
              <w:rPr>
                <w:rFonts w:ascii="Arial" w:hAnsi="Arial" w:cs="Arial"/>
              </w:rPr>
            </w:pPr>
            <w:r w:rsidRPr="00931D46">
              <w:rPr>
                <w:rFonts w:ascii="Arial" w:hAnsi="Arial" w:cs="Arial"/>
              </w:rPr>
              <w:t>Autoridad de Competencia y Mercados de Reino Unido (</w:t>
            </w:r>
            <w:r w:rsidRPr="00931D46">
              <w:rPr>
                <w:rFonts w:ascii="Arial" w:hAnsi="Arial" w:cs="Arial"/>
                <w:i/>
              </w:rPr>
              <w:t>Competition and Markets Authority</w:t>
            </w:r>
            <w:r w:rsidR="00F86089" w:rsidRPr="00931D46">
              <w:rPr>
                <w:rFonts w:ascii="Arial" w:hAnsi="Arial" w:cs="Arial"/>
              </w:rPr>
              <w:t>, en inglés</w:t>
            </w:r>
            <w:r w:rsidRPr="00931D46">
              <w:rPr>
                <w:rFonts w:ascii="Arial" w:hAnsi="Arial" w:cs="Arial"/>
              </w:rPr>
              <w:t>)</w:t>
            </w:r>
            <w:r w:rsidR="002F5EEE" w:rsidRPr="00931D46">
              <w:rPr>
                <w:rFonts w:ascii="Arial" w:hAnsi="Arial" w:cs="Arial"/>
              </w:rPr>
              <w:t>, la cual sustituyó a la OFT y</w:t>
            </w:r>
            <w:r w:rsidR="0036434B" w:rsidRPr="00931D46">
              <w:rPr>
                <w:rFonts w:ascii="Arial" w:hAnsi="Arial" w:cs="Arial"/>
              </w:rPr>
              <w:t xml:space="preserve"> </w:t>
            </w:r>
            <w:r w:rsidR="005B2A1E" w:rsidRPr="00931D46">
              <w:rPr>
                <w:rFonts w:ascii="Arial" w:hAnsi="Arial" w:cs="Arial"/>
              </w:rPr>
              <w:t xml:space="preserve">a la </w:t>
            </w:r>
            <w:r w:rsidR="005B2A1E">
              <w:rPr>
                <w:rFonts w:ascii="Arial" w:hAnsi="Arial" w:cs="Arial"/>
              </w:rPr>
              <w:t>Comisión de Competencia (</w:t>
            </w:r>
            <w:r w:rsidR="005B2A1E" w:rsidRPr="007A3F73">
              <w:rPr>
                <w:rFonts w:ascii="Arial" w:hAnsi="Arial" w:cs="Arial"/>
                <w:bCs/>
                <w:i/>
              </w:rPr>
              <w:t>Competition Commission</w:t>
            </w:r>
            <w:r w:rsidR="005B2A1E">
              <w:rPr>
                <w:rFonts w:ascii="Arial" w:hAnsi="Arial" w:cs="Arial"/>
                <w:bCs/>
              </w:rPr>
              <w:t>, en ingl</w:t>
            </w:r>
            <w:r w:rsidR="00BF05B4">
              <w:rPr>
                <w:rFonts w:ascii="Arial" w:hAnsi="Arial" w:cs="Arial"/>
                <w:bCs/>
              </w:rPr>
              <w:t>é</w:t>
            </w:r>
            <w:r w:rsidR="005B2A1E">
              <w:rPr>
                <w:rFonts w:ascii="Arial" w:hAnsi="Arial" w:cs="Arial"/>
                <w:bCs/>
              </w:rPr>
              <w:t>s)</w:t>
            </w:r>
            <w:r w:rsidR="005B2A1E" w:rsidRPr="00931D46">
              <w:rPr>
                <w:rFonts w:ascii="Arial" w:hAnsi="Arial" w:cs="Arial"/>
              </w:rPr>
              <w:t xml:space="preserve"> </w:t>
            </w:r>
            <w:r w:rsidR="005B2A1E">
              <w:rPr>
                <w:rFonts w:ascii="Arial" w:hAnsi="Arial" w:cs="Arial"/>
              </w:rPr>
              <w:t xml:space="preserve"> </w:t>
            </w:r>
            <w:r w:rsidR="002F5EEE" w:rsidRPr="00931D46">
              <w:rPr>
                <w:rFonts w:ascii="Arial" w:hAnsi="Arial" w:cs="Arial"/>
              </w:rPr>
              <w:t>en 2013</w:t>
            </w:r>
            <w:r w:rsidRPr="00931D46">
              <w:rPr>
                <w:rFonts w:ascii="Arial" w:hAnsi="Arial" w:cs="Arial"/>
              </w:rPr>
              <w:t>.</w:t>
            </w:r>
          </w:p>
        </w:tc>
      </w:tr>
      <w:tr w:rsidR="00A91BA8" w:rsidRPr="00931D46" w14:paraId="06E562C3" w14:textId="77777777" w:rsidTr="00662093">
        <w:trPr>
          <w:trHeight w:val="301"/>
        </w:trPr>
        <w:tc>
          <w:tcPr>
            <w:tcW w:w="2410" w:type="dxa"/>
            <w:vAlign w:val="center"/>
          </w:tcPr>
          <w:p w14:paraId="11239124" w14:textId="77777777" w:rsidR="00A91BA8" w:rsidRPr="00931D46" w:rsidRDefault="00A91BA8" w:rsidP="0023353F">
            <w:pPr>
              <w:pStyle w:val="TablaTexto"/>
              <w:spacing w:line="276" w:lineRule="auto"/>
              <w:rPr>
                <w:rFonts w:ascii="Arial" w:hAnsi="Arial" w:cs="Arial"/>
              </w:rPr>
            </w:pPr>
            <w:r w:rsidRPr="00931D46">
              <w:rPr>
                <w:rFonts w:ascii="Arial" w:hAnsi="Arial" w:cs="Arial"/>
              </w:rPr>
              <w:t>CPEUM</w:t>
            </w:r>
          </w:p>
        </w:tc>
        <w:tc>
          <w:tcPr>
            <w:tcW w:w="7088" w:type="dxa"/>
            <w:vAlign w:val="center"/>
          </w:tcPr>
          <w:p w14:paraId="1C83C9E7" w14:textId="77777777" w:rsidR="00A91BA8" w:rsidRPr="00931D46" w:rsidRDefault="000E330C" w:rsidP="0023353F">
            <w:pPr>
              <w:pStyle w:val="TablaTexto"/>
              <w:spacing w:line="276" w:lineRule="auto"/>
              <w:rPr>
                <w:rFonts w:ascii="Arial" w:hAnsi="Arial" w:cs="Arial"/>
              </w:rPr>
            </w:pPr>
            <w:r w:rsidRPr="00931D46">
              <w:rPr>
                <w:rFonts w:ascii="Arial" w:hAnsi="Arial" w:cs="Arial"/>
              </w:rPr>
              <w:t>Constitución Política de los Estados Unidos Mexicanos</w:t>
            </w:r>
            <w:r w:rsidR="002A5911" w:rsidRPr="00931D46">
              <w:rPr>
                <w:rFonts w:ascii="Arial" w:hAnsi="Arial" w:cs="Arial"/>
              </w:rPr>
              <w:t>.</w:t>
            </w:r>
          </w:p>
        </w:tc>
      </w:tr>
      <w:tr w:rsidR="00662093" w:rsidRPr="00931D46" w14:paraId="35958508" w14:textId="77777777" w:rsidTr="00662093">
        <w:trPr>
          <w:trHeight w:val="301"/>
        </w:trPr>
        <w:tc>
          <w:tcPr>
            <w:tcW w:w="2410" w:type="dxa"/>
            <w:vAlign w:val="center"/>
          </w:tcPr>
          <w:p w14:paraId="290A7D07" w14:textId="77777777" w:rsidR="00662093" w:rsidRPr="00931D46" w:rsidRDefault="00662093" w:rsidP="0023353F">
            <w:pPr>
              <w:pStyle w:val="TablaTexto"/>
              <w:spacing w:line="276" w:lineRule="auto"/>
              <w:rPr>
                <w:rFonts w:ascii="Arial" w:hAnsi="Arial" w:cs="Arial"/>
              </w:rPr>
            </w:pPr>
            <w:r w:rsidRPr="00931D46">
              <w:rPr>
                <w:rFonts w:ascii="Arial" w:hAnsi="Arial" w:cs="Arial"/>
              </w:rPr>
              <w:t>Criterio Técnico</w:t>
            </w:r>
          </w:p>
        </w:tc>
        <w:tc>
          <w:tcPr>
            <w:tcW w:w="7088" w:type="dxa"/>
            <w:vAlign w:val="center"/>
          </w:tcPr>
          <w:p w14:paraId="126B3323"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i/>
              </w:rPr>
              <w:t>Criterio técnico para el cálculo y aplicación de un índice cuantitativo a fin de determinar el grado de concentración en los mercados y servicios correspondientes a los sectores de telecomunicaciones y radiodifusión</w:t>
            </w:r>
            <w:r w:rsidRPr="00931D46">
              <w:rPr>
                <w:rFonts w:ascii="Arial" w:hAnsi="Arial" w:cs="Arial"/>
              </w:rPr>
              <w:t>.</w:t>
            </w:r>
            <w:r w:rsidRPr="00931D46">
              <w:rPr>
                <w:rStyle w:val="Refdenotaalpie"/>
                <w:rFonts w:ascii="Arial" w:hAnsi="Arial" w:cs="Arial"/>
              </w:rPr>
              <w:t xml:space="preserve"> </w:t>
            </w:r>
            <w:r w:rsidRPr="00931D46">
              <w:rPr>
                <w:rStyle w:val="Refdenotaalpie"/>
                <w:rFonts w:ascii="Arial" w:hAnsi="Arial" w:cs="Arial"/>
              </w:rPr>
              <w:footnoteReference w:id="3"/>
            </w:r>
          </w:p>
        </w:tc>
      </w:tr>
      <w:tr w:rsidR="00662093" w:rsidRPr="00931D46" w14:paraId="61436198" w14:textId="77777777" w:rsidTr="00662093">
        <w:trPr>
          <w:trHeight w:val="301"/>
        </w:trPr>
        <w:tc>
          <w:tcPr>
            <w:tcW w:w="2410" w:type="dxa"/>
            <w:vAlign w:val="center"/>
          </w:tcPr>
          <w:p w14:paraId="441D4A0A" w14:textId="77777777" w:rsidR="00662093" w:rsidRPr="00931D46" w:rsidRDefault="00662093" w:rsidP="0023353F">
            <w:pPr>
              <w:pStyle w:val="TablaTexto"/>
              <w:spacing w:line="276" w:lineRule="auto"/>
              <w:rPr>
                <w:rFonts w:ascii="Arial" w:hAnsi="Arial" w:cs="Arial"/>
              </w:rPr>
            </w:pPr>
            <w:r w:rsidRPr="00931D46">
              <w:rPr>
                <w:rFonts w:ascii="Arial" w:hAnsi="Arial" w:cs="Arial"/>
              </w:rPr>
              <w:lastRenderedPageBreak/>
              <w:t>CRTC</w:t>
            </w:r>
          </w:p>
        </w:tc>
        <w:tc>
          <w:tcPr>
            <w:tcW w:w="7088" w:type="dxa"/>
            <w:vAlign w:val="center"/>
          </w:tcPr>
          <w:p w14:paraId="32AE3C13" w14:textId="7B551A75" w:rsidR="00662093" w:rsidRPr="00931D46" w:rsidRDefault="00662093" w:rsidP="000011D8">
            <w:pPr>
              <w:pStyle w:val="TablaTexto"/>
              <w:spacing w:line="276" w:lineRule="auto"/>
              <w:jc w:val="both"/>
              <w:rPr>
                <w:rFonts w:ascii="Arial" w:hAnsi="Arial" w:cs="Arial"/>
              </w:rPr>
            </w:pPr>
            <w:r w:rsidRPr="00931D46">
              <w:rPr>
                <w:rFonts w:ascii="Arial" w:hAnsi="Arial" w:cs="Arial"/>
              </w:rPr>
              <w:t xml:space="preserve">Comisión </w:t>
            </w:r>
            <w:r w:rsidR="000011D8">
              <w:rPr>
                <w:rFonts w:ascii="Arial" w:hAnsi="Arial" w:cs="Arial"/>
              </w:rPr>
              <w:t xml:space="preserve">Canadiense </w:t>
            </w:r>
            <w:r w:rsidRPr="00931D46">
              <w:rPr>
                <w:rFonts w:ascii="Arial" w:hAnsi="Arial" w:cs="Arial"/>
              </w:rPr>
              <w:t>de Radio</w:t>
            </w:r>
            <w:r w:rsidR="00BF05B4">
              <w:rPr>
                <w:rFonts w:ascii="Arial" w:hAnsi="Arial" w:cs="Arial"/>
              </w:rPr>
              <w:t>difusión</w:t>
            </w:r>
            <w:r w:rsidRPr="00931D46">
              <w:rPr>
                <w:rFonts w:ascii="Arial" w:hAnsi="Arial" w:cs="Arial"/>
              </w:rPr>
              <w:t xml:space="preserve"> y Telecomunicaciones (</w:t>
            </w:r>
            <w:r w:rsidRPr="00931D46">
              <w:rPr>
                <w:rFonts w:ascii="Arial" w:hAnsi="Arial" w:cs="Arial"/>
                <w:i/>
              </w:rPr>
              <w:t>Canadian Radio-television and Telecommunications Commission</w:t>
            </w:r>
            <w:r w:rsidRPr="00931D46">
              <w:rPr>
                <w:rFonts w:ascii="Arial" w:hAnsi="Arial" w:cs="Arial"/>
              </w:rPr>
              <w:t>, en inglés).</w:t>
            </w:r>
          </w:p>
        </w:tc>
      </w:tr>
      <w:tr w:rsidR="00662093" w:rsidRPr="00931D46" w14:paraId="5327466F" w14:textId="77777777" w:rsidTr="00662093">
        <w:trPr>
          <w:trHeight w:val="301"/>
        </w:trPr>
        <w:tc>
          <w:tcPr>
            <w:tcW w:w="2410" w:type="dxa"/>
            <w:vAlign w:val="center"/>
          </w:tcPr>
          <w:p w14:paraId="7103E300" w14:textId="77777777" w:rsidR="00662093" w:rsidRPr="00931D46" w:rsidRDefault="00662093" w:rsidP="0023353F">
            <w:pPr>
              <w:pStyle w:val="TablaTexto"/>
              <w:spacing w:line="276" w:lineRule="auto"/>
              <w:rPr>
                <w:rFonts w:ascii="Arial" w:hAnsi="Arial" w:cs="Arial"/>
              </w:rPr>
            </w:pPr>
            <w:r w:rsidRPr="00931D46">
              <w:rPr>
                <w:rFonts w:ascii="Arial" w:hAnsi="Arial" w:cs="Arial"/>
              </w:rPr>
              <w:t>DOJ</w:t>
            </w:r>
          </w:p>
        </w:tc>
        <w:tc>
          <w:tcPr>
            <w:tcW w:w="7088" w:type="dxa"/>
            <w:vAlign w:val="center"/>
          </w:tcPr>
          <w:p w14:paraId="3D286E96" w14:textId="2820664C" w:rsidR="00662093" w:rsidRPr="00931D46" w:rsidRDefault="00662093" w:rsidP="0023353F">
            <w:pPr>
              <w:pStyle w:val="TablaTexto"/>
              <w:spacing w:line="276" w:lineRule="auto"/>
              <w:jc w:val="both"/>
              <w:rPr>
                <w:rFonts w:ascii="Arial" w:hAnsi="Arial" w:cs="Arial"/>
              </w:rPr>
            </w:pPr>
            <w:r w:rsidRPr="00931D46">
              <w:rPr>
                <w:rFonts w:ascii="Arial" w:hAnsi="Arial" w:cs="Arial"/>
              </w:rPr>
              <w:t>Departamento de Justicia de Estados Unidos de América (</w:t>
            </w:r>
            <w:r w:rsidRPr="00931D46">
              <w:rPr>
                <w:rFonts w:ascii="Arial" w:hAnsi="Arial" w:cs="Arial"/>
                <w:i/>
              </w:rPr>
              <w:t xml:space="preserve">Department of Justice, </w:t>
            </w:r>
            <w:r w:rsidRPr="00931D46">
              <w:rPr>
                <w:rFonts w:ascii="Arial" w:hAnsi="Arial" w:cs="Arial"/>
              </w:rPr>
              <w:t>en inglés).</w:t>
            </w:r>
          </w:p>
        </w:tc>
      </w:tr>
      <w:tr w:rsidR="00662093" w:rsidRPr="00931D46" w14:paraId="3C92CCB8" w14:textId="77777777" w:rsidTr="00662093">
        <w:trPr>
          <w:trHeight w:val="301"/>
        </w:trPr>
        <w:tc>
          <w:tcPr>
            <w:tcW w:w="2410" w:type="dxa"/>
            <w:vAlign w:val="center"/>
          </w:tcPr>
          <w:p w14:paraId="24C5F747" w14:textId="77777777" w:rsidR="00662093" w:rsidRPr="00931D46" w:rsidRDefault="00662093" w:rsidP="0023353F">
            <w:pPr>
              <w:pStyle w:val="TablaTexto"/>
              <w:spacing w:line="276" w:lineRule="auto"/>
              <w:rPr>
                <w:rFonts w:ascii="Arial" w:hAnsi="Arial" w:cs="Arial"/>
              </w:rPr>
            </w:pPr>
            <w:r w:rsidRPr="00931D46">
              <w:rPr>
                <w:rFonts w:ascii="Arial" w:hAnsi="Arial" w:cs="Arial"/>
              </w:rPr>
              <w:t>DRLFCE</w:t>
            </w:r>
          </w:p>
        </w:tc>
        <w:tc>
          <w:tcPr>
            <w:tcW w:w="7088" w:type="dxa"/>
            <w:vAlign w:val="center"/>
          </w:tcPr>
          <w:p w14:paraId="59AC284C"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Disposiciones Regulatorias de la Ley Federal de Competencia Económica para los sectores de telecomunicaciones y radiodifusión.</w:t>
            </w:r>
          </w:p>
        </w:tc>
      </w:tr>
      <w:tr w:rsidR="00662093" w:rsidRPr="00931D46" w14:paraId="11005285" w14:textId="77777777" w:rsidTr="00662093">
        <w:trPr>
          <w:trHeight w:val="301"/>
        </w:trPr>
        <w:tc>
          <w:tcPr>
            <w:tcW w:w="2410" w:type="dxa"/>
            <w:vAlign w:val="center"/>
          </w:tcPr>
          <w:p w14:paraId="66C471E7" w14:textId="77777777" w:rsidR="00662093" w:rsidRPr="00931D46" w:rsidRDefault="00662093" w:rsidP="0023353F">
            <w:pPr>
              <w:pStyle w:val="TablaTexto"/>
              <w:spacing w:line="276" w:lineRule="auto"/>
              <w:rPr>
                <w:rFonts w:ascii="Arial" w:hAnsi="Arial" w:cs="Arial"/>
              </w:rPr>
            </w:pPr>
            <w:r w:rsidRPr="00931D46">
              <w:rPr>
                <w:rFonts w:ascii="Arial" w:hAnsi="Arial" w:cs="Arial"/>
              </w:rPr>
              <w:t>FCC</w:t>
            </w:r>
          </w:p>
        </w:tc>
        <w:tc>
          <w:tcPr>
            <w:tcW w:w="7088" w:type="dxa"/>
            <w:vAlign w:val="center"/>
          </w:tcPr>
          <w:p w14:paraId="19529A90"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Comisión Federal de Comunicaciones de Estados Unidos de América (</w:t>
            </w:r>
            <w:r w:rsidRPr="00931D46">
              <w:rPr>
                <w:rFonts w:ascii="Arial" w:hAnsi="Arial" w:cs="Arial"/>
                <w:i/>
              </w:rPr>
              <w:t>Federal Communications Co</w:t>
            </w:r>
            <w:r w:rsidR="00B36DEF" w:rsidRPr="00931D46">
              <w:rPr>
                <w:rFonts w:ascii="Arial" w:hAnsi="Arial" w:cs="Arial"/>
                <w:i/>
              </w:rPr>
              <w:t>m</w:t>
            </w:r>
            <w:r w:rsidRPr="00931D46">
              <w:rPr>
                <w:rFonts w:ascii="Arial" w:hAnsi="Arial" w:cs="Arial"/>
                <w:i/>
              </w:rPr>
              <w:t>mission</w:t>
            </w:r>
            <w:r w:rsidR="00C74605" w:rsidRPr="00931D46">
              <w:rPr>
                <w:rFonts w:ascii="Arial" w:hAnsi="Arial" w:cs="Arial"/>
              </w:rPr>
              <w:t>, en inglés</w:t>
            </w:r>
            <w:r w:rsidRPr="00931D46">
              <w:rPr>
                <w:rFonts w:ascii="Arial" w:hAnsi="Arial" w:cs="Arial"/>
              </w:rPr>
              <w:t>).</w:t>
            </w:r>
          </w:p>
        </w:tc>
      </w:tr>
      <w:tr w:rsidR="00457347" w:rsidRPr="00931D46" w14:paraId="32318F76" w14:textId="77777777" w:rsidTr="00662093">
        <w:trPr>
          <w:trHeight w:val="301"/>
        </w:trPr>
        <w:tc>
          <w:tcPr>
            <w:tcW w:w="2410" w:type="dxa"/>
            <w:vAlign w:val="center"/>
          </w:tcPr>
          <w:p w14:paraId="546A6160" w14:textId="77777777" w:rsidR="00457347" w:rsidRPr="00931D46" w:rsidRDefault="00457347" w:rsidP="0023353F">
            <w:pPr>
              <w:pStyle w:val="TablaTexto"/>
              <w:spacing w:line="276" w:lineRule="auto"/>
              <w:rPr>
                <w:rFonts w:ascii="Arial" w:hAnsi="Arial" w:cs="Arial"/>
              </w:rPr>
            </w:pPr>
            <w:r w:rsidRPr="00931D46">
              <w:rPr>
                <w:rFonts w:ascii="Arial" w:hAnsi="Arial" w:cs="Arial"/>
              </w:rPr>
              <w:t>FICORA</w:t>
            </w:r>
          </w:p>
        </w:tc>
        <w:tc>
          <w:tcPr>
            <w:tcW w:w="7088" w:type="dxa"/>
            <w:vAlign w:val="center"/>
          </w:tcPr>
          <w:p w14:paraId="10268E66" w14:textId="77777777" w:rsidR="00457347" w:rsidRPr="00931D46" w:rsidRDefault="006D7B6C" w:rsidP="0023353F">
            <w:pPr>
              <w:pStyle w:val="TablaTexto"/>
              <w:spacing w:line="276" w:lineRule="auto"/>
              <w:jc w:val="both"/>
              <w:rPr>
                <w:rFonts w:ascii="Arial" w:hAnsi="Arial" w:cs="Arial"/>
              </w:rPr>
            </w:pPr>
            <w:r w:rsidRPr="00931D46">
              <w:rPr>
                <w:rFonts w:ascii="Arial" w:hAnsi="Arial" w:cs="Arial"/>
              </w:rPr>
              <w:t>Autoridad Reguladora de Comunicaciones de Finlandia (</w:t>
            </w:r>
            <w:r w:rsidRPr="00931D46">
              <w:rPr>
                <w:rFonts w:ascii="Arial" w:hAnsi="Arial" w:cs="Arial"/>
                <w:i/>
              </w:rPr>
              <w:t>Finnish Communications Regulatory Authority</w:t>
            </w:r>
            <w:r w:rsidRPr="00931D46">
              <w:rPr>
                <w:rFonts w:ascii="Arial" w:hAnsi="Arial" w:cs="Arial"/>
              </w:rPr>
              <w:t>, en inglés)</w:t>
            </w:r>
            <w:r w:rsidR="006A57C6" w:rsidRPr="00931D46">
              <w:rPr>
                <w:rFonts w:ascii="Arial" w:hAnsi="Arial" w:cs="Arial"/>
              </w:rPr>
              <w:t>.</w:t>
            </w:r>
          </w:p>
        </w:tc>
      </w:tr>
      <w:tr w:rsidR="00662093" w:rsidRPr="00931D46" w14:paraId="2A7E7FF2" w14:textId="77777777" w:rsidTr="00662093">
        <w:trPr>
          <w:trHeight w:val="301"/>
        </w:trPr>
        <w:tc>
          <w:tcPr>
            <w:tcW w:w="2410" w:type="dxa"/>
            <w:vAlign w:val="center"/>
          </w:tcPr>
          <w:p w14:paraId="32596262" w14:textId="77777777" w:rsidR="00662093" w:rsidRPr="00931D46" w:rsidRDefault="00662093" w:rsidP="0023353F">
            <w:pPr>
              <w:pStyle w:val="TablaTexto"/>
              <w:spacing w:line="276" w:lineRule="auto"/>
              <w:rPr>
                <w:rFonts w:ascii="Arial" w:hAnsi="Arial" w:cs="Arial"/>
              </w:rPr>
            </w:pPr>
            <w:r w:rsidRPr="00931D46">
              <w:rPr>
                <w:rFonts w:ascii="Arial" w:hAnsi="Arial" w:cs="Arial"/>
              </w:rPr>
              <w:t>FTC</w:t>
            </w:r>
          </w:p>
        </w:tc>
        <w:tc>
          <w:tcPr>
            <w:tcW w:w="7088" w:type="dxa"/>
            <w:vAlign w:val="center"/>
          </w:tcPr>
          <w:p w14:paraId="2A200C24"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Comisión Federal de Comercio de los Estados Unidos de América (</w:t>
            </w:r>
            <w:r w:rsidRPr="00931D46">
              <w:rPr>
                <w:rFonts w:ascii="Arial" w:hAnsi="Arial" w:cs="Arial"/>
                <w:i/>
              </w:rPr>
              <w:t>Federal Trade Commission</w:t>
            </w:r>
            <w:r w:rsidRPr="00931D46">
              <w:rPr>
                <w:rFonts w:ascii="Arial" w:hAnsi="Arial" w:cs="Arial"/>
              </w:rPr>
              <w:t>, en inglés).</w:t>
            </w:r>
          </w:p>
        </w:tc>
      </w:tr>
      <w:tr w:rsidR="00662093" w:rsidRPr="00931D46" w14:paraId="240E1132" w14:textId="77777777" w:rsidTr="00662093">
        <w:trPr>
          <w:trHeight w:val="301"/>
        </w:trPr>
        <w:tc>
          <w:tcPr>
            <w:tcW w:w="2410" w:type="dxa"/>
            <w:vAlign w:val="center"/>
          </w:tcPr>
          <w:p w14:paraId="51FF2999" w14:textId="77777777" w:rsidR="00662093" w:rsidRPr="00931D46" w:rsidRDefault="00662093" w:rsidP="0023353F">
            <w:pPr>
              <w:pStyle w:val="TablaTexto"/>
              <w:spacing w:line="276" w:lineRule="auto"/>
              <w:rPr>
                <w:rFonts w:ascii="Arial" w:hAnsi="Arial" w:cs="Arial"/>
              </w:rPr>
            </w:pPr>
            <w:r w:rsidRPr="00931D46">
              <w:rPr>
                <w:rFonts w:ascii="Arial" w:hAnsi="Arial" w:cs="Arial"/>
              </w:rPr>
              <w:t>GIE</w:t>
            </w:r>
            <w:r w:rsidR="00B36DEF" w:rsidRPr="00931D46">
              <w:rPr>
                <w:rFonts w:ascii="Arial" w:hAnsi="Arial" w:cs="Arial"/>
              </w:rPr>
              <w:t xml:space="preserve"> / Grupo de Interés Económico</w:t>
            </w:r>
          </w:p>
        </w:tc>
        <w:tc>
          <w:tcPr>
            <w:tcW w:w="7088" w:type="dxa"/>
            <w:vAlign w:val="center"/>
          </w:tcPr>
          <w:p w14:paraId="44EBC5BF"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tc>
      </w:tr>
      <w:tr w:rsidR="00662093" w:rsidRPr="00931D46" w14:paraId="5AF7E197" w14:textId="77777777" w:rsidTr="00662093">
        <w:trPr>
          <w:trHeight w:val="301"/>
        </w:trPr>
        <w:tc>
          <w:tcPr>
            <w:tcW w:w="2410" w:type="dxa"/>
            <w:vAlign w:val="center"/>
          </w:tcPr>
          <w:p w14:paraId="4AB678B7" w14:textId="77777777" w:rsidR="00662093" w:rsidRPr="00931D46" w:rsidRDefault="00662093" w:rsidP="0023353F">
            <w:pPr>
              <w:spacing w:line="276" w:lineRule="auto"/>
              <w:rPr>
                <w:rFonts w:ascii="Arial" w:hAnsi="Arial" w:cs="Arial"/>
              </w:rPr>
            </w:pPr>
            <w:r w:rsidRPr="00931D46">
              <w:rPr>
                <w:rFonts w:ascii="Arial" w:hAnsi="Arial" w:cs="Arial"/>
              </w:rPr>
              <w:t>GTV</w:t>
            </w:r>
          </w:p>
        </w:tc>
        <w:tc>
          <w:tcPr>
            <w:tcW w:w="7088" w:type="dxa"/>
            <w:vAlign w:val="center"/>
          </w:tcPr>
          <w:p w14:paraId="5541DE3E" w14:textId="77777777" w:rsidR="00662093" w:rsidRPr="00931D46" w:rsidRDefault="00662093" w:rsidP="0023353F">
            <w:pPr>
              <w:spacing w:line="276" w:lineRule="auto"/>
              <w:jc w:val="both"/>
              <w:rPr>
                <w:rFonts w:ascii="Arial" w:hAnsi="Arial" w:cs="Arial"/>
              </w:rPr>
            </w:pPr>
            <w:r w:rsidRPr="00931D46">
              <w:rPr>
                <w:rFonts w:ascii="Arial" w:hAnsi="Arial" w:cs="Arial"/>
              </w:rPr>
              <w:t>Grupo Televisa, S.A.B.</w:t>
            </w:r>
          </w:p>
        </w:tc>
      </w:tr>
      <w:tr w:rsidR="00662093" w:rsidRPr="00931D46" w14:paraId="582CF659" w14:textId="77777777" w:rsidTr="00662093">
        <w:trPr>
          <w:trHeight w:val="301"/>
        </w:trPr>
        <w:tc>
          <w:tcPr>
            <w:tcW w:w="2410" w:type="dxa"/>
            <w:vAlign w:val="center"/>
          </w:tcPr>
          <w:p w14:paraId="72963B5D"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Guía de Concentraciones</w:t>
            </w:r>
          </w:p>
        </w:tc>
        <w:tc>
          <w:tcPr>
            <w:tcW w:w="7088" w:type="dxa"/>
            <w:vAlign w:val="center"/>
          </w:tcPr>
          <w:p w14:paraId="08705301"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 xml:space="preserve">Guía para el control de concentraciones en los sectores de </w:t>
            </w:r>
            <w:r w:rsidR="00D14A5E" w:rsidRPr="00931D46">
              <w:rPr>
                <w:rFonts w:ascii="Arial" w:hAnsi="Arial" w:cs="Arial"/>
              </w:rPr>
              <w:t>T</w:t>
            </w:r>
            <w:r w:rsidR="00AD5244" w:rsidRPr="00931D46">
              <w:rPr>
                <w:rFonts w:ascii="Arial" w:hAnsi="Arial" w:cs="Arial"/>
              </w:rPr>
              <w:t xml:space="preserve">elecomunicaciones </w:t>
            </w:r>
            <w:r w:rsidR="00D14A5E" w:rsidRPr="00931D46">
              <w:rPr>
                <w:rFonts w:ascii="Arial" w:hAnsi="Arial" w:cs="Arial"/>
              </w:rPr>
              <w:t>y</w:t>
            </w:r>
            <w:r w:rsidR="00AD5244" w:rsidRPr="00931D46">
              <w:rPr>
                <w:rFonts w:ascii="Arial" w:hAnsi="Arial" w:cs="Arial"/>
              </w:rPr>
              <w:t xml:space="preserve"> </w:t>
            </w:r>
            <w:r w:rsidR="00D14A5E" w:rsidRPr="00931D46">
              <w:rPr>
                <w:rFonts w:ascii="Arial" w:hAnsi="Arial" w:cs="Arial"/>
              </w:rPr>
              <w:t>R</w:t>
            </w:r>
            <w:r w:rsidR="00AD5244" w:rsidRPr="00931D46">
              <w:rPr>
                <w:rFonts w:ascii="Arial" w:hAnsi="Arial" w:cs="Arial"/>
              </w:rPr>
              <w:t>adiodifusión</w:t>
            </w:r>
            <w:r w:rsidR="00D14A5E" w:rsidRPr="00931D46">
              <w:rPr>
                <w:rFonts w:ascii="Arial" w:hAnsi="Arial" w:cs="Arial"/>
              </w:rPr>
              <w:t>, publicada por el Instituto</w:t>
            </w:r>
            <w:r w:rsidR="0036434B" w:rsidRPr="00931D46">
              <w:rPr>
                <w:rFonts w:ascii="Arial" w:hAnsi="Arial" w:cs="Arial"/>
              </w:rPr>
              <w:t xml:space="preserve"> </w:t>
            </w:r>
            <w:r w:rsidR="00773DF3" w:rsidRPr="00931D46">
              <w:rPr>
                <w:rFonts w:ascii="Arial" w:hAnsi="Arial" w:cs="Arial"/>
              </w:rPr>
              <w:t xml:space="preserve">en </w:t>
            </w:r>
            <w:r w:rsidR="0036434B" w:rsidRPr="00931D46">
              <w:rPr>
                <w:rFonts w:ascii="Arial" w:hAnsi="Arial" w:cs="Arial"/>
              </w:rPr>
              <w:t>2017</w:t>
            </w:r>
            <w:r w:rsidRPr="00931D46">
              <w:rPr>
                <w:rFonts w:ascii="Arial" w:hAnsi="Arial" w:cs="Arial"/>
              </w:rPr>
              <w:t>.</w:t>
            </w:r>
            <w:r w:rsidRPr="00931D46">
              <w:rPr>
                <w:rStyle w:val="Refdenotaalpie"/>
                <w:rFonts w:ascii="Arial" w:hAnsi="Arial" w:cs="Arial"/>
              </w:rPr>
              <w:footnoteReference w:id="4"/>
            </w:r>
          </w:p>
        </w:tc>
      </w:tr>
      <w:tr w:rsidR="00D632D7" w:rsidRPr="00931D46" w14:paraId="4B10A6A4" w14:textId="77777777" w:rsidTr="00662093">
        <w:trPr>
          <w:trHeight w:val="301"/>
        </w:trPr>
        <w:tc>
          <w:tcPr>
            <w:tcW w:w="2410" w:type="dxa"/>
            <w:vAlign w:val="center"/>
          </w:tcPr>
          <w:p w14:paraId="51744FBA" w14:textId="5F479F0F" w:rsidR="00D632D7" w:rsidRPr="00931D46" w:rsidRDefault="00D632D7" w:rsidP="0023353F">
            <w:pPr>
              <w:pStyle w:val="TablaTexto"/>
              <w:spacing w:line="276" w:lineRule="auto"/>
              <w:rPr>
                <w:rFonts w:ascii="Arial" w:hAnsi="Arial" w:cs="Arial"/>
              </w:rPr>
            </w:pPr>
            <w:r>
              <w:rPr>
                <w:rFonts w:ascii="Arial" w:hAnsi="Arial" w:cs="Arial"/>
              </w:rPr>
              <w:t>Guía</w:t>
            </w:r>
          </w:p>
        </w:tc>
        <w:tc>
          <w:tcPr>
            <w:tcW w:w="7088" w:type="dxa"/>
            <w:vAlign w:val="center"/>
          </w:tcPr>
          <w:p w14:paraId="762380C9" w14:textId="7B9DC9B3" w:rsidR="00D632D7" w:rsidRPr="00931D46" w:rsidRDefault="00D632D7" w:rsidP="00BF05B4">
            <w:pPr>
              <w:pStyle w:val="TablaTexto"/>
              <w:spacing w:line="276" w:lineRule="auto"/>
              <w:jc w:val="both"/>
              <w:rPr>
                <w:rFonts w:ascii="Arial" w:hAnsi="Arial" w:cs="Arial"/>
              </w:rPr>
            </w:pPr>
            <w:r>
              <w:rPr>
                <w:rFonts w:ascii="Arial" w:hAnsi="Arial" w:cs="Arial"/>
              </w:rPr>
              <w:t>Guía para determinar Mercados Relevantes en los Sectores de Telecomunicaciones y Radiodifusión.</w:t>
            </w:r>
          </w:p>
        </w:tc>
      </w:tr>
      <w:tr w:rsidR="00662093" w:rsidRPr="00931D46" w14:paraId="2F2F5B6A" w14:textId="77777777" w:rsidTr="00662093">
        <w:trPr>
          <w:trHeight w:val="301"/>
        </w:trPr>
        <w:tc>
          <w:tcPr>
            <w:tcW w:w="2410" w:type="dxa"/>
            <w:vAlign w:val="center"/>
          </w:tcPr>
          <w:p w14:paraId="4FF39BE2" w14:textId="77777777" w:rsidR="00662093" w:rsidRPr="00931D46" w:rsidRDefault="00662093" w:rsidP="0023353F">
            <w:pPr>
              <w:pStyle w:val="TablaTexto"/>
              <w:spacing w:line="276" w:lineRule="auto"/>
              <w:rPr>
                <w:rFonts w:ascii="Arial" w:hAnsi="Arial" w:cs="Arial"/>
              </w:rPr>
            </w:pPr>
            <w:r w:rsidRPr="00931D46">
              <w:rPr>
                <w:rFonts w:ascii="Arial" w:hAnsi="Arial" w:cs="Arial"/>
              </w:rPr>
              <w:t>ICN</w:t>
            </w:r>
          </w:p>
        </w:tc>
        <w:tc>
          <w:tcPr>
            <w:tcW w:w="7088" w:type="dxa"/>
            <w:vAlign w:val="center"/>
          </w:tcPr>
          <w:p w14:paraId="4FB007FD"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Red Internacional de Competencia (</w:t>
            </w:r>
            <w:r w:rsidRPr="00931D46">
              <w:rPr>
                <w:rFonts w:ascii="Arial" w:hAnsi="Arial" w:cs="Arial"/>
                <w:i/>
              </w:rPr>
              <w:t>International Competition Network</w:t>
            </w:r>
            <w:r w:rsidRPr="00931D46">
              <w:rPr>
                <w:rFonts w:ascii="Arial" w:hAnsi="Arial" w:cs="Arial"/>
              </w:rPr>
              <w:t>, en inglés)</w:t>
            </w:r>
            <w:r w:rsidR="00465227" w:rsidRPr="00931D46">
              <w:rPr>
                <w:rFonts w:ascii="Arial" w:hAnsi="Arial" w:cs="Arial"/>
              </w:rPr>
              <w:t>.</w:t>
            </w:r>
          </w:p>
        </w:tc>
      </w:tr>
      <w:tr w:rsidR="00662093" w:rsidRPr="00931D46" w14:paraId="4D40B79E" w14:textId="77777777" w:rsidTr="00662093">
        <w:trPr>
          <w:trHeight w:val="301"/>
        </w:trPr>
        <w:tc>
          <w:tcPr>
            <w:tcW w:w="2410" w:type="dxa"/>
            <w:vAlign w:val="center"/>
          </w:tcPr>
          <w:p w14:paraId="46D2B791" w14:textId="77777777" w:rsidR="00662093" w:rsidRPr="00931D46" w:rsidRDefault="00662093" w:rsidP="0023353F">
            <w:pPr>
              <w:pStyle w:val="TablaTexto"/>
              <w:spacing w:line="276" w:lineRule="auto"/>
              <w:rPr>
                <w:rFonts w:ascii="Arial" w:hAnsi="Arial" w:cs="Arial"/>
              </w:rPr>
            </w:pPr>
            <w:r w:rsidRPr="00931D46">
              <w:rPr>
                <w:rFonts w:ascii="Arial" w:hAnsi="Arial" w:cs="Arial"/>
              </w:rPr>
              <w:t>Instituto</w:t>
            </w:r>
            <w:r w:rsidR="002C5106" w:rsidRPr="00931D46">
              <w:rPr>
                <w:rFonts w:ascii="Arial" w:hAnsi="Arial" w:cs="Arial"/>
              </w:rPr>
              <w:t xml:space="preserve"> / IFT</w:t>
            </w:r>
          </w:p>
        </w:tc>
        <w:tc>
          <w:tcPr>
            <w:tcW w:w="7088" w:type="dxa"/>
            <w:vAlign w:val="center"/>
          </w:tcPr>
          <w:p w14:paraId="1CD90926"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Instituto Federal de Telecomunicaciones.</w:t>
            </w:r>
          </w:p>
        </w:tc>
      </w:tr>
      <w:tr w:rsidR="00662093" w:rsidRPr="00931D46" w14:paraId="61E09319" w14:textId="77777777" w:rsidTr="00662093">
        <w:trPr>
          <w:trHeight w:val="301"/>
        </w:trPr>
        <w:tc>
          <w:tcPr>
            <w:tcW w:w="2410" w:type="dxa"/>
            <w:vAlign w:val="center"/>
          </w:tcPr>
          <w:p w14:paraId="46D106CF" w14:textId="77777777" w:rsidR="00662093" w:rsidRPr="00931D46" w:rsidRDefault="00662093" w:rsidP="0023353F">
            <w:pPr>
              <w:spacing w:line="276" w:lineRule="auto"/>
              <w:rPr>
                <w:rFonts w:ascii="Arial" w:hAnsi="Arial" w:cs="Arial"/>
                <w:lang w:val="en-US"/>
              </w:rPr>
            </w:pPr>
            <w:r w:rsidRPr="00931D46">
              <w:rPr>
                <w:rFonts w:ascii="Arial" w:hAnsi="Arial" w:cs="Arial"/>
                <w:lang w:val="en-US"/>
              </w:rPr>
              <w:t>LFCE</w:t>
            </w:r>
          </w:p>
        </w:tc>
        <w:tc>
          <w:tcPr>
            <w:tcW w:w="7088" w:type="dxa"/>
            <w:vAlign w:val="center"/>
          </w:tcPr>
          <w:p w14:paraId="5BFF07F1" w14:textId="77777777" w:rsidR="00662093" w:rsidRPr="00931D46" w:rsidRDefault="00662093" w:rsidP="0023353F">
            <w:pPr>
              <w:spacing w:line="276" w:lineRule="auto"/>
              <w:jc w:val="both"/>
              <w:rPr>
                <w:rFonts w:ascii="Arial" w:hAnsi="Arial" w:cs="Arial"/>
              </w:rPr>
            </w:pPr>
            <w:r w:rsidRPr="00931D46">
              <w:rPr>
                <w:rFonts w:ascii="Arial" w:hAnsi="Arial" w:cs="Arial"/>
              </w:rPr>
              <w:t>Ley Federal de Competencia Económica.</w:t>
            </w:r>
          </w:p>
        </w:tc>
      </w:tr>
      <w:tr w:rsidR="00662093" w:rsidRPr="00931D46" w14:paraId="2D53C4C6" w14:textId="77777777" w:rsidTr="00662093">
        <w:trPr>
          <w:trHeight w:val="301"/>
        </w:trPr>
        <w:tc>
          <w:tcPr>
            <w:tcW w:w="2410" w:type="dxa"/>
            <w:vAlign w:val="center"/>
          </w:tcPr>
          <w:p w14:paraId="7F780B28" w14:textId="77777777" w:rsidR="00662093" w:rsidRPr="00931D46" w:rsidRDefault="00662093" w:rsidP="0023353F">
            <w:pPr>
              <w:spacing w:line="276" w:lineRule="auto"/>
              <w:rPr>
                <w:rFonts w:ascii="Arial" w:hAnsi="Arial" w:cs="Arial"/>
                <w:lang w:val="en-US"/>
              </w:rPr>
            </w:pPr>
            <w:r w:rsidRPr="00931D46">
              <w:rPr>
                <w:rFonts w:ascii="Arial" w:hAnsi="Arial" w:cs="Arial"/>
                <w:lang w:val="en-US"/>
              </w:rPr>
              <w:t>LFTR</w:t>
            </w:r>
          </w:p>
        </w:tc>
        <w:tc>
          <w:tcPr>
            <w:tcW w:w="7088" w:type="dxa"/>
            <w:vAlign w:val="center"/>
          </w:tcPr>
          <w:p w14:paraId="3B50FF02" w14:textId="77777777" w:rsidR="00662093" w:rsidRPr="00931D46" w:rsidRDefault="00662093" w:rsidP="0023353F">
            <w:pPr>
              <w:spacing w:line="276" w:lineRule="auto"/>
              <w:jc w:val="both"/>
              <w:rPr>
                <w:rFonts w:ascii="Arial" w:hAnsi="Arial" w:cs="Arial"/>
              </w:rPr>
            </w:pPr>
            <w:r w:rsidRPr="00931D46">
              <w:rPr>
                <w:rFonts w:ascii="Arial" w:hAnsi="Arial" w:cs="Arial"/>
              </w:rPr>
              <w:t>Ley Federal de Telecomunicaciones y Radiodifusión.</w:t>
            </w:r>
          </w:p>
        </w:tc>
      </w:tr>
      <w:tr w:rsidR="00662093" w:rsidRPr="00931D46" w14:paraId="49B86675" w14:textId="77777777" w:rsidTr="00662093">
        <w:trPr>
          <w:trHeight w:val="301"/>
        </w:trPr>
        <w:tc>
          <w:tcPr>
            <w:tcW w:w="2410" w:type="dxa"/>
            <w:vAlign w:val="center"/>
          </w:tcPr>
          <w:p w14:paraId="01B099A1" w14:textId="77777777" w:rsidR="00662093" w:rsidRPr="00931D46" w:rsidRDefault="00662093" w:rsidP="0023353F">
            <w:pPr>
              <w:pStyle w:val="TablaTexto"/>
              <w:spacing w:line="276" w:lineRule="auto"/>
              <w:rPr>
                <w:rFonts w:ascii="Arial" w:hAnsi="Arial" w:cs="Arial"/>
              </w:rPr>
            </w:pPr>
            <w:r w:rsidRPr="00931D46">
              <w:rPr>
                <w:rFonts w:ascii="Arial" w:hAnsi="Arial" w:cs="Arial"/>
              </w:rPr>
              <w:t>MR</w:t>
            </w:r>
          </w:p>
        </w:tc>
        <w:tc>
          <w:tcPr>
            <w:tcW w:w="7088" w:type="dxa"/>
            <w:vAlign w:val="center"/>
          </w:tcPr>
          <w:p w14:paraId="6F0263B7"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Mercado Relevante.</w:t>
            </w:r>
          </w:p>
        </w:tc>
      </w:tr>
      <w:tr w:rsidR="00662093" w:rsidRPr="00931D46" w14:paraId="58A3E3D8" w14:textId="77777777" w:rsidTr="00662093">
        <w:trPr>
          <w:trHeight w:val="301"/>
        </w:trPr>
        <w:tc>
          <w:tcPr>
            <w:tcW w:w="2410" w:type="dxa"/>
            <w:vAlign w:val="center"/>
          </w:tcPr>
          <w:p w14:paraId="423F748A" w14:textId="77777777" w:rsidR="00662093" w:rsidRPr="00931D46" w:rsidRDefault="00662093" w:rsidP="0023353F">
            <w:pPr>
              <w:pStyle w:val="TablaTexto"/>
              <w:spacing w:line="276" w:lineRule="auto"/>
              <w:rPr>
                <w:rFonts w:ascii="Arial" w:hAnsi="Arial" w:cs="Arial"/>
              </w:rPr>
            </w:pPr>
            <w:r w:rsidRPr="00931D46">
              <w:rPr>
                <w:rFonts w:ascii="Arial" w:hAnsi="Arial" w:cs="Arial"/>
              </w:rPr>
              <w:t>OCDE</w:t>
            </w:r>
          </w:p>
        </w:tc>
        <w:tc>
          <w:tcPr>
            <w:tcW w:w="7088" w:type="dxa"/>
            <w:vAlign w:val="center"/>
          </w:tcPr>
          <w:p w14:paraId="1766AA67"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Organización para la Cooperación y el Desarrollo Económicos.</w:t>
            </w:r>
          </w:p>
        </w:tc>
      </w:tr>
      <w:tr w:rsidR="00C02B6B" w:rsidRPr="00931D46" w14:paraId="52C6393C" w14:textId="77777777" w:rsidTr="00662093">
        <w:trPr>
          <w:trHeight w:val="301"/>
        </w:trPr>
        <w:tc>
          <w:tcPr>
            <w:tcW w:w="2410" w:type="dxa"/>
            <w:vAlign w:val="center"/>
          </w:tcPr>
          <w:p w14:paraId="2268B8AD" w14:textId="77777777" w:rsidR="00C02B6B" w:rsidRPr="00931D46" w:rsidRDefault="00C02B6B" w:rsidP="0023353F">
            <w:pPr>
              <w:pStyle w:val="TablaTexto"/>
              <w:spacing w:line="276" w:lineRule="auto"/>
              <w:rPr>
                <w:rFonts w:ascii="Arial" w:hAnsi="Arial" w:cs="Arial"/>
              </w:rPr>
            </w:pPr>
            <w:r w:rsidRPr="00931D46">
              <w:rPr>
                <w:rFonts w:ascii="Arial" w:hAnsi="Arial" w:cs="Arial"/>
              </w:rPr>
              <w:t>Ofcom</w:t>
            </w:r>
          </w:p>
        </w:tc>
        <w:tc>
          <w:tcPr>
            <w:tcW w:w="7088" w:type="dxa"/>
            <w:vAlign w:val="center"/>
          </w:tcPr>
          <w:p w14:paraId="26818B35" w14:textId="77777777" w:rsidR="00C02B6B" w:rsidRPr="00931D46" w:rsidRDefault="00F86089" w:rsidP="0023353F">
            <w:pPr>
              <w:pStyle w:val="TablaTexto"/>
              <w:spacing w:line="276" w:lineRule="auto"/>
              <w:jc w:val="both"/>
              <w:rPr>
                <w:rFonts w:ascii="Arial" w:hAnsi="Arial" w:cs="Arial"/>
              </w:rPr>
            </w:pPr>
            <w:r w:rsidRPr="00931D46">
              <w:rPr>
                <w:rFonts w:ascii="Arial" w:hAnsi="Arial" w:cs="Arial"/>
              </w:rPr>
              <w:t xml:space="preserve">Regulador de telecomunicaciones </w:t>
            </w:r>
            <w:r w:rsidR="00C02B6B" w:rsidRPr="00931D46">
              <w:rPr>
                <w:rFonts w:ascii="Arial" w:hAnsi="Arial" w:cs="Arial"/>
              </w:rPr>
              <w:t>de Reino Unido</w:t>
            </w:r>
            <w:r w:rsidRPr="00931D46">
              <w:rPr>
                <w:rFonts w:ascii="Arial" w:hAnsi="Arial" w:cs="Arial"/>
              </w:rPr>
              <w:t xml:space="preserve"> (</w:t>
            </w:r>
            <w:r w:rsidRPr="00931D46">
              <w:rPr>
                <w:rFonts w:ascii="Arial" w:hAnsi="Arial" w:cs="Arial"/>
                <w:i/>
              </w:rPr>
              <w:t>Office of Communications</w:t>
            </w:r>
            <w:r w:rsidRPr="00931D46">
              <w:rPr>
                <w:rFonts w:ascii="Arial" w:hAnsi="Arial" w:cs="Arial"/>
              </w:rPr>
              <w:t>, en inglés)</w:t>
            </w:r>
            <w:r w:rsidR="00327FE2" w:rsidRPr="00931D46">
              <w:rPr>
                <w:rFonts w:ascii="Arial" w:hAnsi="Arial" w:cs="Arial"/>
              </w:rPr>
              <w:t>.</w:t>
            </w:r>
          </w:p>
        </w:tc>
      </w:tr>
      <w:tr w:rsidR="00662093" w:rsidRPr="00931D46" w14:paraId="29A4F073" w14:textId="77777777" w:rsidTr="00662093">
        <w:trPr>
          <w:trHeight w:val="301"/>
        </w:trPr>
        <w:tc>
          <w:tcPr>
            <w:tcW w:w="2410" w:type="dxa"/>
            <w:vAlign w:val="center"/>
          </w:tcPr>
          <w:p w14:paraId="198E897E" w14:textId="77777777" w:rsidR="00662093" w:rsidRPr="00931D46" w:rsidRDefault="00662093" w:rsidP="0023353F">
            <w:pPr>
              <w:spacing w:line="276" w:lineRule="auto"/>
              <w:rPr>
                <w:rFonts w:ascii="Arial" w:hAnsi="Arial" w:cs="Arial"/>
              </w:rPr>
            </w:pPr>
            <w:r w:rsidRPr="00931D46">
              <w:rPr>
                <w:rFonts w:ascii="Arial" w:hAnsi="Arial" w:cs="Arial"/>
              </w:rPr>
              <w:t>OFT</w:t>
            </w:r>
          </w:p>
        </w:tc>
        <w:tc>
          <w:tcPr>
            <w:tcW w:w="7088" w:type="dxa"/>
            <w:vAlign w:val="center"/>
          </w:tcPr>
          <w:p w14:paraId="0C3D6052" w14:textId="77777777" w:rsidR="00662093" w:rsidRPr="00931D46" w:rsidRDefault="00662093" w:rsidP="004F4CD8">
            <w:pPr>
              <w:pStyle w:val="TablaTexto"/>
              <w:spacing w:line="276" w:lineRule="auto"/>
              <w:jc w:val="both"/>
              <w:rPr>
                <w:rFonts w:ascii="Arial" w:hAnsi="Arial" w:cs="Arial"/>
              </w:rPr>
            </w:pPr>
            <w:r w:rsidRPr="00931D46">
              <w:rPr>
                <w:rFonts w:ascii="Arial" w:hAnsi="Arial" w:cs="Arial"/>
              </w:rPr>
              <w:t>Extinta Oficina de Comercio Justo de Reino Unido (</w:t>
            </w:r>
            <w:r w:rsidRPr="00931D46">
              <w:rPr>
                <w:rFonts w:ascii="Arial" w:hAnsi="Arial" w:cs="Arial"/>
                <w:i/>
              </w:rPr>
              <w:t>Office of Fair Trading</w:t>
            </w:r>
            <w:r w:rsidRPr="00931D46">
              <w:rPr>
                <w:rFonts w:ascii="Arial" w:hAnsi="Arial" w:cs="Arial"/>
              </w:rPr>
              <w:t>, en inglés)</w:t>
            </w:r>
            <w:r w:rsidR="004F4CD8" w:rsidRPr="00931D46">
              <w:rPr>
                <w:rFonts w:ascii="Arial" w:hAnsi="Arial" w:cs="Arial"/>
              </w:rPr>
              <w:t>, ahora CMA</w:t>
            </w:r>
            <w:r w:rsidRPr="00931D46">
              <w:rPr>
                <w:rFonts w:ascii="Arial" w:hAnsi="Arial" w:cs="Arial"/>
              </w:rPr>
              <w:t>.</w:t>
            </w:r>
          </w:p>
        </w:tc>
      </w:tr>
      <w:tr w:rsidR="00662093" w:rsidRPr="00931D46" w14:paraId="4E9EE1D6" w14:textId="77777777" w:rsidTr="00662093">
        <w:trPr>
          <w:trHeight w:val="301"/>
        </w:trPr>
        <w:tc>
          <w:tcPr>
            <w:tcW w:w="2410" w:type="dxa"/>
            <w:vAlign w:val="center"/>
          </w:tcPr>
          <w:p w14:paraId="37A92A45" w14:textId="77777777" w:rsidR="00662093" w:rsidRPr="00931D46" w:rsidRDefault="00662093" w:rsidP="0023353F">
            <w:pPr>
              <w:pStyle w:val="TablaTexto"/>
              <w:spacing w:line="276" w:lineRule="auto"/>
              <w:rPr>
                <w:rFonts w:ascii="Arial" w:hAnsi="Arial" w:cs="Arial"/>
              </w:rPr>
            </w:pPr>
            <w:r w:rsidRPr="00931D46">
              <w:rPr>
                <w:rFonts w:ascii="Arial" w:hAnsi="Arial" w:cs="Arial"/>
              </w:rPr>
              <w:t>OTT</w:t>
            </w:r>
          </w:p>
        </w:tc>
        <w:tc>
          <w:tcPr>
            <w:tcW w:w="7088" w:type="dxa"/>
            <w:vAlign w:val="center"/>
          </w:tcPr>
          <w:p w14:paraId="6FC75F46"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Servicios a través de internet (</w:t>
            </w:r>
            <w:r w:rsidRPr="00931D46">
              <w:rPr>
                <w:rFonts w:ascii="Arial" w:hAnsi="Arial" w:cs="Arial"/>
                <w:i/>
              </w:rPr>
              <w:t>Over The Top</w:t>
            </w:r>
            <w:r w:rsidRPr="00931D46">
              <w:rPr>
                <w:rFonts w:ascii="Arial" w:hAnsi="Arial" w:cs="Arial"/>
              </w:rPr>
              <w:t>, en inglés).</w:t>
            </w:r>
          </w:p>
        </w:tc>
      </w:tr>
      <w:tr w:rsidR="00662093" w:rsidRPr="00931D46" w14:paraId="69C80B6D" w14:textId="77777777" w:rsidTr="00662093">
        <w:trPr>
          <w:trHeight w:val="301"/>
        </w:trPr>
        <w:tc>
          <w:tcPr>
            <w:tcW w:w="2410" w:type="dxa"/>
            <w:vAlign w:val="center"/>
          </w:tcPr>
          <w:p w14:paraId="404AADAD" w14:textId="77777777" w:rsidR="00662093" w:rsidRPr="00931D46" w:rsidRDefault="00662093" w:rsidP="0023353F">
            <w:pPr>
              <w:pStyle w:val="TablaTexto"/>
              <w:spacing w:line="276" w:lineRule="auto"/>
              <w:rPr>
                <w:rFonts w:ascii="Arial" w:hAnsi="Arial" w:cs="Arial"/>
              </w:rPr>
            </w:pPr>
            <w:r w:rsidRPr="00931D46">
              <w:rPr>
                <w:rFonts w:ascii="Arial" w:hAnsi="Arial" w:cs="Arial"/>
              </w:rPr>
              <w:t>PJF</w:t>
            </w:r>
          </w:p>
        </w:tc>
        <w:tc>
          <w:tcPr>
            <w:tcW w:w="7088" w:type="dxa"/>
            <w:vAlign w:val="center"/>
          </w:tcPr>
          <w:p w14:paraId="0BF5A503"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Poder Judicial de la Federación.</w:t>
            </w:r>
          </w:p>
        </w:tc>
      </w:tr>
      <w:tr w:rsidR="00662093" w:rsidRPr="00931D46" w14:paraId="5BB73895" w14:textId="77777777" w:rsidTr="00662093">
        <w:trPr>
          <w:trHeight w:val="301"/>
        </w:trPr>
        <w:tc>
          <w:tcPr>
            <w:tcW w:w="2410" w:type="dxa"/>
            <w:vAlign w:val="center"/>
          </w:tcPr>
          <w:p w14:paraId="3A6B3C4D" w14:textId="77777777" w:rsidR="00662093" w:rsidRPr="00931D46" w:rsidRDefault="00662093" w:rsidP="0023353F">
            <w:pPr>
              <w:pStyle w:val="TablaTexto"/>
              <w:spacing w:line="276" w:lineRule="auto"/>
              <w:rPr>
                <w:rFonts w:ascii="Arial" w:hAnsi="Arial" w:cs="Arial"/>
              </w:rPr>
            </w:pPr>
            <w:r w:rsidRPr="00931D46">
              <w:rPr>
                <w:rFonts w:ascii="Arial" w:hAnsi="Arial" w:cs="Arial"/>
              </w:rPr>
              <w:t>PMR</w:t>
            </w:r>
          </w:p>
        </w:tc>
        <w:tc>
          <w:tcPr>
            <w:tcW w:w="7088" w:type="dxa"/>
            <w:vAlign w:val="center"/>
          </w:tcPr>
          <w:p w14:paraId="3EF5186F"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Práctica monopólica relativa.</w:t>
            </w:r>
          </w:p>
        </w:tc>
      </w:tr>
      <w:tr w:rsidR="00330363" w:rsidRPr="00931D46" w14:paraId="150838AB" w14:textId="77777777" w:rsidTr="00662093">
        <w:trPr>
          <w:trHeight w:val="301"/>
        </w:trPr>
        <w:tc>
          <w:tcPr>
            <w:tcW w:w="2410" w:type="dxa"/>
            <w:vAlign w:val="center"/>
          </w:tcPr>
          <w:p w14:paraId="6F86C6AF" w14:textId="556D2DE6" w:rsidR="00330363" w:rsidRPr="00931D46" w:rsidRDefault="00330363" w:rsidP="0023353F">
            <w:pPr>
              <w:pStyle w:val="TablaTexto"/>
              <w:spacing w:line="276" w:lineRule="auto"/>
              <w:rPr>
                <w:rFonts w:ascii="Arial" w:hAnsi="Arial" w:cs="Arial"/>
              </w:rPr>
            </w:pPr>
            <w:r>
              <w:rPr>
                <w:rFonts w:ascii="Arial" w:hAnsi="Arial" w:cs="Arial"/>
              </w:rPr>
              <w:t>Producto</w:t>
            </w:r>
          </w:p>
        </w:tc>
        <w:tc>
          <w:tcPr>
            <w:tcW w:w="7088" w:type="dxa"/>
            <w:vAlign w:val="center"/>
          </w:tcPr>
          <w:p w14:paraId="20812229" w14:textId="2BD9EF3F" w:rsidR="00330363" w:rsidRPr="00931D46" w:rsidRDefault="00330363" w:rsidP="0023353F">
            <w:pPr>
              <w:pStyle w:val="TablaTexto"/>
              <w:spacing w:line="276" w:lineRule="auto"/>
              <w:rPr>
                <w:rFonts w:ascii="Arial" w:hAnsi="Arial" w:cs="Arial"/>
              </w:rPr>
            </w:pPr>
            <w:r w:rsidRPr="00D03166">
              <w:rPr>
                <w:rFonts w:ascii="Arial" w:hAnsi="Arial" w:cs="Arial"/>
              </w:rPr>
              <w:t>Se refiere</w:t>
            </w:r>
            <w:r>
              <w:rPr>
                <w:rFonts w:ascii="Arial" w:hAnsi="Arial" w:cs="Arial"/>
              </w:rPr>
              <w:t>, indistintamente,</w:t>
            </w:r>
            <w:r w:rsidRPr="00D03166">
              <w:rPr>
                <w:rFonts w:ascii="Arial" w:hAnsi="Arial" w:cs="Arial"/>
              </w:rPr>
              <w:t xml:space="preserve"> a bien</w:t>
            </w:r>
            <w:r>
              <w:rPr>
                <w:rFonts w:ascii="Arial" w:hAnsi="Arial" w:cs="Arial"/>
              </w:rPr>
              <w:t>(</w:t>
            </w:r>
            <w:r w:rsidRPr="00D03166">
              <w:rPr>
                <w:rFonts w:ascii="Arial" w:hAnsi="Arial" w:cs="Arial"/>
              </w:rPr>
              <w:t>es</w:t>
            </w:r>
            <w:r>
              <w:rPr>
                <w:rFonts w:ascii="Arial" w:hAnsi="Arial" w:cs="Arial"/>
              </w:rPr>
              <w:t>)</w:t>
            </w:r>
            <w:r w:rsidRPr="00D03166">
              <w:rPr>
                <w:rFonts w:ascii="Arial" w:hAnsi="Arial" w:cs="Arial"/>
              </w:rPr>
              <w:t xml:space="preserve"> o servicio</w:t>
            </w:r>
            <w:r>
              <w:rPr>
                <w:rFonts w:ascii="Arial" w:hAnsi="Arial" w:cs="Arial"/>
              </w:rPr>
              <w:t>(</w:t>
            </w:r>
            <w:r w:rsidRPr="00D03166">
              <w:rPr>
                <w:rFonts w:ascii="Arial" w:hAnsi="Arial" w:cs="Arial"/>
              </w:rPr>
              <w:t>s</w:t>
            </w:r>
            <w:r>
              <w:rPr>
                <w:rFonts w:ascii="Arial" w:hAnsi="Arial" w:cs="Arial"/>
              </w:rPr>
              <w:t>)</w:t>
            </w:r>
            <w:r w:rsidRPr="00D03166">
              <w:rPr>
                <w:rFonts w:ascii="Arial" w:hAnsi="Arial" w:cs="Arial"/>
              </w:rPr>
              <w:t>.</w:t>
            </w:r>
          </w:p>
        </w:tc>
      </w:tr>
      <w:tr w:rsidR="00A40DE6" w:rsidRPr="0009443F" w14:paraId="7AB68C61" w14:textId="77777777" w:rsidTr="00662093">
        <w:trPr>
          <w:trHeight w:val="301"/>
        </w:trPr>
        <w:tc>
          <w:tcPr>
            <w:tcW w:w="2410" w:type="dxa"/>
            <w:vAlign w:val="center"/>
          </w:tcPr>
          <w:p w14:paraId="1F02994D" w14:textId="77777777" w:rsidR="00A40DE6" w:rsidRPr="00931D46" w:rsidRDefault="00A40DE6" w:rsidP="0023353F">
            <w:pPr>
              <w:pStyle w:val="TablaTexto"/>
              <w:spacing w:line="276" w:lineRule="auto"/>
              <w:rPr>
                <w:rFonts w:ascii="Arial" w:hAnsi="Arial" w:cs="Arial"/>
              </w:rPr>
            </w:pPr>
            <w:r w:rsidRPr="00931D46">
              <w:rPr>
                <w:rFonts w:ascii="Arial" w:hAnsi="Arial" w:cs="Arial"/>
              </w:rPr>
              <w:t>Prueba SSNIP</w:t>
            </w:r>
          </w:p>
        </w:tc>
        <w:tc>
          <w:tcPr>
            <w:tcW w:w="7088" w:type="dxa"/>
            <w:vAlign w:val="center"/>
          </w:tcPr>
          <w:p w14:paraId="41BFEB66" w14:textId="77777777" w:rsidR="00A40DE6" w:rsidRPr="00931D46" w:rsidRDefault="00F86089" w:rsidP="0023353F">
            <w:pPr>
              <w:pStyle w:val="TablaTexto"/>
              <w:spacing w:line="276" w:lineRule="auto"/>
              <w:jc w:val="both"/>
              <w:rPr>
                <w:rFonts w:ascii="Arial" w:hAnsi="Arial" w:cs="Arial"/>
                <w:lang w:val="en-US"/>
              </w:rPr>
            </w:pPr>
            <w:r w:rsidRPr="00931D46">
              <w:rPr>
                <w:rFonts w:ascii="Arial" w:hAnsi="Arial" w:cs="Arial"/>
                <w:lang w:val="en-US"/>
              </w:rPr>
              <w:t>Prueba del monopolista hipotético (</w:t>
            </w:r>
            <w:r w:rsidRPr="00931D46">
              <w:rPr>
                <w:rFonts w:ascii="Arial" w:hAnsi="Arial" w:cs="Arial"/>
                <w:i/>
                <w:lang w:val="en-US"/>
              </w:rPr>
              <w:t>Small but Significant Non-Transitory Increase in Price Test</w:t>
            </w:r>
            <w:r w:rsidRPr="00931D46">
              <w:rPr>
                <w:rFonts w:ascii="Arial" w:hAnsi="Arial" w:cs="Arial"/>
                <w:lang w:val="en-US"/>
              </w:rPr>
              <w:t>,</w:t>
            </w:r>
            <w:r w:rsidR="008C3528" w:rsidRPr="00931D46">
              <w:rPr>
                <w:rFonts w:ascii="Arial" w:hAnsi="Arial" w:cs="Arial"/>
                <w:lang w:val="en-US"/>
              </w:rPr>
              <w:t xml:space="preserve"> </w:t>
            </w:r>
            <w:r w:rsidRPr="00931D46">
              <w:rPr>
                <w:rFonts w:ascii="Arial" w:hAnsi="Arial" w:cs="Arial"/>
                <w:lang w:val="en-US"/>
              </w:rPr>
              <w:t>en inglés)</w:t>
            </w:r>
            <w:r w:rsidR="00327FE2" w:rsidRPr="00931D46">
              <w:rPr>
                <w:rFonts w:ascii="Arial" w:hAnsi="Arial" w:cs="Arial"/>
                <w:lang w:val="en-US"/>
              </w:rPr>
              <w:t>.</w:t>
            </w:r>
          </w:p>
        </w:tc>
      </w:tr>
      <w:tr w:rsidR="00662093" w:rsidRPr="00931D46" w14:paraId="6AB94933" w14:textId="77777777" w:rsidTr="00662093">
        <w:trPr>
          <w:trHeight w:val="301"/>
        </w:trPr>
        <w:tc>
          <w:tcPr>
            <w:tcW w:w="2410" w:type="dxa"/>
            <w:vAlign w:val="center"/>
          </w:tcPr>
          <w:p w14:paraId="48346DC2" w14:textId="77777777" w:rsidR="00662093" w:rsidRPr="00931D46" w:rsidRDefault="00662093" w:rsidP="0023353F">
            <w:pPr>
              <w:pStyle w:val="TablaTexto"/>
              <w:spacing w:line="276" w:lineRule="auto"/>
              <w:rPr>
                <w:rFonts w:ascii="Arial" w:hAnsi="Arial" w:cs="Arial"/>
              </w:rPr>
            </w:pPr>
            <w:r w:rsidRPr="00931D46">
              <w:rPr>
                <w:rFonts w:ascii="Arial" w:hAnsi="Arial" w:cs="Arial"/>
              </w:rPr>
              <w:t>PSM</w:t>
            </w:r>
          </w:p>
        </w:tc>
        <w:tc>
          <w:tcPr>
            <w:tcW w:w="7088" w:type="dxa"/>
            <w:vAlign w:val="center"/>
          </w:tcPr>
          <w:p w14:paraId="1E638385"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Poder sustancial de mercado.</w:t>
            </w:r>
          </w:p>
        </w:tc>
      </w:tr>
      <w:tr w:rsidR="00C87F08" w:rsidRPr="00931D46" w14:paraId="45C38BF9" w14:textId="77777777" w:rsidTr="00662093">
        <w:trPr>
          <w:trHeight w:val="301"/>
        </w:trPr>
        <w:tc>
          <w:tcPr>
            <w:tcW w:w="2410" w:type="dxa"/>
            <w:vAlign w:val="center"/>
          </w:tcPr>
          <w:p w14:paraId="613A1918" w14:textId="77777777" w:rsidR="00C87F08" w:rsidRPr="00931D46" w:rsidRDefault="00C87F08" w:rsidP="0023353F">
            <w:pPr>
              <w:pStyle w:val="TablaTexto"/>
              <w:spacing w:line="276" w:lineRule="auto"/>
              <w:rPr>
                <w:rFonts w:ascii="Arial" w:hAnsi="Arial" w:cs="Arial"/>
              </w:rPr>
            </w:pPr>
            <w:r w:rsidRPr="00931D46">
              <w:rPr>
                <w:rFonts w:ascii="Arial" w:hAnsi="Arial" w:cs="Arial"/>
              </w:rPr>
              <w:t>Radio Sonora</w:t>
            </w:r>
          </w:p>
        </w:tc>
        <w:tc>
          <w:tcPr>
            <w:tcW w:w="7088" w:type="dxa"/>
            <w:vAlign w:val="center"/>
          </w:tcPr>
          <w:p w14:paraId="0CE19952" w14:textId="77777777" w:rsidR="00C87F08" w:rsidRPr="00931D46" w:rsidRDefault="00C87F08" w:rsidP="000276AF">
            <w:pPr>
              <w:autoSpaceDE w:val="0"/>
              <w:autoSpaceDN w:val="0"/>
              <w:adjustRightInd w:val="0"/>
              <w:spacing w:line="276" w:lineRule="auto"/>
              <w:jc w:val="both"/>
              <w:rPr>
                <w:rFonts w:ascii="Arial" w:hAnsi="Arial" w:cs="Arial"/>
              </w:rPr>
            </w:pPr>
            <w:r w:rsidRPr="00931D46">
              <w:rPr>
                <w:rFonts w:ascii="Arial" w:hAnsi="Arial" w:cs="Arial"/>
              </w:rPr>
              <w:t xml:space="preserve">Servicio </w:t>
            </w:r>
            <w:r w:rsidR="000276AF" w:rsidRPr="00931D46">
              <w:rPr>
                <w:rFonts w:ascii="Arial" w:hAnsi="Arial" w:cs="Arial"/>
              </w:rPr>
              <w:t>de radiodifusión sonora</w:t>
            </w:r>
            <w:r w:rsidRPr="00931D46">
              <w:rPr>
                <w:rFonts w:ascii="Arial" w:hAnsi="Arial" w:cs="Arial"/>
              </w:rPr>
              <w:t>.</w:t>
            </w:r>
          </w:p>
        </w:tc>
      </w:tr>
      <w:tr w:rsidR="008C3528" w:rsidRPr="00931D46" w14:paraId="2645E5F9" w14:textId="77777777" w:rsidTr="00662093">
        <w:trPr>
          <w:trHeight w:val="301"/>
        </w:trPr>
        <w:tc>
          <w:tcPr>
            <w:tcW w:w="2410" w:type="dxa"/>
            <w:vAlign w:val="center"/>
          </w:tcPr>
          <w:p w14:paraId="79DD973C" w14:textId="77777777" w:rsidR="008C3528" w:rsidRPr="00931D46" w:rsidRDefault="008C3528" w:rsidP="0023353F">
            <w:pPr>
              <w:pStyle w:val="TablaTexto"/>
              <w:spacing w:line="276" w:lineRule="auto"/>
              <w:rPr>
                <w:rFonts w:ascii="Arial" w:hAnsi="Arial" w:cs="Arial"/>
              </w:rPr>
            </w:pPr>
            <w:r w:rsidRPr="00931D46">
              <w:rPr>
                <w:rFonts w:ascii="Arial" w:hAnsi="Arial" w:cs="Arial"/>
              </w:rPr>
              <w:t>RPT</w:t>
            </w:r>
          </w:p>
        </w:tc>
        <w:tc>
          <w:tcPr>
            <w:tcW w:w="7088" w:type="dxa"/>
            <w:vAlign w:val="center"/>
          </w:tcPr>
          <w:p w14:paraId="44FFD973" w14:textId="77777777" w:rsidR="008C3528" w:rsidRPr="00931D46" w:rsidRDefault="008C3528" w:rsidP="0023353F">
            <w:pPr>
              <w:autoSpaceDE w:val="0"/>
              <w:autoSpaceDN w:val="0"/>
              <w:adjustRightInd w:val="0"/>
              <w:spacing w:line="276" w:lineRule="auto"/>
              <w:jc w:val="both"/>
              <w:rPr>
                <w:rFonts w:ascii="Arial" w:hAnsi="Arial" w:cs="Arial"/>
              </w:rPr>
            </w:pPr>
            <w:r w:rsidRPr="00931D46">
              <w:rPr>
                <w:rFonts w:ascii="Arial" w:hAnsi="Arial" w:cs="Arial"/>
              </w:rPr>
              <w:t>Red Pública de Telecomunicaciones.</w:t>
            </w:r>
          </w:p>
        </w:tc>
      </w:tr>
      <w:tr w:rsidR="005A7C4B" w:rsidRPr="00931D46" w14:paraId="3094D41E" w14:textId="77777777" w:rsidTr="00662093">
        <w:trPr>
          <w:trHeight w:val="301"/>
        </w:trPr>
        <w:tc>
          <w:tcPr>
            <w:tcW w:w="2410" w:type="dxa"/>
            <w:vAlign w:val="center"/>
          </w:tcPr>
          <w:p w14:paraId="62944916" w14:textId="77777777" w:rsidR="005A7C4B" w:rsidRPr="00931D46" w:rsidRDefault="005A7C4B" w:rsidP="0023353F">
            <w:pPr>
              <w:pStyle w:val="TablaTexto"/>
              <w:spacing w:line="276" w:lineRule="auto"/>
              <w:rPr>
                <w:rFonts w:ascii="Arial" w:hAnsi="Arial" w:cs="Arial"/>
              </w:rPr>
            </w:pPr>
            <w:r w:rsidRPr="00931D46">
              <w:rPr>
                <w:rFonts w:ascii="Arial" w:hAnsi="Arial" w:cs="Arial"/>
              </w:rPr>
              <w:t>RTR</w:t>
            </w:r>
          </w:p>
        </w:tc>
        <w:tc>
          <w:tcPr>
            <w:tcW w:w="7088" w:type="dxa"/>
            <w:vAlign w:val="center"/>
          </w:tcPr>
          <w:p w14:paraId="6DC4C3B4" w14:textId="77777777" w:rsidR="005A7C4B" w:rsidRPr="00931D46" w:rsidRDefault="005A7C4B" w:rsidP="00E62416">
            <w:pPr>
              <w:autoSpaceDE w:val="0"/>
              <w:autoSpaceDN w:val="0"/>
              <w:adjustRightInd w:val="0"/>
              <w:jc w:val="both"/>
              <w:rPr>
                <w:rFonts w:ascii="Arial" w:hAnsi="Arial" w:cs="Arial"/>
              </w:rPr>
            </w:pPr>
            <w:r w:rsidRPr="00931D46">
              <w:rPr>
                <w:rFonts w:ascii="Arial" w:hAnsi="Arial" w:cs="Arial"/>
              </w:rPr>
              <w:t>Autoridad Reguladora Austriaca de Radiodifusión y Telecomunicaciones (</w:t>
            </w:r>
            <w:r w:rsidRPr="00931D46">
              <w:rPr>
                <w:rFonts w:ascii="Arial" w:hAnsi="Arial" w:cs="Arial"/>
                <w:i/>
              </w:rPr>
              <w:t>Austrian Regulatory Authority for Broadcasting and Telecommunications</w:t>
            </w:r>
            <w:r w:rsidRPr="00931D46">
              <w:rPr>
                <w:rFonts w:ascii="Arial" w:hAnsi="Arial" w:cs="Arial"/>
              </w:rPr>
              <w:t xml:space="preserve">, en </w:t>
            </w:r>
            <w:r w:rsidR="00E62416" w:rsidRPr="00931D46">
              <w:rPr>
                <w:rFonts w:ascii="Arial" w:hAnsi="Arial" w:cs="Arial"/>
              </w:rPr>
              <w:t>inglé</w:t>
            </w:r>
            <w:r w:rsidRPr="00931D46">
              <w:rPr>
                <w:rFonts w:ascii="Arial" w:hAnsi="Arial" w:cs="Arial"/>
              </w:rPr>
              <w:t>s)</w:t>
            </w:r>
            <w:r w:rsidR="00E62416" w:rsidRPr="00931D46">
              <w:rPr>
                <w:rFonts w:ascii="Arial" w:hAnsi="Arial" w:cs="Arial"/>
              </w:rPr>
              <w:t>.</w:t>
            </w:r>
          </w:p>
        </w:tc>
      </w:tr>
      <w:tr w:rsidR="00970DAF" w:rsidRPr="00931D46" w14:paraId="10E39BE2" w14:textId="77777777" w:rsidTr="00662093">
        <w:trPr>
          <w:trHeight w:val="301"/>
        </w:trPr>
        <w:tc>
          <w:tcPr>
            <w:tcW w:w="2410" w:type="dxa"/>
            <w:vAlign w:val="center"/>
          </w:tcPr>
          <w:p w14:paraId="589A42F6" w14:textId="77777777" w:rsidR="00970DAF" w:rsidRPr="00931D46" w:rsidRDefault="00970DAF" w:rsidP="0023353F">
            <w:pPr>
              <w:pStyle w:val="TablaTexto"/>
              <w:spacing w:line="276" w:lineRule="auto"/>
              <w:rPr>
                <w:rFonts w:ascii="Arial" w:hAnsi="Arial" w:cs="Arial"/>
              </w:rPr>
            </w:pPr>
            <w:r w:rsidRPr="00931D46">
              <w:rPr>
                <w:rFonts w:ascii="Arial" w:hAnsi="Arial" w:cs="Arial"/>
              </w:rPr>
              <w:t>SBAF</w:t>
            </w:r>
          </w:p>
        </w:tc>
        <w:tc>
          <w:tcPr>
            <w:tcW w:w="7088" w:type="dxa"/>
            <w:vAlign w:val="center"/>
          </w:tcPr>
          <w:p w14:paraId="3107BCD2" w14:textId="77777777" w:rsidR="00970DAF" w:rsidRPr="00931D46" w:rsidRDefault="00970DAF" w:rsidP="007B05C7">
            <w:pPr>
              <w:autoSpaceDE w:val="0"/>
              <w:autoSpaceDN w:val="0"/>
              <w:adjustRightInd w:val="0"/>
              <w:spacing w:line="276" w:lineRule="auto"/>
              <w:jc w:val="both"/>
              <w:rPr>
                <w:rFonts w:ascii="Arial" w:hAnsi="Arial" w:cs="Arial"/>
              </w:rPr>
            </w:pPr>
            <w:r w:rsidRPr="00931D46">
              <w:rPr>
                <w:rFonts w:ascii="Arial" w:hAnsi="Arial" w:cs="Arial"/>
              </w:rPr>
              <w:t xml:space="preserve">Servicio de acceso a Internet </w:t>
            </w:r>
            <w:r w:rsidR="009021F2" w:rsidRPr="00931D46">
              <w:rPr>
                <w:rFonts w:ascii="Arial" w:hAnsi="Arial" w:cs="Arial"/>
              </w:rPr>
              <w:t>de Banda Ancha F</w:t>
            </w:r>
            <w:r w:rsidRPr="00931D46">
              <w:rPr>
                <w:rFonts w:ascii="Arial" w:hAnsi="Arial" w:cs="Arial"/>
              </w:rPr>
              <w:t>ij</w:t>
            </w:r>
            <w:r w:rsidR="007B05C7" w:rsidRPr="00931D46">
              <w:rPr>
                <w:rFonts w:ascii="Arial" w:hAnsi="Arial" w:cs="Arial"/>
              </w:rPr>
              <w:t>a</w:t>
            </w:r>
            <w:r w:rsidR="00EB3D37" w:rsidRPr="00931D46">
              <w:rPr>
                <w:rFonts w:ascii="Arial" w:hAnsi="Arial" w:cs="Arial"/>
              </w:rPr>
              <w:t>.</w:t>
            </w:r>
          </w:p>
        </w:tc>
      </w:tr>
      <w:tr w:rsidR="00662093" w:rsidRPr="00931D46" w14:paraId="7C6AB429" w14:textId="77777777" w:rsidTr="00662093">
        <w:trPr>
          <w:trHeight w:val="301"/>
        </w:trPr>
        <w:tc>
          <w:tcPr>
            <w:tcW w:w="2410" w:type="dxa"/>
            <w:vAlign w:val="center"/>
          </w:tcPr>
          <w:p w14:paraId="06DFED8B" w14:textId="77777777" w:rsidR="00662093" w:rsidRPr="00931D46" w:rsidRDefault="00662093" w:rsidP="0023353F">
            <w:pPr>
              <w:spacing w:line="276" w:lineRule="auto"/>
              <w:rPr>
                <w:rFonts w:ascii="Arial" w:hAnsi="Arial" w:cs="Arial"/>
              </w:rPr>
            </w:pPr>
            <w:r w:rsidRPr="00931D46">
              <w:rPr>
                <w:rFonts w:ascii="Arial" w:hAnsi="Arial" w:cs="Arial"/>
              </w:rPr>
              <w:t>SCJN</w:t>
            </w:r>
          </w:p>
        </w:tc>
        <w:tc>
          <w:tcPr>
            <w:tcW w:w="7088" w:type="dxa"/>
            <w:vAlign w:val="center"/>
          </w:tcPr>
          <w:p w14:paraId="57A8A910" w14:textId="77777777" w:rsidR="00662093" w:rsidRPr="00931D46" w:rsidRDefault="00662093" w:rsidP="0023353F">
            <w:pPr>
              <w:spacing w:line="276" w:lineRule="auto"/>
              <w:jc w:val="both"/>
              <w:rPr>
                <w:rFonts w:ascii="Arial" w:hAnsi="Arial" w:cs="Arial"/>
              </w:rPr>
            </w:pPr>
            <w:r w:rsidRPr="00931D46">
              <w:rPr>
                <w:rFonts w:ascii="Arial" w:hAnsi="Arial" w:cs="Arial"/>
              </w:rPr>
              <w:t>Suprema Corte de Justicia de la Nación.</w:t>
            </w:r>
          </w:p>
        </w:tc>
      </w:tr>
      <w:tr w:rsidR="00662093" w:rsidRPr="00931D46" w14:paraId="4941A4B4" w14:textId="77777777" w:rsidTr="00662093">
        <w:trPr>
          <w:trHeight w:val="301"/>
        </w:trPr>
        <w:tc>
          <w:tcPr>
            <w:tcW w:w="2410" w:type="dxa"/>
            <w:vAlign w:val="center"/>
          </w:tcPr>
          <w:p w14:paraId="248E7192" w14:textId="77777777" w:rsidR="00662093" w:rsidRPr="00931D46" w:rsidRDefault="00662093" w:rsidP="0023353F">
            <w:pPr>
              <w:spacing w:line="276" w:lineRule="auto"/>
              <w:rPr>
                <w:rFonts w:ascii="Arial" w:hAnsi="Arial" w:cs="Arial"/>
              </w:rPr>
            </w:pPr>
            <w:r w:rsidRPr="00931D46">
              <w:rPr>
                <w:rFonts w:ascii="Arial" w:hAnsi="Arial" w:cs="Arial"/>
              </w:rPr>
              <w:t>Sky México</w:t>
            </w:r>
          </w:p>
        </w:tc>
        <w:tc>
          <w:tcPr>
            <w:tcW w:w="7088" w:type="dxa"/>
            <w:vAlign w:val="center"/>
          </w:tcPr>
          <w:p w14:paraId="07A7BE71" w14:textId="77777777" w:rsidR="00662093" w:rsidRPr="00931D46" w:rsidRDefault="00662093" w:rsidP="0023353F">
            <w:pPr>
              <w:spacing w:line="276" w:lineRule="auto"/>
              <w:jc w:val="both"/>
              <w:rPr>
                <w:rFonts w:ascii="Arial" w:hAnsi="Arial" w:cs="Arial"/>
              </w:rPr>
            </w:pPr>
            <w:r w:rsidRPr="00931D46">
              <w:rPr>
                <w:rFonts w:ascii="Arial" w:hAnsi="Arial" w:cs="Arial"/>
              </w:rPr>
              <w:t xml:space="preserve">Corporación de Radio y Televisión del Norte de México, S. de R.L. de C.V. e </w:t>
            </w:r>
            <w:r w:rsidRPr="00931D46" w:rsidDel="00E95A86">
              <w:rPr>
                <w:rFonts w:ascii="Arial" w:hAnsi="Arial" w:cs="Arial"/>
              </w:rPr>
              <w:t>lnnova, S. de R. L. de C.V.</w:t>
            </w:r>
          </w:p>
        </w:tc>
      </w:tr>
      <w:tr w:rsidR="00662093" w:rsidRPr="00931D46" w14:paraId="2330040C" w14:textId="77777777" w:rsidTr="00662093">
        <w:trPr>
          <w:trHeight w:val="301"/>
        </w:trPr>
        <w:tc>
          <w:tcPr>
            <w:tcW w:w="2410" w:type="dxa"/>
            <w:vAlign w:val="center"/>
          </w:tcPr>
          <w:p w14:paraId="76587B4F" w14:textId="77777777" w:rsidR="00662093" w:rsidRPr="00931D46" w:rsidRDefault="00662093" w:rsidP="0023353F">
            <w:pPr>
              <w:pStyle w:val="TablaTexto"/>
              <w:spacing w:line="276" w:lineRule="auto"/>
              <w:rPr>
                <w:rFonts w:ascii="Arial" w:hAnsi="Arial" w:cs="Arial"/>
              </w:rPr>
            </w:pPr>
            <w:r w:rsidRPr="00931D46">
              <w:rPr>
                <w:rFonts w:ascii="Arial" w:hAnsi="Arial" w:cs="Arial"/>
              </w:rPr>
              <w:t>STAR</w:t>
            </w:r>
          </w:p>
        </w:tc>
        <w:tc>
          <w:tcPr>
            <w:tcW w:w="7088" w:type="dxa"/>
            <w:vAlign w:val="center"/>
          </w:tcPr>
          <w:p w14:paraId="3B7F7172" w14:textId="77777777" w:rsidR="00662093" w:rsidRPr="00931D46" w:rsidRDefault="00662093" w:rsidP="0023353F">
            <w:pPr>
              <w:pStyle w:val="TablaTexto"/>
              <w:spacing w:line="276" w:lineRule="auto"/>
              <w:jc w:val="both"/>
              <w:rPr>
                <w:rFonts w:ascii="Arial" w:hAnsi="Arial" w:cs="Arial"/>
              </w:rPr>
            </w:pPr>
            <w:r w:rsidRPr="00931D46">
              <w:rPr>
                <w:rFonts w:ascii="Arial" w:hAnsi="Arial" w:cs="Arial"/>
              </w:rPr>
              <w:t>Servicio de Televisión y Audio Restringidos.</w:t>
            </w:r>
          </w:p>
        </w:tc>
      </w:tr>
      <w:tr w:rsidR="008C3528" w:rsidRPr="00931D46" w14:paraId="4FC385F5" w14:textId="77777777" w:rsidTr="00662093">
        <w:trPr>
          <w:trHeight w:val="301"/>
        </w:trPr>
        <w:tc>
          <w:tcPr>
            <w:tcW w:w="2410" w:type="dxa"/>
            <w:vAlign w:val="center"/>
          </w:tcPr>
          <w:p w14:paraId="04180DD7" w14:textId="77777777" w:rsidR="008C3528" w:rsidRPr="00931D46" w:rsidRDefault="008C3528" w:rsidP="0023353F">
            <w:pPr>
              <w:pStyle w:val="TablaTexto"/>
              <w:spacing w:line="276" w:lineRule="auto"/>
              <w:rPr>
                <w:rFonts w:ascii="Arial" w:hAnsi="Arial" w:cs="Arial"/>
              </w:rPr>
            </w:pPr>
            <w:r w:rsidRPr="00931D46">
              <w:rPr>
                <w:rFonts w:ascii="Arial" w:hAnsi="Arial" w:cs="Arial"/>
              </w:rPr>
              <w:t>STF</w:t>
            </w:r>
          </w:p>
        </w:tc>
        <w:tc>
          <w:tcPr>
            <w:tcW w:w="7088" w:type="dxa"/>
            <w:vAlign w:val="center"/>
          </w:tcPr>
          <w:p w14:paraId="29D79D8A" w14:textId="77777777" w:rsidR="008C3528" w:rsidRPr="00931D46" w:rsidRDefault="008C3528" w:rsidP="00773DF3">
            <w:pPr>
              <w:pStyle w:val="TablaTexto"/>
              <w:spacing w:line="276" w:lineRule="auto"/>
              <w:jc w:val="both"/>
              <w:rPr>
                <w:rFonts w:ascii="Arial" w:hAnsi="Arial" w:cs="Arial"/>
              </w:rPr>
            </w:pPr>
            <w:r w:rsidRPr="00931D46">
              <w:rPr>
                <w:rFonts w:ascii="Arial" w:hAnsi="Arial" w:cs="Arial"/>
              </w:rPr>
              <w:t>Servicio de Telefonía Fija.</w:t>
            </w:r>
          </w:p>
        </w:tc>
      </w:tr>
      <w:tr w:rsidR="00C87F08" w:rsidRPr="00931D46" w14:paraId="72AA8AA7" w14:textId="77777777" w:rsidTr="00662093">
        <w:trPr>
          <w:trHeight w:val="301"/>
        </w:trPr>
        <w:tc>
          <w:tcPr>
            <w:tcW w:w="2410" w:type="dxa"/>
            <w:vAlign w:val="center"/>
          </w:tcPr>
          <w:p w14:paraId="1AF6E524" w14:textId="77777777" w:rsidR="00C87F08" w:rsidRPr="00931D46" w:rsidRDefault="00C87F08" w:rsidP="0023353F">
            <w:pPr>
              <w:pStyle w:val="TablaTexto"/>
              <w:spacing w:line="276" w:lineRule="auto"/>
              <w:jc w:val="both"/>
              <w:rPr>
                <w:rFonts w:ascii="Arial" w:hAnsi="Arial" w:cs="Arial"/>
              </w:rPr>
            </w:pPr>
            <w:r w:rsidRPr="00931D46">
              <w:rPr>
                <w:rFonts w:ascii="Arial" w:hAnsi="Arial" w:cs="Arial"/>
              </w:rPr>
              <w:t>TV Abierta</w:t>
            </w:r>
          </w:p>
        </w:tc>
        <w:tc>
          <w:tcPr>
            <w:tcW w:w="7088" w:type="dxa"/>
            <w:vAlign w:val="center"/>
          </w:tcPr>
          <w:p w14:paraId="0CC16774" w14:textId="77777777" w:rsidR="00C87F08" w:rsidRPr="00931D46" w:rsidRDefault="00C87F08" w:rsidP="000276AF">
            <w:pPr>
              <w:pStyle w:val="TablaTexto"/>
              <w:jc w:val="both"/>
              <w:rPr>
                <w:rFonts w:ascii="Arial" w:hAnsi="Arial" w:cs="Arial"/>
              </w:rPr>
            </w:pPr>
            <w:r w:rsidRPr="00931D46">
              <w:rPr>
                <w:rFonts w:ascii="Arial" w:hAnsi="Arial" w:cs="Arial"/>
              </w:rPr>
              <w:t xml:space="preserve">Servicio </w:t>
            </w:r>
            <w:r w:rsidR="000276AF" w:rsidRPr="00931D46">
              <w:rPr>
                <w:rFonts w:ascii="Arial" w:hAnsi="Arial" w:cs="Arial"/>
              </w:rPr>
              <w:t>de televisión radiodifundida.</w:t>
            </w:r>
          </w:p>
        </w:tc>
      </w:tr>
      <w:tr w:rsidR="00C87F08" w:rsidRPr="00931D46" w14:paraId="6C2929DB" w14:textId="77777777" w:rsidTr="00662093">
        <w:trPr>
          <w:trHeight w:val="301"/>
        </w:trPr>
        <w:tc>
          <w:tcPr>
            <w:tcW w:w="2410" w:type="dxa"/>
            <w:vAlign w:val="center"/>
          </w:tcPr>
          <w:p w14:paraId="13962DBE" w14:textId="77777777" w:rsidR="00C87F08" w:rsidRPr="00931D46" w:rsidRDefault="00C87F08" w:rsidP="0023353F">
            <w:pPr>
              <w:pStyle w:val="TablaTexto"/>
              <w:spacing w:line="276" w:lineRule="auto"/>
              <w:rPr>
                <w:rFonts w:ascii="Arial" w:hAnsi="Arial" w:cs="Arial"/>
              </w:rPr>
            </w:pPr>
            <w:r w:rsidRPr="00931D46">
              <w:rPr>
                <w:rFonts w:ascii="Arial" w:hAnsi="Arial" w:cs="Arial"/>
              </w:rPr>
              <w:t>TyR</w:t>
            </w:r>
          </w:p>
        </w:tc>
        <w:tc>
          <w:tcPr>
            <w:tcW w:w="7088" w:type="dxa"/>
            <w:vAlign w:val="center"/>
          </w:tcPr>
          <w:p w14:paraId="03659C48" w14:textId="77777777" w:rsidR="00C87F08" w:rsidRPr="00931D46" w:rsidRDefault="00C87F08" w:rsidP="0023353F">
            <w:pPr>
              <w:pStyle w:val="TablaTexto"/>
              <w:spacing w:line="276" w:lineRule="auto"/>
              <w:jc w:val="both"/>
              <w:rPr>
                <w:rFonts w:ascii="Arial" w:hAnsi="Arial" w:cs="Arial"/>
              </w:rPr>
            </w:pPr>
            <w:r w:rsidRPr="00931D46">
              <w:rPr>
                <w:rFonts w:ascii="Arial" w:hAnsi="Arial" w:cs="Arial"/>
              </w:rPr>
              <w:t>Telecomunicaciones y Radiodifusión.</w:t>
            </w:r>
          </w:p>
        </w:tc>
      </w:tr>
      <w:tr w:rsidR="00C87F08" w:rsidRPr="00931D46" w14:paraId="0DEF6C40" w14:textId="77777777" w:rsidTr="00662093">
        <w:trPr>
          <w:trHeight w:val="301"/>
        </w:trPr>
        <w:tc>
          <w:tcPr>
            <w:tcW w:w="2410" w:type="dxa"/>
            <w:vAlign w:val="center"/>
          </w:tcPr>
          <w:p w14:paraId="02379D24" w14:textId="77777777" w:rsidR="00C87F08" w:rsidRPr="00931D46" w:rsidRDefault="00C87F08" w:rsidP="0023353F">
            <w:pPr>
              <w:spacing w:line="276" w:lineRule="auto"/>
              <w:rPr>
                <w:rFonts w:ascii="Arial" w:hAnsi="Arial" w:cs="Arial"/>
              </w:rPr>
            </w:pPr>
            <w:r w:rsidRPr="00931D46">
              <w:rPr>
                <w:rFonts w:ascii="Arial" w:hAnsi="Arial" w:cs="Arial"/>
              </w:rPr>
              <w:t>UCE</w:t>
            </w:r>
          </w:p>
        </w:tc>
        <w:tc>
          <w:tcPr>
            <w:tcW w:w="7088" w:type="dxa"/>
            <w:vAlign w:val="center"/>
          </w:tcPr>
          <w:p w14:paraId="2A9414D1" w14:textId="77777777" w:rsidR="00C87F08" w:rsidRPr="00931D46" w:rsidRDefault="00C87F08" w:rsidP="0023353F">
            <w:pPr>
              <w:spacing w:line="276" w:lineRule="auto"/>
              <w:jc w:val="both"/>
              <w:rPr>
                <w:rFonts w:ascii="Arial" w:hAnsi="Arial" w:cs="Arial"/>
              </w:rPr>
            </w:pPr>
            <w:r w:rsidRPr="00931D46">
              <w:rPr>
                <w:rFonts w:ascii="Arial" w:hAnsi="Arial" w:cs="Arial"/>
              </w:rPr>
              <w:t>Unidad de Competencia Económica</w:t>
            </w:r>
            <w:r w:rsidR="008C3528" w:rsidRPr="00931D46">
              <w:rPr>
                <w:rFonts w:ascii="Arial" w:hAnsi="Arial" w:cs="Arial"/>
              </w:rPr>
              <w:t xml:space="preserve"> del Instituto.</w:t>
            </w:r>
          </w:p>
        </w:tc>
      </w:tr>
      <w:tr w:rsidR="00C87F08" w:rsidRPr="00931D46" w14:paraId="0DAB2768" w14:textId="77777777" w:rsidTr="00662093">
        <w:trPr>
          <w:trHeight w:val="301"/>
        </w:trPr>
        <w:tc>
          <w:tcPr>
            <w:tcW w:w="2410" w:type="dxa"/>
            <w:vAlign w:val="center"/>
          </w:tcPr>
          <w:p w14:paraId="4E430D9F" w14:textId="77777777" w:rsidR="00C87F08" w:rsidRPr="00931D46" w:rsidRDefault="00C87F08" w:rsidP="0023353F">
            <w:pPr>
              <w:pStyle w:val="TablaTexto"/>
              <w:spacing w:line="276" w:lineRule="auto"/>
              <w:jc w:val="both"/>
              <w:rPr>
                <w:rFonts w:ascii="Arial" w:hAnsi="Arial" w:cs="Arial"/>
              </w:rPr>
            </w:pPr>
            <w:r w:rsidRPr="00931D46">
              <w:rPr>
                <w:rFonts w:ascii="Arial" w:hAnsi="Arial" w:cs="Arial"/>
              </w:rPr>
              <w:t>UIT</w:t>
            </w:r>
          </w:p>
        </w:tc>
        <w:tc>
          <w:tcPr>
            <w:tcW w:w="7088" w:type="dxa"/>
            <w:vAlign w:val="center"/>
          </w:tcPr>
          <w:p w14:paraId="7D6E5B22" w14:textId="77777777" w:rsidR="00C87F08" w:rsidRPr="00931D46" w:rsidRDefault="00C87F08" w:rsidP="0023353F">
            <w:pPr>
              <w:pStyle w:val="TablaTexto"/>
              <w:spacing w:line="276" w:lineRule="auto"/>
              <w:jc w:val="both"/>
              <w:rPr>
                <w:rFonts w:ascii="Arial" w:hAnsi="Arial" w:cs="Arial"/>
              </w:rPr>
            </w:pPr>
            <w:r w:rsidRPr="00931D46">
              <w:rPr>
                <w:rFonts w:ascii="Arial" w:hAnsi="Arial" w:cs="Arial"/>
              </w:rPr>
              <w:t>Unión Internacional de Telecomunicaciones (</w:t>
            </w:r>
            <w:r w:rsidRPr="00931D46">
              <w:rPr>
                <w:rFonts w:ascii="Arial" w:hAnsi="Arial" w:cs="Arial"/>
                <w:i/>
              </w:rPr>
              <w:t>International Telecommunications Union</w:t>
            </w:r>
            <w:r w:rsidRPr="00931D46">
              <w:rPr>
                <w:rFonts w:ascii="Arial" w:hAnsi="Arial" w:cs="Arial"/>
              </w:rPr>
              <w:t>, en inglés).</w:t>
            </w:r>
          </w:p>
        </w:tc>
      </w:tr>
    </w:tbl>
    <w:p w14:paraId="7A138497" w14:textId="77777777" w:rsidR="003E256E" w:rsidRPr="00931D46" w:rsidRDefault="003E256E" w:rsidP="0023353F">
      <w:pPr>
        <w:spacing w:before="0" w:after="0"/>
        <w:rPr>
          <w:rFonts w:ascii="Arial" w:eastAsia="Times New Roman" w:hAnsi="Arial" w:cs="Arial"/>
          <w:bCs/>
          <w:kern w:val="1"/>
          <w:lang w:eastAsia="ar-SA"/>
        </w:rPr>
      </w:pPr>
    </w:p>
    <w:p w14:paraId="59D27D74" w14:textId="77777777" w:rsidR="0091373E" w:rsidRPr="00931D46" w:rsidRDefault="0091373E" w:rsidP="0023353F">
      <w:pPr>
        <w:pStyle w:val="Ttulo1"/>
        <w:keepLines w:val="0"/>
        <w:numPr>
          <w:ilvl w:val="0"/>
          <w:numId w:val="3"/>
        </w:numPr>
        <w:spacing w:before="0"/>
        <w:rPr>
          <w:rFonts w:ascii="Arial" w:hAnsi="Arial" w:cs="Arial"/>
          <w:b/>
          <w:color w:val="auto"/>
          <w:sz w:val="26"/>
          <w:szCs w:val="26"/>
        </w:rPr>
      </w:pPr>
      <w:bookmarkStart w:id="17" w:name="_Toc41649747"/>
      <w:bookmarkStart w:id="18" w:name="_Toc41649888"/>
      <w:bookmarkStart w:id="19" w:name="_Toc45216567"/>
      <w:bookmarkStart w:id="20" w:name="_Toc45628312"/>
      <w:bookmarkStart w:id="21" w:name="_Toc74306761"/>
      <w:bookmarkStart w:id="22" w:name="_Toc74323817"/>
      <w:r w:rsidRPr="00931D46">
        <w:rPr>
          <w:rFonts w:ascii="Arial" w:hAnsi="Arial" w:cs="Arial"/>
          <w:b/>
          <w:color w:val="auto"/>
          <w:sz w:val="26"/>
          <w:szCs w:val="26"/>
        </w:rPr>
        <w:t>Introducción</w:t>
      </w:r>
      <w:bookmarkEnd w:id="17"/>
      <w:bookmarkEnd w:id="18"/>
      <w:bookmarkEnd w:id="19"/>
      <w:bookmarkEnd w:id="20"/>
      <w:bookmarkEnd w:id="21"/>
      <w:bookmarkEnd w:id="22"/>
    </w:p>
    <w:p w14:paraId="7B23BADB" w14:textId="77777777" w:rsidR="0091373E" w:rsidRPr="00931D46" w:rsidRDefault="0091373E" w:rsidP="00A65E7A">
      <w:pPr>
        <w:keepNext/>
        <w:spacing w:before="0" w:after="0"/>
        <w:rPr>
          <w:rFonts w:ascii="Arial" w:eastAsia="Times New Roman" w:hAnsi="Arial" w:cs="Arial"/>
          <w:bCs/>
          <w:kern w:val="1"/>
          <w:lang w:eastAsia="ar-SA"/>
        </w:rPr>
      </w:pPr>
    </w:p>
    <w:p w14:paraId="24C45D18" w14:textId="5102D8E8" w:rsidR="002F3B50" w:rsidRPr="00931D46" w:rsidRDefault="002F3B50" w:rsidP="00A65E7A">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La determinación de MR es fundamental en </w:t>
      </w:r>
      <w:r w:rsidR="006102EF" w:rsidRPr="00931D46">
        <w:rPr>
          <w:rFonts w:ascii="Arial" w:eastAsia="Times New Roman" w:hAnsi="Arial" w:cs="Arial"/>
          <w:bCs/>
          <w:kern w:val="1"/>
          <w:lang w:eastAsia="ar-SA"/>
        </w:rPr>
        <w:t>el</w:t>
      </w:r>
      <w:r w:rsidRPr="00931D46">
        <w:rPr>
          <w:rFonts w:ascii="Arial" w:eastAsia="Times New Roman" w:hAnsi="Arial" w:cs="Arial"/>
          <w:bCs/>
          <w:kern w:val="1"/>
          <w:lang w:eastAsia="ar-SA"/>
        </w:rPr>
        <w:t xml:space="preserve"> análisis de competencia económica, pues en </w:t>
      </w:r>
      <w:r w:rsidR="00FF4C3A" w:rsidRPr="00931D46">
        <w:rPr>
          <w:rFonts w:ascii="Arial" w:eastAsia="Times New Roman" w:hAnsi="Arial" w:cs="Arial"/>
          <w:bCs/>
          <w:kern w:val="1"/>
          <w:lang w:eastAsia="ar-SA"/>
        </w:rPr>
        <w:t>dicha</w:t>
      </w:r>
      <w:r w:rsidRPr="00931D46">
        <w:rPr>
          <w:rFonts w:ascii="Arial" w:eastAsia="Times New Roman" w:hAnsi="Arial" w:cs="Arial"/>
          <w:bCs/>
          <w:kern w:val="1"/>
          <w:lang w:eastAsia="ar-SA"/>
        </w:rPr>
        <w:t xml:space="preserve"> delimitación se evalúan </w:t>
      </w:r>
      <w:r w:rsidR="005154C6" w:rsidRPr="00931D46">
        <w:rPr>
          <w:rFonts w:ascii="Arial" w:eastAsia="Times New Roman" w:hAnsi="Arial" w:cs="Arial"/>
          <w:bCs/>
          <w:kern w:val="1"/>
          <w:lang w:eastAsia="ar-SA"/>
        </w:rPr>
        <w:t>el objeto y/o</w:t>
      </w:r>
      <w:r w:rsidR="0036434B" w:rsidRPr="00931D46">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los efectos de una </w:t>
      </w:r>
      <w:r w:rsidR="001F0932" w:rsidRPr="00931D46">
        <w:rPr>
          <w:rFonts w:ascii="Arial" w:eastAsia="Times New Roman" w:hAnsi="Arial" w:cs="Arial"/>
          <w:bCs/>
          <w:kern w:val="1"/>
          <w:lang w:eastAsia="ar-SA"/>
        </w:rPr>
        <w:t>conducta</w:t>
      </w:r>
      <w:r w:rsidRPr="00931D46">
        <w:rPr>
          <w:rFonts w:ascii="Arial" w:eastAsia="Times New Roman" w:hAnsi="Arial" w:cs="Arial"/>
          <w:bCs/>
          <w:kern w:val="1"/>
          <w:lang w:eastAsia="ar-SA"/>
        </w:rPr>
        <w:t xml:space="preserve"> </w:t>
      </w:r>
      <w:r w:rsidR="00D74FDA" w:rsidRPr="00931D46">
        <w:rPr>
          <w:rFonts w:ascii="Arial" w:eastAsia="Times New Roman" w:hAnsi="Arial" w:cs="Arial"/>
          <w:bCs/>
          <w:kern w:val="1"/>
          <w:lang w:eastAsia="ar-SA"/>
        </w:rPr>
        <w:t xml:space="preserve">u </w:t>
      </w:r>
      <w:r w:rsidRPr="00931D46">
        <w:rPr>
          <w:rFonts w:ascii="Arial" w:eastAsia="Times New Roman" w:hAnsi="Arial" w:cs="Arial"/>
          <w:bCs/>
          <w:kern w:val="1"/>
          <w:lang w:eastAsia="ar-SA"/>
        </w:rPr>
        <w:t>operación</w:t>
      </w:r>
      <w:r w:rsidR="006372B7" w:rsidRPr="00931D46">
        <w:rPr>
          <w:rFonts w:ascii="Arial" w:eastAsia="Times New Roman" w:hAnsi="Arial" w:cs="Arial"/>
          <w:bCs/>
          <w:kern w:val="1"/>
          <w:lang w:eastAsia="ar-SA"/>
        </w:rPr>
        <w:t xml:space="preserve"> y</w:t>
      </w:r>
      <w:r w:rsidR="00FF1061" w:rsidRPr="00931D46">
        <w:rPr>
          <w:rFonts w:ascii="Arial" w:eastAsia="Times New Roman" w:hAnsi="Arial" w:cs="Arial"/>
          <w:bCs/>
          <w:kern w:val="1"/>
          <w:lang w:eastAsia="ar-SA"/>
        </w:rPr>
        <w:t xml:space="preserve"> </w:t>
      </w:r>
      <w:r w:rsidR="00D74FDA" w:rsidRPr="00931D46">
        <w:rPr>
          <w:rFonts w:ascii="Arial" w:eastAsia="Times New Roman" w:hAnsi="Arial" w:cs="Arial"/>
          <w:bCs/>
          <w:kern w:val="1"/>
          <w:lang w:eastAsia="ar-SA"/>
        </w:rPr>
        <w:t>se determina la presencia de</w:t>
      </w:r>
      <w:r w:rsidR="001F0932" w:rsidRPr="00931D46">
        <w:rPr>
          <w:rFonts w:ascii="Arial" w:eastAsia="Times New Roman" w:hAnsi="Arial" w:cs="Arial"/>
          <w:bCs/>
          <w:kern w:val="1"/>
          <w:lang w:eastAsia="ar-SA"/>
        </w:rPr>
        <w:t xml:space="preserve"> </w:t>
      </w:r>
      <w:r w:rsidR="00FF1061" w:rsidRPr="00931D46">
        <w:rPr>
          <w:rFonts w:ascii="Arial" w:eastAsia="Times New Roman" w:hAnsi="Arial" w:cs="Arial"/>
          <w:bCs/>
          <w:kern w:val="1"/>
          <w:lang w:eastAsia="ar-SA"/>
        </w:rPr>
        <w:t xml:space="preserve">condiciones de competencia </w:t>
      </w:r>
      <w:r w:rsidR="00D74FDA" w:rsidRPr="00931D46">
        <w:rPr>
          <w:rFonts w:ascii="Arial" w:eastAsia="Times New Roman" w:hAnsi="Arial" w:cs="Arial"/>
          <w:bCs/>
          <w:kern w:val="1"/>
          <w:lang w:eastAsia="ar-SA"/>
        </w:rPr>
        <w:t xml:space="preserve">efectiva </w:t>
      </w:r>
      <w:r w:rsidR="00FF1061" w:rsidRPr="00931D46">
        <w:rPr>
          <w:rFonts w:ascii="Arial" w:eastAsia="Times New Roman" w:hAnsi="Arial" w:cs="Arial"/>
          <w:bCs/>
          <w:kern w:val="1"/>
          <w:lang w:eastAsia="ar-SA"/>
        </w:rPr>
        <w:t>y libre concurrencia</w:t>
      </w:r>
      <w:r w:rsidRPr="00931D46">
        <w:rPr>
          <w:rFonts w:ascii="Arial" w:eastAsia="Times New Roman" w:hAnsi="Arial" w:cs="Arial"/>
          <w:bCs/>
          <w:kern w:val="1"/>
          <w:lang w:eastAsia="ar-SA"/>
        </w:rPr>
        <w:t>. Por ejemplo</w:t>
      </w:r>
      <w:r w:rsidR="003919C7">
        <w:rPr>
          <w:rFonts w:ascii="Arial" w:eastAsia="Times New Roman" w:hAnsi="Arial" w:cs="Arial"/>
          <w:bCs/>
          <w:kern w:val="1"/>
          <w:lang w:eastAsia="ar-SA"/>
        </w:rPr>
        <w:t>:</w:t>
      </w:r>
      <w:r w:rsidRPr="00931D46">
        <w:rPr>
          <w:rFonts w:ascii="Arial" w:eastAsia="Times New Roman" w:hAnsi="Arial" w:cs="Arial"/>
          <w:bCs/>
          <w:kern w:val="1"/>
          <w:lang w:eastAsia="ar-SA"/>
        </w:rPr>
        <w:t xml:space="preserve"> </w:t>
      </w:r>
    </w:p>
    <w:p w14:paraId="1C342D2D" w14:textId="77777777" w:rsidR="007572C4" w:rsidRPr="00931D46" w:rsidRDefault="007572C4" w:rsidP="00A65E7A">
      <w:pPr>
        <w:spacing w:before="0" w:after="0"/>
        <w:rPr>
          <w:rFonts w:ascii="Arial" w:eastAsia="Times New Roman" w:hAnsi="Arial" w:cs="Arial"/>
          <w:bCs/>
          <w:kern w:val="1"/>
          <w:lang w:eastAsia="ar-SA"/>
        </w:rPr>
      </w:pPr>
    </w:p>
    <w:p w14:paraId="18B5C774" w14:textId="48130DB8" w:rsidR="002F3B50" w:rsidRPr="00931D46" w:rsidRDefault="002F3B50"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931D46">
        <w:rPr>
          <w:rFonts w:ascii="Arial" w:eastAsia="Times New Roman" w:hAnsi="Arial" w:cs="Arial"/>
          <w:bCs/>
          <w:kern w:val="1"/>
          <w:lang w:eastAsia="ar-SA"/>
        </w:rPr>
        <w:t xml:space="preserve">El artículo 54 de la LFCE señala que las prácticas monopólicas relativas son cometidas por </w:t>
      </w:r>
      <w:r w:rsidR="00BF15D6" w:rsidRPr="00931D46">
        <w:rPr>
          <w:rFonts w:ascii="Arial" w:eastAsia="Times New Roman" w:hAnsi="Arial" w:cs="Arial"/>
          <w:bCs/>
          <w:kern w:val="1"/>
          <w:lang w:eastAsia="ar-SA"/>
        </w:rPr>
        <w:t>un</w:t>
      </w:r>
      <w:r w:rsidR="008F38AF">
        <w:rPr>
          <w:rFonts w:ascii="Arial" w:eastAsia="Times New Roman" w:hAnsi="Arial" w:cs="Arial"/>
          <w:bCs/>
          <w:kern w:val="1"/>
          <w:lang w:eastAsia="ar-SA"/>
        </w:rPr>
        <w:t>o o más</w:t>
      </w:r>
      <w:r w:rsidR="00BF15D6" w:rsidRPr="00931D46">
        <w:rPr>
          <w:rFonts w:ascii="Arial" w:eastAsia="Times New Roman" w:hAnsi="Arial" w:cs="Arial"/>
          <w:bCs/>
          <w:kern w:val="1"/>
          <w:lang w:eastAsia="ar-SA"/>
        </w:rPr>
        <w:t xml:space="preserve"> </w:t>
      </w:r>
      <w:r w:rsidRPr="00931D46">
        <w:rPr>
          <w:rFonts w:ascii="Arial" w:eastAsia="Times New Roman" w:hAnsi="Arial" w:cs="Arial"/>
          <w:bCs/>
          <w:kern w:val="1"/>
          <w:lang w:eastAsia="ar-SA"/>
        </w:rPr>
        <w:t>AE que individual o conjuntamente tenga</w:t>
      </w:r>
      <w:r w:rsidR="008F38AF">
        <w:rPr>
          <w:rFonts w:ascii="Arial" w:eastAsia="Times New Roman" w:hAnsi="Arial" w:cs="Arial"/>
          <w:bCs/>
          <w:kern w:val="1"/>
          <w:lang w:eastAsia="ar-SA"/>
        </w:rPr>
        <w:t>n</w:t>
      </w:r>
      <w:r w:rsidRPr="00931D46">
        <w:rPr>
          <w:rFonts w:ascii="Arial" w:eastAsia="Times New Roman" w:hAnsi="Arial" w:cs="Arial"/>
          <w:bCs/>
          <w:kern w:val="1"/>
          <w:lang w:eastAsia="ar-SA"/>
        </w:rPr>
        <w:t xml:space="preserve"> poder sustancial en el</w:t>
      </w:r>
      <w:r w:rsidR="008F38AF">
        <w:rPr>
          <w:rFonts w:ascii="Arial" w:eastAsia="Times New Roman" w:hAnsi="Arial" w:cs="Arial"/>
          <w:bCs/>
          <w:kern w:val="1"/>
          <w:lang w:eastAsia="ar-SA"/>
        </w:rPr>
        <w:t xml:space="preserve"> mismo</w:t>
      </w:r>
      <w:r w:rsidRPr="00931D46">
        <w:rPr>
          <w:rFonts w:ascii="Arial" w:eastAsia="Times New Roman" w:hAnsi="Arial" w:cs="Arial"/>
          <w:bCs/>
          <w:kern w:val="1"/>
          <w:lang w:eastAsia="ar-SA"/>
        </w:rPr>
        <w:t xml:space="preserve"> </w:t>
      </w:r>
      <w:r w:rsidRPr="00931D46">
        <w:rPr>
          <w:rFonts w:ascii="Arial" w:eastAsia="Times New Roman" w:hAnsi="Arial" w:cs="Arial"/>
          <w:b/>
          <w:bCs/>
          <w:kern w:val="1"/>
          <w:lang w:eastAsia="ar-SA"/>
        </w:rPr>
        <w:t>mercado relevante</w:t>
      </w:r>
      <w:r w:rsidRPr="00931D46">
        <w:rPr>
          <w:rFonts w:ascii="Arial" w:eastAsia="Times New Roman" w:hAnsi="Arial" w:cs="Arial"/>
          <w:bCs/>
          <w:kern w:val="1"/>
          <w:lang w:eastAsia="ar-SA"/>
        </w:rPr>
        <w:t xml:space="preserve"> en que se realiza la práctica,</w:t>
      </w:r>
    </w:p>
    <w:p w14:paraId="10B17826" w14:textId="77777777" w:rsidR="00475664" w:rsidRPr="00931D46" w:rsidRDefault="002F3B50"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931D46">
        <w:rPr>
          <w:rFonts w:ascii="Arial" w:eastAsia="Times New Roman" w:hAnsi="Arial" w:cs="Arial"/>
          <w:bCs/>
          <w:kern w:val="1"/>
          <w:lang w:eastAsia="ar-SA"/>
        </w:rPr>
        <w:t xml:space="preserve">El artículo 59 de la LFCE establece los elementos que deben considerarse para determinar si uno o más AE tienen poder sustancial en el </w:t>
      </w:r>
      <w:r w:rsidRPr="00931D46">
        <w:rPr>
          <w:rFonts w:ascii="Arial" w:eastAsia="Times New Roman" w:hAnsi="Arial" w:cs="Arial"/>
          <w:b/>
          <w:bCs/>
          <w:kern w:val="1"/>
          <w:lang w:eastAsia="ar-SA"/>
        </w:rPr>
        <w:t>mercado relevante</w:t>
      </w:r>
      <w:r w:rsidRPr="00931D46">
        <w:rPr>
          <w:rFonts w:ascii="Arial" w:eastAsia="Times New Roman" w:hAnsi="Arial" w:cs="Arial"/>
          <w:bCs/>
          <w:kern w:val="1"/>
          <w:lang w:eastAsia="ar-SA"/>
        </w:rPr>
        <w:t>, o bien, para resolver sobre condiciones de competencia, competencia efectiva</w:t>
      </w:r>
      <w:r w:rsidR="00FF1061" w:rsidRPr="00931D46">
        <w:rPr>
          <w:rFonts w:ascii="Arial" w:eastAsia="Times New Roman" w:hAnsi="Arial" w:cs="Arial"/>
          <w:bCs/>
          <w:kern w:val="1"/>
          <w:lang w:eastAsia="ar-SA"/>
        </w:rPr>
        <w:t xml:space="preserve"> y</w:t>
      </w:r>
      <w:r w:rsidRPr="00931D46">
        <w:rPr>
          <w:rFonts w:ascii="Arial" w:eastAsia="Times New Roman" w:hAnsi="Arial" w:cs="Arial"/>
          <w:bCs/>
          <w:kern w:val="1"/>
          <w:lang w:eastAsia="ar-SA"/>
        </w:rPr>
        <w:t xml:space="preserve"> existencia de poder sustancial en el </w:t>
      </w:r>
      <w:r w:rsidRPr="00931D46">
        <w:rPr>
          <w:rFonts w:ascii="Arial" w:eastAsia="Times New Roman" w:hAnsi="Arial" w:cs="Arial"/>
          <w:b/>
          <w:bCs/>
          <w:kern w:val="1"/>
          <w:lang w:eastAsia="ar-SA"/>
        </w:rPr>
        <w:t>mercado relevante</w:t>
      </w:r>
      <w:r w:rsidR="00FF1061" w:rsidRPr="00931D46">
        <w:rPr>
          <w:rFonts w:ascii="Arial" w:eastAsia="Times New Roman" w:hAnsi="Arial" w:cs="Arial"/>
          <w:bCs/>
          <w:kern w:val="1"/>
          <w:lang w:eastAsia="ar-SA"/>
        </w:rPr>
        <w:t>,</w:t>
      </w:r>
    </w:p>
    <w:p w14:paraId="035AF677" w14:textId="29742392" w:rsidR="00FF1061" w:rsidRPr="00D33EAD" w:rsidRDefault="00FF1061"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931D46">
        <w:rPr>
          <w:rFonts w:ascii="Arial" w:eastAsia="Times New Roman" w:hAnsi="Arial" w:cs="Arial"/>
          <w:bCs/>
          <w:kern w:val="1"/>
          <w:lang w:eastAsia="ar-SA"/>
        </w:rPr>
        <w:t xml:space="preserve">El artículo 63 de la LFCE </w:t>
      </w:r>
      <w:r w:rsidR="00CE3272" w:rsidRPr="00931D46">
        <w:rPr>
          <w:rFonts w:ascii="Arial" w:eastAsia="Times New Roman" w:hAnsi="Arial" w:cs="Arial"/>
          <w:bCs/>
          <w:kern w:val="1"/>
          <w:lang w:eastAsia="ar-SA"/>
        </w:rPr>
        <w:t xml:space="preserve">indica </w:t>
      </w:r>
      <w:r w:rsidRPr="00931D46">
        <w:rPr>
          <w:rFonts w:ascii="Arial" w:eastAsia="Times New Roman" w:hAnsi="Arial" w:cs="Arial"/>
          <w:bCs/>
          <w:kern w:val="1"/>
          <w:lang w:eastAsia="ar-SA"/>
        </w:rPr>
        <w:t>que en la evaluación de concentraciones deberá</w:t>
      </w:r>
      <w:r w:rsidR="003919C7">
        <w:rPr>
          <w:rFonts w:ascii="Arial" w:eastAsia="Times New Roman" w:hAnsi="Arial" w:cs="Arial"/>
          <w:bCs/>
          <w:kern w:val="1"/>
          <w:lang w:eastAsia="ar-SA"/>
        </w:rPr>
        <w:t>n</w:t>
      </w:r>
      <w:r w:rsidRPr="00931D46">
        <w:rPr>
          <w:rFonts w:ascii="Arial" w:eastAsia="Times New Roman" w:hAnsi="Arial" w:cs="Arial"/>
          <w:bCs/>
          <w:kern w:val="1"/>
          <w:lang w:eastAsia="ar-SA"/>
        </w:rPr>
        <w:t xml:space="preserve"> </w:t>
      </w:r>
      <w:r w:rsidRPr="00D33EAD">
        <w:rPr>
          <w:rFonts w:ascii="Arial" w:eastAsia="Times New Roman" w:hAnsi="Arial" w:cs="Arial"/>
          <w:bCs/>
          <w:kern w:val="1"/>
          <w:lang w:eastAsia="ar-SA"/>
        </w:rPr>
        <w:t xml:space="preserve">considerarse sus efectos en el </w:t>
      </w:r>
      <w:r w:rsidRPr="00D33EAD">
        <w:rPr>
          <w:rFonts w:ascii="Arial" w:eastAsia="Times New Roman" w:hAnsi="Arial" w:cs="Arial"/>
          <w:b/>
          <w:bCs/>
          <w:kern w:val="1"/>
          <w:lang w:eastAsia="ar-SA"/>
        </w:rPr>
        <w:t>mercado relevante</w:t>
      </w:r>
      <w:r w:rsidRPr="00D33EAD">
        <w:rPr>
          <w:rFonts w:ascii="Arial" w:eastAsia="Times New Roman" w:hAnsi="Arial" w:cs="Arial"/>
          <w:bCs/>
          <w:kern w:val="1"/>
          <w:lang w:eastAsia="ar-SA"/>
        </w:rPr>
        <w:t>,</w:t>
      </w:r>
    </w:p>
    <w:p w14:paraId="53ADF099" w14:textId="5FC3368E" w:rsidR="00FF1061" w:rsidRDefault="00FF1061"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D33EAD">
        <w:rPr>
          <w:rFonts w:ascii="Arial" w:eastAsia="Times New Roman" w:hAnsi="Arial" w:cs="Arial"/>
          <w:bCs/>
          <w:kern w:val="1"/>
          <w:lang w:eastAsia="ar-SA"/>
        </w:rPr>
        <w:t>El artículo 64 de la LFCE señala</w:t>
      </w:r>
      <w:r w:rsidR="00076E07" w:rsidRPr="00D33EAD">
        <w:rPr>
          <w:rFonts w:ascii="Arial" w:eastAsia="Times New Roman" w:hAnsi="Arial" w:cs="Arial"/>
          <w:bCs/>
          <w:kern w:val="1"/>
          <w:lang w:eastAsia="ar-SA"/>
        </w:rPr>
        <w:t>,</w:t>
      </w:r>
      <w:r w:rsidRPr="00D33EAD">
        <w:rPr>
          <w:rFonts w:ascii="Arial" w:eastAsia="Times New Roman" w:hAnsi="Arial" w:cs="Arial"/>
          <w:bCs/>
          <w:kern w:val="1"/>
          <w:lang w:eastAsia="ar-SA"/>
        </w:rPr>
        <w:t xml:space="preserve"> como un indicio de una concentración ilícita</w:t>
      </w:r>
      <w:r w:rsidR="00076E07" w:rsidRPr="00D33EAD">
        <w:rPr>
          <w:rFonts w:ascii="Arial" w:eastAsia="Times New Roman" w:hAnsi="Arial" w:cs="Arial"/>
          <w:bCs/>
          <w:kern w:val="1"/>
          <w:lang w:eastAsia="ar-SA"/>
        </w:rPr>
        <w:t>,</w:t>
      </w:r>
      <w:r w:rsidRPr="00D33EAD">
        <w:rPr>
          <w:rFonts w:ascii="Arial" w:eastAsia="Times New Roman" w:hAnsi="Arial" w:cs="Arial"/>
          <w:bCs/>
          <w:kern w:val="1"/>
          <w:lang w:eastAsia="ar-SA"/>
        </w:rPr>
        <w:t xml:space="preserve"> que ésta o la tentativa de la misma tenga o pueda tener por objeto o efecto establecer barreras a la entrada o impedir a terceros el acceso al </w:t>
      </w:r>
      <w:r w:rsidRPr="00D33EAD">
        <w:rPr>
          <w:rFonts w:ascii="Arial" w:eastAsia="Times New Roman" w:hAnsi="Arial" w:cs="Arial"/>
          <w:b/>
          <w:bCs/>
          <w:kern w:val="1"/>
          <w:lang w:eastAsia="ar-SA"/>
        </w:rPr>
        <w:t>mercado relevante</w:t>
      </w:r>
      <w:r w:rsidR="008F38AF">
        <w:rPr>
          <w:rFonts w:ascii="Arial" w:eastAsia="Times New Roman" w:hAnsi="Arial" w:cs="Arial"/>
          <w:b/>
          <w:bCs/>
          <w:kern w:val="1"/>
          <w:lang w:eastAsia="ar-SA"/>
        </w:rPr>
        <w:t xml:space="preserve"> </w:t>
      </w:r>
      <w:r w:rsidR="008F38AF" w:rsidRPr="008F38AF">
        <w:rPr>
          <w:rFonts w:ascii="Arial" w:eastAsia="Times New Roman" w:hAnsi="Arial" w:cs="Arial"/>
          <w:bCs/>
          <w:kern w:val="1"/>
          <w:lang w:eastAsia="ar-SA"/>
        </w:rPr>
        <w:t>o a mercados relacionados</w:t>
      </w:r>
      <w:r w:rsidRPr="00D33EAD">
        <w:rPr>
          <w:rFonts w:ascii="Arial" w:eastAsia="Times New Roman" w:hAnsi="Arial" w:cs="Arial"/>
          <w:bCs/>
          <w:kern w:val="1"/>
          <w:lang w:eastAsia="ar-SA"/>
        </w:rPr>
        <w:t>,</w:t>
      </w:r>
    </w:p>
    <w:p w14:paraId="5F10E0C4" w14:textId="516DABBB" w:rsidR="00B61D15" w:rsidRPr="00B61D15" w:rsidRDefault="00B61D15" w:rsidP="00B61D15">
      <w:pPr>
        <w:pStyle w:val="Prrafodelista"/>
        <w:numPr>
          <w:ilvl w:val="0"/>
          <w:numId w:val="64"/>
        </w:numPr>
        <w:spacing w:before="0" w:after="0"/>
        <w:ind w:hanging="578"/>
        <w:contextualSpacing w:val="0"/>
        <w:rPr>
          <w:rFonts w:ascii="Arial" w:eastAsia="Times New Roman" w:hAnsi="Arial" w:cs="Arial"/>
          <w:bCs/>
          <w:kern w:val="1"/>
          <w:lang w:eastAsia="ar-SA"/>
        </w:rPr>
      </w:pPr>
      <w:r>
        <w:rPr>
          <w:rFonts w:ascii="Arial" w:eastAsia="Times New Roman" w:hAnsi="Arial" w:cs="Arial"/>
          <w:bCs/>
          <w:kern w:val="1"/>
          <w:lang w:eastAsia="ar-SA"/>
        </w:rPr>
        <w:t>El artículo 94 de la LFCE</w:t>
      </w:r>
      <w:r w:rsidR="00D32E69">
        <w:rPr>
          <w:rFonts w:ascii="Arial" w:eastAsia="Times New Roman" w:hAnsi="Arial" w:cs="Arial"/>
          <w:bCs/>
          <w:kern w:val="1"/>
          <w:lang w:eastAsia="ar-SA"/>
        </w:rPr>
        <w:t xml:space="preserve">, y el artículo 10 de las </w:t>
      </w:r>
      <w:r w:rsidR="00D32E69" w:rsidRPr="00931D46">
        <w:rPr>
          <w:rFonts w:ascii="Arial" w:hAnsi="Arial" w:cs="Arial"/>
        </w:rPr>
        <w:t>DRLFCE</w:t>
      </w:r>
      <w:r w:rsidR="00D32E69">
        <w:rPr>
          <w:rFonts w:ascii="Arial" w:hAnsi="Arial" w:cs="Arial"/>
        </w:rPr>
        <w:t>,</w:t>
      </w:r>
      <w:r>
        <w:rPr>
          <w:rFonts w:ascii="Arial" w:eastAsia="Times New Roman" w:hAnsi="Arial" w:cs="Arial"/>
          <w:bCs/>
          <w:kern w:val="1"/>
          <w:lang w:eastAsia="ar-SA"/>
        </w:rPr>
        <w:t xml:space="preserve"> refiere</w:t>
      </w:r>
      <w:r w:rsidR="00D32E69">
        <w:rPr>
          <w:rFonts w:ascii="Arial" w:eastAsia="Times New Roman" w:hAnsi="Arial" w:cs="Arial"/>
          <w:bCs/>
          <w:kern w:val="1"/>
          <w:lang w:eastAsia="ar-SA"/>
        </w:rPr>
        <w:t>n</w:t>
      </w:r>
      <w:r>
        <w:rPr>
          <w:rFonts w:ascii="Arial" w:eastAsia="Times New Roman" w:hAnsi="Arial" w:cs="Arial"/>
          <w:bCs/>
          <w:kern w:val="1"/>
          <w:lang w:eastAsia="ar-SA"/>
        </w:rPr>
        <w:t xml:space="preserve"> a</w:t>
      </w:r>
      <w:r w:rsidRPr="00EC0134">
        <w:rPr>
          <w:rFonts w:ascii="Arial" w:eastAsia="Times New Roman" w:hAnsi="Arial" w:cs="Arial"/>
          <w:bCs/>
          <w:kern w:val="1"/>
          <w:lang w:eastAsia="ar-SA"/>
        </w:rPr>
        <w:t xml:space="preserve">l procedimiento de investigación </w:t>
      </w:r>
      <w:r>
        <w:rPr>
          <w:rFonts w:ascii="Arial" w:eastAsia="Times New Roman" w:hAnsi="Arial" w:cs="Arial"/>
          <w:bCs/>
          <w:kern w:val="1"/>
          <w:lang w:eastAsia="ar-SA"/>
        </w:rPr>
        <w:t>para</w:t>
      </w:r>
      <w:r w:rsidRPr="00EC0134">
        <w:rPr>
          <w:rFonts w:ascii="Arial" w:eastAsia="Times New Roman" w:hAnsi="Arial" w:cs="Arial"/>
          <w:bCs/>
          <w:kern w:val="1"/>
          <w:lang w:eastAsia="ar-SA"/>
        </w:rPr>
        <w:t xml:space="preserve"> determinar la existencia de</w:t>
      </w:r>
      <w:r>
        <w:rPr>
          <w:rFonts w:ascii="Arial" w:eastAsia="Times New Roman" w:hAnsi="Arial" w:cs="Arial"/>
          <w:bCs/>
          <w:kern w:val="1"/>
          <w:lang w:eastAsia="ar-SA"/>
        </w:rPr>
        <w:t xml:space="preserve"> </w:t>
      </w:r>
      <w:r w:rsidRPr="00EC0134">
        <w:rPr>
          <w:rFonts w:ascii="Arial" w:eastAsia="Times New Roman" w:hAnsi="Arial" w:cs="Arial"/>
          <w:bCs/>
          <w:kern w:val="1"/>
          <w:lang w:eastAsia="ar-SA"/>
        </w:rPr>
        <w:t>barreras a la competencia y libre concurrencia o insumos esenciales que puedan generar efectos</w:t>
      </w:r>
      <w:r>
        <w:rPr>
          <w:rFonts w:ascii="Arial" w:eastAsia="Times New Roman" w:hAnsi="Arial" w:cs="Arial"/>
          <w:bCs/>
          <w:kern w:val="1"/>
          <w:lang w:eastAsia="ar-SA"/>
        </w:rPr>
        <w:t xml:space="preserve"> </w:t>
      </w:r>
      <w:r w:rsidRPr="00EC0134">
        <w:rPr>
          <w:rFonts w:ascii="Arial" w:eastAsia="Times New Roman" w:hAnsi="Arial" w:cs="Arial"/>
          <w:bCs/>
          <w:kern w:val="1"/>
          <w:lang w:eastAsia="ar-SA"/>
        </w:rPr>
        <w:t>anticompetitivos</w:t>
      </w:r>
      <w:r>
        <w:rPr>
          <w:rFonts w:ascii="Arial" w:eastAsia="Times New Roman" w:hAnsi="Arial" w:cs="Arial"/>
          <w:bCs/>
          <w:kern w:val="1"/>
          <w:lang w:eastAsia="ar-SA"/>
        </w:rPr>
        <w:t xml:space="preserve">, para lo cual es necesario definir el </w:t>
      </w:r>
      <w:r w:rsidRPr="00EC0134">
        <w:rPr>
          <w:rFonts w:ascii="Arial" w:eastAsia="Times New Roman" w:hAnsi="Arial" w:cs="Arial"/>
          <w:b/>
          <w:bCs/>
          <w:kern w:val="1"/>
          <w:lang w:eastAsia="ar-SA"/>
        </w:rPr>
        <w:t>mercado relevante</w:t>
      </w:r>
      <w:r w:rsidRPr="00EC0134">
        <w:rPr>
          <w:rFonts w:ascii="Arial" w:eastAsia="Times New Roman" w:hAnsi="Arial" w:cs="Arial"/>
          <w:bCs/>
          <w:kern w:val="1"/>
          <w:lang w:eastAsia="ar-SA"/>
        </w:rPr>
        <w:t>,</w:t>
      </w:r>
    </w:p>
    <w:p w14:paraId="730BEB8D" w14:textId="77777777" w:rsidR="00FF1061" w:rsidRPr="00D33EAD" w:rsidRDefault="00FF1061"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D33EAD">
        <w:rPr>
          <w:rFonts w:ascii="Arial" w:eastAsia="Times New Roman" w:hAnsi="Arial" w:cs="Arial"/>
          <w:bCs/>
          <w:kern w:val="1"/>
          <w:lang w:eastAsia="ar-SA"/>
        </w:rPr>
        <w:t xml:space="preserve">El artículo 96 de la LFCE </w:t>
      </w:r>
      <w:r w:rsidR="00CE3272" w:rsidRPr="00D33EAD">
        <w:rPr>
          <w:rFonts w:ascii="Arial" w:eastAsia="Times New Roman" w:hAnsi="Arial" w:cs="Arial"/>
          <w:bCs/>
          <w:kern w:val="1"/>
          <w:lang w:eastAsia="ar-SA"/>
        </w:rPr>
        <w:t xml:space="preserve">indica </w:t>
      </w:r>
      <w:r w:rsidRPr="00D33EAD">
        <w:rPr>
          <w:rFonts w:ascii="Arial" w:eastAsia="Times New Roman" w:hAnsi="Arial" w:cs="Arial"/>
          <w:bCs/>
          <w:kern w:val="1"/>
          <w:lang w:eastAsia="ar-SA"/>
        </w:rPr>
        <w:t xml:space="preserve">el procedimiento para resolver u opinar sobre cuestiones de competencia efectiva y existencia de poder sustancial en el </w:t>
      </w:r>
      <w:r w:rsidRPr="00D33EAD">
        <w:rPr>
          <w:rFonts w:ascii="Arial" w:eastAsia="Times New Roman" w:hAnsi="Arial" w:cs="Arial"/>
          <w:b/>
          <w:bCs/>
          <w:kern w:val="1"/>
          <w:lang w:eastAsia="ar-SA"/>
        </w:rPr>
        <w:t>mercado relevante</w:t>
      </w:r>
      <w:r w:rsidRPr="00D33EAD">
        <w:rPr>
          <w:rFonts w:ascii="Arial" w:eastAsia="Times New Roman" w:hAnsi="Arial" w:cs="Arial"/>
          <w:bCs/>
          <w:kern w:val="1"/>
          <w:lang w:eastAsia="ar-SA"/>
        </w:rPr>
        <w:t xml:space="preserve">, para lo cual es necesario definir </w:t>
      </w:r>
      <w:r w:rsidR="009E014C" w:rsidRPr="00D33EAD">
        <w:rPr>
          <w:rFonts w:ascii="Arial" w:eastAsia="Times New Roman" w:hAnsi="Arial" w:cs="Arial"/>
          <w:bCs/>
          <w:kern w:val="1"/>
          <w:lang w:eastAsia="ar-SA"/>
        </w:rPr>
        <w:t>e</w:t>
      </w:r>
      <w:r w:rsidRPr="00D33EAD">
        <w:rPr>
          <w:rFonts w:ascii="Arial" w:eastAsia="Times New Roman" w:hAnsi="Arial" w:cs="Arial"/>
          <w:bCs/>
          <w:kern w:val="1"/>
          <w:lang w:eastAsia="ar-SA"/>
        </w:rPr>
        <w:t xml:space="preserve">l </w:t>
      </w:r>
      <w:r w:rsidRPr="00D33EAD">
        <w:rPr>
          <w:rFonts w:ascii="Arial" w:eastAsia="Times New Roman" w:hAnsi="Arial" w:cs="Arial"/>
          <w:b/>
          <w:bCs/>
          <w:kern w:val="1"/>
          <w:lang w:eastAsia="ar-SA"/>
        </w:rPr>
        <w:t>mercado relevante</w:t>
      </w:r>
      <w:r w:rsidRPr="00D33EAD">
        <w:rPr>
          <w:rFonts w:ascii="Arial" w:eastAsia="Times New Roman" w:hAnsi="Arial" w:cs="Arial"/>
          <w:bCs/>
          <w:kern w:val="1"/>
          <w:lang w:eastAsia="ar-SA"/>
        </w:rPr>
        <w:t>,</w:t>
      </w:r>
      <w:r w:rsidR="00E16A50" w:rsidRPr="00D33EAD">
        <w:rPr>
          <w:rFonts w:ascii="Arial" w:eastAsia="Times New Roman" w:hAnsi="Arial" w:cs="Arial"/>
          <w:bCs/>
          <w:kern w:val="1"/>
          <w:lang w:eastAsia="ar-SA"/>
        </w:rPr>
        <w:t xml:space="preserve"> y</w:t>
      </w:r>
    </w:p>
    <w:p w14:paraId="2B587FE7" w14:textId="37782ECD" w:rsidR="00E16A50" w:rsidRPr="00D33EAD" w:rsidRDefault="00E16A50" w:rsidP="00942BD7">
      <w:pPr>
        <w:pStyle w:val="Prrafodelista"/>
        <w:numPr>
          <w:ilvl w:val="0"/>
          <w:numId w:val="64"/>
        </w:numPr>
        <w:spacing w:before="0" w:after="0"/>
        <w:ind w:hanging="578"/>
        <w:contextualSpacing w:val="0"/>
        <w:rPr>
          <w:rFonts w:ascii="Arial" w:eastAsia="Times New Roman" w:hAnsi="Arial" w:cs="Arial"/>
          <w:bCs/>
          <w:kern w:val="1"/>
          <w:lang w:eastAsia="ar-SA"/>
        </w:rPr>
      </w:pPr>
      <w:r w:rsidRPr="00D33EAD">
        <w:rPr>
          <w:rFonts w:ascii="Arial" w:eastAsia="Times New Roman" w:hAnsi="Arial" w:cs="Arial"/>
          <w:bCs/>
          <w:kern w:val="1"/>
          <w:lang w:eastAsia="ar-SA"/>
        </w:rPr>
        <w:t xml:space="preserve">El artículo 98 de la LFCE prevé la emisión de opinión </w:t>
      </w:r>
      <w:r w:rsidR="00AE3AC5">
        <w:rPr>
          <w:rFonts w:ascii="Arial" w:eastAsia="Times New Roman" w:hAnsi="Arial" w:cs="Arial"/>
          <w:bCs/>
          <w:kern w:val="1"/>
          <w:lang w:eastAsia="ar-SA"/>
        </w:rPr>
        <w:t>o autorización en</w:t>
      </w:r>
      <w:r w:rsidR="00B62B53" w:rsidRPr="00D33EAD">
        <w:rPr>
          <w:rFonts w:ascii="Arial" w:eastAsia="Times New Roman" w:hAnsi="Arial" w:cs="Arial"/>
          <w:bCs/>
          <w:kern w:val="1"/>
          <w:lang w:eastAsia="ar-SA"/>
        </w:rPr>
        <w:t xml:space="preserve"> el otorgamiento de licencias, concesiones, permisos cesiones y venta de acciones de empresas concesionarias o permisionarias</w:t>
      </w:r>
      <w:r w:rsidR="001F0932" w:rsidRPr="00D33EAD">
        <w:rPr>
          <w:rFonts w:ascii="Arial" w:eastAsia="Times New Roman" w:hAnsi="Arial" w:cs="Arial"/>
          <w:bCs/>
          <w:kern w:val="1"/>
          <w:lang w:eastAsia="ar-SA"/>
        </w:rPr>
        <w:t>, aplicando los artículos 63 y 64 correspondientes al análisis de concentraciones</w:t>
      </w:r>
      <w:r w:rsidR="00B62B53" w:rsidRPr="00D33EAD">
        <w:rPr>
          <w:rFonts w:ascii="Arial" w:eastAsia="Times New Roman" w:hAnsi="Arial" w:cs="Arial"/>
          <w:bCs/>
          <w:kern w:val="1"/>
          <w:lang w:eastAsia="ar-SA"/>
        </w:rPr>
        <w:t xml:space="preserve">, lo cual requiere definir el </w:t>
      </w:r>
      <w:r w:rsidR="00B62B53" w:rsidRPr="00D33EAD">
        <w:rPr>
          <w:rFonts w:ascii="Arial" w:eastAsia="Times New Roman" w:hAnsi="Arial" w:cs="Arial"/>
          <w:b/>
          <w:bCs/>
          <w:kern w:val="1"/>
          <w:lang w:eastAsia="ar-SA"/>
        </w:rPr>
        <w:t>mercado relevante</w:t>
      </w:r>
      <w:r w:rsidRPr="00D33EAD">
        <w:rPr>
          <w:rFonts w:ascii="Arial" w:eastAsia="Times New Roman" w:hAnsi="Arial" w:cs="Arial"/>
          <w:bCs/>
          <w:kern w:val="1"/>
          <w:lang w:eastAsia="ar-SA"/>
        </w:rPr>
        <w:t>.</w:t>
      </w:r>
    </w:p>
    <w:p w14:paraId="7D2F882C" w14:textId="77777777" w:rsidR="002F3B50" w:rsidRPr="00931D46" w:rsidRDefault="002F3B50" w:rsidP="0023353F">
      <w:pPr>
        <w:spacing w:before="0" w:after="0"/>
        <w:rPr>
          <w:rFonts w:ascii="Arial" w:eastAsia="Times New Roman" w:hAnsi="Arial" w:cs="Arial"/>
          <w:bCs/>
          <w:kern w:val="1"/>
          <w:lang w:eastAsia="ar-SA"/>
        </w:rPr>
      </w:pPr>
    </w:p>
    <w:p w14:paraId="2387F639" w14:textId="123BACC1" w:rsidR="00927CE9" w:rsidRPr="00931D46" w:rsidRDefault="008F38AF" w:rsidP="0023353F">
      <w:pPr>
        <w:spacing w:before="0" w:after="0"/>
        <w:rPr>
          <w:rFonts w:ascii="Arial" w:eastAsia="Times New Roman" w:hAnsi="Arial" w:cs="Arial"/>
          <w:bCs/>
          <w:kern w:val="1"/>
          <w:lang w:eastAsia="ar-SA"/>
        </w:rPr>
      </w:pPr>
      <w:r>
        <w:rPr>
          <w:rFonts w:ascii="Arial" w:eastAsia="Times New Roman" w:hAnsi="Arial" w:cs="Arial"/>
          <w:bCs/>
          <w:kern w:val="1"/>
          <w:lang w:eastAsia="ar-SA"/>
        </w:rPr>
        <w:t>De acuerdo con lo anterior</w:t>
      </w:r>
      <w:r w:rsidR="00E16A50" w:rsidRPr="00931D46">
        <w:rPr>
          <w:rFonts w:ascii="Arial" w:eastAsia="Times New Roman" w:hAnsi="Arial" w:cs="Arial"/>
          <w:bCs/>
          <w:kern w:val="1"/>
          <w:lang w:eastAsia="ar-SA"/>
        </w:rPr>
        <w:t xml:space="preserve">, en la evaluación de solicitudes que se tramitan en términos de la LFTR </w:t>
      </w:r>
      <w:r w:rsidR="001F0932" w:rsidRPr="00931D46">
        <w:rPr>
          <w:rFonts w:ascii="Arial" w:eastAsia="Times New Roman" w:hAnsi="Arial" w:cs="Arial"/>
          <w:bCs/>
          <w:kern w:val="1"/>
          <w:lang w:eastAsia="ar-SA"/>
        </w:rPr>
        <w:t xml:space="preserve">y que requieren un análisis de competencia, </w:t>
      </w:r>
      <w:r w:rsidR="00E16A50" w:rsidRPr="00931D46">
        <w:rPr>
          <w:rFonts w:ascii="Arial" w:eastAsia="Times New Roman" w:hAnsi="Arial" w:cs="Arial"/>
          <w:bCs/>
          <w:kern w:val="1"/>
          <w:lang w:eastAsia="ar-SA"/>
        </w:rPr>
        <w:t>también es necesario delimitar el MR</w:t>
      </w:r>
      <w:r w:rsidR="00E36F8E" w:rsidRPr="00931D46">
        <w:rPr>
          <w:rFonts w:ascii="Arial" w:eastAsia="Times New Roman" w:hAnsi="Arial" w:cs="Arial"/>
          <w:bCs/>
          <w:kern w:val="1"/>
          <w:lang w:eastAsia="ar-SA"/>
        </w:rPr>
        <w:t>. P</w:t>
      </w:r>
      <w:r w:rsidR="00E16A50" w:rsidRPr="00931D46">
        <w:rPr>
          <w:rFonts w:ascii="Arial" w:eastAsia="Times New Roman" w:hAnsi="Arial" w:cs="Arial"/>
          <w:bCs/>
          <w:kern w:val="1"/>
          <w:lang w:eastAsia="ar-SA"/>
        </w:rPr>
        <w:t xml:space="preserve">or ejemplo, </w:t>
      </w:r>
      <w:r w:rsidR="00E36F8E" w:rsidRPr="00931D46">
        <w:rPr>
          <w:rFonts w:ascii="Arial" w:eastAsia="Times New Roman" w:hAnsi="Arial" w:cs="Arial"/>
          <w:bCs/>
          <w:kern w:val="1"/>
          <w:lang w:eastAsia="ar-SA"/>
        </w:rPr>
        <w:t xml:space="preserve">en </w:t>
      </w:r>
      <w:r w:rsidR="00E16A50" w:rsidRPr="00931D46">
        <w:rPr>
          <w:rFonts w:ascii="Arial" w:eastAsia="Times New Roman" w:hAnsi="Arial" w:cs="Arial"/>
          <w:bCs/>
          <w:kern w:val="1"/>
          <w:lang w:eastAsia="ar-SA"/>
        </w:rPr>
        <w:t>i) el otorgamiento de concesiones</w:t>
      </w:r>
      <w:r w:rsidR="00583E28" w:rsidRPr="00931D46">
        <w:rPr>
          <w:rFonts w:ascii="Arial" w:eastAsia="Times New Roman" w:hAnsi="Arial" w:cs="Arial"/>
          <w:bCs/>
          <w:kern w:val="1"/>
          <w:lang w:eastAsia="ar-SA"/>
        </w:rPr>
        <w:t xml:space="preserve"> (por licitación pública</w:t>
      </w:r>
      <w:r w:rsidR="00666E54" w:rsidRPr="00931D46">
        <w:rPr>
          <w:rFonts w:ascii="Arial" w:eastAsia="Times New Roman" w:hAnsi="Arial" w:cs="Arial"/>
          <w:bCs/>
          <w:kern w:val="1"/>
          <w:lang w:eastAsia="ar-SA"/>
        </w:rPr>
        <w:t xml:space="preserve"> o asignación directa</w:t>
      </w:r>
      <w:r w:rsidR="00583E28" w:rsidRPr="00931D46">
        <w:rPr>
          <w:rFonts w:ascii="Arial" w:eastAsia="Times New Roman" w:hAnsi="Arial" w:cs="Arial"/>
          <w:bCs/>
          <w:kern w:val="1"/>
          <w:lang w:eastAsia="ar-SA"/>
        </w:rPr>
        <w:t>)</w:t>
      </w:r>
      <w:r w:rsidR="00E16A50" w:rsidRPr="00931D46">
        <w:rPr>
          <w:rFonts w:ascii="Arial" w:eastAsia="Times New Roman" w:hAnsi="Arial" w:cs="Arial"/>
          <w:bCs/>
          <w:kern w:val="1"/>
          <w:lang w:eastAsia="ar-SA"/>
        </w:rPr>
        <w:t xml:space="preserve">, ii) </w:t>
      </w:r>
      <w:r w:rsidR="00E36F8E" w:rsidRPr="00931D46">
        <w:rPr>
          <w:rFonts w:ascii="Arial" w:eastAsia="Times New Roman" w:hAnsi="Arial" w:cs="Arial"/>
          <w:bCs/>
          <w:kern w:val="1"/>
          <w:lang w:eastAsia="ar-SA"/>
        </w:rPr>
        <w:t xml:space="preserve">la </w:t>
      </w:r>
      <w:r w:rsidR="00E16A50" w:rsidRPr="00931D46">
        <w:rPr>
          <w:rFonts w:ascii="Arial" w:eastAsia="Times New Roman" w:hAnsi="Arial" w:cs="Arial"/>
          <w:bCs/>
          <w:kern w:val="1"/>
          <w:lang w:eastAsia="ar-SA"/>
        </w:rPr>
        <w:t>cesi</w:t>
      </w:r>
      <w:r w:rsidR="00FF7B6B">
        <w:rPr>
          <w:rFonts w:ascii="Arial" w:eastAsia="Times New Roman" w:hAnsi="Arial" w:cs="Arial"/>
          <w:bCs/>
          <w:kern w:val="1"/>
          <w:lang w:eastAsia="ar-SA"/>
        </w:rPr>
        <w:t>ón</w:t>
      </w:r>
      <w:r w:rsidR="00E16A50" w:rsidRPr="00931D46">
        <w:rPr>
          <w:rFonts w:ascii="Arial" w:eastAsia="Times New Roman" w:hAnsi="Arial" w:cs="Arial"/>
          <w:bCs/>
          <w:kern w:val="1"/>
          <w:lang w:eastAsia="ar-SA"/>
        </w:rPr>
        <w:t xml:space="preserve"> de derechos de concesiones, iii) </w:t>
      </w:r>
      <w:r w:rsidR="00E36F8E" w:rsidRPr="00931D46">
        <w:rPr>
          <w:rFonts w:ascii="Arial" w:eastAsia="Times New Roman" w:hAnsi="Arial" w:cs="Arial"/>
          <w:bCs/>
          <w:kern w:val="1"/>
          <w:lang w:eastAsia="ar-SA"/>
        </w:rPr>
        <w:t xml:space="preserve">la </w:t>
      </w:r>
      <w:r w:rsidR="00E16A50" w:rsidRPr="00931D46">
        <w:rPr>
          <w:rFonts w:ascii="Arial" w:eastAsia="Times New Roman" w:hAnsi="Arial" w:cs="Arial"/>
          <w:bCs/>
          <w:kern w:val="1"/>
          <w:lang w:eastAsia="ar-SA"/>
        </w:rPr>
        <w:t xml:space="preserve">prórroga de concesiones, iv) </w:t>
      </w:r>
      <w:r w:rsidR="00E36F8E" w:rsidRPr="00931D46">
        <w:rPr>
          <w:rFonts w:ascii="Arial" w:eastAsia="Times New Roman" w:hAnsi="Arial" w:cs="Arial"/>
          <w:bCs/>
          <w:kern w:val="1"/>
          <w:lang w:eastAsia="ar-SA"/>
        </w:rPr>
        <w:t xml:space="preserve">la </w:t>
      </w:r>
      <w:r w:rsidR="00E16A50" w:rsidRPr="00931D46">
        <w:rPr>
          <w:rFonts w:ascii="Arial" w:eastAsia="Times New Roman" w:hAnsi="Arial" w:cs="Arial"/>
          <w:bCs/>
          <w:kern w:val="1"/>
          <w:lang w:eastAsia="ar-SA"/>
        </w:rPr>
        <w:t xml:space="preserve">venta de acciones, enajenaciones, desincorporaciones o movimientos en la estructura accionaria de AE concesionarios, y v) </w:t>
      </w:r>
      <w:r w:rsidR="00E36F8E" w:rsidRPr="00931D46">
        <w:rPr>
          <w:rFonts w:ascii="Arial" w:eastAsia="Times New Roman" w:hAnsi="Arial" w:cs="Arial"/>
          <w:bCs/>
          <w:kern w:val="1"/>
          <w:lang w:eastAsia="ar-SA"/>
        </w:rPr>
        <w:t xml:space="preserve">el </w:t>
      </w:r>
      <w:r w:rsidR="00E16A50" w:rsidRPr="00931D46">
        <w:rPr>
          <w:rFonts w:ascii="Arial" w:eastAsia="Times New Roman" w:hAnsi="Arial" w:cs="Arial"/>
          <w:bCs/>
          <w:kern w:val="1"/>
          <w:lang w:eastAsia="ar-SA"/>
        </w:rPr>
        <w:t>arrendamiento o cambio de bandas de frecuencias del espectro radioeléctrico.</w:t>
      </w:r>
    </w:p>
    <w:p w14:paraId="31FDB476" w14:textId="77777777" w:rsidR="00E16A50" w:rsidRPr="00931D46" w:rsidRDefault="00E16A50" w:rsidP="0023353F">
      <w:pPr>
        <w:spacing w:before="0" w:after="0"/>
        <w:rPr>
          <w:rFonts w:ascii="Arial" w:eastAsia="Times New Roman" w:hAnsi="Arial" w:cs="Arial"/>
          <w:bCs/>
          <w:kern w:val="1"/>
          <w:lang w:eastAsia="ar-SA"/>
        </w:rPr>
      </w:pPr>
    </w:p>
    <w:p w14:paraId="6D00DED8" w14:textId="5BEA18C5" w:rsidR="002B72C6" w:rsidRPr="00931D46" w:rsidRDefault="00EC09D0" w:rsidP="0023353F">
      <w:pPr>
        <w:spacing w:before="0" w:after="0"/>
        <w:rPr>
          <w:rFonts w:ascii="Arial" w:hAnsi="Arial" w:cs="Arial"/>
        </w:rPr>
      </w:pPr>
      <w:r w:rsidRPr="00931D46">
        <w:rPr>
          <w:rFonts w:ascii="Arial" w:eastAsia="Times New Roman" w:hAnsi="Arial" w:cs="Arial"/>
          <w:bCs/>
          <w:kern w:val="1"/>
          <w:lang w:eastAsia="ar-SA"/>
        </w:rPr>
        <w:t>Aunque</w:t>
      </w:r>
      <w:r w:rsidR="002B72C6" w:rsidRPr="00931D46">
        <w:rPr>
          <w:rFonts w:ascii="Arial" w:eastAsia="Times New Roman" w:hAnsi="Arial" w:cs="Arial"/>
          <w:bCs/>
          <w:kern w:val="1"/>
          <w:lang w:eastAsia="ar-SA"/>
        </w:rPr>
        <w:t xml:space="preserve"> la LFCE y las DRLFCE contienen elementos de referencia que el Instituto debe considerar </w:t>
      </w:r>
      <w:r w:rsidR="008B6B6A" w:rsidRPr="00931D46">
        <w:rPr>
          <w:rFonts w:ascii="Arial" w:eastAsia="Times New Roman" w:hAnsi="Arial" w:cs="Arial"/>
          <w:bCs/>
          <w:kern w:val="1"/>
          <w:lang w:eastAsia="ar-SA"/>
        </w:rPr>
        <w:t>para determinar</w:t>
      </w:r>
      <w:r w:rsidR="002B72C6" w:rsidRPr="00931D46">
        <w:rPr>
          <w:rFonts w:ascii="Arial" w:eastAsia="Times New Roman" w:hAnsi="Arial" w:cs="Arial"/>
          <w:bCs/>
          <w:kern w:val="1"/>
          <w:lang w:eastAsia="ar-SA"/>
        </w:rPr>
        <w:t xml:space="preserve"> MR, dichos elementos </w:t>
      </w:r>
      <w:r w:rsidR="000E2B45" w:rsidRPr="00931D46">
        <w:rPr>
          <w:rFonts w:ascii="Arial" w:eastAsia="Times New Roman" w:hAnsi="Arial" w:cs="Arial"/>
          <w:bCs/>
          <w:kern w:val="1"/>
          <w:lang w:eastAsia="ar-SA"/>
        </w:rPr>
        <w:t xml:space="preserve">pueden resultar abstractos </w:t>
      </w:r>
      <w:r w:rsidR="00705C84">
        <w:rPr>
          <w:rFonts w:ascii="Arial" w:eastAsia="Times New Roman" w:hAnsi="Arial" w:cs="Arial"/>
          <w:bCs/>
          <w:kern w:val="1"/>
          <w:lang w:eastAsia="ar-SA"/>
        </w:rPr>
        <w:t>si no se refieren a casos prácticos</w:t>
      </w:r>
      <w:r w:rsidR="002B72C6" w:rsidRPr="00931D46">
        <w:rPr>
          <w:rFonts w:ascii="Arial" w:eastAsia="Times New Roman" w:hAnsi="Arial" w:cs="Arial"/>
          <w:bCs/>
          <w:kern w:val="1"/>
          <w:lang w:eastAsia="ar-SA"/>
        </w:rPr>
        <w:t xml:space="preserve">. </w:t>
      </w:r>
      <w:r w:rsidR="002B72C6" w:rsidRPr="00931D46" w:rsidDel="00EC09D0">
        <w:rPr>
          <w:rFonts w:ascii="Arial" w:eastAsia="Times New Roman" w:hAnsi="Arial" w:cs="Arial"/>
          <w:bCs/>
          <w:kern w:val="1"/>
          <w:lang w:eastAsia="ar-SA"/>
        </w:rPr>
        <w:t>Además</w:t>
      </w:r>
      <w:r w:rsidR="002B72C6" w:rsidRPr="00931D46">
        <w:rPr>
          <w:rFonts w:ascii="Arial" w:eastAsia="Times New Roman" w:hAnsi="Arial" w:cs="Arial"/>
          <w:bCs/>
          <w:kern w:val="1"/>
          <w:lang w:eastAsia="ar-SA"/>
        </w:rPr>
        <w:t xml:space="preserve">, </w:t>
      </w:r>
      <w:r w:rsidR="002B72C6" w:rsidRPr="00931D46">
        <w:rPr>
          <w:rFonts w:ascii="Arial" w:hAnsi="Arial" w:cs="Arial"/>
        </w:rPr>
        <w:t>es reconocido que los sectores de TyR presentan características que pueden ameritar un análisis particular a la hora de determinar</w:t>
      </w:r>
      <w:r w:rsidR="00AE3AC5">
        <w:rPr>
          <w:rFonts w:ascii="Arial" w:hAnsi="Arial" w:cs="Arial"/>
        </w:rPr>
        <w:t xml:space="preserve"> los MR, tales como presencia de</w:t>
      </w:r>
      <w:r w:rsidR="002B72C6" w:rsidRPr="00931D46">
        <w:rPr>
          <w:rFonts w:ascii="Arial" w:hAnsi="Arial" w:cs="Arial"/>
        </w:rPr>
        <w:t xml:space="preserve"> integraciones verticales, sustitución asimétrica, diferenciación de </w:t>
      </w:r>
      <w:r w:rsidR="00330363">
        <w:rPr>
          <w:rFonts w:ascii="Arial" w:hAnsi="Arial" w:cs="Arial"/>
        </w:rPr>
        <w:t>productos</w:t>
      </w:r>
      <w:r w:rsidR="002B72C6" w:rsidRPr="00931D46">
        <w:rPr>
          <w:rFonts w:ascii="Arial" w:hAnsi="Arial" w:cs="Arial"/>
        </w:rPr>
        <w:t xml:space="preserve"> y empaquetamiento de </w:t>
      </w:r>
      <w:r w:rsidR="00330363">
        <w:rPr>
          <w:rFonts w:ascii="Arial" w:hAnsi="Arial" w:cs="Arial"/>
        </w:rPr>
        <w:t>productos</w:t>
      </w:r>
      <w:r w:rsidR="002B72C6" w:rsidRPr="00931D46">
        <w:rPr>
          <w:rFonts w:ascii="Arial" w:hAnsi="Arial" w:cs="Arial"/>
        </w:rPr>
        <w:t>.</w:t>
      </w:r>
    </w:p>
    <w:p w14:paraId="5571E55A" w14:textId="77777777" w:rsidR="002B72C6" w:rsidRPr="00931D46" w:rsidRDefault="002B72C6" w:rsidP="0023353F">
      <w:pPr>
        <w:spacing w:before="0" w:after="0"/>
        <w:rPr>
          <w:rFonts w:ascii="Arial" w:hAnsi="Arial" w:cs="Arial"/>
        </w:rPr>
      </w:pPr>
    </w:p>
    <w:p w14:paraId="0D78824B" w14:textId="34879993" w:rsidR="008B6B6A" w:rsidRDefault="002B72C6"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En </w:t>
      </w:r>
      <w:r w:rsidRPr="00D33EAD">
        <w:rPr>
          <w:rFonts w:ascii="Arial" w:eastAsia="Times New Roman" w:hAnsi="Arial" w:cs="Arial"/>
          <w:bCs/>
          <w:kern w:val="1"/>
          <w:lang w:eastAsia="ar-SA"/>
        </w:rPr>
        <w:t>es</w:t>
      </w:r>
      <w:r w:rsidR="001E178B" w:rsidRPr="00D33EAD">
        <w:rPr>
          <w:rFonts w:ascii="Arial" w:eastAsia="Times New Roman" w:hAnsi="Arial" w:cs="Arial"/>
          <w:bCs/>
          <w:kern w:val="1"/>
          <w:lang w:eastAsia="ar-SA"/>
        </w:rPr>
        <w:t>t</w:t>
      </w:r>
      <w:r w:rsidRPr="00D33EAD">
        <w:rPr>
          <w:rFonts w:ascii="Arial" w:eastAsia="Times New Roman" w:hAnsi="Arial" w:cs="Arial"/>
          <w:bCs/>
          <w:kern w:val="1"/>
          <w:lang w:eastAsia="ar-SA"/>
        </w:rPr>
        <w:t xml:space="preserve">e contexto, </w:t>
      </w:r>
      <w:r w:rsidR="006E3904" w:rsidRPr="00D33EAD">
        <w:rPr>
          <w:rFonts w:ascii="Arial" w:eastAsia="Times New Roman" w:hAnsi="Arial" w:cs="Arial"/>
          <w:bCs/>
          <w:kern w:val="1"/>
          <w:lang w:eastAsia="ar-SA"/>
        </w:rPr>
        <w:t xml:space="preserve">esta Nota Técnica tiene el propósito de </w:t>
      </w:r>
      <w:r w:rsidR="006E3904" w:rsidRPr="00D33EAD">
        <w:rPr>
          <w:rFonts w:ascii="Arial" w:eastAsia="Times New Roman" w:hAnsi="Arial" w:cs="Arial"/>
          <w:kern w:val="1"/>
          <w:lang w:eastAsia="ar-SA"/>
        </w:rPr>
        <w:t>describir con mayor detalle precedentes decisorios</w:t>
      </w:r>
      <w:r w:rsidR="001E178B" w:rsidRPr="00D33EAD">
        <w:rPr>
          <w:rFonts w:ascii="Arial" w:eastAsia="Times New Roman" w:hAnsi="Arial" w:cs="Arial"/>
          <w:kern w:val="1"/>
          <w:lang w:eastAsia="ar-SA"/>
        </w:rPr>
        <w:t xml:space="preserve"> del Instituto</w:t>
      </w:r>
      <w:r w:rsidR="003919C7" w:rsidRPr="00D33EAD">
        <w:rPr>
          <w:rFonts w:ascii="Arial" w:eastAsia="Times New Roman" w:hAnsi="Arial" w:cs="Arial"/>
          <w:kern w:val="1"/>
          <w:lang w:eastAsia="ar-SA"/>
        </w:rPr>
        <w:t>, así como</w:t>
      </w:r>
      <w:r w:rsidR="006E3904" w:rsidRPr="00D33EAD">
        <w:rPr>
          <w:rFonts w:ascii="Arial" w:eastAsia="Times New Roman" w:hAnsi="Arial" w:cs="Arial"/>
          <w:kern w:val="1"/>
          <w:lang w:eastAsia="ar-SA"/>
        </w:rPr>
        <w:t xml:space="preserve"> casos y referencias de la práctica internacional</w:t>
      </w:r>
      <w:r w:rsidR="003919C7" w:rsidRPr="00D33EAD">
        <w:rPr>
          <w:rFonts w:ascii="Arial" w:eastAsia="Times New Roman" w:hAnsi="Arial" w:cs="Arial"/>
          <w:kern w:val="1"/>
          <w:lang w:eastAsia="ar-SA"/>
        </w:rPr>
        <w:t>,</w:t>
      </w:r>
      <w:r w:rsidR="006E3904" w:rsidRPr="00D33EAD">
        <w:rPr>
          <w:rFonts w:ascii="Arial" w:eastAsia="Times New Roman" w:hAnsi="Arial" w:cs="Arial"/>
          <w:kern w:val="1"/>
          <w:lang w:eastAsia="ar-SA"/>
        </w:rPr>
        <w:t xml:space="preserve"> que </w:t>
      </w:r>
      <w:r w:rsidR="007E0735">
        <w:rPr>
          <w:rFonts w:ascii="Arial" w:eastAsia="Times New Roman" w:hAnsi="Arial" w:cs="Arial"/>
          <w:kern w:val="1"/>
          <w:lang w:eastAsia="ar-SA"/>
        </w:rPr>
        <w:t>podrían contribuir a</w:t>
      </w:r>
      <w:r w:rsidR="003919C7" w:rsidRPr="00D33EAD">
        <w:rPr>
          <w:rFonts w:ascii="Arial" w:eastAsia="Times New Roman" w:hAnsi="Arial" w:cs="Arial"/>
          <w:kern w:val="1"/>
          <w:lang w:eastAsia="ar-SA"/>
        </w:rPr>
        <w:t xml:space="preserve"> contextualizar </w:t>
      </w:r>
      <w:r w:rsidR="006E3904" w:rsidRPr="00D33EAD">
        <w:rPr>
          <w:rFonts w:ascii="Arial" w:eastAsia="Times New Roman" w:hAnsi="Arial" w:cs="Arial"/>
          <w:kern w:val="1"/>
          <w:lang w:eastAsia="ar-SA"/>
        </w:rPr>
        <w:t>los</w:t>
      </w:r>
      <w:r w:rsidR="003919C7" w:rsidRPr="00D33EAD">
        <w:rPr>
          <w:rFonts w:ascii="Arial" w:eastAsia="Times New Roman" w:hAnsi="Arial" w:cs="Arial"/>
          <w:kern w:val="1"/>
          <w:lang w:eastAsia="ar-SA"/>
        </w:rPr>
        <w:t xml:space="preserve"> distintos</w:t>
      </w:r>
      <w:r w:rsidR="006E3904" w:rsidRPr="00D33EAD">
        <w:rPr>
          <w:rFonts w:ascii="Arial" w:eastAsia="Times New Roman" w:hAnsi="Arial" w:cs="Arial"/>
          <w:kern w:val="1"/>
          <w:lang w:eastAsia="ar-SA"/>
        </w:rPr>
        <w:t xml:space="preserve"> criterios </w:t>
      </w:r>
      <w:r w:rsidR="003919C7" w:rsidRPr="00D33EAD">
        <w:rPr>
          <w:rFonts w:ascii="Arial" w:eastAsia="Times New Roman" w:hAnsi="Arial" w:cs="Arial"/>
          <w:kern w:val="1"/>
          <w:lang w:eastAsia="ar-SA"/>
        </w:rPr>
        <w:t xml:space="preserve">y elementos que </w:t>
      </w:r>
      <w:r w:rsidR="00D33EAD">
        <w:rPr>
          <w:rFonts w:ascii="Arial" w:eastAsia="Times New Roman" w:hAnsi="Arial" w:cs="Arial"/>
          <w:kern w:val="1"/>
          <w:lang w:eastAsia="ar-SA"/>
        </w:rPr>
        <w:t>contiene</w:t>
      </w:r>
      <w:r w:rsidR="006E3904" w:rsidRPr="00D33EAD">
        <w:rPr>
          <w:rFonts w:ascii="Arial" w:eastAsia="Times New Roman" w:hAnsi="Arial" w:cs="Arial"/>
          <w:kern w:val="1"/>
          <w:lang w:eastAsia="ar-SA"/>
        </w:rPr>
        <w:t xml:space="preserve"> la Guía</w:t>
      </w:r>
      <w:r w:rsidR="008B6B6A" w:rsidRPr="00D33EAD">
        <w:rPr>
          <w:rFonts w:ascii="Arial" w:eastAsia="Times New Roman" w:hAnsi="Arial" w:cs="Arial"/>
          <w:bCs/>
          <w:kern w:val="1"/>
          <w:lang w:eastAsia="ar-SA"/>
        </w:rPr>
        <w:t>.</w:t>
      </w:r>
    </w:p>
    <w:p w14:paraId="453E0919" w14:textId="77777777" w:rsidR="007E7805" w:rsidRPr="00931D46" w:rsidRDefault="007E7805" w:rsidP="0023353F">
      <w:pPr>
        <w:spacing w:before="0" w:after="0"/>
        <w:rPr>
          <w:rFonts w:ascii="Arial" w:hAnsi="Arial" w:cs="Arial"/>
        </w:rPr>
      </w:pPr>
    </w:p>
    <w:p w14:paraId="77EFD8BF" w14:textId="77777777" w:rsidR="0091373E" w:rsidRPr="00931D46" w:rsidRDefault="008C6144" w:rsidP="0023353F">
      <w:pPr>
        <w:pStyle w:val="Ttulo1"/>
        <w:keepLines w:val="0"/>
        <w:numPr>
          <w:ilvl w:val="0"/>
          <w:numId w:val="3"/>
        </w:numPr>
        <w:spacing w:before="0"/>
        <w:rPr>
          <w:rFonts w:ascii="Arial" w:hAnsi="Arial" w:cs="Arial"/>
          <w:b/>
          <w:color w:val="auto"/>
          <w:sz w:val="26"/>
          <w:szCs w:val="26"/>
        </w:rPr>
      </w:pPr>
      <w:bookmarkStart w:id="23" w:name="_Toc41649748"/>
      <w:bookmarkStart w:id="24" w:name="_Toc41649889"/>
      <w:bookmarkStart w:id="25" w:name="_Toc45216568"/>
      <w:bookmarkStart w:id="26" w:name="_Toc45628313"/>
      <w:bookmarkStart w:id="27" w:name="_Toc74306762"/>
      <w:bookmarkStart w:id="28" w:name="_Toc74323818"/>
      <w:r w:rsidRPr="00931D46">
        <w:rPr>
          <w:rFonts w:ascii="Arial" w:hAnsi="Arial" w:cs="Arial"/>
          <w:b/>
          <w:color w:val="auto"/>
          <w:sz w:val="26"/>
          <w:szCs w:val="26"/>
        </w:rPr>
        <w:t xml:space="preserve">Concepto de </w:t>
      </w:r>
      <w:bookmarkEnd w:id="23"/>
      <w:r w:rsidR="002D0830" w:rsidRPr="00931D46">
        <w:rPr>
          <w:rFonts w:ascii="Arial" w:hAnsi="Arial" w:cs="Arial"/>
          <w:b/>
          <w:color w:val="auto"/>
          <w:sz w:val="26"/>
          <w:szCs w:val="26"/>
        </w:rPr>
        <w:t>MR</w:t>
      </w:r>
      <w:bookmarkEnd w:id="24"/>
      <w:bookmarkEnd w:id="25"/>
      <w:r w:rsidR="00C21920" w:rsidRPr="00931D46">
        <w:rPr>
          <w:rFonts w:ascii="Arial" w:hAnsi="Arial" w:cs="Arial"/>
          <w:b/>
          <w:color w:val="auto"/>
          <w:sz w:val="26"/>
          <w:szCs w:val="26"/>
        </w:rPr>
        <w:t xml:space="preserve"> y su </w:t>
      </w:r>
      <w:r w:rsidR="00F3355C" w:rsidRPr="00931D46">
        <w:rPr>
          <w:rFonts w:ascii="Arial" w:hAnsi="Arial" w:cs="Arial"/>
          <w:b/>
          <w:color w:val="auto"/>
          <w:sz w:val="26"/>
          <w:szCs w:val="26"/>
        </w:rPr>
        <w:t>utilidad</w:t>
      </w:r>
      <w:bookmarkEnd w:id="26"/>
      <w:bookmarkEnd w:id="27"/>
      <w:bookmarkEnd w:id="28"/>
      <w:r w:rsidR="002B72C6" w:rsidRPr="00931D46">
        <w:rPr>
          <w:rFonts w:ascii="Arial" w:hAnsi="Arial" w:cs="Arial"/>
          <w:b/>
          <w:color w:val="auto"/>
          <w:sz w:val="26"/>
          <w:szCs w:val="26"/>
        </w:rPr>
        <w:t xml:space="preserve"> </w:t>
      </w:r>
    </w:p>
    <w:p w14:paraId="475B2154" w14:textId="77777777" w:rsidR="0091373E" w:rsidRPr="00931D46" w:rsidRDefault="0091373E" w:rsidP="0023353F">
      <w:pPr>
        <w:keepNext/>
        <w:spacing w:before="0" w:after="0"/>
        <w:rPr>
          <w:rFonts w:ascii="Arial" w:hAnsi="Arial" w:cs="Arial"/>
        </w:rPr>
      </w:pPr>
    </w:p>
    <w:p w14:paraId="0E1A7CCB" w14:textId="77777777" w:rsidR="00F7408E" w:rsidRPr="00931D46" w:rsidRDefault="00F7408E" w:rsidP="0023353F">
      <w:pPr>
        <w:spacing w:before="0" w:after="0"/>
        <w:rPr>
          <w:rFonts w:ascii="Arial" w:eastAsia="Times New Roman" w:hAnsi="Arial" w:cs="Arial"/>
          <w:bCs/>
          <w:kern w:val="1"/>
          <w:vertAlign w:val="superscript"/>
          <w:lang w:eastAsia="ar-SA"/>
        </w:rPr>
      </w:pPr>
      <w:r w:rsidRPr="00931D46">
        <w:rPr>
          <w:rFonts w:ascii="Arial" w:eastAsia="Times New Roman" w:hAnsi="Arial" w:cs="Arial"/>
          <w:bCs/>
          <w:kern w:val="1"/>
          <w:lang w:eastAsia="ar-SA"/>
        </w:rPr>
        <w:t xml:space="preserve">En la literatura especializada, el concepto de MR se define como </w:t>
      </w:r>
      <w:r w:rsidRPr="00931D46">
        <w:rPr>
          <w:rFonts w:ascii="Arial" w:eastAsia="Times New Roman" w:hAnsi="Arial" w:cs="Arial"/>
          <w:bCs/>
          <w:i/>
          <w:kern w:val="1"/>
          <w:lang w:eastAsia="ar-SA"/>
        </w:rPr>
        <w:t>“el conjunto de productos (y zonas geográficas) que podrían crear presiones competitivas para las empresas analizadas [p.ej. las empresas resultantes de una concentración]”</w:t>
      </w:r>
      <w:r w:rsidRPr="00931D46" w:rsidDel="00633E17">
        <w:rPr>
          <w:rFonts w:ascii="Arial" w:eastAsia="Times New Roman" w:hAnsi="Arial" w:cs="Arial"/>
          <w:bCs/>
          <w:kern w:val="1"/>
          <w:vertAlign w:val="superscript"/>
          <w:lang w:eastAsia="ar-SA"/>
        </w:rPr>
        <w:t xml:space="preserve"> </w:t>
      </w:r>
      <w:r w:rsidRPr="00931D46">
        <w:rPr>
          <w:rFonts w:ascii="Arial" w:eastAsia="Times New Roman" w:hAnsi="Arial" w:cs="Arial"/>
          <w:bCs/>
          <w:i/>
          <w:kern w:val="1"/>
          <w:lang w:eastAsia="ar-SA"/>
        </w:rPr>
        <w:t>o “el conjunto de productos (y zonas geográficas) que ejercen alguna presión competitiva entre sí”.</w:t>
      </w:r>
      <w:r w:rsidRPr="00931D46">
        <w:rPr>
          <w:rFonts w:ascii="Arial" w:eastAsia="Times New Roman" w:hAnsi="Arial" w:cs="Arial"/>
          <w:bCs/>
          <w:kern w:val="1"/>
          <w:vertAlign w:val="superscript"/>
          <w:lang w:eastAsia="ar-SA"/>
        </w:rPr>
        <w:t xml:space="preserve"> </w:t>
      </w:r>
      <w:r w:rsidRPr="00931D46">
        <w:rPr>
          <w:rFonts w:ascii="Arial" w:eastAsia="Times New Roman" w:hAnsi="Arial" w:cs="Arial"/>
          <w:bCs/>
          <w:kern w:val="1"/>
          <w:vertAlign w:val="superscript"/>
          <w:lang w:eastAsia="ar-SA"/>
        </w:rPr>
        <w:footnoteReference w:id="5"/>
      </w:r>
    </w:p>
    <w:p w14:paraId="29323317" w14:textId="77777777" w:rsidR="00F7408E" w:rsidRPr="00931D46" w:rsidRDefault="00F7408E" w:rsidP="0023353F">
      <w:pPr>
        <w:spacing w:before="0" w:after="0"/>
        <w:rPr>
          <w:rFonts w:ascii="Arial" w:eastAsia="Times New Roman" w:hAnsi="Arial" w:cs="Arial"/>
          <w:bCs/>
          <w:kern w:val="1"/>
          <w:lang w:eastAsia="ar-SA"/>
        </w:rPr>
      </w:pPr>
    </w:p>
    <w:p w14:paraId="05DECDCE" w14:textId="77777777" w:rsidR="00E73B44" w:rsidRPr="00931D46" w:rsidRDefault="00692B04"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Por su parte,</w:t>
      </w:r>
      <w:r w:rsidR="00D82895" w:rsidRPr="00931D46">
        <w:rPr>
          <w:rFonts w:ascii="Arial" w:eastAsia="Times New Roman" w:hAnsi="Arial" w:cs="Arial"/>
          <w:bCs/>
          <w:kern w:val="1"/>
          <w:lang w:eastAsia="ar-SA"/>
        </w:rPr>
        <w:t xml:space="preserve"> </w:t>
      </w:r>
      <w:r w:rsidR="005D30D4" w:rsidRPr="00931D46">
        <w:rPr>
          <w:rFonts w:ascii="Arial" w:eastAsia="Times New Roman" w:hAnsi="Arial" w:cs="Arial"/>
          <w:bCs/>
          <w:kern w:val="1"/>
          <w:lang w:eastAsia="ar-SA"/>
        </w:rPr>
        <w:t>el PJF</w:t>
      </w:r>
      <w:r w:rsidRPr="00931D46">
        <w:rPr>
          <w:rFonts w:ascii="Arial" w:eastAsia="Times New Roman" w:hAnsi="Arial" w:cs="Arial"/>
          <w:bCs/>
          <w:kern w:val="1"/>
          <w:lang w:eastAsia="ar-SA"/>
        </w:rPr>
        <w:t xml:space="preserve"> ha señalado que e</w:t>
      </w:r>
      <w:r w:rsidR="005D30D4" w:rsidRPr="00931D46">
        <w:rPr>
          <w:rFonts w:ascii="Arial" w:eastAsia="Times New Roman" w:hAnsi="Arial" w:cs="Arial"/>
          <w:bCs/>
          <w:kern w:val="1"/>
          <w:lang w:eastAsia="ar-SA"/>
        </w:rPr>
        <w:t xml:space="preserve">l MR se refiere al conjunto de </w:t>
      </w:r>
      <w:r w:rsidR="00B96223" w:rsidRPr="00931D46">
        <w:rPr>
          <w:rFonts w:ascii="Arial" w:eastAsia="Times New Roman" w:hAnsi="Arial" w:cs="Arial"/>
          <w:bCs/>
          <w:kern w:val="1"/>
          <w:lang w:eastAsia="ar-SA"/>
        </w:rPr>
        <w:t>“</w:t>
      </w:r>
      <w:r w:rsidR="00B96223" w:rsidRPr="00931D46">
        <w:rPr>
          <w:rFonts w:ascii="Arial" w:eastAsia="Times New Roman" w:hAnsi="Arial" w:cs="Arial"/>
          <w:bCs/>
          <w:i/>
          <w:kern w:val="1"/>
          <w:lang w:eastAsia="ar-SA"/>
        </w:rPr>
        <w:t xml:space="preserve">todos los productos que son razonablemente intercambiables o sustituibles, según los fines para los que fueron hechos, considerando las características de precio, uso y calidad. En forma más simple, el mercado relevante es el </w:t>
      </w:r>
      <w:r w:rsidR="00E73B44" w:rsidRPr="00931D46">
        <w:rPr>
          <w:rFonts w:ascii="Arial" w:eastAsia="Times New Roman" w:hAnsi="Arial" w:cs="Arial"/>
          <w:bCs/>
          <w:i/>
          <w:kern w:val="1"/>
          <w:lang w:eastAsia="ar-SA"/>
        </w:rPr>
        <w:t xml:space="preserve">espacio geográfico en el que se ofrecen o demandan productos o servicios similares, </w:t>
      </w:r>
      <w:r w:rsidR="008C3528" w:rsidRPr="00931D46">
        <w:rPr>
          <w:rFonts w:ascii="Arial" w:eastAsia="Times New Roman" w:hAnsi="Arial" w:cs="Arial"/>
          <w:bCs/>
          <w:i/>
          <w:kern w:val="1"/>
          <w:lang w:eastAsia="ar-SA"/>
        </w:rPr>
        <w:t>lo que le otorga una doble dimensión: De productos o servicios y geográfica o territorial</w:t>
      </w:r>
      <w:r w:rsidR="00E73B44" w:rsidRPr="00931D46">
        <w:rPr>
          <w:rFonts w:ascii="Arial" w:eastAsia="Times New Roman" w:hAnsi="Arial" w:cs="Arial"/>
          <w:bCs/>
          <w:i/>
          <w:kern w:val="1"/>
          <w:lang w:eastAsia="ar-SA"/>
        </w:rPr>
        <w:t xml:space="preserve">. </w:t>
      </w:r>
      <w:r w:rsidR="00B96223" w:rsidRPr="00931D46">
        <w:rPr>
          <w:rFonts w:ascii="Arial" w:eastAsia="Times New Roman" w:hAnsi="Arial" w:cs="Arial"/>
          <w:bCs/>
          <w:i/>
          <w:kern w:val="1"/>
          <w:lang w:eastAsia="ar-SA"/>
        </w:rPr>
        <w:t>En esa tesitura, para que exista mercado relevante es necesario que un conjunto de bienes o servicios iguales o similares estén al alcance del consumidor en un territorio lo suficientemente extenso como para que el consumidor esté dispuesto a obtener la mercancía o servicio en algún punto de ese espacio geográfico, en el tiempo en que aquél esté dispuesto a esperar para satisfacer su necesidad.</w:t>
      </w:r>
      <w:r w:rsidR="00971DE3" w:rsidRPr="00931D46">
        <w:rPr>
          <w:rFonts w:ascii="Arial" w:eastAsia="Times New Roman" w:hAnsi="Arial" w:cs="Arial"/>
          <w:bCs/>
          <w:i/>
          <w:kern w:val="1"/>
          <w:lang w:eastAsia="ar-SA"/>
        </w:rPr>
        <w:t xml:space="preserve"> En ese orden de ideas, se advierte que este concepto, (…) tiene una triple delimitación: objetiva, geográfica y temporal (…).</w:t>
      </w:r>
      <w:r w:rsidR="00B96223" w:rsidRPr="00931D46">
        <w:rPr>
          <w:rFonts w:ascii="Arial" w:eastAsia="Times New Roman" w:hAnsi="Arial" w:cs="Arial"/>
          <w:bCs/>
          <w:kern w:val="1"/>
          <w:lang w:eastAsia="ar-SA"/>
        </w:rPr>
        <w:t>”</w:t>
      </w:r>
      <w:r w:rsidR="00B96223" w:rsidRPr="00931D46">
        <w:rPr>
          <w:rStyle w:val="Refdenotaalpie"/>
          <w:rFonts w:ascii="Arial" w:hAnsi="Arial" w:cs="Arial"/>
        </w:rPr>
        <w:footnoteReference w:id="6"/>
      </w:r>
    </w:p>
    <w:p w14:paraId="4F8A0026" w14:textId="77777777" w:rsidR="0036327F" w:rsidRPr="00931D46" w:rsidRDefault="0036327F" w:rsidP="0023353F">
      <w:pPr>
        <w:spacing w:before="0" w:after="0"/>
        <w:rPr>
          <w:rFonts w:ascii="Arial" w:eastAsia="Times New Roman" w:hAnsi="Arial" w:cs="Arial"/>
          <w:bCs/>
          <w:kern w:val="1"/>
          <w:lang w:eastAsia="ar-SA"/>
        </w:rPr>
      </w:pPr>
    </w:p>
    <w:p w14:paraId="7C348100" w14:textId="27AC5C9D" w:rsidR="00F7408E" w:rsidRPr="00931D46" w:rsidRDefault="002A21FD"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En el ámbito internacional</w:t>
      </w:r>
      <w:r w:rsidR="00CB3517" w:rsidRPr="00931D46">
        <w:rPr>
          <w:rFonts w:ascii="Arial" w:eastAsia="Times New Roman" w:hAnsi="Arial" w:cs="Arial"/>
          <w:bCs/>
          <w:kern w:val="1"/>
          <w:lang w:eastAsia="ar-SA"/>
        </w:rPr>
        <w:t xml:space="preserve">, </w:t>
      </w:r>
      <w:r w:rsidR="00F7408E" w:rsidRPr="00931D46">
        <w:rPr>
          <w:rFonts w:ascii="Arial" w:eastAsia="Times New Roman" w:hAnsi="Arial" w:cs="Arial"/>
          <w:bCs/>
          <w:kern w:val="1"/>
          <w:lang w:eastAsia="ar-SA"/>
        </w:rPr>
        <w:t xml:space="preserve">las autoridades de competencia económica </w:t>
      </w:r>
      <w:r w:rsidR="004C10BD">
        <w:rPr>
          <w:rFonts w:ascii="Arial" w:eastAsia="Times New Roman" w:hAnsi="Arial" w:cs="Arial"/>
          <w:bCs/>
          <w:kern w:val="1"/>
          <w:lang w:eastAsia="ar-SA"/>
        </w:rPr>
        <w:t xml:space="preserve">y organismos </w:t>
      </w:r>
      <w:r w:rsidR="005B693B">
        <w:rPr>
          <w:rFonts w:ascii="Arial" w:eastAsia="Times New Roman" w:hAnsi="Arial" w:cs="Arial"/>
          <w:bCs/>
          <w:kern w:val="1"/>
          <w:lang w:eastAsia="ar-SA"/>
        </w:rPr>
        <w:t xml:space="preserve">internacionales, </w:t>
      </w:r>
      <w:r w:rsidR="004C10BD">
        <w:rPr>
          <w:rFonts w:ascii="Arial" w:eastAsia="Times New Roman" w:hAnsi="Arial" w:cs="Arial"/>
          <w:bCs/>
          <w:kern w:val="1"/>
          <w:lang w:eastAsia="ar-SA"/>
        </w:rPr>
        <w:t>como la OCD</w:t>
      </w:r>
      <w:r w:rsidR="005B693B">
        <w:rPr>
          <w:rFonts w:ascii="Arial" w:eastAsia="Times New Roman" w:hAnsi="Arial" w:cs="Arial"/>
          <w:bCs/>
          <w:kern w:val="1"/>
          <w:lang w:eastAsia="ar-SA"/>
        </w:rPr>
        <w:t>E</w:t>
      </w:r>
      <w:r w:rsidR="004C10BD">
        <w:rPr>
          <w:rFonts w:ascii="Arial" w:eastAsia="Times New Roman" w:hAnsi="Arial" w:cs="Arial"/>
          <w:bCs/>
          <w:kern w:val="1"/>
          <w:lang w:eastAsia="ar-SA"/>
        </w:rPr>
        <w:t xml:space="preserve"> </w:t>
      </w:r>
      <w:r w:rsidR="00F7408E" w:rsidRPr="00931D46">
        <w:rPr>
          <w:rFonts w:ascii="Arial" w:eastAsia="Times New Roman" w:hAnsi="Arial" w:cs="Arial"/>
          <w:bCs/>
          <w:kern w:val="1"/>
          <w:lang w:eastAsia="ar-SA"/>
        </w:rPr>
        <w:t xml:space="preserve">definen el concepto de MR de manera similar, con </w:t>
      </w:r>
      <w:r w:rsidR="00E971CA" w:rsidRPr="00931D46">
        <w:rPr>
          <w:rFonts w:ascii="Arial" w:eastAsia="Times New Roman" w:hAnsi="Arial" w:cs="Arial"/>
          <w:bCs/>
          <w:kern w:val="1"/>
          <w:lang w:eastAsia="ar-SA"/>
        </w:rPr>
        <w:t xml:space="preserve">base en dos </w:t>
      </w:r>
      <w:r w:rsidR="00F7408E" w:rsidRPr="00931D46">
        <w:rPr>
          <w:rFonts w:ascii="Arial" w:eastAsia="Times New Roman" w:hAnsi="Arial" w:cs="Arial"/>
          <w:bCs/>
          <w:kern w:val="1"/>
          <w:lang w:eastAsia="ar-SA"/>
        </w:rPr>
        <w:t>dimensi</w:t>
      </w:r>
      <w:r w:rsidR="00E971CA" w:rsidRPr="00931D46">
        <w:rPr>
          <w:rFonts w:ascii="Arial" w:eastAsia="Times New Roman" w:hAnsi="Arial" w:cs="Arial"/>
          <w:bCs/>
          <w:kern w:val="1"/>
          <w:lang w:eastAsia="ar-SA"/>
        </w:rPr>
        <w:t>ones</w:t>
      </w:r>
      <w:r w:rsidR="005B693B">
        <w:rPr>
          <w:rFonts w:ascii="Arial" w:eastAsia="Times New Roman" w:hAnsi="Arial" w:cs="Arial"/>
          <w:bCs/>
          <w:kern w:val="1"/>
          <w:lang w:eastAsia="ar-SA"/>
        </w:rPr>
        <w:t>:</w:t>
      </w:r>
      <w:r w:rsidR="00F7408E" w:rsidRPr="00931D46">
        <w:rPr>
          <w:rFonts w:ascii="Arial" w:eastAsia="Times New Roman" w:hAnsi="Arial" w:cs="Arial"/>
          <w:bCs/>
          <w:kern w:val="1"/>
          <w:lang w:eastAsia="ar-SA"/>
        </w:rPr>
        <w:t xml:space="preserve"> </w:t>
      </w:r>
      <w:r w:rsidR="00330363">
        <w:rPr>
          <w:rFonts w:ascii="Arial" w:eastAsia="Times New Roman" w:hAnsi="Arial" w:cs="Arial"/>
          <w:bCs/>
          <w:kern w:val="1"/>
          <w:lang w:eastAsia="ar-SA"/>
        </w:rPr>
        <w:t>producto</w:t>
      </w:r>
      <w:r w:rsidR="00F7408E" w:rsidRPr="00931D46">
        <w:rPr>
          <w:rFonts w:ascii="Arial" w:eastAsia="Times New Roman" w:hAnsi="Arial" w:cs="Arial"/>
          <w:bCs/>
          <w:kern w:val="1"/>
          <w:lang w:eastAsia="ar-SA"/>
        </w:rPr>
        <w:t xml:space="preserve"> y geográfica:</w:t>
      </w:r>
    </w:p>
    <w:p w14:paraId="0545DCFB" w14:textId="77777777" w:rsidR="0023353F" w:rsidRPr="00931D46" w:rsidRDefault="0023353F" w:rsidP="0023353F">
      <w:pPr>
        <w:spacing w:before="0" w:after="0"/>
        <w:rPr>
          <w:rFonts w:ascii="Arial" w:eastAsia="Times New Roman" w:hAnsi="Arial" w:cs="Arial"/>
          <w:bCs/>
          <w:kern w:val="1"/>
          <w:lang w:eastAsia="ar-SA"/>
        </w:rPr>
      </w:pPr>
    </w:p>
    <w:p w14:paraId="643B45F3" w14:textId="63518874" w:rsidR="00F7408E" w:rsidRPr="00931D46" w:rsidRDefault="00F7408E" w:rsidP="00942BD7">
      <w:pPr>
        <w:pStyle w:val="Prrafodelista"/>
        <w:numPr>
          <w:ilvl w:val="0"/>
          <w:numId w:val="37"/>
        </w:numPr>
        <w:spacing w:before="0" w:after="0"/>
        <w:ind w:hanging="578"/>
        <w:contextualSpacing w:val="0"/>
        <w:rPr>
          <w:rFonts w:ascii="Arial" w:hAnsi="Arial" w:cs="Arial"/>
        </w:rPr>
      </w:pPr>
      <w:r w:rsidRPr="00931D46">
        <w:rPr>
          <w:rFonts w:ascii="Arial" w:eastAsia="Times New Roman" w:hAnsi="Arial" w:cs="Arial"/>
          <w:b/>
          <w:bCs/>
          <w:kern w:val="1"/>
          <w:lang w:eastAsia="ar-SA"/>
        </w:rPr>
        <w:t>Unión</w:t>
      </w:r>
      <w:r w:rsidR="003817EC" w:rsidRPr="00931D46">
        <w:rPr>
          <w:rFonts w:ascii="Arial" w:eastAsia="Times New Roman" w:hAnsi="Arial" w:cs="Arial"/>
          <w:b/>
          <w:bCs/>
          <w:kern w:val="1"/>
          <w:lang w:eastAsia="ar-SA"/>
        </w:rPr>
        <w:t xml:space="preserve"> </w:t>
      </w:r>
      <w:r w:rsidRPr="00931D46">
        <w:rPr>
          <w:rFonts w:ascii="Arial" w:eastAsia="Times New Roman" w:hAnsi="Arial" w:cs="Arial"/>
          <w:b/>
          <w:bCs/>
          <w:kern w:val="1"/>
          <w:lang w:eastAsia="ar-SA"/>
        </w:rPr>
        <w:t>Europea</w:t>
      </w:r>
      <w:r w:rsidRPr="00931D46">
        <w:rPr>
          <w:rFonts w:ascii="Arial" w:eastAsia="Times New Roman" w:hAnsi="Arial" w:cs="Arial"/>
          <w:bCs/>
          <w:kern w:val="1"/>
          <w:lang w:eastAsia="ar-SA"/>
        </w:rPr>
        <w:t>. L</w:t>
      </w:r>
      <w:r w:rsidR="00CB3517" w:rsidRPr="00931D46">
        <w:rPr>
          <w:rFonts w:ascii="Arial" w:eastAsia="Times New Roman" w:hAnsi="Arial" w:cs="Arial"/>
          <w:bCs/>
          <w:kern w:val="1"/>
          <w:lang w:eastAsia="ar-SA"/>
        </w:rPr>
        <w:t>a CE señala que</w:t>
      </w:r>
      <w:r w:rsidRPr="00931D46">
        <w:rPr>
          <w:rFonts w:ascii="Arial" w:eastAsia="Times New Roman" w:hAnsi="Arial" w:cs="Arial"/>
          <w:bCs/>
          <w:kern w:val="1"/>
          <w:lang w:eastAsia="ar-SA"/>
        </w:rPr>
        <w:t xml:space="preserve"> el mercado de referencia </w:t>
      </w:r>
      <w:r w:rsidR="00625948" w:rsidRPr="00931D46">
        <w:rPr>
          <w:rFonts w:ascii="Arial" w:eastAsia="Times New Roman" w:hAnsi="Arial" w:cs="Arial"/>
          <w:bCs/>
          <w:kern w:val="1"/>
          <w:lang w:eastAsia="ar-SA"/>
        </w:rPr>
        <w:t xml:space="preserve">es </w:t>
      </w:r>
      <w:r w:rsidRPr="00931D46">
        <w:rPr>
          <w:rFonts w:ascii="Arial" w:eastAsia="Times New Roman" w:hAnsi="Arial" w:cs="Arial"/>
          <w:bCs/>
          <w:kern w:val="1"/>
          <w:lang w:eastAsia="ar-SA"/>
        </w:rPr>
        <w:t xml:space="preserve">el marco </w:t>
      </w:r>
      <w:r w:rsidR="00625948" w:rsidRPr="00931D46">
        <w:rPr>
          <w:rFonts w:ascii="Arial" w:eastAsia="Times New Roman" w:hAnsi="Arial" w:cs="Arial"/>
          <w:bCs/>
          <w:kern w:val="1"/>
          <w:lang w:eastAsia="ar-SA"/>
        </w:rPr>
        <w:t xml:space="preserve">a partir </w:t>
      </w:r>
      <w:r w:rsidRPr="00931D46">
        <w:rPr>
          <w:rFonts w:ascii="Arial" w:eastAsia="Times New Roman" w:hAnsi="Arial" w:cs="Arial"/>
          <w:bCs/>
          <w:kern w:val="1"/>
          <w:lang w:eastAsia="ar-SA"/>
        </w:rPr>
        <w:t>del cual se ex</w:t>
      </w:r>
      <w:r w:rsidRPr="00931D46">
        <w:rPr>
          <w:rFonts w:ascii="Arial" w:eastAsia="Times New Roman" w:hAnsi="Arial" w:cs="Arial"/>
          <w:kern w:val="1"/>
          <w:lang w:eastAsia="ar-SA"/>
        </w:rPr>
        <w:t xml:space="preserve">amina una cuestión de competencia </w:t>
      </w:r>
      <w:r w:rsidR="00625948" w:rsidRPr="00931D46">
        <w:rPr>
          <w:rFonts w:ascii="Arial" w:eastAsia="Times New Roman" w:hAnsi="Arial" w:cs="Arial"/>
          <w:kern w:val="1"/>
          <w:lang w:eastAsia="ar-SA"/>
        </w:rPr>
        <w:t xml:space="preserve">y </w:t>
      </w:r>
      <w:r w:rsidRPr="00931D46">
        <w:rPr>
          <w:rFonts w:ascii="Arial" w:eastAsia="Times New Roman" w:hAnsi="Arial" w:cs="Arial"/>
          <w:kern w:val="1"/>
          <w:lang w:eastAsia="ar-SA"/>
        </w:rPr>
        <w:t xml:space="preserve">se determina combinando el mercado de </w:t>
      </w:r>
      <w:r w:rsidR="00330363">
        <w:rPr>
          <w:rFonts w:ascii="Arial" w:eastAsia="Times New Roman" w:hAnsi="Arial" w:cs="Arial"/>
          <w:kern w:val="1"/>
          <w:lang w:eastAsia="ar-SA"/>
        </w:rPr>
        <w:t>producto</w:t>
      </w:r>
      <w:r w:rsidRPr="00931D46">
        <w:rPr>
          <w:rFonts w:ascii="Arial" w:eastAsia="Times New Roman" w:hAnsi="Arial" w:cs="Arial"/>
          <w:kern w:val="1"/>
          <w:lang w:eastAsia="ar-SA"/>
        </w:rPr>
        <w:t xml:space="preserve"> y el mercado geográfico.</w:t>
      </w:r>
      <w:r w:rsidR="00CB3517" w:rsidRPr="00931D46">
        <w:rPr>
          <w:rFonts w:ascii="Arial" w:eastAsia="Times New Roman" w:hAnsi="Arial" w:cs="Arial"/>
          <w:bCs/>
          <w:kern w:val="1"/>
          <w:lang w:eastAsia="ar-SA"/>
        </w:rPr>
        <w:t xml:space="preserve"> </w:t>
      </w:r>
      <w:r w:rsidRPr="00931D46">
        <w:rPr>
          <w:rFonts w:ascii="Arial" w:eastAsia="Times New Roman" w:hAnsi="Arial" w:cs="Arial"/>
          <w:bCs/>
          <w:kern w:val="1"/>
          <w:lang w:eastAsia="ar-SA"/>
        </w:rPr>
        <w:t>L</w:t>
      </w:r>
      <w:r w:rsidR="00CB3517" w:rsidRPr="00931D46">
        <w:rPr>
          <w:rFonts w:ascii="Arial" w:eastAsia="Times New Roman" w:hAnsi="Arial" w:cs="Arial"/>
          <w:bCs/>
          <w:kern w:val="1"/>
          <w:lang w:eastAsia="ar-SA"/>
        </w:rPr>
        <w:t xml:space="preserve">a dimensión </w:t>
      </w:r>
      <w:r w:rsidR="00330363">
        <w:rPr>
          <w:rFonts w:ascii="Arial" w:eastAsia="Times New Roman" w:hAnsi="Arial" w:cs="Arial"/>
          <w:bCs/>
          <w:kern w:val="1"/>
          <w:lang w:eastAsia="ar-SA"/>
        </w:rPr>
        <w:t>producto</w:t>
      </w:r>
      <w:r w:rsidR="00CB3517" w:rsidRPr="00931D46">
        <w:rPr>
          <w:rFonts w:ascii="Arial" w:eastAsia="Times New Roman" w:hAnsi="Arial" w:cs="Arial"/>
          <w:bCs/>
          <w:kern w:val="1"/>
          <w:lang w:eastAsia="ar-SA"/>
        </w:rPr>
        <w:t xml:space="preserve"> de</w:t>
      </w:r>
      <w:r w:rsidR="00CB3517" w:rsidRPr="00931D46" w:rsidDel="00710B1A">
        <w:rPr>
          <w:rFonts w:ascii="Arial" w:eastAsia="Times New Roman" w:hAnsi="Arial" w:cs="Arial"/>
          <w:bCs/>
          <w:kern w:val="1"/>
          <w:lang w:eastAsia="ar-SA"/>
        </w:rPr>
        <w:t>l</w:t>
      </w:r>
      <w:r w:rsidR="00CB3517" w:rsidRPr="00931D46">
        <w:rPr>
          <w:rFonts w:ascii="Arial" w:eastAsia="Times New Roman" w:hAnsi="Arial" w:cs="Arial"/>
          <w:bCs/>
          <w:kern w:val="1"/>
          <w:lang w:eastAsia="ar-SA"/>
        </w:rPr>
        <w:t xml:space="preserve"> MR comprende la totalidad de los </w:t>
      </w:r>
      <w:r w:rsidR="00330363">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w:t>
      </w:r>
      <w:r w:rsidR="00CB3517" w:rsidRPr="00931D46">
        <w:rPr>
          <w:rFonts w:ascii="Arial" w:eastAsia="Times New Roman" w:hAnsi="Arial" w:cs="Arial"/>
          <w:bCs/>
          <w:kern w:val="1"/>
          <w:lang w:eastAsia="ar-SA"/>
        </w:rPr>
        <w:t>que los consumidores consideren intercambiables o sustituibles en razón de sus características, su precio o el uso que se prevea hacer de ellos, mientras que la dimensión geográfica de</w:t>
      </w:r>
      <w:r w:rsidR="00CB3517" w:rsidRPr="00931D46" w:rsidDel="008C4A25">
        <w:rPr>
          <w:rFonts w:ascii="Arial" w:eastAsia="Times New Roman" w:hAnsi="Arial" w:cs="Arial"/>
          <w:bCs/>
          <w:kern w:val="1"/>
          <w:lang w:eastAsia="ar-SA"/>
        </w:rPr>
        <w:t>l</w:t>
      </w:r>
      <w:r w:rsidR="00CB3517" w:rsidRPr="00931D46">
        <w:rPr>
          <w:rFonts w:ascii="Arial" w:eastAsia="Times New Roman" w:hAnsi="Arial" w:cs="Arial"/>
          <w:bCs/>
          <w:kern w:val="1"/>
          <w:lang w:eastAsia="ar-SA"/>
        </w:rPr>
        <w:t xml:space="preserve"> MR comprende la zona en la que </w:t>
      </w:r>
      <w:r w:rsidRPr="00931D46">
        <w:rPr>
          <w:rFonts w:ascii="Arial" w:eastAsia="Times New Roman" w:hAnsi="Arial" w:cs="Arial"/>
          <w:kern w:val="1"/>
          <w:lang w:eastAsia="ar-SA"/>
        </w:rPr>
        <w:t xml:space="preserve">las </w:t>
      </w:r>
      <w:r w:rsidRPr="00931D46">
        <w:rPr>
          <w:rFonts w:ascii="Arial" w:eastAsia="Times New Roman" w:hAnsi="Arial" w:cs="Arial"/>
          <w:bCs/>
          <w:kern w:val="1"/>
          <w:lang w:eastAsia="ar-SA"/>
        </w:rPr>
        <w:t xml:space="preserve">empresas involucradas desarrollan actividades de suministro de los </w:t>
      </w:r>
      <w:r w:rsidR="00330363">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de referencia, en la que </w:t>
      </w:r>
      <w:r w:rsidR="00CB3517" w:rsidRPr="00931D46">
        <w:rPr>
          <w:rFonts w:ascii="Arial" w:eastAsia="Times New Roman" w:hAnsi="Arial" w:cs="Arial"/>
          <w:bCs/>
          <w:kern w:val="1"/>
          <w:lang w:eastAsia="ar-SA"/>
        </w:rPr>
        <w:t>las condiciones de competencia son suficientemente homogéneas y que puede distinguirse de otras zonas geográficas próximas debido</w:t>
      </w:r>
      <w:r w:rsidRPr="00931D46">
        <w:rPr>
          <w:rFonts w:ascii="Arial" w:eastAsia="Times New Roman" w:hAnsi="Arial" w:cs="Arial"/>
          <w:bCs/>
          <w:kern w:val="1"/>
          <w:lang w:eastAsia="ar-SA"/>
        </w:rPr>
        <w:t>, en particular,</w:t>
      </w:r>
      <w:r w:rsidR="00CB3517" w:rsidRPr="00931D46">
        <w:rPr>
          <w:rFonts w:ascii="Arial" w:eastAsia="Times New Roman" w:hAnsi="Arial" w:cs="Arial"/>
          <w:bCs/>
          <w:kern w:val="1"/>
          <w:lang w:eastAsia="ar-SA"/>
        </w:rPr>
        <w:t xml:space="preserve"> a que las condiciones de competencia </w:t>
      </w:r>
      <w:r w:rsidR="00A06824" w:rsidRPr="00931D46">
        <w:rPr>
          <w:rFonts w:ascii="Arial" w:eastAsia="Times New Roman" w:hAnsi="Arial" w:cs="Arial"/>
          <w:bCs/>
          <w:kern w:val="1"/>
          <w:lang w:eastAsia="ar-SA"/>
        </w:rPr>
        <w:t xml:space="preserve">prevalecientes </w:t>
      </w:r>
      <w:r w:rsidR="00CB3517" w:rsidRPr="00931D46">
        <w:rPr>
          <w:rFonts w:ascii="Arial" w:eastAsia="Times New Roman" w:hAnsi="Arial" w:cs="Arial"/>
          <w:bCs/>
          <w:kern w:val="1"/>
          <w:lang w:eastAsia="ar-SA"/>
        </w:rPr>
        <w:t xml:space="preserve">en ella son </w:t>
      </w:r>
      <w:r w:rsidRPr="00931D46">
        <w:rPr>
          <w:rFonts w:ascii="Arial" w:eastAsia="Times New Roman" w:hAnsi="Arial" w:cs="Arial"/>
          <w:bCs/>
          <w:kern w:val="1"/>
          <w:lang w:eastAsia="ar-SA"/>
        </w:rPr>
        <w:t xml:space="preserve">sensiblemente </w:t>
      </w:r>
      <w:r w:rsidR="00CB3517" w:rsidRPr="00931D46">
        <w:rPr>
          <w:rFonts w:ascii="Arial" w:eastAsia="Times New Roman" w:hAnsi="Arial" w:cs="Arial"/>
          <w:bCs/>
          <w:kern w:val="1"/>
          <w:lang w:eastAsia="ar-SA"/>
        </w:rPr>
        <w:t xml:space="preserve">distintas a </w:t>
      </w:r>
      <w:r w:rsidR="00813E36" w:rsidRPr="00931D46">
        <w:rPr>
          <w:rFonts w:ascii="Arial" w:eastAsia="Times New Roman" w:hAnsi="Arial" w:cs="Arial"/>
          <w:bCs/>
          <w:kern w:val="1"/>
          <w:lang w:eastAsia="ar-SA"/>
        </w:rPr>
        <w:t xml:space="preserve">las de </w:t>
      </w:r>
      <w:r w:rsidR="00CB3517" w:rsidRPr="00931D46">
        <w:rPr>
          <w:rFonts w:ascii="Arial" w:eastAsia="Times New Roman" w:hAnsi="Arial" w:cs="Arial"/>
          <w:bCs/>
          <w:kern w:val="1"/>
          <w:lang w:eastAsia="ar-SA"/>
        </w:rPr>
        <w:t>aquéllas.</w:t>
      </w:r>
      <w:r w:rsidR="00CB3517" w:rsidRPr="00931D46">
        <w:rPr>
          <w:rStyle w:val="Refdenotaalpie"/>
          <w:rFonts w:ascii="Arial" w:eastAsia="Times New Roman" w:hAnsi="Arial" w:cs="Arial"/>
          <w:bCs/>
          <w:kern w:val="1"/>
          <w:lang w:eastAsia="ar-SA"/>
        </w:rPr>
        <w:footnoteReference w:id="7"/>
      </w:r>
      <w:r w:rsidR="002124A7" w:rsidRPr="00931D46">
        <w:rPr>
          <w:rFonts w:ascii="Arial" w:eastAsia="Times New Roman" w:hAnsi="Arial" w:cs="Arial"/>
          <w:bCs/>
          <w:kern w:val="1"/>
          <w:lang w:eastAsia="ar-SA"/>
        </w:rPr>
        <w:t xml:space="preserve"> </w:t>
      </w:r>
      <w:r w:rsidR="008455D1" w:rsidRPr="00931D46">
        <w:rPr>
          <w:rFonts w:ascii="Arial" w:eastAsia="Times New Roman" w:hAnsi="Arial" w:cs="Arial"/>
          <w:bCs/>
          <w:kern w:val="1"/>
          <w:lang w:eastAsia="ar-SA"/>
        </w:rPr>
        <w:t xml:space="preserve"> </w:t>
      </w:r>
    </w:p>
    <w:p w14:paraId="50F76107" w14:textId="7DF3C5E5" w:rsidR="00F7408E" w:rsidRPr="00931D46" w:rsidRDefault="00F7408E" w:rsidP="00942BD7">
      <w:pPr>
        <w:pStyle w:val="Prrafodelista"/>
        <w:numPr>
          <w:ilvl w:val="0"/>
          <w:numId w:val="37"/>
        </w:numPr>
        <w:spacing w:before="0" w:after="0"/>
        <w:ind w:hanging="578"/>
        <w:contextualSpacing w:val="0"/>
        <w:rPr>
          <w:rFonts w:ascii="Arial" w:hAnsi="Arial" w:cs="Arial"/>
        </w:rPr>
      </w:pPr>
      <w:r w:rsidRPr="00931D46">
        <w:rPr>
          <w:rFonts w:ascii="Arial" w:hAnsi="Arial" w:cs="Arial"/>
          <w:b/>
        </w:rPr>
        <w:t>Estados Unidos de América</w:t>
      </w:r>
      <w:r w:rsidRPr="00931D46">
        <w:rPr>
          <w:rFonts w:ascii="Arial" w:hAnsi="Arial" w:cs="Arial"/>
        </w:rPr>
        <w:t xml:space="preserve">. De acuerdo con la Guía de </w:t>
      </w:r>
      <w:r w:rsidR="00B30280" w:rsidRPr="00931D46">
        <w:rPr>
          <w:rFonts w:ascii="Arial" w:hAnsi="Arial" w:cs="Arial"/>
        </w:rPr>
        <w:t>Concentra</w:t>
      </w:r>
      <w:r w:rsidR="00CD6DEE" w:rsidRPr="00931D46">
        <w:rPr>
          <w:rFonts w:ascii="Arial" w:hAnsi="Arial" w:cs="Arial"/>
        </w:rPr>
        <w:t>c</w:t>
      </w:r>
      <w:r w:rsidR="00B30280" w:rsidRPr="00931D46">
        <w:rPr>
          <w:rFonts w:ascii="Arial" w:hAnsi="Arial" w:cs="Arial"/>
        </w:rPr>
        <w:t>iones</w:t>
      </w:r>
      <w:r w:rsidRPr="00931D46">
        <w:rPr>
          <w:rFonts w:ascii="Arial" w:hAnsi="Arial" w:cs="Arial"/>
        </w:rPr>
        <w:t xml:space="preserve"> Horizontales,</w:t>
      </w:r>
      <w:r w:rsidRPr="00931D46">
        <w:rPr>
          <w:rFonts w:ascii="Arial" w:eastAsia="Times New Roman" w:hAnsi="Arial" w:cs="Arial"/>
          <w:vertAlign w:val="superscript"/>
          <w:lang w:val="en-US" w:eastAsia="es-MX"/>
        </w:rPr>
        <w:footnoteReference w:id="8"/>
      </w:r>
      <w:r w:rsidRPr="00931D46">
        <w:rPr>
          <w:rFonts w:ascii="Arial" w:hAnsi="Arial" w:cs="Arial"/>
        </w:rPr>
        <w:t xml:space="preserve"> el MR tiene una dimensión </w:t>
      </w:r>
      <w:r w:rsidR="00330363">
        <w:rPr>
          <w:rFonts w:ascii="Arial" w:hAnsi="Arial" w:cs="Arial"/>
        </w:rPr>
        <w:t>producto</w:t>
      </w:r>
      <w:r w:rsidRPr="00931D46">
        <w:rPr>
          <w:rFonts w:ascii="Arial" w:hAnsi="Arial" w:cs="Arial"/>
        </w:rPr>
        <w:t xml:space="preserve"> y una dimensión geográfica. Sobre la dimensión </w:t>
      </w:r>
      <w:r w:rsidR="00330363">
        <w:rPr>
          <w:rFonts w:ascii="Arial" w:hAnsi="Arial" w:cs="Arial"/>
        </w:rPr>
        <w:t>producto</w:t>
      </w:r>
      <w:r w:rsidRPr="00931D46">
        <w:rPr>
          <w:rFonts w:ascii="Arial" w:hAnsi="Arial" w:cs="Arial"/>
        </w:rPr>
        <w:t xml:space="preserve"> señala que consiste en un grupo de </w:t>
      </w:r>
      <w:r w:rsidR="00330363">
        <w:rPr>
          <w:rFonts w:ascii="Arial" w:hAnsi="Arial" w:cs="Arial"/>
        </w:rPr>
        <w:t>productos</w:t>
      </w:r>
      <w:r w:rsidRPr="00931D46">
        <w:rPr>
          <w:rFonts w:ascii="Arial" w:hAnsi="Arial" w:cs="Arial"/>
        </w:rPr>
        <w:t xml:space="preserve"> sustitutos, incluyendo el </w:t>
      </w:r>
      <w:r w:rsidR="00330363">
        <w:rPr>
          <w:rFonts w:ascii="Arial" w:hAnsi="Arial" w:cs="Arial"/>
        </w:rPr>
        <w:t>producto</w:t>
      </w:r>
      <w:r w:rsidR="00633CBC" w:rsidRPr="00931D46">
        <w:rPr>
          <w:rFonts w:ascii="Arial" w:hAnsi="Arial" w:cs="Arial"/>
        </w:rPr>
        <w:t xml:space="preserve"> </w:t>
      </w:r>
      <w:r w:rsidRPr="00931D46">
        <w:rPr>
          <w:rFonts w:ascii="Arial" w:hAnsi="Arial" w:cs="Arial"/>
        </w:rPr>
        <w:t>bajo análisis</w:t>
      </w:r>
      <w:r w:rsidR="00117A88" w:rsidRPr="00931D46">
        <w:rPr>
          <w:rFonts w:ascii="Arial" w:hAnsi="Arial" w:cs="Arial"/>
        </w:rPr>
        <w:t xml:space="preserve">, </w:t>
      </w:r>
      <w:r w:rsidR="00117A88" w:rsidRPr="00931D46">
        <w:rPr>
          <w:rStyle w:val="Refdecomentario"/>
          <w:rFonts w:ascii="Arial" w:hAnsi="Arial" w:cs="Arial"/>
          <w:sz w:val="22"/>
          <w:szCs w:val="22"/>
        </w:rPr>
        <w:t>los cuales son razonablemente intercambiables en términos de su uso, precio u otros factores no relacionados con el precio como la calidad o el servicio</w:t>
      </w:r>
      <w:r w:rsidRPr="00931D46">
        <w:rPr>
          <w:rFonts w:ascii="Arial" w:hAnsi="Arial" w:cs="Arial"/>
        </w:rPr>
        <w:t xml:space="preserve">; en cuanto a la dimensión geográfica, señala que el ámbito de competencia puede estar limitado si la geografía limita la voluntad o la capacidad de algunos clientes de sustituir algunos </w:t>
      </w:r>
      <w:r w:rsidR="00330363">
        <w:rPr>
          <w:rFonts w:ascii="Arial" w:hAnsi="Arial" w:cs="Arial"/>
        </w:rPr>
        <w:t>productos</w:t>
      </w:r>
      <w:r w:rsidRPr="00931D46">
        <w:rPr>
          <w:rFonts w:ascii="Arial" w:hAnsi="Arial" w:cs="Arial"/>
        </w:rPr>
        <w:t>, o la capacidad de algunos proveedores para atender algunos clientes</w:t>
      </w:r>
      <w:r w:rsidR="0034721F">
        <w:rPr>
          <w:rFonts w:ascii="Arial" w:hAnsi="Arial" w:cs="Arial"/>
        </w:rPr>
        <w:t>;</w:t>
      </w:r>
      <w:r w:rsidRPr="00931D46">
        <w:rPr>
          <w:rFonts w:ascii="Arial" w:hAnsi="Arial" w:cs="Arial"/>
        </w:rPr>
        <w:t xml:space="preserve"> tanto la ubicación de los proveedores como la de los clientes pueden afectar esto.</w:t>
      </w:r>
    </w:p>
    <w:p w14:paraId="3D523D02" w14:textId="59D2A6E2" w:rsidR="006550D3" w:rsidRPr="00931D46" w:rsidRDefault="006550D3" w:rsidP="00942BD7">
      <w:pPr>
        <w:pStyle w:val="Prrafodelista"/>
        <w:numPr>
          <w:ilvl w:val="0"/>
          <w:numId w:val="37"/>
        </w:numPr>
        <w:spacing w:before="0" w:after="0"/>
        <w:ind w:hanging="578"/>
        <w:contextualSpacing w:val="0"/>
        <w:rPr>
          <w:rStyle w:val="Refdecomentario"/>
          <w:rFonts w:ascii="Arial" w:hAnsi="Arial" w:cs="Arial"/>
          <w:sz w:val="22"/>
          <w:szCs w:val="22"/>
        </w:rPr>
      </w:pPr>
      <w:r w:rsidRPr="00931D46">
        <w:rPr>
          <w:rFonts w:ascii="Arial" w:eastAsia="Times New Roman" w:hAnsi="Arial" w:cs="Arial"/>
          <w:b/>
          <w:bCs/>
          <w:kern w:val="1"/>
          <w:lang w:eastAsia="ar-SA"/>
        </w:rPr>
        <w:t>Reino Unido</w:t>
      </w:r>
      <w:r w:rsidR="00F7408E" w:rsidRPr="00931D46">
        <w:rPr>
          <w:rFonts w:ascii="Arial" w:eastAsia="Times New Roman" w:hAnsi="Arial" w:cs="Arial"/>
          <w:b/>
          <w:bCs/>
          <w:kern w:val="1"/>
          <w:lang w:eastAsia="ar-SA"/>
        </w:rPr>
        <w:t>.</w:t>
      </w:r>
      <w:r w:rsidRPr="00931D46">
        <w:rPr>
          <w:rFonts w:ascii="Arial" w:eastAsia="Times New Roman" w:hAnsi="Arial" w:cs="Arial"/>
          <w:bCs/>
          <w:kern w:val="1"/>
          <w:lang w:eastAsia="ar-SA"/>
        </w:rPr>
        <w:t xml:space="preserve"> </w:t>
      </w:r>
      <w:r w:rsidR="00F7408E" w:rsidRPr="00931D46">
        <w:rPr>
          <w:rFonts w:ascii="Arial" w:eastAsia="Times New Roman" w:hAnsi="Arial" w:cs="Arial"/>
          <w:bCs/>
          <w:kern w:val="1"/>
          <w:lang w:eastAsia="ar-SA"/>
        </w:rPr>
        <w:t xml:space="preserve">La </w:t>
      </w:r>
      <w:r w:rsidR="004C10BD">
        <w:rPr>
          <w:rFonts w:ascii="Arial" w:eastAsia="Times New Roman" w:hAnsi="Arial" w:cs="Arial"/>
          <w:bCs/>
          <w:kern w:val="1"/>
          <w:lang w:eastAsia="ar-SA"/>
        </w:rPr>
        <w:t>G</w:t>
      </w:r>
      <w:r w:rsidR="00F7408E" w:rsidRPr="00931D46">
        <w:rPr>
          <w:rFonts w:ascii="Arial" w:eastAsia="Times New Roman" w:hAnsi="Arial" w:cs="Arial"/>
          <w:bCs/>
          <w:kern w:val="1"/>
          <w:lang w:eastAsia="ar-SA"/>
        </w:rPr>
        <w:t xml:space="preserve">uía para la </w:t>
      </w:r>
      <w:r w:rsidR="004C10BD">
        <w:rPr>
          <w:rFonts w:ascii="Arial" w:eastAsia="Times New Roman" w:hAnsi="Arial" w:cs="Arial"/>
          <w:bCs/>
          <w:kern w:val="1"/>
          <w:lang w:eastAsia="ar-SA"/>
        </w:rPr>
        <w:t>E</w:t>
      </w:r>
      <w:r w:rsidR="00F7408E" w:rsidRPr="00931D46">
        <w:rPr>
          <w:rFonts w:ascii="Arial" w:eastAsia="Times New Roman" w:hAnsi="Arial" w:cs="Arial"/>
          <w:bCs/>
          <w:kern w:val="1"/>
          <w:lang w:eastAsia="ar-SA"/>
        </w:rPr>
        <w:t xml:space="preserve">valuación de </w:t>
      </w:r>
      <w:r w:rsidR="004C10BD">
        <w:rPr>
          <w:rFonts w:ascii="Arial" w:eastAsia="Times New Roman" w:hAnsi="Arial" w:cs="Arial"/>
          <w:bCs/>
          <w:kern w:val="1"/>
          <w:lang w:eastAsia="ar-SA"/>
        </w:rPr>
        <w:t>C</w:t>
      </w:r>
      <w:r w:rsidR="00F7408E" w:rsidRPr="00931D46">
        <w:rPr>
          <w:rFonts w:ascii="Arial" w:eastAsia="Times New Roman" w:hAnsi="Arial" w:cs="Arial"/>
          <w:bCs/>
          <w:kern w:val="1"/>
          <w:lang w:eastAsia="ar-SA"/>
        </w:rPr>
        <w:t>oncentraciones</w:t>
      </w:r>
      <w:r w:rsidR="00F7408E" w:rsidRPr="00931D46">
        <w:rPr>
          <w:rStyle w:val="Refdenotaalpie"/>
          <w:rFonts w:ascii="Arial" w:hAnsi="Arial" w:cs="Arial"/>
        </w:rPr>
        <w:footnoteReference w:id="9"/>
      </w:r>
      <w:r w:rsidR="00F7408E" w:rsidRPr="00931D46">
        <w:rPr>
          <w:rFonts w:ascii="Arial" w:eastAsia="Times New Roman" w:hAnsi="Arial" w:cs="Arial"/>
          <w:bCs/>
          <w:kern w:val="1"/>
          <w:lang w:eastAsia="ar-SA"/>
        </w:rPr>
        <w:t xml:space="preserve"> señala que </w:t>
      </w:r>
      <w:r w:rsidR="00F7408E" w:rsidRPr="00931D46">
        <w:rPr>
          <w:rFonts w:ascii="Arial" w:eastAsia="Times New Roman" w:hAnsi="Arial" w:cs="Arial"/>
          <w:kern w:val="1"/>
          <w:lang w:eastAsia="ar-SA"/>
        </w:rPr>
        <w:t>normalmente el MR</w:t>
      </w:r>
      <w:r w:rsidR="00117A88" w:rsidRPr="00931D46">
        <w:rPr>
          <w:rFonts w:ascii="Arial" w:eastAsia="Times New Roman" w:hAnsi="Arial" w:cs="Arial"/>
          <w:kern w:val="1"/>
          <w:lang w:eastAsia="ar-SA"/>
        </w:rPr>
        <w:t xml:space="preserve"> tiene dos dimensiones:</w:t>
      </w:r>
      <w:r w:rsidR="00F7408E" w:rsidRPr="00931D46">
        <w:rPr>
          <w:rFonts w:ascii="Arial" w:eastAsia="Times New Roman" w:hAnsi="Arial" w:cs="Arial"/>
          <w:kern w:val="1"/>
          <w:lang w:eastAsia="ar-SA"/>
        </w:rPr>
        <w:t xml:space="preserve"> </w:t>
      </w:r>
      <w:r w:rsidR="00330363">
        <w:rPr>
          <w:rFonts w:ascii="Arial" w:eastAsia="Times New Roman" w:hAnsi="Arial" w:cs="Arial"/>
          <w:kern w:val="1"/>
          <w:lang w:eastAsia="ar-SA"/>
        </w:rPr>
        <w:t>producto</w:t>
      </w:r>
      <w:r w:rsidR="00F7408E" w:rsidRPr="00931D46">
        <w:rPr>
          <w:rFonts w:ascii="Arial" w:eastAsia="Times New Roman" w:hAnsi="Arial" w:cs="Arial"/>
          <w:kern w:val="1"/>
          <w:lang w:eastAsia="ar-SA"/>
        </w:rPr>
        <w:t xml:space="preserve"> y geográfica, </w:t>
      </w:r>
      <w:r w:rsidR="00117A88" w:rsidRPr="00931D46">
        <w:rPr>
          <w:rFonts w:ascii="Arial" w:eastAsia="Times New Roman" w:hAnsi="Arial" w:cs="Arial"/>
          <w:kern w:val="1"/>
          <w:lang w:eastAsia="ar-SA"/>
        </w:rPr>
        <w:t xml:space="preserve">aunque el MR </w:t>
      </w:r>
      <w:r w:rsidR="00F7408E" w:rsidRPr="00931D46">
        <w:rPr>
          <w:rFonts w:ascii="Arial" w:eastAsia="Times New Roman" w:hAnsi="Arial" w:cs="Arial"/>
          <w:kern w:val="1"/>
          <w:lang w:eastAsia="ar-SA"/>
        </w:rPr>
        <w:t xml:space="preserve">también puede definirse en referencia al grupo de </w:t>
      </w:r>
      <w:r w:rsidR="00F7408E" w:rsidRPr="00931D46">
        <w:rPr>
          <w:rFonts w:ascii="Arial" w:hAnsi="Arial" w:cs="Arial"/>
        </w:rPr>
        <w:t>clientes o a factores temporales.</w:t>
      </w:r>
      <w:r w:rsidR="00F7408E" w:rsidRPr="00931D46">
        <w:rPr>
          <w:rStyle w:val="Refdenotaalpie"/>
          <w:rFonts w:ascii="Arial" w:hAnsi="Arial" w:cs="Arial"/>
        </w:rPr>
        <w:footnoteReference w:id="10"/>
      </w:r>
      <w:r w:rsidR="00F7408E" w:rsidRPr="00931D46">
        <w:rPr>
          <w:rFonts w:ascii="Arial" w:hAnsi="Arial" w:cs="Arial"/>
        </w:rPr>
        <w:t xml:space="preserve"> </w:t>
      </w:r>
      <w:r w:rsidR="00F7408E" w:rsidRPr="00931D46">
        <w:rPr>
          <w:rFonts w:ascii="Arial" w:eastAsia="Times New Roman" w:hAnsi="Arial" w:cs="Arial"/>
          <w:bCs/>
          <w:kern w:val="1"/>
          <w:lang w:eastAsia="ar-SA"/>
        </w:rPr>
        <w:t>S</w:t>
      </w:r>
      <w:r w:rsidRPr="00931D46">
        <w:rPr>
          <w:rFonts w:ascii="Arial" w:eastAsia="Times New Roman" w:hAnsi="Arial" w:cs="Arial"/>
          <w:bCs/>
          <w:kern w:val="1"/>
          <w:lang w:eastAsia="ar-SA"/>
        </w:rPr>
        <w:t xml:space="preserve">e entiende por </w:t>
      </w:r>
      <w:r w:rsidR="00330363">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relevante </w:t>
      </w:r>
      <w:r w:rsidRPr="00931D46">
        <w:rPr>
          <w:rStyle w:val="Refdecomentario"/>
          <w:rFonts w:ascii="Arial" w:hAnsi="Arial" w:cs="Arial"/>
          <w:sz w:val="22"/>
          <w:szCs w:val="22"/>
        </w:rPr>
        <w:t xml:space="preserve">el conjunto de </w:t>
      </w:r>
      <w:r w:rsidR="00330363">
        <w:rPr>
          <w:rStyle w:val="Refdecomentario"/>
          <w:rFonts w:ascii="Arial" w:hAnsi="Arial" w:cs="Arial"/>
          <w:sz w:val="22"/>
          <w:szCs w:val="22"/>
        </w:rPr>
        <w:t>productos</w:t>
      </w:r>
      <w:r w:rsidRPr="00931D46">
        <w:rPr>
          <w:rStyle w:val="Refdecomentario"/>
          <w:rFonts w:ascii="Arial" w:hAnsi="Arial" w:cs="Arial"/>
          <w:sz w:val="22"/>
          <w:szCs w:val="22"/>
        </w:rPr>
        <w:t xml:space="preserve"> que los consumidores consideran sustitutos cercanos en términos de, por ejemplo, utilidad, marcas o calidad; sobre la dimensión geográfica, señala que puede ser local, regional, nacional o incluso más amplia.</w:t>
      </w:r>
    </w:p>
    <w:p w14:paraId="16FB4C0C" w14:textId="0C307C81" w:rsidR="00117A88" w:rsidRPr="00931D46" w:rsidRDefault="00117A88" w:rsidP="00942BD7">
      <w:pPr>
        <w:pStyle w:val="Prrafodelista"/>
        <w:numPr>
          <w:ilvl w:val="0"/>
          <w:numId w:val="37"/>
        </w:numPr>
        <w:spacing w:before="0" w:after="0"/>
        <w:ind w:hanging="578"/>
        <w:contextualSpacing w:val="0"/>
        <w:rPr>
          <w:rStyle w:val="Refdecomentario"/>
          <w:rFonts w:ascii="Arial" w:hAnsi="Arial" w:cs="Arial"/>
          <w:sz w:val="22"/>
          <w:szCs w:val="22"/>
        </w:rPr>
      </w:pPr>
      <w:r w:rsidRPr="00931D46">
        <w:rPr>
          <w:rFonts w:ascii="Arial" w:eastAsia="Times New Roman" w:hAnsi="Arial" w:cs="Arial"/>
          <w:b/>
          <w:bCs/>
          <w:kern w:val="1"/>
          <w:lang w:eastAsia="ar-SA"/>
        </w:rPr>
        <w:t xml:space="preserve">Canadá. </w:t>
      </w:r>
      <w:r w:rsidRPr="00931D46">
        <w:rPr>
          <w:rStyle w:val="Refdecomentario"/>
          <w:rFonts w:ascii="Arial" w:hAnsi="Arial" w:cs="Arial"/>
          <w:sz w:val="22"/>
          <w:szCs w:val="22"/>
        </w:rPr>
        <w:t xml:space="preserve">La </w:t>
      </w:r>
      <w:r w:rsidR="008C4A25" w:rsidRPr="00931D46">
        <w:rPr>
          <w:rStyle w:val="Refdecomentario"/>
          <w:rFonts w:ascii="Arial" w:hAnsi="Arial" w:cs="Arial"/>
          <w:sz w:val="22"/>
          <w:szCs w:val="22"/>
        </w:rPr>
        <w:t xml:space="preserve">CBC </w:t>
      </w:r>
      <w:r w:rsidRPr="00931D46">
        <w:rPr>
          <w:rStyle w:val="Refdecomentario"/>
          <w:rFonts w:ascii="Arial" w:hAnsi="Arial" w:cs="Arial"/>
          <w:sz w:val="22"/>
          <w:szCs w:val="22"/>
        </w:rPr>
        <w:t>señala que la determinación de</w:t>
      </w:r>
      <w:r w:rsidRPr="00931D46" w:rsidDel="00710B1A">
        <w:rPr>
          <w:rStyle w:val="Refdecomentario"/>
          <w:rFonts w:ascii="Arial" w:hAnsi="Arial" w:cs="Arial"/>
          <w:sz w:val="22"/>
          <w:szCs w:val="22"/>
        </w:rPr>
        <w:t>l</w:t>
      </w:r>
      <w:r w:rsidRPr="00931D46">
        <w:rPr>
          <w:rStyle w:val="Refdecomentario"/>
          <w:rFonts w:ascii="Arial" w:hAnsi="Arial" w:cs="Arial"/>
          <w:sz w:val="22"/>
          <w:szCs w:val="22"/>
        </w:rPr>
        <w:t xml:space="preserve"> MR se basa en la sustituibilidad y se centra en las respuestas de la demanda a los cambios de los precios relativos; la evaluación de los MR se hace desde dos perspectivas: la dimensión </w:t>
      </w:r>
      <w:r w:rsidR="00330363">
        <w:rPr>
          <w:rStyle w:val="Refdecomentario"/>
          <w:rFonts w:ascii="Arial" w:hAnsi="Arial" w:cs="Arial"/>
          <w:sz w:val="22"/>
          <w:szCs w:val="22"/>
        </w:rPr>
        <w:t>producto</w:t>
      </w:r>
      <w:r w:rsidRPr="00931D46">
        <w:rPr>
          <w:rStyle w:val="Refdecomentario"/>
          <w:rFonts w:ascii="Arial" w:hAnsi="Arial" w:cs="Arial"/>
          <w:sz w:val="22"/>
          <w:szCs w:val="22"/>
        </w:rPr>
        <w:t xml:space="preserve"> y la dimensión geográfica.</w:t>
      </w:r>
      <w:r w:rsidRPr="00931D46">
        <w:rPr>
          <w:rStyle w:val="Refdenotaalpie"/>
          <w:rFonts w:ascii="Arial" w:hAnsi="Arial" w:cs="Arial"/>
        </w:rPr>
        <w:footnoteReference w:id="11"/>
      </w:r>
    </w:p>
    <w:p w14:paraId="41A1256D" w14:textId="3247DE31" w:rsidR="00117A88" w:rsidRPr="00931D46" w:rsidRDefault="00117A88" w:rsidP="00942BD7">
      <w:pPr>
        <w:pStyle w:val="Prrafodelista"/>
        <w:numPr>
          <w:ilvl w:val="0"/>
          <w:numId w:val="37"/>
        </w:numPr>
        <w:spacing w:before="0" w:after="0"/>
        <w:ind w:hanging="578"/>
        <w:contextualSpacing w:val="0"/>
        <w:rPr>
          <w:rFonts w:ascii="Arial" w:hAnsi="Arial" w:cs="Arial"/>
          <w:b/>
        </w:rPr>
      </w:pPr>
      <w:r w:rsidRPr="00931D46">
        <w:rPr>
          <w:rStyle w:val="Refdecomentario"/>
          <w:rFonts w:ascii="Arial" w:hAnsi="Arial" w:cs="Arial"/>
          <w:b/>
          <w:sz w:val="22"/>
          <w:szCs w:val="22"/>
        </w:rPr>
        <w:t xml:space="preserve">Australia. </w:t>
      </w:r>
      <w:r w:rsidRPr="00931D46">
        <w:rPr>
          <w:rStyle w:val="Refdecomentario"/>
          <w:rFonts w:ascii="Arial" w:hAnsi="Arial" w:cs="Arial"/>
          <w:sz w:val="22"/>
          <w:szCs w:val="22"/>
        </w:rPr>
        <w:t xml:space="preserve">La </w:t>
      </w:r>
      <w:r w:rsidR="00932C63">
        <w:rPr>
          <w:rStyle w:val="Refdecomentario"/>
          <w:rFonts w:ascii="Arial" w:hAnsi="Arial" w:cs="Arial"/>
          <w:sz w:val="22"/>
          <w:szCs w:val="22"/>
        </w:rPr>
        <w:t>G</w:t>
      </w:r>
      <w:r w:rsidRPr="00931D46">
        <w:rPr>
          <w:rStyle w:val="Refdecomentario"/>
          <w:rFonts w:ascii="Arial" w:hAnsi="Arial" w:cs="Arial"/>
          <w:sz w:val="22"/>
          <w:szCs w:val="22"/>
        </w:rPr>
        <w:t xml:space="preserve">uía de </w:t>
      </w:r>
      <w:r w:rsidR="00932C63">
        <w:rPr>
          <w:rStyle w:val="Refdecomentario"/>
          <w:rFonts w:ascii="Arial" w:hAnsi="Arial" w:cs="Arial"/>
          <w:sz w:val="22"/>
          <w:szCs w:val="22"/>
        </w:rPr>
        <w:t>C</w:t>
      </w:r>
      <w:r w:rsidRPr="00931D46">
        <w:rPr>
          <w:rStyle w:val="Refdecomentario"/>
          <w:rFonts w:ascii="Arial" w:hAnsi="Arial" w:cs="Arial"/>
          <w:sz w:val="22"/>
          <w:szCs w:val="22"/>
        </w:rPr>
        <w:t>oncentraciones de la ACCC</w:t>
      </w:r>
      <w:r w:rsidRPr="00931D46">
        <w:rPr>
          <w:rStyle w:val="Refdenotaalpie"/>
          <w:rFonts w:ascii="Arial" w:hAnsi="Arial" w:cs="Arial"/>
        </w:rPr>
        <w:footnoteReference w:id="12"/>
      </w:r>
      <w:r w:rsidRPr="00931D46">
        <w:rPr>
          <w:rStyle w:val="Refdecomentario"/>
          <w:rFonts w:ascii="Arial" w:hAnsi="Arial" w:cs="Arial"/>
          <w:sz w:val="22"/>
          <w:szCs w:val="22"/>
        </w:rPr>
        <w:t xml:space="preserve"> señala que el</w:t>
      </w:r>
      <w:r w:rsidR="00D76AC7" w:rsidRPr="00931D46">
        <w:rPr>
          <w:rFonts w:ascii="Arial" w:eastAsia="Times New Roman" w:hAnsi="Arial" w:cs="Arial"/>
          <w:bCs/>
          <w:kern w:val="1"/>
          <w:lang w:eastAsia="ar-SA"/>
        </w:rPr>
        <w:t xml:space="preserve"> MR </w:t>
      </w:r>
      <w:r w:rsidRPr="00931D46">
        <w:rPr>
          <w:rFonts w:ascii="Arial" w:eastAsia="Times New Roman" w:hAnsi="Arial" w:cs="Arial"/>
          <w:bCs/>
          <w:kern w:val="1"/>
          <w:lang w:eastAsia="ar-SA"/>
        </w:rPr>
        <w:t xml:space="preserve">es </w:t>
      </w:r>
      <w:r w:rsidR="00D76AC7" w:rsidRPr="00931D46">
        <w:rPr>
          <w:rFonts w:ascii="Arial" w:eastAsia="Times New Roman" w:hAnsi="Arial" w:cs="Arial"/>
          <w:bCs/>
          <w:kern w:val="1"/>
          <w:lang w:eastAsia="ar-SA"/>
        </w:rPr>
        <w:t xml:space="preserve">el </w:t>
      </w:r>
      <w:r w:rsidR="00330363">
        <w:rPr>
          <w:rStyle w:val="Refdecomentario"/>
          <w:rFonts w:ascii="Arial" w:hAnsi="Arial" w:cs="Arial"/>
          <w:sz w:val="22"/>
          <w:szCs w:val="22"/>
        </w:rPr>
        <w:t>producto</w:t>
      </w:r>
      <w:r w:rsidRPr="00931D46">
        <w:rPr>
          <w:rStyle w:val="Refdecomentario"/>
          <w:rFonts w:ascii="Arial" w:hAnsi="Arial" w:cs="Arial"/>
          <w:sz w:val="22"/>
          <w:szCs w:val="22"/>
        </w:rPr>
        <w:t xml:space="preserve"> y el espacio geográfico en los que la rivalidad y la competencia tienen lugar e </w:t>
      </w:r>
      <w:r w:rsidR="00A51954" w:rsidRPr="00931D46">
        <w:rPr>
          <w:rStyle w:val="Refdecomentario"/>
          <w:rFonts w:ascii="Arial" w:hAnsi="Arial" w:cs="Arial"/>
          <w:sz w:val="22"/>
          <w:szCs w:val="22"/>
        </w:rPr>
        <w:t>i</w:t>
      </w:r>
      <w:r w:rsidR="00D76AC7" w:rsidRPr="00931D46">
        <w:rPr>
          <w:rFonts w:ascii="Arial" w:eastAsia="Times New Roman" w:hAnsi="Arial" w:cs="Arial"/>
          <w:bCs/>
          <w:kern w:val="1"/>
          <w:lang w:eastAsia="ar-SA"/>
        </w:rPr>
        <w:t xml:space="preserve">ncluye los </w:t>
      </w:r>
      <w:r w:rsidR="00330363">
        <w:rPr>
          <w:rFonts w:ascii="Arial" w:eastAsia="Times New Roman" w:hAnsi="Arial" w:cs="Arial"/>
          <w:bCs/>
          <w:kern w:val="1"/>
          <w:lang w:eastAsia="ar-SA"/>
        </w:rPr>
        <w:t>productos</w:t>
      </w:r>
      <w:r w:rsidR="00D76AC7" w:rsidRPr="00931D46">
        <w:rPr>
          <w:rFonts w:ascii="Arial" w:eastAsia="Times New Roman" w:hAnsi="Arial" w:cs="Arial"/>
          <w:bCs/>
          <w:kern w:val="1"/>
          <w:lang w:eastAsia="ar-SA"/>
        </w:rPr>
        <w:t xml:space="preserve"> que son sustitutos del </w:t>
      </w:r>
      <w:r w:rsidR="00330363">
        <w:rPr>
          <w:rFonts w:ascii="Arial" w:eastAsia="Times New Roman" w:hAnsi="Arial" w:cs="Arial"/>
          <w:bCs/>
          <w:kern w:val="1"/>
          <w:lang w:eastAsia="ar-SA"/>
        </w:rPr>
        <w:t>producto</w:t>
      </w:r>
      <w:r w:rsidR="00D76AC7" w:rsidRPr="00931D46">
        <w:rPr>
          <w:rFonts w:ascii="Arial" w:eastAsia="Times New Roman" w:hAnsi="Arial" w:cs="Arial"/>
          <w:bCs/>
          <w:kern w:val="1"/>
          <w:lang w:eastAsia="ar-SA"/>
        </w:rPr>
        <w:t xml:space="preserve"> bajo análisis;</w:t>
      </w:r>
      <w:r w:rsidR="00A51954" w:rsidRPr="00931D46">
        <w:rPr>
          <w:rFonts w:ascii="Arial" w:eastAsia="Times New Roman" w:hAnsi="Arial" w:cs="Arial"/>
          <w:bCs/>
          <w:kern w:val="1"/>
          <w:lang w:eastAsia="ar-SA"/>
        </w:rPr>
        <w:t xml:space="preserve"> </w:t>
      </w:r>
      <w:r w:rsidR="00A51954" w:rsidRPr="00931D46">
        <w:rPr>
          <w:rFonts w:ascii="Arial" w:hAnsi="Arial" w:cs="Arial"/>
        </w:rPr>
        <w:t xml:space="preserve">la autoridad advierte que la sustitución no tiene que ser completa o instantánea, y los </w:t>
      </w:r>
      <w:r w:rsidR="00330363">
        <w:rPr>
          <w:rFonts w:ascii="Arial" w:hAnsi="Arial" w:cs="Arial"/>
        </w:rPr>
        <w:t>productos</w:t>
      </w:r>
      <w:r w:rsidR="00A51954" w:rsidRPr="00931D46">
        <w:rPr>
          <w:rFonts w:ascii="Arial" w:hAnsi="Arial" w:cs="Arial"/>
        </w:rPr>
        <w:t xml:space="preserve"> no tienen que ser sustitutos "perfectos" para formar parte del mismo mercado. También, </w:t>
      </w:r>
      <w:r w:rsidR="00074B18" w:rsidRPr="00931D46">
        <w:rPr>
          <w:rFonts w:ascii="Arial" w:hAnsi="Arial" w:cs="Arial"/>
        </w:rPr>
        <w:t>u</w:t>
      </w:r>
      <w:r w:rsidR="00A51954" w:rsidRPr="00931D46">
        <w:rPr>
          <w:rFonts w:ascii="Arial" w:hAnsi="Arial" w:cs="Arial"/>
        </w:rPr>
        <w:t xml:space="preserve">n </w:t>
      </w:r>
      <w:r w:rsidR="00330363">
        <w:rPr>
          <w:rFonts w:ascii="Arial" w:hAnsi="Arial" w:cs="Arial"/>
        </w:rPr>
        <w:t>producto</w:t>
      </w:r>
      <w:r w:rsidR="00633CBC" w:rsidRPr="00931D46">
        <w:rPr>
          <w:rFonts w:ascii="Arial" w:hAnsi="Arial" w:cs="Arial"/>
        </w:rPr>
        <w:t xml:space="preserve"> </w:t>
      </w:r>
      <w:r w:rsidR="00A51954" w:rsidRPr="00931D46">
        <w:rPr>
          <w:rFonts w:ascii="Arial" w:hAnsi="Arial" w:cs="Arial"/>
        </w:rPr>
        <w:t xml:space="preserve">en una región geográfica determinada es un sustituto cercano por el lado de la demanda si es probable que una proporción significativa de las ventas se cambie en respuesta a un aumento pequeño pero significativo del precio del </w:t>
      </w:r>
      <w:r w:rsidR="00330363">
        <w:rPr>
          <w:rFonts w:ascii="Arial" w:hAnsi="Arial" w:cs="Arial"/>
        </w:rPr>
        <w:t>producto</w:t>
      </w:r>
      <w:r w:rsidR="00A51954" w:rsidRPr="00931D46">
        <w:rPr>
          <w:rFonts w:ascii="Arial" w:hAnsi="Arial" w:cs="Arial"/>
        </w:rPr>
        <w:t>, ráp</w:t>
      </w:r>
      <w:r w:rsidR="00D5570E" w:rsidRPr="00931D46">
        <w:rPr>
          <w:rFonts w:ascii="Arial" w:hAnsi="Arial" w:cs="Arial"/>
        </w:rPr>
        <w:t>idamente y sin costos de cambio</w:t>
      </w:r>
      <w:r w:rsidR="006113FD" w:rsidRPr="00931D46">
        <w:rPr>
          <w:rFonts w:ascii="Arial" w:hAnsi="Arial" w:cs="Arial"/>
        </w:rPr>
        <w:t xml:space="preserve"> (</w:t>
      </w:r>
      <w:r w:rsidR="006113FD" w:rsidRPr="00931D46">
        <w:rPr>
          <w:rFonts w:ascii="Arial" w:hAnsi="Arial" w:cs="Arial"/>
          <w:i/>
        </w:rPr>
        <w:t>switching costs</w:t>
      </w:r>
      <w:r w:rsidR="006113FD" w:rsidRPr="00931D46">
        <w:rPr>
          <w:rFonts w:ascii="Arial" w:hAnsi="Arial" w:cs="Arial"/>
        </w:rPr>
        <w:t xml:space="preserve">, en inglés) </w:t>
      </w:r>
      <w:r w:rsidR="00A51954" w:rsidRPr="00931D46">
        <w:rPr>
          <w:rFonts w:ascii="Arial" w:hAnsi="Arial" w:cs="Arial"/>
        </w:rPr>
        <w:t>significativos.</w:t>
      </w:r>
    </w:p>
    <w:p w14:paraId="5E25A1DC" w14:textId="1BA1C250" w:rsidR="00D76AC7" w:rsidRPr="00931D46" w:rsidRDefault="00117A88" w:rsidP="00942BD7">
      <w:pPr>
        <w:pStyle w:val="Prrafodelista"/>
        <w:numPr>
          <w:ilvl w:val="0"/>
          <w:numId w:val="37"/>
        </w:numPr>
        <w:spacing w:before="0" w:after="0"/>
        <w:ind w:hanging="578"/>
        <w:contextualSpacing w:val="0"/>
        <w:rPr>
          <w:rFonts w:ascii="Arial" w:hAnsi="Arial" w:cs="Arial"/>
          <w:b/>
        </w:rPr>
      </w:pPr>
      <w:r w:rsidRPr="00931D46">
        <w:rPr>
          <w:rFonts w:ascii="Arial" w:eastAsia="Times New Roman" w:hAnsi="Arial" w:cs="Arial"/>
          <w:b/>
          <w:bCs/>
          <w:kern w:val="1"/>
          <w:lang w:eastAsia="ar-SA"/>
        </w:rPr>
        <w:t>OCDE.</w:t>
      </w:r>
      <w:r w:rsidRPr="00931D46">
        <w:rPr>
          <w:rFonts w:ascii="Arial" w:eastAsia="Times New Roman" w:hAnsi="Arial" w:cs="Arial"/>
          <w:bCs/>
          <w:kern w:val="1"/>
          <w:lang w:eastAsia="ar-SA"/>
        </w:rPr>
        <w:t xml:space="preserve"> L</w:t>
      </w:r>
      <w:r w:rsidR="00D76AC7" w:rsidRPr="00931D46">
        <w:rPr>
          <w:rFonts w:ascii="Arial" w:eastAsia="Times New Roman" w:hAnsi="Arial" w:cs="Arial"/>
          <w:bCs/>
          <w:kern w:val="1"/>
          <w:lang w:eastAsia="ar-SA"/>
        </w:rPr>
        <w:t>a</w:t>
      </w:r>
      <w:r w:rsidR="00D76AC7" w:rsidRPr="00931D46">
        <w:rPr>
          <w:rFonts w:ascii="Arial" w:hAnsi="Arial" w:cs="Arial"/>
          <w:iCs/>
        </w:rPr>
        <w:t xml:space="preserve"> O</w:t>
      </w:r>
      <w:r w:rsidR="00A92E7A" w:rsidRPr="00931D46">
        <w:rPr>
          <w:rFonts w:ascii="Arial" w:hAnsi="Arial" w:cs="Arial"/>
          <w:iCs/>
        </w:rPr>
        <w:t xml:space="preserve">rganización </w:t>
      </w:r>
      <w:r w:rsidR="00D76AC7" w:rsidRPr="00931D46">
        <w:rPr>
          <w:rFonts w:ascii="Arial" w:hAnsi="Arial" w:cs="Arial"/>
          <w:iCs/>
        </w:rPr>
        <w:t xml:space="preserve">indica que la dimensión </w:t>
      </w:r>
      <w:r w:rsidR="00330363">
        <w:rPr>
          <w:rFonts w:ascii="Arial" w:hAnsi="Arial" w:cs="Arial"/>
          <w:iCs/>
        </w:rPr>
        <w:t>producto</w:t>
      </w:r>
      <w:r w:rsidR="00D76AC7" w:rsidRPr="00931D46">
        <w:rPr>
          <w:rFonts w:ascii="Arial" w:hAnsi="Arial" w:cs="Arial"/>
          <w:iCs/>
        </w:rPr>
        <w:t xml:space="preserve"> </w:t>
      </w:r>
      <w:r w:rsidRPr="00931D46">
        <w:rPr>
          <w:rFonts w:ascii="Arial" w:hAnsi="Arial" w:cs="Arial"/>
          <w:iCs/>
        </w:rPr>
        <w:t xml:space="preserve">del MR </w:t>
      </w:r>
      <w:r w:rsidR="00D76AC7" w:rsidRPr="00931D46">
        <w:rPr>
          <w:rFonts w:ascii="Arial" w:hAnsi="Arial" w:cs="Arial"/>
          <w:iCs/>
        </w:rPr>
        <w:t xml:space="preserve">debe incluir los </w:t>
      </w:r>
      <w:r w:rsidR="00330363">
        <w:rPr>
          <w:rFonts w:ascii="Arial" w:hAnsi="Arial" w:cs="Arial"/>
          <w:iCs/>
        </w:rPr>
        <w:t>productos</w:t>
      </w:r>
      <w:r w:rsidR="00D76AC7" w:rsidRPr="00931D46">
        <w:rPr>
          <w:rFonts w:ascii="Arial" w:hAnsi="Arial" w:cs="Arial"/>
          <w:iCs/>
        </w:rPr>
        <w:t xml:space="preserve"> sustitutos y la dimensión geográfica debe reflejar las restricciones competitivas que imponen no s</w:t>
      </w:r>
      <w:r w:rsidR="00633CBC" w:rsidRPr="00931D46">
        <w:rPr>
          <w:rFonts w:ascii="Arial" w:hAnsi="Arial" w:cs="Arial"/>
          <w:iCs/>
        </w:rPr>
        <w:t>ó</w:t>
      </w:r>
      <w:r w:rsidR="00D76AC7" w:rsidRPr="00931D46">
        <w:rPr>
          <w:rFonts w:ascii="Arial" w:hAnsi="Arial" w:cs="Arial"/>
          <w:iCs/>
        </w:rPr>
        <w:t xml:space="preserve">lo los </w:t>
      </w:r>
      <w:r w:rsidR="00330363">
        <w:rPr>
          <w:rFonts w:ascii="Arial" w:hAnsi="Arial" w:cs="Arial"/>
          <w:iCs/>
        </w:rPr>
        <w:t>productos</w:t>
      </w:r>
      <w:r w:rsidR="00D76AC7" w:rsidRPr="00931D46">
        <w:rPr>
          <w:rFonts w:ascii="Arial" w:hAnsi="Arial" w:cs="Arial"/>
          <w:iCs/>
        </w:rPr>
        <w:t xml:space="preserve"> sustitutos disponibles en un lugar de análisis, sino también las que imponen los </w:t>
      </w:r>
      <w:r w:rsidR="00330363">
        <w:rPr>
          <w:rFonts w:ascii="Arial" w:hAnsi="Arial" w:cs="Arial"/>
          <w:iCs/>
        </w:rPr>
        <w:t>productos</w:t>
      </w:r>
      <w:r w:rsidR="00D76AC7" w:rsidRPr="00931D46">
        <w:rPr>
          <w:rFonts w:ascii="Arial" w:hAnsi="Arial" w:cs="Arial"/>
          <w:iCs/>
        </w:rPr>
        <w:t xml:space="preserve"> suministrados en otros lugares a los que los consumidores podrían recurrir para comprar el </w:t>
      </w:r>
      <w:r w:rsidR="00330363">
        <w:rPr>
          <w:rFonts w:ascii="Arial" w:hAnsi="Arial" w:cs="Arial"/>
          <w:iCs/>
        </w:rPr>
        <w:t>producto</w:t>
      </w:r>
      <w:r w:rsidR="00D76AC7" w:rsidRPr="00931D46">
        <w:rPr>
          <w:rFonts w:ascii="Arial" w:hAnsi="Arial" w:cs="Arial"/>
          <w:iCs/>
        </w:rPr>
        <w:t>.</w:t>
      </w:r>
      <w:r w:rsidR="00D76AC7" w:rsidRPr="00931D46">
        <w:rPr>
          <w:rStyle w:val="Refdenotaalpie"/>
          <w:rFonts w:ascii="Arial" w:hAnsi="Arial" w:cs="Arial"/>
          <w:lang w:eastAsia="es-MX"/>
        </w:rPr>
        <w:footnoteReference w:id="13"/>
      </w:r>
    </w:p>
    <w:p w14:paraId="64BF57E6" w14:textId="77777777" w:rsidR="00D76AC7" w:rsidRPr="00931D46" w:rsidRDefault="00D76AC7" w:rsidP="0023353F">
      <w:pPr>
        <w:spacing w:before="0" w:after="0"/>
        <w:rPr>
          <w:rFonts w:ascii="Arial" w:eastAsia="Times New Roman" w:hAnsi="Arial" w:cs="Arial"/>
          <w:bCs/>
          <w:kern w:val="1"/>
          <w:lang w:eastAsia="ar-SA"/>
        </w:rPr>
      </w:pPr>
    </w:p>
    <w:p w14:paraId="1B9C10BD" w14:textId="77777777" w:rsidR="00117A88" w:rsidRPr="00931D46" w:rsidRDefault="00117A88"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Es importante notar que el concepto de MR que se utiliza para analizar cuestiones de competencia económica es distinto al concepto llano de “mercado” que se utiliza en otros contextos,</w:t>
      </w:r>
      <w:r w:rsidRPr="00931D46">
        <w:rPr>
          <w:rStyle w:val="Refdenotaalpie"/>
          <w:rFonts w:ascii="Arial" w:eastAsia="Times New Roman" w:hAnsi="Arial" w:cs="Arial"/>
          <w:bCs/>
          <w:kern w:val="1"/>
          <w:lang w:eastAsia="ar-SA"/>
        </w:rPr>
        <w:footnoteReference w:id="14"/>
      </w:r>
      <w:r w:rsidRPr="00931D46">
        <w:rPr>
          <w:rFonts w:ascii="Arial" w:eastAsia="Times New Roman" w:hAnsi="Arial" w:cs="Arial"/>
          <w:bCs/>
          <w:kern w:val="1"/>
          <w:lang w:eastAsia="ar-SA"/>
        </w:rPr>
        <w:t xml:space="preserve"> </w:t>
      </w:r>
      <w:r w:rsidR="00CC683F" w:rsidRPr="00931D46">
        <w:rPr>
          <w:rFonts w:ascii="Arial" w:eastAsia="Times New Roman" w:hAnsi="Arial" w:cs="Arial"/>
          <w:bCs/>
          <w:kern w:val="1"/>
          <w:lang w:eastAsia="ar-SA"/>
        </w:rPr>
        <w:t>pues</w:t>
      </w:r>
      <w:r w:rsidRPr="00931D46">
        <w:rPr>
          <w:rFonts w:ascii="Arial" w:eastAsia="Times New Roman" w:hAnsi="Arial" w:cs="Arial"/>
          <w:bCs/>
          <w:kern w:val="1"/>
          <w:lang w:eastAsia="ar-SA"/>
        </w:rPr>
        <w:t xml:space="preserve"> </w:t>
      </w:r>
      <w:r w:rsidR="00CC683F" w:rsidRPr="00931D46">
        <w:rPr>
          <w:rFonts w:ascii="Arial" w:eastAsia="Times New Roman" w:hAnsi="Arial" w:cs="Arial"/>
          <w:bCs/>
          <w:kern w:val="1"/>
          <w:lang w:eastAsia="ar-SA"/>
        </w:rPr>
        <w:t xml:space="preserve">el MR debe delimitarse </w:t>
      </w:r>
      <w:r w:rsidRPr="00931D46">
        <w:rPr>
          <w:rFonts w:ascii="Arial" w:eastAsia="Times New Roman" w:hAnsi="Arial" w:cs="Arial"/>
          <w:bCs/>
          <w:kern w:val="1"/>
          <w:lang w:eastAsia="ar-SA"/>
        </w:rPr>
        <w:t>“</w:t>
      </w:r>
      <w:r w:rsidRPr="00931D46">
        <w:rPr>
          <w:rFonts w:ascii="Arial" w:eastAsia="Times New Roman" w:hAnsi="Arial" w:cs="Arial"/>
          <w:bCs/>
          <w:i/>
          <w:kern w:val="1"/>
          <w:lang w:eastAsia="ar-SA"/>
        </w:rPr>
        <w:t xml:space="preserve">de manera que las restricciones </w:t>
      </w:r>
      <w:r w:rsidR="00C34BEB" w:rsidRPr="00931D46">
        <w:rPr>
          <w:rFonts w:ascii="Arial" w:eastAsia="Times New Roman" w:hAnsi="Arial" w:cs="Arial"/>
          <w:bCs/>
          <w:i/>
          <w:kern w:val="1"/>
          <w:lang w:eastAsia="ar-SA"/>
        </w:rPr>
        <w:t xml:space="preserve">[presiones] </w:t>
      </w:r>
      <w:r w:rsidRPr="00931D46">
        <w:rPr>
          <w:rFonts w:ascii="Arial" w:eastAsia="Times New Roman" w:hAnsi="Arial" w:cs="Arial"/>
          <w:bCs/>
          <w:i/>
          <w:kern w:val="1"/>
          <w:lang w:eastAsia="ar-SA"/>
        </w:rPr>
        <w:t>competitivas a las que se enfrenta una empresa, es decir, la sustitución por el lado de la demanda y de la oferta, sean capturadas con la mayor precisión posible</w:t>
      </w:r>
      <w:r w:rsidRPr="00931D46">
        <w:rPr>
          <w:rFonts w:ascii="Arial" w:eastAsia="Times New Roman" w:hAnsi="Arial" w:cs="Arial"/>
          <w:bCs/>
          <w:kern w:val="1"/>
          <w:lang w:eastAsia="ar-SA"/>
        </w:rPr>
        <w:t>”.</w:t>
      </w:r>
      <w:r w:rsidRPr="00931D46">
        <w:rPr>
          <w:rStyle w:val="Refdenotaalpie"/>
          <w:rFonts w:ascii="Arial" w:eastAsia="Times New Roman" w:hAnsi="Arial" w:cs="Arial"/>
          <w:bCs/>
          <w:kern w:val="1"/>
          <w:lang w:eastAsia="ar-SA"/>
        </w:rPr>
        <w:footnoteReference w:id="15"/>
      </w:r>
    </w:p>
    <w:p w14:paraId="4D3AD1A4" w14:textId="77777777" w:rsidR="00DD3F62" w:rsidRPr="00931D46" w:rsidRDefault="00DD3F62" w:rsidP="0023353F">
      <w:pPr>
        <w:spacing w:before="0" w:after="0"/>
        <w:rPr>
          <w:rFonts w:ascii="Arial" w:eastAsia="Times New Roman" w:hAnsi="Arial" w:cs="Arial"/>
          <w:bCs/>
          <w:kern w:val="1"/>
          <w:lang w:eastAsia="ar-SA"/>
        </w:rPr>
      </w:pPr>
    </w:p>
    <w:p w14:paraId="64895625" w14:textId="393FF394" w:rsidR="00C21920" w:rsidRPr="00931D46" w:rsidRDefault="00F00C5D"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C</w:t>
      </w:r>
      <w:r w:rsidRPr="00931D46">
        <w:rPr>
          <w:rFonts w:ascii="Arial" w:hAnsi="Arial" w:cs="Arial"/>
        </w:rPr>
        <w:t>omo se ha mencionado,</w:t>
      </w:r>
      <w:r w:rsidRPr="00931D46">
        <w:rPr>
          <w:rFonts w:ascii="Arial" w:eastAsia="Times New Roman" w:hAnsi="Arial" w:cs="Arial"/>
          <w:bCs/>
          <w:kern w:val="1"/>
          <w:lang w:eastAsia="ar-SA"/>
        </w:rPr>
        <w:t xml:space="preserve"> </w:t>
      </w:r>
      <w:r w:rsidR="00C21920" w:rsidRPr="00931D46">
        <w:rPr>
          <w:rFonts w:ascii="Arial" w:eastAsia="Times New Roman" w:hAnsi="Arial" w:cs="Arial"/>
          <w:bCs/>
          <w:kern w:val="1"/>
          <w:lang w:eastAsia="ar-SA"/>
        </w:rPr>
        <w:t>determinar el MR</w:t>
      </w:r>
      <w:r w:rsidR="00692B04" w:rsidRPr="00931D46">
        <w:rPr>
          <w:rFonts w:ascii="Arial" w:hAnsi="Arial" w:cs="Arial"/>
        </w:rPr>
        <w:t xml:space="preserve"> </w:t>
      </w:r>
      <w:r w:rsidR="00692B04" w:rsidRPr="00931D46">
        <w:rPr>
          <w:rFonts w:ascii="Arial" w:eastAsia="Times New Roman" w:hAnsi="Arial" w:cs="Arial"/>
          <w:bCs/>
          <w:kern w:val="1"/>
          <w:lang w:eastAsia="ar-SA"/>
        </w:rPr>
        <w:t xml:space="preserve">es fundamental para </w:t>
      </w:r>
      <w:r w:rsidR="0034721F">
        <w:rPr>
          <w:rFonts w:ascii="Arial" w:eastAsia="Times New Roman" w:hAnsi="Arial" w:cs="Arial"/>
          <w:bCs/>
          <w:kern w:val="1"/>
          <w:lang w:eastAsia="ar-SA"/>
        </w:rPr>
        <w:t xml:space="preserve">delimitar </w:t>
      </w:r>
      <w:r w:rsidR="00692B04" w:rsidRPr="00931D46">
        <w:rPr>
          <w:rFonts w:ascii="Arial" w:eastAsia="Times New Roman" w:hAnsi="Arial" w:cs="Arial"/>
          <w:bCs/>
          <w:kern w:val="1"/>
          <w:lang w:eastAsia="ar-SA"/>
        </w:rPr>
        <w:t xml:space="preserve">el entorno en el que ocurre una conducta, </w:t>
      </w:r>
      <w:r w:rsidR="0034721F">
        <w:rPr>
          <w:rFonts w:ascii="Arial" w:eastAsia="Times New Roman" w:hAnsi="Arial" w:cs="Arial"/>
          <w:bCs/>
          <w:kern w:val="1"/>
          <w:lang w:eastAsia="ar-SA"/>
        </w:rPr>
        <w:t xml:space="preserve">identificar </w:t>
      </w:r>
      <w:r w:rsidR="00692B04" w:rsidRPr="00931D46">
        <w:rPr>
          <w:rFonts w:ascii="Arial" w:eastAsia="Times New Roman" w:hAnsi="Arial" w:cs="Arial"/>
          <w:bCs/>
          <w:kern w:val="1"/>
          <w:lang w:eastAsia="ar-SA"/>
        </w:rPr>
        <w:t xml:space="preserve">los efectos de una </w:t>
      </w:r>
      <w:r w:rsidR="00CC6AD1" w:rsidRPr="00931D46">
        <w:rPr>
          <w:rFonts w:ascii="Arial" w:eastAsia="Times New Roman" w:hAnsi="Arial" w:cs="Arial"/>
          <w:bCs/>
          <w:kern w:val="1"/>
          <w:lang w:eastAsia="ar-SA"/>
        </w:rPr>
        <w:t xml:space="preserve">concentración </w:t>
      </w:r>
      <w:r w:rsidR="00692B04" w:rsidRPr="00931D46">
        <w:rPr>
          <w:rFonts w:ascii="Arial" w:eastAsia="Times New Roman" w:hAnsi="Arial" w:cs="Arial"/>
          <w:bCs/>
          <w:kern w:val="1"/>
          <w:lang w:eastAsia="ar-SA"/>
        </w:rPr>
        <w:t>y</w:t>
      </w:r>
      <w:r w:rsidR="0034721F">
        <w:rPr>
          <w:rFonts w:ascii="Arial" w:eastAsia="Times New Roman" w:hAnsi="Arial" w:cs="Arial"/>
          <w:bCs/>
          <w:kern w:val="1"/>
          <w:lang w:eastAsia="ar-SA"/>
        </w:rPr>
        <w:t xml:space="preserve"> caracterizar</w:t>
      </w:r>
      <w:r w:rsidR="00692B04" w:rsidRPr="00931D46">
        <w:rPr>
          <w:rFonts w:ascii="Arial" w:eastAsia="Times New Roman" w:hAnsi="Arial" w:cs="Arial"/>
          <w:bCs/>
          <w:kern w:val="1"/>
          <w:lang w:eastAsia="ar-SA"/>
        </w:rPr>
        <w:t xml:space="preserve"> las condiciones de competencia y libre concurrencia.</w:t>
      </w:r>
      <w:r w:rsidR="00692B04" w:rsidRPr="00931D46">
        <w:rPr>
          <w:rStyle w:val="Refdenotaalpie"/>
          <w:rFonts w:ascii="Arial" w:eastAsia="Times New Roman" w:hAnsi="Arial" w:cs="Arial"/>
          <w:bCs/>
          <w:kern w:val="1"/>
          <w:lang w:eastAsia="ar-SA"/>
        </w:rPr>
        <w:footnoteReference w:id="16"/>
      </w:r>
      <w:r w:rsidR="00692B04" w:rsidRPr="00931D46">
        <w:rPr>
          <w:rFonts w:ascii="Arial" w:eastAsia="Times New Roman" w:hAnsi="Arial" w:cs="Arial"/>
          <w:bCs/>
          <w:kern w:val="1"/>
          <w:lang w:eastAsia="ar-SA"/>
        </w:rPr>
        <w:t xml:space="preserve"> </w:t>
      </w:r>
      <w:r w:rsidR="00EF4D88" w:rsidRPr="00931D46">
        <w:rPr>
          <w:rFonts w:ascii="Arial" w:eastAsia="Times New Roman" w:hAnsi="Arial" w:cs="Arial"/>
          <w:bCs/>
          <w:kern w:val="1"/>
          <w:lang w:eastAsia="ar-SA"/>
        </w:rPr>
        <w:t>No obstante,</w:t>
      </w:r>
      <w:r w:rsidR="00692B04" w:rsidRPr="00931D46">
        <w:rPr>
          <w:rFonts w:ascii="Arial" w:eastAsia="Times New Roman" w:hAnsi="Arial" w:cs="Arial"/>
          <w:bCs/>
          <w:kern w:val="1"/>
          <w:lang w:eastAsia="ar-SA"/>
        </w:rPr>
        <w:t xml:space="preserve"> </w:t>
      </w:r>
      <w:r w:rsidR="00EF4D88" w:rsidRPr="00931D46">
        <w:rPr>
          <w:rFonts w:ascii="Arial" w:eastAsia="Times New Roman" w:hAnsi="Arial" w:cs="Arial"/>
          <w:bCs/>
          <w:kern w:val="1"/>
          <w:lang w:eastAsia="ar-SA"/>
        </w:rPr>
        <w:t>d</w:t>
      </w:r>
      <w:r w:rsidR="00533F7C" w:rsidRPr="00931D46">
        <w:rPr>
          <w:rFonts w:ascii="Arial" w:eastAsia="Times New Roman" w:hAnsi="Arial" w:cs="Arial"/>
          <w:bCs/>
          <w:kern w:val="1"/>
          <w:lang w:eastAsia="ar-SA"/>
        </w:rPr>
        <w:t>icha determinación</w:t>
      </w:r>
      <w:r w:rsidR="00692B04" w:rsidRPr="00931D46">
        <w:rPr>
          <w:rFonts w:ascii="Arial" w:eastAsia="Times New Roman" w:hAnsi="Arial" w:cs="Arial"/>
          <w:bCs/>
          <w:kern w:val="1"/>
          <w:lang w:eastAsia="ar-SA"/>
        </w:rPr>
        <w:t xml:space="preserve"> no es un fin en sí mismo, sino una herramienta para establecer </w:t>
      </w:r>
      <w:r w:rsidR="0034721F">
        <w:rPr>
          <w:rFonts w:ascii="Arial" w:eastAsia="Times New Roman" w:hAnsi="Arial" w:cs="Arial"/>
          <w:bCs/>
          <w:kern w:val="1"/>
          <w:lang w:eastAsia="ar-SA"/>
        </w:rPr>
        <w:t>el</w:t>
      </w:r>
      <w:r w:rsidR="00692B04" w:rsidRPr="00931D46">
        <w:rPr>
          <w:rFonts w:ascii="Arial" w:eastAsia="Times New Roman" w:hAnsi="Arial" w:cs="Arial"/>
          <w:bCs/>
          <w:kern w:val="1"/>
          <w:lang w:eastAsia="ar-SA"/>
        </w:rPr>
        <w:t xml:space="preserve"> marco de referencia </w:t>
      </w:r>
      <w:r w:rsidR="0034721F">
        <w:rPr>
          <w:rFonts w:ascii="Arial" w:eastAsia="Times New Roman" w:hAnsi="Arial" w:cs="Arial"/>
          <w:bCs/>
          <w:kern w:val="1"/>
          <w:lang w:eastAsia="ar-SA"/>
        </w:rPr>
        <w:t xml:space="preserve">para </w:t>
      </w:r>
      <w:r w:rsidR="00692B04" w:rsidRPr="00931D46">
        <w:rPr>
          <w:rFonts w:ascii="Arial" w:eastAsia="Times New Roman" w:hAnsi="Arial" w:cs="Arial"/>
          <w:bCs/>
          <w:kern w:val="1"/>
          <w:lang w:eastAsia="ar-SA"/>
        </w:rPr>
        <w:t>la evaluación de efectos o condic</w:t>
      </w:r>
      <w:r w:rsidR="00804C4B" w:rsidRPr="00931D46">
        <w:rPr>
          <w:rFonts w:ascii="Arial" w:eastAsia="Times New Roman" w:hAnsi="Arial" w:cs="Arial"/>
          <w:bCs/>
          <w:kern w:val="1"/>
          <w:lang w:eastAsia="ar-SA"/>
        </w:rPr>
        <w:t xml:space="preserve">iones de competencia; la SCJN </w:t>
      </w:r>
      <w:r w:rsidR="0034721F">
        <w:rPr>
          <w:rFonts w:ascii="Arial" w:eastAsia="Times New Roman" w:hAnsi="Arial" w:cs="Arial"/>
          <w:bCs/>
          <w:kern w:val="1"/>
          <w:lang w:eastAsia="ar-SA"/>
        </w:rPr>
        <w:t xml:space="preserve">y la práctica internacional indican que </w:t>
      </w:r>
      <w:r w:rsidR="00804C4B" w:rsidRPr="00931D46">
        <w:rPr>
          <w:rFonts w:ascii="Arial" w:eastAsia="Times New Roman" w:hAnsi="Arial" w:cs="Arial"/>
          <w:bCs/>
          <w:kern w:val="1"/>
          <w:lang w:eastAsia="ar-SA"/>
        </w:rPr>
        <w:t xml:space="preserve">la determinación del MR cobra importancia sólo en un contexto de análisis de competencia, convirtiéndose así en un medio para determinar la presencia o ausencia de poder </w:t>
      </w:r>
      <w:r w:rsidR="0034721F">
        <w:rPr>
          <w:rFonts w:ascii="Arial" w:eastAsia="Times New Roman" w:hAnsi="Arial" w:cs="Arial"/>
          <w:bCs/>
          <w:kern w:val="1"/>
          <w:lang w:eastAsia="ar-SA"/>
        </w:rPr>
        <w:t>d</w:t>
      </w:r>
      <w:r w:rsidR="00804C4B" w:rsidRPr="00931D46">
        <w:rPr>
          <w:rFonts w:ascii="Arial" w:eastAsia="Times New Roman" w:hAnsi="Arial" w:cs="Arial"/>
          <w:bCs/>
          <w:kern w:val="1"/>
          <w:lang w:eastAsia="ar-SA"/>
        </w:rPr>
        <w:t>e</w:t>
      </w:r>
      <w:r w:rsidR="0034721F">
        <w:rPr>
          <w:rFonts w:ascii="Arial" w:eastAsia="Times New Roman" w:hAnsi="Arial" w:cs="Arial"/>
          <w:bCs/>
          <w:kern w:val="1"/>
          <w:lang w:eastAsia="ar-SA"/>
        </w:rPr>
        <w:t xml:space="preserve"> </w:t>
      </w:r>
      <w:r w:rsidR="00804C4B" w:rsidRPr="00931D46">
        <w:rPr>
          <w:rFonts w:ascii="Arial" w:eastAsia="Times New Roman" w:hAnsi="Arial" w:cs="Arial"/>
          <w:bCs/>
          <w:kern w:val="1"/>
          <w:lang w:eastAsia="ar-SA"/>
        </w:rPr>
        <w:t>mercado.</w:t>
      </w:r>
      <w:r w:rsidR="00804C4B" w:rsidRPr="00931D46">
        <w:rPr>
          <w:rStyle w:val="Refdenotaalpie"/>
          <w:rFonts w:ascii="Arial" w:hAnsi="Arial" w:cs="Arial"/>
        </w:rPr>
        <w:footnoteReference w:id="17"/>
      </w:r>
    </w:p>
    <w:p w14:paraId="03BAB3EB" w14:textId="77777777" w:rsidR="00C21920" w:rsidRPr="00931D46" w:rsidRDefault="00C21920" w:rsidP="0023353F">
      <w:pPr>
        <w:spacing w:before="0" w:after="0"/>
        <w:rPr>
          <w:rFonts w:ascii="Arial" w:eastAsia="Times New Roman" w:hAnsi="Arial" w:cs="Arial"/>
          <w:bCs/>
          <w:kern w:val="1"/>
          <w:lang w:eastAsia="ar-SA"/>
        </w:rPr>
      </w:pPr>
    </w:p>
    <w:p w14:paraId="2C94F61F" w14:textId="0E0AF8FE" w:rsidR="00CC683F" w:rsidRPr="00931D46" w:rsidRDefault="00692B04"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A este respecto, </w:t>
      </w:r>
      <w:r w:rsidR="0034721F">
        <w:rPr>
          <w:rFonts w:ascii="Arial" w:eastAsia="Times New Roman" w:hAnsi="Arial" w:cs="Arial"/>
          <w:bCs/>
          <w:kern w:val="1"/>
          <w:lang w:eastAsia="ar-SA"/>
        </w:rPr>
        <w:t>existe</w:t>
      </w:r>
      <w:r w:rsidRPr="00931D46">
        <w:rPr>
          <w:rFonts w:ascii="Arial" w:eastAsia="Times New Roman" w:hAnsi="Arial" w:cs="Arial"/>
          <w:bCs/>
          <w:kern w:val="1"/>
          <w:lang w:eastAsia="ar-SA"/>
        </w:rPr>
        <w:t xml:space="preserve"> un amplio consenso en la práctica internacional</w:t>
      </w:r>
      <w:r w:rsidR="00CC683F" w:rsidRPr="00931D46">
        <w:rPr>
          <w:rFonts w:ascii="Arial" w:eastAsia="Times New Roman" w:hAnsi="Arial" w:cs="Arial"/>
          <w:bCs/>
          <w:kern w:val="1"/>
          <w:lang w:eastAsia="ar-SA"/>
        </w:rPr>
        <w:t>, como se señala a continuación:</w:t>
      </w:r>
    </w:p>
    <w:p w14:paraId="69B2BC21" w14:textId="77777777" w:rsidR="0023353F" w:rsidRPr="00931D46" w:rsidRDefault="0023353F" w:rsidP="0023353F">
      <w:pPr>
        <w:spacing w:before="0" w:after="0"/>
        <w:rPr>
          <w:rFonts w:ascii="Arial" w:eastAsia="Times New Roman" w:hAnsi="Arial" w:cs="Arial"/>
          <w:bCs/>
          <w:kern w:val="1"/>
          <w:lang w:eastAsia="ar-SA"/>
        </w:rPr>
      </w:pPr>
    </w:p>
    <w:p w14:paraId="08E83906" w14:textId="77777777" w:rsidR="00CC683F"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hAnsi="Arial" w:cs="Arial"/>
        </w:rPr>
        <w:t>E</w:t>
      </w:r>
      <w:r w:rsidR="00692B04" w:rsidRPr="00931D46">
        <w:rPr>
          <w:rFonts w:ascii="Arial" w:hAnsi="Arial" w:cs="Arial"/>
        </w:rPr>
        <w:t xml:space="preserve">n el contexto del análisis de concentraciones, la </w:t>
      </w:r>
      <w:r w:rsidR="00692B04" w:rsidRPr="00931D46">
        <w:rPr>
          <w:rFonts w:ascii="Arial" w:hAnsi="Arial" w:cs="Arial"/>
          <w:b/>
        </w:rPr>
        <w:t>ICN</w:t>
      </w:r>
      <w:r w:rsidR="00692B04" w:rsidRPr="00931D46">
        <w:rPr>
          <w:rFonts w:ascii="Arial" w:hAnsi="Arial" w:cs="Arial"/>
        </w:rPr>
        <w:t xml:space="preserve"> apunta que la determinación de MR no es un fin último sino una herramienta para identificar los efectos de la operación notificada;</w:t>
      </w:r>
      <w:r w:rsidR="00692B04" w:rsidRPr="00931D46">
        <w:rPr>
          <w:rStyle w:val="Refdenotaalpie"/>
          <w:rFonts w:ascii="Arial" w:hAnsi="Arial" w:cs="Arial"/>
        </w:rPr>
        <w:footnoteReference w:id="18"/>
      </w:r>
      <w:r w:rsidR="00692B04" w:rsidRPr="00931D46">
        <w:rPr>
          <w:rFonts w:ascii="Arial" w:eastAsia="Times New Roman" w:hAnsi="Arial" w:cs="Arial"/>
          <w:bCs/>
          <w:kern w:val="1"/>
          <w:lang w:eastAsia="ar-SA"/>
        </w:rPr>
        <w:t xml:space="preserve"> </w:t>
      </w:r>
    </w:p>
    <w:p w14:paraId="4FE05865" w14:textId="3DDCE1A3" w:rsidR="00CC683F"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bCs/>
          <w:kern w:val="1"/>
          <w:lang w:eastAsia="ar-SA"/>
        </w:rPr>
        <w:t>L</w:t>
      </w:r>
      <w:r w:rsidR="00C21920" w:rsidRPr="00931D46">
        <w:rPr>
          <w:rFonts w:ascii="Arial" w:eastAsia="Times New Roman" w:hAnsi="Arial" w:cs="Arial"/>
          <w:bCs/>
          <w:kern w:val="1"/>
          <w:lang w:eastAsia="ar-SA"/>
        </w:rPr>
        <w:t xml:space="preserve">a </w:t>
      </w:r>
      <w:r w:rsidR="00C21920" w:rsidRPr="00931D46">
        <w:rPr>
          <w:rFonts w:ascii="Arial" w:eastAsia="Times New Roman" w:hAnsi="Arial" w:cs="Arial"/>
          <w:b/>
          <w:bCs/>
          <w:kern w:val="1"/>
          <w:lang w:eastAsia="ar-SA"/>
        </w:rPr>
        <w:t>OCDE</w:t>
      </w:r>
      <w:r w:rsidR="00C21920" w:rsidRPr="00931D46">
        <w:rPr>
          <w:rFonts w:ascii="Arial" w:eastAsia="Times New Roman" w:hAnsi="Arial" w:cs="Arial"/>
          <w:bCs/>
          <w:kern w:val="1"/>
          <w:lang w:eastAsia="ar-SA"/>
        </w:rPr>
        <w:t xml:space="preserve"> reconoce que la determinación del MR </w:t>
      </w:r>
      <w:r w:rsidR="00C21920" w:rsidRPr="00931D46">
        <w:rPr>
          <w:rFonts w:ascii="Arial" w:eastAsia="Times New Roman" w:hAnsi="Arial" w:cs="Arial"/>
          <w:bCs/>
          <w:i/>
          <w:kern w:val="1"/>
          <w:lang w:eastAsia="ar-SA"/>
        </w:rPr>
        <w:t xml:space="preserve">“no es un fin en sí mismo, sino una herramienta para identificar </w:t>
      </w:r>
      <w:r w:rsidR="00A532DF" w:rsidRPr="00931D46">
        <w:rPr>
          <w:rFonts w:ascii="Arial" w:eastAsia="Times New Roman" w:hAnsi="Arial" w:cs="Arial"/>
          <w:bCs/>
          <w:i/>
          <w:kern w:val="1"/>
          <w:lang w:eastAsia="ar-SA"/>
        </w:rPr>
        <w:t>la intensidad</w:t>
      </w:r>
      <w:r w:rsidR="00C21920" w:rsidRPr="00931D46">
        <w:rPr>
          <w:rFonts w:ascii="Arial" w:eastAsia="Times New Roman" w:hAnsi="Arial" w:cs="Arial"/>
          <w:bCs/>
          <w:i/>
          <w:kern w:val="1"/>
          <w:lang w:eastAsia="ar-SA"/>
        </w:rPr>
        <w:t xml:space="preserve"> de las restricciones</w:t>
      </w:r>
      <w:r w:rsidR="005C084B" w:rsidRPr="00931D46">
        <w:rPr>
          <w:rFonts w:ascii="Arial" w:eastAsia="Times New Roman" w:hAnsi="Arial" w:cs="Arial"/>
          <w:bCs/>
          <w:i/>
          <w:kern w:val="1"/>
          <w:lang w:eastAsia="ar-SA"/>
        </w:rPr>
        <w:t xml:space="preserve"> </w:t>
      </w:r>
      <w:r w:rsidR="005C084B" w:rsidRPr="00931D46">
        <w:rPr>
          <w:rFonts w:ascii="Arial" w:eastAsia="Times New Roman" w:hAnsi="Arial" w:cs="Arial"/>
          <w:kern w:val="1"/>
          <w:lang w:eastAsia="ar-SA"/>
        </w:rPr>
        <w:t>[presiones]</w:t>
      </w:r>
      <w:r w:rsidR="00C21920" w:rsidRPr="00931D46">
        <w:rPr>
          <w:rFonts w:ascii="Arial" w:eastAsia="Times New Roman" w:hAnsi="Arial" w:cs="Arial"/>
          <w:bCs/>
          <w:i/>
          <w:kern w:val="1"/>
          <w:lang w:eastAsia="ar-SA"/>
        </w:rPr>
        <w:t xml:space="preserve"> competitivas que enfrenta una empresa y para evaluar la existencia, la creación o el fortalecimiento del poder de mercado y la probabilidad de posibles efectos anticompetitivos”;</w:t>
      </w:r>
      <w:r w:rsidR="00C21920" w:rsidRPr="00931D46">
        <w:rPr>
          <w:rStyle w:val="Refdenotaalpie"/>
          <w:rFonts w:ascii="Arial" w:hAnsi="Arial" w:cs="Arial"/>
          <w:lang w:eastAsia="es-MX"/>
        </w:rPr>
        <w:t xml:space="preserve"> </w:t>
      </w:r>
      <w:r w:rsidR="00C21920" w:rsidRPr="00931D46">
        <w:rPr>
          <w:rStyle w:val="Refdenotaalpie"/>
          <w:rFonts w:ascii="Arial" w:hAnsi="Arial" w:cs="Arial"/>
          <w:lang w:eastAsia="es-MX"/>
        </w:rPr>
        <w:footnoteReference w:id="19"/>
      </w:r>
      <w:r w:rsidR="00692B04" w:rsidRPr="00931D46">
        <w:rPr>
          <w:rFonts w:ascii="Arial" w:eastAsia="Times New Roman" w:hAnsi="Arial" w:cs="Arial"/>
          <w:bCs/>
          <w:kern w:val="1"/>
          <w:lang w:eastAsia="ar-SA"/>
        </w:rPr>
        <w:t xml:space="preserve"> </w:t>
      </w:r>
    </w:p>
    <w:p w14:paraId="6CAC03E3" w14:textId="77777777" w:rsidR="00CC683F"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kern w:val="1"/>
          <w:lang w:eastAsia="ar-SA"/>
        </w:rPr>
        <w:t xml:space="preserve">La </w:t>
      </w:r>
      <w:r w:rsidRPr="00931D46">
        <w:rPr>
          <w:rFonts w:ascii="Arial" w:eastAsia="Times New Roman" w:hAnsi="Arial" w:cs="Arial"/>
          <w:b/>
          <w:bCs/>
          <w:kern w:val="1"/>
          <w:lang w:eastAsia="ar-SA"/>
        </w:rPr>
        <w:t>C</w:t>
      </w:r>
      <w:r w:rsidR="005902DF" w:rsidRPr="00931D46">
        <w:rPr>
          <w:rFonts w:ascii="Arial" w:eastAsia="Times New Roman" w:hAnsi="Arial" w:cs="Arial"/>
          <w:b/>
          <w:bCs/>
          <w:kern w:val="1"/>
          <w:lang w:eastAsia="ar-SA"/>
        </w:rPr>
        <w:t>E</w:t>
      </w:r>
      <w:r w:rsidRPr="00931D46">
        <w:rPr>
          <w:rFonts w:ascii="Arial" w:eastAsia="Times New Roman" w:hAnsi="Arial" w:cs="Arial"/>
          <w:b/>
          <w:bCs/>
          <w:kern w:val="1"/>
          <w:lang w:eastAsia="ar-SA"/>
        </w:rPr>
        <w:t xml:space="preserve"> </w:t>
      </w:r>
      <w:r w:rsidRPr="00931D46">
        <w:rPr>
          <w:rFonts w:ascii="Arial" w:eastAsia="Times New Roman" w:hAnsi="Arial" w:cs="Arial"/>
          <w:kern w:val="1"/>
          <w:lang w:eastAsia="ar-SA"/>
        </w:rPr>
        <w:t>ha s</w:t>
      </w:r>
      <w:r w:rsidRPr="00931D46">
        <w:rPr>
          <w:rFonts w:ascii="Arial" w:eastAsia="Times New Roman" w:hAnsi="Arial" w:cs="Arial"/>
          <w:bCs/>
          <w:kern w:val="1"/>
          <w:lang w:eastAsia="ar-SA"/>
        </w:rPr>
        <w:t>eñala</w:t>
      </w:r>
      <w:r w:rsidRPr="00931D46">
        <w:rPr>
          <w:rFonts w:ascii="Arial" w:eastAsia="Times New Roman" w:hAnsi="Arial" w:cs="Arial"/>
          <w:kern w:val="1"/>
          <w:lang w:eastAsia="ar-SA"/>
        </w:rPr>
        <w:t>do que la determinación del MR no es un fin en sí mism</w:t>
      </w:r>
      <w:r w:rsidR="005902DF" w:rsidRPr="00931D46">
        <w:rPr>
          <w:rFonts w:ascii="Arial" w:eastAsia="Times New Roman" w:hAnsi="Arial" w:cs="Arial"/>
          <w:kern w:val="1"/>
          <w:lang w:eastAsia="ar-SA"/>
        </w:rPr>
        <w:t>o</w:t>
      </w:r>
      <w:r w:rsidRPr="00931D46">
        <w:rPr>
          <w:rFonts w:ascii="Arial" w:eastAsia="Times New Roman" w:hAnsi="Arial" w:cs="Arial"/>
          <w:kern w:val="1"/>
          <w:lang w:eastAsia="ar-SA"/>
        </w:rPr>
        <w:t>, sino una herramienta central y un punto de partida para identificar situaciones en las que podría haber preocupaciones de competencia. Además, “</w:t>
      </w:r>
      <w:r w:rsidRPr="00931D46">
        <w:rPr>
          <w:rFonts w:ascii="Arial" w:eastAsia="Times New Roman" w:hAnsi="Arial" w:cs="Arial"/>
          <w:i/>
          <w:kern w:val="1"/>
          <w:lang w:eastAsia="ar-SA"/>
        </w:rPr>
        <w:t>es un primer paso cualitativo importante en una investigación estructurada basada en efectos, ya que permite examinar el panorama competitivo e identificar a los competidores (potenciales) relevantes</w:t>
      </w:r>
      <w:r w:rsidRPr="00931D46">
        <w:rPr>
          <w:rFonts w:ascii="Arial" w:eastAsia="Times New Roman" w:hAnsi="Arial" w:cs="Arial"/>
          <w:kern w:val="1"/>
          <w:lang w:eastAsia="ar-SA"/>
        </w:rPr>
        <w:t>”</w:t>
      </w:r>
      <w:r w:rsidR="00056B59" w:rsidRPr="00931D46">
        <w:rPr>
          <w:rFonts w:ascii="Arial" w:eastAsia="Times New Roman" w:hAnsi="Arial" w:cs="Arial"/>
          <w:kern w:val="1"/>
          <w:lang w:eastAsia="ar-SA"/>
        </w:rPr>
        <w:t>;</w:t>
      </w:r>
      <w:r w:rsidRPr="00931D46">
        <w:rPr>
          <w:rStyle w:val="Refdenotaalpie"/>
          <w:rFonts w:ascii="Arial" w:eastAsia="Times New Roman" w:hAnsi="Arial" w:cs="Arial"/>
          <w:kern w:val="1"/>
          <w:lang w:eastAsia="ar-SA"/>
        </w:rPr>
        <w:footnoteReference w:id="20"/>
      </w:r>
    </w:p>
    <w:p w14:paraId="1E1E1C92" w14:textId="13851429" w:rsidR="00CC683F"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bCs/>
          <w:kern w:val="1"/>
          <w:lang w:eastAsia="ar-SA"/>
        </w:rPr>
        <w:t>L</w:t>
      </w:r>
      <w:r w:rsidR="00D1240D" w:rsidRPr="00931D46">
        <w:rPr>
          <w:rFonts w:ascii="Arial" w:eastAsia="Times New Roman" w:hAnsi="Arial" w:cs="Arial"/>
          <w:bCs/>
          <w:kern w:val="1"/>
          <w:lang w:eastAsia="ar-SA"/>
        </w:rPr>
        <w:t xml:space="preserve">a autoridad de competencia del </w:t>
      </w:r>
      <w:r w:rsidR="00D1240D" w:rsidRPr="00931D46">
        <w:rPr>
          <w:rFonts w:ascii="Arial" w:eastAsia="Times New Roman" w:hAnsi="Arial" w:cs="Arial"/>
          <w:b/>
          <w:bCs/>
          <w:kern w:val="1"/>
          <w:lang w:eastAsia="ar-SA"/>
        </w:rPr>
        <w:t>Reino Unido</w:t>
      </w:r>
      <w:r w:rsidR="00D1240D" w:rsidRPr="00931D46">
        <w:rPr>
          <w:rFonts w:ascii="Arial" w:eastAsia="Times New Roman" w:hAnsi="Arial" w:cs="Arial"/>
          <w:bCs/>
          <w:kern w:val="1"/>
          <w:lang w:eastAsia="ar-SA"/>
        </w:rPr>
        <w:t xml:space="preserve"> establece que la determinación del MR</w:t>
      </w:r>
      <w:r w:rsidR="00C51AA9" w:rsidRPr="00931D46">
        <w:rPr>
          <w:rFonts w:ascii="Arial" w:eastAsia="Times New Roman" w:hAnsi="Arial" w:cs="Arial"/>
          <w:bCs/>
          <w:kern w:val="1"/>
          <w:lang w:eastAsia="ar-SA"/>
        </w:rPr>
        <w:t>:</w:t>
      </w:r>
      <w:r w:rsidR="00D1240D" w:rsidRPr="00931D46">
        <w:rPr>
          <w:rFonts w:ascii="Arial" w:eastAsia="Times New Roman" w:hAnsi="Arial" w:cs="Arial"/>
          <w:bCs/>
          <w:kern w:val="1"/>
          <w:lang w:eastAsia="ar-SA"/>
        </w:rPr>
        <w:t xml:space="preserve"> </w:t>
      </w:r>
      <w:r w:rsidRPr="00931D46">
        <w:rPr>
          <w:rFonts w:ascii="Arial" w:eastAsia="Times New Roman" w:hAnsi="Arial" w:cs="Arial"/>
          <w:bCs/>
          <w:kern w:val="1"/>
          <w:lang w:eastAsia="ar-SA"/>
        </w:rPr>
        <w:t xml:space="preserve">i) </w:t>
      </w:r>
      <w:r w:rsidR="00D1240D" w:rsidRPr="00931D46">
        <w:rPr>
          <w:rFonts w:ascii="Arial" w:eastAsia="Times New Roman" w:hAnsi="Arial" w:cs="Arial"/>
          <w:bCs/>
          <w:kern w:val="1"/>
          <w:lang w:eastAsia="ar-SA"/>
        </w:rPr>
        <w:t xml:space="preserve">no es un fin por sí mismo, sino un paso clave para identificar las restricciones competitivas que actúan sobre un proveedor de un </w:t>
      </w:r>
      <w:r w:rsidR="00330363">
        <w:rPr>
          <w:rFonts w:ascii="Arial" w:eastAsia="Times New Roman" w:hAnsi="Arial" w:cs="Arial"/>
          <w:bCs/>
          <w:kern w:val="1"/>
          <w:lang w:eastAsia="ar-SA"/>
        </w:rPr>
        <w:t>producto</w:t>
      </w:r>
      <w:r w:rsidR="00D1240D" w:rsidRPr="00931D46">
        <w:rPr>
          <w:rFonts w:ascii="Arial" w:eastAsia="Times New Roman" w:hAnsi="Arial" w:cs="Arial"/>
          <w:bCs/>
          <w:kern w:val="1"/>
          <w:lang w:eastAsia="ar-SA"/>
        </w:rPr>
        <w:t xml:space="preserve"> dado;</w:t>
      </w:r>
      <w:r w:rsidRPr="00931D46">
        <w:rPr>
          <w:rFonts w:ascii="Arial" w:eastAsia="Times New Roman" w:hAnsi="Arial" w:cs="Arial"/>
          <w:kern w:val="1"/>
          <w:lang w:eastAsia="ar-SA"/>
        </w:rPr>
        <w:t xml:space="preserve"> ii) pr</w:t>
      </w:r>
      <w:r w:rsidRPr="00931D46">
        <w:rPr>
          <w:rFonts w:ascii="Arial" w:eastAsia="Times New Roman" w:hAnsi="Arial" w:cs="Arial"/>
          <w:bCs/>
          <w:kern w:val="1"/>
          <w:lang w:eastAsia="ar-SA"/>
        </w:rPr>
        <w:t>oporciona</w:t>
      </w:r>
      <w:r w:rsidRPr="00931D46">
        <w:rPr>
          <w:rFonts w:ascii="Arial" w:eastAsia="Times New Roman" w:hAnsi="Arial" w:cs="Arial"/>
          <w:kern w:val="1"/>
          <w:lang w:eastAsia="ar-SA"/>
        </w:rPr>
        <w:t xml:space="preserve"> un marco para el análisis de competencia, y iii)</w:t>
      </w:r>
      <w:r w:rsidRPr="00931D46">
        <w:rPr>
          <w:rFonts w:ascii="Arial" w:eastAsia="Times New Roman" w:hAnsi="Arial" w:cs="Arial"/>
          <w:bCs/>
          <w:kern w:val="1"/>
          <w:lang w:eastAsia="ar-SA"/>
        </w:rPr>
        <w:t xml:space="preserve"> s</w:t>
      </w:r>
      <w:r w:rsidRPr="00931D46">
        <w:rPr>
          <w:rFonts w:ascii="Arial" w:eastAsia="Times New Roman" w:hAnsi="Arial" w:cs="Arial"/>
          <w:kern w:val="1"/>
          <w:lang w:eastAsia="ar-SA"/>
        </w:rPr>
        <w:t>uele ser el primer paso en la evaluación de poder de mercado</w:t>
      </w:r>
      <w:r w:rsidR="00056B59" w:rsidRPr="00931D46">
        <w:rPr>
          <w:rFonts w:ascii="Arial" w:eastAsia="Times New Roman" w:hAnsi="Arial" w:cs="Arial"/>
          <w:kern w:val="1"/>
          <w:lang w:eastAsia="ar-SA"/>
        </w:rPr>
        <w:t>;</w:t>
      </w:r>
      <w:r w:rsidR="00804C4B" w:rsidRPr="00931D46">
        <w:rPr>
          <w:rStyle w:val="Refdenotaalpie"/>
          <w:rFonts w:ascii="Arial" w:hAnsi="Arial" w:cs="Arial"/>
        </w:rPr>
        <w:footnoteReference w:id="21"/>
      </w:r>
      <w:r w:rsidR="00C21920" w:rsidRPr="00931D46">
        <w:rPr>
          <w:rFonts w:ascii="Arial" w:eastAsia="Times New Roman" w:hAnsi="Arial" w:cs="Arial"/>
          <w:bCs/>
          <w:kern w:val="1"/>
          <w:lang w:eastAsia="ar-SA"/>
        </w:rPr>
        <w:t xml:space="preserve"> </w:t>
      </w:r>
    </w:p>
    <w:p w14:paraId="043ABF52" w14:textId="77777777" w:rsidR="00E32F9D"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bCs/>
          <w:kern w:val="1"/>
          <w:lang w:eastAsia="ar-SA"/>
        </w:rPr>
        <w:t>E</w:t>
      </w:r>
      <w:r w:rsidR="00692B04" w:rsidRPr="00931D46">
        <w:rPr>
          <w:rFonts w:ascii="Arial" w:eastAsia="Times New Roman" w:hAnsi="Arial" w:cs="Arial"/>
          <w:bCs/>
          <w:kern w:val="1"/>
          <w:lang w:eastAsia="ar-SA"/>
        </w:rPr>
        <w:t xml:space="preserve">n </w:t>
      </w:r>
      <w:r w:rsidR="00692B04" w:rsidRPr="00931D46">
        <w:rPr>
          <w:rFonts w:ascii="Arial" w:eastAsia="Times New Roman" w:hAnsi="Arial" w:cs="Arial"/>
          <w:b/>
          <w:bCs/>
          <w:kern w:val="1"/>
          <w:lang w:eastAsia="ar-SA"/>
        </w:rPr>
        <w:t>Estados Unidos de América</w:t>
      </w:r>
      <w:r w:rsidR="00692B04" w:rsidRPr="00931D46">
        <w:rPr>
          <w:rFonts w:ascii="Arial" w:eastAsia="Times New Roman" w:hAnsi="Arial" w:cs="Arial"/>
          <w:bCs/>
          <w:kern w:val="1"/>
          <w:lang w:eastAsia="ar-SA"/>
        </w:rPr>
        <w:t>, la determinación del MR incluso no siempre es el punto de partida para el análisis de competencia</w:t>
      </w:r>
      <w:r w:rsidR="006F42B4" w:rsidRPr="00931D46">
        <w:rPr>
          <w:rFonts w:ascii="Arial" w:eastAsia="Times New Roman" w:hAnsi="Arial" w:cs="Arial"/>
          <w:bCs/>
          <w:kern w:val="1"/>
          <w:lang w:eastAsia="ar-SA"/>
        </w:rPr>
        <w:t>;</w:t>
      </w:r>
      <w:r w:rsidR="00692B04" w:rsidRPr="00931D46">
        <w:rPr>
          <w:rFonts w:ascii="Arial" w:eastAsia="Times New Roman" w:hAnsi="Arial" w:cs="Arial"/>
          <w:vertAlign w:val="superscript"/>
          <w:lang w:val="en-US" w:eastAsia="es-MX"/>
        </w:rPr>
        <w:footnoteReference w:id="22"/>
      </w:r>
    </w:p>
    <w:p w14:paraId="5CCA5BB1" w14:textId="77777777" w:rsidR="00CC683F" w:rsidRPr="00931D46" w:rsidRDefault="00E32F9D"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bCs/>
          <w:kern w:val="1"/>
          <w:lang w:eastAsia="ar-SA"/>
        </w:rPr>
        <w:t xml:space="preserve">En </w:t>
      </w:r>
      <w:r w:rsidRPr="00931D46">
        <w:rPr>
          <w:rFonts w:ascii="Arial" w:eastAsia="Times New Roman" w:hAnsi="Arial" w:cs="Arial"/>
          <w:b/>
          <w:bCs/>
          <w:kern w:val="1"/>
          <w:lang w:eastAsia="ar-SA"/>
        </w:rPr>
        <w:t>Canadá</w:t>
      </w:r>
      <w:r w:rsidRPr="00931D46">
        <w:rPr>
          <w:rFonts w:ascii="Arial" w:eastAsia="Times New Roman" w:hAnsi="Arial" w:cs="Arial"/>
          <w:bCs/>
          <w:kern w:val="1"/>
          <w:lang w:eastAsia="ar-SA"/>
        </w:rPr>
        <w:t xml:space="preserve">, la </w:t>
      </w:r>
      <w:r w:rsidR="006525D8" w:rsidRPr="00931D46">
        <w:rPr>
          <w:rFonts w:ascii="Arial" w:eastAsia="Times New Roman" w:hAnsi="Arial" w:cs="Arial"/>
          <w:bCs/>
          <w:kern w:val="1"/>
          <w:lang w:eastAsia="ar-SA"/>
        </w:rPr>
        <w:t>CBC</w:t>
      </w:r>
      <w:r w:rsidRPr="00931D46">
        <w:rPr>
          <w:rFonts w:ascii="Arial" w:eastAsia="Times New Roman" w:hAnsi="Arial" w:cs="Arial"/>
          <w:bCs/>
          <w:kern w:val="1"/>
          <w:lang w:eastAsia="ar-SA"/>
        </w:rPr>
        <w:t xml:space="preserve"> señala, en el contexto de concentraciones que, en última instancia, la determinación de MR “</w:t>
      </w:r>
      <w:r w:rsidRPr="00931D46">
        <w:rPr>
          <w:rFonts w:ascii="Arial" w:eastAsia="Times New Roman" w:hAnsi="Arial" w:cs="Arial"/>
          <w:bCs/>
          <w:i/>
          <w:kern w:val="1"/>
          <w:lang w:eastAsia="ar-SA"/>
        </w:rPr>
        <w:t>es simplemente una herramienta analítica (…)</w:t>
      </w:r>
      <w:r w:rsidRPr="00931D46">
        <w:rPr>
          <w:rFonts w:ascii="Arial" w:eastAsia="Times New Roman" w:hAnsi="Arial" w:cs="Arial"/>
          <w:bCs/>
          <w:kern w:val="1"/>
          <w:lang w:eastAsia="ar-SA"/>
        </w:rPr>
        <w:t>” para la evaluación de los posibles efectos de la concentración sobre la competencia,</w:t>
      </w:r>
      <w:r w:rsidRPr="00931D46">
        <w:rPr>
          <w:rStyle w:val="Refdenotaalpie"/>
          <w:rFonts w:ascii="Arial" w:eastAsia="Times New Roman" w:hAnsi="Arial" w:cs="Arial"/>
          <w:bCs/>
          <w:kern w:val="1"/>
          <w:lang w:eastAsia="ar-SA"/>
        </w:rPr>
        <w:footnoteReference w:id="23"/>
      </w:r>
      <w:r w:rsidR="006F42B4" w:rsidRPr="00931D46">
        <w:rPr>
          <w:rFonts w:ascii="Arial" w:eastAsia="Times New Roman" w:hAnsi="Arial" w:cs="Arial"/>
          <w:bCs/>
          <w:kern w:val="1"/>
          <w:lang w:eastAsia="ar-SA"/>
        </w:rPr>
        <w:t xml:space="preserve"> y</w:t>
      </w:r>
    </w:p>
    <w:p w14:paraId="5A2C8A43" w14:textId="77777777" w:rsidR="00692B04" w:rsidRPr="00931D46" w:rsidRDefault="00CC683F" w:rsidP="00942BD7">
      <w:pPr>
        <w:pStyle w:val="Prrafodelista"/>
        <w:numPr>
          <w:ilvl w:val="0"/>
          <w:numId w:val="38"/>
        </w:numPr>
        <w:spacing w:before="0" w:after="0"/>
        <w:ind w:left="714" w:hanging="572"/>
        <w:contextualSpacing w:val="0"/>
        <w:rPr>
          <w:rFonts w:ascii="Arial" w:eastAsia="Times New Roman" w:hAnsi="Arial" w:cs="Arial"/>
          <w:bCs/>
          <w:kern w:val="1"/>
          <w:lang w:eastAsia="ar-SA"/>
        </w:rPr>
      </w:pPr>
      <w:r w:rsidRPr="00931D46">
        <w:rPr>
          <w:rFonts w:ascii="Arial" w:eastAsia="Times New Roman" w:hAnsi="Arial" w:cs="Arial"/>
          <w:bCs/>
          <w:kern w:val="1"/>
          <w:lang w:eastAsia="ar-SA"/>
        </w:rPr>
        <w:t>E</w:t>
      </w:r>
      <w:r w:rsidR="006F42B4" w:rsidRPr="00931D46">
        <w:rPr>
          <w:rFonts w:ascii="Arial" w:eastAsia="Times New Roman" w:hAnsi="Arial" w:cs="Arial"/>
          <w:bCs/>
          <w:kern w:val="1"/>
          <w:lang w:eastAsia="ar-SA"/>
        </w:rPr>
        <w:t xml:space="preserve">n </w:t>
      </w:r>
      <w:r w:rsidR="006F42B4" w:rsidRPr="00931D46">
        <w:rPr>
          <w:rFonts w:ascii="Arial" w:eastAsia="Times New Roman" w:hAnsi="Arial" w:cs="Arial"/>
          <w:b/>
          <w:bCs/>
          <w:kern w:val="1"/>
          <w:lang w:eastAsia="ar-SA"/>
        </w:rPr>
        <w:t>Australia</w:t>
      </w:r>
      <w:r w:rsidR="006F42B4" w:rsidRPr="00931D46">
        <w:rPr>
          <w:rFonts w:ascii="Arial" w:eastAsia="Times New Roman" w:hAnsi="Arial" w:cs="Arial"/>
          <w:bCs/>
          <w:kern w:val="1"/>
          <w:lang w:eastAsia="ar-SA"/>
        </w:rPr>
        <w:t>, la ACCC señala que un MR no se determina de forma aislada, sino dentro del contexto de una conducta o concentración particular bajo investigación.</w:t>
      </w:r>
      <w:r w:rsidR="000C39CB" w:rsidRPr="00931D46">
        <w:rPr>
          <w:rFonts w:ascii="Arial" w:eastAsia="Times New Roman" w:hAnsi="Arial" w:cs="Arial"/>
          <w:vertAlign w:val="superscript"/>
          <w:lang w:eastAsia="es-MX"/>
        </w:rPr>
        <w:footnoteReference w:id="24"/>
      </w:r>
    </w:p>
    <w:p w14:paraId="79C11AEE" w14:textId="77777777" w:rsidR="00692B04" w:rsidRPr="00931D46" w:rsidRDefault="00692B04" w:rsidP="0023353F">
      <w:pPr>
        <w:spacing w:before="0" w:after="0"/>
        <w:rPr>
          <w:rFonts w:ascii="Arial" w:eastAsia="Times New Roman" w:hAnsi="Arial" w:cs="Arial"/>
          <w:bCs/>
          <w:kern w:val="1"/>
          <w:lang w:eastAsia="ar-SA"/>
        </w:rPr>
      </w:pPr>
    </w:p>
    <w:p w14:paraId="5545F289" w14:textId="7D8F27BF" w:rsidR="00E32F9D" w:rsidRPr="00931D46" w:rsidRDefault="00C21920" w:rsidP="0023353F">
      <w:pPr>
        <w:spacing w:before="0" w:after="0"/>
        <w:rPr>
          <w:rFonts w:ascii="Arial" w:hAnsi="Arial" w:cs="Arial"/>
        </w:rPr>
      </w:pPr>
      <w:r w:rsidRPr="00931D46">
        <w:rPr>
          <w:rFonts w:ascii="Arial" w:eastAsia="Times New Roman" w:hAnsi="Arial" w:cs="Arial"/>
          <w:bCs/>
          <w:kern w:val="1"/>
          <w:lang w:eastAsia="ar-SA"/>
        </w:rPr>
        <w:t xml:space="preserve">Respecto a </w:t>
      </w:r>
      <w:r w:rsidR="005171B6" w:rsidRPr="00931D46">
        <w:rPr>
          <w:rFonts w:ascii="Arial" w:eastAsia="Times New Roman" w:hAnsi="Arial" w:cs="Arial"/>
          <w:bCs/>
          <w:kern w:val="1"/>
          <w:lang w:eastAsia="ar-SA"/>
        </w:rPr>
        <w:t>los elementos a considerar para la</w:t>
      </w:r>
      <w:r w:rsidRPr="00931D46">
        <w:rPr>
          <w:rFonts w:ascii="Arial" w:eastAsia="Times New Roman" w:hAnsi="Arial" w:cs="Arial"/>
          <w:bCs/>
          <w:kern w:val="1"/>
          <w:lang w:eastAsia="ar-SA"/>
        </w:rPr>
        <w:t xml:space="preserve"> determinación de MR, </w:t>
      </w:r>
      <w:r w:rsidR="00E73B44" w:rsidRPr="00931D46">
        <w:rPr>
          <w:rFonts w:ascii="Arial" w:eastAsia="Times New Roman" w:hAnsi="Arial" w:cs="Arial"/>
          <w:bCs/>
          <w:kern w:val="1"/>
          <w:lang w:eastAsia="ar-SA"/>
        </w:rPr>
        <w:t xml:space="preserve">la SCJN </w:t>
      </w:r>
      <w:r w:rsidR="00E73B44" w:rsidRPr="00931D46">
        <w:rPr>
          <w:rFonts w:ascii="Arial" w:hAnsi="Arial" w:cs="Arial"/>
        </w:rPr>
        <w:t xml:space="preserve">ha señalado que el MR es un concepto jurídico indeterminado cuya determinación implica una valoración económica compleja de carácter discrecional </w:t>
      </w:r>
      <w:r w:rsidRPr="00931D46">
        <w:rPr>
          <w:rFonts w:ascii="Arial" w:hAnsi="Arial" w:cs="Arial"/>
        </w:rPr>
        <w:t xml:space="preserve">que sólo la autoridad de competencia puede construir </w:t>
      </w:r>
      <w:r w:rsidR="00E73B44" w:rsidRPr="00931D46">
        <w:rPr>
          <w:rFonts w:ascii="Arial" w:hAnsi="Arial" w:cs="Arial"/>
        </w:rPr>
        <w:t>a partir de la evidencia de que dispone</w:t>
      </w:r>
      <w:r w:rsidR="00C41C57">
        <w:rPr>
          <w:rFonts w:ascii="Arial" w:hAnsi="Arial" w:cs="Arial"/>
        </w:rPr>
        <w:t>,</w:t>
      </w:r>
      <w:r w:rsidR="000653B5" w:rsidRPr="00931D46">
        <w:rPr>
          <w:rStyle w:val="Refdenotaalpie"/>
          <w:rFonts w:ascii="Arial" w:hAnsi="Arial" w:cs="Arial"/>
        </w:rPr>
        <w:footnoteReference w:id="25"/>
      </w:r>
      <w:r w:rsidR="001A37E5">
        <w:rPr>
          <w:rFonts w:ascii="Arial" w:hAnsi="Arial" w:cs="Arial"/>
        </w:rPr>
        <w:t xml:space="preserve"> </w:t>
      </w:r>
      <w:r w:rsidR="00C41C57">
        <w:rPr>
          <w:rFonts w:ascii="Arial" w:hAnsi="Arial" w:cs="Arial"/>
        </w:rPr>
        <w:t>l</w:t>
      </w:r>
      <w:r w:rsidR="00E73B44" w:rsidRPr="00931D46">
        <w:rPr>
          <w:rFonts w:ascii="Arial" w:hAnsi="Arial" w:cs="Arial"/>
        </w:rPr>
        <w:t xml:space="preserve">o </w:t>
      </w:r>
      <w:r w:rsidR="00C41C57">
        <w:rPr>
          <w:rFonts w:ascii="Arial" w:hAnsi="Arial" w:cs="Arial"/>
        </w:rPr>
        <w:t>cual</w:t>
      </w:r>
      <w:r w:rsidR="00E73B44" w:rsidRPr="00931D46">
        <w:rPr>
          <w:rFonts w:ascii="Arial" w:hAnsi="Arial" w:cs="Arial"/>
        </w:rPr>
        <w:t xml:space="preserve"> es consistente con lo señalado por </w:t>
      </w:r>
      <w:r w:rsidR="00E32F9D" w:rsidRPr="00931D46">
        <w:rPr>
          <w:rFonts w:ascii="Arial" w:hAnsi="Arial" w:cs="Arial"/>
        </w:rPr>
        <w:t>diversas autoridades de otras jurisdicciones</w:t>
      </w:r>
      <w:r w:rsidR="00194024" w:rsidRPr="00931D46">
        <w:rPr>
          <w:rFonts w:ascii="Arial" w:hAnsi="Arial" w:cs="Arial"/>
        </w:rPr>
        <w:t xml:space="preserve"> y organismos internacionales</w:t>
      </w:r>
      <w:r w:rsidR="00E32F9D" w:rsidRPr="00931D46">
        <w:rPr>
          <w:rFonts w:ascii="Arial" w:hAnsi="Arial" w:cs="Arial"/>
        </w:rPr>
        <w:t>, como se resume a continuación:</w:t>
      </w:r>
    </w:p>
    <w:p w14:paraId="77765DBD" w14:textId="77777777" w:rsidR="0023353F" w:rsidRPr="00931D46" w:rsidRDefault="0023353F" w:rsidP="0023353F">
      <w:pPr>
        <w:spacing w:before="0" w:after="0"/>
        <w:rPr>
          <w:rFonts w:ascii="Arial" w:hAnsi="Arial" w:cs="Arial"/>
        </w:rPr>
      </w:pPr>
    </w:p>
    <w:p w14:paraId="12F7120D" w14:textId="77777777" w:rsidR="00E32F9D" w:rsidRPr="00931D46" w:rsidRDefault="00E32F9D" w:rsidP="00942BD7">
      <w:pPr>
        <w:pStyle w:val="Prrafodelista"/>
        <w:numPr>
          <w:ilvl w:val="0"/>
          <w:numId w:val="39"/>
        </w:numPr>
        <w:spacing w:before="0" w:after="0"/>
        <w:ind w:hanging="578"/>
        <w:contextualSpacing w:val="0"/>
        <w:rPr>
          <w:rFonts w:ascii="Arial" w:hAnsi="Arial" w:cs="Arial"/>
        </w:rPr>
      </w:pPr>
      <w:r w:rsidRPr="00931D46">
        <w:rPr>
          <w:rFonts w:ascii="Arial" w:hAnsi="Arial" w:cs="Arial"/>
        </w:rPr>
        <w:t>L</w:t>
      </w:r>
      <w:r w:rsidR="00E73B44" w:rsidRPr="00931D46">
        <w:rPr>
          <w:rFonts w:ascii="Arial" w:hAnsi="Arial" w:cs="Arial"/>
        </w:rPr>
        <w:t xml:space="preserve">a </w:t>
      </w:r>
      <w:r w:rsidR="00E73B44" w:rsidRPr="00931D46">
        <w:rPr>
          <w:rFonts w:ascii="Arial" w:hAnsi="Arial" w:cs="Arial"/>
          <w:b/>
        </w:rPr>
        <w:t>CE</w:t>
      </w:r>
      <w:r w:rsidR="002772F9" w:rsidRPr="00931D46">
        <w:rPr>
          <w:rFonts w:ascii="Arial" w:hAnsi="Arial" w:cs="Arial"/>
          <w:b/>
        </w:rPr>
        <w:t>,</w:t>
      </w:r>
      <w:r w:rsidRPr="00931D46">
        <w:rPr>
          <w:rFonts w:ascii="Arial" w:hAnsi="Arial" w:cs="Arial"/>
        </w:rPr>
        <w:t xml:space="preserve"> para el sector de comunicaciones electrónicas</w:t>
      </w:r>
      <w:r w:rsidR="00E73B44" w:rsidRPr="00931D46">
        <w:rPr>
          <w:rFonts w:ascii="Arial" w:hAnsi="Arial" w:cs="Arial"/>
        </w:rPr>
        <w:t>, menciona que l</w:t>
      </w:r>
      <w:r w:rsidR="006A4847" w:rsidRPr="00931D46">
        <w:rPr>
          <w:rFonts w:ascii="Arial" w:hAnsi="Arial" w:cs="Arial"/>
        </w:rPr>
        <w:t xml:space="preserve">a </w:t>
      </w:r>
      <w:r w:rsidR="00CF606F" w:rsidRPr="00931D46">
        <w:rPr>
          <w:rFonts w:ascii="Arial" w:hAnsi="Arial" w:cs="Arial"/>
        </w:rPr>
        <w:t xml:space="preserve">determinación </w:t>
      </w:r>
      <w:r w:rsidR="006A4847" w:rsidRPr="00931D46">
        <w:rPr>
          <w:rFonts w:ascii="Arial" w:hAnsi="Arial" w:cs="Arial"/>
        </w:rPr>
        <w:t>de</w:t>
      </w:r>
      <w:r w:rsidR="00CF606F" w:rsidRPr="00931D46">
        <w:rPr>
          <w:rFonts w:ascii="Arial" w:hAnsi="Arial" w:cs="Arial"/>
        </w:rPr>
        <w:t>l</w:t>
      </w:r>
      <w:r w:rsidR="006A4847" w:rsidRPr="00931D46">
        <w:rPr>
          <w:rFonts w:ascii="Arial" w:hAnsi="Arial" w:cs="Arial"/>
        </w:rPr>
        <w:t xml:space="preserve"> </w:t>
      </w:r>
      <w:r w:rsidR="00E73B44" w:rsidRPr="00931D46">
        <w:rPr>
          <w:rFonts w:ascii="Arial" w:hAnsi="Arial" w:cs="Arial"/>
        </w:rPr>
        <w:t>MR</w:t>
      </w:r>
      <w:r w:rsidR="006A4847" w:rsidRPr="00931D46">
        <w:rPr>
          <w:rFonts w:ascii="Arial" w:hAnsi="Arial" w:cs="Arial"/>
        </w:rPr>
        <w:t xml:space="preserve"> no es un proceso mecánico o abstracto, sino que exige el análisis de todos los elementos disponible</w:t>
      </w:r>
      <w:r w:rsidRPr="00931D46">
        <w:rPr>
          <w:rFonts w:ascii="Arial" w:hAnsi="Arial" w:cs="Arial"/>
        </w:rPr>
        <w:t>s y una comprensión global de la</w:t>
      </w:r>
      <w:r w:rsidR="006A4847" w:rsidRPr="00931D46">
        <w:rPr>
          <w:rFonts w:ascii="Arial" w:hAnsi="Arial" w:cs="Arial"/>
        </w:rPr>
        <w:t xml:space="preserve"> mec</w:t>
      </w:r>
      <w:r w:rsidRPr="00931D46">
        <w:rPr>
          <w:rFonts w:ascii="Arial" w:hAnsi="Arial" w:cs="Arial"/>
        </w:rPr>
        <w:t>ánica</w:t>
      </w:r>
      <w:r w:rsidR="006A4847" w:rsidRPr="00931D46">
        <w:rPr>
          <w:rFonts w:ascii="Arial" w:hAnsi="Arial" w:cs="Arial"/>
        </w:rPr>
        <w:t xml:space="preserve"> de un sector dado</w:t>
      </w:r>
      <w:r w:rsidR="00CF606F" w:rsidRPr="00931D46">
        <w:rPr>
          <w:rFonts w:ascii="Arial" w:hAnsi="Arial" w:cs="Arial"/>
        </w:rPr>
        <w:t>;</w:t>
      </w:r>
      <w:r w:rsidR="006A4847" w:rsidRPr="00931D46">
        <w:rPr>
          <w:rStyle w:val="Refdenotaalpie"/>
          <w:rFonts w:ascii="Arial" w:hAnsi="Arial" w:cs="Arial"/>
        </w:rPr>
        <w:footnoteReference w:id="26"/>
      </w:r>
    </w:p>
    <w:p w14:paraId="2B7C2FE6" w14:textId="77777777" w:rsidR="00E32F9D" w:rsidRPr="00931D46" w:rsidRDefault="00E32F9D" w:rsidP="00942BD7">
      <w:pPr>
        <w:pStyle w:val="Prrafodelista"/>
        <w:numPr>
          <w:ilvl w:val="0"/>
          <w:numId w:val="39"/>
        </w:numPr>
        <w:spacing w:before="0" w:after="0"/>
        <w:ind w:hanging="578"/>
        <w:contextualSpacing w:val="0"/>
        <w:rPr>
          <w:rFonts w:ascii="Arial" w:hAnsi="Arial" w:cs="Arial"/>
        </w:rPr>
      </w:pPr>
      <w:r w:rsidRPr="00931D46">
        <w:rPr>
          <w:rFonts w:ascii="Arial" w:hAnsi="Arial" w:cs="Arial"/>
        </w:rPr>
        <w:t>L</w:t>
      </w:r>
      <w:r w:rsidR="00CF606F" w:rsidRPr="00931D46">
        <w:rPr>
          <w:rFonts w:ascii="Arial" w:hAnsi="Arial" w:cs="Arial"/>
        </w:rPr>
        <w:t xml:space="preserve">a </w:t>
      </w:r>
      <w:r w:rsidR="006525D8" w:rsidRPr="00931D46">
        <w:rPr>
          <w:rFonts w:ascii="Arial" w:hAnsi="Arial" w:cs="Arial"/>
          <w:b/>
        </w:rPr>
        <w:t xml:space="preserve">FTC </w:t>
      </w:r>
      <w:r w:rsidR="006525D8" w:rsidRPr="00931D46">
        <w:rPr>
          <w:rFonts w:ascii="Arial" w:hAnsi="Arial" w:cs="Arial"/>
        </w:rPr>
        <w:t xml:space="preserve">y el </w:t>
      </w:r>
      <w:r w:rsidR="006525D8" w:rsidRPr="00931D46">
        <w:rPr>
          <w:rFonts w:ascii="Arial" w:hAnsi="Arial" w:cs="Arial"/>
          <w:b/>
        </w:rPr>
        <w:t>DO</w:t>
      </w:r>
      <w:r w:rsidR="00CF606F" w:rsidRPr="00931D46">
        <w:rPr>
          <w:rFonts w:ascii="Arial" w:hAnsi="Arial" w:cs="Arial"/>
          <w:b/>
        </w:rPr>
        <w:t>J</w:t>
      </w:r>
      <w:r w:rsidR="00CF606F" w:rsidRPr="00931D46">
        <w:rPr>
          <w:rFonts w:ascii="Arial" w:hAnsi="Arial" w:cs="Arial"/>
        </w:rPr>
        <w:t xml:space="preserve"> señalan que es un proceso específico a través del cual ambas agencias, guiadas por su experiencia, utilizan la evidencia razonablemente disponible y confiable</w:t>
      </w:r>
      <w:r w:rsidRPr="00931D46">
        <w:rPr>
          <w:rFonts w:ascii="Arial" w:hAnsi="Arial" w:cs="Arial"/>
        </w:rPr>
        <w:t>, que los MR no tienen por qué tener medidas y límites precisos, por lo que los principios que se utilizan para la delimitación del MR “</w:t>
      </w:r>
      <w:r w:rsidRPr="00931D46">
        <w:rPr>
          <w:rFonts w:ascii="Arial" w:hAnsi="Arial" w:cs="Arial"/>
          <w:i/>
        </w:rPr>
        <w:t>buscan hacer esta inevitable simplificación tan útil e informativa como sea posible en la práctica</w:t>
      </w:r>
      <w:r w:rsidRPr="00931D46">
        <w:rPr>
          <w:rFonts w:ascii="Arial" w:hAnsi="Arial" w:cs="Arial"/>
        </w:rPr>
        <w:t>”</w:t>
      </w:r>
      <w:r w:rsidR="00CF606F" w:rsidRPr="00931D46">
        <w:rPr>
          <w:rFonts w:ascii="Arial" w:hAnsi="Arial" w:cs="Arial"/>
        </w:rPr>
        <w:t>;</w:t>
      </w:r>
      <w:r w:rsidR="00CF606F" w:rsidRPr="00931D46">
        <w:rPr>
          <w:rFonts w:ascii="Arial" w:eastAsia="Times New Roman" w:hAnsi="Arial" w:cs="Arial"/>
          <w:vertAlign w:val="superscript"/>
          <w:lang w:val="en-US" w:eastAsia="es-MX"/>
        </w:rPr>
        <w:footnoteReference w:id="27"/>
      </w:r>
      <w:r w:rsidR="00CF606F" w:rsidRPr="00931D46">
        <w:rPr>
          <w:rFonts w:ascii="Arial" w:hAnsi="Arial" w:cs="Arial"/>
        </w:rPr>
        <w:t xml:space="preserve"> </w:t>
      </w:r>
    </w:p>
    <w:p w14:paraId="564666B7" w14:textId="77777777" w:rsidR="00E32F9D" w:rsidRPr="00931D46" w:rsidRDefault="00E32F9D" w:rsidP="00942BD7">
      <w:pPr>
        <w:pStyle w:val="Prrafodelista"/>
        <w:numPr>
          <w:ilvl w:val="0"/>
          <w:numId w:val="39"/>
        </w:numPr>
        <w:spacing w:before="0" w:after="0"/>
        <w:ind w:hanging="578"/>
        <w:contextualSpacing w:val="0"/>
        <w:rPr>
          <w:rFonts w:ascii="Arial" w:hAnsi="Arial" w:cs="Arial"/>
        </w:rPr>
      </w:pPr>
      <w:r w:rsidRPr="00931D46">
        <w:rPr>
          <w:rFonts w:ascii="Arial" w:hAnsi="Arial" w:cs="Arial"/>
        </w:rPr>
        <w:t>E</w:t>
      </w:r>
      <w:r w:rsidR="00CF606F" w:rsidRPr="00931D46">
        <w:rPr>
          <w:rFonts w:ascii="Arial" w:hAnsi="Arial" w:cs="Arial"/>
        </w:rPr>
        <w:t xml:space="preserve">n el </w:t>
      </w:r>
      <w:r w:rsidR="00CF606F" w:rsidRPr="00931D46">
        <w:rPr>
          <w:rFonts w:ascii="Arial" w:hAnsi="Arial" w:cs="Arial"/>
          <w:b/>
        </w:rPr>
        <w:t>Reino Unido</w:t>
      </w:r>
      <w:r w:rsidR="00CF606F" w:rsidRPr="00931D46">
        <w:rPr>
          <w:rFonts w:ascii="Arial" w:hAnsi="Arial" w:cs="Arial"/>
        </w:rPr>
        <w:t>, la autoridad destaca que es un proceso que implica un elemento de juicio,</w:t>
      </w:r>
      <w:r w:rsidR="00CF606F" w:rsidRPr="00931D46">
        <w:rPr>
          <w:rStyle w:val="Refdenotaalpie"/>
          <w:rFonts w:ascii="Arial" w:hAnsi="Arial" w:cs="Arial"/>
        </w:rPr>
        <w:footnoteReference w:id="28"/>
      </w:r>
      <w:r w:rsidR="00CF606F" w:rsidRPr="00931D46">
        <w:rPr>
          <w:rFonts w:ascii="Arial" w:hAnsi="Arial" w:cs="Arial"/>
        </w:rPr>
        <w:t xml:space="preserve"> pues no se sigue de forma mecánica, sino que refleja las circunstancias particulares de cada caso, por lo que analiza la evidencia que sea razonablemente alcanzable y relevante para el caso en cuestión;</w:t>
      </w:r>
      <w:r w:rsidR="00CF606F" w:rsidRPr="00931D46">
        <w:rPr>
          <w:rStyle w:val="Refdenotaalpie"/>
          <w:rFonts w:ascii="Arial" w:hAnsi="Arial" w:cs="Arial"/>
        </w:rPr>
        <w:footnoteReference w:id="29"/>
      </w:r>
    </w:p>
    <w:p w14:paraId="65DF645A" w14:textId="77777777" w:rsidR="00E32F9D" w:rsidRPr="00931D46" w:rsidRDefault="00E32F9D" w:rsidP="00942BD7">
      <w:pPr>
        <w:pStyle w:val="Prrafodelista"/>
        <w:numPr>
          <w:ilvl w:val="0"/>
          <w:numId w:val="39"/>
        </w:numPr>
        <w:spacing w:before="0" w:after="0"/>
        <w:ind w:hanging="578"/>
        <w:contextualSpacing w:val="0"/>
        <w:rPr>
          <w:rFonts w:ascii="Arial" w:hAnsi="Arial" w:cs="Arial"/>
        </w:rPr>
      </w:pPr>
      <w:r w:rsidRPr="00931D46">
        <w:rPr>
          <w:rFonts w:ascii="Arial" w:hAnsi="Arial" w:cs="Arial"/>
        </w:rPr>
        <w:t>E</w:t>
      </w:r>
      <w:r w:rsidR="00CF606F" w:rsidRPr="00931D46">
        <w:rPr>
          <w:rFonts w:ascii="Arial" w:hAnsi="Arial" w:cs="Arial"/>
        </w:rPr>
        <w:t xml:space="preserve">n </w:t>
      </w:r>
      <w:r w:rsidR="00CF606F" w:rsidRPr="00931D46">
        <w:rPr>
          <w:rFonts w:ascii="Arial" w:hAnsi="Arial" w:cs="Arial"/>
          <w:b/>
        </w:rPr>
        <w:t>Australia</w:t>
      </w:r>
      <w:r w:rsidR="00CF606F" w:rsidRPr="00931D46">
        <w:rPr>
          <w:rFonts w:ascii="Arial" w:hAnsi="Arial" w:cs="Arial"/>
        </w:rPr>
        <w:t xml:space="preserve">, la ACCC reconoce que </w:t>
      </w:r>
      <w:r w:rsidRPr="00931D46">
        <w:rPr>
          <w:rFonts w:ascii="Arial" w:hAnsi="Arial" w:cs="Arial"/>
        </w:rPr>
        <w:t>la determinación del MR</w:t>
      </w:r>
      <w:r w:rsidR="00CF606F" w:rsidRPr="00931D46">
        <w:rPr>
          <w:rFonts w:ascii="Arial" w:hAnsi="Arial" w:cs="Arial"/>
        </w:rPr>
        <w:t xml:space="preserve"> no es una ciencia exacta y no es posible o no siempre es necesario identificar sus límites precisos, además de que es </w:t>
      </w:r>
      <w:r w:rsidR="008B61A4" w:rsidRPr="00931D46">
        <w:rPr>
          <w:rFonts w:ascii="Arial" w:hAnsi="Arial" w:cs="Arial"/>
        </w:rPr>
        <w:t>“</w:t>
      </w:r>
      <w:r w:rsidR="00CF606F" w:rsidRPr="00931D46">
        <w:rPr>
          <w:rFonts w:ascii="Arial" w:hAnsi="Arial" w:cs="Arial"/>
          <w:i/>
        </w:rPr>
        <w:t>un proceso de enfoque</w:t>
      </w:r>
      <w:r w:rsidR="008B61A4" w:rsidRPr="00931D46">
        <w:rPr>
          <w:rFonts w:ascii="Arial" w:hAnsi="Arial" w:cs="Arial"/>
        </w:rPr>
        <w:t>”</w:t>
      </w:r>
      <w:r w:rsidR="00CF606F" w:rsidRPr="00931D46">
        <w:rPr>
          <w:rFonts w:ascii="Arial" w:hAnsi="Arial" w:cs="Arial"/>
        </w:rPr>
        <w:t xml:space="preserve"> que requiere la selección de </w:t>
      </w:r>
      <w:r w:rsidR="008B61A4" w:rsidRPr="00931D46">
        <w:rPr>
          <w:rFonts w:ascii="Arial" w:hAnsi="Arial" w:cs="Arial"/>
        </w:rPr>
        <w:t>“</w:t>
      </w:r>
      <w:r w:rsidR="00CF606F" w:rsidRPr="00931D46">
        <w:rPr>
          <w:rFonts w:ascii="Arial" w:hAnsi="Arial" w:cs="Arial"/>
          <w:i/>
        </w:rPr>
        <w:t>lo que emerge como la imagen más clara del proceso competitivo relevante a la luz de la realidad comercial y los propósitos de la ley</w:t>
      </w:r>
      <w:r w:rsidR="008B61A4" w:rsidRPr="00931D46">
        <w:rPr>
          <w:rFonts w:ascii="Arial" w:hAnsi="Arial" w:cs="Arial"/>
          <w:i/>
        </w:rPr>
        <w:t>”</w:t>
      </w:r>
      <w:r w:rsidR="00CF606F" w:rsidRPr="00931D46">
        <w:rPr>
          <w:rFonts w:ascii="Arial" w:hAnsi="Arial" w:cs="Arial"/>
          <w:i/>
        </w:rPr>
        <w:t>;</w:t>
      </w:r>
      <w:r w:rsidR="00CF606F" w:rsidRPr="00931D46">
        <w:rPr>
          <w:rStyle w:val="Refdenotaalpie"/>
          <w:rFonts w:ascii="Arial" w:eastAsia="Times New Roman" w:hAnsi="Arial" w:cs="Arial"/>
          <w:bCs/>
          <w:kern w:val="1"/>
          <w:lang w:eastAsia="ar-SA"/>
        </w:rPr>
        <w:footnoteReference w:id="30"/>
      </w:r>
      <w:r w:rsidR="00CF606F" w:rsidRPr="00931D46">
        <w:rPr>
          <w:rFonts w:ascii="Arial" w:hAnsi="Arial" w:cs="Arial"/>
        </w:rPr>
        <w:t xml:space="preserve"> y</w:t>
      </w:r>
    </w:p>
    <w:p w14:paraId="4619C3C9" w14:textId="77777777" w:rsidR="00CF606F" w:rsidRPr="00931D46" w:rsidRDefault="00E32F9D" w:rsidP="00942BD7">
      <w:pPr>
        <w:pStyle w:val="Prrafodelista"/>
        <w:numPr>
          <w:ilvl w:val="0"/>
          <w:numId w:val="39"/>
        </w:numPr>
        <w:spacing w:before="0" w:after="0"/>
        <w:ind w:hanging="578"/>
        <w:contextualSpacing w:val="0"/>
        <w:rPr>
          <w:rFonts w:ascii="Arial" w:hAnsi="Arial" w:cs="Arial"/>
        </w:rPr>
      </w:pPr>
      <w:r w:rsidRPr="00931D46">
        <w:rPr>
          <w:rFonts w:ascii="Arial" w:hAnsi="Arial" w:cs="Arial"/>
        </w:rPr>
        <w:t>L</w:t>
      </w:r>
      <w:r w:rsidR="00CF606F" w:rsidRPr="00931D46">
        <w:rPr>
          <w:rFonts w:ascii="Arial" w:hAnsi="Arial" w:cs="Arial"/>
        </w:rPr>
        <w:t xml:space="preserve">a </w:t>
      </w:r>
      <w:r w:rsidR="00CF606F" w:rsidRPr="00931D46">
        <w:rPr>
          <w:rFonts w:ascii="Arial" w:hAnsi="Arial" w:cs="Arial"/>
          <w:b/>
        </w:rPr>
        <w:t>OCDE</w:t>
      </w:r>
      <w:r w:rsidR="00CF606F" w:rsidRPr="00931D46">
        <w:rPr>
          <w:rFonts w:ascii="Arial" w:hAnsi="Arial" w:cs="Arial"/>
        </w:rPr>
        <w:t xml:space="preserve"> enfatiza que </w:t>
      </w:r>
      <w:r w:rsidR="00096B20" w:rsidRPr="00931D46">
        <w:rPr>
          <w:rFonts w:ascii="Arial" w:hAnsi="Arial" w:cs="Arial"/>
        </w:rPr>
        <w:t>determinar el MR es una tarea compleja</w:t>
      </w:r>
      <w:r w:rsidR="00A00AC0" w:rsidRPr="00931D46">
        <w:rPr>
          <w:rStyle w:val="Refdenotaalpie"/>
          <w:rFonts w:ascii="Arial" w:eastAsia="Times New Roman" w:hAnsi="Arial" w:cs="Arial"/>
          <w:bCs/>
          <w:kern w:val="1"/>
          <w:lang w:eastAsia="ar-SA"/>
        </w:rPr>
        <w:footnoteReference w:id="31"/>
      </w:r>
      <w:r w:rsidR="00096B20" w:rsidRPr="00931D46">
        <w:rPr>
          <w:rFonts w:ascii="Arial" w:hAnsi="Arial" w:cs="Arial"/>
        </w:rPr>
        <w:t xml:space="preserve"> que </w:t>
      </w:r>
      <w:r w:rsidR="00CF606F" w:rsidRPr="00931D46">
        <w:rPr>
          <w:rFonts w:ascii="Arial" w:hAnsi="Arial" w:cs="Arial"/>
        </w:rPr>
        <w:t xml:space="preserve">requiere </w:t>
      </w:r>
      <w:r w:rsidR="00096B20" w:rsidRPr="00931D46">
        <w:rPr>
          <w:rFonts w:ascii="Arial" w:hAnsi="Arial" w:cs="Arial"/>
        </w:rPr>
        <w:t>evaluar los</w:t>
      </w:r>
      <w:r w:rsidR="00CF606F" w:rsidRPr="00931D46">
        <w:rPr>
          <w:rFonts w:ascii="Arial" w:hAnsi="Arial" w:cs="Arial"/>
        </w:rPr>
        <w:t xml:space="preserve"> hechos específicos del caso</w:t>
      </w:r>
      <w:r w:rsidR="00096B20" w:rsidRPr="00931D46">
        <w:rPr>
          <w:rFonts w:ascii="Arial" w:hAnsi="Arial" w:cs="Arial"/>
        </w:rPr>
        <w:t xml:space="preserve"> sujeto de análisis</w:t>
      </w:r>
      <w:r w:rsidR="00CF606F" w:rsidRPr="00931D46">
        <w:rPr>
          <w:rFonts w:ascii="Arial" w:hAnsi="Arial" w:cs="Arial"/>
        </w:rPr>
        <w:t>.</w:t>
      </w:r>
      <w:r w:rsidR="00FC4318" w:rsidRPr="00931D46">
        <w:rPr>
          <w:rFonts w:ascii="Arial" w:eastAsia="Times New Roman" w:hAnsi="Arial" w:cs="Arial"/>
          <w:vertAlign w:val="superscript"/>
        </w:rPr>
        <w:footnoteReference w:id="32"/>
      </w:r>
    </w:p>
    <w:p w14:paraId="6578CFDB" w14:textId="77777777" w:rsidR="00096B20" w:rsidRPr="00931D46" w:rsidRDefault="00096B20" w:rsidP="0023353F">
      <w:pPr>
        <w:spacing w:before="0" w:after="0"/>
        <w:rPr>
          <w:rFonts w:ascii="Arial" w:hAnsi="Arial" w:cs="Arial"/>
        </w:rPr>
      </w:pPr>
    </w:p>
    <w:p w14:paraId="6AD21B9D" w14:textId="77777777" w:rsidR="009F4100" w:rsidRPr="00931D46" w:rsidRDefault="00415680" w:rsidP="0023353F">
      <w:pPr>
        <w:pStyle w:val="Ttulo1"/>
        <w:keepLines w:val="0"/>
        <w:numPr>
          <w:ilvl w:val="0"/>
          <w:numId w:val="3"/>
        </w:numPr>
        <w:spacing w:before="0"/>
        <w:rPr>
          <w:rFonts w:ascii="Arial" w:hAnsi="Arial" w:cs="Arial"/>
          <w:b/>
          <w:color w:val="auto"/>
          <w:sz w:val="26"/>
          <w:szCs w:val="26"/>
        </w:rPr>
      </w:pPr>
      <w:bookmarkStart w:id="29" w:name="_Toc41649763"/>
      <w:bookmarkStart w:id="30" w:name="_Toc41649904"/>
      <w:bookmarkStart w:id="31" w:name="_Toc45216570"/>
      <w:bookmarkStart w:id="32" w:name="_Toc45628315"/>
      <w:bookmarkStart w:id="33" w:name="_Toc74306763"/>
      <w:bookmarkStart w:id="34" w:name="_Toc74323819"/>
      <w:r w:rsidRPr="00931D46">
        <w:rPr>
          <w:rFonts w:ascii="Arial" w:hAnsi="Arial" w:cs="Arial"/>
          <w:b/>
          <w:color w:val="auto"/>
          <w:sz w:val="26"/>
          <w:szCs w:val="26"/>
        </w:rPr>
        <w:t>Enfoques para el a</w:t>
      </w:r>
      <w:r w:rsidR="009F4100" w:rsidRPr="00931D46">
        <w:rPr>
          <w:rFonts w:ascii="Arial" w:hAnsi="Arial" w:cs="Arial"/>
          <w:b/>
          <w:color w:val="auto"/>
          <w:sz w:val="26"/>
          <w:szCs w:val="26"/>
        </w:rPr>
        <w:t>nálisis de sustitución</w:t>
      </w:r>
      <w:bookmarkEnd w:id="29"/>
      <w:bookmarkEnd w:id="30"/>
      <w:bookmarkEnd w:id="31"/>
      <w:bookmarkEnd w:id="32"/>
      <w:bookmarkEnd w:id="33"/>
      <w:bookmarkEnd w:id="34"/>
      <w:r w:rsidR="009F4100" w:rsidRPr="00931D46">
        <w:rPr>
          <w:rFonts w:ascii="Arial" w:hAnsi="Arial" w:cs="Arial"/>
          <w:b/>
          <w:color w:val="auto"/>
          <w:sz w:val="26"/>
          <w:szCs w:val="26"/>
        </w:rPr>
        <w:t xml:space="preserve"> </w:t>
      </w:r>
    </w:p>
    <w:p w14:paraId="197A411C" w14:textId="77777777" w:rsidR="00DE2E37" w:rsidRPr="00931D46" w:rsidRDefault="00DE2E37" w:rsidP="002D369E">
      <w:pPr>
        <w:spacing w:before="0" w:after="0"/>
        <w:rPr>
          <w:rFonts w:ascii="Arial" w:hAnsi="Arial" w:cs="Arial"/>
        </w:rPr>
      </w:pPr>
    </w:p>
    <w:p w14:paraId="02209862" w14:textId="3C8A8A95" w:rsidR="00DE2E37" w:rsidRPr="00931D46" w:rsidRDefault="00DE2E37" w:rsidP="004901E3">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La determinación del MR, en su dimensión </w:t>
      </w:r>
      <w:r w:rsidR="00330363">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en su dimensión geográfica, se lleva a cabo a través de un análisis de sustitución, a efecto de identificar los </w:t>
      </w:r>
      <w:r w:rsidR="00330363">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y</w:t>
      </w:r>
      <w:r w:rsidR="00C41C57">
        <w:rPr>
          <w:rFonts w:ascii="Arial" w:eastAsia="Times New Roman" w:hAnsi="Arial" w:cs="Arial"/>
          <w:bCs/>
          <w:kern w:val="1"/>
          <w:lang w:eastAsia="ar-SA"/>
        </w:rPr>
        <w:t xml:space="preserve"> las</w:t>
      </w:r>
      <w:r w:rsidRPr="00931D46">
        <w:rPr>
          <w:rFonts w:ascii="Arial" w:eastAsia="Times New Roman" w:hAnsi="Arial" w:cs="Arial"/>
          <w:bCs/>
          <w:kern w:val="1"/>
          <w:lang w:eastAsia="ar-SA"/>
        </w:rPr>
        <w:t xml:space="preserve"> zonas geográficas donde éstos se ofrecen, que constituy</w:t>
      </w:r>
      <w:r w:rsidR="00C41C57">
        <w:rPr>
          <w:rFonts w:ascii="Arial" w:eastAsia="Times New Roman" w:hAnsi="Arial" w:cs="Arial"/>
          <w:bCs/>
          <w:kern w:val="1"/>
          <w:lang w:eastAsia="ar-SA"/>
        </w:rPr>
        <w:t>e</w:t>
      </w:r>
      <w:r w:rsidRPr="00931D46">
        <w:rPr>
          <w:rFonts w:ascii="Arial" w:eastAsia="Times New Roman" w:hAnsi="Arial" w:cs="Arial"/>
          <w:bCs/>
          <w:kern w:val="1"/>
          <w:lang w:eastAsia="ar-SA"/>
        </w:rPr>
        <w:t xml:space="preserve">n restricciones competitivas significativas para los </w:t>
      </w:r>
      <w:r w:rsidR="00F61CBB" w:rsidRPr="00931D46">
        <w:rPr>
          <w:rFonts w:ascii="Arial" w:eastAsia="Times New Roman" w:hAnsi="Arial" w:cs="Arial"/>
          <w:bCs/>
          <w:kern w:val="1"/>
          <w:lang w:eastAsia="ar-SA"/>
        </w:rPr>
        <w:t xml:space="preserve">AE </w:t>
      </w:r>
      <w:r w:rsidRPr="00931D46">
        <w:rPr>
          <w:rFonts w:ascii="Arial" w:eastAsia="Times New Roman" w:hAnsi="Arial" w:cs="Arial"/>
          <w:bCs/>
          <w:kern w:val="1"/>
          <w:lang w:eastAsia="ar-SA"/>
        </w:rPr>
        <w:t xml:space="preserve">que proveen los </w:t>
      </w:r>
      <w:r w:rsidR="00330363">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de referencia.</w:t>
      </w:r>
    </w:p>
    <w:p w14:paraId="37828679" w14:textId="77777777" w:rsidR="00AD3265" w:rsidRPr="00931D46" w:rsidRDefault="00AD3265" w:rsidP="002D369E">
      <w:pPr>
        <w:spacing w:before="0" w:after="0"/>
        <w:rPr>
          <w:rFonts w:ascii="Arial" w:hAnsi="Arial" w:cs="Arial"/>
        </w:rPr>
      </w:pPr>
    </w:p>
    <w:p w14:paraId="256DA382" w14:textId="778EC068" w:rsidR="00AD3265" w:rsidRPr="00931D46" w:rsidRDefault="00DB182F" w:rsidP="0023353F">
      <w:pPr>
        <w:spacing w:before="0" w:after="0"/>
        <w:rPr>
          <w:rFonts w:ascii="Arial" w:hAnsi="Arial" w:cs="Arial"/>
        </w:rPr>
      </w:pPr>
      <w:r w:rsidRPr="00931D46">
        <w:rPr>
          <w:rFonts w:ascii="Arial" w:eastAsia="Times New Roman" w:hAnsi="Arial" w:cs="Arial"/>
          <w:bCs/>
          <w:kern w:val="1"/>
          <w:lang w:eastAsia="ar-SA"/>
        </w:rPr>
        <w:t xml:space="preserve">En general, el análisis de sustitución consiste en seleccionar un </w:t>
      </w:r>
      <w:r w:rsidR="00330363">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o grupo de </w:t>
      </w:r>
      <w:r w:rsidR="00330363">
        <w:rPr>
          <w:rFonts w:ascii="Arial" w:eastAsia="Times New Roman" w:hAnsi="Arial" w:cs="Arial"/>
          <w:bCs/>
          <w:kern w:val="1"/>
          <w:lang w:eastAsia="ar-SA"/>
        </w:rPr>
        <w:t>productos</w:t>
      </w:r>
      <w:r w:rsidRPr="00931D46">
        <w:rPr>
          <w:rFonts w:ascii="Arial" w:eastAsia="Times New Roman" w:hAnsi="Arial" w:cs="Arial"/>
          <w:bCs/>
          <w:kern w:val="1"/>
          <w:lang w:eastAsia="ar-SA"/>
        </w:rPr>
        <w:t xml:space="preserve"> que se proveen en una zona geográfica determinada, el cual se amplía gradualmente hasta incluir todos los sustitutos cercanos del </w:t>
      </w:r>
      <w:r w:rsidR="00330363">
        <w:rPr>
          <w:rFonts w:ascii="Arial" w:eastAsia="Times New Roman" w:hAnsi="Arial" w:cs="Arial"/>
          <w:bCs/>
          <w:kern w:val="1"/>
          <w:lang w:eastAsia="ar-SA"/>
        </w:rPr>
        <w:t>producto</w:t>
      </w:r>
      <w:r w:rsidRPr="00931D46">
        <w:rPr>
          <w:rFonts w:ascii="Arial" w:eastAsia="Times New Roman" w:hAnsi="Arial" w:cs="Arial"/>
          <w:bCs/>
          <w:kern w:val="1"/>
          <w:lang w:eastAsia="ar-SA"/>
        </w:rPr>
        <w:t xml:space="preserve"> y la zona geográfica inicial</w:t>
      </w:r>
      <w:r w:rsidR="00900004" w:rsidRPr="00931D46">
        <w:rPr>
          <w:rFonts w:ascii="Arial" w:eastAsia="Times New Roman" w:hAnsi="Arial" w:cs="Arial"/>
          <w:bCs/>
          <w:kern w:val="1"/>
          <w:lang w:eastAsia="ar-SA"/>
        </w:rPr>
        <w:t>es</w:t>
      </w:r>
      <w:r w:rsidRPr="00931D46">
        <w:rPr>
          <w:rFonts w:ascii="Arial" w:eastAsia="Times New Roman" w:hAnsi="Arial" w:cs="Arial"/>
          <w:bCs/>
          <w:kern w:val="1"/>
          <w:lang w:eastAsia="ar-SA"/>
        </w:rPr>
        <w:t xml:space="preserve">. </w:t>
      </w:r>
      <w:r w:rsidR="00AD3265" w:rsidRPr="00931D46">
        <w:rPr>
          <w:rFonts w:ascii="Arial" w:hAnsi="Arial" w:cs="Arial"/>
        </w:rPr>
        <w:t xml:space="preserve">Por ejemplo, la OCDE, de manera resumida, señala que </w:t>
      </w:r>
      <w:r w:rsidRPr="00931D46">
        <w:rPr>
          <w:rFonts w:ascii="Arial" w:hAnsi="Arial" w:cs="Arial"/>
        </w:rPr>
        <w:t xml:space="preserve">algunas de las preguntas que deben hacerse en </w:t>
      </w:r>
      <w:r w:rsidR="00AD3265" w:rsidRPr="00931D46">
        <w:rPr>
          <w:rFonts w:ascii="Arial" w:hAnsi="Arial" w:cs="Arial"/>
        </w:rPr>
        <w:t xml:space="preserve">la determinación del MR </w:t>
      </w:r>
      <w:r w:rsidRPr="00931D46">
        <w:rPr>
          <w:rFonts w:ascii="Arial" w:hAnsi="Arial" w:cs="Arial"/>
        </w:rPr>
        <w:t>son</w:t>
      </w:r>
      <w:r w:rsidR="00AD3265" w:rsidRPr="00931D46">
        <w:rPr>
          <w:rFonts w:ascii="Arial" w:hAnsi="Arial" w:cs="Arial"/>
        </w:rPr>
        <w:t>:</w:t>
      </w:r>
      <w:r w:rsidR="00AD3265" w:rsidRPr="00931D46">
        <w:rPr>
          <w:rFonts w:ascii="Arial" w:eastAsia="Times New Roman" w:hAnsi="Arial" w:cs="Arial"/>
          <w:vertAlign w:val="superscript"/>
        </w:rPr>
        <w:footnoteReference w:id="33"/>
      </w:r>
    </w:p>
    <w:p w14:paraId="7A266AA5" w14:textId="77777777" w:rsidR="0023353F" w:rsidRPr="00931D46" w:rsidRDefault="0023353F" w:rsidP="0023353F">
      <w:pPr>
        <w:spacing w:before="0" w:after="0"/>
        <w:rPr>
          <w:rFonts w:ascii="Arial" w:hAnsi="Arial" w:cs="Arial"/>
        </w:rPr>
      </w:pPr>
    </w:p>
    <w:p w14:paraId="2ED63387" w14:textId="35E651F4" w:rsidR="00AD3265"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w:t>
      </w:r>
      <w:r w:rsidR="00AD3265" w:rsidRPr="00931D46">
        <w:rPr>
          <w:rFonts w:ascii="Arial" w:hAnsi="Arial" w:cs="Arial"/>
        </w:rPr>
        <w:t xml:space="preserve">Qué </w:t>
      </w:r>
      <w:r w:rsidR="00330363">
        <w:rPr>
          <w:rFonts w:ascii="Arial" w:hAnsi="Arial" w:cs="Arial"/>
        </w:rPr>
        <w:t>productos</w:t>
      </w:r>
      <w:r w:rsidR="00AD3265" w:rsidRPr="00931D46">
        <w:rPr>
          <w:rFonts w:ascii="Arial" w:hAnsi="Arial" w:cs="Arial"/>
        </w:rPr>
        <w:t xml:space="preserve"> son relevantes para la investigación</w:t>
      </w:r>
      <w:r w:rsidRPr="00931D46">
        <w:rPr>
          <w:rFonts w:ascii="Arial" w:hAnsi="Arial" w:cs="Arial"/>
        </w:rPr>
        <w:t>?</w:t>
      </w:r>
    </w:p>
    <w:p w14:paraId="6A8397FC" w14:textId="193E2037" w:rsidR="00AD3265"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w:t>
      </w:r>
      <w:r w:rsidR="00AD3265" w:rsidRPr="00931D46">
        <w:rPr>
          <w:rFonts w:ascii="Arial" w:hAnsi="Arial" w:cs="Arial"/>
        </w:rPr>
        <w:t xml:space="preserve">Cuáles son las características, funcionalidades y uso final de los </w:t>
      </w:r>
      <w:r w:rsidR="00330363">
        <w:rPr>
          <w:rFonts w:ascii="Arial" w:hAnsi="Arial" w:cs="Arial"/>
        </w:rPr>
        <w:t>productos</w:t>
      </w:r>
      <w:r w:rsidR="00AD3265" w:rsidRPr="00931D46">
        <w:rPr>
          <w:rFonts w:ascii="Arial" w:hAnsi="Arial" w:cs="Arial"/>
        </w:rPr>
        <w:t xml:space="preserve"> en cuestión</w:t>
      </w:r>
      <w:r w:rsidRPr="00931D46">
        <w:rPr>
          <w:rFonts w:ascii="Arial" w:hAnsi="Arial" w:cs="Arial"/>
        </w:rPr>
        <w:t>?</w:t>
      </w:r>
    </w:p>
    <w:p w14:paraId="556A857F" w14:textId="205F3F37" w:rsidR="00DB182F" w:rsidRPr="00931D46" w:rsidRDefault="00AD3265"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 xml:space="preserve">¿Existen sustitutos para los </w:t>
      </w:r>
      <w:r w:rsidR="00330363">
        <w:rPr>
          <w:rFonts w:ascii="Arial" w:hAnsi="Arial" w:cs="Arial"/>
        </w:rPr>
        <w:t>productos</w:t>
      </w:r>
      <w:r w:rsidRPr="00931D46">
        <w:rPr>
          <w:rFonts w:ascii="Arial" w:hAnsi="Arial" w:cs="Arial"/>
        </w:rPr>
        <w:t xml:space="preserve"> </w:t>
      </w:r>
      <w:r w:rsidR="00DB182F" w:rsidRPr="00931D46">
        <w:rPr>
          <w:rFonts w:ascii="Arial" w:hAnsi="Arial" w:cs="Arial"/>
        </w:rPr>
        <w:t>en cuestión</w:t>
      </w:r>
      <w:r w:rsidRPr="00931D46">
        <w:rPr>
          <w:rFonts w:ascii="Arial" w:hAnsi="Arial" w:cs="Arial"/>
        </w:rPr>
        <w:t xml:space="preserve">? </w:t>
      </w:r>
    </w:p>
    <w:p w14:paraId="72904900" w14:textId="6ADDB867" w:rsidR="00AD3265" w:rsidRPr="00931D46" w:rsidRDefault="00AD3265"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 xml:space="preserve">¿Cómo reaccionarían los consumidores ante un pequeño pero significativo (5-10%) incremento no transitorio en el precio del </w:t>
      </w:r>
      <w:r w:rsidR="00330363">
        <w:rPr>
          <w:rFonts w:ascii="Arial" w:hAnsi="Arial" w:cs="Arial"/>
        </w:rPr>
        <w:t>producto</w:t>
      </w:r>
      <w:r w:rsidRPr="00931D46">
        <w:rPr>
          <w:rFonts w:ascii="Arial" w:hAnsi="Arial" w:cs="Arial"/>
        </w:rPr>
        <w:t xml:space="preserve"> evaluado?</w:t>
      </w:r>
    </w:p>
    <w:p w14:paraId="244D8C79" w14:textId="4F602969" w:rsidR="00961C77"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 xml:space="preserve">¿Los consumidores incurren en costos cuando sustituyen el </w:t>
      </w:r>
      <w:r w:rsidR="00330363">
        <w:rPr>
          <w:rFonts w:ascii="Arial" w:hAnsi="Arial" w:cs="Arial"/>
        </w:rPr>
        <w:t>producto</w:t>
      </w:r>
      <w:r w:rsidRPr="00931D46">
        <w:rPr>
          <w:rFonts w:ascii="Arial" w:hAnsi="Arial" w:cs="Arial"/>
        </w:rPr>
        <w:t xml:space="preserve"> A por el </w:t>
      </w:r>
      <w:r w:rsidR="00330363">
        <w:rPr>
          <w:rFonts w:ascii="Arial" w:hAnsi="Arial" w:cs="Arial"/>
        </w:rPr>
        <w:t>producto</w:t>
      </w:r>
      <w:r w:rsidRPr="00931D46">
        <w:rPr>
          <w:rFonts w:ascii="Arial" w:hAnsi="Arial" w:cs="Arial"/>
        </w:rPr>
        <w:t xml:space="preserve"> B? ¿Existe evidencia de que los consumidores sustituyan los </w:t>
      </w:r>
      <w:r w:rsidR="00330363">
        <w:rPr>
          <w:rFonts w:ascii="Arial" w:hAnsi="Arial" w:cs="Arial"/>
        </w:rPr>
        <w:t>productos</w:t>
      </w:r>
      <w:r w:rsidR="00090C6B" w:rsidRPr="00931D46">
        <w:rPr>
          <w:rFonts w:ascii="Arial" w:hAnsi="Arial" w:cs="Arial"/>
        </w:rPr>
        <w:t>, particularmente cuando se deriva de un cambio de precios</w:t>
      </w:r>
      <w:r w:rsidRPr="00931D46">
        <w:rPr>
          <w:rFonts w:ascii="Arial" w:hAnsi="Arial" w:cs="Arial"/>
        </w:rPr>
        <w:t>?</w:t>
      </w:r>
    </w:p>
    <w:p w14:paraId="4E12C104" w14:textId="333C4AA7" w:rsidR="00961C77"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¿Entraría al mercado una empresa a proveer el</w:t>
      </w:r>
      <w:r w:rsidR="00D045A7" w:rsidRPr="00931D46">
        <w:rPr>
          <w:rFonts w:ascii="Arial" w:hAnsi="Arial" w:cs="Arial"/>
        </w:rPr>
        <w:t xml:space="preserve"> </w:t>
      </w:r>
      <w:r w:rsidR="00330363">
        <w:rPr>
          <w:rFonts w:ascii="Arial" w:hAnsi="Arial" w:cs="Arial"/>
        </w:rPr>
        <w:t>producto</w:t>
      </w:r>
      <w:r w:rsidRPr="00931D46">
        <w:rPr>
          <w:rFonts w:ascii="Arial" w:hAnsi="Arial" w:cs="Arial"/>
        </w:rPr>
        <w:t xml:space="preserve"> en caso de que se incremente su precio (5-10%) de manera no transitoria? </w:t>
      </w:r>
    </w:p>
    <w:p w14:paraId="4083A619" w14:textId="0A0F476B" w:rsidR="00961C77"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 xml:space="preserve">¿En qué costos y tiempo incurrirían los consumidores para sustituir el </w:t>
      </w:r>
      <w:r w:rsidR="00330363">
        <w:rPr>
          <w:rFonts w:ascii="Arial" w:hAnsi="Arial" w:cs="Arial"/>
        </w:rPr>
        <w:t>producto</w:t>
      </w:r>
      <w:r w:rsidRPr="00931D46">
        <w:rPr>
          <w:rFonts w:ascii="Arial" w:hAnsi="Arial" w:cs="Arial"/>
        </w:rPr>
        <w:t xml:space="preserve"> desde otras zonas en caso de que se incremente su precio (5-10%) de manera no transitoria?</w:t>
      </w:r>
    </w:p>
    <w:p w14:paraId="1587D949" w14:textId="77777777" w:rsidR="00AD3265" w:rsidRPr="00931D46" w:rsidRDefault="00961C77" w:rsidP="00942BD7">
      <w:pPr>
        <w:pStyle w:val="Prrafodelista"/>
        <w:numPr>
          <w:ilvl w:val="0"/>
          <w:numId w:val="65"/>
        </w:numPr>
        <w:spacing w:before="0" w:after="0"/>
        <w:ind w:left="709" w:hanging="567"/>
        <w:contextualSpacing w:val="0"/>
        <w:rPr>
          <w:rFonts w:ascii="Arial" w:hAnsi="Arial" w:cs="Arial"/>
        </w:rPr>
      </w:pPr>
      <w:r w:rsidRPr="00931D46">
        <w:rPr>
          <w:rFonts w:ascii="Arial" w:hAnsi="Arial" w:cs="Arial"/>
        </w:rPr>
        <w:t>¿Las condiciones de competencia son homogéneas en la zona geográfica evaluada?</w:t>
      </w:r>
    </w:p>
    <w:p w14:paraId="17A794F2" w14:textId="77777777" w:rsidR="00F61CBB" w:rsidRPr="00931D46" w:rsidRDefault="00F61CBB" w:rsidP="00376151">
      <w:pPr>
        <w:spacing w:before="0" w:after="0"/>
        <w:rPr>
          <w:rFonts w:ascii="Arial" w:eastAsia="Times New Roman" w:hAnsi="Arial" w:cs="Arial"/>
          <w:bCs/>
          <w:kern w:val="1"/>
          <w:lang w:eastAsia="ar-SA"/>
        </w:rPr>
      </w:pPr>
    </w:p>
    <w:p w14:paraId="1309D013" w14:textId="61435754" w:rsidR="00C47017" w:rsidRPr="00931D46" w:rsidRDefault="00C47017" w:rsidP="00376151">
      <w:pPr>
        <w:spacing w:before="0" w:after="0"/>
        <w:rPr>
          <w:rFonts w:ascii="Arial" w:hAnsi="Arial" w:cs="Arial"/>
          <w:highlight w:val="yellow"/>
        </w:rPr>
      </w:pPr>
      <w:r w:rsidRPr="00931D46">
        <w:rPr>
          <w:rFonts w:ascii="Arial" w:eastAsia="Times New Roman" w:hAnsi="Arial" w:cs="Arial"/>
          <w:bCs/>
          <w:kern w:val="1"/>
          <w:lang w:eastAsia="ar-SA"/>
        </w:rPr>
        <w:t>E</w:t>
      </w:r>
      <w:r w:rsidR="00DE2E37" w:rsidRPr="00931D46">
        <w:rPr>
          <w:rFonts w:ascii="Arial" w:eastAsia="Times New Roman" w:hAnsi="Arial" w:cs="Arial"/>
          <w:bCs/>
          <w:kern w:val="1"/>
          <w:lang w:eastAsia="ar-SA"/>
        </w:rPr>
        <w:t xml:space="preserve">xisten básicamente dos enfoques sobre el análisis de sustitución, que son utilizados en la </w:t>
      </w:r>
      <w:r w:rsidR="00063027" w:rsidRPr="00931D46">
        <w:rPr>
          <w:rFonts w:ascii="Arial" w:eastAsia="Times New Roman" w:hAnsi="Arial" w:cs="Arial"/>
          <w:bCs/>
          <w:kern w:val="1"/>
          <w:lang w:eastAsia="ar-SA"/>
        </w:rPr>
        <w:t>U</w:t>
      </w:r>
      <w:r w:rsidR="000D321A">
        <w:rPr>
          <w:rFonts w:ascii="Arial" w:eastAsia="Times New Roman" w:hAnsi="Arial" w:cs="Arial"/>
          <w:bCs/>
          <w:kern w:val="1"/>
          <w:lang w:eastAsia="ar-SA"/>
        </w:rPr>
        <w:t xml:space="preserve">nión </w:t>
      </w:r>
      <w:r w:rsidR="00063027" w:rsidRPr="00931D46">
        <w:rPr>
          <w:rFonts w:ascii="Arial" w:eastAsia="Times New Roman" w:hAnsi="Arial" w:cs="Arial"/>
          <w:bCs/>
          <w:kern w:val="1"/>
          <w:lang w:eastAsia="ar-SA"/>
        </w:rPr>
        <w:t>E</w:t>
      </w:r>
      <w:r w:rsidR="000D321A">
        <w:rPr>
          <w:rFonts w:ascii="Arial" w:eastAsia="Times New Roman" w:hAnsi="Arial" w:cs="Arial"/>
          <w:bCs/>
          <w:kern w:val="1"/>
          <w:lang w:eastAsia="ar-SA"/>
        </w:rPr>
        <w:t>uropea</w:t>
      </w:r>
      <w:r w:rsidR="008E0BDD" w:rsidRPr="00931D46">
        <w:rPr>
          <w:rFonts w:ascii="Arial" w:eastAsia="Times New Roman" w:hAnsi="Arial" w:cs="Arial"/>
          <w:bCs/>
          <w:kern w:val="1"/>
          <w:lang w:eastAsia="ar-SA"/>
        </w:rPr>
        <w:t>,</w:t>
      </w:r>
      <w:r w:rsidR="00DE2E37" w:rsidRPr="00931D46">
        <w:rPr>
          <w:rFonts w:ascii="Arial" w:eastAsia="Times New Roman" w:hAnsi="Arial" w:cs="Arial"/>
          <w:bCs/>
          <w:kern w:val="1"/>
          <w:lang w:eastAsia="ar-SA"/>
        </w:rPr>
        <w:t xml:space="preserve"> por un lado</w:t>
      </w:r>
      <w:r w:rsidR="008E0BDD" w:rsidRPr="00931D46">
        <w:rPr>
          <w:rFonts w:ascii="Arial" w:eastAsia="Times New Roman" w:hAnsi="Arial" w:cs="Arial"/>
          <w:bCs/>
          <w:kern w:val="1"/>
          <w:lang w:eastAsia="ar-SA"/>
        </w:rPr>
        <w:t>,</w:t>
      </w:r>
      <w:r w:rsidR="00DE2E37" w:rsidRPr="00931D46">
        <w:rPr>
          <w:rFonts w:ascii="Arial" w:eastAsia="Times New Roman" w:hAnsi="Arial" w:cs="Arial"/>
          <w:bCs/>
          <w:kern w:val="1"/>
          <w:lang w:eastAsia="ar-SA"/>
        </w:rPr>
        <w:t xml:space="preserve"> y </w:t>
      </w:r>
      <w:r w:rsidR="00A00717" w:rsidRPr="00931D46">
        <w:rPr>
          <w:rFonts w:ascii="Arial" w:eastAsia="Times New Roman" w:hAnsi="Arial" w:cs="Arial"/>
          <w:bCs/>
          <w:kern w:val="1"/>
          <w:lang w:eastAsia="ar-SA"/>
        </w:rPr>
        <w:t>en</w:t>
      </w:r>
      <w:r w:rsidR="00DE2E37" w:rsidRPr="00931D46">
        <w:rPr>
          <w:rFonts w:ascii="Arial" w:eastAsia="Times New Roman" w:hAnsi="Arial" w:cs="Arial"/>
          <w:bCs/>
          <w:kern w:val="1"/>
          <w:lang w:eastAsia="ar-SA"/>
        </w:rPr>
        <w:t xml:space="preserve"> Estados Unidos de América</w:t>
      </w:r>
      <w:r w:rsidR="008E0BDD" w:rsidRPr="00931D46">
        <w:rPr>
          <w:rFonts w:ascii="Arial" w:eastAsia="Times New Roman" w:hAnsi="Arial" w:cs="Arial"/>
          <w:bCs/>
          <w:kern w:val="1"/>
          <w:lang w:eastAsia="ar-SA"/>
        </w:rPr>
        <w:t>,</w:t>
      </w:r>
      <w:r w:rsidR="00DE2E37" w:rsidRPr="00931D46">
        <w:rPr>
          <w:rFonts w:ascii="Arial" w:eastAsia="Times New Roman" w:hAnsi="Arial" w:cs="Arial"/>
          <w:bCs/>
          <w:kern w:val="1"/>
          <w:lang w:eastAsia="ar-SA"/>
        </w:rPr>
        <w:t xml:space="preserve"> por otro</w:t>
      </w:r>
      <w:r w:rsidRPr="00931D46">
        <w:rPr>
          <w:rFonts w:ascii="Arial" w:eastAsia="Times New Roman" w:hAnsi="Arial" w:cs="Arial"/>
          <w:bCs/>
          <w:kern w:val="1"/>
          <w:lang w:eastAsia="ar-SA"/>
        </w:rPr>
        <w:t>. A</w:t>
      </w:r>
      <w:r w:rsidRPr="00931D46">
        <w:rPr>
          <w:rFonts w:ascii="Arial" w:hAnsi="Arial" w:cs="Arial"/>
        </w:rPr>
        <w:t xml:space="preserve">mbos enfoques </w:t>
      </w:r>
      <w:r w:rsidR="00DB182F" w:rsidRPr="00931D46">
        <w:rPr>
          <w:rFonts w:ascii="Arial" w:hAnsi="Arial" w:cs="Arial"/>
        </w:rPr>
        <w:t xml:space="preserve">analizan la sustitución por el lado de la demanda para delimitar el MR </w:t>
      </w:r>
      <w:r w:rsidR="00C41C57">
        <w:rPr>
          <w:rFonts w:ascii="Arial" w:hAnsi="Arial" w:cs="Arial"/>
        </w:rPr>
        <w:t xml:space="preserve">(considerado el medio más inmediato y eficaz para restringir el comportamiento de los proveedores de un determinado </w:t>
      </w:r>
      <w:r w:rsidR="00330363">
        <w:rPr>
          <w:rFonts w:ascii="Arial" w:hAnsi="Arial" w:cs="Arial"/>
        </w:rPr>
        <w:t>producto</w:t>
      </w:r>
      <w:r w:rsidR="00C41C57">
        <w:rPr>
          <w:rFonts w:ascii="Arial" w:hAnsi="Arial" w:cs="Arial"/>
        </w:rPr>
        <w:t xml:space="preserve">) </w:t>
      </w:r>
      <w:r w:rsidR="00DB182F" w:rsidRPr="00931D46">
        <w:rPr>
          <w:rFonts w:ascii="Arial" w:hAnsi="Arial" w:cs="Arial"/>
        </w:rPr>
        <w:t xml:space="preserve">y </w:t>
      </w:r>
      <w:r w:rsidRPr="00931D46">
        <w:rPr>
          <w:rFonts w:ascii="Arial" w:hAnsi="Arial" w:cs="Arial"/>
        </w:rPr>
        <w:t>reconocen la importancia de incorporar en el análisis de competencia las presiones competitivas por el lado de la oferta</w:t>
      </w:r>
      <w:r w:rsidR="008C42F5">
        <w:rPr>
          <w:rFonts w:ascii="Arial" w:hAnsi="Arial" w:cs="Arial"/>
        </w:rPr>
        <w:t xml:space="preserve"> y la competencia potencial</w:t>
      </w:r>
      <w:r w:rsidRPr="00931D46">
        <w:rPr>
          <w:rFonts w:ascii="Arial" w:hAnsi="Arial" w:cs="Arial"/>
        </w:rPr>
        <w:t xml:space="preserve">, pero difieren en la </w:t>
      </w:r>
      <w:r w:rsidRPr="00931D46">
        <w:rPr>
          <w:rFonts w:ascii="Arial" w:eastAsia="Times New Roman" w:hAnsi="Arial" w:cs="Arial"/>
          <w:bCs/>
          <w:kern w:val="1"/>
          <w:lang w:eastAsia="ar-SA"/>
        </w:rPr>
        <w:t xml:space="preserve">etapa en que se evalúan dichas presiones. </w:t>
      </w:r>
      <w:r w:rsidR="00C41C57">
        <w:rPr>
          <w:rFonts w:ascii="Arial" w:eastAsia="Times New Roman" w:hAnsi="Arial" w:cs="Arial"/>
          <w:bCs/>
          <w:kern w:val="1"/>
          <w:lang w:eastAsia="ar-SA"/>
        </w:rPr>
        <w:t>No obstante</w:t>
      </w:r>
      <w:r w:rsidRPr="00931D46">
        <w:rPr>
          <w:rFonts w:ascii="Arial" w:hAnsi="Arial" w:cs="Arial"/>
        </w:rPr>
        <w:t xml:space="preserve">, si el análisis es aplicado correctamente, </w:t>
      </w:r>
      <w:r w:rsidR="00DB182F" w:rsidRPr="00931D46">
        <w:rPr>
          <w:rFonts w:ascii="Arial" w:hAnsi="Arial" w:cs="Arial"/>
        </w:rPr>
        <w:t xml:space="preserve">ambos enfoques </w:t>
      </w:r>
      <w:r w:rsidR="002F3754" w:rsidRPr="00931D46">
        <w:rPr>
          <w:rFonts w:ascii="Arial" w:hAnsi="Arial" w:cs="Arial"/>
        </w:rPr>
        <w:t xml:space="preserve">deberían </w:t>
      </w:r>
      <w:r w:rsidRPr="00931D46">
        <w:rPr>
          <w:rFonts w:ascii="Arial" w:hAnsi="Arial" w:cs="Arial"/>
        </w:rPr>
        <w:t>conduc</w:t>
      </w:r>
      <w:r w:rsidR="002F3754" w:rsidRPr="00931D46">
        <w:rPr>
          <w:rFonts w:ascii="Arial" w:hAnsi="Arial" w:cs="Arial"/>
        </w:rPr>
        <w:t>ir</w:t>
      </w:r>
      <w:r w:rsidRPr="00931D46">
        <w:rPr>
          <w:rFonts w:ascii="Arial" w:hAnsi="Arial" w:cs="Arial"/>
        </w:rPr>
        <w:t xml:space="preserve"> a resultados similares.</w:t>
      </w:r>
      <w:r w:rsidR="00A6665F" w:rsidRPr="00931D46">
        <w:rPr>
          <w:rFonts w:ascii="Arial" w:eastAsia="Times New Roman" w:hAnsi="Arial" w:cs="Arial"/>
          <w:vertAlign w:val="superscript"/>
        </w:rPr>
        <w:footnoteReference w:id="34"/>
      </w:r>
    </w:p>
    <w:p w14:paraId="7A80194E" w14:textId="77777777" w:rsidR="00C47017" w:rsidRPr="00931D46" w:rsidRDefault="00C47017" w:rsidP="0023353F">
      <w:pPr>
        <w:spacing w:before="0" w:after="0"/>
        <w:rPr>
          <w:rFonts w:ascii="Arial" w:hAnsi="Arial" w:cs="Arial"/>
          <w:highlight w:val="yellow"/>
        </w:rPr>
      </w:pPr>
    </w:p>
    <w:p w14:paraId="1F57AC37" w14:textId="77777777" w:rsidR="009F4100" w:rsidRPr="00931D46" w:rsidRDefault="00DE2E37" w:rsidP="00415680">
      <w:pPr>
        <w:pStyle w:val="Ttulo2"/>
        <w:keepLines w:val="0"/>
        <w:numPr>
          <w:ilvl w:val="1"/>
          <w:numId w:val="3"/>
        </w:numPr>
        <w:spacing w:before="0" w:after="0"/>
        <w:rPr>
          <w:rFonts w:ascii="Arial" w:eastAsia="Times New Roman" w:hAnsi="Arial" w:cs="Arial"/>
          <w:sz w:val="26"/>
          <w:lang w:eastAsia="es-MX"/>
        </w:rPr>
      </w:pPr>
      <w:bookmarkStart w:id="35" w:name="_Toc41649764"/>
      <w:bookmarkStart w:id="36" w:name="_Toc41649905"/>
      <w:bookmarkStart w:id="37" w:name="_Toc45216571"/>
      <w:bookmarkStart w:id="38" w:name="_Toc45628317"/>
      <w:bookmarkStart w:id="39" w:name="_Toc74306764"/>
      <w:bookmarkStart w:id="40" w:name="_Toc74323820"/>
      <w:r w:rsidRPr="00931D46">
        <w:rPr>
          <w:rFonts w:ascii="Arial" w:eastAsia="Times New Roman" w:hAnsi="Arial" w:cs="Arial"/>
          <w:sz w:val="26"/>
          <w:lang w:eastAsia="es-MX"/>
        </w:rPr>
        <w:t>E</w:t>
      </w:r>
      <w:r w:rsidR="00813E36" w:rsidRPr="00931D46">
        <w:rPr>
          <w:rFonts w:ascii="Arial" w:eastAsia="Times New Roman" w:hAnsi="Arial" w:cs="Arial"/>
          <w:sz w:val="26"/>
          <w:lang w:eastAsia="es-MX"/>
        </w:rPr>
        <w:t>nfoque</w:t>
      </w:r>
      <w:r w:rsidRPr="00931D46">
        <w:rPr>
          <w:rFonts w:ascii="Arial" w:eastAsia="Times New Roman" w:hAnsi="Arial" w:cs="Arial"/>
          <w:sz w:val="26"/>
          <w:lang w:eastAsia="es-MX"/>
        </w:rPr>
        <w:t xml:space="preserve"> </w:t>
      </w:r>
      <w:r w:rsidR="00A00717" w:rsidRPr="00931D46">
        <w:rPr>
          <w:rFonts w:ascii="Arial" w:eastAsia="Times New Roman" w:hAnsi="Arial" w:cs="Arial"/>
          <w:sz w:val="26"/>
          <w:lang w:eastAsia="es-MX"/>
        </w:rPr>
        <w:t>en la</w:t>
      </w:r>
      <w:r w:rsidRPr="00931D46">
        <w:rPr>
          <w:rFonts w:ascii="Arial" w:eastAsia="Times New Roman" w:hAnsi="Arial" w:cs="Arial"/>
          <w:sz w:val="26"/>
          <w:lang w:eastAsia="es-MX"/>
        </w:rPr>
        <w:t xml:space="preserve"> Unión Europea</w:t>
      </w:r>
      <w:bookmarkEnd w:id="35"/>
      <w:bookmarkEnd w:id="36"/>
      <w:bookmarkEnd w:id="37"/>
      <w:bookmarkEnd w:id="38"/>
      <w:r w:rsidR="00A51954" w:rsidRPr="00931D46">
        <w:rPr>
          <w:rFonts w:ascii="Arial" w:hAnsi="Arial" w:cs="Arial"/>
          <w:sz w:val="26"/>
          <w:vertAlign w:val="superscript"/>
          <w:lang w:eastAsia="es-MX"/>
        </w:rPr>
        <w:footnoteReference w:id="35"/>
      </w:r>
      <w:bookmarkEnd w:id="39"/>
      <w:bookmarkEnd w:id="40"/>
    </w:p>
    <w:p w14:paraId="01767C99" w14:textId="77777777" w:rsidR="007C403D" w:rsidRPr="00931D46" w:rsidRDefault="007C403D" w:rsidP="0023353F">
      <w:pPr>
        <w:keepNext/>
        <w:spacing w:before="0" w:after="0"/>
        <w:rPr>
          <w:rFonts w:ascii="Arial" w:eastAsia="Times New Roman" w:hAnsi="Arial" w:cs="Arial"/>
          <w:bCs/>
          <w:kern w:val="1"/>
          <w:highlight w:val="yellow"/>
          <w:lang w:eastAsia="ar-SA"/>
        </w:rPr>
      </w:pPr>
    </w:p>
    <w:p w14:paraId="3996990D" w14:textId="712083B3" w:rsidR="00DB182F" w:rsidRPr="00931D46" w:rsidRDefault="00DB182F"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En el enfoque de la Unión Europea, la sustitución por el lado de la demanda y por el lado de la oferta tienen un tratamiento simétrico.</w:t>
      </w:r>
    </w:p>
    <w:p w14:paraId="617A6CA7" w14:textId="77777777" w:rsidR="00DB182F" w:rsidRPr="00931D46" w:rsidRDefault="00DB182F" w:rsidP="0023353F">
      <w:pPr>
        <w:spacing w:before="0" w:after="0"/>
        <w:rPr>
          <w:rFonts w:ascii="Arial" w:eastAsia="Times New Roman" w:hAnsi="Arial" w:cs="Arial"/>
          <w:bCs/>
          <w:kern w:val="1"/>
          <w:lang w:eastAsia="ar-SA"/>
        </w:rPr>
      </w:pPr>
    </w:p>
    <w:p w14:paraId="30A71B4F" w14:textId="0140B55A" w:rsidR="00DB182F" w:rsidRPr="00931D46" w:rsidRDefault="00813E36"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La CE señala que para delimitar el MR es necesario considerar las principales restricciones </w:t>
      </w:r>
      <w:r w:rsidR="00EA5117" w:rsidRPr="00931D46">
        <w:rPr>
          <w:rFonts w:ascii="Arial" w:eastAsia="Times New Roman" w:hAnsi="Arial" w:cs="Arial"/>
          <w:bCs/>
          <w:kern w:val="1"/>
          <w:lang w:eastAsia="ar-SA"/>
        </w:rPr>
        <w:t>(</w:t>
      </w:r>
      <w:r w:rsidR="00F5471C" w:rsidRPr="00931D46">
        <w:rPr>
          <w:rFonts w:ascii="Arial" w:eastAsia="Times New Roman" w:hAnsi="Arial" w:cs="Arial"/>
          <w:bCs/>
          <w:kern w:val="1"/>
          <w:lang w:eastAsia="ar-SA"/>
        </w:rPr>
        <w:t>presiones</w:t>
      </w:r>
      <w:r w:rsidR="00EA5117" w:rsidRPr="00931D46">
        <w:rPr>
          <w:rFonts w:ascii="Arial" w:eastAsia="Times New Roman" w:hAnsi="Arial" w:cs="Arial"/>
          <w:bCs/>
          <w:kern w:val="1"/>
          <w:lang w:eastAsia="ar-SA"/>
        </w:rPr>
        <w:t>)</w:t>
      </w:r>
      <w:r w:rsidR="00F5471C" w:rsidRPr="00931D46">
        <w:rPr>
          <w:rFonts w:ascii="Arial" w:eastAsia="Times New Roman" w:hAnsi="Arial" w:cs="Arial"/>
          <w:bCs/>
          <w:kern w:val="1"/>
          <w:lang w:eastAsia="ar-SA"/>
        </w:rPr>
        <w:t xml:space="preserve"> </w:t>
      </w:r>
      <w:r w:rsidRPr="00931D46">
        <w:rPr>
          <w:rFonts w:ascii="Arial" w:eastAsia="Times New Roman" w:hAnsi="Arial" w:cs="Arial"/>
          <w:bCs/>
          <w:kern w:val="1"/>
          <w:lang w:eastAsia="ar-SA"/>
        </w:rPr>
        <w:t>competitivas que enfrentan los participantes en el mercado, las cuales identifica como:</w:t>
      </w:r>
    </w:p>
    <w:p w14:paraId="15CF7AF8" w14:textId="77777777" w:rsidR="0023353F" w:rsidRPr="00931D46" w:rsidRDefault="0023353F" w:rsidP="0023353F">
      <w:pPr>
        <w:spacing w:before="0" w:after="0"/>
        <w:rPr>
          <w:rFonts w:ascii="Arial" w:eastAsia="Times New Roman" w:hAnsi="Arial" w:cs="Arial"/>
          <w:bCs/>
          <w:kern w:val="1"/>
          <w:lang w:eastAsia="ar-SA"/>
        </w:rPr>
      </w:pPr>
    </w:p>
    <w:p w14:paraId="53AD4AB1" w14:textId="1B63A815" w:rsidR="00DB182F" w:rsidRPr="00931D46" w:rsidRDefault="00DB182F" w:rsidP="00942BD7">
      <w:pPr>
        <w:pStyle w:val="Prrafodelista"/>
        <w:numPr>
          <w:ilvl w:val="0"/>
          <w:numId w:val="40"/>
        </w:numPr>
        <w:spacing w:before="0" w:after="0"/>
        <w:ind w:left="709" w:hanging="567"/>
        <w:contextualSpacing w:val="0"/>
        <w:rPr>
          <w:rFonts w:ascii="Arial" w:eastAsia="Times New Roman" w:hAnsi="Arial" w:cs="Arial"/>
          <w:bCs/>
          <w:kern w:val="1"/>
          <w:lang w:eastAsia="ar-SA"/>
        </w:rPr>
      </w:pPr>
      <w:r w:rsidRPr="00931D46">
        <w:rPr>
          <w:rFonts w:ascii="Arial" w:eastAsia="Times New Roman" w:hAnsi="Arial" w:cs="Arial"/>
          <w:b/>
          <w:bCs/>
          <w:kern w:val="1"/>
          <w:lang w:eastAsia="ar-SA"/>
        </w:rPr>
        <w:t>S</w:t>
      </w:r>
      <w:r w:rsidR="00813E36" w:rsidRPr="00931D46">
        <w:rPr>
          <w:rFonts w:ascii="Arial" w:eastAsia="Times New Roman" w:hAnsi="Arial" w:cs="Arial"/>
          <w:b/>
          <w:bCs/>
          <w:kern w:val="1"/>
          <w:lang w:eastAsia="ar-SA"/>
        </w:rPr>
        <w:t>ustitución por el lado de la demanda</w:t>
      </w:r>
      <w:r w:rsidR="00813E36" w:rsidRPr="00931D46">
        <w:rPr>
          <w:rFonts w:ascii="Arial" w:eastAsia="Times New Roman" w:hAnsi="Arial" w:cs="Arial"/>
          <w:bCs/>
          <w:kern w:val="1"/>
          <w:lang w:eastAsia="ar-SA"/>
        </w:rPr>
        <w:t xml:space="preserve"> </w:t>
      </w:r>
      <w:r w:rsidR="00D40877" w:rsidRPr="00931D46">
        <w:rPr>
          <w:rFonts w:ascii="Arial" w:eastAsia="Times New Roman" w:hAnsi="Arial" w:cs="Arial"/>
          <w:bCs/>
          <w:kern w:val="1"/>
          <w:lang w:eastAsia="ar-SA"/>
        </w:rPr>
        <w:t>(</w:t>
      </w:r>
      <w:r w:rsidR="00C86866" w:rsidRPr="00931D46">
        <w:rPr>
          <w:rFonts w:ascii="Arial" w:eastAsia="Times New Roman" w:hAnsi="Arial" w:cs="Arial"/>
          <w:bCs/>
          <w:kern w:val="1"/>
          <w:lang w:eastAsia="ar-SA"/>
        </w:rPr>
        <w:t xml:space="preserve">capacidad de los </w:t>
      </w:r>
      <w:r w:rsidR="00D40877" w:rsidRPr="00931D46">
        <w:rPr>
          <w:rFonts w:ascii="Arial" w:eastAsia="Times New Roman" w:hAnsi="Arial" w:cs="Arial"/>
          <w:bCs/>
          <w:kern w:val="1"/>
          <w:lang w:eastAsia="ar-SA"/>
        </w:rPr>
        <w:t>consumidor</w:t>
      </w:r>
      <w:r w:rsidR="00C86866" w:rsidRPr="00931D46">
        <w:rPr>
          <w:rFonts w:ascii="Arial" w:eastAsia="Times New Roman" w:hAnsi="Arial" w:cs="Arial"/>
          <w:bCs/>
          <w:kern w:val="1"/>
          <w:lang w:eastAsia="ar-SA"/>
        </w:rPr>
        <w:t>es</w:t>
      </w:r>
      <w:r w:rsidR="00D40877" w:rsidRPr="00931D46">
        <w:rPr>
          <w:rFonts w:ascii="Arial" w:eastAsia="Times New Roman" w:hAnsi="Arial" w:cs="Arial"/>
          <w:bCs/>
          <w:kern w:val="1"/>
          <w:lang w:eastAsia="ar-SA"/>
        </w:rPr>
        <w:t xml:space="preserve"> </w:t>
      </w:r>
      <w:r w:rsidR="00636E23" w:rsidRPr="00931D46">
        <w:rPr>
          <w:rFonts w:ascii="Arial" w:eastAsia="Times New Roman" w:hAnsi="Arial" w:cs="Arial"/>
          <w:bCs/>
          <w:kern w:val="1"/>
          <w:lang w:eastAsia="ar-SA"/>
        </w:rPr>
        <w:t>para sustituir</w:t>
      </w:r>
      <w:r w:rsidR="00061AD8" w:rsidRPr="00931D46">
        <w:rPr>
          <w:rFonts w:ascii="Arial" w:eastAsia="Times New Roman" w:hAnsi="Arial" w:cs="Arial"/>
          <w:bCs/>
          <w:kern w:val="1"/>
          <w:lang w:eastAsia="ar-SA"/>
        </w:rPr>
        <w:t>, de forma oportuna y sin incurrir en costos significativos,</w:t>
      </w:r>
      <w:r w:rsidR="00636E23" w:rsidRPr="00931D46">
        <w:rPr>
          <w:rFonts w:ascii="Arial" w:eastAsia="Times New Roman" w:hAnsi="Arial" w:cs="Arial"/>
          <w:bCs/>
          <w:kern w:val="1"/>
          <w:lang w:eastAsia="ar-SA"/>
        </w:rPr>
        <w:t xml:space="preserve"> el </w:t>
      </w:r>
      <w:r w:rsidR="00330363">
        <w:rPr>
          <w:rFonts w:ascii="Arial" w:eastAsia="Times New Roman" w:hAnsi="Arial" w:cs="Arial"/>
          <w:bCs/>
          <w:kern w:val="1"/>
          <w:lang w:eastAsia="ar-SA"/>
        </w:rPr>
        <w:t>producto</w:t>
      </w:r>
      <w:r w:rsidR="00636E23" w:rsidRPr="00931D46">
        <w:rPr>
          <w:rFonts w:ascii="Arial" w:eastAsia="Times New Roman" w:hAnsi="Arial" w:cs="Arial"/>
          <w:bCs/>
          <w:kern w:val="1"/>
          <w:lang w:eastAsia="ar-SA"/>
        </w:rPr>
        <w:t xml:space="preserve"> en cuestión </w:t>
      </w:r>
      <w:r w:rsidRPr="00931D46">
        <w:rPr>
          <w:rFonts w:ascii="Arial" w:eastAsia="Times New Roman" w:hAnsi="Arial" w:cs="Arial"/>
          <w:bCs/>
          <w:kern w:val="1"/>
          <w:lang w:eastAsia="ar-SA"/>
        </w:rPr>
        <w:t>por otros o acudir a proveedores situados en otra zona geográfica, ante incrementos no transitorios en los precios relativos</w:t>
      </w:r>
      <w:r w:rsidR="00D40877" w:rsidRPr="00931D46">
        <w:rPr>
          <w:rFonts w:ascii="Arial" w:eastAsia="Times New Roman" w:hAnsi="Arial" w:cs="Arial"/>
          <w:bCs/>
          <w:kern w:val="1"/>
          <w:lang w:eastAsia="ar-SA"/>
        </w:rPr>
        <w:t>)</w:t>
      </w:r>
      <w:r w:rsidR="00DF590F" w:rsidRPr="00931D46">
        <w:rPr>
          <w:rFonts w:ascii="Arial" w:eastAsia="Times New Roman" w:hAnsi="Arial" w:cs="Arial"/>
          <w:bCs/>
          <w:kern w:val="1"/>
          <w:lang w:eastAsia="ar-SA"/>
        </w:rPr>
        <w:t xml:space="preserve">. Es el medio más inmediato y eficaz para restringir el comportamiento de los proveedores de un determinado </w:t>
      </w:r>
      <w:r w:rsidR="00330363">
        <w:rPr>
          <w:rFonts w:ascii="Arial" w:eastAsia="Times New Roman" w:hAnsi="Arial" w:cs="Arial"/>
          <w:bCs/>
          <w:kern w:val="1"/>
          <w:lang w:eastAsia="ar-SA"/>
        </w:rPr>
        <w:t>producto</w:t>
      </w:r>
      <w:r w:rsidR="00DF590F" w:rsidRPr="00931D46">
        <w:rPr>
          <w:rFonts w:ascii="Arial" w:eastAsia="Times New Roman" w:hAnsi="Arial" w:cs="Arial"/>
          <w:bCs/>
          <w:kern w:val="1"/>
          <w:lang w:eastAsia="ar-SA"/>
        </w:rPr>
        <w:t>, ya que un AE no puede influir de manera significativa en las condiciones de venta que prevalecen en el mercado, especialmente en el nivel de precios, si sus clientes pueden a</w:t>
      </w:r>
      <w:r w:rsidR="00C85F86" w:rsidRPr="00931D46">
        <w:rPr>
          <w:rFonts w:ascii="Arial" w:eastAsia="Times New Roman" w:hAnsi="Arial" w:cs="Arial"/>
          <w:bCs/>
          <w:kern w:val="1"/>
          <w:lang w:eastAsia="ar-SA"/>
        </w:rPr>
        <w:t>cceder</w:t>
      </w:r>
      <w:r w:rsidR="00DF590F" w:rsidRPr="00931D46">
        <w:rPr>
          <w:rFonts w:ascii="Arial" w:eastAsia="Times New Roman" w:hAnsi="Arial" w:cs="Arial"/>
          <w:bCs/>
          <w:kern w:val="1"/>
          <w:lang w:eastAsia="ar-SA"/>
        </w:rPr>
        <w:t xml:space="preserve"> fácilmente a </w:t>
      </w:r>
      <w:r w:rsidR="00330363">
        <w:rPr>
          <w:rFonts w:ascii="Arial" w:eastAsia="Times New Roman" w:hAnsi="Arial" w:cs="Arial"/>
          <w:bCs/>
          <w:kern w:val="1"/>
          <w:lang w:eastAsia="ar-SA"/>
        </w:rPr>
        <w:t>productos</w:t>
      </w:r>
      <w:r w:rsidR="00DF590F" w:rsidRPr="00931D46">
        <w:rPr>
          <w:rFonts w:ascii="Arial" w:eastAsia="Times New Roman" w:hAnsi="Arial" w:cs="Arial"/>
          <w:bCs/>
          <w:kern w:val="1"/>
          <w:lang w:eastAsia="ar-SA"/>
        </w:rPr>
        <w:t xml:space="preserve"> sustitutos o a proveedores situados en otra región,</w:t>
      </w:r>
      <w:r w:rsidR="00D40877" w:rsidRPr="00931D46">
        <w:rPr>
          <w:rFonts w:ascii="Arial" w:eastAsia="Times New Roman" w:hAnsi="Arial" w:cs="Arial"/>
          <w:bCs/>
          <w:kern w:val="1"/>
          <w:lang w:eastAsia="ar-SA"/>
        </w:rPr>
        <w:t xml:space="preserve"> </w:t>
      </w:r>
      <w:r w:rsidR="00813E36" w:rsidRPr="00931D46">
        <w:rPr>
          <w:rFonts w:ascii="Arial" w:eastAsia="Times New Roman" w:hAnsi="Arial" w:cs="Arial"/>
          <w:bCs/>
          <w:kern w:val="1"/>
          <w:lang w:eastAsia="ar-SA"/>
        </w:rPr>
        <w:t>y</w:t>
      </w:r>
    </w:p>
    <w:p w14:paraId="3A1756E5" w14:textId="556C7C7E" w:rsidR="00DF590F" w:rsidRPr="00931D46" w:rsidRDefault="00DB182F" w:rsidP="00942BD7">
      <w:pPr>
        <w:pStyle w:val="Prrafodelista"/>
        <w:numPr>
          <w:ilvl w:val="0"/>
          <w:numId w:val="40"/>
        </w:numPr>
        <w:spacing w:before="0" w:after="0"/>
        <w:ind w:left="709" w:hanging="567"/>
        <w:contextualSpacing w:val="0"/>
        <w:rPr>
          <w:rFonts w:ascii="Arial" w:eastAsia="Times New Roman" w:hAnsi="Arial" w:cs="Arial"/>
          <w:bCs/>
          <w:kern w:val="1"/>
          <w:lang w:eastAsia="ar-SA"/>
        </w:rPr>
      </w:pPr>
      <w:r w:rsidRPr="00931D46">
        <w:rPr>
          <w:rFonts w:ascii="Arial" w:eastAsia="Times New Roman" w:hAnsi="Arial" w:cs="Arial"/>
          <w:b/>
          <w:bCs/>
          <w:kern w:val="1"/>
          <w:lang w:eastAsia="ar-SA"/>
        </w:rPr>
        <w:t>S</w:t>
      </w:r>
      <w:r w:rsidR="00813E36" w:rsidRPr="00931D46">
        <w:rPr>
          <w:rFonts w:ascii="Arial" w:eastAsia="Times New Roman" w:hAnsi="Arial" w:cs="Arial"/>
          <w:b/>
          <w:bCs/>
          <w:kern w:val="1"/>
          <w:lang w:eastAsia="ar-SA"/>
        </w:rPr>
        <w:t>ustitución por el lado de la oferta</w:t>
      </w:r>
      <w:r w:rsidR="00D40877" w:rsidRPr="00931D46">
        <w:rPr>
          <w:rFonts w:ascii="Arial" w:eastAsia="Times New Roman" w:hAnsi="Arial" w:cs="Arial"/>
          <w:bCs/>
          <w:kern w:val="1"/>
          <w:lang w:eastAsia="ar-SA"/>
        </w:rPr>
        <w:t xml:space="preserve"> (</w:t>
      </w:r>
      <w:r w:rsidR="00C86866" w:rsidRPr="00931D46">
        <w:rPr>
          <w:rFonts w:ascii="Arial" w:eastAsia="Times New Roman" w:hAnsi="Arial" w:cs="Arial"/>
          <w:bCs/>
          <w:kern w:val="1"/>
          <w:lang w:eastAsia="ar-SA"/>
        </w:rPr>
        <w:t>capacidad de lo</w:t>
      </w:r>
      <w:r w:rsidR="00D40877" w:rsidRPr="00931D46">
        <w:rPr>
          <w:rFonts w:ascii="Arial" w:eastAsia="Times New Roman" w:hAnsi="Arial" w:cs="Arial"/>
          <w:bCs/>
          <w:kern w:val="1"/>
          <w:lang w:eastAsia="ar-SA"/>
        </w:rPr>
        <w:t xml:space="preserve">s proveedores </w:t>
      </w:r>
      <w:r w:rsidRPr="00931D46">
        <w:rPr>
          <w:rFonts w:ascii="Arial" w:eastAsia="Times New Roman" w:hAnsi="Arial" w:cs="Arial"/>
          <w:bCs/>
          <w:kern w:val="1"/>
          <w:lang w:eastAsia="ar-SA"/>
        </w:rPr>
        <w:t xml:space="preserve">alternativos </w:t>
      </w:r>
      <w:r w:rsidR="00C86866" w:rsidRPr="00931D46">
        <w:rPr>
          <w:rFonts w:ascii="Arial" w:eastAsia="Times New Roman" w:hAnsi="Arial" w:cs="Arial"/>
          <w:bCs/>
          <w:kern w:val="1"/>
          <w:lang w:eastAsia="ar-SA"/>
        </w:rPr>
        <w:t xml:space="preserve">para ofrecer </w:t>
      </w:r>
      <w:r w:rsidR="00636E23" w:rsidRPr="00931D46">
        <w:rPr>
          <w:rFonts w:ascii="Arial" w:eastAsia="Times New Roman" w:hAnsi="Arial" w:cs="Arial"/>
          <w:bCs/>
          <w:kern w:val="1"/>
          <w:lang w:eastAsia="ar-SA"/>
        </w:rPr>
        <w:t xml:space="preserve">en el </w:t>
      </w:r>
      <w:r w:rsidR="00D40877" w:rsidRPr="00931D46">
        <w:rPr>
          <w:rFonts w:ascii="Arial" w:eastAsia="Times New Roman" w:hAnsi="Arial" w:cs="Arial"/>
          <w:bCs/>
          <w:kern w:val="1"/>
          <w:lang w:eastAsia="ar-SA"/>
        </w:rPr>
        <w:t>corto plazo</w:t>
      </w:r>
      <w:r w:rsidR="007040D0" w:rsidRPr="00931D46">
        <w:rPr>
          <w:rFonts w:ascii="Arial" w:eastAsia="Times New Roman" w:hAnsi="Arial" w:cs="Arial"/>
          <w:bCs/>
          <w:kern w:val="1"/>
          <w:lang w:eastAsia="ar-SA"/>
        </w:rPr>
        <w:t xml:space="preserve"> </w:t>
      </w:r>
      <w:r w:rsidR="0059382E" w:rsidRPr="00931D46">
        <w:rPr>
          <w:rFonts w:ascii="Arial" w:eastAsia="Times New Roman" w:hAnsi="Arial" w:cs="Arial"/>
          <w:bCs/>
          <w:kern w:val="1"/>
          <w:lang w:eastAsia="ar-SA"/>
        </w:rPr>
        <w:t xml:space="preserve">–menos de un año- </w:t>
      </w:r>
      <w:r w:rsidR="00061AD8" w:rsidRPr="00931D46">
        <w:rPr>
          <w:rFonts w:ascii="Arial" w:eastAsia="Times New Roman" w:hAnsi="Arial" w:cs="Arial"/>
          <w:bCs/>
          <w:kern w:val="1"/>
          <w:lang w:eastAsia="ar-SA"/>
        </w:rPr>
        <w:t xml:space="preserve">y </w:t>
      </w:r>
      <w:r w:rsidR="007040D0" w:rsidRPr="00931D46">
        <w:rPr>
          <w:rFonts w:ascii="Arial" w:eastAsia="Times New Roman" w:hAnsi="Arial" w:cs="Arial"/>
          <w:bCs/>
          <w:kern w:val="1"/>
          <w:lang w:eastAsia="ar-SA"/>
        </w:rPr>
        <w:t xml:space="preserve">sin </w:t>
      </w:r>
      <w:r w:rsidRPr="00931D46">
        <w:rPr>
          <w:rFonts w:ascii="Arial" w:eastAsia="Times New Roman" w:hAnsi="Arial" w:cs="Arial"/>
          <w:bCs/>
          <w:kern w:val="1"/>
          <w:lang w:eastAsia="ar-SA"/>
        </w:rPr>
        <w:t xml:space="preserve">incrementos </w:t>
      </w:r>
      <w:r w:rsidR="007040D0" w:rsidRPr="00931D46">
        <w:rPr>
          <w:rFonts w:ascii="Arial" w:eastAsia="Times New Roman" w:hAnsi="Arial" w:cs="Arial"/>
          <w:bCs/>
          <w:kern w:val="1"/>
          <w:lang w:eastAsia="ar-SA"/>
        </w:rPr>
        <w:t>significativo</w:t>
      </w:r>
      <w:r w:rsidRPr="00931D46">
        <w:rPr>
          <w:rFonts w:ascii="Arial" w:eastAsia="Times New Roman" w:hAnsi="Arial" w:cs="Arial"/>
          <w:bCs/>
          <w:kern w:val="1"/>
          <w:lang w:eastAsia="ar-SA"/>
        </w:rPr>
        <w:t xml:space="preserve">s en los costos, </w:t>
      </w:r>
      <w:r w:rsidR="00061AD8" w:rsidRPr="00931D46">
        <w:rPr>
          <w:rFonts w:ascii="Arial" w:eastAsia="Times New Roman" w:hAnsi="Arial" w:cs="Arial"/>
          <w:bCs/>
          <w:kern w:val="1"/>
          <w:lang w:eastAsia="ar-SA"/>
        </w:rPr>
        <w:t xml:space="preserve">el </w:t>
      </w:r>
      <w:r w:rsidR="00330363">
        <w:rPr>
          <w:rFonts w:ascii="Arial" w:eastAsia="Times New Roman" w:hAnsi="Arial" w:cs="Arial"/>
          <w:bCs/>
          <w:kern w:val="1"/>
          <w:lang w:eastAsia="ar-SA"/>
        </w:rPr>
        <w:t>producto</w:t>
      </w:r>
      <w:r w:rsidR="00061AD8" w:rsidRPr="00931D46">
        <w:rPr>
          <w:rFonts w:ascii="Arial" w:eastAsia="Times New Roman" w:hAnsi="Arial" w:cs="Arial"/>
          <w:bCs/>
          <w:kern w:val="1"/>
          <w:lang w:eastAsia="ar-SA"/>
        </w:rPr>
        <w:t xml:space="preserve"> de referencia en la zona geográfica de referencia, </w:t>
      </w:r>
      <w:r w:rsidRPr="00931D46">
        <w:rPr>
          <w:rFonts w:ascii="Arial" w:eastAsia="Times New Roman" w:hAnsi="Arial" w:cs="Arial"/>
          <w:bCs/>
          <w:kern w:val="1"/>
          <w:lang w:eastAsia="ar-SA"/>
        </w:rPr>
        <w:t>en respuesta a incrementos no transitorios en los precios relativos</w:t>
      </w:r>
      <w:r w:rsidR="00D40877" w:rsidRPr="00931D46">
        <w:rPr>
          <w:rFonts w:ascii="Arial" w:eastAsia="Times New Roman" w:hAnsi="Arial" w:cs="Arial"/>
          <w:bCs/>
          <w:kern w:val="1"/>
          <w:lang w:eastAsia="ar-SA"/>
        </w:rPr>
        <w:t>)</w:t>
      </w:r>
      <w:r w:rsidR="00813E36" w:rsidRPr="00931D46">
        <w:rPr>
          <w:rFonts w:ascii="Arial" w:eastAsia="Times New Roman" w:hAnsi="Arial" w:cs="Arial"/>
          <w:bCs/>
          <w:kern w:val="1"/>
          <w:lang w:eastAsia="ar-SA"/>
        </w:rPr>
        <w:t>.</w:t>
      </w:r>
      <w:r w:rsidR="00DF590F" w:rsidRPr="00931D46">
        <w:rPr>
          <w:rFonts w:ascii="Arial" w:eastAsia="Times New Roman" w:hAnsi="Arial" w:cs="Arial"/>
          <w:bCs/>
          <w:kern w:val="1"/>
          <w:lang w:eastAsia="ar-SA"/>
        </w:rPr>
        <w:t xml:space="preserve"> Puede tener</w:t>
      </w:r>
      <w:r w:rsidR="007E0735">
        <w:rPr>
          <w:rFonts w:ascii="Arial" w:eastAsia="Times New Roman" w:hAnsi="Arial" w:cs="Arial"/>
          <w:bCs/>
          <w:kern w:val="1"/>
          <w:lang w:eastAsia="ar-SA"/>
        </w:rPr>
        <w:t>se en cuenta al definir MR en los casos en que sus</w:t>
      </w:r>
      <w:r w:rsidR="00DF590F" w:rsidRPr="00931D46">
        <w:rPr>
          <w:rFonts w:ascii="Arial" w:eastAsia="Times New Roman" w:hAnsi="Arial" w:cs="Arial"/>
          <w:bCs/>
          <w:kern w:val="1"/>
          <w:lang w:eastAsia="ar-SA"/>
        </w:rPr>
        <w:t xml:space="preserve"> efectos </w:t>
      </w:r>
      <w:r w:rsidR="007E0735">
        <w:rPr>
          <w:rFonts w:ascii="Arial" w:eastAsia="Times New Roman" w:hAnsi="Arial" w:cs="Arial"/>
          <w:bCs/>
          <w:kern w:val="1"/>
          <w:lang w:eastAsia="ar-SA"/>
        </w:rPr>
        <w:t xml:space="preserve">son </w:t>
      </w:r>
      <w:r w:rsidR="00DF590F" w:rsidRPr="00931D46">
        <w:rPr>
          <w:rFonts w:ascii="Arial" w:eastAsia="Times New Roman" w:hAnsi="Arial" w:cs="Arial"/>
          <w:bCs/>
          <w:kern w:val="1"/>
          <w:lang w:eastAsia="ar-SA"/>
        </w:rPr>
        <w:t xml:space="preserve">equivalentes </w:t>
      </w:r>
      <w:r w:rsidR="00DF590F" w:rsidRPr="00931D46">
        <w:rPr>
          <w:rFonts w:ascii="Arial" w:hAnsi="Arial" w:cs="Arial"/>
        </w:rPr>
        <w:t>a los de la sustitución por el lado de la demanda, en términos de eficacia y respuesta inmediata. Este tipo de sustitución “</w:t>
      </w:r>
      <w:r w:rsidR="00DF590F" w:rsidRPr="00931D46">
        <w:rPr>
          <w:rFonts w:ascii="Arial" w:hAnsi="Arial" w:cs="Arial"/>
          <w:i/>
        </w:rPr>
        <w:t>es particularmente pertinente para las industrias de redes, tales como la de comunicaciones electrónicas, en las que una misma red puede utilizarse para prestar diferentes tipos de servicio</w:t>
      </w:r>
      <w:r w:rsidR="00DF590F" w:rsidRPr="00931D46">
        <w:rPr>
          <w:rFonts w:ascii="Arial" w:hAnsi="Arial" w:cs="Arial"/>
        </w:rPr>
        <w:t>”.</w:t>
      </w:r>
      <w:r w:rsidR="00DF590F" w:rsidRPr="00931D46">
        <w:rPr>
          <w:rStyle w:val="Refdenotaalpie"/>
          <w:rFonts w:ascii="Arial" w:hAnsi="Arial" w:cs="Arial"/>
        </w:rPr>
        <w:footnoteReference w:id="36"/>
      </w:r>
    </w:p>
    <w:p w14:paraId="2C6D6CEE" w14:textId="77777777" w:rsidR="00DF590F" w:rsidRPr="00931D46" w:rsidRDefault="00DF590F" w:rsidP="0023353F">
      <w:pPr>
        <w:pStyle w:val="Prrafodelista"/>
        <w:spacing w:before="0" w:after="0"/>
        <w:ind w:left="709"/>
        <w:contextualSpacing w:val="0"/>
        <w:rPr>
          <w:rFonts w:ascii="Arial" w:hAnsi="Arial" w:cs="Arial"/>
        </w:rPr>
      </w:pPr>
    </w:p>
    <w:p w14:paraId="7CF8A2DA" w14:textId="77777777" w:rsidR="00DB182F" w:rsidRPr="00931D46" w:rsidRDefault="00DF590F" w:rsidP="0023353F">
      <w:pPr>
        <w:pStyle w:val="Prrafodelista"/>
        <w:spacing w:before="0" w:after="0"/>
        <w:ind w:left="709"/>
        <w:contextualSpacing w:val="0"/>
        <w:rPr>
          <w:rFonts w:ascii="Arial" w:eastAsia="Times New Roman" w:hAnsi="Arial" w:cs="Arial"/>
          <w:bCs/>
          <w:kern w:val="1"/>
          <w:highlight w:val="yellow"/>
          <w:lang w:eastAsia="ar-SA"/>
        </w:rPr>
      </w:pPr>
      <w:r w:rsidRPr="00931D46">
        <w:rPr>
          <w:rFonts w:ascii="Arial" w:hAnsi="Arial" w:cs="Arial"/>
        </w:rPr>
        <w:t xml:space="preserve">Por ejemplo, en un caso del Reino Unido que involucraba la fabricación de papel, la CE encontró que, desde el punto de vista de la demanda, la sustituibilidad entre diferentes calidades de papel (papel recubierto y no recubierto) es limitada debido a que tienen características y precios diferentes. Sin embargo, desde el punto de vista de la oferta, hay una sustituibilidad bastante alta, debido a que es relativamente fácil pasar de la producción de un tipo de papel a otro, por lo que determinó que </w:t>
      </w:r>
      <w:r w:rsidR="00C06F3B" w:rsidRPr="00931D46">
        <w:rPr>
          <w:rFonts w:ascii="Arial" w:hAnsi="Arial" w:cs="Arial"/>
        </w:rPr>
        <w:t xml:space="preserve">las distintas calidades </w:t>
      </w:r>
      <w:r w:rsidRPr="00931D46">
        <w:rPr>
          <w:rFonts w:ascii="Arial" w:hAnsi="Arial" w:cs="Arial"/>
        </w:rPr>
        <w:t>de papel forman parte del mismo MR.</w:t>
      </w:r>
      <w:r w:rsidRPr="00931D46">
        <w:rPr>
          <w:rStyle w:val="Refdenotaalpie"/>
          <w:rFonts w:ascii="Arial" w:hAnsi="Arial" w:cs="Arial"/>
        </w:rPr>
        <w:footnoteReference w:id="37"/>
      </w:r>
      <w:r w:rsidRPr="00931D46">
        <w:rPr>
          <w:rFonts w:ascii="Arial" w:hAnsi="Arial" w:cs="Arial"/>
        </w:rPr>
        <w:t xml:space="preserve"> </w:t>
      </w:r>
      <w:r w:rsidRPr="00931D46">
        <w:rPr>
          <w:rFonts w:ascii="Arial" w:eastAsia="Times New Roman" w:hAnsi="Arial" w:cs="Arial"/>
          <w:bCs/>
          <w:kern w:val="1"/>
          <w:highlight w:val="yellow"/>
          <w:lang w:eastAsia="ar-SA"/>
        </w:rPr>
        <w:t xml:space="preserve"> </w:t>
      </w:r>
    </w:p>
    <w:p w14:paraId="698C6E78" w14:textId="77777777" w:rsidR="00DB182F" w:rsidRPr="00931D46" w:rsidRDefault="00DB182F" w:rsidP="0023353F">
      <w:pPr>
        <w:spacing w:before="0" w:after="0"/>
        <w:rPr>
          <w:rFonts w:ascii="Arial" w:eastAsia="Times New Roman" w:hAnsi="Arial" w:cs="Arial"/>
          <w:bCs/>
          <w:kern w:val="1"/>
          <w:highlight w:val="yellow"/>
          <w:lang w:eastAsia="ar-SA"/>
        </w:rPr>
      </w:pPr>
    </w:p>
    <w:p w14:paraId="4B76D360" w14:textId="0A3782D7" w:rsidR="00813E36" w:rsidRPr="00931D46" w:rsidRDefault="00813E36" w:rsidP="0023353F">
      <w:pPr>
        <w:spacing w:before="0" w:after="0"/>
        <w:rPr>
          <w:rFonts w:ascii="Arial" w:eastAsia="Times New Roman" w:hAnsi="Arial" w:cs="Arial"/>
          <w:bCs/>
          <w:kern w:val="1"/>
          <w:lang w:eastAsia="ar-SA"/>
        </w:rPr>
      </w:pPr>
      <w:r w:rsidRPr="00931D46">
        <w:rPr>
          <w:rFonts w:ascii="Arial" w:eastAsia="Times New Roman" w:hAnsi="Arial" w:cs="Arial"/>
          <w:bCs/>
          <w:kern w:val="1"/>
          <w:lang w:eastAsia="ar-SA"/>
        </w:rPr>
        <w:t xml:space="preserve">La CE señala que una tercera fuente de presión competitiva al comportamiento de los agentes en el mercado es la existencia de </w:t>
      </w:r>
      <w:r w:rsidRPr="00931D46">
        <w:rPr>
          <w:rFonts w:ascii="Arial" w:eastAsia="Times New Roman" w:hAnsi="Arial" w:cs="Arial"/>
          <w:b/>
          <w:bCs/>
          <w:kern w:val="1"/>
          <w:lang w:eastAsia="ar-SA"/>
        </w:rPr>
        <w:t>competencia potencial</w:t>
      </w:r>
      <w:r w:rsidR="00DF590F" w:rsidRPr="00931D46">
        <w:rPr>
          <w:rFonts w:ascii="Arial" w:eastAsia="Times New Roman" w:hAnsi="Arial" w:cs="Arial"/>
          <w:bCs/>
          <w:kern w:val="1"/>
          <w:lang w:eastAsia="ar-SA"/>
        </w:rPr>
        <w:t>,</w:t>
      </w:r>
      <w:r w:rsidR="00636E23" w:rsidRPr="00931D46">
        <w:rPr>
          <w:rFonts w:ascii="Arial" w:eastAsia="Times New Roman" w:hAnsi="Arial" w:cs="Arial"/>
          <w:bCs/>
          <w:kern w:val="1"/>
          <w:lang w:eastAsia="ar-SA"/>
        </w:rPr>
        <w:t xml:space="preserve"> similar a la sustitución </w:t>
      </w:r>
      <w:r w:rsidR="00DF590F" w:rsidRPr="00931D46">
        <w:rPr>
          <w:rFonts w:ascii="Arial" w:eastAsia="Times New Roman" w:hAnsi="Arial" w:cs="Arial"/>
          <w:bCs/>
          <w:kern w:val="1"/>
          <w:lang w:eastAsia="ar-SA"/>
        </w:rPr>
        <w:t xml:space="preserve">por el lado </w:t>
      </w:r>
      <w:r w:rsidR="00636E23" w:rsidRPr="00931D46">
        <w:rPr>
          <w:rFonts w:ascii="Arial" w:eastAsia="Times New Roman" w:hAnsi="Arial" w:cs="Arial"/>
          <w:bCs/>
          <w:kern w:val="1"/>
          <w:lang w:eastAsia="ar-SA"/>
        </w:rPr>
        <w:t xml:space="preserve">de la oferta, pero </w:t>
      </w:r>
      <w:r w:rsidR="00DF590F" w:rsidRPr="00931D46">
        <w:rPr>
          <w:rFonts w:ascii="Arial" w:eastAsia="Times New Roman" w:hAnsi="Arial" w:cs="Arial"/>
          <w:bCs/>
          <w:kern w:val="1"/>
          <w:lang w:eastAsia="ar-SA"/>
        </w:rPr>
        <w:t xml:space="preserve">los entrantes </w:t>
      </w:r>
      <w:r w:rsidR="00636E23" w:rsidRPr="00931D46">
        <w:rPr>
          <w:rFonts w:ascii="Arial" w:eastAsia="Times New Roman" w:hAnsi="Arial" w:cs="Arial"/>
          <w:bCs/>
          <w:kern w:val="1"/>
          <w:lang w:eastAsia="ar-SA"/>
        </w:rPr>
        <w:t xml:space="preserve">requieren más tiempo </w:t>
      </w:r>
      <w:r w:rsidR="00DF590F" w:rsidRPr="00931D46">
        <w:rPr>
          <w:rFonts w:ascii="Arial" w:hAnsi="Arial" w:cs="Arial"/>
          <w:lang w:eastAsia="ar-SA"/>
        </w:rPr>
        <w:t xml:space="preserve">e incurrir en costos irrecuperables significativos para entrar al mercado, por lo que </w:t>
      </w:r>
      <w:r w:rsidRPr="00931D46">
        <w:rPr>
          <w:rFonts w:ascii="Arial" w:eastAsia="Times New Roman" w:hAnsi="Arial" w:cs="Arial"/>
          <w:bCs/>
          <w:kern w:val="1"/>
          <w:lang w:eastAsia="ar-SA"/>
        </w:rPr>
        <w:t>no se considera en la etapa de definición de MR sino</w:t>
      </w:r>
      <w:r w:rsidR="007040D0" w:rsidRPr="00931D46">
        <w:rPr>
          <w:rFonts w:ascii="Arial" w:eastAsia="Times New Roman" w:hAnsi="Arial" w:cs="Arial"/>
          <w:bCs/>
          <w:kern w:val="1"/>
          <w:lang w:eastAsia="ar-SA"/>
        </w:rPr>
        <w:t>, en caso necesario,</w:t>
      </w:r>
      <w:r w:rsidRPr="00931D46">
        <w:rPr>
          <w:rFonts w:ascii="Arial" w:eastAsia="Times New Roman" w:hAnsi="Arial" w:cs="Arial"/>
          <w:bCs/>
          <w:kern w:val="1"/>
          <w:lang w:eastAsia="ar-SA"/>
        </w:rPr>
        <w:t xml:space="preserve"> en etapas posteriores</w:t>
      </w:r>
      <w:r w:rsidR="00B76235" w:rsidRPr="00931D46">
        <w:rPr>
          <w:rFonts w:ascii="Arial" w:eastAsia="Times New Roman" w:hAnsi="Arial" w:cs="Arial"/>
          <w:bCs/>
          <w:kern w:val="1"/>
          <w:lang w:eastAsia="ar-SA"/>
        </w:rPr>
        <w:t xml:space="preserve"> (</w:t>
      </w:r>
      <w:r w:rsidR="00C06F3B" w:rsidRPr="00931D46">
        <w:rPr>
          <w:rFonts w:ascii="Arial" w:eastAsia="Times New Roman" w:hAnsi="Arial" w:cs="Arial"/>
          <w:bCs/>
          <w:kern w:val="1"/>
          <w:lang w:eastAsia="ar-SA"/>
        </w:rPr>
        <w:t xml:space="preserve">por ejemplo, </w:t>
      </w:r>
      <w:r w:rsidR="00B76235" w:rsidRPr="00931D46">
        <w:rPr>
          <w:rFonts w:ascii="Arial" w:eastAsia="Times New Roman" w:hAnsi="Arial" w:cs="Arial"/>
          <w:bCs/>
          <w:kern w:val="1"/>
          <w:lang w:eastAsia="ar-SA"/>
        </w:rPr>
        <w:t>en el análisis de barreras a la entrada)</w:t>
      </w:r>
      <w:r w:rsidRPr="00931D46">
        <w:rPr>
          <w:rFonts w:ascii="Arial" w:eastAsia="Times New Roman" w:hAnsi="Arial" w:cs="Arial"/>
          <w:bCs/>
          <w:kern w:val="1"/>
          <w:lang w:eastAsia="ar-SA"/>
        </w:rPr>
        <w:t xml:space="preserve">, como parte de la evaluación de </w:t>
      </w:r>
      <w:r w:rsidR="006D61DF" w:rsidRPr="00931D46">
        <w:rPr>
          <w:rFonts w:ascii="Arial" w:eastAsia="Times New Roman" w:hAnsi="Arial" w:cs="Arial"/>
          <w:bCs/>
          <w:kern w:val="1"/>
          <w:lang w:eastAsia="ar-SA"/>
        </w:rPr>
        <w:t xml:space="preserve">efectos o </w:t>
      </w:r>
      <w:r w:rsidRPr="00931D46">
        <w:rPr>
          <w:rFonts w:ascii="Arial" w:eastAsia="Times New Roman" w:hAnsi="Arial" w:cs="Arial"/>
          <w:bCs/>
          <w:kern w:val="1"/>
          <w:lang w:eastAsia="ar-SA"/>
        </w:rPr>
        <w:t>condiciones de competencia</w:t>
      </w:r>
      <w:r w:rsidR="006D61DF" w:rsidRPr="00931D46">
        <w:rPr>
          <w:rFonts w:ascii="Arial" w:eastAsia="Times New Roman" w:hAnsi="Arial" w:cs="Arial"/>
          <w:bCs/>
          <w:kern w:val="1"/>
          <w:lang w:eastAsia="ar-SA"/>
        </w:rPr>
        <w:t>.</w:t>
      </w:r>
      <w:r w:rsidR="00A51954" w:rsidRPr="00931D46">
        <w:rPr>
          <w:rStyle w:val="Refdenotaalpie"/>
          <w:rFonts w:ascii="Arial" w:hAnsi="Arial" w:cs="Arial"/>
        </w:rPr>
        <w:footnoteReference w:id="38"/>
      </w:r>
    </w:p>
    <w:p w14:paraId="2897E54A" w14:textId="77777777" w:rsidR="00C86866" w:rsidRPr="00931D46" w:rsidRDefault="00C86866" w:rsidP="0023353F">
      <w:pPr>
        <w:spacing w:before="0" w:after="0"/>
        <w:rPr>
          <w:rFonts w:ascii="Arial" w:eastAsia="Times New Roman" w:hAnsi="Arial" w:cs="Arial"/>
          <w:bCs/>
          <w:kern w:val="1"/>
          <w:highlight w:val="yellow"/>
          <w:lang w:eastAsia="ar-SA"/>
        </w:rPr>
      </w:pPr>
    </w:p>
    <w:p w14:paraId="6644126F" w14:textId="77777777" w:rsidR="00DE2E37" w:rsidRPr="00931D46" w:rsidRDefault="00DE2E37" w:rsidP="00415680">
      <w:pPr>
        <w:pStyle w:val="Ttulo2"/>
        <w:keepLines w:val="0"/>
        <w:numPr>
          <w:ilvl w:val="1"/>
          <w:numId w:val="3"/>
        </w:numPr>
        <w:spacing w:before="0" w:after="0"/>
        <w:rPr>
          <w:rFonts w:ascii="Arial" w:eastAsia="Times New Roman" w:hAnsi="Arial" w:cs="Arial"/>
          <w:sz w:val="26"/>
          <w:lang w:eastAsia="es-MX"/>
        </w:rPr>
      </w:pPr>
      <w:bookmarkStart w:id="41" w:name="_Toc45628318"/>
      <w:bookmarkStart w:id="42" w:name="_Toc74306765"/>
      <w:bookmarkStart w:id="43" w:name="_Toc74323821"/>
      <w:r w:rsidRPr="00931D46">
        <w:rPr>
          <w:rFonts w:ascii="Arial" w:eastAsia="Times New Roman" w:hAnsi="Arial" w:cs="Arial"/>
          <w:sz w:val="26"/>
          <w:lang w:eastAsia="es-MX"/>
        </w:rPr>
        <w:t xml:space="preserve">Enfoque </w:t>
      </w:r>
      <w:r w:rsidR="00A00717" w:rsidRPr="00931D46">
        <w:rPr>
          <w:rFonts w:ascii="Arial" w:eastAsia="Times New Roman" w:hAnsi="Arial" w:cs="Arial"/>
          <w:sz w:val="26"/>
          <w:lang w:eastAsia="es-MX"/>
        </w:rPr>
        <w:t>en</w:t>
      </w:r>
      <w:r w:rsidRPr="00931D46">
        <w:rPr>
          <w:rFonts w:ascii="Arial" w:eastAsia="Times New Roman" w:hAnsi="Arial" w:cs="Arial"/>
          <w:sz w:val="26"/>
          <w:lang w:eastAsia="es-MX"/>
        </w:rPr>
        <w:t xml:space="preserve"> Estados Unidos de América</w:t>
      </w:r>
      <w:bookmarkEnd w:id="41"/>
      <w:r w:rsidR="00A51954" w:rsidRPr="00931D46">
        <w:rPr>
          <w:rFonts w:ascii="Arial" w:eastAsia="Times New Roman" w:hAnsi="Arial" w:cs="Arial"/>
          <w:sz w:val="26"/>
          <w:vertAlign w:val="superscript"/>
          <w:lang w:eastAsia="es-MX"/>
        </w:rPr>
        <w:footnoteReference w:id="39"/>
      </w:r>
      <w:bookmarkEnd w:id="42"/>
      <w:bookmarkEnd w:id="43"/>
    </w:p>
    <w:p w14:paraId="5C842243" w14:textId="77777777" w:rsidR="00DE2E37" w:rsidRPr="00931D46" w:rsidRDefault="00DE2E37" w:rsidP="0023353F">
      <w:pPr>
        <w:keepNext/>
        <w:spacing w:before="0" w:after="0"/>
        <w:rPr>
          <w:rFonts w:ascii="Arial" w:hAnsi="Arial" w:cs="Arial"/>
          <w:highlight w:val="yellow"/>
        </w:rPr>
      </w:pPr>
    </w:p>
    <w:p w14:paraId="54233A6E" w14:textId="745D1952" w:rsidR="00813E36" w:rsidRPr="00931D46" w:rsidRDefault="00C47017" w:rsidP="0023353F">
      <w:pPr>
        <w:spacing w:before="0" w:after="0"/>
        <w:rPr>
          <w:rFonts w:ascii="Arial" w:hAnsi="Arial" w:cs="Arial"/>
        </w:rPr>
      </w:pPr>
      <w:r w:rsidRPr="00931D46">
        <w:rPr>
          <w:rFonts w:ascii="Arial" w:hAnsi="Arial" w:cs="Arial"/>
        </w:rPr>
        <w:t>E</w:t>
      </w:r>
      <w:r w:rsidR="00813E36" w:rsidRPr="00931D46">
        <w:rPr>
          <w:rFonts w:ascii="Arial" w:hAnsi="Arial" w:cs="Arial"/>
        </w:rPr>
        <w:t xml:space="preserve">n Estados Unidos </w:t>
      </w:r>
      <w:r w:rsidR="00B76235" w:rsidRPr="00931D46">
        <w:rPr>
          <w:rFonts w:ascii="Arial" w:hAnsi="Arial" w:cs="Arial"/>
        </w:rPr>
        <w:t xml:space="preserve">de América </w:t>
      </w:r>
      <w:r w:rsidR="009D2140" w:rsidRPr="00931D46">
        <w:rPr>
          <w:rFonts w:ascii="Arial" w:hAnsi="Arial" w:cs="Arial"/>
        </w:rPr>
        <w:t>el</w:t>
      </w:r>
      <w:r w:rsidR="00813E36" w:rsidRPr="00931D46">
        <w:rPr>
          <w:rFonts w:ascii="Arial" w:hAnsi="Arial" w:cs="Arial"/>
        </w:rPr>
        <w:t xml:space="preserve"> enfoque </w:t>
      </w:r>
      <w:r w:rsidR="00A00717" w:rsidRPr="00931D46">
        <w:rPr>
          <w:rFonts w:ascii="Arial" w:hAnsi="Arial" w:cs="Arial"/>
        </w:rPr>
        <w:t>para la determinación del MR</w:t>
      </w:r>
      <w:r w:rsidR="00553084" w:rsidRPr="00931D46">
        <w:rPr>
          <w:rFonts w:ascii="Arial" w:hAnsi="Arial" w:cs="Arial"/>
        </w:rPr>
        <w:t>,</w:t>
      </w:r>
      <w:r w:rsidR="00813E36" w:rsidRPr="00931D46">
        <w:rPr>
          <w:rFonts w:ascii="Arial" w:hAnsi="Arial" w:cs="Arial"/>
        </w:rPr>
        <w:t xml:space="preserve"> </w:t>
      </w:r>
      <w:r w:rsidR="00553084" w:rsidRPr="00931D46">
        <w:rPr>
          <w:rFonts w:ascii="Arial" w:hAnsi="Arial" w:cs="Arial"/>
        </w:rPr>
        <w:t xml:space="preserve">basado </w:t>
      </w:r>
      <w:r w:rsidR="00B76235" w:rsidRPr="00931D46">
        <w:rPr>
          <w:rFonts w:ascii="Arial" w:hAnsi="Arial" w:cs="Arial"/>
        </w:rPr>
        <w:t xml:space="preserve">en </w:t>
      </w:r>
      <w:r w:rsidR="00553084" w:rsidRPr="00931D46">
        <w:rPr>
          <w:rFonts w:ascii="Arial" w:hAnsi="Arial" w:cs="Arial"/>
        </w:rPr>
        <w:t xml:space="preserve">el </w:t>
      </w:r>
      <w:r w:rsidR="00B76235" w:rsidRPr="00931D46">
        <w:rPr>
          <w:rFonts w:ascii="Arial" w:hAnsi="Arial" w:cs="Arial"/>
        </w:rPr>
        <w:t>análisis de concentraciones</w:t>
      </w:r>
      <w:r w:rsidR="00553084" w:rsidRPr="00931D46">
        <w:rPr>
          <w:rFonts w:ascii="Arial" w:hAnsi="Arial" w:cs="Arial"/>
        </w:rPr>
        <w:t>,</w:t>
      </w:r>
      <w:r w:rsidR="00B76235" w:rsidRPr="00931D46">
        <w:rPr>
          <w:rFonts w:ascii="Arial" w:hAnsi="Arial" w:cs="Arial"/>
        </w:rPr>
        <w:t xml:space="preserve"> </w:t>
      </w:r>
      <w:r w:rsidR="00813E36" w:rsidRPr="00931D46">
        <w:rPr>
          <w:rFonts w:ascii="Arial" w:hAnsi="Arial" w:cs="Arial"/>
        </w:rPr>
        <w:t xml:space="preserve">se </w:t>
      </w:r>
      <w:r w:rsidR="00553084" w:rsidRPr="00931D46">
        <w:rPr>
          <w:rFonts w:ascii="Arial" w:hAnsi="Arial" w:cs="Arial"/>
        </w:rPr>
        <w:t xml:space="preserve">centra </w:t>
      </w:r>
      <w:r w:rsidR="00B76235" w:rsidRPr="00931D46">
        <w:rPr>
          <w:rFonts w:ascii="Arial" w:hAnsi="Arial" w:cs="Arial"/>
        </w:rPr>
        <w:t xml:space="preserve">únicamente </w:t>
      </w:r>
      <w:r w:rsidR="00813E36" w:rsidRPr="00931D46">
        <w:rPr>
          <w:rFonts w:ascii="Arial" w:hAnsi="Arial" w:cs="Arial"/>
        </w:rPr>
        <w:t>en la sustitución por el lado de la demanda</w:t>
      </w:r>
      <w:r w:rsidR="00553084" w:rsidRPr="00931D46">
        <w:rPr>
          <w:rFonts w:ascii="Arial" w:hAnsi="Arial" w:cs="Arial"/>
        </w:rPr>
        <w:t xml:space="preserve"> (la capacidad y voluntad de los clientes de sustituir un </w:t>
      </w:r>
      <w:r w:rsidR="00330363">
        <w:rPr>
          <w:rFonts w:ascii="Arial" w:hAnsi="Arial" w:cs="Arial"/>
        </w:rPr>
        <w:t>producto</w:t>
      </w:r>
      <w:r w:rsidR="00553084" w:rsidRPr="00931D46">
        <w:rPr>
          <w:rFonts w:ascii="Arial" w:hAnsi="Arial" w:cs="Arial"/>
        </w:rPr>
        <w:t xml:space="preserve"> por otro en respuesta a un incremento en el precio o a un cambio correspondiente no relacionado con el precio, como una reducción en la calidad del </w:t>
      </w:r>
      <w:r w:rsidR="00330363">
        <w:rPr>
          <w:rFonts w:ascii="Arial" w:hAnsi="Arial" w:cs="Arial"/>
        </w:rPr>
        <w:t>producto</w:t>
      </w:r>
      <w:r w:rsidR="00553084" w:rsidRPr="00931D46">
        <w:rPr>
          <w:rFonts w:ascii="Arial" w:hAnsi="Arial" w:cs="Arial"/>
        </w:rPr>
        <w:t>),</w:t>
      </w:r>
      <w:r w:rsidR="00813E36" w:rsidRPr="00931D46">
        <w:rPr>
          <w:rFonts w:ascii="Arial" w:hAnsi="Arial" w:cs="Arial"/>
        </w:rPr>
        <w:t xml:space="preserve"> mientras que las restricciones por el lado de la oferta </w:t>
      </w:r>
      <w:r w:rsidR="00553084" w:rsidRPr="00931D46">
        <w:rPr>
          <w:rFonts w:ascii="Arial" w:hAnsi="Arial" w:cs="Arial"/>
        </w:rPr>
        <w:t xml:space="preserve">y </w:t>
      </w:r>
      <w:r w:rsidR="00BE2007" w:rsidRPr="00931D46">
        <w:rPr>
          <w:rFonts w:ascii="Arial" w:hAnsi="Arial" w:cs="Arial"/>
        </w:rPr>
        <w:t>la</w:t>
      </w:r>
      <w:r w:rsidR="00553084" w:rsidRPr="00931D46">
        <w:rPr>
          <w:rFonts w:ascii="Arial" w:hAnsi="Arial" w:cs="Arial"/>
        </w:rPr>
        <w:t xml:space="preserve"> competencia potencial </w:t>
      </w:r>
      <w:r w:rsidR="00813E36" w:rsidRPr="00931D46">
        <w:rPr>
          <w:rFonts w:ascii="Arial" w:hAnsi="Arial" w:cs="Arial"/>
        </w:rPr>
        <w:t xml:space="preserve">se </w:t>
      </w:r>
      <w:r w:rsidR="00553084" w:rsidRPr="00931D46">
        <w:rPr>
          <w:rFonts w:ascii="Arial" w:hAnsi="Arial" w:cs="Arial"/>
        </w:rPr>
        <w:t>consideran en etapas posteriores del análisis</w:t>
      </w:r>
      <w:r w:rsidR="00F5471C" w:rsidRPr="00931D46">
        <w:rPr>
          <w:rFonts w:ascii="Arial" w:hAnsi="Arial" w:cs="Arial"/>
        </w:rPr>
        <w:t>:</w:t>
      </w:r>
      <w:r w:rsidR="00553084" w:rsidRPr="00931D46">
        <w:rPr>
          <w:rFonts w:ascii="Arial" w:hAnsi="Arial" w:cs="Arial"/>
        </w:rPr>
        <w:t xml:space="preserve"> </w:t>
      </w:r>
      <w:r w:rsidR="00813E36" w:rsidRPr="00931D46">
        <w:rPr>
          <w:rFonts w:ascii="Arial" w:hAnsi="Arial" w:cs="Arial"/>
        </w:rPr>
        <w:t xml:space="preserve">i) </w:t>
      </w:r>
      <w:r w:rsidR="00553084" w:rsidRPr="00931D46">
        <w:rPr>
          <w:rFonts w:ascii="Arial" w:hAnsi="Arial" w:cs="Arial"/>
        </w:rPr>
        <w:t xml:space="preserve">al </w:t>
      </w:r>
      <w:r w:rsidR="00813E36" w:rsidRPr="00931D46">
        <w:rPr>
          <w:rFonts w:ascii="Arial" w:hAnsi="Arial" w:cs="Arial"/>
        </w:rPr>
        <w:t>identificar a los agentes que participan en el mercado</w:t>
      </w:r>
      <w:r w:rsidR="00553084" w:rsidRPr="00931D46">
        <w:rPr>
          <w:rFonts w:ascii="Arial" w:hAnsi="Arial" w:cs="Arial"/>
        </w:rPr>
        <w:t xml:space="preserve"> y </w:t>
      </w:r>
      <w:r w:rsidR="00813E36" w:rsidRPr="00931D46">
        <w:rPr>
          <w:rFonts w:ascii="Arial" w:hAnsi="Arial" w:cs="Arial"/>
        </w:rPr>
        <w:t xml:space="preserve">calcular </w:t>
      </w:r>
      <w:r w:rsidR="00553084" w:rsidRPr="00931D46">
        <w:rPr>
          <w:rFonts w:ascii="Arial" w:hAnsi="Arial" w:cs="Arial"/>
        </w:rPr>
        <w:t xml:space="preserve">sus </w:t>
      </w:r>
      <w:r w:rsidR="00813E36" w:rsidRPr="00931D46">
        <w:rPr>
          <w:rFonts w:ascii="Arial" w:hAnsi="Arial" w:cs="Arial"/>
        </w:rPr>
        <w:t xml:space="preserve">participaciones, </w:t>
      </w:r>
      <w:r w:rsidR="00553084" w:rsidRPr="00931D46">
        <w:rPr>
          <w:rFonts w:ascii="Arial" w:hAnsi="Arial" w:cs="Arial"/>
        </w:rPr>
        <w:t>y</w:t>
      </w:r>
      <w:r w:rsidR="00EA61C7" w:rsidRPr="00931D46">
        <w:rPr>
          <w:rFonts w:ascii="Arial" w:hAnsi="Arial" w:cs="Arial"/>
        </w:rPr>
        <w:t>/o</w:t>
      </w:r>
      <w:r w:rsidR="00553084" w:rsidRPr="00931D46">
        <w:rPr>
          <w:rFonts w:ascii="Arial" w:hAnsi="Arial" w:cs="Arial"/>
        </w:rPr>
        <w:t xml:space="preserve"> </w:t>
      </w:r>
      <w:r w:rsidR="00813E36" w:rsidRPr="00931D46">
        <w:rPr>
          <w:rFonts w:ascii="Arial" w:hAnsi="Arial" w:cs="Arial"/>
        </w:rPr>
        <w:t xml:space="preserve">ii) </w:t>
      </w:r>
      <w:r w:rsidR="00553084" w:rsidRPr="00931D46">
        <w:rPr>
          <w:rFonts w:ascii="Arial" w:hAnsi="Arial" w:cs="Arial"/>
        </w:rPr>
        <w:t xml:space="preserve">al </w:t>
      </w:r>
      <w:r w:rsidR="00813E36" w:rsidRPr="00931D46">
        <w:rPr>
          <w:rFonts w:ascii="Arial" w:hAnsi="Arial" w:cs="Arial"/>
        </w:rPr>
        <w:t xml:space="preserve">evaluar </w:t>
      </w:r>
      <w:r w:rsidR="00553084" w:rsidRPr="00931D46">
        <w:rPr>
          <w:rFonts w:ascii="Arial" w:hAnsi="Arial" w:cs="Arial"/>
        </w:rPr>
        <w:t xml:space="preserve">la entrada y </w:t>
      </w:r>
      <w:r w:rsidR="00813E36" w:rsidRPr="00931D46">
        <w:rPr>
          <w:rFonts w:ascii="Arial" w:hAnsi="Arial" w:cs="Arial"/>
        </w:rPr>
        <w:t>los posibles efectos en la competencia</w:t>
      </w:r>
      <w:r w:rsidR="00F5471C" w:rsidRPr="00931D46">
        <w:rPr>
          <w:rFonts w:ascii="Arial" w:hAnsi="Arial" w:cs="Arial"/>
        </w:rPr>
        <w:t xml:space="preserve"> derivados de una concentración o una conducta</w:t>
      </w:r>
      <w:r w:rsidR="00813E36" w:rsidRPr="00931D46">
        <w:rPr>
          <w:rFonts w:ascii="Arial" w:hAnsi="Arial" w:cs="Arial"/>
        </w:rPr>
        <w:t>.</w:t>
      </w:r>
    </w:p>
    <w:p w14:paraId="668582D9" w14:textId="77777777" w:rsidR="00553084" w:rsidRPr="00931D46" w:rsidRDefault="00553084" w:rsidP="0023353F">
      <w:pPr>
        <w:spacing w:before="0" w:after="0"/>
        <w:rPr>
          <w:rFonts w:ascii="Arial" w:hAnsi="Arial" w:cs="Arial"/>
        </w:rPr>
      </w:pPr>
    </w:p>
    <w:p w14:paraId="2AF9A676" w14:textId="7455C18D" w:rsidR="00553084" w:rsidRPr="00931D46" w:rsidRDefault="00553084" w:rsidP="0023353F">
      <w:pPr>
        <w:spacing w:before="0" w:after="0"/>
        <w:rPr>
          <w:rFonts w:ascii="Arial" w:hAnsi="Arial" w:cs="Arial"/>
        </w:rPr>
      </w:pPr>
      <w:r w:rsidRPr="00931D46">
        <w:rPr>
          <w:rFonts w:ascii="Arial" w:hAnsi="Arial" w:cs="Arial"/>
        </w:rPr>
        <w:t xml:space="preserve">Bajo este enfoque, se consideran como participantes del mercado aquellos AE que no participan actualmente en el MR pero que muy probablemente comenzarían a suministrar en caso de un </w:t>
      </w:r>
      <w:r w:rsidRPr="00931D46">
        <w:rPr>
          <w:rFonts w:ascii="Arial" w:eastAsia="Times New Roman" w:hAnsi="Arial" w:cs="Arial"/>
          <w:bCs/>
          <w:kern w:val="1"/>
          <w:lang w:eastAsia="ar-SA"/>
        </w:rPr>
        <w:t xml:space="preserve">incremento no transitorio en el precio, </w:t>
      </w:r>
      <w:r w:rsidRPr="00931D46">
        <w:rPr>
          <w:rFonts w:ascii="Arial" w:hAnsi="Arial" w:cs="Arial"/>
        </w:rPr>
        <w:t>rápidamente y sin incurrir en costos hundidos significativos (p</w:t>
      </w:r>
      <w:r w:rsidR="00C22779" w:rsidRPr="00931D46">
        <w:rPr>
          <w:rFonts w:ascii="Arial" w:hAnsi="Arial" w:cs="Arial"/>
        </w:rPr>
        <w:t xml:space="preserve">or </w:t>
      </w:r>
      <w:r w:rsidRPr="00931D46">
        <w:rPr>
          <w:rFonts w:ascii="Arial" w:hAnsi="Arial" w:cs="Arial"/>
        </w:rPr>
        <w:t>ej</w:t>
      </w:r>
      <w:r w:rsidR="00C22779" w:rsidRPr="00931D46">
        <w:rPr>
          <w:rFonts w:ascii="Arial" w:hAnsi="Arial" w:cs="Arial"/>
        </w:rPr>
        <w:t>emplo,</w:t>
      </w:r>
      <w:r w:rsidRPr="00931D46">
        <w:rPr>
          <w:rFonts w:ascii="Arial" w:hAnsi="Arial" w:cs="Arial"/>
        </w:rPr>
        <w:t xml:space="preserve"> los AE que ya producen el </w:t>
      </w:r>
      <w:r w:rsidR="00330363">
        <w:rPr>
          <w:rFonts w:ascii="Arial" w:hAnsi="Arial" w:cs="Arial"/>
        </w:rPr>
        <w:t>producto</w:t>
      </w:r>
      <w:r w:rsidRPr="00931D46">
        <w:rPr>
          <w:rFonts w:ascii="Arial" w:hAnsi="Arial" w:cs="Arial"/>
        </w:rPr>
        <w:t xml:space="preserve"> relevante pero no lo venden en el mercado geográfico relevante o las empresas que poseen una capacidad ociosa eficiente, que pueden abastecer rápidamente y de manera rentable el MR). Estas empresas se denominan “</w:t>
      </w:r>
      <w:r w:rsidR="007A6FCD">
        <w:rPr>
          <w:rFonts w:ascii="Arial" w:hAnsi="Arial" w:cs="Arial"/>
          <w:i/>
        </w:rPr>
        <w:t>entrantes</w:t>
      </w:r>
      <w:r w:rsidRPr="00931D46">
        <w:rPr>
          <w:rFonts w:ascii="Arial" w:hAnsi="Arial" w:cs="Arial"/>
          <w:i/>
        </w:rPr>
        <w:t xml:space="preserve"> rápidos</w:t>
      </w:r>
      <w:r w:rsidRPr="00931D46">
        <w:rPr>
          <w:rFonts w:ascii="Arial" w:hAnsi="Arial" w:cs="Arial"/>
        </w:rPr>
        <w:t xml:space="preserve">”. </w:t>
      </w:r>
      <w:r w:rsidR="00EA61C7" w:rsidRPr="00931D46">
        <w:rPr>
          <w:rFonts w:ascii="Arial" w:hAnsi="Arial" w:cs="Arial"/>
        </w:rPr>
        <w:t xml:space="preserve">Respecto a la entrada de AE que lo harían </w:t>
      </w:r>
      <w:r w:rsidRPr="00931D46">
        <w:rPr>
          <w:rFonts w:ascii="Arial" w:hAnsi="Arial" w:cs="Arial"/>
        </w:rPr>
        <w:t xml:space="preserve">más lentamente o </w:t>
      </w:r>
      <w:r w:rsidR="00EA61C7" w:rsidRPr="00931D46">
        <w:rPr>
          <w:rFonts w:ascii="Arial" w:hAnsi="Arial" w:cs="Arial"/>
        </w:rPr>
        <w:t>i</w:t>
      </w:r>
      <w:r w:rsidRPr="00931D46">
        <w:rPr>
          <w:rFonts w:ascii="Arial" w:hAnsi="Arial" w:cs="Arial"/>
        </w:rPr>
        <w:t>ncurr</w:t>
      </w:r>
      <w:r w:rsidR="00EA61C7" w:rsidRPr="00931D46">
        <w:rPr>
          <w:rFonts w:ascii="Arial" w:hAnsi="Arial" w:cs="Arial"/>
        </w:rPr>
        <w:t>iendo</w:t>
      </w:r>
      <w:r w:rsidRPr="00931D46">
        <w:rPr>
          <w:rFonts w:ascii="Arial" w:hAnsi="Arial" w:cs="Arial"/>
        </w:rPr>
        <w:t xml:space="preserve"> en costos hundidos significativos, se considera en el análisis de entrada.</w:t>
      </w:r>
    </w:p>
    <w:p w14:paraId="4673B85C" w14:textId="77777777" w:rsidR="00813E36" w:rsidRPr="00931D46" w:rsidRDefault="00813E36" w:rsidP="0023353F">
      <w:pPr>
        <w:spacing w:before="0" w:after="0"/>
        <w:rPr>
          <w:rFonts w:ascii="Arial" w:hAnsi="Arial" w:cs="Arial"/>
        </w:rPr>
      </w:pPr>
    </w:p>
    <w:p w14:paraId="607483CD" w14:textId="77777777" w:rsidR="00DE2E37" w:rsidRPr="00931D46" w:rsidRDefault="00DE2E37" w:rsidP="00EA5117">
      <w:pPr>
        <w:pStyle w:val="Ttulo2"/>
        <w:keepLines w:val="0"/>
        <w:numPr>
          <w:ilvl w:val="1"/>
          <w:numId w:val="3"/>
        </w:numPr>
        <w:spacing w:before="0" w:after="0"/>
        <w:rPr>
          <w:rFonts w:ascii="Arial" w:eastAsia="Times New Roman" w:hAnsi="Arial" w:cs="Arial"/>
          <w:sz w:val="26"/>
          <w:lang w:eastAsia="es-MX"/>
        </w:rPr>
      </w:pPr>
      <w:bookmarkStart w:id="44" w:name="_Toc45628319"/>
      <w:bookmarkStart w:id="45" w:name="_Toc74306766"/>
      <w:bookmarkStart w:id="46" w:name="_Toc74323822"/>
      <w:r w:rsidRPr="00931D46">
        <w:rPr>
          <w:rFonts w:ascii="Arial" w:eastAsia="Times New Roman" w:hAnsi="Arial" w:cs="Arial"/>
          <w:sz w:val="26"/>
          <w:lang w:eastAsia="es-MX"/>
        </w:rPr>
        <w:t>Disposiciones legales en México</w:t>
      </w:r>
      <w:bookmarkEnd w:id="44"/>
      <w:bookmarkEnd w:id="45"/>
      <w:bookmarkEnd w:id="46"/>
    </w:p>
    <w:p w14:paraId="70F13C44" w14:textId="77777777" w:rsidR="00DE2E37" w:rsidRPr="00931D46" w:rsidRDefault="00DE2E37" w:rsidP="00EA5117">
      <w:pPr>
        <w:keepNext/>
        <w:spacing w:before="0" w:after="0"/>
        <w:rPr>
          <w:rFonts w:ascii="Arial" w:hAnsi="Arial" w:cs="Arial"/>
        </w:rPr>
      </w:pPr>
    </w:p>
    <w:p w14:paraId="71A1F303" w14:textId="77777777" w:rsidR="005D30D4" w:rsidRPr="00931D46" w:rsidRDefault="005D30D4" w:rsidP="0023353F">
      <w:pPr>
        <w:spacing w:before="0" w:after="0"/>
        <w:rPr>
          <w:rFonts w:ascii="Arial" w:eastAsia="Calibri" w:hAnsi="Arial" w:cs="Arial"/>
        </w:rPr>
      </w:pPr>
      <w:r w:rsidRPr="00931D46">
        <w:rPr>
          <w:rFonts w:ascii="Arial" w:hAnsi="Arial" w:cs="Arial"/>
        </w:rPr>
        <w:t>En México, la</w:t>
      </w:r>
      <w:r w:rsidRPr="00931D46">
        <w:rPr>
          <w:rFonts w:ascii="Arial" w:eastAsia="Calibri" w:hAnsi="Arial" w:cs="Arial"/>
        </w:rPr>
        <w:t xml:space="preserve"> LFCE en su artículo 58 proporciona una lista de criterios que deberán considerarse para la determinación de un MR, entre los que se encuentran:</w:t>
      </w:r>
    </w:p>
    <w:p w14:paraId="6CF4B319" w14:textId="77777777" w:rsidR="0023353F" w:rsidRPr="00931D46" w:rsidRDefault="0023353F" w:rsidP="0023353F">
      <w:pPr>
        <w:spacing w:before="0" w:after="0"/>
        <w:rPr>
          <w:rFonts w:ascii="Arial" w:eastAsia="Calibri" w:hAnsi="Arial" w:cs="Arial"/>
        </w:rPr>
      </w:pPr>
    </w:p>
    <w:p w14:paraId="0287AD6A" w14:textId="2C129A97" w:rsidR="005D30D4" w:rsidRPr="00931D46" w:rsidRDefault="001D3513" w:rsidP="00387F4D">
      <w:pPr>
        <w:pStyle w:val="Prrafodelista"/>
        <w:numPr>
          <w:ilvl w:val="0"/>
          <w:numId w:val="6"/>
        </w:numPr>
        <w:tabs>
          <w:tab w:val="left" w:pos="2480"/>
        </w:tabs>
        <w:spacing w:before="0" w:after="0"/>
        <w:ind w:left="709" w:hanging="567"/>
        <w:contextualSpacing w:val="0"/>
        <w:rPr>
          <w:rFonts w:ascii="Arial" w:eastAsia="Calibri" w:hAnsi="Arial" w:cs="Arial"/>
        </w:rPr>
      </w:pPr>
      <w:r w:rsidRPr="00931D46">
        <w:rPr>
          <w:rFonts w:ascii="Arial" w:eastAsia="Calibri" w:hAnsi="Arial" w:cs="Arial"/>
        </w:rPr>
        <w:t xml:space="preserve">Las posibilidades de sustituir el </w:t>
      </w:r>
      <w:r w:rsidR="00330363">
        <w:rPr>
          <w:rFonts w:ascii="Arial" w:eastAsia="Calibri" w:hAnsi="Arial" w:cs="Arial"/>
        </w:rPr>
        <w:t>producto</w:t>
      </w:r>
      <w:r w:rsidR="00EA61C7" w:rsidRPr="00931D46">
        <w:rPr>
          <w:rFonts w:ascii="Arial" w:eastAsia="Calibri" w:hAnsi="Arial" w:cs="Arial"/>
        </w:rPr>
        <w:t xml:space="preserve"> de que se trate por otros</w:t>
      </w:r>
      <w:r w:rsidR="00EA61C7" w:rsidRPr="00931D46">
        <w:rPr>
          <w:rFonts w:ascii="Arial" w:hAnsi="Arial" w:cs="Arial"/>
        </w:rPr>
        <w:t>, tanto de origen nacional como extranjero</w:t>
      </w:r>
      <w:r w:rsidRPr="00931D46">
        <w:rPr>
          <w:rFonts w:ascii="Arial" w:hAnsi="Arial" w:cs="Arial"/>
        </w:rPr>
        <w:t>, considerando posibilidades tecnológicas, en qué medida los consumidores cuentan con sustitutos</w:t>
      </w:r>
      <w:r w:rsidRPr="00931D46">
        <w:rPr>
          <w:rFonts w:ascii="Arial" w:eastAsia="Calibri" w:hAnsi="Arial" w:cs="Arial"/>
        </w:rPr>
        <w:t xml:space="preserve"> y el tiempo</w:t>
      </w:r>
      <w:r w:rsidRPr="00931D46">
        <w:rPr>
          <w:rFonts w:ascii="Arial" w:hAnsi="Arial" w:cs="Arial"/>
        </w:rPr>
        <w:t xml:space="preserve"> requerido para tal</w:t>
      </w:r>
      <w:r w:rsidR="005D30D4" w:rsidRPr="00931D46">
        <w:rPr>
          <w:rFonts w:ascii="Arial" w:eastAsia="Calibri" w:hAnsi="Arial" w:cs="Arial"/>
        </w:rPr>
        <w:t xml:space="preserve"> sustitución,</w:t>
      </w:r>
    </w:p>
    <w:p w14:paraId="2A145B34" w14:textId="77777777" w:rsidR="00EA61C7" w:rsidRPr="00931D46" w:rsidRDefault="00EA61C7" w:rsidP="00387F4D">
      <w:pPr>
        <w:pStyle w:val="Prrafodelista"/>
        <w:numPr>
          <w:ilvl w:val="0"/>
          <w:numId w:val="6"/>
        </w:numPr>
        <w:tabs>
          <w:tab w:val="left" w:pos="2480"/>
        </w:tabs>
        <w:spacing w:before="0" w:after="0"/>
        <w:ind w:left="709" w:hanging="567"/>
        <w:contextualSpacing w:val="0"/>
        <w:rPr>
          <w:rFonts w:ascii="Arial" w:eastAsia="Calibri" w:hAnsi="Arial" w:cs="Arial"/>
        </w:rPr>
      </w:pPr>
      <w:r w:rsidRPr="00931D46">
        <w:rPr>
          <w:rFonts w:ascii="Arial" w:eastAsia="Calibri" w:hAnsi="Arial" w:cs="Arial"/>
        </w:rPr>
        <w:t xml:space="preserve">Los costos de distribución del bien mismo; de sus insumos relevantes; de sus complementos y de sustitutos desde otras regiones y del extranjero, teniendo en cuenta fletes, seguros, aranceles y restricciones no arancelarias, las restricciones </w:t>
      </w:r>
      <w:r w:rsidRPr="00931D46">
        <w:rPr>
          <w:rFonts w:ascii="Arial" w:hAnsi="Arial" w:cs="Arial"/>
        </w:rPr>
        <w:t xml:space="preserve">impuestas por los agentes económicos o por sus asociaciones y </w:t>
      </w:r>
      <w:r w:rsidRPr="00931D46">
        <w:rPr>
          <w:rFonts w:ascii="Arial" w:eastAsia="Calibri" w:hAnsi="Arial" w:cs="Arial"/>
        </w:rPr>
        <w:t>el tiempo requerido para abastecer el mercado desde esas regiones,</w:t>
      </w:r>
    </w:p>
    <w:p w14:paraId="69FBAD5C" w14:textId="77777777" w:rsidR="00EA61C7" w:rsidRPr="00931D46" w:rsidRDefault="00EA61C7" w:rsidP="00387F4D">
      <w:pPr>
        <w:pStyle w:val="Prrafodelista"/>
        <w:numPr>
          <w:ilvl w:val="0"/>
          <w:numId w:val="6"/>
        </w:numPr>
        <w:tabs>
          <w:tab w:val="left" w:pos="2480"/>
        </w:tabs>
        <w:spacing w:before="0" w:after="0"/>
        <w:ind w:left="709" w:hanging="567"/>
        <w:contextualSpacing w:val="0"/>
        <w:rPr>
          <w:rFonts w:ascii="Arial" w:eastAsia="Calibri" w:hAnsi="Arial" w:cs="Arial"/>
        </w:rPr>
      </w:pPr>
      <w:r w:rsidRPr="00931D46">
        <w:rPr>
          <w:rFonts w:ascii="Arial" w:eastAsia="Calibri" w:hAnsi="Arial" w:cs="Arial"/>
        </w:rPr>
        <w:t xml:space="preserve">Los costos y las probabilidades que tienen los usuarios o consumidores para acudir a otros mercados, y </w:t>
      </w:r>
    </w:p>
    <w:p w14:paraId="7736A099" w14:textId="77777777" w:rsidR="00EA61C7" w:rsidRPr="00931D46" w:rsidRDefault="00EA61C7" w:rsidP="00387F4D">
      <w:pPr>
        <w:pStyle w:val="Prrafodelista"/>
        <w:numPr>
          <w:ilvl w:val="0"/>
          <w:numId w:val="6"/>
        </w:numPr>
        <w:tabs>
          <w:tab w:val="left" w:pos="2480"/>
        </w:tabs>
        <w:spacing w:before="0" w:after="0"/>
        <w:ind w:left="709" w:hanging="567"/>
        <w:contextualSpacing w:val="0"/>
        <w:rPr>
          <w:rFonts w:ascii="Arial" w:eastAsia="Calibri" w:hAnsi="Arial" w:cs="Arial"/>
        </w:rPr>
      </w:pPr>
      <w:r w:rsidRPr="00931D46">
        <w:rPr>
          <w:rFonts w:ascii="Arial" w:eastAsia="Calibri" w:hAnsi="Arial" w:cs="Arial"/>
        </w:rPr>
        <w:t>Las restricciones normativas de carácter federal, local o internacional que limiten el acceso de usuarios o consumidores a fuentes alternativas, o el acceso de los proveedores a clientes alternativos</w:t>
      </w:r>
      <w:r w:rsidR="00EC07B2" w:rsidRPr="00931D46">
        <w:rPr>
          <w:rFonts w:ascii="Arial" w:eastAsia="Calibri" w:hAnsi="Arial" w:cs="Arial"/>
        </w:rPr>
        <w:t>.</w:t>
      </w:r>
    </w:p>
    <w:p w14:paraId="05BC094B" w14:textId="77777777" w:rsidR="00EA61C7" w:rsidRPr="00931D46" w:rsidRDefault="00EA61C7" w:rsidP="0023353F">
      <w:pPr>
        <w:spacing w:before="0" w:after="0"/>
        <w:rPr>
          <w:rFonts w:ascii="Arial" w:hAnsi="Arial" w:cs="Arial"/>
        </w:rPr>
      </w:pPr>
    </w:p>
    <w:p w14:paraId="19BD3187" w14:textId="37D60616" w:rsidR="00EA61C7" w:rsidRPr="00931D46" w:rsidRDefault="005D30D4" w:rsidP="0023353F">
      <w:pPr>
        <w:spacing w:before="0" w:after="0"/>
        <w:rPr>
          <w:rFonts w:ascii="Arial" w:hAnsi="Arial" w:cs="Arial"/>
        </w:rPr>
      </w:pPr>
      <w:r w:rsidRPr="00931D46">
        <w:rPr>
          <w:rFonts w:ascii="Arial" w:hAnsi="Arial" w:cs="Arial"/>
        </w:rPr>
        <w:t xml:space="preserve">Asimismo, el artículo 5 de las DRLFCE establece que para la determinación del MR se deben analizar las circunstancias particulares de cada caso, identificar los </w:t>
      </w:r>
      <w:r w:rsidR="00330363">
        <w:rPr>
          <w:rFonts w:ascii="Arial" w:hAnsi="Arial" w:cs="Arial"/>
        </w:rPr>
        <w:t>productos</w:t>
      </w:r>
      <w:r w:rsidRPr="00931D46">
        <w:rPr>
          <w:rFonts w:ascii="Arial" w:hAnsi="Arial" w:cs="Arial"/>
        </w:rPr>
        <w:t xml:space="preserve"> producidos, distribuidos, adquiridos, comercializados u ofrecidos y aquellos que los sustituyan o puedan sustituirlos oportunamente, así como delimitar el área geográfica en la que se ofrecen o demandan dichos </w:t>
      </w:r>
      <w:r w:rsidR="00330363">
        <w:rPr>
          <w:rFonts w:ascii="Arial" w:hAnsi="Arial" w:cs="Arial"/>
        </w:rPr>
        <w:t>productos</w:t>
      </w:r>
      <w:r w:rsidRPr="00931D46">
        <w:rPr>
          <w:rFonts w:ascii="Arial" w:hAnsi="Arial" w:cs="Arial"/>
        </w:rPr>
        <w:t xml:space="preserve"> y si en la misma existe la opción de acudir indistintamente a los proveedores o clientes sin incurrir en costos significativos.</w:t>
      </w:r>
    </w:p>
    <w:p w14:paraId="0A21D320" w14:textId="77777777" w:rsidR="00EA61C7" w:rsidRPr="00931D46" w:rsidRDefault="00EA61C7" w:rsidP="0023353F">
      <w:pPr>
        <w:spacing w:before="0" w:after="0"/>
        <w:rPr>
          <w:rFonts w:ascii="Arial" w:hAnsi="Arial" w:cs="Arial"/>
        </w:rPr>
      </w:pPr>
    </w:p>
    <w:p w14:paraId="4EAD2640" w14:textId="77777777" w:rsidR="00EA61C7" w:rsidRPr="00931D46" w:rsidRDefault="00EA61C7" w:rsidP="00942BD7">
      <w:pPr>
        <w:keepNext/>
        <w:numPr>
          <w:ilvl w:val="0"/>
          <w:numId w:val="42"/>
        </w:numPr>
        <w:spacing w:before="0" w:after="0"/>
        <w:ind w:left="1843" w:hanging="1134"/>
        <w:rPr>
          <w:rFonts w:ascii="Arial" w:hAnsi="Arial" w:cs="Arial"/>
          <w:b/>
          <w:iCs/>
          <w:color w:val="000000" w:themeColor="text1"/>
        </w:rPr>
      </w:pPr>
      <w:r w:rsidRPr="00931D46">
        <w:rPr>
          <w:rFonts w:ascii="Arial" w:hAnsi="Arial" w:cs="Arial"/>
          <w:b/>
        </w:rPr>
        <w:t>Disposiciones legales en México para la determinación del MR</w:t>
      </w:r>
    </w:p>
    <w:tbl>
      <w:tblPr>
        <w:tblStyle w:val="Tablaconcuadrcula"/>
        <w:tblW w:w="0" w:type="auto"/>
        <w:tblLayout w:type="fixed"/>
        <w:tblLook w:val="04A0" w:firstRow="1" w:lastRow="0" w:firstColumn="1" w:lastColumn="0" w:noHBand="0" w:noVBand="1"/>
      </w:tblPr>
      <w:tblGrid>
        <w:gridCol w:w="5098"/>
        <w:gridCol w:w="1134"/>
        <w:gridCol w:w="1276"/>
        <w:gridCol w:w="1080"/>
        <w:gridCol w:w="806"/>
      </w:tblGrid>
      <w:tr w:rsidR="00EA61C7" w:rsidRPr="00931D46" w14:paraId="53868EA9" w14:textId="77777777" w:rsidTr="00D342B7">
        <w:trPr>
          <w:trHeight w:val="170"/>
          <w:tblHeader/>
        </w:trPr>
        <w:tc>
          <w:tcPr>
            <w:tcW w:w="5098" w:type="dxa"/>
            <w:vMerge w:val="restart"/>
            <w:shd w:val="clear" w:color="auto" w:fill="92D050"/>
            <w:vAlign w:val="center"/>
          </w:tcPr>
          <w:p w14:paraId="63A144DB"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Artículo 58 de la LFCE</w:t>
            </w:r>
          </w:p>
        </w:tc>
        <w:tc>
          <w:tcPr>
            <w:tcW w:w="2410" w:type="dxa"/>
            <w:gridSpan w:val="2"/>
            <w:shd w:val="clear" w:color="auto" w:fill="92D050"/>
            <w:vAlign w:val="center"/>
          </w:tcPr>
          <w:p w14:paraId="3CDB7D12"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Dimensión</w:t>
            </w:r>
          </w:p>
        </w:tc>
        <w:tc>
          <w:tcPr>
            <w:tcW w:w="1886" w:type="dxa"/>
            <w:gridSpan w:val="2"/>
            <w:shd w:val="clear" w:color="auto" w:fill="92D050"/>
            <w:vAlign w:val="center"/>
          </w:tcPr>
          <w:p w14:paraId="4B59EA83"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Sustitución</w:t>
            </w:r>
          </w:p>
        </w:tc>
      </w:tr>
      <w:tr w:rsidR="00EA61C7" w:rsidRPr="00931D46" w14:paraId="03F59BB8" w14:textId="77777777" w:rsidTr="00D342B7">
        <w:trPr>
          <w:trHeight w:val="170"/>
          <w:tblHeader/>
        </w:trPr>
        <w:tc>
          <w:tcPr>
            <w:tcW w:w="5098" w:type="dxa"/>
            <w:vMerge/>
            <w:shd w:val="clear" w:color="auto" w:fill="92D050"/>
            <w:vAlign w:val="center"/>
          </w:tcPr>
          <w:p w14:paraId="6C1BD8E3" w14:textId="77777777" w:rsidR="00EA61C7" w:rsidRPr="00931D46" w:rsidRDefault="00EA61C7" w:rsidP="0023353F">
            <w:pPr>
              <w:tabs>
                <w:tab w:val="left" w:pos="2480"/>
              </w:tabs>
              <w:spacing w:line="276" w:lineRule="auto"/>
              <w:jc w:val="both"/>
              <w:rPr>
                <w:rFonts w:ascii="Arial" w:hAnsi="Arial" w:cs="Arial"/>
                <w:b/>
                <w:sz w:val="18"/>
                <w:szCs w:val="18"/>
              </w:rPr>
            </w:pPr>
          </w:p>
        </w:tc>
        <w:tc>
          <w:tcPr>
            <w:tcW w:w="1134" w:type="dxa"/>
            <w:shd w:val="clear" w:color="auto" w:fill="92D050"/>
            <w:vAlign w:val="center"/>
          </w:tcPr>
          <w:p w14:paraId="035C6119" w14:textId="77C156D7" w:rsidR="00EA61C7" w:rsidRPr="00931D46" w:rsidRDefault="00330363" w:rsidP="0023353F">
            <w:pPr>
              <w:tabs>
                <w:tab w:val="left" w:pos="2480"/>
              </w:tabs>
              <w:spacing w:line="276" w:lineRule="auto"/>
              <w:jc w:val="center"/>
              <w:rPr>
                <w:rFonts w:ascii="Arial" w:hAnsi="Arial" w:cs="Arial"/>
                <w:b/>
                <w:sz w:val="18"/>
                <w:szCs w:val="18"/>
              </w:rPr>
            </w:pPr>
            <w:r>
              <w:rPr>
                <w:rFonts w:ascii="Arial" w:hAnsi="Arial" w:cs="Arial"/>
                <w:b/>
                <w:sz w:val="18"/>
                <w:szCs w:val="18"/>
              </w:rPr>
              <w:t>Producto</w:t>
            </w:r>
          </w:p>
        </w:tc>
        <w:tc>
          <w:tcPr>
            <w:tcW w:w="1276" w:type="dxa"/>
            <w:shd w:val="clear" w:color="auto" w:fill="92D050"/>
            <w:vAlign w:val="center"/>
          </w:tcPr>
          <w:p w14:paraId="0A05AD77"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Geográfica</w:t>
            </w:r>
          </w:p>
        </w:tc>
        <w:tc>
          <w:tcPr>
            <w:tcW w:w="1080" w:type="dxa"/>
            <w:shd w:val="clear" w:color="auto" w:fill="92D050"/>
            <w:vAlign w:val="center"/>
          </w:tcPr>
          <w:p w14:paraId="16DC563F"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Demanda</w:t>
            </w:r>
          </w:p>
        </w:tc>
        <w:tc>
          <w:tcPr>
            <w:tcW w:w="806" w:type="dxa"/>
            <w:shd w:val="clear" w:color="auto" w:fill="92D050"/>
            <w:vAlign w:val="center"/>
          </w:tcPr>
          <w:p w14:paraId="1DE56237"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sz w:val="18"/>
                <w:szCs w:val="18"/>
              </w:rPr>
              <w:t>Oferta</w:t>
            </w:r>
          </w:p>
        </w:tc>
      </w:tr>
      <w:tr w:rsidR="00EA61C7" w:rsidRPr="00931D46" w14:paraId="3B87E1C0" w14:textId="77777777" w:rsidTr="00D342B7">
        <w:trPr>
          <w:trHeight w:val="170"/>
        </w:trPr>
        <w:tc>
          <w:tcPr>
            <w:tcW w:w="5098" w:type="dxa"/>
            <w:shd w:val="clear" w:color="auto" w:fill="auto"/>
          </w:tcPr>
          <w:p w14:paraId="00639D1E" w14:textId="77777777" w:rsidR="00EA61C7" w:rsidRPr="00931D46" w:rsidRDefault="00EA61C7" w:rsidP="00942BD7">
            <w:pPr>
              <w:pStyle w:val="Prrafodelista"/>
              <w:numPr>
                <w:ilvl w:val="0"/>
                <w:numId w:val="41"/>
              </w:numPr>
              <w:tabs>
                <w:tab w:val="left" w:pos="2480"/>
              </w:tabs>
              <w:spacing w:line="276" w:lineRule="auto"/>
              <w:ind w:left="743" w:hanging="567"/>
              <w:contextualSpacing w:val="0"/>
              <w:jc w:val="both"/>
              <w:rPr>
                <w:rFonts w:ascii="Arial" w:hAnsi="Arial" w:cs="Arial"/>
                <w:sz w:val="18"/>
                <w:szCs w:val="18"/>
              </w:rPr>
            </w:pPr>
            <w:r w:rsidRPr="00931D46">
              <w:rPr>
                <w:rFonts w:ascii="Arial" w:hAnsi="Arial" w:cs="Arial"/>
                <w:sz w:val="18"/>
                <w:szCs w:val="18"/>
              </w:rPr>
              <w:t>Las posibilidades de sustituir el bien o servicio de que se trate por otros, tanto de origen nacional como extranjero, considerando las posibilidades tecnológicas, en qué medida los consumidores cuentan con sustitutos y el tiempo requerido para tal sustitución</w:t>
            </w:r>
            <w:r w:rsidR="00817881" w:rsidRPr="00931D46">
              <w:rPr>
                <w:rFonts w:ascii="Arial" w:hAnsi="Arial" w:cs="Arial"/>
                <w:sz w:val="18"/>
                <w:szCs w:val="18"/>
              </w:rPr>
              <w:t>.</w:t>
            </w:r>
          </w:p>
        </w:tc>
        <w:tc>
          <w:tcPr>
            <w:tcW w:w="1134" w:type="dxa"/>
            <w:shd w:val="clear" w:color="auto" w:fill="auto"/>
            <w:vAlign w:val="center"/>
          </w:tcPr>
          <w:p w14:paraId="088F2F04"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780B58E2"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665DD9AA"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39743E54"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EA61C7" w:rsidRPr="00931D46" w14:paraId="3E409CA8" w14:textId="77777777" w:rsidTr="00D342B7">
        <w:trPr>
          <w:trHeight w:val="170"/>
        </w:trPr>
        <w:tc>
          <w:tcPr>
            <w:tcW w:w="5098" w:type="dxa"/>
            <w:shd w:val="clear" w:color="auto" w:fill="auto"/>
          </w:tcPr>
          <w:p w14:paraId="66EC564B" w14:textId="77777777" w:rsidR="00EA61C7" w:rsidRPr="00931D46" w:rsidRDefault="00EA61C7" w:rsidP="00942BD7">
            <w:pPr>
              <w:pStyle w:val="Prrafodelista"/>
              <w:numPr>
                <w:ilvl w:val="0"/>
                <w:numId w:val="41"/>
              </w:numPr>
              <w:tabs>
                <w:tab w:val="left" w:pos="2480"/>
              </w:tabs>
              <w:spacing w:line="276" w:lineRule="auto"/>
              <w:ind w:left="743" w:hanging="567"/>
              <w:contextualSpacing w:val="0"/>
              <w:jc w:val="both"/>
              <w:rPr>
                <w:rFonts w:ascii="Arial" w:hAnsi="Arial" w:cs="Arial"/>
                <w:sz w:val="18"/>
                <w:szCs w:val="18"/>
              </w:rPr>
            </w:pPr>
            <w:r w:rsidRPr="00931D46">
              <w:rPr>
                <w:rFonts w:ascii="Arial" w:hAnsi="Arial" w:cs="Arial"/>
                <w:sz w:val="18"/>
                <w:szCs w:val="18"/>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r w:rsidR="00817881" w:rsidRPr="00931D46">
              <w:rPr>
                <w:rFonts w:ascii="Arial" w:hAnsi="Arial" w:cs="Arial"/>
                <w:sz w:val="18"/>
                <w:szCs w:val="18"/>
              </w:rPr>
              <w:t>.</w:t>
            </w:r>
          </w:p>
        </w:tc>
        <w:tc>
          <w:tcPr>
            <w:tcW w:w="1134" w:type="dxa"/>
            <w:shd w:val="clear" w:color="auto" w:fill="auto"/>
            <w:vAlign w:val="center"/>
          </w:tcPr>
          <w:p w14:paraId="13B76965" w14:textId="77777777" w:rsidR="00EA61C7" w:rsidRPr="00931D46" w:rsidRDefault="00EA61C7" w:rsidP="0023353F">
            <w:pPr>
              <w:tabs>
                <w:tab w:val="left" w:pos="2480"/>
              </w:tabs>
              <w:spacing w:line="276" w:lineRule="auto"/>
              <w:jc w:val="center"/>
              <w:rPr>
                <w:rFonts w:ascii="Arial" w:hAnsi="Arial" w:cs="Arial"/>
                <w:sz w:val="18"/>
                <w:szCs w:val="18"/>
              </w:rPr>
            </w:pPr>
          </w:p>
        </w:tc>
        <w:tc>
          <w:tcPr>
            <w:tcW w:w="1276" w:type="dxa"/>
            <w:shd w:val="clear" w:color="auto" w:fill="auto"/>
            <w:vAlign w:val="center"/>
          </w:tcPr>
          <w:p w14:paraId="7E52FB9D"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508BB184"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p>
        </w:tc>
        <w:tc>
          <w:tcPr>
            <w:tcW w:w="806" w:type="dxa"/>
            <w:shd w:val="clear" w:color="auto" w:fill="auto"/>
            <w:vAlign w:val="center"/>
          </w:tcPr>
          <w:p w14:paraId="1A25FBFB"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EA61C7" w:rsidRPr="00931D46" w14:paraId="37044B86" w14:textId="77777777" w:rsidTr="00D342B7">
        <w:trPr>
          <w:trHeight w:val="170"/>
        </w:trPr>
        <w:tc>
          <w:tcPr>
            <w:tcW w:w="5098" w:type="dxa"/>
            <w:shd w:val="clear" w:color="auto" w:fill="auto"/>
          </w:tcPr>
          <w:p w14:paraId="4FC6B604" w14:textId="77777777" w:rsidR="00EA61C7" w:rsidRPr="00931D46" w:rsidRDefault="00EA61C7" w:rsidP="00942BD7">
            <w:pPr>
              <w:pStyle w:val="Prrafodelista"/>
              <w:numPr>
                <w:ilvl w:val="0"/>
                <w:numId w:val="41"/>
              </w:numPr>
              <w:tabs>
                <w:tab w:val="left" w:pos="2480"/>
              </w:tabs>
              <w:spacing w:line="276" w:lineRule="auto"/>
              <w:ind w:left="743" w:hanging="567"/>
              <w:contextualSpacing w:val="0"/>
              <w:jc w:val="both"/>
              <w:rPr>
                <w:rFonts w:ascii="Arial" w:hAnsi="Arial" w:cs="Arial"/>
                <w:sz w:val="18"/>
                <w:szCs w:val="18"/>
              </w:rPr>
            </w:pPr>
            <w:r w:rsidRPr="00931D46">
              <w:rPr>
                <w:rFonts w:ascii="Arial" w:hAnsi="Arial" w:cs="Arial"/>
                <w:sz w:val="18"/>
                <w:szCs w:val="18"/>
              </w:rPr>
              <w:t>Los costos y probabilidades que tienen los usuarios o consumidores para acudir a otros mercados</w:t>
            </w:r>
            <w:r w:rsidR="00817881" w:rsidRPr="00931D46">
              <w:rPr>
                <w:rFonts w:ascii="Arial" w:hAnsi="Arial" w:cs="Arial"/>
                <w:sz w:val="18"/>
                <w:szCs w:val="18"/>
              </w:rPr>
              <w:t>.</w:t>
            </w:r>
          </w:p>
        </w:tc>
        <w:tc>
          <w:tcPr>
            <w:tcW w:w="1134" w:type="dxa"/>
            <w:shd w:val="clear" w:color="auto" w:fill="auto"/>
            <w:vAlign w:val="center"/>
          </w:tcPr>
          <w:p w14:paraId="1541A141" w14:textId="77777777" w:rsidR="00EA61C7" w:rsidRPr="00931D46" w:rsidRDefault="00EA61C7" w:rsidP="0023353F">
            <w:pPr>
              <w:tabs>
                <w:tab w:val="left" w:pos="2480"/>
              </w:tabs>
              <w:spacing w:line="276" w:lineRule="auto"/>
              <w:jc w:val="center"/>
              <w:rPr>
                <w:rFonts w:ascii="Arial" w:hAnsi="Arial" w:cs="Arial"/>
                <w:sz w:val="18"/>
                <w:szCs w:val="18"/>
              </w:rPr>
            </w:pPr>
          </w:p>
        </w:tc>
        <w:tc>
          <w:tcPr>
            <w:tcW w:w="1276" w:type="dxa"/>
            <w:shd w:val="clear" w:color="auto" w:fill="auto"/>
            <w:vAlign w:val="center"/>
          </w:tcPr>
          <w:p w14:paraId="11D40060"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0D1F1A7A"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7D476540"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p>
        </w:tc>
      </w:tr>
      <w:tr w:rsidR="00EA61C7" w:rsidRPr="00931D46" w14:paraId="50B321FB" w14:textId="77777777" w:rsidTr="00D342B7">
        <w:trPr>
          <w:trHeight w:val="170"/>
        </w:trPr>
        <w:tc>
          <w:tcPr>
            <w:tcW w:w="5098" w:type="dxa"/>
            <w:shd w:val="clear" w:color="auto" w:fill="auto"/>
          </w:tcPr>
          <w:p w14:paraId="3AD23683" w14:textId="77777777" w:rsidR="00EA61C7" w:rsidRPr="00931D46" w:rsidRDefault="00EA61C7" w:rsidP="00942BD7">
            <w:pPr>
              <w:pStyle w:val="Prrafodelista"/>
              <w:numPr>
                <w:ilvl w:val="0"/>
                <w:numId w:val="41"/>
              </w:numPr>
              <w:tabs>
                <w:tab w:val="left" w:pos="2480"/>
              </w:tabs>
              <w:spacing w:line="276" w:lineRule="auto"/>
              <w:ind w:left="743" w:hanging="567"/>
              <w:contextualSpacing w:val="0"/>
              <w:jc w:val="both"/>
              <w:rPr>
                <w:rFonts w:ascii="Arial" w:hAnsi="Arial" w:cs="Arial"/>
                <w:sz w:val="18"/>
                <w:szCs w:val="18"/>
              </w:rPr>
            </w:pPr>
            <w:r w:rsidRPr="00931D46">
              <w:rPr>
                <w:rFonts w:ascii="Arial" w:hAnsi="Arial" w:cs="Arial"/>
                <w:sz w:val="18"/>
                <w:szCs w:val="18"/>
              </w:rPr>
              <w:t>Las restricciones normativas de carácter federal, local o internacional que limiten el acceso de usuarios o consumidores a fuentes de abasto alternativas, o el acceso de los proveedores a clientes alternativos</w:t>
            </w:r>
            <w:r w:rsidR="00817881" w:rsidRPr="00931D46">
              <w:rPr>
                <w:rFonts w:ascii="Arial" w:hAnsi="Arial" w:cs="Arial"/>
                <w:sz w:val="18"/>
                <w:szCs w:val="18"/>
              </w:rPr>
              <w:t>.</w:t>
            </w:r>
          </w:p>
        </w:tc>
        <w:tc>
          <w:tcPr>
            <w:tcW w:w="1134" w:type="dxa"/>
            <w:shd w:val="clear" w:color="auto" w:fill="auto"/>
            <w:vAlign w:val="center"/>
          </w:tcPr>
          <w:p w14:paraId="2D820978" w14:textId="77777777" w:rsidR="00EA61C7" w:rsidRPr="00931D46" w:rsidRDefault="002617AF" w:rsidP="0023353F">
            <w:pPr>
              <w:tabs>
                <w:tab w:val="left" w:pos="2480"/>
              </w:tabs>
              <w:spacing w:line="276" w:lineRule="auto"/>
              <w:jc w:val="center"/>
              <w:rPr>
                <w:rFonts w:ascii="Arial" w:hAnsi="Arial" w:cs="Arial"/>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70B21E2D"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7C3C9F87"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3CC0EF8F"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r w:rsidR="00EA61C7" w:rsidRPr="00931D46" w14:paraId="5C3FD13B" w14:textId="77777777" w:rsidTr="00D342B7">
        <w:trPr>
          <w:trHeight w:val="170"/>
        </w:trPr>
        <w:tc>
          <w:tcPr>
            <w:tcW w:w="5098" w:type="dxa"/>
            <w:shd w:val="clear" w:color="auto" w:fill="auto"/>
          </w:tcPr>
          <w:p w14:paraId="032B7CA5" w14:textId="77777777" w:rsidR="00EA61C7" w:rsidRPr="00931D46" w:rsidRDefault="00EA61C7" w:rsidP="00942BD7">
            <w:pPr>
              <w:pStyle w:val="Prrafodelista"/>
              <w:numPr>
                <w:ilvl w:val="0"/>
                <w:numId w:val="41"/>
              </w:numPr>
              <w:tabs>
                <w:tab w:val="left" w:pos="2480"/>
              </w:tabs>
              <w:spacing w:line="276" w:lineRule="auto"/>
              <w:ind w:left="743" w:hanging="567"/>
              <w:contextualSpacing w:val="0"/>
              <w:jc w:val="both"/>
              <w:rPr>
                <w:rFonts w:ascii="Arial" w:hAnsi="Arial" w:cs="Arial"/>
                <w:sz w:val="18"/>
                <w:szCs w:val="18"/>
              </w:rPr>
            </w:pPr>
            <w:r w:rsidRPr="00931D46">
              <w:rPr>
                <w:rFonts w:ascii="Arial" w:hAnsi="Arial" w:cs="Arial"/>
                <w:sz w:val="18"/>
                <w:szCs w:val="18"/>
              </w:rPr>
              <w:t>(art 5 de las DRLFCE) Las circunstancias particulares de cada caso, identificar los bienes o servicios producidos, distribuidos, adquiridos, comercializados u ofrecidos y aquellos que los sustituyan o puedan sustituirlos oportunamente, así como delimitar el área geográfica en la que se ofrecen o demandan dichos bienes o servicios y si en la misma existe la opción de acudir indistintamente a los proveedores o clientes sin incurrir en costos significativos</w:t>
            </w:r>
            <w:r w:rsidR="00817881" w:rsidRPr="00931D46">
              <w:rPr>
                <w:rFonts w:ascii="Arial" w:hAnsi="Arial" w:cs="Arial"/>
                <w:sz w:val="18"/>
                <w:szCs w:val="18"/>
              </w:rPr>
              <w:t>.</w:t>
            </w:r>
          </w:p>
        </w:tc>
        <w:tc>
          <w:tcPr>
            <w:tcW w:w="1134" w:type="dxa"/>
            <w:shd w:val="clear" w:color="auto" w:fill="auto"/>
            <w:vAlign w:val="center"/>
          </w:tcPr>
          <w:p w14:paraId="36596CFB" w14:textId="77777777" w:rsidR="00EA61C7" w:rsidRPr="00931D46" w:rsidRDefault="00EA61C7" w:rsidP="0023353F">
            <w:pPr>
              <w:tabs>
                <w:tab w:val="left" w:pos="2480"/>
              </w:tabs>
              <w:spacing w:line="276" w:lineRule="auto"/>
              <w:jc w:val="center"/>
              <w:rPr>
                <w:rFonts w:ascii="Arial" w:hAnsi="Arial" w:cs="Arial"/>
                <w:b/>
                <w:sz w:val="18"/>
                <w:szCs w:val="18"/>
              </w:rPr>
            </w:pPr>
            <w:r w:rsidRPr="00931D46">
              <w:rPr>
                <w:rFonts w:ascii="Arial" w:hAnsi="Arial" w:cs="Arial"/>
                <w:b/>
                <w:color w:val="70AD47" w:themeColor="accent6"/>
                <w:sz w:val="18"/>
                <w:szCs w:val="18"/>
              </w:rPr>
              <w:sym w:font="Wingdings" w:char="F0FC"/>
            </w:r>
          </w:p>
        </w:tc>
        <w:tc>
          <w:tcPr>
            <w:tcW w:w="1276" w:type="dxa"/>
            <w:shd w:val="clear" w:color="auto" w:fill="auto"/>
            <w:vAlign w:val="center"/>
          </w:tcPr>
          <w:p w14:paraId="1FB6A504"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1080" w:type="dxa"/>
            <w:shd w:val="clear" w:color="auto" w:fill="auto"/>
            <w:vAlign w:val="center"/>
          </w:tcPr>
          <w:p w14:paraId="3CE54E0A"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c>
          <w:tcPr>
            <w:tcW w:w="806" w:type="dxa"/>
            <w:shd w:val="clear" w:color="auto" w:fill="auto"/>
            <w:vAlign w:val="center"/>
          </w:tcPr>
          <w:p w14:paraId="43EFA954" w14:textId="77777777" w:rsidR="00EA61C7" w:rsidRPr="00931D46" w:rsidRDefault="00EA61C7" w:rsidP="0023353F">
            <w:pPr>
              <w:tabs>
                <w:tab w:val="left" w:pos="2480"/>
              </w:tabs>
              <w:spacing w:line="276" w:lineRule="auto"/>
              <w:jc w:val="center"/>
              <w:rPr>
                <w:rFonts w:ascii="Arial" w:hAnsi="Arial" w:cs="Arial"/>
                <w:b/>
                <w:color w:val="70AD47" w:themeColor="accent6"/>
                <w:sz w:val="18"/>
                <w:szCs w:val="18"/>
              </w:rPr>
            </w:pPr>
            <w:r w:rsidRPr="00931D46">
              <w:rPr>
                <w:rFonts w:ascii="Arial" w:hAnsi="Arial" w:cs="Arial"/>
                <w:b/>
                <w:color w:val="70AD47" w:themeColor="accent6"/>
                <w:sz w:val="18"/>
                <w:szCs w:val="18"/>
              </w:rPr>
              <w:sym w:font="Wingdings" w:char="F0FC"/>
            </w:r>
          </w:p>
        </w:tc>
      </w:tr>
    </w:tbl>
    <w:p w14:paraId="174ABCD9" w14:textId="77777777" w:rsidR="00EA61C7" w:rsidRPr="00931D46" w:rsidRDefault="00EA61C7" w:rsidP="0023353F">
      <w:pPr>
        <w:tabs>
          <w:tab w:val="left" w:pos="2480"/>
        </w:tabs>
        <w:spacing w:before="0" w:after="0"/>
        <w:rPr>
          <w:rFonts w:ascii="Arial" w:hAnsi="Arial" w:cs="Arial"/>
          <w:highlight w:val="yellow"/>
        </w:rPr>
      </w:pPr>
      <w:r w:rsidRPr="00931D46">
        <w:rPr>
          <w:rFonts w:ascii="Arial" w:hAnsi="Arial" w:cs="Arial"/>
          <w:sz w:val="14"/>
        </w:rPr>
        <w:t>Fuente: Elaboración propia.</w:t>
      </w:r>
    </w:p>
    <w:p w14:paraId="293B8057" w14:textId="2472BC28" w:rsidR="00EA61C7" w:rsidRPr="00931D46" w:rsidRDefault="00EA61C7" w:rsidP="0023353F">
      <w:pPr>
        <w:tabs>
          <w:tab w:val="left" w:pos="2480"/>
        </w:tabs>
        <w:spacing w:before="0" w:after="0"/>
        <w:rPr>
          <w:rFonts w:ascii="Arial" w:hAnsi="Arial" w:cs="Arial"/>
          <w:highlight w:val="yellow"/>
        </w:rPr>
      </w:pPr>
    </w:p>
    <w:p w14:paraId="60A90AD1" w14:textId="1EA1E08E" w:rsidR="003C7933" w:rsidRPr="00931D46" w:rsidRDefault="003C7933" w:rsidP="0023353F">
      <w:pPr>
        <w:tabs>
          <w:tab w:val="left" w:pos="2480"/>
        </w:tabs>
        <w:spacing w:before="0" w:after="0"/>
        <w:rPr>
          <w:rFonts w:ascii="Arial" w:hAnsi="Arial" w:cs="Arial"/>
          <w:highlight w:val="yellow"/>
        </w:rPr>
      </w:pPr>
      <w:r w:rsidRPr="00931D46">
        <w:rPr>
          <w:rFonts w:ascii="Arial" w:hAnsi="Arial" w:cs="Arial"/>
        </w:rPr>
        <w:t>Como se observa, el marco legal mexicano establece consideraciones para la determinación del MR en sus dos dimensiones (</w:t>
      </w:r>
      <w:r w:rsidR="00330363">
        <w:rPr>
          <w:rFonts w:ascii="Arial" w:hAnsi="Arial" w:cs="Arial"/>
        </w:rPr>
        <w:t>producto</w:t>
      </w:r>
      <w:r w:rsidRPr="00931D46">
        <w:rPr>
          <w:rFonts w:ascii="Arial" w:hAnsi="Arial" w:cs="Arial"/>
        </w:rPr>
        <w:t xml:space="preserve"> y geográfica), que incluyen elementos asociados a la sustitución por el lado de la demanda y de la oferta.</w:t>
      </w:r>
    </w:p>
    <w:p w14:paraId="47F60470" w14:textId="77777777" w:rsidR="003C7933" w:rsidRPr="00931D46" w:rsidRDefault="003C7933" w:rsidP="0023353F">
      <w:pPr>
        <w:tabs>
          <w:tab w:val="left" w:pos="2480"/>
        </w:tabs>
        <w:spacing w:before="0" w:after="0"/>
        <w:rPr>
          <w:rFonts w:ascii="Arial" w:hAnsi="Arial" w:cs="Arial"/>
          <w:highlight w:val="yellow"/>
        </w:rPr>
      </w:pPr>
    </w:p>
    <w:p w14:paraId="3F2CD242" w14:textId="77777777" w:rsidR="00D559CF" w:rsidRPr="00931D46" w:rsidRDefault="00D559CF" w:rsidP="00415680">
      <w:pPr>
        <w:pStyle w:val="Ttulo1"/>
        <w:keepLines w:val="0"/>
        <w:numPr>
          <w:ilvl w:val="0"/>
          <w:numId w:val="3"/>
        </w:numPr>
        <w:spacing w:before="0"/>
        <w:rPr>
          <w:rFonts w:ascii="Arial" w:hAnsi="Arial" w:cs="Arial"/>
          <w:b/>
          <w:color w:val="auto"/>
          <w:sz w:val="26"/>
          <w:szCs w:val="26"/>
        </w:rPr>
      </w:pPr>
      <w:bookmarkStart w:id="47" w:name="_Toc74306767"/>
      <w:bookmarkStart w:id="48" w:name="_Toc74323823"/>
      <w:r w:rsidRPr="00931D46">
        <w:rPr>
          <w:rFonts w:ascii="Arial" w:hAnsi="Arial" w:cs="Arial"/>
          <w:b/>
          <w:color w:val="auto"/>
          <w:sz w:val="26"/>
          <w:szCs w:val="26"/>
        </w:rPr>
        <w:t>Herramientas y elementos para el análisis de sustitución</w:t>
      </w:r>
      <w:bookmarkEnd w:id="47"/>
      <w:bookmarkEnd w:id="48"/>
    </w:p>
    <w:p w14:paraId="358AF649" w14:textId="77777777" w:rsidR="00D559CF" w:rsidRPr="00931D46" w:rsidRDefault="00D559CF" w:rsidP="002C0DD4">
      <w:pPr>
        <w:spacing w:before="0" w:after="0"/>
        <w:rPr>
          <w:rFonts w:ascii="Arial" w:eastAsia="Times New Roman" w:hAnsi="Arial" w:cs="Arial"/>
          <w:lang w:eastAsia="es-MX"/>
        </w:rPr>
      </w:pPr>
    </w:p>
    <w:p w14:paraId="2F170CDC" w14:textId="4641E82E" w:rsidR="00A00AC0" w:rsidRPr="00931D46" w:rsidRDefault="00D559CF" w:rsidP="0023353F">
      <w:pPr>
        <w:spacing w:before="0" w:after="0"/>
        <w:rPr>
          <w:rFonts w:ascii="Arial" w:hAnsi="Arial" w:cs="Arial"/>
          <w:lang w:eastAsia="es-MX"/>
        </w:rPr>
      </w:pPr>
      <w:r w:rsidRPr="00931D46">
        <w:rPr>
          <w:rFonts w:ascii="Arial" w:hAnsi="Arial" w:cs="Arial"/>
          <w:lang w:eastAsia="es-MX"/>
        </w:rPr>
        <w:t>Existen distintas herramientas para llevar a cabo el análisis de sustitución</w:t>
      </w:r>
      <w:r w:rsidR="00FA41D9">
        <w:rPr>
          <w:rFonts w:ascii="Arial" w:hAnsi="Arial" w:cs="Arial"/>
          <w:lang w:eastAsia="es-MX"/>
        </w:rPr>
        <w:t>, las cuales</w:t>
      </w:r>
      <w:r w:rsidR="00A00AC0" w:rsidRPr="00931D46">
        <w:rPr>
          <w:rFonts w:ascii="Arial" w:hAnsi="Arial" w:cs="Arial"/>
          <w:lang w:eastAsia="es-MX"/>
        </w:rPr>
        <w:t xml:space="preserve"> proporcionan evidencia tanto cuantitativa como cualitativa sobre los patrones de sustitución que existen entre distintos </w:t>
      </w:r>
      <w:r w:rsidR="00330363">
        <w:rPr>
          <w:rFonts w:ascii="Arial" w:hAnsi="Arial" w:cs="Arial"/>
          <w:lang w:eastAsia="es-MX"/>
        </w:rPr>
        <w:t>productos</w:t>
      </w:r>
      <w:r w:rsidR="00A00AC0" w:rsidRPr="00931D46">
        <w:rPr>
          <w:rFonts w:ascii="Arial" w:hAnsi="Arial" w:cs="Arial"/>
          <w:lang w:eastAsia="es-MX"/>
        </w:rPr>
        <w:t xml:space="preserve"> y zonas geográficas</w:t>
      </w:r>
      <w:r w:rsidRPr="00931D46">
        <w:rPr>
          <w:rFonts w:ascii="Arial" w:hAnsi="Arial" w:cs="Arial"/>
          <w:lang w:eastAsia="es-MX"/>
        </w:rPr>
        <w:t>, tales como</w:t>
      </w:r>
      <w:r w:rsidR="00004516" w:rsidRPr="00931D46">
        <w:rPr>
          <w:rFonts w:ascii="Arial" w:hAnsi="Arial" w:cs="Arial"/>
          <w:lang w:eastAsia="es-MX"/>
        </w:rPr>
        <w:t>:</w:t>
      </w:r>
      <w:r w:rsidRPr="00931D46">
        <w:rPr>
          <w:rFonts w:ascii="Arial" w:hAnsi="Arial" w:cs="Arial"/>
          <w:lang w:eastAsia="es-MX"/>
        </w:rPr>
        <w:t xml:space="preserve"> la </w:t>
      </w:r>
      <w:r w:rsidR="00A00AC0" w:rsidRPr="00931D46">
        <w:rPr>
          <w:rFonts w:ascii="Arial" w:hAnsi="Arial" w:cs="Arial"/>
          <w:lang w:eastAsia="es-MX"/>
        </w:rPr>
        <w:t>P</w:t>
      </w:r>
      <w:r w:rsidRPr="00931D46">
        <w:rPr>
          <w:rFonts w:ascii="Arial" w:hAnsi="Arial" w:cs="Arial"/>
          <w:lang w:eastAsia="es-MX"/>
        </w:rPr>
        <w:t>rueba SSNIP</w:t>
      </w:r>
      <w:r w:rsidR="00592110">
        <w:rPr>
          <w:rFonts w:ascii="Arial" w:hAnsi="Arial" w:cs="Arial"/>
          <w:lang w:eastAsia="es-MX"/>
        </w:rPr>
        <w:t xml:space="preserve"> y el análisis de pérdida crítica</w:t>
      </w:r>
      <w:r w:rsidRPr="00931D46">
        <w:rPr>
          <w:rFonts w:ascii="Arial" w:hAnsi="Arial" w:cs="Arial"/>
          <w:lang w:eastAsia="es-MX"/>
        </w:rPr>
        <w:t>, análisis de características y funcionalidades, estudios de consumo</w:t>
      </w:r>
      <w:r w:rsidR="007D11B0" w:rsidRPr="00931D46">
        <w:rPr>
          <w:rFonts w:ascii="Arial" w:hAnsi="Arial" w:cs="Arial"/>
          <w:lang w:eastAsia="es-MX"/>
        </w:rPr>
        <w:t xml:space="preserve"> </w:t>
      </w:r>
      <w:r w:rsidR="00D75F94" w:rsidRPr="00931D46">
        <w:rPr>
          <w:rFonts w:ascii="Arial" w:hAnsi="Arial" w:cs="Arial"/>
          <w:lang w:eastAsia="es-MX"/>
        </w:rPr>
        <w:t>(</w:t>
      </w:r>
      <w:r w:rsidR="007D11B0" w:rsidRPr="00931D46">
        <w:rPr>
          <w:rFonts w:ascii="Arial" w:hAnsi="Arial" w:cs="Arial"/>
          <w:lang w:eastAsia="es-MX"/>
        </w:rPr>
        <w:t>que pueden ser derivados de encue</w:t>
      </w:r>
      <w:r w:rsidR="00F922A8" w:rsidRPr="00931D46">
        <w:rPr>
          <w:rFonts w:ascii="Arial" w:hAnsi="Arial" w:cs="Arial"/>
          <w:lang w:eastAsia="es-MX"/>
        </w:rPr>
        <w:t>s</w:t>
      </w:r>
      <w:r w:rsidR="007D11B0" w:rsidRPr="00931D46">
        <w:rPr>
          <w:rFonts w:ascii="Arial" w:hAnsi="Arial" w:cs="Arial"/>
          <w:lang w:eastAsia="es-MX"/>
        </w:rPr>
        <w:t>tas</w:t>
      </w:r>
      <w:r w:rsidR="00D75F94" w:rsidRPr="00931D46">
        <w:rPr>
          <w:rFonts w:ascii="Arial" w:hAnsi="Arial" w:cs="Arial"/>
          <w:lang w:eastAsia="es-MX"/>
        </w:rPr>
        <w:t>)</w:t>
      </w:r>
      <w:r w:rsidRPr="00931D46">
        <w:rPr>
          <w:rFonts w:ascii="Arial" w:hAnsi="Arial" w:cs="Arial"/>
          <w:lang w:eastAsia="es-MX"/>
        </w:rPr>
        <w:t>, herramientas econométricas</w:t>
      </w:r>
      <w:r w:rsidR="00A00AC0" w:rsidRPr="00931D46">
        <w:rPr>
          <w:rFonts w:ascii="Arial" w:hAnsi="Arial" w:cs="Arial"/>
          <w:lang w:eastAsia="es-MX"/>
        </w:rPr>
        <w:t xml:space="preserve"> (por ejemplo, análisis de correlación de precios, estimación de elasticidades y experimentos naturales)</w:t>
      </w:r>
      <w:r w:rsidRPr="00931D46">
        <w:rPr>
          <w:rFonts w:ascii="Arial" w:hAnsi="Arial" w:cs="Arial"/>
          <w:lang w:eastAsia="es-MX"/>
        </w:rPr>
        <w:t>, entre otras.</w:t>
      </w:r>
      <w:r w:rsidR="00A00AC0" w:rsidRPr="00931D46">
        <w:rPr>
          <w:rStyle w:val="Refdenotaalpie"/>
          <w:rFonts w:ascii="Arial" w:hAnsi="Arial" w:cs="Arial"/>
          <w:lang w:eastAsia="es-MX"/>
        </w:rPr>
        <w:footnoteReference w:id="40"/>
      </w:r>
    </w:p>
    <w:p w14:paraId="2255328F" w14:textId="77777777" w:rsidR="00A00AC0" w:rsidRPr="00931D46" w:rsidRDefault="00A00AC0" w:rsidP="0023353F">
      <w:pPr>
        <w:spacing w:before="0" w:after="0"/>
        <w:rPr>
          <w:rFonts w:ascii="Arial" w:hAnsi="Arial" w:cs="Arial"/>
          <w:lang w:eastAsia="es-MX"/>
        </w:rPr>
      </w:pPr>
    </w:p>
    <w:p w14:paraId="39815B3C" w14:textId="32055C45" w:rsidR="00D559CF" w:rsidRPr="00931D46" w:rsidRDefault="00D559CF" w:rsidP="0023353F">
      <w:pPr>
        <w:spacing w:before="0" w:after="0"/>
        <w:rPr>
          <w:rFonts w:ascii="Arial" w:hAnsi="Arial" w:cs="Arial"/>
          <w:i/>
          <w:lang w:eastAsia="es-MX"/>
        </w:rPr>
      </w:pPr>
      <w:r w:rsidRPr="00931D46">
        <w:rPr>
          <w:rFonts w:ascii="Arial" w:hAnsi="Arial" w:cs="Arial"/>
          <w:lang w:eastAsia="es-MX"/>
        </w:rPr>
        <w:t xml:space="preserve">Sin embargo, la </w:t>
      </w:r>
      <w:r w:rsidR="00FA41D9">
        <w:rPr>
          <w:rFonts w:ascii="Arial" w:hAnsi="Arial" w:cs="Arial"/>
          <w:lang w:eastAsia="es-MX"/>
        </w:rPr>
        <w:t xml:space="preserve">práctica internacional indica que la </w:t>
      </w:r>
      <w:r w:rsidRPr="00931D46">
        <w:rPr>
          <w:rFonts w:ascii="Arial" w:hAnsi="Arial" w:cs="Arial"/>
          <w:lang w:eastAsia="es-MX"/>
        </w:rPr>
        <w:t xml:space="preserve">aplicación de esas herramientas es totalmente casuística, pues depende de </w:t>
      </w:r>
      <w:r w:rsidR="00DD01C9" w:rsidRPr="00931D46">
        <w:rPr>
          <w:rFonts w:ascii="Arial" w:hAnsi="Arial" w:cs="Arial"/>
          <w:lang w:eastAsia="es-MX"/>
        </w:rPr>
        <w:t xml:space="preserve">las </w:t>
      </w:r>
      <w:r w:rsidRPr="00931D46">
        <w:rPr>
          <w:rFonts w:ascii="Arial" w:hAnsi="Arial" w:cs="Arial"/>
          <w:lang w:eastAsia="es-MX"/>
        </w:rPr>
        <w:t xml:space="preserve">particularidades y características del </w:t>
      </w:r>
      <w:r w:rsidR="00330363">
        <w:rPr>
          <w:rFonts w:ascii="Arial" w:hAnsi="Arial" w:cs="Arial"/>
          <w:lang w:eastAsia="es-MX"/>
        </w:rPr>
        <w:t>producto</w:t>
      </w:r>
      <w:r w:rsidRPr="00931D46">
        <w:rPr>
          <w:rFonts w:ascii="Arial" w:hAnsi="Arial" w:cs="Arial"/>
          <w:lang w:eastAsia="es-MX"/>
        </w:rPr>
        <w:t xml:space="preserve"> </w:t>
      </w:r>
      <w:r w:rsidR="00A00AC0" w:rsidRPr="00931D46">
        <w:rPr>
          <w:rFonts w:ascii="Arial" w:hAnsi="Arial" w:cs="Arial"/>
          <w:lang w:eastAsia="es-MX"/>
        </w:rPr>
        <w:t xml:space="preserve">y la región geográfica bajo </w:t>
      </w:r>
      <w:r w:rsidRPr="00931D46">
        <w:rPr>
          <w:rFonts w:ascii="Arial" w:hAnsi="Arial" w:cs="Arial"/>
          <w:lang w:eastAsia="es-MX"/>
        </w:rPr>
        <w:t>análisis</w:t>
      </w:r>
      <w:r w:rsidR="00A00AC0" w:rsidRPr="00931D46">
        <w:rPr>
          <w:rFonts w:ascii="Arial" w:hAnsi="Arial" w:cs="Arial"/>
          <w:lang w:eastAsia="es-MX"/>
        </w:rPr>
        <w:t xml:space="preserve">, </w:t>
      </w:r>
      <w:r w:rsidR="007D11B0" w:rsidRPr="00931D46">
        <w:rPr>
          <w:rFonts w:ascii="Arial" w:hAnsi="Arial" w:cs="Arial"/>
          <w:lang w:eastAsia="es-MX"/>
        </w:rPr>
        <w:t>y, particularmente</w:t>
      </w:r>
      <w:r w:rsidRPr="00931D46">
        <w:rPr>
          <w:rFonts w:ascii="Arial" w:hAnsi="Arial" w:cs="Arial"/>
          <w:lang w:eastAsia="es-MX"/>
        </w:rPr>
        <w:t xml:space="preserve"> de la información y evidencia</w:t>
      </w:r>
      <w:r w:rsidR="00A00AC0" w:rsidRPr="00931D46">
        <w:rPr>
          <w:rFonts w:ascii="Arial" w:hAnsi="Arial" w:cs="Arial"/>
          <w:lang w:eastAsia="es-MX"/>
        </w:rPr>
        <w:t xml:space="preserve"> disponible</w:t>
      </w:r>
      <w:r w:rsidR="001A37E5">
        <w:rPr>
          <w:rFonts w:ascii="Arial" w:hAnsi="Arial" w:cs="Arial"/>
          <w:lang w:eastAsia="es-MX"/>
        </w:rPr>
        <w:t>s</w:t>
      </w:r>
      <w:r w:rsidRPr="00931D46">
        <w:rPr>
          <w:rFonts w:ascii="Arial" w:hAnsi="Arial" w:cs="Arial"/>
          <w:lang w:eastAsia="es-MX"/>
        </w:rPr>
        <w:t xml:space="preserve">. En este sentido, la </w:t>
      </w:r>
      <w:r w:rsidRPr="0028114E">
        <w:rPr>
          <w:rFonts w:ascii="Arial" w:hAnsi="Arial" w:cs="Arial"/>
          <w:b/>
          <w:lang w:eastAsia="es-MX"/>
        </w:rPr>
        <w:t>CE</w:t>
      </w:r>
      <w:r w:rsidRPr="00931D46">
        <w:rPr>
          <w:rFonts w:ascii="Arial" w:hAnsi="Arial" w:cs="Arial"/>
          <w:lang w:eastAsia="es-MX"/>
        </w:rPr>
        <w:t xml:space="preserve"> señala que la delimitación de MR “</w:t>
      </w:r>
      <w:r w:rsidRPr="00931D46">
        <w:rPr>
          <w:rFonts w:ascii="Arial" w:hAnsi="Arial" w:cs="Arial"/>
          <w:i/>
          <w:lang w:eastAsia="es-MX"/>
        </w:rPr>
        <w:t xml:space="preserve">tendrá que basarse en varios criterios y diferentes elementos de apreciación, (…) </w:t>
      </w:r>
      <w:r w:rsidR="00A00AC0" w:rsidRPr="00931D46">
        <w:rPr>
          <w:rFonts w:ascii="Arial" w:hAnsi="Arial" w:cs="Arial"/>
          <w:lang w:eastAsia="es-MX"/>
        </w:rPr>
        <w:t>[siguiendo]</w:t>
      </w:r>
      <w:r w:rsidR="00A00AC0" w:rsidRPr="00931D46">
        <w:rPr>
          <w:rFonts w:ascii="Arial" w:hAnsi="Arial" w:cs="Arial"/>
          <w:i/>
          <w:lang w:eastAsia="es-MX"/>
        </w:rPr>
        <w:t xml:space="preserve"> un enfoque abierto, basándose </w:t>
      </w:r>
      <w:r w:rsidRPr="00931D46">
        <w:rPr>
          <w:rFonts w:ascii="Arial" w:hAnsi="Arial" w:cs="Arial"/>
          <w:i/>
          <w:lang w:eastAsia="es-MX"/>
        </w:rPr>
        <w:t xml:space="preserve">en elementos empíricos, destinado a utilizar eficazmente toda la información disponible que pueda ser pertinente en un caso concreto </w:t>
      </w:r>
      <w:r w:rsidRPr="00931D46">
        <w:rPr>
          <w:rFonts w:ascii="Arial" w:hAnsi="Arial" w:cs="Arial"/>
          <w:lang w:eastAsia="es-MX"/>
        </w:rPr>
        <w:t>[y]</w:t>
      </w:r>
      <w:r w:rsidRPr="00931D46">
        <w:rPr>
          <w:rFonts w:ascii="Arial" w:hAnsi="Arial" w:cs="Arial"/>
          <w:i/>
          <w:lang w:eastAsia="es-MX"/>
        </w:rPr>
        <w:t xml:space="preserve"> no sigue un orden jerárquico rígido en la utilización de las distintas fuentes de información o de los diferentes tipos de elementos de apreciación.”</w:t>
      </w:r>
      <w:r w:rsidR="00A00AC0" w:rsidRPr="00931D46">
        <w:rPr>
          <w:rStyle w:val="Refdenotaalpie"/>
          <w:rFonts w:ascii="Arial" w:hAnsi="Arial" w:cs="Arial"/>
          <w:lang w:eastAsia="es-MX"/>
        </w:rPr>
        <w:footnoteReference w:id="41"/>
      </w:r>
    </w:p>
    <w:p w14:paraId="3295EAFC" w14:textId="77777777" w:rsidR="00B30280" w:rsidRPr="00931D46" w:rsidRDefault="00B30280" w:rsidP="0023353F">
      <w:pPr>
        <w:spacing w:before="0" w:after="0"/>
        <w:rPr>
          <w:rFonts w:ascii="Arial" w:hAnsi="Arial" w:cs="Arial"/>
          <w:lang w:eastAsia="es-MX"/>
        </w:rPr>
      </w:pPr>
    </w:p>
    <w:p w14:paraId="3C648563" w14:textId="77777777" w:rsidR="007D11B0" w:rsidRPr="00931D46" w:rsidRDefault="00B30280" w:rsidP="00B30280">
      <w:pPr>
        <w:spacing w:before="0" w:after="0"/>
        <w:rPr>
          <w:rFonts w:ascii="Arial" w:hAnsi="Arial" w:cs="Arial"/>
          <w:lang w:eastAsia="es-MX"/>
        </w:rPr>
      </w:pPr>
      <w:r w:rsidRPr="00931D46">
        <w:rPr>
          <w:rFonts w:ascii="Arial" w:hAnsi="Arial" w:cs="Arial"/>
          <w:lang w:eastAsia="es-MX"/>
        </w:rPr>
        <w:t xml:space="preserve">En el mismo sentido, la Guía de Concentraciones Horizontales de </w:t>
      </w:r>
      <w:r w:rsidRPr="0028114E">
        <w:rPr>
          <w:rFonts w:ascii="Arial" w:hAnsi="Arial" w:cs="Arial"/>
          <w:b/>
          <w:lang w:eastAsia="es-MX"/>
        </w:rPr>
        <w:t>Estados Unidos</w:t>
      </w:r>
      <w:r w:rsidR="00690C24" w:rsidRPr="0028114E">
        <w:rPr>
          <w:rFonts w:ascii="Arial" w:hAnsi="Arial" w:cs="Arial"/>
          <w:b/>
          <w:lang w:eastAsia="es-MX"/>
        </w:rPr>
        <w:t xml:space="preserve"> de América</w:t>
      </w:r>
      <w:r w:rsidRPr="00931D46">
        <w:rPr>
          <w:rFonts w:ascii="Arial" w:hAnsi="Arial" w:cs="Arial"/>
          <w:lang w:eastAsia="es-MX"/>
        </w:rPr>
        <w:t>, señala que “</w:t>
      </w:r>
      <w:r w:rsidRPr="00931D46">
        <w:rPr>
          <w:rFonts w:ascii="Arial" w:hAnsi="Arial" w:cs="Arial"/>
          <w:i/>
          <w:lang w:eastAsia="es-MX"/>
        </w:rPr>
        <w:t xml:space="preserve">[a]l considerar las probables respuestas de los clientes ante precios más altos, </w:t>
      </w:r>
      <w:r w:rsidRPr="00931D46">
        <w:rPr>
          <w:rFonts w:ascii="Arial" w:hAnsi="Arial" w:cs="Arial"/>
          <w:lang w:eastAsia="es-MX"/>
        </w:rPr>
        <w:t xml:space="preserve">[las autoridades de competencia] </w:t>
      </w:r>
      <w:r w:rsidRPr="00931D46">
        <w:rPr>
          <w:rFonts w:ascii="Arial" w:hAnsi="Arial" w:cs="Arial"/>
          <w:i/>
          <w:lang w:eastAsia="es-MX"/>
        </w:rPr>
        <w:t>tienen en cuenta cualquier evidencia razonablemente disponible y fiable</w:t>
      </w:r>
      <w:r w:rsidRPr="00931D46">
        <w:rPr>
          <w:rFonts w:ascii="Arial" w:hAnsi="Arial" w:cs="Arial"/>
          <w:lang w:eastAsia="es-MX"/>
        </w:rPr>
        <w:t>”.</w:t>
      </w:r>
      <w:r w:rsidRPr="00931D46">
        <w:rPr>
          <w:rFonts w:ascii="Arial" w:eastAsia="Times New Roman" w:hAnsi="Arial" w:cs="Arial"/>
          <w:vertAlign w:val="superscript"/>
          <w:lang w:val="en-US" w:eastAsia="es-MX"/>
        </w:rPr>
        <w:footnoteReference w:id="42"/>
      </w:r>
      <w:r w:rsidRPr="00931D46">
        <w:rPr>
          <w:rFonts w:ascii="Arial" w:hAnsi="Arial" w:cs="Arial"/>
          <w:lang w:eastAsia="es-MX"/>
        </w:rPr>
        <w:t xml:space="preserve"> </w:t>
      </w:r>
    </w:p>
    <w:p w14:paraId="775DF782" w14:textId="77777777" w:rsidR="007D11B0" w:rsidRPr="00931D46" w:rsidRDefault="007D11B0" w:rsidP="00B30280">
      <w:pPr>
        <w:spacing w:before="0" w:after="0"/>
        <w:rPr>
          <w:rFonts w:ascii="Arial" w:hAnsi="Arial" w:cs="Arial"/>
          <w:lang w:eastAsia="es-MX"/>
        </w:rPr>
      </w:pPr>
    </w:p>
    <w:p w14:paraId="6AED408B" w14:textId="77777777" w:rsidR="00B30280" w:rsidRPr="00931D46" w:rsidRDefault="00B30280" w:rsidP="00B30280">
      <w:pPr>
        <w:spacing w:before="0" w:after="0"/>
        <w:rPr>
          <w:rFonts w:ascii="Arial" w:hAnsi="Arial" w:cs="Arial"/>
          <w:lang w:eastAsia="es-MX"/>
        </w:rPr>
      </w:pPr>
      <w:r w:rsidRPr="00931D46">
        <w:rPr>
          <w:rFonts w:ascii="Arial" w:hAnsi="Arial" w:cs="Arial"/>
          <w:lang w:eastAsia="es-MX"/>
        </w:rPr>
        <w:t xml:space="preserve">Por su parte, la autoridad de competencia de </w:t>
      </w:r>
      <w:r w:rsidRPr="0028114E">
        <w:rPr>
          <w:rFonts w:ascii="Arial" w:hAnsi="Arial" w:cs="Arial"/>
          <w:b/>
          <w:lang w:eastAsia="es-MX"/>
        </w:rPr>
        <w:t>Reino Unido</w:t>
      </w:r>
      <w:r w:rsidRPr="00931D46">
        <w:rPr>
          <w:rFonts w:ascii="Arial" w:hAnsi="Arial" w:cs="Arial"/>
          <w:lang w:eastAsia="es-MX"/>
        </w:rPr>
        <w:t xml:space="preserve"> también ha señalado que “</w:t>
      </w:r>
      <w:r w:rsidRPr="00931D46">
        <w:rPr>
          <w:rFonts w:ascii="Arial" w:hAnsi="Arial" w:cs="Arial"/>
          <w:i/>
          <w:lang w:eastAsia="es-MX"/>
        </w:rPr>
        <w:t>puede considerarse evidencia de sustitución de varias fuentes diferentes</w:t>
      </w:r>
      <w:r w:rsidRPr="00931D46">
        <w:rPr>
          <w:rFonts w:ascii="Arial" w:hAnsi="Arial" w:cs="Arial"/>
          <w:lang w:eastAsia="es-MX"/>
        </w:rPr>
        <w:t>”, aunque “</w:t>
      </w:r>
      <w:r w:rsidRPr="00931D46">
        <w:rPr>
          <w:rFonts w:ascii="Arial" w:hAnsi="Arial" w:cs="Arial"/>
          <w:i/>
          <w:lang w:eastAsia="es-MX"/>
        </w:rPr>
        <w:t>la información utilizada variará de un caso a otro</w:t>
      </w:r>
      <w:r w:rsidRPr="00931D46">
        <w:rPr>
          <w:rFonts w:ascii="Arial" w:hAnsi="Arial" w:cs="Arial"/>
          <w:lang w:eastAsia="es-MX"/>
        </w:rPr>
        <w:t>”.</w:t>
      </w:r>
      <w:r w:rsidRPr="00931D46">
        <w:rPr>
          <w:rStyle w:val="Refdenotaalpie"/>
          <w:rFonts w:ascii="Arial" w:hAnsi="Arial" w:cs="Arial"/>
          <w:lang w:eastAsia="es-MX"/>
        </w:rPr>
        <w:footnoteReference w:id="43"/>
      </w:r>
    </w:p>
    <w:p w14:paraId="2AD1FA53" w14:textId="77777777" w:rsidR="00D559CF" w:rsidRPr="00931D46" w:rsidRDefault="00D559CF" w:rsidP="00C15E90">
      <w:pPr>
        <w:spacing w:before="0" w:after="0"/>
        <w:rPr>
          <w:rFonts w:ascii="Arial" w:eastAsia="Times New Roman" w:hAnsi="Arial" w:cs="Arial"/>
          <w:lang w:eastAsia="es-MX"/>
        </w:rPr>
      </w:pPr>
    </w:p>
    <w:p w14:paraId="547D164C" w14:textId="77777777" w:rsidR="00813E36" w:rsidRPr="00931D46" w:rsidRDefault="00B65A15" w:rsidP="005367D4">
      <w:pPr>
        <w:pStyle w:val="Ttulo2"/>
        <w:keepLines w:val="0"/>
        <w:numPr>
          <w:ilvl w:val="1"/>
          <w:numId w:val="3"/>
        </w:numPr>
        <w:spacing w:before="0" w:after="0"/>
        <w:rPr>
          <w:rFonts w:ascii="Arial" w:eastAsia="Times New Roman" w:hAnsi="Arial" w:cs="Arial"/>
          <w:sz w:val="26"/>
          <w:lang w:eastAsia="es-MX"/>
        </w:rPr>
      </w:pPr>
      <w:bookmarkStart w:id="49" w:name="_Toc45216572"/>
      <w:bookmarkStart w:id="50" w:name="_Toc45628321"/>
      <w:bookmarkStart w:id="51" w:name="_Toc74306768"/>
      <w:bookmarkStart w:id="52" w:name="_Toc74323824"/>
      <w:r w:rsidRPr="00931D46">
        <w:rPr>
          <w:rFonts w:ascii="Arial" w:eastAsia="Times New Roman" w:hAnsi="Arial" w:cs="Arial"/>
          <w:sz w:val="26"/>
          <w:lang w:eastAsia="es-MX"/>
        </w:rPr>
        <w:t>Pr</w:t>
      </w:r>
      <w:r w:rsidR="00467810" w:rsidRPr="00931D46">
        <w:rPr>
          <w:rFonts w:ascii="Arial" w:eastAsia="Times New Roman" w:hAnsi="Arial" w:cs="Arial"/>
          <w:sz w:val="26"/>
          <w:lang w:eastAsia="es-MX"/>
        </w:rPr>
        <w:t>ueba SSNIP</w:t>
      </w:r>
      <w:bookmarkEnd w:id="49"/>
      <w:bookmarkEnd w:id="50"/>
      <w:bookmarkEnd w:id="51"/>
      <w:bookmarkEnd w:id="52"/>
    </w:p>
    <w:p w14:paraId="5DCD3AC6" w14:textId="77777777" w:rsidR="00B65A15" w:rsidRPr="00931D46" w:rsidRDefault="00B65A15" w:rsidP="005367D4">
      <w:pPr>
        <w:keepNext/>
        <w:spacing w:before="0" w:after="0"/>
        <w:rPr>
          <w:rFonts w:ascii="Arial" w:hAnsi="Arial" w:cs="Arial"/>
          <w:highlight w:val="yellow"/>
          <w:lang w:eastAsia="es-MX"/>
        </w:rPr>
      </w:pPr>
    </w:p>
    <w:p w14:paraId="25549D9D" w14:textId="77777777" w:rsidR="002A0150" w:rsidRPr="00931D46" w:rsidRDefault="002A0150" w:rsidP="005367D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Descripción</w:t>
      </w:r>
      <w:r w:rsidR="00D17849" w:rsidRPr="00931D46">
        <w:rPr>
          <w:rFonts w:ascii="Arial" w:eastAsia="Times New Roman" w:hAnsi="Arial" w:cs="Arial"/>
          <w:b/>
          <w:color w:val="auto"/>
          <w:sz w:val="26"/>
          <w:szCs w:val="26"/>
          <w:lang w:eastAsia="es-MX"/>
        </w:rPr>
        <w:t xml:space="preserve"> y utilidad</w:t>
      </w:r>
    </w:p>
    <w:p w14:paraId="3A2F6827" w14:textId="77777777" w:rsidR="002A0150" w:rsidRPr="00931D46" w:rsidRDefault="002A0150" w:rsidP="005367D4">
      <w:pPr>
        <w:keepNext/>
        <w:spacing w:before="0" w:after="0"/>
        <w:rPr>
          <w:rFonts w:ascii="Arial" w:hAnsi="Arial" w:cs="Arial"/>
          <w:lang w:eastAsia="es-MX"/>
        </w:rPr>
      </w:pPr>
    </w:p>
    <w:p w14:paraId="47BB6B05" w14:textId="283DD7C7" w:rsidR="00245D88" w:rsidRPr="00931D46" w:rsidRDefault="00662B00" w:rsidP="00245D88">
      <w:pPr>
        <w:spacing w:before="0" w:after="0"/>
        <w:rPr>
          <w:rFonts w:ascii="Arial" w:hAnsi="Arial" w:cs="Arial"/>
          <w:lang w:eastAsia="es-MX"/>
        </w:rPr>
      </w:pPr>
      <w:r w:rsidRPr="00931D46">
        <w:rPr>
          <w:rFonts w:ascii="Arial" w:hAnsi="Arial" w:cs="Arial"/>
          <w:lang w:eastAsia="es-MX"/>
        </w:rPr>
        <w:t xml:space="preserve">La </w:t>
      </w:r>
      <w:r w:rsidR="002A0150" w:rsidRPr="00931D46">
        <w:rPr>
          <w:rFonts w:ascii="Arial" w:hAnsi="Arial" w:cs="Arial"/>
          <w:lang w:eastAsia="es-MX"/>
        </w:rPr>
        <w:t xml:space="preserve">Prueba </w:t>
      </w:r>
      <w:r w:rsidR="00B65A15" w:rsidRPr="00931D46">
        <w:rPr>
          <w:rFonts w:ascii="Arial" w:hAnsi="Arial" w:cs="Arial"/>
          <w:lang w:eastAsia="es-MX"/>
        </w:rPr>
        <w:t>SSNIP es un</w:t>
      </w:r>
      <w:r w:rsidR="006F62B4" w:rsidRPr="00931D46">
        <w:rPr>
          <w:rFonts w:ascii="Arial" w:hAnsi="Arial" w:cs="Arial"/>
          <w:lang w:eastAsia="es-MX"/>
        </w:rPr>
        <w:t>a</w:t>
      </w:r>
      <w:r w:rsidR="00B65A15" w:rsidRPr="00931D46">
        <w:rPr>
          <w:rFonts w:ascii="Arial" w:hAnsi="Arial" w:cs="Arial"/>
          <w:lang w:eastAsia="es-MX"/>
        </w:rPr>
        <w:t xml:space="preserve"> de l</w:t>
      </w:r>
      <w:r w:rsidR="006F62B4" w:rsidRPr="00931D46">
        <w:rPr>
          <w:rFonts w:ascii="Arial" w:hAnsi="Arial" w:cs="Arial"/>
          <w:lang w:eastAsia="es-MX"/>
        </w:rPr>
        <w:t>a</w:t>
      </w:r>
      <w:r w:rsidR="00B65A15" w:rsidRPr="00931D46">
        <w:rPr>
          <w:rFonts w:ascii="Arial" w:hAnsi="Arial" w:cs="Arial"/>
          <w:lang w:eastAsia="es-MX"/>
        </w:rPr>
        <w:t xml:space="preserve">s </w:t>
      </w:r>
      <w:r w:rsidR="006F62B4" w:rsidRPr="00931D46">
        <w:rPr>
          <w:rFonts w:ascii="Arial" w:hAnsi="Arial" w:cs="Arial"/>
          <w:lang w:eastAsia="es-MX"/>
        </w:rPr>
        <w:t>herramientas más utilizada</w:t>
      </w:r>
      <w:r w:rsidR="00B65A15" w:rsidRPr="00931D46">
        <w:rPr>
          <w:rFonts w:ascii="Arial" w:hAnsi="Arial" w:cs="Arial"/>
          <w:lang w:eastAsia="es-MX"/>
        </w:rPr>
        <w:t>s</w:t>
      </w:r>
      <w:r w:rsidR="006F62B4" w:rsidRPr="00931D46">
        <w:rPr>
          <w:rFonts w:ascii="Arial" w:hAnsi="Arial" w:cs="Arial"/>
          <w:lang w:eastAsia="es-MX"/>
        </w:rPr>
        <w:t xml:space="preserve"> </w:t>
      </w:r>
      <w:r w:rsidR="002A0150" w:rsidRPr="00931D46">
        <w:rPr>
          <w:rFonts w:ascii="Arial" w:hAnsi="Arial" w:cs="Arial"/>
          <w:lang w:eastAsia="es-MX"/>
        </w:rPr>
        <w:t xml:space="preserve">en la determinación del MR, pues proporciona un enfoque consistente para llevar a cabo el análisis de sustitución entre distintos </w:t>
      </w:r>
      <w:r w:rsidR="00330363">
        <w:rPr>
          <w:rFonts w:ascii="Arial" w:hAnsi="Arial" w:cs="Arial"/>
          <w:lang w:eastAsia="es-MX"/>
        </w:rPr>
        <w:t>productos</w:t>
      </w:r>
      <w:r w:rsidR="002A0150" w:rsidRPr="00931D46">
        <w:rPr>
          <w:rFonts w:ascii="Arial" w:hAnsi="Arial" w:cs="Arial"/>
          <w:lang w:eastAsia="es-MX"/>
        </w:rPr>
        <w:t xml:space="preserve"> y zonas geográficas.</w:t>
      </w:r>
      <w:r w:rsidR="002A0150" w:rsidRPr="00931D46">
        <w:rPr>
          <w:rStyle w:val="Refdenotaalpie"/>
          <w:rFonts w:ascii="Arial" w:hAnsi="Arial" w:cs="Arial"/>
          <w:lang w:eastAsia="es-MX"/>
        </w:rPr>
        <w:footnoteReference w:id="44"/>
      </w:r>
      <w:r w:rsidR="002A0150" w:rsidRPr="00931D46">
        <w:rPr>
          <w:rFonts w:ascii="Arial" w:hAnsi="Arial" w:cs="Arial"/>
          <w:lang w:eastAsia="es-MX"/>
        </w:rPr>
        <w:t xml:space="preserve"> La prueba </w:t>
      </w:r>
      <w:r w:rsidR="006F62B4" w:rsidRPr="00931D46">
        <w:rPr>
          <w:rFonts w:ascii="Arial" w:hAnsi="Arial" w:cs="Arial"/>
          <w:lang w:eastAsia="es-MX"/>
        </w:rPr>
        <w:t xml:space="preserve">consiste en analizar si </w:t>
      </w:r>
      <w:r w:rsidR="002A0150" w:rsidRPr="00931D46">
        <w:rPr>
          <w:rFonts w:ascii="Arial" w:hAnsi="Arial" w:cs="Arial"/>
          <w:lang w:eastAsia="es-MX"/>
        </w:rPr>
        <w:t xml:space="preserve">para </w:t>
      </w:r>
      <w:r w:rsidR="006F62B4" w:rsidRPr="00931D46">
        <w:rPr>
          <w:rFonts w:ascii="Arial" w:hAnsi="Arial" w:cs="Arial"/>
          <w:lang w:eastAsia="es-MX"/>
        </w:rPr>
        <w:t xml:space="preserve">un monopolista hipotético </w:t>
      </w:r>
      <w:r w:rsidR="002A0150" w:rsidRPr="00931D46">
        <w:rPr>
          <w:rFonts w:ascii="Arial" w:hAnsi="Arial" w:cs="Arial"/>
          <w:lang w:eastAsia="es-MX"/>
        </w:rPr>
        <w:t xml:space="preserve">sería rentable </w:t>
      </w:r>
      <w:r w:rsidR="006F62B4" w:rsidRPr="00931D46">
        <w:rPr>
          <w:rFonts w:ascii="Arial" w:hAnsi="Arial" w:cs="Arial"/>
          <w:lang w:eastAsia="es-MX"/>
        </w:rPr>
        <w:t xml:space="preserve">hacer pequeños </w:t>
      </w:r>
      <w:r w:rsidR="00155D15" w:rsidRPr="00931D46">
        <w:rPr>
          <w:rFonts w:ascii="Arial" w:hAnsi="Arial" w:cs="Arial"/>
          <w:lang w:eastAsia="es-MX"/>
        </w:rPr>
        <w:t xml:space="preserve">pero significativos </w:t>
      </w:r>
      <w:r w:rsidR="006F62B4" w:rsidRPr="00931D46">
        <w:rPr>
          <w:rFonts w:ascii="Arial" w:hAnsi="Arial" w:cs="Arial"/>
          <w:lang w:eastAsia="es-MX"/>
        </w:rPr>
        <w:t>incrementos en los precios de manera no transitoria</w:t>
      </w:r>
      <w:r w:rsidR="00245D88" w:rsidRPr="00931D46">
        <w:rPr>
          <w:rFonts w:ascii="Arial" w:hAnsi="Arial" w:cs="Arial"/>
          <w:lang w:eastAsia="es-MX"/>
        </w:rPr>
        <w:t xml:space="preserve"> (SSNIP, por sus siglas en inglés),</w:t>
      </w:r>
      <w:r w:rsidR="00245D88" w:rsidRPr="00931D46">
        <w:rPr>
          <w:rStyle w:val="Refdenotaalpie"/>
          <w:rFonts w:ascii="Arial" w:hAnsi="Arial" w:cs="Arial"/>
          <w:lang w:eastAsia="es-MX"/>
        </w:rPr>
        <w:footnoteReference w:id="45"/>
      </w:r>
      <w:r w:rsidR="00245D88" w:rsidRPr="00931D46">
        <w:rPr>
          <w:rFonts w:ascii="Arial" w:hAnsi="Arial" w:cs="Arial"/>
          <w:lang w:eastAsia="es-MX"/>
        </w:rPr>
        <w:t xml:space="preserve"> considerando:</w:t>
      </w:r>
      <w:r w:rsidR="002A0150" w:rsidRPr="00931D46">
        <w:rPr>
          <w:rFonts w:ascii="Arial" w:hAnsi="Arial" w:cs="Arial"/>
          <w:lang w:eastAsia="es-MX"/>
        </w:rPr>
        <w:t xml:space="preserve"> </w:t>
      </w:r>
    </w:p>
    <w:p w14:paraId="7C058A43" w14:textId="77777777" w:rsidR="00245D88" w:rsidRPr="00931D46" w:rsidRDefault="00245D88" w:rsidP="00245D88">
      <w:pPr>
        <w:spacing w:before="0" w:after="0"/>
        <w:rPr>
          <w:rFonts w:ascii="Arial" w:hAnsi="Arial" w:cs="Arial"/>
          <w:lang w:eastAsia="es-MX"/>
        </w:rPr>
      </w:pPr>
    </w:p>
    <w:p w14:paraId="7B96184F" w14:textId="556829A5" w:rsidR="00245D88" w:rsidRPr="00931D46" w:rsidRDefault="00245D88" w:rsidP="00942BD7">
      <w:pPr>
        <w:pStyle w:val="Prrafodelista"/>
        <w:numPr>
          <w:ilvl w:val="0"/>
          <w:numId w:val="57"/>
        </w:numPr>
        <w:spacing w:before="0" w:after="0"/>
        <w:ind w:left="709" w:hanging="567"/>
        <w:contextualSpacing w:val="0"/>
        <w:rPr>
          <w:rFonts w:ascii="Arial" w:hAnsi="Arial" w:cs="Arial"/>
          <w:lang w:eastAsia="es-MX"/>
        </w:rPr>
      </w:pPr>
      <w:r w:rsidRPr="00931D46">
        <w:rPr>
          <w:rFonts w:ascii="Arial" w:hAnsi="Arial" w:cs="Arial"/>
          <w:lang w:eastAsia="es-MX"/>
        </w:rPr>
        <w:t xml:space="preserve">La magnitud de la transferencia de demanda hacia </w:t>
      </w:r>
      <w:r w:rsidR="00330363">
        <w:rPr>
          <w:rFonts w:ascii="Arial" w:hAnsi="Arial" w:cs="Arial"/>
          <w:lang w:eastAsia="es-MX"/>
        </w:rPr>
        <w:t>productos</w:t>
      </w:r>
      <w:r w:rsidR="00633CBC" w:rsidRPr="00931D46">
        <w:rPr>
          <w:rFonts w:ascii="Arial" w:hAnsi="Arial" w:cs="Arial"/>
          <w:lang w:eastAsia="es-MX"/>
        </w:rPr>
        <w:t xml:space="preserve"> </w:t>
      </w:r>
      <w:r w:rsidRPr="00931D46">
        <w:rPr>
          <w:rFonts w:ascii="Arial" w:hAnsi="Arial" w:cs="Arial"/>
          <w:lang w:eastAsia="es-MX"/>
        </w:rPr>
        <w:t xml:space="preserve">sustitutos en respuesta al incremento en el precio (i.e. </w:t>
      </w:r>
      <w:r w:rsidR="0028114E">
        <w:rPr>
          <w:rFonts w:ascii="Arial" w:hAnsi="Arial" w:cs="Arial"/>
          <w:lang w:eastAsia="es-MX"/>
        </w:rPr>
        <w:t xml:space="preserve">la magnitud </w:t>
      </w:r>
      <w:r w:rsidRPr="00931D46">
        <w:rPr>
          <w:rFonts w:ascii="Arial" w:hAnsi="Arial" w:cs="Arial"/>
          <w:lang w:eastAsia="es-MX"/>
        </w:rPr>
        <w:t xml:space="preserve">de las restricciones competitivas que enfrenta por parte de otros </w:t>
      </w:r>
      <w:r w:rsidR="00330363">
        <w:rPr>
          <w:rFonts w:ascii="Arial" w:hAnsi="Arial" w:cs="Arial"/>
          <w:lang w:eastAsia="es-MX"/>
        </w:rPr>
        <w:t>productos</w:t>
      </w:r>
      <w:r w:rsidRPr="00931D46">
        <w:rPr>
          <w:rFonts w:ascii="Arial" w:hAnsi="Arial" w:cs="Arial"/>
          <w:lang w:eastAsia="es-MX"/>
        </w:rPr>
        <w:t xml:space="preserve">, o de proveedores ubicados en otras zonas geográficas a los que podría acudir la demanda), y </w:t>
      </w:r>
    </w:p>
    <w:p w14:paraId="482F8529" w14:textId="16B08DD7" w:rsidR="00245D88" w:rsidRPr="00931D46" w:rsidRDefault="00245D88" w:rsidP="00942BD7">
      <w:pPr>
        <w:pStyle w:val="Prrafodelista"/>
        <w:numPr>
          <w:ilvl w:val="0"/>
          <w:numId w:val="57"/>
        </w:numPr>
        <w:spacing w:before="0" w:after="0"/>
        <w:ind w:left="709" w:hanging="567"/>
        <w:contextualSpacing w:val="0"/>
        <w:rPr>
          <w:rFonts w:ascii="Arial" w:hAnsi="Arial" w:cs="Arial"/>
          <w:lang w:eastAsia="es-MX"/>
        </w:rPr>
      </w:pPr>
      <w:r w:rsidRPr="00931D46">
        <w:rPr>
          <w:rFonts w:ascii="Arial" w:hAnsi="Arial" w:cs="Arial"/>
          <w:lang w:eastAsia="es-MX"/>
        </w:rPr>
        <w:t xml:space="preserve">El cambio en el margen de utilidad, dado el incremento en el precio de los </w:t>
      </w:r>
      <w:r w:rsidR="00330363">
        <w:rPr>
          <w:rFonts w:ascii="Arial" w:hAnsi="Arial" w:cs="Arial"/>
          <w:lang w:eastAsia="es-MX"/>
        </w:rPr>
        <w:t>productos</w:t>
      </w:r>
      <w:r w:rsidRPr="00931D46">
        <w:rPr>
          <w:rFonts w:ascii="Arial" w:hAnsi="Arial" w:cs="Arial"/>
          <w:lang w:eastAsia="es-MX"/>
        </w:rPr>
        <w:t xml:space="preserve"> que comercializa. </w:t>
      </w:r>
    </w:p>
    <w:p w14:paraId="6214567A" w14:textId="77777777" w:rsidR="00245D88" w:rsidRPr="00931D46" w:rsidRDefault="00245D88" w:rsidP="00245D88">
      <w:pPr>
        <w:spacing w:before="0" w:after="0"/>
        <w:rPr>
          <w:rFonts w:ascii="Arial" w:hAnsi="Arial" w:cs="Arial"/>
          <w:lang w:eastAsia="es-MX"/>
        </w:rPr>
      </w:pPr>
    </w:p>
    <w:p w14:paraId="41466554" w14:textId="3E07F805" w:rsidR="00E8683B" w:rsidRPr="00330363" w:rsidRDefault="00804C4B" w:rsidP="0023353F">
      <w:pPr>
        <w:spacing w:before="0" w:after="0"/>
        <w:rPr>
          <w:rFonts w:ascii="Arial" w:hAnsi="Arial" w:cs="Arial"/>
          <w:lang w:eastAsia="es-MX"/>
        </w:rPr>
      </w:pPr>
      <w:r w:rsidRPr="00931D46">
        <w:rPr>
          <w:rFonts w:ascii="Arial" w:hAnsi="Arial" w:cs="Arial"/>
        </w:rPr>
        <w:t xml:space="preserve">La </w:t>
      </w:r>
      <w:r w:rsidRPr="00330363">
        <w:rPr>
          <w:rFonts w:ascii="Arial" w:hAnsi="Arial" w:cs="Arial"/>
        </w:rPr>
        <w:t>implementación de la</w:t>
      </w:r>
      <w:r w:rsidR="00582198" w:rsidRPr="00330363">
        <w:rPr>
          <w:rFonts w:ascii="Arial" w:hAnsi="Arial" w:cs="Arial"/>
        </w:rPr>
        <w:t xml:space="preserve"> prueba</w:t>
      </w:r>
      <w:r w:rsidR="00245D88" w:rsidRPr="00330363">
        <w:rPr>
          <w:rFonts w:ascii="Arial" w:hAnsi="Arial" w:cs="Arial"/>
        </w:rPr>
        <w:t>,</w:t>
      </w:r>
      <w:r w:rsidR="005171B6" w:rsidRPr="00330363">
        <w:rPr>
          <w:rFonts w:ascii="Arial" w:hAnsi="Arial" w:cs="Arial"/>
        </w:rPr>
        <w:t xml:space="preserve"> </w:t>
      </w:r>
      <w:r w:rsidR="00245D88" w:rsidRPr="00330363">
        <w:rPr>
          <w:rFonts w:ascii="Arial" w:hAnsi="Arial" w:cs="Arial"/>
          <w:lang w:eastAsia="es-MX"/>
        </w:rPr>
        <w:t>en</w:t>
      </w:r>
      <w:r w:rsidR="00633CBC" w:rsidRPr="00330363">
        <w:rPr>
          <w:rFonts w:ascii="Arial" w:hAnsi="Arial" w:cs="Arial"/>
          <w:lang w:eastAsia="es-MX"/>
        </w:rPr>
        <w:t xml:space="preserve"> cuanto a la dimensión </w:t>
      </w:r>
      <w:r w:rsidR="00330363" w:rsidRPr="00330363">
        <w:rPr>
          <w:rFonts w:ascii="Arial" w:hAnsi="Arial" w:cs="Arial"/>
          <w:lang w:eastAsia="es-MX"/>
        </w:rPr>
        <w:t>producto</w:t>
      </w:r>
      <w:r w:rsidR="00633CBC" w:rsidRPr="00330363">
        <w:rPr>
          <w:rFonts w:ascii="Arial" w:hAnsi="Arial" w:cs="Arial"/>
        </w:rPr>
        <w:t xml:space="preserve"> </w:t>
      </w:r>
      <w:r w:rsidR="00245D88" w:rsidRPr="00330363">
        <w:rPr>
          <w:rFonts w:ascii="Arial" w:hAnsi="Arial" w:cs="Arial"/>
          <w:lang w:eastAsia="es-MX"/>
        </w:rPr>
        <w:t xml:space="preserve">del MR, comienza con </w:t>
      </w:r>
      <w:r w:rsidR="00CD4A18" w:rsidRPr="00330363">
        <w:rPr>
          <w:rFonts w:ascii="Arial" w:hAnsi="Arial" w:cs="Arial"/>
          <w:lang w:eastAsia="es-MX"/>
        </w:rPr>
        <w:t xml:space="preserve">la selección de </w:t>
      </w:r>
      <w:r w:rsidR="00245D88" w:rsidRPr="00330363">
        <w:rPr>
          <w:rFonts w:ascii="Arial" w:hAnsi="Arial" w:cs="Arial"/>
          <w:lang w:eastAsia="es-MX"/>
        </w:rPr>
        <w:t xml:space="preserve">un </w:t>
      </w:r>
      <w:r w:rsidR="00330363" w:rsidRPr="00330363">
        <w:rPr>
          <w:rFonts w:ascii="Arial" w:hAnsi="Arial" w:cs="Arial"/>
          <w:lang w:eastAsia="es-MX"/>
        </w:rPr>
        <w:t>producto</w:t>
      </w:r>
      <w:r w:rsidR="00245D88" w:rsidRPr="00330363">
        <w:rPr>
          <w:rFonts w:ascii="Arial" w:hAnsi="Arial" w:cs="Arial"/>
          <w:lang w:eastAsia="es-MX"/>
        </w:rPr>
        <w:t xml:space="preserve"> o pequeño grupo de </w:t>
      </w:r>
      <w:r w:rsidR="00330363" w:rsidRPr="00330363">
        <w:rPr>
          <w:rFonts w:ascii="Arial" w:hAnsi="Arial" w:cs="Arial"/>
          <w:lang w:eastAsia="es-MX"/>
        </w:rPr>
        <w:t>productos</w:t>
      </w:r>
      <w:r w:rsidR="00245D88" w:rsidRPr="00330363">
        <w:rPr>
          <w:rFonts w:ascii="Arial" w:hAnsi="Arial" w:cs="Arial"/>
          <w:lang w:eastAsia="es-MX"/>
        </w:rPr>
        <w:t xml:space="preserve"> </w:t>
      </w:r>
      <w:r w:rsidR="00F93722" w:rsidRPr="00330363">
        <w:rPr>
          <w:rFonts w:ascii="Arial" w:hAnsi="Arial" w:cs="Arial"/>
          <w:lang w:eastAsia="es-MX"/>
        </w:rPr>
        <w:t xml:space="preserve">de interés </w:t>
      </w:r>
      <w:r w:rsidR="00245D88" w:rsidRPr="00330363">
        <w:rPr>
          <w:rFonts w:ascii="Arial" w:hAnsi="Arial" w:cs="Arial"/>
          <w:lang w:eastAsia="es-MX"/>
        </w:rPr>
        <w:t>(p</w:t>
      </w:r>
      <w:r w:rsidR="008F4197" w:rsidRPr="00330363">
        <w:rPr>
          <w:rFonts w:ascii="Arial" w:hAnsi="Arial" w:cs="Arial"/>
          <w:lang w:eastAsia="es-MX"/>
        </w:rPr>
        <w:t>or</w:t>
      </w:r>
      <w:r w:rsidR="00245D88" w:rsidRPr="00330363">
        <w:rPr>
          <w:rFonts w:ascii="Arial" w:hAnsi="Arial" w:cs="Arial"/>
          <w:lang w:eastAsia="es-MX"/>
        </w:rPr>
        <w:t xml:space="preserve"> ej</w:t>
      </w:r>
      <w:r w:rsidR="008F4197" w:rsidRPr="00330363">
        <w:rPr>
          <w:rFonts w:ascii="Arial" w:hAnsi="Arial" w:cs="Arial"/>
          <w:lang w:eastAsia="es-MX"/>
        </w:rPr>
        <w:t>emplo,</w:t>
      </w:r>
      <w:r w:rsidR="00245D88" w:rsidRPr="00330363">
        <w:rPr>
          <w:rFonts w:ascii="Arial" w:hAnsi="Arial" w:cs="Arial"/>
          <w:lang w:eastAsia="es-MX"/>
        </w:rPr>
        <w:t xml:space="preserve"> los </w:t>
      </w:r>
      <w:r w:rsidR="00330363" w:rsidRPr="00330363">
        <w:rPr>
          <w:rFonts w:ascii="Arial" w:hAnsi="Arial" w:cs="Arial"/>
          <w:lang w:eastAsia="es-MX"/>
        </w:rPr>
        <w:t>productos</w:t>
      </w:r>
      <w:r w:rsidR="00245D88" w:rsidRPr="00330363">
        <w:rPr>
          <w:rFonts w:ascii="Arial" w:hAnsi="Arial" w:cs="Arial"/>
          <w:lang w:eastAsia="es-MX"/>
        </w:rPr>
        <w:t xml:space="preserve"> involucrados en una concentración)</w:t>
      </w:r>
      <w:r w:rsidR="00BB7ED8" w:rsidRPr="00330363">
        <w:rPr>
          <w:rFonts w:ascii="Arial" w:hAnsi="Arial" w:cs="Arial"/>
          <w:lang w:eastAsia="es-MX"/>
        </w:rPr>
        <w:t xml:space="preserve">, al cual se le denomina </w:t>
      </w:r>
      <w:r w:rsidR="00330363" w:rsidRPr="00330363">
        <w:rPr>
          <w:rFonts w:ascii="Arial" w:hAnsi="Arial" w:cs="Arial"/>
          <w:lang w:eastAsia="es-MX"/>
        </w:rPr>
        <w:t>producto</w:t>
      </w:r>
      <w:r w:rsidR="00BB7ED8" w:rsidRPr="00330363">
        <w:rPr>
          <w:rFonts w:ascii="Arial" w:hAnsi="Arial" w:cs="Arial"/>
          <w:lang w:eastAsia="es-MX"/>
        </w:rPr>
        <w:t xml:space="preserve"> focal</w:t>
      </w:r>
      <w:r w:rsidR="00245D88" w:rsidRPr="00330363">
        <w:rPr>
          <w:rFonts w:ascii="Arial" w:hAnsi="Arial" w:cs="Arial"/>
          <w:lang w:eastAsia="es-MX"/>
        </w:rPr>
        <w:t xml:space="preserve">. Si un monopolista hipotético de este </w:t>
      </w:r>
      <w:r w:rsidR="00330363" w:rsidRPr="00330363">
        <w:rPr>
          <w:rFonts w:ascii="Arial" w:hAnsi="Arial" w:cs="Arial"/>
          <w:lang w:eastAsia="es-MX"/>
        </w:rPr>
        <w:t>producto</w:t>
      </w:r>
      <w:r w:rsidR="00CD4A18" w:rsidRPr="00330363">
        <w:rPr>
          <w:rFonts w:ascii="Arial" w:hAnsi="Arial" w:cs="Arial"/>
        </w:rPr>
        <w:t>,</w:t>
      </w:r>
      <w:r w:rsidR="00245D88" w:rsidRPr="00330363">
        <w:rPr>
          <w:rFonts w:ascii="Arial" w:hAnsi="Arial" w:cs="Arial"/>
          <w:lang w:eastAsia="es-MX"/>
        </w:rPr>
        <w:t xml:space="preserve"> o grupo de </w:t>
      </w:r>
      <w:r w:rsidR="00330363" w:rsidRPr="00330363">
        <w:rPr>
          <w:rFonts w:ascii="Arial" w:hAnsi="Arial" w:cs="Arial"/>
          <w:lang w:eastAsia="es-MX"/>
        </w:rPr>
        <w:t>productos</w:t>
      </w:r>
      <w:r w:rsidR="00CD4A18" w:rsidRPr="00330363">
        <w:rPr>
          <w:rFonts w:ascii="Arial" w:hAnsi="Arial" w:cs="Arial"/>
        </w:rPr>
        <w:t>,</w:t>
      </w:r>
      <w:r w:rsidR="00245D88" w:rsidRPr="00330363">
        <w:rPr>
          <w:rFonts w:ascii="Arial" w:hAnsi="Arial" w:cs="Arial"/>
          <w:lang w:eastAsia="es-MX"/>
        </w:rPr>
        <w:t xml:space="preserve"> no puede aplicar un SSNIP</w:t>
      </w:r>
      <w:r w:rsidR="00BB7ED8" w:rsidRPr="00330363">
        <w:rPr>
          <w:rFonts w:ascii="Arial" w:hAnsi="Arial" w:cs="Arial"/>
          <w:lang w:eastAsia="es-MX"/>
        </w:rPr>
        <w:t xml:space="preserve"> (por ejemplo, un aumento estándar de entre 5% y 10% en el precio)</w:t>
      </w:r>
      <w:r w:rsidR="00245D88" w:rsidRPr="00330363">
        <w:rPr>
          <w:rFonts w:ascii="Arial" w:hAnsi="Arial" w:cs="Arial"/>
          <w:lang w:eastAsia="es-MX"/>
        </w:rPr>
        <w:t xml:space="preserve"> de manera rentable porque los clientes encuentran otro </w:t>
      </w:r>
      <w:r w:rsidR="00330363" w:rsidRPr="00330363">
        <w:rPr>
          <w:rFonts w:ascii="Arial" w:hAnsi="Arial" w:cs="Arial"/>
          <w:lang w:eastAsia="es-MX"/>
        </w:rPr>
        <w:t>producto</w:t>
      </w:r>
      <w:r w:rsidR="00245D88" w:rsidRPr="00330363">
        <w:rPr>
          <w:rFonts w:ascii="Arial" w:hAnsi="Arial" w:cs="Arial"/>
          <w:lang w:eastAsia="es-MX"/>
        </w:rPr>
        <w:t xml:space="preserve"> en cantidad suficiente, entonces ese </w:t>
      </w:r>
      <w:r w:rsidR="00330363" w:rsidRPr="00330363">
        <w:rPr>
          <w:rFonts w:ascii="Arial" w:hAnsi="Arial" w:cs="Arial"/>
          <w:lang w:eastAsia="es-MX"/>
        </w:rPr>
        <w:t>producto</w:t>
      </w:r>
      <w:r w:rsidR="00245D88" w:rsidRPr="00330363">
        <w:rPr>
          <w:rFonts w:ascii="Arial" w:hAnsi="Arial" w:cs="Arial"/>
          <w:lang w:eastAsia="es-MX"/>
        </w:rPr>
        <w:t xml:space="preserve"> se agrega al MR. El análisis anterior se repite para otros </w:t>
      </w:r>
      <w:r w:rsidR="00330363" w:rsidRPr="00330363">
        <w:rPr>
          <w:rFonts w:ascii="Arial" w:hAnsi="Arial" w:cs="Arial"/>
          <w:lang w:eastAsia="es-MX"/>
        </w:rPr>
        <w:t>productos</w:t>
      </w:r>
      <w:r w:rsidR="005D4630" w:rsidRPr="00330363">
        <w:rPr>
          <w:rFonts w:ascii="Arial" w:hAnsi="Arial" w:cs="Arial"/>
        </w:rPr>
        <w:t xml:space="preserve"> candidatos</w:t>
      </w:r>
      <w:r w:rsidR="00333B85" w:rsidRPr="00330363">
        <w:rPr>
          <w:rFonts w:ascii="Arial" w:hAnsi="Arial" w:cs="Arial"/>
        </w:rPr>
        <w:t xml:space="preserve">, los cuales se agregarán al MR si </w:t>
      </w:r>
      <w:r w:rsidR="00245D88" w:rsidRPr="00330363">
        <w:rPr>
          <w:rFonts w:ascii="Arial" w:hAnsi="Arial" w:cs="Arial"/>
          <w:lang w:eastAsia="es-MX"/>
        </w:rPr>
        <w:t xml:space="preserve">la imposición del SSNIP por parte del monopolista hipotético </w:t>
      </w:r>
      <w:r w:rsidR="00333B85" w:rsidRPr="00330363">
        <w:rPr>
          <w:rFonts w:ascii="Arial" w:hAnsi="Arial" w:cs="Arial"/>
          <w:lang w:eastAsia="es-MX"/>
        </w:rPr>
        <w:t xml:space="preserve">no es rentable y no se agregarán si el aumento es </w:t>
      </w:r>
      <w:r w:rsidR="00245D88" w:rsidRPr="00330363">
        <w:rPr>
          <w:rFonts w:ascii="Arial" w:hAnsi="Arial" w:cs="Arial"/>
          <w:lang w:eastAsia="es-MX"/>
        </w:rPr>
        <w:t>rentable.</w:t>
      </w:r>
      <w:r w:rsidR="00245D88" w:rsidRPr="00330363">
        <w:rPr>
          <w:rFonts w:ascii="Arial" w:hAnsi="Arial" w:cs="Arial"/>
          <w:vertAlign w:val="superscript"/>
          <w:lang w:eastAsia="es-MX"/>
        </w:rPr>
        <w:footnoteReference w:id="46"/>
      </w:r>
    </w:p>
    <w:p w14:paraId="44AA2DA5" w14:textId="77777777" w:rsidR="003D4840" w:rsidRPr="00330363" w:rsidRDefault="003D4840" w:rsidP="0023353F">
      <w:pPr>
        <w:spacing w:before="0" w:after="0"/>
        <w:rPr>
          <w:rFonts w:ascii="Arial" w:hAnsi="Arial" w:cs="Arial"/>
          <w:lang w:eastAsia="es-MX"/>
        </w:rPr>
      </w:pPr>
    </w:p>
    <w:p w14:paraId="4FA5DC85" w14:textId="13991B06" w:rsidR="003D4840" w:rsidRPr="00330363" w:rsidRDefault="003D4840" w:rsidP="003D4840">
      <w:pPr>
        <w:spacing w:before="0" w:after="0"/>
        <w:rPr>
          <w:rFonts w:ascii="Arial" w:hAnsi="Arial" w:cs="Arial"/>
          <w:lang w:eastAsia="es-MX"/>
        </w:rPr>
      </w:pPr>
      <w:r w:rsidRPr="00330363">
        <w:rPr>
          <w:rFonts w:ascii="Arial" w:hAnsi="Arial" w:cs="Arial"/>
        </w:rPr>
        <w:t xml:space="preserve">En cuanto a la dimensión geográfica del MR, la implementación de la Prueba SSNIP sigue un proceso equivalente al descrito para la dimensión </w:t>
      </w:r>
      <w:r w:rsidR="00330363" w:rsidRPr="00330363">
        <w:rPr>
          <w:rFonts w:ascii="Arial" w:hAnsi="Arial" w:cs="Arial"/>
        </w:rPr>
        <w:t>producto</w:t>
      </w:r>
      <w:r w:rsidRPr="00330363">
        <w:rPr>
          <w:rFonts w:ascii="Arial" w:hAnsi="Arial" w:cs="Arial"/>
        </w:rPr>
        <w:t xml:space="preserve">, pero </w:t>
      </w:r>
      <w:r w:rsidRPr="00330363">
        <w:rPr>
          <w:rFonts w:ascii="Arial" w:hAnsi="Arial" w:cs="Arial"/>
          <w:lang w:eastAsia="es-MX"/>
        </w:rPr>
        <w:t>comenzando con un área relativamente pequeña (p</w:t>
      </w:r>
      <w:r w:rsidR="008F4197" w:rsidRPr="00330363">
        <w:rPr>
          <w:rFonts w:ascii="Arial" w:hAnsi="Arial" w:cs="Arial"/>
          <w:lang w:eastAsia="es-MX"/>
        </w:rPr>
        <w:t>or</w:t>
      </w:r>
      <w:r w:rsidRPr="00330363">
        <w:rPr>
          <w:rFonts w:ascii="Arial" w:hAnsi="Arial" w:cs="Arial"/>
          <w:lang w:eastAsia="es-MX"/>
        </w:rPr>
        <w:t xml:space="preserve"> ej</w:t>
      </w:r>
      <w:r w:rsidR="008F4197" w:rsidRPr="00330363">
        <w:rPr>
          <w:rFonts w:ascii="Arial" w:hAnsi="Arial" w:cs="Arial"/>
          <w:lang w:eastAsia="es-MX"/>
        </w:rPr>
        <w:t>emplo,</w:t>
      </w:r>
      <w:r w:rsidRPr="00330363">
        <w:rPr>
          <w:rFonts w:ascii="Arial" w:hAnsi="Arial" w:cs="Arial"/>
          <w:lang w:eastAsia="es-MX"/>
        </w:rPr>
        <w:t xml:space="preserve"> el área en la que suministran sus </w:t>
      </w:r>
      <w:r w:rsidR="00330363" w:rsidRPr="00330363">
        <w:rPr>
          <w:rFonts w:ascii="Arial" w:hAnsi="Arial" w:cs="Arial"/>
          <w:lang w:eastAsia="es-MX"/>
        </w:rPr>
        <w:t>productos</w:t>
      </w:r>
      <w:r w:rsidRPr="00330363">
        <w:rPr>
          <w:rFonts w:ascii="Arial" w:hAnsi="Arial" w:cs="Arial"/>
          <w:lang w:eastAsia="es-MX"/>
        </w:rPr>
        <w:t xml:space="preserve"> una o ambas partes involucradas en una concentración, el área objeto de una conducta bajo investigación, o alguna otra área que pudiera considerarse apropiada de acuerdo con la experiencia previa).</w:t>
      </w:r>
      <w:r w:rsidRPr="00330363">
        <w:rPr>
          <w:rStyle w:val="Refdenotaalpie"/>
          <w:rFonts w:ascii="Arial" w:hAnsi="Arial" w:cs="Arial"/>
          <w:lang w:eastAsia="es-MX"/>
        </w:rPr>
        <w:footnoteReference w:id="47"/>
      </w:r>
      <w:r w:rsidRPr="00330363">
        <w:rPr>
          <w:rFonts w:ascii="Arial" w:hAnsi="Arial" w:cs="Arial"/>
          <w:lang w:eastAsia="es-MX"/>
        </w:rPr>
        <w:t xml:space="preserve"> Si un monopolista hipotético en esa área no puede aplicar un SSNIP de manera rentable, porque es probable que los clientes acudan a proveedores alternativos situados en </w:t>
      </w:r>
      <w:r w:rsidR="000C1123" w:rsidRPr="00330363">
        <w:rPr>
          <w:rFonts w:ascii="Arial" w:hAnsi="Arial" w:cs="Arial"/>
          <w:lang w:eastAsia="es-MX"/>
        </w:rPr>
        <w:t>o</w:t>
      </w:r>
      <w:r w:rsidR="007656AE" w:rsidRPr="00330363">
        <w:rPr>
          <w:rFonts w:ascii="Arial" w:hAnsi="Arial" w:cs="Arial"/>
          <w:lang w:eastAsia="es-MX"/>
        </w:rPr>
        <w:t>tra</w:t>
      </w:r>
      <w:r w:rsidR="000C1123" w:rsidRPr="00330363">
        <w:rPr>
          <w:rFonts w:ascii="Arial" w:hAnsi="Arial" w:cs="Arial"/>
          <w:lang w:eastAsia="es-MX"/>
        </w:rPr>
        <w:t xml:space="preserve"> </w:t>
      </w:r>
      <w:r w:rsidR="007656AE" w:rsidRPr="00330363">
        <w:rPr>
          <w:rFonts w:ascii="Arial" w:hAnsi="Arial" w:cs="Arial"/>
          <w:lang w:eastAsia="es-MX"/>
        </w:rPr>
        <w:t>área</w:t>
      </w:r>
      <w:r w:rsidR="000C1123" w:rsidRPr="00330363">
        <w:rPr>
          <w:rFonts w:ascii="Arial" w:hAnsi="Arial" w:cs="Arial"/>
          <w:lang w:eastAsia="es-MX"/>
        </w:rPr>
        <w:t xml:space="preserve"> geográfica</w:t>
      </w:r>
      <w:r w:rsidRPr="00330363">
        <w:rPr>
          <w:rFonts w:ascii="Arial" w:hAnsi="Arial" w:cs="Arial"/>
          <w:lang w:eastAsia="es-MX"/>
        </w:rPr>
        <w:t xml:space="preserve"> </w:t>
      </w:r>
      <w:r w:rsidR="000407C6" w:rsidRPr="00330363">
        <w:rPr>
          <w:rFonts w:ascii="Arial" w:hAnsi="Arial" w:cs="Arial"/>
          <w:lang w:eastAsia="es-MX"/>
        </w:rPr>
        <w:t xml:space="preserve">para adquirir </w:t>
      </w:r>
      <w:r w:rsidRPr="00330363">
        <w:rPr>
          <w:rFonts w:ascii="Arial" w:hAnsi="Arial" w:cs="Arial"/>
          <w:lang w:eastAsia="es-MX"/>
        </w:rPr>
        <w:t>una cantidad significativa</w:t>
      </w:r>
      <w:r w:rsidR="000407C6" w:rsidRPr="00330363">
        <w:rPr>
          <w:rFonts w:ascii="Arial" w:hAnsi="Arial" w:cs="Arial"/>
          <w:lang w:eastAsia="es-MX"/>
        </w:rPr>
        <w:t xml:space="preserve"> del </w:t>
      </w:r>
      <w:r w:rsidR="00330363" w:rsidRPr="00330363">
        <w:rPr>
          <w:rFonts w:ascii="Arial" w:hAnsi="Arial" w:cs="Arial"/>
          <w:lang w:eastAsia="es-MX"/>
        </w:rPr>
        <w:t>producto</w:t>
      </w:r>
      <w:r w:rsidRPr="00330363">
        <w:rPr>
          <w:rFonts w:ascii="Arial" w:hAnsi="Arial" w:cs="Arial"/>
          <w:lang w:eastAsia="es-MX"/>
        </w:rPr>
        <w:t xml:space="preserve">, entonces </w:t>
      </w:r>
      <w:r w:rsidR="007656AE" w:rsidRPr="00330363">
        <w:rPr>
          <w:rFonts w:ascii="Arial" w:hAnsi="Arial" w:cs="Arial"/>
          <w:lang w:eastAsia="es-MX"/>
        </w:rPr>
        <w:t xml:space="preserve">esa área geográfica </w:t>
      </w:r>
      <w:r w:rsidRPr="00330363">
        <w:rPr>
          <w:rFonts w:ascii="Arial" w:hAnsi="Arial" w:cs="Arial"/>
          <w:lang w:eastAsia="es-MX"/>
        </w:rPr>
        <w:t xml:space="preserve">se agrega al </w:t>
      </w:r>
      <w:r w:rsidR="007656AE" w:rsidRPr="00330363">
        <w:rPr>
          <w:rFonts w:ascii="Arial" w:hAnsi="Arial" w:cs="Arial"/>
          <w:lang w:eastAsia="es-MX"/>
        </w:rPr>
        <w:t>MR</w:t>
      </w:r>
      <w:r w:rsidRPr="00330363">
        <w:rPr>
          <w:rFonts w:ascii="Arial" w:hAnsi="Arial" w:cs="Arial"/>
          <w:lang w:eastAsia="es-MX"/>
        </w:rPr>
        <w:t>.</w:t>
      </w:r>
      <w:r w:rsidRPr="00330363">
        <w:rPr>
          <w:rFonts w:ascii="Arial" w:hAnsi="Arial" w:cs="Arial"/>
        </w:rPr>
        <w:t xml:space="preserve"> </w:t>
      </w:r>
      <w:r w:rsidRPr="00330363">
        <w:rPr>
          <w:rFonts w:ascii="Arial" w:hAnsi="Arial" w:cs="Arial"/>
          <w:lang w:eastAsia="es-MX"/>
        </w:rPr>
        <w:t xml:space="preserve">El análisis anterior se repite </w:t>
      </w:r>
      <w:r w:rsidR="000C1123" w:rsidRPr="00330363">
        <w:rPr>
          <w:rFonts w:ascii="Arial" w:hAnsi="Arial" w:cs="Arial"/>
          <w:lang w:eastAsia="es-MX"/>
        </w:rPr>
        <w:t xml:space="preserve">para otras </w:t>
      </w:r>
      <w:r w:rsidR="007656AE" w:rsidRPr="00330363">
        <w:rPr>
          <w:rFonts w:ascii="Arial" w:hAnsi="Arial" w:cs="Arial"/>
          <w:lang w:eastAsia="es-MX"/>
        </w:rPr>
        <w:t xml:space="preserve">áreas candidatas, </w:t>
      </w:r>
      <w:r w:rsidR="007656AE" w:rsidRPr="00330363">
        <w:rPr>
          <w:rFonts w:ascii="Arial" w:hAnsi="Arial" w:cs="Arial"/>
        </w:rPr>
        <w:t xml:space="preserve">las cuales se agregarán al MR si </w:t>
      </w:r>
      <w:r w:rsidR="007656AE" w:rsidRPr="00330363">
        <w:rPr>
          <w:rFonts w:ascii="Arial" w:hAnsi="Arial" w:cs="Arial"/>
          <w:lang w:eastAsia="es-MX"/>
        </w:rPr>
        <w:t>la imposición del SSNIP por parte del monopolista hipotético no es rentable y no se agregarán si el aumento es rentable</w:t>
      </w:r>
      <w:r w:rsidRPr="00330363">
        <w:rPr>
          <w:rFonts w:ascii="Arial" w:hAnsi="Arial" w:cs="Arial"/>
          <w:lang w:eastAsia="es-MX"/>
        </w:rPr>
        <w:t>.</w:t>
      </w:r>
      <w:r w:rsidRPr="00330363">
        <w:rPr>
          <w:rFonts w:ascii="Arial" w:hAnsi="Arial" w:cs="Arial"/>
          <w:vertAlign w:val="superscript"/>
          <w:lang w:eastAsia="es-MX"/>
        </w:rPr>
        <w:footnoteReference w:id="48"/>
      </w:r>
      <w:r w:rsidRPr="00330363">
        <w:rPr>
          <w:rFonts w:ascii="Arial" w:hAnsi="Arial" w:cs="Arial"/>
          <w:lang w:eastAsia="es-MX"/>
        </w:rPr>
        <w:t xml:space="preserve"> </w:t>
      </w:r>
    </w:p>
    <w:p w14:paraId="2909C265" w14:textId="2AC20E97" w:rsidR="00D17849" w:rsidRPr="00330363" w:rsidRDefault="00D17849" w:rsidP="003D4840">
      <w:pPr>
        <w:spacing w:before="0" w:after="0"/>
        <w:rPr>
          <w:rFonts w:ascii="Arial" w:hAnsi="Arial" w:cs="Arial"/>
          <w:lang w:eastAsia="es-MX"/>
        </w:rPr>
      </w:pPr>
    </w:p>
    <w:p w14:paraId="71B67412" w14:textId="64F7BAC6" w:rsidR="00202B6A" w:rsidRPr="00330363" w:rsidRDefault="00202B6A" w:rsidP="00063253">
      <w:pPr>
        <w:spacing w:before="0" w:after="0"/>
        <w:rPr>
          <w:rFonts w:ascii="Arial" w:hAnsi="Arial" w:cs="Arial"/>
        </w:rPr>
      </w:pPr>
      <w:r w:rsidRPr="00330363">
        <w:rPr>
          <w:rFonts w:ascii="Arial" w:hAnsi="Arial" w:cs="Arial"/>
          <w:lang w:eastAsia="es-MX"/>
        </w:rPr>
        <w:t>Cabe señalar que la Prueba SSNIP descrita se enfoca en el precio como la principal variable estratégica de competencia, lo cual es consistente con la teoría económica. No obstante, los proveedores que participan en un mercado, además de competir en precios, también pueden competir en otras variables, tales como: i) cantidad; ii) capacidad; iii) calidad; iv) ubicación, entre otr</w:t>
      </w:r>
      <w:r w:rsidR="007656AE" w:rsidRPr="00330363">
        <w:rPr>
          <w:rFonts w:ascii="Arial" w:hAnsi="Arial" w:cs="Arial"/>
          <w:lang w:eastAsia="es-MX"/>
        </w:rPr>
        <w:t>a</w:t>
      </w:r>
      <w:r w:rsidRPr="00330363">
        <w:rPr>
          <w:rFonts w:ascii="Arial" w:hAnsi="Arial" w:cs="Arial"/>
          <w:lang w:eastAsia="es-MX"/>
        </w:rPr>
        <w:t xml:space="preserve">s. En ese sentido, </w:t>
      </w:r>
      <w:r w:rsidR="00063253" w:rsidRPr="00330363">
        <w:rPr>
          <w:rFonts w:ascii="Arial" w:hAnsi="Arial" w:cs="Arial"/>
          <w:lang w:eastAsia="es-MX"/>
        </w:rPr>
        <w:t xml:space="preserve">se ha desarrollado, aunque rara vez se ha aplicado, una </w:t>
      </w:r>
      <w:r w:rsidR="00B953ED" w:rsidRPr="00330363">
        <w:rPr>
          <w:rFonts w:ascii="Arial" w:hAnsi="Arial" w:cs="Arial"/>
          <w:lang w:eastAsia="es-MX"/>
        </w:rPr>
        <w:t xml:space="preserve">prueba similar </w:t>
      </w:r>
      <w:r w:rsidR="00063253" w:rsidRPr="00330363">
        <w:rPr>
          <w:rFonts w:ascii="Arial" w:hAnsi="Arial" w:cs="Arial"/>
          <w:lang w:eastAsia="es-MX"/>
        </w:rPr>
        <w:t xml:space="preserve"> a </w:t>
      </w:r>
      <w:r w:rsidRPr="00330363">
        <w:rPr>
          <w:rFonts w:ascii="Arial" w:hAnsi="Arial" w:cs="Arial"/>
          <w:lang w:eastAsia="es-MX"/>
        </w:rPr>
        <w:t xml:space="preserve">la </w:t>
      </w:r>
      <w:r w:rsidRPr="00330363">
        <w:rPr>
          <w:rFonts w:ascii="Arial" w:hAnsi="Arial" w:cs="Arial"/>
        </w:rPr>
        <w:t xml:space="preserve">Prueba SSNIP </w:t>
      </w:r>
      <w:r w:rsidR="00B953ED" w:rsidRPr="00330363">
        <w:rPr>
          <w:rFonts w:ascii="Arial" w:hAnsi="Arial" w:cs="Arial"/>
        </w:rPr>
        <w:t xml:space="preserve">pero </w:t>
      </w:r>
      <w:r w:rsidRPr="00330363">
        <w:rPr>
          <w:rFonts w:ascii="Arial" w:hAnsi="Arial" w:cs="Arial"/>
        </w:rPr>
        <w:t xml:space="preserve">adaptada a </w:t>
      </w:r>
      <w:r w:rsidR="00063253" w:rsidRPr="00330363">
        <w:rPr>
          <w:rFonts w:ascii="Arial" w:hAnsi="Arial" w:cs="Arial"/>
        </w:rPr>
        <w:t xml:space="preserve">la variable </w:t>
      </w:r>
      <w:r w:rsidRPr="00330363">
        <w:rPr>
          <w:rFonts w:ascii="Arial" w:hAnsi="Arial" w:cs="Arial"/>
        </w:rPr>
        <w:t>calidad, denomina</w:t>
      </w:r>
      <w:r w:rsidR="00063253" w:rsidRPr="00330363">
        <w:rPr>
          <w:rFonts w:ascii="Arial" w:hAnsi="Arial" w:cs="Arial"/>
        </w:rPr>
        <w:t>da</w:t>
      </w:r>
      <w:r w:rsidRPr="00330363">
        <w:rPr>
          <w:rFonts w:ascii="Arial" w:hAnsi="Arial" w:cs="Arial"/>
        </w:rPr>
        <w:t xml:space="preserve"> prueba de</w:t>
      </w:r>
      <w:r w:rsidR="00063253" w:rsidRPr="00330363">
        <w:rPr>
          <w:rFonts w:ascii="Arial" w:hAnsi="Arial" w:cs="Arial"/>
        </w:rPr>
        <w:t xml:space="preserve"> pequeños </w:t>
      </w:r>
      <w:r w:rsidR="00063253" w:rsidRPr="00330363">
        <w:rPr>
          <w:rFonts w:ascii="Arial" w:hAnsi="Arial" w:cs="Arial"/>
          <w:lang w:eastAsia="es-MX"/>
        </w:rPr>
        <w:t>pero significativos no transitorios decrementos en la calidad o SSNDQ</w:t>
      </w:r>
      <w:r w:rsidR="00B953ED" w:rsidRPr="00330363">
        <w:rPr>
          <w:rFonts w:ascii="Arial" w:hAnsi="Arial" w:cs="Arial"/>
          <w:lang w:eastAsia="es-MX"/>
        </w:rPr>
        <w:t>,</w:t>
      </w:r>
      <w:r w:rsidR="00063253" w:rsidRPr="00330363">
        <w:rPr>
          <w:rFonts w:ascii="Arial" w:hAnsi="Arial" w:cs="Arial"/>
          <w:lang w:eastAsia="es-MX"/>
        </w:rPr>
        <w:t xml:space="preserve"> por sus siglas en inglés</w:t>
      </w:r>
      <w:r w:rsidR="00063253" w:rsidRPr="00330363">
        <w:rPr>
          <w:rFonts w:ascii="Arial" w:hAnsi="Arial" w:cs="Arial"/>
        </w:rPr>
        <w:t>.</w:t>
      </w:r>
      <w:r w:rsidRPr="00330363">
        <w:rPr>
          <w:rFonts w:ascii="Arial" w:hAnsi="Arial" w:cs="Arial"/>
          <w:vertAlign w:val="superscript"/>
        </w:rPr>
        <w:footnoteReference w:id="49"/>
      </w:r>
    </w:p>
    <w:p w14:paraId="4A1DC81E" w14:textId="77777777" w:rsidR="00202B6A" w:rsidRPr="00330363" w:rsidRDefault="00202B6A" w:rsidP="003D4840">
      <w:pPr>
        <w:spacing w:before="0" w:after="0"/>
        <w:rPr>
          <w:rFonts w:ascii="Arial" w:hAnsi="Arial" w:cs="Arial"/>
          <w:lang w:eastAsia="es-MX"/>
        </w:rPr>
      </w:pPr>
    </w:p>
    <w:p w14:paraId="76735BA1" w14:textId="77777777" w:rsidR="00D17849" w:rsidRPr="00330363" w:rsidRDefault="00D17849" w:rsidP="00D17849">
      <w:pPr>
        <w:spacing w:before="0" w:after="0"/>
        <w:rPr>
          <w:rFonts w:ascii="Arial" w:hAnsi="Arial" w:cs="Arial"/>
        </w:rPr>
      </w:pPr>
      <w:r w:rsidRPr="00330363">
        <w:rPr>
          <w:rFonts w:ascii="Arial" w:hAnsi="Arial" w:cs="Arial"/>
          <w:lang w:eastAsia="es-MX"/>
        </w:rPr>
        <w:t>R</w:t>
      </w:r>
      <w:r w:rsidRPr="00330363">
        <w:rPr>
          <w:rFonts w:ascii="Arial" w:hAnsi="Arial" w:cs="Arial"/>
        </w:rPr>
        <w:t xml:space="preserve">especto a la utilidad de la </w:t>
      </w:r>
      <w:r w:rsidR="000407C6" w:rsidRPr="00330363">
        <w:rPr>
          <w:rFonts w:ascii="Arial" w:hAnsi="Arial" w:cs="Arial"/>
        </w:rPr>
        <w:t>P</w:t>
      </w:r>
      <w:r w:rsidRPr="00330363">
        <w:rPr>
          <w:rFonts w:ascii="Arial" w:hAnsi="Arial" w:cs="Arial"/>
        </w:rPr>
        <w:t xml:space="preserve">rueba </w:t>
      </w:r>
      <w:r w:rsidR="000407C6" w:rsidRPr="00330363">
        <w:rPr>
          <w:rFonts w:ascii="Arial" w:hAnsi="Arial" w:cs="Arial"/>
        </w:rPr>
        <w:t>SSNIP</w:t>
      </w:r>
      <w:r w:rsidRPr="00330363">
        <w:rPr>
          <w:rFonts w:ascii="Arial" w:hAnsi="Arial" w:cs="Arial"/>
        </w:rPr>
        <w:t>, el PJF ha señalado que:</w:t>
      </w:r>
      <w:r w:rsidRPr="00330363">
        <w:rPr>
          <w:rStyle w:val="Refdenotaalpie"/>
          <w:rFonts w:ascii="Arial" w:hAnsi="Arial" w:cs="Arial"/>
        </w:rPr>
        <w:t xml:space="preserve"> </w:t>
      </w:r>
      <w:r w:rsidRPr="00330363">
        <w:rPr>
          <w:rStyle w:val="Refdenotaalpie"/>
          <w:rFonts w:ascii="Arial" w:hAnsi="Arial" w:cs="Arial"/>
        </w:rPr>
        <w:footnoteReference w:id="50"/>
      </w:r>
    </w:p>
    <w:p w14:paraId="428F1F82" w14:textId="05B25E0B" w:rsidR="00D17849" w:rsidRPr="00330363" w:rsidRDefault="00D17849" w:rsidP="00942BD7">
      <w:pPr>
        <w:pStyle w:val="Prrafodelista"/>
        <w:numPr>
          <w:ilvl w:val="0"/>
          <w:numId w:val="58"/>
        </w:numPr>
        <w:autoSpaceDE w:val="0"/>
        <w:autoSpaceDN w:val="0"/>
        <w:adjustRightInd w:val="0"/>
        <w:spacing w:before="0" w:after="0"/>
        <w:ind w:left="714" w:hanging="572"/>
        <w:contextualSpacing w:val="0"/>
        <w:rPr>
          <w:rFonts w:ascii="Arial" w:hAnsi="Arial" w:cs="Arial"/>
          <w:color w:val="000000"/>
          <w:szCs w:val="26"/>
        </w:rPr>
      </w:pPr>
      <w:r w:rsidRPr="00330363">
        <w:rPr>
          <w:rFonts w:ascii="Arial" w:hAnsi="Arial" w:cs="Arial"/>
          <w:color w:val="000000"/>
          <w:szCs w:val="26"/>
        </w:rPr>
        <w:t xml:space="preserve">Si se desarrolla de manera adecuada, dicha prueba ayudará a entender la presión competitiva que la oferta de otros </w:t>
      </w:r>
      <w:r w:rsidR="00330363" w:rsidRPr="00330363">
        <w:rPr>
          <w:rFonts w:ascii="Arial" w:hAnsi="Arial" w:cs="Arial"/>
          <w:color w:val="000000"/>
          <w:szCs w:val="26"/>
        </w:rPr>
        <w:t>productos</w:t>
      </w:r>
      <w:r w:rsidRPr="00330363">
        <w:rPr>
          <w:rFonts w:ascii="Arial" w:hAnsi="Arial" w:cs="Arial"/>
          <w:color w:val="000000"/>
          <w:szCs w:val="26"/>
        </w:rPr>
        <w:t xml:space="preserve"> distintos de los que son materia de estudio genera sobre éstos.</w:t>
      </w:r>
    </w:p>
    <w:p w14:paraId="07B886FC" w14:textId="4AEE0B78" w:rsidR="00D17849" w:rsidRPr="00330363" w:rsidRDefault="00D17849" w:rsidP="00942BD7">
      <w:pPr>
        <w:pStyle w:val="Prrafodelista"/>
        <w:numPr>
          <w:ilvl w:val="0"/>
          <w:numId w:val="58"/>
        </w:numPr>
        <w:autoSpaceDE w:val="0"/>
        <w:autoSpaceDN w:val="0"/>
        <w:adjustRightInd w:val="0"/>
        <w:spacing w:before="0" w:after="0"/>
        <w:ind w:hanging="572"/>
        <w:contextualSpacing w:val="0"/>
        <w:rPr>
          <w:rFonts w:ascii="Arial" w:hAnsi="Arial" w:cs="Arial"/>
          <w:sz w:val="18"/>
        </w:rPr>
      </w:pPr>
      <w:r w:rsidRPr="00330363">
        <w:rPr>
          <w:rFonts w:ascii="Arial" w:hAnsi="Arial" w:cs="Arial"/>
          <w:color w:val="000000"/>
          <w:szCs w:val="26"/>
        </w:rPr>
        <w:t xml:space="preserve">Permitirá clasificar los sustitutos más cercanos, los cuales conformarán junto con los </w:t>
      </w:r>
      <w:r w:rsidR="00330363" w:rsidRPr="00330363">
        <w:rPr>
          <w:rFonts w:ascii="Arial" w:hAnsi="Arial" w:cs="Arial"/>
          <w:color w:val="000000"/>
          <w:szCs w:val="26"/>
        </w:rPr>
        <w:t>productos</w:t>
      </w:r>
      <w:r w:rsidRPr="00330363">
        <w:rPr>
          <w:rFonts w:ascii="Arial" w:hAnsi="Arial" w:cs="Arial"/>
          <w:color w:val="000000"/>
          <w:szCs w:val="26"/>
        </w:rPr>
        <w:t xml:space="preserve"> analizados, el </w:t>
      </w:r>
      <w:r w:rsidR="000407C6" w:rsidRPr="00330363">
        <w:rPr>
          <w:rFonts w:ascii="Arial" w:hAnsi="Arial" w:cs="Arial"/>
          <w:color w:val="000000"/>
          <w:szCs w:val="26"/>
        </w:rPr>
        <w:t>MR</w:t>
      </w:r>
      <w:r w:rsidRPr="00330363">
        <w:rPr>
          <w:rFonts w:ascii="Arial" w:hAnsi="Arial" w:cs="Arial"/>
          <w:color w:val="000000"/>
          <w:szCs w:val="26"/>
        </w:rPr>
        <w:t xml:space="preserve">, bajo la premisa de que un factor bajo de elasticidad cruzada entre los </w:t>
      </w:r>
      <w:r w:rsidR="00330363" w:rsidRPr="00330363">
        <w:rPr>
          <w:rFonts w:ascii="Arial" w:hAnsi="Arial" w:cs="Arial"/>
          <w:color w:val="000000"/>
          <w:szCs w:val="26"/>
        </w:rPr>
        <w:t>productos</w:t>
      </w:r>
      <w:r w:rsidRPr="00330363">
        <w:rPr>
          <w:rFonts w:ascii="Arial" w:hAnsi="Arial" w:cs="Arial"/>
          <w:color w:val="000000"/>
          <w:szCs w:val="26"/>
        </w:rPr>
        <w:t xml:space="preserve"> comparados es indicativo de que los consumidores no los perciben como sustitutos, lo que a su vez sugiere que ambos conforman mercados independientes o separados.</w:t>
      </w:r>
    </w:p>
    <w:p w14:paraId="4D1F3355" w14:textId="77777777" w:rsidR="00D17849" w:rsidRPr="00330363" w:rsidRDefault="00D17849" w:rsidP="00D17849">
      <w:pPr>
        <w:spacing w:before="0" w:after="0"/>
        <w:rPr>
          <w:rFonts w:ascii="Arial" w:eastAsia="Times New Roman" w:hAnsi="Arial" w:cs="Arial"/>
          <w:bCs/>
          <w:kern w:val="1"/>
          <w:lang w:eastAsia="ar-SA"/>
        </w:rPr>
      </w:pPr>
    </w:p>
    <w:p w14:paraId="41013027" w14:textId="77777777" w:rsidR="00467810" w:rsidRPr="00330363" w:rsidRDefault="00467810" w:rsidP="00EA5117">
      <w:pPr>
        <w:pStyle w:val="Ttulo3"/>
        <w:keepLines w:val="0"/>
        <w:numPr>
          <w:ilvl w:val="2"/>
          <w:numId w:val="3"/>
        </w:numPr>
        <w:spacing w:before="0"/>
        <w:ind w:left="1701"/>
        <w:rPr>
          <w:rFonts w:ascii="Arial" w:eastAsia="Times New Roman" w:hAnsi="Arial" w:cs="Arial"/>
          <w:b/>
          <w:color w:val="auto"/>
          <w:sz w:val="26"/>
          <w:szCs w:val="26"/>
          <w:lang w:eastAsia="es-MX"/>
        </w:rPr>
      </w:pPr>
      <w:bookmarkStart w:id="53" w:name="_Toc45628322"/>
      <w:r w:rsidRPr="00330363">
        <w:rPr>
          <w:rFonts w:ascii="Arial" w:eastAsia="Times New Roman" w:hAnsi="Arial" w:cs="Arial"/>
          <w:b/>
          <w:color w:val="auto"/>
          <w:sz w:val="26"/>
          <w:szCs w:val="26"/>
          <w:lang w:eastAsia="es-MX"/>
        </w:rPr>
        <w:t xml:space="preserve">Consideraciones </w:t>
      </w:r>
      <w:r w:rsidR="00F925E9" w:rsidRPr="00330363">
        <w:rPr>
          <w:rFonts w:ascii="Arial" w:eastAsia="Times New Roman" w:hAnsi="Arial" w:cs="Arial"/>
          <w:b/>
          <w:color w:val="auto"/>
          <w:sz w:val="26"/>
          <w:szCs w:val="26"/>
          <w:lang w:eastAsia="es-MX"/>
        </w:rPr>
        <w:t>sobre</w:t>
      </w:r>
      <w:r w:rsidRPr="00330363">
        <w:rPr>
          <w:rFonts w:ascii="Arial" w:eastAsia="Times New Roman" w:hAnsi="Arial" w:cs="Arial"/>
          <w:b/>
          <w:color w:val="auto"/>
          <w:sz w:val="26"/>
          <w:szCs w:val="26"/>
          <w:lang w:eastAsia="es-MX"/>
        </w:rPr>
        <w:t xml:space="preserve"> la </w:t>
      </w:r>
      <w:r w:rsidR="00F925E9" w:rsidRPr="00330363">
        <w:rPr>
          <w:rFonts w:ascii="Arial" w:eastAsia="Times New Roman" w:hAnsi="Arial" w:cs="Arial"/>
          <w:b/>
          <w:color w:val="auto"/>
          <w:sz w:val="26"/>
          <w:szCs w:val="26"/>
          <w:lang w:eastAsia="es-MX"/>
        </w:rPr>
        <w:t>P</w:t>
      </w:r>
      <w:r w:rsidRPr="00330363">
        <w:rPr>
          <w:rFonts w:ascii="Arial" w:eastAsia="Times New Roman" w:hAnsi="Arial" w:cs="Arial"/>
          <w:b/>
          <w:color w:val="auto"/>
          <w:sz w:val="26"/>
          <w:szCs w:val="26"/>
          <w:lang w:eastAsia="es-MX"/>
        </w:rPr>
        <w:t>rueba SSNIP</w:t>
      </w:r>
      <w:bookmarkEnd w:id="53"/>
    </w:p>
    <w:p w14:paraId="65A10DB3" w14:textId="77777777" w:rsidR="00467810" w:rsidRPr="00330363" w:rsidRDefault="00467810" w:rsidP="00EA5117">
      <w:pPr>
        <w:keepNext/>
        <w:spacing w:before="0" w:after="0"/>
        <w:rPr>
          <w:rFonts w:ascii="Arial" w:hAnsi="Arial" w:cs="Arial"/>
        </w:rPr>
      </w:pPr>
    </w:p>
    <w:p w14:paraId="6E977B71" w14:textId="77777777" w:rsidR="003D4840" w:rsidRPr="00330363" w:rsidRDefault="003D4840" w:rsidP="00415680">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330363">
        <w:rPr>
          <w:rFonts w:ascii="Arial" w:eastAsia="Times New Roman" w:hAnsi="Arial" w:cs="Arial"/>
          <w:b/>
          <w:i w:val="0"/>
          <w:color w:val="auto"/>
          <w:lang w:eastAsia="es-MX"/>
        </w:rPr>
        <w:t xml:space="preserve">Aplicación práctica </w:t>
      </w:r>
    </w:p>
    <w:p w14:paraId="4467A213" w14:textId="77777777" w:rsidR="00290CEB" w:rsidRPr="00330363" w:rsidRDefault="00290CEB" w:rsidP="00091DA8">
      <w:pPr>
        <w:spacing w:before="0" w:after="0"/>
        <w:rPr>
          <w:rFonts w:ascii="Arial" w:hAnsi="Arial" w:cs="Arial"/>
          <w:lang w:eastAsia="es-MX"/>
        </w:rPr>
      </w:pPr>
    </w:p>
    <w:p w14:paraId="56C18ED7" w14:textId="191D3892" w:rsidR="00496715" w:rsidRPr="00330363" w:rsidRDefault="00496715" w:rsidP="00290CEB">
      <w:pPr>
        <w:spacing w:before="0" w:after="0"/>
        <w:rPr>
          <w:rFonts w:ascii="Arial" w:hAnsi="Arial" w:cs="Arial"/>
        </w:rPr>
      </w:pPr>
      <w:r w:rsidRPr="00330363">
        <w:rPr>
          <w:rFonts w:ascii="Arial" w:eastAsia="Times New Roman" w:hAnsi="Arial" w:cs="Arial"/>
          <w:bCs/>
          <w:kern w:val="1"/>
          <w:lang w:eastAsia="ar-SA"/>
        </w:rPr>
        <w:t>E</w:t>
      </w:r>
      <w:r w:rsidR="003D4840" w:rsidRPr="00330363">
        <w:rPr>
          <w:rFonts w:ascii="Arial" w:eastAsia="Times New Roman" w:hAnsi="Arial" w:cs="Arial"/>
          <w:bCs/>
          <w:kern w:val="1"/>
          <w:lang w:eastAsia="ar-SA"/>
        </w:rPr>
        <w:t>n la experiencia internacional se reconoce que</w:t>
      </w:r>
      <w:r w:rsidR="007656AE" w:rsidRPr="00330363">
        <w:rPr>
          <w:rFonts w:ascii="Arial" w:eastAsia="Times New Roman" w:hAnsi="Arial" w:cs="Arial"/>
          <w:bCs/>
          <w:kern w:val="1"/>
          <w:lang w:eastAsia="ar-SA"/>
        </w:rPr>
        <w:t xml:space="preserve"> rara vez es posible</w:t>
      </w:r>
      <w:r w:rsidR="003D4840" w:rsidRPr="00330363">
        <w:rPr>
          <w:rFonts w:ascii="Arial" w:eastAsia="Times New Roman" w:hAnsi="Arial" w:cs="Arial"/>
          <w:bCs/>
          <w:kern w:val="1"/>
          <w:lang w:eastAsia="ar-SA"/>
        </w:rPr>
        <w:t xml:space="preserve"> la </w:t>
      </w:r>
      <w:r w:rsidR="000407C6" w:rsidRPr="00330363">
        <w:rPr>
          <w:rFonts w:ascii="Arial" w:eastAsia="Times New Roman" w:hAnsi="Arial" w:cs="Arial"/>
          <w:bCs/>
          <w:kern w:val="1"/>
          <w:lang w:eastAsia="ar-SA"/>
        </w:rPr>
        <w:t>determinación</w:t>
      </w:r>
      <w:r w:rsidR="003D4840" w:rsidRPr="00330363">
        <w:rPr>
          <w:rFonts w:ascii="Arial" w:eastAsia="Times New Roman" w:hAnsi="Arial" w:cs="Arial"/>
          <w:bCs/>
          <w:kern w:val="1"/>
          <w:lang w:eastAsia="ar-SA"/>
        </w:rPr>
        <w:t xml:space="preserve"> del MR en estricta confo</w:t>
      </w:r>
      <w:r w:rsidRPr="00330363">
        <w:rPr>
          <w:rFonts w:ascii="Arial" w:eastAsia="Times New Roman" w:hAnsi="Arial" w:cs="Arial"/>
          <w:bCs/>
          <w:kern w:val="1"/>
          <w:lang w:eastAsia="ar-SA"/>
        </w:rPr>
        <w:t>rmidad con los supuestos de la P</w:t>
      </w:r>
      <w:r w:rsidR="003D4840" w:rsidRPr="00330363">
        <w:rPr>
          <w:rFonts w:ascii="Arial" w:eastAsia="Times New Roman" w:hAnsi="Arial" w:cs="Arial"/>
          <w:bCs/>
          <w:kern w:val="1"/>
          <w:lang w:eastAsia="ar-SA"/>
        </w:rPr>
        <w:t>rueba SSNIP, debido a que normalmente no existen</w:t>
      </w:r>
      <w:r w:rsidR="003D4840" w:rsidRPr="00330363">
        <w:rPr>
          <w:rFonts w:ascii="Arial" w:hAnsi="Arial" w:cs="Arial"/>
        </w:rPr>
        <w:t xml:space="preserve"> suficientes datos disponibles para </w:t>
      </w:r>
      <w:r w:rsidR="00BA5033" w:rsidRPr="00330363">
        <w:rPr>
          <w:rFonts w:ascii="Arial" w:hAnsi="Arial" w:cs="Arial"/>
        </w:rPr>
        <w:t xml:space="preserve">desarrollar formalmente </w:t>
      </w:r>
      <w:r w:rsidR="003D4840" w:rsidRPr="00330363">
        <w:rPr>
          <w:rFonts w:ascii="Arial" w:hAnsi="Arial" w:cs="Arial"/>
        </w:rPr>
        <w:t>dicha prueba</w:t>
      </w:r>
      <w:r w:rsidRPr="00330363">
        <w:rPr>
          <w:rFonts w:ascii="Arial" w:hAnsi="Arial" w:cs="Arial"/>
        </w:rPr>
        <w:t>,</w:t>
      </w:r>
      <w:r w:rsidRPr="00330363">
        <w:rPr>
          <w:rStyle w:val="Refdenotaalpie"/>
          <w:rFonts w:ascii="Arial" w:hAnsi="Arial" w:cs="Arial"/>
        </w:rPr>
        <w:footnoteReference w:id="51"/>
      </w:r>
      <w:r w:rsidRPr="00330363">
        <w:rPr>
          <w:rFonts w:ascii="Arial" w:hAnsi="Arial" w:cs="Arial"/>
        </w:rPr>
        <w:t xml:space="preserve"> </w:t>
      </w:r>
      <w:r w:rsidRPr="00330363">
        <w:rPr>
          <w:rFonts w:ascii="Arial" w:eastAsia="Times New Roman" w:hAnsi="Arial" w:cs="Arial"/>
          <w:bCs/>
          <w:kern w:val="1"/>
          <w:lang w:eastAsia="ar-SA"/>
        </w:rPr>
        <w:t xml:space="preserve">por lo que, en la práctica, </w:t>
      </w:r>
      <w:r w:rsidR="003D4840" w:rsidRPr="00330363">
        <w:rPr>
          <w:rFonts w:ascii="Arial" w:hAnsi="Arial" w:cs="Arial"/>
        </w:rPr>
        <w:t>la prueba</w:t>
      </w:r>
      <w:r w:rsidR="003D4840" w:rsidRPr="00330363">
        <w:rPr>
          <w:rFonts w:ascii="Arial" w:eastAsia="Times New Roman" w:hAnsi="Arial" w:cs="Arial"/>
          <w:bCs/>
          <w:kern w:val="1"/>
          <w:lang w:eastAsia="ar-SA"/>
        </w:rPr>
        <w:t xml:space="preserve"> </w:t>
      </w:r>
      <w:r w:rsidR="007656AE" w:rsidRPr="00330363">
        <w:rPr>
          <w:rFonts w:ascii="Arial" w:eastAsia="Times New Roman" w:hAnsi="Arial" w:cs="Arial"/>
          <w:bCs/>
          <w:kern w:val="1"/>
          <w:lang w:eastAsia="ar-SA"/>
        </w:rPr>
        <w:t xml:space="preserve">establece </w:t>
      </w:r>
      <w:r w:rsidR="003D4840" w:rsidRPr="00330363">
        <w:rPr>
          <w:rFonts w:ascii="Arial" w:eastAsia="Times New Roman" w:hAnsi="Arial" w:cs="Arial"/>
          <w:bCs/>
          <w:kern w:val="1"/>
          <w:lang w:eastAsia="ar-SA"/>
        </w:rPr>
        <w:t>un marco conceptual</w:t>
      </w:r>
      <w:r w:rsidR="003D4840" w:rsidRPr="00330363">
        <w:rPr>
          <w:rFonts w:ascii="Arial" w:eastAsia="Times New Roman" w:hAnsi="Arial" w:cs="Arial"/>
          <w:kern w:val="1"/>
          <w:lang w:eastAsia="ar-SA"/>
        </w:rPr>
        <w:t xml:space="preserve"> </w:t>
      </w:r>
      <w:r w:rsidR="003D4840" w:rsidRPr="00330363">
        <w:rPr>
          <w:rFonts w:ascii="Arial" w:eastAsia="Times New Roman" w:hAnsi="Arial" w:cs="Arial"/>
          <w:bCs/>
          <w:kern w:val="1"/>
          <w:lang w:eastAsia="ar-SA"/>
        </w:rPr>
        <w:t>para realizar el análisis de sustitución</w:t>
      </w:r>
      <w:r w:rsidR="007656AE" w:rsidRPr="00330363">
        <w:rPr>
          <w:rFonts w:ascii="Arial" w:eastAsia="Times New Roman" w:hAnsi="Arial" w:cs="Arial"/>
          <w:bCs/>
          <w:kern w:val="1"/>
          <w:lang w:eastAsia="ar-SA"/>
        </w:rPr>
        <w:t xml:space="preserve">, el cual </w:t>
      </w:r>
      <w:r w:rsidR="00BA5033" w:rsidRPr="00330363">
        <w:rPr>
          <w:rFonts w:ascii="Arial" w:eastAsia="Times New Roman" w:hAnsi="Arial" w:cs="Arial"/>
          <w:bCs/>
          <w:kern w:val="1"/>
          <w:lang w:eastAsia="ar-SA"/>
        </w:rPr>
        <w:t>se complementa con otras herramientas</w:t>
      </w:r>
      <w:r w:rsidR="003D4840" w:rsidRPr="00330363">
        <w:rPr>
          <w:rFonts w:ascii="Arial" w:eastAsia="Times New Roman" w:hAnsi="Arial" w:cs="Arial"/>
          <w:bCs/>
          <w:kern w:val="1"/>
          <w:lang w:eastAsia="ar-SA"/>
        </w:rPr>
        <w:t>.</w:t>
      </w:r>
      <w:r w:rsidR="003D4840" w:rsidRPr="00330363">
        <w:rPr>
          <w:rStyle w:val="Refdenotaalpie"/>
          <w:rFonts w:ascii="Arial" w:eastAsia="Times New Roman" w:hAnsi="Arial" w:cs="Arial"/>
          <w:bCs/>
          <w:kern w:val="1"/>
          <w:lang w:eastAsia="ar-SA"/>
        </w:rPr>
        <w:footnoteReference w:id="52"/>
      </w:r>
      <w:r w:rsidRPr="00330363">
        <w:rPr>
          <w:rFonts w:ascii="Arial" w:eastAsia="Times New Roman" w:hAnsi="Arial" w:cs="Arial"/>
          <w:bCs/>
          <w:kern w:val="1"/>
          <w:lang w:eastAsia="ar-SA"/>
        </w:rPr>
        <w:t xml:space="preserve"> </w:t>
      </w:r>
      <w:r w:rsidR="003D4840" w:rsidRPr="00330363">
        <w:rPr>
          <w:rFonts w:ascii="Arial" w:hAnsi="Arial" w:cs="Arial"/>
        </w:rPr>
        <w:t>Al respecto,</w:t>
      </w:r>
    </w:p>
    <w:p w14:paraId="5A91A313" w14:textId="77777777" w:rsidR="00496715" w:rsidRPr="00330363" w:rsidRDefault="00496715" w:rsidP="00290CEB">
      <w:pPr>
        <w:spacing w:before="0" w:after="0"/>
        <w:rPr>
          <w:rFonts w:ascii="Arial" w:hAnsi="Arial" w:cs="Arial"/>
        </w:rPr>
      </w:pPr>
    </w:p>
    <w:p w14:paraId="2029E8FF" w14:textId="77777777" w:rsidR="00496715" w:rsidRPr="00330363" w:rsidRDefault="00496715" w:rsidP="00942BD7">
      <w:pPr>
        <w:pStyle w:val="Prrafodelista"/>
        <w:numPr>
          <w:ilvl w:val="0"/>
          <w:numId w:val="63"/>
        </w:numPr>
        <w:spacing w:before="0" w:after="0"/>
        <w:ind w:hanging="578"/>
        <w:rPr>
          <w:rFonts w:ascii="Arial" w:hAnsi="Arial" w:cs="Arial"/>
        </w:rPr>
      </w:pPr>
      <w:r w:rsidRPr="00330363">
        <w:rPr>
          <w:rFonts w:ascii="Arial" w:hAnsi="Arial" w:cs="Arial"/>
        </w:rPr>
        <w:t>L</w:t>
      </w:r>
      <w:r w:rsidR="003D4840" w:rsidRPr="00330363">
        <w:rPr>
          <w:rFonts w:ascii="Arial" w:hAnsi="Arial" w:cs="Arial"/>
        </w:rPr>
        <w:t xml:space="preserve">a Guía de Concentraciones Horizontales de </w:t>
      </w:r>
      <w:r w:rsidR="003D4840" w:rsidRPr="00330363">
        <w:rPr>
          <w:rFonts w:ascii="Arial" w:hAnsi="Arial" w:cs="Arial"/>
          <w:b/>
        </w:rPr>
        <w:t>Estados Unidos</w:t>
      </w:r>
      <w:r w:rsidR="007A31E3" w:rsidRPr="00330363">
        <w:rPr>
          <w:rFonts w:ascii="Arial" w:hAnsi="Arial" w:cs="Arial"/>
          <w:b/>
        </w:rPr>
        <w:t xml:space="preserve"> de América</w:t>
      </w:r>
      <w:r w:rsidR="003D4840" w:rsidRPr="00330363">
        <w:rPr>
          <w:rFonts w:ascii="Arial" w:hAnsi="Arial" w:cs="Arial"/>
        </w:rPr>
        <w:t xml:space="preserve"> señala que “</w:t>
      </w:r>
      <w:r w:rsidR="003D4840" w:rsidRPr="00330363">
        <w:rPr>
          <w:rFonts w:ascii="Arial" w:hAnsi="Arial" w:cs="Arial"/>
          <w:i/>
        </w:rPr>
        <w:t>Incluso cuando no se dispone de la evidencia necesaria para realizar cuantitativamente la prueba del monopolista hipotético, el marco conceptual de la prueba constituye una herramienta metodológica útil para reunir y analizar evidencia correspondiente a la sustitución de los clientes y a la definición del mercado.</w:t>
      </w:r>
      <w:r w:rsidR="003D4840" w:rsidRPr="00330363">
        <w:rPr>
          <w:rFonts w:ascii="Arial" w:hAnsi="Arial" w:cs="Arial"/>
        </w:rPr>
        <w:t xml:space="preserve"> [Las autoridades] </w:t>
      </w:r>
      <w:r w:rsidR="003D4840" w:rsidRPr="00330363">
        <w:rPr>
          <w:rFonts w:ascii="Arial" w:hAnsi="Arial" w:cs="Arial"/>
          <w:i/>
        </w:rPr>
        <w:t>siguen la prueba del monopolista hipotético en la medida de lo posible dada la evidencia disponible (…)</w:t>
      </w:r>
      <w:r w:rsidRPr="00330363">
        <w:rPr>
          <w:rFonts w:ascii="Arial" w:hAnsi="Arial" w:cs="Arial"/>
          <w:i/>
        </w:rPr>
        <w:t>.</w:t>
      </w:r>
      <w:r w:rsidR="003D4840" w:rsidRPr="00330363">
        <w:rPr>
          <w:rFonts w:ascii="Arial" w:hAnsi="Arial" w:cs="Arial"/>
          <w:i/>
        </w:rPr>
        <w:t>”</w:t>
      </w:r>
      <w:r w:rsidR="003D4840" w:rsidRPr="00330363">
        <w:rPr>
          <w:rStyle w:val="Refdenotaalpie"/>
          <w:rFonts w:ascii="Arial" w:hAnsi="Arial" w:cs="Arial"/>
        </w:rPr>
        <w:footnoteReference w:id="53"/>
      </w:r>
      <w:r w:rsidRPr="00330363">
        <w:rPr>
          <w:rFonts w:ascii="Arial" w:hAnsi="Arial" w:cs="Arial"/>
          <w:vertAlign w:val="superscript"/>
        </w:rPr>
        <w:t xml:space="preserve"> </w:t>
      </w:r>
    </w:p>
    <w:p w14:paraId="02DC30FE" w14:textId="77777777" w:rsidR="00496715" w:rsidRPr="00330363" w:rsidRDefault="00496715" w:rsidP="00942BD7">
      <w:pPr>
        <w:pStyle w:val="Prrafodelista"/>
        <w:numPr>
          <w:ilvl w:val="0"/>
          <w:numId w:val="63"/>
        </w:numPr>
        <w:spacing w:before="0" w:after="0"/>
        <w:ind w:hanging="578"/>
        <w:rPr>
          <w:rFonts w:ascii="Arial" w:hAnsi="Arial" w:cs="Arial"/>
        </w:rPr>
      </w:pPr>
      <w:r w:rsidRPr="00330363">
        <w:rPr>
          <w:rFonts w:ascii="Arial" w:hAnsi="Arial" w:cs="Arial"/>
        </w:rPr>
        <w:t xml:space="preserve">La </w:t>
      </w:r>
      <w:r w:rsidRPr="00330363">
        <w:rPr>
          <w:rFonts w:ascii="Arial" w:hAnsi="Arial" w:cs="Arial"/>
          <w:b/>
        </w:rPr>
        <w:t>CE</w:t>
      </w:r>
      <w:r w:rsidRPr="00330363">
        <w:rPr>
          <w:rFonts w:ascii="Arial" w:hAnsi="Arial" w:cs="Arial"/>
        </w:rPr>
        <w:t xml:space="preserve"> </w:t>
      </w:r>
      <w:r w:rsidR="003D4840" w:rsidRPr="00330363">
        <w:rPr>
          <w:rFonts w:ascii="Arial" w:hAnsi="Arial" w:cs="Arial"/>
        </w:rPr>
        <w:t xml:space="preserve">apunta que para aplicar la </w:t>
      </w:r>
      <w:r w:rsidR="0054322B" w:rsidRPr="00330363">
        <w:rPr>
          <w:rFonts w:ascii="Arial" w:hAnsi="Arial" w:cs="Arial"/>
        </w:rPr>
        <w:t>P</w:t>
      </w:r>
      <w:r w:rsidR="003D4840" w:rsidRPr="00330363">
        <w:rPr>
          <w:rFonts w:ascii="Arial" w:hAnsi="Arial" w:cs="Arial"/>
        </w:rPr>
        <w:t>rueba SSNIP “</w:t>
      </w:r>
      <w:r w:rsidR="003D4840" w:rsidRPr="00330363">
        <w:rPr>
          <w:rFonts w:ascii="Arial" w:hAnsi="Arial" w:cs="Arial"/>
          <w:i/>
        </w:rPr>
        <w:t>puede realizarse un ejercicio mental, que presuponga una variación pequeña y no transitoria de los precios relativos y que analice la posible reacción de los consumidores frente a esta variación</w:t>
      </w:r>
      <w:r w:rsidR="003D4840" w:rsidRPr="00330363">
        <w:rPr>
          <w:rFonts w:ascii="Arial" w:hAnsi="Arial" w:cs="Arial"/>
        </w:rPr>
        <w:t>”</w:t>
      </w:r>
      <w:r w:rsidR="003D4840" w:rsidRPr="00330363">
        <w:rPr>
          <w:rStyle w:val="Refdenotaalpie"/>
          <w:rFonts w:ascii="Arial" w:hAnsi="Arial" w:cs="Arial"/>
        </w:rPr>
        <w:footnoteReference w:id="54"/>
      </w:r>
    </w:p>
    <w:p w14:paraId="54503625" w14:textId="77777777" w:rsidR="00496715" w:rsidRPr="00330363" w:rsidRDefault="00496715" w:rsidP="00942BD7">
      <w:pPr>
        <w:pStyle w:val="Prrafodelista"/>
        <w:numPr>
          <w:ilvl w:val="0"/>
          <w:numId w:val="63"/>
        </w:numPr>
        <w:spacing w:before="0" w:after="0"/>
        <w:ind w:hanging="578"/>
        <w:rPr>
          <w:rFonts w:ascii="Arial" w:hAnsi="Arial" w:cs="Arial"/>
        </w:rPr>
      </w:pPr>
      <w:r w:rsidRPr="00330363">
        <w:rPr>
          <w:rFonts w:ascii="Arial" w:hAnsi="Arial" w:cs="Arial"/>
          <w:lang w:eastAsia="es-MX"/>
        </w:rPr>
        <w:t>L</w:t>
      </w:r>
      <w:r w:rsidR="003D4840" w:rsidRPr="00330363">
        <w:rPr>
          <w:rFonts w:ascii="Arial" w:eastAsia="Times New Roman" w:hAnsi="Arial" w:cs="Arial"/>
          <w:bCs/>
          <w:kern w:val="1"/>
          <w:lang w:eastAsia="ar-SA"/>
        </w:rPr>
        <w:t xml:space="preserve">a </w:t>
      </w:r>
      <w:r w:rsidR="003D4840" w:rsidRPr="00330363">
        <w:rPr>
          <w:rFonts w:ascii="Arial" w:eastAsia="Times New Roman" w:hAnsi="Arial" w:cs="Arial"/>
          <w:b/>
          <w:kern w:val="1"/>
          <w:lang w:eastAsia="ar-SA"/>
        </w:rPr>
        <w:t>ACCC</w:t>
      </w:r>
      <w:r w:rsidR="003D4840" w:rsidRPr="00330363">
        <w:rPr>
          <w:rFonts w:ascii="Arial" w:eastAsia="Times New Roman" w:hAnsi="Arial" w:cs="Arial"/>
          <w:bCs/>
          <w:kern w:val="1"/>
          <w:lang w:eastAsia="ar-SA"/>
        </w:rPr>
        <w:t xml:space="preserve"> advierte que esta prueba rara vez se aplica estrictamente debido a su onerosa exigencia de datos</w:t>
      </w:r>
      <w:r w:rsidRPr="00330363">
        <w:rPr>
          <w:rFonts w:ascii="Arial" w:eastAsia="Times New Roman" w:hAnsi="Arial" w:cs="Arial"/>
          <w:bCs/>
          <w:kern w:val="1"/>
          <w:lang w:eastAsia="ar-SA"/>
        </w:rPr>
        <w:t xml:space="preserve"> y </w:t>
      </w:r>
      <w:r w:rsidR="003D4840" w:rsidRPr="00330363">
        <w:rPr>
          <w:rFonts w:ascii="Arial" w:hAnsi="Arial" w:cs="Arial"/>
        </w:rPr>
        <w:t xml:space="preserve">la utiliza como una </w:t>
      </w:r>
      <w:r w:rsidRPr="00330363">
        <w:rPr>
          <w:rFonts w:ascii="Arial" w:hAnsi="Arial" w:cs="Arial"/>
        </w:rPr>
        <w:t>“</w:t>
      </w:r>
      <w:r w:rsidR="003D4840" w:rsidRPr="00330363">
        <w:rPr>
          <w:rFonts w:ascii="Arial" w:hAnsi="Arial" w:cs="Arial"/>
          <w:i/>
        </w:rPr>
        <w:t>ayuda intelectual para centrar el ejercicio</w:t>
      </w:r>
      <w:r w:rsidRPr="00330363">
        <w:rPr>
          <w:rFonts w:ascii="Arial" w:hAnsi="Arial" w:cs="Arial"/>
          <w:i/>
        </w:rPr>
        <w:t>”</w:t>
      </w:r>
      <w:r w:rsidR="003D4840" w:rsidRPr="00330363">
        <w:rPr>
          <w:rFonts w:ascii="Arial" w:hAnsi="Arial" w:cs="Arial"/>
        </w:rPr>
        <w:t>.</w:t>
      </w:r>
      <w:r w:rsidR="003D4840" w:rsidRPr="00330363">
        <w:rPr>
          <w:rStyle w:val="Refdenotaalpie"/>
          <w:rFonts w:ascii="Arial" w:hAnsi="Arial" w:cs="Arial"/>
        </w:rPr>
        <w:footnoteReference w:id="55"/>
      </w:r>
    </w:p>
    <w:p w14:paraId="243A1A4A" w14:textId="77777777" w:rsidR="00496715" w:rsidRPr="00330363" w:rsidRDefault="00496715" w:rsidP="00942BD7">
      <w:pPr>
        <w:pStyle w:val="Prrafodelista"/>
        <w:numPr>
          <w:ilvl w:val="0"/>
          <w:numId w:val="63"/>
        </w:numPr>
        <w:spacing w:before="0" w:after="0"/>
        <w:ind w:hanging="578"/>
        <w:rPr>
          <w:rFonts w:ascii="Arial" w:hAnsi="Arial" w:cs="Arial"/>
        </w:rPr>
      </w:pPr>
      <w:r w:rsidRPr="00330363">
        <w:rPr>
          <w:rFonts w:ascii="Arial" w:hAnsi="Arial" w:cs="Arial"/>
          <w:lang w:eastAsia="es-MX"/>
        </w:rPr>
        <w:t>L</w:t>
      </w:r>
      <w:r w:rsidR="003D4840" w:rsidRPr="00330363">
        <w:rPr>
          <w:rFonts w:ascii="Arial" w:hAnsi="Arial" w:cs="Arial"/>
        </w:rPr>
        <w:t xml:space="preserve">a autoridad de competencia de </w:t>
      </w:r>
      <w:r w:rsidR="003D4840" w:rsidRPr="00330363">
        <w:rPr>
          <w:rFonts w:ascii="Arial" w:hAnsi="Arial" w:cs="Arial"/>
          <w:b/>
        </w:rPr>
        <w:t>Reino Unido</w:t>
      </w:r>
      <w:r w:rsidR="003D4840" w:rsidRPr="00330363">
        <w:rPr>
          <w:rFonts w:ascii="Arial" w:hAnsi="Arial" w:cs="Arial"/>
        </w:rPr>
        <w:t xml:space="preserve"> menciona que “</w:t>
      </w:r>
      <w:r w:rsidR="003D4840" w:rsidRPr="00330363">
        <w:rPr>
          <w:rFonts w:ascii="Arial" w:hAnsi="Arial" w:cs="Arial"/>
          <w:i/>
        </w:rPr>
        <w:t xml:space="preserve">aun si la prueba </w:t>
      </w:r>
      <w:r w:rsidR="003D4840" w:rsidRPr="00330363">
        <w:rPr>
          <w:rFonts w:ascii="Arial" w:hAnsi="Arial" w:cs="Arial"/>
        </w:rPr>
        <w:t>[SSNIP]</w:t>
      </w:r>
      <w:r w:rsidR="003D4840" w:rsidRPr="00330363">
        <w:rPr>
          <w:rFonts w:ascii="Arial" w:hAnsi="Arial" w:cs="Arial"/>
          <w:i/>
        </w:rPr>
        <w:t xml:space="preserve"> pudiera realizarse con precisión, el mercado relevante no es en la práctica más que un marco de referencia apropiado para el análisis de los efectos en la competencia</w:t>
      </w:r>
      <w:r w:rsidR="003D4840" w:rsidRPr="00330363">
        <w:rPr>
          <w:rFonts w:ascii="Arial" w:hAnsi="Arial" w:cs="Arial"/>
        </w:rPr>
        <w:t>”</w:t>
      </w:r>
      <w:r w:rsidR="0055532A" w:rsidRPr="00330363">
        <w:rPr>
          <w:rFonts w:ascii="Arial" w:hAnsi="Arial" w:cs="Arial"/>
        </w:rPr>
        <w:t>.</w:t>
      </w:r>
      <w:r w:rsidR="003D4840" w:rsidRPr="00330363">
        <w:rPr>
          <w:rStyle w:val="Refdenotaalpie"/>
          <w:rFonts w:ascii="Arial" w:hAnsi="Arial" w:cs="Arial"/>
        </w:rPr>
        <w:footnoteReference w:id="56"/>
      </w:r>
      <w:r w:rsidR="003D4840" w:rsidRPr="00330363">
        <w:rPr>
          <w:rFonts w:ascii="Arial" w:hAnsi="Arial" w:cs="Arial"/>
        </w:rPr>
        <w:t xml:space="preserve"> </w:t>
      </w:r>
    </w:p>
    <w:p w14:paraId="640F4220" w14:textId="77777777" w:rsidR="003D4840" w:rsidRPr="00330363" w:rsidRDefault="00496715" w:rsidP="00942BD7">
      <w:pPr>
        <w:pStyle w:val="Prrafodelista"/>
        <w:numPr>
          <w:ilvl w:val="0"/>
          <w:numId w:val="63"/>
        </w:numPr>
        <w:spacing w:before="0" w:after="0"/>
        <w:ind w:hanging="578"/>
        <w:rPr>
          <w:rFonts w:ascii="Arial" w:hAnsi="Arial" w:cs="Arial"/>
        </w:rPr>
      </w:pPr>
      <w:r w:rsidRPr="00330363">
        <w:rPr>
          <w:rFonts w:ascii="Arial" w:hAnsi="Arial" w:cs="Arial"/>
        </w:rPr>
        <w:t>L</w:t>
      </w:r>
      <w:r w:rsidR="003D4840" w:rsidRPr="00330363">
        <w:rPr>
          <w:rFonts w:ascii="Arial" w:hAnsi="Arial" w:cs="Arial"/>
        </w:rPr>
        <w:t xml:space="preserve">a </w:t>
      </w:r>
      <w:r w:rsidR="00FE763D" w:rsidRPr="00330363">
        <w:rPr>
          <w:rFonts w:ascii="Arial" w:hAnsi="Arial" w:cs="Arial"/>
          <w:b/>
        </w:rPr>
        <w:t>CBC</w:t>
      </w:r>
      <w:r w:rsidR="00FE763D" w:rsidRPr="00330363">
        <w:rPr>
          <w:rFonts w:ascii="Arial" w:hAnsi="Arial" w:cs="Arial"/>
        </w:rPr>
        <w:t xml:space="preserve"> </w:t>
      </w:r>
      <w:r w:rsidR="003D4840" w:rsidRPr="00330363">
        <w:rPr>
          <w:rFonts w:ascii="Arial" w:hAnsi="Arial" w:cs="Arial"/>
        </w:rPr>
        <w:t>señala que “</w:t>
      </w:r>
      <w:r w:rsidR="003D4840" w:rsidRPr="00330363">
        <w:rPr>
          <w:rFonts w:ascii="Arial" w:hAnsi="Arial" w:cs="Arial"/>
          <w:i/>
        </w:rPr>
        <w:t xml:space="preserve">Independientemente de que disponga o no de evidencia estadística confiable sobre las elasticidades de la demanda (…) considera los factores que aportan evidencia de sustituibilidad, incluyendo evidencia de los participantes en el mercado </w:t>
      </w:r>
      <w:r w:rsidR="003D4840" w:rsidRPr="00330363">
        <w:rPr>
          <w:rFonts w:ascii="Arial" w:hAnsi="Arial" w:cs="Arial"/>
        </w:rPr>
        <w:t>[e]</w:t>
      </w:r>
      <w:r w:rsidR="003D4840" w:rsidRPr="00330363">
        <w:rPr>
          <w:rFonts w:ascii="Arial" w:hAnsi="Arial" w:cs="Arial"/>
          <w:i/>
        </w:rPr>
        <w:t xml:space="preserve"> indicadores funcionales</w:t>
      </w:r>
      <w:r w:rsidR="003D4840" w:rsidRPr="00330363">
        <w:rPr>
          <w:rFonts w:ascii="Arial" w:hAnsi="Arial" w:cs="Arial"/>
        </w:rPr>
        <w:t>”.</w:t>
      </w:r>
      <w:r w:rsidR="003D4840" w:rsidRPr="00330363">
        <w:rPr>
          <w:rStyle w:val="Refdenotaalpie"/>
          <w:rFonts w:ascii="Arial" w:hAnsi="Arial" w:cs="Arial"/>
        </w:rPr>
        <w:footnoteReference w:id="57"/>
      </w:r>
      <w:r w:rsidR="003D4840" w:rsidRPr="00330363">
        <w:rPr>
          <w:rFonts w:ascii="Arial" w:hAnsi="Arial" w:cs="Arial"/>
        </w:rPr>
        <w:t xml:space="preserve"> </w:t>
      </w:r>
    </w:p>
    <w:p w14:paraId="3868BD23" w14:textId="77777777" w:rsidR="00BE7289" w:rsidRPr="00330363" w:rsidRDefault="00BE7289" w:rsidP="00290CEB">
      <w:pPr>
        <w:spacing w:before="0" w:after="0"/>
        <w:rPr>
          <w:rFonts w:ascii="Arial" w:hAnsi="Arial" w:cs="Arial"/>
        </w:rPr>
      </w:pPr>
    </w:p>
    <w:p w14:paraId="252CB6B1" w14:textId="131F949C" w:rsidR="003D4840" w:rsidRPr="00931D46" w:rsidRDefault="00496715" w:rsidP="00290CEB">
      <w:pPr>
        <w:spacing w:before="0" w:after="0"/>
        <w:rPr>
          <w:rFonts w:ascii="Arial" w:hAnsi="Arial" w:cs="Arial"/>
        </w:rPr>
      </w:pPr>
      <w:r w:rsidRPr="00330363">
        <w:rPr>
          <w:rFonts w:ascii="Arial" w:hAnsi="Arial" w:cs="Arial"/>
        </w:rPr>
        <w:t>De acuerdo con lo anterior</w:t>
      </w:r>
      <w:r w:rsidR="003D4840" w:rsidRPr="00330363">
        <w:rPr>
          <w:rFonts w:ascii="Arial" w:hAnsi="Arial" w:cs="Arial"/>
        </w:rPr>
        <w:t xml:space="preserve">, la aplicación de la </w:t>
      </w:r>
      <w:r w:rsidRPr="00330363">
        <w:rPr>
          <w:rFonts w:ascii="Arial" w:hAnsi="Arial" w:cs="Arial"/>
        </w:rPr>
        <w:t>P</w:t>
      </w:r>
      <w:r w:rsidR="003D4840" w:rsidRPr="00330363">
        <w:rPr>
          <w:rFonts w:ascii="Arial" w:hAnsi="Arial" w:cs="Arial"/>
        </w:rPr>
        <w:t xml:space="preserve">rueba </w:t>
      </w:r>
      <w:r w:rsidRPr="00330363">
        <w:rPr>
          <w:rFonts w:ascii="Arial" w:hAnsi="Arial" w:cs="Arial"/>
        </w:rPr>
        <w:t xml:space="preserve">SSNIP </w:t>
      </w:r>
      <w:r w:rsidR="003D4840" w:rsidRPr="00330363">
        <w:rPr>
          <w:rFonts w:ascii="Arial" w:hAnsi="Arial" w:cs="Arial"/>
        </w:rPr>
        <w:t>puede ser sólo un marco para el análisis de sustitución</w:t>
      </w:r>
      <w:r w:rsidRPr="00330363">
        <w:rPr>
          <w:rFonts w:ascii="Arial" w:hAnsi="Arial" w:cs="Arial"/>
        </w:rPr>
        <w:t xml:space="preserve"> y </w:t>
      </w:r>
      <w:r w:rsidR="003D4840" w:rsidRPr="00330363">
        <w:rPr>
          <w:rFonts w:ascii="Arial" w:hAnsi="Arial" w:cs="Arial"/>
        </w:rPr>
        <w:t>no conlleva necesariamente realizar un análisis cuantitativo, pues además de que ello no se prevé explícitamente en el artículo 58 de la LFCE, la implementación cuantitativa o empírica de la prueba a través de la especificación econométrica de algún modelo que describa el comportamiento del consumidor requiere un uso intensivo de datos, que en la práctica difícilmente están disponibles o son comparables.</w:t>
      </w:r>
      <w:r w:rsidR="00170BD5" w:rsidRPr="00330363">
        <w:rPr>
          <w:rStyle w:val="Refdenotaalpie"/>
          <w:rFonts w:ascii="Arial" w:hAnsi="Arial" w:cs="Arial"/>
          <w:bCs/>
        </w:rPr>
        <w:footnoteReference w:id="58"/>
      </w:r>
    </w:p>
    <w:p w14:paraId="3F696903" w14:textId="77777777" w:rsidR="00415680" w:rsidRPr="00931D46" w:rsidRDefault="00415680" w:rsidP="00290CEB">
      <w:pPr>
        <w:spacing w:before="0" w:after="0"/>
        <w:rPr>
          <w:rFonts w:ascii="Arial" w:hAnsi="Arial" w:cs="Arial"/>
        </w:rPr>
      </w:pPr>
    </w:p>
    <w:p w14:paraId="03A9C45E" w14:textId="2387EA3F" w:rsidR="00BA7849" w:rsidRDefault="00BA7849" w:rsidP="00290CEB">
      <w:pPr>
        <w:spacing w:before="0" w:after="0"/>
        <w:rPr>
          <w:rFonts w:ascii="Arial" w:hAnsi="Arial" w:cs="Arial"/>
        </w:rPr>
      </w:pPr>
      <w:r>
        <w:rPr>
          <w:rFonts w:ascii="Arial" w:hAnsi="Arial" w:cs="Arial"/>
        </w:rPr>
        <w:t xml:space="preserve">Adicionalmente, </w:t>
      </w:r>
      <w:r w:rsidR="00F46F41">
        <w:rPr>
          <w:rFonts w:ascii="Arial" w:hAnsi="Arial" w:cs="Arial"/>
        </w:rPr>
        <w:t xml:space="preserve">en cuanto a los precios de referencia para realizar la prueba, </w:t>
      </w:r>
      <w:r>
        <w:rPr>
          <w:rFonts w:ascii="Arial" w:hAnsi="Arial" w:cs="Arial"/>
        </w:rPr>
        <w:t>p</w:t>
      </w:r>
      <w:r w:rsidR="00415680" w:rsidRPr="00931D46">
        <w:rPr>
          <w:rFonts w:ascii="Arial" w:hAnsi="Arial" w:cs="Arial"/>
        </w:rPr>
        <w:t>ara el caso de concentraciones, la Guía de Concentraciones Horizontales de Estados Unidos</w:t>
      </w:r>
      <w:r w:rsidR="00FE763D" w:rsidRPr="00931D46">
        <w:rPr>
          <w:rFonts w:ascii="Arial" w:hAnsi="Arial" w:cs="Arial"/>
        </w:rPr>
        <w:t xml:space="preserve"> de América</w:t>
      </w:r>
      <w:r w:rsidR="00415680" w:rsidRPr="00931D46">
        <w:rPr>
          <w:rFonts w:ascii="Arial" w:hAnsi="Arial" w:cs="Arial"/>
        </w:rPr>
        <w:t xml:space="preserve"> señala que la Prueba SSNIP se aplica “</w:t>
      </w:r>
      <w:r w:rsidR="00415680" w:rsidRPr="00931D46">
        <w:rPr>
          <w:rFonts w:ascii="Arial" w:hAnsi="Arial" w:cs="Arial"/>
          <w:i/>
        </w:rPr>
        <w:t xml:space="preserve">a partir de los precios que probablemente prevalecerían en ausencia de la </w:t>
      </w:r>
      <w:r w:rsidR="00780C47" w:rsidRPr="00931D46">
        <w:rPr>
          <w:rFonts w:ascii="Arial" w:hAnsi="Arial" w:cs="Arial"/>
          <w:i/>
        </w:rPr>
        <w:t>concentración</w:t>
      </w:r>
      <w:r w:rsidR="00415680" w:rsidRPr="00931D46">
        <w:rPr>
          <w:rFonts w:ascii="Arial" w:hAnsi="Arial" w:cs="Arial"/>
          <w:i/>
        </w:rPr>
        <w:t xml:space="preserve"> (…) Si es probable que los precios cambien en ausencia de la </w:t>
      </w:r>
      <w:r w:rsidR="00780C47" w:rsidRPr="00931D46">
        <w:rPr>
          <w:rFonts w:ascii="Arial" w:hAnsi="Arial" w:cs="Arial"/>
          <w:i/>
        </w:rPr>
        <w:t>concentración</w:t>
      </w:r>
      <w:r w:rsidR="00415680" w:rsidRPr="00931D46">
        <w:rPr>
          <w:rFonts w:ascii="Arial" w:hAnsi="Arial" w:cs="Arial"/>
          <w:i/>
        </w:rPr>
        <w:t>, por ejemplo, debido a la innovación o a la entrada</w:t>
      </w:r>
      <w:r w:rsidR="00415680" w:rsidRPr="00931D46">
        <w:rPr>
          <w:rFonts w:ascii="Arial" w:hAnsi="Arial" w:cs="Arial"/>
        </w:rPr>
        <w:t>, [es posible]</w:t>
      </w:r>
      <w:r w:rsidR="00415680" w:rsidRPr="00931D46">
        <w:rPr>
          <w:rFonts w:ascii="Arial" w:hAnsi="Arial" w:cs="Arial"/>
          <w:i/>
        </w:rPr>
        <w:t xml:space="preserve"> utilizar los precios futuros anticipados como punto de referencia para la prueba</w:t>
      </w:r>
      <w:r w:rsidR="00415680" w:rsidRPr="00931D46">
        <w:rPr>
          <w:rFonts w:ascii="Arial" w:hAnsi="Arial" w:cs="Arial"/>
        </w:rPr>
        <w:t xml:space="preserve">. </w:t>
      </w:r>
      <w:r w:rsidR="00415680" w:rsidRPr="00931D46">
        <w:rPr>
          <w:rFonts w:ascii="Arial" w:hAnsi="Arial" w:cs="Arial"/>
          <w:i/>
        </w:rPr>
        <w:t xml:space="preserve">Si los precios pueden caer en ausencia de la </w:t>
      </w:r>
      <w:r w:rsidR="00780C47" w:rsidRPr="00931D46">
        <w:rPr>
          <w:rFonts w:ascii="Arial" w:hAnsi="Arial" w:cs="Arial"/>
          <w:i/>
        </w:rPr>
        <w:t xml:space="preserve">concentración </w:t>
      </w:r>
      <w:r w:rsidR="00415680" w:rsidRPr="00931D46">
        <w:rPr>
          <w:rFonts w:ascii="Arial" w:hAnsi="Arial" w:cs="Arial"/>
          <w:i/>
        </w:rPr>
        <w:t xml:space="preserve">debido a la ruptura de la coordinación previa a la misma, </w:t>
      </w:r>
      <w:r w:rsidR="00415680" w:rsidRPr="00931D46">
        <w:rPr>
          <w:rFonts w:ascii="Arial" w:hAnsi="Arial" w:cs="Arial"/>
        </w:rPr>
        <w:t>[se]</w:t>
      </w:r>
      <w:r w:rsidR="00415680" w:rsidRPr="00931D46">
        <w:rPr>
          <w:rFonts w:ascii="Arial" w:hAnsi="Arial" w:cs="Arial"/>
          <w:i/>
        </w:rPr>
        <w:t xml:space="preserve"> pueden utilizar esos precios más bajos como punto de referencia para la prueba.</w:t>
      </w:r>
      <w:r w:rsidR="00415680" w:rsidRPr="00931D46">
        <w:rPr>
          <w:rFonts w:ascii="Arial" w:hAnsi="Arial" w:cs="Arial"/>
        </w:rPr>
        <w:t>”</w:t>
      </w:r>
      <w:r w:rsidR="00415680" w:rsidRPr="00931D46">
        <w:rPr>
          <w:rStyle w:val="Refdenotaalpie"/>
          <w:rFonts w:ascii="Arial" w:hAnsi="Arial" w:cs="Arial"/>
          <w:lang w:eastAsia="es-MX"/>
        </w:rPr>
        <w:footnoteReference w:id="59"/>
      </w:r>
      <w:r w:rsidR="00415680" w:rsidRPr="00931D46">
        <w:rPr>
          <w:rFonts w:ascii="Arial" w:hAnsi="Arial" w:cs="Arial"/>
        </w:rPr>
        <w:t xml:space="preserve"> </w:t>
      </w:r>
    </w:p>
    <w:p w14:paraId="62BC3F31" w14:textId="77777777" w:rsidR="00BA7849" w:rsidRDefault="00BA7849" w:rsidP="00290CEB">
      <w:pPr>
        <w:spacing w:before="0" w:after="0"/>
        <w:rPr>
          <w:rFonts w:ascii="Arial" w:hAnsi="Arial" w:cs="Arial"/>
        </w:rPr>
      </w:pPr>
    </w:p>
    <w:p w14:paraId="49EE6138" w14:textId="1716DA2A" w:rsidR="00415680" w:rsidRPr="00931D46" w:rsidRDefault="00415680" w:rsidP="00290CEB">
      <w:pPr>
        <w:spacing w:before="0" w:after="0"/>
        <w:rPr>
          <w:rFonts w:ascii="Arial" w:hAnsi="Arial" w:cs="Arial"/>
        </w:rPr>
      </w:pPr>
      <w:r w:rsidRPr="00931D46">
        <w:rPr>
          <w:rFonts w:ascii="Arial" w:hAnsi="Arial" w:cs="Arial"/>
        </w:rPr>
        <w:t>En un sentido similar, la autoridad de competencia de Canadá señala que el precio base utilizado para considerar un aumento de precio suele ser el precio vigente en el mercado, aunque se puede “</w:t>
      </w:r>
      <w:r w:rsidRPr="00931D46">
        <w:rPr>
          <w:rFonts w:ascii="Arial" w:hAnsi="Arial" w:cs="Arial"/>
          <w:i/>
        </w:rPr>
        <w:t xml:space="preserve">optar por no utilizar el precio vigente cuando las condiciones del mercado (en ausencia de la </w:t>
      </w:r>
      <w:r w:rsidR="00780C47" w:rsidRPr="00931D46">
        <w:rPr>
          <w:rFonts w:ascii="Arial" w:hAnsi="Arial" w:cs="Arial"/>
          <w:i/>
        </w:rPr>
        <w:t>concentración</w:t>
      </w:r>
      <w:r w:rsidRPr="00931D46">
        <w:rPr>
          <w:rFonts w:ascii="Arial" w:hAnsi="Arial" w:cs="Arial"/>
          <w:i/>
        </w:rPr>
        <w:t>) probablemente darían lugar a un precio más bajo o más alto en el futuro”</w:t>
      </w:r>
      <w:r w:rsidRPr="00931D46">
        <w:rPr>
          <w:rFonts w:ascii="Arial" w:hAnsi="Arial" w:cs="Arial"/>
        </w:rPr>
        <w:t>.</w:t>
      </w:r>
      <w:r w:rsidRPr="00931D46">
        <w:rPr>
          <w:rStyle w:val="Refdenotaalpie"/>
          <w:rFonts w:ascii="Arial" w:hAnsi="Arial" w:cs="Arial"/>
          <w:lang w:eastAsia="es-MX"/>
        </w:rPr>
        <w:footnoteReference w:id="60"/>
      </w:r>
    </w:p>
    <w:p w14:paraId="591485F9" w14:textId="77777777" w:rsidR="003D4840" w:rsidRPr="00931D46" w:rsidRDefault="003D4840" w:rsidP="00290CEB">
      <w:pPr>
        <w:spacing w:before="0" w:after="0"/>
        <w:rPr>
          <w:rFonts w:ascii="Arial" w:hAnsi="Arial" w:cs="Arial"/>
          <w:highlight w:val="yellow"/>
          <w:lang w:eastAsia="es-MX"/>
        </w:rPr>
      </w:pPr>
    </w:p>
    <w:p w14:paraId="03647921" w14:textId="77777777" w:rsidR="003D4840" w:rsidRPr="00931D46" w:rsidRDefault="003D4840" w:rsidP="00333B85">
      <w:pPr>
        <w:pStyle w:val="Ttulo4"/>
        <w:keepLines w:val="0"/>
        <w:numPr>
          <w:ilvl w:val="3"/>
          <w:numId w:val="3"/>
        </w:numPr>
        <w:spacing w:before="0" w:line="276" w:lineRule="auto"/>
        <w:ind w:left="2268" w:hanging="1077"/>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Análisis de pérdida crítica</w:t>
      </w:r>
    </w:p>
    <w:p w14:paraId="40878808" w14:textId="77777777" w:rsidR="00290CEB" w:rsidRPr="00931D46" w:rsidRDefault="00290CEB" w:rsidP="00333B85">
      <w:pPr>
        <w:keepNext/>
        <w:spacing w:before="0" w:after="0"/>
        <w:rPr>
          <w:rFonts w:ascii="Arial" w:hAnsi="Arial" w:cs="Arial"/>
          <w:highlight w:val="yellow"/>
        </w:rPr>
      </w:pPr>
    </w:p>
    <w:p w14:paraId="2A7A78B8" w14:textId="39931C5E" w:rsidR="003D4840" w:rsidRPr="00931D46" w:rsidRDefault="00F925E9" w:rsidP="00290CEB">
      <w:pPr>
        <w:spacing w:before="0" w:after="0"/>
        <w:rPr>
          <w:rFonts w:ascii="Arial" w:hAnsi="Arial" w:cs="Arial"/>
        </w:rPr>
      </w:pPr>
      <w:r w:rsidRPr="00931D46">
        <w:rPr>
          <w:rFonts w:ascii="Arial" w:hAnsi="Arial" w:cs="Arial"/>
        </w:rPr>
        <w:t xml:space="preserve">Una de las preguntas que surge en la aplicación práctica de la Prueba SSNIP es ¿de qué magnitud debería ser la pérdida de rentabilidad del monopolista hipotético para considerar si un </w:t>
      </w:r>
      <w:r w:rsidR="00330363">
        <w:rPr>
          <w:rFonts w:ascii="Arial" w:hAnsi="Arial" w:cs="Arial"/>
        </w:rPr>
        <w:t>producto</w:t>
      </w:r>
      <w:r w:rsidRPr="00931D46">
        <w:rPr>
          <w:rFonts w:ascii="Arial" w:hAnsi="Arial" w:cs="Arial"/>
        </w:rPr>
        <w:t xml:space="preserve"> es sustituto o no del </w:t>
      </w:r>
      <w:r w:rsidR="00330363">
        <w:rPr>
          <w:rFonts w:ascii="Arial" w:hAnsi="Arial" w:cs="Arial"/>
        </w:rPr>
        <w:t>producto</w:t>
      </w:r>
      <w:r w:rsidRPr="00931D46">
        <w:rPr>
          <w:rFonts w:ascii="Arial" w:hAnsi="Arial" w:cs="Arial"/>
        </w:rPr>
        <w:t xml:space="preserve"> bajo análisis? Uno de los enfoques más conocidos para abordar este tema es el análisis de </w:t>
      </w:r>
      <w:r w:rsidR="003D4840" w:rsidRPr="00931D46">
        <w:rPr>
          <w:rFonts w:ascii="Arial" w:hAnsi="Arial" w:cs="Arial"/>
        </w:rPr>
        <w:t>pérdida crítica,</w:t>
      </w:r>
      <w:r w:rsidR="003D4840" w:rsidRPr="00931D46">
        <w:rPr>
          <w:rStyle w:val="Refdenotaalpie"/>
          <w:rFonts w:ascii="Arial" w:hAnsi="Arial" w:cs="Arial"/>
        </w:rPr>
        <w:footnoteReference w:id="61"/>
      </w:r>
      <w:r w:rsidR="003D4840" w:rsidRPr="00931D46">
        <w:rPr>
          <w:rFonts w:ascii="Arial" w:hAnsi="Arial" w:cs="Arial"/>
        </w:rPr>
        <w:t xml:space="preserve"> que puede aplicarse cuando los datos necesarios se encuentran disponibles y se define, de manera general, como “</w:t>
      </w:r>
      <w:r w:rsidR="003D4840" w:rsidRPr="00931D46">
        <w:rPr>
          <w:rFonts w:ascii="Arial" w:hAnsi="Arial" w:cs="Arial"/>
          <w:i/>
        </w:rPr>
        <w:t xml:space="preserve">el número de unidades perdidas en ventas que dejaría las ganancias </w:t>
      </w:r>
      <w:r w:rsidR="003D4840" w:rsidRPr="00931D46">
        <w:rPr>
          <w:rFonts w:ascii="Arial" w:hAnsi="Arial" w:cs="Arial"/>
        </w:rPr>
        <w:t>[del monopolista</w:t>
      </w:r>
      <w:r w:rsidRPr="00931D46">
        <w:rPr>
          <w:rFonts w:ascii="Arial" w:hAnsi="Arial" w:cs="Arial"/>
        </w:rPr>
        <w:t xml:space="preserve"> hipotético</w:t>
      </w:r>
      <w:r w:rsidR="003D4840" w:rsidRPr="00931D46">
        <w:rPr>
          <w:rFonts w:ascii="Arial" w:hAnsi="Arial" w:cs="Arial"/>
        </w:rPr>
        <w:t>]</w:t>
      </w:r>
      <w:r w:rsidR="003D4840" w:rsidRPr="00931D46">
        <w:rPr>
          <w:rFonts w:ascii="Arial" w:hAnsi="Arial" w:cs="Arial"/>
          <w:i/>
        </w:rPr>
        <w:t xml:space="preserve"> sin cambios</w:t>
      </w:r>
      <w:r w:rsidR="003D4840" w:rsidRPr="00931D46">
        <w:rPr>
          <w:rFonts w:ascii="Arial" w:hAnsi="Arial" w:cs="Arial"/>
        </w:rPr>
        <w:t>”</w:t>
      </w:r>
      <w:r w:rsidR="003D4840" w:rsidRPr="00931D46">
        <w:rPr>
          <w:rStyle w:val="Refdenotaalpie"/>
          <w:rFonts w:ascii="Arial" w:hAnsi="Arial" w:cs="Arial"/>
        </w:rPr>
        <w:footnoteReference w:id="62"/>
      </w:r>
      <w:r w:rsidR="003D4840" w:rsidRPr="00931D46">
        <w:rPr>
          <w:rFonts w:ascii="Arial" w:hAnsi="Arial" w:cs="Arial"/>
        </w:rPr>
        <w:t xml:space="preserve"> o</w:t>
      </w:r>
      <w:r w:rsidRPr="00931D46">
        <w:rPr>
          <w:rFonts w:ascii="Arial" w:hAnsi="Arial" w:cs="Arial"/>
        </w:rPr>
        <w:t>,</w:t>
      </w:r>
      <w:r w:rsidR="003D4840" w:rsidRPr="00931D46">
        <w:rPr>
          <w:rFonts w:ascii="Arial" w:hAnsi="Arial" w:cs="Arial"/>
        </w:rPr>
        <w:t xml:space="preserve"> más específicamente</w:t>
      </w:r>
      <w:r w:rsidRPr="00931D46">
        <w:rPr>
          <w:rFonts w:ascii="Arial" w:hAnsi="Arial" w:cs="Arial"/>
        </w:rPr>
        <w:t>,</w:t>
      </w:r>
      <w:r w:rsidR="003D4840" w:rsidRPr="00931D46">
        <w:rPr>
          <w:rFonts w:ascii="Arial" w:hAnsi="Arial" w:cs="Arial"/>
        </w:rPr>
        <w:t xml:space="preserve"> como “</w:t>
      </w:r>
      <w:r w:rsidR="003D4840" w:rsidRPr="00931D46">
        <w:rPr>
          <w:rFonts w:ascii="Arial" w:hAnsi="Arial" w:cs="Arial"/>
          <w:i/>
        </w:rPr>
        <w:t>la pérdida porcentual mínima en volumen de ventas necesaria para que un aumento de precio del 5 (o del 10)% de un producto no sea rentable</w:t>
      </w:r>
      <w:r w:rsidR="003D4840" w:rsidRPr="00931D46">
        <w:rPr>
          <w:rFonts w:ascii="Arial" w:hAnsi="Arial" w:cs="Arial"/>
        </w:rPr>
        <w:t>”.</w:t>
      </w:r>
      <w:r w:rsidR="003D4840" w:rsidRPr="00931D46">
        <w:rPr>
          <w:rStyle w:val="Refdenotaalpie"/>
          <w:rFonts w:ascii="Arial" w:hAnsi="Arial" w:cs="Arial"/>
        </w:rPr>
        <w:footnoteReference w:id="63"/>
      </w:r>
      <w:r w:rsidR="003D4840" w:rsidRPr="00931D46">
        <w:rPr>
          <w:rFonts w:ascii="Arial" w:hAnsi="Arial" w:cs="Arial"/>
        </w:rPr>
        <w:t xml:space="preserve"> </w:t>
      </w:r>
    </w:p>
    <w:p w14:paraId="3775EE35" w14:textId="77777777" w:rsidR="00BE7289" w:rsidRPr="00931D46" w:rsidRDefault="00BE7289" w:rsidP="00290CEB">
      <w:pPr>
        <w:spacing w:before="0" w:after="0"/>
        <w:rPr>
          <w:rFonts w:ascii="Arial" w:hAnsi="Arial" w:cs="Arial"/>
        </w:rPr>
      </w:pPr>
    </w:p>
    <w:p w14:paraId="4240260B" w14:textId="77777777" w:rsidR="003D4840" w:rsidRPr="00931D46" w:rsidRDefault="003D4840" w:rsidP="00290CEB">
      <w:pPr>
        <w:spacing w:before="0" w:after="0"/>
        <w:rPr>
          <w:rFonts w:ascii="Arial" w:hAnsi="Arial" w:cs="Arial"/>
        </w:rPr>
      </w:pPr>
      <w:r w:rsidRPr="00931D46">
        <w:rPr>
          <w:rFonts w:ascii="Arial" w:hAnsi="Arial" w:cs="Arial"/>
        </w:rPr>
        <w:t xml:space="preserve">El razonamiento detrás de este análisis es que un aumento en el precio por parte del monopolista tiene dos efectos: aumenta el margen </w:t>
      </w:r>
      <w:r w:rsidR="00F925E9" w:rsidRPr="00931D46">
        <w:rPr>
          <w:rFonts w:ascii="Arial" w:hAnsi="Arial" w:cs="Arial"/>
        </w:rPr>
        <w:t xml:space="preserve">de ganancia sobre las unidades </w:t>
      </w:r>
      <w:r w:rsidRPr="00931D46">
        <w:rPr>
          <w:rFonts w:ascii="Arial" w:hAnsi="Arial" w:cs="Arial"/>
        </w:rPr>
        <w:t>que sigue vendiendo después del incremento del precio, pero disminuye la cantidad que vende, por lo tanto, “</w:t>
      </w:r>
      <w:r w:rsidRPr="00931D46">
        <w:rPr>
          <w:rFonts w:ascii="Arial" w:hAnsi="Arial" w:cs="Arial"/>
          <w:i/>
        </w:rPr>
        <w:t>un aumento de precio sólo es rentable si el ingreso adicional debido a las ventas con un margen más alto es mayor que la reducción del ingreso debida a la disminución en la cantidad vendida</w:t>
      </w:r>
      <w:r w:rsidRPr="00931D46">
        <w:rPr>
          <w:rFonts w:ascii="Arial" w:hAnsi="Arial" w:cs="Arial"/>
        </w:rPr>
        <w:t>”.</w:t>
      </w:r>
      <w:r w:rsidRPr="00931D46">
        <w:rPr>
          <w:rStyle w:val="Refdenotaalpie"/>
          <w:rFonts w:ascii="Arial" w:hAnsi="Arial" w:cs="Arial"/>
        </w:rPr>
        <w:footnoteReference w:id="64"/>
      </w:r>
    </w:p>
    <w:p w14:paraId="32005614" w14:textId="77777777" w:rsidR="00BE7289" w:rsidRPr="00931D46" w:rsidRDefault="00BE7289" w:rsidP="00290CEB">
      <w:pPr>
        <w:spacing w:before="0" w:after="0"/>
        <w:rPr>
          <w:rFonts w:ascii="Arial" w:hAnsi="Arial" w:cs="Arial"/>
        </w:rPr>
      </w:pPr>
    </w:p>
    <w:p w14:paraId="51F30E30" w14:textId="77777777" w:rsidR="00F925E9" w:rsidRPr="00931D46" w:rsidRDefault="00F925E9" w:rsidP="00290CEB">
      <w:pPr>
        <w:spacing w:before="0" w:after="0"/>
        <w:rPr>
          <w:rFonts w:ascii="Arial" w:hAnsi="Arial" w:cs="Arial"/>
        </w:rPr>
      </w:pPr>
      <w:r w:rsidRPr="00931D46">
        <w:rPr>
          <w:rFonts w:ascii="Arial" w:hAnsi="Arial" w:cs="Arial"/>
        </w:rPr>
        <w:t>Así, e</w:t>
      </w:r>
      <w:r w:rsidR="003D4840" w:rsidRPr="00931D46">
        <w:rPr>
          <w:rFonts w:ascii="Arial" w:hAnsi="Arial" w:cs="Arial"/>
        </w:rPr>
        <w:t>n términos generales, el análisis consiste en comparar la pérdida crítica y la pérdida real esperada en la que incurriría una empresa por un aumento de precio.</w:t>
      </w:r>
      <w:r w:rsidR="003D4840" w:rsidRPr="00931D46">
        <w:rPr>
          <w:rStyle w:val="Refdenotaalpie"/>
          <w:rFonts w:ascii="Arial" w:hAnsi="Arial" w:cs="Arial"/>
        </w:rPr>
        <w:t xml:space="preserve"> </w:t>
      </w:r>
      <w:r w:rsidR="003D4840" w:rsidRPr="00931D46">
        <w:rPr>
          <w:rFonts w:ascii="Arial" w:hAnsi="Arial" w:cs="Arial"/>
        </w:rPr>
        <w:t>Por lo tanto, el primer paso es calcular el valor de la pérdida crítica a partir de un ejercicio algebraico que involucra los datos de los precios y márgenes del monopolista hipotético</w:t>
      </w:r>
      <w:r w:rsidRPr="00931D46">
        <w:rPr>
          <w:rFonts w:ascii="Arial" w:hAnsi="Arial" w:cs="Arial"/>
        </w:rPr>
        <w:t>, como se especifica a continuación</w:t>
      </w:r>
      <w:r w:rsidR="003D4840" w:rsidRPr="00931D46">
        <w:rPr>
          <w:rFonts w:ascii="Arial" w:hAnsi="Arial" w:cs="Arial"/>
        </w:rPr>
        <w:t>.</w:t>
      </w:r>
    </w:p>
    <w:p w14:paraId="747427DE" w14:textId="77777777" w:rsidR="00F925E9" w:rsidRPr="00931D46" w:rsidRDefault="00F925E9" w:rsidP="00290CEB">
      <w:pPr>
        <w:spacing w:before="0" w:after="0"/>
        <w:rPr>
          <w:rFonts w:ascii="Arial" w:hAnsi="Arial" w:cs="Arial"/>
          <w:highlight w:val="yellow"/>
        </w:rPr>
      </w:pPr>
    </w:p>
    <w:p w14:paraId="272A6716" w14:textId="77777777" w:rsidR="00F925E9" w:rsidRPr="00931D46" w:rsidRDefault="00F925E9" w:rsidP="00F925E9">
      <w:pPr>
        <w:pStyle w:val="Textonotapie"/>
        <w:rPr>
          <w:rFonts w:ascii="Arial" w:eastAsiaTheme="minorEastAsia" w:hAnsi="Arial" w:cs="Arial"/>
          <w:sz w:val="22"/>
          <w:szCs w:val="22"/>
        </w:rPr>
      </w:pPr>
      <m:oMathPara>
        <m:oMath>
          <m:r>
            <w:rPr>
              <w:rFonts w:ascii="Cambria Math" w:hAnsi="Cambria Math" w:cs="Arial"/>
              <w:sz w:val="22"/>
              <w:szCs w:val="22"/>
            </w:rPr>
            <m:t xml:space="preserve">Pérdida Critica= </m:t>
          </m:r>
          <m:f>
            <m:fPr>
              <m:ctrlPr>
                <w:rPr>
                  <w:rFonts w:ascii="Cambria Math" w:hAnsi="Cambria Math" w:cs="Arial"/>
                  <w:i/>
                  <w:sz w:val="22"/>
                  <w:szCs w:val="22"/>
                </w:rPr>
              </m:ctrlPr>
            </m:fPr>
            <m:num>
              <m:r>
                <w:rPr>
                  <w:rFonts w:ascii="Cambria Math" w:hAnsi="Cambria Math" w:cs="Arial"/>
                  <w:sz w:val="22"/>
                  <w:szCs w:val="22"/>
                </w:rPr>
                <m:t>100(∆%Precio)</m:t>
              </m:r>
            </m:num>
            <m:den>
              <m:r>
                <w:rPr>
                  <w:rFonts w:ascii="Cambria Math" w:hAnsi="Cambria Math" w:cs="Arial"/>
                  <w:sz w:val="22"/>
                  <w:szCs w:val="22"/>
                </w:rPr>
                <m:t>∆%Precio+%Margen inicial</m:t>
              </m:r>
            </m:den>
          </m:f>
        </m:oMath>
      </m:oMathPara>
    </w:p>
    <w:p w14:paraId="20C17F26" w14:textId="77777777" w:rsidR="00F925E9" w:rsidRPr="00931D46" w:rsidRDefault="00F925E9" w:rsidP="00F925E9">
      <w:pPr>
        <w:pStyle w:val="Textonotapie"/>
        <w:ind w:left="708" w:firstLine="708"/>
        <w:rPr>
          <w:rFonts w:ascii="Arial" w:hAnsi="Arial" w:cs="Arial"/>
          <w:sz w:val="22"/>
          <w:szCs w:val="22"/>
        </w:rPr>
      </w:pPr>
      <w:r w:rsidRPr="00931D46">
        <w:rPr>
          <w:rFonts w:ascii="Arial" w:hAnsi="Arial" w:cs="Arial"/>
          <w:sz w:val="22"/>
          <w:szCs w:val="22"/>
        </w:rPr>
        <w:t xml:space="preserve">Donde: </w:t>
      </w:r>
    </w:p>
    <w:p w14:paraId="3A37AB93" w14:textId="77777777" w:rsidR="00F925E9" w:rsidRPr="00931D46" w:rsidRDefault="00F925E9" w:rsidP="00F925E9">
      <w:pPr>
        <w:pStyle w:val="Textonotapie"/>
        <w:ind w:left="708" w:firstLine="708"/>
        <w:rPr>
          <w:rFonts w:ascii="Arial" w:hAnsi="Arial" w:cs="Arial"/>
          <w:sz w:val="22"/>
          <w:szCs w:val="22"/>
        </w:rPr>
      </w:pPr>
      <w:r w:rsidRPr="00931D46">
        <w:rPr>
          <w:rFonts w:ascii="Arial" w:hAnsi="Arial" w:cs="Arial"/>
          <w:sz w:val="22"/>
          <w:szCs w:val="22"/>
        </w:rPr>
        <w:t>∆%Precio: es el incremento porcentual que se aplicaría al precio.</w:t>
      </w:r>
    </w:p>
    <w:p w14:paraId="04BDE6EB" w14:textId="77777777" w:rsidR="00F925E9" w:rsidRPr="00931D46" w:rsidRDefault="00F925E9" w:rsidP="00F925E9">
      <w:pPr>
        <w:pStyle w:val="Textonotapie"/>
        <w:ind w:left="708" w:firstLine="708"/>
        <w:rPr>
          <w:rFonts w:ascii="Arial" w:hAnsi="Arial" w:cs="Arial"/>
          <w:sz w:val="22"/>
          <w:szCs w:val="22"/>
        </w:rPr>
      </w:pPr>
      <w:r w:rsidRPr="00931D46">
        <w:rPr>
          <w:rFonts w:ascii="Arial" w:hAnsi="Arial" w:cs="Arial"/>
          <w:sz w:val="22"/>
          <w:szCs w:val="22"/>
        </w:rPr>
        <w:t xml:space="preserve">% Margen inicial: es </w:t>
      </w:r>
      <w:r w:rsidR="00AA5727" w:rsidRPr="00931D46">
        <w:rPr>
          <w:rFonts w:ascii="Arial" w:hAnsi="Arial" w:cs="Arial"/>
          <w:sz w:val="22"/>
          <w:szCs w:val="22"/>
        </w:rPr>
        <w:t xml:space="preserve">el </w:t>
      </w:r>
      <w:r w:rsidRPr="00931D46">
        <w:rPr>
          <w:rFonts w:ascii="Arial" w:hAnsi="Arial" w:cs="Arial"/>
          <w:sz w:val="22"/>
          <w:szCs w:val="22"/>
        </w:rPr>
        <w:t>margen de ganancia implícito en el precio inicial.</w:t>
      </w:r>
    </w:p>
    <w:p w14:paraId="045087E9" w14:textId="77777777" w:rsidR="001B0C6E" w:rsidRPr="00931D46" w:rsidRDefault="001B0C6E" w:rsidP="00290CEB">
      <w:pPr>
        <w:spacing w:before="0" w:after="0"/>
        <w:rPr>
          <w:rFonts w:ascii="Arial" w:hAnsi="Arial" w:cs="Arial"/>
        </w:rPr>
      </w:pPr>
    </w:p>
    <w:p w14:paraId="207AB483" w14:textId="77777777" w:rsidR="003D4840" w:rsidRPr="00931D46" w:rsidRDefault="003D4840" w:rsidP="00290CEB">
      <w:pPr>
        <w:spacing w:before="0" w:after="0"/>
        <w:rPr>
          <w:rFonts w:ascii="Arial" w:hAnsi="Arial" w:cs="Arial"/>
        </w:rPr>
      </w:pPr>
      <w:r w:rsidRPr="00931D46">
        <w:rPr>
          <w:rFonts w:ascii="Arial" w:hAnsi="Arial" w:cs="Arial"/>
        </w:rPr>
        <w:t>En particular, se observa que,</w:t>
      </w:r>
      <w:r w:rsidRPr="00931D46">
        <w:rPr>
          <w:rFonts w:ascii="Arial" w:hAnsi="Arial" w:cs="Arial"/>
          <w:i/>
        </w:rPr>
        <w:t xml:space="preserve"> </w:t>
      </w:r>
      <w:r w:rsidR="00FE0F03" w:rsidRPr="00931D46">
        <w:rPr>
          <w:rFonts w:ascii="Arial" w:hAnsi="Arial" w:cs="Arial"/>
        </w:rPr>
        <w:t>“</w:t>
      </w:r>
      <w:r w:rsidRPr="00931D46">
        <w:rPr>
          <w:rFonts w:ascii="Arial" w:hAnsi="Arial" w:cs="Arial"/>
          <w:i/>
        </w:rPr>
        <w:t>cuanto mayores sean los márgenes, menor será el valor de la pérdida crítica, ya que las ventas perdidas son relativamente más costosas para el vendedor</w:t>
      </w:r>
      <w:r w:rsidRPr="00931D46">
        <w:rPr>
          <w:rFonts w:ascii="Arial" w:hAnsi="Arial" w:cs="Arial"/>
        </w:rPr>
        <w:t>”.</w:t>
      </w:r>
      <w:r w:rsidRPr="00931D46">
        <w:rPr>
          <w:rStyle w:val="Refdenotaalpie"/>
          <w:rFonts w:ascii="Arial" w:hAnsi="Arial" w:cs="Arial"/>
        </w:rPr>
        <w:footnoteReference w:id="65"/>
      </w:r>
      <w:r w:rsidRPr="00931D46">
        <w:rPr>
          <w:rFonts w:ascii="Arial" w:hAnsi="Arial" w:cs="Arial"/>
        </w:rPr>
        <w:t xml:space="preserve"> </w:t>
      </w:r>
    </w:p>
    <w:p w14:paraId="1E6BC847" w14:textId="77777777" w:rsidR="00BE7289" w:rsidRPr="00931D46" w:rsidRDefault="00BE7289" w:rsidP="00290CEB">
      <w:pPr>
        <w:spacing w:before="0" w:after="0"/>
        <w:rPr>
          <w:rFonts w:ascii="Arial" w:hAnsi="Arial" w:cs="Arial"/>
          <w:highlight w:val="yellow"/>
        </w:rPr>
      </w:pPr>
    </w:p>
    <w:p w14:paraId="27EF1899" w14:textId="7171E3EA" w:rsidR="001B0C6E" w:rsidRPr="00931D46" w:rsidRDefault="003D4840" w:rsidP="001B0C6E">
      <w:pPr>
        <w:spacing w:before="0" w:after="0"/>
        <w:rPr>
          <w:rFonts w:ascii="Arial" w:hAnsi="Arial" w:cs="Arial"/>
        </w:rPr>
      </w:pPr>
      <w:r w:rsidRPr="00931D46">
        <w:rPr>
          <w:rFonts w:ascii="Arial" w:hAnsi="Arial" w:cs="Arial"/>
        </w:rPr>
        <w:t>Como segundo paso, se debe estimar la pérdida real esperada en la que incurriría un monopolista hipotético que impusiera un SSNIP</w:t>
      </w:r>
      <w:r w:rsidR="001B0C6E" w:rsidRPr="00931D46">
        <w:rPr>
          <w:rFonts w:ascii="Arial" w:hAnsi="Arial" w:cs="Arial"/>
        </w:rPr>
        <w:t>, la cual “</w:t>
      </w:r>
      <w:r w:rsidR="001B0C6E" w:rsidRPr="00931D46">
        <w:rPr>
          <w:rFonts w:ascii="Arial" w:hAnsi="Arial" w:cs="Arial"/>
          <w:i/>
        </w:rPr>
        <w:t>requiere un estimado de la elasticidad del precio propio de los productos en el mercado propuesto; cuando cada producto incrementa su precio, ¿qué proporción de sus ventas se espera perder? También requiere un estimado de la elasticidad de los precios cruzad</w:t>
      </w:r>
      <w:r w:rsidR="005D37C7" w:rsidRPr="00931D46">
        <w:rPr>
          <w:rFonts w:ascii="Arial" w:hAnsi="Arial" w:cs="Arial"/>
          <w:i/>
        </w:rPr>
        <w:t>a</w:t>
      </w:r>
      <w:r w:rsidR="001B0C6E" w:rsidRPr="00931D46">
        <w:rPr>
          <w:rFonts w:ascii="Arial" w:hAnsi="Arial" w:cs="Arial"/>
          <w:i/>
        </w:rPr>
        <w:t xml:space="preserve"> entre productos; cuando un producto pierde ventas como resultado de un incremento de precio, ¿cuántas de esas ventas se van a desviar a otro producto dentro del mercado del monopolista hipotético, en contraposición a las que se desvían fuera del mercado del monopolista hipotético? Al poner estos dos tipos de información juntos, podemos calcular la pérdida real para un SSNIP propuesto dado</w:t>
      </w:r>
      <w:r w:rsidR="001B0C6E" w:rsidRPr="00931D46">
        <w:rPr>
          <w:rFonts w:ascii="Arial" w:hAnsi="Arial" w:cs="Arial"/>
        </w:rPr>
        <w:t>.”</w:t>
      </w:r>
      <w:r w:rsidR="001B0C6E" w:rsidRPr="00931D46">
        <w:rPr>
          <w:rStyle w:val="Refdenotaalpie"/>
          <w:rFonts w:ascii="Arial" w:hAnsi="Arial" w:cs="Arial"/>
        </w:rPr>
        <w:footnoteReference w:id="66"/>
      </w:r>
    </w:p>
    <w:p w14:paraId="1A8F6007" w14:textId="77777777" w:rsidR="001B0C6E" w:rsidRPr="00931D46" w:rsidRDefault="001B0C6E" w:rsidP="00290CEB">
      <w:pPr>
        <w:spacing w:before="0" w:after="0"/>
        <w:rPr>
          <w:rFonts w:ascii="Arial" w:hAnsi="Arial" w:cs="Arial"/>
        </w:rPr>
      </w:pPr>
    </w:p>
    <w:p w14:paraId="0963BA19" w14:textId="530B1FF1" w:rsidR="003D4840" w:rsidRPr="00931D46" w:rsidRDefault="001B0C6E" w:rsidP="00290CEB">
      <w:pPr>
        <w:spacing w:before="0" w:after="0"/>
        <w:rPr>
          <w:rFonts w:ascii="Arial" w:hAnsi="Arial" w:cs="Arial"/>
        </w:rPr>
      </w:pPr>
      <w:r w:rsidRPr="00931D46">
        <w:rPr>
          <w:rFonts w:ascii="Arial" w:hAnsi="Arial" w:cs="Arial"/>
        </w:rPr>
        <w:t xml:space="preserve">El tercer paso es </w:t>
      </w:r>
      <w:r w:rsidR="003D4840" w:rsidRPr="00931D46">
        <w:rPr>
          <w:rFonts w:ascii="Arial" w:hAnsi="Arial" w:cs="Arial"/>
        </w:rPr>
        <w:t>comparar</w:t>
      </w:r>
      <w:r w:rsidRPr="00931D46">
        <w:rPr>
          <w:rFonts w:ascii="Arial" w:hAnsi="Arial" w:cs="Arial"/>
        </w:rPr>
        <w:t xml:space="preserve"> la pérdida real esperada con </w:t>
      </w:r>
      <w:r w:rsidR="003D4840" w:rsidRPr="00931D46">
        <w:rPr>
          <w:rFonts w:ascii="Arial" w:hAnsi="Arial" w:cs="Arial"/>
        </w:rPr>
        <w:t xml:space="preserve">la pérdida crítica. Si la pérdida real esperada se encuentra por encima de la pérdida crítica, el SSNIP no sería rentable, lo que, en el contexto del análisis para la </w:t>
      </w:r>
      <w:r w:rsidRPr="00931D46">
        <w:rPr>
          <w:rFonts w:ascii="Arial" w:hAnsi="Arial" w:cs="Arial"/>
        </w:rPr>
        <w:t>determinación</w:t>
      </w:r>
      <w:r w:rsidR="003D4840" w:rsidRPr="00931D46">
        <w:rPr>
          <w:rFonts w:ascii="Arial" w:hAnsi="Arial" w:cs="Arial"/>
        </w:rPr>
        <w:t xml:space="preserve"> del MR, implica que el conjunto de </w:t>
      </w:r>
      <w:r w:rsidR="00330363">
        <w:rPr>
          <w:rFonts w:ascii="Arial" w:hAnsi="Arial" w:cs="Arial"/>
        </w:rPr>
        <w:t>productos</w:t>
      </w:r>
      <w:r w:rsidR="003D4840" w:rsidRPr="00931D46">
        <w:rPr>
          <w:rFonts w:ascii="Arial" w:hAnsi="Arial" w:cs="Arial"/>
        </w:rPr>
        <w:t xml:space="preserve"> o zonas geográficas analizado debe expandirse. Este ejercicio se repite hasta que la pérdida real esperada se encuentre p</w:t>
      </w:r>
      <w:r w:rsidRPr="00931D46">
        <w:rPr>
          <w:rFonts w:ascii="Arial" w:hAnsi="Arial" w:cs="Arial"/>
        </w:rPr>
        <w:t>or debajo de la pérdida crítica</w:t>
      </w:r>
      <w:r w:rsidR="003D4840" w:rsidRPr="00931D46">
        <w:rPr>
          <w:rFonts w:ascii="Arial" w:hAnsi="Arial" w:cs="Arial"/>
        </w:rPr>
        <w:t>.</w:t>
      </w:r>
      <w:r w:rsidR="003D4840" w:rsidRPr="00931D46">
        <w:rPr>
          <w:rStyle w:val="Refdenotaalpie"/>
          <w:rFonts w:ascii="Arial" w:hAnsi="Arial" w:cs="Arial"/>
        </w:rPr>
        <w:t xml:space="preserve"> </w:t>
      </w:r>
      <w:r w:rsidR="003D4840" w:rsidRPr="00931D46">
        <w:rPr>
          <w:rStyle w:val="Refdenotaalpie"/>
          <w:rFonts w:ascii="Arial" w:hAnsi="Arial" w:cs="Arial"/>
        </w:rPr>
        <w:footnoteReference w:id="67"/>
      </w:r>
    </w:p>
    <w:p w14:paraId="51E7047B" w14:textId="77777777" w:rsidR="00BE7289" w:rsidRPr="00931D46" w:rsidRDefault="00BE7289" w:rsidP="00290CEB">
      <w:pPr>
        <w:spacing w:before="0" w:after="0"/>
        <w:rPr>
          <w:rFonts w:ascii="Arial" w:hAnsi="Arial" w:cs="Arial"/>
        </w:rPr>
      </w:pPr>
    </w:p>
    <w:p w14:paraId="26A3D3C1" w14:textId="33B767A4" w:rsidR="003D4840" w:rsidRPr="00931D46" w:rsidRDefault="001B0C6E" w:rsidP="00290CEB">
      <w:pPr>
        <w:spacing w:before="0" w:after="0"/>
        <w:rPr>
          <w:rFonts w:ascii="Arial" w:hAnsi="Arial" w:cs="Arial"/>
        </w:rPr>
      </w:pPr>
      <w:r w:rsidRPr="00931D46">
        <w:rPr>
          <w:rFonts w:ascii="Arial" w:hAnsi="Arial" w:cs="Arial"/>
        </w:rPr>
        <w:t xml:space="preserve">Como se observa, si bien se trata de un enfoque relativamente sencillo, los cálculos que implica </w:t>
      </w:r>
      <w:r w:rsidR="00B6384F" w:rsidRPr="00931D46">
        <w:rPr>
          <w:rFonts w:ascii="Arial" w:hAnsi="Arial" w:cs="Arial"/>
        </w:rPr>
        <w:t xml:space="preserve">el análisis de pérdida crítica </w:t>
      </w:r>
      <w:r w:rsidRPr="00931D46">
        <w:rPr>
          <w:rFonts w:ascii="Arial" w:hAnsi="Arial" w:cs="Arial"/>
        </w:rPr>
        <w:t xml:space="preserve">demandan información precisa que en ocasiones no </w:t>
      </w:r>
      <w:r w:rsidR="00592110">
        <w:rPr>
          <w:rFonts w:ascii="Arial" w:hAnsi="Arial" w:cs="Arial"/>
        </w:rPr>
        <w:t xml:space="preserve">existe o no </w:t>
      </w:r>
      <w:r w:rsidRPr="00931D46">
        <w:rPr>
          <w:rFonts w:ascii="Arial" w:hAnsi="Arial" w:cs="Arial"/>
        </w:rPr>
        <w:t>está disponible.</w:t>
      </w:r>
      <w:r w:rsidR="003D4840" w:rsidRPr="00931D46">
        <w:rPr>
          <w:rFonts w:ascii="Arial" w:hAnsi="Arial" w:cs="Arial"/>
        </w:rPr>
        <w:t xml:space="preserve"> </w:t>
      </w:r>
    </w:p>
    <w:p w14:paraId="75FF4A42" w14:textId="77777777" w:rsidR="00290CEB" w:rsidRPr="00931D46" w:rsidRDefault="00290CEB" w:rsidP="00290CEB">
      <w:pPr>
        <w:spacing w:before="0" w:after="0"/>
        <w:rPr>
          <w:rFonts w:ascii="Arial" w:hAnsi="Arial" w:cs="Arial"/>
          <w:lang w:eastAsia="es-MX"/>
        </w:rPr>
      </w:pPr>
    </w:p>
    <w:p w14:paraId="5DD0BA30" w14:textId="77777777" w:rsidR="003D4840" w:rsidRPr="00931D46" w:rsidRDefault="003D4840" w:rsidP="00415680">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Falacia del celofán y precios de referencia</w:t>
      </w:r>
    </w:p>
    <w:p w14:paraId="2B83B927" w14:textId="77777777" w:rsidR="00290CEB" w:rsidRPr="00931D46" w:rsidRDefault="00290CEB" w:rsidP="00A00223">
      <w:pPr>
        <w:spacing w:before="0" w:after="0"/>
        <w:rPr>
          <w:rFonts w:ascii="Arial" w:hAnsi="Arial" w:cs="Arial"/>
          <w:lang w:eastAsia="es-MX"/>
        </w:rPr>
      </w:pPr>
    </w:p>
    <w:p w14:paraId="7762CE5A" w14:textId="6998801A" w:rsidR="003D4840" w:rsidRPr="00931D46" w:rsidRDefault="003D4840" w:rsidP="00290CEB">
      <w:pPr>
        <w:spacing w:before="0" w:after="0"/>
        <w:rPr>
          <w:rFonts w:ascii="Arial" w:hAnsi="Arial" w:cs="Arial"/>
        </w:rPr>
      </w:pPr>
      <w:r w:rsidRPr="00931D46">
        <w:rPr>
          <w:rFonts w:ascii="Arial" w:hAnsi="Arial" w:cs="Arial"/>
          <w:lang w:eastAsia="es-MX"/>
        </w:rPr>
        <w:t xml:space="preserve">La aplicación directa o mecánica de la </w:t>
      </w:r>
      <w:r w:rsidR="006528B6" w:rsidRPr="00931D46">
        <w:rPr>
          <w:rFonts w:ascii="Arial" w:hAnsi="Arial" w:cs="Arial"/>
          <w:lang w:eastAsia="es-MX"/>
        </w:rPr>
        <w:t>P</w:t>
      </w:r>
      <w:r w:rsidRPr="00931D46">
        <w:rPr>
          <w:rFonts w:ascii="Arial" w:hAnsi="Arial" w:cs="Arial"/>
          <w:lang w:eastAsia="es-MX"/>
        </w:rPr>
        <w:t xml:space="preserve">rueba SSNIP puede conducir a </w:t>
      </w:r>
      <w:r w:rsidR="00A302D3" w:rsidRPr="00931D46">
        <w:rPr>
          <w:rFonts w:ascii="Arial" w:hAnsi="Arial" w:cs="Arial"/>
          <w:lang w:eastAsia="es-MX"/>
        </w:rPr>
        <w:t xml:space="preserve">incluir en </w:t>
      </w:r>
      <w:r w:rsidRPr="00931D46">
        <w:rPr>
          <w:rFonts w:ascii="Arial" w:hAnsi="Arial" w:cs="Arial"/>
          <w:lang w:eastAsia="es-MX"/>
        </w:rPr>
        <w:t xml:space="preserve">el MR </w:t>
      </w:r>
      <w:r w:rsidR="00330363">
        <w:rPr>
          <w:rFonts w:ascii="Arial" w:hAnsi="Arial" w:cs="Arial"/>
          <w:lang w:eastAsia="es-MX"/>
        </w:rPr>
        <w:t>productos</w:t>
      </w:r>
      <w:r w:rsidR="00A302D3" w:rsidRPr="00931D46">
        <w:rPr>
          <w:rFonts w:ascii="Arial" w:hAnsi="Arial" w:cs="Arial"/>
          <w:lang w:eastAsia="es-MX"/>
        </w:rPr>
        <w:t xml:space="preserve"> que no son sustitutos </w:t>
      </w:r>
      <w:r w:rsidRPr="00931D46">
        <w:rPr>
          <w:rFonts w:ascii="Arial" w:hAnsi="Arial" w:cs="Arial"/>
        </w:rPr>
        <w:t xml:space="preserve">cuando </w:t>
      </w:r>
      <w:r w:rsidR="006528B6" w:rsidRPr="00931D46">
        <w:rPr>
          <w:rFonts w:ascii="Arial" w:hAnsi="Arial" w:cs="Arial"/>
        </w:rPr>
        <w:t xml:space="preserve">los </w:t>
      </w:r>
      <w:r w:rsidRPr="00931D46">
        <w:rPr>
          <w:rFonts w:ascii="Arial" w:hAnsi="Arial" w:cs="Arial"/>
        </w:rPr>
        <w:t xml:space="preserve">precios </w:t>
      </w:r>
      <w:r w:rsidR="006528B6" w:rsidRPr="00931D46">
        <w:rPr>
          <w:rFonts w:ascii="Arial" w:hAnsi="Arial" w:cs="Arial"/>
        </w:rPr>
        <w:t xml:space="preserve">de referencia sobre los que se aplica la prueba </w:t>
      </w:r>
      <w:r w:rsidRPr="00931D46">
        <w:rPr>
          <w:rFonts w:ascii="Arial" w:hAnsi="Arial" w:cs="Arial"/>
        </w:rPr>
        <w:t>se ubican por encima de</w:t>
      </w:r>
      <w:r w:rsidR="00CA4795" w:rsidRPr="00931D46">
        <w:rPr>
          <w:rFonts w:ascii="Arial" w:hAnsi="Arial" w:cs="Arial"/>
        </w:rPr>
        <w:t>l</w:t>
      </w:r>
      <w:r w:rsidR="00821332" w:rsidRPr="00931D46">
        <w:rPr>
          <w:rFonts w:ascii="Arial" w:hAnsi="Arial" w:cs="Arial"/>
        </w:rPr>
        <w:t xml:space="preserve"> </w:t>
      </w:r>
      <w:r w:rsidRPr="00931D46">
        <w:rPr>
          <w:rFonts w:ascii="Arial" w:hAnsi="Arial" w:cs="Arial"/>
        </w:rPr>
        <w:t>nivel</w:t>
      </w:r>
      <w:r w:rsidR="00CA4795" w:rsidRPr="00931D46">
        <w:rPr>
          <w:rFonts w:ascii="Arial" w:hAnsi="Arial" w:cs="Arial"/>
        </w:rPr>
        <w:t xml:space="preserve"> </w:t>
      </w:r>
      <w:r w:rsidR="006528B6" w:rsidRPr="00931D46">
        <w:rPr>
          <w:rFonts w:ascii="Arial" w:hAnsi="Arial" w:cs="Arial"/>
        </w:rPr>
        <w:t xml:space="preserve">de </w:t>
      </w:r>
      <w:r w:rsidR="002F29E6" w:rsidRPr="00931D46">
        <w:rPr>
          <w:rFonts w:ascii="Arial" w:hAnsi="Arial" w:cs="Arial"/>
        </w:rPr>
        <w:t xml:space="preserve">precios </w:t>
      </w:r>
      <w:r w:rsidR="006528B6" w:rsidRPr="00931D46">
        <w:rPr>
          <w:rFonts w:ascii="Arial" w:hAnsi="Arial" w:cs="Arial"/>
        </w:rPr>
        <w:t xml:space="preserve">de un mercado en competencia, </w:t>
      </w:r>
      <w:r w:rsidRPr="00931D46">
        <w:rPr>
          <w:rFonts w:ascii="Arial" w:hAnsi="Arial" w:cs="Arial"/>
        </w:rPr>
        <w:t>ya sea como consecuencia de la existencia de una empresa dominante o de acuerdos anticompetitivos en el mercado</w:t>
      </w:r>
      <w:r w:rsidR="006528B6" w:rsidRPr="00931D46">
        <w:rPr>
          <w:rFonts w:ascii="Arial" w:hAnsi="Arial" w:cs="Arial"/>
        </w:rPr>
        <w:t>. Bajo este escenario,</w:t>
      </w:r>
      <w:r w:rsidRPr="00931D46">
        <w:rPr>
          <w:rFonts w:ascii="Arial" w:hAnsi="Arial" w:cs="Arial"/>
        </w:rPr>
        <w:t xml:space="preserve"> al aplicar la prueba se podrían encontrar indicios de sustitución hacia </w:t>
      </w:r>
      <w:r w:rsidR="00330363">
        <w:rPr>
          <w:rFonts w:ascii="Arial" w:hAnsi="Arial" w:cs="Arial"/>
        </w:rPr>
        <w:t>productos</w:t>
      </w:r>
      <w:r w:rsidRPr="00931D46">
        <w:rPr>
          <w:rFonts w:ascii="Arial" w:hAnsi="Arial" w:cs="Arial"/>
        </w:rPr>
        <w:t xml:space="preserve"> que los consumidores no consideran sustitutos cercanos en </w:t>
      </w:r>
      <w:r w:rsidR="00985772" w:rsidRPr="00931D46">
        <w:rPr>
          <w:rFonts w:ascii="Arial" w:hAnsi="Arial" w:cs="Arial"/>
        </w:rPr>
        <w:t>un entorno más competitivo</w:t>
      </w:r>
      <w:r w:rsidRPr="00931D46">
        <w:rPr>
          <w:rFonts w:ascii="Arial" w:hAnsi="Arial" w:cs="Arial"/>
        </w:rPr>
        <w:t xml:space="preserve"> y, por lo tanto, se podrían definir mercados demasiado amplios.</w:t>
      </w:r>
      <w:r w:rsidRPr="00931D46">
        <w:rPr>
          <w:rStyle w:val="Refdenotaalpie"/>
          <w:rFonts w:ascii="Arial" w:hAnsi="Arial" w:cs="Arial"/>
          <w:lang w:eastAsia="es-MX"/>
        </w:rPr>
        <w:t xml:space="preserve"> </w:t>
      </w:r>
    </w:p>
    <w:p w14:paraId="249353F3" w14:textId="77777777" w:rsidR="00BE7289" w:rsidRPr="00931D46" w:rsidRDefault="00BE7289" w:rsidP="00290CEB">
      <w:pPr>
        <w:spacing w:before="0" w:after="0"/>
        <w:rPr>
          <w:rFonts w:ascii="Arial" w:hAnsi="Arial" w:cs="Arial"/>
        </w:rPr>
      </w:pPr>
    </w:p>
    <w:p w14:paraId="4308517E" w14:textId="71D3DF5A" w:rsidR="003D4840" w:rsidRPr="00931D46" w:rsidRDefault="003D4840" w:rsidP="00290CEB">
      <w:pPr>
        <w:spacing w:before="0" w:after="0"/>
        <w:rPr>
          <w:rFonts w:ascii="Arial" w:hAnsi="Arial" w:cs="Arial"/>
        </w:rPr>
      </w:pPr>
      <w:r w:rsidRPr="00931D46">
        <w:rPr>
          <w:rFonts w:ascii="Arial" w:hAnsi="Arial" w:cs="Arial"/>
        </w:rPr>
        <w:t xml:space="preserve">Esta </w:t>
      </w:r>
      <w:r w:rsidR="006528B6" w:rsidRPr="00931D46">
        <w:rPr>
          <w:rFonts w:ascii="Arial" w:hAnsi="Arial" w:cs="Arial"/>
        </w:rPr>
        <w:t>situación</w:t>
      </w:r>
      <w:r w:rsidRPr="00931D46">
        <w:rPr>
          <w:rFonts w:ascii="Arial" w:hAnsi="Arial" w:cs="Arial"/>
        </w:rPr>
        <w:t>, denominada “Falacia del Celofán”</w:t>
      </w:r>
      <w:r w:rsidR="006528B6" w:rsidRPr="00931D46">
        <w:rPr>
          <w:rFonts w:ascii="Arial" w:hAnsi="Arial" w:cs="Arial"/>
        </w:rPr>
        <w:t>,</w:t>
      </w:r>
      <w:r w:rsidRPr="00931D46">
        <w:rPr>
          <w:rFonts w:ascii="Arial" w:hAnsi="Arial" w:cs="Arial"/>
        </w:rPr>
        <w:t xml:space="preserve"> surgió a partir del caso de la Suprema Corte de los Estados Unidos </w:t>
      </w:r>
      <w:r w:rsidR="00085F59" w:rsidRPr="00931D46">
        <w:rPr>
          <w:rFonts w:ascii="Arial" w:hAnsi="Arial" w:cs="Arial"/>
        </w:rPr>
        <w:t xml:space="preserve">de América </w:t>
      </w:r>
      <w:r w:rsidRPr="00931D46">
        <w:rPr>
          <w:rFonts w:ascii="Arial" w:hAnsi="Arial" w:cs="Arial"/>
        </w:rPr>
        <w:t>contra Du Pont de Nemours &amp; Co</w:t>
      </w:r>
      <w:r w:rsidR="006528B6" w:rsidRPr="00931D46">
        <w:rPr>
          <w:rFonts w:ascii="Arial" w:hAnsi="Arial" w:cs="Arial"/>
        </w:rPr>
        <w:t xml:space="preserve"> en 1956</w:t>
      </w:r>
      <w:r w:rsidRPr="00931D46">
        <w:rPr>
          <w:rFonts w:ascii="Arial" w:hAnsi="Arial" w:cs="Arial"/>
        </w:rPr>
        <w:t>, en el que dicha empresa fue acusada de monopolizar el mercado del celofán;</w:t>
      </w:r>
      <w:r w:rsidR="006528B6" w:rsidRPr="00931D46">
        <w:rPr>
          <w:rFonts w:ascii="Arial" w:hAnsi="Arial" w:cs="Arial"/>
        </w:rPr>
        <w:t xml:space="preserve"> </w:t>
      </w:r>
      <w:r w:rsidR="003F08BF" w:rsidRPr="00931D46">
        <w:rPr>
          <w:rFonts w:ascii="Arial" w:hAnsi="Arial" w:cs="Arial"/>
        </w:rPr>
        <w:t>en este caso, la Corte determinó que el MR comprendía una amplia gama de materiales de envoltura flexibles, incluido el p</w:t>
      </w:r>
      <w:r w:rsidR="007246A6" w:rsidRPr="00931D46">
        <w:rPr>
          <w:rFonts w:ascii="Arial" w:hAnsi="Arial" w:cs="Arial"/>
        </w:rPr>
        <w:t>apel encerado y otros materiale</w:t>
      </w:r>
      <w:r w:rsidR="008E2120" w:rsidRPr="00931D46">
        <w:rPr>
          <w:rFonts w:ascii="Arial" w:hAnsi="Arial" w:cs="Arial"/>
        </w:rPr>
        <w:t>s</w:t>
      </w:r>
      <w:r w:rsidR="007246A6" w:rsidRPr="00931D46">
        <w:rPr>
          <w:rFonts w:ascii="Arial" w:hAnsi="Arial" w:cs="Arial"/>
        </w:rPr>
        <w:t>, pues sus precios eran similares</w:t>
      </w:r>
      <w:r w:rsidR="003F08BF" w:rsidRPr="00931D46">
        <w:rPr>
          <w:rFonts w:ascii="Arial" w:hAnsi="Arial" w:cs="Arial"/>
        </w:rPr>
        <w:t xml:space="preserve">, en lugar de simplemente el celofán. Esto, con base en la conclusión de que estos </w:t>
      </w:r>
      <w:r w:rsidR="00330363">
        <w:rPr>
          <w:rFonts w:ascii="Arial" w:hAnsi="Arial" w:cs="Arial"/>
        </w:rPr>
        <w:t>productos</w:t>
      </w:r>
      <w:r w:rsidR="003F08BF" w:rsidRPr="00931D46">
        <w:rPr>
          <w:rFonts w:ascii="Arial" w:hAnsi="Arial" w:cs="Arial"/>
        </w:rPr>
        <w:t xml:space="preserve"> eran percibidos como razonablemente intercambiables por los consumidores. Sin embargo, el consenso es que la Corte se equivocó al delimitar el MR, pues los precios en los cuales se basó la Prueba SSNIP se encontraban por arriba del nivel de competencia, afectados precisamente por el poder de mercado de Du Pont, por lo que en ese precio de referencia (monopolio) los consumidores estaban dispuestos a sustituir el celofán; como resultado, la Corte delimitó un MR demasiado amplio y no identificó el poder de mercado que ejercía Du Pont.</w:t>
      </w:r>
      <w:r w:rsidRPr="00931D46">
        <w:rPr>
          <w:rStyle w:val="Refdenotaalpie"/>
          <w:rFonts w:ascii="Arial" w:hAnsi="Arial" w:cs="Arial"/>
          <w:lang w:eastAsia="es-MX"/>
        </w:rPr>
        <w:footnoteReference w:id="68"/>
      </w:r>
      <w:r w:rsidR="003F08BF" w:rsidRPr="00931D46">
        <w:rPr>
          <w:rFonts w:ascii="Arial" w:hAnsi="Arial" w:cs="Arial"/>
        </w:rPr>
        <w:t xml:space="preserve"> </w:t>
      </w:r>
      <w:r w:rsidRPr="00931D46">
        <w:rPr>
          <w:rStyle w:val="Refdenotaalpie"/>
          <w:rFonts w:ascii="Arial" w:hAnsi="Arial" w:cs="Arial"/>
        </w:rPr>
        <w:footnoteReference w:id="69"/>
      </w:r>
    </w:p>
    <w:p w14:paraId="312B1BCD" w14:textId="77777777" w:rsidR="00BE7289" w:rsidRPr="00931D46" w:rsidRDefault="00BE7289" w:rsidP="00290CEB">
      <w:pPr>
        <w:spacing w:before="0" w:after="0"/>
        <w:rPr>
          <w:rFonts w:ascii="Arial" w:hAnsi="Arial" w:cs="Arial"/>
        </w:rPr>
      </w:pPr>
    </w:p>
    <w:p w14:paraId="5DD656D2" w14:textId="77777777" w:rsidR="003D4840" w:rsidRPr="00931D46" w:rsidRDefault="003F08BF" w:rsidP="00290CEB">
      <w:pPr>
        <w:spacing w:before="0" w:after="0"/>
        <w:rPr>
          <w:rFonts w:ascii="Arial" w:hAnsi="Arial" w:cs="Arial"/>
        </w:rPr>
      </w:pPr>
      <w:r w:rsidRPr="00931D46">
        <w:rPr>
          <w:rFonts w:ascii="Arial" w:hAnsi="Arial" w:cs="Arial"/>
        </w:rPr>
        <w:t xml:space="preserve">Cabe destacar que la OCDE señala que </w:t>
      </w:r>
      <w:r w:rsidR="003D4840" w:rsidRPr="00931D46">
        <w:rPr>
          <w:rFonts w:ascii="Arial" w:hAnsi="Arial" w:cs="Arial"/>
        </w:rPr>
        <w:t xml:space="preserve">esta falacia no es un factor a considerar en muchos de los casos </w:t>
      </w:r>
      <w:r w:rsidR="0038482E" w:rsidRPr="00931D46">
        <w:rPr>
          <w:rFonts w:ascii="Arial" w:hAnsi="Arial" w:cs="Arial"/>
        </w:rPr>
        <w:t xml:space="preserve">que requieren delimitar el MR, pues </w:t>
      </w:r>
      <w:r w:rsidR="003D4840" w:rsidRPr="00931D46">
        <w:rPr>
          <w:rFonts w:ascii="Arial" w:hAnsi="Arial" w:cs="Arial"/>
        </w:rPr>
        <w:t>“</w:t>
      </w:r>
      <w:r w:rsidR="003D4840" w:rsidRPr="00931D46">
        <w:rPr>
          <w:rFonts w:ascii="Arial" w:hAnsi="Arial" w:cs="Arial"/>
          <w:i/>
        </w:rPr>
        <w:t>La falacia del celofán no se plantea en los casos (…) en los que no se alega que la conducta impugnada ha creado, o mantiene, poder monopólico, sino que amenaza con crearlo. En muchos otros casos, el alcance del mercado está claro desde el principio. Y en algunos casos, la comprensión básica de la prueba del monopoli</w:t>
      </w:r>
      <w:r w:rsidR="004F0780" w:rsidRPr="00931D46">
        <w:rPr>
          <w:rFonts w:ascii="Arial" w:hAnsi="Arial" w:cs="Arial"/>
          <w:i/>
        </w:rPr>
        <w:t>sta</w:t>
      </w:r>
      <w:r w:rsidR="003D4840" w:rsidRPr="00931D46">
        <w:rPr>
          <w:rFonts w:ascii="Arial" w:hAnsi="Arial" w:cs="Arial"/>
          <w:i/>
        </w:rPr>
        <w:t xml:space="preserve"> hipotético puede ser en sí misma decisiva sin pasar por una aplicación detallada de la prueba en la que podría importar el nivel de precios de referencia</w:t>
      </w:r>
      <w:r w:rsidR="003D4840" w:rsidRPr="00931D46">
        <w:rPr>
          <w:rFonts w:ascii="Arial" w:hAnsi="Arial" w:cs="Arial"/>
        </w:rPr>
        <w:t>.”</w:t>
      </w:r>
      <w:r w:rsidR="003D4840" w:rsidRPr="00931D46">
        <w:rPr>
          <w:rStyle w:val="Refdenotaalpie"/>
          <w:rFonts w:ascii="Arial" w:hAnsi="Arial" w:cs="Arial"/>
        </w:rPr>
        <w:footnoteReference w:id="70"/>
      </w:r>
    </w:p>
    <w:p w14:paraId="02CD9DD8" w14:textId="77777777" w:rsidR="003D4840" w:rsidRPr="00931D46" w:rsidRDefault="003D4840" w:rsidP="00290CEB">
      <w:pPr>
        <w:spacing w:before="0" w:after="0"/>
        <w:rPr>
          <w:rFonts w:ascii="Arial" w:hAnsi="Arial" w:cs="Arial"/>
          <w:highlight w:val="yellow"/>
        </w:rPr>
      </w:pPr>
    </w:p>
    <w:p w14:paraId="252D1BFF" w14:textId="77777777" w:rsidR="003D4840" w:rsidRPr="00931D46" w:rsidRDefault="003D4840" w:rsidP="00415680">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Falacia del celofán invertida</w:t>
      </w:r>
    </w:p>
    <w:p w14:paraId="4E97C5C7" w14:textId="77777777" w:rsidR="00BE7289" w:rsidRPr="00931D46" w:rsidRDefault="00BE7289" w:rsidP="00290CEB">
      <w:pPr>
        <w:spacing w:before="0" w:after="0"/>
        <w:rPr>
          <w:rFonts w:ascii="Arial" w:hAnsi="Arial" w:cs="Arial"/>
        </w:rPr>
      </w:pPr>
    </w:p>
    <w:p w14:paraId="2F8B405B" w14:textId="22D4B2F5" w:rsidR="003D4840" w:rsidRPr="00931D46" w:rsidRDefault="003D4840" w:rsidP="00290CEB">
      <w:pPr>
        <w:spacing w:before="0" w:after="0"/>
        <w:rPr>
          <w:rFonts w:ascii="Arial" w:hAnsi="Arial" w:cs="Arial"/>
        </w:rPr>
      </w:pPr>
      <w:r w:rsidRPr="00931D46">
        <w:rPr>
          <w:rFonts w:ascii="Arial" w:hAnsi="Arial" w:cs="Arial"/>
        </w:rPr>
        <w:t xml:space="preserve">La </w:t>
      </w:r>
      <w:r w:rsidR="00A302D3" w:rsidRPr="00931D46">
        <w:rPr>
          <w:rFonts w:ascii="Arial" w:hAnsi="Arial" w:cs="Arial"/>
        </w:rPr>
        <w:t>P</w:t>
      </w:r>
      <w:r w:rsidRPr="00931D46">
        <w:rPr>
          <w:rFonts w:ascii="Arial" w:hAnsi="Arial" w:cs="Arial"/>
        </w:rPr>
        <w:t xml:space="preserve">rueba SSNIP también puede </w:t>
      </w:r>
      <w:r w:rsidR="00A302D3" w:rsidRPr="00931D46">
        <w:rPr>
          <w:rFonts w:ascii="Arial" w:hAnsi="Arial" w:cs="Arial"/>
        </w:rPr>
        <w:t>arrojar</w:t>
      </w:r>
      <w:r w:rsidRPr="00931D46">
        <w:rPr>
          <w:rFonts w:ascii="Arial" w:hAnsi="Arial" w:cs="Arial"/>
        </w:rPr>
        <w:t xml:space="preserve"> resultados erróneos si se usan precios </w:t>
      </w:r>
      <w:r w:rsidR="00A302D3" w:rsidRPr="00931D46">
        <w:rPr>
          <w:rFonts w:ascii="Arial" w:hAnsi="Arial" w:cs="Arial"/>
        </w:rPr>
        <w:t xml:space="preserve">de referencia </w:t>
      </w:r>
      <w:r w:rsidRPr="00931D46">
        <w:rPr>
          <w:rFonts w:ascii="Arial" w:hAnsi="Arial" w:cs="Arial"/>
        </w:rPr>
        <w:t>que se ubican por debajo de costos (p</w:t>
      </w:r>
      <w:r w:rsidR="008F4197" w:rsidRPr="00931D46">
        <w:rPr>
          <w:rFonts w:ascii="Arial" w:hAnsi="Arial" w:cs="Arial"/>
        </w:rPr>
        <w:t>or</w:t>
      </w:r>
      <w:r w:rsidRPr="00931D46">
        <w:rPr>
          <w:rFonts w:ascii="Arial" w:hAnsi="Arial" w:cs="Arial"/>
        </w:rPr>
        <w:t xml:space="preserve"> ej</w:t>
      </w:r>
      <w:r w:rsidR="008F4197" w:rsidRPr="00931D46">
        <w:rPr>
          <w:rFonts w:ascii="Arial" w:hAnsi="Arial" w:cs="Arial"/>
        </w:rPr>
        <w:t>emplo,</w:t>
      </w:r>
      <w:r w:rsidRPr="00931D46">
        <w:rPr>
          <w:rFonts w:ascii="Arial" w:hAnsi="Arial" w:cs="Arial"/>
        </w:rPr>
        <w:t xml:space="preserve"> cuando los </w:t>
      </w:r>
      <w:r w:rsidR="00330363">
        <w:rPr>
          <w:rFonts w:ascii="Arial" w:hAnsi="Arial" w:cs="Arial"/>
        </w:rPr>
        <w:t>productos</w:t>
      </w:r>
      <w:r w:rsidRPr="00931D46">
        <w:rPr>
          <w:rFonts w:ascii="Arial" w:hAnsi="Arial" w:cs="Arial"/>
        </w:rPr>
        <w:t xml:space="preserve"> analizados están subsidiados) pues, en ese caso, arrojaría indicios de que los </w:t>
      </w:r>
      <w:r w:rsidR="00330363">
        <w:rPr>
          <w:rFonts w:ascii="Arial" w:hAnsi="Arial" w:cs="Arial"/>
        </w:rPr>
        <w:t>productos</w:t>
      </w:r>
      <w:r w:rsidRPr="00931D46">
        <w:rPr>
          <w:rFonts w:ascii="Arial" w:hAnsi="Arial" w:cs="Arial"/>
        </w:rPr>
        <w:t xml:space="preserve"> enfrentan menores presiones de sustitución que las que se presentan con precios competitivos. Este probl</w:t>
      </w:r>
      <w:r w:rsidR="00A302D3" w:rsidRPr="00931D46">
        <w:rPr>
          <w:rFonts w:ascii="Arial" w:hAnsi="Arial" w:cs="Arial"/>
        </w:rPr>
        <w:t xml:space="preserve">ema, conocido como </w:t>
      </w:r>
      <w:r w:rsidRPr="00931D46">
        <w:rPr>
          <w:rFonts w:ascii="Arial" w:hAnsi="Arial" w:cs="Arial"/>
        </w:rPr>
        <w:t>“</w:t>
      </w:r>
      <w:r w:rsidRPr="00931D46">
        <w:rPr>
          <w:rFonts w:ascii="Arial" w:hAnsi="Arial" w:cs="Arial"/>
          <w:i/>
        </w:rPr>
        <w:t>falacia del celofán invertida</w:t>
      </w:r>
      <w:r w:rsidRPr="00931D46">
        <w:rPr>
          <w:rFonts w:ascii="Arial" w:hAnsi="Arial" w:cs="Arial"/>
        </w:rPr>
        <w:t xml:space="preserve">”, implica </w:t>
      </w:r>
      <w:r w:rsidR="00A302D3" w:rsidRPr="00931D46">
        <w:rPr>
          <w:rFonts w:ascii="Arial" w:hAnsi="Arial" w:cs="Arial"/>
        </w:rPr>
        <w:t>una delimitación demasiado estrecha del MR</w:t>
      </w:r>
      <w:r w:rsidRPr="00931D46">
        <w:rPr>
          <w:rFonts w:ascii="Arial" w:hAnsi="Arial" w:cs="Arial"/>
        </w:rPr>
        <w:t>.</w:t>
      </w:r>
      <w:r w:rsidRPr="00931D46">
        <w:rPr>
          <w:rStyle w:val="Refdenotaalpie"/>
          <w:rFonts w:ascii="Arial" w:hAnsi="Arial" w:cs="Arial"/>
        </w:rPr>
        <w:footnoteReference w:id="71"/>
      </w:r>
      <w:r w:rsidRPr="00931D46">
        <w:rPr>
          <w:rFonts w:ascii="Arial" w:hAnsi="Arial" w:cs="Arial"/>
        </w:rPr>
        <w:t xml:space="preserve"> </w:t>
      </w:r>
    </w:p>
    <w:p w14:paraId="0C30AD77" w14:textId="77777777" w:rsidR="00BE7289" w:rsidRPr="00931D46" w:rsidRDefault="00BE7289" w:rsidP="00290CEB">
      <w:pPr>
        <w:spacing w:before="0" w:after="0"/>
        <w:rPr>
          <w:rFonts w:ascii="Arial" w:hAnsi="Arial" w:cs="Arial"/>
        </w:rPr>
      </w:pPr>
    </w:p>
    <w:p w14:paraId="427B6FDE" w14:textId="77777777" w:rsidR="003D4840" w:rsidRPr="00931D46" w:rsidRDefault="003D4840" w:rsidP="00415680">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Falacia de los desdentados</w:t>
      </w:r>
    </w:p>
    <w:p w14:paraId="147F75FC" w14:textId="77777777" w:rsidR="003D4840" w:rsidRPr="00931D46" w:rsidRDefault="003D4840" w:rsidP="00290CEB">
      <w:pPr>
        <w:spacing w:before="0" w:after="0"/>
        <w:rPr>
          <w:rFonts w:ascii="Arial" w:hAnsi="Arial" w:cs="Arial"/>
        </w:rPr>
      </w:pPr>
    </w:p>
    <w:p w14:paraId="78DE1252" w14:textId="03717F3E" w:rsidR="003D4840" w:rsidRPr="00931D46" w:rsidRDefault="003D4840" w:rsidP="00290CEB">
      <w:pPr>
        <w:spacing w:before="0" w:after="0"/>
        <w:rPr>
          <w:rFonts w:ascii="Arial" w:hAnsi="Arial" w:cs="Arial"/>
        </w:rPr>
      </w:pPr>
      <w:r w:rsidRPr="00931D46">
        <w:rPr>
          <w:rFonts w:ascii="Arial" w:hAnsi="Arial" w:cs="Arial"/>
        </w:rPr>
        <w:t>Aplicar la Prueba SSNIP en algún segmento de consumidores o en consumidores promedio o infra marginales</w:t>
      </w:r>
      <w:r w:rsidR="00111898" w:rsidRPr="00931D46">
        <w:rPr>
          <w:rStyle w:val="Refdenotaalpie"/>
          <w:rFonts w:ascii="Arial" w:hAnsi="Arial" w:cs="Arial"/>
        </w:rPr>
        <w:footnoteReference w:id="72"/>
      </w:r>
      <w:r w:rsidRPr="00931D46">
        <w:rPr>
          <w:rFonts w:ascii="Arial" w:hAnsi="Arial" w:cs="Arial"/>
        </w:rPr>
        <w:t xml:space="preserve"> puede dejar fuera del MR a </w:t>
      </w:r>
      <w:r w:rsidR="00330363">
        <w:rPr>
          <w:rFonts w:ascii="Arial" w:hAnsi="Arial" w:cs="Arial"/>
        </w:rPr>
        <w:t>productos</w:t>
      </w:r>
      <w:r w:rsidRPr="00931D46">
        <w:rPr>
          <w:rFonts w:ascii="Arial" w:hAnsi="Arial" w:cs="Arial"/>
        </w:rPr>
        <w:t xml:space="preserve"> que sí son sustitutos. Este error se conoce como “</w:t>
      </w:r>
      <w:r w:rsidRPr="00931D46">
        <w:rPr>
          <w:rFonts w:ascii="Arial" w:hAnsi="Arial" w:cs="Arial"/>
          <w:i/>
        </w:rPr>
        <w:t>falacia de los desdentados</w:t>
      </w:r>
      <w:r w:rsidRPr="00931D46">
        <w:rPr>
          <w:rFonts w:ascii="Arial" w:hAnsi="Arial" w:cs="Arial"/>
        </w:rPr>
        <w:t>”, a partir del caso de United Brands en Europa,</w:t>
      </w:r>
      <w:r w:rsidRPr="00931D46">
        <w:rPr>
          <w:rStyle w:val="Refdenotaalpie"/>
          <w:rFonts w:ascii="Arial" w:hAnsi="Arial" w:cs="Arial"/>
        </w:rPr>
        <w:footnoteReference w:id="73"/>
      </w:r>
      <w:r w:rsidRPr="00931D46">
        <w:rPr>
          <w:rFonts w:ascii="Arial" w:hAnsi="Arial" w:cs="Arial"/>
        </w:rPr>
        <w:t xml:space="preserve"> en el que el plátano se dejó fuera del MR de frutas frescas por considerar que constituye un </w:t>
      </w:r>
      <w:r w:rsidR="00330363">
        <w:rPr>
          <w:rFonts w:ascii="Arial" w:hAnsi="Arial" w:cs="Arial"/>
        </w:rPr>
        <w:t>producto</w:t>
      </w:r>
      <w:r w:rsidRPr="00931D46">
        <w:rPr>
          <w:rFonts w:ascii="Arial" w:hAnsi="Arial" w:cs="Arial"/>
        </w:rPr>
        <w:t xml:space="preserve"> diferenciado de las demás frutas frescas para un grupo de consumidores: los desdentados. </w:t>
      </w:r>
    </w:p>
    <w:p w14:paraId="7A71C274" w14:textId="77777777" w:rsidR="00290CEB" w:rsidRPr="00931D46" w:rsidRDefault="00290CEB" w:rsidP="00290CEB">
      <w:pPr>
        <w:spacing w:before="0" w:after="0"/>
        <w:rPr>
          <w:rFonts w:ascii="Arial" w:hAnsi="Arial" w:cs="Arial"/>
        </w:rPr>
      </w:pPr>
    </w:p>
    <w:p w14:paraId="793DE748" w14:textId="77777777" w:rsidR="003D4840" w:rsidRPr="00931D46" w:rsidRDefault="003D4840" w:rsidP="00290CEB">
      <w:pPr>
        <w:spacing w:before="0" w:after="0"/>
        <w:rPr>
          <w:rFonts w:ascii="Arial" w:hAnsi="Arial" w:cs="Arial"/>
        </w:rPr>
      </w:pPr>
      <w:r w:rsidRPr="00931D46">
        <w:rPr>
          <w:rFonts w:ascii="Arial" w:hAnsi="Arial" w:cs="Arial"/>
        </w:rPr>
        <w:t xml:space="preserve">Al respecto, </w:t>
      </w:r>
      <w:r w:rsidR="008242E5" w:rsidRPr="00931D46">
        <w:rPr>
          <w:rFonts w:ascii="Arial" w:hAnsi="Arial" w:cs="Arial"/>
        </w:rPr>
        <w:t xml:space="preserve">la autoridad de competencia del Reino Unido </w:t>
      </w:r>
      <w:r w:rsidRPr="00931D46">
        <w:rPr>
          <w:rFonts w:ascii="Arial" w:hAnsi="Arial" w:cs="Arial"/>
        </w:rPr>
        <w:t>ha advertido que, al aplicar un SSNIP, “</w:t>
      </w:r>
      <w:r w:rsidRPr="00931D46">
        <w:rPr>
          <w:rFonts w:ascii="Arial" w:hAnsi="Arial" w:cs="Arial"/>
          <w:i/>
        </w:rPr>
        <w:t>No es necesario que todos los clientes, o incluso la mayoría, se cambien. El factor importante es si el volumen de compras que probablemente se cambie es lo suficientemente grande como para evitar que un</w:t>
      </w:r>
      <w:r w:rsidR="004D14AB" w:rsidRPr="00931D46">
        <w:rPr>
          <w:rFonts w:ascii="Arial" w:hAnsi="Arial" w:cs="Arial"/>
          <w:i/>
        </w:rPr>
        <w:t xml:space="preserve"> monopolista</w:t>
      </w:r>
      <w:r w:rsidRPr="00931D46">
        <w:rPr>
          <w:rFonts w:ascii="Arial" w:hAnsi="Arial" w:cs="Arial"/>
          <w:i/>
        </w:rPr>
        <w:t xml:space="preserve"> hipotético sostenga los precios entre un 5 y un 10 por ciento por encima de los niveles competitivos de manera rentable</w:t>
      </w:r>
      <w:r w:rsidRPr="00931D46">
        <w:rPr>
          <w:rFonts w:ascii="Arial" w:hAnsi="Arial" w:cs="Arial"/>
        </w:rPr>
        <w:t xml:space="preserve">”. En particular, los clientes más propensos a cambiarse son los </w:t>
      </w:r>
      <w:r w:rsidR="00415680" w:rsidRPr="00931D46">
        <w:rPr>
          <w:rFonts w:ascii="Arial" w:hAnsi="Arial" w:cs="Arial"/>
          <w:b/>
        </w:rPr>
        <w:t>consumidores</w:t>
      </w:r>
      <w:r w:rsidRPr="00931D46">
        <w:rPr>
          <w:rFonts w:ascii="Arial" w:hAnsi="Arial" w:cs="Arial"/>
          <w:b/>
        </w:rPr>
        <w:t xml:space="preserve"> marginales</w:t>
      </w:r>
      <w:r w:rsidR="00963040" w:rsidRPr="00931D46">
        <w:rPr>
          <w:rStyle w:val="Refdenotaalpie"/>
          <w:rFonts w:ascii="Arial" w:hAnsi="Arial" w:cs="Arial"/>
          <w:b/>
        </w:rPr>
        <w:footnoteReference w:id="74"/>
      </w:r>
      <w:r w:rsidRPr="00931D46">
        <w:rPr>
          <w:rFonts w:ascii="Arial" w:hAnsi="Arial" w:cs="Arial"/>
        </w:rPr>
        <w:t xml:space="preserve"> y</w:t>
      </w:r>
      <w:r w:rsidRPr="00931D46">
        <w:rPr>
          <w:rFonts w:ascii="Arial" w:hAnsi="Arial" w:cs="Arial"/>
          <w:i/>
        </w:rPr>
        <w:t xml:space="preserve"> “Cuando una proporción relativamente alta de clientes marginales adquiere un producto </w:t>
      </w:r>
      <w:r w:rsidRPr="00931D46">
        <w:rPr>
          <w:rFonts w:ascii="Arial" w:hAnsi="Arial" w:cs="Arial"/>
        </w:rPr>
        <w:t>[alternativo]</w:t>
      </w:r>
      <w:r w:rsidRPr="00931D46">
        <w:rPr>
          <w:rFonts w:ascii="Arial" w:hAnsi="Arial" w:cs="Arial"/>
          <w:i/>
        </w:rPr>
        <w:t>, es menos probable que sea rentable un aumento sostenido de los precios de entre 5 y 10 por ciento por encima de los niveles competitivos”</w:t>
      </w:r>
      <w:r w:rsidRPr="00931D46">
        <w:rPr>
          <w:rFonts w:ascii="Arial" w:hAnsi="Arial" w:cs="Arial"/>
        </w:rPr>
        <w:t>.</w:t>
      </w:r>
      <w:r w:rsidR="003B1ABD" w:rsidRPr="00931D46">
        <w:rPr>
          <w:rStyle w:val="Refdenotaalpie"/>
          <w:rFonts w:ascii="Arial" w:hAnsi="Arial" w:cs="Arial"/>
        </w:rPr>
        <w:footnoteReference w:id="75"/>
      </w:r>
    </w:p>
    <w:p w14:paraId="56DE9AD5" w14:textId="77777777" w:rsidR="00290CEB" w:rsidRPr="00931D46" w:rsidRDefault="00290CEB" w:rsidP="00290CEB">
      <w:pPr>
        <w:spacing w:before="0" w:after="0"/>
        <w:rPr>
          <w:rFonts w:ascii="Arial" w:hAnsi="Arial" w:cs="Arial"/>
        </w:rPr>
      </w:pPr>
    </w:p>
    <w:p w14:paraId="34E6C9F3" w14:textId="77777777" w:rsidR="003D4840" w:rsidRPr="00931D46" w:rsidRDefault="003D4840" w:rsidP="00290CEB">
      <w:pPr>
        <w:spacing w:before="0" w:after="0"/>
        <w:rPr>
          <w:rFonts w:ascii="Arial" w:hAnsi="Arial" w:cs="Arial"/>
        </w:rPr>
      </w:pPr>
      <w:r w:rsidRPr="00931D46">
        <w:rPr>
          <w:rFonts w:ascii="Arial" w:hAnsi="Arial" w:cs="Arial"/>
        </w:rPr>
        <w:t>Por lo tanto</w:t>
      </w:r>
      <w:r w:rsidRPr="00931D46">
        <w:rPr>
          <w:rFonts w:ascii="Arial" w:hAnsi="Arial" w:cs="Arial"/>
          <w:i/>
        </w:rPr>
        <w:t>, “…mientras un número razonable de consumidores sea ‘marginal’ y esté dispuesto a cambiar en respuesta a un cambio en el precio relativo, la existencia de otros consumidores que no cambiarían (aunque éstos representen la mayoría de los consumidores) no implica un mercado estrecho. La existencia de un grupo incluso grande de consumidores que no cambiarían en respuesta a un incremento de los precios relativos no basta por sí sola para concluir que el mercado relevante debe definirse de forma estrecha”.</w:t>
      </w:r>
      <w:r w:rsidRPr="00931D46">
        <w:rPr>
          <w:rStyle w:val="Refdenotaalpie"/>
          <w:rFonts w:ascii="Arial" w:hAnsi="Arial" w:cs="Arial"/>
          <w:i/>
        </w:rPr>
        <w:footnoteReference w:id="76"/>
      </w:r>
      <w:r w:rsidRPr="00931D46">
        <w:rPr>
          <w:rFonts w:ascii="Arial" w:hAnsi="Arial" w:cs="Arial"/>
          <w:i/>
        </w:rPr>
        <w:t xml:space="preserve"> </w:t>
      </w:r>
      <w:r w:rsidRPr="00931D46">
        <w:rPr>
          <w:rFonts w:ascii="Arial" w:hAnsi="Arial" w:cs="Arial"/>
        </w:rPr>
        <w:t xml:space="preserve">Es decir, </w:t>
      </w:r>
      <w:r w:rsidR="00415680" w:rsidRPr="00931D46">
        <w:rPr>
          <w:rFonts w:ascii="Arial" w:hAnsi="Arial" w:cs="Arial"/>
        </w:rPr>
        <w:t xml:space="preserve">para </w:t>
      </w:r>
      <w:r w:rsidRPr="00931D46">
        <w:rPr>
          <w:rFonts w:ascii="Arial" w:hAnsi="Arial" w:cs="Arial"/>
        </w:rPr>
        <w:t>evita</w:t>
      </w:r>
      <w:r w:rsidR="00415680" w:rsidRPr="00931D46">
        <w:rPr>
          <w:rFonts w:ascii="Arial" w:hAnsi="Arial" w:cs="Arial"/>
        </w:rPr>
        <w:t>r</w:t>
      </w:r>
      <w:r w:rsidRPr="00931D46">
        <w:rPr>
          <w:rFonts w:ascii="Arial" w:hAnsi="Arial" w:cs="Arial"/>
        </w:rPr>
        <w:t xml:space="preserve"> caer en esta falacia</w:t>
      </w:r>
      <w:r w:rsidR="00415680" w:rsidRPr="00931D46">
        <w:rPr>
          <w:rFonts w:ascii="Arial" w:hAnsi="Arial" w:cs="Arial"/>
        </w:rPr>
        <w:t>, es necesario centrar l</w:t>
      </w:r>
      <w:r w:rsidR="00223E48" w:rsidRPr="00931D46">
        <w:rPr>
          <w:rFonts w:ascii="Arial" w:hAnsi="Arial" w:cs="Arial"/>
        </w:rPr>
        <w:t>a</w:t>
      </w:r>
      <w:r w:rsidR="00415680" w:rsidRPr="00931D46">
        <w:rPr>
          <w:rFonts w:ascii="Arial" w:hAnsi="Arial" w:cs="Arial"/>
        </w:rPr>
        <w:t xml:space="preserve"> </w:t>
      </w:r>
      <w:r w:rsidR="00DC5612" w:rsidRPr="00931D46">
        <w:rPr>
          <w:rFonts w:ascii="Arial" w:hAnsi="Arial" w:cs="Arial"/>
        </w:rPr>
        <w:t>P</w:t>
      </w:r>
      <w:r w:rsidR="00223E48" w:rsidRPr="00931D46">
        <w:rPr>
          <w:rFonts w:ascii="Arial" w:hAnsi="Arial" w:cs="Arial"/>
        </w:rPr>
        <w:t xml:space="preserve">rueba </w:t>
      </w:r>
      <w:r w:rsidR="00415680" w:rsidRPr="00931D46">
        <w:rPr>
          <w:rFonts w:ascii="Arial" w:hAnsi="Arial" w:cs="Arial"/>
        </w:rPr>
        <w:t>SSNIP en los consumidores marginales</w:t>
      </w:r>
      <w:r w:rsidRPr="00931D46">
        <w:rPr>
          <w:rFonts w:ascii="Arial" w:hAnsi="Arial" w:cs="Arial"/>
        </w:rPr>
        <w:t>.</w:t>
      </w:r>
    </w:p>
    <w:p w14:paraId="14DE50B0" w14:textId="77777777" w:rsidR="00D40877" w:rsidRPr="00931D46" w:rsidRDefault="00D40877" w:rsidP="00290CEB">
      <w:pPr>
        <w:spacing w:before="0" w:after="0"/>
        <w:rPr>
          <w:rFonts w:ascii="Arial" w:hAnsi="Arial" w:cs="Arial"/>
        </w:rPr>
      </w:pPr>
    </w:p>
    <w:p w14:paraId="2FCA2882" w14:textId="71F8D702" w:rsidR="009F4100" w:rsidRPr="00931D46" w:rsidRDefault="00F847DD" w:rsidP="00415680">
      <w:pPr>
        <w:pStyle w:val="Ttulo2"/>
        <w:keepLines w:val="0"/>
        <w:numPr>
          <w:ilvl w:val="1"/>
          <w:numId w:val="3"/>
        </w:numPr>
        <w:spacing w:before="0" w:after="0"/>
        <w:rPr>
          <w:rFonts w:ascii="Arial" w:eastAsia="Times New Roman" w:hAnsi="Arial" w:cs="Arial"/>
          <w:sz w:val="26"/>
          <w:lang w:eastAsia="es-MX"/>
        </w:rPr>
      </w:pPr>
      <w:bookmarkStart w:id="54" w:name="_Toc41649765"/>
      <w:bookmarkStart w:id="55" w:name="_Toc41649906"/>
      <w:bookmarkStart w:id="56" w:name="_Toc45216573"/>
      <w:bookmarkStart w:id="57" w:name="_Toc45628323"/>
      <w:bookmarkStart w:id="58" w:name="_Toc74306769"/>
      <w:bookmarkStart w:id="59" w:name="_Toc74323825"/>
      <w:r w:rsidRPr="00931D46">
        <w:rPr>
          <w:rFonts w:ascii="Arial" w:eastAsia="Times New Roman" w:hAnsi="Arial" w:cs="Arial"/>
          <w:sz w:val="26"/>
          <w:lang w:eastAsia="es-MX"/>
        </w:rPr>
        <w:t>Otras h</w:t>
      </w:r>
      <w:r w:rsidR="00467810" w:rsidRPr="00931D46">
        <w:rPr>
          <w:rFonts w:ascii="Arial" w:eastAsia="Times New Roman" w:hAnsi="Arial" w:cs="Arial"/>
          <w:sz w:val="26"/>
          <w:lang w:eastAsia="es-MX"/>
        </w:rPr>
        <w:t xml:space="preserve">erramientas y elementos para </w:t>
      </w:r>
      <w:bookmarkEnd w:id="54"/>
      <w:bookmarkEnd w:id="55"/>
      <w:bookmarkEnd w:id="56"/>
      <w:bookmarkEnd w:id="57"/>
      <w:r w:rsidRPr="00931D46">
        <w:rPr>
          <w:rFonts w:ascii="Arial" w:eastAsia="Times New Roman" w:hAnsi="Arial" w:cs="Arial"/>
          <w:sz w:val="26"/>
          <w:lang w:eastAsia="es-MX"/>
        </w:rPr>
        <w:t>el análisis de sustitución</w:t>
      </w:r>
      <w:bookmarkEnd w:id="58"/>
      <w:bookmarkEnd w:id="59"/>
    </w:p>
    <w:p w14:paraId="7980E262" w14:textId="77777777" w:rsidR="009F4100" w:rsidRPr="00931D46" w:rsidRDefault="009F4100" w:rsidP="00647219">
      <w:pPr>
        <w:pStyle w:val="TDC3"/>
        <w:rPr>
          <w:rFonts w:cs="Arial"/>
          <w:noProof/>
        </w:rPr>
      </w:pPr>
    </w:p>
    <w:p w14:paraId="6079BDAA" w14:textId="62BBEA99" w:rsidR="00032C32" w:rsidRPr="00931D46" w:rsidRDefault="00230252" w:rsidP="00290CEB">
      <w:pPr>
        <w:spacing w:before="0" w:after="0"/>
        <w:rPr>
          <w:rFonts w:ascii="Arial" w:hAnsi="Arial" w:cs="Arial"/>
        </w:rPr>
      </w:pPr>
      <w:r w:rsidRPr="00931D46">
        <w:rPr>
          <w:rFonts w:ascii="Arial" w:hAnsi="Arial" w:cs="Arial"/>
          <w:lang w:eastAsia="es-MX"/>
        </w:rPr>
        <w:t xml:space="preserve">Además de la </w:t>
      </w:r>
      <w:r w:rsidR="0054322B" w:rsidRPr="00931D46">
        <w:rPr>
          <w:rFonts w:ascii="Arial" w:hAnsi="Arial" w:cs="Arial"/>
          <w:lang w:eastAsia="es-MX"/>
        </w:rPr>
        <w:t>P</w:t>
      </w:r>
      <w:r w:rsidRPr="00931D46">
        <w:rPr>
          <w:rFonts w:ascii="Arial" w:hAnsi="Arial" w:cs="Arial"/>
          <w:lang w:eastAsia="es-MX"/>
        </w:rPr>
        <w:t xml:space="preserve">rueba SSNIP, </w:t>
      </w:r>
      <w:r w:rsidR="00881708" w:rsidRPr="00931D46">
        <w:rPr>
          <w:rFonts w:ascii="Arial" w:hAnsi="Arial" w:cs="Arial"/>
        </w:rPr>
        <w:t>existen otras herramientas y elementos que pueden ser útiles para</w:t>
      </w:r>
      <w:r w:rsidR="00881708" w:rsidRPr="00931D46">
        <w:rPr>
          <w:rFonts w:ascii="Arial" w:hAnsi="Arial" w:cs="Arial"/>
          <w:lang w:eastAsia="es-MX"/>
        </w:rPr>
        <w:t xml:space="preserve"> llevar a cabo el análisis de sustitución, cuya aplicación o valoración dependen del caso específico de análisis</w:t>
      </w:r>
      <w:r w:rsidR="00717C69" w:rsidRPr="00931D46">
        <w:rPr>
          <w:rFonts w:ascii="Arial" w:hAnsi="Arial" w:cs="Arial"/>
          <w:lang w:eastAsia="es-MX"/>
        </w:rPr>
        <w:t xml:space="preserve"> y de la información disponible</w:t>
      </w:r>
      <w:r w:rsidR="00881708" w:rsidRPr="00931D46">
        <w:rPr>
          <w:rFonts w:ascii="Arial" w:hAnsi="Arial" w:cs="Arial"/>
          <w:lang w:eastAsia="es-MX"/>
        </w:rPr>
        <w:t>.</w:t>
      </w:r>
      <w:r w:rsidR="007551B2" w:rsidRPr="00931D46">
        <w:rPr>
          <w:rFonts w:ascii="Arial" w:hAnsi="Arial" w:cs="Arial"/>
          <w:lang w:eastAsia="es-MX"/>
        </w:rPr>
        <w:t xml:space="preserve"> A continuación, </w:t>
      </w:r>
      <w:r w:rsidR="007551B2" w:rsidRPr="00931D46">
        <w:rPr>
          <w:rFonts w:ascii="Arial" w:hAnsi="Arial" w:cs="Arial"/>
        </w:rPr>
        <w:t>se presentan</w:t>
      </w:r>
      <w:r w:rsidR="00F847DD" w:rsidRPr="00931D46">
        <w:rPr>
          <w:rFonts w:ascii="Arial" w:hAnsi="Arial" w:cs="Arial"/>
        </w:rPr>
        <w:t xml:space="preserve"> h</w:t>
      </w:r>
      <w:r w:rsidR="00F422F7" w:rsidRPr="00931D46">
        <w:rPr>
          <w:rFonts w:ascii="Arial" w:hAnsi="Arial" w:cs="Arial"/>
        </w:rPr>
        <w:t>erramientas</w:t>
      </w:r>
      <w:r w:rsidR="00032C32" w:rsidRPr="00931D46">
        <w:rPr>
          <w:rFonts w:ascii="Arial" w:hAnsi="Arial" w:cs="Arial"/>
        </w:rPr>
        <w:t xml:space="preserve"> </w:t>
      </w:r>
      <w:r w:rsidR="00F422F7" w:rsidRPr="00931D46">
        <w:rPr>
          <w:rFonts w:ascii="Arial" w:hAnsi="Arial" w:cs="Arial"/>
        </w:rPr>
        <w:t xml:space="preserve">y elementos </w:t>
      </w:r>
      <w:r w:rsidR="00F847DD" w:rsidRPr="00931D46">
        <w:rPr>
          <w:rFonts w:ascii="Arial" w:hAnsi="Arial" w:cs="Arial"/>
        </w:rPr>
        <w:t xml:space="preserve">que se pueden considerar en el </w:t>
      </w:r>
      <w:r w:rsidR="00F422F7" w:rsidRPr="00931D46">
        <w:rPr>
          <w:rFonts w:ascii="Arial" w:hAnsi="Arial" w:cs="Arial"/>
        </w:rPr>
        <w:t xml:space="preserve">análisis de </w:t>
      </w:r>
      <w:r w:rsidR="00032C32" w:rsidRPr="00931D46">
        <w:rPr>
          <w:rFonts w:ascii="Arial" w:hAnsi="Arial" w:cs="Arial"/>
        </w:rPr>
        <w:t>sustitución</w:t>
      </w:r>
      <w:r w:rsidR="00F847DD" w:rsidRPr="00931D46">
        <w:rPr>
          <w:rFonts w:ascii="Arial" w:hAnsi="Arial" w:cs="Arial"/>
        </w:rPr>
        <w:t xml:space="preserve"> para la </w:t>
      </w:r>
      <w:r w:rsidR="00F847DD" w:rsidRPr="00931D46">
        <w:rPr>
          <w:rFonts w:ascii="Arial" w:hAnsi="Arial" w:cs="Arial"/>
          <w:b/>
        </w:rPr>
        <w:t xml:space="preserve">dimensión </w:t>
      </w:r>
      <w:r w:rsidR="00330363">
        <w:rPr>
          <w:rFonts w:ascii="Arial" w:hAnsi="Arial" w:cs="Arial"/>
          <w:b/>
        </w:rPr>
        <w:t>producto</w:t>
      </w:r>
      <w:r w:rsidR="00223DE5" w:rsidRPr="00931D46">
        <w:rPr>
          <w:rFonts w:ascii="Arial" w:hAnsi="Arial" w:cs="Arial"/>
        </w:rPr>
        <w:t>, sin orden de importancia o prelación en su aplicación</w:t>
      </w:r>
      <w:r w:rsidR="00F422F7" w:rsidRPr="00931D46">
        <w:rPr>
          <w:rFonts w:ascii="Arial" w:hAnsi="Arial" w:cs="Arial"/>
        </w:rPr>
        <w:t>:</w:t>
      </w:r>
      <w:r w:rsidR="007551B2" w:rsidRPr="00931D46">
        <w:rPr>
          <w:rStyle w:val="Refdenotaalpie"/>
          <w:rFonts w:ascii="Arial" w:hAnsi="Arial" w:cs="Arial"/>
        </w:rPr>
        <w:footnoteReference w:id="77"/>
      </w:r>
    </w:p>
    <w:p w14:paraId="396E0A89" w14:textId="77777777" w:rsidR="007551B2" w:rsidRPr="00931D46" w:rsidRDefault="007551B2" w:rsidP="00290CEB">
      <w:pPr>
        <w:spacing w:before="0" w:after="0"/>
        <w:rPr>
          <w:rFonts w:ascii="Arial" w:hAnsi="Arial" w:cs="Arial"/>
        </w:rPr>
      </w:pPr>
    </w:p>
    <w:p w14:paraId="4D96F333" w14:textId="77777777" w:rsidR="004A7125" w:rsidRPr="00931D46" w:rsidRDefault="004A7125" w:rsidP="00290CEB">
      <w:pPr>
        <w:keepNext/>
        <w:spacing w:before="0" w:after="0"/>
        <w:rPr>
          <w:rFonts w:ascii="Arial" w:hAnsi="Arial" w:cs="Arial"/>
          <w:b/>
        </w:rPr>
      </w:pPr>
      <w:r w:rsidRPr="00931D46">
        <w:rPr>
          <w:rFonts w:ascii="Arial" w:hAnsi="Arial" w:cs="Arial"/>
          <w:b/>
        </w:rPr>
        <w:t>Por el lado de la demanda:</w:t>
      </w:r>
    </w:p>
    <w:p w14:paraId="32FCC5AB" w14:textId="7686A432" w:rsidR="00032C32" w:rsidRPr="00931D46" w:rsidRDefault="00061AD8"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Análisis de equivalencia funcional</w:t>
      </w:r>
      <w:r w:rsidR="00E95654">
        <w:rPr>
          <w:rFonts w:ascii="Arial" w:hAnsi="Arial" w:cs="Arial"/>
        </w:rPr>
        <w:t xml:space="preserve"> e intercambiabilidad con base en </w:t>
      </w:r>
      <w:r w:rsidRPr="00931D46">
        <w:rPr>
          <w:rFonts w:ascii="Arial" w:hAnsi="Arial" w:cs="Arial"/>
        </w:rPr>
        <w:t>las características</w:t>
      </w:r>
      <w:r w:rsidR="003A003E">
        <w:rPr>
          <w:rFonts w:ascii="Arial" w:hAnsi="Arial" w:cs="Arial"/>
        </w:rPr>
        <w:t xml:space="preserve">, </w:t>
      </w:r>
      <w:r w:rsidRPr="00931D46">
        <w:rPr>
          <w:rFonts w:ascii="Arial" w:hAnsi="Arial" w:cs="Arial"/>
        </w:rPr>
        <w:t xml:space="preserve">atributos </w:t>
      </w:r>
      <w:r w:rsidR="003A003E">
        <w:rPr>
          <w:rFonts w:ascii="Arial" w:hAnsi="Arial" w:cs="Arial"/>
        </w:rPr>
        <w:t xml:space="preserve">y usos </w:t>
      </w:r>
      <w:r w:rsidRPr="00931D46">
        <w:rPr>
          <w:rFonts w:ascii="Arial" w:hAnsi="Arial" w:cs="Arial"/>
        </w:rPr>
        <w:t xml:space="preserve">de los </w:t>
      </w:r>
      <w:r w:rsidR="00330363">
        <w:rPr>
          <w:rFonts w:ascii="Arial" w:hAnsi="Arial" w:cs="Arial"/>
        </w:rPr>
        <w:t>productos</w:t>
      </w:r>
      <w:r w:rsidRPr="00931D46">
        <w:rPr>
          <w:rFonts w:ascii="Arial" w:hAnsi="Arial" w:cs="Arial"/>
        </w:rPr>
        <w:t>.</w:t>
      </w:r>
      <w:r w:rsidR="00032C32" w:rsidRPr="00931D46">
        <w:rPr>
          <w:rFonts w:ascii="Arial" w:hAnsi="Arial" w:cs="Arial"/>
        </w:rPr>
        <w:t xml:space="preserve"> </w:t>
      </w:r>
    </w:p>
    <w:p w14:paraId="2637F84E" w14:textId="77777777" w:rsidR="00032C32" w:rsidRPr="00931D46" w:rsidRDefault="00032C32"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Herramientas econométricas y estadísticas</w:t>
      </w:r>
      <w:r w:rsidR="00290CEB" w:rsidRPr="00931D46">
        <w:rPr>
          <w:rFonts w:ascii="Arial" w:hAnsi="Arial" w:cs="Arial"/>
        </w:rPr>
        <w:t>, tales como</w:t>
      </w:r>
      <w:r w:rsidRPr="00931D46">
        <w:rPr>
          <w:rFonts w:ascii="Arial" w:hAnsi="Arial" w:cs="Arial"/>
        </w:rPr>
        <w:t xml:space="preserve"> </w:t>
      </w:r>
      <w:r w:rsidR="00290CEB" w:rsidRPr="00931D46">
        <w:rPr>
          <w:rFonts w:ascii="Arial" w:hAnsi="Arial" w:cs="Arial"/>
        </w:rPr>
        <w:t xml:space="preserve">la </w:t>
      </w:r>
      <w:r w:rsidRPr="00931D46">
        <w:rPr>
          <w:rFonts w:ascii="Arial" w:hAnsi="Arial" w:cs="Arial"/>
        </w:rPr>
        <w:t>estimaci</w:t>
      </w:r>
      <w:r w:rsidR="00290CEB" w:rsidRPr="00931D46">
        <w:rPr>
          <w:rFonts w:ascii="Arial" w:hAnsi="Arial" w:cs="Arial"/>
        </w:rPr>
        <w:t>ón</w:t>
      </w:r>
      <w:r w:rsidRPr="00931D46">
        <w:rPr>
          <w:rFonts w:ascii="Arial" w:hAnsi="Arial" w:cs="Arial"/>
        </w:rPr>
        <w:t xml:space="preserve"> de la elasticidad </w:t>
      </w:r>
      <w:r w:rsidR="001910A3" w:rsidRPr="00931D46">
        <w:rPr>
          <w:rFonts w:ascii="Arial" w:hAnsi="Arial" w:cs="Arial"/>
        </w:rPr>
        <w:t xml:space="preserve">precio </w:t>
      </w:r>
      <w:r w:rsidRPr="00931D46">
        <w:rPr>
          <w:rFonts w:ascii="Arial" w:hAnsi="Arial" w:cs="Arial"/>
        </w:rPr>
        <w:t xml:space="preserve">y de la elasticidad cruzada </w:t>
      </w:r>
      <w:r w:rsidR="001910A3" w:rsidRPr="00931D46">
        <w:rPr>
          <w:rFonts w:ascii="Arial" w:hAnsi="Arial" w:cs="Arial"/>
        </w:rPr>
        <w:t>de la demanda</w:t>
      </w:r>
      <w:r w:rsidRPr="00931D46">
        <w:rPr>
          <w:rFonts w:ascii="Arial" w:hAnsi="Arial" w:cs="Arial"/>
        </w:rPr>
        <w:t xml:space="preserve">, análisis basados en la similitud </w:t>
      </w:r>
      <w:r w:rsidR="00290CEB" w:rsidRPr="00931D46">
        <w:rPr>
          <w:rFonts w:ascii="Arial" w:hAnsi="Arial" w:cs="Arial"/>
        </w:rPr>
        <w:t xml:space="preserve">de los niveles de precios y su evolución o convergencia </w:t>
      </w:r>
      <w:r w:rsidR="001910A3" w:rsidRPr="00931D46">
        <w:rPr>
          <w:rFonts w:ascii="Arial" w:hAnsi="Arial" w:cs="Arial"/>
        </w:rPr>
        <w:t xml:space="preserve">(por ejemplo, análisis de </w:t>
      </w:r>
      <w:r w:rsidR="001F00EB" w:rsidRPr="00931D46">
        <w:rPr>
          <w:rFonts w:ascii="Arial" w:hAnsi="Arial" w:cs="Arial"/>
        </w:rPr>
        <w:t>correlación</w:t>
      </w:r>
      <w:r w:rsidR="00585446" w:rsidRPr="00931D46">
        <w:rPr>
          <w:rFonts w:ascii="Arial" w:hAnsi="Arial" w:cs="Arial"/>
        </w:rPr>
        <w:t>, pruebas de causalidad</w:t>
      </w:r>
      <w:r w:rsidR="001F00EB" w:rsidRPr="00931D46">
        <w:rPr>
          <w:rFonts w:ascii="Arial" w:hAnsi="Arial" w:cs="Arial"/>
        </w:rPr>
        <w:t xml:space="preserve"> y/o </w:t>
      </w:r>
      <w:r w:rsidR="00585446" w:rsidRPr="00931D46">
        <w:rPr>
          <w:rFonts w:ascii="Arial" w:hAnsi="Arial" w:cs="Arial"/>
        </w:rPr>
        <w:t xml:space="preserve">pruebas de </w:t>
      </w:r>
      <w:r w:rsidR="001910A3" w:rsidRPr="00931D46">
        <w:rPr>
          <w:rFonts w:ascii="Arial" w:hAnsi="Arial" w:cs="Arial"/>
        </w:rPr>
        <w:t>cointegración)</w:t>
      </w:r>
      <w:r w:rsidR="00271E11" w:rsidRPr="00931D46">
        <w:rPr>
          <w:rFonts w:ascii="Arial" w:hAnsi="Arial" w:cs="Arial"/>
        </w:rPr>
        <w:t>.</w:t>
      </w:r>
    </w:p>
    <w:p w14:paraId="4C3D913E" w14:textId="4AF2412C" w:rsidR="00290CEB" w:rsidRPr="00931D46" w:rsidRDefault="00290CEB"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Evidencia de sustitución en el pasado reciente ante variaciones de los precios relativos u otras variables de competencia</w:t>
      </w:r>
      <w:r w:rsidR="00EB3D37" w:rsidRPr="00931D46">
        <w:rPr>
          <w:rFonts w:ascii="Arial" w:hAnsi="Arial" w:cs="Arial"/>
        </w:rPr>
        <w:t xml:space="preserve"> (por ejemplo, la calidad, aspectos relacionados con el servicio, los términos y condiciones de venta, entre otras)</w:t>
      </w:r>
      <w:r w:rsidRPr="00931D46">
        <w:rPr>
          <w:rFonts w:ascii="Arial" w:hAnsi="Arial" w:cs="Arial"/>
        </w:rPr>
        <w:t>, o ante cambios en la estructura del mercado (p</w:t>
      </w:r>
      <w:r w:rsidR="008F4197" w:rsidRPr="00931D46">
        <w:rPr>
          <w:rFonts w:ascii="Arial" w:hAnsi="Arial" w:cs="Arial"/>
        </w:rPr>
        <w:t xml:space="preserve">or </w:t>
      </w:r>
      <w:r w:rsidRPr="00931D46">
        <w:rPr>
          <w:rFonts w:ascii="Arial" w:hAnsi="Arial" w:cs="Arial"/>
        </w:rPr>
        <w:t>ej</w:t>
      </w:r>
      <w:r w:rsidR="008F4197" w:rsidRPr="00931D46">
        <w:rPr>
          <w:rFonts w:ascii="Arial" w:hAnsi="Arial" w:cs="Arial"/>
        </w:rPr>
        <w:t>emplo,</w:t>
      </w:r>
      <w:r w:rsidRPr="00931D46">
        <w:rPr>
          <w:rFonts w:ascii="Arial" w:hAnsi="Arial" w:cs="Arial"/>
        </w:rPr>
        <w:t xml:space="preserve"> la entrada de nuevos participantes, entrada de nuevos </w:t>
      </w:r>
      <w:r w:rsidR="00330363">
        <w:rPr>
          <w:rFonts w:ascii="Arial" w:hAnsi="Arial" w:cs="Arial"/>
        </w:rPr>
        <w:t>productos</w:t>
      </w:r>
      <w:r w:rsidRPr="00931D46">
        <w:rPr>
          <w:rFonts w:ascii="Arial" w:hAnsi="Arial" w:cs="Arial"/>
        </w:rPr>
        <w:t xml:space="preserve"> y otros experimentos naturales).</w:t>
      </w:r>
    </w:p>
    <w:p w14:paraId="70F9C73F" w14:textId="086D8136" w:rsidR="00290CEB" w:rsidRPr="00931D46" w:rsidRDefault="00290CEB"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La conducta de los participantes de la industria, incluyendo decisiones o documentos de negocios que indiquen las creencias informadas de los proveedores sobre la forma en que los clientes podrían sustituir entre </w:t>
      </w:r>
      <w:r w:rsidR="00330363">
        <w:rPr>
          <w:rFonts w:ascii="Arial" w:hAnsi="Arial" w:cs="Arial"/>
        </w:rPr>
        <w:t>productos</w:t>
      </w:r>
      <w:r w:rsidRPr="00931D46">
        <w:rPr>
          <w:rFonts w:ascii="Arial" w:hAnsi="Arial" w:cs="Arial"/>
        </w:rPr>
        <w:t xml:space="preserve"> en respuesta a cambios en los precios relativos.</w:t>
      </w:r>
    </w:p>
    <w:p w14:paraId="395D9FEB" w14:textId="3DE047EA" w:rsidR="00032C32" w:rsidRPr="00931D46" w:rsidRDefault="00032C32"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Opiniones de los principales clientes </w:t>
      </w:r>
      <w:r w:rsidR="00290CEB" w:rsidRPr="00931D46">
        <w:rPr>
          <w:rFonts w:ascii="Arial" w:hAnsi="Arial" w:cs="Arial"/>
        </w:rPr>
        <w:t xml:space="preserve">sobre lo que ocurriría ante un incremento (5%-10%) de los precios relativos de los </w:t>
      </w:r>
      <w:r w:rsidR="00330363">
        <w:rPr>
          <w:rFonts w:ascii="Arial" w:hAnsi="Arial" w:cs="Arial"/>
        </w:rPr>
        <w:t>productos</w:t>
      </w:r>
      <w:r w:rsidR="00290CEB" w:rsidRPr="00931D46">
        <w:rPr>
          <w:rFonts w:ascii="Arial" w:hAnsi="Arial" w:cs="Arial"/>
        </w:rPr>
        <w:t xml:space="preserve"> </w:t>
      </w:r>
      <w:r w:rsidR="006845DE">
        <w:rPr>
          <w:rFonts w:ascii="Arial" w:hAnsi="Arial" w:cs="Arial"/>
        </w:rPr>
        <w:t>analizados</w:t>
      </w:r>
      <w:r w:rsidR="006845DE" w:rsidRPr="00931D46">
        <w:rPr>
          <w:rFonts w:ascii="Arial" w:hAnsi="Arial" w:cs="Arial"/>
        </w:rPr>
        <w:t xml:space="preserve"> </w:t>
      </w:r>
      <w:r w:rsidR="00290CEB" w:rsidRPr="00931D46">
        <w:rPr>
          <w:rFonts w:ascii="Arial" w:hAnsi="Arial" w:cs="Arial"/>
        </w:rPr>
        <w:t xml:space="preserve">en la zona geográfica estudiada. </w:t>
      </w:r>
      <w:r w:rsidR="00F422F7" w:rsidRPr="00931D46">
        <w:rPr>
          <w:rFonts w:ascii="Arial" w:hAnsi="Arial" w:cs="Arial"/>
        </w:rPr>
        <w:t>Las opiniones deben estar respaldadas por datos reales.</w:t>
      </w:r>
    </w:p>
    <w:p w14:paraId="57CCC0BA" w14:textId="3C7D845D" w:rsidR="00290CEB" w:rsidRPr="00931D46" w:rsidRDefault="00290CEB"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Evidencia sobre las preferencias de los consumidores a partir de estudios de mercado o encuestas, que reflejen si una proporción de consumidores significativa estima que ciertos </w:t>
      </w:r>
      <w:r w:rsidR="00330363">
        <w:rPr>
          <w:rFonts w:ascii="Arial" w:hAnsi="Arial" w:cs="Arial"/>
        </w:rPr>
        <w:t>productos</w:t>
      </w:r>
      <w:r w:rsidRPr="00931D46">
        <w:rPr>
          <w:rFonts w:ascii="Arial" w:hAnsi="Arial" w:cs="Arial"/>
        </w:rPr>
        <w:t xml:space="preserve"> son sustitutos.</w:t>
      </w:r>
    </w:p>
    <w:p w14:paraId="650A8EE9" w14:textId="133AAEDA" w:rsidR="00C8188C" w:rsidRPr="00931D46" w:rsidRDefault="00290CEB"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Información sobre obstáculos y costos de cambio de los clientes hacia </w:t>
      </w:r>
      <w:r w:rsidR="00330363">
        <w:rPr>
          <w:rFonts w:ascii="Arial" w:hAnsi="Arial" w:cs="Arial"/>
        </w:rPr>
        <w:t>productos</w:t>
      </w:r>
      <w:r w:rsidRPr="00931D46">
        <w:rPr>
          <w:rFonts w:ascii="Arial" w:hAnsi="Arial" w:cs="Arial"/>
        </w:rPr>
        <w:t xml:space="preserve"> sustitutos (p</w:t>
      </w:r>
      <w:r w:rsidR="008F4197" w:rsidRPr="00931D46">
        <w:rPr>
          <w:rFonts w:ascii="Arial" w:hAnsi="Arial" w:cs="Arial"/>
        </w:rPr>
        <w:t xml:space="preserve">or </w:t>
      </w:r>
      <w:r w:rsidRPr="00931D46">
        <w:rPr>
          <w:rFonts w:ascii="Arial" w:hAnsi="Arial" w:cs="Arial"/>
        </w:rPr>
        <w:t>ej</w:t>
      </w:r>
      <w:r w:rsidR="008F4197" w:rsidRPr="00931D46">
        <w:rPr>
          <w:rFonts w:ascii="Arial" w:hAnsi="Arial" w:cs="Arial"/>
        </w:rPr>
        <w:t>emplo,</w:t>
      </w:r>
      <w:r w:rsidRPr="00931D46">
        <w:rPr>
          <w:rFonts w:ascii="Arial" w:hAnsi="Arial" w:cs="Arial"/>
        </w:rPr>
        <w:t xml:space="preserve"> la posibilidad de hacer portabilidad o </w:t>
      </w:r>
      <w:r w:rsidRPr="00931D46">
        <w:rPr>
          <w:rFonts w:ascii="Arial" w:hAnsi="Arial" w:cs="Arial"/>
          <w:i/>
        </w:rPr>
        <w:t>multi</w:t>
      </w:r>
      <w:r w:rsidR="00EB3D37" w:rsidRPr="00931D46">
        <w:rPr>
          <w:rFonts w:ascii="Arial" w:hAnsi="Arial" w:cs="Arial"/>
          <w:i/>
        </w:rPr>
        <w:t>-</w:t>
      </w:r>
      <w:r w:rsidRPr="00931D46">
        <w:rPr>
          <w:rFonts w:ascii="Arial" w:hAnsi="Arial" w:cs="Arial"/>
          <w:i/>
        </w:rPr>
        <w:t>homing</w:t>
      </w:r>
      <w:r w:rsidR="00EB3D37" w:rsidRPr="00931D46">
        <w:rPr>
          <w:rStyle w:val="Refdenotaalpie"/>
          <w:rFonts w:ascii="Arial" w:hAnsi="Arial" w:cs="Arial"/>
        </w:rPr>
        <w:footnoteReference w:id="78"/>
      </w:r>
      <w:r w:rsidRPr="00931D46">
        <w:rPr>
          <w:rFonts w:ascii="Arial" w:hAnsi="Arial" w:cs="Arial"/>
        </w:rPr>
        <w:t>)</w:t>
      </w:r>
      <w:r w:rsidR="00EB3D37" w:rsidRPr="00931D46">
        <w:rPr>
          <w:rFonts w:ascii="Arial" w:hAnsi="Arial" w:cs="Arial"/>
        </w:rPr>
        <w:t>.</w:t>
      </w:r>
    </w:p>
    <w:p w14:paraId="61197DB3" w14:textId="77777777" w:rsidR="00C8188C" w:rsidRPr="00931D46" w:rsidRDefault="00C8188C"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Información sobre diferentes categorías de consumidores y sobre la existencia de discriminación de precios.</w:t>
      </w:r>
    </w:p>
    <w:p w14:paraId="32CFF10F" w14:textId="45DC07E7" w:rsidR="00063253" w:rsidRPr="00931D46" w:rsidRDefault="00C8188C"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La existencia de cadenas de sustitución, las cuales ocurren cuando, a pesar de que los </w:t>
      </w:r>
      <w:r w:rsidR="00330363">
        <w:rPr>
          <w:rFonts w:ascii="Arial" w:hAnsi="Arial" w:cs="Arial"/>
        </w:rPr>
        <w:t>productos</w:t>
      </w:r>
      <w:r w:rsidRPr="00931D46">
        <w:rPr>
          <w:rFonts w:ascii="Arial" w:hAnsi="Arial" w:cs="Arial"/>
        </w:rPr>
        <w:t xml:space="preserve"> </w:t>
      </w:r>
      <w:r w:rsidRPr="003A003E">
        <w:rPr>
          <w:rFonts w:ascii="Arial" w:hAnsi="Arial" w:cs="Arial"/>
          <w:i/>
        </w:rPr>
        <w:t>A</w:t>
      </w:r>
      <w:r w:rsidRPr="00931D46">
        <w:rPr>
          <w:rFonts w:ascii="Arial" w:hAnsi="Arial" w:cs="Arial"/>
        </w:rPr>
        <w:t xml:space="preserve"> y </w:t>
      </w:r>
      <w:r w:rsidRPr="003A003E">
        <w:rPr>
          <w:rFonts w:ascii="Arial" w:hAnsi="Arial" w:cs="Arial"/>
          <w:i/>
        </w:rPr>
        <w:t>C</w:t>
      </w:r>
      <w:r w:rsidRPr="00931D46">
        <w:rPr>
          <w:rFonts w:ascii="Arial" w:hAnsi="Arial" w:cs="Arial"/>
        </w:rPr>
        <w:t xml:space="preserve"> no son directamente sustitutos, el </w:t>
      </w:r>
      <w:r w:rsidR="00330363">
        <w:rPr>
          <w:rFonts w:ascii="Arial" w:hAnsi="Arial" w:cs="Arial"/>
        </w:rPr>
        <w:t>producto</w:t>
      </w:r>
      <w:r w:rsidRPr="00931D46">
        <w:rPr>
          <w:rFonts w:ascii="Arial" w:hAnsi="Arial" w:cs="Arial"/>
        </w:rPr>
        <w:t xml:space="preserve"> </w:t>
      </w:r>
      <w:r w:rsidRPr="003A003E">
        <w:rPr>
          <w:rFonts w:ascii="Arial" w:hAnsi="Arial" w:cs="Arial"/>
          <w:i/>
        </w:rPr>
        <w:t>B</w:t>
      </w:r>
      <w:r w:rsidRPr="00931D46">
        <w:rPr>
          <w:rFonts w:ascii="Arial" w:hAnsi="Arial" w:cs="Arial"/>
        </w:rPr>
        <w:t xml:space="preserve"> es un </w:t>
      </w:r>
      <w:r w:rsidR="00330363">
        <w:rPr>
          <w:rFonts w:ascii="Arial" w:hAnsi="Arial" w:cs="Arial"/>
        </w:rPr>
        <w:t>producto</w:t>
      </w:r>
      <w:r w:rsidRPr="00931D46">
        <w:rPr>
          <w:rFonts w:ascii="Arial" w:hAnsi="Arial" w:cs="Arial"/>
        </w:rPr>
        <w:t xml:space="preserve"> sustituto tanto del </w:t>
      </w:r>
      <w:r w:rsidR="00330363">
        <w:rPr>
          <w:rFonts w:ascii="Arial" w:hAnsi="Arial" w:cs="Arial"/>
        </w:rPr>
        <w:t>producto</w:t>
      </w:r>
      <w:r w:rsidRPr="00931D46">
        <w:rPr>
          <w:rFonts w:ascii="Arial" w:hAnsi="Arial" w:cs="Arial"/>
        </w:rPr>
        <w:t xml:space="preserve"> </w:t>
      </w:r>
      <w:r w:rsidRPr="003A003E">
        <w:rPr>
          <w:rFonts w:ascii="Arial" w:hAnsi="Arial" w:cs="Arial"/>
          <w:i/>
        </w:rPr>
        <w:t>A</w:t>
      </w:r>
      <w:r w:rsidRPr="00931D46">
        <w:rPr>
          <w:rFonts w:ascii="Arial" w:hAnsi="Arial" w:cs="Arial"/>
        </w:rPr>
        <w:t xml:space="preserve"> como del </w:t>
      </w:r>
      <w:r w:rsidR="00330363">
        <w:rPr>
          <w:rFonts w:ascii="Arial" w:hAnsi="Arial" w:cs="Arial"/>
        </w:rPr>
        <w:t>producto</w:t>
      </w:r>
      <w:r w:rsidRPr="00931D46">
        <w:rPr>
          <w:rFonts w:ascii="Arial" w:hAnsi="Arial" w:cs="Arial"/>
        </w:rPr>
        <w:t xml:space="preserve"> </w:t>
      </w:r>
      <w:r w:rsidRPr="003A003E">
        <w:rPr>
          <w:rFonts w:ascii="Arial" w:hAnsi="Arial" w:cs="Arial"/>
          <w:i/>
        </w:rPr>
        <w:t>C</w:t>
      </w:r>
      <w:r w:rsidRPr="00931D46">
        <w:rPr>
          <w:rFonts w:ascii="Arial" w:hAnsi="Arial" w:cs="Arial"/>
        </w:rPr>
        <w:t xml:space="preserve">, de tal modo que los </w:t>
      </w:r>
      <w:r w:rsidR="00330363">
        <w:rPr>
          <w:rFonts w:ascii="Arial" w:hAnsi="Arial" w:cs="Arial"/>
        </w:rPr>
        <w:t>productos</w:t>
      </w:r>
      <w:r w:rsidRPr="00931D46">
        <w:rPr>
          <w:rFonts w:ascii="Arial" w:hAnsi="Arial" w:cs="Arial"/>
        </w:rPr>
        <w:t xml:space="preserve"> </w:t>
      </w:r>
      <w:r w:rsidRPr="003A003E">
        <w:rPr>
          <w:rFonts w:ascii="Arial" w:hAnsi="Arial" w:cs="Arial"/>
          <w:i/>
        </w:rPr>
        <w:t>A</w:t>
      </w:r>
      <w:r w:rsidRPr="00931D46">
        <w:rPr>
          <w:rFonts w:ascii="Arial" w:hAnsi="Arial" w:cs="Arial"/>
        </w:rPr>
        <w:t xml:space="preserve">, </w:t>
      </w:r>
      <w:r w:rsidRPr="003A003E">
        <w:rPr>
          <w:rFonts w:ascii="Arial" w:hAnsi="Arial" w:cs="Arial"/>
          <w:i/>
        </w:rPr>
        <w:t>B</w:t>
      </w:r>
      <w:r w:rsidRPr="00931D46">
        <w:rPr>
          <w:rFonts w:ascii="Arial" w:hAnsi="Arial" w:cs="Arial"/>
        </w:rPr>
        <w:t xml:space="preserve"> y </w:t>
      </w:r>
      <w:r w:rsidRPr="003A003E">
        <w:rPr>
          <w:rFonts w:ascii="Arial" w:hAnsi="Arial" w:cs="Arial"/>
          <w:i/>
        </w:rPr>
        <w:t>C</w:t>
      </w:r>
      <w:r w:rsidRPr="00931D46">
        <w:rPr>
          <w:rFonts w:ascii="Arial" w:hAnsi="Arial" w:cs="Arial"/>
        </w:rPr>
        <w:t xml:space="preserve"> pueden pertenecer al mismo MR si sus precios respectivos ejercen presiones entre sí. El mismo razonamiento se aplica también a la sustitución entre zonas geográficas.</w:t>
      </w:r>
    </w:p>
    <w:p w14:paraId="29F81BF0" w14:textId="1FB0810A" w:rsidR="00C8188C" w:rsidRPr="00931D46" w:rsidRDefault="00063253" w:rsidP="00063253">
      <w:pPr>
        <w:pStyle w:val="Prrafodelista"/>
        <w:spacing w:before="0" w:after="0"/>
        <w:contextualSpacing w:val="0"/>
        <w:rPr>
          <w:rFonts w:ascii="Arial" w:hAnsi="Arial" w:cs="Arial"/>
        </w:rPr>
      </w:pPr>
      <w:r w:rsidRPr="00931D46">
        <w:rPr>
          <w:rFonts w:ascii="Arial" w:hAnsi="Arial" w:cs="Arial"/>
        </w:rPr>
        <w:t>P</w:t>
      </w:r>
      <w:r w:rsidR="00C8188C" w:rsidRPr="00931D46">
        <w:rPr>
          <w:rFonts w:ascii="Arial" w:hAnsi="Arial" w:cs="Arial"/>
        </w:rPr>
        <w:t xml:space="preserve">ara corroborar la existencia de cadenas de sustitución puede </w:t>
      </w:r>
      <w:r w:rsidRPr="00931D46">
        <w:rPr>
          <w:rFonts w:ascii="Arial" w:hAnsi="Arial" w:cs="Arial"/>
        </w:rPr>
        <w:t xml:space="preserve">utilizarse evidencia </w:t>
      </w:r>
      <w:r w:rsidR="00C8188C" w:rsidRPr="00931D46">
        <w:rPr>
          <w:rFonts w:ascii="Arial" w:hAnsi="Arial" w:cs="Arial"/>
        </w:rPr>
        <w:t>"</w:t>
      </w:r>
      <w:r w:rsidR="00C8188C" w:rsidRPr="00931D46">
        <w:rPr>
          <w:rFonts w:ascii="Arial" w:hAnsi="Arial" w:cs="Arial"/>
          <w:i/>
        </w:rPr>
        <w:t>por ejemplo, relacionada con la interdependencia de precios en los extremos de las cadenas de sustitución</w:t>
      </w:r>
      <w:r w:rsidR="00C8188C" w:rsidRPr="00931D46">
        <w:rPr>
          <w:rFonts w:ascii="Arial" w:hAnsi="Arial" w:cs="Arial"/>
        </w:rPr>
        <w:t>"</w:t>
      </w:r>
      <w:r w:rsidR="00A40BC6" w:rsidRPr="00931D46">
        <w:rPr>
          <w:rFonts w:ascii="Arial" w:hAnsi="Arial" w:cs="Arial"/>
        </w:rPr>
        <w:t>,</w:t>
      </w:r>
      <w:r w:rsidR="00C8188C" w:rsidRPr="00931D46">
        <w:rPr>
          <w:rFonts w:ascii="Arial" w:hAnsi="Arial" w:cs="Arial"/>
          <w:vertAlign w:val="superscript"/>
        </w:rPr>
        <w:footnoteReference w:id="79"/>
      </w:r>
      <w:r w:rsidR="00A40BC6" w:rsidRPr="00931D46">
        <w:rPr>
          <w:rFonts w:ascii="Arial" w:hAnsi="Arial" w:cs="Arial"/>
        </w:rPr>
        <w:t xml:space="preserve"> el traslape o coincidencia de precios entre los </w:t>
      </w:r>
      <w:r w:rsidR="00330363">
        <w:rPr>
          <w:rFonts w:ascii="Arial" w:hAnsi="Arial" w:cs="Arial"/>
        </w:rPr>
        <w:t>productos</w:t>
      </w:r>
      <w:r w:rsidR="00A40BC6" w:rsidRPr="00931D46">
        <w:rPr>
          <w:rFonts w:ascii="Arial" w:hAnsi="Arial" w:cs="Arial"/>
        </w:rPr>
        <w:t xml:space="preserve">, las diferencias en los costos incrementales de cada </w:t>
      </w:r>
      <w:r w:rsidR="00330363">
        <w:rPr>
          <w:rFonts w:ascii="Arial" w:hAnsi="Arial" w:cs="Arial"/>
        </w:rPr>
        <w:t>producto</w:t>
      </w:r>
      <w:r w:rsidR="00A40BC6" w:rsidRPr="00931D46">
        <w:rPr>
          <w:rFonts w:ascii="Arial" w:hAnsi="Arial" w:cs="Arial"/>
        </w:rPr>
        <w:t xml:space="preserve"> y la sustitución entre los </w:t>
      </w:r>
      <w:r w:rsidR="00330363">
        <w:rPr>
          <w:rFonts w:ascii="Arial" w:hAnsi="Arial" w:cs="Arial"/>
        </w:rPr>
        <w:t>productos</w:t>
      </w:r>
      <w:r w:rsidR="00A40BC6" w:rsidRPr="00931D46">
        <w:rPr>
          <w:rFonts w:ascii="Arial" w:hAnsi="Arial" w:cs="Arial"/>
        </w:rPr>
        <w:t xml:space="preserve"> adyacentes en la cadena.</w:t>
      </w:r>
      <w:r w:rsidR="00A40BC6" w:rsidRPr="00931D46">
        <w:rPr>
          <w:rStyle w:val="Refdecomentario"/>
          <w:rFonts w:ascii="Arial" w:hAnsi="Arial" w:cs="Arial"/>
          <w:sz w:val="22"/>
          <w:szCs w:val="22"/>
        </w:rPr>
        <w:t xml:space="preserve"> </w:t>
      </w:r>
    </w:p>
    <w:p w14:paraId="2E548CD9" w14:textId="0565D8F8" w:rsidR="006A3235" w:rsidRPr="00931D46" w:rsidRDefault="006A3235" w:rsidP="00942BD7">
      <w:pPr>
        <w:pStyle w:val="Prrafodelista"/>
        <w:numPr>
          <w:ilvl w:val="0"/>
          <w:numId w:val="59"/>
        </w:numPr>
        <w:spacing w:before="0" w:after="0"/>
        <w:ind w:hanging="578"/>
        <w:contextualSpacing w:val="0"/>
        <w:rPr>
          <w:rFonts w:ascii="Arial" w:hAnsi="Arial" w:cs="Arial"/>
        </w:rPr>
      </w:pPr>
      <w:r w:rsidRPr="00931D46">
        <w:rPr>
          <w:rFonts w:ascii="Arial" w:hAnsi="Arial" w:cs="Arial"/>
        </w:rPr>
        <w:t xml:space="preserve">Cocientes de desvío, </w:t>
      </w:r>
      <w:r w:rsidR="00A40BC6" w:rsidRPr="00931D46">
        <w:rPr>
          <w:rFonts w:ascii="Arial" w:hAnsi="Arial" w:cs="Arial"/>
        </w:rPr>
        <w:t xml:space="preserve">que miden </w:t>
      </w:r>
      <w:r w:rsidRPr="00931D46">
        <w:rPr>
          <w:rFonts w:ascii="Arial" w:hAnsi="Arial" w:cs="Arial"/>
        </w:rPr>
        <w:t>la proporción de venta que se desviaría de un producto a otro, en caso de un aumento en el precio del primero.</w:t>
      </w:r>
    </w:p>
    <w:p w14:paraId="7CAC1F52" w14:textId="77777777" w:rsidR="003F77FD" w:rsidRPr="00931D46" w:rsidRDefault="003F77FD" w:rsidP="00290CEB">
      <w:pPr>
        <w:spacing w:before="0" w:after="0"/>
        <w:rPr>
          <w:rFonts w:ascii="Arial" w:hAnsi="Arial" w:cs="Arial"/>
        </w:rPr>
      </w:pPr>
    </w:p>
    <w:p w14:paraId="723A795C" w14:textId="77777777" w:rsidR="00F847DD" w:rsidRPr="00931D46" w:rsidRDefault="004A7125" w:rsidP="00290CEB">
      <w:pPr>
        <w:keepNext/>
        <w:spacing w:before="0" w:after="0"/>
        <w:rPr>
          <w:rFonts w:ascii="Arial" w:hAnsi="Arial" w:cs="Arial"/>
          <w:b/>
        </w:rPr>
      </w:pPr>
      <w:r w:rsidRPr="00931D46">
        <w:rPr>
          <w:rFonts w:ascii="Arial" w:hAnsi="Arial" w:cs="Arial"/>
          <w:b/>
        </w:rPr>
        <w:t>P</w:t>
      </w:r>
      <w:r w:rsidR="00F847DD" w:rsidRPr="00931D46">
        <w:rPr>
          <w:rFonts w:ascii="Arial" w:hAnsi="Arial" w:cs="Arial"/>
          <w:b/>
        </w:rPr>
        <w:t>or el lado de la oferta:</w:t>
      </w:r>
    </w:p>
    <w:p w14:paraId="484E9FE7" w14:textId="69DF78CB" w:rsidR="00C8188C"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eastAsiaTheme="majorEastAsia" w:hAnsi="Arial" w:cs="Arial"/>
        </w:rPr>
        <w:t xml:space="preserve">Información sobre las características de los participantes activos y </w:t>
      </w:r>
      <w:r w:rsidR="00103767">
        <w:rPr>
          <w:rFonts w:ascii="Arial" w:eastAsiaTheme="majorEastAsia" w:hAnsi="Arial" w:cs="Arial"/>
        </w:rPr>
        <w:t>no activos actualmente</w:t>
      </w:r>
      <w:r w:rsidR="00103767" w:rsidRPr="00931D46">
        <w:rPr>
          <w:rFonts w:ascii="Arial" w:eastAsiaTheme="majorEastAsia" w:hAnsi="Arial" w:cs="Arial"/>
        </w:rPr>
        <w:t xml:space="preserve"> </w:t>
      </w:r>
      <w:r w:rsidRPr="00931D46">
        <w:rPr>
          <w:rFonts w:ascii="Arial" w:eastAsiaTheme="majorEastAsia" w:hAnsi="Arial" w:cs="Arial"/>
        </w:rPr>
        <w:t xml:space="preserve">en el mercado. </w:t>
      </w:r>
    </w:p>
    <w:p w14:paraId="0B5946E6" w14:textId="7FCAF839" w:rsidR="00EB1CC8"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eastAsiaTheme="majorEastAsia" w:hAnsi="Arial" w:cs="Arial"/>
        </w:rPr>
        <w:t>Posibilidad y costos para utilizar la c</w:t>
      </w:r>
      <w:r w:rsidR="00EB1CC8" w:rsidRPr="00931D46">
        <w:rPr>
          <w:rFonts w:ascii="Arial" w:eastAsiaTheme="majorEastAsia" w:hAnsi="Arial" w:cs="Arial"/>
        </w:rPr>
        <w:t xml:space="preserve">apacidad productiva en varios </w:t>
      </w:r>
      <w:r w:rsidR="00330363">
        <w:rPr>
          <w:rFonts w:ascii="Arial" w:eastAsiaTheme="majorEastAsia" w:hAnsi="Arial" w:cs="Arial"/>
        </w:rPr>
        <w:t>productos</w:t>
      </w:r>
      <w:r w:rsidR="00EB1CC8" w:rsidRPr="00931D46">
        <w:rPr>
          <w:rFonts w:ascii="Arial" w:eastAsiaTheme="majorEastAsia" w:hAnsi="Arial" w:cs="Arial"/>
        </w:rPr>
        <w:t xml:space="preserve">, incluyendo el </w:t>
      </w:r>
      <w:r w:rsidRPr="00931D46">
        <w:rPr>
          <w:rFonts w:ascii="Arial" w:eastAsiaTheme="majorEastAsia" w:hAnsi="Arial" w:cs="Arial"/>
        </w:rPr>
        <w:t>analizado</w:t>
      </w:r>
      <w:r w:rsidR="00355403" w:rsidRPr="00931D46">
        <w:rPr>
          <w:rFonts w:ascii="Arial" w:eastAsiaTheme="majorEastAsia" w:hAnsi="Arial" w:cs="Arial"/>
        </w:rPr>
        <w:t>.</w:t>
      </w:r>
    </w:p>
    <w:p w14:paraId="7B01A132" w14:textId="77777777" w:rsidR="00EB1CC8"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eastAsiaTheme="majorEastAsia" w:hAnsi="Arial" w:cs="Arial"/>
        </w:rPr>
        <w:t xml:space="preserve">Evidencia sobre la posibilidad de entrada oportuna sin incurrir en costos hundidos significativos </w:t>
      </w:r>
      <w:r w:rsidR="00F847DD" w:rsidRPr="00931D46">
        <w:rPr>
          <w:rFonts w:ascii="Arial" w:eastAsiaTheme="majorEastAsia" w:hAnsi="Arial" w:cs="Arial"/>
        </w:rPr>
        <w:t>(mercados contestables)</w:t>
      </w:r>
      <w:r w:rsidR="00355403" w:rsidRPr="00931D46">
        <w:rPr>
          <w:rFonts w:ascii="Arial" w:eastAsiaTheme="majorEastAsia" w:hAnsi="Arial" w:cs="Arial"/>
        </w:rPr>
        <w:t>.</w:t>
      </w:r>
    </w:p>
    <w:p w14:paraId="0891EB7C" w14:textId="58E2D9C5" w:rsidR="00C8188C"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hAnsi="Arial" w:cs="Arial"/>
        </w:rPr>
        <w:t xml:space="preserve">Encuestas y opiniones de proveedores sobre lo que ocurriría ante un incremento (5%-10%) de los precios relativos de los </w:t>
      </w:r>
      <w:r w:rsidR="00330363">
        <w:rPr>
          <w:rFonts w:ascii="Arial" w:hAnsi="Arial" w:cs="Arial"/>
        </w:rPr>
        <w:t>productos</w:t>
      </w:r>
      <w:r w:rsidRPr="00931D46">
        <w:rPr>
          <w:rFonts w:ascii="Arial" w:hAnsi="Arial" w:cs="Arial"/>
        </w:rPr>
        <w:t xml:space="preserve"> </w:t>
      </w:r>
      <w:r w:rsidR="006845DE">
        <w:rPr>
          <w:rFonts w:ascii="Arial" w:hAnsi="Arial" w:cs="Arial"/>
        </w:rPr>
        <w:t>analizados</w:t>
      </w:r>
      <w:r w:rsidR="006845DE" w:rsidRPr="00931D46">
        <w:rPr>
          <w:rFonts w:ascii="Arial" w:hAnsi="Arial" w:cs="Arial"/>
        </w:rPr>
        <w:t xml:space="preserve"> </w:t>
      </w:r>
      <w:r w:rsidRPr="00931D46">
        <w:rPr>
          <w:rFonts w:ascii="Arial" w:hAnsi="Arial" w:cs="Arial"/>
        </w:rPr>
        <w:t>en la zona geográfica estudiada. Las opiniones deben estar respaldadas por datos reales.</w:t>
      </w:r>
    </w:p>
    <w:p w14:paraId="6103B250" w14:textId="77777777" w:rsidR="00EB1CC8"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eastAsiaTheme="majorEastAsia" w:hAnsi="Arial" w:cs="Arial"/>
        </w:rPr>
        <w:t>Existencia de instrumentos comerciales, legales o regulatorios que limiten la entrada</w:t>
      </w:r>
      <w:r w:rsidR="00355403" w:rsidRPr="00931D46">
        <w:rPr>
          <w:rFonts w:ascii="Arial" w:eastAsiaTheme="majorEastAsia" w:hAnsi="Arial" w:cs="Arial"/>
        </w:rPr>
        <w:t>.</w:t>
      </w:r>
    </w:p>
    <w:p w14:paraId="65DC7EBA" w14:textId="72D1BE93" w:rsidR="00EB1CC8" w:rsidRPr="00931D46" w:rsidRDefault="00C8188C" w:rsidP="00942BD7">
      <w:pPr>
        <w:pStyle w:val="Prrafodelista"/>
        <w:numPr>
          <w:ilvl w:val="0"/>
          <w:numId w:val="60"/>
        </w:numPr>
        <w:spacing w:before="0" w:after="0"/>
        <w:ind w:left="709" w:hanging="567"/>
        <w:contextualSpacing w:val="0"/>
        <w:rPr>
          <w:rFonts w:ascii="Arial" w:eastAsiaTheme="majorEastAsia" w:hAnsi="Arial" w:cs="Arial"/>
        </w:rPr>
      </w:pPr>
      <w:r w:rsidRPr="00931D46">
        <w:rPr>
          <w:rFonts w:ascii="Arial" w:hAnsi="Arial" w:cs="Arial"/>
        </w:rPr>
        <w:t>Evidencia de entrada de proveedores en el pasado reciente ante variaciones de los precios relativos u otras variables de competencia, o ante cambios en la estructura del mercado (p</w:t>
      </w:r>
      <w:r w:rsidR="008F4197" w:rsidRPr="00931D46">
        <w:rPr>
          <w:rFonts w:ascii="Arial" w:hAnsi="Arial" w:cs="Arial"/>
        </w:rPr>
        <w:t xml:space="preserve">or </w:t>
      </w:r>
      <w:r w:rsidRPr="00931D46">
        <w:rPr>
          <w:rFonts w:ascii="Arial" w:hAnsi="Arial" w:cs="Arial"/>
        </w:rPr>
        <w:t>ej</w:t>
      </w:r>
      <w:r w:rsidR="008F4197" w:rsidRPr="00931D46">
        <w:rPr>
          <w:rFonts w:ascii="Arial" w:hAnsi="Arial" w:cs="Arial"/>
        </w:rPr>
        <w:t>emplo,</w:t>
      </w:r>
      <w:r w:rsidRPr="00931D46">
        <w:rPr>
          <w:rFonts w:ascii="Arial" w:hAnsi="Arial" w:cs="Arial"/>
        </w:rPr>
        <w:t xml:space="preserve"> la entrada de nuevos participantes, entrada de nuevos </w:t>
      </w:r>
      <w:r w:rsidR="00330363">
        <w:rPr>
          <w:rFonts w:ascii="Arial" w:hAnsi="Arial" w:cs="Arial"/>
        </w:rPr>
        <w:t>productos</w:t>
      </w:r>
      <w:r w:rsidRPr="00931D46">
        <w:rPr>
          <w:rFonts w:ascii="Arial" w:hAnsi="Arial" w:cs="Arial"/>
        </w:rPr>
        <w:t xml:space="preserve"> y otros experimentos naturales)</w:t>
      </w:r>
      <w:r w:rsidR="00355403" w:rsidRPr="00931D46">
        <w:rPr>
          <w:rFonts w:ascii="Arial" w:hAnsi="Arial" w:cs="Arial"/>
        </w:rPr>
        <w:t>.</w:t>
      </w:r>
    </w:p>
    <w:p w14:paraId="56F69357" w14:textId="77777777" w:rsidR="003F77FD" w:rsidRPr="00931D46" w:rsidRDefault="003F77FD" w:rsidP="00290CEB">
      <w:pPr>
        <w:spacing w:before="0" w:after="0"/>
        <w:rPr>
          <w:rFonts w:ascii="Arial" w:hAnsi="Arial" w:cs="Arial"/>
        </w:rPr>
      </w:pPr>
    </w:p>
    <w:p w14:paraId="4C7F4E6A" w14:textId="51006D05" w:rsidR="00F847DD" w:rsidRPr="00931D46" w:rsidRDefault="00F847DD" w:rsidP="00290CEB">
      <w:pPr>
        <w:spacing w:before="0" w:after="0"/>
        <w:rPr>
          <w:rFonts w:ascii="Arial" w:eastAsiaTheme="majorEastAsia" w:hAnsi="Arial" w:cs="Arial"/>
        </w:rPr>
      </w:pPr>
      <w:r w:rsidRPr="00931D46">
        <w:rPr>
          <w:rFonts w:ascii="Arial" w:eastAsiaTheme="majorEastAsia" w:hAnsi="Arial" w:cs="Arial"/>
        </w:rPr>
        <w:t xml:space="preserve">Para la delimitación de la </w:t>
      </w:r>
      <w:r w:rsidRPr="00931D46">
        <w:rPr>
          <w:rFonts w:ascii="Arial" w:eastAsiaTheme="majorEastAsia" w:hAnsi="Arial" w:cs="Arial"/>
          <w:b/>
        </w:rPr>
        <w:t>dimensión geográfica</w:t>
      </w:r>
      <w:r w:rsidR="002235CD" w:rsidRPr="00931D46">
        <w:rPr>
          <w:rFonts w:ascii="Arial" w:eastAsiaTheme="majorEastAsia" w:hAnsi="Arial" w:cs="Arial"/>
          <w:b/>
        </w:rPr>
        <w:t xml:space="preserve"> </w:t>
      </w:r>
      <w:r w:rsidRPr="00931D46">
        <w:rPr>
          <w:rFonts w:ascii="Arial" w:eastAsiaTheme="majorEastAsia" w:hAnsi="Arial" w:cs="Arial"/>
        </w:rPr>
        <w:t xml:space="preserve">se </w:t>
      </w:r>
      <w:r w:rsidR="002235CD" w:rsidRPr="00931D46">
        <w:rPr>
          <w:rFonts w:ascii="Arial" w:eastAsiaTheme="majorEastAsia" w:hAnsi="Arial" w:cs="Arial"/>
        </w:rPr>
        <w:t xml:space="preserve">pueden aplicar, en principio, </w:t>
      </w:r>
      <w:r w:rsidRPr="00931D46">
        <w:rPr>
          <w:rFonts w:ascii="Arial" w:eastAsiaTheme="majorEastAsia" w:hAnsi="Arial" w:cs="Arial"/>
        </w:rPr>
        <w:t xml:space="preserve">las mismas herramientas y elementos que en el análisis de la dimensión </w:t>
      </w:r>
      <w:r w:rsidR="00330363">
        <w:rPr>
          <w:rFonts w:ascii="Arial" w:eastAsiaTheme="majorEastAsia" w:hAnsi="Arial" w:cs="Arial"/>
        </w:rPr>
        <w:t>producto</w:t>
      </w:r>
      <w:r w:rsidRPr="00931D46">
        <w:rPr>
          <w:rFonts w:ascii="Arial" w:eastAsiaTheme="majorEastAsia" w:hAnsi="Arial" w:cs="Arial"/>
        </w:rPr>
        <w:t xml:space="preserve">, </w:t>
      </w:r>
      <w:r w:rsidR="002235CD" w:rsidRPr="00931D46">
        <w:rPr>
          <w:rFonts w:ascii="Arial" w:eastAsiaTheme="majorEastAsia" w:hAnsi="Arial" w:cs="Arial"/>
        </w:rPr>
        <w:t xml:space="preserve">tales como los que se presentan a continuación, </w:t>
      </w:r>
      <w:r w:rsidR="002235CD" w:rsidRPr="00931D46">
        <w:rPr>
          <w:rFonts w:ascii="Arial" w:hAnsi="Arial" w:cs="Arial"/>
        </w:rPr>
        <w:t>sin orden de importancia o prelación en su aplicación</w:t>
      </w:r>
      <w:r w:rsidR="002235CD" w:rsidRPr="00931D46">
        <w:rPr>
          <w:rFonts w:ascii="Arial" w:eastAsiaTheme="majorEastAsia" w:hAnsi="Arial" w:cs="Arial"/>
        </w:rPr>
        <w:t>:</w:t>
      </w:r>
      <w:r w:rsidR="002235CD" w:rsidRPr="00931D46">
        <w:rPr>
          <w:rStyle w:val="Refdenotaalpie"/>
          <w:rFonts w:ascii="Arial" w:eastAsiaTheme="majorEastAsia" w:hAnsi="Arial" w:cs="Arial"/>
        </w:rPr>
        <w:footnoteReference w:id="80"/>
      </w:r>
    </w:p>
    <w:p w14:paraId="4AF0223B" w14:textId="77777777" w:rsidR="007551B2" w:rsidRPr="00931D46" w:rsidRDefault="007551B2" w:rsidP="00290CEB">
      <w:pPr>
        <w:spacing w:before="0" w:after="0"/>
        <w:rPr>
          <w:rFonts w:ascii="Arial" w:eastAsiaTheme="majorEastAsia" w:hAnsi="Arial" w:cs="Arial"/>
        </w:rPr>
      </w:pPr>
    </w:p>
    <w:p w14:paraId="795E1695" w14:textId="77777777" w:rsidR="00F847DD" w:rsidRPr="00931D46" w:rsidRDefault="00F847DD" w:rsidP="00290CEB">
      <w:pPr>
        <w:keepNext/>
        <w:spacing w:before="0" w:after="0"/>
        <w:rPr>
          <w:rFonts w:ascii="Arial" w:hAnsi="Arial" w:cs="Arial"/>
          <w:b/>
        </w:rPr>
      </w:pPr>
      <w:r w:rsidRPr="00931D46">
        <w:rPr>
          <w:rFonts w:ascii="Arial" w:hAnsi="Arial" w:cs="Arial"/>
          <w:b/>
        </w:rPr>
        <w:t>Por el lado de la demanda:</w:t>
      </w:r>
    </w:p>
    <w:p w14:paraId="29955A93" w14:textId="6A3537FD" w:rsidR="00C8188C" w:rsidRPr="00931D46" w:rsidRDefault="00C8188C" w:rsidP="00942BD7">
      <w:pPr>
        <w:pStyle w:val="Prrafodelista"/>
        <w:numPr>
          <w:ilvl w:val="0"/>
          <w:numId w:val="61"/>
        </w:numPr>
        <w:spacing w:before="0" w:after="0"/>
        <w:ind w:hanging="578"/>
        <w:contextualSpacing w:val="0"/>
        <w:rPr>
          <w:rFonts w:ascii="Arial" w:eastAsiaTheme="majorEastAsia" w:hAnsi="Arial" w:cs="Arial"/>
        </w:rPr>
      </w:pPr>
      <w:r w:rsidRPr="00931D46">
        <w:rPr>
          <w:rFonts w:ascii="Arial" w:hAnsi="Arial" w:cs="Arial"/>
        </w:rPr>
        <w:t>Análisis de equivalencia funcional, de las características</w:t>
      </w:r>
      <w:r w:rsidR="003A003E">
        <w:rPr>
          <w:rFonts w:ascii="Arial" w:hAnsi="Arial" w:cs="Arial"/>
        </w:rPr>
        <w:t>,</w:t>
      </w:r>
      <w:r w:rsidRPr="00931D46">
        <w:rPr>
          <w:rFonts w:ascii="Arial" w:hAnsi="Arial" w:cs="Arial"/>
        </w:rPr>
        <w:t xml:space="preserve"> atributos </w:t>
      </w:r>
      <w:r w:rsidR="003A003E">
        <w:rPr>
          <w:rFonts w:ascii="Arial" w:hAnsi="Arial" w:cs="Arial"/>
        </w:rPr>
        <w:t xml:space="preserve">y usos </w:t>
      </w:r>
      <w:r w:rsidRPr="00931D46">
        <w:rPr>
          <w:rFonts w:ascii="Arial" w:hAnsi="Arial" w:cs="Arial"/>
        </w:rPr>
        <w:t xml:space="preserve">de los </w:t>
      </w:r>
      <w:r w:rsidR="00330363">
        <w:rPr>
          <w:rFonts w:ascii="Arial" w:hAnsi="Arial" w:cs="Arial"/>
        </w:rPr>
        <w:t>productos</w:t>
      </w:r>
      <w:r w:rsidR="001A37E5">
        <w:rPr>
          <w:rFonts w:ascii="Arial" w:hAnsi="Arial" w:cs="Arial"/>
        </w:rPr>
        <w:t xml:space="preserve"> </w:t>
      </w:r>
      <w:r w:rsidR="004740D8">
        <w:rPr>
          <w:rFonts w:ascii="Arial" w:eastAsiaTheme="majorEastAsia" w:hAnsi="Arial" w:cs="Arial"/>
        </w:rPr>
        <w:t>que se proveen en diferentes zonas geográficas</w:t>
      </w:r>
      <w:r w:rsidRPr="00931D46">
        <w:rPr>
          <w:rFonts w:ascii="Arial" w:eastAsiaTheme="majorEastAsia" w:hAnsi="Arial" w:cs="Arial"/>
        </w:rPr>
        <w:t>.</w:t>
      </w:r>
    </w:p>
    <w:p w14:paraId="61C08A66" w14:textId="406D69B1" w:rsidR="00F847DD" w:rsidRPr="00931D46" w:rsidRDefault="00F847DD" w:rsidP="00942BD7">
      <w:pPr>
        <w:pStyle w:val="Prrafodelista"/>
        <w:numPr>
          <w:ilvl w:val="0"/>
          <w:numId w:val="61"/>
        </w:numPr>
        <w:spacing w:before="0" w:after="0"/>
        <w:ind w:hanging="578"/>
        <w:contextualSpacing w:val="0"/>
        <w:rPr>
          <w:rFonts w:ascii="Arial" w:eastAsiaTheme="majorEastAsia" w:hAnsi="Arial" w:cs="Arial"/>
        </w:rPr>
      </w:pPr>
      <w:r w:rsidRPr="00931D46">
        <w:rPr>
          <w:rFonts w:ascii="Arial" w:eastAsiaTheme="majorEastAsia" w:hAnsi="Arial" w:cs="Arial"/>
        </w:rPr>
        <w:t>Preferencias de los consumidores</w:t>
      </w:r>
      <w:r w:rsidR="003C4CDC" w:rsidRPr="00931D46">
        <w:rPr>
          <w:rFonts w:ascii="Arial" w:eastAsiaTheme="majorEastAsia" w:hAnsi="Arial" w:cs="Arial"/>
        </w:rPr>
        <w:t>, por ejemplo,</w:t>
      </w:r>
      <w:r w:rsidRPr="00931D46">
        <w:rPr>
          <w:rFonts w:ascii="Arial" w:eastAsiaTheme="majorEastAsia" w:hAnsi="Arial" w:cs="Arial"/>
        </w:rPr>
        <w:t xml:space="preserve"> </w:t>
      </w:r>
      <w:r w:rsidR="003C4CDC" w:rsidRPr="00931D46">
        <w:rPr>
          <w:rFonts w:ascii="Arial" w:eastAsiaTheme="majorEastAsia" w:hAnsi="Arial" w:cs="Arial"/>
        </w:rPr>
        <w:t xml:space="preserve">por </w:t>
      </w:r>
      <w:r w:rsidR="00330363">
        <w:rPr>
          <w:rFonts w:ascii="Arial" w:eastAsiaTheme="majorEastAsia" w:hAnsi="Arial" w:cs="Arial"/>
        </w:rPr>
        <w:t>productos</w:t>
      </w:r>
      <w:r w:rsidRPr="00931D46">
        <w:rPr>
          <w:rFonts w:ascii="Arial" w:eastAsiaTheme="majorEastAsia" w:hAnsi="Arial" w:cs="Arial"/>
        </w:rPr>
        <w:t xml:space="preserve"> nacionales o locales, por la marca, el idioma, la cultura y el estilo de vida </w:t>
      </w:r>
      <w:r w:rsidR="004740D8">
        <w:rPr>
          <w:rFonts w:ascii="Arial" w:eastAsiaTheme="majorEastAsia" w:hAnsi="Arial" w:cs="Arial"/>
        </w:rPr>
        <w:t>en cierta región,</w:t>
      </w:r>
      <w:r w:rsidR="004740D8" w:rsidRPr="00931D46">
        <w:rPr>
          <w:rFonts w:ascii="Arial" w:eastAsiaTheme="majorEastAsia" w:hAnsi="Arial" w:cs="Arial"/>
        </w:rPr>
        <w:t xml:space="preserve"> </w:t>
      </w:r>
      <w:r w:rsidRPr="00931D46">
        <w:rPr>
          <w:rFonts w:ascii="Arial" w:eastAsiaTheme="majorEastAsia" w:hAnsi="Arial" w:cs="Arial"/>
        </w:rPr>
        <w:t>o la necesidad de una presencia local.</w:t>
      </w:r>
    </w:p>
    <w:p w14:paraId="328A5275" w14:textId="77777777" w:rsidR="00F847DD" w:rsidRPr="00931D46" w:rsidRDefault="003C4CDC" w:rsidP="00942BD7">
      <w:pPr>
        <w:pStyle w:val="Prrafodelista"/>
        <w:numPr>
          <w:ilvl w:val="0"/>
          <w:numId w:val="61"/>
        </w:numPr>
        <w:spacing w:before="0" w:after="0"/>
        <w:ind w:hanging="578"/>
        <w:contextualSpacing w:val="0"/>
        <w:rPr>
          <w:rFonts w:ascii="Arial" w:eastAsiaTheme="majorEastAsia" w:hAnsi="Arial" w:cs="Arial"/>
          <w:b/>
        </w:rPr>
      </w:pPr>
      <w:r w:rsidRPr="00931D46">
        <w:rPr>
          <w:rFonts w:ascii="Arial" w:hAnsi="Arial" w:cs="Arial"/>
        </w:rPr>
        <w:t>Comportamiento reciente de los consumidores ante variaciones de los precios relativos entre las distintas zonas geográficas</w:t>
      </w:r>
      <w:r w:rsidR="00355403" w:rsidRPr="00931D46">
        <w:rPr>
          <w:rFonts w:ascii="Arial" w:hAnsi="Arial" w:cs="Arial"/>
        </w:rPr>
        <w:t>.</w:t>
      </w:r>
    </w:p>
    <w:p w14:paraId="7F8A1F74" w14:textId="77777777" w:rsidR="003C4CDC" w:rsidRPr="00931D46" w:rsidRDefault="003C4CDC" w:rsidP="00942BD7">
      <w:pPr>
        <w:pStyle w:val="Prrafodelista"/>
        <w:numPr>
          <w:ilvl w:val="0"/>
          <w:numId w:val="61"/>
        </w:numPr>
        <w:spacing w:before="0" w:after="0"/>
        <w:ind w:hanging="578"/>
        <w:contextualSpacing w:val="0"/>
        <w:rPr>
          <w:rFonts w:ascii="Arial" w:hAnsi="Arial" w:cs="Arial"/>
        </w:rPr>
      </w:pPr>
      <w:r w:rsidRPr="00931D46">
        <w:rPr>
          <w:rFonts w:ascii="Arial" w:hAnsi="Arial" w:cs="Arial"/>
        </w:rPr>
        <w:t>Herramientas econométricas y estadísticas, así como análisis basados en la similitud de los niveles de precios y su evolución o convergencia, entre zonas geográficas</w:t>
      </w:r>
      <w:r w:rsidR="00043EE1" w:rsidRPr="00931D46">
        <w:rPr>
          <w:rFonts w:ascii="Arial" w:hAnsi="Arial" w:cs="Arial"/>
        </w:rPr>
        <w:t>.</w:t>
      </w:r>
      <w:r w:rsidRPr="00931D46">
        <w:rPr>
          <w:rFonts w:ascii="Arial" w:hAnsi="Arial" w:cs="Arial"/>
        </w:rPr>
        <w:t xml:space="preserve"> </w:t>
      </w:r>
    </w:p>
    <w:p w14:paraId="70E593E2" w14:textId="77777777" w:rsidR="003C4CDC" w:rsidRPr="00931D46" w:rsidRDefault="003C4CDC" w:rsidP="00942BD7">
      <w:pPr>
        <w:pStyle w:val="Prrafodelista"/>
        <w:numPr>
          <w:ilvl w:val="0"/>
          <w:numId w:val="61"/>
        </w:numPr>
        <w:spacing w:before="0" w:after="0"/>
        <w:ind w:hanging="578"/>
        <w:contextualSpacing w:val="0"/>
        <w:rPr>
          <w:rFonts w:ascii="Arial" w:hAnsi="Arial" w:cs="Arial"/>
        </w:rPr>
      </w:pPr>
      <w:r w:rsidRPr="00931D46">
        <w:rPr>
          <w:rFonts w:ascii="Arial" w:hAnsi="Arial" w:cs="Arial"/>
        </w:rPr>
        <w:t>Localización geográfica de las compras y flujos comerciales entre zonas (</w:t>
      </w:r>
      <w:r w:rsidR="00BD1C70" w:rsidRPr="00931D46">
        <w:rPr>
          <w:rFonts w:ascii="Arial" w:hAnsi="Arial" w:cs="Arial"/>
        </w:rPr>
        <w:t xml:space="preserve">porcentaje </w:t>
      </w:r>
      <w:r w:rsidRPr="00931D46">
        <w:rPr>
          <w:rFonts w:ascii="Arial" w:hAnsi="Arial" w:cs="Arial"/>
        </w:rPr>
        <w:t>de ventas hechas por empresas ubicadas dentro de la zona focal y a consumidores ubicados en la zona focal).</w:t>
      </w:r>
      <w:r w:rsidRPr="00931D46">
        <w:rPr>
          <w:rStyle w:val="Refdenotaalpie"/>
          <w:rFonts w:ascii="Arial" w:hAnsi="Arial" w:cs="Arial"/>
        </w:rPr>
        <w:footnoteReference w:id="81"/>
      </w:r>
    </w:p>
    <w:p w14:paraId="326730ED" w14:textId="04294676" w:rsidR="00F847DD" w:rsidRPr="00931D46" w:rsidRDefault="003C4CDC" w:rsidP="00942BD7">
      <w:pPr>
        <w:pStyle w:val="Prrafodelista"/>
        <w:numPr>
          <w:ilvl w:val="0"/>
          <w:numId w:val="61"/>
        </w:numPr>
        <w:spacing w:before="0" w:after="0"/>
        <w:ind w:hanging="578"/>
        <w:contextualSpacing w:val="0"/>
        <w:rPr>
          <w:rFonts w:ascii="Arial" w:hAnsi="Arial" w:cs="Arial"/>
        </w:rPr>
      </w:pPr>
      <w:r w:rsidRPr="00931D46">
        <w:rPr>
          <w:rFonts w:ascii="Arial" w:hAnsi="Arial" w:cs="Arial"/>
        </w:rPr>
        <w:t xml:space="preserve">Opiniones de los principales clientes sobre lo que ocurriría ante un incremento (5%-10%) de los precios relativos de los </w:t>
      </w:r>
      <w:r w:rsidR="00330363">
        <w:rPr>
          <w:rFonts w:ascii="Arial" w:hAnsi="Arial" w:cs="Arial"/>
        </w:rPr>
        <w:t>productos</w:t>
      </w:r>
      <w:r w:rsidRPr="00931D46">
        <w:rPr>
          <w:rFonts w:ascii="Arial" w:hAnsi="Arial" w:cs="Arial"/>
        </w:rPr>
        <w:t xml:space="preserve"> </w:t>
      </w:r>
      <w:r w:rsidR="006845DE">
        <w:rPr>
          <w:rFonts w:ascii="Arial" w:hAnsi="Arial" w:cs="Arial"/>
        </w:rPr>
        <w:t>analizados</w:t>
      </w:r>
      <w:r w:rsidR="006845DE" w:rsidRPr="00931D46">
        <w:rPr>
          <w:rFonts w:ascii="Arial" w:hAnsi="Arial" w:cs="Arial"/>
        </w:rPr>
        <w:t xml:space="preserve"> </w:t>
      </w:r>
      <w:r w:rsidRPr="00931D46">
        <w:rPr>
          <w:rFonts w:ascii="Arial" w:hAnsi="Arial" w:cs="Arial"/>
        </w:rPr>
        <w:t>entre zonas geográficas. Las opiniones deben estar respaldadas por datos reales</w:t>
      </w:r>
      <w:r w:rsidR="00F847DD" w:rsidRPr="00931D46">
        <w:rPr>
          <w:rFonts w:ascii="Arial" w:hAnsi="Arial" w:cs="Arial"/>
        </w:rPr>
        <w:t>.</w:t>
      </w:r>
    </w:p>
    <w:p w14:paraId="3BCCB643" w14:textId="77777777" w:rsidR="003C4CDC" w:rsidRPr="00931D46" w:rsidRDefault="006F17A1" w:rsidP="00942BD7">
      <w:pPr>
        <w:pStyle w:val="Prrafodelista"/>
        <w:numPr>
          <w:ilvl w:val="0"/>
          <w:numId w:val="61"/>
        </w:numPr>
        <w:spacing w:before="0" w:after="0"/>
        <w:ind w:hanging="578"/>
        <w:contextualSpacing w:val="0"/>
        <w:rPr>
          <w:rFonts w:ascii="Arial" w:hAnsi="Arial" w:cs="Arial"/>
        </w:rPr>
      </w:pPr>
      <w:r w:rsidRPr="00931D46">
        <w:rPr>
          <w:rFonts w:ascii="Arial" w:hAnsi="Arial" w:cs="Arial"/>
        </w:rPr>
        <w:t>Limitaciones</w:t>
      </w:r>
      <w:r w:rsidR="003C4CDC" w:rsidRPr="00931D46">
        <w:rPr>
          <w:rFonts w:ascii="Arial" w:hAnsi="Arial" w:cs="Arial"/>
        </w:rPr>
        <w:t>, requisitos o costos, incluyendo costos de transporte, para abastecerse en otras zonas geográficas.</w:t>
      </w:r>
    </w:p>
    <w:p w14:paraId="3778EABA" w14:textId="77777777" w:rsidR="004A7125" w:rsidRPr="00931D46" w:rsidRDefault="004A7125" w:rsidP="00290CEB">
      <w:pPr>
        <w:spacing w:before="0" w:after="0"/>
        <w:rPr>
          <w:rFonts w:ascii="Arial" w:hAnsi="Arial" w:cs="Arial"/>
        </w:rPr>
      </w:pPr>
    </w:p>
    <w:p w14:paraId="34D1B8DD" w14:textId="77777777" w:rsidR="004A7125" w:rsidRPr="00931D46" w:rsidRDefault="004A7125" w:rsidP="00290CEB">
      <w:pPr>
        <w:keepNext/>
        <w:spacing w:before="0" w:after="0"/>
        <w:rPr>
          <w:rFonts w:ascii="Arial" w:hAnsi="Arial" w:cs="Arial"/>
          <w:b/>
        </w:rPr>
      </w:pPr>
      <w:r w:rsidRPr="00931D46">
        <w:rPr>
          <w:rFonts w:ascii="Arial" w:hAnsi="Arial" w:cs="Arial"/>
          <w:b/>
        </w:rPr>
        <w:t>Por el lado de la oferta:</w:t>
      </w:r>
    </w:p>
    <w:p w14:paraId="6CADC136" w14:textId="77777777" w:rsidR="003C4CDC" w:rsidRPr="00931D46" w:rsidRDefault="00F847DD" w:rsidP="00942BD7">
      <w:pPr>
        <w:pStyle w:val="Prrafodelista"/>
        <w:numPr>
          <w:ilvl w:val="0"/>
          <w:numId w:val="62"/>
        </w:numPr>
        <w:spacing w:before="0" w:after="0"/>
        <w:ind w:hanging="578"/>
        <w:contextualSpacing w:val="0"/>
        <w:rPr>
          <w:rFonts w:ascii="Arial" w:hAnsi="Arial" w:cs="Arial"/>
        </w:rPr>
      </w:pPr>
      <w:r w:rsidRPr="00931D46">
        <w:rPr>
          <w:rFonts w:ascii="Arial" w:hAnsi="Arial" w:cs="Arial"/>
        </w:rPr>
        <w:t>L</w:t>
      </w:r>
      <w:r w:rsidR="004A7125" w:rsidRPr="00931D46">
        <w:rPr>
          <w:rFonts w:ascii="Arial" w:hAnsi="Arial" w:cs="Arial"/>
        </w:rPr>
        <w:t xml:space="preserve">ocalización geográfica </w:t>
      </w:r>
      <w:r w:rsidRPr="00931D46">
        <w:rPr>
          <w:rFonts w:ascii="Arial" w:hAnsi="Arial" w:cs="Arial"/>
        </w:rPr>
        <w:t>de los proveedores</w:t>
      </w:r>
      <w:r w:rsidR="003C4CDC" w:rsidRPr="00931D46">
        <w:rPr>
          <w:rFonts w:ascii="Arial" w:hAnsi="Arial" w:cs="Arial"/>
        </w:rPr>
        <w:t xml:space="preserve"> y costos de expansión o cambio hacia otras zonas geográficas</w:t>
      </w:r>
      <w:r w:rsidR="00A739FA" w:rsidRPr="00931D46">
        <w:rPr>
          <w:rFonts w:ascii="Arial" w:hAnsi="Arial" w:cs="Arial"/>
        </w:rPr>
        <w:t>.</w:t>
      </w:r>
    </w:p>
    <w:p w14:paraId="60DA2708" w14:textId="2AEC15E4" w:rsidR="003C4CDC" w:rsidRPr="00931D46" w:rsidRDefault="003C4CDC" w:rsidP="00942BD7">
      <w:pPr>
        <w:pStyle w:val="Prrafodelista"/>
        <w:numPr>
          <w:ilvl w:val="0"/>
          <w:numId w:val="62"/>
        </w:numPr>
        <w:spacing w:before="0" w:after="0"/>
        <w:ind w:hanging="578"/>
        <w:contextualSpacing w:val="0"/>
        <w:rPr>
          <w:rFonts w:ascii="Arial" w:hAnsi="Arial" w:cs="Arial"/>
        </w:rPr>
      </w:pPr>
      <w:r w:rsidRPr="00931D46">
        <w:rPr>
          <w:rFonts w:ascii="Arial" w:hAnsi="Arial" w:cs="Arial"/>
        </w:rPr>
        <w:t xml:space="preserve">Existencia de instrumentos </w:t>
      </w:r>
      <w:r w:rsidRPr="00931D46">
        <w:rPr>
          <w:rFonts w:ascii="Arial" w:eastAsiaTheme="majorEastAsia" w:hAnsi="Arial" w:cs="Arial"/>
        </w:rPr>
        <w:t xml:space="preserve">comerciales, legales o regulatorios que limiten la entrada en </w:t>
      </w:r>
      <w:r w:rsidR="004740D8">
        <w:rPr>
          <w:rFonts w:ascii="Arial" w:eastAsiaTheme="majorEastAsia" w:hAnsi="Arial" w:cs="Arial"/>
        </w:rPr>
        <w:t xml:space="preserve">ciertas </w:t>
      </w:r>
      <w:r w:rsidRPr="00931D46">
        <w:rPr>
          <w:rFonts w:ascii="Arial" w:eastAsiaTheme="majorEastAsia" w:hAnsi="Arial" w:cs="Arial"/>
        </w:rPr>
        <w:t xml:space="preserve">zonas geográficas </w:t>
      </w:r>
      <w:r w:rsidRPr="00931D46">
        <w:rPr>
          <w:rFonts w:ascii="Arial" w:hAnsi="Arial" w:cs="Arial"/>
        </w:rPr>
        <w:t>(p</w:t>
      </w:r>
      <w:r w:rsidR="008F4197" w:rsidRPr="00931D46">
        <w:rPr>
          <w:rFonts w:ascii="Arial" w:hAnsi="Arial" w:cs="Arial"/>
        </w:rPr>
        <w:t xml:space="preserve">or </w:t>
      </w:r>
      <w:r w:rsidRPr="00931D46">
        <w:rPr>
          <w:rFonts w:ascii="Arial" w:hAnsi="Arial" w:cs="Arial"/>
        </w:rPr>
        <w:t>ej</w:t>
      </w:r>
      <w:r w:rsidR="008F4197" w:rsidRPr="00931D46">
        <w:rPr>
          <w:rFonts w:ascii="Arial" w:hAnsi="Arial" w:cs="Arial"/>
        </w:rPr>
        <w:t>emplo,</w:t>
      </w:r>
      <w:r w:rsidRPr="00931D46">
        <w:rPr>
          <w:rFonts w:ascii="Arial" w:hAnsi="Arial" w:cs="Arial"/>
        </w:rPr>
        <w:t xml:space="preserve"> la necesidad de contar con concesiones o autorizaciones).</w:t>
      </w:r>
    </w:p>
    <w:p w14:paraId="2C1845D5" w14:textId="59A699E0" w:rsidR="002A3B99" w:rsidRPr="00931D46" w:rsidRDefault="00A739FA" w:rsidP="00942BD7">
      <w:pPr>
        <w:pStyle w:val="Prrafodelista"/>
        <w:numPr>
          <w:ilvl w:val="0"/>
          <w:numId w:val="62"/>
        </w:numPr>
        <w:spacing w:before="0" w:after="0"/>
        <w:ind w:hanging="578"/>
        <w:contextualSpacing w:val="0"/>
        <w:rPr>
          <w:rFonts w:ascii="Arial" w:hAnsi="Arial" w:cs="Arial"/>
        </w:rPr>
      </w:pPr>
      <w:r w:rsidRPr="00931D46">
        <w:rPr>
          <w:rFonts w:ascii="Arial" w:hAnsi="Arial" w:cs="Arial"/>
        </w:rPr>
        <w:t>C</w:t>
      </w:r>
      <w:r w:rsidR="002A3B99" w:rsidRPr="00931D46">
        <w:rPr>
          <w:rFonts w:ascii="Arial" w:hAnsi="Arial" w:cs="Arial"/>
        </w:rPr>
        <w:t>obertura de las redes</w:t>
      </w:r>
      <w:r w:rsidR="004740D8">
        <w:rPr>
          <w:rFonts w:ascii="Arial" w:hAnsi="Arial" w:cs="Arial"/>
        </w:rPr>
        <w:t xml:space="preserve"> de los operadores</w:t>
      </w:r>
      <w:r w:rsidRPr="00931D46">
        <w:rPr>
          <w:rFonts w:ascii="Arial" w:hAnsi="Arial" w:cs="Arial"/>
        </w:rPr>
        <w:t>.</w:t>
      </w:r>
    </w:p>
    <w:p w14:paraId="3A3BD3BF" w14:textId="77777777" w:rsidR="00F847DD" w:rsidRPr="00931D46" w:rsidRDefault="00F847DD" w:rsidP="00290CEB">
      <w:pPr>
        <w:spacing w:before="0" w:after="0"/>
        <w:rPr>
          <w:rFonts w:ascii="Arial" w:hAnsi="Arial" w:cs="Arial"/>
        </w:rPr>
      </w:pPr>
    </w:p>
    <w:p w14:paraId="24371849" w14:textId="3147A0F2" w:rsidR="009F4100" w:rsidRPr="00931D46" w:rsidRDefault="00D559CF" w:rsidP="00880124">
      <w:pPr>
        <w:pStyle w:val="Ttulo1"/>
        <w:keepLines w:val="0"/>
        <w:numPr>
          <w:ilvl w:val="0"/>
          <w:numId w:val="3"/>
        </w:numPr>
        <w:spacing w:before="0"/>
        <w:rPr>
          <w:rFonts w:ascii="Arial" w:hAnsi="Arial" w:cs="Arial"/>
          <w:b/>
          <w:color w:val="auto"/>
          <w:sz w:val="26"/>
          <w:szCs w:val="26"/>
        </w:rPr>
      </w:pPr>
      <w:bookmarkStart w:id="60" w:name="_Toc41649766"/>
      <w:bookmarkStart w:id="61" w:name="_Toc41649907"/>
      <w:bookmarkStart w:id="62" w:name="_Toc45216574"/>
      <w:bookmarkStart w:id="63" w:name="_Toc45628324"/>
      <w:bookmarkStart w:id="64" w:name="_Toc74306770"/>
      <w:bookmarkStart w:id="65" w:name="_Toc74323826"/>
      <w:r w:rsidRPr="00931D46">
        <w:rPr>
          <w:rFonts w:ascii="Arial" w:hAnsi="Arial" w:cs="Arial"/>
          <w:b/>
          <w:color w:val="auto"/>
          <w:sz w:val="26"/>
          <w:szCs w:val="26"/>
        </w:rPr>
        <w:t xml:space="preserve">Determinación de </w:t>
      </w:r>
      <w:r w:rsidR="00D14A5E" w:rsidRPr="00931D46">
        <w:rPr>
          <w:rFonts w:ascii="Arial" w:hAnsi="Arial" w:cs="Arial"/>
          <w:b/>
          <w:color w:val="auto"/>
          <w:sz w:val="26"/>
          <w:szCs w:val="26"/>
        </w:rPr>
        <w:t>la d</w:t>
      </w:r>
      <w:r w:rsidR="009F4100" w:rsidRPr="00931D46">
        <w:rPr>
          <w:rFonts w:ascii="Arial" w:hAnsi="Arial" w:cs="Arial"/>
          <w:b/>
          <w:color w:val="auto"/>
          <w:sz w:val="26"/>
          <w:szCs w:val="26"/>
        </w:rPr>
        <w:t xml:space="preserve">imensión </w:t>
      </w:r>
      <w:bookmarkEnd w:id="60"/>
      <w:bookmarkEnd w:id="61"/>
      <w:bookmarkEnd w:id="62"/>
      <w:bookmarkEnd w:id="63"/>
      <w:r w:rsidR="00330363">
        <w:rPr>
          <w:rFonts w:ascii="Arial" w:hAnsi="Arial" w:cs="Arial"/>
          <w:b/>
          <w:color w:val="auto"/>
          <w:sz w:val="26"/>
          <w:szCs w:val="26"/>
        </w:rPr>
        <w:t>producto</w:t>
      </w:r>
      <w:bookmarkEnd w:id="64"/>
      <w:bookmarkEnd w:id="65"/>
    </w:p>
    <w:p w14:paraId="70AB7073" w14:textId="77777777" w:rsidR="009F4100" w:rsidRPr="00931D46" w:rsidRDefault="009F4100" w:rsidP="009E6707">
      <w:pPr>
        <w:spacing w:before="0" w:after="0"/>
        <w:rPr>
          <w:rFonts w:ascii="Arial" w:hAnsi="Arial" w:cs="Arial"/>
        </w:rPr>
      </w:pPr>
      <w:bookmarkStart w:id="66" w:name="_Toc41649750"/>
      <w:bookmarkStart w:id="67" w:name="_Toc41649891"/>
    </w:p>
    <w:p w14:paraId="7C05D400" w14:textId="77777777" w:rsidR="00D81C4E" w:rsidRPr="00931D46" w:rsidRDefault="002A3B99" w:rsidP="00880124">
      <w:pPr>
        <w:pStyle w:val="Ttulo2"/>
        <w:keepLines w:val="0"/>
        <w:numPr>
          <w:ilvl w:val="1"/>
          <w:numId w:val="3"/>
        </w:numPr>
        <w:spacing w:before="0" w:after="0"/>
        <w:rPr>
          <w:rFonts w:ascii="Arial" w:eastAsia="Times New Roman" w:hAnsi="Arial" w:cs="Arial"/>
          <w:sz w:val="26"/>
          <w:lang w:eastAsia="es-MX"/>
        </w:rPr>
      </w:pPr>
      <w:bookmarkStart w:id="68" w:name="_Toc74306771"/>
      <w:bookmarkStart w:id="69" w:name="_Toc74323827"/>
      <w:r w:rsidRPr="00931D46">
        <w:rPr>
          <w:rFonts w:ascii="Arial" w:eastAsia="Times New Roman" w:hAnsi="Arial" w:cs="Arial"/>
          <w:sz w:val="26"/>
          <w:lang w:eastAsia="es-MX"/>
        </w:rPr>
        <w:t>Precedentes decisorios del Instituto</w:t>
      </w:r>
      <w:bookmarkEnd w:id="68"/>
      <w:bookmarkEnd w:id="69"/>
    </w:p>
    <w:p w14:paraId="06A2F752" w14:textId="77777777" w:rsidR="002A3B99" w:rsidRPr="00931D46" w:rsidRDefault="002A3B99" w:rsidP="00716649">
      <w:pPr>
        <w:spacing w:before="0" w:after="0"/>
        <w:rPr>
          <w:rFonts w:ascii="Arial" w:eastAsiaTheme="majorEastAsia" w:hAnsi="Arial" w:cs="Arial"/>
          <w:b/>
          <w:szCs w:val="32"/>
          <w:highlight w:val="yellow"/>
        </w:rPr>
      </w:pPr>
    </w:p>
    <w:p w14:paraId="1FBADD26" w14:textId="27428429" w:rsidR="002A3B99" w:rsidRPr="00931D46" w:rsidRDefault="002A3B99" w:rsidP="0023353F">
      <w:pPr>
        <w:spacing w:before="0" w:after="0"/>
        <w:rPr>
          <w:rFonts w:ascii="Arial" w:eastAsiaTheme="majorEastAsia" w:hAnsi="Arial" w:cs="Arial"/>
          <w:b/>
          <w:szCs w:val="32"/>
          <w:highlight w:val="yellow"/>
        </w:rPr>
      </w:pPr>
    </w:p>
    <w:p w14:paraId="5EC2B865"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 xml:space="preserve">Infraestructura para redes </w:t>
      </w:r>
      <w:r w:rsidR="00222379" w:rsidRPr="00931D46">
        <w:rPr>
          <w:rFonts w:ascii="Arial" w:eastAsia="Times New Roman" w:hAnsi="Arial" w:cs="Arial"/>
          <w:b/>
          <w:color w:val="auto"/>
          <w:sz w:val="26"/>
          <w:szCs w:val="26"/>
          <w:lang w:eastAsia="es-MX"/>
        </w:rPr>
        <w:t>de telecomunicaciones</w:t>
      </w:r>
      <w:r w:rsidRPr="00931D46">
        <w:rPr>
          <w:rFonts w:ascii="Arial" w:eastAsia="Times New Roman" w:hAnsi="Arial" w:cs="Arial"/>
          <w:b/>
          <w:color w:val="auto"/>
          <w:sz w:val="26"/>
          <w:szCs w:val="26"/>
          <w:vertAlign w:val="superscript"/>
          <w:lang w:eastAsia="es-MX"/>
        </w:rPr>
        <w:footnoteReference w:id="82"/>
      </w:r>
    </w:p>
    <w:p w14:paraId="6F28E05E" w14:textId="77777777" w:rsidR="00800E42" w:rsidRPr="00931D46" w:rsidRDefault="00800E42" w:rsidP="0023353F">
      <w:pPr>
        <w:spacing w:before="0" w:after="0"/>
        <w:rPr>
          <w:rFonts w:ascii="Arial" w:hAnsi="Arial" w:cs="Arial"/>
        </w:rPr>
      </w:pPr>
    </w:p>
    <w:p w14:paraId="0E3462A6" w14:textId="77777777" w:rsidR="00800E42" w:rsidRPr="00931D46" w:rsidRDefault="00800E42" w:rsidP="0023353F">
      <w:pPr>
        <w:spacing w:before="0" w:after="0"/>
        <w:rPr>
          <w:rFonts w:ascii="Arial" w:hAnsi="Arial" w:cs="Arial"/>
        </w:rPr>
      </w:pPr>
      <w:r w:rsidRPr="00931D46">
        <w:rPr>
          <w:rFonts w:ascii="Arial" w:hAnsi="Arial" w:cs="Arial"/>
        </w:rPr>
        <w:t>En el expediente UCE/CNC-002-2015</w:t>
      </w:r>
      <w:r w:rsidR="008E023C" w:rsidRPr="00931D46">
        <w:rPr>
          <w:rFonts w:ascii="Arial" w:hAnsi="Arial" w:cs="Arial"/>
        </w:rPr>
        <w:t xml:space="preserve"> (</w:t>
      </w:r>
      <w:r w:rsidR="00222379" w:rsidRPr="00931D46">
        <w:rPr>
          <w:rFonts w:ascii="Arial" w:hAnsi="Arial" w:cs="Arial"/>
        </w:rPr>
        <w:t>concentración</w:t>
      </w:r>
      <w:r w:rsidRPr="00931D46">
        <w:rPr>
          <w:rFonts w:ascii="Arial" w:hAnsi="Arial" w:cs="Arial"/>
        </w:rPr>
        <w:t xml:space="preserve"> Nokia/Alcatel</w:t>
      </w:r>
      <w:r w:rsidR="008E023C" w:rsidRPr="00931D46">
        <w:rPr>
          <w:rFonts w:ascii="Arial" w:hAnsi="Arial" w:cs="Arial"/>
        </w:rPr>
        <w:t>)</w:t>
      </w:r>
      <w:r w:rsidR="00222379" w:rsidRPr="00931D46">
        <w:rPr>
          <w:rFonts w:ascii="Arial" w:hAnsi="Arial" w:cs="Arial"/>
        </w:rPr>
        <w:t>,</w:t>
      </w:r>
      <w:r w:rsidRPr="00931D46">
        <w:rPr>
          <w:rFonts w:ascii="Arial" w:hAnsi="Arial" w:cs="Arial"/>
        </w:rPr>
        <w:t xml:space="preserve"> se definieron los MR: i) provisión de equipos de infraestructura activa y servicios conexos para redes de acceso </w:t>
      </w:r>
      <w:r w:rsidR="008E6433" w:rsidRPr="00931D46">
        <w:rPr>
          <w:rFonts w:ascii="Arial" w:hAnsi="Arial" w:cs="Arial"/>
        </w:rPr>
        <w:t xml:space="preserve">inalámbrico </w:t>
      </w:r>
      <w:r w:rsidRPr="00931D46">
        <w:rPr>
          <w:rFonts w:ascii="Arial" w:hAnsi="Arial" w:cs="Arial"/>
        </w:rPr>
        <w:t>(</w:t>
      </w:r>
      <w:r w:rsidRPr="00931D46">
        <w:rPr>
          <w:rFonts w:ascii="Arial" w:hAnsi="Arial" w:cs="Arial"/>
          <w:i/>
        </w:rPr>
        <w:t>Radio Access Network</w:t>
      </w:r>
      <w:r w:rsidR="00222379" w:rsidRPr="00931D46">
        <w:rPr>
          <w:rFonts w:ascii="Arial" w:hAnsi="Arial" w:cs="Arial"/>
          <w:i/>
        </w:rPr>
        <w:t xml:space="preserve"> o RAN</w:t>
      </w:r>
      <w:r w:rsidR="00222379" w:rsidRPr="00931D46">
        <w:rPr>
          <w:rFonts w:ascii="Arial" w:hAnsi="Arial" w:cs="Arial"/>
        </w:rPr>
        <w:t>, en inglés</w:t>
      </w:r>
      <w:r w:rsidRPr="00931D46">
        <w:rPr>
          <w:rFonts w:ascii="Arial" w:hAnsi="Arial" w:cs="Arial"/>
        </w:rPr>
        <w:t>), ii) provisión de equipos de infraestructura activa y servicios conexos para redes centrales (</w:t>
      </w:r>
      <w:r w:rsidRPr="00931D46">
        <w:rPr>
          <w:rFonts w:ascii="Arial" w:hAnsi="Arial" w:cs="Arial"/>
          <w:i/>
        </w:rPr>
        <w:t>Core Network System</w:t>
      </w:r>
      <w:r w:rsidR="00222379" w:rsidRPr="00931D46">
        <w:rPr>
          <w:rFonts w:ascii="Arial" w:hAnsi="Arial" w:cs="Arial"/>
          <w:i/>
        </w:rPr>
        <w:t xml:space="preserve"> o CNS</w:t>
      </w:r>
      <w:r w:rsidR="00222379" w:rsidRPr="00931D46">
        <w:rPr>
          <w:rFonts w:ascii="Arial" w:hAnsi="Arial" w:cs="Arial"/>
        </w:rPr>
        <w:t>, en inglés</w:t>
      </w:r>
      <w:r w:rsidRPr="00931D46">
        <w:rPr>
          <w:rFonts w:ascii="Arial" w:hAnsi="Arial" w:cs="Arial"/>
        </w:rPr>
        <w:t>) y iii) provisión de servicios no conexos</w:t>
      </w:r>
      <w:r w:rsidRPr="00931D46">
        <w:rPr>
          <w:rFonts w:ascii="Arial" w:hAnsi="Arial" w:cs="Arial"/>
          <w:vertAlign w:val="superscript"/>
        </w:rPr>
        <w:footnoteReference w:id="83"/>
      </w:r>
      <w:r w:rsidRPr="00931D46">
        <w:rPr>
          <w:rFonts w:ascii="Arial" w:hAnsi="Arial" w:cs="Arial"/>
        </w:rPr>
        <w:t>.</w:t>
      </w:r>
    </w:p>
    <w:p w14:paraId="0AB92E62" w14:textId="77777777" w:rsidR="00800E42" w:rsidRPr="00931D46" w:rsidRDefault="00800E42" w:rsidP="0023353F">
      <w:pPr>
        <w:spacing w:before="0" w:after="0"/>
        <w:rPr>
          <w:rFonts w:ascii="Arial" w:hAnsi="Arial" w:cs="Arial"/>
        </w:rPr>
      </w:pPr>
    </w:p>
    <w:p w14:paraId="7D35224A" w14:textId="464C6645" w:rsidR="00800E42" w:rsidRPr="00931D46" w:rsidRDefault="00800E42" w:rsidP="0023353F">
      <w:pPr>
        <w:spacing w:before="0" w:after="0"/>
        <w:rPr>
          <w:rFonts w:ascii="Arial" w:hAnsi="Arial" w:cs="Arial"/>
        </w:rPr>
      </w:pPr>
      <w:r w:rsidRPr="00931D46">
        <w:rPr>
          <w:rFonts w:ascii="Arial" w:hAnsi="Arial" w:cs="Arial"/>
        </w:rPr>
        <w:t xml:space="preserve">La definición de los respectivos MR, en su dimensión </w:t>
      </w:r>
      <w:r w:rsidR="00330363">
        <w:rPr>
          <w:rFonts w:ascii="Arial" w:hAnsi="Arial" w:cs="Arial"/>
        </w:rPr>
        <w:t>producto</w:t>
      </w:r>
      <w:r w:rsidR="00222379" w:rsidRPr="00931D46">
        <w:rPr>
          <w:rFonts w:ascii="Arial" w:hAnsi="Arial" w:cs="Arial"/>
        </w:rPr>
        <w:t>,</w:t>
      </w:r>
      <w:r w:rsidRPr="00931D46">
        <w:rPr>
          <w:rFonts w:ascii="Arial" w:hAnsi="Arial" w:cs="Arial"/>
        </w:rPr>
        <w:t xml:space="preserve"> se basó en los siguientes elementos</w:t>
      </w:r>
      <w:r w:rsidR="00821332" w:rsidRPr="00931D46">
        <w:rPr>
          <w:rFonts w:ascii="Arial" w:hAnsi="Arial" w:cs="Arial"/>
        </w:rPr>
        <w:t>,</w:t>
      </w:r>
      <w:r w:rsidRPr="00931D46">
        <w:rPr>
          <w:rFonts w:ascii="Arial" w:hAnsi="Arial" w:cs="Arial"/>
        </w:rPr>
        <w:t xml:space="preserve"> relativos a sus características técnicas, usos y comercialización:</w:t>
      </w:r>
    </w:p>
    <w:p w14:paraId="7A717607" w14:textId="77777777" w:rsidR="0023353F" w:rsidRPr="00931D46" w:rsidRDefault="0023353F" w:rsidP="0023353F">
      <w:pPr>
        <w:spacing w:before="0" w:after="0"/>
        <w:rPr>
          <w:rFonts w:ascii="Arial" w:hAnsi="Arial" w:cs="Arial"/>
        </w:rPr>
      </w:pPr>
    </w:p>
    <w:p w14:paraId="6DC9E233" w14:textId="77777777" w:rsidR="00800E42" w:rsidRPr="00931D46" w:rsidRDefault="00800E42" w:rsidP="00942BD7">
      <w:pPr>
        <w:pStyle w:val="Prrafodelista"/>
        <w:numPr>
          <w:ilvl w:val="0"/>
          <w:numId w:val="43"/>
        </w:numPr>
        <w:spacing w:before="0" w:after="0"/>
        <w:ind w:hanging="578"/>
        <w:contextualSpacing w:val="0"/>
        <w:rPr>
          <w:rFonts w:ascii="Arial" w:hAnsi="Arial" w:cs="Arial"/>
        </w:rPr>
      </w:pPr>
      <w:r w:rsidRPr="00931D46">
        <w:rPr>
          <w:rFonts w:ascii="Arial" w:hAnsi="Arial" w:cs="Arial"/>
        </w:rPr>
        <w:t xml:space="preserve">Los equipos </w:t>
      </w:r>
      <w:r w:rsidR="00222379" w:rsidRPr="00931D46">
        <w:rPr>
          <w:rFonts w:ascii="Arial" w:hAnsi="Arial" w:cs="Arial"/>
        </w:rPr>
        <w:t xml:space="preserve">involucrados para </w:t>
      </w:r>
      <w:r w:rsidRPr="00931D46">
        <w:rPr>
          <w:rFonts w:ascii="Arial" w:hAnsi="Arial" w:cs="Arial"/>
          <w:i/>
        </w:rPr>
        <w:t>RAN</w:t>
      </w:r>
      <w:r w:rsidRPr="00931D46">
        <w:rPr>
          <w:rFonts w:ascii="Arial" w:hAnsi="Arial" w:cs="Arial"/>
        </w:rPr>
        <w:t xml:space="preserve"> y </w:t>
      </w:r>
      <w:r w:rsidRPr="00931D46">
        <w:rPr>
          <w:rFonts w:ascii="Arial" w:hAnsi="Arial" w:cs="Arial"/>
          <w:i/>
        </w:rPr>
        <w:t>CNS</w:t>
      </w:r>
      <w:r w:rsidRPr="00931D46">
        <w:rPr>
          <w:rFonts w:ascii="Arial" w:hAnsi="Arial" w:cs="Arial"/>
        </w:rPr>
        <w:t xml:space="preserve"> y sus servicios </w:t>
      </w:r>
      <w:r w:rsidR="00222379" w:rsidRPr="00931D46">
        <w:rPr>
          <w:rFonts w:ascii="Arial" w:hAnsi="Arial" w:cs="Arial"/>
        </w:rPr>
        <w:t xml:space="preserve">conexos </w:t>
      </w:r>
      <w:r w:rsidRPr="00931D46">
        <w:rPr>
          <w:rFonts w:ascii="Arial" w:hAnsi="Arial" w:cs="Arial"/>
        </w:rPr>
        <w:t>asociados son altamente especializados, s</w:t>
      </w:r>
      <w:r w:rsidR="00222379" w:rsidRPr="00931D46">
        <w:rPr>
          <w:rFonts w:ascii="Arial" w:hAnsi="Arial" w:cs="Arial"/>
        </w:rPr>
        <w:t>ó</w:t>
      </w:r>
      <w:r w:rsidRPr="00931D46">
        <w:rPr>
          <w:rFonts w:ascii="Arial" w:hAnsi="Arial" w:cs="Arial"/>
        </w:rPr>
        <w:t>lo se utilizan en las redes de telecomunicaciones inalámbricas y no pueden ser reemplazados por otros equipos o servicios que no hayan sido diseñados expresamente para los mismos usos.</w:t>
      </w:r>
      <w:r w:rsidRPr="00931D46">
        <w:rPr>
          <w:rFonts w:ascii="Arial" w:hAnsi="Arial" w:cs="Arial"/>
          <w:vertAlign w:val="superscript"/>
        </w:rPr>
        <w:footnoteReference w:id="84"/>
      </w:r>
      <w:r w:rsidRPr="00931D46">
        <w:rPr>
          <w:rFonts w:ascii="Arial" w:hAnsi="Arial" w:cs="Arial"/>
        </w:rPr>
        <w:t xml:space="preserve"> Cada tipo de equipo sirve para propósitos específicos dentro de las redes de telecomunicaciones.</w:t>
      </w:r>
    </w:p>
    <w:p w14:paraId="74F7C1E0" w14:textId="77777777" w:rsidR="00800E42" w:rsidRPr="00931D46" w:rsidRDefault="00800E42" w:rsidP="00942BD7">
      <w:pPr>
        <w:pStyle w:val="Prrafodelista"/>
        <w:numPr>
          <w:ilvl w:val="0"/>
          <w:numId w:val="43"/>
        </w:numPr>
        <w:spacing w:before="0" w:after="0"/>
        <w:contextualSpacing w:val="0"/>
        <w:rPr>
          <w:rFonts w:ascii="Arial" w:hAnsi="Arial" w:cs="Arial"/>
        </w:rPr>
      </w:pPr>
      <w:r w:rsidRPr="00931D46">
        <w:rPr>
          <w:rFonts w:ascii="Arial" w:hAnsi="Arial" w:cs="Arial"/>
        </w:rPr>
        <w:t xml:space="preserve">Los equipos </w:t>
      </w:r>
      <w:r w:rsidR="00222379" w:rsidRPr="00931D46">
        <w:rPr>
          <w:rFonts w:ascii="Arial" w:hAnsi="Arial" w:cs="Arial"/>
        </w:rPr>
        <w:t xml:space="preserve">para </w:t>
      </w:r>
      <w:r w:rsidRPr="00931D46">
        <w:rPr>
          <w:rFonts w:ascii="Arial" w:hAnsi="Arial" w:cs="Arial"/>
          <w:i/>
        </w:rPr>
        <w:t>RAN</w:t>
      </w:r>
      <w:r w:rsidRPr="00931D46">
        <w:rPr>
          <w:rFonts w:ascii="Arial" w:hAnsi="Arial" w:cs="Arial"/>
        </w:rPr>
        <w:t xml:space="preserve"> y servicios conexos se comercializan por separado de los equipos </w:t>
      </w:r>
      <w:r w:rsidR="00222379" w:rsidRPr="00931D46">
        <w:rPr>
          <w:rFonts w:ascii="Arial" w:hAnsi="Arial" w:cs="Arial"/>
        </w:rPr>
        <w:t xml:space="preserve">para </w:t>
      </w:r>
      <w:r w:rsidRPr="00931D46">
        <w:rPr>
          <w:rFonts w:ascii="Arial" w:hAnsi="Arial" w:cs="Arial"/>
          <w:i/>
        </w:rPr>
        <w:t>CNS</w:t>
      </w:r>
      <w:r w:rsidRPr="00931D46">
        <w:rPr>
          <w:rFonts w:ascii="Arial" w:hAnsi="Arial" w:cs="Arial"/>
        </w:rPr>
        <w:t xml:space="preserve"> y servicios conexos; y</w:t>
      </w:r>
      <w:r w:rsidR="00EB3D37" w:rsidRPr="00931D46">
        <w:rPr>
          <w:rFonts w:ascii="Arial" w:hAnsi="Arial" w:cs="Arial"/>
        </w:rPr>
        <w:t xml:space="preserve"> es una práctica común que</w:t>
      </w:r>
      <w:r w:rsidRPr="00931D46">
        <w:rPr>
          <w:rFonts w:ascii="Arial" w:hAnsi="Arial" w:cs="Arial"/>
        </w:rPr>
        <w:t xml:space="preserve"> los demandantes adqui</w:t>
      </w:r>
      <w:r w:rsidR="00EB3D37" w:rsidRPr="00931D46">
        <w:rPr>
          <w:rFonts w:ascii="Arial" w:hAnsi="Arial" w:cs="Arial"/>
        </w:rPr>
        <w:t>eran</w:t>
      </w:r>
      <w:r w:rsidRPr="00931D46">
        <w:rPr>
          <w:rFonts w:ascii="Arial" w:hAnsi="Arial" w:cs="Arial"/>
        </w:rPr>
        <w:t xml:space="preserve"> equipos </w:t>
      </w:r>
      <w:r w:rsidR="00222379" w:rsidRPr="00931D46">
        <w:rPr>
          <w:rFonts w:ascii="Arial" w:hAnsi="Arial" w:cs="Arial"/>
        </w:rPr>
        <w:t xml:space="preserve">para </w:t>
      </w:r>
      <w:r w:rsidRPr="00931D46">
        <w:rPr>
          <w:rFonts w:ascii="Arial" w:hAnsi="Arial" w:cs="Arial"/>
          <w:i/>
        </w:rPr>
        <w:t>RAN</w:t>
      </w:r>
      <w:r w:rsidRPr="00931D46">
        <w:rPr>
          <w:rFonts w:ascii="Arial" w:hAnsi="Arial" w:cs="Arial"/>
        </w:rPr>
        <w:t xml:space="preserve"> con un proveedor diferente al que les provee equipos </w:t>
      </w:r>
      <w:r w:rsidR="00222379" w:rsidRPr="00931D46">
        <w:rPr>
          <w:rFonts w:ascii="Arial" w:hAnsi="Arial" w:cs="Arial"/>
        </w:rPr>
        <w:t xml:space="preserve">para </w:t>
      </w:r>
      <w:r w:rsidRPr="00931D46">
        <w:rPr>
          <w:rFonts w:ascii="Arial" w:hAnsi="Arial" w:cs="Arial"/>
          <w:i/>
        </w:rPr>
        <w:t>CNS</w:t>
      </w:r>
    </w:p>
    <w:p w14:paraId="5FD5983F" w14:textId="77777777" w:rsidR="00800E42" w:rsidRPr="00931D46" w:rsidRDefault="00800E42" w:rsidP="00942BD7">
      <w:pPr>
        <w:pStyle w:val="Prrafodelista"/>
        <w:numPr>
          <w:ilvl w:val="0"/>
          <w:numId w:val="43"/>
        </w:numPr>
        <w:spacing w:before="0" w:after="0"/>
        <w:ind w:hanging="578"/>
        <w:contextualSpacing w:val="0"/>
        <w:rPr>
          <w:rFonts w:ascii="Arial" w:hAnsi="Arial" w:cs="Arial"/>
        </w:rPr>
      </w:pPr>
      <w:r w:rsidRPr="00931D46">
        <w:rPr>
          <w:rFonts w:ascii="Arial" w:hAnsi="Arial" w:cs="Arial"/>
        </w:rPr>
        <w:t xml:space="preserve">Los equipos </w:t>
      </w:r>
      <w:r w:rsidR="00222379" w:rsidRPr="00931D46">
        <w:rPr>
          <w:rFonts w:ascii="Arial" w:hAnsi="Arial" w:cs="Arial"/>
        </w:rPr>
        <w:t xml:space="preserve">para </w:t>
      </w:r>
      <w:r w:rsidR="00222379" w:rsidRPr="00931D46">
        <w:rPr>
          <w:rFonts w:ascii="Arial" w:hAnsi="Arial" w:cs="Arial"/>
          <w:i/>
        </w:rPr>
        <w:t>RAN</w:t>
      </w:r>
      <w:r w:rsidR="00222379" w:rsidRPr="00931D46">
        <w:rPr>
          <w:rFonts w:ascii="Arial" w:hAnsi="Arial" w:cs="Arial"/>
        </w:rPr>
        <w:t xml:space="preserve"> y servicios conexos </w:t>
      </w:r>
      <w:r w:rsidRPr="00931D46">
        <w:rPr>
          <w:rFonts w:ascii="Arial" w:hAnsi="Arial" w:cs="Arial"/>
        </w:rPr>
        <w:t>se ofrecen como un servicio integrado</w:t>
      </w:r>
      <w:r w:rsidR="00222379" w:rsidRPr="00931D46">
        <w:rPr>
          <w:rFonts w:ascii="Arial" w:hAnsi="Arial" w:cs="Arial"/>
        </w:rPr>
        <w:t xml:space="preserve">, lo mismo que los equipos para </w:t>
      </w:r>
      <w:r w:rsidR="00222379" w:rsidRPr="00931D46">
        <w:rPr>
          <w:rFonts w:ascii="Arial" w:hAnsi="Arial" w:cs="Arial"/>
          <w:i/>
        </w:rPr>
        <w:t>CNS</w:t>
      </w:r>
      <w:r w:rsidR="00222379" w:rsidRPr="00931D46">
        <w:rPr>
          <w:rFonts w:ascii="Arial" w:hAnsi="Arial" w:cs="Arial"/>
        </w:rPr>
        <w:t xml:space="preserve"> y sus servicios conexos, mientras que </w:t>
      </w:r>
      <w:r w:rsidRPr="00931D46">
        <w:rPr>
          <w:rFonts w:ascii="Arial" w:hAnsi="Arial" w:cs="Arial"/>
        </w:rPr>
        <w:t>los servicios no conexos se proporcionan bajo esquemas de subcontratación de forma separada.</w:t>
      </w:r>
    </w:p>
    <w:p w14:paraId="203E9C0E" w14:textId="77777777" w:rsidR="00800E42" w:rsidRPr="00931D46" w:rsidRDefault="00800E42" w:rsidP="0023353F">
      <w:pPr>
        <w:pStyle w:val="Prrafodelista"/>
        <w:spacing w:before="0" w:after="0"/>
        <w:contextualSpacing w:val="0"/>
        <w:rPr>
          <w:rFonts w:ascii="Arial" w:hAnsi="Arial" w:cs="Arial"/>
        </w:rPr>
      </w:pPr>
    </w:p>
    <w:p w14:paraId="1CF57F88"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Servicios de interconexión</w:t>
      </w:r>
    </w:p>
    <w:p w14:paraId="112A51F6" w14:textId="77777777" w:rsidR="00800E42" w:rsidRPr="00931D46" w:rsidRDefault="00800E42" w:rsidP="0023353F">
      <w:pPr>
        <w:spacing w:before="0" w:after="0"/>
        <w:rPr>
          <w:rFonts w:ascii="Arial" w:hAnsi="Arial" w:cs="Arial"/>
          <w:bCs/>
        </w:rPr>
      </w:pPr>
    </w:p>
    <w:p w14:paraId="1F96FDC5" w14:textId="77777777" w:rsidR="00800E42" w:rsidRPr="00931D46" w:rsidRDefault="00800E42" w:rsidP="0023353F">
      <w:pPr>
        <w:spacing w:before="0" w:after="0"/>
        <w:rPr>
          <w:rFonts w:ascii="Arial" w:hAnsi="Arial" w:cs="Arial"/>
          <w:bCs/>
        </w:rPr>
      </w:pPr>
      <w:r w:rsidRPr="00931D46">
        <w:rPr>
          <w:rFonts w:ascii="Arial" w:hAnsi="Arial" w:cs="Arial"/>
          <w:bCs/>
        </w:rPr>
        <w:t>En el expediente E-IFT/UCE/RR-0001-2017</w:t>
      </w:r>
      <w:r w:rsidR="008E023C" w:rsidRPr="00931D46">
        <w:rPr>
          <w:rFonts w:ascii="Arial" w:hAnsi="Arial" w:cs="Arial"/>
          <w:bCs/>
        </w:rPr>
        <w:t xml:space="preserve"> (</w:t>
      </w:r>
      <w:r w:rsidR="0043197C" w:rsidRPr="00931D46">
        <w:rPr>
          <w:rFonts w:ascii="Arial" w:hAnsi="Arial" w:cs="Arial"/>
          <w:lang w:eastAsia="es-MX"/>
        </w:rPr>
        <w:t xml:space="preserve">investigación sobre la existencia de PSM </w:t>
      </w:r>
      <w:r w:rsidR="008D0DDD" w:rsidRPr="00931D46">
        <w:rPr>
          <w:rFonts w:ascii="Arial" w:hAnsi="Arial" w:cs="Arial"/>
          <w:lang w:eastAsia="es-MX"/>
        </w:rPr>
        <w:t>por parte de AMX</w:t>
      </w:r>
      <w:r w:rsidR="008D0DDD" w:rsidRPr="00931D46">
        <w:rPr>
          <w:rFonts w:ascii="Arial" w:hAnsi="Arial" w:cs="Arial"/>
          <w:bCs/>
        </w:rPr>
        <w:t xml:space="preserve"> </w:t>
      </w:r>
      <w:r w:rsidR="0043197C" w:rsidRPr="00931D46">
        <w:rPr>
          <w:rFonts w:ascii="Arial" w:hAnsi="Arial" w:cs="Arial"/>
          <w:bCs/>
        </w:rPr>
        <w:t>en</w:t>
      </w:r>
      <w:r w:rsidRPr="00931D46">
        <w:rPr>
          <w:rFonts w:ascii="Arial" w:hAnsi="Arial" w:cs="Arial"/>
          <w:bCs/>
        </w:rPr>
        <w:t xml:space="preserve"> el MR de servicios de terminación conmutada en su red móvil</w:t>
      </w:r>
      <w:r w:rsidR="008E023C" w:rsidRPr="00931D46">
        <w:rPr>
          <w:rFonts w:ascii="Arial" w:hAnsi="Arial" w:cs="Arial"/>
          <w:bCs/>
        </w:rPr>
        <w:t>)</w:t>
      </w:r>
      <w:r w:rsidR="009E5CD5" w:rsidRPr="00931D46">
        <w:rPr>
          <w:rFonts w:ascii="Arial" w:hAnsi="Arial" w:cs="Arial"/>
          <w:bCs/>
        </w:rPr>
        <w:t>,</w:t>
      </w:r>
      <w:r w:rsidR="009E5CD5" w:rsidRPr="00931D46">
        <w:rPr>
          <w:rFonts w:ascii="Arial" w:eastAsia="Times New Roman" w:hAnsi="Arial" w:cs="Arial"/>
          <w:szCs w:val="26"/>
          <w:vertAlign w:val="superscript"/>
          <w:lang w:eastAsia="es-MX"/>
        </w:rPr>
        <w:footnoteReference w:id="85"/>
      </w:r>
      <w:r w:rsidRPr="00931D46">
        <w:rPr>
          <w:rFonts w:ascii="Arial" w:hAnsi="Arial" w:cs="Arial"/>
          <w:bCs/>
        </w:rPr>
        <w:t xml:space="preserve"> el Instituto confirmó la delimitación del MR realizada por la </w:t>
      </w:r>
      <w:r w:rsidR="0043197C" w:rsidRPr="00931D46">
        <w:rPr>
          <w:rFonts w:ascii="Arial" w:hAnsi="Arial" w:cs="Arial"/>
          <w:bCs/>
        </w:rPr>
        <w:t xml:space="preserve">CFC </w:t>
      </w:r>
      <w:r w:rsidRPr="00931D46">
        <w:rPr>
          <w:rFonts w:ascii="Arial" w:hAnsi="Arial" w:cs="Arial"/>
          <w:bCs/>
        </w:rPr>
        <w:t>en el expediente DC-07-2007</w:t>
      </w:r>
      <w:r w:rsidR="008E023C" w:rsidRPr="00931D46">
        <w:rPr>
          <w:rFonts w:ascii="Arial" w:hAnsi="Arial" w:cs="Arial"/>
          <w:bCs/>
        </w:rPr>
        <w:t>.</w:t>
      </w:r>
      <w:r w:rsidR="006A3495" w:rsidRPr="00931D46">
        <w:rPr>
          <w:rStyle w:val="Refdenotaalpie"/>
          <w:rFonts w:ascii="Arial" w:hAnsi="Arial" w:cs="Arial"/>
          <w:bCs/>
        </w:rPr>
        <w:footnoteReference w:id="86"/>
      </w:r>
      <w:r w:rsidRPr="00931D46">
        <w:rPr>
          <w:rFonts w:ascii="Arial" w:hAnsi="Arial" w:cs="Arial"/>
          <w:bCs/>
        </w:rPr>
        <w:t xml:space="preserve"> En este caso, se determinó la dimensión servicio con base en los siguientes elementos: </w:t>
      </w:r>
    </w:p>
    <w:p w14:paraId="7E923944" w14:textId="77777777" w:rsidR="0023353F" w:rsidRPr="00931D46" w:rsidRDefault="0023353F" w:rsidP="0023353F">
      <w:pPr>
        <w:spacing w:before="0" w:after="0"/>
        <w:rPr>
          <w:rFonts w:ascii="Arial" w:hAnsi="Arial" w:cs="Arial"/>
          <w:bCs/>
        </w:rPr>
      </w:pPr>
    </w:p>
    <w:p w14:paraId="4AABE994" w14:textId="77777777" w:rsidR="00800E42" w:rsidRPr="00931D46" w:rsidRDefault="00800E42" w:rsidP="00942BD7">
      <w:pPr>
        <w:pStyle w:val="Prrafodelista"/>
        <w:numPr>
          <w:ilvl w:val="0"/>
          <w:numId w:val="43"/>
        </w:numPr>
        <w:spacing w:before="0" w:after="0"/>
        <w:ind w:hanging="578"/>
        <w:contextualSpacing w:val="0"/>
        <w:rPr>
          <w:rFonts w:ascii="Arial" w:hAnsi="Arial" w:cs="Arial"/>
        </w:rPr>
      </w:pPr>
      <w:r w:rsidRPr="00931D46">
        <w:rPr>
          <w:rFonts w:ascii="Arial" w:hAnsi="Arial" w:cs="Arial"/>
        </w:rPr>
        <w:t>Por el lado de la oferta, es técnicamente imposible sustituir la prestación de los servicios de terminación conmutada</w:t>
      </w:r>
      <w:r w:rsidR="0043197C" w:rsidRPr="00931D46">
        <w:rPr>
          <w:rFonts w:ascii="Arial" w:hAnsi="Arial" w:cs="Arial"/>
        </w:rPr>
        <w:t xml:space="preserve"> en la red móvil de cada operador</w:t>
      </w:r>
      <w:r w:rsidRPr="00931D46">
        <w:rPr>
          <w:rFonts w:ascii="Arial" w:hAnsi="Arial" w:cs="Arial"/>
        </w:rPr>
        <w:t>.</w:t>
      </w:r>
    </w:p>
    <w:p w14:paraId="402CA09E" w14:textId="77777777" w:rsidR="00800E42" w:rsidRPr="00931D46" w:rsidRDefault="00800E42" w:rsidP="00942BD7">
      <w:pPr>
        <w:pStyle w:val="Prrafodelista"/>
        <w:numPr>
          <w:ilvl w:val="0"/>
          <w:numId w:val="43"/>
        </w:numPr>
        <w:spacing w:before="0" w:after="0"/>
        <w:ind w:hanging="578"/>
        <w:contextualSpacing w:val="0"/>
        <w:rPr>
          <w:rFonts w:ascii="Arial" w:hAnsi="Arial" w:cs="Arial"/>
        </w:rPr>
      </w:pPr>
      <w:r w:rsidRPr="00931D46">
        <w:rPr>
          <w:rFonts w:ascii="Arial" w:hAnsi="Arial" w:cs="Arial"/>
        </w:rPr>
        <w:t>Por el lado de la demanda: i) el usuario de la red de destino es elegido por el suscriptor que genera la llamada y ii) únicamente la red móvil de destino dispone de los medios de transmisión para entregar la llamada al destinatario.</w:t>
      </w:r>
    </w:p>
    <w:p w14:paraId="0B1A9CAD" w14:textId="77777777" w:rsidR="00800E42" w:rsidRPr="00931D46" w:rsidRDefault="00800E42" w:rsidP="0023353F">
      <w:pPr>
        <w:pStyle w:val="Prrafodelista"/>
        <w:spacing w:before="0" w:after="0"/>
        <w:contextualSpacing w:val="0"/>
        <w:rPr>
          <w:rFonts w:ascii="Arial" w:hAnsi="Arial" w:cs="Arial"/>
          <w:bCs/>
        </w:rPr>
      </w:pPr>
    </w:p>
    <w:p w14:paraId="16F95312" w14:textId="77777777" w:rsidR="00800E42" w:rsidRPr="00931D46" w:rsidRDefault="00800E42" w:rsidP="0023353F">
      <w:pPr>
        <w:spacing w:before="0" w:after="0"/>
        <w:rPr>
          <w:rFonts w:ascii="Arial" w:hAnsi="Arial" w:cs="Arial"/>
          <w:bCs/>
        </w:rPr>
      </w:pPr>
      <w:r w:rsidRPr="00931D46">
        <w:rPr>
          <w:rFonts w:ascii="Arial" w:hAnsi="Arial" w:cs="Arial"/>
        </w:rPr>
        <w:t>De forma similar, en el expediente UCE/CNC-001-2015 (</w:t>
      </w:r>
      <w:r w:rsidR="0043197C" w:rsidRPr="00931D46">
        <w:rPr>
          <w:rFonts w:ascii="Arial" w:hAnsi="Arial" w:cs="Arial"/>
        </w:rPr>
        <w:t xml:space="preserve">concentración </w:t>
      </w:r>
      <w:r w:rsidRPr="00931D46">
        <w:rPr>
          <w:rFonts w:ascii="Arial" w:hAnsi="Arial" w:cs="Arial"/>
        </w:rPr>
        <w:t>AT</w:t>
      </w:r>
      <w:r w:rsidR="00716EDF" w:rsidRPr="00931D46">
        <w:rPr>
          <w:rFonts w:ascii="Arial" w:hAnsi="Arial" w:cs="Arial"/>
        </w:rPr>
        <w:t>&amp;</w:t>
      </w:r>
      <w:r w:rsidRPr="00931D46">
        <w:rPr>
          <w:rFonts w:ascii="Arial" w:hAnsi="Arial" w:cs="Arial"/>
        </w:rPr>
        <w:t>T/Nextel),</w:t>
      </w:r>
      <w:r w:rsidR="0043197C" w:rsidRPr="00931D46">
        <w:rPr>
          <w:rStyle w:val="Refdenotaalpie"/>
          <w:rFonts w:ascii="Arial" w:eastAsia="Times New Roman" w:hAnsi="Arial" w:cs="Arial"/>
          <w:b/>
          <w:lang w:val="en-US" w:eastAsia="es-MX"/>
        </w:rPr>
        <w:footnoteReference w:id="87"/>
      </w:r>
      <w:r w:rsidRPr="00931D46">
        <w:rPr>
          <w:rFonts w:ascii="Arial" w:hAnsi="Arial" w:cs="Arial"/>
        </w:rPr>
        <w:t xml:space="preserve"> se señaló que los servicios de interconexión no cuentan con sustitutos pues, técnicamente, </w:t>
      </w:r>
      <w:r w:rsidRPr="00931D46">
        <w:rPr>
          <w:rFonts w:ascii="Arial" w:hAnsi="Arial" w:cs="Arial"/>
          <w:bCs/>
        </w:rPr>
        <w:t>únicamente el operador de la red en cuestión puede prestar los servicios de interconexión en su red.</w:t>
      </w:r>
    </w:p>
    <w:p w14:paraId="75F4922F" w14:textId="77777777" w:rsidR="00800E42" w:rsidRPr="00931D46" w:rsidRDefault="00800E42" w:rsidP="0023353F">
      <w:pPr>
        <w:spacing w:before="0" w:after="0"/>
        <w:rPr>
          <w:rFonts w:ascii="Arial" w:hAnsi="Arial" w:cs="Arial"/>
          <w:bCs/>
        </w:rPr>
      </w:pPr>
    </w:p>
    <w:p w14:paraId="4298FB34"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Servicios satelitales</w:t>
      </w:r>
      <w:r w:rsidR="008D0DDD" w:rsidRPr="00931D46">
        <w:rPr>
          <w:rFonts w:ascii="Arial" w:eastAsia="Times New Roman" w:hAnsi="Arial" w:cs="Arial"/>
          <w:b/>
          <w:color w:val="auto"/>
          <w:sz w:val="26"/>
          <w:szCs w:val="26"/>
          <w:vertAlign w:val="superscript"/>
          <w:lang w:eastAsia="es-MX"/>
        </w:rPr>
        <w:footnoteReference w:id="88"/>
      </w:r>
    </w:p>
    <w:p w14:paraId="01E9C38D" w14:textId="77777777" w:rsidR="00800E42" w:rsidRPr="00931D46" w:rsidRDefault="00800E42" w:rsidP="0023353F">
      <w:pPr>
        <w:keepNext/>
        <w:spacing w:before="0" w:after="0"/>
        <w:rPr>
          <w:rFonts w:ascii="Arial" w:eastAsia="Times New Roman" w:hAnsi="Arial" w:cs="Arial"/>
          <w:b/>
          <w:lang w:eastAsia="es-MX"/>
        </w:rPr>
      </w:pPr>
    </w:p>
    <w:p w14:paraId="7FFF9A89" w14:textId="77777777" w:rsidR="00800E42" w:rsidRPr="00931D46" w:rsidRDefault="00800E42" w:rsidP="0023353F">
      <w:pPr>
        <w:spacing w:before="0" w:after="0"/>
        <w:rPr>
          <w:rFonts w:ascii="Arial" w:hAnsi="Arial" w:cs="Arial"/>
          <w:szCs w:val="20"/>
        </w:rPr>
      </w:pPr>
      <w:r w:rsidRPr="00931D46">
        <w:rPr>
          <w:rFonts w:ascii="Arial" w:hAnsi="Arial" w:cs="Arial"/>
          <w:szCs w:val="20"/>
        </w:rPr>
        <w:t>En el expediente E-IFT/DGCCC/CNC/0002/2013 (</w:t>
      </w:r>
      <w:r w:rsidR="008D0DDD" w:rsidRPr="00931D46">
        <w:rPr>
          <w:rFonts w:ascii="Arial" w:hAnsi="Arial" w:cs="Arial"/>
          <w:szCs w:val="20"/>
        </w:rPr>
        <w:t xml:space="preserve">concentración </w:t>
      </w:r>
      <w:r w:rsidRPr="00931D46">
        <w:rPr>
          <w:rFonts w:ascii="Arial" w:hAnsi="Arial" w:cs="Arial"/>
          <w:szCs w:val="20"/>
        </w:rPr>
        <w:t>Satmex/Eutelsat)</w:t>
      </w:r>
      <w:r w:rsidR="008D0DDD" w:rsidRPr="00931D46">
        <w:rPr>
          <w:rFonts w:ascii="Arial" w:hAnsi="Arial" w:cs="Arial"/>
          <w:szCs w:val="20"/>
        </w:rPr>
        <w:t>,</w:t>
      </w:r>
      <w:r w:rsidRPr="00931D46">
        <w:rPr>
          <w:rFonts w:ascii="Arial" w:hAnsi="Arial" w:cs="Arial"/>
          <w:szCs w:val="20"/>
        </w:rPr>
        <w:t xml:space="preserve"> el Instituto determinó que el MR </w:t>
      </w:r>
      <w:r w:rsidR="008D0DDD" w:rsidRPr="00931D46">
        <w:rPr>
          <w:rFonts w:ascii="Arial" w:hAnsi="Arial" w:cs="Arial"/>
          <w:szCs w:val="20"/>
        </w:rPr>
        <w:t xml:space="preserve">en su dimensión </w:t>
      </w:r>
      <w:r w:rsidR="00DC7F97" w:rsidRPr="00931D46">
        <w:rPr>
          <w:rFonts w:ascii="Arial" w:hAnsi="Arial" w:cs="Arial"/>
        </w:rPr>
        <w:t>servicio</w:t>
      </w:r>
      <w:r w:rsidR="008D0DDD" w:rsidRPr="00931D46">
        <w:rPr>
          <w:rFonts w:ascii="Arial" w:hAnsi="Arial" w:cs="Arial"/>
          <w:szCs w:val="20"/>
        </w:rPr>
        <w:t xml:space="preserve"> </w:t>
      </w:r>
      <w:r w:rsidRPr="00931D46">
        <w:rPr>
          <w:rFonts w:ascii="Arial" w:hAnsi="Arial" w:cs="Arial"/>
          <w:szCs w:val="20"/>
        </w:rPr>
        <w:t xml:space="preserve">era el de provisión de capacidad satelital para </w:t>
      </w:r>
      <w:r w:rsidR="00403CE4" w:rsidRPr="00931D46">
        <w:rPr>
          <w:rFonts w:ascii="Arial" w:hAnsi="Arial" w:cs="Arial"/>
          <w:szCs w:val="20"/>
        </w:rPr>
        <w:t xml:space="preserve">el </w:t>
      </w:r>
      <w:r w:rsidRPr="00931D46">
        <w:rPr>
          <w:rFonts w:ascii="Arial" w:hAnsi="Arial" w:cs="Arial"/>
          <w:szCs w:val="20"/>
        </w:rPr>
        <w:t>servicio fijo por satélite</w:t>
      </w:r>
      <w:r w:rsidR="008D0DDD" w:rsidRPr="00931D46">
        <w:rPr>
          <w:rFonts w:ascii="Arial" w:hAnsi="Arial" w:cs="Arial"/>
          <w:szCs w:val="20"/>
        </w:rPr>
        <w:t xml:space="preserve">, con base en lo </w:t>
      </w:r>
      <w:r w:rsidRPr="00931D46">
        <w:rPr>
          <w:rFonts w:ascii="Arial" w:hAnsi="Arial" w:cs="Arial"/>
          <w:szCs w:val="20"/>
        </w:rPr>
        <w:t>siguiente:</w:t>
      </w:r>
    </w:p>
    <w:p w14:paraId="0BD88152" w14:textId="77777777" w:rsidR="0023353F" w:rsidRPr="00931D46" w:rsidRDefault="0023353F" w:rsidP="0023353F">
      <w:pPr>
        <w:spacing w:before="0" w:after="0"/>
        <w:rPr>
          <w:rFonts w:ascii="Arial" w:hAnsi="Arial" w:cs="Arial"/>
          <w:szCs w:val="20"/>
        </w:rPr>
      </w:pPr>
    </w:p>
    <w:p w14:paraId="0BE5E176" w14:textId="77777777" w:rsidR="00800E42" w:rsidRPr="00931D46" w:rsidRDefault="00800E42" w:rsidP="00942BD7">
      <w:pPr>
        <w:pStyle w:val="Prrafodelista"/>
        <w:numPr>
          <w:ilvl w:val="0"/>
          <w:numId w:val="19"/>
        </w:numPr>
        <w:spacing w:before="0" w:after="0"/>
        <w:ind w:left="709" w:hanging="567"/>
        <w:contextualSpacing w:val="0"/>
        <w:rPr>
          <w:rFonts w:ascii="Arial" w:hAnsi="Arial" w:cs="Arial"/>
        </w:rPr>
      </w:pPr>
      <w:r w:rsidRPr="00931D46">
        <w:rPr>
          <w:rFonts w:ascii="Arial" w:hAnsi="Arial" w:cs="Arial"/>
        </w:rPr>
        <w:t>Los servicios satelitales se pueden clasificar en tres categorías: servicio de radiodifusión por satélite, servicio móvil por satélite y servicio fijo por satélite; cada uno se provee a través de diferentes y diversas bandas de frecuencias.</w:t>
      </w:r>
    </w:p>
    <w:p w14:paraId="0D0727F7" w14:textId="77777777" w:rsidR="00800E42" w:rsidRPr="00931D46" w:rsidRDefault="00800E42" w:rsidP="00942BD7">
      <w:pPr>
        <w:pStyle w:val="Prrafodelista"/>
        <w:numPr>
          <w:ilvl w:val="0"/>
          <w:numId w:val="19"/>
        </w:numPr>
        <w:spacing w:before="0" w:after="0"/>
        <w:ind w:left="709" w:hanging="567"/>
        <w:contextualSpacing w:val="0"/>
        <w:rPr>
          <w:rFonts w:ascii="Arial" w:hAnsi="Arial" w:cs="Arial"/>
        </w:rPr>
      </w:pPr>
      <w:r w:rsidRPr="00931D46">
        <w:rPr>
          <w:rFonts w:ascii="Arial" w:hAnsi="Arial" w:cs="Arial"/>
        </w:rPr>
        <w:t>Existen diferencias significativas entre los distintos servicios: i) el servicio de radiodifusión transmite señales unidireccionales al público en general, ii) el servicio móvil permite la comunicación entre estaciones receptoras móviles y las señales que transmite pueden ser bidireccionales y iii) el servicio fijo permite la comunicación entre estaciones fijas y las señales que se transmiten pueden ser bidireccionales.</w:t>
      </w:r>
    </w:p>
    <w:p w14:paraId="6694D5C4" w14:textId="77777777" w:rsidR="00800E42" w:rsidRPr="00931D46" w:rsidRDefault="00800E42" w:rsidP="0023353F">
      <w:pPr>
        <w:spacing w:before="0" w:after="0"/>
        <w:rPr>
          <w:rFonts w:ascii="Arial" w:hAnsi="Arial" w:cs="Arial"/>
          <w:bCs/>
        </w:rPr>
      </w:pPr>
    </w:p>
    <w:p w14:paraId="76D9B264"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 xml:space="preserve">Licenciamiento de </w:t>
      </w:r>
      <w:r w:rsidR="008D0DDD" w:rsidRPr="00931D46">
        <w:rPr>
          <w:rFonts w:ascii="Arial" w:eastAsia="Times New Roman" w:hAnsi="Arial" w:cs="Arial"/>
          <w:b/>
          <w:color w:val="auto"/>
          <w:sz w:val="26"/>
          <w:szCs w:val="26"/>
          <w:lang w:eastAsia="es-MX"/>
        </w:rPr>
        <w:t>CA</w:t>
      </w:r>
      <w:r w:rsidRPr="00931D46">
        <w:rPr>
          <w:rFonts w:ascii="Arial" w:eastAsia="Times New Roman" w:hAnsi="Arial" w:cs="Arial"/>
          <w:b/>
          <w:color w:val="auto"/>
          <w:sz w:val="26"/>
          <w:szCs w:val="26"/>
          <w:lang w:eastAsia="es-MX"/>
        </w:rPr>
        <w:t xml:space="preserve"> para el STAR</w:t>
      </w:r>
    </w:p>
    <w:p w14:paraId="189D9FA4" w14:textId="77777777" w:rsidR="00800E42" w:rsidRPr="00931D46" w:rsidRDefault="00800E42" w:rsidP="0023353F">
      <w:pPr>
        <w:keepNext/>
        <w:spacing w:before="0" w:after="0"/>
        <w:rPr>
          <w:rFonts w:ascii="Arial" w:hAnsi="Arial" w:cs="Arial"/>
        </w:rPr>
      </w:pPr>
    </w:p>
    <w:p w14:paraId="72020D0C" w14:textId="77777777" w:rsidR="00800E42" w:rsidRPr="00931D46" w:rsidRDefault="00800E42" w:rsidP="0023353F">
      <w:pPr>
        <w:spacing w:before="0" w:after="0"/>
        <w:rPr>
          <w:rFonts w:ascii="Arial" w:hAnsi="Arial" w:cs="Arial"/>
        </w:rPr>
      </w:pPr>
      <w:r w:rsidRPr="00931D46">
        <w:rPr>
          <w:rFonts w:ascii="Arial" w:hAnsi="Arial" w:cs="Arial"/>
        </w:rPr>
        <w:t>En los expedientes UCE/CNC-004-2016 (</w:t>
      </w:r>
      <w:r w:rsidR="008D0DDD" w:rsidRPr="00931D46">
        <w:rPr>
          <w:rFonts w:ascii="Arial" w:hAnsi="Arial" w:cs="Arial"/>
        </w:rPr>
        <w:t xml:space="preserve">concentración </w:t>
      </w:r>
      <w:r w:rsidRPr="00931D46">
        <w:rPr>
          <w:rFonts w:ascii="Arial" w:hAnsi="Arial" w:cs="Arial"/>
        </w:rPr>
        <w:t>AT</w:t>
      </w:r>
      <w:r w:rsidR="00716EDF" w:rsidRPr="00931D46">
        <w:rPr>
          <w:rFonts w:ascii="Arial" w:hAnsi="Arial" w:cs="Arial"/>
        </w:rPr>
        <w:t>&amp;</w:t>
      </w:r>
      <w:r w:rsidRPr="00931D46">
        <w:rPr>
          <w:rFonts w:ascii="Arial" w:hAnsi="Arial" w:cs="Arial"/>
        </w:rPr>
        <w:t>T/Time Warner)</w:t>
      </w:r>
      <w:r w:rsidR="008D0DDD" w:rsidRPr="00931D46">
        <w:rPr>
          <w:rFonts w:ascii="Arial" w:eastAsia="Times New Roman" w:hAnsi="Arial" w:cs="Arial"/>
          <w:b/>
          <w:vertAlign w:val="superscript"/>
          <w:lang w:eastAsia="es-MX"/>
        </w:rPr>
        <w:footnoteReference w:id="89"/>
      </w:r>
      <w:r w:rsidRPr="00931D46">
        <w:rPr>
          <w:rFonts w:ascii="Arial" w:hAnsi="Arial" w:cs="Arial"/>
        </w:rPr>
        <w:t xml:space="preserve"> y UCE/CNC-001-2018 (</w:t>
      </w:r>
      <w:r w:rsidR="008D0DDD" w:rsidRPr="00931D46">
        <w:rPr>
          <w:rFonts w:ascii="Arial" w:hAnsi="Arial" w:cs="Arial"/>
        </w:rPr>
        <w:t xml:space="preserve">concentración </w:t>
      </w:r>
      <w:r w:rsidRPr="00931D46">
        <w:rPr>
          <w:rFonts w:ascii="Arial" w:hAnsi="Arial" w:cs="Arial"/>
        </w:rPr>
        <w:t>Disney/Fox),</w:t>
      </w:r>
      <w:r w:rsidR="008D0DDD" w:rsidRPr="00931D46">
        <w:rPr>
          <w:rFonts w:ascii="Arial" w:eastAsia="Times New Roman" w:hAnsi="Arial" w:cs="Arial"/>
          <w:b/>
          <w:vertAlign w:val="superscript"/>
          <w:lang w:eastAsia="es-MX"/>
        </w:rPr>
        <w:footnoteReference w:id="90"/>
      </w:r>
      <w:r w:rsidRPr="00931D46">
        <w:rPr>
          <w:rFonts w:ascii="Arial" w:hAnsi="Arial" w:cs="Arial"/>
        </w:rPr>
        <w:t xml:space="preserve"> s</w:t>
      </w:r>
      <w:r w:rsidR="00EB3D37" w:rsidRPr="00931D46">
        <w:rPr>
          <w:rFonts w:ascii="Arial" w:hAnsi="Arial" w:cs="Arial"/>
        </w:rPr>
        <w:t xml:space="preserve">e definieron, entre otros, </w:t>
      </w:r>
      <w:r w:rsidRPr="00931D46">
        <w:rPr>
          <w:rFonts w:ascii="Arial" w:hAnsi="Arial" w:cs="Arial"/>
        </w:rPr>
        <w:t>MR de provisión y licenciamiento de CA para el STAR</w:t>
      </w:r>
      <w:r w:rsidR="00EB3D37" w:rsidRPr="00931D46">
        <w:rPr>
          <w:rFonts w:ascii="Arial" w:hAnsi="Arial" w:cs="Arial"/>
        </w:rPr>
        <w:t xml:space="preserve"> para cada una de las </w:t>
      </w:r>
      <w:r w:rsidR="00793BB9" w:rsidRPr="00931D46">
        <w:rPr>
          <w:rFonts w:ascii="Arial" w:hAnsi="Arial" w:cs="Arial"/>
        </w:rPr>
        <w:t>8</w:t>
      </w:r>
      <w:r w:rsidR="00EB3D37" w:rsidRPr="00931D46">
        <w:rPr>
          <w:rFonts w:ascii="Arial" w:hAnsi="Arial" w:cs="Arial"/>
        </w:rPr>
        <w:t xml:space="preserve"> categorías programáticas identificadas</w:t>
      </w:r>
      <w:r w:rsidR="00793BB9" w:rsidRPr="00931D46">
        <w:rPr>
          <w:rFonts w:ascii="Arial" w:hAnsi="Arial" w:cs="Arial"/>
        </w:rPr>
        <w:t>,</w:t>
      </w:r>
      <w:r w:rsidR="00EB3D37" w:rsidRPr="00931D46">
        <w:rPr>
          <w:rStyle w:val="Refdenotaalpie"/>
          <w:rFonts w:ascii="Arial" w:hAnsi="Arial" w:cs="Arial"/>
        </w:rPr>
        <w:footnoteReference w:id="91"/>
      </w:r>
      <w:r w:rsidR="00EB3D37" w:rsidRPr="00931D46">
        <w:rPr>
          <w:rFonts w:ascii="Arial" w:hAnsi="Arial" w:cs="Arial"/>
        </w:rPr>
        <w:t xml:space="preserve"> </w:t>
      </w:r>
      <w:r w:rsidRPr="00931D46">
        <w:rPr>
          <w:rFonts w:ascii="Arial" w:hAnsi="Arial" w:cs="Arial"/>
        </w:rPr>
        <w:t>con base en los siguientes elementos:</w:t>
      </w:r>
    </w:p>
    <w:p w14:paraId="53BB8795" w14:textId="77777777" w:rsidR="0023353F" w:rsidRPr="00931D46" w:rsidRDefault="0023353F" w:rsidP="0023353F">
      <w:pPr>
        <w:spacing w:before="0" w:after="0"/>
        <w:rPr>
          <w:rFonts w:ascii="Arial" w:hAnsi="Arial" w:cs="Arial"/>
        </w:rPr>
      </w:pPr>
    </w:p>
    <w:p w14:paraId="5C4D53A4" w14:textId="7F8AFE68" w:rsidR="00800E42" w:rsidRPr="00931D46" w:rsidRDefault="00800E42" w:rsidP="00942BD7">
      <w:pPr>
        <w:pStyle w:val="Prrafodelista"/>
        <w:numPr>
          <w:ilvl w:val="0"/>
          <w:numId w:val="46"/>
        </w:numPr>
        <w:spacing w:before="0" w:after="0"/>
        <w:ind w:hanging="578"/>
        <w:contextualSpacing w:val="0"/>
        <w:rPr>
          <w:rFonts w:ascii="Arial" w:hAnsi="Arial" w:cs="Arial"/>
        </w:rPr>
      </w:pPr>
      <w:r w:rsidRPr="00931D46">
        <w:rPr>
          <w:rFonts w:ascii="Arial" w:hAnsi="Arial" w:cs="Arial"/>
        </w:rPr>
        <w:t>Por el lado de la oferta, los distribuidores mayoristas de CA ofrecen canales o paquetes de canales. Por el lado de la demanda, los proveedores del STAR adquieren los canales o paquetes para conformar sus ofertas minoristas.</w:t>
      </w:r>
    </w:p>
    <w:p w14:paraId="1D8EA5BA" w14:textId="77777777" w:rsidR="00800E42" w:rsidRPr="00931D46" w:rsidRDefault="00800E42" w:rsidP="00942BD7">
      <w:pPr>
        <w:pStyle w:val="Prrafodelista"/>
        <w:numPr>
          <w:ilvl w:val="0"/>
          <w:numId w:val="46"/>
        </w:numPr>
        <w:spacing w:before="0" w:after="0"/>
        <w:ind w:hanging="578"/>
        <w:contextualSpacing w:val="0"/>
        <w:rPr>
          <w:rFonts w:ascii="Arial" w:hAnsi="Arial" w:cs="Arial"/>
        </w:rPr>
      </w:pPr>
      <w:r w:rsidRPr="00931D46">
        <w:rPr>
          <w:rFonts w:ascii="Arial" w:hAnsi="Arial" w:cs="Arial"/>
        </w:rPr>
        <w:t xml:space="preserve">Los canales básicos conforman las ofertas elementales de los proveedores del STAR, mismas que incluyen contenidos en </w:t>
      </w:r>
      <w:r w:rsidR="00793BB9" w:rsidRPr="00931D46">
        <w:rPr>
          <w:rFonts w:ascii="Arial" w:hAnsi="Arial" w:cs="Arial"/>
        </w:rPr>
        <w:t>8</w:t>
      </w:r>
      <w:r w:rsidRPr="00931D46">
        <w:rPr>
          <w:rFonts w:ascii="Arial" w:hAnsi="Arial" w:cs="Arial"/>
        </w:rPr>
        <w:t xml:space="preserve"> categorías programáticas</w:t>
      </w:r>
      <w:r w:rsidR="008D0DDD" w:rsidRPr="00931D46">
        <w:rPr>
          <w:rFonts w:ascii="Arial" w:hAnsi="Arial" w:cs="Arial"/>
        </w:rPr>
        <w:t>,</w:t>
      </w:r>
      <w:r w:rsidRPr="00931D46">
        <w:rPr>
          <w:rFonts w:ascii="Arial" w:hAnsi="Arial" w:cs="Arial"/>
        </w:rPr>
        <w:t xml:space="preserve"> complementarias entre sí. La provisión de canales básicos en cada categoría programática constituye un </w:t>
      </w:r>
      <w:r w:rsidR="00DA5118" w:rsidRPr="00931D46">
        <w:rPr>
          <w:rFonts w:ascii="Arial" w:hAnsi="Arial" w:cs="Arial"/>
        </w:rPr>
        <w:t>MR</w:t>
      </w:r>
      <w:r w:rsidRPr="00931D46">
        <w:rPr>
          <w:rFonts w:ascii="Arial" w:hAnsi="Arial" w:cs="Arial"/>
        </w:rPr>
        <w:t xml:space="preserve"> independiente.</w:t>
      </w:r>
    </w:p>
    <w:p w14:paraId="0478A0AC" w14:textId="77777777" w:rsidR="00800E42" w:rsidRPr="00931D46" w:rsidRDefault="00800E42" w:rsidP="00942BD7">
      <w:pPr>
        <w:pStyle w:val="Prrafodelista"/>
        <w:numPr>
          <w:ilvl w:val="0"/>
          <w:numId w:val="46"/>
        </w:numPr>
        <w:spacing w:before="0" w:after="0"/>
        <w:ind w:hanging="578"/>
        <w:contextualSpacing w:val="0"/>
        <w:rPr>
          <w:rFonts w:ascii="Arial" w:hAnsi="Arial" w:cs="Arial"/>
        </w:rPr>
      </w:pPr>
      <w:r w:rsidRPr="00931D46">
        <w:rPr>
          <w:rFonts w:ascii="Arial" w:hAnsi="Arial" w:cs="Arial"/>
        </w:rPr>
        <w:t xml:space="preserve">Los canales </w:t>
      </w:r>
      <w:r w:rsidR="00317014" w:rsidRPr="00931D46">
        <w:rPr>
          <w:rFonts w:ascii="Arial" w:hAnsi="Arial" w:cs="Arial"/>
          <w:i/>
        </w:rPr>
        <w:t>p</w:t>
      </w:r>
      <w:r w:rsidRPr="00931D46">
        <w:rPr>
          <w:rFonts w:ascii="Arial" w:hAnsi="Arial" w:cs="Arial"/>
          <w:i/>
        </w:rPr>
        <w:t>remium</w:t>
      </w:r>
      <w:r w:rsidRPr="00931D46">
        <w:rPr>
          <w:rFonts w:ascii="Arial" w:hAnsi="Arial" w:cs="Arial"/>
        </w:rPr>
        <w:t xml:space="preserve"> se diferencian de los canales básicos en sus características (incluyen contenidos de alto valor y no incluyen publicidad), así como en sus estructuras de precios y costos, por lo que pueden formar parte de un MR separado. </w:t>
      </w:r>
    </w:p>
    <w:p w14:paraId="22B8A0A1" w14:textId="3DF8EE44" w:rsidR="00800E42" w:rsidRPr="00931D46" w:rsidRDefault="00800E42" w:rsidP="00942BD7">
      <w:pPr>
        <w:pStyle w:val="Prrafodelista"/>
        <w:numPr>
          <w:ilvl w:val="0"/>
          <w:numId w:val="46"/>
        </w:numPr>
        <w:spacing w:before="0" w:after="0"/>
        <w:ind w:hanging="578"/>
        <w:contextualSpacing w:val="0"/>
        <w:rPr>
          <w:rFonts w:ascii="Arial" w:hAnsi="Arial" w:cs="Arial"/>
        </w:rPr>
      </w:pPr>
      <w:r w:rsidRPr="00931D46">
        <w:rPr>
          <w:rFonts w:ascii="Arial" w:hAnsi="Arial" w:cs="Arial"/>
        </w:rPr>
        <w:t xml:space="preserve">Los canales de TV </w:t>
      </w:r>
      <w:r w:rsidR="008D0DDD" w:rsidRPr="00931D46">
        <w:rPr>
          <w:rFonts w:ascii="Arial" w:hAnsi="Arial" w:cs="Arial"/>
        </w:rPr>
        <w:t>A</w:t>
      </w:r>
      <w:r w:rsidRPr="00931D46">
        <w:rPr>
          <w:rFonts w:ascii="Arial" w:hAnsi="Arial" w:cs="Arial"/>
        </w:rPr>
        <w:t>bierta que se ofrecen a través del STAR se distinguen de otros canales en su modelo de negocio, niveles de audiencia, normatividad aplicable (</w:t>
      </w:r>
      <w:r w:rsidRPr="00931D46">
        <w:rPr>
          <w:rFonts w:ascii="Arial" w:hAnsi="Arial" w:cs="Arial"/>
          <w:i/>
        </w:rPr>
        <w:t>M</w:t>
      </w:r>
      <w:r w:rsidR="00716EDF" w:rsidRPr="00931D46">
        <w:rPr>
          <w:rFonts w:ascii="Arial" w:hAnsi="Arial" w:cs="Arial"/>
          <w:i/>
        </w:rPr>
        <w:t xml:space="preserve">ust </w:t>
      </w:r>
      <w:r w:rsidRPr="00931D46">
        <w:rPr>
          <w:rFonts w:ascii="Arial" w:hAnsi="Arial" w:cs="Arial"/>
          <w:i/>
        </w:rPr>
        <w:t>C</w:t>
      </w:r>
      <w:r w:rsidR="00716EDF" w:rsidRPr="00931D46">
        <w:rPr>
          <w:rFonts w:ascii="Arial" w:hAnsi="Arial" w:cs="Arial"/>
          <w:i/>
        </w:rPr>
        <w:t xml:space="preserve">arry </w:t>
      </w:r>
      <w:r w:rsidRPr="00931D46">
        <w:rPr>
          <w:rFonts w:ascii="Arial" w:hAnsi="Arial" w:cs="Arial"/>
          <w:i/>
        </w:rPr>
        <w:t>-</w:t>
      </w:r>
      <w:r w:rsidR="00716EDF" w:rsidRPr="00931D46">
        <w:rPr>
          <w:rFonts w:ascii="Arial" w:hAnsi="Arial" w:cs="Arial"/>
          <w:i/>
        </w:rPr>
        <w:t xml:space="preserve"> </w:t>
      </w:r>
      <w:r w:rsidRPr="00931D46">
        <w:rPr>
          <w:rFonts w:ascii="Arial" w:hAnsi="Arial" w:cs="Arial"/>
          <w:i/>
        </w:rPr>
        <w:t>M</w:t>
      </w:r>
      <w:r w:rsidR="00716EDF" w:rsidRPr="00931D46">
        <w:rPr>
          <w:rFonts w:ascii="Arial" w:hAnsi="Arial" w:cs="Arial"/>
          <w:i/>
        </w:rPr>
        <w:t xml:space="preserve">ust </w:t>
      </w:r>
      <w:r w:rsidRPr="00931D46">
        <w:rPr>
          <w:rFonts w:ascii="Arial" w:hAnsi="Arial" w:cs="Arial"/>
          <w:i/>
        </w:rPr>
        <w:t>O</w:t>
      </w:r>
      <w:r w:rsidR="00716EDF" w:rsidRPr="00931D46">
        <w:rPr>
          <w:rFonts w:ascii="Arial" w:hAnsi="Arial" w:cs="Arial"/>
          <w:i/>
        </w:rPr>
        <w:t>ffer</w:t>
      </w:r>
      <w:r w:rsidR="00F247DA" w:rsidRPr="00931D46">
        <w:rPr>
          <w:rStyle w:val="Refdenotaalpie"/>
          <w:rFonts w:ascii="Arial" w:hAnsi="Arial" w:cs="Arial"/>
        </w:rPr>
        <w:footnoteReference w:id="92"/>
      </w:r>
      <w:r w:rsidRPr="00931D46">
        <w:rPr>
          <w:rFonts w:ascii="Arial" w:hAnsi="Arial" w:cs="Arial"/>
        </w:rPr>
        <w:t xml:space="preserve">) y tipo de contenidos. Por lo cual, </w:t>
      </w:r>
      <w:r w:rsidR="00A30FCE" w:rsidRPr="00931D46">
        <w:rPr>
          <w:rFonts w:ascii="Arial" w:hAnsi="Arial" w:cs="Arial"/>
        </w:rPr>
        <w:t xml:space="preserve">la provisión y </w:t>
      </w:r>
      <w:r w:rsidRPr="00931D46">
        <w:rPr>
          <w:rFonts w:ascii="Arial" w:hAnsi="Arial" w:cs="Arial"/>
        </w:rPr>
        <w:t xml:space="preserve">el licenciamiento de canales de TV </w:t>
      </w:r>
      <w:r w:rsidR="00E7381A" w:rsidRPr="00931D46">
        <w:rPr>
          <w:rFonts w:ascii="Arial" w:hAnsi="Arial" w:cs="Arial"/>
        </w:rPr>
        <w:t>A</w:t>
      </w:r>
      <w:r w:rsidRPr="00931D46">
        <w:rPr>
          <w:rFonts w:ascii="Arial" w:hAnsi="Arial" w:cs="Arial"/>
        </w:rPr>
        <w:t xml:space="preserve">bierta </w:t>
      </w:r>
      <w:r w:rsidR="002354FB" w:rsidRPr="00931D46">
        <w:rPr>
          <w:rFonts w:ascii="Arial" w:hAnsi="Arial" w:cs="Arial"/>
        </w:rPr>
        <w:t xml:space="preserve">para el STAR </w:t>
      </w:r>
      <w:r w:rsidRPr="00931D46">
        <w:rPr>
          <w:rFonts w:ascii="Arial" w:hAnsi="Arial" w:cs="Arial"/>
        </w:rPr>
        <w:t>conforma un MR distinto.</w:t>
      </w:r>
    </w:p>
    <w:p w14:paraId="1FF71888" w14:textId="77777777" w:rsidR="00800E42" w:rsidRPr="00931D46" w:rsidRDefault="00800E42" w:rsidP="0023353F">
      <w:pPr>
        <w:spacing w:before="0" w:after="0"/>
        <w:rPr>
          <w:rFonts w:ascii="Arial" w:hAnsi="Arial" w:cs="Arial"/>
          <w:bCs/>
        </w:rPr>
      </w:pPr>
    </w:p>
    <w:p w14:paraId="6574DD4A"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bookmarkStart w:id="70" w:name="_Toc41924492"/>
      <w:r w:rsidRPr="00931D46">
        <w:rPr>
          <w:rFonts w:ascii="Arial" w:eastAsia="Times New Roman" w:hAnsi="Arial" w:cs="Arial"/>
          <w:b/>
          <w:color w:val="auto"/>
          <w:sz w:val="26"/>
          <w:szCs w:val="26"/>
          <w:lang w:eastAsia="es-MX"/>
        </w:rPr>
        <w:t>Servicios de telecomunicaciones móviles</w:t>
      </w:r>
      <w:bookmarkEnd w:id="70"/>
    </w:p>
    <w:p w14:paraId="4F5A4F73" w14:textId="77777777" w:rsidR="00800E42" w:rsidRPr="00931D46" w:rsidRDefault="00800E42" w:rsidP="0023353F">
      <w:pPr>
        <w:keepNext/>
        <w:spacing w:before="0" w:after="0"/>
        <w:rPr>
          <w:rFonts w:ascii="Arial" w:hAnsi="Arial" w:cs="Arial"/>
        </w:rPr>
      </w:pPr>
    </w:p>
    <w:p w14:paraId="56A6DA60" w14:textId="2D89D5A6" w:rsidR="00800E42" w:rsidRPr="00931D46" w:rsidRDefault="00800E42" w:rsidP="0023353F">
      <w:pPr>
        <w:spacing w:before="0" w:after="0"/>
        <w:rPr>
          <w:rFonts w:ascii="Arial" w:hAnsi="Arial" w:cs="Arial"/>
        </w:rPr>
      </w:pPr>
      <w:r w:rsidRPr="00931D46">
        <w:rPr>
          <w:rFonts w:ascii="Arial" w:hAnsi="Arial" w:cs="Arial"/>
        </w:rPr>
        <w:t>En los expedientes UCE/CNC-001-2015 (</w:t>
      </w:r>
      <w:r w:rsidR="008D0DDD" w:rsidRPr="00931D46">
        <w:rPr>
          <w:rFonts w:ascii="Arial" w:hAnsi="Arial" w:cs="Arial"/>
        </w:rPr>
        <w:t xml:space="preserve">concentración </w:t>
      </w:r>
      <w:r w:rsidRPr="00931D46">
        <w:rPr>
          <w:rFonts w:ascii="Arial" w:hAnsi="Arial" w:cs="Arial"/>
        </w:rPr>
        <w:t>AT</w:t>
      </w:r>
      <w:r w:rsidR="00716EDF" w:rsidRPr="00931D46">
        <w:rPr>
          <w:rFonts w:ascii="Arial" w:hAnsi="Arial" w:cs="Arial"/>
        </w:rPr>
        <w:t>&amp;</w:t>
      </w:r>
      <w:r w:rsidRPr="00931D46">
        <w:rPr>
          <w:rFonts w:ascii="Arial" w:hAnsi="Arial" w:cs="Arial"/>
        </w:rPr>
        <w:t>T/Nextel)</w:t>
      </w:r>
      <w:r w:rsidR="0043197C" w:rsidRPr="00931D46">
        <w:rPr>
          <w:rStyle w:val="Refdenotaalpie"/>
          <w:rFonts w:ascii="Arial" w:eastAsia="Times New Roman" w:hAnsi="Arial" w:cs="Arial"/>
          <w:b/>
          <w:lang w:val="en-US" w:eastAsia="es-MX"/>
        </w:rPr>
        <w:footnoteReference w:id="93"/>
      </w:r>
      <w:r w:rsidRPr="00931D46">
        <w:rPr>
          <w:rFonts w:ascii="Arial" w:hAnsi="Arial" w:cs="Arial"/>
        </w:rPr>
        <w:t xml:space="preserve"> y UCE/CNC-003-2016 (</w:t>
      </w:r>
      <w:r w:rsidR="008D0DDD" w:rsidRPr="00931D46">
        <w:rPr>
          <w:rFonts w:ascii="Arial" w:hAnsi="Arial" w:cs="Arial"/>
        </w:rPr>
        <w:t xml:space="preserve">concentración </w:t>
      </w:r>
      <w:r w:rsidRPr="00931D46">
        <w:rPr>
          <w:rFonts w:ascii="Arial" w:hAnsi="Arial" w:cs="Arial"/>
        </w:rPr>
        <w:t>AMX/MVS)</w:t>
      </w:r>
      <w:r w:rsidR="008D0DDD" w:rsidRPr="00931D46">
        <w:rPr>
          <w:rFonts w:ascii="Arial" w:eastAsia="Times New Roman" w:hAnsi="Arial" w:cs="Arial"/>
          <w:szCs w:val="26"/>
          <w:vertAlign w:val="superscript"/>
          <w:lang w:eastAsia="es-MX"/>
        </w:rPr>
        <w:footnoteReference w:id="94"/>
      </w:r>
      <w:r w:rsidRPr="00931D46">
        <w:rPr>
          <w:rFonts w:ascii="Arial" w:hAnsi="Arial" w:cs="Arial"/>
        </w:rPr>
        <w:t xml:space="preserve"> se delimitó el MR de telecomunicaciones móviles (telefonía móvil y acceso a </w:t>
      </w:r>
      <w:r w:rsidR="009C4E5F" w:rsidRPr="00931D46">
        <w:rPr>
          <w:rFonts w:ascii="Arial" w:hAnsi="Arial" w:cs="Arial"/>
        </w:rPr>
        <w:t>I</w:t>
      </w:r>
      <w:r w:rsidRPr="00931D46">
        <w:rPr>
          <w:rFonts w:ascii="Arial" w:hAnsi="Arial" w:cs="Arial"/>
        </w:rPr>
        <w:t xml:space="preserve">nternet móvil) para usuarios finales. </w:t>
      </w:r>
      <w:r w:rsidR="00680EC7" w:rsidRPr="00931D46">
        <w:rPr>
          <w:rFonts w:ascii="Arial" w:hAnsi="Arial" w:cs="Arial"/>
        </w:rPr>
        <w:t>La dimensión servicio</w:t>
      </w:r>
      <w:r w:rsidRPr="00931D46">
        <w:rPr>
          <w:rFonts w:ascii="Arial" w:hAnsi="Arial" w:cs="Arial"/>
        </w:rPr>
        <w:t xml:space="preserve"> se determinó con base en </w:t>
      </w:r>
      <w:r w:rsidR="008E023C" w:rsidRPr="00931D46">
        <w:rPr>
          <w:rFonts w:ascii="Arial" w:hAnsi="Arial" w:cs="Arial"/>
        </w:rPr>
        <w:t>las</w:t>
      </w:r>
      <w:r w:rsidRPr="00931D46">
        <w:rPr>
          <w:rFonts w:ascii="Arial" w:hAnsi="Arial" w:cs="Arial"/>
        </w:rPr>
        <w:t xml:space="preserve"> características y usos</w:t>
      </w:r>
      <w:r w:rsidR="008E023C" w:rsidRPr="00931D46">
        <w:rPr>
          <w:rFonts w:ascii="Arial" w:hAnsi="Arial" w:cs="Arial"/>
        </w:rPr>
        <w:t xml:space="preserve"> de los servicios de telecomunicaciones móviles</w:t>
      </w:r>
      <w:r w:rsidR="008D0DDD" w:rsidRPr="00931D46">
        <w:rPr>
          <w:rFonts w:ascii="Arial" w:hAnsi="Arial" w:cs="Arial"/>
        </w:rPr>
        <w:t>,</w:t>
      </w:r>
      <w:r w:rsidRPr="00931D46">
        <w:rPr>
          <w:rFonts w:ascii="Arial" w:hAnsi="Arial" w:cs="Arial"/>
        </w:rPr>
        <w:t xml:space="preserve"> y en sus diferencias con: i) </w:t>
      </w:r>
      <w:r w:rsidRPr="00931D46">
        <w:rPr>
          <w:rFonts w:ascii="Arial" w:hAnsi="Arial" w:cs="Arial"/>
          <w:bCs/>
        </w:rPr>
        <w:t>servicios minoristas fijos</w:t>
      </w:r>
      <w:r w:rsidR="008D0DDD" w:rsidRPr="00931D46">
        <w:rPr>
          <w:rFonts w:ascii="Arial" w:hAnsi="Arial" w:cs="Arial"/>
          <w:bCs/>
        </w:rPr>
        <w:t>,</w:t>
      </w:r>
      <w:r w:rsidRPr="00931D46">
        <w:rPr>
          <w:rFonts w:ascii="Arial" w:hAnsi="Arial" w:cs="Arial"/>
          <w:bCs/>
        </w:rPr>
        <w:t xml:space="preserve"> en la</w:t>
      </w:r>
      <w:r w:rsidRPr="00931D46">
        <w:rPr>
          <w:rFonts w:ascii="Arial" w:hAnsi="Arial" w:cs="Arial"/>
        </w:rPr>
        <w:t xml:space="preserve"> movilidad, personalización del </w:t>
      </w:r>
      <w:r w:rsidR="006F0665">
        <w:rPr>
          <w:rFonts w:ascii="Arial" w:hAnsi="Arial" w:cs="Arial"/>
        </w:rPr>
        <w:t>servicio</w:t>
      </w:r>
      <w:r w:rsidRPr="00931D46">
        <w:rPr>
          <w:rFonts w:ascii="Arial" w:hAnsi="Arial" w:cs="Arial"/>
        </w:rPr>
        <w:t xml:space="preserve"> y el acceso a aplicaciones adicionales; ii) </w:t>
      </w:r>
      <w:r w:rsidRPr="00931D46">
        <w:rPr>
          <w:rFonts w:ascii="Arial" w:hAnsi="Arial" w:cs="Arial"/>
          <w:bCs/>
        </w:rPr>
        <w:t>telefonía satelital</w:t>
      </w:r>
      <w:r w:rsidR="008D0DDD" w:rsidRPr="00931D46">
        <w:rPr>
          <w:rFonts w:ascii="Arial" w:hAnsi="Arial" w:cs="Arial"/>
          <w:bCs/>
        </w:rPr>
        <w:t>,</w:t>
      </w:r>
      <w:r w:rsidRPr="00931D46">
        <w:rPr>
          <w:rFonts w:ascii="Arial" w:hAnsi="Arial" w:cs="Arial"/>
          <w:bCs/>
        </w:rPr>
        <w:t xml:space="preserve"> en cobertura, precios y costos de sus equipos terminales y iii) radiocomunicación especializada de flotillas (</w:t>
      </w:r>
      <w:r w:rsidRPr="00931D46">
        <w:rPr>
          <w:rFonts w:ascii="Arial" w:hAnsi="Arial" w:cs="Arial"/>
          <w:bCs/>
          <w:i/>
        </w:rPr>
        <w:t>trunking</w:t>
      </w:r>
      <w:r w:rsidRPr="00931D46">
        <w:rPr>
          <w:rFonts w:ascii="Arial" w:hAnsi="Arial" w:cs="Arial"/>
          <w:bCs/>
        </w:rPr>
        <w:t>),</w:t>
      </w:r>
      <w:r w:rsidRPr="00931D46">
        <w:rPr>
          <w:rFonts w:ascii="Arial" w:hAnsi="Arial" w:cs="Arial"/>
        </w:rPr>
        <w:t xml:space="preserve"> en la velocidad de transmisión de datos.</w:t>
      </w:r>
    </w:p>
    <w:p w14:paraId="5A14686B" w14:textId="77777777" w:rsidR="00800E42" w:rsidRPr="00931D46" w:rsidRDefault="00800E42" w:rsidP="0023353F">
      <w:pPr>
        <w:spacing w:before="0" w:after="0"/>
        <w:rPr>
          <w:rFonts w:ascii="Arial" w:hAnsi="Arial" w:cs="Arial"/>
        </w:rPr>
      </w:pPr>
    </w:p>
    <w:p w14:paraId="5BF6BF04" w14:textId="77777777" w:rsidR="00800E42" w:rsidRPr="00931D46" w:rsidRDefault="00800E42" w:rsidP="0023353F">
      <w:pPr>
        <w:spacing w:before="0" w:after="0"/>
        <w:rPr>
          <w:rFonts w:ascii="Arial" w:hAnsi="Arial" w:cs="Arial"/>
        </w:rPr>
      </w:pPr>
      <w:r w:rsidRPr="00931D46">
        <w:rPr>
          <w:rFonts w:ascii="Arial" w:hAnsi="Arial" w:cs="Arial"/>
        </w:rPr>
        <w:t>De forma similar, en el expediente E-IFT/UCE/RR-001-2018</w:t>
      </w:r>
      <w:r w:rsidRPr="00931D46">
        <w:rPr>
          <w:rStyle w:val="Refdenotaalpie"/>
          <w:rFonts w:ascii="Arial" w:hAnsi="Arial" w:cs="Arial"/>
        </w:rPr>
        <w:footnoteReference w:id="95"/>
      </w:r>
      <w:r w:rsidRPr="00931D46">
        <w:rPr>
          <w:rFonts w:ascii="Arial" w:hAnsi="Arial" w:cs="Arial"/>
        </w:rPr>
        <w:t xml:space="preserve"> </w:t>
      </w:r>
      <w:r w:rsidR="008E023C" w:rsidRPr="00931D46">
        <w:rPr>
          <w:rFonts w:ascii="Arial" w:hAnsi="Arial" w:cs="Arial"/>
          <w:bCs/>
        </w:rPr>
        <w:t>(</w:t>
      </w:r>
      <w:r w:rsidR="008D0DDD" w:rsidRPr="00931D46">
        <w:rPr>
          <w:rFonts w:ascii="Arial" w:hAnsi="Arial" w:cs="Arial"/>
          <w:lang w:eastAsia="es-MX"/>
        </w:rPr>
        <w:t>investigación sobre la existencia de PSM por parte de AMX e</w:t>
      </w:r>
      <w:r w:rsidRPr="00931D46">
        <w:rPr>
          <w:rFonts w:ascii="Arial" w:hAnsi="Arial" w:cs="Arial"/>
        </w:rPr>
        <w:t>n el MR de servicios de telefonía móvil</w:t>
      </w:r>
      <w:r w:rsidR="008E023C" w:rsidRPr="00931D46">
        <w:rPr>
          <w:rFonts w:ascii="Arial" w:hAnsi="Arial" w:cs="Arial"/>
        </w:rPr>
        <w:t>)</w:t>
      </w:r>
      <w:r w:rsidRPr="00931D46">
        <w:rPr>
          <w:rFonts w:ascii="Arial" w:hAnsi="Arial" w:cs="Arial"/>
        </w:rPr>
        <w:t xml:space="preserve">, el Pleno del Instituto reiteró los elementos que permitieron a la </w:t>
      </w:r>
      <w:r w:rsidR="00DD0816" w:rsidRPr="00931D46">
        <w:rPr>
          <w:rFonts w:ascii="Arial" w:hAnsi="Arial" w:cs="Arial"/>
        </w:rPr>
        <w:t>CFC</w:t>
      </w:r>
      <w:r w:rsidR="00684F61" w:rsidRPr="00931D46">
        <w:rPr>
          <w:rStyle w:val="Refdenotaalpie"/>
          <w:rFonts w:ascii="Arial" w:hAnsi="Arial" w:cs="Arial"/>
        </w:rPr>
        <w:footnoteReference w:id="96"/>
      </w:r>
      <w:r w:rsidRPr="00931D46">
        <w:rPr>
          <w:rFonts w:ascii="Arial" w:hAnsi="Arial" w:cs="Arial"/>
        </w:rPr>
        <w:t xml:space="preserve"> concluir que </w:t>
      </w:r>
      <w:r w:rsidR="00DD0816" w:rsidRPr="00931D46">
        <w:rPr>
          <w:rFonts w:ascii="Arial" w:hAnsi="Arial" w:cs="Arial"/>
        </w:rPr>
        <w:t>el servicio</w:t>
      </w:r>
      <w:r w:rsidRPr="00931D46">
        <w:rPr>
          <w:rFonts w:ascii="Arial" w:hAnsi="Arial" w:cs="Arial"/>
        </w:rPr>
        <w:t xml:space="preserve"> de telefonía móvil no es sustituto de</w:t>
      </w:r>
      <w:r w:rsidR="00850947" w:rsidRPr="00931D46">
        <w:rPr>
          <w:rFonts w:ascii="Arial" w:hAnsi="Arial" w:cs="Arial"/>
        </w:rPr>
        <w:t>l STF</w:t>
      </w:r>
      <w:r w:rsidRPr="00931D46">
        <w:rPr>
          <w:rFonts w:ascii="Arial" w:hAnsi="Arial" w:cs="Arial"/>
        </w:rPr>
        <w:t xml:space="preserve"> y telefonía satelital debido a las diferencias en sus características, usos y precios.</w:t>
      </w:r>
    </w:p>
    <w:p w14:paraId="240AD6BE" w14:textId="77777777" w:rsidR="00800E42" w:rsidRPr="00931D46" w:rsidRDefault="00800E42" w:rsidP="0023353F">
      <w:pPr>
        <w:spacing w:before="0" w:after="0"/>
        <w:rPr>
          <w:rFonts w:ascii="Arial" w:hAnsi="Arial" w:cs="Arial"/>
          <w:bCs/>
        </w:rPr>
      </w:pPr>
    </w:p>
    <w:p w14:paraId="4EDD0C24"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STAR</w:t>
      </w:r>
    </w:p>
    <w:p w14:paraId="1127A81C" w14:textId="77777777" w:rsidR="00800E42" w:rsidRPr="00931D46" w:rsidRDefault="00800E42" w:rsidP="0023353F">
      <w:pPr>
        <w:keepNext/>
        <w:spacing w:before="0" w:after="0"/>
        <w:rPr>
          <w:rFonts w:ascii="Arial" w:hAnsi="Arial" w:cs="Arial"/>
          <w:lang w:eastAsia="es-MX"/>
        </w:rPr>
      </w:pPr>
    </w:p>
    <w:p w14:paraId="3968E448" w14:textId="1C469A44" w:rsidR="00800E42" w:rsidRPr="00931D46" w:rsidRDefault="00800E42" w:rsidP="0023353F">
      <w:pPr>
        <w:spacing w:before="0" w:after="0"/>
        <w:rPr>
          <w:rFonts w:ascii="Arial" w:hAnsi="Arial" w:cs="Arial"/>
          <w:lang w:eastAsia="es-MX"/>
        </w:rPr>
      </w:pPr>
      <w:r w:rsidRPr="00931D46">
        <w:rPr>
          <w:rFonts w:ascii="Arial" w:hAnsi="Arial" w:cs="Arial"/>
          <w:lang w:eastAsia="es-MX"/>
        </w:rPr>
        <w:t>En los expedientes UCE/CNC-006-2014 (</w:t>
      </w:r>
      <w:r w:rsidR="00DD0816" w:rsidRPr="00931D46">
        <w:rPr>
          <w:rFonts w:ascii="Arial" w:hAnsi="Arial" w:cs="Arial"/>
          <w:lang w:eastAsia="es-MX"/>
        </w:rPr>
        <w:t xml:space="preserve">concentración </w:t>
      </w:r>
      <w:r w:rsidRPr="00931D46">
        <w:rPr>
          <w:rFonts w:ascii="Arial" w:hAnsi="Arial" w:cs="Arial"/>
          <w:lang w:eastAsia="es-MX"/>
        </w:rPr>
        <w:t>AT</w:t>
      </w:r>
      <w:r w:rsidR="00716EDF" w:rsidRPr="00931D46">
        <w:rPr>
          <w:rFonts w:ascii="Arial" w:hAnsi="Arial" w:cs="Arial"/>
          <w:lang w:eastAsia="es-MX"/>
        </w:rPr>
        <w:t>&amp;</w:t>
      </w:r>
      <w:r w:rsidRPr="00931D46">
        <w:rPr>
          <w:rFonts w:ascii="Arial" w:hAnsi="Arial" w:cs="Arial"/>
          <w:lang w:eastAsia="es-MX"/>
        </w:rPr>
        <w:t>T/Iusacell),</w:t>
      </w:r>
      <w:r w:rsidR="00DD0816" w:rsidRPr="00931D46">
        <w:rPr>
          <w:rFonts w:ascii="Arial" w:eastAsia="Times New Roman" w:hAnsi="Arial" w:cs="Arial"/>
          <w:vertAlign w:val="superscript"/>
          <w:lang w:eastAsia="es-MX"/>
        </w:rPr>
        <w:footnoteReference w:id="97"/>
      </w:r>
      <w:r w:rsidRPr="00931D46">
        <w:rPr>
          <w:rFonts w:ascii="Arial" w:hAnsi="Arial" w:cs="Arial"/>
          <w:lang w:eastAsia="es-MX"/>
        </w:rPr>
        <w:t xml:space="preserve"> E-IFT/UC/DGIPM/PMR/008/2013</w:t>
      </w:r>
      <w:r w:rsidR="000E05A7" w:rsidRPr="00931D46">
        <w:rPr>
          <w:rFonts w:ascii="Arial" w:hAnsi="Arial" w:cs="Arial"/>
          <w:lang w:eastAsia="es-MX"/>
        </w:rPr>
        <w:t xml:space="preserve"> (investigación sobre PMR por parte de </w:t>
      </w:r>
      <w:r w:rsidR="00E02918" w:rsidRPr="00931D46">
        <w:rPr>
          <w:rFonts w:ascii="Arial" w:hAnsi="Arial" w:cs="Arial"/>
          <w:lang w:eastAsia="es-MX"/>
        </w:rPr>
        <w:t xml:space="preserve"> Mega Cable, S.A. de C.V</w:t>
      </w:r>
      <w:r w:rsidR="000E05A7" w:rsidRPr="00931D46">
        <w:rPr>
          <w:rFonts w:ascii="Arial" w:hAnsi="Arial" w:cs="Arial"/>
          <w:lang w:eastAsia="es-MX"/>
        </w:rPr>
        <w:t xml:space="preserve"> en el STAR)</w:t>
      </w:r>
      <w:r w:rsidR="00DD0816" w:rsidRPr="00931D46">
        <w:rPr>
          <w:rFonts w:ascii="Arial" w:eastAsia="Times New Roman" w:hAnsi="Arial" w:cs="Arial"/>
          <w:vertAlign w:val="superscript"/>
          <w:lang w:eastAsia="es-MX"/>
        </w:rPr>
        <w:footnoteReference w:id="98"/>
      </w:r>
      <w:r w:rsidRPr="00931D46">
        <w:rPr>
          <w:rFonts w:ascii="Arial" w:hAnsi="Arial" w:cs="Arial"/>
          <w:lang w:eastAsia="es-MX"/>
        </w:rPr>
        <w:t xml:space="preserve"> </w:t>
      </w:r>
      <w:r w:rsidR="00170BD5" w:rsidRPr="00170BD5">
        <w:rPr>
          <w:rFonts w:ascii="Arial" w:hAnsi="Arial" w:cs="Arial"/>
          <w:lang w:eastAsia="es-MX"/>
        </w:rPr>
        <w:t>y AI/DC-002-2019 (investigación sobre PSM de GTV en el STAR)</w:t>
      </w:r>
      <w:r w:rsidR="00170BD5">
        <w:rPr>
          <w:rFonts w:ascii="Arial" w:hAnsi="Arial" w:cs="Arial"/>
          <w:lang w:eastAsia="es-MX"/>
        </w:rPr>
        <w:t>,</w:t>
      </w:r>
      <w:r w:rsidR="00170BD5" w:rsidRPr="00170BD5">
        <w:rPr>
          <w:rStyle w:val="Refdenotaalpie"/>
          <w:rFonts w:ascii="Arial" w:hAnsi="Arial" w:cs="Arial"/>
          <w:bCs/>
        </w:rPr>
        <w:footnoteReference w:id="99"/>
      </w:r>
      <w:r w:rsidR="00170BD5">
        <w:rPr>
          <w:rFonts w:ascii="Arial" w:hAnsi="Arial" w:cs="Arial"/>
          <w:lang w:eastAsia="es-MX"/>
        </w:rPr>
        <w:t xml:space="preserve"> </w:t>
      </w:r>
      <w:r w:rsidRPr="00931D46">
        <w:rPr>
          <w:rFonts w:ascii="Arial" w:hAnsi="Arial" w:cs="Arial"/>
          <w:lang w:eastAsia="es-MX"/>
        </w:rPr>
        <w:t xml:space="preserve">se </w:t>
      </w:r>
      <w:r w:rsidR="00B3415F">
        <w:rPr>
          <w:rFonts w:ascii="Arial" w:hAnsi="Arial" w:cs="Arial"/>
          <w:lang w:eastAsia="es-MX"/>
        </w:rPr>
        <w:t xml:space="preserve">identificó que el STAR no tiene como sustitutos a la TV abierta ni a los servicios OTT, y se </w:t>
      </w:r>
      <w:r w:rsidRPr="00931D46">
        <w:rPr>
          <w:rFonts w:ascii="Arial" w:hAnsi="Arial" w:cs="Arial"/>
          <w:lang w:eastAsia="es-MX"/>
        </w:rPr>
        <w:t xml:space="preserve">definieron MR cuya dimensión </w:t>
      </w:r>
      <w:r w:rsidR="002354FB" w:rsidRPr="00931D46">
        <w:rPr>
          <w:rFonts w:ascii="Arial" w:hAnsi="Arial" w:cs="Arial"/>
          <w:lang w:eastAsia="es-MX"/>
        </w:rPr>
        <w:t xml:space="preserve">de </w:t>
      </w:r>
      <w:r w:rsidR="00DC7F97" w:rsidRPr="00931D46">
        <w:rPr>
          <w:rFonts w:ascii="Arial" w:hAnsi="Arial" w:cs="Arial"/>
        </w:rPr>
        <w:t>servicio</w:t>
      </w:r>
      <w:r w:rsidRPr="00931D46">
        <w:rPr>
          <w:rFonts w:ascii="Arial" w:hAnsi="Arial" w:cs="Arial"/>
          <w:lang w:eastAsia="es-MX"/>
        </w:rPr>
        <w:t xml:space="preserve"> es el STAR provisto por cualquier tecnología y </w:t>
      </w:r>
      <w:r w:rsidRPr="00931D46">
        <w:rPr>
          <w:rFonts w:ascii="Arial" w:eastAsiaTheme="majorEastAsia" w:hAnsi="Arial" w:cs="Arial"/>
          <w:szCs w:val="24"/>
        </w:rPr>
        <w:t>ofrecido de manera individual o empaquetada con otros servicios de telecomunicaciones fijos</w:t>
      </w:r>
      <w:r w:rsidR="00B3415F">
        <w:rPr>
          <w:rFonts w:ascii="Arial" w:eastAsiaTheme="majorEastAsia" w:hAnsi="Arial" w:cs="Arial"/>
          <w:szCs w:val="24"/>
        </w:rPr>
        <w:t xml:space="preserve">, </w:t>
      </w:r>
      <w:r w:rsidR="00B3415F">
        <w:rPr>
          <w:rFonts w:ascii="Arial" w:hAnsi="Arial" w:cs="Arial"/>
          <w:bCs/>
        </w:rPr>
        <w:t>de acuerdo con lo siguiente</w:t>
      </w:r>
      <w:r w:rsidRPr="00931D46">
        <w:rPr>
          <w:rFonts w:ascii="Arial" w:hAnsi="Arial" w:cs="Arial"/>
          <w:lang w:eastAsia="es-MX"/>
        </w:rPr>
        <w:t xml:space="preserve">: </w:t>
      </w:r>
    </w:p>
    <w:p w14:paraId="080A7B25" w14:textId="77777777" w:rsidR="0023353F" w:rsidRPr="00931D46" w:rsidRDefault="0023353F" w:rsidP="0023353F">
      <w:pPr>
        <w:spacing w:before="0" w:after="0"/>
        <w:rPr>
          <w:rFonts w:ascii="Arial" w:hAnsi="Arial" w:cs="Arial"/>
          <w:lang w:eastAsia="es-MX"/>
        </w:rPr>
      </w:pPr>
    </w:p>
    <w:p w14:paraId="1522FDE1" w14:textId="77777777" w:rsidR="00800E42" w:rsidRPr="00931D46" w:rsidRDefault="00800E42" w:rsidP="00942BD7">
      <w:pPr>
        <w:pStyle w:val="Textocomentario"/>
        <w:numPr>
          <w:ilvl w:val="0"/>
          <w:numId w:val="14"/>
        </w:numPr>
        <w:spacing w:before="0" w:after="0" w:line="276" w:lineRule="auto"/>
        <w:ind w:left="709" w:hanging="567"/>
        <w:rPr>
          <w:rFonts w:ascii="Arial" w:hAnsi="Arial" w:cs="Arial"/>
          <w:sz w:val="22"/>
          <w:szCs w:val="22"/>
        </w:rPr>
      </w:pPr>
      <w:r w:rsidRPr="00931D46">
        <w:rPr>
          <w:rFonts w:ascii="Arial" w:hAnsi="Arial" w:cs="Arial"/>
          <w:sz w:val="22"/>
          <w:szCs w:val="22"/>
        </w:rPr>
        <w:t xml:space="preserve">Tecnologías: Por el lado de la oferta, </w:t>
      </w:r>
      <w:r w:rsidR="002310F7" w:rsidRPr="00931D46">
        <w:rPr>
          <w:rFonts w:ascii="Arial" w:hAnsi="Arial" w:cs="Arial"/>
          <w:sz w:val="22"/>
          <w:szCs w:val="22"/>
        </w:rPr>
        <w:t>los proveedores d</w:t>
      </w:r>
      <w:r w:rsidRPr="00931D46">
        <w:rPr>
          <w:rFonts w:ascii="Arial" w:hAnsi="Arial" w:cs="Arial"/>
          <w:sz w:val="22"/>
          <w:szCs w:val="22"/>
        </w:rPr>
        <w:t xml:space="preserve">el </w:t>
      </w:r>
      <w:r w:rsidR="00676FC7" w:rsidRPr="00931D46">
        <w:rPr>
          <w:rFonts w:ascii="Arial" w:hAnsi="Arial" w:cs="Arial"/>
          <w:sz w:val="22"/>
          <w:szCs w:val="22"/>
        </w:rPr>
        <w:t>STAR satelital</w:t>
      </w:r>
      <w:r w:rsidRPr="00931D46">
        <w:rPr>
          <w:rFonts w:ascii="Arial" w:hAnsi="Arial" w:cs="Arial"/>
          <w:sz w:val="22"/>
          <w:szCs w:val="22"/>
        </w:rPr>
        <w:t xml:space="preserve"> y </w:t>
      </w:r>
      <w:r w:rsidR="00676FC7" w:rsidRPr="00931D46">
        <w:rPr>
          <w:rFonts w:ascii="Arial" w:hAnsi="Arial" w:cs="Arial"/>
          <w:sz w:val="22"/>
          <w:szCs w:val="22"/>
        </w:rPr>
        <w:t xml:space="preserve">el STAR por </w:t>
      </w:r>
      <w:r w:rsidRPr="00931D46">
        <w:rPr>
          <w:rFonts w:ascii="Arial" w:hAnsi="Arial" w:cs="Arial"/>
          <w:sz w:val="22"/>
          <w:szCs w:val="22"/>
        </w:rPr>
        <w:t xml:space="preserve">medios cableados tienen diferencias en su cobertura y capacidad de ofrecer paquetes. No obstante, </w:t>
      </w:r>
      <w:r w:rsidR="002310F7" w:rsidRPr="00931D46">
        <w:rPr>
          <w:rFonts w:ascii="Arial" w:hAnsi="Arial" w:cs="Arial"/>
          <w:sz w:val="22"/>
          <w:szCs w:val="22"/>
        </w:rPr>
        <w:t>ambos servicios</w:t>
      </w:r>
      <w:r w:rsidRPr="00931D46">
        <w:rPr>
          <w:rFonts w:ascii="Arial" w:hAnsi="Arial" w:cs="Arial"/>
          <w:sz w:val="22"/>
          <w:szCs w:val="22"/>
        </w:rPr>
        <w:t xml:space="preserve"> son sustitutos por el lado de la demanda pues, independientemente de la tecnología, los usuarios: i) requieren un aparato decodificador, ii) establecen una relación contractual, iii) tienen acceso a contenidos similares y iv) perciben niveles de calidad similares. </w:t>
      </w:r>
    </w:p>
    <w:p w14:paraId="7A72667E" w14:textId="77777777" w:rsidR="00800E42" w:rsidRPr="00931D46" w:rsidRDefault="00800E42" w:rsidP="00942BD7">
      <w:pPr>
        <w:pStyle w:val="Textocomentario"/>
        <w:numPr>
          <w:ilvl w:val="0"/>
          <w:numId w:val="14"/>
        </w:numPr>
        <w:spacing w:before="0" w:after="0" w:line="276" w:lineRule="auto"/>
        <w:ind w:left="709" w:hanging="567"/>
        <w:rPr>
          <w:rFonts w:ascii="Arial" w:hAnsi="Arial" w:cs="Arial"/>
          <w:sz w:val="22"/>
          <w:szCs w:val="22"/>
        </w:rPr>
      </w:pPr>
      <w:r w:rsidRPr="00931D46">
        <w:rPr>
          <w:rFonts w:ascii="Arial" w:hAnsi="Arial" w:cs="Arial"/>
          <w:sz w:val="22"/>
          <w:szCs w:val="22"/>
        </w:rPr>
        <w:t xml:space="preserve">STAR y </w:t>
      </w:r>
      <w:r w:rsidR="000E05A7" w:rsidRPr="00931D46">
        <w:rPr>
          <w:rFonts w:ascii="Arial" w:hAnsi="Arial" w:cs="Arial"/>
          <w:sz w:val="22"/>
          <w:szCs w:val="22"/>
        </w:rPr>
        <w:t>TV A</w:t>
      </w:r>
      <w:r w:rsidRPr="00931D46">
        <w:rPr>
          <w:rFonts w:ascii="Arial" w:hAnsi="Arial" w:cs="Arial"/>
          <w:sz w:val="22"/>
          <w:szCs w:val="22"/>
        </w:rPr>
        <w:t xml:space="preserve">bierta: Por el lado de la demanda, tienen diferencias en sus precios, variedad de contenidos, cantidad de publicidad que incluyen y modelo de negocio. Por el lado de la oferta, los proveedores de </w:t>
      </w:r>
      <w:r w:rsidR="000700AF" w:rsidRPr="00931D46">
        <w:rPr>
          <w:rFonts w:ascii="Arial" w:hAnsi="Arial" w:cs="Arial"/>
          <w:sz w:val="22"/>
          <w:szCs w:val="22"/>
        </w:rPr>
        <w:t>TV A</w:t>
      </w:r>
      <w:r w:rsidRPr="00931D46">
        <w:rPr>
          <w:rFonts w:ascii="Arial" w:hAnsi="Arial" w:cs="Arial"/>
          <w:sz w:val="22"/>
          <w:szCs w:val="22"/>
        </w:rPr>
        <w:t>bierta no podrían prestar el STAR en el corto plazo pues enfrentan restricciones físicas y normativas, así como costos apreciables.</w:t>
      </w:r>
    </w:p>
    <w:p w14:paraId="11D2F41A" w14:textId="77777777" w:rsidR="00800E42" w:rsidRPr="00931D46" w:rsidRDefault="00800E42" w:rsidP="00942BD7">
      <w:pPr>
        <w:pStyle w:val="Textocomentario"/>
        <w:numPr>
          <w:ilvl w:val="0"/>
          <w:numId w:val="14"/>
        </w:numPr>
        <w:spacing w:before="0" w:after="0" w:line="276" w:lineRule="auto"/>
        <w:ind w:left="709" w:hanging="567"/>
        <w:rPr>
          <w:rFonts w:ascii="Arial" w:hAnsi="Arial" w:cs="Arial"/>
          <w:sz w:val="22"/>
          <w:szCs w:val="22"/>
        </w:rPr>
      </w:pPr>
      <w:r w:rsidRPr="00931D46">
        <w:rPr>
          <w:rFonts w:ascii="Arial" w:hAnsi="Arial" w:cs="Arial"/>
          <w:sz w:val="22"/>
          <w:szCs w:val="22"/>
        </w:rPr>
        <w:t xml:space="preserve">STAR y OTT: Por el lado de la demanda, tienen diferencias en: i) modelo de negocio, ii) experiencia de los usuarios, iii) variedad de contenidos, iv) cantidad de contenidos en vivo, y v) requerimientos </w:t>
      </w:r>
      <w:r w:rsidR="000E05A7" w:rsidRPr="00931D46">
        <w:rPr>
          <w:rFonts w:ascii="Arial" w:hAnsi="Arial" w:cs="Arial"/>
          <w:sz w:val="22"/>
          <w:szCs w:val="22"/>
        </w:rPr>
        <w:t xml:space="preserve">de acceso a Internet </w:t>
      </w:r>
      <w:r w:rsidRPr="00931D46">
        <w:rPr>
          <w:rFonts w:ascii="Arial" w:hAnsi="Arial" w:cs="Arial"/>
          <w:sz w:val="22"/>
          <w:szCs w:val="22"/>
        </w:rPr>
        <w:t>para acceder al servicio. Además, los usuarios consumen ambos servicios de forma complementaria. Por el lado de la oferta, los proveedores de OTT enfrentan restricciones físicas y normativas, así como costos elevados, que les impiden prestar el STAR en el corto plazo.</w:t>
      </w:r>
    </w:p>
    <w:p w14:paraId="64EB3487" w14:textId="77777777" w:rsidR="00800E42" w:rsidRPr="00931D46" w:rsidRDefault="00800E42" w:rsidP="00942BD7">
      <w:pPr>
        <w:pStyle w:val="Textocomentario"/>
        <w:numPr>
          <w:ilvl w:val="0"/>
          <w:numId w:val="14"/>
        </w:numPr>
        <w:spacing w:before="0" w:after="0" w:line="276" w:lineRule="auto"/>
        <w:ind w:left="709" w:hanging="567"/>
        <w:rPr>
          <w:rFonts w:ascii="Arial" w:hAnsi="Arial" w:cs="Arial"/>
          <w:bCs/>
          <w:sz w:val="22"/>
          <w:szCs w:val="22"/>
        </w:rPr>
      </w:pPr>
      <w:r w:rsidRPr="00931D46">
        <w:rPr>
          <w:rFonts w:ascii="Arial" w:hAnsi="Arial" w:cs="Arial"/>
          <w:sz w:val="22"/>
          <w:szCs w:val="22"/>
        </w:rPr>
        <w:t xml:space="preserve">STAR en forma individual o en paquetes: Por el lado de la oferta, los proveedores del STAR </w:t>
      </w:r>
      <w:r w:rsidR="002310F7" w:rsidRPr="00931D46">
        <w:rPr>
          <w:rFonts w:ascii="Arial" w:hAnsi="Arial" w:cs="Arial"/>
          <w:sz w:val="22"/>
          <w:szCs w:val="22"/>
        </w:rPr>
        <w:t xml:space="preserve">terrestre tienen la capacidad de conformar paquetes de servicios de telecomunicaciones, mientras que los proveedores del STAR </w:t>
      </w:r>
      <w:r w:rsidRPr="00931D46">
        <w:rPr>
          <w:rFonts w:ascii="Arial" w:hAnsi="Arial" w:cs="Arial"/>
          <w:sz w:val="22"/>
          <w:szCs w:val="22"/>
        </w:rPr>
        <w:t xml:space="preserve">satelital enfrentan limitaciones técnicas para prestar servicios empaquetados. </w:t>
      </w:r>
      <w:r w:rsidRPr="00931D46">
        <w:rPr>
          <w:rFonts w:ascii="Arial" w:eastAsiaTheme="majorEastAsia" w:hAnsi="Arial" w:cs="Arial"/>
          <w:sz w:val="22"/>
          <w:szCs w:val="22"/>
        </w:rPr>
        <w:t>Sin embargo, por el lado de la demanda, i) los consumidores tienen la capacidad de conformar paquetes de servicios, comparables en precios, a partir de la adquisición de servicios desagregados o individuales, y ii) en las zonas geográficas analizadas, los usuarios contratan distintas</w:t>
      </w:r>
      <w:r w:rsidR="00E010E4" w:rsidRPr="00931D46">
        <w:rPr>
          <w:rFonts w:ascii="Arial" w:hAnsi="Arial" w:cs="Arial"/>
          <w:sz w:val="22"/>
          <w:szCs w:val="22"/>
          <w:lang w:eastAsia="es-MX"/>
        </w:rPr>
        <w:t xml:space="preserve"> </w:t>
      </w:r>
      <w:r w:rsidR="00E010E4" w:rsidRPr="00931D46">
        <w:rPr>
          <w:rFonts w:ascii="Arial" w:eastAsiaTheme="majorEastAsia" w:hAnsi="Arial" w:cs="Arial"/>
          <w:sz w:val="22"/>
          <w:szCs w:val="22"/>
        </w:rPr>
        <w:t>combinaciones de servicios individuales y empaquetados</w:t>
      </w:r>
      <w:r w:rsidRPr="00931D46">
        <w:rPr>
          <w:rFonts w:ascii="Arial" w:eastAsiaTheme="majorEastAsia" w:hAnsi="Arial" w:cs="Arial"/>
          <w:sz w:val="22"/>
          <w:szCs w:val="22"/>
        </w:rPr>
        <w:t xml:space="preserve"> para conformar paquetes sintéticos</w:t>
      </w:r>
      <w:r w:rsidRPr="00931D46" w:rsidDel="006068F4">
        <w:rPr>
          <w:rFonts w:ascii="Arial" w:eastAsiaTheme="majorEastAsia" w:hAnsi="Arial" w:cs="Arial"/>
          <w:sz w:val="22"/>
          <w:szCs w:val="22"/>
        </w:rPr>
        <w:t>.</w:t>
      </w:r>
      <w:r w:rsidRPr="00931D46">
        <w:rPr>
          <w:rFonts w:ascii="Arial" w:eastAsiaTheme="majorEastAsia" w:hAnsi="Arial" w:cs="Arial"/>
          <w:sz w:val="22"/>
          <w:szCs w:val="22"/>
        </w:rPr>
        <w:t xml:space="preserve"> Además, n</w:t>
      </w:r>
      <w:r w:rsidRPr="00931D46">
        <w:rPr>
          <w:rFonts w:ascii="Arial" w:hAnsi="Arial" w:cs="Arial"/>
          <w:sz w:val="22"/>
          <w:szCs w:val="22"/>
        </w:rPr>
        <w:t xml:space="preserve">o se identificó evidencia de sustitución asimétrica </w:t>
      </w:r>
      <w:r w:rsidR="00956D1A" w:rsidRPr="00931D46">
        <w:rPr>
          <w:rFonts w:ascii="Arial" w:hAnsi="Arial" w:cs="Arial"/>
          <w:sz w:val="22"/>
          <w:szCs w:val="22"/>
        </w:rPr>
        <w:t xml:space="preserve">determinante para el consumo de </w:t>
      </w:r>
      <w:r w:rsidRPr="00931D46">
        <w:rPr>
          <w:rFonts w:ascii="Arial" w:hAnsi="Arial" w:cs="Arial"/>
          <w:sz w:val="22"/>
          <w:szCs w:val="22"/>
        </w:rPr>
        <w:t>distintas modalidades de empaquetamiento del STAR</w:t>
      </w:r>
      <w:r w:rsidRPr="00931D46">
        <w:rPr>
          <w:rFonts w:ascii="Arial" w:hAnsi="Arial" w:cs="Arial"/>
          <w:bCs/>
          <w:sz w:val="22"/>
          <w:szCs w:val="22"/>
        </w:rPr>
        <w:t>.</w:t>
      </w:r>
    </w:p>
    <w:p w14:paraId="2E4B09E4" w14:textId="77777777" w:rsidR="00800E42" w:rsidRPr="00931D46" w:rsidRDefault="00800E42" w:rsidP="0023353F">
      <w:pPr>
        <w:pStyle w:val="Textocomentario"/>
        <w:spacing w:before="0" w:after="0" w:line="276" w:lineRule="auto"/>
        <w:rPr>
          <w:rFonts w:ascii="Arial" w:hAnsi="Arial" w:cs="Arial"/>
          <w:bCs/>
        </w:rPr>
      </w:pPr>
    </w:p>
    <w:p w14:paraId="0FC74A6B" w14:textId="77777777" w:rsidR="00800E42" w:rsidRPr="00931D46" w:rsidRDefault="00800E42" w:rsidP="008E023C">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TV Abierta comercial</w:t>
      </w:r>
    </w:p>
    <w:p w14:paraId="6B7EB57F" w14:textId="77777777" w:rsidR="00800E42" w:rsidRPr="00931D46" w:rsidRDefault="00800E42" w:rsidP="008E023C">
      <w:pPr>
        <w:keepNext/>
        <w:spacing w:before="0" w:after="0"/>
        <w:rPr>
          <w:rFonts w:ascii="Arial" w:hAnsi="Arial" w:cs="Arial"/>
        </w:rPr>
      </w:pPr>
    </w:p>
    <w:p w14:paraId="7705C60A" w14:textId="1526118E" w:rsidR="0012707C" w:rsidRPr="00931D46" w:rsidRDefault="00800E42" w:rsidP="0023353F">
      <w:pPr>
        <w:spacing w:before="0" w:after="0"/>
        <w:rPr>
          <w:rFonts w:ascii="Arial" w:hAnsi="Arial" w:cs="Arial"/>
          <w:bCs/>
        </w:rPr>
      </w:pPr>
      <w:r w:rsidRPr="00931D46">
        <w:rPr>
          <w:rFonts w:ascii="Arial" w:hAnsi="Arial" w:cs="Arial"/>
        </w:rPr>
        <w:t xml:space="preserve">En </w:t>
      </w:r>
      <w:r w:rsidR="008E023C" w:rsidRPr="00931D46">
        <w:rPr>
          <w:rFonts w:ascii="Arial" w:hAnsi="Arial" w:cs="Arial"/>
        </w:rPr>
        <w:t xml:space="preserve">las </w:t>
      </w:r>
      <w:r w:rsidR="00893F5C" w:rsidRPr="00931D46">
        <w:rPr>
          <w:rFonts w:ascii="Arial" w:hAnsi="Arial" w:cs="Arial"/>
        </w:rPr>
        <w:t>Licitaci</w:t>
      </w:r>
      <w:r w:rsidR="00692ABF" w:rsidRPr="00931D46">
        <w:rPr>
          <w:rFonts w:ascii="Arial" w:hAnsi="Arial" w:cs="Arial"/>
        </w:rPr>
        <w:t>ones</w:t>
      </w:r>
      <w:r w:rsidR="008E023C" w:rsidRPr="00931D46">
        <w:rPr>
          <w:rFonts w:ascii="Arial" w:hAnsi="Arial" w:cs="Arial"/>
        </w:rPr>
        <w:t xml:space="preserve"> IFT-1</w:t>
      </w:r>
      <w:r w:rsidR="00BC55C0" w:rsidRPr="00931D46">
        <w:rPr>
          <w:rStyle w:val="Refdenotaalpie"/>
          <w:rFonts w:ascii="Arial" w:hAnsi="Arial" w:cs="Arial"/>
        </w:rPr>
        <w:footnoteReference w:id="100"/>
      </w:r>
      <w:r w:rsidR="008E023C" w:rsidRPr="00931D46">
        <w:rPr>
          <w:rFonts w:ascii="Arial" w:hAnsi="Arial" w:cs="Arial"/>
        </w:rPr>
        <w:t xml:space="preserve"> e IFT-6</w:t>
      </w:r>
      <w:r w:rsidR="00BC55C0" w:rsidRPr="00931D46">
        <w:rPr>
          <w:rStyle w:val="Refdenotaalpie"/>
          <w:rFonts w:ascii="Arial" w:hAnsi="Arial" w:cs="Arial"/>
        </w:rPr>
        <w:footnoteReference w:id="101"/>
      </w:r>
      <w:r w:rsidR="00676FC7" w:rsidRPr="00931D46">
        <w:rPr>
          <w:rFonts w:ascii="Arial" w:hAnsi="Arial" w:cs="Arial"/>
        </w:rPr>
        <w:t xml:space="preserve"> </w:t>
      </w:r>
      <w:r w:rsidRPr="00931D46">
        <w:rPr>
          <w:rFonts w:ascii="Arial" w:hAnsi="Arial" w:cs="Arial"/>
        </w:rPr>
        <w:t xml:space="preserve">para concesionar canales de transmisión para prestar el servicio de TV </w:t>
      </w:r>
      <w:r w:rsidR="00676FC7" w:rsidRPr="00931D46">
        <w:rPr>
          <w:rFonts w:ascii="Arial" w:hAnsi="Arial" w:cs="Arial"/>
        </w:rPr>
        <w:t>A</w:t>
      </w:r>
      <w:r w:rsidRPr="00931D46">
        <w:rPr>
          <w:rFonts w:ascii="Arial" w:hAnsi="Arial" w:cs="Arial"/>
        </w:rPr>
        <w:t xml:space="preserve">bierta comercial, el Instituto </w:t>
      </w:r>
      <w:r w:rsidR="000C31A7" w:rsidRPr="00931D46">
        <w:rPr>
          <w:rFonts w:ascii="Arial" w:hAnsi="Arial" w:cs="Arial"/>
        </w:rPr>
        <w:t xml:space="preserve">evaluó </w:t>
      </w:r>
      <w:r w:rsidRPr="00931D46">
        <w:rPr>
          <w:rFonts w:ascii="Arial" w:hAnsi="Arial" w:cs="Arial"/>
        </w:rPr>
        <w:t xml:space="preserve">los efectos de la participación de AE interesados en el mercado de TV </w:t>
      </w:r>
      <w:r w:rsidR="00676FC7" w:rsidRPr="00931D46">
        <w:rPr>
          <w:rFonts w:ascii="Arial" w:hAnsi="Arial" w:cs="Arial"/>
        </w:rPr>
        <w:t>A</w:t>
      </w:r>
      <w:r w:rsidRPr="00931D46">
        <w:rPr>
          <w:rFonts w:ascii="Arial" w:hAnsi="Arial" w:cs="Arial"/>
        </w:rPr>
        <w:t>bierta comercial</w:t>
      </w:r>
      <w:r w:rsidRPr="00931D46">
        <w:rPr>
          <w:rFonts w:ascii="Arial" w:hAnsi="Arial" w:cs="Arial"/>
          <w:bCs/>
        </w:rPr>
        <w:t>.</w:t>
      </w:r>
      <w:r w:rsidR="00676FC7" w:rsidRPr="00931D46">
        <w:rPr>
          <w:rFonts w:ascii="Arial" w:hAnsi="Arial" w:cs="Arial"/>
          <w:bCs/>
        </w:rPr>
        <w:t xml:space="preserve"> </w:t>
      </w:r>
      <w:r w:rsidRPr="00931D46">
        <w:rPr>
          <w:rFonts w:ascii="Arial" w:hAnsi="Arial" w:cs="Arial"/>
          <w:bCs/>
        </w:rPr>
        <w:t xml:space="preserve">La dimensión </w:t>
      </w:r>
      <w:r w:rsidR="00330363">
        <w:rPr>
          <w:rFonts w:ascii="Arial" w:hAnsi="Arial" w:cs="Arial"/>
          <w:bCs/>
        </w:rPr>
        <w:t>producto</w:t>
      </w:r>
      <w:r w:rsidR="00DC7F97" w:rsidRPr="00931D46">
        <w:rPr>
          <w:rFonts w:ascii="Arial" w:hAnsi="Arial" w:cs="Arial"/>
          <w:bCs/>
        </w:rPr>
        <w:t xml:space="preserve"> </w:t>
      </w:r>
      <w:r w:rsidRPr="00931D46">
        <w:rPr>
          <w:rFonts w:ascii="Arial" w:hAnsi="Arial" w:cs="Arial"/>
          <w:bCs/>
        </w:rPr>
        <w:t xml:space="preserve">del MR de TV </w:t>
      </w:r>
      <w:r w:rsidR="00676FC7" w:rsidRPr="00931D46">
        <w:rPr>
          <w:rFonts w:ascii="Arial" w:hAnsi="Arial" w:cs="Arial"/>
          <w:bCs/>
        </w:rPr>
        <w:t>A</w:t>
      </w:r>
      <w:r w:rsidRPr="00931D46">
        <w:rPr>
          <w:rFonts w:ascii="Arial" w:hAnsi="Arial" w:cs="Arial"/>
          <w:bCs/>
        </w:rPr>
        <w:t xml:space="preserve">bierta comercial </w:t>
      </w:r>
      <w:r w:rsidR="003D0A25" w:rsidRPr="00931D46">
        <w:rPr>
          <w:rFonts w:ascii="Arial" w:hAnsi="Arial" w:cs="Arial"/>
          <w:bCs/>
        </w:rPr>
        <w:t xml:space="preserve">se </w:t>
      </w:r>
      <w:r w:rsidR="000C31A7" w:rsidRPr="00931D46">
        <w:rPr>
          <w:rFonts w:ascii="Arial" w:hAnsi="Arial" w:cs="Arial"/>
          <w:bCs/>
        </w:rPr>
        <w:t xml:space="preserve">delimitó </w:t>
      </w:r>
      <w:r w:rsidRPr="00931D46">
        <w:rPr>
          <w:rFonts w:ascii="Arial" w:hAnsi="Arial" w:cs="Arial"/>
          <w:bCs/>
        </w:rPr>
        <w:t>con base en</w:t>
      </w:r>
      <w:r w:rsidR="0012707C" w:rsidRPr="00931D46">
        <w:rPr>
          <w:rFonts w:ascii="Arial" w:hAnsi="Arial" w:cs="Arial"/>
          <w:bCs/>
        </w:rPr>
        <w:t>:</w:t>
      </w:r>
    </w:p>
    <w:p w14:paraId="338B660B" w14:textId="77777777" w:rsidR="0012707C" w:rsidRPr="00931D46" w:rsidRDefault="0012707C" w:rsidP="00942BD7">
      <w:pPr>
        <w:pStyle w:val="Prrafodelista"/>
        <w:numPr>
          <w:ilvl w:val="0"/>
          <w:numId w:val="66"/>
        </w:numPr>
        <w:spacing w:before="0" w:after="0"/>
        <w:ind w:left="709" w:hanging="567"/>
        <w:rPr>
          <w:rFonts w:ascii="Arial" w:hAnsi="Arial" w:cs="Arial"/>
          <w:bCs/>
        </w:rPr>
      </w:pPr>
      <w:r w:rsidRPr="00931D46">
        <w:rPr>
          <w:rFonts w:ascii="Arial" w:hAnsi="Arial" w:cs="Arial"/>
          <w:bCs/>
        </w:rPr>
        <w:t>S</w:t>
      </w:r>
      <w:r w:rsidR="00800E42" w:rsidRPr="00931D46">
        <w:rPr>
          <w:rFonts w:ascii="Arial" w:hAnsi="Arial" w:cs="Arial"/>
          <w:bCs/>
        </w:rPr>
        <w:t>us características</w:t>
      </w:r>
      <w:r w:rsidRPr="00931D46">
        <w:rPr>
          <w:rFonts w:ascii="Arial" w:hAnsi="Arial" w:cs="Arial"/>
          <w:bCs/>
        </w:rPr>
        <w:t xml:space="preserve">: es un mercado de dos lados en el que participan anunciantes y </w:t>
      </w:r>
      <w:r w:rsidR="00BC55C0" w:rsidRPr="00931D46">
        <w:rPr>
          <w:rFonts w:ascii="Arial" w:hAnsi="Arial" w:cs="Arial"/>
          <w:bCs/>
        </w:rPr>
        <w:t>audiencias</w:t>
      </w:r>
      <w:r w:rsidRPr="00931D46">
        <w:rPr>
          <w:rFonts w:ascii="Arial" w:hAnsi="Arial" w:cs="Arial"/>
          <w:bCs/>
        </w:rPr>
        <w:t xml:space="preserve">. Los concesionarios prestan el servicio de forma gratuita a </w:t>
      </w:r>
      <w:r w:rsidR="00BC55C0" w:rsidRPr="00931D46">
        <w:rPr>
          <w:rFonts w:ascii="Arial" w:hAnsi="Arial" w:cs="Arial"/>
          <w:bCs/>
        </w:rPr>
        <w:t>las audiencias</w:t>
      </w:r>
      <w:r w:rsidRPr="00931D46">
        <w:rPr>
          <w:rFonts w:ascii="Arial" w:hAnsi="Arial" w:cs="Arial"/>
          <w:bCs/>
        </w:rPr>
        <w:t xml:space="preserve"> y obtienen ingresos de los anunciantes por la comercialización de espacios publicitarios.</w:t>
      </w:r>
    </w:p>
    <w:p w14:paraId="05D689F1" w14:textId="77777777" w:rsidR="00800E42" w:rsidRPr="00931D46" w:rsidRDefault="0012707C" w:rsidP="00942BD7">
      <w:pPr>
        <w:pStyle w:val="Prrafodelista"/>
        <w:numPr>
          <w:ilvl w:val="0"/>
          <w:numId w:val="66"/>
        </w:numPr>
        <w:spacing w:before="0" w:after="0"/>
        <w:ind w:left="709" w:hanging="567"/>
        <w:rPr>
          <w:rFonts w:ascii="Arial" w:hAnsi="Arial" w:cs="Arial"/>
          <w:bCs/>
        </w:rPr>
      </w:pPr>
      <w:r w:rsidRPr="00931D46">
        <w:rPr>
          <w:rFonts w:ascii="Arial" w:hAnsi="Arial" w:cs="Arial"/>
          <w:bCs/>
        </w:rPr>
        <w:t>Sus</w:t>
      </w:r>
      <w:r w:rsidR="00800E42" w:rsidRPr="00931D46">
        <w:rPr>
          <w:rFonts w:ascii="Arial" w:hAnsi="Arial" w:cs="Arial"/>
          <w:bCs/>
        </w:rPr>
        <w:t xml:space="preserve"> diferencias con otros servicios</w:t>
      </w:r>
      <w:r w:rsidR="00676FC7" w:rsidRPr="00931D46">
        <w:rPr>
          <w:rFonts w:ascii="Arial" w:hAnsi="Arial" w:cs="Arial"/>
          <w:bCs/>
        </w:rPr>
        <w:t xml:space="preserve"> como la Radio Sonora, medios impresos, el STAR y servicio</w:t>
      </w:r>
      <w:r w:rsidR="003F1F58" w:rsidRPr="00931D46">
        <w:rPr>
          <w:rFonts w:ascii="Arial" w:hAnsi="Arial" w:cs="Arial"/>
          <w:bCs/>
        </w:rPr>
        <w:t>s</w:t>
      </w:r>
      <w:r w:rsidR="00676FC7" w:rsidRPr="00931D46">
        <w:rPr>
          <w:rFonts w:ascii="Arial" w:hAnsi="Arial" w:cs="Arial"/>
          <w:bCs/>
        </w:rPr>
        <w:t xml:space="preserve"> OTT</w:t>
      </w:r>
      <w:r w:rsidRPr="00931D46">
        <w:rPr>
          <w:rFonts w:ascii="Arial" w:hAnsi="Arial" w:cs="Arial"/>
          <w:bCs/>
        </w:rPr>
        <w:t>, tales como</w:t>
      </w:r>
      <w:r w:rsidR="00800E42" w:rsidRPr="00931D46">
        <w:rPr>
          <w:rFonts w:ascii="Arial" w:hAnsi="Arial" w:cs="Arial"/>
          <w:bCs/>
        </w:rPr>
        <w:t>:</w:t>
      </w:r>
    </w:p>
    <w:p w14:paraId="1276A324" w14:textId="77777777" w:rsidR="00800E42" w:rsidRPr="00931D46" w:rsidRDefault="00800E42" w:rsidP="00942BD7">
      <w:pPr>
        <w:pStyle w:val="Prrafodelista"/>
        <w:numPr>
          <w:ilvl w:val="0"/>
          <w:numId w:val="44"/>
        </w:numPr>
        <w:spacing w:before="0" w:after="0"/>
        <w:ind w:left="1134" w:hanging="425"/>
        <w:contextualSpacing w:val="0"/>
        <w:rPr>
          <w:rFonts w:ascii="Arial" w:hAnsi="Arial" w:cs="Arial"/>
        </w:rPr>
      </w:pPr>
      <w:r w:rsidRPr="00931D46">
        <w:rPr>
          <w:rFonts w:ascii="Arial" w:hAnsi="Arial" w:cs="Arial"/>
          <w:bCs/>
        </w:rPr>
        <w:t xml:space="preserve">Radio </w:t>
      </w:r>
      <w:r w:rsidR="00676FC7" w:rsidRPr="00931D46">
        <w:rPr>
          <w:rFonts w:ascii="Arial" w:hAnsi="Arial" w:cs="Arial"/>
          <w:bCs/>
        </w:rPr>
        <w:t>Sonora</w:t>
      </w:r>
      <w:r w:rsidRPr="00931D46">
        <w:rPr>
          <w:rFonts w:ascii="Arial" w:hAnsi="Arial" w:cs="Arial"/>
          <w:bCs/>
        </w:rPr>
        <w:t xml:space="preserve">: difieren en el tipo de información que ofrecen, </w:t>
      </w:r>
      <w:r w:rsidR="0012707C" w:rsidRPr="00931D46">
        <w:rPr>
          <w:rFonts w:ascii="Arial" w:hAnsi="Arial" w:cs="Arial"/>
          <w:bCs/>
        </w:rPr>
        <w:t xml:space="preserve">la </w:t>
      </w:r>
      <w:r w:rsidRPr="00931D46">
        <w:rPr>
          <w:rFonts w:ascii="Arial" w:hAnsi="Arial" w:cs="Arial"/>
          <w:bCs/>
        </w:rPr>
        <w:t xml:space="preserve">forma de transmisión de contenidos (audiovisual o de audio) y </w:t>
      </w:r>
      <w:r w:rsidR="0012707C" w:rsidRPr="00931D46">
        <w:rPr>
          <w:rFonts w:ascii="Arial" w:hAnsi="Arial" w:cs="Arial"/>
          <w:bCs/>
        </w:rPr>
        <w:t xml:space="preserve">la </w:t>
      </w:r>
      <w:r w:rsidRPr="00931D46">
        <w:rPr>
          <w:rFonts w:ascii="Arial" w:hAnsi="Arial" w:cs="Arial"/>
          <w:bCs/>
        </w:rPr>
        <w:t xml:space="preserve">experiencia al consumirlos. </w:t>
      </w:r>
    </w:p>
    <w:p w14:paraId="6C5D6595" w14:textId="77777777" w:rsidR="00800E42" w:rsidRPr="00931D46" w:rsidRDefault="00800E42" w:rsidP="00942BD7">
      <w:pPr>
        <w:pStyle w:val="Prrafodelista"/>
        <w:numPr>
          <w:ilvl w:val="0"/>
          <w:numId w:val="44"/>
        </w:numPr>
        <w:spacing w:before="0" w:after="0"/>
        <w:ind w:left="1134" w:hanging="425"/>
        <w:contextualSpacing w:val="0"/>
        <w:rPr>
          <w:rFonts w:ascii="Arial" w:hAnsi="Arial" w:cs="Arial"/>
        </w:rPr>
      </w:pPr>
      <w:r w:rsidRPr="00931D46">
        <w:rPr>
          <w:rFonts w:ascii="Arial" w:hAnsi="Arial" w:cs="Arial"/>
          <w:bCs/>
        </w:rPr>
        <w:t xml:space="preserve">Medios impresos: por el lado de la oferta, difieren en los requisitos regulatorios (la TV </w:t>
      </w:r>
      <w:r w:rsidR="00676FC7" w:rsidRPr="00931D46">
        <w:rPr>
          <w:rFonts w:ascii="Arial" w:hAnsi="Arial" w:cs="Arial"/>
          <w:bCs/>
        </w:rPr>
        <w:t>A</w:t>
      </w:r>
      <w:r w:rsidRPr="00931D46">
        <w:rPr>
          <w:rFonts w:ascii="Arial" w:hAnsi="Arial" w:cs="Arial"/>
          <w:bCs/>
        </w:rPr>
        <w:t xml:space="preserve">bierta requiere concesión). Por el lado de la demanda, difieren en la variedad de contenidos que ofrecen, </w:t>
      </w:r>
      <w:r w:rsidR="00537572" w:rsidRPr="00931D46">
        <w:rPr>
          <w:rFonts w:ascii="Arial" w:hAnsi="Arial" w:cs="Arial"/>
          <w:bCs/>
        </w:rPr>
        <w:t xml:space="preserve">la </w:t>
      </w:r>
      <w:r w:rsidRPr="00931D46">
        <w:rPr>
          <w:rFonts w:ascii="Arial" w:hAnsi="Arial" w:cs="Arial"/>
          <w:bCs/>
        </w:rPr>
        <w:t>experiencia al consumirlos y en sus precios.</w:t>
      </w:r>
    </w:p>
    <w:p w14:paraId="560EE63C" w14:textId="77777777" w:rsidR="00465227" w:rsidRPr="00931D46" w:rsidRDefault="00800E42" w:rsidP="00942BD7">
      <w:pPr>
        <w:pStyle w:val="Prrafodelista"/>
        <w:numPr>
          <w:ilvl w:val="0"/>
          <w:numId w:val="44"/>
        </w:numPr>
        <w:spacing w:before="0" w:after="0"/>
        <w:ind w:left="1134" w:hanging="425"/>
        <w:contextualSpacing w:val="0"/>
        <w:rPr>
          <w:rFonts w:ascii="Arial" w:hAnsi="Arial" w:cs="Arial"/>
        </w:rPr>
      </w:pPr>
      <w:r w:rsidRPr="00931D46">
        <w:rPr>
          <w:rFonts w:ascii="Arial" w:hAnsi="Arial" w:cs="Arial"/>
          <w:bCs/>
        </w:rPr>
        <w:t>STAR:</w:t>
      </w:r>
      <w:r w:rsidRPr="00931D46">
        <w:rPr>
          <w:rFonts w:ascii="Arial" w:hAnsi="Arial" w:cs="Arial"/>
        </w:rPr>
        <w:t xml:space="preserve"> por el lado de la oferta, difieren en su medio de transmisión y modelo de negocio. Por el lado de la demanda, difieren en </w:t>
      </w:r>
      <w:r w:rsidRPr="00931D46">
        <w:rPr>
          <w:rFonts w:ascii="Arial" w:hAnsi="Arial" w:cs="Arial"/>
          <w:bCs/>
        </w:rPr>
        <w:t>la variedad de contenidos que ofrecen y en sus precios.</w:t>
      </w:r>
    </w:p>
    <w:p w14:paraId="14A37539" w14:textId="73FF30D3" w:rsidR="00800E42" w:rsidRPr="00931D46" w:rsidRDefault="009C2796" w:rsidP="00942BD7">
      <w:pPr>
        <w:pStyle w:val="Prrafodelista"/>
        <w:numPr>
          <w:ilvl w:val="0"/>
          <w:numId w:val="44"/>
        </w:numPr>
        <w:spacing w:before="0" w:after="0"/>
        <w:ind w:left="1134" w:hanging="425"/>
        <w:contextualSpacing w:val="0"/>
        <w:rPr>
          <w:rFonts w:ascii="Arial" w:hAnsi="Arial" w:cs="Arial"/>
        </w:rPr>
      </w:pPr>
      <w:r w:rsidRPr="00931D46">
        <w:rPr>
          <w:rFonts w:ascii="Arial" w:hAnsi="Arial" w:cs="Arial"/>
        </w:rPr>
        <w:t xml:space="preserve">Servicios </w:t>
      </w:r>
      <w:r w:rsidR="00800E42" w:rsidRPr="00931D46">
        <w:rPr>
          <w:rFonts w:ascii="Arial" w:hAnsi="Arial" w:cs="Arial"/>
        </w:rPr>
        <w:t xml:space="preserve">OTT: por el lado de la oferta difieren en su cobertura, requisitos regulatorios (los OTT no requieren </w:t>
      </w:r>
      <w:r w:rsidR="00AC1D0E" w:rsidRPr="00931D46">
        <w:rPr>
          <w:rFonts w:ascii="Arial" w:hAnsi="Arial" w:cs="Arial"/>
        </w:rPr>
        <w:t xml:space="preserve">de </w:t>
      </w:r>
      <w:r w:rsidR="00EF5A89" w:rsidRPr="00931D46">
        <w:rPr>
          <w:rFonts w:ascii="Arial" w:hAnsi="Arial" w:cs="Arial"/>
        </w:rPr>
        <w:t xml:space="preserve">un título de </w:t>
      </w:r>
      <w:r w:rsidR="00800E42" w:rsidRPr="00931D46">
        <w:rPr>
          <w:rFonts w:ascii="Arial" w:hAnsi="Arial" w:cs="Arial"/>
        </w:rPr>
        <w:t>concesión</w:t>
      </w:r>
      <w:r w:rsidR="002354FB" w:rsidRPr="00931D46">
        <w:rPr>
          <w:rFonts w:ascii="Arial" w:hAnsi="Arial" w:cs="Arial"/>
        </w:rPr>
        <w:t xml:space="preserve"> en términos de la LFTR</w:t>
      </w:r>
      <w:r w:rsidR="00800E42" w:rsidRPr="00931D46">
        <w:rPr>
          <w:rFonts w:ascii="Arial" w:hAnsi="Arial" w:cs="Arial"/>
        </w:rPr>
        <w:t xml:space="preserve">) </w:t>
      </w:r>
      <w:r w:rsidR="00537572" w:rsidRPr="00931D46">
        <w:rPr>
          <w:rFonts w:ascii="Arial" w:hAnsi="Arial" w:cs="Arial"/>
        </w:rPr>
        <w:t>y</w:t>
      </w:r>
      <w:r w:rsidR="00800E42" w:rsidRPr="00931D46">
        <w:rPr>
          <w:rFonts w:ascii="Arial" w:hAnsi="Arial" w:cs="Arial"/>
        </w:rPr>
        <w:t xml:space="preserve"> requisitos para acceder al servicio (los OTT requieren conexión a </w:t>
      </w:r>
      <w:r w:rsidR="00676FC7" w:rsidRPr="00931D46">
        <w:rPr>
          <w:rFonts w:ascii="Arial" w:hAnsi="Arial" w:cs="Arial"/>
        </w:rPr>
        <w:t>I</w:t>
      </w:r>
      <w:r w:rsidR="00800E42" w:rsidRPr="00931D46">
        <w:rPr>
          <w:rFonts w:ascii="Arial" w:hAnsi="Arial" w:cs="Arial"/>
        </w:rPr>
        <w:t>nternet). Por el lado de la demanda</w:t>
      </w:r>
      <w:r w:rsidR="00676FC7" w:rsidRPr="00931D46">
        <w:rPr>
          <w:rFonts w:ascii="Arial" w:hAnsi="Arial" w:cs="Arial"/>
        </w:rPr>
        <w:t>,</w:t>
      </w:r>
      <w:r w:rsidR="00800E42" w:rsidRPr="00931D46">
        <w:rPr>
          <w:rFonts w:ascii="Arial" w:hAnsi="Arial" w:cs="Arial"/>
        </w:rPr>
        <w:t xml:space="preserve"> difieren en calidad y precios.</w:t>
      </w:r>
    </w:p>
    <w:p w14:paraId="5DD4D4FC" w14:textId="77777777" w:rsidR="00800E42" w:rsidRPr="00931D46" w:rsidRDefault="00800E42" w:rsidP="0023353F">
      <w:pPr>
        <w:spacing w:before="0" w:after="0"/>
        <w:rPr>
          <w:rFonts w:ascii="Arial" w:hAnsi="Arial" w:cs="Arial"/>
        </w:rPr>
      </w:pPr>
    </w:p>
    <w:p w14:paraId="48FBBA1D" w14:textId="3439444F" w:rsidR="00800E42" w:rsidRPr="00931D46" w:rsidRDefault="00800E42" w:rsidP="0023353F">
      <w:pPr>
        <w:spacing w:before="0" w:after="0"/>
        <w:rPr>
          <w:rFonts w:ascii="Arial" w:hAnsi="Arial" w:cs="Arial"/>
        </w:rPr>
      </w:pPr>
      <w:r w:rsidRPr="00931D46">
        <w:rPr>
          <w:rFonts w:ascii="Arial" w:hAnsi="Arial" w:cs="Arial"/>
        </w:rPr>
        <w:t>En el expediente UCE/CNC-003-2015 (</w:t>
      </w:r>
      <w:r w:rsidR="00676FC7" w:rsidRPr="00931D46">
        <w:rPr>
          <w:rFonts w:ascii="Arial" w:hAnsi="Arial" w:cs="Arial"/>
        </w:rPr>
        <w:t>concentración GTV</w:t>
      </w:r>
      <w:r w:rsidRPr="00931D46">
        <w:rPr>
          <w:rFonts w:ascii="Arial" w:hAnsi="Arial" w:cs="Arial"/>
        </w:rPr>
        <w:t>/</w:t>
      </w:r>
      <w:r w:rsidR="00676FC7" w:rsidRPr="00931D46">
        <w:rPr>
          <w:rFonts w:ascii="Arial" w:hAnsi="Arial" w:cs="Arial"/>
        </w:rPr>
        <w:t>Grupo Multimedios</w:t>
      </w:r>
      <w:r w:rsidRPr="00931D46">
        <w:rPr>
          <w:rFonts w:ascii="Arial" w:hAnsi="Arial" w:cs="Arial"/>
        </w:rPr>
        <w:t>)</w:t>
      </w:r>
      <w:r w:rsidR="00676FC7" w:rsidRPr="00931D46">
        <w:rPr>
          <w:rFonts w:ascii="Arial" w:hAnsi="Arial" w:cs="Arial"/>
        </w:rPr>
        <w:t>,</w:t>
      </w:r>
      <w:r w:rsidR="00676FC7" w:rsidRPr="00931D46">
        <w:rPr>
          <w:rFonts w:ascii="Arial" w:hAnsi="Arial" w:cs="Arial"/>
          <w:vertAlign w:val="superscript"/>
        </w:rPr>
        <w:footnoteReference w:id="102"/>
      </w:r>
      <w:r w:rsidRPr="00931D46">
        <w:rPr>
          <w:rFonts w:ascii="Arial" w:hAnsi="Arial" w:cs="Arial"/>
        </w:rPr>
        <w:t xml:space="preserve"> el Instituto señaló qu</w:t>
      </w:r>
      <w:r w:rsidR="00676FC7" w:rsidRPr="00931D46">
        <w:rPr>
          <w:rFonts w:ascii="Arial" w:hAnsi="Arial" w:cs="Arial"/>
        </w:rPr>
        <w:t>e las características de la TV A</w:t>
      </w:r>
      <w:r w:rsidRPr="00931D46">
        <w:rPr>
          <w:rFonts w:ascii="Arial" w:hAnsi="Arial" w:cs="Arial"/>
        </w:rPr>
        <w:t>bierta comercial</w:t>
      </w:r>
      <w:r w:rsidR="00676FC7" w:rsidRPr="00931D46">
        <w:rPr>
          <w:rFonts w:ascii="Arial" w:hAnsi="Arial" w:cs="Arial"/>
        </w:rPr>
        <w:t xml:space="preserve"> (señales de audio y video asociados, transmitidas a través del espectro radioeléctrico, </w:t>
      </w:r>
      <w:r w:rsidR="009C2796" w:rsidRPr="00931D46">
        <w:rPr>
          <w:rFonts w:ascii="Arial" w:hAnsi="Arial" w:cs="Arial"/>
        </w:rPr>
        <w:t xml:space="preserve">que </w:t>
      </w:r>
      <w:r w:rsidR="00BC55C0" w:rsidRPr="00931D46">
        <w:rPr>
          <w:rFonts w:ascii="Arial" w:hAnsi="Arial" w:cs="Arial"/>
        </w:rPr>
        <w:t>las audiencias</w:t>
      </w:r>
      <w:r w:rsidR="00676FC7" w:rsidRPr="00931D46">
        <w:rPr>
          <w:rFonts w:ascii="Arial" w:hAnsi="Arial" w:cs="Arial"/>
        </w:rPr>
        <w:t xml:space="preserve"> reciben de forma gratuita y </w:t>
      </w:r>
      <w:r w:rsidR="005A4F0F">
        <w:rPr>
          <w:rFonts w:ascii="Arial" w:hAnsi="Arial" w:cs="Arial"/>
        </w:rPr>
        <w:t>cuyos</w:t>
      </w:r>
      <w:r w:rsidR="00676FC7" w:rsidRPr="00931D46">
        <w:rPr>
          <w:rFonts w:ascii="Arial" w:hAnsi="Arial" w:cs="Arial"/>
        </w:rPr>
        <w:t xml:space="preserve"> concesionarios obtienen ingresos de la comercialización de espacios publicitarios)</w:t>
      </w:r>
      <w:r w:rsidRPr="00931D46">
        <w:rPr>
          <w:rFonts w:ascii="Arial" w:hAnsi="Arial" w:cs="Arial"/>
        </w:rPr>
        <w:t xml:space="preserve"> l</w:t>
      </w:r>
      <w:r w:rsidR="00537572" w:rsidRPr="00931D46">
        <w:rPr>
          <w:rFonts w:ascii="Arial" w:hAnsi="Arial" w:cs="Arial"/>
        </w:rPr>
        <w:t>a</w:t>
      </w:r>
      <w:r w:rsidRPr="00931D46">
        <w:rPr>
          <w:rFonts w:ascii="Arial" w:hAnsi="Arial" w:cs="Arial"/>
        </w:rPr>
        <w:t xml:space="preserve"> diferencian de otros medios de transmisión de contenido como el STAR, </w:t>
      </w:r>
      <w:r w:rsidR="00537572" w:rsidRPr="00931D46">
        <w:rPr>
          <w:rFonts w:ascii="Arial" w:hAnsi="Arial" w:cs="Arial"/>
        </w:rPr>
        <w:t xml:space="preserve">la </w:t>
      </w:r>
      <w:r w:rsidR="00676FC7" w:rsidRPr="00931D46">
        <w:rPr>
          <w:rFonts w:ascii="Arial" w:hAnsi="Arial" w:cs="Arial"/>
        </w:rPr>
        <w:t>Radio Sonora</w:t>
      </w:r>
      <w:r w:rsidRPr="00931D46">
        <w:rPr>
          <w:rFonts w:ascii="Arial" w:hAnsi="Arial" w:cs="Arial"/>
        </w:rPr>
        <w:t xml:space="preserve"> comercial, </w:t>
      </w:r>
      <w:r w:rsidR="00537572" w:rsidRPr="00931D46">
        <w:rPr>
          <w:rFonts w:ascii="Arial" w:hAnsi="Arial" w:cs="Arial"/>
        </w:rPr>
        <w:t xml:space="preserve">los </w:t>
      </w:r>
      <w:r w:rsidRPr="00931D46">
        <w:rPr>
          <w:rFonts w:ascii="Arial" w:hAnsi="Arial" w:cs="Arial"/>
        </w:rPr>
        <w:t>servicios OTT (</w:t>
      </w:r>
      <w:r w:rsidRPr="00931D46">
        <w:rPr>
          <w:rFonts w:ascii="Arial" w:hAnsi="Arial" w:cs="Arial"/>
          <w:i/>
        </w:rPr>
        <w:t>AVoD</w:t>
      </w:r>
      <w:r w:rsidRPr="00931D46">
        <w:rPr>
          <w:rFonts w:ascii="Arial" w:hAnsi="Arial" w:cs="Arial"/>
        </w:rPr>
        <w:t xml:space="preserve"> y </w:t>
      </w:r>
      <w:r w:rsidRPr="00931D46">
        <w:rPr>
          <w:rFonts w:ascii="Arial" w:hAnsi="Arial" w:cs="Arial"/>
          <w:i/>
        </w:rPr>
        <w:t>SVoD</w:t>
      </w:r>
      <w:r w:rsidRPr="00931D46">
        <w:rPr>
          <w:rFonts w:ascii="Arial" w:hAnsi="Arial" w:cs="Arial"/>
        </w:rPr>
        <w:t>)</w:t>
      </w:r>
      <w:r w:rsidRPr="00931D46">
        <w:rPr>
          <w:rFonts w:ascii="Arial" w:hAnsi="Arial" w:cs="Arial"/>
          <w:vertAlign w:val="superscript"/>
        </w:rPr>
        <w:footnoteReference w:id="103"/>
      </w:r>
      <w:r w:rsidRPr="00931D46">
        <w:rPr>
          <w:rFonts w:ascii="Arial" w:hAnsi="Arial" w:cs="Arial"/>
        </w:rPr>
        <w:t xml:space="preserve"> y medios impresos</w:t>
      </w:r>
      <w:r w:rsidR="00676FC7" w:rsidRPr="00931D46">
        <w:rPr>
          <w:rFonts w:ascii="Arial" w:hAnsi="Arial" w:cs="Arial"/>
        </w:rPr>
        <w:t>, pues</w:t>
      </w:r>
      <w:r w:rsidRPr="00931D46">
        <w:rPr>
          <w:rFonts w:ascii="Arial" w:hAnsi="Arial" w:cs="Arial"/>
        </w:rPr>
        <w:t>:</w:t>
      </w:r>
    </w:p>
    <w:p w14:paraId="7C1FB9F5" w14:textId="77777777" w:rsidR="0023353F" w:rsidRPr="00931D46" w:rsidRDefault="0023353F" w:rsidP="0023353F">
      <w:pPr>
        <w:spacing w:before="0" w:after="0"/>
        <w:rPr>
          <w:rFonts w:ascii="Arial" w:hAnsi="Arial" w:cs="Arial"/>
        </w:rPr>
      </w:pPr>
    </w:p>
    <w:p w14:paraId="682DDA85" w14:textId="77777777" w:rsidR="00800E42" w:rsidRPr="00931D46" w:rsidRDefault="00800E42" w:rsidP="00942BD7">
      <w:pPr>
        <w:pStyle w:val="Prrafodelista"/>
        <w:numPr>
          <w:ilvl w:val="0"/>
          <w:numId w:val="44"/>
        </w:numPr>
        <w:spacing w:before="0" w:after="0"/>
        <w:ind w:left="709" w:hanging="578"/>
        <w:contextualSpacing w:val="0"/>
        <w:rPr>
          <w:rFonts w:ascii="Arial" w:hAnsi="Arial" w:cs="Arial"/>
        </w:rPr>
      </w:pPr>
      <w:r w:rsidRPr="00931D46">
        <w:rPr>
          <w:rFonts w:ascii="Arial" w:hAnsi="Arial" w:cs="Arial"/>
        </w:rPr>
        <w:t xml:space="preserve">En la provisión de servicios a usuarios finales difieren en: i) calidad, ii) precios, iii) diversidad de contenido, y iv) movilidad. </w:t>
      </w:r>
    </w:p>
    <w:p w14:paraId="42251D86" w14:textId="7D4006EE" w:rsidR="00800E42" w:rsidRPr="00931D46" w:rsidRDefault="00800E42" w:rsidP="00942BD7">
      <w:pPr>
        <w:pStyle w:val="Prrafodelista"/>
        <w:numPr>
          <w:ilvl w:val="0"/>
          <w:numId w:val="44"/>
        </w:numPr>
        <w:spacing w:before="0" w:after="0"/>
        <w:ind w:left="709" w:hanging="578"/>
        <w:contextualSpacing w:val="0"/>
        <w:rPr>
          <w:rFonts w:ascii="Arial" w:hAnsi="Arial" w:cs="Arial"/>
        </w:rPr>
      </w:pPr>
      <w:r w:rsidRPr="00931D46">
        <w:rPr>
          <w:rFonts w:ascii="Arial" w:hAnsi="Arial" w:cs="Arial"/>
        </w:rPr>
        <w:t>En la provisión de servicios a anunciantes, difieren en: i) cobertura, ii) audiencia objetivo, iii) costos de espacios publicitarios, y iv) tipo de programación (local, regional</w:t>
      </w:r>
      <w:r w:rsidR="00926648" w:rsidRPr="00931D46">
        <w:rPr>
          <w:rFonts w:ascii="Arial" w:hAnsi="Arial" w:cs="Arial"/>
        </w:rPr>
        <w:t>,</w:t>
      </w:r>
      <w:r w:rsidRPr="00931D46">
        <w:rPr>
          <w:rFonts w:ascii="Arial" w:hAnsi="Arial" w:cs="Arial"/>
        </w:rPr>
        <w:t xml:space="preserve"> nacional</w:t>
      </w:r>
      <w:r w:rsidR="000F3BB2" w:rsidRPr="00931D46">
        <w:rPr>
          <w:rFonts w:ascii="Arial" w:hAnsi="Arial" w:cs="Arial"/>
        </w:rPr>
        <w:t xml:space="preserve"> </w:t>
      </w:r>
      <w:r w:rsidR="002354FB" w:rsidRPr="00931D46">
        <w:rPr>
          <w:rFonts w:ascii="Arial" w:hAnsi="Arial" w:cs="Arial"/>
        </w:rPr>
        <w:t>o</w:t>
      </w:r>
      <w:r w:rsidR="000F3BB2" w:rsidRPr="00931D46">
        <w:rPr>
          <w:rFonts w:ascii="Arial" w:hAnsi="Arial" w:cs="Arial"/>
        </w:rPr>
        <w:t xml:space="preserve"> internacional</w:t>
      </w:r>
      <w:r w:rsidRPr="00931D46">
        <w:rPr>
          <w:rFonts w:ascii="Arial" w:hAnsi="Arial" w:cs="Arial"/>
        </w:rPr>
        <w:t>).</w:t>
      </w:r>
    </w:p>
    <w:p w14:paraId="24EA652A" w14:textId="77777777" w:rsidR="00800E42" w:rsidRPr="00931D46" w:rsidRDefault="00800E42" w:rsidP="0023353F">
      <w:pPr>
        <w:spacing w:before="0" w:after="0"/>
        <w:rPr>
          <w:rFonts w:ascii="Arial" w:hAnsi="Arial" w:cs="Arial"/>
        </w:rPr>
      </w:pPr>
    </w:p>
    <w:p w14:paraId="4F37BAAC"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Radio Sonora comercial</w:t>
      </w:r>
    </w:p>
    <w:p w14:paraId="28013E17" w14:textId="77777777" w:rsidR="00800E42" w:rsidRPr="00931D46" w:rsidRDefault="00800E42" w:rsidP="0023353F">
      <w:pPr>
        <w:spacing w:before="0" w:after="0"/>
        <w:rPr>
          <w:rFonts w:ascii="Arial" w:hAnsi="Arial" w:cs="Arial"/>
        </w:rPr>
      </w:pPr>
    </w:p>
    <w:p w14:paraId="52B7B785" w14:textId="77777777" w:rsidR="00800E42" w:rsidRPr="00931D46" w:rsidRDefault="00800E42" w:rsidP="0023353F">
      <w:pPr>
        <w:spacing w:before="0" w:after="0"/>
        <w:rPr>
          <w:rFonts w:ascii="Arial" w:hAnsi="Arial" w:cs="Arial"/>
        </w:rPr>
      </w:pPr>
      <w:r w:rsidRPr="00931D46">
        <w:rPr>
          <w:rFonts w:ascii="Arial" w:hAnsi="Arial" w:cs="Arial"/>
        </w:rPr>
        <w:t>En el expediente UCE/CNC-003-2015</w:t>
      </w:r>
      <w:r w:rsidR="00C140E3" w:rsidRPr="00931D46">
        <w:rPr>
          <w:rFonts w:ascii="Arial" w:hAnsi="Arial" w:cs="Arial"/>
        </w:rPr>
        <w:t xml:space="preserve"> (concentración GTV/Grupo Multimedios),</w:t>
      </w:r>
      <w:r w:rsidR="00C140E3" w:rsidRPr="00931D46">
        <w:rPr>
          <w:rFonts w:ascii="Arial" w:hAnsi="Arial" w:cs="Arial"/>
          <w:vertAlign w:val="superscript"/>
        </w:rPr>
        <w:footnoteReference w:id="104"/>
      </w:r>
      <w:r w:rsidR="00C140E3" w:rsidRPr="00931D46">
        <w:rPr>
          <w:rFonts w:ascii="Arial" w:hAnsi="Arial" w:cs="Arial"/>
        </w:rPr>
        <w:t xml:space="preserve"> se consideró suficiente evaluar la oferta del servicio de Radio Sonora comercial en FM, señalando</w:t>
      </w:r>
      <w:r w:rsidRPr="00931D46">
        <w:rPr>
          <w:rFonts w:ascii="Arial" w:hAnsi="Arial" w:cs="Arial"/>
        </w:rPr>
        <w:t xml:space="preserve"> que </w:t>
      </w:r>
      <w:r w:rsidR="00C140E3" w:rsidRPr="00931D46">
        <w:rPr>
          <w:rFonts w:ascii="Arial" w:hAnsi="Arial" w:cs="Arial"/>
        </w:rPr>
        <w:t xml:space="preserve">respecto al servicio en AM </w:t>
      </w:r>
      <w:r w:rsidRPr="00931D46">
        <w:rPr>
          <w:rFonts w:ascii="Arial" w:hAnsi="Arial" w:cs="Arial"/>
        </w:rPr>
        <w:t>existen diferencias observables en</w:t>
      </w:r>
      <w:r w:rsidR="00C140E3" w:rsidRPr="00931D46">
        <w:rPr>
          <w:rFonts w:ascii="Arial" w:hAnsi="Arial" w:cs="Arial"/>
        </w:rPr>
        <w:t>: calidad,</w:t>
      </w:r>
      <w:r w:rsidRPr="00931D46">
        <w:rPr>
          <w:rFonts w:ascii="Arial" w:hAnsi="Arial" w:cs="Arial"/>
        </w:rPr>
        <w:t xml:space="preserve"> alcance</w:t>
      </w:r>
      <w:r w:rsidR="00C140E3" w:rsidRPr="00931D46">
        <w:rPr>
          <w:rFonts w:ascii="Arial" w:hAnsi="Arial" w:cs="Arial"/>
        </w:rPr>
        <w:t>,</w:t>
      </w:r>
      <w:r w:rsidRPr="00931D46">
        <w:rPr>
          <w:rFonts w:ascii="Arial" w:hAnsi="Arial" w:cs="Arial"/>
        </w:rPr>
        <w:t xml:space="preserve"> audiencia</w:t>
      </w:r>
      <w:r w:rsidR="00C140E3" w:rsidRPr="00931D46">
        <w:rPr>
          <w:rFonts w:ascii="Arial" w:hAnsi="Arial" w:cs="Arial"/>
        </w:rPr>
        <w:t>,</w:t>
      </w:r>
      <w:r w:rsidRPr="00931D46">
        <w:rPr>
          <w:rFonts w:ascii="Arial" w:hAnsi="Arial" w:cs="Arial"/>
        </w:rPr>
        <w:t xml:space="preserve"> costos y pr</w:t>
      </w:r>
      <w:r w:rsidR="00C140E3" w:rsidRPr="00931D46">
        <w:rPr>
          <w:rFonts w:ascii="Arial" w:hAnsi="Arial" w:cs="Arial"/>
        </w:rPr>
        <w:t xml:space="preserve">ecios de </w:t>
      </w:r>
      <w:r w:rsidR="007C604B" w:rsidRPr="00931D46">
        <w:rPr>
          <w:rFonts w:ascii="Arial" w:hAnsi="Arial" w:cs="Arial"/>
        </w:rPr>
        <w:t xml:space="preserve">los </w:t>
      </w:r>
      <w:r w:rsidR="00C140E3" w:rsidRPr="00931D46">
        <w:rPr>
          <w:rFonts w:ascii="Arial" w:hAnsi="Arial" w:cs="Arial"/>
        </w:rPr>
        <w:t>espacios publicitarios</w:t>
      </w:r>
      <w:r w:rsidRPr="00931D46">
        <w:rPr>
          <w:rFonts w:ascii="Arial" w:hAnsi="Arial" w:cs="Arial"/>
          <w:i/>
        </w:rPr>
        <w:t>.</w:t>
      </w:r>
      <w:r w:rsidRPr="00931D46">
        <w:rPr>
          <w:rFonts w:ascii="Arial" w:hAnsi="Arial" w:cs="Arial"/>
        </w:rPr>
        <w:t xml:space="preserve"> </w:t>
      </w:r>
    </w:p>
    <w:p w14:paraId="6D0847E0" w14:textId="77777777" w:rsidR="00800E42" w:rsidRPr="00931D46" w:rsidRDefault="00800E42" w:rsidP="0023353F">
      <w:pPr>
        <w:spacing w:before="0" w:after="0"/>
        <w:rPr>
          <w:rFonts w:ascii="Arial" w:hAnsi="Arial" w:cs="Arial"/>
        </w:rPr>
      </w:pPr>
    </w:p>
    <w:p w14:paraId="71BA3F0E" w14:textId="7B0DE5CC" w:rsidR="007C604B" w:rsidRPr="00931D46" w:rsidRDefault="00800E42" w:rsidP="0023353F">
      <w:pPr>
        <w:spacing w:before="0" w:after="0"/>
        <w:rPr>
          <w:rFonts w:ascii="Arial" w:hAnsi="Arial" w:cs="Arial"/>
        </w:rPr>
      </w:pPr>
      <w:r w:rsidRPr="00931D46">
        <w:rPr>
          <w:rFonts w:ascii="Arial" w:hAnsi="Arial" w:cs="Arial"/>
        </w:rPr>
        <w:t>Por otra parte, en el expediente AI/DC-004-2018</w:t>
      </w:r>
      <w:r w:rsidRPr="00931D46">
        <w:rPr>
          <w:rFonts w:ascii="Arial" w:hAnsi="Arial" w:cs="Arial"/>
          <w:lang w:eastAsia="es-MX"/>
        </w:rPr>
        <w:t xml:space="preserve"> </w:t>
      </w:r>
      <w:r w:rsidR="00BC55C0" w:rsidRPr="00931D46">
        <w:rPr>
          <w:rFonts w:ascii="Arial" w:hAnsi="Arial" w:cs="Arial"/>
          <w:lang w:eastAsia="es-MX"/>
        </w:rPr>
        <w:t>(</w:t>
      </w:r>
      <w:r w:rsidRPr="00931D46">
        <w:rPr>
          <w:rFonts w:ascii="Arial" w:hAnsi="Arial" w:cs="Arial"/>
          <w:lang w:eastAsia="es-MX"/>
        </w:rPr>
        <w:t xml:space="preserve">investigación sobre la existencia de PSM </w:t>
      </w:r>
      <w:r w:rsidR="008D0DDD" w:rsidRPr="00931D46">
        <w:rPr>
          <w:rFonts w:ascii="Arial" w:hAnsi="Arial" w:cs="Arial"/>
          <w:lang w:eastAsia="es-MX"/>
        </w:rPr>
        <w:t>por parte de Grupo Multimedios</w:t>
      </w:r>
      <w:r w:rsidR="00BC55C0" w:rsidRPr="00931D46">
        <w:rPr>
          <w:rFonts w:ascii="Arial" w:hAnsi="Arial" w:cs="Arial"/>
          <w:lang w:eastAsia="es-MX"/>
        </w:rPr>
        <w:t>)</w:t>
      </w:r>
      <w:r w:rsidRPr="00931D46">
        <w:rPr>
          <w:rFonts w:ascii="Arial" w:hAnsi="Arial" w:cs="Arial"/>
          <w:lang w:eastAsia="es-MX"/>
        </w:rPr>
        <w:t>,</w:t>
      </w:r>
      <w:r w:rsidR="00BC55C0" w:rsidRPr="00931D46">
        <w:rPr>
          <w:rFonts w:ascii="Arial" w:eastAsia="Times New Roman" w:hAnsi="Arial" w:cs="Arial"/>
          <w:vertAlign w:val="superscript"/>
          <w:lang w:val="en-US" w:eastAsia="es-MX"/>
        </w:rPr>
        <w:footnoteReference w:id="105"/>
      </w:r>
      <w:r w:rsidRPr="00931D46">
        <w:rPr>
          <w:rFonts w:ascii="Arial" w:hAnsi="Arial" w:cs="Arial"/>
          <w:lang w:eastAsia="es-MX"/>
        </w:rPr>
        <w:t xml:space="preserve"> </w:t>
      </w:r>
      <w:r w:rsidRPr="00931D46">
        <w:rPr>
          <w:rFonts w:ascii="Arial" w:hAnsi="Arial" w:cs="Arial"/>
        </w:rPr>
        <w:t xml:space="preserve">se delimitó el MR de venta de tiempo para publicidad en </w:t>
      </w:r>
      <w:r w:rsidR="0048472B" w:rsidRPr="00931D46">
        <w:rPr>
          <w:rFonts w:ascii="Arial" w:hAnsi="Arial" w:cs="Arial"/>
        </w:rPr>
        <w:t>señales de</w:t>
      </w:r>
      <w:r w:rsidRPr="00931D46">
        <w:rPr>
          <w:rFonts w:ascii="Arial" w:hAnsi="Arial" w:cs="Arial"/>
        </w:rPr>
        <w:t xml:space="preserve"> Radio Sonora</w:t>
      </w:r>
      <w:r w:rsidR="00BC55C0" w:rsidRPr="00931D46">
        <w:rPr>
          <w:rFonts w:ascii="Arial" w:hAnsi="Arial" w:cs="Arial"/>
        </w:rPr>
        <w:t xml:space="preserve"> en FM</w:t>
      </w:r>
      <w:r w:rsidR="00C140E3" w:rsidRPr="00931D46">
        <w:rPr>
          <w:rFonts w:ascii="Arial" w:hAnsi="Arial" w:cs="Arial"/>
        </w:rPr>
        <w:t xml:space="preserve">, </w:t>
      </w:r>
      <w:r w:rsidRPr="00931D46">
        <w:rPr>
          <w:rFonts w:ascii="Arial" w:hAnsi="Arial" w:cs="Arial"/>
        </w:rPr>
        <w:t>con base en</w:t>
      </w:r>
      <w:r w:rsidR="007C604B" w:rsidRPr="00931D46">
        <w:rPr>
          <w:rFonts w:ascii="Arial" w:hAnsi="Arial" w:cs="Arial"/>
        </w:rPr>
        <w:t>:</w:t>
      </w:r>
    </w:p>
    <w:p w14:paraId="1111DE78" w14:textId="77777777" w:rsidR="007C604B" w:rsidRPr="00931D46" w:rsidRDefault="007C604B" w:rsidP="0023353F">
      <w:pPr>
        <w:spacing w:before="0" w:after="0"/>
        <w:rPr>
          <w:rFonts w:ascii="Arial" w:hAnsi="Arial" w:cs="Arial"/>
        </w:rPr>
      </w:pPr>
    </w:p>
    <w:p w14:paraId="75906819" w14:textId="497128EF" w:rsidR="007C604B" w:rsidRPr="00931D46" w:rsidRDefault="007C604B" w:rsidP="00942BD7">
      <w:pPr>
        <w:pStyle w:val="Prrafodelista"/>
        <w:numPr>
          <w:ilvl w:val="0"/>
          <w:numId w:val="67"/>
        </w:numPr>
        <w:spacing w:before="0" w:after="0"/>
        <w:ind w:left="709" w:hanging="567"/>
        <w:rPr>
          <w:rFonts w:ascii="Arial" w:hAnsi="Arial" w:cs="Arial"/>
        </w:rPr>
      </w:pPr>
      <w:r w:rsidRPr="00931D46">
        <w:rPr>
          <w:rFonts w:ascii="Arial" w:hAnsi="Arial" w:cs="Arial"/>
        </w:rPr>
        <w:t>S</w:t>
      </w:r>
      <w:r w:rsidR="00800E42" w:rsidRPr="00931D46">
        <w:rPr>
          <w:rFonts w:ascii="Arial" w:hAnsi="Arial" w:cs="Arial"/>
        </w:rPr>
        <w:t>us características</w:t>
      </w:r>
      <w:r w:rsidRPr="00931D46">
        <w:rPr>
          <w:rFonts w:ascii="Arial" w:hAnsi="Arial" w:cs="Arial"/>
        </w:rPr>
        <w:t>:</w:t>
      </w:r>
      <w:r w:rsidR="00800E42" w:rsidRPr="00931D46">
        <w:rPr>
          <w:rStyle w:val="Refdenotaalpie"/>
          <w:rFonts w:ascii="Arial" w:hAnsi="Arial" w:cs="Arial"/>
        </w:rPr>
        <w:footnoteReference w:id="106"/>
      </w:r>
      <w:r w:rsidR="00800E42" w:rsidRPr="00931D46">
        <w:rPr>
          <w:rFonts w:ascii="Arial" w:hAnsi="Arial" w:cs="Arial"/>
        </w:rPr>
        <w:t xml:space="preserve"> </w:t>
      </w:r>
      <w:r w:rsidRPr="00931D46">
        <w:rPr>
          <w:rFonts w:ascii="Arial" w:hAnsi="Arial" w:cs="Arial"/>
        </w:rPr>
        <w:t>el servicio se provee por concesionarios de Radio Sonora comercial y sus precios están determinados principalmente por el nivel y tipo de audiencia y el alcance</w:t>
      </w:r>
      <w:r w:rsidR="002354FB" w:rsidRPr="00931D46">
        <w:rPr>
          <w:rFonts w:ascii="Arial" w:hAnsi="Arial" w:cs="Arial"/>
        </w:rPr>
        <w:t xml:space="preserve"> geográfico</w:t>
      </w:r>
      <w:r w:rsidRPr="00931D46">
        <w:rPr>
          <w:rFonts w:ascii="Arial" w:hAnsi="Arial" w:cs="Arial"/>
        </w:rPr>
        <w:t xml:space="preserve"> de la estación. Por el lado de la oferta, para ofrecer el servicio relevante, los proveedores deben: i) </w:t>
      </w:r>
      <w:r w:rsidR="005A4F0F">
        <w:rPr>
          <w:rFonts w:ascii="Arial" w:hAnsi="Arial" w:cs="Arial"/>
        </w:rPr>
        <w:t xml:space="preserve">obtener </w:t>
      </w:r>
      <w:r w:rsidRPr="00931D46">
        <w:rPr>
          <w:rFonts w:ascii="Arial" w:hAnsi="Arial" w:cs="Arial"/>
        </w:rPr>
        <w:t>concesiones, ii)</w:t>
      </w:r>
      <w:r w:rsidR="005A4F0F">
        <w:rPr>
          <w:rFonts w:ascii="Arial" w:hAnsi="Arial" w:cs="Arial"/>
        </w:rPr>
        <w:t xml:space="preserve"> desarrollar</w:t>
      </w:r>
      <w:r w:rsidRPr="00931D46">
        <w:rPr>
          <w:rFonts w:ascii="Arial" w:hAnsi="Arial" w:cs="Arial"/>
        </w:rPr>
        <w:t xml:space="preserve"> infraestructura, y iii) </w:t>
      </w:r>
      <w:r w:rsidR="005A4F0F">
        <w:rPr>
          <w:rFonts w:ascii="Arial" w:hAnsi="Arial" w:cs="Arial"/>
        </w:rPr>
        <w:t xml:space="preserve">contar con </w:t>
      </w:r>
      <w:r w:rsidRPr="00931D46">
        <w:rPr>
          <w:rFonts w:ascii="Arial" w:hAnsi="Arial" w:cs="Arial"/>
        </w:rPr>
        <w:t xml:space="preserve">fuerza de ventas local y/o regional. </w:t>
      </w:r>
    </w:p>
    <w:p w14:paraId="3FF6845D" w14:textId="370EDC79" w:rsidR="00C140E3" w:rsidRPr="00931D46" w:rsidRDefault="005A4F0F" w:rsidP="00942BD7">
      <w:pPr>
        <w:pStyle w:val="Prrafodelista"/>
        <w:numPr>
          <w:ilvl w:val="0"/>
          <w:numId w:val="67"/>
        </w:numPr>
        <w:spacing w:before="0" w:after="0"/>
        <w:ind w:left="709" w:hanging="567"/>
        <w:rPr>
          <w:rFonts w:ascii="Arial" w:hAnsi="Arial" w:cs="Arial"/>
        </w:rPr>
      </w:pPr>
      <w:r>
        <w:rPr>
          <w:rFonts w:ascii="Arial" w:hAnsi="Arial" w:cs="Arial"/>
        </w:rPr>
        <w:t>S</w:t>
      </w:r>
      <w:r w:rsidR="003A7117" w:rsidRPr="00931D46">
        <w:rPr>
          <w:rFonts w:ascii="Arial" w:hAnsi="Arial" w:cs="Arial"/>
        </w:rPr>
        <w:t>us</w:t>
      </w:r>
      <w:r w:rsidR="00800E42" w:rsidRPr="00931D46">
        <w:rPr>
          <w:rFonts w:ascii="Arial" w:hAnsi="Arial" w:cs="Arial"/>
        </w:rPr>
        <w:t xml:space="preserve"> diferencias con otros servicios</w:t>
      </w:r>
      <w:r>
        <w:rPr>
          <w:rFonts w:ascii="Arial" w:hAnsi="Arial" w:cs="Arial"/>
        </w:rPr>
        <w:t>, entre las que</w:t>
      </w:r>
      <w:r w:rsidR="003A7117" w:rsidRPr="00931D46">
        <w:rPr>
          <w:rFonts w:ascii="Arial" w:hAnsi="Arial" w:cs="Arial"/>
        </w:rPr>
        <w:t xml:space="preserve"> destacan</w:t>
      </w:r>
      <w:r w:rsidR="00800E42" w:rsidRPr="00931D46">
        <w:rPr>
          <w:rFonts w:ascii="Arial" w:hAnsi="Arial" w:cs="Arial"/>
        </w:rPr>
        <w:t>:</w:t>
      </w:r>
    </w:p>
    <w:p w14:paraId="6F40B23C" w14:textId="53C5EB6C" w:rsidR="00800E42" w:rsidRPr="00931D46" w:rsidRDefault="00800E42" w:rsidP="00942BD7">
      <w:pPr>
        <w:pStyle w:val="Prrafodelista"/>
        <w:numPr>
          <w:ilvl w:val="0"/>
          <w:numId w:val="45"/>
        </w:numPr>
        <w:spacing w:before="0" w:after="0"/>
        <w:ind w:left="1134" w:hanging="425"/>
        <w:contextualSpacing w:val="0"/>
        <w:rPr>
          <w:rFonts w:ascii="Arial" w:hAnsi="Arial" w:cs="Arial"/>
        </w:rPr>
      </w:pPr>
      <w:r w:rsidRPr="00931D46">
        <w:rPr>
          <w:rFonts w:ascii="Arial" w:hAnsi="Arial" w:cs="Arial"/>
        </w:rPr>
        <w:t xml:space="preserve">Publicidad en </w:t>
      </w:r>
      <w:r w:rsidR="00C140E3" w:rsidRPr="00931D46">
        <w:rPr>
          <w:rFonts w:ascii="Arial" w:hAnsi="Arial" w:cs="Arial"/>
        </w:rPr>
        <w:t>TV</w:t>
      </w:r>
      <w:r w:rsidRPr="00931D46">
        <w:rPr>
          <w:rFonts w:ascii="Arial" w:hAnsi="Arial" w:cs="Arial"/>
        </w:rPr>
        <w:t xml:space="preserve"> </w:t>
      </w:r>
      <w:r w:rsidR="00C140E3" w:rsidRPr="00931D46">
        <w:rPr>
          <w:rFonts w:ascii="Arial" w:hAnsi="Arial" w:cs="Arial"/>
        </w:rPr>
        <w:t>A</w:t>
      </w:r>
      <w:r w:rsidRPr="00931D46">
        <w:rPr>
          <w:rFonts w:ascii="Arial" w:hAnsi="Arial" w:cs="Arial"/>
        </w:rPr>
        <w:t>bierta</w:t>
      </w:r>
      <w:r w:rsidR="00C140E3" w:rsidRPr="00931D46">
        <w:rPr>
          <w:rFonts w:ascii="Arial" w:hAnsi="Arial" w:cs="Arial"/>
        </w:rPr>
        <w:t xml:space="preserve"> comercial</w:t>
      </w:r>
      <w:r w:rsidRPr="00931D46">
        <w:rPr>
          <w:rFonts w:ascii="Arial" w:hAnsi="Arial" w:cs="Arial"/>
        </w:rPr>
        <w:t>: difieren en el alcance geográfico</w:t>
      </w:r>
      <w:r w:rsidR="002B3C24">
        <w:rPr>
          <w:rFonts w:ascii="Arial" w:hAnsi="Arial" w:cs="Arial"/>
        </w:rPr>
        <w:t xml:space="preserve">; así como en </w:t>
      </w:r>
      <w:r w:rsidRPr="00931D46">
        <w:rPr>
          <w:rFonts w:ascii="Arial" w:hAnsi="Arial" w:cs="Arial"/>
        </w:rPr>
        <w:t xml:space="preserve">el costo y tiempo de producción de los mensajes comerciales. Además, existen elementos que indican un uso complementario de ambos servicios. </w:t>
      </w:r>
    </w:p>
    <w:p w14:paraId="20028875" w14:textId="689AA71F" w:rsidR="00800E42" w:rsidRPr="00931D46" w:rsidRDefault="00800E42" w:rsidP="00942BD7">
      <w:pPr>
        <w:pStyle w:val="Prrafodelista"/>
        <w:numPr>
          <w:ilvl w:val="0"/>
          <w:numId w:val="45"/>
        </w:numPr>
        <w:spacing w:before="0" w:after="0"/>
        <w:ind w:left="1134" w:hanging="425"/>
        <w:contextualSpacing w:val="0"/>
        <w:rPr>
          <w:rFonts w:ascii="Arial" w:hAnsi="Arial" w:cs="Arial"/>
        </w:rPr>
      </w:pPr>
      <w:r w:rsidRPr="00931D46">
        <w:rPr>
          <w:rFonts w:ascii="Arial" w:hAnsi="Arial" w:cs="Arial"/>
        </w:rPr>
        <w:t>Publicidad en medios digitales: difieren en los requerimientos de acceso a usuarios, posibilidades de segmentación de la audiencia y alcance geográfico.</w:t>
      </w:r>
    </w:p>
    <w:p w14:paraId="1C39B045" w14:textId="08EAA5AE" w:rsidR="00800E42" w:rsidRPr="00931D46" w:rsidRDefault="00800E42" w:rsidP="00942BD7">
      <w:pPr>
        <w:pStyle w:val="Prrafodelista"/>
        <w:numPr>
          <w:ilvl w:val="0"/>
          <w:numId w:val="45"/>
        </w:numPr>
        <w:spacing w:before="0" w:after="0"/>
        <w:ind w:left="1134" w:hanging="425"/>
        <w:contextualSpacing w:val="0"/>
        <w:rPr>
          <w:rFonts w:ascii="Arial" w:hAnsi="Arial" w:cs="Arial"/>
        </w:rPr>
      </w:pPr>
      <w:r w:rsidRPr="00931D46">
        <w:rPr>
          <w:rFonts w:ascii="Arial" w:hAnsi="Arial" w:cs="Arial"/>
        </w:rPr>
        <w:t xml:space="preserve">Publicidad en medios impresos: difieren en el canal de difusión (visual o auditivo) y su flexibilidad para ajustarse a las necesidades de sus clientes. </w:t>
      </w:r>
    </w:p>
    <w:p w14:paraId="6C2C10A5" w14:textId="77777777" w:rsidR="00800E42" w:rsidRPr="00931D46" w:rsidRDefault="00800E42" w:rsidP="00942BD7">
      <w:pPr>
        <w:pStyle w:val="Prrafodelista"/>
        <w:numPr>
          <w:ilvl w:val="0"/>
          <w:numId w:val="45"/>
        </w:numPr>
        <w:spacing w:before="0" w:after="0"/>
        <w:ind w:left="1134" w:hanging="425"/>
        <w:contextualSpacing w:val="0"/>
        <w:rPr>
          <w:rFonts w:ascii="Arial" w:hAnsi="Arial" w:cs="Arial"/>
        </w:rPr>
      </w:pPr>
      <w:r w:rsidRPr="00931D46">
        <w:rPr>
          <w:rFonts w:ascii="Arial" w:hAnsi="Arial" w:cs="Arial"/>
        </w:rPr>
        <w:t xml:space="preserve">Publicidad en anuncios exteriores: difieren en el canal de difusión (visual o auditivo), el grado de segmentación geográfica del público objetivo y su flexibilidad para ajustarse a las necesidades de sus clientes. </w:t>
      </w:r>
    </w:p>
    <w:p w14:paraId="71877204" w14:textId="77777777" w:rsidR="00800E42" w:rsidRPr="00931D46" w:rsidRDefault="00800E42" w:rsidP="0023353F">
      <w:pPr>
        <w:spacing w:before="0" w:after="0"/>
        <w:rPr>
          <w:rFonts w:ascii="Arial" w:eastAsiaTheme="majorEastAsia" w:hAnsi="Arial" w:cs="Arial"/>
          <w:b/>
          <w:szCs w:val="32"/>
          <w:highlight w:val="yellow"/>
        </w:rPr>
      </w:pPr>
    </w:p>
    <w:p w14:paraId="742DE8D4" w14:textId="77777777" w:rsidR="002A3B99" w:rsidRPr="00931D46" w:rsidRDefault="002A3B99" w:rsidP="00880124">
      <w:pPr>
        <w:pStyle w:val="Ttulo2"/>
        <w:keepLines w:val="0"/>
        <w:numPr>
          <w:ilvl w:val="1"/>
          <w:numId w:val="3"/>
        </w:numPr>
        <w:spacing w:before="0" w:after="0"/>
        <w:rPr>
          <w:rFonts w:ascii="Arial" w:eastAsia="Times New Roman" w:hAnsi="Arial" w:cs="Arial"/>
          <w:sz w:val="26"/>
          <w:lang w:eastAsia="es-MX"/>
        </w:rPr>
      </w:pPr>
      <w:bookmarkStart w:id="71" w:name="_Toc74306772"/>
      <w:bookmarkStart w:id="72" w:name="_Toc74323828"/>
      <w:r w:rsidRPr="00931D46">
        <w:rPr>
          <w:rFonts w:ascii="Arial" w:eastAsia="Times New Roman" w:hAnsi="Arial" w:cs="Arial"/>
          <w:sz w:val="26"/>
          <w:lang w:eastAsia="es-MX"/>
        </w:rPr>
        <w:t>Experiencia internacional</w:t>
      </w:r>
      <w:bookmarkEnd w:id="71"/>
      <w:bookmarkEnd w:id="72"/>
    </w:p>
    <w:p w14:paraId="204A0414" w14:textId="6A962C1C" w:rsidR="002A3B99" w:rsidRPr="00931D46" w:rsidRDefault="002A3B99" w:rsidP="0023353F">
      <w:pPr>
        <w:keepNext/>
        <w:spacing w:before="0" w:after="0"/>
        <w:rPr>
          <w:rFonts w:ascii="Arial" w:eastAsiaTheme="majorEastAsia" w:hAnsi="Arial" w:cs="Arial"/>
          <w:b/>
          <w:szCs w:val="32"/>
          <w:highlight w:val="yellow"/>
        </w:rPr>
      </w:pPr>
    </w:p>
    <w:p w14:paraId="23C33700" w14:textId="6C73E5D1" w:rsidR="00800E42" w:rsidRPr="00931D46" w:rsidRDefault="00800E42" w:rsidP="0023353F">
      <w:pPr>
        <w:spacing w:before="0" w:after="0"/>
        <w:rPr>
          <w:rFonts w:ascii="Arial" w:hAnsi="Arial" w:cs="Arial"/>
        </w:rPr>
      </w:pPr>
    </w:p>
    <w:p w14:paraId="1321B9F1"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bookmarkStart w:id="73" w:name="_Toc41924495"/>
      <w:r w:rsidRPr="00931D46">
        <w:rPr>
          <w:rFonts w:ascii="Arial" w:eastAsia="Times New Roman" w:hAnsi="Arial" w:cs="Arial"/>
          <w:b/>
          <w:color w:val="auto"/>
          <w:sz w:val="26"/>
          <w:szCs w:val="26"/>
          <w:lang w:eastAsia="es-MX"/>
        </w:rPr>
        <w:t>OCDE</w:t>
      </w:r>
      <w:bookmarkEnd w:id="73"/>
      <w:r w:rsidR="007E26D7" w:rsidRPr="00931D46">
        <w:rPr>
          <w:rFonts w:ascii="Arial" w:eastAsia="Times New Roman" w:hAnsi="Arial" w:cs="Arial"/>
          <w:b/>
          <w:color w:val="auto"/>
          <w:sz w:val="26"/>
          <w:szCs w:val="26"/>
          <w:vertAlign w:val="superscript"/>
          <w:lang w:eastAsia="es-MX"/>
        </w:rPr>
        <w:footnoteReference w:id="107"/>
      </w:r>
    </w:p>
    <w:p w14:paraId="0FE71C35" w14:textId="77777777" w:rsidR="00800E42" w:rsidRPr="00931D46" w:rsidRDefault="00800E42" w:rsidP="0023353F">
      <w:pPr>
        <w:spacing w:before="0" w:after="0"/>
        <w:rPr>
          <w:rFonts w:ascii="Arial" w:hAnsi="Arial" w:cs="Arial"/>
        </w:rPr>
      </w:pPr>
    </w:p>
    <w:p w14:paraId="3031E5F0" w14:textId="6E471754" w:rsidR="00800E42" w:rsidRPr="00931D46" w:rsidRDefault="00800E42" w:rsidP="0023353F">
      <w:pPr>
        <w:spacing w:before="0" w:after="0"/>
        <w:rPr>
          <w:rFonts w:ascii="Arial" w:hAnsi="Arial" w:cs="Arial"/>
        </w:rPr>
      </w:pPr>
      <w:r w:rsidRPr="00931D46">
        <w:rPr>
          <w:rFonts w:ascii="Arial" w:hAnsi="Arial" w:cs="Arial"/>
        </w:rPr>
        <w:t xml:space="preserve">La OCDE señala que la sustitución por el lado de la demanda comprende las distintas reacciones de los consumidores ante cambios en los precios, mientras que la sustitución por el lado de la oferta se refiere a la capacidad de </w:t>
      </w:r>
      <w:r w:rsidR="007E26D7" w:rsidRPr="00931D46">
        <w:rPr>
          <w:rFonts w:ascii="Arial" w:hAnsi="Arial" w:cs="Arial"/>
        </w:rPr>
        <w:t>otros AE</w:t>
      </w:r>
      <w:r w:rsidRPr="00931D46">
        <w:rPr>
          <w:rFonts w:ascii="Arial" w:hAnsi="Arial" w:cs="Arial"/>
        </w:rPr>
        <w:t xml:space="preserve"> para redirigir rápidamente los activos productivos existentes para producir </w:t>
      </w:r>
      <w:r w:rsidR="00330363">
        <w:rPr>
          <w:rFonts w:ascii="Arial" w:hAnsi="Arial" w:cs="Arial"/>
        </w:rPr>
        <w:t>productos</w:t>
      </w:r>
      <w:r w:rsidRPr="00931D46">
        <w:rPr>
          <w:rFonts w:ascii="Arial" w:hAnsi="Arial" w:cs="Arial"/>
        </w:rPr>
        <w:t xml:space="preserve"> sustitutos.</w:t>
      </w:r>
    </w:p>
    <w:p w14:paraId="054EE303" w14:textId="77777777" w:rsidR="00800E42" w:rsidRPr="00931D46" w:rsidRDefault="00800E42" w:rsidP="0023353F">
      <w:pPr>
        <w:spacing w:before="0" w:after="0"/>
        <w:rPr>
          <w:rFonts w:ascii="Arial" w:hAnsi="Arial" w:cs="Arial"/>
        </w:rPr>
      </w:pPr>
    </w:p>
    <w:p w14:paraId="3E678DC2" w14:textId="78E04478" w:rsidR="00800E42" w:rsidRPr="00931D46" w:rsidRDefault="00800E42" w:rsidP="0023353F">
      <w:pPr>
        <w:spacing w:before="0" w:after="0"/>
        <w:rPr>
          <w:rFonts w:ascii="Arial" w:hAnsi="Arial" w:cs="Arial"/>
        </w:rPr>
      </w:pPr>
      <w:r w:rsidRPr="00931D46">
        <w:rPr>
          <w:rFonts w:ascii="Arial" w:hAnsi="Arial" w:cs="Arial"/>
        </w:rPr>
        <w:t xml:space="preserve">El análisis de sustitución </w:t>
      </w:r>
      <w:r w:rsidR="002978D8" w:rsidRPr="00931D46">
        <w:rPr>
          <w:rFonts w:ascii="Arial" w:hAnsi="Arial" w:cs="Arial"/>
        </w:rPr>
        <w:t xml:space="preserve">por el lado de </w:t>
      </w:r>
      <w:r w:rsidRPr="00931D46">
        <w:rPr>
          <w:rFonts w:ascii="Arial" w:hAnsi="Arial" w:cs="Arial"/>
        </w:rPr>
        <w:t xml:space="preserve">la demanda inicia con un mercado candidato definido a partir del </w:t>
      </w:r>
      <w:r w:rsidR="00330363">
        <w:rPr>
          <w:rFonts w:ascii="Arial" w:hAnsi="Arial" w:cs="Arial"/>
        </w:rPr>
        <w:t>producto</w:t>
      </w:r>
      <w:r w:rsidRPr="00931D46">
        <w:rPr>
          <w:rFonts w:ascii="Arial" w:hAnsi="Arial" w:cs="Arial"/>
        </w:rPr>
        <w:t xml:space="preserve"> bajo investigación y se </w:t>
      </w:r>
      <w:r w:rsidR="00BC55C0" w:rsidRPr="00931D46">
        <w:rPr>
          <w:rFonts w:ascii="Arial" w:hAnsi="Arial" w:cs="Arial"/>
        </w:rPr>
        <w:t xml:space="preserve">van </w:t>
      </w:r>
      <w:r w:rsidRPr="00931D46">
        <w:rPr>
          <w:rFonts w:ascii="Arial" w:hAnsi="Arial" w:cs="Arial"/>
        </w:rPr>
        <w:t>agregan</w:t>
      </w:r>
      <w:r w:rsidR="00BC55C0" w:rsidRPr="00931D46">
        <w:rPr>
          <w:rFonts w:ascii="Arial" w:hAnsi="Arial" w:cs="Arial"/>
        </w:rPr>
        <w:t>do</w:t>
      </w:r>
      <w:r w:rsidRPr="00931D46">
        <w:rPr>
          <w:rFonts w:ascii="Arial" w:hAnsi="Arial" w:cs="Arial"/>
        </w:rPr>
        <w:t xml:space="preserve"> </w:t>
      </w:r>
      <w:r w:rsidR="00330363">
        <w:rPr>
          <w:rFonts w:ascii="Arial" w:hAnsi="Arial" w:cs="Arial"/>
        </w:rPr>
        <w:t>productos</w:t>
      </w:r>
      <w:r w:rsidRPr="00931D46">
        <w:rPr>
          <w:rFonts w:ascii="Arial" w:hAnsi="Arial" w:cs="Arial"/>
        </w:rPr>
        <w:t xml:space="preserve"> aplicando la </w:t>
      </w:r>
      <w:r w:rsidR="007E26D7" w:rsidRPr="00931D46">
        <w:rPr>
          <w:rFonts w:ascii="Arial" w:hAnsi="Arial" w:cs="Arial"/>
        </w:rPr>
        <w:t>P</w:t>
      </w:r>
      <w:r w:rsidRPr="00931D46">
        <w:rPr>
          <w:rFonts w:ascii="Arial" w:hAnsi="Arial" w:cs="Arial"/>
        </w:rPr>
        <w:t xml:space="preserve">rueba </w:t>
      </w:r>
      <w:r w:rsidR="007E26D7" w:rsidRPr="00931D46">
        <w:rPr>
          <w:rFonts w:ascii="Arial" w:hAnsi="Arial" w:cs="Arial"/>
        </w:rPr>
        <w:t>SSNIP</w:t>
      </w:r>
      <w:r w:rsidRPr="00931D46">
        <w:rPr>
          <w:rFonts w:ascii="Arial" w:hAnsi="Arial" w:cs="Arial"/>
        </w:rPr>
        <w:t xml:space="preserve">. </w:t>
      </w:r>
      <w:r w:rsidR="007E26D7" w:rsidRPr="00931D46">
        <w:rPr>
          <w:rFonts w:ascii="Arial" w:hAnsi="Arial" w:cs="Arial"/>
        </w:rPr>
        <w:t xml:space="preserve">Asimismo, </w:t>
      </w:r>
      <w:r w:rsidRPr="00931D46">
        <w:rPr>
          <w:rFonts w:ascii="Arial" w:hAnsi="Arial" w:cs="Arial"/>
        </w:rPr>
        <w:t xml:space="preserve">se emplea </w:t>
      </w:r>
      <w:r w:rsidR="007E26D7" w:rsidRPr="00931D46">
        <w:rPr>
          <w:rFonts w:ascii="Arial" w:hAnsi="Arial" w:cs="Arial"/>
        </w:rPr>
        <w:t xml:space="preserve">evidencia que </w:t>
      </w:r>
      <w:r w:rsidRPr="00931D46">
        <w:rPr>
          <w:rFonts w:ascii="Arial" w:hAnsi="Arial" w:cs="Arial"/>
        </w:rPr>
        <w:t xml:space="preserve">proviene de: </w:t>
      </w:r>
    </w:p>
    <w:p w14:paraId="25B610A3" w14:textId="77777777" w:rsidR="0023353F" w:rsidRPr="00931D46" w:rsidRDefault="0023353F" w:rsidP="0023353F">
      <w:pPr>
        <w:spacing w:before="0" w:after="0"/>
        <w:rPr>
          <w:rFonts w:ascii="Arial" w:hAnsi="Arial" w:cs="Arial"/>
        </w:rPr>
      </w:pPr>
    </w:p>
    <w:p w14:paraId="54A909CA" w14:textId="77777777"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Encuestas a consumidores.</w:t>
      </w:r>
    </w:p>
    <w:p w14:paraId="73E97CA5" w14:textId="77777777"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Datos o información de estudios</w:t>
      </w:r>
      <w:r w:rsidRPr="00931D46" w:rsidDel="00A55099">
        <w:rPr>
          <w:rFonts w:ascii="Arial" w:hAnsi="Arial" w:cs="Arial"/>
        </w:rPr>
        <w:t xml:space="preserve"> </w:t>
      </w:r>
      <w:r w:rsidRPr="00931D46">
        <w:rPr>
          <w:rFonts w:ascii="Arial" w:hAnsi="Arial" w:cs="Arial"/>
        </w:rPr>
        <w:t>recientes del mercado, por ejemplo, estimaciones de elasticidades de la demanda.</w:t>
      </w:r>
    </w:p>
    <w:p w14:paraId="5F5FC638" w14:textId="77777777"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Comportamiento de usuarios ante cambios en la estructura del mercado, por ejemplo, ante la entrada de un nuevo proveedor.</w:t>
      </w:r>
    </w:p>
    <w:p w14:paraId="78442AFB" w14:textId="77777777"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Información de los proveedores sobre el comportamiento de los consumidores.</w:t>
      </w:r>
    </w:p>
    <w:p w14:paraId="6A31DAD0" w14:textId="1EBB8B61"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 xml:space="preserve">Costos de cambio a </w:t>
      </w:r>
      <w:r w:rsidR="0074338A" w:rsidRPr="00931D46">
        <w:rPr>
          <w:rFonts w:ascii="Arial" w:hAnsi="Arial" w:cs="Arial"/>
        </w:rPr>
        <w:t xml:space="preserve">otros </w:t>
      </w:r>
      <w:r w:rsidR="00330363">
        <w:rPr>
          <w:rFonts w:ascii="Arial" w:hAnsi="Arial" w:cs="Arial"/>
        </w:rPr>
        <w:t>productos</w:t>
      </w:r>
      <w:r w:rsidRPr="00931D46">
        <w:rPr>
          <w:rFonts w:ascii="Arial" w:hAnsi="Arial" w:cs="Arial"/>
        </w:rPr>
        <w:t xml:space="preserve">, el tiempo requerido, así como las características y ubicación de los </w:t>
      </w:r>
      <w:r w:rsidR="00330363">
        <w:rPr>
          <w:rFonts w:ascii="Arial" w:hAnsi="Arial" w:cs="Arial"/>
        </w:rPr>
        <w:t>productos</w:t>
      </w:r>
      <w:r w:rsidRPr="00931D46">
        <w:rPr>
          <w:rFonts w:ascii="Arial" w:hAnsi="Arial" w:cs="Arial"/>
        </w:rPr>
        <w:t>.</w:t>
      </w:r>
    </w:p>
    <w:p w14:paraId="15A452AE" w14:textId="77777777" w:rsidR="00800E42" w:rsidRPr="00931D46" w:rsidRDefault="00800E42" w:rsidP="00942BD7">
      <w:pPr>
        <w:pStyle w:val="Prrafodelista"/>
        <w:numPr>
          <w:ilvl w:val="0"/>
          <w:numId w:val="47"/>
        </w:numPr>
        <w:spacing w:before="0" w:after="0"/>
        <w:ind w:hanging="578"/>
        <w:contextualSpacing w:val="0"/>
        <w:rPr>
          <w:rFonts w:ascii="Arial" w:hAnsi="Arial" w:cs="Arial"/>
        </w:rPr>
      </w:pPr>
      <w:r w:rsidRPr="00931D46">
        <w:rPr>
          <w:rFonts w:ascii="Arial" w:hAnsi="Arial" w:cs="Arial"/>
        </w:rPr>
        <w:t>Información provista por expertos de la industria, consultores, ex ejecutivos, proveedores de complementos o distribuidores.</w:t>
      </w:r>
    </w:p>
    <w:p w14:paraId="5C048D04" w14:textId="77777777" w:rsidR="00800E42" w:rsidRPr="00931D46" w:rsidRDefault="00800E42" w:rsidP="0023353F">
      <w:pPr>
        <w:spacing w:before="0" w:after="0"/>
        <w:rPr>
          <w:rFonts w:ascii="Arial" w:hAnsi="Arial" w:cs="Arial"/>
        </w:rPr>
      </w:pPr>
    </w:p>
    <w:p w14:paraId="35A2A7F2" w14:textId="278C1198" w:rsidR="00800E42" w:rsidRPr="00931D46" w:rsidRDefault="00957B0C" w:rsidP="0023353F">
      <w:pPr>
        <w:spacing w:before="0" w:after="0"/>
        <w:rPr>
          <w:rFonts w:ascii="Arial" w:hAnsi="Arial" w:cs="Arial"/>
        </w:rPr>
      </w:pPr>
      <w:r>
        <w:rPr>
          <w:rFonts w:ascii="Arial" w:hAnsi="Arial" w:cs="Arial"/>
        </w:rPr>
        <w:t>La posibilidad</w:t>
      </w:r>
      <w:r w:rsidR="0058070B" w:rsidRPr="00931D46">
        <w:rPr>
          <w:rFonts w:ascii="Arial" w:hAnsi="Arial" w:cs="Arial"/>
        </w:rPr>
        <w:t xml:space="preserve"> de </w:t>
      </w:r>
      <w:r w:rsidR="00800E42" w:rsidRPr="00931D46">
        <w:rPr>
          <w:rFonts w:ascii="Arial" w:hAnsi="Arial" w:cs="Arial"/>
        </w:rPr>
        <w:t>sustitución por el lado de la oferta requiere que las empresas posean: i) instalaciones de producción; ii) conocimientos tecnológicos (</w:t>
      </w:r>
      <w:r w:rsidR="00800E42" w:rsidRPr="00931D46">
        <w:rPr>
          <w:rFonts w:ascii="Arial" w:hAnsi="Arial" w:cs="Arial"/>
          <w:i/>
        </w:rPr>
        <w:t>know how</w:t>
      </w:r>
      <w:r w:rsidR="007E26D7" w:rsidRPr="00931D46">
        <w:rPr>
          <w:rFonts w:ascii="Arial" w:hAnsi="Arial" w:cs="Arial"/>
        </w:rPr>
        <w:t>, en inglés</w:t>
      </w:r>
      <w:r w:rsidR="00800E42" w:rsidRPr="00931D46">
        <w:rPr>
          <w:rFonts w:ascii="Arial" w:hAnsi="Arial" w:cs="Arial"/>
        </w:rPr>
        <w:t xml:space="preserve">); </w:t>
      </w:r>
      <w:r w:rsidR="007E26D7" w:rsidRPr="00931D46">
        <w:rPr>
          <w:rFonts w:ascii="Arial" w:hAnsi="Arial" w:cs="Arial"/>
        </w:rPr>
        <w:t xml:space="preserve">y </w:t>
      </w:r>
      <w:r w:rsidR="00800E42" w:rsidRPr="00931D46">
        <w:rPr>
          <w:rFonts w:ascii="Arial" w:hAnsi="Arial" w:cs="Arial"/>
        </w:rPr>
        <w:t>iii) can</w:t>
      </w:r>
      <w:r w:rsidR="007E26D7" w:rsidRPr="00931D46">
        <w:rPr>
          <w:rFonts w:ascii="Arial" w:hAnsi="Arial" w:cs="Arial"/>
        </w:rPr>
        <w:t>ales de distribución y mercadeo.</w:t>
      </w:r>
      <w:r w:rsidR="00800E42" w:rsidRPr="00931D46">
        <w:rPr>
          <w:rFonts w:ascii="Arial" w:hAnsi="Arial" w:cs="Arial"/>
        </w:rPr>
        <w:t xml:space="preserve"> Asimismo, deben tener la capacidad de re</w:t>
      </w:r>
      <w:r w:rsidR="0015319E" w:rsidRPr="00931D46">
        <w:rPr>
          <w:rFonts w:ascii="Arial" w:hAnsi="Arial" w:cs="Arial"/>
        </w:rPr>
        <w:t>configurar</w:t>
      </w:r>
      <w:r w:rsidR="00800E42" w:rsidRPr="00931D46">
        <w:rPr>
          <w:rFonts w:ascii="Arial" w:hAnsi="Arial" w:cs="Arial"/>
        </w:rPr>
        <w:t xml:space="preserve"> su producción rápidamente y sin costos significativos. La evidencia de la sustitución por el lado de la </w:t>
      </w:r>
      <w:r w:rsidR="00D87B30" w:rsidRPr="00931D46">
        <w:rPr>
          <w:rFonts w:ascii="Arial" w:hAnsi="Arial" w:cs="Arial"/>
        </w:rPr>
        <w:t xml:space="preserve">oferta </w:t>
      </w:r>
      <w:r w:rsidR="00800E42" w:rsidRPr="00931D46">
        <w:rPr>
          <w:rFonts w:ascii="Arial" w:hAnsi="Arial" w:cs="Arial"/>
        </w:rPr>
        <w:t xml:space="preserve">se puede obtener de: </w:t>
      </w:r>
    </w:p>
    <w:p w14:paraId="3C11D26B" w14:textId="77777777" w:rsidR="0023353F" w:rsidRPr="00931D46" w:rsidRDefault="0023353F" w:rsidP="0023353F">
      <w:pPr>
        <w:spacing w:before="0" w:after="0"/>
        <w:rPr>
          <w:rFonts w:ascii="Arial" w:hAnsi="Arial" w:cs="Arial"/>
        </w:rPr>
      </w:pPr>
    </w:p>
    <w:p w14:paraId="12C2351B" w14:textId="77777777" w:rsidR="00800E42" w:rsidRPr="00931D46" w:rsidRDefault="00800E42" w:rsidP="00942BD7">
      <w:pPr>
        <w:pStyle w:val="Prrafodelista"/>
        <w:numPr>
          <w:ilvl w:val="0"/>
          <w:numId w:val="48"/>
        </w:numPr>
        <w:spacing w:before="0" w:after="0"/>
        <w:ind w:hanging="578"/>
        <w:contextualSpacing w:val="0"/>
        <w:rPr>
          <w:rFonts w:ascii="Arial" w:hAnsi="Arial" w:cs="Arial"/>
        </w:rPr>
      </w:pPr>
      <w:r w:rsidRPr="00931D46">
        <w:rPr>
          <w:rFonts w:ascii="Arial" w:hAnsi="Arial" w:cs="Arial"/>
        </w:rPr>
        <w:t>Opiniones de expertos en la industria y en la tecnología.</w:t>
      </w:r>
    </w:p>
    <w:p w14:paraId="3F7C054E" w14:textId="77777777" w:rsidR="00800E42" w:rsidRPr="00931D46" w:rsidRDefault="00800E42" w:rsidP="00942BD7">
      <w:pPr>
        <w:pStyle w:val="Prrafodelista"/>
        <w:numPr>
          <w:ilvl w:val="0"/>
          <w:numId w:val="48"/>
        </w:numPr>
        <w:spacing w:before="0" w:after="0"/>
        <w:ind w:hanging="578"/>
        <w:contextualSpacing w:val="0"/>
        <w:rPr>
          <w:rFonts w:ascii="Arial" w:hAnsi="Arial" w:cs="Arial"/>
        </w:rPr>
      </w:pPr>
      <w:r w:rsidRPr="00931D46">
        <w:rPr>
          <w:rFonts w:ascii="Arial" w:hAnsi="Arial" w:cs="Arial"/>
        </w:rPr>
        <w:t>Comportamiento pasado de los participantes en el mercado ante cambios estructurales del mercado.</w:t>
      </w:r>
    </w:p>
    <w:p w14:paraId="13E45988" w14:textId="77777777" w:rsidR="00800E42" w:rsidRPr="00931D46" w:rsidRDefault="00800E42" w:rsidP="00942BD7">
      <w:pPr>
        <w:pStyle w:val="Prrafodelista"/>
        <w:numPr>
          <w:ilvl w:val="0"/>
          <w:numId w:val="48"/>
        </w:numPr>
        <w:spacing w:before="0" w:after="0"/>
        <w:ind w:hanging="578"/>
        <w:contextualSpacing w:val="0"/>
        <w:rPr>
          <w:rFonts w:ascii="Arial" w:hAnsi="Arial" w:cs="Arial"/>
        </w:rPr>
      </w:pPr>
      <w:r w:rsidRPr="00931D46">
        <w:rPr>
          <w:rFonts w:ascii="Arial" w:hAnsi="Arial" w:cs="Arial"/>
        </w:rPr>
        <w:t xml:space="preserve">Respuestas de los participantes en el mercado ante el comportamiento de </w:t>
      </w:r>
      <w:r w:rsidR="00FF69E1" w:rsidRPr="00931D46">
        <w:rPr>
          <w:rFonts w:ascii="Arial" w:hAnsi="Arial" w:cs="Arial"/>
        </w:rPr>
        <w:t xml:space="preserve">precios de los </w:t>
      </w:r>
      <w:r w:rsidRPr="00931D46">
        <w:rPr>
          <w:rFonts w:ascii="Arial" w:hAnsi="Arial" w:cs="Arial"/>
        </w:rPr>
        <w:t>competidores.</w:t>
      </w:r>
    </w:p>
    <w:p w14:paraId="3A4B61DE" w14:textId="77777777" w:rsidR="00800E42" w:rsidRPr="00931D46" w:rsidRDefault="00800E42" w:rsidP="0023353F">
      <w:pPr>
        <w:spacing w:before="0" w:after="0"/>
        <w:rPr>
          <w:rFonts w:ascii="Arial" w:hAnsi="Arial" w:cs="Arial"/>
        </w:rPr>
      </w:pPr>
    </w:p>
    <w:p w14:paraId="78F6429C"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bookmarkStart w:id="74" w:name="_Toc41924496"/>
      <w:r w:rsidRPr="00931D46">
        <w:rPr>
          <w:rFonts w:ascii="Arial" w:eastAsia="Times New Roman" w:hAnsi="Arial" w:cs="Arial"/>
          <w:b/>
          <w:color w:val="auto"/>
          <w:sz w:val="26"/>
          <w:szCs w:val="26"/>
          <w:lang w:eastAsia="es-MX"/>
        </w:rPr>
        <w:t>Unión Europea</w:t>
      </w:r>
      <w:bookmarkEnd w:id="74"/>
    </w:p>
    <w:p w14:paraId="1A664705" w14:textId="77777777" w:rsidR="00800E42" w:rsidRPr="00931D46" w:rsidRDefault="00800E42" w:rsidP="0023353F">
      <w:pPr>
        <w:spacing w:before="0" w:after="0"/>
        <w:ind w:right="49"/>
        <w:rPr>
          <w:rFonts w:ascii="Arial" w:hAnsi="Arial" w:cs="Arial"/>
          <w:szCs w:val="20"/>
        </w:rPr>
      </w:pPr>
    </w:p>
    <w:p w14:paraId="60BF5777" w14:textId="4DCDEAE1" w:rsidR="00800E42" w:rsidRPr="00931D46" w:rsidRDefault="00800E42" w:rsidP="0023353F">
      <w:pPr>
        <w:spacing w:before="0" w:after="0"/>
        <w:ind w:right="49"/>
        <w:rPr>
          <w:rFonts w:ascii="Arial" w:hAnsi="Arial" w:cs="Arial"/>
          <w:szCs w:val="20"/>
        </w:rPr>
      </w:pPr>
      <w:r w:rsidRPr="00931D46">
        <w:rPr>
          <w:rFonts w:ascii="Arial" w:hAnsi="Arial" w:cs="Arial"/>
          <w:szCs w:val="20"/>
        </w:rPr>
        <w:t xml:space="preserve">La CE señala </w:t>
      </w:r>
      <w:r w:rsidR="007E26D7" w:rsidRPr="00931D46">
        <w:rPr>
          <w:rFonts w:ascii="Arial" w:hAnsi="Arial" w:cs="Arial"/>
          <w:szCs w:val="20"/>
        </w:rPr>
        <w:t xml:space="preserve">que </w:t>
      </w:r>
      <w:r w:rsidRPr="00931D46">
        <w:rPr>
          <w:rFonts w:ascii="Arial" w:hAnsi="Arial" w:cs="Arial"/>
          <w:szCs w:val="20"/>
        </w:rPr>
        <w:t xml:space="preserve">la dimensión </w:t>
      </w:r>
      <w:r w:rsidR="00330363">
        <w:rPr>
          <w:rFonts w:ascii="Arial" w:hAnsi="Arial" w:cs="Arial"/>
          <w:szCs w:val="20"/>
        </w:rPr>
        <w:t>producto</w:t>
      </w:r>
      <w:r w:rsidRPr="00931D46">
        <w:rPr>
          <w:rFonts w:ascii="Arial" w:hAnsi="Arial" w:cs="Arial"/>
          <w:szCs w:val="20"/>
        </w:rPr>
        <w:t xml:space="preserve"> abarca todos los </w:t>
      </w:r>
      <w:r w:rsidR="00330363">
        <w:rPr>
          <w:rFonts w:ascii="Arial" w:hAnsi="Arial" w:cs="Arial"/>
          <w:szCs w:val="20"/>
        </w:rPr>
        <w:t>productos</w:t>
      </w:r>
      <w:r w:rsidRPr="00931D46">
        <w:rPr>
          <w:rFonts w:ascii="Arial" w:hAnsi="Arial" w:cs="Arial"/>
          <w:szCs w:val="20"/>
        </w:rPr>
        <w:t xml:space="preserve"> que son suficientemente intercambiables o sustituibles, no solo por sus características objetivas, sus precios o su uso previsto, sino también por las condiciones de competencia o la estructura de la oferta y la demanda en el mercado de que se trate.</w:t>
      </w:r>
      <w:r w:rsidRPr="00931D46">
        <w:rPr>
          <w:rStyle w:val="Refdenotaalpie"/>
          <w:rFonts w:ascii="Arial" w:hAnsi="Arial" w:cs="Arial"/>
          <w:szCs w:val="20"/>
        </w:rPr>
        <w:t xml:space="preserve"> </w:t>
      </w:r>
    </w:p>
    <w:p w14:paraId="278B6977" w14:textId="77777777" w:rsidR="00800E42" w:rsidRPr="00931D46" w:rsidRDefault="00800E42" w:rsidP="0023353F">
      <w:pPr>
        <w:spacing w:before="0" w:after="0"/>
        <w:ind w:right="49"/>
        <w:rPr>
          <w:rFonts w:ascii="Arial" w:hAnsi="Arial" w:cs="Arial"/>
          <w:szCs w:val="20"/>
        </w:rPr>
      </w:pPr>
    </w:p>
    <w:p w14:paraId="2A59D006" w14:textId="1A01E3E9" w:rsidR="00800E42" w:rsidRPr="00931D46" w:rsidRDefault="00800E42" w:rsidP="0023353F">
      <w:pPr>
        <w:spacing w:before="0" w:after="0"/>
        <w:ind w:right="49"/>
        <w:rPr>
          <w:rFonts w:ascii="Arial" w:hAnsi="Arial" w:cs="Arial"/>
          <w:szCs w:val="20"/>
        </w:rPr>
      </w:pPr>
      <w:r w:rsidRPr="00931D46">
        <w:rPr>
          <w:rFonts w:ascii="Arial" w:hAnsi="Arial" w:cs="Arial"/>
          <w:szCs w:val="20"/>
        </w:rPr>
        <w:t xml:space="preserve">En cuanto a la sustitución por el lado de la demanda, la CE señala que las características de los </w:t>
      </w:r>
      <w:r w:rsidR="00330363">
        <w:rPr>
          <w:rFonts w:ascii="Arial" w:hAnsi="Arial" w:cs="Arial"/>
          <w:szCs w:val="20"/>
        </w:rPr>
        <w:t>productos</w:t>
      </w:r>
      <w:r w:rsidRPr="00931D46">
        <w:rPr>
          <w:rFonts w:ascii="Arial" w:hAnsi="Arial" w:cs="Arial"/>
          <w:szCs w:val="20"/>
        </w:rPr>
        <w:t xml:space="preserve"> y su uso previsto permiten, en un primer paso, delimitar el conjunto de posibles sustitutos a investigar, </w:t>
      </w:r>
      <w:r w:rsidR="00693EB8" w:rsidRPr="00931D46">
        <w:rPr>
          <w:rFonts w:ascii="Arial" w:hAnsi="Arial" w:cs="Arial"/>
          <w:szCs w:val="20"/>
        </w:rPr>
        <w:t>y pueden</w:t>
      </w:r>
      <w:r w:rsidRPr="00931D46">
        <w:rPr>
          <w:rFonts w:ascii="Arial" w:hAnsi="Arial" w:cs="Arial"/>
          <w:szCs w:val="20"/>
        </w:rPr>
        <w:t xml:space="preserve"> añad</w:t>
      </w:r>
      <w:r w:rsidR="00693EB8" w:rsidRPr="00931D46">
        <w:rPr>
          <w:rFonts w:ascii="Arial" w:hAnsi="Arial" w:cs="Arial"/>
          <w:szCs w:val="20"/>
        </w:rPr>
        <w:t>irse</w:t>
      </w:r>
      <w:r w:rsidRPr="00931D46">
        <w:rPr>
          <w:rFonts w:ascii="Arial" w:hAnsi="Arial" w:cs="Arial"/>
          <w:szCs w:val="20"/>
        </w:rPr>
        <w:t xml:space="preserve"> los siguientes elementos</w:t>
      </w:r>
      <w:r w:rsidR="0074338A" w:rsidRPr="00931D46">
        <w:rPr>
          <w:rFonts w:ascii="Arial" w:hAnsi="Arial" w:cs="Arial"/>
          <w:szCs w:val="20"/>
        </w:rPr>
        <w:t>:</w:t>
      </w:r>
      <w:r w:rsidR="00B30280" w:rsidRPr="00931D46">
        <w:rPr>
          <w:rStyle w:val="Refdenotaalpie"/>
          <w:rFonts w:ascii="Arial" w:hAnsi="Arial" w:cs="Arial"/>
          <w:lang w:eastAsia="es-MX"/>
        </w:rPr>
        <w:footnoteReference w:id="108"/>
      </w:r>
    </w:p>
    <w:p w14:paraId="528E4F32" w14:textId="77777777" w:rsidR="0023353F" w:rsidRPr="00931D46" w:rsidRDefault="0023353F" w:rsidP="0023353F">
      <w:pPr>
        <w:spacing w:before="0" w:after="0"/>
        <w:ind w:right="49"/>
        <w:rPr>
          <w:rFonts w:ascii="Arial" w:hAnsi="Arial" w:cs="Arial"/>
          <w:szCs w:val="20"/>
        </w:rPr>
      </w:pPr>
    </w:p>
    <w:p w14:paraId="388102E9" w14:textId="77777777" w:rsidR="00800E42" w:rsidRPr="00931D46" w:rsidRDefault="00800E42"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Evidencia de sustitución en el pasado reciente.</w:t>
      </w:r>
    </w:p>
    <w:p w14:paraId="48598501" w14:textId="77777777" w:rsidR="00800E42" w:rsidRPr="00931D46" w:rsidRDefault="00800E42"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Evidencia cuantitativa de pruebas que involucran elasticidades de la demanda, similitud de la evolución de precios en el tiempo o causalidad.</w:t>
      </w:r>
    </w:p>
    <w:p w14:paraId="2D504178" w14:textId="77777777" w:rsidR="00800E42" w:rsidRPr="00931D46" w:rsidRDefault="00FA45EC"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Opiniones</w:t>
      </w:r>
      <w:r w:rsidR="00800E42" w:rsidRPr="00931D46">
        <w:rPr>
          <w:rFonts w:ascii="Arial" w:hAnsi="Arial" w:cs="Arial"/>
          <w:szCs w:val="20"/>
        </w:rPr>
        <w:t xml:space="preserve"> e información aportada por los consumidores y competidores.</w:t>
      </w:r>
    </w:p>
    <w:p w14:paraId="7AEC64B8" w14:textId="77777777" w:rsidR="00800E42" w:rsidRPr="00931D46" w:rsidRDefault="00800E42"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Preferencias de los consumidores e información que aportan al respecto estudios de mercado o encuestas.</w:t>
      </w:r>
    </w:p>
    <w:p w14:paraId="59E0D5A9" w14:textId="77777777" w:rsidR="00800E42" w:rsidRPr="00931D46" w:rsidRDefault="00C65DE4"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Limitaciones</w:t>
      </w:r>
      <w:r w:rsidR="00800E42" w:rsidRPr="00931D46">
        <w:rPr>
          <w:rFonts w:ascii="Arial" w:hAnsi="Arial" w:cs="Arial"/>
          <w:szCs w:val="20"/>
        </w:rPr>
        <w:t xml:space="preserve"> y costos de cambiar a sustitutos potenciales.</w:t>
      </w:r>
    </w:p>
    <w:p w14:paraId="2171A71D" w14:textId="77777777" w:rsidR="00800E42" w:rsidRPr="00931D46" w:rsidRDefault="00800E42" w:rsidP="00942BD7">
      <w:pPr>
        <w:pStyle w:val="Prrafodelista"/>
        <w:numPr>
          <w:ilvl w:val="0"/>
          <w:numId w:val="49"/>
        </w:numPr>
        <w:spacing w:before="0" w:after="0"/>
        <w:ind w:right="49" w:hanging="578"/>
        <w:contextualSpacing w:val="0"/>
        <w:rPr>
          <w:rFonts w:ascii="Arial" w:hAnsi="Arial" w:cs="Arial"/>
          <w:szCs w:val="20"/>
        </w:rPr>
      </w:pPr>
      <w:r w:rsidRPr="00931D46">
        <w:rPr>
          <w:rFonts w:ascii="Arial" w:hAnsi="Arial" w:cs="Arial"/>
          <w:szCs w:val="20"/>
        </w:rPr>
        <w:t>Existencia de distintas categorías de consumidores y discriminación de precios.</w:t>
      </w:r>
      <w:r w:rsidRPr="00931D46">
        <w:rPr>
          <w:rStyle w:val="Refdenotaalpie"/>
          <w:rFonts w:ascii="Arial" w:hAnsi="Arial" w:cs="Arial"/>
          <w:szCs w:val="20"/>
        </w:rPr>
        <w:footnoteReference w:id="109"/>
      </w:r>
    </w:p>
    <w:p w14:paraId="2024BA89" w14:textId="77777777" w:rsidR="00800E42" w:rsidRPr="00931D46" w:rsidRDefault="00800E42" w:rsidP="0023353F">
      <w:pPr>
        <w:spacing w:before="0" w:after="0"/>
        <w:ind w:right="49"/>
        <w:rPr>
          <w:rFonts w:ascii="Arial" w:hAnsi="Arial" w:cs="Arial"/>
          <w:szCs w:val="20"/>
        </w:rPr>
      </w:pPr>
    </w:p>
    <w:p w14:paraId="3C14D9AF" w14:textId="77777777" w:rsidR="0074338A" w:rsidRPr="00931D46" w:rsidRDefault="00800E42" w:rsidP="0023353F">
      <w:pPr>
        <w:spacing w:before="0" w:after="0"/>
        <w:ind w:right="49"/>
        <w:rPr>
          <w:rFonts w:ascii="Arial" w:hAnsi="Arial" w:cs="Arial"/>
          <w:szCs w:val="20"/>
        </w:rPr>
      </w:pPr>
      <w:r w:rsidRPr="00931D46">
        <w:rPr>
          <w:rFonts w:ascii="Arial" w:hAnsi="Arial" w:cs="Arial"/>
          <w:szCs w:val="20"/>
        </w:rPr>
        <w:t xml:space="preserve">Para la sustitución por el lado de la oferta, la CE señala que se debe considerar la probabilidad de que proveedores no activos pudieran </w:t>
      </w:r>
      <w:r w:rsidR="00793BB9" w:rsidRPr="00931D46">
        <w:rPr>
          <w:rFonts w:ascii="Arial" w:hAnsi="Arial" w:cs="Arial"/>
          <w:szCs w:val="20"/>
        </w:rPr>
        <w:t>participar</w:t>
      </w:r>
      <w:r w:rsidRPr="00931D46">
        <w:rPr>
          <w:rFonts w:ascii="Arial" w:hAnsi="Arial" w:cs="Arial"/>
          <w:szCs w:val="20"/>
        </w:rPr>
        <w:t xml:space="preserve"> en el </w:t>
      </w:r>
      <w:r w:rsidR="0074338A" w:rsidRPr="00931D46">
        <w:rPr>
          <w:rFonts w:ascii="Arial" w:hAnsi="Arial" w:cs="Arial"/>
          <w:szCs w:val="20"/>
        </w:rPr>
        <w:t>MR</w:t>
      </w:r>
      <w:r w:rsidRPr="00931D46">
        <w:rPr>
          <w:rFonts w:ascii="Arial" w:hAnsi="Arial" w:cs="Arial"/>
          <w:szCs w:val="20"/>
        </w:rPr>
        <w:t xml:space="preserve"> en un horizonte temporal breve. Para ello, su </w:t>
      </w:r>
      <w:r w:rsidR="00793BB9" w:rsidRPr="00931D46">
        <w:rPr>
          <w:rFonts w:ascii="Arial" w:hAnsi="Arial" w:cs="Arial"/>
          <w:szCs w:val="20"/>
        </w:rPr>
        <w:t xml:space="preserve">participación </w:t>
      </w:r>
      <w:r w:rsidRPr="00931D46">
        <w:rPr>
          <w:rFonts w:ascii="Arial" w:hAnsi="Arial" w:cs="Arial"/>
          <w:szCs w:val="20"/>
        </w:rPr>
        <w:t xml:space="preserve">no debe estar obstaculizada por </w:t>
      </w:r>
      <w:r w:rsidR="002978D8" w:rsidRPr="00931D46">
        <w:rPr>
          <w:rFonts w:ascii="Arial" w:hAnsi="Arial" w:cs="Arial"/>
          <w:szCs w:val="20"/>
        </w:rPr>
        <w:t xml:space="preserve">la necesidad de incurrir en </w:t>
      </w:r>
      <w:r w:rsidRPr="00931D46">
        <w:rPr>
          <w:rFonts w:ascii="Arial" w:hAnsi="Arial" w:cs="Arial"/>
          <w:szCs w:val="20"/>
        </w:rPr>
        <w:t xml:space="preserve">altos costos hundidos y la adaptación de su sistema productivo debe ser factible. </w:t>
      </w:r>
    </w:p>
    <w:p w14:paraId="06EFE618" w14:textId="77777777" w:rsidR="0074338A" w:rsidRPr="00931D46" w:rsidRDefault="0074338A" w:rsidP="0023353F">
      <w:pPr>
        <w:spacing w:before="0" w:after="0"/>
        <w:ind w:right="49"/>
        <w:rPr>
          <w:rFonts w:ascii="Arial" w:hAnsi="Arial" w:cs="Arial"/>
          <w:szCs w:val="20"/>
        </w:rPr>
      </w:pPr>
    </w:p>
    <w:p w14:paraId="3C5AE030" w14:textId="058C0493" w:rsidR="00800E42" w:rsidRPr="00931D46" w:rsidRDefault="002978D8" w:rsidP="0023353F">
      <w:pPr>
        <w:spacing w:before="0" w:after="0"/>
        <w:ind w:right="49"/>
        <w:rPr>
          <w:rFonts w:ascii="Arial" w:hAnsi="Arial" w:cs="Arial"/>
          <w:color w:val="000000"/>
        </w:rPr>
      </w:pPr>
      <w:r w:rsidRPr="00931D46">
        <w:rPr>
          <w:rFonts w:ascii="Arial" w:hAnsi="Arial" w:cs="Arial"/>
          <w:szCs w:val="20"/>
        </w:rPr>
        <w:t>L</w:t>
      </w:r>
      <w:r w:rsidR="00800E42" w:rsidRPr="00931D46">
        <w:rPr>
          <w:rFonts w:ascii="Arial" w:hAnsi="Arial" w:cs="Arial"/>
          <w:szCs w:val="20"/>
        </w:rPr>
        <w:t xml:space="preserve">a CE señala que la sustituibilidad </w:t>
      </w:r>
      <w:r w:rsidR="00F5565F" w:rsidRPr="00931D46">
        <w:rPr>
          <w:rFonts w:ascii="Arial" w:hAnsi="Arial" w:cs="Arial"/>
          <w:szCs w:val="20"/>
        </w:rPr>
        <w:t xml:space="preserve">por el lado de </w:t>
      </w:r>
      <w:r w:rsidR="00800E42" w:rsidRPr="00931D46">
        <w:rPr>
          <w:rFonts w:ascii="Arial" w:hAnsi="Arial" w:cs="Arial"/>
          <w:szCs w:val="20"/>
        </w:rPr>
        <w:t xml:space="preserve">la oferta es particularmente </w:t>
      </w:r>
      <w:r w:rsidRPr="00931D46">
        <w:rPr>
          <w:rFonts w:ascii="Arial" w:hAnsi="Arial" w:cs="Arial"/>
          <w:szCs w:val="20"/>
        </w:rPr>
        <w:t>releva</w:t>
      </w:r>
      <w:r w:rsidR="00800E42" w:rsidRPr="00931D46">
        <w:rPr>
          <w:rFonts w:ascii="Arial" w:hAnsi="Arial" w:cs="Arial"/>
          <w:szCs w:val="20"/>
        </w:rPr>
        <w:t>nte para las industrias de redes, tales como la de comunicaciones electrónicas, ya que una misma red puede utilizarse para prestar diferentes tipos de servicios</w:t>
      </w:r>
      <w:r w:rsidR="00800E42" w:rsidRPr="00931D46">
        <w:rPr>
          <w:rFonts w:ascii="Arial" w:hAnsi="Arial" w:cs="Arial"/>
          <w:i/>
          <w:szCs w:val="20"/>
        </w:rPr>
        <w:t>.</w:t>
      </w:r>
      <w:r w:rsidR="0074338A" w:rsidRPr="00931D46">
        <w:rPr>
          <w:rFonts w:ascii="Arial" w:eastAsia="Times New Roman" w:hAnsi="Arial" w:cs="Arial"/>
          <w:vertAlign w:val="superscript"/>
          <w:lang w:eastAsia="es-MX"/>
        </w:rPr>
        <w:footnoteReference w:id="110"/>
      </w:r>
      <w:r w:rsidR="0074338A" w:rsidRPr="00931D46">
        <w:rPr>
          <w:rFonts w:ascii="Arial" w:hAnsi="Arial" w:cs="Arial"/>
          <w:i/>
          <w:szCs w:val="20"/>
        </w:rPr>
        <w:t xml:space="preserve"> </w:t>
      </w:r>
      <w:r w:rsidR="0074338A" w:rsidRPr="00931D46">
        <w:rPr>
          <w:rFonts w:ascii="Arial" w:hAnsi="Arial" w:cs="Arial"/>
          <w:szCs w:val="20"/>
        </w:rPr>
        <w:t>Asimismo</w:t>
      </w:r>
      <w:r w:rsidR="00800E42" w:rsidRPr="00931D46">
        <w:rPr>
          <w:rFonts w:ascii="Arial" w:hAnsi="Arial" w:cs="Arial"/>
          <w:color w:val="000000"/>
        </w:rPr>
        <w:t xml:space="preserve">, la CE advierte que las fronteras geográficas del MR pueden ampliarse para tomar en consideración </w:t>
      </w:r>
      <w:r w:rsidR="00330363">
        <w:rPr>
          <w:rFonts w:ascii="Arial" w:hAnsi="Arial" w:cs="Arial"/>
          <w:color w:val="000000"/>
        </w:rPr>
        <w:t>productos</w:t>
      </w:r>
      <w:r w:rsidR="00800E42" w:rsidRPr="00931D46">
        <w:rPr>
          <w:rFonts w:ascii="Arial" w:hAnsi="Arial" w:cs="Arial"/>
          <w:color w:val="000000"/>
        </w:rPr>
        <w:t xml:space="preserve"> que, aunque no sean directamente sustitutos, deberían incluirse en el MR a causa de </w:t>
      </w:r>
      <w:r w:rsidR="00F5565F" w:rsidRPr="00931D46">
        <w:rPr>
          <w:rFonts w:ascii="Arial" w:hAnsi="Arial" w:cs="Arial"/>
          <w:color w:val="000000"/>
        </w:rPr>
        <w:t xml:space="preserve">cadenas de </w:t>
      </w:r>
      <w:r w:rsidR="00800E42" w:rsidRPr="00931D46">
        <w:rPr>
          <w:rFonts w:ascii="Arial" w:hAnsi="Arial" w:cs="Arial"/>
          <w:color w:val="000000"/>
        </w:rPr>
        <w:t>sustitución.</w:t>
      </w:r>
    </w:p>
    <w:p w14:paraId="0557777E" w14:textId="77777777" w:rsidR="00800E42" w:rsidRPr="00931D46" w:rsidRDefault="00800E42" w:rsidP="0023353F">
      <w:pPr>
        <w:spacing w:before="0" w:after="0"/>
        <w:ind w:right="49"/>
        <w:rPr>
          <w:rFonts w:ascii="Arial" w:hAnsi="Arial" w:cs="Arial"/>
          <w:i/>
          <w:szCs w:val="20"/>
        </w:rPr>
      </w:pPr>
    </w:p>
    <w:p w14:paraId="078FDF63" w14:textId="77777777" w:rsidR="00800E42" w:rsidRPr="00931D46" w:rsidRDefault="00800E42" w:rsidP="0023353F">
      <w:pPr>
        <w:spacing w:before="0" w:after="0"/>
        <w:ind w:right="49"/>
        <w:rPr>
          <w:rFonts w:ascii="Arial" w:hAnsi="Arial" w:cs="Arial"/>
          <w:szCs w:val="20"/>
        </w:rPr>
      </w:pPr>
      <w:r w:rsidRPr="00931D46">
        <w:rPr>
          <w:rFonts w:ascii="Arial" w:hAnsi="Arial" w:cs="Arial"/>
          <w:szCs w:val="20"/>
        </w:rPr>
        <w:t xml:space="preserve">Como ejemplos de la aplicación de los criterios señalados, </w:t>
      </w:r>
      <w:r w:rsidR="0074338A" w:rsidRPr="00931D46">
        <w:rPr>
          <w:rFonts w:ascii="Arial" w:hAnsi="Arial" w:cs="Arial"/>
          <w:szCs w:val="20"/>
        </w:rPr>
        <w:t xml:space="preserve">a continuación, </w:t>
      </w:r>
      <w:r w:rsidRPr="00931D46">
        <w:rPr>
          <w:rFonts w:ascii="Arial" w:hAnsi="Arial" w:cs="Arial"/>
          <w:szCs w:val="20"/>
        </w:rPr>
        <w:t xml:space="preserve">se </w:t>
      </w:r>
      <w:r w:rsidR="0074338A" w:rsidRPr="00931D46">
        <w:rPr>
          <w:rFonts w:ascii="Arial" w:hAnsi="Arial" w:cs="Arial"/>
          <w:szCs w:val="20"/>
        </w:rPr>
        <w:t>resumen</w:t>
      </w:r>
      <w:r w:rsidRPr="00931D46">
        <w:rPr>
          <w:rFonts w:ascii="Arial" w:hAnsi="Arial" w:cs="Arial"/>
          <w:szCs w:val="20"/>
        </w:rPr>
        <w:t xml:space="preserve"> los siguientes casos:</w:t>
      </w:r>
    </w:p>
    <w:p w14:paraId="35799ECD" w14:textId="77777777" w:rsidR="0023353F" w:rsidRPr="00931D46" w:rsidRDefault="0023353F" w:rsidP="0023353F">
      <w:pPr>
        <w:spacing w:before="0" w:after="0"/>
        <w:ind w:right="49"/>
        <w:rPr>
          <w:rFonts w:ascii="Arial" w:hAnsi="Arial" w:cs="Arial"/>
          <w:szCs w:val="20"/>
        </w:rPr>
      </w:pPr>
    </w:p>
    <w:p w14:paraId="15CDDD0A" w14:textId="77777777" w:rsidR="00800E42" w:rsidRPr="00931D46" w:rsidRDefault="00800E42" w:rsidP="00942BD7">
      <w:pPr>
        <w:pStyle w:val="Prrafodelista"/>
        <w:numPr>
          <w:ilvl w:val="0"/>
          <w:numId w:val="54"/>
        </w:numPr>
        <w:spacing w:before="0" w:after="0"/>
        <w:ind w:right="49" w:hanging="578"/>
        <w:contextualSpacing w:val="0"/>
        <w:rPr>
          <w:rFonts w:ascii="Arial" w:hAnsi="Arial" w:cs="Arial"/>
          <w:szCs w:val="20"/>
        </w:rPr>
      </w:pPr>
      <w:r w:rsidRPr="00931D46">
        <w:rPr>
          <w:rFonts w:ascii="Arial" w:hAnsi="Arial" w:cs="Arial"/>
          <w:szCs w:val="20"/>
        </w:rPr>
        <w:t xml:space="preserve">En </w:t>
      </w:r>
      <w:r w:rsidR="0074338A" w:rsidRPr="00931D46">
        <w:rPr>
          <w:rFonts w:ascii="Arial" w:hAnsi="Arial" w:cs="Arial"/>
          <w:szCs w:val="20"/>
        </w:rPr>
        <w:t>la concentración</w:t>
      </w:r>
      <w:r w:rsidRPr="00931D46">
        <w:rPr>
          <w:rFonts w:ascii="Arial" w:hAnsi="Arial" w:cs="Arial"/>
          <w:szCs w:val="20"/>
        </w:rPr>
        <w:t xml:space="preserve"> Liberty Global/Virgin Media,</w:t>
      </w:r>
      <w:r w:rsidRPr="00931D46">
        <w:rPr>
          <w:rStyle w:val="Refdenotaalpie"/>
          <w:rFonts w:ascii="Arial" w:hAnsi="Arial" w:cs="Arial"/>
          <w:szCs w:val="20"/>
        </w:rPr>
        <w:footnoteReference w:id="111"/>
      </w:r>
      <w:r w:rsidRPr="00931D46">
        <w:rPr>
          <w:rFonts w:ascii="Arial" w:hAnsi="Arial" w:cs="Arial"/>
          <w:szCs w:val="20"/>
        </w:rPr>
        <w:t xml:space="preserve"> uno de los MR definidos por la CE fue el </w:t>
      </w:r>
      <w:r w:rsidR="00793BB9" w:rsidRPr="00931D46">
        <w:rPr>
          <w:rFonts w:ascii="Arial" w:hAnsi="Arial" w:cs="Arial"/>
          <w:szCs w:val="20"/>
        </w:rPr>
        <w:t>STAR</w:t>
      </w:r>
      <w:r w:rsidRPr="00931D46">
        <w:rPr>
          <w:rFonts w:ascii="Arial" w:hAnsi="Arial" w:cs="Arial"/>
          <w:szCs w:val="20"/>
        </w:rPr>
        <w:t>. Por el lado de la demanda</w:t>
      </w:r>
      <w:r w:rsidR="0074338A" w:rsidRPr="00931D46">
        <w:rPr>
          <w:rFonts w:ascii="Arial" w:hAnsi="Arial" w:cs="Arial"/>
          <w:szCs w:val="20"/>
        </w:rPr>
        <w:t>,</w:t>
      </w:r>
      <w:r w:rsidRPr="00931D46">
        <w:rPr>
          <w:rFonts w:ascii="Arial" w:hAnsi="Arial" w:cs="Arial"/>
          <w:szCs w:val="20"/>
        </w:rPr>
        <w:t xml:space="preserve"> </w:t>
      </w:r>
      <w:r w:rsidR="0074338A" w:rsidRPr="00931D46">
        <w:rPr>
          <w:rFonts w:ascii="Arial" w:hAnsi="Arial" w:cs="Arial"/>
          <w:szCs w:val="20"/>
        </w:rPr>
        <w:t xml:space="preserve">la CE </w:t>
      </w:r>
      <w:r w:rsidRPr="00931D46">
        <w:rPr>
          <w:rFonts w:ascii="Arial" w:hAnsi="Arial" w:cs="Arial"/>
          <w:szCs w:val="20"/>
        </w:rPr>
        <w:t xml:space="preserve">analizó cómo los usuarios eligen y/o sustituyen a su proveedor de contenido, considerando elementos como: i) precios, ii) calidad del contenido, iii) </w:t>
      </w:r>
      <w:r w:rsidR="0074338A" w:rsidRPr="00931D46">
        <w:rPr>
          <w:rFonts w:ascii="Arial" w:hAnsi="Arial" w:cs="Arial"/>
          <w:szCs w:val="20"/>
        </w:rPr>
        <w:t xml:space="preserve">canales gratuitos y </w:t>
      </w:r>
      <w:r w:rsidRPr="00931D46">
        <w:rPr>
          <w:rFonts w:ascii="Arial" w:hAnsi="Arial" w:cs="Arial"/>
          <w:szCs w:val="20"/>
        </w:rPr>
        <w:t>iv) existencia de restricciones u obstáculos geográficos para cambiar de proveedor.</w:t>
      </w:r>
    </w:p>
    <w:p w14:paraId="15A595D0" w14:textId="77777777" w:rsidR="00DD7A92" w:rsidRPr="00931D46" w:rsidRDefault="00800E42" w:rsidP="00942BD7">
      <w:pPr>
        <w:pStyle w:val="Prrafodelista"/>
        <w:numPr>
          <w:ilvl w:val="0"/>
          <w:numId w:val="54"/>
        </w:numPr>
        <w:spacing w:before="0" w:after="0"/>
        <w:ind w:right="49" w:hanging="578"/>
        <w:contextualSpacing w:val="0"/>
        <w:rPr>
          <w:rFonts w:ascii="Arial" w:hAnsi="Arial" w:cs="Arial"/>
          <w:szCs w:val="20"/>
        </w:rPr>
      </w:pPr>
      <w:r w:rsidRPr="00931D46">
        <w:rPr>
          <w:rFonts w:ascii="Arial" w:hAnsi="Arial" w:cs="Arial"/>
          <w:szCs w:val="20"/>
        </w:rPr>
        <w:t>En el caso Vodafone/</w:t>
      </w:r>
      <w:r w:rsidR="0074338A" w:rsidRPr="00931D46">
        <w:rPr>
          <w:rFonts w:ascii="Arial" w:hAnsi="Arial" w:cs="Arial"/>
          <w:szCs w:val="20"/>
        </w:rPr>
        <w:t xml:space="preserve">Certain </w:t>
      </w:r>
      <w:r w:rsidRPr="00931D46">
        <w:rPr>
          <w:rFonts w:ascii="Arial" w:hAnsi="Arial" w:cs="Arial"/>
          <w:szCs w:val="20"/>
        </w:rPr>
        <w:t>Liberty Global</w:t>
      </w:r>
      <w:r w:rsidR="0074338A" w:rsidRPr="00931D46">
        <w:rPr>
          <w:rFonts w:ascii="Arial" w:hAnsi="Arial" w:cs="Arial"/>
          <w:szCs w:val="20"/>
        </w:rPr>
        <w:t xml:space="preserve"> Assets,</w:t>
      </w:r>
      <w:r w:rsidRPr="00931D46">
        <w:rPr>
          <w:rStyle w:val="Refdenotaalpie"/>
          <w:rFonts w:ascii="Arial" w:hAnsi="Arial" w:cs="Arial"/>
          <w:szCs w:val="20"/>
        </w:rPr>
        <w:footnoteReference w:id="112"/>
      </w:r>
      <w:r w:rsidRPr="00931D46">
        <w:rPr>
          <w:rFonts w:ascii="Arial" w:hAnsi="Arial" w:cs="Arial"/>
          <w:szCs w:val="20"/>
        </w:rPr>
        <w:t xml:space="preserve"> la CE delimitó, entre otros, los MR minoristas de acceso a </w:t>
      </w:r>
      <w:r w:rsidR="0074338A" w:rsidRPr="00931D46">
        <w:rPr>
          <w:rFonts w:ascii="Arial" w:hAnsi="Arial" w:cs="Arial"/>
          <w:szCs w:val="20"/>
        </w:rPr>
        <w:t>I</w:t>
      </w:r>
      <w:r w:rsidRPr="00931D46">
        <w:rPr>
          <w:rFonts w:ascii="Arial" w:hAnsi="Arial" w:cs="Arial"/>
          <w:szCs w:val="20"/>
        </w:rPr>
        <w:t xml:space="preserve">nternet fijo y de </w:t>
      </w:r>
      <w:r w:rsidR="00793BB9" w:rsidRPr="00931D46">
        <w:rPr>
          <w:rFonts w:ascii="Arial" w:hAnsi="Arial" w:cs="Arial"/>
          <w:szCs w:val="20"/>
        </w:rPr>
        <w:t>servicios de telecomunicaciones móviles</w:t>
      </w:r>
      <w:r w:rsidRPr="00931D46">
        <w:rPr>
          <w:rFonts w:ascii="Arial" w:hAnsi="Arial" w:cs="Arial"/>
          <w:szCs w:val="20"/>
        </w:rPr>
        <w:t>.</w:t>
      </w:r>
    </w:p>
    <w:p w14:paraId="0C71037D" w14:textId="1E737C2D" w:rsidR="00DD7A92" w:rsidRPr="00931D46" w:rsidRDefault="00DD7A92" w:rsidP="00DD7A92">
      <w:pPr>
        <w:pStyle w:val="Prrafodelista"/>
        <w:spacing w:before="0" w:after="0"/>
        <w:ind w:right="49"/>
        <w:contextualSpacing w:val="0"/>
        <w:rPr>
          <w:rFonts w:ascii="Arial" w:hAnsi="Arial" w:cs="Arial"/>
          <w:szCs w:val="20"/>
        </w:rPr>
      </w:pPr>
      <w:r w:rsidRPr="00931D46">
        <w:rPr>
          <w:rFonts w:ascii="Arial" w:hAnsi="Arial" w:cs="Arial"/>
          <w:szCs w:val="20"/>
        </w:rPr>
        <w:t>En la delimitación del MR de acceso a internet fijo, la CE consideró que los servicios de acceso a internet fijo provistos por medio de infraestructura de redes móviles no son sustitutos de los servicios provistos a través de redes fijas (DSL, cable y fibra) debido a, entre otros elementos</w:t>
      </w:r>
      <w:r w:rsidR="00800E42" w:rsidRPr="00931D46">
        <w:rPr>
          <w:rFonts w:ascii="Arial" w:hAnsi="Arial" w:cs="Arial"/>
          <w:szCs w:val="20"/>
        </w:rPr>
        <w:t xml:space="preserve">: i) diferencias en niveles de precios y calidad, </w:t>
      </w:r>
      <w:r w:rsidR="00C17D90" w:rsidRPr="00931D46">
        <w:rPr>
          <w:rFonts w:ascii="Arial" w:hAnsi="Arial" w:cs="Arial"/>
          <w:szCs w:val="20"/>
        </w:rPr>
        <w:t xml:space="preserve">y </w:t>
      </w:r>
      <w:r w:rsidR="00800E42" w:rsidRPr="00931D46">
        <w:rPr>
          <w:rFonts w:ascii="Arial" w:hAnsi="Arial" w:cs="Arial"/>
          <w:szCs w:val="20"/>
        </w:rPr>
        <w:t xml:space="preserve">ii) diferencias en políticas de precios (los precios de servicios </w:t>
      </w:r>
      <w:r w:rsidRPr="00931D46">
        <w:rPr>
          <w:rFonts w:ascii="Arial" w:hAnsi="Arial" w:cs="Arial"/>
          <w:szCs w:val="20"/>
        </w:rPr>
        <w:t xml:space="preserve">a través de redes </w:t>
      </w:r>
      <w:r w:rsidR="00800E42" w:rsidRPr="00931D46">
        <w:rPr>
          <w:rFonts w:ascii="Arial" w:hAnsi="Arial" w:cs="Arial"/>
          <w:szCs w:val="20"/>
        </w:rPr>
        <w:t>móviles se establecen con base en volumen, mientras que los de servicios fijos con base en velocidades de descarga).</w:t>
      </w:r>
    </w:p>
    <w:p w14:paraId="669F8B5B" w14:textId="77777777" w:rsidR="00DD7A92" w:rsidRPr="00931D46" w:rsidRDefault="00DD7A92" w:rsidP="00DD7A92">
      <w:pPr>
        <w:pStyle w:val="Prrafodelista"/>
        <w:spacing w:before="0" w:after="0"/>
        <w:ind w:right="49"/>
        <w:contextualSpacing w:val="0"/>
        <w:rPr>
          <w:rFonts w:ascii="Arial" w:hAnsi="Arial" w:cs="Arial"/>
          <w:szCs w:val="20"/>
        </w:rPr>
      </w:pPr>
    </w:p>
    <w:p w14:paraId="11B1FDB3" w14:textId="7CAB21BC" w:rsidR="00800E42" w:rsidRPr="00931D46" w:rsidRDefault="00DD7A92" w:rsidP="00DD7A92">
      <w:pPr>
        <w:pStyle w:val="Prrafodelista"/>
        <w:spacing w:before="0" w:after="0"/>
        <w:ind w:right="49"/>
        <w:contextualSpacing w:val="0"/>
        <w:rPr>
          <w:rFonts w:ascii="Arial" w:hAnsi="Arial" w:cs="Arial"/>
        </w:rPr>
      </w:pPr>
      <w:r w:rsidRPr="00931D46">
        <w:rPr>
          <w:rFonts w:ascii="Arial" w:hAnsi="Arial" w:cs="Arial"/>
          <w:szCs w:val="20"/>
        </w:rPr>
        <w:t>En la delimitación del MR de servicios de telecomunicaciones móviles, la CE consideró</w:t>
      </w:r>
      <w:r w:rsidR="00800E42" w:rsidRPr="00931D46">
        <w:rPr>
          <w:rFonts w:ascii="Arial" w:hAnsi="Arial" w:cs="Arial"/>
          <w:szCs w:val="20"/>
        </w:rPr>
        <w:t xml:space="preserve"> que los servicios móviles provistos a usuarios individuales y </w:t>
      </w:r>
      <w:r w:rsidR="00800E42" w:rsidRPr="00931D46">
        <w:rPr>
          <w:rFonts w:ascii="Arial" w:hAnsi="Arial" w:cs="Arial"/>
        </w:rPr>
        <w:t xml:space="preserve">negocios no constituyen mercados separados, </w:t>
      </w:r>
      <w:r w:rsidRPr="00931D46">
        <w:rPr>
          <w:rFonts w:ascii="Arial" w:hAnsi="Arial" w:cs="Arial"/>
        </w:rPr>
        <w:t xml:space="preserve">debido a que, si bien existen diferencias por el lado de la demanda entre los servicios, existe sustitución por el lado de la oferta, pues los oferentes de servicios en un segmento pueden ofrecer servicios al otro </w:t>
      </w:r>
      <w:r w:rsidR="00957B0C">
        <w:rPr>
          <w:rFonts w:ascii="Arial" w:hAnsi="Arial" w:cs="Arial"/>
        </w:rPr>
        <w:t xml:space="preserve">segmento </w:t>
      </w:r>
      <w:r w:rsidRPr="00931D46">
        <w:rPr>
          <w:rFonts w:ascii="Arial" w:hAnsi="Arial" w:cs="Arial"/>
        </w:rPr>
        <w:t>en un periodo razonable sin incurrir en costos adicionales significativos</w:t>
      </w:r>
      <w:r w:rsidR="00800E42" w:rsidRPr="00931D46">
        <w:rPr>
          <w:rFonts w:ascii="Arial" w:hAnsi="Arial" w:cs="Arial"/>
        </w:rPr>
        <w:t>.</w:t>
      </w:r>
    </w:p>
    <w:p w14:paraId="745E751F" w14:textId="77777777" w:rsidR="00800E42" w:rsidRPr="00931D46" w:rsidRDefault="00800E42" w:rsidP="0023353F">
      <w:pPr>
        <w:spacing w:before="0" w:after="0"/>
        <w:ind w:right="49"/>
        <w:rPr>
          <w:rFonts w:ascii="Arial" w:hAnsi="Arial" w:cs="Arial"/>
          <w:szCs w:val="20"/>
        </w:rPr>
      </w:pPr>
    </w:p>
    <w:p w14:paraId="66C00FD5" w14:textId="77777777" w:rsidR="00800E42" w:rsidRPr="00931D46" w:rsidRDefault="00800E42" w:rsidP="00931D46">
      <w:pPr>
        <w:pStyle w:val="Ttulo3"/>
        <w:keepLines w:val="0"/>
        <w:numPr>
          <w:ilvl w:val="2"/>
          <w:numId w:val="3"/>
        </w:numPr>
        <w:spacing w:before="0"/>
        <w:ind w:left="1701"/>
        <w:rPr>
          <w:rFonts w:ascii="Arial" w:eastAsia="Times New Roman" w:hAnsi="Arial" w:cs="Arial"/>
          <w:b/>
          <w:color w:val="auto"/>
          <w:sz w:val="26"/>
          <w:szCs w:val="26"/>
          <w:lang w:eastAsia="es-MX"/>
        </w:rPr>
      </w:pPr>
      <w:bookmarkStart w:id="75" w:name="_Toc41924497"/>
      <w:r w:rsidRPr="00931D46">
        <w:rPr>
          <w:rFonts w:ascii="Arial" w:eastAsia="Times New Roman" w:hAnsi="Arial" w:cs="Arial"/>
          <w:b/>
          <w:color w:val="auto"/>
          <w:sz w:val="26"/>
          <w:szCs w:val="26"/>
          <w:lang w:eastAsia="es-MX"/>
        </w:rPr>
        <w:t>Reino Unido</w:t>
      </w:r>
      <w:bookmarkEnd w:id="75"/>
    </w:p>
    <w:p w14:paraId="712C5C08" w14:textId="77777777" w:rsidR="00800E42" w:rsidRPr="00931D46" w:rsidRDefault="00800E42" w:rsidP="00931D46">
      <w:pPr>
        <w:keepNext/>
        <w:spacing w:before="0" w:after="0"/>
        <w:rPr>
          <w:rFonts w:ascii="Arial" w:hAnsi="Arial" w:cs="Arial"/>
        </w:rPr>
      </w:pPr>
    </w:p>
    <w:p w14:paraId="4DD39033" w14:textId="50D01A98" w:rsidR="00800E42" w:rsidRPr="00931D46" w:rsidRDefault="00800E42" w:rsidP="0023353F">
      <w:pPr>
        <w:spacing w:before="0" w:after="0"/>
        <w:rPr>
          <w:rFonts w:ascii="Arial" w:hAnsi="Arial" w:cs="Arial"/>
        </w:rPr>
      </w:pPr>
      <w:r w:rsidRPr="00931D46">
        <w:rPr>
          <w:rFonts w:ascii="Arial" w:hAnsi="Arial" w:cs="Arial"/>
        </w:rPr>
        <w:t xml:space="preserve">La </w:t>
      </w:r>
      <w:r w:rsidR="00C17D90" w:rsidRPr="00931D46">
        <w:rPr>
          <w:rFonts w:ascii="Arial" w:hAnsi="Arial" w:cs="Arial"/>
        </w:rPr>
        <w:t>autoridad de competencia</w:t>
      </w:r>
      <w:r w:rsidRPr="00931D46">
        <w:rPr>
          <w:rFonts w:ascii="Arial" w:hAnsi="Arial" w:cs="Arial"/>
        </w:rPr>
        <w:t xml:space="preserve"> señala que la delimitación del MR por el lado de la demanda usualmente toma como punto de partida el </w:t>
      </w:r>
      <w:r w:rsidR="00330363">
        <w:rPr>
          <w:rFonts w:ascii="Arial" w:hAnsi="Arial" w:cs="Arial"/>
        </w:rPr>
        <w:t>producto</w:t>
      </w:r>
      <w:r w:rsidRPr="00931D46">
        <w:rPr>
          <w:rFonts w:ascii="Arial" w:hAnsi="Arial" w:cs="Arial"/>
        </w:rPr>
        <w:t xml:space="preserve"> focal y se amplía con base en el marco conceptual de la </w:t>
      </w:r>
      <w:r w:rsidR="0054322B" w:rsidRPr="00931D46">
        <w:rPr>
          <w:rFonts w:ascii="Arial" w:hAnsi="Arial" w:cs="Arial"/>
        </w:rPr>
        <w:t>P</w:t>
      </w:r>
      <w:r w:rsidRPr="00931D46">
        <w:rPr>
          <w:rFonts w:ascii="Arial" w:hAnsi="Arial" w:cs="Arial"/>
        </w:rPr>
        <w:t xml:space="preserve">rueba </w:t>
      </w:r>
      <w:r w:rsidR="00C17D90" w:rsidRPr="00931D46">
        <w:rPr>
          <w:rFonts w:ascii="Arial" w:hAnsi="Arial" w:cs="Arial"/>
        </w:rPr>
        <w:t>SSNIP</w:t>
      </w:r>
      <w:r w:rsidRPr="00931D46">
        <w:rPr>
          <w:rFonts w:ascii="Arial" w:hAnsi="Arial" w:cs="Arial"/>
        </w:rPr>
        <w:t xml:space="preserve"> (en caso de que esta no result</w:t>
      </w:r>
      <w:r w:rsidR="00957B0C">
        <w:rPr>
          <w:rFonts w:ascii="Arial" w:hAnsi="Arial" w:cs="Arial"/>
        </w:rPr>
        <w:t>e</w:t>
      </w:r>
      <w:r w:rsidRPr="00931D46">
        <w:rPr>
          <w:rFonts w:ascii="Arial" w:hAnsi="Arial" w:cs="Arial"/>
        </w:rPr>
        <w:t xml:space="preserve"> aplicable</w:t>
      </w:r>
      <w:r w:rsidR="00115005" w:rsidRPr="00931D46">
        <w:rPr>
          <w:rFonts w:ascii="Arial" w:hAnsi="Arial" w:cs="Arial"/>
        </w:rPr>
        <w:t xml:space="preserve"> de manera empírica</w:t>
      </w:r>
      <w:r w:rsidRPr="00931D46">
        <w:rPr>
          <w:rFonts w:ascii="Arial" w:hAnsi="Arial" w:cs="Arial"/>
        </w:rPr>
        <w:t xml:space="preserve">). Además, señala que: </w:t>
      </w:r>
    </w:p>
    <w:p w14:paraId="484FC094" w14:textId="77777777" w:rsidR="0023353F" w:rsidRPr="00931D46" w:rsidRDefault="0023353F" w:rsidP="0023353F">
      <w:pPr>
        <w:spacing w:before="0" w:after="0"/>
        <w:rPr>
          <w:rFonts w:ascii="Arial" w:hAnsi="Arial" w:cs="Arial"/>
        </w:rPr>
      </w:pPr>
    </w:p>
    <w:p w14:paraId="369BD59E" w14:textId="77777777" w:rsidR="00800E42" w:rsidRPr="00931D46" w:rsidRDefault="00800E42" w:rsidP="00942BD7">
      <w:pPr>
        <w:pStyle w:val="Prrafodelista"/>
        <w:numPr>
          <w:ilvl w:val="0"/>
          <w:numId w:val="50"/>
        </w:numPr>
        <w:spacing w:before="0" w:after="0"/>
        <w:ind w:hanging="578"/>
        <w:contextualSpacing w:val="0"/>
        <w:rPr>
          <w:rFonts w:ascii="Arial" w:hAnsi="Arial" w:cs="Arial"/>
        </w:rPr>
      </w:pPr>
      <w:r w:rsidRPr="00931D46">
        <w:rPr>
          <w:rFonts w:ascii="Arial" w:hAnsi="Arial" w:cs="Arial"/>
        </w:rPr>
        <w:t>En la práctica, la delimitación del MR requiere balancear varios tipos de evidencia.</w:t>
      </w:r>
    </w:p>
    <w:p w14:paraId="135EDECD" w14:textId="40295D3E" w:rsidR="00800E42" w:rsidRPr="00931D46" w:rsidRDefault="00800E42" w:rsidP="00942BD7">
      <w:pPr>
        <w:pStyle w:val="Prrafodelista"/>
        <w:numPr>
          <w:ilvl w:val="0"/>
          <w:numId w:val="50"/>
        </w:numPr>
        <w:spacing w:before="0" w:after="0"/>
        <w:ind w:hanging="578"/>
        <w:contextualSpacing w:val="0"/>
        <w:rPr>
          <w:rFonts w:ascii="Arial" w:hAnsi="Arial" w:cs="Arial"/>
        </w:rPr>
      </w:pPr>
      <w:r w:rsidRPr="00931D46">
        <w:rPr>
          <w:rFonts w:ascii="Arial" w:hAnsi="Arial" w:cs="Arial"/>
        </w:rPr>
        <w:t xml:space="preserve">Los </w:t>
      </w:r>
      <w:r w:rsidR="00330363">
        <w:rPr>
          <w:rFonts w:ascii="Arial" w:hAnsi="Arial" w:cs="Arial"/>
        </w:rPr>
        <w:t>productos</w:t>
      </w:r>
      <w:r w:rsidRPr="00931D46">
        <w:rPr>
          <w:rFonts w:ascii="Arial" w:hAnsi="Arial" w:cs="Arial"/>
        </w:rPr>
        <w:t xml:space="preserve"> sustitutos no necesariamente tienen que ser idénticos, sino que solo es necesario demostrar que </w:t>
      </w:r>
      <w:r w:rsidRPr="00931D46">
        <w:rPr>
          <w:rFonts w:ascii="Arial" w:hAnsi="Arial" w:cs="Arial"/>
          <w:i/>
        </w:rPr>
        <w:t>el precio de uno limita suficientemente el precio del otro.</w:t>
      </w:r>
      <w:r w:rsidR="00C17D90" w:rsidRPr="00931D46">
        <w:rPr>
          <w:rStyle w:val="Refdenotaalpie"/>
          <w:rFonts w:ascii="Arial" w:hAnsi="Arial" w:cs="Arial"/>
        </w:rPr>
        <w:footnoteReference w:id="113"/>
      </w:r>
    </w:p>
    <w:p w14:paraId="39960E21" w14:textId="77777777" w:rsidR="00C17D90" w:rsidRPr="00931D46" w:rsidRDefault="00C17D90" w:rsidP="0023353F">
      <w:pPr>
        <w:spacing w:before="0" w:after="0"/>
        <w:rPr>
          <w:rFonts w:ascii="Arial" w:hAnsi="Arial" w:cs="Arial"/>
        </w:rPr>
      </w:pPr>
    </w:p>
    <w:p w14:paraId="4CA8CF8B" w14:textId="7E8833CC" w:rsidR="00800E42" w:rsidRPr="00931D46" w:rsidRDefault="00800E42" w:rsidP="0023353F">
      <w:pPr>
        <w:spacing w:before="0" w:after="0"/>
        <w:rPr>
          <w:rFonts w:ascii="Arial" w:hAnsi="Arial" w:cs="Arial"/>
        </w:rPr>
      </w:pPr>
      <w:r w:rsidRPr="00931D46">
        <w:rPr>
          <w:rFonts w:ascii="Arial" w:hAnsi="Arial" w:cs="Arial"/>
        </w:rPr>
        <w:t xml:space="preserve">En cuanto a la evidencia de sustitución por el lado de la demanda, la </w:t>
      </w:r>
      <w:r w:rsidR="006D33BB" w:rsidRPr="00931D46">
        <w:rPr>
          <w:rFonts w:ascii="Arial" w:hAnsi="Arial" w:cs="Arial"/>
        </w:rPr>
        <w:t>autoridad de competencia</w:t>
      </w:r>
      <w:r w:rsidR="00326833" w:rsidRPr="00931D46">
        <w:rPr>
          <w:rFonts w:ascii="Arial" w:hAnsi="Arial" w:cs="Arial"/>
        </w:rPr>
        <w:t xml:space="preserve"> </w:t>
      </w:r>
      <w:r w:rsidRPr="00931D46">
        <w:rPr>
          <w:rFonts w:ascii="Arial" w:hAnsi="Arial" w:cs="Arial"/>
        </w:rPr>
        <w:t>señal</w:t>
      </w:r>
      <w:r w:rsidR="006D33BB" w:rsidRPr="00931D46">
        <w:rPr>
          <w:rFonts w:ascii="Arial" w:hAnsi="Arial" w:cs="Arial"/>
        </w:rPr>
        <w:t>ó</w:t>
      </w:r>
      <w:r w:rsidRPr="00931D46">
        <w:rPr>
          <w:rFonts w:ascii="Arial" w:hAnsi="Arial" w:cs="Arial"/>
        </w:rPr>
        <w:t xml:space="preserve"> </w:t>
      </w:r>
      <w:r w:rsidR="00AB30F4" w:rsidRPr="00931D46">
        <w:rPr>
          <w:rFonts w:ascii="Arial" w:hAnsi="Arial" w:cs="Arial"/>
        </w:rPr>
        <w:t>los siguientes elementos</w:t>
      </w:r>
      <w:r w:rsidRPr="00931D46">
        <w:rPr>
          <w:rFonts w:ascii="Arial" w:hAnsi="Arial" w:cs="Arial"/>
        </w:rPr>
        <w:t xml:space="preserve">: i) </w:t>
      </w:r>
      <w:r w:rsidRPr="00931D46">
        <w:rPr>
          <w:rFonts w:ascii="Arial" w:hAnsi="Arial" w:cs="Arial"/>
          <w:szCs w:val="16"/>
        </w:rPr>
        <w:t xml:space="preserve">estrategias comerciales e información de las empresas activas en el mercado, ii) entrevistas a </w:t>
      </w:r>
      <w:r w:rsidR="00817529" w:rsidRPr="00931D46">
        <w:rPr>
          <w:rFonts w:ascii="Arial" w:hAnsi="Arial" w:cs="Arial"/>
          <w:szCs w:val="16"/>
        </w:rPr>
        <w:t xml:space="preserve">consumidores </w:t>
      </w:r>
      <w:r w:rsidRPr="00931D46">
        <w:rPr>
          <w:rFonts w:ascii="Arial" w:hAnsi="Arial" w:cs="Arial"/>
          <w:szCs w:val="16"/>
        </w:rPr>
        <w:t>y competidores, iii) c</w:t>
      </w:r>
      <w:r w:rsidRPr="00931D46">
        <w:rPr>
          <w:rFonts w:ascii="Arial" w:hAnsi="Arial" w:cs="Arial"/>
        </w:rPr>
        <w:t xml:space="preserve">ostos de cambio entre </w:t>
      </w:r>
      <w:r w:rsidR="00330363">
        <w:rPr>
          <w:rFonts w:ascii="Arial" w:hAnsi="Arial" w:cs="Arial"/>
        </w:rPr>
        <w:t>productos</w:t>
      </w:r>
      <w:r w:rsidRPr="00931D46">
        <w:rPr>
          <w:rFonts w:ascii="Arial" w:hAnsi="Arial" w:cs="Arial"/>
        </w:rPr>
        <w:t>, iv) c</w:t>
      </w:r>
      <w:r w:rsidRPr="00931D46">
        <w:rPr>
          <w:rFonts w:ascii="Arial" w:hAnsi="Arial" w:cs="Arial"/>
          <w:szCs w:val="16"/>
        </w:rPr>
        <w:t xml:space="preserve">aracterísticas de los </w:t>
      </w:r>
      <w:r w:rsidR="00330363">
        <w:rPr>
          <w:rFonts w:ascii="Arial" w:hAnsi="Arial" w:cs="Arial"/>
          <w:szCs w:val="16"/>
        </w:rPr>
        <w:t>productos</w:t>
      </w:r>
      <w:r w:rsidRPr="00931D46">
        <w:rPr>
          <w:rFonts w:ascii="Arial" w:hAnsi="Arial" w:cs="Arial"/>
          <w:szCs w:val="16"/>
        </w:rPr>
        <w:t>, v) patrones de cambios en los precios, vi) elasticidad de la demanda propia y cruzada, vii) análisis de pérdida crítica</w:t>
      </w:r>
      <w:r w:rsidR="00D177CB" w:rsidRPr="00931D46">
        <w:rPr>
          <w:rFonts w:ascii="Arial" w:hAnsi="Arial" w:cs="Arial"/>
          <w:szCs w:val="16"/>
        </w:rPr>
        <w:t xml:space="preserve">, viii) </w:t>
      </w:r>
      <w:r w:rsidR="009263AC" w:rsidRPr="00931D46">
        <w:rPr>
          <w:rFonts w:ascii="Arial" w:hAnsi="Arial" w:cs="Arial"/>
          <w:szCs w:val="16"/>
        </w:rPr>
        <w:t>cocientes</w:t>
      </w:r>
      <w:r w:rsidR="00D177CB" w:rsidRPr="00931D46">
        <w:rPr>
          <w:rFonts w:ascii="Arial" w:hAnsi="Arial" w:cs="Arial"/>
          <w:szCs w:val="16"/>
        </w:rPr>
        <w:t xml:space="preserve"> de desvío,</w:t>
      </w:r>
      <w:r w:rsidRPr="00931D46">
        <w:rPr>
          <w:rFonts w:ascii="Arial" w:hAnsi="Arial" w:cs="Arial"/>
          <w:szCs w:val="16"/>
        </w:rPr>
        <w:t xml:space="preserve"> y </w:t>
      </w:r>
      <w:r w:rsidR="00DE2F90" w:rsidRPr="00931D46">
        <w:rPr>
          <w:rFonts w:ascii="Arial" w:hAnsi="Arial" w:cs="Arial"/>
          <w:szCs w:val="16"/>
        </w:rPr>
        <w:t>ix</w:t>
      </w:r>
      <w:r w:rsidRPr="00931D46">
        <w:rPr>
          <w:rFonts w:ascii="Arial" w:hAnsi="Arial" w:cs="Arial"/>
          <w:szCs w:val="16"/>
        </w:rPr>
        <w:t>) relación precios-concentración del mercado. Otros elementos a considerar son la posibilidad de discriminar en precios entre grupos de usuarios y la sustitución en cadena.</w:t>
      </w:r>
    </w:p>
    <w:p w14:paraId="032EF33F" w14:textId="77777777" w:rsidR="00800E42" w:rsidRPr="00931D46" w:rsidRDefault="00800E42" w:rsidP="0023353F">
      <w:pPr>
        <w:spacing w:before="0" w:after="0"/>
        <w:rPr>
          <w:rFonts w:ascii="Arial" w:hAnsi="Arial" w:cs="Arial"/>
        </w:rPr>
      </w:pPr>
    </w:p>
    <w:p w14:paraId="3B367301" w14:textId="62BD4000" w:rsidR="00800E42" w:rsidRPr="00931D46" w:rsidRDefault="00800E42" w:rsidP="0023353F">
      <w:pPr>
        <w:spacing w:before="0" w:after="0"/>
        <w:rPr>
          <w:rFonts w:ascii="Arial" w:hAnsi="Arial" w:cs="Arial"/>
        </w:rPr>
      </w:pPr>
      <w:r w:rsidRPr="00931D46">
        <w:rPr>
          <w:rFonts w:ascii="Arial" w:hAnsi="Arial" w:cs="Arial"/>
        </w:rPr>
        <w:t xml:space="preserve">Por el lado de la oferta, se incluyen las empresas que ofrecen actualmente los </w:t>
      </w:r>
      <w:r w:rsidR="00330363">
        <w:rPr>
          <w:rFonts w:ascii="Arial" w:hAnsi="Arial" w:cs="Arial"/>
        </w:rPr>
        <w:t>productos</w:t>
      </w:r>
      <w:r w:rsidRPr="00931D46">
        <w:rPr>
          <w:rFonts w:ascii="Arial" w:hAnsi="Arial" w:cs="Arial"/>
        </w:rPr>
        <w:t xml:space="preserve"> y </w:t>
      </w:r>
      <w:r w:rsidRPr="00931D46">
        <w:rPr>
          <w:rFonts w:ascii="Arial" w:hAnsi="Arial" w:cs="Arial"/>
          <w:i/>
        </w:rPr>
        <w:t xml:space="preserve">las empresas que actualmente no suministran un producto pero </w:t>
      </w:r>
      <w:r w:rsidR="00EB6043" w:rsidRPr="00931D46">
        <w:rPr>
          <w:rFonts w:ascii="Arial" w:hAnsi="Arial" w:cs="Arial"/>
          <w:i/>
        </w:rPr>
        <w:t xml:space="preserve">que </w:t>
      </w:r>
      <w:r w:rsidRPr="00931D46">
        <w:rPr>
          <w:rFonts w:ascii="Arial" w:hAnsi="Arial" w:cs="Arial"/>
          <w:i/>
        </w:rPr>
        <w:t xml:space="preserve">podrían suministrarlo </w:t>
      </w:r>
      <w:r w:rsidR="00AB30F4" w:rsidRPr="00931D46">
        <w:rPr>
          <w:rFonts w:ascii="Arial" w:hAnsi="Arial" w:cs="Arial"/>
          <w:i/>
        </w:rPr>
        <w:t>en el</w:t>
      </w:r>
      <w:r w:rsidRPr="00931D46">
        <w:rPr>
          <w:rFonts w:ascii="Arial" w:hAnsi="Arial" w:cs="Arial"/>
          <w:i/>
        </w:rPr>
        <w:t xml:space="preserve"> corto plazo</w:t>
      </w:r>
      <w:r w:rsidR="00AB30F4" w:rsidRPr="00931D46">
        <w:rPr>
          <w:rFonts w:ascii="Arial" w:hAnsi="Arial" w:cs="Arial"/>
          <w:i/>
        </w:rPr>
        <w:t>.</w:t>
      </w:r>
      <w:r w:rsidRPr="00931D46">
        <w:rPr>
          <w:rFonts w:ascii="Arial" w:hAnsi="Arial" w:cs="Arial"/>
        </w:rPr>
        <w:t xml:space="preserve"> Para ello, se evalúa si la entrada: i) ocurriría rápidamente, ii) es efectiva (en escala suficiente para afectar los precios) y iii) no implica costos hundidos. </w:t>
      </w:r>
    </w:p>
    <w:p w14:paraId="32E6D345" w14:textId="77777777" w:rsidR="00800E42" w:rsidRPr="00931D46" w:rsidRDefault="00800E42" w:rsidP="0023353F">
      <w:pPr>
        <w:spacing w:before="0" w:after="0"/>
        <w:rPr>
          <w:rFonts w:ascii="Arial" w:hAnsi="Arial" w:cs="Arial"/>
        </w:rPr>
      </w:pPr>
    </w:p>
    <w:p w14:paraId="5C43C9BE" w14:textId="594657D9" w:rsidR="00800E42" w:rsidRPr="00931D46" w:rsidRDefault="00800E42" w:rsidP="0023353F">
      <w:pPr>
        <w:spacing w:before="0" w:after="0"/>
        <w:rPr>
          <w:rFonts w:ascii="Arial" w:hAnsi="Arial" w:cs="Arial"/>
        </w:rPr>
      </w:pPr>
      <w:r w:rsidRPr="00931D46">
        <w:rPr>
          <w:rFonts w:ascii="Arial" w:hAnsi="Arial" w:cs="Arial"/>
        </w:rPr>
        <w:t xml:space="preserve">En cuanto a la evidencia de sustitución por el lado de la oferta, la </w:t>
      </w:r>
      <w:r w:rsidR="00375B3B" w:rsidRPr="00931D46">
        <w:rPr>
          <w:rFonts w:ascii="Arial" w:hAnsi="Arial" w:cs="Arial"/>
        </w:rPr>
        <w:t xml:space="preserve">autoridad de competencia </w:t>
      </w:r>
      <w:r w:rsidRPr="00931D46">
        <w:rPr>
          <w:rFonts w:ascii="Arial" w:hAnsi="Arial" w:cs="Arial"/>
        </w:rPr>
        <w:t xml:space="preserve">señala la siguiente: i) información de los potenciales oferentes sobre si es técnicamente posible la sustitución y si tienen capacidad </w:t>
      </w:r>
      <w:r w:rsidR="00115005" w:rsidRPr="00931D46">
        <w:rPr>
          <w:rFonts w:ascii="Arial" w:hAnsi="Arial" w:cs="Arial"/>
        </w:rPr>
        <w:t>excede</w:t>
      </w:r>
      <w:r w:rsidRPr="00931D46">
        <w:rPr>
          <w:rFonts w:ascii="Arial" w:hAnsi="Arial" w:cs="Arial"/>
        </w:rPr>
        <w:t xml:space="preserve">nte y disposición para cambiar su producción, ii) puntos de vista de los consumidores sobre si existen razones para no elegir los </w:t>
      </w:r>
      <w:r w:rsidR="00330363">
        <w:rPr>
          <w:rFonts w:ascii="Arial" w:hAnsi="Arial" w:cs="Arial"/>
        </w:rPr>
        <w:t>productos</w:t>
      </w:r>
      <w:r w:rsidRPr="00931D46">
        <w:rPr>
          <w:rFonts w:ascii="Arial" w:hAnsi="Arial" w:cs="Arial"/>
        </w:rPr>
        <w:t xml:space="preserve"> de los potenciales oferentes, iii) información de los consumidores sobre los potenciales oferentes.</w:t>
      </w:r>
    </w:p>
    <w:p w14:paraId="2F9F6966" w14:textId="77777777" w:rsidR="00800E42" w:rsidRPr="00931D46" w:rsidRDefault="00800E42" w:rsidP="0023353F">
      <w:pPr>
        <w:spacing w:before="0" w:after="0"/>
        <w:rPr>
          <w:rFonts w:ascii="Arial" w:hAnsi="Arial" w:cs="Arial"/>
          <w:highlight w:val="yellow"/>
        </w:rPr>
      </w:pPr>
    </w:p>
    <w:p w14:paraId="119B2CB3" w14:textId="77777777" w:rsidR="00115005" w:rsidRPr="00931D46" w:rsidRDefault="00800E42" w:rsidP="0023353F">
      <w:pPr>
        <w:spacing w:before="0" w:after="0"/>
        <w:rPr>
          <w:rFonts w:ascii="Arial" w:hAnsi="Arial" w:cs="Arial"/>
          <w:lang w:val="es-ES"/>
        </w:rPr>
      </w:pPr>
      <w:r w:rsidRPr="00931D46">
        <w:rPr>
          <w:rFonts w:ascii="Arial" w:hAnsi="Arial" w:cs="Arial"/>
        </w:rPr>
        <w:t xml:space="preserve">En la concentración entre </w:t>
      </w:r>
      <w:r w:rsidRPr="00931D46">
        <w:rPr>
          <w:rFonts w:ascii="Arial" w:hAnsi="Arial" w:cs="Arial"/>
          <w:lang w:val="es-ES"/>
        </w:rPr>
        <w:t>Bauer Media Group y Celador Entertainment Limited y otros</w:t>
      </w:r>
      <w:r w:rsidR="00AB30F4" w:rsidRPr="00931D46">
        <w:rPr>
          <w:rFonts w:ascii="Arial" w:hAnsi="Arial" w:cs="Arial"/>
          <w:lang w:val="es-ES"/>
        </w:rPr>
        <w:t>,</w:t>
      </w:r>
      <w:r w:rsidR="00AB30F4" w:rsidRPr="00931D46">
        <w:rPr>
          <w:rFonts w:ascii="Arial" w:eastAsia="Times New Roman" w:hAnsi="Arial" w:cs="Arial"/>
          <w:vertAlign w:val="superscript"/>
          <w:lang w:eastAsia="es-MX"/>
        </w:rPr>
        <w:footnoteReference w:id="114"/>
      </w:r>
      <w:r w:rsidRPr="00931D46">
        <w:rPr>
          <w:rFonts w:ascii="Arial" w:hAnsi="Arial" w:cs="Arial"/>
          <w:lang w:val="es-ES"/>
        </w:rPr>
        <w:t xml:space="preserve"> la CMA </w:t>
      </w:r>
      <w:r w:rsidR="00AB30F4" w:rsidRPr="00931D46">
        <w:rPr>
          <w:rFonts w:ascii="Arial" w:hAnsi="Arial" w:cs="Arial"/>
          <w:lang w:val="es-ES"/>
        </w:rPr>
        <w:t>determinó</w:t>
      </w:r>
      <w:r w:rsidRPr="00931D46">
        <w:rPr>
          <w:rFonts w:ascii="Arial" w:hAnsi="Arial" w:cs="Arial"/>
          <w:lang w:val="es-ES"/>
        </w:rPr>
        <w:t xml:space="preserve"> el MR de servicios </w:t>
      </w:r>
      <w:r w:rsidR="00AB30F4" w:rsidRPr="00931D46">
        <w:rPr>
          <w:rFonts w:ascii="Arial" w:hAnsi="Arial" w:cs="Arial"/>
          <w:lang w:val="es-ES"/>
        </w:rPr>
        <w:t>de publicidad en</w:t>
      </w:r>
      <w:r w:rsidRPr="00931D46">
        <w:rPr>
          <w:rFonts w:ascii="Arial" w:hAnsi="Arial" w:cs="Arial"/>
          <w:lang w:val="es-ES"/>
        </w:rPr>
        <w:t xml:space="preserve"> </w:t>
      </w:r>
      <w:r w:rsidR="00AB30F4" w:rsidRPr="00931D46">
        <w:rPr>
          <w:rFonts w:ascii="Arial" w:hAnsi="Arial" w:cs="Arial"/>
          <w:lang w:val="es-ES"/>
        </w:rPr>
        <w:t>R</w:t>
      </w:r>
      <w:r w:rsidRPr="00931D46">
        <w:rPr>
          <w:rFonts w:ascii="Arial" w:hAnsi="Arial" w:cs="Arial"/>
          <w:lang w:val="es-ES"/>
        </w:rPr>
        <w:t xml:space="preserve">adio </w:t>
      </w:r>
      <w:r w:rsidR="00AB30F4" w:rsidRPr="00931D46">
        <w:rPr>
          <w:rFonts w:ascii="Arial" w:hAnsi="Arial" w:cs="Arial"/>
          <w:lang w:val="es-ES"/>
        </w:rPr>
        <w:t xml:space="preserve">Sonora </w:t>
      </w:r>
      <w:r w:rsidRPr="00931D46">
        <w:rPr>
          <w:rFonts w:ascii="Arial" w:hAnsi="Arial" w:cs="Arial"/>
          <w:lang w:val="es-ES"/>
        </w:rPr>
        <w:t xml:space="preserve">comercial. La CMA consideró que los distintos tipos de anuncios que se ofrecen en la </w:t>
      </w:r>
      <w:r w:rsidR="00AB30F4" w:rsidRPr="00931D46">
        <w:rPr>
          <w:rFonts w:ascii="Arial" w:hAnsi="Arial" w:cs="Arial"/>
          <w:lang w:val="es-ES"/>
        </w:rPr>
        <w:t>R</w:t>
      </w:r>
      <w:r w:rsidRPr="00931D46">
        <w:rPr>
          <w:rFonts w:ascii="Arial" w:hAnsi="Arial" w:cs="Arial"/>
          <w:lang w:val="es-ES"/>
        </w:rPr>
        <w:t xml:space="preserve">adio </w:t>
      </w:r>
      <w:r w:rsidR="00AB30F4" w:rsidRPr="00931D46">
        <w:rPr>
          <w:rFonts w:ascii="Arial" w:hAnsi="Arial" w:cs="Arial"/>
          <w:lang w:val="es-ES"/>
        </w:rPr>
        <w:t xml:space="preserve">Sonora </w:t>
      </w:r>
      <w:r w:rsidRPr="00931D46">
        <w:rPr>
          <w:rFonts w:ascii="Arial" w:hAnsi="Arial" w:cs="Arial"/>
          <w:lang w:val="es-ES"/>
        </w:rPr>
        <w:t xml:space="preserve">comercial </w:t>
      </w:r>
      <w:r w:rsidR="00AB30F4" w:rsidRPr="00931D46">
        <w:rPr>
          <w:rFonts w:ascii="Arial" w:hAnsi="Arial" w:cs="Arial"/>
          <w:lang w:val="es-ES"/>
        </w:rPr>
        <w:t>pertenecen</w:t>
      </w:r>
      <w:r w:rsidRPr="00931D46">
        <w:rPr>
          <w:rFonts w:ascii="Arial" w:hAnsi="Arial" w:cs="Arial"/>
          <w:lang w:val="es-ES"/>
        </w:rPr>
        <w:t xml:space="preserve"> al mismo </w:t>
      </w:r>
      <w:r w:rsidR="00AB30F4" w:rsidRPr="00931D46">
        <w:rPr>
          <w:rFonts w:ascii="Arial" w:hAnsi="Arial" w:cs="Arial"/>
          <w:lang w:val="es-ES"/>
        </w:rPr>
        <w:t>MR</w:t>
      </w:r>
      <w:r w:rsidRPr="00931D46" w:rsidDel="007B53A0">
        <w:rPr>
          <w:rFonts w:ascii="Arial" w:hAnsi="Arial" w:cs="Arial"/>
          <w:lang w:val="es-ES"/>
        </w:rPr>
        <w:t xml:space="preserve"> </w:t>
      </w:r>
      <w:r w:rsidRPr="00931D46">
        <w:rPr>
          <w:rFonts w:ascii="Arial" w:hAnsi="Arial" w:cs="Arial"/>
          <w:lang w:val="es-ES"/>
        </w:rPr>
        <w:t xml:space="preserve">pues las condiciones de competencia entre estas modalidades de anuncios eran similares. </w:t>
      </w:r>
    </w:p>
    <w:p w14:paraId="090E7CD0" w14:textId="77777777" w:rsidR="00115005" w:rsidRPr="00931D46" w:rsidRDefault="00115005" w:rsidP="0023353F">
      <w:pPr>
        <w:spacing w:before="0" w:after="0"/>
        <w:rPr>
          <w:rFonts w:ascii="Arial" w:hAnsi="Arial" w:cs="Arial"/>
          <w:lang w:val="es-ES"/>
        </w:rPr>
      </w:pPr>
    </w:p>
    <w:p w14:paraId="0BD6EA5E" w14:textId="29CE01D5" w:rsidR="00800E42" w:rsidRPr="00931D46" w:rsidRDefault="00800E42" w:rsidP="0023353F">
      <w:pPr>
        <w:spacing w:before="0" w:after="0"/>
        <w:rPr>
          <w:rFonts w:ascii="Arial" w:hAnsi="Arial" w:cs="Arial"/>
        </w:rPr>
      </w:pPr>
      <w:r w:rsidRPr="00931D46">
        <w:rPr>
          <w:rFonts w:ascii="Arial" w:hAnsi="Arial" w:cs="Arial"/>
          <w:lang w:val="es-ES"/>
        </w:rPr>
        <w:t xml:space="preserve">Además, </w:t>
      </w:r>
      <w:r w:rsidR="00AB30F4" w:rsidRPr="00931D46">
        <w:rPr>
          <w:rFonts w:ascii="Arial" w:hAnsi="Arial" w:cs="Arial"/>
          <w:lang w:val="es-ES"/>
        </w:rPr>
        <w:t xml:space="preserve">la CMA </w:t>
      </w:r>
      <w:r w:rsidRPr="00931D46">
        <w:rPr>
          <w:rFonts w:ascii="Arial" w:hAnsi="Arial" w:cs="Arial"/>
          <w:lang w:val="es-ES"/>
        </w:rPr>
        <w:t>consideró que, en comparación con</w:t>
      </w:r>
      <w:r w:rsidRPr="00931D46" w:rsidDel="007B53A0">
        <w:rPr>
          <w:rFonts w:ascii="Arial" w:hAnsi="Arial" w:cs="Arial"/>
          <w:lang w:val="es-ES"/>
        </w:rPr>
        <w:t xml:space="preserve"> </w:t>
      </w:r>
      <w:r w:rsidRPr="00931D46">
        <w:rPr>
          <w:rFonts w:ascii="Arial" w:hAnsi="Arial" w:cs="Arial"/>
          <w:lang w:val="es-ES"/>
        </w:rPr>
        <w:t xml:space="preserve">otras plataformas de publicidad de audio y/o plataformas de publicidad digital, la </w:t>
      </w:r>
      <w:r w:rsidR="00AB30F4" w:rsidRPr="00931D46">
        <w:rPr>
          <w:rFonts w:ascii="Arial" w:hAnsi="Arial" w:cs="Arial"/>
          <w:lang w:val="es-ES"/>
        </w:rPr>
        <w:t>Radio Sonora</w:t>
      </w:r>
      <w:r w:rsidRPr="00931D46">
        <w:rPr>
          <w:rFonts w:ascii="Arial" w:hAnsi="Arial" w:cs="Arial"/>
          <w:lang w:val="es-ES"/>
        </w:rPr>
        <w:t xml:space="preserve"> </w:t>
      </w:r>
      <w:r w:rsidR="008B3879" w:rsidRPr="00931D46">
        <w:rPr>
          <w:rFonts w:ascii="Arial" w:hAnsi="Arial" w:cs="Arial"/>
          <w:lang w:val="es-ES"/>
        </w:rPr>
        <w:t xml:space="preserve">(incluyendo </w:t>
      </w:r>
      <w:r w:rsidR="00A1458F" w:rsidRPr="00931D46">
        <w:rPr>
          <w:rFonts w:ascii="Arial" w:hAnsi="Arial" w:cs="Arial"/>
          <w:lang w:val="es-ES"/>
        </w:rPr>
        <w:t xml:space="preserve">la Radio Sonora </w:t>
      </w:r>
      <w:r w:rsidR="008B3879" w:rsidRPr="00931D46">
        <w:rPr>
          <w:rFonts w:ascii="Arial" w:hAnsi="Arial" w:cs="Arial"/>
          <w:lang w:val="es-ES"/>
        </w:rPr>
        <w:t xml:space="preserve">digital) </w:t>
      </w:r>
      <w:r w:rsidRPr="00931D46">
        <w:rPr>
          <w:rFonts w:ascii="Arial" w:hAnsi="Arial" w:cs="Arial"/>
          <w:lang w:val="es-ES"/>
        </w:rPr>
        <w:t>satisface necesidades específicas de ciertos anunciantes</w:t>
      </w:r>
      <w:r w:rsidRPr="00931D46" w:rsidDel="007B53A0">
        <w:rPr>
          <w:rFonts w:ascii="Arial" w:hAnsi="Arial" w:cs="Arial"/>
          <w:lang w:val="es-ES"/>
        </w:rPr>
        <w:t xml:space="preserve"> </w:t>
      </w:r>
      <w:r w:rsidR="00115005" w:rsidRPr="00931D46">
        <w:rPr>
          <w:rFonts w:ascii="Arial" w:hAnsi="Arial" w:cs="Arial"/>
          <w:lang w:val="es-ES"/>
        </w:rPr>
        <w:t xml:space="preserve">que </w:t>
      </w:r>
      <w:r w:rsidRPr="00931D46">
        <w:rPr>
          <w:rFonts w:ascii="Arial" w:hAnsi="Arial" w:cs="Arial"/>
          <w:lang w:val="es-ES"/>
        </w:rPr>
        <w:t>buscan</w:t>
      </w:r>
      <w:r w:rsidRPr="00931D46">
        <w:rPr>
          <w:rFonts w:ascii="Arial" w:hAnsi="Arial" w:cs="Arial"/>
        </w:rPr>
        <w:t xml:space="preserve"> </w:t>
      </w:r>
      <w:r w:rsidRPr="00931D46">
        <w:rPr>
          <w:rFonts w:ascii="Arial" w:hAnsi="Arial" w:cs="Arial"/>
          <w:lang w:val="es-ES"/>
        </w:rPr>
        <w:t xml:space="preserve">que </w:t>
      </w:r>
      <w:r w:rsidR="008B3879" w:rsidRPr="00931D46">
        <w:rPr>
          <w:rFonts w:ascii="Arial" w:hAnsi="Arial" w:cs="Arial"/>
          <w:lang w:val="es-ES"/>
        </w:rPr>
        <w:t xml:space="preserve">i) </w:t>
      </w:r>
      <w:r w:rsidRPr="00931D46">
        <w:rPr>
          <w:rFonts w:ascii="Arial" w:hAnsi="Arial" w:cs="Arial"/>
          <w:lang w:val="es-ES"/>
        </w:rPr>
        <w:t xml:space="preserve">sus oyentes </w:t>
      </w:r>
      <w:r w:rsidR="00AC639A" w:rsidRPr="00931D46">
        <w:rPr>
          <w:rFonts w:ascii="Arial" w:hAnsi="Arial" w:cs="Arial"/>
          <w:lang w:val="es-ES"/>
        </w:rPr>
        <w:t xml:space="preserve">no </w:t>
      </w:r>
      <w:r w:rsidRPr="00931D46">
        <w:rPr>
          <w:rFonts w:ascii="Arial" w:hAnsi="Arial" w:cs="Arial"/>
          <w:lang w:val="es-ES"/>
        </w:rPr>
        <w:t xml:space="preserve">eviten los anuncios y </w:t>
      </w:r>
      <w:r w:rsidR="008B3879" w:rsidRPr="00931D46">
        <w:rPr>
          <w:rFonts w:ascii="Arial" w:hAnsi="Arial" w:cs="Arial"/>
          <w:lang w:val="es-ES"/>
        </w:rPr>
        <w:t xml:space="preserve">ii) </w:t>
      </w:r>
      <w:r w:rsidR="00115005" w:rsidRPr="00931D46">
        <w:rPr>
          <w:rFonts w:ascii="Arial" w:hAnsi="Arial" w:cs="Arial"/>
          <w:lang w:val="es-ES"/>
        </w:rPr>
        <w:t xml:space="preserve">puedan </w:t>
      </w:r>
      <w:r w:rsidRPr="00931D46">
        <w:rPr>
          <w:rFonts w:ascii="Arial" w:hAnsi="Arial" w:cs="Arial"/>
          <w:lang w:val="es-ES"/>
        </w:rPr>
        <w:t>reali</w:t>
      </w:r>
      <w:r w:rsidR="00115005" w:rsidRPr="00931D46">
        <w:rPr>
          <w:rFonts w:ascii="Arial" w:hAnsi="Arial" w:cs="Arial"/>
          <w:lang w:val="es-ES"/>
        </w:rPr>
        <w:t>zar</w:t>
      </w:r>
      <w:r w:rsidRPr="00931D46">
        <w:rPr>
          <w:rFonts w:ascii="Arial" w:hAnsi="Arial" w:cs="Arial"/>
          <w:lang w:val="es-ES"/>
        </w:rPr>
        <w:t xml:space="preserve"> otras tareas mientras los escuchan</w:t>
      </w:r>
      <w:r w:rsidR="00115005" w:rsidRPr="00931D46">
        <w:rPr>
          <w:rFonts w:ascii="Arial" w:hAnsi="Arial" w:cs="Arial"/>
          <w:lang w:val="es-ES"/>
        </w:rPr>
        <w:t>; en particular,</w:t>
      </w:r>
      <w:r w:rsidR="000E2146" w:rsidRPr="00931D46">
        <w:rPr>
          <w:rFonts w:ascii="Arial" w:hAnsi="Arial" w:cs="Arial"/>
        </w:rPr>
        <w:t xml:space="preserve"> </w:t>
      </w:r>
      <w:r w:rsidR="000E2146" w:rsidRPr="00931D46">
        <w:rPr>
          <w:rFonts w:ascii="Arial" w:hAnsi="Arial" w:cs="Arial"/>
          <w:lang w:val="es-ES"/>
        </w:rPr>
        <w:t xml:space="preserve">los radioescuchas no pueden adelantar la publicidad y los anunciantes pueden crear </w:t>
      </w:r>
      <w:r w:rsidR="000E2146" w:rsidRPr="00931D46">
        <w:rPr>
          <w:rFonts w:ascii="Arial" w:hAnsi="Arial" w:cs="Arial"/>
          <w:i/>
          <w:lang w:val="es-ES"/>
        </w:rPr>
        <w:t>jingles</w:t>
      </w:r>
      <w:r w:rsidR="00DD7A92" w:rsidRPr="00931D46">
        <w:rPr>
          <w:rStyle w:val="Refdenotaalpie"/>
          <w:rFonts w:ascii="Arial" w:hAnsi="Arial" w:cs="Arial"/>
          <w:lang w:val="es-ES"/>
        </w:rPr>
        <w:footnoteReference w:id="115"/>
      </w:r>
      <w:r w:rsidR="000E2146" w:rsidRPr="00931D46">
        <w:rPr>
          <w:rFonts w:ascii="Arial" w:hAnsi="Arial" w:cs="Arial"/>
          <w:lang w:val="es-ES"/>
        </w:rPr>
        <w:t xml:space="preserve"> que se repiten con frecuencia, lo que significa que sus </w:t>
      </w:r>
      <w:r w:rsidR="00330363">
        <w:rPr>
          <w:rFonts w:ascii="Arial" w:hAnsi="Arial" w:cs="Arial"/>
          <w:lang w:val="es-ES"/>
        </w:rPr>
        <w:t>productos</w:t>
      </w:r>
      <w:r w:rsidR="000E2146" w:rsidRPr="00931D46">
        <w:rPr>
          <w:rFonts w:ascii="Arial" w:hAnsi="Arial" w:cs="Arial"/>
          <w:lang w:val="es-ES"/>
        </w:rPr>
        <w:t xml:space="preserve"> se vuelven memorables.</w:t>
      </w:r>
      <w:r w:rsidRPr="00931D46">
        <w:rPr>
          <w:rFonts w:ascii="Arial" w:hAnsi="Arial" w:cs="Arial"/>
          <w:lang w:val="es-ES"/>
        </w:rPr>
        <w:t xml:space="preserve"> </w:t>
      </w:r>
    </w:p>
    <w:p w14:paraId="4EE9D178" w14:textId="77777777" w:rsidR="00800E42" w:rsidRPr="00931D46" w:rsidRDefault="00800E42" w:rsidP="0023353F">
      <w:pPr>
        <w:spacing w:before="0" w:after="0"/>
        <w:rPr>
          <w:rFonts w:ascii="Arial" w:hAnsi="Arial" w:cs="Arial"/>
        </w:rPr>
      </w:pPr>
    </w:p>
    <w:p w14:paraId="7B15C0B5" w14:textId="77777777" w:rsidR="00800E42" w:rsidRPr="00931D46" w:rsidRDefault="00800E42" w:rsidP="005F1AD6">
      <w:pPr>
        <w:pStyle w:val="Ttulo3"/>
        <w:keepLines w:val="0"/>
        <w:numPr>
          <w:ilvl w:val="2"/>
          <w:numId w:val="3"/>
        </w:numPr>
        <w:spacing w:before="0"/>
        <w:ind w:left="1701"/>
        <w:rPr>
          <w:rFonts w:ascii="Arial" w:eastAsia="Times New Roman" w:hAnsi="Arial" w:cs="Arial"/>
          <w:b/>
          <w:color w:val="auto"/>
          <w:sz w:val="26"/>
          <w:szCs w:val="26"/>
          <w:lang w:eastAsia="es-MX"/>
        </w:rPr>
      </w:pPr>
      <w:bookmarkStart w:id="76" w:name="_Toc41924498"/>
      <w:r w:rsidRPr="00931D46">
        <w:rPr>
          <w:rFonts w:ascii="Arial" w:eastAsia="Times New Roman" w:hAnsi="Arial" w:cs="Arial"/>
          <w:b/>
          <w:color w:val="auto"/>
          <w:sz w:val="26"/>
          <w:szCs w:val="26"/>
          <w:lang w:eastAsia="es-MX"/>
        </w:rPr>
        <w:t>Estados Unidos</w:t>
      </w:r>
      <w:bookmarkEnd w:id="76"/>
      <w:r w:rsidR="00E41396" w:rsidRPr="00931D46">
        <w:rPr>
          <w:rFonts w:ascii="Arial" w:eastAsia="Times New Roman" w:hAnsi="Arial" w:cs="Arial"/>
          <w:b/>
          <w:color w:val="auto"/>
          <w:sz w:val="26"/>
          <w:szCs w:val="26"/>
          <w:lang w:eastAsia="es-MX"/>
        </w:rPr>
        <w:t xml:space="preserve"> de América</w:t>
      </w:r>
    </w:p>
    <w:p w14:paraId="0C8ED0F9" w14:textId="77777777" w:rsidR="00800E42" w:rsidRPr="00931D46" w:rsidRDefault="00800E42" w:rsidP="005F1AD6">
      <w:pPr>
        <w:keepNext/>
        <w:spacing w:before="0" w:after="0"/>
        <w:rPr>
          <w:rFonts w:ascii="Arial" w:hAnsi="Arial" w:cs="Arial"/>
        </w:rPr>
      </w:pPr>
    </w:p>
    <w:p w14:paraId="5DF3A59D" w14:textId="77777777" w:rsidR="00800E42" w:rsidRPr="00931D46" w:rsidRDefault="00800E42" w:rsidP="0023353F">
      <w:pPr>
        <w:spacing w:before="0" w:after="0"/>
        <w:rPr>
          <w:rFonts w:ascii="Arial" w:hAnsi="Arial" w:cs="Arial"/>
        </w:rPr>
      </w:pPr>
      <w:r w:rsidRPr="00931D46">
        <w:rPr>
          <w:rFonts w:ascii="Arial" w:hAnsi="Arial" w:cs="Arial"/>
        </w:rPr>
        <w:t>La FTC y el D</w:t>
      </w:r>
      <w:r w:rsidR="000E2146" w:rsidRPr="00931D46">
        <w:rPr>
          <w:rFonts w:ascii="Arial" w:hAnsi="Arial" w:cs="Arial"/>
        </w:rPr>
        <w:t>O</w:t>
      </w:r>
      <w:r w:rsidRPr="00931D46">
        <w:rPr>
          <w:rFonts w:ascii="Arial" w:hAnsi="Arial" w:cs="Arial"/>
        </w:rPr>
        <w:t xml:space="preserve">J señalan que la delimitación del MR se basa en la </w:t>
      </w:r>
      <w:r w:rsidR="0054322B" w:rsidRPr="00931D46">
        <w:rPr>
          <w:rFonts w:ascii="Arial" w:hAnsi="Arial" w:cs="Arial"/>
        </w:rPr>
        <w:t>P</w:t>
      </w:r>
      <w:r w:rsidRPr="00931D46">
        <w:rPr>
          <w:rFonts w:ascii="Arial" w:hAnsi="Arial" w:cs="Arial"/>
        </w:rPr>
        <w:t xml:space="preserve">rueba </w:t>
      </w:r>
      <w:r w:rsidR="000E2146" w:rsidRPr="00931D46">
        <w:rPr>
          <w:rFonts w:ascii="Arial" w:hAnsi="Arial" w:cs="Arial"/>
        </w:rPr>
        <w:t>SSNIP y</w:t>
      </w:r>
      <w:r w:rsidRPr="00931D46">
        <w:rPr>
          <w:rFonts w:ascii="Arial" w:hAnsi="Arial" w:cs="Arial"/>
        </w:rPr>
        <w:t xml:space="preserve"> </w:t>
      </w:r>
      <w:r w:rsidR="000E2146" w:rsidRPr="00931D46">
        <w:rPr>
          <w:rFonts w:ascii="Arial" w:hAnsi="Arial" w:cs="Arial"/>
        </w:rPr>
        <w:t>c</w:t>
      </w:r>
      <w:r w:rsidRPr="00931D46">
        <w:rPr>
          <w:rFonts w:ascii="Arial" w:hAnsi="Arial" w:cs="Arial"/>
        </w:rPr>
        <w:t xml:space="preserve">omo parte de la evidencia que toman en cuenta para evaluar las reacciones probables de los consumidores ante incrementos en los precios, </w:t>
      </w:r>
      <w:r w:rsidR="00357FCB" w:rsidRPr="00931D46">
        <w:rPr>
          <w:rFonts w:ascii="Arial" w:hAnsi="Arial" w:cs="Arial"/>
        </w:rPr>
        <w:t xml:space="preserve">se encuentran </w:t>
      </w:r>
      <w:r w:rsidR="000E2146" w:rsidRPr="00931D46">
        <w:rPr>
          <w:rFonts w:ascii="Arial" w:hAnsi="Arial" w:cs="Arial"/>
        </w:rPr>
        <w:t>los</w:t>
      </w:r>
      <w:r w:rsidRPr="00931D46">
        <w:rPr>
          <w:rFonts w:ascii="Arial" w:hAnsi="Arial" w:cs="Arial"/>
        </w:rPr>
        <w:t xml:space="preserve"> siguiente</w:t>
      </w:r>
      <w:r w:rsidR="000E2146" w:rsidRPr="00931D46">
        <w:rPr>
          <w:rFonts w:ascii="Arial" w:hAnsi="Arial" w:cs="Arial"/>
        </w:rPr>
        <w:t>s elementos</w:t>
      </w:r>
      <w:r w:rsidRPr="00931D46">
        <w:rPr>
          <w:rFonts w:ascii="Arial" w:hAnsi="Arial" w:cs="Arial"/>
        </w:rPr>
        <w:t>:</w:t>
      </w:r>
      <w:r w:rsidR="000E2146" w:rsidRPr="00931D46">
        <w:rPr>
          <w:rFonts w:ascii="Arial" w:eastAsia="Times New Roman" w:hAnsi="Arial" w:cs="Arial"/>
          <w:vertAlign w:val="superscript"/>
          <w:lang w:eastAsia="es-MX"/>
        </w:rPr>
        <w:footnoteReference w:id="116"/>
      </w:r>
    </w:p>
    <w:p w14:paraId="67256AF9" w14:textId="77777777" w:rsidR="0023353F" w:rsidRPr="00931D46" w:rsidRDefault="0023353F" w:rsidP="0023353F">
      <w:pPr>
        <w:spacing w:before="0" w:after="0"/>
        <w:rPr>
          <w:rFonts w:ascii="Arial" w:hAnsi="Arial" w:cs="Arial"/>
        </w:rPr>
      </w:pPr>
    </w:p>
    <w:p w14:paraId="2185C4BA" w14:textId="77777777" w:rsidR="00800E42" w:rsidRPr="00931D46" w:rsidRDefault="00800E42" w:rsidP="00942BD7">
      <w:pPr>
        <w:pStyle w:val="Prrafodelista"/>
        <w:numPr>
          <w:ilvl w:val="0"/>
          <w:numId w:val="51"/>
        </w:numPr>
        <w:spacing w:before="0" w:after="0"/>
        <w:ind w:hanging="578"/>
        <w:contextualSpacing w:val="0"/>
        <w:rPr>
          <w:rFonts w:ascii="Arial" w:hAnsi="Arial" w:cs="Arial"/>
        </w:rPr>
      </w:pPr>
      <w:r w:rsidRPr="00931D46">
        <w:rPr>
          <w:rFonts w:ascii="Arial" w:hAnsi="Arial" w:cs="Arial"/>
        </w:rPr>
        <w:t>Cómo han cambiado sus compras los consumidores en el pasado en respuesta a cambios relativos en el precio u otras variables competitivas.</w:t>
      </w:r>
    </w:p>
    <w:p w14:paraId="23D8C71F" w14:textId="77777777" w:rsidR="00800E42" w:rsidRPr="00931D46" w:rsidRDefault="00800E42" w:rsidP="00942BD7">
      <w:pPr>
        <w:pStyle w:val="Prrafodelista"/>
        <w:numPr>
          <w:ilvl w:val="0"/>
          <w:numId w:val="51"/>
        </w:numPr>
        <w:spacing w:before="0" w:after="0"/>
        <w:ind w:hanging="578"/>
        <w:contextualSpacing w:val="0"/>
        <w:rPr>
          <w:rFonts w:ascii="Arial" w:hAnsi="Arial" w:cs="Arial"/>
        </w:rPr>
      </w:pPr>
      <w:r w:rsidRPr="00931D46">
        <w:rPr>
          <w:rFonts w:ascii="Arial" w:hAnsi="Arial" w:cs="Arial"/>
        </w:rPr>
        <w:t>Información de los consumidores, incluyendo encuestas, sobre cómo podrían responder a cambios en precios.</w:t>
      </w:r>
    </w:p>
    <w:p w14:paraId="4E5BC8E7" w14:textId="48184FC2" w:rsidR="00800E42" w:rsidRPr="00931D46" w:rsidRDefault="00800E42" w:rsidP="00942BD7">
      <w:pPr>
        <w:pStyle w:val="Prrafodelista"/>
        <w:numPr>
          <w:ilvl w:val="0"/>
          <w:numId w:val="51"/>
        </w:numPr>
        <w:spacing w:before="0" w:after="0"/>
        <w:ind w:hanging="578"/>
        <w:contextualSpacing w:val="0"/>
        <w:rPr>
          <w:rFonts w:ascii="Arial" w:hAnsi="Arial" w:cs="Arial"/>
        </w:rPr>
      </w:pPr>
      <w:r w:rsidRPr="00931D46">
        <w:rPr>
          <w:rFonts w:ascii="Arial" w:hAnsi="Arial" w:cs="Arial"/>
        </w:rPr>
        <w:t xml:space="preserve">La conducta de los participantes en la industria: i) decisiones de negocios o documentos de los vendedores sobre cómo podrían sustituir </w:t>
      </w:r>
      <w:r w:rsidR="00330363">
        <w:rPr>
          <w:rFonts w:ascii="Arial" w:hAnsi="Arial" w:cs="Arial"/>
        </w:rPr>
        <w:t>productos</w:t>
      </w:r>
      <w:r w:rsidRPr="00931D46">
        <w:rPr>
          <w:rFonts w:ascii="Arial" w:hAnsi="Arial" w:cs="Arial"/>
        </w:rPr>
        <w:t xml:space="preserve"> los consumidores ante cambios relativos en el precio y ii) comportamiento de los vendedores al rastrear y responder a cambios en el precio </w:t>
      </w:r>
      <w:r w:rsidR="000876A1">
        <w:rPr>
          <w:rFonts w:ascii="Arial" w:hAnsi="Arial" w:cs="Arial"/>
        </w:rPr>
        <w:t xml:space="preserve">por parte </w:t>
      </w:r>
      <w:r w:rsidRPr="00931D46">
        <w:rPr>
          <w:rFonts w:ascii="Arial" w:hAnsi="Arial" w:cs="Arial"/>
        </w:rPr>
        <w:t>de algunos o todos sus competidores.</w:t>
      </w:r>
    </w:p>
    <w:p w14:paraId="32371B30" w14:textId="03FE9DDA" w:rsidR="00800E42" w:rsidRPr="00931D46" w:rsidRDefault="00800E42" w:rsidP="00942BD7">
      <w:pPr>
        <w:pStyle w:val="Prrafodelista"/>
        <w:numPr>
          <w:ilvl w:val="0"/>
          <w:numId w:val="51"/>
        </w:numPr>
        <w:spacing w:before="0" w:after="0"/>
        <w:ind w:hanging="578"/>
        <w:contextualSpacing w:val="0"/>
        <w:rPr>
          <w:rFonts w:ascii="Arial" w:hAnsi="Arial" w:cs="Arial"/>
        </w:rPr>
      </w:pPr>
      <w:r w:rsidRPr="00931D46">
        <w:rPr>
          <w:rFonts w:ascii="Arial" w:hAnsi="Arial" w:cs="Arial"/>
        </w:rPr>
        <w:t xml:space="preserve">Información objetiva sobre las características de los </w:t>
      </w:r>
      <w:r w:rsidR="00330363">
        <w:rPr>
          <w:rFonts w:ascii="Arial" w:hAnsi="Arial" w:cs="Arial"/>
        </w:rPr>
        <w:t>productos</w:t>
      </w:r>
      <w:r w:rsidRPr="00931D46">
        <w:rPr>
          <w:rFonts w:ascii="Arial" w:hAnsi="Arial" w:cs="Arial"/>
        </w:rPr>
        <w:t xml:space="preserve">, el tiempo y los costos de cambio entre </w:t>
      </w:r>
      <w:r w:rsidR="00330363">
        <w:rPr>
          <w:rFonts w:ascii="Arial" w:hAnsi="Arial" w:cs="Arial"/>
        </w:rPr>
        <w:t>productos</w:t>
      </w:r>
      <w:r w:rsidRPr="00931D46">
        <w:rPr>
          <w:rFonts w:ascii="Arial" w:hAnsi="Arial" w:cs="Arial"/>
        </w:rPr>
        <w:t xml:space="preserve">, especialmente al cambiar a </w:t>
      </w:r>
      <w:r w:rsidR="00330363">
        <w:rPr>
          <w:rFonts w:ascii="Arial" w:hAnsi="Arial" w:cs="Arial"/>
        </w:rPr>
        <w:t>productos</w:t>
      </w:r>
      <w:r w:rsidRPr="00931D46">
        <w:rPr>
          <w:rFonts w:ascii="Arial" w:hAnsi="Arial" w:cs="Arial"/>
        </w:rPr>
        <w:t xml:space="preserve"> fuera del mercado candidato.</w:t>
      </w:r>
    </w:p>
    <w:p w14:paraId="071ACF0B" w14:textId="73A4E2F8" w:rsidR="00800E42" w:rsidRPr="00931D46" w:rsidRDefault="00800E42" w:rsidP="000876A1">
      <w:pPr>
        <w:pStyle w:val="Prrafodelista"/>
        <w:numPr>
          <w:ilvl w:val="0"/>
          <w:numId w:val="51"/>
        </w:numPr>
        <w:spacing w:before="0" w:after="0"/>
        <w:ind w:hanging="578"/>
        <w:contextualSpacing w:val="0"/>
        <w:rPr>
          <w:rFonts w:ascii="Arial" w:hAnsi="Arial" w:cs="Arial"/>
        </w:rPr>
      </w:pPr>
      <w:r w:rsidRPr="00931D46">
        <w:rPr>
          <w:rFonts w:ascii="Arial" w:hAnsi="Arial" w:cs="Arial"/>
        </w:rPr>
        <w:t xml:space="preserve">El porcentaje de ventas perdido por un </w:t>
      </w:r>
      <w:r w:rsidR="00330363">
        <w:rPr>
          <w:rFonts w:ascii="Arial" w:hAnsi="Arial" w:cs="Arial"/>
        </w:rPr>
        <w:t>producto</w:t>
      </w:r>
      <w:r w:rsidRPr="00931D46">
        <w:rPr>
          <w:rFonts w:ascii="Arial" w:hAnsi="Arial" w:cs="Arial"/>
        </w:rPr>
        <w:t xml:space="preserve"> en el mercado candidato cuando su precio se incrementa, </w:t>
      </w:r>
      <w:r w:rsidR="00190C2E" w:rsidRPr="00931D46">
        <w:rPr>
          <w:rFonts w:ascii="Arial" w:hAnsi="Arial" w:cs="Arial"/>
        </w:rPr>
        <w:t xml:space="preserve">y </w:t>
      </w:r>
      <w:r w:rsidRPr="00931D46">
        <w:rPr>
          <w:rFonts w:ascii="Arial" w:hAnsi="Arial" w:cs="Arial"/>
        </w:rPr>
        <w:t xml:space="preserve">que es capturado por otros </w:t>
      </w:r>
      <w:r w:rsidR="00330363">
        <w:rPr>
          <w:rFonts w:ascii="Arial" w:hAnsi="Arial" w:cs="Arial"/>
        </w:rPr>
        <w:t>productos</w:t>
      </w:r>
      <w:r w:rsidRPr="00931D46">
        <w:rPr>
          <w:rFonts w:ascii="Arial" w:hAnsi="Arial" w:cs="Arial"/>
        </w:rPr>
        <w:t xml:space="preserve"> en el mercado candidato.</w:t>
      </w:r>
    </w:p>
    <w:p w14:paraId="2A857ADE" w14:textId="107E9028" w:rsidR="00800E42" w:rsidRPr="00931D46" w:rsidRDefault="00800E42" w:rsidP="000876A1">
      <w:pPr>
        <w:pStyle w:val="Prrafodelista"/>
        <w:numPr>
          <w:ilvl w:val="0"/>
          <w:numId w:val="51"/>
        </w:numPr>
        <w:spacing w:before="0" w:after="0"/>
        <w:ind w:hanging="578"/>
        <w:contextualSpacing w:val="0"/>
        <w:rPr>
          <w:rFonts w:ascii="Arial" w:hAnsi="Arial" w:cs="Arial"/>
        </w:rPr>
      </w:pPr>
      <w:r w:rsidRPr="00931D46">
        <w:rPr>
          <w:rFonts w:ascii="Arial" w:hAnsi="Arial" w:cs="Arial"/>
        </w:rPr>
        <w:t xml:space="preserve">Evidencia de otros participantes de la industria, tales como vendedores de </w:t>
      </w:r>
      <w:r w:rsidR="00330363">
        <w:rPr>
          <w:rFonts w:ascii="Arial" w:hAnsi="Arial" w:cs="Arial"/>
        </w:rPr>
        <w:t>productos</w:t>
      </w:r>
      <w:r w:rsidRPr="00931D46">
        <w:rPr>
          <w:rFonts w:ascii="Arial" w:hAnsi="Arial" w:cs="Arial"/>
        </w:rPr>
        <w:t xml:space="preserve"> complementarios.</w:t>
      </w:r>
    </w:p>
    <w:p w14:paraId="5DC74E05" w14:textId="77777777" w:rsidR="00800E42" w:rsidRPr="00931D46" w:rsidRDefault="00800E42" w:rsidP="000876A1">
      <w:pPr>
        <w:pStyle w:val="Prrafodelista"/>
        <w:numPr>
          <w:ilvl w:val="0"/>
          <w:numId w:val="51"/>
        </w:numPr>
        <w:spacing w:before="0" w:after="0"/>
        <w:ind w:hanging="578"/>
        <w:contextualSpacing w:val="0"/>
        <w:rPr>
          <w:rFonts w:ascii="Arial" w:hAnsi="Arial" w:cs="Arial"/>
        </w:rPr>
      </w:pPr>
      <w:r w:rsidRPr="00931D46">
        <w:rPr>
          <w:rFonts w:ascii="Arial" w:hAnsi="Arial" w:cs="Arial"/>
        </w:rPr>
        <w:t>Requisitos legales o regulatorios.</w:t>
      </w:r>
    </w:p>
    <w:p w14:paraId="4208F892" w14:textId="4851122D" w:rsidR="00800E42" w:rsidRPr="00931D46" w:rsidRDefault="00622072" w:rsidP="000876A1">
      <w:pPr>
        <w:pStyle w:val="Prrafodelista"/>
        <w:numPr>
          <w:ilvl w:val="0"/>
          <w:numId w:val="51"/>
        </w:numPr>
        <w:spacing w:before="0" w:after="0"/>
        <w:ind w:hanging="578"/>
        <w:contextualSpacing w:val="0"/>
        <w:rPr>
          <w:rFonts w:ascii="Arial" w:hAnsi="Arial" w:cs="Arial"/>
        </w:rPr>
      </w:pPr>
      <w:r w:rsidRPr="00931D46">
        <w:rPr>
          <w:rFonts w:ascii="Arial" w:hAnsi="Arial" w:cs="Arial"/>
        </w:rPr>
        <w:t xml:space="preserve">En el contexto de </w:t>
      </w:r>
      <w:r w:rsidR="00A1458F" w:rsidRPr="00931D46">
        <w:rPr>
          <w:rFonts w:ascii="Arial" w:hAnsi="Arial" w:cs="Arial"/>
        </w:rPr>
        <w:t xml:space="preserve">una </w:t>
      </w:r>
      <w:r w:rsidRPr="00931D46">
        <w:rPr>
          <w:rFonts w:ascii="Arial" w:hAnsi="Arial" w:cs="Arial"/>
        </w:rPr>
        <w:t>integración vertical</w:t>
      </w:r>
      <w:r w:rsidR="008620E0" w:rsidRPr="00931D46">
        <w:rPr>
          <w:rFonts w:ascii="Arial" w:hAnsi="Arial" w:cs="Arial"/>
        </w:rPr>
        <w:t>,</w:t>
      </w:r>
      <w:r w:rsidRPr="00931D46">
        <w:rPr>
          <w:rFonts w:ascii="Arial" w:hAnsi="Arial" w:cs="Arial"/>
        </w:rPr>
        <w:t xml:space="preserve"> l</w:t>
      </w:r>
      <w:r w:rsidR="00800E42" w:rsidRPr="00931D46">
        <w:rPr>
          <w:rFonts w:ascii="Arial" w:hAnsi="Arial" w:cs="Arial"/>
        </w:rPr>
        <w:t xml:space="preserve">a influencia de la competencia </w:t>
      </w:r>
      <w:r w:rsidR="00E76412" w:rsidRPr="00931D46">
        <w:rPr>
          <w:rFonts w:ascii="Arial" w:hAnsi="Arial" w:cs="Arial"/>
        </w:rPr>
        <w:t>en mercados</w:t>
      </w:r>
      <w:r w:rsidR="000876A1">
        <w:rPr>
          <w:rFonts w:ascii="Arial" w:hAnsi="Arial" w:cs="Arial"/>
        </w:rPr>
        <w:t xml:space="preserve"> descendentes o</w:t>
      </w:r>
      <w:r w:rsidR="00E76412" w:rsidRPr="00931D46">
        <w:rPr>
          <w:rFonts w:ascii="Arial" w:hAnsi="Arial" w:cs="Arial"/>
        </w:rPr>
        <w:t xml:space="preserve"> </w:t>
      </w:r>
      <w:r w:rsidR="00800E42" w:rsidRPr="00931D46">
        <w:rPr>
          <w:rFonts w:ascii="Arial" w:hAnsi="Arial" w:cs="Arial"/>
        </w:rPr>
        <w:t>aguas abajo.</w:t>
      </w:r>
    </w:p>
    <w:p w14:paraId="6D34E250" w14:textId="77777777" w:rsidR="00800E42" w:rsidRPr="00931D46" w:rsidRDefault="00800E42" w:rsidP="0023353F">
      <w:pPr>
        <w:spacing w:before="0" w:after="0"/>
        <w:rPr>
          <w:rFonts w:ascii="Arial" w:hAnsi="Arial" w:cs="Arial"/>
        </w:rPr>
      </w:pPr>
    </w:p>
    <w:p w14:paraId="20DAF8C5" w14:textId="77777777" w:rsidR="00800E42" w:rsidRPr="00931D46" w:rsidRDefault="00800E42" w:rsidP="0023353F">
      <w:pPr>
        <w:spacing w:before="0" w:after="0"/>
        <w:rPr>
          <w:rFonts w:ascii="Arial" w:hAnsi="Arial" w:cs="Arial"/>
        </w:rPr>
      </w:pPr>
      <w:r w:rsidRPr="00931D46">
        <w:rPr>
          <w:rFonts w:ascii="Arial" w:hAnsi="Arial" w:cs="Arial"/>
        </w:rPr>
        <w:t xml:space="preserve">Además, </w:t>
      </w:r>
      <w:r w:rsidR="000E2146" w:rsidRPr="00931D46">
        <w:rPr>
          <w:rFonts w:ascii="Arial" w:hAnsi="Arial" w:cs="Arial"/>
        </w:rPr>
        <w:t xml:space="preserve">las autoridades </w:t>
      </w:r>
      <w:r w:rsidRPr="00931D46">
        <w:rPr>
          <w:rFonts w:ascii="Arial" w:hAnsi="Arial" w:cs="Arial"/>
        </w:rPr>
        <w:t xml:space="preserve">señalan que la discriminación en precios enfocada a grupos de consumidores o </w:t>
      </w:r>
      <w:r w:rsidR="000E2146" w:rsidRPr="00931D46">
        <w:rPr>
          <w:rFonts w:ascii="Arial" w:hAnsi="Arial" w:cs="Arial"/>
        </w:rPr>
        <w:t>consumidores individuales puede</w:t>
      </w:r>
      <w:r w:rsidRPr="00931D46">
        <w:rPr>
          <w:rFonts w:ascii="Arial" w:hAnsi="Arial" w:cs="Arial"/>
        </w:rPr>
        <w:t xml:space="preserve"> definir mercados en torno a esos consumidores. </w:t>
      </w:r>
    </w:p>
    <w:p w14:paraId="0B867204" w14:textId="77777777" w:rsidR="00800E42" w:rsidRPr="00931D46" w:rsidRDefault="00800E42" w:rsidP="0023353F">
      <w:pPr>
        <w:spacing w:before="0" w:after="0"/>
        <w:rPr>
          <w:rFonts w:ascii="Arial" w:hAnsi="Arial" w:cs="Arial"/>
          <w:highlight w:val="yellow"/>
        </w:rPr>
      </w:pPr>
    </w:p>
    <w:p w14:paraId="3FD0ABC4" w14:textId="77777777" w:rsidR="00800E42" w:rsidRPr="00931D46" w:rsidRDefault="00800E42" w:rsidP="00931D46">
      <w:pPr>
        <w:pStyle w:val="Ttulo3"/>
        <w:keepLines w:val="0"/>
        <w:numPr>
          <w:ilvl w:val="2"/>
          <w:numId w:val="3"/>
        </w:numPr>
        <w:spacing w:before="0"/>
        <w:ind w:left="1701"/>
        <w:rPr>
          <w:rFonts w:ascii="Arial" w:eastAsia="Times New Roman" w:hAnsi="Arial" w:cs="Arial"/>
          <w:b/>
          <w:color w:val="auto"/>
          <w:sz w:val="26"/>
          <w:szCs w:val="26"/>
          <w:lang w:eastAsia="es-MX"/>
        </w:rPr>
      </w:pPr>
      <w:bookmarkStart w:id="77" w:name="_Toc41924499"/>
      <w:r w:rsidRPr="00931D46">
        <w:rPr>
          <w:rFonts w:ascii="Arial" w:eastAsia="Times New Roman" w:hAnsi="Arial" w:cs="Arial"/>
          <w:b/>
          <w:color w:val="auto"/>
          <w:sz w:val="26"/>
          <w:szCs w:val="26"/>
          <w:lang w:eastAsia="es-MX"/>
        </w:rPr>
        <w:t>Canadá</w:t>
      </w:r>
      <w:bookmarkEnd w:id="77"/>
    </w:p>
    <w:p w14:paraId="435A4D67" w14:textId="77777777" w:rsidR="00800E42" w:rsidRPr="00931D46" w:rsidRDefault="00800E42" w:rsidP="00931D46">
      <w:pPr>
        <w:keepNext/>
        <w:spacing w:before="0" w:after="0"/>
        <w:rPr>
          <w:rFonts w:ascii="Arial" w:hAnsi="Arial" w:cs="Arial"/>
        </w:rPr>
      </w:pPr>
    </w:p>
    <w:p w14:paraId="7A584207" w14:textId="0D3A5E26" w:rsidR="00800E42" w:rsidRPr="00931D46" w:rsidRDefault="000E2146" w:rsidP="0023353F">
      <w:pPr>
        <w:spacing w:before="0" w:after="0"/>
        <w:rPr>
          <w:rFonts w:ascii="Arial" w:hAnsi="Arial" w:cs="Arial"/>
        </w:rPr>
      </w:pPr>
      <w:r w:rsidRPr="00931D46">
        <w:rPr>
          <w:rFonts w:ascii="Arial" w:hAnsi="Arial" w:cs="Arial"/>
        </w:rPr>
        <w:t>La</w:t>
      </w:r>
      <w:r w:rsidR="00800E42" w:rsidRPr="00931D46">
        <w:rPr>
          <w:rFonts w:ascii="Arial" w:hAnsi="Arial" w:cs="Arial"/>
        </w:rPr>
        <w:t xml:space="preserve"> CBC utiliza como marco conceptual la </w:t>
      </w:r>
      <w:r w:rsidR="003C7933" w:rsidRPr="00931D46">
        <w:rPr>
          <w:rFonts w:ascii="Arial" w:hAnsi="Arial" w:cs="Arial"/>
        </w:rPr>
        <w:t>P</w:t>
      </w:r>
      <w:r w:rsidR="00800E42" w:rsidRPr="00931D46">
        <w:rPr>
          <w:rFonts w:ascii="Arial" w:hAnsi="Arial" w:cs="Arial"/>
        </w:rPr>
        <w:t xml:space="preserve">rueba </w:t>
      </w:r>
      <w:r w:rsidRPr="00931D46">
        <w:rPr>
          <w:rFonts w:ascii="Arial" w:hAnsi="Arial" w:cs="Arial"/>
        </w:rPr>
        <w:t>SSNIP</w:t>
      </w:r>
      <w:r w:rsidR="00800E42" w:rsidRPr="00931D46">
        <w:rPr>
          <w:rFonts w:ascii="Arial" w:hAnsi="Arial" w:cs="Arial"/>
        </w:rPr>
        <w:t xml:space="preserve"> para delimitar la dimensión </w:t>
      </w:r>
      <w:r w:rsidR="00330363">
        <w:rPr>
          <w:rFonts w:ascii="Arial" w:hAnsi="Arial" w:cs="Arial"/>
        </w:rPr>
        <w:t>producto</w:t>
      </w:r>
      <w:r w:rsidR="00800E42" w:rsidRPr="00931D46">
        <w:rPr>
          <w:rFonts w:ascii="Arial" w:hAnsi="Arial" w:cs="Arial"/>
        </w:rPr>
        <w:t xml:space="preserve"> del MR con base en la sustitución por el lado de la demanda. Así, señala que la evidencia directa del comportamiento de los consumidores en respuesta a cambios en precios relativos puede ser difícil de obtener en la práctica, por lo que la delimitación del MR se enfoca frecuentemente en indicadores de sustituibilidad, incluyendo: i) opiniones, estrategias, comportamientos e</w:t>
      </w:r>
      <w:r w:rsidRPr="00931D46">
        <w:rPr>
          <w:rFonts w:ascii="Arial" w:hAnsi="Arial" w:cs="Arial"/>
        </w:rPr>
        <w:t xml:space="preserve"> identidad de los compradores; </w:t>
      </w:r>
      <w:r w:rsidR="00800E42" w:rsidRPr="00931D46">
        <w:rPr>
          <w:rFonts w:ascii="Arial" w:hAnsi="Arial" w:cs="Arial"/>
        </w:rPr>
        <w:t xml:space="preserve">ii) uso final y características físicas de los </w:t>
      </w:r>
      <w:r w:rsidR="00330363">
        <w:rPr>
          <w:rFonts w:ascii="Arial" w:hAnsi="Arial" w:cs="Arial"/>
        </w:rPr>
        <w:t>productos</w:t>
      </w:r>
      <w:r w:rsidR="00800E42" w:rsidRPr="00931D46">
        <w:rPr>
          <w:rFonts w:ascii="Arial" w:hAnsi="Arial" w:cs="Arial"/>
        </w:rPr>
        <w:t>; iii) costos de cambio,</w:t>
      </w:r>
      <w:r w:rsidRPr="00931D46">
        <w:rPr>
          <w:rFonts w:ascii="Arial" w:hAnsi="Arial" w:cs="Arial"/>
        </w:rPr>
        <w:t xml:space="preserve"> y </w:t>
      </w:r>
      <w:r w:rsidR="00800E42" w:rsidRPr="00931D46">
        <w:rPr>
          <w:rFonts w:ascii="Arial" w:hAnsi="Arial" w:cs="Arial"/>
        </w:rPr>
        <w:t xml:space="preserve">iv) precios relativos. Además, señala que </w:t>
      </w:r>
      <w:r w:rsidR="00E77EA6" w:rsidRPr="00931D46">
        <w:rPr>
          <w:rFonts w:ascii="Arial" w:hAnsi="Arial" w:cs="Arial"/>
        </w:rPr>
        <w:t>se</w:t>
      </w:r>
      <w:r w:rsidR="00800E42" w:rsidRPr="00931D46">
        <w:rPr>
          <w:rFonts w:ascii="Arial" w:hAnsi="Arial" w:cs="Arial"/>
        </w:rPr>
        <w:t xml:space="preserve"> puede considerar apropiado definir mercados en referencia a tipos particulares de </w:t>
      </w:r>
      <w:r w:rsidRPr="00931D46">
        <w:rPr>
          <w:rFonts w:ascii="Arial" w:hAnsi="Arial" w:cs="Arial"/>
        </w:rPr>
        <w:t xml:space="preserve">consumidores </w:t>
      </w:r>
      <w:r w:rsidR="00800E42" w:rsidRPr="00931D46">
        <w:rPr>
          <w:rFonts w:ascii="Arial" w:hAnsi="Arial" w:cs="Arial"/>
        </w:rPr>
        <w:t xml:space="preserve">en ciertas circunstancias, tales como </w:t>
      </w:r>
      <w:r w:rsidR="006354C7" w:rsidRPr="00931D46">
        <w:rPr>
          <w:rFonts w:ascii="Arial" w:hAnsi="Arial" w:cs="Arial"/>
        </w:rPr>
        <w:t>cuando existe</w:t>
      </w:r>
      <w:r w:rsidR="00800E42" w:rsidRPr="00931D46">
        <w:rPr>
          <w:rFonts w:ascii="Arial" w:hAnsi="Arial" w:cs="Arial"/>
        </w:rPr>
        <w:t xml:space="preserve"> discriminación de precios.</w:t>
      </w:r>
      <w:r w:rsidRPr="00931D46">
        <w:rPr>
          <w:rFonts w:ascii="Arial" w:eastAsia="Times New Roman" w:hAnsi="Arial" w:cs="Arial"/>
          <w:vertAlign w:val="superscript"/>
          <w:lang w:eastAsia="es-MX"/>
        </w:rPr>
        <w:footnoteReference w:id="117"/>
      </w:r>
    </w:p>
    <w:p w14:paraId="26EA100A" w14:textId="77777777" w:rsidR="00800E42" w:rsidRPr="00931D46" w:rsidRDefault="00800E42" w:rsidP="0023353F">
      <w:pPr>
        <w:spacing w:before="0" w:after="0"/>
        <w:rPr>
          <w:rFonts w:ascii="Arial" w:hAnsi="Arial" w:cs="Arial"/>
        </w:rPr>
      </w:pPr>
    </w:p>
    <w:p w14:paraId="7C760F18" w14:textId="523356DD" w:rsidR="00800E42" w:rsidRPr="00931D46" w:rsidRDefault="000E2146" w:rsidP="0023353F">
      <w:pPr>
        <w:spacing w:before="0" w:after="0"/>
        <w:rPr>
          <w:rFonts w:ascii="Arial" w:hAnsi="Arial" w:cs="Arial"/>
        </w:rPr>
      </w:pPr>
      <w:r w:rsidRPr="00931D46">
        <w:rPr>
          <w:rFonts w:ascii="Arial" w:hAnsi="Arial" w:cs="Arial"/>
        </w:rPr>
        <w:t>Respecto a</w:t>
      </w:r>
      <w:r w:rsidR="00800E42" w:rsidRPr="00931D46">
        <w:rPr>
          <w:rFonts w:ascii="Arial" w:hAnsi="Arial" w:cs="Arial"/>
        </w:rPr>
        <w:t xml:space="preserve"> </w:t>
      </w:r>
      <w:r w:rsidR="00375B3B" w:rsidRPr="00931D46">
        <w:rPr>
          <w:rFonts w:ascii="Arial" w:hAnsi="Arial" w:cs="Arial"/>
        </w:rPr>
        <w:t xml:space="preserve">la </w:t>
      </w:r>
      <w:r w:rsidR="003E4CEF" w:rsidRPr="00931D46">
        <w:rPr>
          <w:rFonts w:ascii="Arial" w:hAnsi="Arial" w:cs="Arial"/>
        </w:rPr>
        <w:t xml:space="preserve">provisión de </w:t>
      </w:r>
      <w:r w:rsidR="00800E42" w:rsidRPr="00931D46">
        <w:rPr>
          <w:rFonts w:ascii="Arial" w:hAnsi="Arial" w:cs="Arial"/>
        </w:rPr>
        <w:t xml:space="preserve">servicios </w:t>
      </w:r>
      <w:r w:rsidR="003E4CEF" w:rsidRPr="00931D46">
        <w:rPr>
          <w:rFonts w:ascii="Arial" w:hAnsi="Arial" w:cs="Arial"/>
        </w:rPr>
        <w:t xml:space="preserve">de contenidos </w:t>
      </w:r>
      <w:r w:rsidR="00800E42" w:rsidRPr="00931D46">
        <w:rPr>
          <w:rFonts w:ascii="Arial" w:hAnsi="Arial" w:cs="Arial"/>
        </w:rPr>
        <w:t xml:space="preserve">audiovisuales y de audio, la CRTC señala que, debido a la alta diferenciación de </w:t>
      </w:r>
      <w:r w:rsidR="00330363">
        <w:rPr>
          <w:rFonts w:ascii="Arial" w:hAnsi="Arial" w:cs="Arial"/>
        </w:rPr>
        <w:t>productos</w:t>
      </w:r>
      <w:r w:rsidR="00800E42" w:rsidRPr="00931D46">
        <w:rPr>
          <w:rFonts w:ascii="Arial" w:hAnsi="Arial" w:cs="Arial"/>
        </w:rPr>
        <w:t xml:space="preserve"> y la heterogeneidad de la demanda que los caracteriza, es poco probable que las características de los </w:t>
      </w:r>
      <w:r w:rsidR="00330363">
        <w:rPr>
          <w:rFonts w:ascii="Arial" w:hAnsi="Arial" w:cs="Arial"/>
        </w:rPr>
        <w:t>productos</w:t>
      </w:r>
      <w:r w:rsidR="00800E42" w:rsidRPr="00931D46">
        <w:rPr>
          <w:rFonts w:ascii="Arial" w:hAnsi="Arial" w:cs="Arial"/>
        </w:rPr>
        <w:t>, con excepción de la tecnología,</w:t>
      </w:r>
      <w:r w:rsidR="00800E42" w:rsidRPr="00931D46" w:rsidDel="006A59BA">
        <w:rPr>
          <w:rFonts w:ascii="Arial" w:hAnsi="Arial" w:cs="Arial"/>
        </w:rPr>
        <w:t xml:space="preserve"> </w:t>
      </w:r>
      <w:r w:rsidR="00800E42" w:rsidRPr="00931D46">
        <w:rPr>
          <w:rFonts w:ascii="Arial" w:hAnsi="Arial" w:cs="Arial"/>
        </w:rPr>
        <w:t xml:space="preserve">sean determinantes para delimitar mercados. </w:t>
      </w:r>
      <w:r w:rsidR="00720B11" w:rsidRPr="00931D46">
        <w:rPr>
          <w:rFonts w:ascii="Arial" w:hAnsi="Arial" w:cs="Arial"/>
        </w:rPr>
        <w:t>Adicionalmente</w:t>
      </w:r>
      <w:r w:rsidR="006354C7" w:rsidRPr="00931D46">
        <w:rPr>
          <w:rFonts w:ascii="Arial" w:hAnsi="Arial" w:cs="Arial"/>
        </w:rPr>
        <w:t>,</w:t>
      </w:r>
      <w:r w:rsidR="00800E42" w:rsidRPr="00931D46">
        <w:rPr>
          <w:rFonts w:ascii="Arial" w:hAnsi="Arial" w:cs="Arial"/>
        </w:rPr>
        <w:t xml:space="preserve"> se deben considerar otros atributos, tales como i) atributos de </w:t>
      </w:r>
      <w:r w:rsidR="00606E79" w:rsidRPr="00931D46">
        <w:rPr>
          <w:rFonts w:ascii="Arial" w:hAnsi="Arial" w:cs="Arial"/>
        </w:rPr>
        <w:t xml:space="preserve">los </w:t>
      </w:r>
      <w:r w:rsidR="00800E42" w:rsidRPr="00931D46">
        <w:rPr>
          <w:rFonts w:ascii="Arial" w:hAnsi="Arial" w:cs="Arial"/>
        </w:rPr>
        <w:t>contenido</w:t>
      </w:r>
      <w:r w:rsidR="00606E79" w:rsidRPr="00931D46">
        <w:rPr>
          <w:rFonts w:ascii="Arial" w:hAnsi="Arial" w:cs="Arial"/>
        </w:rPr>
        <w:t>s</w:t>
      </w:r>
      <w:r w:rsidR="00800E42" w:rsidRPr="00931D46">
        <w:rPr>
          <w:rFonts w:ascii="Arial" w:hAnsi="Arial" w:cs="Arial"/>
        </w:rPr>
        <w:t xml:space="preserve"> (variedad de programación, calidad, presencia de publicidad, oportunidad</w:t>
      </w:r>
      <w:r w:rsidR="008B3E81" w:rsidRPr="00931D46">
        <w:rPr>
          <w:rFonts w:ascii="Arial" w:hAnsi="Arial" w:cs="Arial"/>
        </w:rPr>
        <w:t xml:space="preserve"> y</w:t>
      </w:r>
      <w:r w:rsidR="00800E42" w:rsidRPr="00931D46">
        <w:rPr>
          <w:rFonts w:ascii="Arial" w:hAnsi="Arial" w:cs="Arial"/>
        </w:rPr>
        <w:t xml:space="preserve"> duración); ii) atributos de acceso (movilidad</w:t>
      </w:r>
      <w:r w:rsidR="008B3E81" w:rsidRPr="00931D46">
        <w:rPr>
          <w:rFonts w:ascii="Arial" w:hAnsi="Arial" w:cs="Arial"/>
        </w:rPr>
        <w:t xml:space="preserve"> y</w:t>
      </w:r>
      <w:r w:rsidR="00800E42" w:rsidRPr="00931D46">
        <w:rPr>
          <w:rFonts w:ascii="Arial" w:hAnsi="Arial" w:cs="Arial"/>
        </w:rPr>
        <w:t xml:space="preserve"> necesidad de contar con equipos especializados), y iii) atributos de pago (esquemas de tarificación y empaquetamiento).</w:t>
      </w:r>
      <w:r w:rsidRPr="00931D46">
        <w:rPr>
          <w:rFonts w:ascii="Arial" w:eastAsia="Times New Roman" w:hAnsi="Arial" w:cs="Arial"/>
          <w:vertAlign w:val="superscript"/>
          <w:lang w:eastAsia="es-MX"/>
        </w:rPr>
        <w:footnoteReference w:id="118"/>
      </w:r>
    </w:p>
    <w:p w14:paraId="582E0627" w14:textId="77777777" w:rsidR="00800E42" w:rsidRPr="00931D46" w:rsidRDefault="00800E42" w:rsidP="0023353F">
      <w:pPr>
        <w:spacing w:before="0" w:after="0"/>
        <w:rPr>
          <w:rFonts w:ascii="Arial" w:hAnsi="Arial" w:cs="Arial"/>
        </w:rPr>
      </w:pPr>
    </w:p>
    <w:p w14:paraId="78AED883" w14:textId="77777777" w:rsidR="00800E42" w:rsidRPr="00931D46" w:rsidRDefault="00800E42" w:rsidP="0023353F">
      <w:pPr>
        <w:spacing w:before="0" w:after="0"/>
        <w:rPr>
          <w:rFonts w:ascii="Arial" w:hAnsi="Arial" w:cs="Arial"/>
        </w:rPr>
      </w:pPr>
      <w:r w:rsidRPr="00931D46">
        <w:rPr>
          <w:rFonts w:ascii="Arial" w:hAnsi="Arial" w:cs="Arial"/>
        </w:rPr>
        <w:t>Además, la CRTC señala distintas herramientas que pueden ser útiles para delimitar de forma rigurosa el mercado donde compiten nuevos servicios digitales:</w:t>
      </w:r>
    </w:p>
    <w:p w14:paraId="66B50B54" w14:textId="77777777" w:rsidR="0023353F" w:rsidRPr="00931D46" w:rsidRDefault="0023353F" w:rsidP="0023353F">
      <w:pPr>
        <w:spacing w:before="0" w:after="0"/>
        <w:rPr>
          <w:rFonts w:ascii="Arial" w:hAnsi="Arial" w:cs="Arial"/>
        </w:rPr>
      </w:pPr>
    </w:p>
    <w:p w14:paraId="4A808B87" w14:textId="77777777" w:rsidR="00800E42" w:rsidRPr="00931D46" w:rsidRDefault="00800E42" w:rsidP="000876A1">
      <w:pPr>
        <w:pStyle w:val="Prrafodelista"/>
        <w:numPr>
          <w:ilvl w:val="0"/>
          <w:numId w:val="52"/>
        </w:numPr>
        <w:spacing w:before="0" w:after="0"/>
        <w:ind w:left="709" w:hanging="567"/>
        <w:contextualSpacing w:val="0"/>
        <w:rPr>
          <w:rFonts w:ascii="Arial" w:hAnsi="Arial" w:cs="Arial"/>
        </w:rPr>
      </w:pPr>
      <w:r w:rsidRPr="00931D46">
        <w:rPr>
          <w:rFonts w:ascii="Arial" w:hAnsi="Arial" w:cs="Arial"/>
        </w:rPr>
        <w:t>Herramientas empíricas como: i) experimentos naturales, ii) cocientes de desvío, iii) distribución de</w:t>
      </w:r>
      <w:r w:rsidR="00E47ED6" w:rsidRPr="00931D46">
        <w:rPr>
          <w:rFonts w:ascii="Arial" w:hAnsi="Arial" w:cs="Arial"/>
        </w:rPr>
        <w:t>l</w:t>
      </w:r>
      <w:r w:rsidRPr="00931D46">
        <w:rPr>
          <w:rFonts w:ascii="Arial" w:hAnsi="Arial" w:cs="Arial"/>
        </w:rPr>
        <w:t xml:space="preserve"> gasto de los consumidores, iv) cambios en los niveles de suscripción y descargas.</w:t>
      </w:r>
    </w:p>
    <w:p w14:paraId="4075971B" w14:textId="50176828" w:rsidR="00800E42" w:rsidRPr="00931D46" w:rsidRDefault="00800E42" w:rsidP="000876A1">
      <w:pPr>
        <w:pStyle w:val="Prrafodelista"/>
        <w:numPr>
          <w:ilvl w:val="0"/>
          <w:numId w:val="52"/>
        </w:numPr>
        <w:spacing w:before="0" w:after="0"/>
        <w:ind w:left="709" w:hanging="567"/>
        <w:contextualSpacing w:val="0"/>
        <w:rPr>
          <w:rFonts w:ascii="Arial" w:hAnsi="Arial" w:cs="Arial"/>
        </w:rPr>
      </w:pPr>
      <w:r w:rsidRPr="00931D46">
        <w:rPr>
          <w:rFonts w:ascii="Arial" w:hAnsi="Arial" w:cs="Arial"/>
        </w:rPr>
        <w:t>Herramientas prospectivas, incluyendo: i) patrones de consumo de usuarios, ii) evidencia de los primeros usuarios (</w:t>
      </w:r>
      <w:r w:rsidRPr="00931D46">
        <w:rPr>
          <w:rFonts w:ascii="Arial" w:hAnsi="Arial" w:cs="Arial"/>
          <w:i/>
        </w:rPr>
        <w:t>early adopters</w:t>
      </w:r>
      <w:r w:rsidR="000208DB">
        <w:rPr>
          <w:rFonts w:ascii="Arial" w:hAnsi="Arial" w:cs="Arial"/>
          <w:i/>
        </w:rPr>
        <w:t>,</w:t>
      </w:r>
      <w:r w:rsidR="000208DB" w:rsidRPr="000208DB">
        <w:rPr>
          <w:rFonts w:ascii="Arial" w:hAnsi="Arial" w:cs="Arial"/>
        </w:rPr>
        <w:t xml:space="preserve"> en ingl</w:t>
      </w:r>
      <w:r w:rsidR="000208DB">
        <w:rPr>
          <w:rFonts w:ascii="Arial" w:hAnsi="Arial" w:cs="Arial"/>
        </w:rPr>
        <w:t>é</w:t>
      </w:r>
      <w:r w:rsidR="000208DB" w:rsidRPr="000876A1">
        <w:rPr>
          <w:rFonts w:ascii="Arial" w:hAnsi="Arial" w:cs="Arial"/>
        </w:rPr>
        <w:t>s</w:t>
      </w:r>
      <w:r w:rsidRPr="00931D46">
        <w:rPr>
          <w:rFonts w:ascii="Arial" w:hAnsi="Arial" w:cs="Arial"/>
        </w:rPr>
        <w:t>), iii) pronósticos de especialistas y expertos y iv) casos de negocio</w:t>
      </w:r>
      <w:r w:rsidRPr="00931D46">
        <w:rPr>
          <w:rFonts w:ascii="Arial" w:hAnsi="Arial" w:cs="Arial"/>
          <w:color w:val="333333"/>
          <w:shd w:val="clear" w:color="auto" w:fill="FFFFFF"/>
        </w:rPr>
        <w:t>.</w:t>
      </w:r>
    </w:p>
    <w:p w14:paraId="7A32B136" w14:textId="77777777" w:rsidR="00800E42" w:rsidRPr="00931D46" w:rsidRDefault="00800E42" w:rsidP="0023353F">
      <w:pPr>
        <w:spacing w:before="0" w:after="0"/>
        <w:rPr>
          <w:rFonts w:ascii="Arial" w:hAnsi="Arial" w:cs="Arial"/>
        </w:rPr>
      </w:pPr>
    </w:p>
    <w:p w14:paraId="05C54C9F" w14:textId="5FB82F5D" w:rsidR="00800E42" w:rsidRPr="00931D46" w:rsidRDefault="00800E42" w:rsidP="0023353F">
      <w:pPr>
        <w:spacing w:before="0" w:after="0"/>
        <w:rPr>
          <w:rFonts w:ascii="Arial" w:hAnsi="Arial" w:cs="Arial"/>
        </w:rPr>
      </w:pPr>
      <w:r w:rsidRPr="00931D46">
        <w:rPr>
          <w:rFonts w:ascii="Arial" w:hAnsi="Arial" w:cs="Arial"/>
        </w:rPr>
        <w:t>Un ejemplo de</w:t>
      </w:r>
      <w:r w:rsidR="000876A1">
        <w:rPr>
          <w:rFonts w:ascii="Arial" w:hAnsi="Arial" w:cs="Arial"/>
        </w:rPr>
        <w:t>l uso de</w:t>
      </w:r>
      <w:r w:rsidRPr="00931D46">
        <w:rPr>
          <w:rFonts w:ascii="Arial" w:hAnsi="Arial" w:cs="Arial"/>
        </w:rPr>
        <w:t xml:space="preserve"> los criterios citados es el caso Be</w:t>
      </w:r>
      <w:r w:rsidR="0099314B" w:rsidRPr="00931D46">
        <w:rPr>
          <w:rFonts w:ascii="Arial" w:hAnsi="Arial" w:cs="Arial"/>
        </w:rPr>
        <w:t>ll y Manitoba Telecom Services</w:t>
      </w:r>
      <w:r w:rsidRPr="00931D46">
        <w:rPr>
          <w:rStyle w:val="Refdenotaalpie"/>
          <w:rFonts w:ascii="Arial" w:hAnsi="Arial" w:cs="Arial"/>
        </w:rPr>
        <w:footnoteReference w:id="119"/>
      </w:r>
      <w:r w:rsidRPr="00931D46">
        <w:rPr>
          <w:rFonts w:ascii="Arial" w:hAnsi="Arial" w:cs="Arial"/>
        </w:rPr>
        <w:t xml:space="preserve"> donde la CRTC definió como MR al servicio minorista de telecomunicaciones móviles en planes </w:t>
      </w:r>
      <w:r w:rsidR="000876A1">
        <w:rPr>
          <w:rFonts w:ascii="Arial" w:hAnsi="Arial" w:cs="Arial"/>
        </w:rPr>
        <w:t xml:space="preserve">de </w:t>
      </w:r>
      <w:r w:rsidRPr="00931D46">
        <w:rPr>
          <w:rFonts w:ascii="Arial" w:hAnsi="Arial" w:cs="Arial"/>
        </w:rPr>
        <w:t>pospago para consumidores residenciales. El análisis de</w:t>
      </w:r>
      <w:r w:rsidRPr="00931D46" w:rsidDel="000C755C">
        <w:rPr>
          <w:rFonts w:ascii="Arial" w:hAnsi="Arial" w:cs="Arial"/>
        </w:rPr>
        <w:t xml:space="preserve"> </w:t>
      </w:r>
      <w:r w:rsidRPr="00931D46">
        <w:rPr>
          <w:rFonts w:ascii="Arial" w:hAnsi="Arial" w:cs="Arial"/>
        </w:rPr>
        <w:t>sustitución tomó en consideración las características de los servicios, canales de comercialización y necesidades de los consumidores</w:t>
      </w:r>
      <w:r w:rsidR="0099314B" w:rsidRPr="00931D46">
        <w:rPr>
          <w:rFonts w:ascii="Arial" w:hAnsi="Arial" w:cs="Arial"/>
        </w:rPr>
        <w:t>,</w:t>
      </w:r>
      <w:r w:rsidRPr="00931D46">
        <w:rPr>
          <w:rFonts w:ascii="Arial" w:hAnsi="Arial" w:cs="Arial"/>
        </w:rPr>
        <w:t xml:space="preserve"> entrevistas e información obtenida de consumidores, autoridades</w:t>
      </w:r>
      <w:r w:rsidRPr="00931D46" w:rsidDel="00D81EEB">
        <w:rPr>
          <w:rFonts w:ascii="Arial" w:hAnsi="Arial" w:cs="Arial"/>
        </w:rPr>
        <w:t xml:space="preserve">, </w:t>
      </w:r>
      <w:r w:rsidRPr="00931D46">
        <w:rPr>
          <w:rFonts w:ascii="Arial" w:hAnsi="Arial" w:cs="Arial"/>
        </w:rPr>
        <w:t xml:space="preserve">empresas del sector y de expertos en la industria, finanzas y economía. </w:t>
      </w:r>
    </w:p>
    <w:p w14:paraId="7D1927BB" w14:textId="77777777" w:rsidR="00800E42" w:rsidRPr="00931D46" w:rsidRDefault="00800E42" w:rsidP="0023353F">
      <w:pPr>
        <w:spacing w:before="0" w:after="0"/>
        <w:rPr>
          <w:rFonts w:ascii="Arial" w:hAnsi="Arial" w:cs="Arial"/>
        </w:rPr>
      </w:pPr>
    </w:p>
    <w:p w14:paraId="49162512" w14:textId="77777777" w:rsidR="00800E42" w:rsidRPr="00931D46" w:rsidRDefault="00800E42"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Australia</w:t>
      </w:r>
      <w:r w:rsidRPr="00931D46">
        <w:rPr>
          <w:rFonts w:ascii="Arial" w:eastAsia="Times New Roman" w:hAnsi="Arial" w:cs="Arial"/>
          <w:b/>
          <w:color w:val="auto"/>
          <w:sz w:val="26"/>
          <w:szCs w:val="26"/>
          <w:vertAlign w:val="superscript"/>
          <w:lang w:eastAsia="es-MX"/>
        </w:rPr>
        <w:footnoteReference w:id="120"/>
      </w:r>
    </w:p>
    <w:p w14:paraId="7199125B" w14:textId="77777777" w:rsidR="00800E42" w:rsidRPr="00931D46" w:rsidRDefault="00800E42" w:rsidP="0023353F">
      <w:pPr>
        <w:spacing w:before="0" w:after="0"/>
        <w:rPr>
          <w:rFonts w:ascii="Arial" w:hAnsi="Arial" w:cs="Arial"/>
        </w:rPr>
      </w:pPr>
    </w:p>
    <w:p w14:paraId="18621FB4" w14:textId="68EE14F5" w:rsidR="00800E42" w:rsidRPr="00931D46" w:rsidRDefault="00800E42" w:rsidP="0023353F">
      <w:pPr>
        <w:spacing w:before="0" w:after="0"/>
        <w:rPr>
          <w:rFonts w:ascii="Arial" w:hAnsi="Arial" w:cs="Arial"/>
        </w:rPr>
      </w:pPr>
      <w:r w:rsidRPr="00931D46">
        <w:rPr>
          <w:rFonts w:ascii="Arial" w:hAnsi="Arial" w:cs="Arial"/>
        </w:rPr>
        <w:t xml:space="preserve">La ACCC señala que la sustitución por el lado de la demanda depende de la disposición de los </w:t>
      </w:r>
      <w:r w:rsidR="006C7F66" w:rsidRPr="00931D46">
        <w:rPr>
          <w:rFonts w:ascii="Arial" w:hAnsi="Arial" w:cs="Arial"/>
        </w:rPr>
        <w:t xml:space="preserve">consumidores </w:t>
      </w:r>
      <w:r w:rsidRPr="00931D46">
        <w:rPr>
          <w:rFonts w:ascii="Arial" w:hAnsi="Arial" w:cs="Arial"/>
        </w:rPr>
        <w:t xml:space="preserve">a cambiar entre </w:t>
      </w:r>
      <w:r w:rsidR="00330363">
        <w:rPr>
          <w:rFonts w:ascii="Arial" w:hAnsi="Arial" w:cs="Arial"/>
        </w:rPr>
        <w:t>productos</w:t>
      </w:r>
      <w:r w:rsidRPr="00931D46">
        <w:rPr>
          <w:rFonts w:ascii="Arial" w:hAnsi="Arial" w:cs="Arial"/>
        </w:rPr>
        <w:t xml:space="preserve"> en respuesta a un aumento de precio o disminución de la calidad, y la sustitución por el lado de la oferta consiste en analizar si en respuesta a un aumento de precios los insumos de producción y esfuerzos de mercadeo pueden cambiarse rápidamente y sin inversiones significativas para proveer un </w:t>
      </w:r>
      <w:r w:rsidR="00330363">
        <w:rPr>
          <w:rFonts w:ascii="Arial" w:hAnsi="Arial" w:cs="Arial"/>
        </w:rPr>
        <w:t>producto</w:t>
      </w:r>
      <w:r w:rsidRPr="00931D46">
        <w:rPr>
          <w:rFonts w:ascii="Arial" w:hAnsi="Arial" w:cs="Arial"/>
        </w:rPr>
        <w:t xml:space="preserve"> sustituto</w:t>
      </w:r>
      <w:r w:rsidR="003B6110" w:rsidRPr="00931D46">
        <w:rPr>
          <w:rFonts w:ascii="Arial" w:hAnsi="Arial" w:cs="Arial"/>
        </w:rPr>
        <w:t xml:space="preserve"> para los </w:t>
      </w:r>
      <w:r w:rsidR="000B17AA" w:rsidRPr="00931D46">
        <w:rPr>
          <w:rFonts w:ascii="Arial" w:hAnsi="Arial" w:cs="Arial"/>
        </w:rPr>
        <w:t>consu</w:t>
      </w:r>
      <w:r w:rsidR="003B6110" w:rsidRPr="00931D46">
        <w:rPr>
          <w:rFonts w:ascii="Arial" w:hAnsi="Arial" w:cs="Arial"/>
        </w:rPr>
        <w:t>midores</w:t>
      </w:r>
      <w:r w:rsidRPr="00931D46">
        <w:rPr>
          <w:rFonts w:ascii="Arial" w:hAnsi="Arial" w:cs="Arial"/>
        </w:rPr>
        <w:t>.</w:t>
      </w:r>
    </w:p>
    <w:p w14:paraId="0766EC93" w14:textId="77777777" w:rsidR="00800E42" w:rsidRPr="00931D46" w:rsidRDefault="00800E42" w:rsidP="0023353F">
      <w:pPr>
        <w:spacing w:before="0" w:after="0"/>
        <w:rPr>
          <w:rFonts w:ascii="Arial" w:hAnsi="Arial" w:cs="Arial"/>
        </w:rPr>
      </w:pPr>
    </w:p>
    <w:p w14:paraId="128E6F04" w14:textId="6F6AA428" w:rsidR="00800E42" w:rsidRPr="00931D46" w:rsidRDefault="00800E42" w:rsidP="0023353F">
      <w:pPr>
        <w:spacing w:before="0" w:after="0"/>
        <w:rPr>
          <w:rFonts w:ascii="Arial" w:hAnsi="Arial" w:cs="Arial"/>
        </w:rPr>
      </w:pPr>
      <w:r w:rsidRPr="00931D46">
        <w:rPr>
          <w:rFonts w:ascii="Arial" w:hAnsi="Arial" w:cs="Arial"/>
        </w:rPr>
        <w:t xml:space="preserve">En este sentido, para identificar aquellos </w:t>
      </w:r>
      <w:r w:rsidR="00330363">
        <w:rPr>
          <w:rFonts w:ascii="Arial" w:hAnsi="Arial" w:cs="Arial"/>
        </w:rPr>
        <w:t>productos</w:t>
      </w:r>
      <w:r w:rsidRPr="00931D46">
        <w:rPr>
          <w:rFonts w:ascii="Arial" w:hAnsi="Arial" w:cs="Arial"/>
        </w:rPr>
        <w:t xml:space="preserve"> que pueden ser sustitutos cercanos, la ACCC considera los siguientes elementos:</w:t>
      </w:r>
    </w:p>
    <w:p w14:paraId="7D4594FC" w14:textId="77777777" w:rsidR="0023353F" w:rsidRPr="00931D46" w:rsidRDefault="0023353F" w:rsidP="0023353F">
      <w:pPr>
        <w:spacing w:before="0" w:after="0"/>
        <w:rPr>
          <w:rFonts w:ascii="Arial" w:hAnsi="Arial" w:cs="Arial"/>
        </w:rPr>
      </w:pPr>
    </w:p>
    <w:p w14:paraId="71719203" w14:textId="550F6568"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La función y uso final del </w:t>
      </w:r>
      <w:r w:rsidR="00330363">
        <w:rPr>
          <w:rFonts w:ascii="Arial" w:hAnsi="Arial" w:cs="Arial"/>
        </w:rPr>
        <w:t>producto</w:t>
      </w:r>
      <w:r w:rsidRPr="00931D46">
        <w:rPr>
          <w:rFonts w:ascii="Arial" w:hAnsi="Arial" w:cs="Arial"/>
        </w:rPr>
        <w:t>.</w:t>
      </w:r>
    </w:p>
    <w:p w14:paraId="2CFB70B5" w14:textId="2DA5F06D"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Las características físicas y técnicas del </w:t>
      </w:r>
      <w:r w:rsidR="00330363">
        <w:rPr>
          <w:rFonts w:ascii="Arial" w:hAnsi="Arial" w:cs="Arial"/>
        </w:rPr>
        <w:t>producto</w:t>
      </w:r>
      <w:r w:rsidRPr="00931D46">
        <w:rPr>
          <w:rFonts w:ascii="Arial" w:hAnsi="Arial" w:cs="Arial"/>
        </w:rPr>
        <w:t>.</w:t>
      </w:r>
    </w:p>
    <w:p w14:paraId="451F8DB8" w14:textId="33DA7579"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Costos de cambio entre el </w:t>
      </w:r>
      <w:r w:rsidR="00330363">
        <w:rPr>
          <w:rFonts w:ascii="Arial" w:hAnsi="Arial" w:cs="Arial"/>
        </w:rPr>
        <w:t>producto</w:t>
      </w:r>
      <w:r w:rsidRPr="00931D46">
        <w:rPr>
          <w:rFonts w:ascii="Arial" w:hAnsi="Arial" w:cs="Arial"/>
        </w:rPr>
        <w:t xml:space="preserve"> y sustitutos potenciales.</w:t>
      </w:r>
    </w:p>
    <w:p w14:paraId="668CADFF" w14:textId="55585F0B"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Evidencia de que los consumidores hayan cambiado entre </w:t>
      </w:r>
      <w:r w:rsidR="00330363">
        <w:rPr>
          <w:rFonts w:ascii="Arial" w:hAnsi="Arial" w:cs="Arial"/>
        </w:rPr>
        <w:t>productos</w:t>
      </w:r>
      <w:r w:rsidRPr="00931D46">
        <w:rPr>
          <w:rFonts w:ascii="Arial" w:hAnsi="Arial" w:cs="Arial"/>
        </w:rPr>
        <w:t xml:space="preserve"> ante incrementos en el precio en el pasado reciente.</w:t>
      </w:r>
    </w:p>
    <w:p w14:paraId="3DFC0DE4" w14:textId="3B209743"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Evidencia de que los productores hayan redireccionado su capacidad productiva ante cambios en los precios </w:t>
      </w:r>
      <w:r w:rsidR="006845DE">
        <w:rPr>
          <w:rFonts w:ascii="Arial" w:hAnsi="Arial" w:cs="Arial"/>
        </w:rPr>
        <w:t xml:space="preserve">de otros </w:t>
      </w:r>
      <w:r w:rsidR="00330363">
        <w:rPr>
          <w:rFonts w:ascii="Arial" w:hAnsi="Arial" w:cs="Arial"/>
        </w:rPr>
        <w:t>productos</w:t>
      </w:r>
      <w:r w:rsidR="006845DE">
        <w:rPr>
          <w:rFonts w:ascii="Arial" w:hAnsi="Arial" w:cs="Arial"/>
        </w:rPr>
        <w:t xml:space="preserve"> </w:t>
      </w:r>
      <w:r w:rsidRPr="00931D46">
        <w:rPr>
          <w:rFonts w:ascii="Arial" w:hAnsi="Arial" w:cs="Arial"/>
        </w:rPr>
        <w:t>en el pasado reciente.</w:t>
      </w:r>
    </w:p>
    <w:p w14:paraId="09ADC025" w14:textId="77777777"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Costos de cambiar los sistemas de producción y distribución</w:t>
      </w:r>
      <w:r w:rsidR="0054182B" w:rsidRPr="00931D46">
        <w:rPr>
          <w:rFonts w:ascii="Arial" w:hAnsi="Arial" w:cs="Arial"/>
        </w:rPr>
        <w:t>.</w:t>
      </w:r>
      <w:r w:rsidRPr="00931D46">
        <w:rPr>
          <w:rFonts w:ascii="Arial" w:hAnsi="Arial" w:cs="Arial"/>
        </w:rPr>
        <w:t xml:space="preserve"> </w:t>
      </w:r>
    </w:p>
    <w:p w14:paraId="69B0F686" w14:textId="77777777"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Opiniones y comportamiento pasado de los proveedores con respecto al impacto de las estrategias de precios y de mercadeo de proveedores de sustitutos potenciales sobre sus propias estrategias de precios y de mercadeo</w:t>
      </w:r>
      <w:r w:rsidR="0054182B" w:rsidRPr="00931D46">
        <w:rPr>
          <w:rFonts w:ascii="Arial" w:hAnsi="Arial" w:cs="Arial"/>
        </w:rPr>
        <w:t>.</w:t>
      </w:r>
    </w:p>
    <w:p w14:paraId="44EE5D87" w14:textId="5556B528" w:rsidR="00800E42" w:rsidRPr="00931D46" w:rsidRDefault="00800E42" w:rsidP="000876A1">
      <w:pPr>
        <w:pStyle w:val="Prrafodelista"/>
        <w:numPr>
          <w:ilvl w:val="0"/>
          <w:numId w:val="53"/>
        </w:numPr>
        <w:spacing w:before="0" w:after="0"/>
        <w:ind w:hanging="578"/>
        <w:contextualSpacing w:val="0"/>
        <w:rPr>
          <w:rFonts w:ascii="Arial" w:hAnsi="Arial" w:cs="Arial"/>
        </w:rPr>
      </w:pPr>
      <w:r w:rsidRPr="00931D46">
        <w:rPr>
          <w:rFonts w:ascii="Arial" w:hAnsi="Arial" w:cs="Arial"/>
        </w:rPr>
        <w:t xml:space="preserve">Niveles de precios relativos y variaciones en los precios del </w:t>
      </w:r>
      <w:r w:rsidR="00330363">
        <w:rPr>
          <w:rFonts w:ascii="Arial" w:hAnsi="Arial" w:cs="Arial"/>
        </w:rPr>
        <w:t>producto</w:t>
      </w:r>
      <w:r w:rsidRPr="00931D46">
        <w:rPr>
          <w:rFonts w:ascii="Arial" w:hAnsi="Arial" w:cs="Arial"/>
        </w:rPr>
        <w:t xml:space="preserve"> en comparación con potenciales sustitutos.</w:t>
      </w:r>
    </w:p>
    <w:p w14:paraId="0786DEA3" w14:textId="77777777" w:rsidR="00800E42" w:rsidRPr="00931D46" w:rsidRDefault="00800E42" w:rsidP="0023353F">
      <w:pPr>
        <w:spacing w:before="0" w:after="0"/>
        <w:rPr>
          <w:rFonts w:ascii="Arial" w:hAnsi="Arial" w:cs="Arial"/>
        </w:rPr>
      </w:pPr>
    </w:p>
    <w:p w14:paraId="5C17B77B" w14:textId="77777777" w:rsidR="00800E42" w:rsidRPr="00931D46" w:rsidRDefault="00800E42" w:rsidP="0023353F">
      <w:pPr>
        <w:spacing w:before="0" w:after="0"/>
        <w:rPr>
          <w:rFonts w:ascii="Arial" w:eastAsiaTheme="majorEastAsia" w:hAnsi="Arial" w:cs="Arial"/>
          <w:b/>
          <w:szCs w:val="32"/>
        </w:rPr>
      </w:pPr>
      <w:r w:rsidRPr="00931D46">
        <w:rPr>
          <w:rFonts w:ascii="Arial" w:hAnsi="Arial" w:cs="Arial"/>
        </w:rPr>
        <w:t xml:space="preserve">Por ejemplo, en </w:t>
      </w:r>
      <w:r w:rsidR="0099314B" w:rsidRPr="00931D46">
        <w:rPr>
          <w:rFonts w:ascii="Arial" w:hAnsi="Arial" w:cs="Arial"/>
        </w:rPr>
        <w:t xml:space="preserve">la concentración entre </w:t>
      </w:r>
      <w:r w:rsidRPr="00931D46">
        <w:rPr>
          <w:rFonts w:ascii="Arial" w:hAnsi="Arial" w:cs="Arial"/>
        </w:rPr>
        <w:t xml:space="preserve">TPG Telecom Limited </w:t>
      </w:r>
      <w:r w:rsidR="0099314B" w:rsidRPr="00931D46">
        <w:rPr>
          <w:rFonts w:ascii="Arial" w:hAnsi="Arial" w:cs="Arial"/>
        </w:rPr>
        <w:t>e</w:t>
      </w:r>
      <w:r w:rsidRPr="00931D46">
        <w:rPr>
          <w:rFonts w:ascii="Arial" w:hAnsi="Arial" w:cs="Arial"/>
        </w:rPr>
        <w:t xml:space="preserve"> iiNet</w:t>
      </w:r>
      <w:r w:rsidR="0099314B" w:rsidRPr="00931D46">
        <w:rPr>
          <w:rFonts w:ascii="Arial" w:hAnsi="Arial" w:cs="Arial"/>
        </w:rPr>
        <w:t>,</w:t>
      </w:r>
      <w:r w:rsidRPr="00931D46">
        <w:rPr>
          <w:rStyle w:val="Refdenotaalpie"/>
          <w:rFonts w:ascii="Arial" w:hAnsi="Arial" w:cs="Arial"/>
        </w:rPr>
        <w:footnoteReference w:id="121"/>
      </w:r>
      <w:r w:rsidRPr="00931D46">
        <w:rPr>
          <w:rFonts w:ascii="Arial" w:hAnsi="Arial" w:cs="Arial"/>
        </w:rPr>
        <w:t xml:space="preserve"> la ACCC delimitó el MR conformado por el </w:t>
      </w:r>
      <w:r w:rsidR="00C8303A" w:rsidRPr="00931D46">
        <w:rPr>
          <w:rFonts w:ascii="Arial" w:hAnsi="Arial" w:cs="Arial"/>
        </w:rPr>
        <w:t>SBAF</w:t>
      </w:r>
      <w:r w:rsidR="0099314B" w:rsidRPr="00931D46">
        <w:rPr>
          <w:rFonts w:ascii="Arial" w:hAnsi="Arial" w:cs="Arial"/>
        </w:rPr>
        <w:t>;</w:t>
      </w:r>
      <w:r w:rsidRPr="00931D46">
        <w:rPr>
          <w:rFonts w:ascii="Arial" w:hAnsi="Arial" w:cs="Arial"/>
        </w:rPr>
        <w:t xml:space="preserve"> </w:t>
      </w:r>
      <w:r w:rsidR="0099314B" w:rsidRPr="00931D46">
        <w:rPr>
          <w:rFonts w:ascii="Arial" w:hAnsi="Arial" w:cs="Arial"/>
        </w:rPr>
        <w:t>p</w:t>
      </w:r>
      <w:r w:rsidRPr="00931D46">
        <w:rPr>
          <w:rFonts w:ascii="Arial" w:hAnsi="Arial" w:cs="Arial"/>
        </w:rPr>
        <w:t xml:space="preserve">or el lado de la demanda, consideró como posible sustituto cercano al servicio de </w:t>
      </w:r>
      <w:r w:rsidR="0099314B" w:rsidRPr="00931D46">
        <w:rPr>
          <w:rFonts w:ascii="Arial" w:hAnsi="Arial" w:cs="Arial"/>
        </w:rPr>
        <w:t>acceso a I</w:t>
      </w:r>
      <w:r w:rsidRPr="00931D46">
        <w:rPr>
          <w:rFonts w:ascii="Arial" w:hAnsi="Arial" w:cs="Arial"/>
        </w:rPr>
        <w:t xml:space="preserve">nternet móvil, sin embargo, concluyó que no pertenecía al mismo MR dadas sus diferencias </w:t>
      </w:r>
      <w:r w:rsidR="0099314B" w:rsidRPr="00931D46">
        <w:rPr>
          <w:rFonts w:ascii="Arial" w:hAnsi="Arial" w:cs="Arial"/>
        </w:rPr>
        <w:t xml:space="preserve">en </w:t>
      </w:r>
      <w:r w:rsidRPr="00931D46">
        <w:rPr>
          <w:rFonts w:ascii="Arial" w:hAnsi="Arial" w:cs="Arial"/>
        </w:rPr>
        <w:t>precios, preferencias del consumidor y</w:t>
      </w:r>
      <w:r w:rsidRPr="00931D46" w:rsidDel="0055142F">
        <w:rPr>
          <w:rFonts w:ascii="Arial" w:hAnsi="Arial" w:cs="Arial"/>
        </w:rPr>
        <w:t xml:space="preserve"> </w:t>
      </w:r>
      <w:r w:rsidRPr="00931D46">
        <w:rPr>
          <w:rFonts w:ascii="Arial" w:hAnsi="Arial" w:cs="Arial"/>
        </w:rPr>
        <w:t>patrones de uso, características heterogéneas en capacidad y velocidad de los datos, y limitaciones en el uso</w:t>
      </w:r>
      <w:r w:rsidR="0099314B" w:rsidRPr="00931D46">
        <w:rPr>
          <w:rFonts w:ascii="Arial" w:hAnsi="Arial" w:cs="Arial"/>
        </w:rPr>
        <w:t>;</w:t>
      </w:r>
      <w:r w:rsidRPr="00931D46">
        <w:rPr>
          <w:rFonts w:ascii="Arial" w:hAnsi="Arial" w:cs="Arial"/>
        </w:rPr>
        <w:t xml:space="preserve"> </w:t>
      </w:r>
      <w:r w:rsidR="0099314B" w:rsidRPr="00931D46">
        <w:rPr>
          <w:rFonts w:ascii="Arial" w:hAnsi="Arial" w:cs="Arial"/>
        </w:rPr>
        <w:t>p</w:t>
      </w:r>
      <w:r w:rsidRPr="00931D46">
        <w:rPr>
          <w:rFonts w:ascii="Arial" w:hAnsi="Arial" w:cs="Arial"/>
        </w:rPr>
        <w:t xml:space="preserve">or el lado de la oferta, </w:t>
      </w:r>
      <w:r w:rsidR="0099314B" w:rsidRPr="00931D46">
        <w:rPr>
          <w:rFonts w:ascii="Arial" w:hAnsi="Arial" w:cs="Arial"/>
        </w:rPr>
        <w:t xml:space="preserve">la autoridad </w:t>
      </w:r>
      <w:r w:rsidRPr="00931D46">
        <w:rPr>
          <w:rFonts w:ascii="Arial" w:hAnsi="Arial" w:cs="Arial"/>
        </w:rPr>
        <w:t xml:space="preserve">consideró a las empresas que pudieran ofrecer </w:t>
      </w:r>
      <w:r w:rsidR="004F2374" w:rsidRPr="00931D46">
        <w:rPr>
          <w:rFonts w:ascii="Arial" w:hAnsi="Arial" w:cs="Arial"/>
        </w:rPr>
        <w:t>SBAF</w:t>
      </w:r>
      <w:r w:rsidRPr="00931D46">
        <w:rPr>
          <w:rFonts w:ascii="Arial" w:hAnsi="Arial" w:cs="Arial"/>
        </w:rPr>
        <w:t xml:space="preserve"> a través de fibra óptica y/o cable de cobre, dadas las características coincidentes de calidad y velocidad en la provisión del servicio relevante.</w:t>
      </w:r>
    </w:p>
    <w:p w14:paraId="14E6C03B" w14:textId="77777777" w:rsidR="002A3B99" w:rsidRPr="00931D46" w:rsidRDefault="002A3B99" w:rsidP="0023353F">
      <w:pPr>
        <w:spacing w:before="0" w:after="0"/>
        <w:rPr>
          <w:rFonts w:ascii="Arial" w:eastAsiaTheme="majorEastAsia" w:hAnsi="Arial" w:cs="Arial"/>
          <w:b/>
          <w:szCs w:val="32"/>
          <w:highlight w:val="yellow"/>
        </w:rPr>
      </w:pPr>
    </w:p>
    <w:p w14:paraId="7369430A" w14:textId="77777777" w:rsidR="00630EE8" w:rsidRPr="00931D46" w:rsidRDefault="00630EE8"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Austria</w:t>
      </w:r>
    </w:p>
    <w:p w14:paraId="283DCBE6" w14:textId="77777777" w:rsidR="00630EE8" w:rsidRPr="00931D46" w:rsidRDefault="00630EE8" w:rsidP="0023353F">
      <w:pPr>
        <w:keepNext/>
        <w:spacing w:before="0" w:after="0"/>
        <w:rPr>
          <w:rFonts w:ascii="Arial" w:eastAsiaTheme="majorEastAsia" w:hAnsi="Arial" w:cs="Arial"/>
          <w:b/>
          <w:szCs w:val="32"/>
          <w:highlight w:val="yellow"/>
        </w:rPr>
      </w:pPr>
    </w:p>
    <w:p w14:paraId="65C3F45E" w14:textId="11C95362" w:rsidR="00630EE8" w:rsidRPr="00931D46" w:rsidRDefault="005F1AD6" w:rsidP="0023353F">
      <w:pPr>
        <w:spacing w:before="0" w:after="0"/>
        <w:rPr>
          <w:rFonts w:ascii="Arial" w:hAnsi="Arial" w:cs="Arial"/>
          <w:lang w:val="es-ES"/>
        </w:rPr>
      </w:pPr>
      <w:r w:rsidRPr="00931D46">
        <w:rPr>
          <w:rFonts w:ascii="Arial" w:hAnsi="Arial" w:cs="Arial"/>
          <w:lang w:val="es-ES"/>
        </w:rPr>
        <w:t>En 2008</w:t>
      </w:r>
      <w:r w:rsidR="00630EE8" w:rsidRPr="00931D46">
        <w:rPr>
          <w:rFonts w:ascii="Arial" w:hAnsi="Arial" w:cs="Arial"/>
          <w:lang w:val="es-ES"/>
        </w:rPr>
        <w:t xml:space="preserve">, el regulador de TyR de Austria –RTR– analizó el mercado </w:t>
      </w:r>
      <w:r w:rsidR="00375B3B" w:rsidRPr="00931D46">
        <w:rPr>
          <w:rFonts w:ascii="Arial" w:hAnsi="Arial" w:cs="Arial"/>
          <w:lang w:val="es-ES"/>
        </w:rPr>
        <w:t>de</w:t>
      </w:r>
      <w:r w:rsidR="00D5769E" w:rsidRPr="00931D46">
        <w:rPr>
          <w:rFonts w:ascii="Arial" w:hAnsi="Arial" w:cs="Arial"/>
          <w:lang w:val="es-ES"/>
        </w:rPr>
        <w:t>l</w:t>
      </w:r>
      <w:r w:rsidR="00630EE8" w:rsidRPr="00931D46">
        <w:rPr>
          <w:rFonts w:ascii="Arial" w:hAnsi="Arial" w:cs="Arial"/>
          <w:lang w:val="es-ES"/>
        </w:rPr>
        <w:t xml:space="preserve"> </w:t>
      </w:r>
      <w:r w:rsidR="00D5769E" w:rsidRPr="00931D46">
        <w:rPr>
          <w:rFonts w:ascii="Arial" w:hAnsi="Arial" w:cs="Arial"/>
          <w:lang w:val="es-ES"/>
        </w:rPr>
        <w:t>SBAF</w:t>
      </w:r>
      <w:r w:rsidR="00630EE8" w:rsidRPr="00931D46">
        <w:rPr>
          <w:rFonts w:ascii="Arial" w:hAnsi="Arial" w:cs="Arial"/>
          <w:lang w:val="es-ES"/>
        </w:rPr>
        <w:t xml:space="preserve"> realizando una Prueba SSNIP, de la cual concluyó que los </w:t>
      </w:r>
      <w:r w:rsidR="00EC426E" w:rsidRPr="00931D46">
        <w:rPr>
          <w:rFonts w:ascii="Arial" w:hAnsi="Arial" w:cs="Arial"/>
          <w:lang w:val="es-ES"/>
        </w:rPr>
        <w:t xml:space="preserve">suscriptores </w:t>
      </w:r>
      <w:r w:rsidR="00630EE8" w:rsidRPr="00931D46">
        <w:rPr>
          <w:rFonts w:ascii="Arial" w:hAnsi="Arial" w:cs="Arial"/>
          <w:lang w:val="es-ES"/>
        </w:rPr>
        <w:t>minoristas residenciales generalmente utilizan el acceso a Internet móvil como un sustituto del servicio fijo.</w:t>
      </w:r>
      <w:r w:rsidR="00630EE8" w:rsidRPr="00931D46">
        <w:rPr>
          <w:rStyle w:val="Refdenotaalpie"/>
          <w:rFonts w:ascii="Arial" w:hAnsi="Arial" w:cs="Arial"/>
          <w:lang w:val="es-ES"/>
        </w:rPr>
        <w:footnoteReference w:id="122"/>
      </w:r>
      <w:r w:rsidR="00630EE8" w:rsidRPr="00931D46">
        <w:rPr>
          <w:rFonts w:ascii="Arial" w:hAnsi="Arial" w:cs="Arial"/>
          <w:lang w:val="es-ES"/>
        </w:rPr>
        <w:t xml:space="preserve"> Este resultado </w:t>
      </w:r>
      <w:r w:rsidR="009A3350" w:rsidRPr="00931D46">
        <w:rPr>
          <w:rFonts w:ascii="Arial" w:hAnsi="Arial" w:cs="Arial"/>
          <w:lang w:val="es-ES"/>
        </w:rPr>
        <w:t>es</w:t>
      </w:r>
      <w:r w:rsidR="00630EE8" w:rsidRPr="00931D46">
        <w:rPr>
          <w:rFonts w:ascii="Arial" w:hAnsi="Arial" w:cs="Arial"/>
          <w:lang w:val="es-ES"/>
        </w:rPr>
        <w:t xml:space="preserve"> contrario a la tendencia predominante en la </w:t>
      </w:r>
      <w:r w:rsidR="00063027" w:rsidRPr="00931D46">
        <w:rPr>
          <w:rFonts w:ascii="Arial" w:hAnsi="Arial" w:cs="Arial"/>
          <w:lang w:val="es-ES"/>
        </w:rPr>
        <w:t>U</w:t>
      </w:r>
      <w:r w:rsidR="007C5066">
        <w:rPr>
          <w:rFonts w:ascii="Arial" w:hAnsi="Arial" w:cs="Arial"/>
          <w:lang w:val="es-ES"/>
        </w:rPr>
        <w:t xml:space="preserve">nión </w:t>
      </w:r>
      <w:r w:rsidR="00063027" w:rsidRPr="00931D46">
        <w:rPr>
          <w:rFonts w:ascii="Arial" w:hAnsi="Arial" w:cs="Arial"/>
          <w:lang w:val="es-ES"/>
        </w:rPr>
        <w:t>E</w:t>
      </w:r>
      <w:r w:rsidR="007C5066">
        <w:rPr>
          <w:rFonts w:ascii="Arial" w:hAnsi="Arial" w:cs="Arial"/>
          <w:lang w:val="es-ES"/>
        </w:rPr>
        <w:t>uropea</w:t>
      </w:r>
      <w:r w:rsidR="00630EE8" w:rsidRPr="00931D46">
        <w:rPr>
          <w:rFonts w:ascii="Arial" w:hAnsi="Arial" w:cs="Arial"/>
          <w:lang w:val="es-ES"/>
        </w:rPr>
        <w:t xml:space="preserve"> </w:t>
      </w:r>
      <w:r w:rsidR="003B1009" w:rsidRPr="00931D46">
        <w:rPr>
          <w:rFonts w:ascii="Arial" w:hAnsi="Arial" w:cs="Arial"/>
          <w:lang w:val="es-ES"/>
        </w:rPr>
        <w:t xml:space="preserve">de </w:t>
      </w:r>
      <w:r w:rsidR="00630EE8" w:rsidRPr="00931D46">
        <w:rPr>
          <w:rFonts w:ascii="Arial" w:hAnsi="Arial" w:cs="Arial"/>
          <w:lang w:val="es-ES"/>
        </w:rPr>
        <w:t>defin</w:t>
      </w:r>
      <w:r w:rsidR="003B1009" w:rsidRPr="00931D46">
        <w:rPr>
          <w:rFonts w:ascii="Arial" w:hAnsi="Arial" w:cs="Arial"/>
          <w:lang w:val="es-ES"/>
        </w:rPr>
        <w:t>ir</w:t>
      </w:r>
      <w:r w:rsidR="00630EE8" w:rsidRPr="00931D46">
        <w:rPr>
          <w:rFonts w:ascii="Arial" w:hAnsi="Arial" w:cs="Arial"/>
          <w:lang w:val="es-ES"/>
        </w:rPr>
        <w:t xml:space="preserve"> MR separados para servicios fijos y móviles, por lo que la CE presentó dudas respecto</w:t>
      </w:r>
      <w:r w:rsidR="00A9064A" w:rsidRPr="00931D46">
        <w:rPr>
          <w:rFonts w:ascii="Arial" w:hAnsi="Arial" w:cs="Arial"/>
          <w:lang w:val="es-ES"/>
        </w:rPr>
        <w:t xml:space="preserve"> a la resolución de la RTR</w:t>
      </w:r>
      <w:r w:rsidR="00630EE8" w:rsidRPr="00931D46">
        <w:rPr>
          <w:rFonts w:ascii="Arial" w:hAnsi="Arial" w:cs="Arial"/>
          <w:lang w:val="es-ES"/>
        </w:rPr>
        <w:t xml:space="preserve">, </w:t>
      </w:r>
      <w:r w:rsidR="00A9064A" w:rsidRPr="00931D46">
        <w:rPr>
          <w:rFonts w:ascii="Arial" w:hAnsi="Arial" w:cs="Arial"/>
          <w:lang w:val="es-ES"/>
        </w:rPr>
        <w:t>aunque al final</w:t>
      </w:r>
      <w:r w:rsidR="00630EE8" w:rsidRPr="00931D46">
        <w:rPr>
          <w:rFonts w:ascii="Arial" w:hAnsi="Arial" w:cs="Arial"/>
          <w:lang w:val="es-ES"/>
        </w:rPr>
        <w:t xml:space="preserve"> apoyó la decisión</w:t>
      </w:r>
      <w:r w:rsidR="00A16C16" w:rsidRPr="00931D46">
        <w:rPr>
          <w:rFonts w:ascii="Arial" w:hAnsi="Arial" w:cs="Arial"/>
          <w:lang w:val="es-ES"/>
        </w:rPr>
        <w:t>,</w:t>
      </w:r>
      <w:r w:rsidR="00630EE8" w:rsidRPr="00931D46">
        <w:rPr>
          <w:rStyle w:val="Refdenotaalpie"/>
          <w:rFonts w:ascii="Arial" w:hAnsi="Arial" w:cs="Arial"/>
          <w:lang w:val="es-ES"/>
        </w:rPr>
        <w:footnoteReference w:id="123"/>
      </w:r>
      <w:r w:rsidR="00630EE8" w:rsidRPr="00931D46">
        <w:rPr>
          <w:rFonts w:ascii="Arial" w:hAnsi="Arial" w:cs="Arial"/>
          <w:lang w:val="es-ES"/>
        </w:rPr>
        <w:t xml:space="preserve"> luego de que RTR </w:t>
      </w:r>
      <w:r w:rsidR="008A0022">
        <w:rPr>
          <w:rFonts w:ascii="Arial" w:hAnsi="Arial" w:cs="Arial"/>
          <w:lang w:val="es-ES"/>
        </w:rPr>
        <w:t>presentó</w:t>
      </w:r>
      <w:r w:rsidR="00630EE8" w:rsidRPr="00931D46">
        <w:rPr>
          <w:rFonts w:ascii="Arial" w:hAnsi="Arial" w:cs="Arial"/>
          <w:lang w:val="es-ES"/>
        </w:rPr>
        <w:t xml:space="preserve"> </w:t>
      </w:r>
      <w:r w:rsidR="00C0745F" w:rsidRPr="00931D46">
        <w:rPr>
          <w:rFonts w:ascii="Arial" w:hAnsi="Arial" w:cs="Arial"/>
          <w:lang w:val="es-ES"/>
        </w:rPr>
        <w:t>dos</w:t>
      </w:r>
      <w:r w:rsidR="00630EE8" w:rsidRPr="00931D46">
        <w:rPr>
          <w:rFonts w:ascii="Arial" w:hAnsi="Arial" w:cs="Arial"/>
          <w:lang w:val="es-ES"/>
        </w:rPr>
        <w:t xml:space="preserve"> pruebas </w:t>
      </w:r>
      <w:r w:rsidR="00C0745F" w:rsidRPr="00931D46">
        <w:rPr>
          <w:rFonts w:ascii="Arial" w:hAnsi="Arial" w:cs="Arial"/>
          <w:lang w:val="es-ES"/>
        </w:rPr>
        <w:t>cuantitativas</w:t>
      </w:r>
      <w:r w:rsidR="00375B3B" w:rsidRPr="00931D46">
        <w:rPr>
          <w:rFonts w:ascii="Arial" w:hAnsi="Arial" w:cs="Arial"/>
          <w:lang w:val="es-ES"/>
        </w:rPr>
        <w:t xml:space="preserve"> </w:t>
      </w:r>
      <w:r w:rsidR="00630EE8" w:rsidRPr="00931D46">
        <w:rPr>
          <w:rFonts w:ascii="Arial" w:hAnsi="Arial" w:cs="Arial"/>
          <w:lang w:val="es-ES"/>
        </w:rPr>
        <w:t>complementarias:</w:t>
      </w:r>
      <w:r w:rsidR="00630EE8" w:rsidRPr="00931D46">
        <w:rPr>
          <w:rStyle w:val="Refdenotaalpie"/>
          <w:rFonts w:ascii="Arial" w:hAnsi="Arial" w:cs="Arial"/>
          <w:lang w:val="es-ES"/>
        </w:rPr>
        <w:footnoteReference w:id="124"/>
      </w:r>
    </w:p>
    <w:p w14:paraId="2982B4BC" w14:textId="77777777" w:rsidR="0023353F" w:rsidRPr="00931D46" w:rsidRDefault="0023353F" w:rsidP="0023353F">
      <w:pPr>
        <w:spacing w:before="0" w:after="0"/>
        <w:rPr>
          <w:rFonts w:ascii="Arial" w:hAnsi="Arial" w:cs="Arial"/>
          <w:lang w:val="es-ES"/>
        </w:rPr>
      </w:pPr>
    </w:p>
    <w:p w14:paraId="165C4A12" w14:textId="7F497C3E" w:rsidR="00630EE8" w:rsidRPr="00931D46" w:rsidRDefault="00630EE8" w:rsidP="00DB46F3">
      <w:pPr>
        <w:pStyle w:val="Prrafodelista"/>
        <w:numPr>
          <w:ilvl w:val="0"/>
          <w:numId w:val="56"/>
        </w:numPr>
        <w:spacing w:before="0" w:after="0"/>
        <w:contextualSpacing w:val="0"/>
        <w:rPr>
          <w:rFonts w:ascii="Arial" w:hAnsi="Arial" w:cs="Arial"/>
          <w:b/>
        </w:rPr>
      </w:pPr>
      <w:r w:rsidRPr="00931D46">
        <w:rPr>
          <w:rFonts w:ascii="Arial" w:hAnsi="Arial" w:cs="Arial"/>
        </w:rPr>
        <w:t>Un análisis econométrico de precios hedónicos</w:t>
      </w:r>
      <w:r w:rsidRPr="00931D46">
        <w:rPr>
          <w:rStyle w:val="Refdenotaalpie"/>
          <w:rFonts w:ascii="Arial" w:hAnsi="Arial" w:cs="Arial"/>
        </w:rPr>
        <w:footnoteReference w:id="125"/>
      </w:r>
      <w:r w:rsidRPr="00931D46">
        <w:rPr>
          <w:rFonts w:ascii="Arial" w:hAnsi="Arial" w:cs="Arial"/>
        </w:rPr>
        <w:t xml:space="preserve"> mostró que los precios de</w:t>
      </w:r>
      <w:r w:rsidR="00A9064A" w:rsidRPr="00931D46">
        <w:rPr>
          <w:rFonts w:ascii="Arial" w:hAnsi="Arial" w:cs="Arial"/>
        </w:rPr>
        <w:t xml:space="preserve"> los servicios </w:t>
      </w:r>
      <w:r w:rsidRPr="00931D46">
        <w:rPr>
          <w:rFonts w:ascii="Arial" w:hAnsi="Arial" w:cs="Arial"/>
        </w:rPr>
        <w:t>residenciales minorista</w:t>
      </w:r>
      <w:r w:rsidR="00A9064A" w:rsidRPr="00931D46">
        <w:rPr>
          <w:rFonts w:ascii="Arial" w:hAnsi="Arial" w:cs="Arial"/>
        </w:rPr>
        <w:t xml:space="preserve">s </w:t>
      </w:r>
      <w:r w:rsidR="00313B57" w:rsidRPr="00931D46">
        <w:rPr>
          <w:rFonts w:ascii="Arial" w:hAnsi="Arial" w:cs="Arial"/>
        </w:rPr>
        <w:t xml:space="preserve">fijo y móvil </w:t>
      </w:r>
      <w:r w:rsidR="00A9064A" w:rsidRPr="00931D46">
        <w:rPr>
          <w:rFonts w:ascii="Arial" w:hAnsi="Arial" w:cs="Arial"/>
        </w:rPr>
        <w:t>se movían estrechamente y que, ante una caída del precio del servicio móvil, las tasas de crecimiento del servicio fijo disminuyeron significativamente (a casi cero)</w:t>
      </w:r>
      <w:r w:rsidR="00A5319C" w:rsidRPr="00931D46">
        <w:rPr>
          <w:rFonts w:ascii="Arial" w:hAnsi="Arial" w:cs="Arial"/>
        </w:rPr>
        <w:t>.</w:t>
      </w:r>
    </w:p>
    <w:p w14:paraId="6D9249BC" w14:textId="7FC6D9D7" w:rsidR="00630EE8" w:rsidRPr="00931D46" w:rsidRDefault="00C0745F" w:rsidP="00DB46F3">
      <w:pPr>
        <w:pStyle w:val="Prrafodelista"/>
        <w:numPr>
          <w:ilvl w:val="0"/>
          <w:numId w:val="56"/>
        </w:numPr>
        <w:spacing w:before="0" w:after="0"/>
        <w:ind w:hanging="578"/>
        <w:contextualSpacing w:val="0"/>
        <w:rPr>
          <w:rFonts w:ascii="Arial" w:hAnsi="Arial" w:cs="Arial"/>
          <w:b/>
        </w:rPr>
      </w:pPr>
      <w:r w:rsidRPr="00931D46">
        <w:rPr>
          <w:rFonts w:ascii="Arial" w:hAnsi="Arial" w:cs="Arial"/>
        </w:rPr>
        <w:t>Una</w:t>
      </w:r>
      <w:r w:rsidR="00630EE8" w:rsidRPr="00931D46">
        <w:rPr>
          <w:rFonts w:ascii="Arial" w:hAnsi="Arial" w:cs="Arial"/>
        </w:rPr>
        <w:t xml:space="preserve"> encuesta </w:t>
      </w:r>
      <w:r w:rsidRPr="00931D46">
        <w:rPr>
          <w:rFonts w:ascii="Arial" w:hAnsi="Arial" w:cs="Arial"/>
        </w:rPr>
        <w:t>a</w:t>
      </w:r>
      <w:r w:rsidR="00630EE8" w:rsidRPr="00931D46">
        <w:rPr>
          <w:rFonts w:ascii="Arial" w:hAnsi="Arial" w:cs="Arial"/>
        </w:rPr>
        <w:t xml:space="preserve"> </w:t>
      </w:r>
      <w:r w:rsidRPr="00931D46">
        <w:rPr>
          <w:rFonts w:ascii="Arial" w:hAnsi="Arial" w:cs="Arial"/>
        </w:rPr>
        <w:t xml:space="preserve">usuarios </w:t>
      </w:r>
      <w:r w:rsidR="00630EE8" w:rsidRPr="00931D46">
        <w:rPr>
          <w:rFonts w:ascii="Arial" w:hAnsi="Arial" w:cs="Arial"/>
        </w:rPr>
        <w:t xml:space="preserve">residenciales </w:t>
      </w:r>
      <w:r w:rsidRPr="00931D46">
        <w:rPr>
          <w:rFonts w:ascii="Arial" w:hAnsi="Arial" w:cs="Arial"/>
        </w:rPr>
        <w:t xml:space="preserve">reveló que </w:t>
      </w:r>
      <w:r w:rsidR="00630EE8" w:rsidRPr="00931D46">
        <w:rPr>
          <w:rFonts w:ascii="Arial" w:hAnsi="Arial" w:cs="Arial"/>
        </w:rPr>
        <w:t>considera</w:t>
      </w:r>
      <w:r w:rsidRPr="00931D46">
        <w:rPr>
          <w:rFonts w:ascii="Arial" w:hAnsi="Arial" w:cs="Arial"/>
        </w:rPr>
        <w:t>ba</w:t>
      </w:r>
      <w:r w:rsidR="00630EE8" w:rsidRPr="00931D46">
        <w:rPr>
          <w:rFonts w:ascii="Arial" w:hAnsi="Arial" w:cs="Arial"/>
        </w:rPr>
        <w:t xml:space="preserve">n </w:t>
      </w:r>
      <w:r w:rsidRPr="00931D46">
        <w:rPr>
          <w:rFonts w:ascii="Arial" w:hAnsi="Arial" w:cs="Arial"/>
        </w:rPr>
        <w:t xml:space="preserve">el servicio </w:t>
      </w:r>
      <w:r w:rsidR="00B118F3" w:rsidRPr="00931D46">
        <w:rPr>
          <w:rFonts w:ascii="Arial" w:hAnsi="Arial" w:cs="Arial"/>
        </w:rPr>
        <w:t xml:space="preserve">de </w:t>
      </w:r>
      <w:r w:rsidR="00375B3B" w:rsidRPr="00931D46">
        <w:rPr>
          <w:rFonts w:ascii="Arial" w:hAnsi="Arial" w:cs="Arial"/>
          <w:lang w:val="es-ES"/>
        </w:rPr>
        <w:t xml:space="preserve">acceso a Internet móvil </w:t>
      </w:r>
      <w:r w:rsidR="00630EE8" w:rsidRPr="00931D46">
        <w:rPr>
          <w:rFonts w:ascii="Arial" w:hAnsi="Arial" w:cs="Arial"/>
        </w:rPr>
        <w:t>como sustituto de</w:t>
      </w:r>
      <w:r w:rsidRPr="00931D46">
        <w:rPr>
          <w:rFonts w:ascii="Arial" w:hAnsi="Arial" w:cs="Arial"/>
        </w:rPr>
        <w:t xml:space="preserve">l </w:t>
      </w:r>
      <w:r w:rsidR="00CB3957" w:rsidRPr="00931D46">
        <w:rPr>
          <w:rFonts w:ascii="Arial" w:hAnsi="Arial" w:cs="Arial"/>
        </w:rPr>
        <w:t>SBAF</w:t>
      </w:r>
      <w:r w:rsidRPr="00931D46">
        <w:rPr>
          <w:rFonts w:ascii="Arial" w:hAnsi="Arial" w:cs="Arial"/>
        </w:rPr>
        <w:t xml:space="preserve"> </w:t>
      </w:r>
      <w:r w:rsidR="00630EE8" w:rsidRPr="00931D46">
        <w:rPr>
          <w:rFonts w:ascii="Arial" w:hAnsi="Arial" w:cs="Arial"/>
        </w:rPr>
        <w:t xml:space="preserve">en lugar de complemento: </w:t>
      </w:r>
      <w:r w:rsidR="008A0022">
        <w:rPr>
          <w:rFonts w:ascii="Arial" w:hAnsi="Arial" w:cs="Arial"/>
        </w:rPr>
        <w:t xml:space="preserve">solo </w:t>
      </w:r>
      <w:r w:rsidR="00630EE8" w:rsidRPr="00931D46">
        <w:rPr>
          <w:rFonts w:ascii="Arial" w:hAnsi="Arial" w:cs="Arial"/>
        </w:rPr>
        <w:t xml:space="preserve">24% </w:t>
      </w:r>
      <w:r w:rsidRPr="00931D46">
        <w:rPr>
          <w:rFonts w:ascii="Arial" w:hAnsi="Arial" w:cs="Arial"/>
        </w:rPr>
        <w:t xml:space="preserve">los </w:t>
      </w:r>
      <w:r w:rsidR="00630EE8" w:rsidRPr="00931D46">
        <w:rPr>
          <w:rFonts w:ascii="Arial" w:hAnsi="Arial" w:cs="Arial"/>
        </w:rPr>
        <w:t xml:space="preserve">utilizaba </w:t>
      </w:r>
      <w:r w:rsidRPr="00931D46">
        <w:rPr>
          <w:rFonts w:ascii="Arial" w:hAnsi="Arial" w:cs="Arial"/>
        </w:rPr>
        <w:t xml:space="preserve">como </w:t>
      </w:r>
      <w:r w:rsidR="00630EE8" w:rsidRPr="00931D46">
        <w:rPr>
          <w:rFonts w:ascii="Arial" w:hAnsi="Arial" w:cs="Arial"/>
        </w:rPr>
        <w:t>complementari</w:t>
      </w:r>
      <w:r w:rsidRPr="00931D46">
        <w:rPr>
          <w:rFonts w:ascii="Arial" w:hAnsi="Arial" w:cs="Arial"/>
        </w:rPr>
        <w:t>os</w:t>
      </w:r>
      <w:r w:rsidR="00630EE8" w:rsidRPr="00931D46">
        <w:rPr>
          <w:rFonts w:ascii="Arial" w:hAnsi="Arial" w:cs="Arial"/>
        </w:rPr>
        <w:t>.</w:t>
      </w:r>
    </w:p>
    <w:p w14:paraId="2023B027" w14:textId="77777777" w:rsidR="00C0745F" w:rsidRPr="00931D46" w:rsidRDefault="00C0745F" w:rsidP="0023353F">
      <w:pPr>
        <w:spacing w:before="0" w:after="0"/>
        <w:rPr>
          <w:rFonts w:ascii="Arial" w:hAnsi="Arial" w:cs="Arial"/>
          <w:lang w:val="es-ES"/>
        </w:rPr>
      </w:pPr>
    </w:p>
    <w:p w14:paraId="14298F94" w14:textId="77777777" w:rsidR="00630EE8" w:rsidRPr="00931D46" w:rsidRDefault="00630EE8" w:rsidP="0023353F">
      <w:pPr>
        <w:spacing w:before="0" w:after="0"/>
        <w:rPr>
          <w:rFonts w:ascii="Arial" w:hAnsi="Arial" w:cs="Arial"/>
        </w:rPr>
      </w:pPr>
      <w:r w:rsidRPr="00931D46">
        <w:rPr>
          <w:rFonts w:ascii="Arial" w:hAnsi="Arial" w:cs="Arial"/>
          <w:lang w:val="es-ES"/>
        </w:rPr>
        <w:t xml:space="preserve">Con base en esta </w:t>
      </w:r>
      <w:r w:rsidRPr="00931D46">
        <w:rPr>
          <w:rFonts w:ascii="Arial" w:hAnsi="Arial" w:cs="Arial"/>
        </w:rPr>
        <w:t xml:space="preserve">evidencia se demostró que el </w:t>
      </w:r>
      <w:r w:rsidR="00C0745F" w:rsidRPr="00931D46">
        <w:rPr>
          <w:rFonts w:ascii="Arial" w:hAnsi="Arial" w:cs="Arial"/>
        </w:rPr>
        <w:t>servicio de acceso a Internet</w:t>
      </w:r>
      <w:r w:rsidRPr="00931D46">
        <w:rPr>
          <w:rFonts w:ascii="Arial" w:hAnsi="Arial" w:cs="Arial"/>
        </w:rPr>
        <w:t xml:space="preserve"> móvil ejercía una restricción </w:t>
      </w:r>
      <w:r w:rsidR="00736B0D" w:rsidRPr="00931D46">
        <w:rPr>
          <w:rFonts w:ascii="Arial" w:hAnsi="Arial" w:cs="Arial"/>
        </w:rPr>
        <w:t>(presión)</w:t>
      </w:r>
      <w:r w:rsidRPr="00931D46">
        <w:rPr>
          <w:rFonts w:ascii="Arial" w:hAnsi="Arial" w:cs="Arial"/>
        </w:rPr>
        <w:t xml:space="preserve"> competitiva en </w:t>
      </w:r>
      <w:r w:rsidR="00C0745F" w:rsidRPr="00931D46">
        <w:rPr>
          <w:rFonts w:ascii="Arial" w:hAnsi="Arial" w:cs="Arial"/>
        </w:rPr>
        <w:t xml:space="preserve">la provisión del </w:t>
      </w:r>
      <w:r w:rsidR="00B73043" w:rsidRPr="00931D46">
        <w:rPr>
          <w:rFonts w:ascii="Arial" w:hAnsi="Arial" w:cs="Arial"/>
        </w:rPr>
        <w:t xml:space="preserve">SBAF </w:t>
      </w:r>
      <w:r w:rsidRPr="00931D46">
        <w:rPr>
          <w:rFonts w:ascii="Arial" w:hAnsi="Arial" w:cs="Arial"/>
        </w:rPr>
        <w:t>para usuarios residenciales. En 2018, la CE reafirmó la definición del MR en la concentración T-Mobile Austria / UPC Austria.</w:t>
      </w:r>
      <w:r w:rsidRPr="00931D46">
        <w:rPr>
          <w:rStyle w:val="Refdenotaalpie"/>
          <w:rFonts w:ascii="Arial" w:hAnsi="Arial" w:cs="Arial"/>
        </w:rPr>
        <w:footnoteReference w:id="126"/>
      </w:r>
    </w:p>
    <w:p w14:paraId="1975D837" w14:textId="77777777" w:rsidR="00630EE8" w:rsidRPr="00931D46" w:rsidRDefault="00630EE8" w:rsidP="0023353F">
      <w:pPr>
        <w:spacing w:before="0" w:after="0"/>
        <w:rPr>
          <w:rFonts w:ascii="Arial" w:eastAsiaTheme="majorEastAsia" w:hAnsi="Arial" w:cs="Arial"/>
          <w:b/>
          <w:szCs w:val="32"/>
          <w:highlight w:val="yellow"/>
        </w:rPr>
      </w:pPr>
    </w:p>
    <w:p w14:paraId="58F47957" w14:textId="77777777" w:rsidR="00630EE8" w:rsidRPr="00931D46" w:rsidRDefault="00630EE8" w:rsidP="0088012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Portugal</w:t>
      </w:r>
    </w:p>
    <w:p w14:paraId="35DFE3C2" w14:textId="77777777" w:rsidR="00630EE8" w:rsidRPr="00931D46" w:rsidRDefault="00630EE8" w:rsidP="0023353F">
      <w:pPr>
        <w:spacing w:before="0" w:after="0"/>
        <w:rPr>
          <w:rFonts w:ascii="Arial" w:eastAsiaTheme="majorEastAsia" w:hAnsi="Arial" w:cs="Arial"/>
          <w:b/>
          <w:szCs w:val="32"/>
          <w:highlight w:val="yellow"/>
        </w:rPr>
      </w:pPr>
    </w:p>
    <w:p w14:paraId="69316B8E" w14:textId="7F05E598" w:rsidR="00996F6C" w:rsidRPr="00931D46" w:rsidRDefault="00C0745F" w:rsidP="0023353F">
      <w:pPr>
        <w:spacing w:before="0" w:after="0"/>
        <w:rPr>
          <w:rFonts w:ascii="Arial" w:hAnsi="Arial" w:cs="Arial"/>
          <w:lang w:val="es-ES"/>
        </w:rPr>
      </w:pPr>
      <w:r w:rsidRPr="00931D46">
        <w:rPr>
          <w:rFonts w:ascii="Arial" w:hAnsi="Arial" w:cs="Arial"/>
          <w:lang w:val="es-ES"/>
        </w:rPr>
        <w:t>En el análisis de la concentración entre ZON y Optimus de 2013,</w:t>
      </w:r>
      <w:r w:rsidR="00996F6C" w:rsidRPr="00931D46">
        <w:rPr>
          <w:rFonts w:ascii="Arial" w:eastAsia="Times New Roman" w:hAnsi="Arial" w:cs="Arial"/>
          <w:vertAlign w:val="superscript"/>
          <w:lang w:eastAsia="es-MX"/>
        </w:rPr>
        <w:footnoteReference w:id="127"/>
      </w:r>
      <w:r w:rsidRPr="00931D46">
        <w:rPr>
          <w:rFonts w:ascii="Arial" w:hAnsi="Arial" w:cs="Arial"/>
          <w:lang w:val="es-ES"/>
        </w:rPr>
        <w:t xml:space="preserve"> la Autoridad de Competencia de Portugal determinó la existencia de un </w:t>
      </w:r>
      <w:r w:rsidR="00DD3F62" w:rsidRPr="00931D46">
        <w:rPr>
          <w:rFonts w:ascii="Arial" w:hAnsi="Arial" w:cs="Arial"/>
          <w:lang w:val="es-ES"/>
        </w:rPr>
        <w:t>MR</w:t>
      </w:r>
      <w:r w:rsidRPr="00931D46">
        <w:rPr>
          <w:rFonts w:ascii="Arial" w:hAnsi="Arial" w:cs="Arial"/>
          <w:lang w:val="es-ES"/>
        </w:rPr>
        <w:t xml:space="preserve"> de </w:t>
      </w:r>
      <w:r w:rsidR="00996F6C" w:rsidRPr="00931D46">
        <w:rPr>
          <w:rFonts w:ascii="Arial" w:hAnsi="Arial" w:cs="Arial"/>
        </w:rPr>
        <w:t xml:space="preserve">ofertas </w:t>
      </w:r>
      <w:r w:rsidR="00996F6C" w:rsidRPr="00931D46">
        <w:rPr>
          <w:rFonts w:ascii="Arial" w:hAnsi="Arial" w:cs="Arial"/>
          <w:i/>
        </w:rPr>
        <w:t xml:space="preserve">triple </w:t>
      </w:r>
      <w:r w:rsidR="00996F6C" w:rsidRPr="00931D46">
        <w:rPr>
          <w:rFonts w:ascii="Arial" w:hAnsi="Arial" w:cs="Arial"/>
        </w:rPr>
        <w:t>play (SBAF, STF y STAR)</w:t>
      </w:r>
      <w:r w:rsidRPr="00931D46">
        <w:rPr>
          <w:rFonts w:ascii="Arial" w:hAnsi="Arial" w:cs="Arial"/>
          <w:lang w:val="es-ES"/>
        </w:rPr>
        <w:t xml:space="preserve">, de forma paralela a los </w:t>
      </w:r>
      <w:r w:rsidR="00996F6C" w:rsidRPr="00931D46">
        <w:rPr>
          <w:rFonts w:ascii="Arial" w:hAnsi="Arial" w:cs="Arial"/>
          <w:lang w:val="es-ES"/>
        </w:rPr>
        <w:t>MR</w:t>
      </w:r>
      <w:r w:rsidRPr="00931D46">
        <w:rPr>
          <w:rFonts w:ascii="Arial" w:hAnsi="Arial" w:cs="Arial"/>
          <w:lang w:val="es-ES"/>
        </w:rPr>
        <w:t xml:space="preserve"> </w:t>
      </w:r>
      <w:r w:rsidR="00E437DA" w:rsidRPr="00931D46">
        <w:rPr>
          <w:rFonts w:ascii="Arial" w:hAnsi="Arial" w:cs="Arial"/>
          <w:lang w:val="es-ES"/>
        </w:rPr>
        <w:t xml:space="preserve">individuales </w:t>
      </w:r>
      <w:r w:rsidRPr="00931D46">
        <w:rPr>
          <w:rFonts w:ascii="Arial" w:hAnsi="Arial" w:cs="Arial"/>
          <w:lang w:val="es-ES"/>
        </w:rPr>
        <w:t>de SBAF, STF y STAR, considerando, entre otros e</w:t>
      </w:r>
      <w:r w:rsidR="00996F6C" w:rsidRPr="00931D46">
        <w:rPr>
          <w:rFonts w:ascii="Arial" w:hAnsi="Arial" w:cs="Arial"/>
          <w:lang w:val="es-ES"/>
        </w:rPr>
        <w:t>lementos, los resultados de la P</w:t>
      </w:r>
      <w:r w:rsidRPr="00931D46">
        <w:rPr>
          <w:rFonts w:ascii="Arial" w:hAnsi="Arial" w:cs="Arial"/>
          <w:lang w:val="es-ES"/>
        </w:rPr>
        <w:t>rueba SSNIP</w:t>
      </w:r>
      <w:r w:rsidR="00996F6C" w:rsidRPr="00931D46">
        <w:rPr>
          <w:rFonts w:ascii="Arial" w:hAnsi="Arial" w:cs="Arial"/>
          <w:lang w:val="es-ES"/>
        </w:rPr>
        <w:t xml:space="preserve">, la cual </w:t>
      </w:r>
      <w:r w:rsidRPr="00931D46">
        <w:rPr>
          <w:rFonts w:ascii="Arial" w:hAnsi="Arial" w:cs="Arial"/>
          <w:lang w:val="es-ES"/>
        </w:rPr>
        <w:t xml:space="preserve">se basó en un modelo de elección discreta de demanda, </w:t>
      </w:r>
      <w:r w:rsidR="00996F6C" w:rsidRPr="00931D46">
        <w:rPr>
          <w:rFonts w:ascii="Arial" w:hAnsi="Arial" w:cs="Arial"/>
          <w:lang w:val="es-ES"/>
        </w:rPr>
        <w:t>utilizando</w:t>
      </w:r>
      <w:r w:rsidRPr="00931D46">
        <w:rPr>
          <w:rFonts w:ascii="Arial" w:hAnsi="Arial" w:cs="Arial"/>
          <w:lang w:val="es-ES"/>
        </w:rPr>
        <w:t xml:space="preserve"> información desagregada </w:t>
      </w:r>
      <w:r w:rsidR="00996F6C" w:rsidRPr="00931D46">
        <w:rPr>
          <w:rFonts w:ascii="Arial" w:hAnsi="Arial" w:cs="Arial"/>
          <w:lang w:val="es-ES"/>
        </w:rPr>
        <w:t xml:space="preserve">de </w:t>
      </w:r>
      <w:r w:rsidRPr="00931D46">
        <w:rPr>
          <w:rFonts w:ascii="Arial" w:hAnsi="Arial" w:cs="Arial"/>
          <w:lang w:val="es-ES"/>
        </w:rPr>
        <w:t xml:space="preserve">características de: i) los contratos, ii) los </w:t>
      </w:r>
      <w:r w:rsidR="00330363">
        <w:rPr>
          <w:rFonts w:ascii="Arial" w:hAnsi="Arial" w:cs="Arial"/>
          <w:lang w:val="es-ES"/>
        </w:rPr>
        <w:t>productos</w:t>
      </w:r>
      <w:r w:rsidRPr="00931D46">
        <w:rPr>
          <w:rFonts w:ascii="Arial" w:hAnsi="Arial" w:cs="Arial"/>
          <w:lang w:val="es-ES"/>
        </w:rPr>
        <w:t xml:space="preserve">, iii) los clientes y iv) los gastos mensuales. </w:t>
      </w:r>
    </w:p>
    <w:p w14:paraId="27F81DE0" w14:textId="77777777" w:rsidR="00996F6C" w:rsidRPr="00931D46" w:rsidRDefault="00996F6C" w:rsidP="0023353F">
      <w:pPr>
        <w:spacing w:before="0" w:after="0"/>
        <w:rPr>
          <w:rFonts w:ascii="Arial" w:hAnsi="Arial" w:cs="Arial"/>
          <w:lang w:val="es-ES"/>
        </w:rPr>
      </w:pPr>
    </w:p>
    <w:p w14:paraId="749ED471" w14:textId="30CDC8E3" w:rsidR="00630EE8" w:rsidRDefault="00C0745F" w:rsidP="0023353F">
      <w:pPr>
        <w:spacing w:before="0" w:after="0"/>
        <w:rPr>
          <w:rFonts w:ascii="Arial" w:hAnsi="Arial" w:cs="Arial"/>
          <w:lang w:val="es-ES"/>
        </w:rPr>
      </w:pPr>
      <w:r w:rsidRPr="00931D46">
        <w:rPr>
          <w:rFonts w:ascii="Arial" w:hAnsi="Arial" w:cs="Arial"/>
          <w:lang w:val="es-ES"/>
        </w:rPr>
        <w:t xml:space="preserve">A partir de dicho modelo, </w:t>
      </w:r>
      <w:r w:rsidR="00996F6C" w:rsidRPr="00931D46">
        <w:rPr>
          <w:rFonts w:ascii="Arial" w:hAnsi="Arial" w:cs="Arial"/>
          <w:lang w:val="es-ES"/>
        </w:rPr>
        <w:t xml:space="preserve">se </w:t>
      </w:r>
      <w:r w:rsidRPr="00931D46">
        <w:rPr>
          <w:rFonts w:ascii="Arial" w:hAnsi="Arial" w:cs="Arial"/>
          <w:lang w:val="es-ES"/>
        </w:rPr>
        <w:t>estim</w:t>
      </w:r>
      <w:r w:rsidR="00996F6C" w:rsidRPr="00931D46">
        <w:rPr>
          <w:rFonts w:ascii="Arial" w:hAnsi="Arial" w:cs="Arial"/>
          <w:lang w:val="es-ES"/>
        </w:rPr>
        <w:t>aron</w:t>
      </w:r>
      <w:r w:rsidRPr="00931D46">
        <w:rPr>
          <w:rFonts w:ascii="Arial" w:hAnsi="Arial" w:cs="Arial"/>
          <w:lang w:val="es-ES"/>
        </w:rPr>
        <w:t xml:space="preserve"> las elasticidades precio de la demanda y </w:t>
      </w:r>
      <w:r w:rsidR="00996F6C" w:rsidRPr="00931D46">
        <w:rPr>
          <w:rFonts w:ascii="Arial" w:hAnsi="Arial" w:cs="Arial"/>
          <w:lang w:val="es-ES"/>
        </w:rPr>
        <w:t xml:space="preserve">se </w:t>
      </w:r>
      <w:r w:rsidRPr="00931D46">
        <w:rPr>
          <w:rFonts w:ascii="Arial" w:hAnsi="Arial" w:cs="Arial"/>
          <w:lang w:val="es-ES"/>
        </w:rPr>
        <w:t xml:space="preserve">determinó que para </w:t>
      </w:r>
      <w:r w:rsidRPr="00C2756B">
        <w:rPr>
          <w:rFonts w:ascii="Arial" w:hAnsi="Arial" w:cs="Arial"/>
          <w:lang w:val="es-ES"/>
        </w:rPr>
        <w:t xml:space="preserve">un monopolista hipotético </w:t>
      </w:r>
      <w:r w:rsidR="00996F6C" w:rsidRPr="00C2756B">
        <w:rPr>
          <w:rFonts w:ascii="Arial" w:hAnsi="Arial" w:cs="Arial"/>
          <w:lang w:val="es-ES"/>
        </w:rPr>
        <w:t xml:space="preserve">era rentable </w:t>
      </w:r>
      <w:r w:rsidRPr="00C2756B">
        <w:rPr>
          <w:rFonts w:ascii="Arial" w:hAnsi="Arial" w:cs="Arial"/>
          <w:lang w:val="es-ES"/>
        </w:rPr>
        <w:t xml:space="preserve">aplicar un SSNIP sobre los </w:t>
      </w:r>
      <w:r w:rsidR="00996F6C" w:rsidRPr="00C2756B">
        <w:rPr>
          <w:rFonts w:ascii="Arial" w:hAnsi="Arial" w:cs="Arial"/>
          <w:lang w:val="es-ES"/>
        </w:rPr>
        <w:t xml:space="preserve">precios de los </w:t>
      </w:r>
      <w:r w:rsidRPr="00C2756B">
        <w:rPr>
          <w:rFonts w:ascii="Arial" w:hAnsi="Arial" w:cs="Arial"/>
          <w:lang w:val="es-ES"/>
        </w:rPr>
        <w:t xml:space="preserve">paquetes </w:t>
      </w:r>
      <w:r w:rsidRPr="00C2756B">
        <w:rPr>
          <w:rFonts w:ascii="Arial" w:hAnsi="Arial" w:cs="Arial"/>
          <w:i/>
          <w:lang w:val="es-ES"/>
        </w:rPr>
        <w:t>triple play</w:t>
      </w:r>
      <w:r w:rsidR="00996F6C" w:rsidRPr="00C2756B">
        <w:rPr>
          <w:rFonts w:ascii="Arial" w:hAnsi="Arial" w:cs="Arial"/>
          <w:lang w:val="es-ES"/>
        </w:rPr>
        <w:t>, por lo que las ofertas de dichos paquetes conformaban un MR por sí mismo</w:t>
      </w:r>
      <w:r w:rsidRPr="00C2756B">
        <w:rPr>
          <w:rFonts w:ascii="Arial" w:hAnsi="Arial" w:cs="Arial"/>
          <w:lang w:val="es-ES"/>
        </w:rPr>
        <w:t>.</w:t>
      </w:r>
      <w:r w:rsidR="005F1AD6" w:rsidRPr="00C2756B">
        <w:rPr>
          <w:rStyle w:val="Refdenotaalpie"/>
          <w:rFonts w:ascii="Arial" w:hAnsi="Arial" w:cs="Arial"/>
          <w:lang w:val="es-ES"/>
        </w:rPr>
        <w:footnoteReference w:id="128"/>
      </w:r>
    </w:p>
    <w:p w14:paraId="61A0806C" w14:textId="77777777" w:rsidR="00C2756B" w:rsidRPr="00C2756B" w:rsidRDefault="00C2756B" w:rsidP="0023353F">
      <w:pPr>
        <w:spacing w:before="0" w:after="0"/>
        <w:rPr>
          <w:rFonts w:ascii="Arial" w:hAnsi="Arial" w:cs="Arial"/>
          <w:lang w:val="es-ES"/>
        </w:rPr>
      </w:pPr>
    </w:p>
    <w:p w14:paraId="190BE3EC" w14:textId="3DC5F3C8" w:rsidR="00D559CF" w:rsidRPr="00C2756B" w:rsidRDefault="006A5191" w:rsidP="00880124">
      <w:pPr>
        <w:pStyle w:val="Ttulo1"/>
        <w:keepLines w:val="0"/>
        <w:numPr>
          <w:ilvl w:val="0"/>
          <w:numId w:val="3"/>
        </w:numPr>
        <w:spacing w:before="0"/>
        <w:rPr>
          <w:rFonts w:ascii="Arial" w:hAnsi="Arial" w:cs="Arial"/>
          <w:b/>
          <w:color w:val="auto"/>
          <w:sz w:val="26"/>
          <w:szCs w:val="26"/>
        </w:rPr>
      </w:pPr>
      <w:r w:rsidRPr="00C2756B">
        <w:rPr>
          <w:rFonts w:ascii="Arial" w:hAnsi="Arial" w:cs="Arial"/>
        </w:rPr>
        <w:t xml:space="preserve"> </w:t>
      </w:r>
      <w:bookmarkStart w:id="78" w:name="_Toc74306773"/>
      <w:bookmarkStart w:id="79" w:name="_Toc74323829"/>
      <w:r w:rsidR="00D559CF" w:rsidRPr="00C2756B">
        <w:rPr>
          <w:rFonts w:ascii="Arial" w:hAnsi="Arial" w:cs="Arial"/>
          <w:b/>
          <w:color w:val="auto"/>
          <w:sz w:val="26"/>
          <w:szCs w:val="26"/>
        </w:rPr>
        <w:t>Determinación de la dimensión geográfica</w:t>
      </w:r>
      <w:bookmarkEnd w:id="78"/>
      <w:bookmarkEnd w:id="79"/>
    </w:p>
    <w:p w14:paraId="783392EC" w14:textId="77777777" w:rsidR="00D559CF" w:rsidRPr="00C2756B" w:rsidRDefault="00D559CF" w:rsidP="0023353F">
      <w:pPr>
        <w:keepNext/>
        <w:spacing w:before="0" w:after="0"/>
        <w:rPr>
          <w:rFonts w:ascii="Arial" w:eastAsiaTheme="majorEastAsia" w:hAnsi="Arial" w:cs="Arial"/>
          <w:b/>
          <w:szCs w:val="32"/>
        </w:rPr>
      </w:pPr>
    </w:p>
    <w:p w14:paraId="6D985ECB" w14:textId="77777777" w:rsidR="007D56CA" w:rsidRPr="00931D46" w:rsidRDefault="007D56CA" w:rsidP="00880124">
      <w:pPr>
        <w:pStyle w:val="Ttulo2"/>
        <w:keepLines w:val="0"/>
        <w:numPr>
          <w:ilvl w:val="1"/>
          <w:numId w:val="3"/>
        </w:numPr>
        <w:spacing w:before="0" w:after="0"/>
        <w:rPr>
          <w:rFonts w:ascii="Arial" w:eastAsia="Times New Roman" w:hAnsi="Arial" w:cs="Arial"/>
          <w:sz w:val="26"/>
          <w:lang w:eastAsia="es-MX"/>
        </w:rPr>
      </w:pPr>
      <w:bookmarkStart w:id="80" w:name="_Toc45628325"/>
      <w:bookmarkStart w:id="81" w:name="_Toc74306774"/>
      <w:bookmarkStart w:id="82" w:name="_Toc74323830"/>
      <w:r w:rsidRPr="00C2756B">
        <w:rPr>
          <w:rFonts w:ascii="Arial" w:eastAsia="Times New Roman" w:hAnsi="Arial" w:cs="Arial"/>
          <w:sz w:val="26"/>
          <w:lang w:eastAsia="es-MX"/>
        </w:rPr>
        <w:t>Precedentes</w:t>
      </w:r>
      <w:r w:rsidRPr="00931D46">
        <w:rPr>
          <w:rFonts w:ascii="Arial" w:eastAsia="Times New Roman" w:hAnsi="Arial" w:cs="Arial"/>
          <w:sz w:val="26"/>
          <w:lang w:eastAsia="es-MX"/>
        </w:rPr>
        <w:t xml:space="preserve"> decisorios del Instituto</w:t>
      </w:r>
      <w:bookmarkEnd w:id="80"/>
      <w:bookmarkEnd w:id="81"/>
      <w:bookmarkEnd w:id="82"/>
    </w:p>
    <w:p w14:paraId="097983B7" w14:textId="77777777" w:rsidR="007D56CA" w:rsidRPr="00931D46" w:rsidRDefault="007D56CA" w:rsidP="0023353F">
      <w:pPr>
        <w:keepNext/>
        <w:spacing w:before="0" w:after="0"/>
        <w:rPr>
          <w:rFonts w:ascii="Arial" w:eastAsiaTheme="majorEastAsia" w:hAnsi="Arial" w:cs="Arial"/>
          <w:szCs w:val="32"/>
        </w:rPr>
      </w:pPr>
    </w:p>
    <w:p w14:paraId="5E19B32D" w14:textId="637FE061" w:rsidR="00E162A8" w:rsidRPr="00931D46" w:rsidRDefault="00E162A8" w:rsidP="0023353F">
      <w:pPr>
        <w:spacing w:before="0" w:after="0"/>
        <w:rPr>
          <w:rFonts w:ascii="Arial" w:hAnsi="Arial" w:cs="Arial"/>
        </w:rPr>
      </w:pPr>
    </w:p>
    <w:p w14:paraId="1AFBB61E" w14:textId="77777777" w:rsidR="00E162A8" w:rsidRPr="00931D46" w:rsidRDefault="0028251D" w:rsidP="008F4C86">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STAR</w:t>
      </w:r>
    </w:p>
    <w:p w14:paraId="45865E89" w14:textId="77777777" w:rsidR="00E162A8" w:rsidRPr="00931D46" w:rsidRDefault="00E162A8" w:rsidP="0023353F">
      <w:pPr>
        <w:keepNext/>
        <w:spacing w:before="0" w:after="0"/>
        <w:rPr>
          <w:rFonts w:ascii="Arial" w:hAnsi="Arial" w:cs="Arial"/>
          <w:lang w:eastAsia="es-MX"/>
        </w:rPr>
      </w:pPr>
    </w:p>
    <w:p w14:paraId="4EE58C1B" w14:textId="5F7656EB" w:rsidR="00E162A8" w:rsidRPr="00931D46" w:rsidRDefault="00E162A8" w:rsidP="0023353F">
      <w:pPr>
        <w:spacing w:before="0" w:after="0"/>
        <w:rPr>
          <w:rFonts w:ascii="Arial" w:hAnsi="Arial" w:cs="Arial"/>
          <w:lang w:eastAsia="es-MX"/>
        </w:rPr>
      </w:pPr>
      <w:r w:rsidRPr="00931D46">
        <w:rPr>
          <w:rFonts w:ascii="Arial" w:hAnsi="Arial" w:cs="Arial"/>
          <w:lang w:eastAsia="es-MX"/>
        </w:rPr>
        <w:t xml:space="preserve">En </w:t>
      </w:r>
      <w:r w:rsidR="0028251D" w:rsidRPr="00931D46">
        <w:rPr>
          <w:rFonts w:ascii="Arial" w:hAnsi="Arial" w:cs="Arial"/>
          <w:lang w:eastAsia="es-MX"/>
        </w:rPr>
        <w:t>los</w:t>
      </w:r>
      <w:r w:rsidRPr="00931D46">
        <w:rPr>
          <w:rFonts w:ascii="Arial" w:hAnsi="Arial" w:cs="Arial"/>
          <w:lang w:eastAsia="es-MX"/>
        </w:rPr>
        <w:t xml:space="preserve"> expediente</w:t>
      </w:r>
      <w:r w:rsidR="0028251D" w:rsidRPr="00931D46">
        <w:rPr>
          <w:rFonts w:ascii="Arial" w:hAnsi="Arial" w:cs="Arial"/>
          <w:lang w:eastAsia="es-MX"/>
        </w:rPr>
        <w:t>s</w:t>
      </w:r>
      <w:r w:rsidRPr="00931D46">
        <w:rPr>
          <w:rFonts w:ascii="Arial" w:hAnsi="Arial" w:cs="Arial"/>
          <w:lang w:eastAsia="es-MX"/>
        </w:rPr>
        <w:t xml:space="preserve"> </w:t>
      </w:r>
      <w:r w:rsidR="00BD5715" w:rsidRPr="00931D46">
        <w:rPr>
          <w:rFonts w:ascii="Arial" w:hAnsi="Arial" w:cs="Arial"/>
          <w:lang w:eastAsia="es-MX"/>
        </w:rPr>
        <w:t>UCE/</w:t>
      </w:r>
      <w:r w:rsidR="0028251D" w:rsidRPr="00931D46">
        <w:rPr>
          <w:rFonts w:ascii="Arial" w:hAnsi="Arial" w:cs="Arial"/>
          <w:lang w:eastAsia="es-MX"/>
        </w:rPr>
        <w:t>CNC-006-2014</w:t>
      </w:r>
      <w:r w:rsidR="00AD28D7" w:rsidRPr="00931D46">
        <w:rPr>
          <w:rFonts w:ascii="Arial" w:hAnsi="Arial" w:cs="Arial"/>
          <w:lang w:eastAsia="es-MX"/>
        </w:rPr>
        <w:t xml:space="preserve"> (concentración AT&amp;T/Iusacell),</w:t>
      </w:r>
      <w:r w:rsidR="00AD28D7" w:rsidRPr="00931D46">
        <w:rPr>
          <w:rFonts w:ascii="Arial" w:eastAsia="Times New Roman" w:hAnsi="Arial" w:cs="Arial"/>
          <w:vertAlign w:val="superscript"/>
          <w:lang w:eastAsia="es-MX"/>
        </w:rPr>
        <w:footnoteReference w:id="129"/>
      </w:r>
      <w:r w:rsidR="0028251D" w:rsidRPr="00931D46">
        <w:rPr>
          <w:rFonts w:ascii="Arial" w:hAnsi="Arial" w:cs="Arial"/>
          <w:lang w:eastAsia="es-MX"/>
        </w:rPr>
        <w:t xml:space="preserve"> E-IFT/UC/DGIPM/PMR/008/2013 </w:t>
      </w:r>
      <w:r w:rsidR="00E122A1" w:rsidRPr="00931D46">
        <w:rPr>
          <w:rFonts w:ascii="Arial" w:hAnsi="Arial" w:cs="Arial"/>
          <w:lang w:eastAsia="es-MX"/>
        </w:rPr>
        <w:t>(investigación sobre PMR por parte de Mega Cable, S.A. de C.V</w:t>
      </w:r>
      <w:r w:rsidR="00FF6572" w:rsidRPr="00931D46">
        <w:rPr>
          <w:rFonts w:ascii="Arial" w:hAnsi="Arial" w:cs="Arial"/>
          <w:lang w:eastAsia="es-MX"/>
        </w:rPr>
        <w:t>.</w:t>
      </w:r>
      <w:r w:rsidR="00E122A1" w:rsidRPr="00931D46">
        <w:rPr>
          <w:rFonts w:ascii="Arial" w:hAnsi="Arial" w:cs="Arial"/>
          <w:lang w:eastAsia="es-MX"/>
        </w:rPr>
        <w:t>)</w:t>
      </w:r>
      <w:r w:rsidR="00E122A1" w:rsidRPr="00931D46">
        <w:rPr>
          <w:rFonts w:ascii="Arial" w:eastAsia="Times New Roman" w:hAnsi="Arial" w:cs="Arial"/>
          <w:vertAlign w:val="superscript"/>
          <w:lang w:eastAsia="es-MX"/>
        </w:rPr>
        <w:footnoteReference w:id="130"/>
      </w:r>
      <w:r w:rsidR="0028251D" w:rsidRPr="00931D46">
        <w:rPr>
          <w:rFonts w:ascii="Arial" w:hAnsi="Arial" w:cs="Arial"/>
          <w:lang w:eastAsia="es-MX"/>
        </w:rPr>
        <w:t xml:space="preserve"> </w:t>
      </w:r>
      <w:r w:rsidR="00170BD5" w:rsidRPr="00170BD5">
        <w:rPr>
          <w:rFonts w:ascii="Arial" w:hAnsi="Arial" w:cs="Arial"/>
          <w:lang w:eastAsia="es-MX"/>
        </w:rPr>
        <w:t>y AI/DC-002-2019 (investigación sobre PSM de GTV en el STAR)</w:t>
      </w:r>
      <w:r w:rsidR="00170BD5">
        <w:rPr>
          <w:rFonts w:ascii="Arial" w:hAnsi="Arial" w:cs="Arial"/>
          <w:lang w:eastAsia="es-MX"/>
        </w:rPr>
        <w:t>,</w:t>
      </w:r>
      <w:r w:rsidR="00170BD5" w:rsidRPr="00170BD5">
        <w:rPr>
          <w:rStyle w:val="Refdenotaalpie"/>
          <w:rFonts w:ascii="Arial" w:hAnsi="Arial" w:cs="Arial"/>
          <w:bCs/>
        </w:rPr>
        <w:footnoteReference w:id="131"/>
      </w:r>
      <w:r w:rsidR="00170BD5">
        <w:rPr>
          <w:rFonts w:ascii="Arial" w:hAnsi="Arial" w:cs="Arial"/>
          <w:lang w:eastAsia="es-MX"/>
        </w:rPr>
        <w:t xml:space="preserve"> </w:t>
      </w:r>
      <w:r w:rsidRPr="00931D46">
        <w:rPr>
          <w:rFonts w:ascii="Arial" w:hAnsi="Arial" w:cs="Arial"/>
          <w:lang w:eastAsia="es-MX"/>
        </w:rPr>
        <w:t xml:space="preserve">se definieron </w:t>
      </w:r>
      <w:r w:rsidR="00F6691E" w:rsidRPr="00931D46">
        <w:rPr>
          <w:rFonts w:ascii="Arial" w:hAnsi="Arial" w:cs="Arial"/>
          <w:lang w:eastAsia="es-MX"/>
        </w:rPr>
        <w:t xml:space="preserve">MR </w:t>
      </w:r>
      <w:r w:rsidRPr="00931D46">
        <w:rPr>
          <w:rFonts w:ascii="Arial" w:hAnsi="Arial" w:cs="Arial"/>
          <w:lang w:eastAsia="es-MX"/>
        </w:rPr>
        <w:t xml:space="preserve">cuya dimensión </w:t>
      </w:r>
      <w:r w:rsidR="00DC7F97" w:rsidRPr="00931D46">
        <w:rPr>
          <w:rFonts w:ascii="Arial" w:hAnsi="Arial" w:cs="Arial"/>
        </w:rPr>
        <w:t>servicio</w:t>
      </w:r>
      <w:r w:rsidRPr="00931D46">
        <w:rPr>
          <w:rFonts w:ascii="Arial" w:hAnsi="Arial" w:cs="Arial"/>
          <w:lang w:eastAsia="es-MX"/>
        </w:rPr>
        <w:t xml:space="preserve"> es </w:t>
      </w:r>
      <w:r w:rsidRPr="00931D46">
        <w:rPr>
          <w:rFonts w:ascii="Arial" w:hAnsi="Arial" w:cs="Arial"/>
          <w:b/>
          <w:lang w:eastAsia="es-MX"/>
        </w:rPr>
        <w:t>el STAR y su dimensión geográfica es local</w:t>
      </w:r>
      <w:r w:rsidR="00170BD5" w:rsidRPr="00170BD5">
        <w:rPr>
          <w:rFonts w:ascii="Arial" w:hAnsi="Arial" w:cs="Arial"/>
          <w:lang w:eastAsia="es-MX"/>
        </w:rPr>
        <w:t xml:space="preserve"> (a nivel de municipio en el caso AI/DC-002-2019)</w:t>
      </w:r>
      <w:r w:rsidRPr="00931D46">
        <w:rPr>
          <w:rFonts w:ascii="Arial" w:hAnsi="Arial" w:cs="Arial"/>
          <w:lang w:eastAsia="es-MX"/>
        </w:rPr>
        <w:t>. Para la determinación de la dimensión geográfica, se consideraron los siguientes elementos:</w:t>
      </w:r>
    </w:p>
    <w:p w14:paraId="573CB595" w14:textId="77777777" w:rsidR="0028251D" w:rsidRPr="00931D46" w:rsidRDefault="0028251D" w:rsidP="0023353F">
      <w:pPr>
        <w:spacing w:before="0" w:after="0"/>
        <w:rPr>
          <w:rFonts w:ascii="Arial" w:hAnsi="Arial" w:cs="Arial"/>
          <w:lang w:eastAsia="es-MX"/>
        </w:rPr>
      </w:pPr>
    </w:p>
    <w:p w14:paraId="4F0F03CC" w14:textId="77777777" w:rsidR="00C1348B" w:rsidRPr="00931D46" w:rsidRDefault="00C1348B" w:rsidP="0023353F">
      <w:pPr>
        <w:keepNext/>
        <w:spacing w:before="0" w:after="0"/>
        <w:rPr>
          <w:rFonts w:ascii="Arial" w:hAnsi="Arial" w:cs="Arial"/>
          <w:b/>
        </w:rPr>
      </w:pPr>
      <w:r w:rsidRPr="00931D46">
        <w:rPr>
          <w:rFonts w:ascii="Arial" w:hAnsi="Arial" w:cs="Arial"/>
          <w:b/>
          <w:lang w:eastAsia="es-MX"/>
        </w:rPr>
        <w:t>Por el lado de la demanda:</w:t>
      </w:r>
    </w:p>
    <w:p w14:paraId="0E118DD1" w14:textId="77777777" w:rsidR="00E162A8" w:rsidRPr="00931D46" w:rsidRDefault="00F6691E" w:rsidP="008A0022">
      <w:pPr>
        <w:pStyle w:val="Textocomentario"/>
        <w:numPr>
          <w:ilvl w:val="0"/>
          <w:numId w:val="14"/>
        </w:numPr>
        <w:spacing w:before="0" w:after="0" w:line="276" w:lineRule="auto"/>
        <w:ind w:left="709" w:hanging="567"/>
        <w:rPr>
          <w:rFonts w:ascii="Arial" w:hAnsi="Arial" w:cs="Arial"/>
          <w:sz w:val="22"/>
          <w:szCs w:val="22"/>
        </w:rPr>
      </w:pPr>
      <w:r w:rsidRPr="00931D46">
        <w:rPr>
          <w:rFonts w:ascii="Arial" w:hAnsi="Arial" w:cs="Arial"/>
          <w:sz w:val="22"/>
          <w:szCs w:val="22"/>
        </w:rPr>
        <w:t>L</w:t>
      </w:r>
      <w:r w:rsidR="00E162A8" w:rsidRPr="00931D46">
        <w:rPr>
          <w:rFonts w:ascii="Arial" w:hAnsi="Arial" w:cs="Arial"/>
          <w:sz w:val="22"/>
          <w:szCs w:val="22"/>
        </w:rPr>
        <w:t xml:space="preserve">os usuarios demandan el servicio en el domicilio en el que se ubican, por lo que </w:t>
      </w:r>
      <w:r w:rsidR="00E162A8" w:rsidRPr="00931D46">
        <w:rPr>
          <w:rFonts w:ascii="Arial" w:eastAsiaTheme="majorEastAsia" w:hAnsi="Arial" w:cs="Arial"/>
          <w:sz w:val="22"/>
          <w:szCs w:val="22"/>
        </w:rPr>
        <w:t>la oferta disponible a la cual pueden acceder dependerá de la ubicación de su domicilio</w:t>
      </w:r>
      <w:r w:rsidR="00E162A8" w:rsidRPr="00931D46">
        <w:rPr>
          <w:rFonts w:ascii="Arial" w:hAnsi="Arial" w:cs="Arial"/>
          <w:sz w:val="22"/>
          <w:szCs w:val="22"/>
        </w:rPr>
        <w:t>.</w:t>
      </w:r>
    </w:p>
    <w:p w14:paraId="527A4332" w14:textId="77777777" w:rsidR="00E162A8" w:rsidRPr="00931D46" w:rsidRDefault="00F6691E" w:rsidP="008A0022">
      <w:pPr>
        <w:pStyle w:val="Textocomentario"/>
        <w:numPr>
          <w:ilvl w:val="0"/>
          <w:numId w:val="14"/>
        </w:numPr>
        <w:spacing w:before="0" w:after="0" w:line="276" w:lineRule="auto"/>
        <w:ind w:left="709" w:hanging="567"/>
        <w:rPr>
          <w:rFonts w:ascii="Arial" w:hAnsi="Arial" w:cs="Arial"/>
          <w:sz w:val="22"/>
          <w:szCs w:val="22"/>
        </w:rPr>
      </w:pPr>
      <w:r w:rsidRPr="00931D46">
        <w:rPr>
          <w:rFonts w:ascii="Arial" w:hAnsi="Arial" w:cs="Arial"/>
          <w:sz w:val="22"/>
          <w:szCs w:val="22"/>
        </w:rPr>
        <w:t>E</w:t>
      </w:r>
      <w:r w:rsidR="00E162A8" w:rsidRPr="00931D46">
        <w:rPr>
          <w:rFonts w:ascii="Arial" w:hAnsi="Arial" w:cs="Arial"/>
          <w:sz w:val="22"/>
          <w:szCs w:val="22"/>
        </w:rPr>
        <w:t xml:space="preserve">l número de proveedores y las ofertas disponibles (por ejemplo, </w:t>
      </w:r>
      <w:r w:rsidRPr="00931D46">
        <w:rPr>
          <w:rFonts w:ascii="Arial" w:hAnsi="Arial" w:cs="Arial"/>
          <w:sz w:val="22"/>
          <w:szCs w:val="22"/>
        </w:rPr>
        <w:t>precio y número de canales</w:t>
      </w:r>
      <w:r w:rsidR="00E162A8" w:rsidRPr="00931D46">
        <w:rPr>
          <w:rFonts w:ascii="Arial" w:hAnsi="Arial" w:cs="Arial"/>
          <w:sz w:val="22"/>
          <w:szCs w:val="22"/>
        </w:rPr>
        <w:t>), incluso si se trata de un mismo operador, pueden diferir entre municipios.</w:t>
      </w:r>
    </w:p>
    <w:p w14:paraId="3770BED0" w14:textId="77777777" w:rsidR="0028251D" w:rsidRPr="00931D46" w:rsidRDefault="0028251D" w:rsidP="0023353F">
      <w:pPr>
        <w:pStyle w:val="Textocomentario"/>
        <w:spacing w:before="0" w:after="0" w:line="276" w:lineRule="auto"/>
        <w:rPr>
          <w:rFonts w:ascii="Arial" w:hAnsi="Arial" w:cs="Arial"/>
          <w:sz w:val="22"/>
          <w:szCs w:val="22"/>
        </w:rPr>
      </w:pPr>
    </w:p>
    <w:p w14:paraId="7B550FBE" w14:textId="77777777" w:rsidR="00C1348B" w:rsidRPr="00931D46" w:rsidRDefault="00C1348B" w:rsidP="0023353F">
      <w:pPr>
        <w:keepNext/>
        <w:spacing w:before="0" w:after="0"/>
        <w:rPr>
          <w:rFonts w:ascii="Arial" w:hAnsi="Arial" w:cs="Arial"/>
          <w:b/>
          <w:lang w:eastAsia="es-MX"/>
        </w:rPr>
      </w:pPr>
      <w:r w:rsidRPr="00931D46">
        <w:rPr>
          <w:rFonts w:ascii="Arial" w:hAnsi="Arial" w:cs="Arial"/>
          <w:b/>
          <w:lang w:eastAsia="es-MX"/>
        </w:rPr>
        <w:t>Por el lado de la oferta:</w:t>
      </w:r>
    </w:p>
    <w:p w14:paraId="0949F898" w14:textId="77777777" w:rsidR="007D665F" w:rsidRPr="00931D46" w:rsidRDefault="007D665F" w:rsidP="008A0022">
      <w:pPr>
        <w:pStyle w:val="Textocomentario"/>
        <w:numPr>
          <w:ilvl w:val="0"/>
          <w:numId w:val="14"/>
        </w:numPr>
        <w:spacing w:before="0" w:after="0" w:line="276" w:lineRule="auto"/>
        <w:ind w:left="709" w:hanging="567"/>
        <w:rPr>
          <w:rFonts w:ascii="Arial" w:eastAsiaTheme="majorEastAsia" w:hAnsi="Arial" w:cs="Arial"/>
          <w:sz w:val="22"/>
          <w:szCs w:val="22"/>
        </w:rPr>
      </w:pPr>
      <w:r w:rsidRPr="00931D46">
        <w:rPr>
          <w:rFonts w:ascii="Arial" w:eastAsiaTheme="majorEastAsia" w:hAnsi="Arial" w:cs="Arial"/>
          <w:sz w:val="22"/>
          <w:szCs w:val="22"/>
        </w:rPr>
        <w:t xml:space="preserve">La oferta de cada operador está sujeta a la cobertura de su red. </w:t>
      </w:r>
    </w:p>
    <w:p w14:paraId="75D28967" w14:textId="77777777" w:rsidR="00E162A8" w:rsidRPr="00931D46" w:rsidRDefault="00F6691E" w:rsidP="008A0022">
      <w:pPr>
        <w:pStyle w:val="Textocomentario"/>
        <w:numPr>
          <w:ilvl w:val="0"/>
          <w:numId w:val="14"/>
        </w:numPr>
        <w:spacing w:before="0" w:after="0" w:line="276" w:lineRule="auto"/>
        <w:ind w:left="709" w:hanging="567"/>
        <w:rPr>
          <w:rFonts w:ascii="Arial" w:eastAsiaTheme="majorEastAsia" w:hAnsi="Arial" w:cs="Arial"/>
          <w:sz w:val="22"/>
          <w:szCs w:val="22"/>
        </w:rPr>
      </w:pPr>
      <w:r w:rsidRPr="00931D46">
        <w:rPr>
          <w:rFonts w:ascii="Arial" w:eastAsiaTheme="majorEastAsia" w:hAnsi="Arial" w:cs="Arial"/>
          <w:sz w:val="22"/>
          <w:szCs w:val="22"/>
        </w:rPr>
        <w:t xml:space="preserve">La entrada a una determinada localidad por medios cableados implica tiempo e inversiones </w:t>
      </w:r>
      <w:r w:rsidR="00E162A8" w:rsidRPr="00931D46">
        <w:rPr>
          <w:rFonts w:ascii="Arial" w:eastAsiaTheme="majorEastAsia" w:hAnsi="Arial" w:cs="Arial"/>
          <w:sz w:val="22"/>
          <w:szCs w:val="22"/>
        </w:rPr>
        <w:t xml:space="preserve">apreciables. </w:t>
      </w:r>
    </w:p>
    <w:p w14:paraId="28EE1860" w14:textId="77777777" w:rsidR="00E162A8" w:rsidRPr="00931D46" w:rsidRDefault="00F6691E" w:rsidP="008A0022">
      <w:pPr>
        <w:pStyle w:val="Textocomentario"/>
        <w:numPr>
          <w:ilvl w:val="0"/>
          <w:numId w:val="14"/>
        </w:numPr>
        <w:spacing w:before="0" w:after="0" w:line="276" w:lineRule="auto"/>
        <w:ind w:left="709" w:hanging="567"/>
        <w:rPr>
          <w:rFonts w:ascii="Arial" w:hAnsi="Arial" w:cs="Arial"/>
          <w:sz w:val="22"/>
          <w:szCs w:val="22"/>
        </w:rPr>
      </w:pPr>
      <w:r w:rsidRPr="00931D46">
        <w:rPr>
          <w:rFonts w:ascii="Arial" w:eastAsiaTheme="majorEastAsia" w:hAnsi="Arial" w:cs="Arial"/>
          <w:sz w:val="22"/>
          <w:szCs w:val="22"/>
        </w:rPr>
        <w:t>U</w:t>
      </w:r>
      <w:r w:rsidR="00E162A8" w:rsidRPr="00931D46">
        <w:rPr>
          <w:rFonts w:ascii="Arial" w:eastAsiaTheme="majorEastAsia" w:hAnsi="Arial" w:cs="Arial"/>
          <w:sz w:val="22"/>
          <w:szCs w:val="22"/>
        </w:rPr>
        <w:t>na delimitación geográfica más allá del ámbito local otorgaría a los operadores del STAR con redes cableadas una representación que no tienen y, por tanto, no capturaría las presiones competitivas de manera adecuada</w:t>
      </w:r>
      <w:r w:rsidR="00E162A8" w:rsidRPr="00931D46">
        <w:rPr>
          <w:rFonts w:ascii="Arial" w:hAnsi="Arial" w:cs="Arial"/>
          <w:sz w:val="22"/>
          <w:szCs w:val="22"/>
        </w:rPr>
        <w:t>.</w:t>
      </w:r>
    </w:p>
    <w:p w14:paraId="5129DA57" w14:textId="77777777" w:rsidR="00E162A8" w:rsidRPr="00931D46" w:rsidRDefault="00E162A8" w:rsidP="0023353F">
      <w:pPr>
        <w:pStyle w:val="Textocomentario"/>
        <w:spacing w:before="0" w:after="0" w:line="276" w:lineRule="auto"/>
        <w:rPr>
          <w:rFonts w:ascii="Arial" w:hAnsi="Arial" w:cs="Arial"/>
          <w:sz w:val="22"/>
          <w:szCs w:val="22"/>
        </w:rPr>
      </w:pPr>
    </w:p>
    <w:p w14:paraId="4DAA0FAD" w14:textId="77777777" w:rsidR="00E162A8" w:rsidRPr="00931D46" w:rsidRDefault="00BD5715" w:rsidP="00FF6572">
      <w:pPr>
        <w:pStyle w:val="Ttulo3"/>
        <w:keepLines w:val="0"/>
        <w:numPr>
          <w:ilvl w:val="2"/>
          <w:numId w:val="3"/>
        </w:numPr>
        <w:spacing w:before="0"/>
        <w:ind w:left="1701"/>
        <w:rPr>
          <w:rFonts w:ascii="Arial" w:eastAsia="Times New Roman" w:hAnsi="Arial" w:cs="Arial"/>
          <w:b/>
          <w:color w:val="auto"/>
          <w:sz w:val="26"/>
          <w:szCs w:val="26"/>
          <w:lang w:eastAsia="es-MX"/>
        </w:rPr>
      </w:pPr>
      <w:bookmarkStart w:id="83" w:name="_Toc43134211"/>
      <w:bookmarkStart w:id="84" w:name="_Toc43137696"/>
      <w:bookmarkStart w:id="85" w:name="_Toc43139140"/>
      <w:bookmarkStart w:id="86" w:name="_Toc43206604"/>
      <w:bookmarkStart w:id="87" w:name="_Toc43376734"/>
      <w:bookmarkStart w:id="88" w:name="_Toc44689083"/>
      <w:r w:rsidRPr="00931D46">
        <w:rPr>
          <w:rFonts w:ascii="Arial" w:eastAsia="Times New Roman" w:hAnsi="Arial" w:cs="Arial"/>
          <w:b/>
          <w:color w:val="auto"/>
          <w:sz w:val="26"/>
          <w:szCs w:val="26"/>
          <w:lang w:eastAsia="es-MX"/>
        </w:rPr>
        <w:t>Arrendamiento de sitios en torres de telecomunicaciones</w:t>
      </w:r>
      <w:bookmarkEnd w:id="83"/>
      <w:bookmarkEnd w:id="84"/>
      <w:bookmarkEnd w:id="85"/>
      <w:bookmarkEnd w:id="86"/>
      <w:bookmarkEnd w:id="87"/>
      <w:bookmarkEnd w:id="88"/>
    </w:p>
    <w:p w14:paraId="1028320C" w14:textId="77777777" w:rsidR="00E162A8" w:rsidRPr="00931D46" w:rsidRDefault="00E162A8" w:rsidP="0023353F">
      <w:pPr>
        <w:keepNext/>
        <w:spacing w:before="0" w:after="0"/>
        <w:rPr>
          <w:rFonts w:ascii="Arial" w:hAnsi="Arial" w:cs="Arial"/>
        </w:rPr>
      </w:pPr>
    </w:p>
    <w:p w14:paraId="7114B3CC" w14:textId="77777777" w:rsidR="00E162A8" w:rsidRPr="00931D46" w:rsidRDefault="0043197C" w:rsidP="0023353F">
      <w:pPr>
        <w:spacing w:before="0" w:after="0"/>
        <w:rPr>
          <w:rFonts w:ascii="Arial" w:hAnsi="Arial" w:cs="Arial"/>
        </w:rPr>
      </w:pPr>
      <w:r w:rsidRPr="00931D46">
        <w:rPr>
          <w:rFonts w:ascii="Arial" w:hAnsi="Arial" w:cs="Arial"/>
        </w:rPr>
        <w:t>En los expedientes UCE/CNC-001-2014 (concentración MMIF/Digital Bridge),</w:t>
      </w:r>
      <w:r w:rsidR="00FF6572" w:rsidRPr="00931D46">
        <w:rPr>
          <w:rFonts w:ascii="Arial" w:eastAsia="Times New Roman" w:hAnsi="Arial" w:cs="Arial"/>
          <w:szCs w:val="26"/>
          <w:vertAlign w:val="superscript"/>
          <w:lang w:eastAsia="es-MX"/>
        </w:rPr>
        <w:footnoteReference w:id="132"/>
      </w:r>
      <w:r w:rsidRPr="00931D46">
        <w:rPr>
          <w:rFonts w:ascii="Arial" w:hAnsi="Arial" w:cs="Arial"/>
        </w:rPr>
        <w:t xml:space="preserve"> UCE/CNC-007-2014 (concentración </w:t>
      </w:r>
      <w:r w:rsidR="006628C5" w:rsidRPr="00931D46">
        <w:rPr>
          <w:rFonts w:ascii="Arial" w:hAnsi="Arial" w:cs="Arial"/>
        </w:rPr>
        <w:t>Axtel/MATC Digital</w:t>
      </w:r>
      <w:r w:rsidRPr="00931D46">
        <w:rPr>
          <w:rFonts w:ascii="Arial" w:hAnsi="Arial" w:cs="Arial"/>
        </w:rPr>
        <w:t>)</w:t>
      </w:r>
      <w:r w:rsidR="009E5CD5" w:rsidRPr="00931D46">
        <w:rPr>
          <w:rFonts w:ascii="Arial" w:eastAsia="Times New Roman" w:hAnsi="Arial" w:cs="Arial"/>
          <w:szCs w:val="26"/>
          <w:vertAlign w:val="superscript"/>
          <w:lang w:eastAsia="es-MX"/>
        </w:rPr>
        <w:footnoteReference w:id="133"/>
      </w:r>
      <w:r w:rsidRPr="00931D46">
        <w:rPr>
          <w:rFonts w:ascii="Arial" w:hAnsi="Arial" w:cs="Arial"/>
        </w:rPr>
        <w:t xml:space="preserve"> y UCE/CNC-004-2019 (concentración Pegaso/MATC Digital),</w:t>
      </w:r>
      <w:r w:rsidR="009E5CD5" w:rsidRPr="00931D46">
        <w:rPr>
          <w:rFonts w:ascii="Arial" w:eastAsia="Times New Roman" w:hAnsi="Arial" w:cs="Arial"/>
          <w:szCs w:val="26"/>
          <w:vertAlign w:val="superscript"/>
          <w:lang w:eastAsia="es-MX"/>
        </w:rPr>
        <w:footnoteReference w:id="134"/>
      </w:r>
      <w:r w:rsidR="00E162A8" w:rsidRPr="00931D46">
        <w:rPr>
          <w:rFonts w:ascii="Arial" w:hAnsi="Arial" w:cs="Arial"/>
        </w:rPr>
        <w:t xml:space="preserve"> se </w:t>
      </w:r>
      <w:r w:rsidR="00F6691E" w:rsidRPr="00931D46">
        <w:rPr>
          <w:rFonts w:ascii="Arial" w:hAnsi="Arial" w:cs="Arial"/>
        </w:rPr>
        <w:t xml:space="preserve">determinó que el MR era el de </w:t>
      </w:r>
      <w:r w:rsidR="00E162A8" w:rsidRPr="00931D46">
        <w:rPr>
          <w:rFonts w:ascii="Arial" w:hAnsi="Arial" w:cs="Arial"/>
        </w:rPr>
        <w:t xml:space="preserve">arrendamiento de sitios en torres de telecomunicaciones, con una </w:t>
      </w:r>
      <w:r w:rsidR="00654704" w:rsidRPr="00931D46">
        <w:rPr>
          <w:rFonts w:ascii="Arial" w:hAnsi="Arial" w:cs="Arial"/>
          <w:b/>
        </w:rPr>
        <w:t xml:space="preserve">dimensión geográfica nacional, </w:t>
      </w:r>
      <w:r w:rsidR="00E162A8" w:rsidRPr="00931D46">
        <w:rPr>
          <w:rFonts w:ascii="Arial" w:hAnsi="Arial" w:cs="Arial"/>
        </w:rPr>
        <w:t>con base en los elementos siguientes:</w:t>
      </w:r>
    </w:p>
    <w:p w14:paraId="42429737" w14:textId="77777777" w:rsidR="0023353F" w:rsidRPr="00931D46" w:rsidRDefault="0023353F" w:rsidP="0023353F">
      <w:pPr>
        <w:spacing w:before="0" w:after="0"/>
        <w:rPr>
          <w:rFonts w:ascii="Arial" w:hAnsi="Arial" w:cs="Arial"/>
        </w:rPr>
      </w:pPr>
    </w:p>
    <w:p w14:paraId="0FAFE76F" w14:textId="77777777" w:rsidR="00E162A8" w:rsidRPr="00931D46" w:rsidRDefault="00E162A8" w:rsidP="008A0022">
      <w:pPr>
        <w:pStyle w:val="Prrafodelista"/>
        <w:numPr>
          <w:ilvl w:val="0"/>
          <w:numId w:val="17"/>
        </w:numPr>
        <w:spacing w:before="0" w:after="0"/>
        <w:ind w:left="709" w:hanging="567"/>
        <w:contextualSpacing w:val="0"/>
        <w:rPr>
          <w:rFonts w:ascii="Arial" w:hAnsi="Arial" w:cs="Arial"/>
        </w:rPr>
      </w:pPr>
      <w:r w:rsidRPr="00931D46">
        <w:rPr>
          <w:rFonts w:ascii="Arial" w:hAnsi="Arial" w:cs="Arial"/>
          <w:b/>
        </w:rPr>
        <w:t>Por el lado de la demanda</w:t>
      </w:r>
      <w:r w:rsidRPr="00931D46">
        <w:rPr>
          <w:rFonts w:ascii="Arial" w:hAnsi="Arial" w:cs="Arial"/>
        </w:rPr>
        <w:t xml:space="preserve">, los principales usuarios del servicio </w:t>
      </w:r>
      <w:r w:rsidR="00C1348B" w:rsidRPr="00931D46">
        <w:rPr>
          <w:rFonts w:ascii="Arial" w:hAnsi="Arial" w:cs="Arial"/>
        </w:rPr>
        <w:t xml:space="preserve">-concesionarios y operadores de RPT- </w:t>
      </w:r>
      <w:r w:rsidRPr="00931D46">
        <w:rPr>
          <w:rFonts w:ascii="Arial" w:hAnsi="Arial" w:cs="Arial"/>
        </w:rPr>
        <w:t>operan a nivel nacional</w:t>
      </w:r>
      <w:r w:rsidR="00C1348B" w:rsidRPr="00931D46">
        <w:rPr>
          <w:rFonts w:ascii="Arial" w:hAnsi="Arial" w:cs="Arial"/>
        </w:rPr>
        <w:t>,</w:t>
      </w:r>
      <w:r w:rsidRPr="00931D46">
        <w:rPr>
          <w:rFonts w:ascii="Arial" w:hAnsi="Arial" w:cs="Arial"/>
        </w:rPr>
        <w:t xml:space="preserve"> solicitan, negocian y acuerdan </w:t>
      </w:r>
      <w:r w:rsidR="00C1348B" w:rsidRPr="00931D46">
        <w:rPr>
          <w:rFonts w:ascii="Arial" w:hAnsi="Arial" w:cs="Arial"/>
        </w:rPr>
        <w:t xml:space="preserve">la demanda del servicio </w:t>
      </w:r>
      <w:r w:rsidRPr="00931D46">
        <w:rPr>
          <w:rFonts w:ascii="Arial" w:hAnsi="Arial" w:cs="Arial"/>
        </w:rPr>
        <w:t xml:space="preserve">para diversas localidades en el territorio nacional y no para cada localidad. </w:t>
      </w:r>
    </w:p>
    <w:p w14:paraId="6A4E479E" w14:textId="77777777" w:rsidR="00E162A8" w:rsidRPr="00931D46" w:rsidRDefault="00E162A8" w:rsidP="008A0022">
      <w:pPr>
        <w:pStyle w:val="Prrafodelista"/>
        <w:numPr>
          <w:ilvl w:val="0"/>
          <w:numId w:val="17"/>
        </w:numPr>
        <w:spacing w:before="0" w:after="0"/>
        <w:ind w:left="709" w:hanging="567"/>
        <w:contextualSpacing w:val="0"/>
        <w:rPr>
          <w:rFonts w:ascii="Arial" w:hAnsi="Arial" w:cs="Arial"/>
        </w:rPr>
      </w:pPr>
      <w:r w:rsidRPr="00931D46">
        <w:rPr>
          <w:rFonts w:ascii="Arial" w:hAnsi="Arial" w:cs="Arial"/>
          <w:b/>
        </w:rPr>
        <w:t>Por el lado de la oferta</w:t>
      </w:r>
      <w:r w:rsidRPr="00931D46">
        <w:rPr>
          <w:rFonts w:ascii="Arial" w:hAnsi="Arial" w:cs="Arial"/>
        </w:rPr>
        <w:t>, los proveedores de sitios en torres ofrecen y negocian los términos de acceso al servicio, a través de contratos de arrendamiento, en todo el país o la mayor parte del territorio nacional</w:t>
      </w:r>
      <w:r w:rsidR="00C1348B" w:rsidRPr="00931D46">
        <w:rPr>
          <w:rFonts w:ascii="Arial" w:hAnsi="Arial" w:cs="Arial"/>
        </w:rPr>
        <w:t xml:space="preserve"> y no por localidad; y</w:t>
      </w:r>
      <w:r w:rsidRPr="00931D46">
        <w:rPr>
          <w:rFonts w:ascii="Arial" w:hAnsi="Arial" w:cs="Arial"/>
        </w:rPr>
        <w:t xml:space="preserve"> compiten por clientes que demandan distintas combinaciones de localidades y capacidades en el territorio nacional o en la mayor parte del país.</w:t>
      </w:r>
    </w:p>
    <w:p w14:paraId="581E5E60" w14:textId="77777777" w:rsidR="00E162A8" w:rsidRPr="00931D46" w:rsidRDefault="00E162A8" w:rsidP="0023353F">
      <w:pPr>
        <w:spacing w:before="0" w:after="0"/>
        <w:rPr>
          <w:rFonts w:ascii="Arial" w:hAnsi="Arial" w:cs="Arial"/>
        </w:rPr>
      </w:pPr>
    </w:p>
    <w:p w14:paraId="20176AE2" w14:textId="77777777" w:rsidR="00E162A8" w:rsidRPr="00931D46" w:rsidRDefault="007D665F" w:rsidP="00FF6572">
      <w:pPr>
        <w:pStyle w:val="Ttulo3"/>
        <w:keepLines w:val="0"/>
        <w:numPr>
          <w:ilvl w:val="2"/>
          <w:numId w:val="3"/>
        </w:numPr>
        <w:spacing w:before="0"/>
        <w:ind w:left="1701"/>
        <w:rPr>
          <w:rFonts w:ascii="Arial" w:eastAsia="Times New Roman" w:hAnsi="Arial" w:cs="Arial"/>
          <w:b/>
          <w:color w:val="auto"/>
          <w:sz w:val="26"/>
          <w:szCs w:val="26"/>
          <w:lang w:eastAsia="es-MX"/>
        </w:rPr>
      </w:pPr>
      <w:bookmarkStart w:id="89" w:name="_Toc43134212"/>
      <w:bookmarkStart w:id="90" w:name="_Toc43137697"/>
      <w:bookmarkStart w:id="91" w:name="_Toc43139141"/>
      <w:bookmarkStart w:id="92" w:name="_Toc43206605"/>
      <w:bookmarkStart w:id="93" w:name="_Toc43376735"/>
      <w:bookmarkStart w:id="94" w:name="_Toc44689084"/>
      <w:r w:rsidRPr="00931D46">
        <w:rPr>
          <w:rFonts w:ascii="Arial" w:eastAsia="Times New Roman" w:hAnsi="Arial" w:cs="Arial"/>
          <w:b/>
          <w:color w:val="auto"/>
          <w:sz w:val="26"/>
          <w:szCs w:val="26"/>
          <w:lang w:eastAsia="es-MX"/>
        </w:rPr>
        <w:t xml:space="preserve">Licenciamiento de </w:t>
      </w:r>
      <w:r w:rsidR="00EF50B5" w:rsidRPr="00931D46">
        <w:rPr>
          <w:rFonts w:ascii="Arial" w:eastAsia="Times New Roman" w:hAnsi="Arial" w:cs="Arial"/>
          <w:b/>
          <w:color w:val="auto"/>
          <w:sz w:val="26"/>
          <w:szCs w:val="26"/>
          <w:lang w:eastAsia="es-MX"/>
        </w:rPr>
        <w:t>CA</w:t>
      </w:r>
      <w:bookmarkEnd w:id="89"/>
      <w:bookmarkEnd w:id="90"/>
      <w:bookmarkEnd w:id="91"/>
      <w:bookmarkEnd w:id="92"/>
      <w:bookmarkEnd w:id="93"/>
      <w:bookmarkEnd w:id="94"/>
      <w:r w:rsidR="00E41396" w:rsidRPr="00931D46">
        <w:rPr>
          <w:rFonts w:ascii="Arial" w:eastAsia="Times New Roman" w:hAnsi="Arial" w:cs="Arial"/>
          <w:b/>
          <w:color w:val="auto"/>
          <w:sz w:val="26"/>
          <w:szCs w:val="26"/>
          <w:lang w:eastAsia="es-MX"/>
        </w:rPr>
        <w:t xml:space="preserve"> para STAR</w:t>
      </w:r>
    </w:p>
    <w:p w14:paraId="3D6C2A0E" w14:textId="77777777" w:rsidR="00E162A8" w:rsidRPr="00931D46" w:rsidRDefault="00E162A8" w:rsidP="0023353F">
      <w:pPr>
        <w:keepNext/>
        <w:spacing w:before="0" w:after="0"/>
        <w:rPr>
          <w:rFonts w:ascii="Arial" w:hAnsi="Arial" w:cs="Arial"/>
        </w:rPr>
      </w:pPr>
    </w:p>
    <w:p w14:paraId="79963FA3" w14:textId="371D0ACD" w:rsidR="00E162A8" w:rsidRPr="00931D46" w:rsidRDefault="00E162A8" w:rsidP="0023353F">
      <w:pPr>
        <w:spacing w:before="0" w:after="0"/>
        <w:rPr>
          <w:rFonts w:ascii="Arial" w:hAnsi="Arial" w:cs="Arial"/>
        </w:rPr>
      </w:pPr>
      <w:r w:rsidRPr="00931D46">
        <w:rPr>
          <w:rFonts w:ascii="Arial" w:hAnsi="Arial" w:cs="Arial"/>
        </w:rPr>
        <w:t xml:space="preserve">En </w:t>
      </w:r>
      <w:r w:rsidR="007D665F" w:rsidRPr="00931D46">
        <w:rPr>
          <w:rFonts w:ascii="Arial" w:hAnsi="Arial" w:cs="Arial"/>
        </w:rPr>
        <w:t>los expedientes UCE/CNC-004-2016</w:t>
      </w:r>
      <w:r w:rsidR="002742DF" w:rsidRPr="00931D46">
        <w:rPr>
          <w:rFonts w:ascii="Arial" w:hAnsi="Arial" w:cs="Arial"/>
        </w:rPr>
        <w:t xml:space="preserve"> (concentración AT&amp;T/Time Warner)</w:t>
      </w:r>
      <w:r w:rsidR="007D665F" w:rsidRPr="00931D46">
        <w:rPr>
          <w:rFonts w:ascii="Arial" w:eastAsia="Times New Roman" w:hAnsi="Arial" w:cs="Arial"/>
          <w:vertAlign w:val="superscript"/>
          <w:lang w:eastAsia="es-MX"/>
        </w:rPr>
        <w:footnoteReference w:id="135"/>
      </w:r>
      <w:r w:rsidR="007D665F" w:rsidRPr="00931D46">
        <w:rPr>
          <w:rFonts w:ascii="Arial" w:hAnsi="Arial" w:cs="Arial"/>
        </w:rPr>
        <w:t xml:space="preserve"> y UCE/CNC-001-2018</w:t>
      </w:r>
      <w:r w:rsidR="0069517B" w:rsidRPr="00931D46">
        <w:rPr>
          <w:rFonts w:ascii="Arial" w:hAnsi="Arial" w:cs="Arial"/>
        </w:rPr>
        <w:t xml:space="preserve"> (concentración Disney/Fox)</w:t>
      </w:r>
      <w:r w:rsidR="007D665F" w:rsidRPr="00931D46">
        <w:rPr>
          <w:rFonts w:ascii="Arial" w:eastAsia="Times New Roman" w:hAnsi="Arial" w:cs="Arial"/>
          <w:b/>
          <w:vertAlign w:val="superscript"/>
          <w:lang w:eastAsia="es-MX"/>
        </w:rPr>
        <w:footnoteReference w:id="136"/>
      </w:r>
      <w:r w:rsidRPr="00931D46">
        <w:rPr>
          <w:rFonts w:ascii="Arial" w:hAnsi="Arial" w:cs="Arial"/>
        </w:rPr>
        <w:t xml:space="preserve"> el Instituto </w:t>
      </w:r>
      <w:r w:rsidR="00EF50B5" w:rsidRPr="00931D46">
        <w:rPr>
          <w:rFonts w:ascii="Arial" w:hAnsi="Arial" w:cs="Arial"/>
        </w:rPr>
        <w:t>delimitó</w:t>
      </w:r>
      <w:r w:rsidRPr="00931D46">
        <w:rPr>
          <w:rFonts w:ascii="Arial" w:hAnsi="Arial" w:cs="Arial"/>
        </w:rPr>
        <w:t xml:space="preserve"> el </w:t>
      </w:r>
      <w:r w:rsidR="00C1348B" w:rsidRPr="00931D46">
        <w:rPr>
          <w:rFonts w:ascii="Arial" w:hAnsi="Arial" w:cs="Arial"/>
        </w:rPr>
        <w:t>MR</w:t>
      </w:r>
      <w:r w:rsidRPr="00931D46">
        <w:rPr>
          <w:rFonts w:ascii="Arial" w:hAnsi="Arial" w:cs="Arial"/>
        </w:rPr>
        <w:t xml:space="preserve"> de </w:t>
      </w:r>
      <w:r w:rsidRPr="00931D46">
        <w:rPr>
          <w:rFonts w:ascii="Arial" w:hAnsi="Arial" w:cs="Arial"/>
          <w:b/>
        </w:rPr>
        <w:t xml:space="preserve">provisión y licenciamiento de </w:t>
      </w:r>
      <w:r w:rsidR="00C1348B" w:rsidRPr="00931D46">
        <w:rPr>
          <w:rFonts w:ascii="Arial" w:hAnsi="Arial" w:cs="Arial"/>
          <w:b/>
        </w:rPr>
        <w:t>CA para el STAR</w:t>
      </w:r>
      <w:r w:rsidRPr="00931D46">
        <w:rPr>
          <w:rFonts w:ascii="Arial" w:hAnsi="Arial" w:cs="Arial"/>
          <w:b/>
        </w:rPr>
        <w:t xml:space="preserve"> con dimensión geográfica nacional, </w:t>
      </w:r>
      <w:r w:rsidR="00EF50B5" w:rsidRPr="00931D46">
        <w:rPr>
          <w:rFonts w:ascii="Arial" w:hAnsi="Arial" w:cs="Arial"/>
        </w:rPr>
        <w:t>toda vez que,</w:t>
      </w:r>
      <w:r w:rsidRPr="00931D46">
        <w:rPr>
          <w:rFonts w:ascii="Arial" w:hAnsi="Arial" w:cs="Arial"/>
        </w:rPr>
        <w:t xml:space="preserve"> </w:t>
      </w:r>
      <w:r w:rsidR="00EF50B5" w:rsidRPr="00931D46">
        <w:rPr>
          <w:rFonts w:ascii="Arial" w:hAnsi="Arial" w:cs="Arial"/>
        </w:rPr>
        <w:t xml:space="preserve">si bien </w:t>
      </w:r>
      <w:r w:rsidR="00EF50B5" w:rsidRPr="00931D46">
        <w:rPr>
          <w:rFonts w:ascii="Arial" w:hAnsi="Arial" w:cs="Arial"/>
          <w:lang w:eastAsia="es-MX"/>
        </w:rPr>
        <w:t>la oferta de CA para</w:t>
      </w:r>
      <w:r w:rsidR="008A0022">
        <w:rPr>
          <w:rFonts w:ascii="Arial" w:hAnsi="Arial" w:cs="Arial"/>
          <w:lang w:eastAsia="es-MX"/>
        </w:rPr>
        <w:t xml:space="preserve"> el</w:t>
      </w:r>
      <w:r w:rsidR="00EF50B5" w:rsidRPr="00931D46">
        <w:rPr>
          <w:rFonts w:ascii="Arial" w:hAnsi="Arial" w:cs="Arial"/>
          <w:lang w:eastAsia="es-MX"/>
        </w:rPr>
        <w:t xml:space="preserve"> STAR puede realizarse a nivel nacional </w:t>
      </w:r>
      <w:r w:rsidR="00794AD8" w:rsidRPr="00931D46">
        <w:rPr>
          <w:rFonts w:ascii="Arial" w:hAnsi="Arial" w:cs="Arial"/>
          <w:lang w:eastAsia="es-MX"/>
        </w:rPr>
        <w:t>(incluso</w:t>
      </w:r>
      <w:r w:rsidR="00EF50B5" w:rsidRPr="00931D46">
        <w:rPr>
          <w:rFonts w:ascii="Arial" w:hAnsi="Arial" w:cs="Arial"/>
          <w:lang w:eastAsia="es-MX"/>
        </w:rPr>
        <w:t xml:space="preserve"> multinacional</w:t>
      </w:r>
      <w:r w:rsidR="00794AD8" w:rsidRPr="00931D46">
        <w:rPr>
          <w:rFonts w:ascii="Arial" w:hAnsi="Arial" w:cs="Arial"/>
          <w:lang w:eastAsia="es-MX"/>
        </w:rPr>
        <w:t>)</w:t>
      </w:r>
      <w:r w:rsidR="00EF50B5" w:rsidRPr="00931D46">
        <w:rPr>
          <w:rFonts w:ascii="Arial" w:hAnsi="Arial" w:cs="Arial"/>
          <w:lang w:eastAsia="es-MX"/>
        </w:rPr>
        <w:t xml:space="preserve">, </w:t>
      </w:r>
      <w:r w:rsidR="00EF50B5" w:rsidRPr="00931D46">
        <w:rPr>
          <w:rFonts w:ascii="Arial" w:hAnsi="Arial" w:cs="Arial"/>
        </w:rPr>
        <w:t>los contratos entre los proveedores y licenciantes de CA y los proveedores de</w:t>
      </w:r>
      <w:r w:rsidR="008A0022">
        <w:rPr>
          <w:rFonts w:ascii="Arial" w:hAnsi="Arial" w:cs="Arial"/>
        </w:rPr>
        <w:t>l</w:t>
      </w:r>
      <w:r w:rsidR="00EF50B5" w:rsidRPr="00931D46">
        <w:rPr>
          <w:rFonts w:ascii="Arial" w:hAnsi="Arial" w:cs="Arial"/>
        </w:rPr>
        <w:t xml:space="preserve"> STAR están sujetos a la cobertura de los proveedores de</w:t>
      </w:r>
      <w:r w:rsidR="008A0022">
        <w:rPr>
          <w:rFonts w:ascii="Arial" w:hAnsi="Arial" w:cs="Arial"/>
        </w:rPr>
        <w:t>l</w:t>
      </w:r>
      <w:r w:rsidR="00EF50B5" w:rsidRPr="00931D46">
        <w:rPr>
          <w:rFonts w:ascii="Arial" w:hAnsi="Arial" w:cs="Arial"/>
        </w:rPr>
        <w:t xml:space="preserve"> STAR, la cual i) </w:t>
      </w:r>
      <w:r w:rsidRPr="00931D46">
        <w:rPr>
          <w:rFonts w:ascii="Arial" w:hAnsi="Arial" w:cs="Arial"/>
        </w:rPr>
        <w:t xml:space="preserve">está delimitada principalmente por su título de concesión, la plataforma tecnológica (satelital o fija) y la infraestructura instalada, y </w:t>
      </w:r>
      <w:r w:rsidR="00EF50B5" w:rsidRPr="00931D46">
        <w:rPr>
          <w:rFonts w:ascii="Arial" w:hAnsi="Arial" w:cs="Arial"/>
        </w:rPr>
        <w:t xml:space="preserve">ii) </w:t>
      </w:r>
      <w:r w:rsidRPr="00931D46">
        <w:rPr>
          <w:rFonts w:ascii="Arial" w:hAnsi="Arial" w:cs="Arial"/>
        </w:rPr>
        <w:t>puede ser a lo máximo nacional (las concesiones del STAR satelital contemplan una cobertura nacional</w:t>
      </w:r>
      <w:r w:rsidR="00EF50B5" w:rsidRPr="00931D46">
        <w:rPr>
          <w:rFonts w:ascii="Arial" w:hAnsi="Arial" w:cs="Arial"/>
        </w:rPr>
        <w:t xml:space="preserve"> y el marco vigente establece la figura de concesión única, la cual permite prestar de manera convergente todo tipo de servicios públicos de telecomunicaciones, con una cobertura nacional</w:t>
      </w:r>
      <w:r w:rsidRPr="00931D46">
        <w:rPr>
          <w:rFonts w:ascii="Arial" w:hAnsi="Arial" w:cs="Arial"/>
        </w:rPr>
        <w:t>).</w:t>
      </w:r>
    </w:p>
    <w:p w14:paraId="14144747" w14:textId="77777777" w:rsidR="00A826A4" w:rsidRPr="00931D46" w:rsidRDefault="00A826A4" w:rsidP="0023353F">
      <w:pPr>
        <w:spacing w:before="0" w:after="0"/>
        <w:rPr>
          <w:rFonts w:ascii="Arial" w:hAnsi="Arial" w:cs="Arial"/>
        </w:rPr>
      </w:pPr>
    </w:p>
    <w:p w14:paraId="68FF3A65" w14:textId="77777777" w:rsidR="00A826A4" w:rsidRPr="00931D46" w:rsidRDefault="00A826A4" w:rsidP="0023353F">
      <w:pPr>
        <w:spacing w:before="0" w:after="0"/>
        <w:rPr>
          <w:rFonts w:ascii="Arial" w:hAnsi="Arial" w:cs="Arial"/>
          <w:sz w:val="14"/>
        </w:rPr>
      </w:pPr>
      <w:r w:rsidRPr="00931D46">
        <w:rPr>
          <w:rFonts w:ascii="Arial" w:hAnsi="Arial" w:cs="Arial"/>
        </w:rPr>
        <w:t>Además, en el expediente UCE/CNC-001-2018, el Instituto también analizó el MR de</w:t>
      </w:r>
      <w:r w:rsidRPr="00931D46">
        <w:rPr>
          <w:rFonts w:ascii="Arial" w:hAnsi="Arial" w:cs="Arial"/>
          <w:b/>
        </w:rPr>
        <w:t xml:space="preserve"> provisión y licenciamiento de CA deportivos a distribuidores OTT con una dimensión geográfica “</w:t>
      </w:r>
      <w:r w:rsidRPr="00931D46">
        <w:rPr>
          <w:rFonts w:ascii="Arial" w:hAnsi="Arial" w:cs="Arial"/>
          <w:b/>
          <w:i/>
        </w:rPr>
        <w:t>al menos de Latinoamérica</w:t>
      </w:r>
      <w:r w:rsidRPr="00931D46">
        <w:rPr>
          <w:rFonts w:ascii="Arial" w:hAnsi="Arial" w:cs="Arial"/>
          <w:b/>
        </w:rPr>
        <w:t>”</w:t>
      </w:r>
      <w:r w:rsidRPr="00931D46">
        <w:rPr>
          <w:rFonts w:ascii="Arial" w:hAnsi="Arial" w:cs="Arial"/>
        </w:rPr>
        <w:t>, toda vez que las características de los CA deportivos ofrecidos en los canales de programación de las partes involucradas en la concentración incluyen eventos deportivos nacionales e internacionales, así como comentarios o narraciones en lenguaje de habla hispana.</w:t>
      </w:r>
    </w:p>
    <w:p w14:paraId="22701919" w14:textId="77777777" w:rsidR="00C1348B" w:rsidRPr="00931D46" w:rsidRDefault="00C1348B" w:rsidP="0023353F">
      <w:pPr>
        <w:spacing w:before="0" w:after="0"/>
        <w:rPr>
          <w:rFonts w:ascii="Arial" w:hAnsi="Arial" w:cs="Arial"/>
        </w:rPr>
      </w:pPr>
    </w:p>
    <w:p w14:paraId="417F96D8" w14:textId="77777777" w:rsidR="00E162A8" w:rsidRPr="00931D46" w:rsidRDefault="00034939" w:rsidP="00FF6572">
      <w:pPr>
        <w:pStyle w:val="Ttulo3"/>
        <w:keepLines w:val="0"/>
        <w:numPr>
          <w:ilvl w:val="2"/>
          <w:numId w:val="3"/>
        </w:numPr>
        <w:spacing w:before="0"/>
        <w:ind w:left="1701"/>
        <w:rPr>
          <w:rFonts w:ascii="Arial" w:eastAsia="Times New Roman" w:hAnsi="Arial" w:cs="Arial"/>
          <w:b/>
          <w:color w:val="auto"/>
          <w:sz w:val="26"/>
          <w:szCs w:val="26"/>
          <w:lang w:eastAsia="es-MX"/>
        </w:rPr>
      </w:pPr>
      <w:bookmarkStart w:id="95" w:name="_Toc42852844"/>
      <w:bookmarkStart w:id="96" w:name="_Toc42853000"/>
      <w:bookmarkStart w:id="97" w:name="_Toc43108996"/>
      <w:bookmarkStart w:id="98" w:name="_Toc43134213"/>
      <w:bookmarkStart w:id="99" w:name="_Toc43137698"/>
      <w:bookmarkStart w:id="100" w:name="_Toc43139142"/>
      <w:bookmarkStart w:id="101" w:name="_Toc43206606"/>
      <w:bookmarkStart w:id="102" w:name="_Toc43376736"/>
      <w:bookmarkStart w:id="103" w:name="_Toc44689085"/>
      <w:r w:rsidRPr="00931D46">
        <w:rPr>
          <w:rFonts w:ascii="Arial" w:eastAsia="Times New Roman" w:hAnsi="Arial" w:cs="Arial"/>
          <w:b/>
          <w:color w:val="auto"/>
          <w:sz w:val="26"/>
          <w:szCs w:val="26"/>
          <w:lang w:eastAsia="es-MX"/>
        </w:rPr>
        <w:t>TV Abierta</w:t>
      </w:r>
      <w:bookmarkEnd w:id="95"/>
      <w:bookmarkEnd w:id="96"/>
      <w:bookmarkEnd w:id="97"/>
      <w:bookmarkEnd w:id="98"/>
      <w:bookmarkEnd w:id="99"/>
      <w:bookmarkEnd w:id="100"/>
      <w:bookmarkEnd w:id="101"/>
      <w:bookmarkEnd w:id="102"/>
      <w:bookmarkEnd w:id="103"/>
      <w:r w:rsidRPr="00931D46">
        <w:rPr>
          <w:rFonts w:ascii="Arial" w:eastAsia="Times New Roman" w:hAnsi="Arial" w:cs="Arial"/>
          <w:b/>
          <w:color w:val="auto"/>
          <w:sz w:val="26"/>
          <w:szCs w:val="26"/>
          <w:lang w:eastAsia="es-MX"/>
        </w:rPr>
        <w:t xml:space="preserve"> comercial</w:t>
      </w:r>
    </w:p>
    <w:p w14:paraId="56CAB03D" w14:textId="77777777" w:rsidR="002B5389" w:rsidRPr="00931D46" w:rsidRDefault="002B5389" w:rsidP="0023353F">
      <w:pPr>
        <w:keepNext/>
        <w:spacing w:before="0" w:after="0"/>
        <w:rPr>
          <w:rFonts w:ascii="Arial" w:hAnsi="Arial" w:cs="Arial"/>
        </w:rPr>
      </w:pPr>
    </w:p>
    <w:p w14:paraId="38D7F0D9" w14:textId="77777777" w:rsidR="00034939" w:rsidRPr="00931D46" w:rsidRDefault="00034939" w:rsidP="0023353F">
      <w:pPr>
        <w:spacing w:before="0" w:after="0"/>
        <w:rPr>
          <w:rFonts w:ascii="Arial" w:hAnsi="Arial" w:cs="Arial"/>
        </w:rPr>
      </w:pPr>
      <w:r w:rsidRPr="00931D46">
        <w:rPr>
          <w:rFonts w:ascii="Arial" w:hAnsi="Arial" w:cs="Arial"/>
        </w:rPr>
        <w:t xml:space="preserve">En los procesos de licitación para concesionar canales de transmisión para prestar el servicio de TV Abierta comercial, el Instituto ha evaluado los efectos de la participación de AE interesados en una dimensión geográfica coincidente con la cobertura establecida </w:t>
      </w:r>
      <w:r w:rsidR="00D372E1" w:rsidRPr="00931D46">
        <w:rPr>
          <w:rFonts w:ascii="Arial" w:hAnsi="Arial" w:cs="Arial"/>
        </w:rPr>
        <w:t>en las bases de licitación</w:t>
      </w:r>
      <w:r w:rsidR="00030273" w:rsidRPr="00931D46">
        <w:rPr>
          <w:rFonts w:ascii="Arial" w:hAnsi="Arial" w:cs="Arial"/>
        </w:rPr>
        <w:t xml:space="preserve"> de los canales</w:t>
      </w:r>
      <w:r w:rsidRPr="00931D46">
        <w:rPr>
          <w:rFonts w:ascii="Arial" w:hAnsi="Arial" w:cs="Arial"/>
        </w:rPr>
        <w:t xml:space="preserve"> </w:t>
      </w:r>
      <w:r w:rsidR="00030273" w:rsidRPr="00931D46">
        <w:rPr>
          <w:rFonts w:ascii="Arial" w:hAnsi="Arial" w:cs="Arial"/>
        </w:rPr>
        <w:t>por licitar</w:t>
      </w:r>
      <w:r w:rsidRPr="00931D46">
        <w:rPr>
          <w:rFonts w:ascii="Arial" w:hAnsi="Arial" w:cs="Arial"/>
        </w:rPr>
        <w:t>. Así,</w:t>
      </w:r>
    </w:p>
    <w:p w14:paraId="4F3F82C2" w14:textId="77777777" w:rsidR="0023353F" w:rsidRPr="00931D46" w:rsidRDefault="0023353F" w:rsidP="0023353F">
      <w:pPr>
        <w:spacing w:before="0" w:after="0"/>
        <w:rPr>
          <w:rFonts w:ascii="Arial" w:hAnsi="Arial" w:cs="Arial"/>
        </w:rPr>
      </w:pPr>
    </w:p>
    <w:p w14:paraId="528822B8" w14:textId="77777777" w:rsidR="00034939" w:rsidRPr="00931D46" w:rsidRDefault="00034939" w:rsidP="008A0022">
      <w:pPr>
        <w:pStyle w:val="Prrafodelista"/>
        <w:numPr>
          <w:ilvl w:val="0"/>
          <w:numId w:val="36"/>
        </w:numPr>
        <w:spacing w:before="0" w:after="0"/>
        <w:ind w:hanging="578"/>
        <w:contextualSpacing w:val="0"/>
        <w:rPr>
          <w:rFonts w:ascii="Arial" w:hAnsi="Arial" w:cs="Arial"/>
        </w:rPr>
      </w:pPr>
      <w:r w:rsidRPr="00931D46">
        <w:rPr>
          <w:rFonts w:ascii="Arial" w:hAnsi="Arial" w:cs="Arial"/>
        </w:rPr>
        <w:t>En la Licitación IFT-1,</w:t>
      </w:r>
      <w:r w:rsidRPr="00931D46">
        <w:rPr>
          <w:rStyle w:val="Refdenotaalpie"/>
          <w:rFonts w:ascii="Arial" w:hAnsi="Arial" w:cs="Arial"/>
        </w:rPr>
        <w:footnoteReference w:id="137"/>
      </w:r>
      <w:r w:rsidRPr="00931D46">
        <w:rPr>
          <w:rFonts w:ascii="Arial" w:hAnsi="Arial" w:cs="Arial"/>
        </w:rPr>
        <w:t xml:space="preserve"> se consideró el mercado de TV Abierta comercial con </w:t>
      </w:r>
      <w:r w:rsidRPr="00931D46">
        <w:rPr>
          <w:rFonts w:ascii="Arial" w:hAnsi="Arial" w:cs="Arial"/>
          <w:b/>
        </w:rPr>
        <w:t>dimensión geográfica nacional,</w:t>
      </w:r>
      <w:r w:rsidRPr="00931D46">
        <w:rPr>
          <w:rFonts w:ascii="Arial" w:hAnsi="Arial" w:cs="Arial"/>
        </w:rPr>
        <w:t xml:space="preserve"> pues dicho proceso tuvo por objeto concesionar canales de transmisión para conformar dos cadenas nacionales.</w:t>
      </w:r>
    </w:p>
    <w:p w14:paraId="4BA8C94E" w14:textId="77777777" w:rsidR="00034939" w:rsidRPr="00931D46" w:rsidRDefault="00034939" w:rsidP="008A0022">
      <w:pPr>
        <w:pStyle w:val="Prrafodelista"/>
        <w:numPr>
          <w:ilvl w:val="0"/>
          <w:numId w:val="36"/>
        </w:numPr>
        <w:spacing w:before="0" w:after="0"/>
        <w:ind w:hanging="578"/>
        <w:contextualSpacing w:val="0"/>
        <w:rPr>
          <w:rFonts w:ascii="Arial" w:hAnsi="Arial" w:cs="Arial"/>
        </w:rPr>
      </w:pPr>
      <w:r w:rsidRPr="00931D46">
        <w:rPr>
          <w:rFonts w:ascii="Arial" w:hAnsi="Arial" w:cs="Arial"/>
        </w:rPr>
        <w:t>En la Licitación IFT-6,</w:t>
      </w:r>
      <w:r w:rsidRPr="00931D46">
        <w:rPr>
          <w:rStyle w:val="Refdenotaalpie"/>
          <w:rFonts w:ascii="Arial" w:hAnsi="Arial" w:cs="Arial"/>
        </w:rPr>
        <w:footnoteReference w:id="138"/>
      </w:r>
      <w:r w:rsidRPr="00931D46">
        <w:rPr>
          <w:rFonts w:ascii="Arial" w:hAnsi="Arial" w:cs="Arial"/>
        </w:rPr>
        <w:t xml:space="preserve"> se consideró el mercado de TV Abierta comercial con </w:t>
      </w:r>
      <w:r w:rsidRPr="00931D46">
        <w:rPr>
          <w:rFonts w:ascii="Arial" w:hAnsi="Arial" w:cs="Arial"/>
          <w:b/>
        </w:rPr>
        <w:t>dimensión geográfica local</w:t>
      </w:r>
      <w:r w:rsidRPr="00931D46">
        <w:rPr>
          <w:rFonts w:ascii="Arial" w:hAnsi="Arial" w:cs="Arial"/>
        </w:rPr>
        <w:t xml:space="preserve">, delimitada por la localidad </w:t>
      </w:r>
      <w:r w:rsidR="00030273" w:rsidRPr="00931D46">
        <w:rPr>
          <w:rFonts w:ascii="Arial" w:hAnsi="Arial" w:cs="Arial"/>
        </w:rPr>
        <w:t xml:space="preserve">o localidades </w:t>
      </w:r>
      <w:r w:rsidRPr="00931D46">
        <w:rPr>
          <w:rFonts w:ascii="Arial" w:hAnsi="Arial" w:cs="Arial"/>
        </w:rPr>
        <w:t>principal</w:t>
      </w:r>
      <w:r w:rsidR="00030273" w:rsidRPr="00931D46">
        <w:rPr>
          <w:rFonts w:ascii="Arial" w:hAnsi="Arial" w:cs="Arial"/>
        </w:rPr>
        <w:t>es</w:t>
      </w:r>
      <w:r w:rsidRPr="00931D46">
        <w:rPr>
          <w:rFonts w:ascii="Arial" w:hAnsi="Arial" w:cs="Arial"/>
        </w:rPr>
        <w:t xml:space="preserve"> a servir, puesto que este proceso tuvo como propósito concesionar canales de trasmisión para operar estaciones con cobertura local.</w:t>
      </w:r>
    </w:p>
    <w:p w14:paraId="253F94B9" w14:textId="77777777" w:rsidR="00034939" w:rsidRPr="00931D46" w:rsidRDefault="00034939" w:rsidP="0023353F">
      <w:pPr>
        <w:spacing w:before="0" w:after="0"/>
        <w:rPr>
          <w:rFonts w:ascii="Arial" w:hAnsi="Arial" w:cs="Arial"/>
        </w:rPr>
      </w:pPr>
    </w:p>
    <w:p w14:paraId="13393974" w14:textId="77777777" w:rsidR="00A179AE" w:rsidRPr="00931D46" w:rsidRDefault="00E162A8" w:rsidP="0023353F">
      <w:pPr>
        <w:spacing w:before="0" w:after="0"/>
        <w:rPr>
          <w:rFonts w:ascii="Arial" w:hAnsi="Arial" w:cs="Arial"/>
        </w:rPr>
      </w:pPr>
      <w:r w:rsidRPr="00931D46">
        <w:rPr>
          <w:rFonts w:ascii="Arial" w:hAnsi="Arial" w:cs="Arial"/>
        </w:rPr>
        <w:t xml:space="preserve">En </w:t>
      </w:r>
      <w:r w:rsidR="00CB7A04" w:rsidRPr="00931D46">
        <w:rPr>
          <w:rFonts w:ascii="Arial" w:hAnsi="Arial" w:cs="Arial"/>
        </w:rPr>
        <w:t>el expediente UCE/CNC-003-2015 (</w:t>
      </w:r>
      <w:r w:rsidRPr="00931D46">
        <w:rPr>
          <w:rFonts w:ascii="Arial" w:hAnsi="Arial" w:cs="Arial"/>
        </w:rPr>
        <w:t>concentración</w:t>
      </w:r>
      <w:r w:rsidR="00034939" w:rsidRPr="00931D46">
        <w:rPr>
          <w:rFonts w:ascii="Arial" w:hAnsi="Arial" w:cs="Arial"/>
        </w:rPr>
        <w:t xml:space="preserve"> entre GTV y Grupo Multimedios</w:t>
      </w:r>
      <w:r w:rsidR="00CB7A04" w:rsidRPr="00931D46">
        <w:rPr>
          <w:rFonts w:ascii="Arial" w:hAnsi="Arial" w:cs="Arial"/>
        </w:rPr>
        <w:t>)</w:t>
      </w:r>
      <w:r w:rsidRPr="00931D46">
        <w:rPr>
          <w:rFonts w:ascii="Arial" w:hAnsi="Arial" w:cs="Arial"/>
        </w:rPr>
        <w:t>,</w:t>
      </w:r>
      <w:r w:rsidR="00034939" w:rsidRPr="00931D46">
        <w:rPr>
          <w:rFonts w:ascii="Arial" w:hAnsi="Arial" w:cs="Arial"/>
          <w:vertAlign w:val="superscript"/>
        </w:rPr>
        <w:footnoteReference w:id="139"/>
      </w:r>
      <w:r w:rsidRPr="00931D46">
        <w:rPr>
          <w:rFonts w:ascii="Arial" w:hAnsi="Arial" w:cs="Arial"/>
        </w:rPr>
        <w:t xml:space="preserve"> el Instituto analizó</w:t>
      </w:r>
      <w:r w:rsidR="00680D67" w:rsidRPr="00931D46">
        <w:rPr>
          <w:rFonts w:ascii="Arial" w:hAnsi="Arial" w:cs="Arial"/>
        </w:rPr>
        <w:t>, entre otros,</w:t>
      </w:r>
      <w:r w:rsidRPr="00931D46">
        <w:rPr>
          <w:rFonts w:ascii="Arial" w:hAnsi="Arial" w:cs="Arial"/>
        </w:rPr>
        <w:t xml:space="preserve"> </w:t>
      </w:r>
      <w:r w:rsidR="00680D67" w:rsidRPr="00931D46">
        <w:rPr>
          <w:rFonts w:ascii="Arial" w:hAnsi="Arial" w:cs="Arial"/>
        </w:rPr>
        <w:t>el MR de</w:t>
      </w:r>
      <w:r w:rsidRPr="00931D46">
        <w:rPr>
          <w:rFonts w:ascii="Arial" w:hAnsi="Arial" w:cs="Arial"/>
        </w:rPr>
        <w:t xml:space="preserve"> </w:t>
      </w:r>
      <w:r w:rsidR="00680D67" w:rsidRPr="00931D46">
        <w:rPr>
          <w:rFonts w:ascii="Arial" w:hAnsi="Arial" w:cs="Arial"/>
          <w:b/>
        </w:rPr>
        <w:t>TV A</w:t>
      </w:r>
      <w:r w:rsidRPr="00931D46">
        <w:rPr>
          <w:rFonts w:ascii="Arial" w:hAnsi="Arial" w:cs="Arial"/>
          <w:b/>
        </w:rPr>
        <w:t>bierta comercial</w:t>
      </w:r>
      <w:r w:rsidRPr="00931D46">
        <w:rPr>
          <w:rFonts w:ascii="Arial" w:hAnsi="Arial" w:cs="Arial"/>
        </w:rPr>
        <w:t xml:space="preserve"> </w:t>
      </w:r>
      <w:r w:rsidR="00680D67" w:rsidRPr="00931D46">
        <w:rPr>
          <w:rFonts w:ascii="Arial" w:hAnsi="Arial" w:cs="Arial"/>
        </w:rPr>
        <w:t>con</w:t>
      </w:r>
      <w:r w:rsidRPr="00931D46">
        <w:rPr>
          <w:rFonts w:ascii="Arial" w:hAnsi="Arial" w:cs="Arial"/>
        </w:rPr>
        <w:t xml:space="preserve"> </w:t>
      </w:r>
      <w:r w:rsidRPr="00931D46">
        <w:rPr>
          <w:rFonts w:ascii="Arial" w:hAnsi="Arial" w:cs="Arial"/>
          <w:b/>
        </w:rPr>
        <w:t>dimensión geográfica local</w:t>
      </w:r>
      <w:r w:rsidR="00680D67" w:rsidRPr="00931D46">
        <w:rPr>
          <w:rFonts w:ascii="Arial" w:hAnsi="Arial" w:cs="Arial"/>
        </w:rPr>
        <w:t xml:space="preserve">, debido a que, entre otros </w:t>
      </w:r>
      <w:r w:rsidRPr="00931D46">
        <w:rPr>
          <w:rFonts w:ascii="Arial" w:hAnsi="Arial" w:cs="Arial"/>
        </w:rPr>
        <w:t>elementos:</w:t>
      </w:r>
    </w:p>
    <w:p w14:paraId="155DCC1E" w14:textId="77777777" w:rsidR="0023353F" w:rsidRPr="00931D46" w:rsidRDefault="0023353F" w:rsidP="0023353F">
      <w:pPr>
        <w:spacing w:before="0" w:after="0"/>
        <w:rPr>
          <w:rFonts w:ascii="Arial" w:hAnsi="Arial" w:cs="Arial"/>
        </w:rPr>
      </w:pPr>
    </w:p>
    <w:p w14:paraId="4A6C5E7C" w14:textId="77777777" w:rsidR="00A179AE" w:rsidRPr="00931D46" w:rsidRDefault="00410DFB" w:rsidP="008A0022">
      <w:pPr>
        <w:pStyle w:val="Prrafodelista"/>
        <w:numPr>
          <w:ilvl w:val="0"/>
          <w:numId w:val="18"/>
        </w:numPr>
        <w:spacing w:before="0" w:after="0"/>
        <w:ind w:hanging="578"/>
        <w:contextualSpacing w:val="0"/>
        <w:rPr>
          <w:rFonts w:ascii="Arial" w:hAnsi="Arial" w:cs="Arial"/>
        </w:rPr>
      </w:pPr>
      <w:r w:rsidRPr="00931D46">
        <w:rPr>
          <w:rFonts w:ascii="Arial" w:hAnsi="Arial" w:cs="Arial"/>
        </w:rPr>
        <w:t>L</w:t>
      </w:r>
      <w:r w:rsidR="00E162A8" w:rsidRPr="00931D46">
        <w:rPr>
          <w:rFonts w:ascii="Arial" w:hAnsi="Arial" w:cs="Arial"/>
        </w:rPr>
        <w:t>os oferentes prestan servicios a las audiencias mediante un título de concesión que determina el área geográfica a servir,</w:t>
      </w:r>
    </w:p>
    <w:p w14:paraId="3A718EBE" w14:textId="23942048" w:rsidR="00A179AE" w:rsidRPr="00931D46" w:rsidRDefault="00410DFB" w:rsidP="008A0022">
      <w:pPr>
        <w:pStyle w:val="Prrafodelista"/>
        <w:numPr>
          <w:ilvl w:val="0"/>
          <w:numId w:val="18"/>
        </w:numPr>
        <w:spacing w:before="0" w:after="0"/>
        <w:ind w:hanging="578"/>
        <w:contextualSpacing w:val="0"/>
        <w:rPr>
          <w:rFonts w:ascii="Arial" w:hAnsi="Arial" w:cs="Arial"/>
        </w:rPr>
      </w:pPr>
      <w:r w:rsidRPr="00931D46">
        <w:rPr>
          <w:rFonts w:ascii="Arial" w:hAnsi="Arial" w:cs="Arial"/>
        </w:rPr>
        <w:t>L</w:t>
      </w:r>
      <w:r w:rsidR="00E162A8" w:rsidRPr="00931D46">
        <w:rPr>
          <w:rFonts w:ascii="Arial" w:hAnsi="Arial" w:cs="Arial"/>
        </w:rPr>
        <w:t>os oferentes operan estaciones con cobertura local</w:t>
      </w:r>
      <w:r w:rsidR="008A0022">
        <w:rPr>
          <w:rFonts w:ascii="Arial" w:hAnsi="Arial" w:cs="Arial"/>
        </w:rPr>
        <w:t>,</w:t>
      </w:r>
      <w:r w:rsidR="00E162A8" w:rsidRPr="00931D46">
        <w:rPr>
          <w:rFonts w:ascii="Arial" w:hAnsi="Arial" w:cs="Arial"/>
        </w:rPr>
        <w:t xml:space="preserve"> </w:t>
      </w:r>
      <w:r w:rsidR="00611AB3" w:rsidRPr="00931D46">
        <w:rPr>
          <w:rFonts w:ascii="Arial" w:hAnsi="Arial" w:cs="Arial"/>
        </w:rPr>
        <w:t>aunque</w:t>
      </w:r>
      <w:r w:rsidR="00E162A8" w:rsidRPr="00931D46">
        <w:rPr>
          <w:rFonts w:ascii="Arial" w:hAnsi="Arial" w:cs="Arial"/>
        </w:rPr>
        <w:t xml:space="preserve"> pueden configurar cadenas de alcance nacional agregando estaciones,</w:t>
      </w:r>
    </w:p>
    <w:p w14:paraId="317DE4BE" w14:textId="77777777" w:rsidR="00A179AE" w:rsidRPr="00931D46" w:rsidRDefault="00410DFB" w:rsidP="008A0022">
      <w:pPr>
        <w:pStyle w:val="Prrafodelista"/>
        <w:numPr>
          <w:ilvl w:val="0"/>
          <w:numId w:val="18"/>
        </w:numPr>
        <w:spacing w:before="0" w:after="0"/>
        <w:ind w:hanging="578"/>
        <w:contextualSpacing w:val="0"/>
        <w:rPr>
          <w:rFonts w:ascii="Arial" w:hAnsi="Arial" w:cs="Arial"/>
        </w:rPr>
      </w:pPr>
      <w:r w:rsidRPr="00931D46">
        <w:rPr>
          <w:rFonts w:ascii="Arial" w:hAnsi="Arial" w:cs="Arial"/>
        </w:rPr>
        <w:t>L</w:t>
      </w:r>
      <w:r w:rsidR="00E162A8" w:rsidRPr="00931D46">
        <w:rPr>
          <w:rFonts w:ascii="Arial" w:hAnsi="Arial" w:cs="Arial"/>
        </w:rPr>
        <w:t>os oferentes que no están relacionados con cadenas nacionales ofrec</w:t>
      </w:r>
      <w:r w:rsidR="00680D67" w:rsidRPr="00931D46">
        <w:rPr>
          <w:rFonts w:ascii="Arial" w:hAnsi="Arial" w:cs="Arial"/>
        </w:rPr>
        <w:t>en servicios con enfoque local,</w:t>
      </w:r>
    </w:p>
    <w:p w14:paraId="45BD1F12" w14:textId="77777777" w:rsidR="00A179AE" w:rsidRPr="00931D46" w:rsidRDefault="00410DFB" w:rsidP="008A0022">
      <w:pPr>
        <w:pStyle w:val="Prrafodelista"/>
        <w:numPr>
          <w:ilvl w:val="0"/>
          <w:numId w:val="18"/>
        </w:numPr>
        <w:spacing w:before="0" w:after="0"/>
        <w:ind w:hanging="578"/>
        <w:contextualSpacing w:val="0"/>
        <w:rPr>
          <w:rFonts w:ascii="Arial" w:hAnsi="Arial" w:cs="Arial"/>
        </w:rPr>
      </w:pPr>
      <w:r w:rsidRPr="00931D46">
        <w:rPr>
          <w:rFonts w:ascii="Arial" w:hAnsi="Arial" w:cs="Arial"/>
        </w:rPr>
        <w:t>I</w:t>
      </w:r>
      <w:r w:rsidR="00E162A8" w:rsidRPr="00931D46">
        <w:rPr>
          <w:rFonts w:ascii="Arial" w:hAnsi="Arial" w:cs="Arial"/>
        </w:rPr>
        <w:t>ncluso las cadenas nacionales tienen la capacidad de diferenciar sus servicios a las audiencias a nivel local</w:t>
      </w:r>
      <w:r w:rsidR="00A179AE" w:rsidRPr="00931D46">
        <w:rPr>
          <w:rFonts w:ascii="Arial" w:hAnsi="Arial" w:cs="Arial"/>
        </w:rPr>
        <w:t>,</w:t>
      </w:r>
      <w:r w:rsidR="00680D67" w:rsidRPr="00931D46">
        <w:rPr>
          <w:rFonts w:ascii="Arial" w:hAnsi="Arial" w:cs="Arial"/>
        </w:rPr>
        <w:t xml:space="preserve"> y</w:t>
      </w:r>
    </w:p>
    <w:p w14:paraId="035DCB69" w14:textId="1D82FBA4" w:rsidR="00E162A8" w:rsidRPr="00931D46" w:rsidRDefault="00410DFB" w:rsidP="008A0022">
      <w:pPr>
        <w:pStyle w:val="Prrafodelista"/>
        <w:numPr>
          <w:ilvl w:val="0"/>
          <w:numId w:val="18"/>
        </w:numPr>
        <w:spacing w:before="0" w:after="0"/>
        <w:ind w:hanging="578"/>
        <w:contextualSpacing w:val="0"/>
        <w:rPr>
          <w:rFonts w:ascii="Arial" w:hAnsi="Arial" w:cs="Arial"/>
        </w:rPr>
      </w:pPr>
      <w:r w:rsidRPr="00931D46">
        <w:rPr>
          <w:rFonts w:ascii="Arial" w:hAnsi="Arial" w:cs="Arial"/>
        </w:rPr>
        <w:t>L</w:t>
      </w:r>
      <w:r w:rsidR="00680D67" w:rsidRPr="00931D46">
        <w:rPr>
          <w:rFonts w:ascii="Arial" w:hAnsi="Arial" w:cs="Arial"/>
        </w:rPr>
        <w:t>os AE involucrados coincidían en la provisión de TV Abierta comercial en sólo 7 localidades</w:t>
      </w:r>
      <w:r w:rsidR="00E162A8" w:rsidRPr="00931D46">
        <w:rPr>
          <w:rFonts w:ascii="Arial" w:hAnsi="Arial" w:cs="Arial"/>
        </w:rPr>
        <w:t xml:space="preserve">. </w:t>
      </w:r>
    </w:p>
    <w:p w14:paraId="405134C4" w14:textId="77777777" w:rsidR="002B5389" w:rsidRPr="00931D46" w:rsidRDefault="002B5389" w:rsidP="0023353F">
      <w:pPr>
        <w:spacing w:before="0" w:after="0"/>
        <w:rPr>
          <w:rFonts w:ascii="Arial" w:hAnsi="Arial" w:cs="Arial"/>
        </w:rPr>
      </w:pPr>
    </w:p>
    <w:p w14:paraId="066210D5" w14:textId="77777777" w:rsidR="00E162A8" w:rsidRPr="00931D46" w:rsidRDefault="00456745" w:rsidP="00030273">
      <w:pPr>
        <w:pStyle w:val="Ttulo3"/>
        <w:keepLines w:val="0"/>
        <w:numPr>
          <w:ilvl w:val="2"/>
          <w:numId w:val="3"/>
        </w:numPr>
        <w:spacing w:before="0"/>
        <w:ind w:left="1701"/>
        <w:rPr>
          <w:rFonts w:ascii="Arial" w:eastAsia="Times New Roman" w:hAnsi="Arial" w:cs="Arial"/>
          <w:b/>
          <w:color w:val="auto"/>
          <w:sz w:val="26"/>
          <w:szCs w:val="26"/>
          <w:lang w:eastAsia="es-MX"/>
        </w:rPr>
      </w:pPr>
      <w:bookmarkStart w:id="104" w:name="_Toc42852845"/>
      <w:bookmarkStart w:id="105" w:name="_Toc42853001"/>
      <w:bookmarkStart w:id="106" w:name="_Toc43108997"/>
      <w:bookmarkStart w:id="107" w:name="_Toc43134214"/>
      <w:bookmarkStart w:id="108" w:name="_Toc43137699"/>
      <w:bookmarkStart w:id="109" w:name="_Toc43139143"/>
      <w:bookmarkStart w:id="110" w:name="_Toc43206607"/>
      <w:bookmarkStart w:id="111" w:name="_Toc43376737"/>
      <w:bookmarkStart w:id="112" w:name="_Toc44689086"/>
      <w:r w:rsidRPr="00931D46">
        <w:rPr>
          <w:rFonts w:ascii="Arial" w:eastAsia="Times New Roman" w:hAnsi="Arial" w:cs="Arial"/>
          <w:b/>
          <w:color w:val="auto"/>
          <w:sz w:val="26"/>
          <w:szCs w:val="26"/>
          <w:lang w:eastAsia="es-MX"/>
        </w:rPr>
        <w:t>Radio Sonora</w:t>
      </w:r>
      <w:bookmarkEnd w:id="104"/>
      <w:bookmarkEnd w:id="105"/>
      <w:bookmarkEnd w:id="106"/>
      <w:bookmarkEnd w:id="107"/>
      <w:bookmarkEnd w:id="108"/>
      <w:bookmarkEnd w:id="109"/>
      <w:bookmarkEnd w:id="110"/>
      <w:bookmarkEnd w:id="111"/>
      <w:bookmarkEnd w:id="112"/>
      <w:r w:rsidR="00C140E3" w:rsidRPr="00931D46">
        <w:rPr>
          <w:rFonts w:ascii="Arial" w:eastAsia="Times New Roman" w:hAnsi="Arial" w:cs="Arial"/>
          <w:b/>
          <w:color w:val="auto"/>
          <w:sz w:val="26"/>
          <w:szCs w:val="26"/>
          <w:lang w:eastAsia="es-MX"/>
        </w:rPr>
        <w:t xml:space="preserve"> comercial</w:t>
      </w:r>
    </w:p>
    <w:p w14:paraId="7B2C75BF" w14:textId="77777777" w:rsidR="002B5389" w:rsidRPr="00931D46" w:rsidRDefault="002B5389" w:rsidP="0023353F">
      <w:pPr>
        <w:keepNext/>
        <w:spacing w:before="0" w:after="0"/>
        <w:rPr>
          <w:rFonts w:ascii="Arial" w:hAnsi="Arial" w:cs="Arial"/>
        </w:rPr>
      </w:pPr>
    </w:p>
    <w:p w14:paraId="73AE0D54" w14:textId="77777777" w:rsidR="00456745" w:rsidRPr="00931D46" w:rsidRDefault="00456745" w:rsidP="0023353F">
      <w:pPr>
        <w:spacing w:before="0" w:after="0"/>
        <w:rPr>
          <w:rFonts w:ascii="Arial" w:hAnsi="Arial" w:cs="Arial"/>
        </w:rPr>
      </w:pPr>
      <w:r w:rsidRPr="00931D46">
        <w:rPr>
          <w:rFonts w:ascii="Arial" w:hAnsi="Arial" w:cs="Arial"/>
        </w:rPr>
        <w:t>En la Licitación IFT-4,</w:t>
      </w:r>
      <w:r w:rsidRPr="00931D46">
        <w:rPr>
          <w:rStyle w:val="Refdenotaalpie"/>
          <w:rFonts w:ascii="Arial" w:hAnsi="Arial" w:cs="Arial"/>
        </w:rPr>
        <w:footnoteReference w:id="140"/>
      </w:r>
      <w:r w:rsidRPr="00931D46">
        <w:rPr>
          <w:rFonts w:ascii="Arial" w:hAnsi="Arial" w:cs="Arial"/>
        </w:rPr>
        <w:t xml:space="preserve"> realizada con el objeto de concesionar frecuencias para prestar el servicio de Radio Sonora comercial en AM y FM, </w:t>
      </w:r>
      <w:r w:rsidR="00036E63" w:rsidRPr="00931D46">
        <w:rPr>
          <w:rFonts w:ascii="Arial" w:hAnsi="Arial" w:cs="Arial"/>
        </w:rPr>
        <w:t xml:space="preserve">el Instituto evaluó los efectos de la participación de AE interesados en un mercado con </w:t>
      </w:r>
      <w:r w:rsidR="00036E63" w:rsidRPr="00931D46">
        <w:rPr>
          <w:rFonts w:ascii="Arial" w:hAnsi="Arial" w:cs="Arial"/>
          <w:b/>
        </w:rPr>
        <w:t xml:space="preserve">dimensión geográfica local, </w:t>
      </w:r>
      <w:r w:rsidRPr="00931D46">
        <w:rPr>
          <w:rFonts w:ascii="Arial" w:hAnsi="Arial" w:cs="Arial"/>
        </w:rPr>
        <w:t xml:space="preserve"> determinada por </w:t>
      </w:r>
      <w:r w:rsidR="00036E63" w:rsidRPr="00931D46">
        <w:rPr>
          <w:rFonts w:ascii="Arial" w:hAnsi="Arial" w:cs="Arial"/>
        </w:rPr>
        <w:t>l</w:t>
      </w:r>
      <w:r w:rsidRPr="00931D46">
        <w:rPr>
          <w:rFonts w:ascii="Arial" w:hAnsi="Arial" w:cs="Arial"/>
        </w:rPr>
        <w:t>a localidad principal a servir y ciertos parámetros de operación</w:t>
      </w:r>
      <w:r w:rsidR="00036E63" w:rsidRPr="00931D46">
        <w:rPr>
          <w:rFonts w:ascii="Arial" w:hAnsi="Arial" w:cs="Arial"/>
        </w:rPr>
        <w:t>.</w:t>
      </w:r>
    </w:p>
    <w:p w14:paraId="774253E9" w14:textId="77777777" w:rsidR="00456745" w:rsidRPr="00931D46" w:rsidRDefault="00456745" w:rsidP="0023353F">
      <w:pPr>
        <w:spacing w:before="0" w:after="0"/>
        <w:rPr>
          <w:rFonts w:ascii="Arial" w:hAnsi="Arial" w:cs="Arial"/>
        </w:rPr>
      </w:pPr>
    </w:p>
    <w:p w14:paraId="469A1059" w14:textId="77777777" w:rsidR="0028251D" w:rsidRPr="00931D46" w:rsidRDefault="00456745" w:rsidP="0023353F">
      <w:pPr>
        <w:spacing w:before="0" w:after="0"/>
        <w:rPr>
          <w:rFonts w:ascii="Arial" w:hAnsi="Arial" w:cs="Arial"/>
        </w:rPr>
      </w:pPr>
      <w:r w:rsidRPr="00931D46">
        <w:rPr>
          <w:rFonts w:ascii="Arial" w:hAnsi="Arial" w:cs="Arial"/>
        </w:rPr>
        <w:t>Por otro lado, e</w:t>
      </w:r>
      <w:r w:rsidR="00E62092" w:rsidRPr="00931D46">
        <w:rPr>
          <w:rFonts w:ascii="Arial" w:hAnsi="Arial" w:cs="Arial"/>
        </w:rPr>
        <w:t xml:space="preserve">n </w:t>
      </w:r>
      <w:r w:rsidRPr="00931D46">
        <w:rPr>
          <w:rFonts w:ascii="Arial" w:hAnsi="Arial" w:cs="Arial"/>
        </w:rPr>
        <w:t>el expediente DC-004-2018</w:t>
      </w:r>
      <w:r w:rsidR="00E62092" w:rsidRPr="00931D46">
        <w:rPr>
          <w:rFonts w:ascii="Arial" w:hAnsi="Arial" w:cs="Arial"/>
          <w:lang w:eastAsia="es-MX"/>
        </w:rPr>
        <w:t xml:space="preserve"> </w:t>
      </w:r>
      <w:r w:rsidR="00030273" w:rsidRPr="00931D46">
        <w:rPr>
          <w:rFonts w:ascii="Arial" w:hAnsi="Arial" w:cs="Arial"/>
          <w:lang w:eastAsia="es-MX"/>
        </w:rPr>
        <w:t>(</w:t>
      </w:r>
      <w:r w:rsidR="00E62092" w:rsidRPr="00931D46">
        <w:rPr>
          <w:rFonts w:ascii="Arial" w:hAnsi="Arial" w:cs="Arial"/>
          <w:lang w:eastAsia="es-MX"/>
        </w:rPr>
        <w:t xml:space="preserve">investigación sobre la existencia de PSM </w:t>
      </w:r>
      <w:r w:rsidR="00DD0816" w:rsidRPr="00931D46">
        <w:rPr>
          <w:rFonts w:ascii="Arial" w:hAnsi="Arial" w:cs="Arial"/>
          <w:lang w:eastAsia="es-MX"/>
        </w:rPr>
        <w:t xml:space="preserve">por parte de Grupo Multimedios </w:t>
      </w:r>
      <w:r w:rsidR="00E62092" w:rsidRPr="00931D46">
        <w:rPr>
          <w:rFonts w:ascii="Arial" w:hAnsi="Arial" w:cs="Arial"/>
          <w:lang w:eastAsia="es-MX"/>
        </w:rPr>
        <w:t>en la provisión de Radio Sonora en FM</w:t>
      </w:r>
      <w:r w:rsidR="00542C6F" w:rsidRPr="00931D46">
        <w:rPr>
          <w:rFonts w:ascii="Arial" w:hAnsi="Arial" w:cs="Arial"/>
          <w:lang w:eastAsia="es-MX"/>
        </w:rPr>
        <w:t xml:space="preserve"> derivado de la adquisición de una concesión para </w:t>
      </w:r>
      <w:r w:rsidR="00E258C8" w:rsidRPr="00931D46">
        <w:rPr>
          <w:rFonts w:ascii="Arial" w:hAnsi="Arial" w:cs="Arial"/>
          <w:lang w:eastAsia="es-MX"/>
        </w:rPr>
        <w:t>R</w:t>
      </w:r>
      <w:r w:rsidR="00542C6F" w:rsidRPr="00931D46">
        <w:rPr>
          <w:rFonts w:ascii="Arial" w:hAnsi="Arial" w:cs="Arial"/>
          <w:lang w:eastAsia="es-MX"/>
        </w:rPr>
        <w:t xml:space="preserve">adio </w:t>
      </w:r>
      <w:r w:rsidR="00E258C8" w:rsidRPr="00931D46">
        <w:rPr>
          <w:rFonts w:ascii="Arial" w:hAnsi="Arial" w:cs="Arial"/>
          <w:lang w:eastAsia="es-MX"/>
        </w:rPr>
        <w:t>S</w:t>
      </w:r>
      <w:r w:rsidR="00542C6F" w:rsidRPr="00931D46">
        <w:rPr>
          <w:rFonts w:ascii="Arial" w:hAnsi="Arial" w:cs="Arial"/>
          <w:lang w:eastAsia="es-MX"/>
        </w:rPr>
        <w:t>onora por parte de Grupo Multimedios</w:t>
      </w:r>
      <w:r w:rsidR="00030273" w:rsidRPr="00931D46">
        <w:rPr>
          <w:rFonts w:ascii="Arial" w:hAnsi="Arial" w:cs="Arial"/>
          <w:lang w:eastAsia="es-MX"/>
        </w:rPr>
        <w:t>)</w:t>
      </w:r>
      <w:r w:rsidR="00E62092" w:rsidRPr="00931D46">
        <w:rPr>
          <w:rFonts w:ascii="Arial" w:hAnsi="Arial" w:cs="Arial"/>
          <w:lang w:eastAsia="es-MX"/>
        </w:rPr>
        <w:t>,</w:t>
      </w:r>
      <w:r w:rsidR="00D551A7" w:rsidRPr="00931D46">
        <w:rPr>
          <w:rFonts w:ascii="Arial" w:eastAsia="Times New Roman" w:hAnsi="Arial" w:cs="Arial"/>
          <w:vertAlign w:val="superscript"/>
          <w:lang w:val="en-US" w:eastAsia="es-MX"/>
        </w:rPr>
        <w:footnoteReference w:id="141"/>
      </w:r>
      <w:r w:rsidR="00E62092" w:rsidRPr="00931D46">
        <w:rPr>
          <w:rFonts w:ascii="Arial" w:hAnsi="Arial" w:cs="Arial"/>
          <w:lang w:eastAsia="es-MX"/>
        </w:rPr>
        <w:t xml:space="preserve"> </w:t>
      </w:r>
      <w:r w:rsidR="00E62092" w:rsidRPr="00931D46">
        <w:rPr>
          <w:rFonts w:ascii="Arial" w:hAnsi="Arial" w:cs="Arial"/>
        </w:rPr>
        <w:t xml:space="preserve">se determinó que la </w:t>
      </w:r>
      <w:r w:rsidR="00E162A8" w:rsidRPr="00931D46">
        <w:rPr>
          <w:rFonts w:ascii="Arial" w:hAnsi="Arial" w:cs="Arial"/>
        </w:rPr>
        <w:t xml:space="preserve">dimensión geográfica </w:t>
      </w:r>
      <w:r w:rsidR="00E62092" w:rsidRPr="00931D46">
        <w:rPr>
          <w:rFonts w:ascii="Arial" w:hAnsi="Arial" w:cs="Arial"/>
        </w:rPr>
        <w:t xml:space="preserve">era </w:t>
      </w:r>
      <w:r w:rsidR="00E162A8" w:rsidRPr="00931D46">
        <w:rPr>
          <w:rFonts w:ascii="Arial" w:hAnsi="Arial" w:cs="Arial"/>
          <w:b/>
        </w:rPr>
        <w:t>local</w:t>
      </w:r>
      <w:r w:rsidR="00E62092" w:rsidRPr="00931D46">
        <w:rPr>
          <w:rFonts w:ascii="Arial" w:hAnsi="Arial" w:cs="Arial"/>
        </w:rPr>
        <w:t>, en virtud de los siguientes elementos:</w:t>
      </w:r>
    </w:p>
    <w:p w14:paraId="1F72062B" w14:textId="77777777" w:rsidR="0023353F" w:rsidRPr="00931D46" w:rsidRDefault="0023353F" w:rsidP="0023353F">
      <w:pPr>
        <w:spacing w:before="0" w:after="0"/>
        <w:rPr>
          <w:rFonts w:ascii="Arial" w:hAnsi="Arial" w:cs="Arial"/>
        </w:rPr>
      </w:pPr>
    </w:p>
    <w:p w14:paraId="74635F4F" w14:textId="77777777" w:rsidR="0028251D" w:rsidRPr="00931D46" w:rsidRDefault="00410DF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E</w:t>
      </w:r>
      <w:r w:rsidR="00E162A8" w:rsidRPr="00931D46">
        <w:rPr>
          <w:rFonts w:ascii="Arial" w:hAnsi="Arial" w:cs="Arial"/>
        </w:rPr>
        <w:t xml:space="preserve">l área de cobertura de la estación analizada, determinada por </w:t>
      </w:r>
      <w:r w:rsidR="00542C6F" w:rsidRPr="00931D46">
        <w:rPr>
          <w:rFonts w:ascii="Arial" w:hAnsi="Arial" w:cs="Arial"/>
        </w:rPr>
        <w:t>el</w:t>
      </w:r>
      <w:r w:rsidR="00E162A8" w:rsidRPr="00931D46">
        <w:rPr>
          <w:rFonts w:ascii="Arial" w:hAnsi="Arial" w:cs="Arial"/>
        </w:rPr>
        <w:t xml:space="preserve"> título de concesión, es local (población principal a servir y otros municipios); </w:t>
      </w:r>
    </w:p>
    <w:p w14:paraId="234C42AD" w14:textId="77777777" w:rsidR="0028251D" w:rsidRPr="00931D46" w:rsidRDefault="00410DF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D</w:t>
      </w:r>
      <w:r w:rsidR="00E162A8" w:rsidRPr="00931D46">
        <w:rPr>
          <w:rFonts w:ascii="Arial" w:hAnsi="Arial" w:cs="Arial"/>
        </w:rPr>
        <w:t>esde la perspectiva de la demanda, los anunciantes consideran como sustitutas a las estaciones que cubran, al menos parcialmente, la zona de cobertura de la estación analizada, pues les permitir</w:t>
      </w:r>
      <w:r w:rsidR="00DB696F" w:rsidRPr="00931D46">
        <w:rPr>
          <w:rFonts w:ascii="Arial" w:hAnsi="Arial" w:cs="Arial"/>
        </w:rPr>
        <w:t>ía</w:t>
      </w:r>
      <w:r w:rsidR="00E162A8" w:rsidRPr="00931D46">
        <w:rPr>
          <w:rFonts w:ascii="Arial" w:hAnsi="Arial" w:cs="Arial"/>
        </w:rPr>
        <w:t xml:space="preserve"> llegar a la misma audiencia;</w:t>
      </w:r>
    </w:p>
    <w:p w14:paraId="3FA6ACC2" w14:textId="77777777" w:rsidR="0028251D" w:rsidRPr="00931D46" w:rsidRDefault="00410DF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D</w:t>
      </w:r>
      <w:r w:rsidR="00E162A8" w:rsidRPr="00931D46">
        <w:rPr>
          <w:rFonts w:ascii="Arial" w:hAnsi="Arial" w:cs="Arial"/>
        </w:rPr>
        <w:t>esde la perspectiva de la oferta, las estaciones que no tengan presencia en la zona de cobertura de la estación analizada, difícilmente podrán comenzar a brindar el servicio de venta de tiempo para publicidad en el corto plazo (requerirán un título de concesión y desplegar la infraestructura de transmisión necesaria), y</w:t>
      </w:r>
    </w:p>
    <w:p w14:paraId="783E5402" w14:textId="77777777" w:rsidR="00E162A8" w:rsidRPr="00931D46" w:rsidRDefault="00410DF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L</w:t>
      </w:r>
      <w:r w:rsidR="00E162A8" w:rsidRPr="00931D46">
        <w:rPr>
          <w:rFonts w:ascii="Arial" w:hAnsi="Arial" w:cs="Arial"/>
        </w:rPr>
        <w:t xml:space="preserve">as condiciones bajo las cuales se ofrece y demanda el servicio de venta de tiempo para publicidad son homogéneas en toda el área geográfica de cobertura de la estación analizada. </w:t>
      </w:r>
    </w:p>
    <w:p w14:paraId="0A29C026" w14:textId="77777777" w:rsidR="00E62092" w:rsidRPr="00931D46" w:rsidRDefault="00E62092" w:rsidP="0023353F">
      <w:pPr>
        <w:spacing w:before="0" w:after="0"/>
        <w:rPr>
          <w:rFonts w:ascii="Arial" w:hAnsi="Arial" w:cs="Arial"/>
        </w:rPr>
      </w:pPr>
    </w:p>
    <w:p w14:paraId="7EBD292C" w14:textId="77777777" w:rsidR="00E62092" w:rsidRPr="00931D46" w:rsidRDefault="00E41396" w:rsidP="00030273">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Servicios satelitales</w:t>
      </w:r>
      <w:r w:rsidR="00E62092" w:rsidRPr="00931D46">
        <w:rPr>
          <w:rFonts w:ascii="Arial" w:eastAsia="Times New Roman" w:hAnsi="Arial" w:cs="Arial"/>
          <w:b/>
          <w:color w:val="auto"/>
          <w:sz w:val="26"/>
          <w:szCs w:val="26"/>
          <w:vertAlign w:val="superscript"/>
          <w:lang w:eastAsia="es-MX"/>
        </w:rPr>
        <w:footnoteReference w:id="142"/>
      </w:r>
    </w:p>
    <w:p w14:paraId="39E1861B" w14:textId="77777777" w:rsidR="00E62092" w:rsidRPr="00931D46" w:rsidRDefault="00E62092" w:rsidP="0023353F">
      <w:pPr>
        <w:keepNext/>
        <w:spacing w:before="0" w:after="0"/>
        <w:rPr>
          <w:rFonts w:ascii="Arial" w:eastAsia="Times New Roman" w:hAnsi="Arial" w:cs="Arial"/>
          <w:b/>
          <w:lang w:eastAsia="es-MX"/>
        </w:rPr>
      </w:pPr>
    </w:p>
    <w:p w14:paraId="1BE27CDF" w14:textId="77777777" w:rsidR="00456745" w:rsidRPr="00931D46" w:rsidRDefault="00456745" w:rsidP="0023353F">
      <w:pPr>
        <w:spacing w:before="0" w:after="0"/>
        <w:rPr>
          <w:rFonts w:ascii="Arial" w:hAnsi="Arial" w:cs="Arial"/>
          <w:szCs w:val="20"/>
        </w:rPr>
      </w:pPr>
      <w:r w:rsidRPr="00931D46">
        <w:rPr>
          <w:rFonts w:ascii="Arial" w:hAnsi="Arial" w:cs="Arial"/>
          <w:szCs w:val="20"/>
        </w:rPr>
        <w:t xml:space="preserve">En </w:t>
      </w:r>
      <w:r w:rsidR="00030273" w:rsidRPr="00931D46">
        <w:rPr>
          <w:rFonts w:ascii="Arial" w:hAnsi="Arial" w:cs="Arial"/>
          <w:szCs w:val="20"/>
        </w:rPr>
        <w:t>el expediente IFT/DGCCC/CNC/0002/2013 (</w:t>
      </w:r>
      <w:r w:rsidRPr="00931D46">
        <w:rPr>
          <w:rFonts w:ascii="Arial" w:hAnsi="Arial" w:cs="Arial"/>
          <w:szCs w:val="20"/>
        </w:rPr>
        <w:t>concentración Satmex</w:t>
      </w:r>
      <w:r w:rsidR="00E41396" w:rsidRPr="00931D46">
        <w:rPr>
          <w:rFonts w:ascii="Arial" w:hAnsi="Arial" w:cs="Arial"/>
          <w:szCs w:val="20"/>
        </w:rPr>
        <w:t>/</w:t>
      </w:r>
      <w:r w:rsidRPr="00931D46">
        <w:rPr>
          <w:rFonts w:ascii="Arial" w:hAnsi="Arial" w:cs="Arial"/>
          <w:szCs w:val="20"/>
        </w:rPr>
        <w:t>Eutelsat</w:t>
      </w:r>
      <w:r w:rsidR="00030273" w:rsidRPr="00931D46">
        <w:rPr>
          <w:rFonts w:ascii="Arial" w:hAnsi="Arial" w:cs="Arial"/>
          <w:szCs w:val="20"/>
        </w:rPr>
        <w:t>),</w:t>
      </w:r>
      <w:r w:rsidRPr="00931D46">
        <w:rPr>
          <w:rFonts w:ascii="Arial" w:hAnsi="Arial" w:cs="Arial"/>
          <w:szCs w:val="20"/>
        </w:rPr>
        <w:t xml:space="preserve"> el Instituto determinó que el MR era el de provisión de </w:t>
      </w:r>
      <w:r w:rsidRPr="00931D46">
        <w:rPr>
          <w:rFonts w:ascii="Arial" w:hAnsi="Arial" w:cs="Arial"/>
          <w:b/>
          <w:szCs w:val="20"/>
        </w:rPr>
        <w:t>capacidad satelital para servicio fijo por satélite</w:t>
      </w:r>
      <w:r w:rsidRPr="00931D46">
        <w:rPr>
          <w:rFonts w:ascii="Arial" w:hAnsi="Arial" w:cs="Arial"/>
          <w:szCs w:val="20"/>
        </w:rPr>
        <w:t xml:space="preserve">, con dimensión geográfica </w:t>
      </w:r>
      <w:r w:rsidRPr="00931D46">
        <w:rPr>
          <w:rFonts w:ascii="Arial" w:hAnsi="Arial" w:cs="Arial"/>
          <w:b/>
          <w:szCs w:val="20"/>
        </w:rPr>
        <w:t>nacional</w:t>
      </w:r>
      <w:r w:rsidRPr="00931D46">
        <w:rPr>
          <w:rFonts w:ascii="Arial" w:hAnsi="Arial" w:cs="Arial"/>
          <w:szCs w:val="20"/>
        </w:rPr>
        <w:t>, por los siguientes elementos:</w:t>
      </w:r>
    </w:p>
    <w:p w14:paraId="5ADD404A" w14:textId="77777777" w:rsidR="0023353F" w:rsidRPr="00931D46" w:rsidRDefault="0023353F" w:rsidP="0023353F">
      <w:pPr>
        <w:spacing w:before="0" w:after="0"/>
        <w:rPr>
          <w:rFonts w:ascii="Arial" w:hAnsi="Arial" w:cs="Arial"/>
          <w:szCs w:val="20"/>
        </w:rPr>
      </w:pPr>
    </w:p>
    <w:p w14:paraId="74F84972" w14:textId="77777777" w:rsidR="00456745" w:rsidRPr="00931D46" w:rsidRDefault="00456745"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Una condición necesaria</w:t>
      </w:r>
      <w:r w:rsidR="000A7E4B" w:rsidRPr="00931D46">
        <w:rPr>
          <w:rFonts w:ascii="Arial" w:hAnsi="Arial" w:cs="Arial"/>
        </w:rPr>
        <w:t>,</w:t>
      </w:r>
      <w:r w:rsidRPr="00931D46">
        <w:rPr>
          <w:rFonts w:ascii="Arial" w:hAnsi="Arial" w:cs="Arial"/>
        </w:rPr>
        <w:t xml:space="preserve"> de carácter técnico</w:t>
      </w:r>
      <w:r w:rsidR="000A7E4B" w:rsidRPr="00931D46">
        <w:rPr>
          <w:rFonts w:ascii="Arial" w:hAnsi="Arial" w:cs="Arial"/>
        </w:rPr>
        <w:t>,</w:t>
      </w:r>
      <w:r w:rsidRPr="00931D46">
        <w:rPr>
          <w:rFonts w:ascii="Arial" w:hAnsi="Arial" w:cs="Arial"/>
        </w:rPr>
        <w:t xml:space="preserve"> para que un satélite pueda prestar servicios en un territorio determinado es que tenga cobertura en dicho territorio, </w:t>
      </w:r>
      <w:r w:rsidR="000A7E4B" w:rsidRPr="00931D46">
        <w:rPr>
          <w:rFonts w:ascii="Arial" w:hAnsi="Arial" w:cs="Arial"/>
        </w:rPr>
        <w:t xml:space="preserve">la cual es </w:t>
      </w:r>
      <w:r w:rsidRPr="00931D46">
        <w:rPr>
          <w:rFonts w:ascii="Arial" w:hAnsi="Arial" w:cs="Arial"/>
        </w:rPr>
        <w:t>conocida como “</w:t>
      </w:r>
      <w:r w:rsidRPr="00931D46">
        <w:rPr>
          <w:rFonts w:ascii="Arial" w:hAnsi="Arial" w:cs="Arial"/>
          <w:i/>
        </w:rPr>
        <w:t>huella</w:t>
      </w:r>
      <w:r w:rsidRPr="00931D46">
        <w:rPr>
          <w:rFonts w:ascii="Arial" w:hAnsi="Arial" w:cs="Arial"/>
        </w:rPr>
        <w:t>”</w:t>
      </w:r>
      <w:r w:rsidR="00030273" w:rsidRPr="00931D46">
        <w:rPr>
          <w:rFonts w:ascii="Arial" w:hAnsi="Arial" w:cs="Arial"/>
        </w:rPr>
        <w:t>, y</w:t>
      </w:r>
      <w:r w:rsidRPr="00931D46">
        <w:rPr>
          <w:rFonts w:ascii="Arial" w:hAnsi="Arial" w:cs="Arial"/>
        </w:rPr>
        <w:t xml:space="preserve"> </w:t>
      </w:r>
      <w:r w:rsidR="001F09BB" w:rsidRPr="00931D46">
        <w:rPr>
          <w:rFonts w:ascii="Arial" w:hAnsi="Arial" w:cs="Arial"/>
        </w:rPr>
        <w:t xml:space="preserve">las partes involucradas tenían satélites </w:t>
      </w:r>
      <w:r w:rsidR="001F09BB" w:rsidRPr="00931D46" w:rsidDel="009722D3">
        <w:rPr>
          <w:rFonts w:ascii="Arial" w:hAnsi="Arial" w:cs="Arial"/>
        </w:rPr>
        <w:t xml:space="preserve">con </w:t>
      </w:r>
      <w:r w:rsidR="001F09BB" w:rsidRPr="00931D46" w:rsidDel="009722D3">
        <w:rPr>
          <w:rFonts w:ascii="Arial" w:hAnsi="Arial" w:cs="Arial"/>
          <w:i/>
        </w:rPr>
        <w:t>huella</w:t>
      </w:r>
      <w:r w:rsidR="001F09BB" w:rsidRPr="00931D46" w:rsidDel="009722D3">
        <w:rPr>
          <w:rFonts w:ascii="Arial" w:hAnsi="Arial" w:cs="Arial"/>
        </w:rPr>
        <w:t xml:space="preserve"> en México</w:t>
      </w:r>
      <w:r w:rsidR="001F09BB" w:rsidRPr="00931D46">
        <w:rPr>
          <w:rFonts w:ascii="Arial" w:hAnsi="Arial" w:cs="Arial"/>
        </w:rPr>
        <w:t>,</w:t>
      </w:r>
      <w:r w:rsidRPr="00931D46">
        <w:rPr>
          <w:rFonts w:ascii="Arial" w:hAnsi="Arial" w:cs="Arial"/>
        </w:rPr>
        <w:t xml:space="preserve"> y </w:t>
      </w:r>
    </w:p>
    <w:p w14:paraId="74269033" w14:textId="77777777" w:rsidR="00456745" w:rsidRPr="00931D46" w:rsidRDefault="00456745"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 xml:space="preserve">Para ofrecer el servicio en el territorio nacional es necesario contar con una concesión para ocupar </w:t>
      </w:r>
      <w:r w:rsidR="00AA50B3" w:rsidRPr="00931D46">
        <w:rPr>
          <w:rFonts w:ascii="Arial" w:hAnsi="Arial" w:cs="Arial"/>
        </w:rPr>
        <w:t>posiciones orbitales</w:t>
      </w:r>
      <w:r w:rsidRPr="00931D46">
        <w:rPr>
          <w:rFonts w:ascii="Arial" w:hAnsi="Arial" w:cs="Arial"/>
        </w:rPr>
        <w:t xml:space="preserve"> geoestacionarias asignadas por el gobierno mexicano o una concesión</w:t>
      </w:r>
      <w:r w:rsidR="00AA50B3" w:rsidRPr="00931D46">
        <w:rPr>
          <w:rStyle w:val="Refdenotaalpie"/>
          <w:rFonts w:ascii="Arial" w:hAnsi="Arial" w:cs="Arial"/>
        </w:rPr>
        <w:footnoteReference w:id="143"/>
      </w:r>
      <w:r w:rsidRPr="00931D46">
        <w:rPr>
          <w:rFonts w:ascii="Arial" w:hAnsi="Arial" w:cs="Arial"/>
        </w:rPr>
        <w:t xml:space="preserve"> para proveer capacidad satelital asociada a satélites extranjeros</w:t>
      </w:r>
      <w:r w:rsidR="001F09BB" w:rsidRPr="00931D46">
        <w:rPr>
          <w:rFonts w:ascii="Arial" w:hAnsi="Arial" w:cs="Arial"/>
        </w:rPr>
        <w:t>; sin esa concesión no es posible ofrecer el servicio en México</w:t>
      </w:r>
      <w:r w:rsidR="00E41396" w:rsidRPr="00931D46">
        <w:rPr>
          <w:rFonts w:ascii="Arial" w:hAnsi="Arial" w:cs="Arial"/>
        </w:rPr>
        <w:t>,</w:t>
      </w:r>
      <w:r w:rsidR="001F09BB" w:rsidRPr="00931D46">
        <w:rPr>
          <w:rFonts w:ascii="Arial" w:hAnsi="Arial" w:cs="Arial"/>
        </w:rPr>
        <w:t xml:space="preserve"> aunque se tenga </w:t>
      </w:r>
      <w:r w:rsidR="001F09BB" w:rsidRPr="00931D46">
        <w:rPr>
          <w:rFonts w:ascii="Arial" w:hAnsi="Arial" w:cs="Arial"/>
          <w:i/>
        </w:rPr>
        <w:t>huella</w:t>
      </w:r>
      <w:r w:rsidR="001F09BB" w:rsidRPr="00931D46">
        <w:rPr>
          <w:rFonts w:ascii="Arial" w:hAnsi="Arial" w:cs="Arial"/>
        </w:rPr>
        <w:t>.</w:t>
      </w:r>
    </w:p>
    <w:p w14:paraId="0676E30D" w14:textId="77777777" w:rsidR="0028251D" w:rsidRPr="00931D46" w:rsidRDefault="0028251D" w:rsidP="0023353F">
      <w:pPr>
        <w:spacing w:before="0" w:after="0"/>
        <w:rPr>
          <w:rFonts w:ascii="Arial" w:eastAsia="Times New Roman" w:hAnsi="Arial" w:cs="Arial"/>
          <w:b/>
          <w:i/>
          <w:lang w:eastAsia="es-MX"/>
        </w:rPr>
      </w:pPr>
    </w:p>
    <w:p w14:paraId="19F11A34" w14:textId="77777777" w:rsidR="00E62092" w:rsidRPr="00931D46" w:rsidRDefault="00E41396" w:rsidP="00030273">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Servicios de t</w:t>
      </w:r>
      <w:r w:rsidR="0028251D" w:rsidRPr="00931D46">
        <w:rPr>
          <w:rFonts w:ascii="Arial" w:eastAsia="Times New Roman" w:hAnsi="Arial" w:cs="Arial"/>
          <w:b/>
          <w:color w:val="auto"/>
          <w:sz w:val="26"/>
          <w:szCs w:val="26"/>
          <w:lang w:eastAsia="es-MX"/>
        </w:rPr>
        <w:t>elecomunicaciones móviles</w:t>
      </w:r>
    </w:p>
    <w:p w14:paraId="5187045F" w14:textId="77777777" w:rsidR="0028251D" w:rsidRPr="00931D46" w:rsidRDefault="0028251D" w:rsidP="0023353F">
      <w:pPr>
        <w:keepNext/>
        <w:spacing w:before="0" w:after="0"/>
        <w:rPr>
          <w:rFonts w:ascii="Arial" w:eastAsia="Times New Roman" w:hAnsi="Arial" w:cs="Arial"/>
          <w:b/>
          <w:lang w:eastAsia="es-MX"/>
        </w:rPr>
      </w:pPr>
    </w:p>
    <w:p w14:paraId="43BF954A" w14:textId="77777777" w:rsidR="001F09BB" w:rsidRPr="00931D46" w:rsidRDefault="001F09BB" w:rsidP="0023353F">
      <w:pPr>
        <w:spacing w:before="0" w:after="0"/>
        <w:rPr>
          <w:rFonts w:ascii="Arial" w:hAnsi="Arial" w:cs="Arial"/>
        </w:rPr>
      </w:pPr>
      <w:r w:rsidRPr="00931D46">
        <w:rPr>
          <w:rFonts w:ascii="Arial" w:hAnsi="Arial" w:cs="Arial"/>
        </w:rPr>
        <w:t xml:space="preserve">En </w:t>
      </w:r>
      <w:r w:rsidR="00030273" w:rsidRPr="00931D46">
        <w:rPr>
          <w:rFonts w:ascii="Arial" w:hAnsi="Arial" w:cs="Arial"/>
        </w:rPr>
        <w:t>el expediente UCE/CNC-001-2015 (</w:t>
      </w:r>
      <w:r w:rsidRPr="00931D46">
        <w:rPr>
          <w:rFonts w:ascii="Arial" w:hAnsi="Arial" w:cs="Arial"/>
        </w:rPr>
        <w:t xml:space="preserve">concentración AT&amp;T </w:t>
      </w:r>
      <w:r w:rsidR="00030273" w:rsidRPr="00931D46">
        <w:rPr>
          <w:rFonts w:ascii="Arial" w:hAnsi="Arial" w:cs="Arial"/>
        </w:rPr>
        <w:t>/</w:t>
      </w:r>
      <w:r w:rsidRPr="00931D46">
        <w:rPr>
          <w:rFonts w:ascii="Arial" w:hAnsi="Arial" w:cs="Arial"/>
        </w:rPr>
        <w:t xml:space="preserve"> Nextel</w:t>
      </w:r>
      <w:r w:rsidR="00030273" w:rsidRPr="00931D46">
        <w:rPr>
          <w:rFonts w:ascii="Arial" w:hAnsi="Arial" w:cs="Arial"/>
        </w:rPr>
        <w:t>)</w:t>
      </w:r>
      <w:r w:rsidRPr="00931D46">
        <w:rPr>
          <w:rFonts w:ascii="Arial" w:hAnsi="Arial" w:cs="Arial"/>
        </w:rPr>
        <w:t>,</w:t>
      </w:r>
      <w:r w:rsidR="0043197C" w:rsidRPr="00931D46">
        <w:rPr>
          <w:rStyle w:val="Refdenotaalpie"/>
          <w:rFonts w:ascii="Arial" w:eastAsia="Times New Roman" w:hAnsi="Arial" w:cs="Arial"/>
          <w:lang w:val="en-US" w:eastAsia="es-MX"/>
        </w:rPr>
        <w:footnoteReference w:id="144"/>
      </w:r>
      <w:r w:rsidRPr="00931D46">
        <w:rPr>
          <w:rFonts w:ascii="Arial" w:hAnsi="Arial" w:cs="Arial"/>
        </w:rPr>
        <w:t xml:space="preserve"> se analizó el servicio de telecomunicaciones móviles (telefonía </w:t>
      </w:r>
      <w:r w:rsidR="00503891" w:rsidRPr="00931D46">
        <w:rPr>
          <w:rFonts w:ascii="Arial" w:hAnsi="Arial" w:cs="Arial"/>
        </w:rPr>
        <w:t xml:space="preserve">móvil </w:t>
      </w:r>
      <w:r w:rsidRPr="00931D46">
        <w:rPr>
          <w:rFonts w:ascii="Arial" w:hAnsi="Arial" w:cs="Arial"/>
        </w:rPr>
        <w:t>y acceso a Internet</w:t>
      </w:r>
      <w:r w:rsidR="00503891" w:rsidRPr="00931D46">
        <w:rPr>
          <w:rFonts w:ascii="Arial" w:hAnsi="Arial" w:cs="Arial"/>
        </w:rPr>
        <w:t xml:space="preserve"> móvil</w:t>
      </w:r>
      <w:r w:rsidRPr="00931D46">
        <w:rPr>
          <w:rFonts w:ascii="Arial" w:hAnsi="Arial" w:cs="Arial"/>
        </w:rPr>
        <w:t>) en una dimensión geográfica nacional. Entre los elementos considerados para determinar la dimensión geográfica del MR, se encuentran los siguientes:</w:t>
      </w:r>
    </w:p>
    <w:p w14:paraId="27CF1D7D" w14:textId="77777777" w:rsidR="0023353F" w:rsidRPr="00931D46" w:rsidRDefault="0023353F" w:rsidP="0023353F">
      <w:pPr>
        <w:spacing w:before="0" w:after="0"/>
        <w:rPr>
          <w:rFonts w:ascii="Arial" w:hAnsi="Arial" w:cs="Arial"/>
        </w:rPr>
      </w:pPr>
    </w:p>
    <w:p w14:paraId="4FAB0393" w14:textId="77777777" w:rsidR="001F09BB" w:rsidRPr="00931D46" w:rsidRDefault="001F09B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Los operadores que participan en el mercado: i) tienen concesiones que les permiten ofrecer el servicio de telecomunicaciones móviles con cobertura en todo el territorio nacional; ii) tienen presencia en todas las regiones en que se divide el país; y iii) establecen las mismas políticas de precios y servicios en todo el país y sus campañas publicitarias se realizan a nivel nacional sin hacer distinciones para las diferentes localidades del país,</w:t>
      </w:r>
    </w:p>
    <w:p w14:paraId="6EB4FCF6" w14:textId="77777777" w:rsidR="001F09BB" w:rsidRPr="00931D46" w:rsidRDefault="001F09B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Los servicios públicos de telecomunicaciones únicamente pueden prestarse en el territorio nacional al amparo de concesiones otorgadas por el Instituto, por lo que no es factible sustituir el servicio de telecomunicaciones móviles por otros servicios desde otras regiones fuera del territorio nacional,</w:t>
      </w:r>
      <w:r w:rsidR="00532412" w:rsidRPr="00931D46">
        <w:rPr>
          <w:rFonts w:ascii="Arial" w:hAnsi="Arial" w:cs="Arial"/>
        </w:rPr>
        <w:t xml:space="preserve"> y</w:t>
      </w:r>
    </w:p>
    <w:p w14:paraId="30594C0D" w14:textId="77777777" w:rsidR="001F09BB" w:rsidRPr="00931D46" w:rsidRDefault="001F09BB" w:rsidP="008A0022">
      <w:pPr>
        <w:pStyle w:val="Prrafodelista"/>
        <w:numPr>
          <w:ilvl w:val="0"/>
          <w:numId w:val="19"/>
        </w:numPr>
        <w:spacing w:before="0" w:after="0"/>
        <w:ind w:left="709" w:hanging="567"/>
        <w:contextualSpacing w:val="0"/>
        <w:rPr>
          <w:rFonts w:ascii="Arial" w:hAnsi="Arial" w:cs="Arial"/>
        </w:rPr>
      </w:pPr>
      <w:r w:rsidRPr="00931D46">
        <w:rPr>
          <w:rFonts w:ascii="Arial" w:hAnsi="Arial" w:cs="Arial"/>
        </w:rPr>
        <w:t>El servicio de telecomunicaciones móviles se proporciona con las características de servicio local en todo el territorio nacional, pues no existen tarifas de larga distancia o de otro tipo que impliquen mayores costos a los usuarios por utilizar los servicios de telecomunicaciones móviles en diferentes localidades del territorio nacional.</w:t>
      </w:r>
    </w:p>
    <w:p w14:paraId="6CC74ABD" w14:textId="77777777" w:rsidR="0065657F" w:rsidRPr="00931D46" w:rsidRDefault="0065657F" w:rsidP="0023353F">
      <w:pPr>
        <w:pStyle w:val="Textocomentario"/>
        <w:spacing w:before="0" w:after="0" w:line="276" w:lineRule="auto"/>
        <w:rPr>
          <w:rFonts w:ascii="Arial" w:hAnsi="Arial" w:cs="Arial"/>
          <w:sz w:val="22"/>
          <w:szCs w:val="22"/>
        </w:rPr>
      </w:pPr>
    </w:p>
    <w:p w14:paraId="348B2175" w14:textId="77777777" w:rsidR="001F09BB" w:rsidRPr="00931D46" w:rsidRDefault="0065657F" w:rsidP="0023353F">
      <w:pPr>
        <w:pStyle w:val="Textocomentario"/>
        <w:spacing w:before="0" w:after="0" w:line="276" w:lineRule="auto"/>
        <w:rPr>
          <w:rFonts w:ascii="Arial" w:hAnsi="Arial" w:cs="Arial"/>
          <w:sz w:val="22"/>
          <w:szCs w:val="22"/>
        </w:rPr>
      </w:pPr>
      <w:r w:rsidRPr="00931D46">
        <w:rPr>
          <w:rFonts w:ascii="Arial" w:hAnsi="Arial" w:cs="Arial"/>
          <w:sz w:val="22"/>
          <w:szCs w:val="22"/>
        </w:rPr>
        <w:t>Asimismo, e</w:t>
      </w:r>
      <w:r w:rsidR="001F09BB" w:rsidRPr="00931D46">
        <w:rPr>
          <w:rFonts w:ascii="Arial" w:hAnsi="Arial" w:cs="Arial"/>
          <w:sz w:val="22"/>
          <w:szCs w:val="22"/>
        </w:rPr>
        <w:t xml:space="preserve">n el expediente E-IFT/UCE/RR-001-2018, relativo a la declaratoria de PSM de </w:t>
      </w:r>
      <w:r w:rsidRPr="00931D46">
        <w:rPr>
          <w:rFonts w:ascii="Arial" w:hAnsi="Arial" w:cs="Arial"/>
          <w:sz w:val="22"/>
          <w:szCs w:val="22"/>
        </w:rPr>
        <w:t>AMX</w:t>
      </w:r>
      <w:r w:rsidR="001F09BB" w:rsidRPr="00931D46">
        <w:rPr>
          <w:rFonts w:ascii="Arial" w:hAnsi="Arial" w:cs="Arial"/>
          <w:sz w:val="22"/>
          <w:szCs w:val="22"/>
        </w:rPr>
        <w:t xml:space="preserve">  en el MR de servicios de telefonía móvil a nivel nacional, el Pleno del Instituto reiteró las consideraciones que permitieron a la </w:t>
      </w:r>
      <w:r w:rsidRPr="00931D46">
        <w:rPr>
          <w:rFonts w:ascii="Arial" w:hAnsi="Arial" w:cs="Arial"/>
          <w:sz w:val="22"/>
          <w:szCs w:val="22"/>
        </w:rPr>
        <w:t>CFC</w:t>
      </w:r>
      <w:r w:rsidR="001F09BB" w:rsidRPr="00931D46">
        <w:rPr>
          <w:rFonts w:ascii="Arial" w:hAnsi="Arial" w:cs="Arial"/>
          <w:sz w:val="22"/>
          <w:szCs w:val="22"/>
        </w:rPr>
        <w:t xml:space="preserve"> determinar la dimensión geográfica </w:t>
      </w:r>
      <w:r w:rsidRPr="00931D46">
        <w:rPr>
          <w:rFonts w:ascii="Arial" w:hAnsi="Arial" w:cs="Arial"/>
          <w:b/>
          <w:sz w:val="22"/>
          <w:szCs w:val="22"/>
        </w:rPr>
        <w:t>nacional</w:t>
      </w:r>
      <w:r w:rsidRPr="00931D46">
        <w:rPr>
          <w:rFonts w:ascii="Arial" w:hAnsi="Arial" w:cs="Arial"/>
          <w:sz w:val="22"/>
          <w:szCs w:val="22"/>
        </w:rPr>
        <w:t xml:space="preserve"> </w:t>
      </w:r>
      <w:r w:rsidR="001F09BB" w:rsidRPr="00931D46">
        <w:rPr>
          <w:rFonts w:ascii="Arial" w:hAnsi="Arial" w:cs="Arial"/>
          <w:sz w:val="22"/>
          <w:szCs w:val="22"/>
        </w:rPr>
        <w:t>del MR en 2010, entre las que se encuentran las siguientes:</w:t>
      </w:r>
      <w:r w:rsidRPr="00931D46">
        <w:rPr>
          <w:rStyle w:val="Refdenotaalpie"/>
          <w:rFonts w:ascii="Arial" w:hAnsi="Arial" w:cs="Arial"/>
          <w:sz w:val="22"/>
          <w:szCs w:val="22"/>
        </w:rPr>
        <w:footnoteReference w:id="145"/>
      </w:r>
    </w:p>
    <w:p w14:paraId="588F5574" w14:textId="77777777" w:rsidR="0023353F" w:rsidRPr="00931D46" w:rsidRDefault="0023353F" w:rsidP="0023353F">
      <w:pPr>
        <w:pStyle w:val="Textocomentario"/>
        <w:spacing w:before="0" w:after="0" w:line="276" w:lineRule="auto"/>
        <w:rPr>
          <w:rFonts w:ascii="Arial" w:hAnsi="Arial" w:cs="Arial"/>
          <w:sz w:val="22"/>
          <w:szCs w:val="22"/>
        </w:rPr>
      </w:pPr>
    </w:p>
    <w:p w14:paraId="0DCE15B7" w14:textId="77777777" w:rsidR="001F09BB" w:rsidRPr="00931D46" w:rsidRDefault="001F09BB" w:rsidP="00A8609F">
      <w:pPr>
        <w:pStyle w:val="Prrafodelista"/>
        <w:numPr>
          <w:ilvl w:val="0"/>
          <w:numId w:val="19"/>
        </w:numPr>
        <w:spacing w:before="0" w:after="0"/>
        <w:ind w:left="709" w:hanging="567"/>
        <w:contextualSpacing w:val="0"/>
        <w:rPr>
          <w:rFonts w:ascii="Arial" w:hAnsi="Arial" w:cs="Arial"/>
        </w:rPr>
      </w:pPr>
      <w:r w:rsidRPr="00931D46">
        <w:rPr>
          <w:rFonts w:ascii="Arial" w:hAnsi="Arial" w:cs="Arial"/>
        </w:rPr>
        <w:t xml:space="preserve">Si bien desde el punto de vista de la demanda el ámbito geográfico que incide en las decisiones de los consumidores es </w:t>
      </w:r>
      <w:r w:rsidR="006F582A" w:rsidRPr="00931D46">
        <w:rPr>
          <w:rFonts w:ascii="Arial" w:hAnsi="Arial" w:cs="Arial"/>
        </w:rPr>
        <w:t>local</w:t>
      </w:r>
      <w:r w:rsidRPr="00931D46">
        <w:rPr>
          <w:rFonts w:ascii="Arial" w:hAnsi="Arial" w:cs="Arial"/>
        </w:rPr>
        <w:t>, cuando se consideran aspectos de la oferta, dicha delimitación se vuelve poco relevante.</w:t>
      </w:r>
      <w:r w:rsidR="00383DE6" w:rsidRPr="00931D46" w:rsidDel="00242BD5">
        <w:rPr>
          <w:rFonts w:ascii="Arial" w:hAnsi="Arial" w:cs="Arial"/>
        </w:rPr>
        <w:t xml:space="preserve"> Los usuarios ubicados en distintos lugares pueden acceder a los mismos planes o paquetes por parte de los oferentes que operan a nivel nacional.</w:t>
      </w:r>
    </w:p>
    <w:p w14:paraId="3623C767" w14:textId="77777777" w:rsidR="001F09BB" w:rsidRPr="00931D46" w:rsidDel="00242BD5" w:rsidRDefault="001F09BB" w:rsidP="00A8609F">
      <w:pPr>
        <w:pStyle w:val="Prrafodelista"/>
        <w:numPr>
          <w:ilvl w:val="0"/>
          <w:numId w:val="19"/>
        </w:numPr>
        <w:spacing w:before="0" w:after="0"/>
        <w:ind w:left="709" w:hanging="567"/>
        <w:contextualSpacing w:val="0"/>
        <w:rPr>
          <w:rFonts w:ascii="Arial" w:hAnsi="Arial" w:cs="Arial"/>
        </w:rPr>
      </w:pPr>
      <w:r w:rsidRPr="00931D46">
        <w:rPr>
          <w:rFonts w:ascii="Arial" w:hAnsi="Arial" w:cs="Arial"/>
        </w:rPr>
        <w:t xml:space="preserve">Casi todos los oferentes del servicio de telefonía móvil: i) tienen concesiones del espectro radioeléctrico en todas las regiones </w:t>
      </w:r>
      <w:r w:rsidR="006F582A" w:rsidRPr="00931D46">
        <w:rPr>
          <w:rFonts w:ascii="Arial" w:hAnsi="Arial" w:cs="Arial"/>
        </w:rPr>
        <w:t xml:space="preserve">en que se divide </w:t>
      </w:r>
      <w:r w:rsidRPr="00931D46">
        <w:rPr>
          <w:rFonts w:ascii="Arial" w:hAnsi="Arial" w:cs="Arial"/>
        </w:rPr>
        <w:t xml:space="preserve">el país, ii) operan en las principales localidades del país, iii) emplean una política de precios (planes y tarifas) que es en su gran mayoría la misma en todo el país y; iv) </w:t>
      </w:r>
      <w:r w:rsidR="006F582A" w:rsidRPr="00931D46">
        <w:rPr>
          <w:rFonts w:ascii="Arial" w:hAnsi="Arial" w:cs="Arial"/>
        </w:rPr>
        <w:t>tienen una</w:t>
      </w:r>
      <w:r w:rsidRPr="00931D46">
        <w:rPr>
          <w:rFonts w:ascii="Arial" w:hAnsi="Arial" w:cs="Arial"/>
        </w:rPr>
        <w:t xml:space="preserve"> política comercial </w:t>
      </w:r>
      <w:r w:rsidR="004972B8" w:rsidRPr="00931D46">
        <w:rPr>
          <w:rFonts w:ascii="Arial" w:hAnsi="Arial" w:cs="Arial"/>
        </w:rPr>
        <w:t xml:space="preserve">que </w:t>
      </w:r>
      <w:r w:rsidR="006F582A" w:rsidRPr="00931D46">
        <w:rPr>
          <w:rFonts w:ascii="Arial" w:hAnsi="Arial" w:cs="Arial"/>
        </w:rPr>
        <w:t xml:space="preserve">les </w:t>
      </w:r>
      <w:r w:rsidRPr="00931D46">
        <w:rPr>
          <w:rFonts w:ascii="Arial" w:hAnsi="Arial" w:cs="Arial"/>
        </w:rPr>
        <w:t xml:space="preserve">permite </w:t>
      </w:r>
      <w:r w:rsidR="006F582A" w:rsidRPr="00931D46">
        <w:rPr>
          <w:rFonts w:ascii="Arial" w:hAnsi="Arial" w:cs="Arial"/>
        </w:rPr>
        <w:t xml:space="preserve">tener </w:t>
      </w:r>
      <w:r w:rsidRPr="00931D46">
        <w:rPr>
          <w:rFonts w:ascii="Arial" w:hAnsi="Arial" w:cs="Arial"/>
        </w:rPr>
        <w:t>control uniforme sobre todo el proceso de comercialización.</w:t>
      </w:r>
    </w:p>
    <w:p w14:paraId="15A57D8E" w14:textId="77777777" w:rsidR="001F09BB" w:rsidRPr="00931D46" w:rsidRDefault="001F09BB" w:rsidP="0023353F">
      <w:pPr>
        <w:spacing w:before="0" w:after="0"/>
        <w:rPr>
          <w:rFonts w:ascii="Arial" w:hAnsi="Arial" w:cs="Arial"/>
        </w:rPr>
      </w:pPr>
    </w:p>
    <w:p w14:paraId="08CE80D6" w14:textId="77777777" w:rsidR="00596A54" w:rsidRPr="00931D46" w:rsidRDefault="00596A54" w:rsidP="00880124">
      <w:pPr>
        <w:pStyle w:val="Ttulo2"/>
        <w:keepLines w:val="0"/>
        <w:numPr>
          <w:ilvl w:val="1"/>
          <w:numId w:val="3"/>
        </w:numPr>
        <w:spacing w:before="0" w:after="0"/>
        <w:rPr>
          <w:rFonts w:ascii="Arial" w:eastAsia="Times New Roman" w:hAnsi="Arial" w:cs="Arial"/>
          <w:sz w:val="26"/>
          <w:lang w:eastAsia="es-MX"/>
        </w:rPr>
      </w:pPr>
      <w:bookmarkStart w:id="113" w:name="_Toc45628326"/>
      <w:bookmarkStart w:id="114" w:name="_Toc74306775"/>
      <w:bookmarkStart w:id="115" w:name="_Toc74323831"/>
      <w:r w:rsidRPr="00931D46">
        <w:rPr>
          <w:rFonts w:ascii="Arial" w:eastAsia="Times New Roman" w:hAnsi="Arial" w:cs="Arial"/>
          <w:sz w:val="26"/>
          <w:lang w:eastAsia="es-MX"/>
        </w:rPr>
        <w:t>Experiencia internacional</w:t>
      </w:r>
      <w:bookmarkEnd w:id="113"/>
      <w:bookmarkEnd w:id="114"/>
      <w:bookmarkEnd w:id="115"/>
    </w:p>
    <w:p w14:paraId="753159D2" w14:textId="77777777" w:rsidR="00596A54" w:rsidRPr="00931D46" w:rsidRDefault="00596A54" w:rsidP="0023353F">
      <w:pPr>
        <w:keepNext/>
        <w:spacing w:before="0" w:after="0"/>
        <w:rPr>
          <w:rFonts w:ascii="Arial" w:eastAsiaTheme="majorEastAsia" w:hAnsi="Arial" w:cs="Arial"/>
          <w:b/>
          <w:szCs w:val="32"/>
          <w:highlight w:val="green"/>
        </w:rPr>
      </w:pPr>
    </w:p>
    <w:p w14:paraId="6A00D63F" w14:textId="269450FF" w:rsidR="00E162A8" w:rsidRPr="00931D46" w:rsidRDefault="00E162A8" w:rsidP="0023353F">
      <w:pPr>
        <w:keepNext/>
        <w:spacing w:before="0" w:after="0"/>
        <w:rPr>
          <w:rFonts w:ascii="Arial" w:eastAsiaTheme="majorEastAsia" w:hAnsi="Arial" w:cs="Arial"/>
          <w:b/>
          <w:szCs w:val="32"/>
          <w:highlight w:val="green"/>
        </w:rPr>
      </w:pPr>
    </w:p>
    <w:p w14:paraId="3D28268C" w14:textId="77777777" w:rsidR="002B5389" w:rsidRPr="00931D46" w:rsidRDefault="002B5389" w:rsidP="000760D4">
      <w:pPr>
        <w:pStyle w:val="Ttulo3"/>
        <w:keepLines w:val="0"/>
        <w:numPr>
          <w:ilvl w:val="2"/>
          <w:numId w:val="3"/>
        </w:numPr>
        <w:spacing w:before="0"/>
        <w:ind w:left="1701"/>
        <w:rPr>
          <w:rFonts w:ascii="Arial" w:eastAsia="Times New Roman" w:hAnsi="Arial" w:cs="Arial"/>
          <w:b/>
          <w:color w:val="auto"/>
          <w:sz w:val="26"/>
          <w:szCs w:val="26"/>
          <w:lang w:eastAsia="es-MX"/>
        </w:rPr>
      </w:pPr>
      <w:r w:rsidRPr="00931D46">
        <w:rPr>
          <w:rFonts w:ascii="Arial" w:eastAsia="Times New Roman" w:hAnsi="Arial" w:cs="Arial"/>
          <w:b/>
          <w:color w:val="auto"/>
          <w:sz w:val="26"/>
          <w:szCs w:val="26"/>
          <w:lang w:eastAsia="es-MX"/>
        </w:rPr>
        <w:t>OCDE</w:t>
      </w:r>
    </w:p>
    <w:p w14:paraId="485BA5C5" w14:textId="77777777" w:rsidR="002B5389" w:rsidRPr="00931D46" w:rsidRDefault="002B5389" w:rsidP="0023353F">
      <w:pPr>
        <w:keepNext/>
        <w:spacing w:before="0" w:after="0"/>
        <w:rPr>
          <w:rFonts w:ascii="Arial" w:hAnsi="Arial" w:cs="Arial"/>
        </w:rPr>
      </w:pPr>
    </w:p>
    <w:p w14:paraId="7EF35965" w14:textId="77777777" w:rsidR="002B5389" w:rsidRPr="00931D46" w:rsidRDefault="002B5389" w:rsidP="0023353F">
      <w:pPr>
        <w:spacing w:before="0" w:after="0"/>
        <w:rPr>
          <w:rFonts w:ascii="Arial" w:hAnsi="Arial" w:cs="Arial"/>
        </w:rPr>
      </w:pPr>
      <w:r w:rsidRPr="00931D46">
        <w:rPr>
          <w:rFonts w:ascii="Arial" w:hAnsi="Arial" w:cs="Arial"/>
        </w:rPr>
        <w:t>En cuanto al marco conceptual y la evidencia que se emplea para delimitar la dimensión geográfica, la OCDE señala lo siguiente:</w:t>
      </w:r>
      <w:r w:rsidR="000760D4" w:rsidRPr="00931D46">
        <w:rPr>
          <w:rFonts w:ascii="Arial" w:eastAsia="Times New Roman" w:hAnsi="Arial" w:cs="Arial"/>
          <w:vertAlign w:val="superscript"/>
          <w:lang w:eastAsia="es-MX"/>
        </w:rPr>
        <w:footnoteReference w:id="146"/>
      </w:r>
    </w:p>
    <w:p w14:paraId="58B967EF" w14:textId="77777777" w:rsidR="0023353F" w:rsidRPr="00931D46" w:rsidRDefault="0023353F" w:rsidP="0023353F">
      <w:pPr>
        <w:spacing w:before="0" w:after="0"/>
        <w:rPr>
          <w:rFonts w:ascii="Arial" w:hAnsi="Arial" w:cs="Arial"/>
        </w:rPr>
      </w:pPr>
    </w:p>
    <w:p w14:paraId="5BD5198F" w14:textId="77777777" w:rsidR="002B5389" w:rsidRPr="00931D46" w:rsidRDefault="002B5389" w:rsidP="00A8609F">
      <w:pPr>
        <w:pStyle w:val="Prrafodelista"/>
        <w:numPr>
          <w:ilvl w:val="0"/>
          <w:numId w:val="20"/>
        </w:numPr>
        <w:spacing w:before="0" w:after="0"/>
        <w:ind w:left="709" w:hanging="567"/>
        <w:contextualSpacing w:val="0"/>
        <w:rPr>
          <w:rFonts w:ascii="Arial" w:hAnsi="Arial" w:cs="Arial"/>
        </w:rPr>
      </w:pPr>
      <w:r w:rsidRPr="00931D46">
        <w:rPr>
          <w:rFonts w:ascii="Arial" w:hAnsi="Arial" w:cs="Arial"/>
        </w:rPr>
        <w:t xml:space="preserve">Se usa como marco conceptual </w:t>
      </w:r>
      <w:r w:rsidR="00DA664D" w:rsidRPr="00931D46">
        <w:rPr>
          <w:rFonts w:ascii="Arial" w:hAnsi="Arial" w:cs="Arial"/>
        </w:rPr>
        <w:t xml:space="preserve">la </w:t>
      </w:r>
      <w:r w:rsidR="0054322B" w:rsidRPr="00931D46">
        <w:rPr>
          <w:rFonts w:ascii="Arial" w:hAnsi="Arial" w:cs="Arial"/>
        </w:rPr>
        <w:t>P</w:t>
      </w:r>
      <w:r w:rsidR="00DA664D" w:rsidRPr="00931D46">
        <w:rPr>
          <w:rFonts w:ascii="Arial" w:hAnsi="Arial" w:cs="Arial"/>
        </w:rPr>
        <w:t>rueba SSNIP</w:t>
      </w:r>
      <w:r w:rsidRPr="00931D46">
        <w:rPr>
          <w:rFonts w:ascii="Arial" w:hAnsi="Arial" w:cs="Arial"/>
        </w:rPr>
        <w:t>, partiendo de un</w:t>
      </w:r>
      <w:r w:rsidR="00DA664D" w:rsidRPr="00931D46">
        <w:rPr>
          <w:rFonts w:ascii="Arial" w:hAnsi="Arial" w:cs="Arial"/>
        </w:rPr>
        <w:t xml:space="preserve">a zona focal </w:t>
      </w:r>
      <w:r w:rsidRPr="00931D46">
        <w:rPr>
          <w:rFonts w:ascii="Arial" w:hAnsi="Arial" w:cs="Arial"/>
        </w:rPr>
        <w:t xml:space="preserve">y agregando </w:t>
      </w:r>
      <w:r w:rsidR="00DA664D" w:rsidRPr="00931D46">
        <w:rPr>
          <w:rFonts w:ascii="Arial" w:hAnsi="Arial" w:cs="Arial"/>
        </w:rPr>
        <w:t>otras</w:t>
      </w:r>
      <w:r w:rsidRPr="00931D46">
        <w:rPr>
          <w:rFonts w:ascii="Arial" w:hAnsi="Arial" w:cs="Arial"/>
        </w:rPr>
        <w:t xml:space="preserve"> hasta que se satisfaga la prueba.  </w:t>
      </w:r>
    </w:p>
    <w:p w14:paraId="194265B5" w14:textId="4CE980FC" w:rsidR="00FC09D4" w:rsidRPr="00931D46" w:rsidRDefault="002B5389" w:rsidP="00A8609F">
      <w:pPr>
        <w:pStyle w:val="Prrafodelista"/>
        <w:numPr>
          <w:ilvl w:val="0"/>
          <w:numId w:val="20"/>
        </w:numPr>
        <w:spacing w:before="0" w:after="0"/>
        <w:ind w:left="709" w:hanging="567"/>
        <w:contextualSpacing w:val="0"/>
        <w:rPr>
          <w:rFonts w:ascii="Arial" w:hAnsi="Arial" w:cs="Arial"/>
        </w:rPr>
      </w:pPr>
      <w:r w:rsidRPr="00931D46">
        <w:rPr>
          <w:rFonts w:ascii="Arial" w:hAnsi="Arial" w:cs="Arial"/>
        </w:rPr>
        <w:t xml:space="preserve">Aunque se usa un marco analítico similar al de la delimitación de la dimensión </w:t>
      </w:r>
      <w:r w:rsidR="00330363">
        <w:rPr>
          <w:rFonts w:ascii="Arial" w:hAnsi="Arial" w:cs="Arial"/>
        </w:rPr>
        <w:t>producto</w:t>
      </w:r>
      <w:r w:rsidRPr="00931D46">
        <w:rPr>
          <w:rFonts w:ascii="Arial" w:hAnsi="Arial" w:cs="Arial"/>
        </w:rPr>
        <w:t>, para delimitar la dimensión geográfica se analiza</w:t>
      </w:r>
      <w:r w:rsidR="00FC09D4" w:rsidRPr="00931D46">
        <w:rPr>
          <w:rFonts w:ascii="Arial" w:hAnsi="Arial" w:cs="Arial"/>
        </w:rPr>
        <w:t>n</w:t>
      </w:r>
      <w:r w:rsidRPr="00931D46">
        <w:rPr>
          <w:rFonts w:ascii="Arial" w:hAnsi="Arial" w:cs="Arial"/>
        </w:rPr>
        <w:t xml:space="preserve"> </w:t>
      </w:r>
      <w:r w:rsidR="00FC09D4" w:rsidRPr="00931D46">
        <w:rPr>
          <w:rFonts w:ascii="Arial" w:hAnsi="Arial" w:cs="Arial"/>
        </w:rPr>
        <w:t xml:space="preserve">elementos </w:t>
      </w:r>
      <w:r w:rsidRPr="00931D46">
        <w:rPr>
          <w:rFonts w:ascii="Arial" w:hAnsi="Arial" w:cs="Arial"/>
        </w:rPr>
        <w:t>particular</w:t>
      </w:r>
      <w:r w:rsidR="00FC09D4" w:rsidRPr="00931D46">
        <w:rPr>
          <w:rFonts w:ascii="Arial" w:hAnsi="Arial" w:cs="Arial"/>
        </w:rPr>
        <w:t>es</w:t>
      </w:r>
      <w:r w:rsidRPr="00931D46">
        <w:rPr>
          <w:rFonts w:ascii="Arial" w:hAnsi="Arial" w:cs="Arial"/>
        </w:rPr>
        <w:t>, entre l</w:t>
      </w:r>
      <w:r w:rsidR="00FC09D4" w:rsidRPr="00931D46">
        <w:rPr>
          <w:rFonts w:ascii="Arial" w:hAnsi="Arial" w:cs="Arial"/>
        </w:rPr>
        <w:t xml:space="preserve">os </w:t>
      </w:r>
      <w:r w:rsidRPr="00931D46">
        <w:rPr>
          <w:rFonts w:ascii="Arial" w:hAnsi="Arial" w:cs="Arial"/>
        </w:rPr>
        <w:t>que se encuentra</w:t>
      </w:r>
      <w:r w:rsidR="00FC09D4" w:rsidRPr="00931D46">
        <w:rPr>
          <w:rFonts w:ascii="Arial" w:hAnsi="Arial" w:cs="Arial"/>
        </w:rPr>
        <w:t>n</w:t>
      </w:r>
      <w:r w:rsidRPr="00931D46">
        <w:rPr>
          <w:rFonts w:ascii="Arial" w:hAnsi="Arial" w:cs="Arial"/>
        </w:rPr>
        <w:t>:</w:t>
      </w:r>
      <w:r w:rsidR="00AE745D" w:rsidRPr="00931D46">
        <w:rPr>
          <w:rStyle w:val="Refdenotaalpie"/>
          <w:rFonts w:ascii="Arial" w:hAnsi="Arial" w:cs="Arial"/>
        </w:rPr>
        <w:footnoteReference w:id="147"/>
      </w:r>
    </w:p>
    <w:p w14:paraId="234493AB" w14:textId="77777777" w:rsidR="00FC09D4" w:rsidRPr="00931D46" w:rsidRDefault="002B5389" w:rsidP="00A8609F">
      <w:pPr>
        <w:pStyle w:val="Prrafodelista"/>
        <w:numPr>
          <w:ilvl w:val="1"/>
          <w:numId w:val="16"/>
        </w:numPr>
        <w:spacing w:before="0" w:after="0"/>
        <w:ind w:left="1134"/>
        <w:contextualSpacing w:val="0"/>
        <w:rPr>
          <w:rFonts w:ascii="Arial" w:hAnsi="Arial" w:cs="Arial"/>
        </w:rPr>
      </w:pPr>
      <w:r w:rsidRPr="00931D46">
        <w:rPr>
          <w:rFonts w:ascii="Arial" w:hAnsi="Arial" w:cs="Arial"/>
        </w:rPr>
        <w:t xml:space="preserve">precios </w:t>
      </w:r>
      <w:r w:rsidR="00FC09D4" w:rsidRPr="00931D46">
        <w:rPr>
          <w:rFonts w:ascii="Arial" w:hAnsi="Arial" w:cs="Arial"/>
        </w:rPr>
        <w:t>(la existencia de discriminación de precios es un indicador particularmente útil del alcance geográfico del mercado),</w:t>
      </w:r>
    </w:p>
    <w:p w14:paraId="18E1C278" w14:textId="77777777" w:rsidR="00FC09D4" w:rsidRPr="00931D46" w:rsidRDefault="00FC09D4" w:rsidP="00A8609F">
      <w:pPr>
        <w:pStyle w:val="Prrafodelista"/>
        <w:numPr>
          <w:ilvl w:val="1"/>
          <w:numId w:val="16"/>
        </w:numPr>
        <w:spacing w:before="0" w:after="0"/>
        <w:ind w:left="1134"/>
        <w:contextualSpacing w:val="0"/>
        <w:rPr>
          <w:rFonts w:ascii="Arial" w:hAnsi="Arial" w:cs="Arial"/>
        </w:rPr>
      </w:pPr>
      <w:r w:rsidRPr="00931D46">
        <w:rPr>
          <w:rFonts w:ascii="Arial" w:hAnsi="Arial" w:cs="Arial"/>
        </w:rPr>
        <w:t xml:space="preserve">volumen de </w:t>
      </w:r>
      <w:r w:rsidR="002B5389" w:rsidRPr="00931D46">
        <w:rPr>
          <w:rFonts w:ascii="Arial" w:hAnsi="Arial" w:cs="Arial"/>
        </w:rPr>
        <w:t>importaciones,</w:t>
      </w:r>
    </w:p>
    <w:p w14:paraId="27EE23AD" w14:textId="77777777" w:rsidR="00FC09D4" w:rsidRPr="00931D46" w:rsidRDefault="002B5389" w:rsidP="00A8609F">
      <w:pPr>
        <w:pStyle w:val="Prrafodelista"/>
        <w:numPr>
          <w:ilvl w:val="1"/>
          <w:numId w:val="16"/>
        </w:numPr>
        <w:spacing w:before="0" w:after="0"/>
        <w:ind w:left="1134"/>
        <w:contextualSpacing w:val="0"/>
        <w:rPr>
          <w:rFonts w:ascii="Arial" w:hAnsi="Arial" w:cs="Arial"/>
        </w:rPr>
      </w:pPr>
      <w:r w:rsidRPr="00931D46">
        <w:rPr>
          <w:rFonts w:ascii="Arial" w:hAnsi="Arial" w:cs="Arial"/>
        </w:rPr>
        <w:t>costos de t</w:t>
      </w:r>
      <w:r w:rsidR="00FC09D4" w:rsidRPr="00931D46">
        <w:rPr>
          <w:rFonts w:ascii="Arial" w:hAnsi="Arial" w:cs="Arial"/>
        </w:rPr>
        <w:t>ransporte (de los consumidores y de los proveedores), incluyendo aranceles,</w:t>
      </w:r>
    </w:p>
    <w:p w14:paraId="75DB7285" w14:textId="42C3546B" w:rsidR="00FC09D4" w:rsidRPr="00931D46" w:rsidRDefault="002B5389" w:rsidP="00A8609F">
      <w:pPr>
        <w:pStyle w:val="Prrafodelista"/>
        <w:numPr>
          <w:ilvl w:val="1"/>
          <w:numId w:val="16"/>
        </w:numPr>
        <w:spacing w:before="0" w:after="0"/>
        <w:ind w:left="1134"/>
        <w:contextualSpacing w:val="0"/>
        <w:rPr>
          <w:rFonts w:ascii="Arial" w:hAnsi="Arial" w:cs="Arial"/>
        </w:rPr>
      </w:pPr>
      <w:r w:rsidRPr="00931D46">
        <w:rPr>
          <w:rFonts w:ascii="Arial" w:hAnsi="Arial" w:cs="Arial"/>
        </w:rPr>
        <w:t>barreras regulatorias</w:t>
      </w:r>
      <w:r w:rsidR="00FC09D4" w:rsidRPr="00931D46">
        <w:rPr>
          <w:rFonts w:ascii="Arial" w:hAnsi="Arial" w:cs="Arial"/>
        </w:rPr>
        <w:t xml:space="preserve"> (</w:t>
      </w:r>
      <w:r w:rsidR="008F4197" w:rsidRPr="00931D46">
        <w:rPr>
          <w:rFonts w:ascii="Arial" w:hAnsi="Arial" w:cs="Arial"/>
        </w:rPr>
        <w:t xml:space="preserve">por </w:t>
      </w:r>
      <w:r w:rsidR="00FC09D4" w:rsidRPr="00931D46">
        <w:rPr>
          <w:rFonts w:ascii="Arial" w:hAnsi="Arial" w:cs="Arial"/>
        </w:rPr>
        <w:t>ej</w:t>
      </w:r>
      <w:r w:rsidR="008F4197" w:rsidRPr="00931D46">
        <w:rPr>
          <w:rFonts w:ascii="Arial" w:hAnsi="Arial" w:cs="Arial"/>
        </w:rPr>
        <w:t>emplo,</w:t>
      </w:r>
      <w:r w:rsidR="00FC09D4" w:rsidRPr="00931D46">
        <w:rPr>
          <w:rFonts w:ascii="Arial" w:hAnsi="Arial" w:cs="Arial"/>
        </w:rPr>
        <w:t xml:space="preserve"> requerimiento de concesiones o autorizaciones)</w:t>
      </w:r>
      <w:r w:rsidRPr="00931D46">
        <w:rPr>
          <w:rFonts w:ascii="Arial" w:hAnsi="Arial" w:cs="Arial"/>
        </w:rPr>
        <w:t xml:space="preserve"> y </w:t>
      </w:r>
      <w:r w:rsidR="00A8609F">
        <w:rPr>
          <w:rFonts w:ascii="Arial" w:hAnsi="Arial" w:cs="Arial"/>
        </w:rPr>
        <w:t xml:space="preserve">barreras </w:t>
      </w:r>
      <w:r w:rsidRPr="00931D46">
        <w:rPr>
          <w:rFonts w:ascii="Arial" w:hAnsi="Arial" w:cs="Arial"/>
        </w:rPr>
        <w:t xml:space="preserve">comerciales, </w:t>
      </w:r>
    </w:p>
    <w:p w14:paraId="7EC54DE0" w14:textId="34C8B678" w:rsidR="002B5389" w:rsidRPr="00931D46" w:rsidRDefault="002B5389" w:rsidP="00A8609F">
      <w:pPr>
        <w:pStyle w:val="Prrafodelista"/>
        <w:numPr>
          <w:ilvl w:val="1"/>
          <w:numId w:val="16"/>
        </w:numPr>
        <w:spacing w:before="0" w:after="0"/>
        <w:ind w:left="1134"/>
        <w:contextualSpacing w:val="0"/>
        <w:rPr>
          <w:rFonts w:ascii="Arial" w:hAnsi="Arial" w:cs="Arial"/>
        </w:rPr>
      </w:pPr>
      <w:r w:rsidRPr="00931D46">
        <w:rPr>
          <w:rFonts w:ascii="Arial" w:hAnsi="Arial" w:cs="Arial"/>
        </w:rPr>
        <w:t>preferencias del consumidor</w:t>
      </w:r>
      <w:r w:rsidR="00FC09D4" w:rsidRPr="00931D46">
        <w:rPr>
          <w:rFonts w:ascii="Arial" w:hAnsi="Arial" w:cs="Arial"/>
        </w:rPr>
        <w:t xml:space="preserve">, tales como </w:t>
      </w:r>
      <w:r w:rsidR="00FC09D4" w:rsidRPr="00931D46">
        <w:rPr>
          <w:rFonts w:ascii="Arial" w:eastAsiaTheme="majorEastAsia" w:hAnsi="Arial" w:cs="Arial"/>
          <w:szCs w:val="32"/>
        </w:rPr>
        <w:t xml:space="preserve">preferencias por </w:t>
      </w:r>
      <w:r w:rsidR="00330363">
        <w:rPr>
          <w:rFonts w:ascii="Arial" w:eastAsiaTheme="majorEastAsia" w:hAnsi="Arial" w:cs="Arial"/>
          <w:szCs w:val="32"/>
        </w:rPr>
        <w:t>productos</w:t>
      </w:r>
      <w:r w:rsidR="00FC09D4" w:rsidRPr="00931D46">
        <w:rPr>
          <w:rFonts w:ascii="Arial" w:eastAsiaTheme="majorEastAsia" w:hAnsi="Arial" w:cs="Arial"/>
          <w:szCs w:val="32"/>
        </w:rPr>
        <w:t xml:space="preserve"> nacionales, preferencias por la marca, el idioma, la cultura y el estilo de vida nacionales o la necesidad de una presencia local.</w:t>
      </w:r>
    </w:p>
    <w:p w14:paraId="72498A6D" w14:textId="77777777" w:rsidR="002B5389" w:rsidRPr="00931D46" w:rsidRDefault="002B5389" w:rsidP="0023353F">
      <w:pPr>
        <w:spacing w:before="0" w:after="0"/>
        <w:rPr>
          <w:rFonts w:ascii="Arial" w:hAnsi="Arial" w:cs="Arial"/>
        </w:rPr>
      </w:pPr>
    </w:p>
    <w:p w14:paraId="0A5061C6" w14:textId="77777777" w:rsidR="00E162A8" w:rsidRPr="00931D46" w:rsidRDefault="00E162A8" w:rsidP="000760D4">
      <w:pPr>
        <w:pStyle w:val="Ttulo3"/>
        <w:keepLines w:val="0"/>
        <w:numPr>
          <w:ilvl w:val="2"/>
          <w:numId w:val="3"/>
        </w:numPr>
        <w:spacing w:before="0"/>
        <w:ind w:left="1701"/>
        <w:rPr>
          <w:rFonts w:ascii="Arial" w:eastAsia="Times New Roman" w:hAnsi="Arial" w:cs="Arial"/>
          <w:b/>
          <w:color w:val="auto"/>
          <w:sz w:val="26"/>
          <w:szCs w:val="26"/>
          <w:lang w:eastAsia="es-MX"/>
        </w:rPr>
      </w:pPr>
      <w:bookmarkStart w:id="116" w:name="_Toc44689088"/>
      <w:bookmarkStart w:id="117" w:name="_Toc43376739"/>
      <w:r w:rsidRPr="00931D46">
        <w:rPr>
          <w:rFonts w:ascii="Arial" w:eastAsia="Times New Roman" w:hAnsi="Arial" w:cs="Arial"/>
          <w:b/>
          <w:color w:val="auto"/>
          <w:sz w:val="26"/>
          <w:szCs w:val="26"/>
          <w:lang w:eastAsia="es-MX"/>
        </w:rPr>
        <w:t>Unión E</w:t>
      </w:r>
      <w:bookmarkEnd w:id="116"/>
      <w:r w:rsidRPr="00931D46">
        <w:rPr>
          <w:rFonts w:ascii="Arial" w:eastAsia="Times New Roman" w:hAnsi="Arial" w:cs="Arial"/>
          <w:b/>
          <w:color w:val="auto"/>
          <w:sz w:val="26"/>
          <w:szCs w:val="26"/>
          <w:lang w:eastAsia="es-MX"/>
        </w:rPr>
        <w:t xml:space="preserve">uropea </w:t>
      </w:r>
      <w:bookmarkEnd w:id="117"/>
    </w:p>
    <w:p w14:paraId="48C3AB3E" w14:textId="77777777" w:rsidR="002B5389" w:rsidRPr="00931D46" w:rsidRDefault="002B5389" w:rsidP="0023353F">
      <w:pPr>
        <w:keepNext/>
        <w:spacing w:before="0" w:after="0"/>
        <w:ind w:right="49"/>
        <w:rPr>
          <w:rFonts w:ascii="Arial" w:hAnsi="Arial" w:cs="Arial"/>
        </w:rPr>
      </w:pPr>
    </w:p>
    <w:p w14:paraId="158D39D9" w14:textId="4793A5C6" w:rsidR="006C24BE" w:rsidRPr="00931D46" w:rsidRDefault="00C25DB7" w:rsidP="0023353F">
      <w:pPr>
        <w:spacing w:before="0" w:after="0"/>
        <w:ind w:right="49"/>
        <w:rPr>
          <w:rFonts w:ascii="Arial" w:hAnsi="Arial" w:cs="Arial"/>
        </w:rPr>
      </w:pPr>
      <w:r w:rsidRPr="00931D46">
        <w:rPr>
          <w:rFonts w:ascii="Arial" w:hAnsi="Arial" w:cs="Arial"/>
          <w:color w:val="000000"/>
        </w:rPr>
        <w:t>L</w:t>
      </w:r>
      <w:r w:rsidR="00E162A8" w:rsidRPr="00931D46">
        <w:rPr>
          <w:rFonts w:ascii="Arial" w:hAnsi="Arial" w:cs="Arial"/>
          <w:color w:val="000000"/>
        </w:rPr>
        <w:t xml:space="preserve">a CE señala que el proceso de delimitación </w:t>
      </w:r>
      <w:r w:rsidRPr="00931D46">
        <w:rPr>
          <w:rFonts w:ascii="Arial" w:hAnsi="Arial" w:cs="Arial"/>
          <w:color w:val="000000"/>
        </w:rPr>
        <w:t>g</w:t>
      </w:r>
      <w:r w:rsidR="00E162A8" w:rsidRPr="00931D46">
        <w:rPr>
          <w:rFonts w:ascii="Arial" w:hAnsi="Arial" w:cs="Arial"/>
          <w:color w:val="000000"/>
        </w:rPr>
        <w:t>eográfic</w:t>
      </w:r>
      <w:r w:rsidRPr="00931D46">
        <w:rPr>
          <w:rFonts w:ascii="Arial" w:hAnsi="Arial" w:cs="Arial"/>
          <w:color w:val="000000"/>
        </w:rPr>
        <w:t xml:space="preserve">a del MR </w:t>
      </w:r>
      <w:r w:rsidR="00E162A8" w:rsidRPr="00931D46">
        <w:rPr>
          <w:rFonts w:ascii="Arial" w:hAnsi="Arial" w:cs="Arial"/>
          <w:color w:val="000000"/>
        </w:rPr>
        <w:t xml:space="preserve">sigue </w:t>
      </w:r>
      <w:r w:rsidR="006C24BE" w:rsidRPr="00931D46">
        <w:rPr>
          <w:rFonts w:ascii="Arial" w:hAnsi="Arial" w:cs="Arial"/>
          <w:color w:val="000000"/>
        </w:rPr>
        <w:t xml:space="preserve">básicamente </w:t>
      </w:r>
      <w:r w:rsidR="00E162A8" w:rsidRPr="00931D46">
        <w:rPr>
          <w:rFonts w:ascii="Arial" w:hAnsi="Arial" w:cs="Arial"/>
          <w:color w:val="000000"/>
        </w:rPr>
        <w:t xml:space="preserve">los mismos principios </w:t>
      </w:r>
      <w:r w:rsidR="00E05C6F" w:rsidRPr="00931D46">
        <w:rPr>
          <w:rFonts w:ascii="Arial" w:hAnsi="Arial" w:cs="Arial"/>
          <w:color w:val="000000"/>
        </w:rPr>
        <w:t xml:space="preserve">del análisis de sustitución que se aplica en </w:t>
      </w:r>
      <w:r w:rsidR="006C24BE" w:rsidRPr="00931D46">
        <w:rPr>
          <w:rFonts w:ascii="Arial" w:hAnsi="Arial" w:cs="Arial"/>
          <w:color w:val="000000"/>
        </w:rPr>
        <w:t xml:space="preserve">la delimitación de </w:t>
      </w:r>
      <w:r w:rsidR="00330363">
        <w:rPr>
          <w:rFonts w:ascii="Arial" w:hAnsi="Arial" w:cs="Arial"/>
          <w:color w:val="000000"/>
        </w:rPr>
        <w:t>producto</w:t>
      </w:r>
      <w:r w:rsidR="006C24BE" w:rsidRPr="00931D46">
        <w:rPr>
          <w:rFonts w:ascii="Arial" w:hAnsi="Arial" w:cs="Arial"/>
          <w:color w:val="000000"/>
        </w:rPr>
        <w:t>. El</w:t>
      </w:r>
      <w:r w:rsidR="006C24BE" w:rsidRPr="00931D46">
        <w:rPr>
          <w:rFonts w:ascii="Arial" w:hAnsi="Arial" w:cs="Arial"/>
        </w:rPr>
        <w:t xml:space="preserve"> enfoque adoptado por la CE para determinar la dimensión geográfica puede resumirse como sigue:</w:t>
      </w:r>
      <w:r w:rsidR="00B30280" w:rsidRPr="00931D46">
        <w:rPr>
          <w:rStyle w:val="Refdenotaalpie"/>
          <w:rFonts w:ascii="Arial" w:hAnsi="Arial" w:cs="Arial"/>
          <w:lang w:eastAsia="es-MX"/>
        </w:rPr>
        <w:footnoteReference w:id="148"/>
      </w:r>
      <w:r w:rsidR="006C24BE" w:rsidRPr="00931D46">
        <w:rPr>
          <w:rFonts w:ascii="Arial" w:hAnsi="Arial" w:cs="Arial"/>
        </w:rPr>
        <w:t xml:space="preserve"> </w:t>
      </w:r>
    </w:p>
    <w:p w14:paraId="65F108E1" w14:textId="77777777" w:rsidR="0023353F" w:rsidRPr="00931D46" w:rsidRDefault="0023353F" w:rsidP="0023353F">
      <w:pPr>
        <w:spacing w:before="0" w:after="0"/>
        <w:ind w:right="49"/>
        <w:rPr>
          <w:rFonts w:ascii="Arial" w:hAnsi="Arial" w:cs="Arial"/>
        </w:rPr>
      </w:pPr>
    </w:p>
    <w:p w14:paraId="6AEE91C7" w14:textId="77777777" w:rsidR="006C24BE" w:rsidRPr="00931D46" w:rsidRDefault="006C24BE" w:rsidP="00A8609F">
      <w:pPr>
        <w:pStyle w:val="Prrafodelista"/>
        <w:numPr>
          <w:ilvl w:val="0"/>
          <w:numId w:val="19"/>
        </w:numPr>
        <w:autoSpaceDE w:val="0"/>
        <w:autoSpaceDN w:val="0"/>
        <w:adjustRightInd w:val="0"/>
        <w:spacing w:before="0" w:after="0"/>
        <w:ind w:left="709" w:hanging="567"/>
        <w:contextualSpacing w:val="0"/>
        <w:rPr>
          <w:rFonts w:ascii="Arial" w:hAnsi="Arial" w:cs="Arial"/>
        </w:rPr>
      </w:pPr>
      <w:r w:rsidRPr="00931D46">
        <w:rPr>
          <w:rFonts w:ascii="Arial" w:hAnsi="Arial" w:cs="Arial"/>
        </w:rPr>
        <w:t>Se obtiene una primera idea a partir de indicadores agregados, como las estrategias de precios (por ejemplo, prácticas de discriminación), misma que se usa como</w:t>
      </w:r>
      <w:r w:rsidR="00DF78CB" w:rsidRPr="00931D46">
        <w:rPr>
          <w:rFonts w:ascii="Arial" w:hAnsi="Arial" w:cs="Arial"/>
        </w:rPr>
        <w:t xml:space="preserve"> aproximación inicial de los límites de la dimensión geográfica</w:t>
      </w:r>
      <w:r w:rsidRPr="00931D46">
        <w:rPr>
          <w:rFonts w:ascii="Arial" w:hAnsi="Arial" w:cs="Arial"/>
        </w:rPr>
        <w:t>,</w:t>
      </w:r>
    </w:p>
    <w:p w14:paraId="5D5B6AAA" w14:textId="718781B0" w:rsidR="006C24BE" w:rsidRPr="00931D46" w:rsidRDefault="006C24BE" w:rsidP="00A8609F">
      <w:pPr>
        <w:pStyle w:val="Prrafodelista"/>
        <w:numPr>
          <w:ilvl w:val="0"/>
          <w:numId w:val="19"/>
        </w:numPr>
        <w:autoSpaceDE w:val="0"/>
        <w:autoSpaceDN w:val="0"/>
        <w:adjustRightInd w:val="0"/>
        <w:spacing w:before="0" w:after="0"/>
        <w:ind w:left="709" w:hanging="567"/>
        <w:contextualSpacing w:val="0"/>
        <w:rPr>
          <w:rFonts w:ascii="Arial" w:hAnsi="Arial" w:cs="Arial"/>
        </w:rPr>
      </w:pPr>
      <w:r w:rsidRPr="00931D46">
        <w:rPr>
          <w:rFonts w:ascii="Arial" w:hAnsi="Arial" w:cs="Arial"/>
        </w:rPr>
        <w:t xml:space="preserve">La </w:t>
      </w:r>
      <w:r w:rsidR="00DF78CB" w:rsidRPr="00931D46">
        <w:rPr>
          <w:rFonts w:ascii="Arial" w:hAnsi="Arial" w:cs="Arial"/>
        </w:rPr>
        <w:t>aproximación</w:t>
      </w:r>
      <w:r w:rsidRPr="00931D46">
        <w:rPr>
          <w:rFonts w:ascii="Arial" w:hAnsi="Arial" w:cs="Arial"/>
        </w:rPr>
        <w:t xml:space="preserve"> inicial se contrasta con un análisis de las características de la demanda, incluyendo la importancia de las preferencias por </w:t>
      </w:r>
      <w:r w:rsidR="00330363">
        <w:rPr>
          <w:rFonts w:ascii="Arial" w:hAnsi="Arial" w:cs="Arial"/>
        </w:rPr>
        <w:t>productos</w:t>
      </w:r>
      <w:r w:rsidRPr="00931D46">
        <w:rPr>
          <w:rFonts w:ascii="Arial" w:hAnsi="Arial" w:cs="Arial"/>
        </w:rPr>
        <w:t xml:space="preserve"> nacionales o locales, hábitos de compra de los consumidores, diferenciación de </w:t>
      </w:r>
      <w:r w:rsidR="00330363">
        <w:rPr>
          <w:rFonts w:ascii="Arial" w:hAnsi="Arial" w:cs="Arial"/>
        </w:rPr>
        <w:t>productos</w:t>
      </w:r>
      <w:r w:rsidRPr="00931D46">
        <w:rPr>
          <w:rFonts w:ascii="Arial" w:hAnsi="Arial" w:cs="Arial"/>
        </w:rPr>
        <w:t>, y</w:t>
      </w:r>
    </w:p>
    <w:p w14:paraId="1717E0D7" w14:textId="3A75A01A" w:rsidR="006C24BE" w:rsidRPr="00931D46" w:rsidRDefault="006C24BE" w:rsidP="00A8609F">
      <w:pPr>
        <w:pStyle w:val="Prrafodelista"/>
        <w:numPr>
          <w:ilvl w:val="0"/>
          <w:numId w:val="19"/>
        </w:numPr>
        <w:autoSpaceDE w:val="0"/>
        <w:autoSpaceDN w:val="0"/>
        <w:adjustRightInd w:val="0"/>
        <w:spacing w:before="0" w:after="0"/>
        <w:ind w:left="709" w:hanging="567"/>
        <w:contextualSpacing w:val="0"/>
        <w:rPr>
          <w:rFonts w:ascii="Arial" w:hAnsi="Arial" w:cs="Arial"/>
        </w:rPr>
      </w:pPr>
      <w:r w:rsidRPr="00931D46">
        <w:rPr>
          <w:rFonts w:ascii="Arial" w:hAnsi="Arial" w:cs="Arial"/>
        </w:rPr>
        <w:t>De ser necesario, se analizan factores de la oferta para asegurarse de que los oferentes localizados en zonas distintas no encuentran obstáculos p</w:t>
      </w:r>
      <w:r w:rsidR="00DC7F97" w:rsidRPr="00931D46">
        <w:rPr>
          <w:rFonts w:ascii="Arial" w:hAnsi="Arial" w:cs="Arial"/>
        </w:rPr>
        <w:t xml:space="preserve">ara comercializar sus </w:t>
      </w:r>
      <w:r w:rsidR="00330363">
        <w:rPr>
          <w:rFonts w:ascii="Arial" w:hAnsi="Arial" w:cs="Arial"/>
        </w:rPr>
        <w:t>productos</w:t>
      </w:r>
      <w:r w:rsidR="00DC7F97" w:rsidRPr="00931D46">
        <w:rPr>
          <w:rFonts w:ascii="Arial" w:hAnsi="Arial" w:cs="Arial"/>
        </w:rPr>
        <w:t xml:space="preserve"> </w:t>
      </w:r>
      <w:r w:rsidRPr="00931D46">
        <w:rPr>
          <w:rFonts w:ascii="Arial" w:hAnsi="Arial" w:cs="Arial"/>
        </w:rPr>
        <w:t xml:space="preserve">en términos competitivos en todo el mercado geográfico, tomando en cuenta </w:t>
      </w:r>
      <w:r w:rsidR="008436F6" w:rsidRPr="00931D46">
        <w:rPr>
          <w:rFonts w:ascii="Arial" w:hAnsi="Arial" w:cs="Arial"/>
        </w:rPr>
        <w:t xml:space="preserve">los costos de transporte, </w:t>
      </w:r>
      <w:r w:rsidRPr="00931D46">
        <w:rPr>
          <w:rFonts w:ascii="Arial" w:hAnsi="Arial" w:cs="Arial"/>
        </w:rPr>
        <w:t>condiciones de acceso a los canales de distribución, los costos relativos al establecimiento de redes de distribución y la existencia o ausencia de obstáculos regulatorios.</w:t>
      </w:r>
    </w:p>
    <w:p w14:paraId="0A194CDC" w14:textId="77777777" w:rsidR="006C24BE" w:rsidRPr="00931D46" w:rsidRDefault="006C24BE" w:rsidP="0023353F">
      <w:pPr>
        <w:autoSpaceDE w:val="0"/>
        <w:autoSpaceDN w:val="0"/>
        <w:adjustRightInd w:val="0"/>
        <w:spacing w:before="0" w:after="0"/>
        <w:rPr>
          <w:rFonts w:ascii="Arial" w:hAnsi="Arial" w:cs="Arial"/>
        </w:rPr>
      </w:pPr>
    </w:p>
    <w:p w14:paraId="07A6429B" w14:textId="57216D0D" w:rsidR="002B5389" w:rsidRPr="00931D46" w:rsidRDefault="002B5389" w:rsidP="0023353F">
      <w:pPr>
        <w:spacing w:before="0" w:after="0"/>
        <w:rPr>
          <w:rFonts w:ascii="Arial" w:eastAsiaTheme="majorEastAsia" w:hAnsi="Arial" w:cs="Arial"/>
          <w:szCs w:val="32"/>
        </w:rPr>
      </w:pPr>
      <w:r w:rsidRPr="00931D46">
        <w:rPr>
          <w:rFonts w:ascii="Arial" w:eastAsiaTheme="majorEastAsia" w:hAnsi="Arial" w:cs="Arial"/>
          <w:szCs w:val="32"/>
        </w:rPr>
        <w:t>La CE señala que las zonas geográficas deben</w:t>
      </w:r>
      <w:r w:rsidR="00F85BF1" w:rsidRPr="00931D46">
        <w:rPr>
          <w:rFonts w:ascii="Arial" w:eastAsiaTheme="majorEastAsia" w:hAnsi="Arial" w:cs="Arial"/>
          <w:szCs w:val="32"/>
        </w:rPr>
        <w:t>:</w:t>
      </w:r>
      <w:r w:rsidRPr="00931D46">
        <w:rPr>
          <w:rFonts w:ascii="Arial" w:eastAsiaTheme="majorEastAsia" w:hAnsi="Arial" w:cs="Arial"/>
          <w:szCs w:val="32"/>
        </w:rPr>
        <w:t xml:space="preserve"> </w:t>
      </w:r>
      <w:r w:rsidR="003642B5" w:rsidRPr="00931D46">
        <w:rPr>
          <w:rFonts w:ascii="Arial" w:eastAsiaTheme="majorEastAsia" w:hAnsi="Arial" w:cs="Arial"/>
          <w:szCs w:val="32"/>
        </w:rPr>
        <w:t>i</w:t>
      </w:r>
      <w:r w:rsidRPr="00931D46">
        <w:rPr>
          <w:rFonts w:ascii="Arial" w:eastAsiaTheme="majorEastAsia" w:hAnsi="Arial" w:cs="Arial"/>
          <w:szCs w:val="32"/>
        </w:rPr>
        <w:t xml:space="preserve">) ser suficientemente pequeñas para evitar variaciones significativas de las condiciones </w:t>
      </w:r>
      <w:r w:rsidR="002F61A3" w:rsidRPr="00931D46">
        <w:rPr>
          <w:rFonts w:ascii="Arial" w:eastAsiaTheme="majorEastAsia" w:hAnsi="Arial" w:cs="Arial"/>
          <w:szCs w:val="32"/>
        </w:rPr>
        <w:t xml:space="preserve">de competencia </w:t>
      </w:r>
      <w:r w:rsidRPr="00931D46">
        <w:rPr>
          <w:rFonts w:ascii="Arial" w:eastAsiaTheme="majorEastAsia" w:hAnsi="Arial" w:cs="Arial"/>
          <w:szCs w:val="32"/>
        </w:rPr>
        <w:t xml:space="preserve">dentro de cada </w:t>
      </w:r>
      <w:r w:rsidR="00E23738" w:rsidRPr="00931D46">
        <w:rPr>
          <w:rFonts w:ascii="Arial" w:eastAsiaTheme="majorEastAsia" w:hAnsi="Arial" w:cs="Arial"/>
          <w:szCs w:val="32"/>
        </w:rPr>
        <w:t>zona geográfica</w:t>
      </w:r>
      <w:r w:rsidRPr="00931D46">
        <w:rPr>
          <w:rFonts w:ascii="Arial" w:eastAsiaTheme="majorEastAsia" w:hAnsi="Arial" w:cs="Arial"/>
          <w:szCs w:val="32"/>
        </w:rPr>
        <w:t xml:space="preserve">, pero suficientemente grandes para evitar microanálisis onerosos y exigentes en recursos que podrían conducir a la fragmentación del mercado; </w:t>
      </w:r>
      <w:r w:rsidR="003642B5" w:rsidRPr="00931D46">
        <w:rPr>
          <w:rFonts w:ascii="Arial" w:eastAsiaTheme="majorEastAsia" w:hAnsi="Arial" w:cs="Arial"/>
          <w:szCs w:val="32"/>
        </w:rPr>
        <w:t>ii</w:t>
      </w:r>
      <w:r w:rsidRPr="00931D46">
        <w:rPr>
          <w:rFonts w:ascii="Arial" w:eastAsiaTheme="majorEastAsia" w:hAnsi="Arial" w:cs="Arial"/>
          <w:szCs w:val="32"/>
        </w:rPr>
        <w:t xml:space="preserve">) ser capaces de reflejar la estructura de red de todos los operadores pertinentes; y </w:t>
      </w:r>
      <w:r w:rsidR="003642B5" w:rsidRPr="00931D46">
        <w:rPr>
          <w:rFonts w:ascii="Arial" w:eastAsiaTheme="majorEastAsia" w:hAnsi="Arial" w:cs="Arial"/>
          <w:szCs w:val="32"/>
        </w:rPr>
        <w:t>iii</w:t>
      </w:r>
      <w:r w:rsidRPr="00931D46">
        <w:rPr>
          <w:rFonts w:ascii="Arial" w:eastAsiaTheme="majorEastAsia" w:hAnsi="Arial" w:cs="Arial"/>
          <w:szCs w:val="32"/>
        </w:rPr>
        <w:t>) tener fronteras claras y estables a lo largo del tiempo. En particular, para las comunicaciones electrónicas, la CE señala que la dimensión geográfica se ha delimitado, tradicionalmente, con base en dos criterios:</w:t>
      </w:r>
      <w:r w:rsidRPr="00931D46">
        <w:rPr>
          <w:rStyle w:val="Refdenotaalpie"/>
          <w:rFonts w:ascii="Arial" w:hAnsi="Arial" w:cs="Arial"/>
        </w:rPr>
        <w:footnoteReference w:id="149"/>
      </w:r>
    </w:p>
    <w:p w14:paraId="1055EE02" w14:textId="77777777" w:rsidR="0023353F" w:rsidRPr="00931D46" w:rsidRDefault="0023353F" w:rsidP="0023353F">
      <w:pPr>
        <w:spacing w:before="0" w:after="0"/>
        <w:rPr>
          <w:rFonts w:ascii="Arial" w:eastAsiaTheme="majorEastAsia" w:hAnsi="Arial" w:cs="Arial"/>
          <w:szCs w:val="32"/>
        </w:rPr>
      </w:pPr>
    </w:p>
    <w:p w14:paraId="4B9870F5" w14:textId="77777777" w:rsidR="002B5389" w:rsidRPr="00931D46" w:rsidRDefault="00567EF3" w:rsidP="00A8609F">
      <w:pPr>
        <w:pStyle w:val="Prrafodelista"/>
        <w:numPr>
          <w:ilvl w:val="0"/>
          <w:numId w:val="21"/>
        </w:numPr>
        <w:spacing w:before="0" w:after="0"/>
        <w:ind w:hanging="578"/>
        <w:contextualSpacing w:val="0"/>
        <w:rPr>
          <w:rFonts w:ascii="Arial" w:eastAsiaTheme="majorEastAsia" w:hAnsi="Arial" w:cs="Arial"/>
          <w:szCs w:val="32"/>
        </w:rPr>
      </w:pPr>
      <w:r w:rsidRPr="00931D46">
        <w:rPr>
          <w:rFonts w:ascii="Arial" w:eastAsiaTheme="majorEastAsia" w:hAnsi="Arial" w:cs="Arial"/>
          <w:szCs w:val="32"/>
        </w:rPr>
        <w:t>L</w:t>
      </w:r>
      <w:r w:rsidR="002B5389" w:rsidRPr="00931D46">
        <w:rPr>
          <w:rFonts w:ascii="Arial" w:eastAsiaTheme="majorEastAsia" w:hAnsi="Arial" w:cs="Arial"/>
          <w:szCs w:val="32"/>
        </w:rPr>
        <w:t xml:space="preserve">a zona cubierta por una red (los límites de la zona en la que el operador esté autorizado a operar), </w:t>
      </w:r>
    </w:p>
    <w:p w14:paraId="3232439E" w14:textId="77777777" w:rsidR="002B5389" w:rsidRPr="00931D46" w:rsidRDefault="00567EF3" w:rsidP="00A8609F">
      <w:pPr>
        <w:pStyle w:val="Prrafodelista"/>
        <w:numPr>
          <w:ilvl w:val="0"/>
          <w:numId w:val="21"/>
        </w:numPr>
        <w:spacing w:before="0" w:after="0"/>
        <w:ind w:hanging="578"/>
        <w:contextualSpacing w:val="0"/>
        <w:rPr>
          <w:rFonts w:ascii="Arial" w:eastAsiaTheme="majorEastAsia" w:hAnsi="Arial" w:cs="Arial"/>
          <w:szCs w:val="32"/>
        </w:rPr>
      </w:pPr>
      <w:r w:rsidRPr="00931D46">
        <w:rPr>
          <w:rFonts w:ascii="Arial" w:eastAsiaTheme="majorEastAsia" w:hAnsi="Arial" w:cs="Arial"/>
          <w:szCs w:val="32"/>
        </w:rPr>
        <w:t>L</w:t>
      </w:r>
      <w:r w:rsidR="002B5389" w:rsidRPr="00931D46">
        <w:rPr>
          <w:rFonts w:ascii="Arial" w:eastAsiaTheme="majorEastAsia" w:hAnsi="Arial" w:cs="Arial"/>
          <w:szCs w:val="32"/>
        </w:rPr>
        <w:t>a existencia de instrumentos legales y reglamentarios.</w:t>
      </w:r>
    </w:p>
    <w:p w14:paraId="4D58CB5B" w14:textId="77777777" w:rsidR="002B5389" w:rsidRPr="00931D46" w:rsidRDefault="002B5389" w:rsidP="0023353F">
      <w:pPr>
        <w:spacing w:before="0" w:after="0"/>
        <w:rPr>
          <w:rFonts w:ascii="Arial" w:eastAsiaTheme="majorEastAsia" w:hAnsi="Arial" w:cs="Arial"/>
          <w:szCs w:val="32"/>
        </w:rPr>
      </w:pPr>
    </w:p>
    <w:p w14:paraId="627E3C6C" w14:textId="3780E1B5" w:rsidR="00E05C6F" w:rsidRPr="00931D46" w:rsidRDefault="00E05C6F" w:rsidP="0023353F">
      <w:pPr>
        <w:spacing w:before="0" w:after="0"/>
        <w:rPr>
          <w:rFonts w:ascii="Arial" w:hAnsi="Arial" w:cs="Arial"/>
          <w:color w:val="000000"/>
        </w:rPr>
      </w:pPr>
      <w:r w:rsidRPr="00931D46">
        <w:rPr>
          <w:rFonts w:ascii="Arial" w:hAnsi="Arial" w:cs="Arial"/>
          <w:color w:val="000000"/>
        </w:rPr>
        <w:t xml:space="preserve">Finalmente, la CE advierte que las fronteras geográficas del MR pueden ampliarse para tomar en consideración zonas geográficas que, aunque no sean directamente sustitutas, deberían incluirse en el MR a causa de </w:t>
      </w:r>
      <w:r w:rsidR="00A1458F" w:rsidRPr="00931D46">
        <w:rPr>
          <w:rFonts w:ascii="Arial" w:hAnsi="Arial" w:cs="Arial"/>
          <w:color w:val="000000"/>
        </w:rPr>
        <w:t xml:space="preserve">cadenas de </w:t>
      </w:r>
      <w:r w:rsidRPr="00931D46">
        <w:rPr>
          <w:rFonts w:ascii="Arial" w:hAnsi="Arial" w:cs="Arial"/>
          <w:color w:val="000000"/>
        </w:rPr>
        <w:t>sustitución.</w:t>
      </w:r>
      <w:r w:rsidRPr="00931D46">
        <w:rPr>
          <w:rStyle w:val="Refdenotaalpie"/>
          <w:rFonts w:ascii="Arial" w:hAnsi="Arial" w:cs="Arial"/>
          <w:color w:val="000000"/>
        </w:rPr>
        <w:footnoteReference w:id="150"/>
      </w:r>
    </w:p>
    <w:p w14:paraId="1FE0D753" w14:textId="77777777" w:rsidR="004A0EED" w:rsidRPr="00931D46" w:rsidRDefault="004A0EED" w:rsidP="0023353F">
      <w:pPr>
        <w:spacing w:before="0" w:after="0"/>
        <w:rPr>
          <w:rFonts w:ascii="Arial" w:hAnsi="Arial" w:cs="Arial"/>
          <w:color w:val="000000"/>
        </w:rPr>
      </w:pPr>
    </w:p>
    <w:p w14:paraId="0FB147B3" w14:textId="77777777" w:rsidR="004A0EED" w:rsidRPr="00931D46" w:rsidRDefault="004A0EED" w:rsidP="0023353F">
      <w:pPr>
        <w:spacing w:before="0" w:after="0"/>
        <w:rPr>
          <w:rFonts w:ascii="Arial" w:hAnsi="Arial" w:cs="Arial"/>
          <w:color w:val="000000"/>
        </w:rPr>
      </w:pPr>
      <w:r w:rsidRPr="00931D46">
        <w:rPr>
          <w:rFonts w:ascii="Arial" w:hAnsi="Arial" w:cs="Arial"/>
          <w:color w:val="000000"/>
        </w:rPr>
        <w:t>En relación con casos particulares, se destaca la concentración entre Ryanair y Aer Lingus, empresas irlandesas que ofrecen servicios de transporte aéreo programado punto a punto. En este caso, la CE determinó que la dimensión geográfica del MR corresponde al traslape de las rutas aéreas (</w:t>
      </w:r>
      <w:r w:rsidR="00D551A7" w:rsidRPr="00931D46">
        <w:rPr>
          <w:rFonts w:ascii="Arial" w:hAnsi="Arial" w:cs="Arial"/>
          <w:color w:val="000000"/>
        </w:rPr>
        <w:t>punto/</w:t>
      </w:r>
      <w:r w:rsidRPr="00931D46">
        <w:rPr>
          <w:rFonts w:ascii="Arial" w:hAnsi="Arial" w:cs="Arial"/>
          <w:color w:val="000000"/>
        </w:rPr>
        <w:t xml:space="preserve">región origen y </w:t>
      </w:r>
      <w:r w:rsidR="00D551A7" w:rsidRPr="00931D46">
        <w:rPr>
          <w:rFonts w:ascii="Arial" w:hAnsi="Arial" w:cs="Arial"/>
          <w:color w:val="000000"/>
        </w:rPr>
        <w:t>punto/</w:t>
      </w:r>
      <w:r w:rsidRPr="00931D46">
        <w:rPr>
          <w:rFonts w:ascii="Arial" w:hAnsi="Arial" w:cs="Arial"/>
          <w:color w:val="000000"/>
        </w:rPr>
        <w:t>región de destino) utilizadas por las partes, con base en los siguientes elementos:</w:t>
      </w:r>
      <w:r w:rsidR="000760D4" w:rsidRPr="00931D46">
        <w:rPr>
          <w:rStyle w:val="Refdenotaalpie"/>
          <w:rFonts w:ascii="Arial" w:hAnsi="Arial" w:cs="Arial"/>
          <w:color w:val="000000"/>
        </w:rPr>
        <w:footnoteReference w:id="151"/>
      </w:r>
    </w:p>
    <w:p w14:paraId="1F184884" w14:textId="77777777" w:rsidR="0023353F" w:rsidRPr="00931D46" w:rsidRDefault="0023353F" w:rsidP="0023353F">
      <w:pPr>
        <w:spacing w:before="0" w:after="0"/>
        <w:rPr>
          <w:rFonts w:ascii="Arial" w:hAnsi="Arial" w:cs="Arial"/>
          <w:color w:val="000000"/>
        </w:rPr>
      </w:pPr>
    </w:p>
    <w:p w14:paraId="01A2A30F" w14:textId="77777777" w:rsidR="004A0EED" w:rsidRPr="00931D46" w:rsidRDefault="004A0EED" w:rsidP="00A8609F">
      <w:pPr>
        <w:pStyle w:val="Prrafodelista"/>
        <w:numPr>
          <w:ilvl w:val="0"/>
          <w:numId w:val="21"/>
        </w:numPr>
        <w:spacing w:before="0" w:after="0"/>
        <w:ind w:hanging="578"/>
        <w:contextualSpacing w:val="0"/>
        <w:rPr>
          <w:rFonts w:ascii="Arial" w:eastAsiaTheme="majorEastAsia" w:hAnsi="Arial" w:cs="Arial"/>
          <w:szCs w:val="32"/>
        </w:rPr>
      </w:pPr>
      <w:r w:rsidRPr="00931D46">
        <w:rPr>
          <w:rFonts w:ascii="Arial" w:eastAsiaTheme="majorEastAsia" w:hAnsi="Arial" w:cs="Arial"/>
          <w:szCs w:val="32"/>
        </w:rPr>
        <w:t>Un análisis de correlación de precios de viajes entre pares de aeropuertos, utilizando variables de control (como los costos de combustible) y variables para el componente estacional (</w:t>
      </w:r>
      <w:r w:rsidRPr="00931D46">
        <w:rPr>
          <w:rFonts w:ascii="Arial" w:eastAsiaTheme="majorEastAsia" w:hAnsi="Arial" w:cs="Arial"/>
          <w:i/>
          <w:szCs w:val="32"/>
        </w:rPr>
        <w:t>dummies</w:t>
      </w:r>
      <w:r w:rsidRPr="00931D46">
        <w:rPr>
          <w:rFonts w:ascii="Arial" w:eastAsiaTheme="majorEastAsia" w:hAnsi="Arial" w:cs="Arial"/>
          <w:szCs w:val="32"/>
        </w:rPr>
        <w:t>). La CE consideró que dos áreas geográficas pertenecen al mismo MR si sus precios se mueven indefinidamente uno cerca del otro en el largo plazo, lo cual es más probable si el índice de correlación es positivo, significativo y se aproxima a uno o es superior a un punto de referencia establecido.</w:t>
      </w:r>
    </w:p>
    <w:p w14:paraId="57562547" w14:textId="77777777" w:rsidR="004A0EED" w:rsidRPr="00931D46" w:rsidRDefault="004A0EED" w:rsidP="00A8609F">
      <w:pPr>
        <w:pStyle w:val="Prrafodelista"/>
        <w:numPr>
          <w:ilvl w:val="0"/>
          <w:numId w:val="21"/>
        </w:numPr>
        <w:spacing w:before="0" w:after="0"/>
        <w:ind w:hanging="578"/>
        <w:contextualSpacing w:val="0"/>
        <w:rPr>
          <w:rFonts w:ascii="Arial" w:eastAsiaTheme="majorEastAsia" w:hAnsi="Arial" w:cs="Arial"/>
          <w:szCs w:val="32"/>
        </w:rPr>
      </w:pPr>
      <w:r w:rsidRPr="00931D46">
        <w:rPr>
          <w:rFonts w:ascii="Arial" w:eastAsiaTheme="majorEastAsia" w:hAnsi="Arial" w:cs="Arial"/>
          <w:szCs w:val="32"/>
        </w:rPr>
        <w:t>La capacidad de los pasajeros o de los proveedores del servicio de transporte aéreo (aerolíneas) para moverse de un par de aeropuertos a otro sin incurrir en grandes costos de transporte o costos de transacción, respectivamente.</w:t>
      </w:r>
    </w:p>
    <w:p w14:paraId="1EE102CB" w14:textId="77777777" w:rsidR="004A0EED" w:rsidRPr="00931D46" w:rsidRDefault="004A0EED" w:rsidP="00A8609F">
      <w:pPr>
        <w:pStyle w:val="Prrafodelista"/>
        <w:numPr>
          <w:ilvl w:val="0"/>
          <w:numId w:val="21"/>
        </w:numPr>
        <w:spacing w:before="0" w:after="0"/>
        <w:ind w:hanging="578"/>
        <w:contextualSpacing w:val="0"/>
        <w:rPr>
          <w:rFonts w:ascii="Arial" w:hAnsi="Arial" w:cs="Arial"/>
          <w:color w:val="000000"/>
        </w:rPr>
      </w:pPr>
      <w:r w:rsidRPr="00931D46">
        <w:rPr>
          <w:rFonts w:ascii="Arial" w:eastAsiaTheme="majorEastAsia" w:hAnsi="Arial" w:cs="Arial"/>
          <w:szCs w:val="32"/>
        </w:rPr>
        <w:t>Otros elementos considerados para la sustitución desde el lado de la demanda: el</w:t>
      </w:r>
      <w:r w:rsidR="007D665F" w:rsidRPr="00931D46">
        <w:rPr>
          <w:rFonts w:ascii="Arial" w:hAnsi="Arial" w:cs="Arial"/>
          <w:color w:val="000000"/>
        </w:rPr>
        <w:t xml:space="preserve"> tiempo del viaje,</w:t>
      </w:r>
      <w:r w:rsidRPr="00931D46">
        <w:rPr>
          <w:rFonts w:ascii="Arial" w:hAnsi="Arial" w:cs="Arial"/>
          <w:color w:val="000000"/>
        </w:rPr>
        <w:t xml:space="preserve"> el precio de viaje, los</w:t>
      </w:r>
      <w:r w:rsidR="007D665F" w:rsidRPr="00931D46">
        <w:rPr>
          <w:rFonts w:ascii="Arial" w:hAnsi="Arial" w:cs="Arial"/>
          <w:color w:val="000000"/>
        </w:rPr>
        <w:t xml:space="preserve"> horarios de vuelo y frecuencia</w:t>
      </w:r>
      <w:r w:rsidRPr="00931D46">
        <w:rPr>
          <w:rFonts w:ascii="Arial" w:hAnsi="Arial" w:cs="Arial"/>
          <w:color w:val="000000"/>
        </w:rPr>
        <w:t xml:space="preserve"> y la calidad de servicio.</w:t>
      </w:r>
    </w:p>
    <w:p w14:paraId="3934D733" w14:textId="77777777" w:rsidR="007D665F" w:rsidRPr="00931D46" w:rsidRDefault="007D665F" w:rsidP="0023353F">
      <w:pPr>
        <w:spacing w:before="0" w:after="0"/>
        <w:rPr>
          <w:rFonts w:ascii="Arial" w:hAnsi="Arial" w:cs="Arial"/>
          <w:color w:val="000000"/>
        </w:rPr>
      </w:pPr>
    </w:p>
    <w:p w14:paraId="3B3094DF" w14:textId="4464719D" w:rsidR="004A0EED" w:rsidRPr="00931D46" w:rsidRDefault="007D665F" w:rsidP="0023353F">
      <w:pPr>
        <w:spacing w:before="0" w:after="0"/>
        <w:rPr>
          <w:rFonts w:ascii="Arial" w:hAnsi="Arial" w:cs="Arial"/>
          <w:color w:val="000000"/>
        </w:rPr>
      </w:pPr>
      <w:r w:rsidRPr="00931D46">
        <w:rPr>
          <w:rFonts w:ascii="Arial" w:hAnsi="Arial" w:cs="Arial"/>
          <w:color w:val="000000"/>
        </w:rPr>
        <w:t>Cabe señalar que la CE consideró el</w:t>
      </w:r>
      <w:r w:rsidR="004A0EED" w:rsidRPr="00931D46">
        <w:rPr>
          <w:rFonts w:ascii="Arial" w:hAnsi="Arial" w:cs="Arial"/>
          <w:color w:val="000000"/>
        </w:rPr>
        <w:t xml:space="preserve"> análisis </w:t>
      </w:r>
      <w:r w:rsidRPr="00931D46">
        <w:rPr>
          <w:rFonts w:ascii="Arial" w:hAnsi="Arial" w:cs="Arial"/>
          <w:color w:val="000000"/>
        </w:rPr>
        <w:t xml:space="preserve">econométrico como </w:t>
      </w:r>
      <w:r w:rsidR="004A0EED" w:rsidRPr="00931D46">
        <w:rPr>
          <w:rFonts w:ascii="Arial" w:hAnsi="Arial" w:cs="Arial"/>
          <w:color w:val="000000"/>
        </w:rPr>
        <w:t xml:space="preserve">complementario al análisis de </w:t>
      </w:r>
      <w:r w:rsidR="00A8609F">
        <w:rPr>
          <w:rFonts w:ascii="Arial" w:hAnsi="Arial" w:cs="Arial"/>
          <w:color w:val="000000"/>
        </w:rPr>
        <w:t>l</w:t>
      </w:r>
      <w:r w:rsidR="004A0EED" w:rsidRPr="00931D46">
        <w:rPr>
          <w:rFonts w:ascii="Arial" w:hAnsi="Arial" w:cs="Arial"/>
          <w:color w:val="000000"/>
        </w:rPr>
        <w:t xml:space="preserve">a evidencia cualitativa y, </w:t>
      </w:r>
      <w:r w:rsidRPr="00931D46">
        <w:rPr>
          <w:rFonts w:ascii="Arial" w:hAnsi="Arial" w:cs="Arial"/>
          <w:color w:val="000000"/>
        </w:rPr>
        <w:t xml:space="preserve">señaló que </w:t>
      </w:r>
      <w:r w:rsidR="004A0EED" w:rsidRPr="00931D46">
        <w:rPr>
          <w:rFonts w:ascii="Arial" w:hAnsi="Arial" w:cs="Arial"/>
          <w:color w:val="000000"/>
        </w:rPr>
        <w:t xml:space="preserve">por sí mismo no </w:t>
      </w:r>
      <w:r w:rsidRPr="00931D46">
        <w:rPr>
          <w:rFonts w:ascii="Arial" w:hAnsi="Arial" w:cs="Arial"/>
          <w:color w:val="000000"/>
        </w:rPr>
        <w:t xml:space="preserve">era </w:t>
      </w:r>
      <w:r w:rsidR="004A0EED" w:rsidRPr="00931D46">
        <w:rPr>
          <w:rFonts w:ascii="Arial" w:hAnsi="Arial" w:cs="Arial"/>
          <w:color w:val="000000"/>
        </w:rPr>
        <w:t xml:space="preserve">una prueba determinante para la </w:t>
      </w:r>
      <w:r w:rsidRPr="00931D46">
        <w:rPr>
          <w:rFonts w:ascii="Arial" w:hAnsi="Arial" w:cs="Arial"/>
          <w:color w:val="000000"/>
        </w:rPr>
        <w:t>delimitación del MR, pues lo</w:t>
      </w:r>
      <w:r w:rsidR="004A0EED" w:rsidRPr="00931D46">
        <w:rPr>
          <w:rFonts w:ascii="Arial" w:hAnsi="Arial" w:cs="Arial"/>
          <w:color w:val="000000"/>
        </w:rPr>
        <w:t>s resultados son creíbles en la medida en que se ajustan a una evaluación coherente e intuitiva o puedan ser confirmados por otros estudios u observaciones.</w:t>
      </w:r>
    </w:p>
    <w:p w14:paraId="51CC0494" w14:textId="77777777" w:rsidR="00DF78CB" w:rsidRPr="00931D46" w:rsidRDefault="00DF78CB" w:rsidP="0023353F">
      <w:pPr>
        <w:spacing w:before="0" w:after="0"/>
        <w:rPr>
          <w:rFonts w:ascii="Arial" w:hAnsi="Arial" w:cs="Arial"/>
          <w:color w:val="000000"/>
        </w:rPr>
      </w:pPr>
    </w:p>
    <w:p w14:paraId="1AD88C3E" w14:textId="77777777" w:rsidR="00E162A8" w:rsidRPr="00931D46" w:rsidRDefault="00E162A8" w:rsidP="000760D4">
      <w:pPr>
        <w:pStyle w:val="Ttulo3"/>
        <w:keepLines w:val="0"/>
        <w:numPr>
          <w:ilvl w:val="2"/>
          <w:numId w:val="3"/>
        </w:numPr>
        <w:spacing w:before="0"/>
        <w:ind w:left="1701"/>
        <w:rPr>
          <w:rFonts w:ascii="Arial" w:eastAsia="Times New Roman" w:hAnsi="Arial" w:cs="Arial"/>
          <w:b/>
          <w:color w:val="auto"/>
          <w:sz w:val="26"/>
          <w:szCs w:val="26"/>
          <w:lang w:eastAsia="es-MX"/>
        </w:rPr>
      </w:pPr>
      <w:bookmarkStart w:id="118" w:name="_Toc42787648"/>
      <w:bookmarkStart w:id="119" w:name="_Toc42852848"/>
      <w:bookmarkStart w:id="120" w:name="_Toc42853004"/>
      <w:bookmarkStart w:id="121" w:name="_Toc43109000"/>
      <w:bookmarkStart w:id="122" w:name="_Toc43134217"/>
      <w:bookmarkStart w:id="123" w:name="_Toc43137702"/>
      <w:bookmarkStart w:id="124" w:name="_Toc43139146"/>
      <w:bookmarkStart w:id="125" w:name="_Toc43206610"/>
      <w:bookmarkStart w:id="126" w:name="_Toc43376740"/>
      <w:bookmarkStart w:id="127" w:name="_Toc44689089"/>
      <w:r w:rsidRPr="00931D46">
        <w:rPr>
          <w:rFonts w:ascii="Arial" w:eastAsia="Times New Roman" w:hAnsi="Arial" w:cs="Arial"/>
          <w:b/>
          <w:color w:val="auto"/>
          <w:sz w:val="26"/>
          <w:szCs w:val="26"/>
          <w:lang w:eastAsia="es-MX"/>
        </w:rPr>
        <w:t>Reino Unido</w:t>
      </w:r>
      <w:bookmarkEnd w:id="118"/>
      <w:bookmarkEnd w:id="119"/>
      <w:bookmarkEnd w:id="120"/>
      <w:bookmarkEnd w:id="121"/>
      <w:bookmarkEnd w:id="122"/>
      <w:bookmarkEnd w:id="123"/>
      <w:bookmarkEnd w:id="124"/>
      <w:bookmarkEnd w:id="125"/>
      <w:bookmarkEnd w:id="126"/>
      <w:bookmarkEnd w:id="127"/>
    </w:p>
    <w:p w14:paraId="0088DE46" w14:textId="77777777" w:rsidR="002B5389" w:rsidRPr="00931D46" w:rsidRDefault="002B5389" w:rsidP="0023353F">
      <w:pPr>
        <w:keepNext/>
        <w:spacing w:before="0" w:after="0"/>
        <w:rPr>
          <w:rFonts w:ascii="Arial" w:hAnsi="Arial" w:cs="Arial"/>
        </w:rPr>
      </w:pPr>
    </w:p>
    <w:p w14:paraId="1DC3DC4D" w14:textId="17E47792" w:rsidR="00E162A8" w:rsidRPr="00931D46" w:rsidRDefault="00E162A8" w:rsidP="0023353F">
      <w:pPr>
        <w:spacing w:before="0" w:after="0"/>
        <w:rPr>
          <w:rFonts w:ascii="Arial" w:hAnsi="Arial" w:cs="Arial"/>
        </w:rPr>
      </w:pPr>
      <w:r w:rsidRPr="00931D46">
        <w:rPr>
          <w:rFonts w:ascii="Arial" w:hAnsi="Arial" w:cs="Arial"/>
        </w:rPr>
        <w:t xml:space="preserve">La </w:t>
      </w:r>
      <w:r w:rsidR="001650B4" w:rsidRPr="00931D46">
        <w:rPr>
          <w:rFonts w:ascii="Arial" w:hAnsi="Arial" w:cs="Arial"/>
        </w:rPr>
        <w:t xml:space="preserve">autoridad de competencia del Reino Unido </w:t>
      </w:r>
      <w:r w:rsidRPr="00931D46">
        <w:rPr>
          <w:rFonts w:ascii="Arial" w:hAnsi="Arial" w:cs="Arial"/>
        </w:rPr>
        <w:t>señal</w:t>
      </w:r>
      <w:r w:rsidR="00555B4E" w:rsidRPr="00931D46">
        <w:rPr>
          <w:rFonts w:ascii="Arial" w:hAnsi="Arial" w:cs="Arial"/>
        </w:rPr>
        <w:t>a</w:t>
      </w:r>
      <w:r w:rsidRPr="00931D46">
        <w:rPr>
          <w:rFonts w:ascii="Arial" w:hAnsi="Arial" w:cs="Arial"/>
        </w:rPr>
        <w:t xml:space="preserve"> que la </w:t>
      </w:r>
      <w:r w:rsidR="00FE6307" w:rsidRPr="00931D46">
        <w:rPr>
          <w:rFonts w:ascii="Arial" w:hAnsi="Arial" w:cs="Arial"/>
        </w:rPr>
        <w:t>delimitación geográfica del MR</w:t>
      </w:r>
      <w:r w:rsidRPr="00931D46">
        <w:rPr>
          <w:rFonts w:ascii="Arial" w:hAnsi="Arial" w:cs="Arial"/>
        </w:rPr>
        <w:t xml:space="preserve"> se realiza con base en el mismo proceso que se utiliza para </w:t>
      </w:r>
      <w:r w:rsidR="00FE6307" w:rsidRPr="00931D46">
        <w:rPr>
          <w:rFonts w:ascii="Arial" w:hAnsi="Arial" w:cs="Arial"/>
        </w:rPr>
        <w:t xml:space="preserve">delimitar la dimensión </w:t>
      </w:r>
      <w:r w:rsidR="00330363">
        <w:rPr>
          <w:rFonts w:ascii="Arial" w:hAnsi="Arial" w:cs="Arial"/>
        </w:rPr>
        <w:t>producto</w:t>
      </w:r>
      <w:r w:rsidR="00A458BE" w:rsidRPr="00931D46">
        <w:rPr>
          <w:rFonts w:ascii="Arial" w:hAnsi="Arial" w:cs="Arial"/>
        </w:rPr>
        <w:t xml:space="preserve"> y </w:t>
      </w:r>
      <w:r w:rsidRPr="00931D46">
        <w:rPr>
          <w:rFonts w:ascii="Arial" w:hAnsi="Arial" w:cs="Arial"/>
        </w:rPr>
        <w:t xml:space="preserve">apunta algunas cuestiones prácticas que son importantes en la </w:t>
      </w:r>
      <w:r w:rsidR="00FC5A84" w:rsidRPr="00931D46">
        <w:rPr>
          <w:rFonts w:ascii="Arial" w:hAnsi="Arial" w:cs="Arial"/>
        </w:rPr>
        <w:t>delimitación geográfica</w:t>
      </w:r>
      <w:r w:rsidRPr="00931D46">
        <w:rPr>
          <w:rFonts w:ascii="Arial" w:hAnsi="Arial" w:cs="Arial"/>
        </w:rPr>
        <w:t>:</w:t>
      </w:r>
      <w:r w:rsidR="00FC5A84" w:rsidRPr="00931D46">
        <w:rPr>
          <w:rStyle w:val="Refdenotaalpie"/>
          <w:rFonts w:ascii="Arial" w:hAnsi="Arial" w:cs="Arial"/>
        </w:rPr>
        <w:footnoteReference w:id="152"/>
      </w:r>
    </w:p>
    <w:p w14:paraId="7DE74AA4" w14:textId="77777777" w:rsidR="0023353F" w:rsidRPr="00931D46" w:rsidRDefault="0023353F" w:rsidP="0023353F">
      <w:pPr>
        <w:spacing w:before="0" w:after="0"/>
        <w:rPr>
          <w:rFonts w:ascii="Arial" w:hAnsi="Arial" w:cs="Arial"/>
        </w:rPr>
      </w:pPr>
    </w:p>
    <w:p w14:paraId="2D2764A9" w14:textId="349AC880" w:rsidR="00E162A8" w:rsidRPr="00931D46" w:rsidRDefault="00FC5A84" w:rsidP="00A8609F">
      <w:pPr>
        <w:pStyle w:val="Prrafodelista"/>
        <w:numPr>
          <w:ilvl w:val="0"/>
          <w:numId w:val="22"/>
        </w:numPr>
        <w:spacing w:before="0" w:after="0"/>
        <w:ind w:left="709" w:hanging="567"/>
        <w:contextualSpacing w:val="0"/>
        <w:rPr>
          <w:rFonts w:ascii="Arial" w:hAnsi="Arial" w:cs="Arial"/>
        </w:rPr>
      </w:pPr>
      <w:r w:rsidRPr="00931D46">
        <w:rPr>
          <w:rFonts w:ascii="Arial" w:hAnsi="Arial" w:cs="Arial"/>
          <w:b/>
        </w:rPr>
        <w:t>Por e</w:t>
      </w:r>
      <w:r w:rsidR="00E162A8" w:rsidRPr="00931D46">
        <w:rPr>
          <w:rFonts w:ascii="Arial" w:hAnsi="Arial" w:cs="Arial"/>
          <w:b/>
        </w:rPr>
        <w:t>l lado de la demanda:</w:t>
      </w:r>
      <w:r w:rsidR="00E162A8" w:rsidRPr="00931D46">
        <w:rPr>
          <w:rFonts w:ascii="Arial" w:hAnsi="Arial" w:cs="Arial"/>
        </w:rPr>
        <w:t xml:space="preserve"> El proceso empieza con </w:t>
      </w:r>
      <w:r w:rsidRPr="00931D46">
        <w:rPr>
          <w:rFonts w:ascii="Arial" w:hAnsi="Arial" w:cs="Arial"/>
        </w:rPr>
        <w:t xml:space="preserve">identificar </w:t>
      </w:r>
      <w:r w:rsidR="00E162A8" w:rsidRPr="00931D46">
        <w:rPr>
          <w:rFonts w:ascii="Arial" w:hAnsi="Arial" w:cs="Arial"/>
        </w:rPr>
        <w:t xml:space="preserve">el área focal, </w:t>
      </w:r>
      <w:r w:rsidRPr="00931D46">
        <w:rPr>
          <w:rFonts w:ascii="Arial" w:hAnsi="Arial" w:cs="Arial"/>
        </w:rPr>
        <w:t xml:space="preserve">a la cual </w:t>
      </w:r>
      <w:r w:rsidR="00E162A8" w:rsidRPr="00931D46">
        <w:rPr>
          <w:rFonts w:ascii="Arial" w:hAnsi="Arial" w:cs="Arial"/>
        </w:rPr>
        <w:t xml:space="preserve">se aplica la </w:t>
      </w:r>
      <w:r w:rsidR="00395730" w:rsidRPr="00931D46">
        <w:rPr>
          <w:rFonts w:ascii="Arial" w:hAnsi="Arial" w:cs="Arial"/>
        </w:rPr>
        <w:t>P</w:t>
      </w:r>
      <w:r w:rsidR="00E162A8" w:rsidRPr="00931D46">
        <w:rPr>
          <w:rFonts w:ascii="Arial" w:hAnsi="Arial" w:cs="Arial"/>
        </w:rPr>
        <w:t xml:space="preserve">rueba </w:t>
      </w:r>
      <w:r w:rsidRPr="00931D46">
        <w:rPr>
          <w:rFonts w:ascii="Arial" w:hAnsi="Arial" w:cs="Arial"/>
        </w:rPr>
        <w:t>SSNIP</w:t>
      </w:r>
      <w:r w:rsidR="00E162A8" w:rsidRPr="00931D46">
        <w:rPr>
          <w:rFonts w:ascii="Arial" w:hAnsi="Arial" w:cs="Arial"/>
        </w:rPr>
        <w:t xml:space="preserve"> y </w:t>
      </w:r>
      <w:r w:rsidRPr="00931D46">
        <w:rPr>
          <w:rFonts w:ascii="Arial" w:hAnsi="Arial" w:cs="Arial"/>
        </w:rPr>
        <w:t xml:space="preserve">se agregan otras </w:t>
      </w:r>
      <w:r w:rsidR="00E162A8" w:rsidRPr="00931D46">
        <w:rPr>
          <w:rFonts w:ascii="Arial" w:hAnsi="Arial" w:cs="Arial"/>
        </w:rPr>
        <w:t xml:space="preserve">áreas geográficas </w:t>
      </w:r>
      <w:r w:rsidRPr="00931D46">
        <w:rPr>
          <w:rFonts w:ascii="Arial" w:hAnsi="Arial" w:cs="Arial"/>
        </w:rPr>
        <w:t>hasta que se satisfaga la prueba.</w:t>
      </w:r>
      <w:r w:rsidR="00E162A8" w:rsidRPr="00931D46">
        <w:rPr>
          <w:rFonts w:ascii="Arial" w:hAnsi="Arial" w:cs="Arial"/>
        </w:rPr>
        <w:t xml:space="preserve"> </w:t>
      </w:r>
      <w:r w:rsidR="00A458BE" w:rsidRPr="00931D46">
        <w:rPr>
          <w:rFonts w:ascii="Arial" w:hAnsi="Arial" w:cs="Arial"/>
        </w:rPr>
        <w:t xml:space="preserve">También se utiliza </w:t>
      </w:r>
      <w:r w:rsidR="00E162A8" w:rsidRPr="00931D46">
        <w:rPr>
          <w:rFonts w:ascii="Arial" w:hAnsi="Arial" w:cs="Arial"/>
        </w:rPr>
        <w:t>evidencia sobre discriminación de precios</w:t>
      </w:r>
      <w:r w:rsidR="00A458BE" w:rsidRPr="00931D46">
        <w:rPr>
          <w:rFonts w:ascii="Arial" w:hAnsi="Arial" w:cs="Arial"/>
        </w:rPr>
        <w:t xml:space="preserve"> en razón de la ubicación de los consumidores,</w:t>
      </w:r>
      <w:r w:rsidR="00E162A8" w:rsidRPr="00931D46">
        <w:rPr>
          <w:rFonts w:ascii="Arial" w:hAnsi="Arial" w:cs="Arial"/>
        </w:rPr>
        <w:t xml:space="preserve"> cadenas de sustitución</w:t>
      </w:r>
      <w:r w:rsidR="00A458BE" w:rsidRPr="00931D46">
        <w:rPr>
          <w:rFonts w:ascii="Arial" w:hAnsi="Arial" w:cs="Arial"/>
        </w:rPr>
        <w:t xml:space="preserve"> y costos de transporte de los consumidores para acudir a otras zonas</w:t>
      </w:r>
      <w:r w:rsidR="00E162A8" w:rsidRPr="00931D46">
        <w:rPr>
          <w:rFonts w:ascii="Arial" w:hAnsi="Arial" w:cs="Arial"/>
        </w:rPr>
        <w:t xml:space="preserve">. </w:t>
      </w:r>
    </w:p>
    <w:p w14:paraId="5B4D78FD" w14:textId="0A973E78" w:rsidR="00E162A8" w:rsidRPr="00931D46" w:rsidRDefault="00FC5A84" w:rsidP="00A8609F">
      <w:pPr>
        <w:pStyle w:val="Prrafodelista"/>
        <w:numPr>
          <w:ilvl w:val="0"/>
          <w:numId w:val="22"/>
        </w:numPr>
        <w:spacing w:before="0" w:after="0"/>
        <w:ind w:left="709" w:hanging="567"/>
        <w:contextualSpacing w:val="0"/>
        <w:rPr>
          <w:rFonts w:ascii="Arial" w:hAnsi="Arial" w:cs="Arial"/>
        </w:rPr>
      </w:pPr>
      <w:r w:rsidRPr="00931D46">
        <w:rPr>
          <w:rFonts w:ascii="Arial" w:hAnsi="Arial" w:cs="Arial"/>
          <w:b/>
        </w:rPr>
        <w:t>Por e</w:t>
      </w:r>
      <w:r w:rsidR="00E162A8" w:rsidRPr="00931D46">
        <w:rPr>
          <w:rFonts w:ascii="Arial" w:hAnsi="Arial" w:cs="Arial"/>
          <w:b/>
        </w:rPr>
        <w:t>l lado de la oferta:</w:t>
      </w:r>
      <w:r w:rsidR="00E162A8" w:rsidRPr="00931D46">
        <w:rPr>
          <w:rFonts w:ascii="Arial" w:hAnsi="Arial" w:cs="Arial"/>
        </w:rPr>
        <w:t xml:space="preserve"> Se analiza la posibilidad de </w:t>
      </w:r>
      <w:r w:rsidR="00A458BE" w:rsidRPr="00931D46">
        <w:rPr>
          <w:rFonts w:ascii="Arial" w:hAnsi="Arial" w:cs="Arial"/>
        </w:rPr>
        <w:t xml:space="preserve">que </w:t>
      </w:r>
      <w:r w:rsidR="00E162A8" w:rsidRPr="00931D46">
        <w:rPr>
          <w:rFonts w:ascii="Arial" w:hAnsi="Arial" w:cs="Arial"/>
        </w:rPr>
        <w:t xml:space="preserve">empresas ubicadas en otras zonas (aledañas) </w:t>
      </w:r>
      <w:r w:rsidR="00A458BE" w:rsidRPr="00931D46">
        <w:rPr>
          <w:rFonts w:ascii="Arial" w:hAnsi="Arial" w:cs="Arial"/>
        </w:rPr>
        <w:t>puedan a</w:t>
      </w:r>
      <w:r w:rsidR="00E162A8" w:rsidRPr="00931D46">
        <w:rPr>
          <w:rFonts w:ascii="Arial" w:hAnsi="Arial" w:cs="Arial"/>
        </w:rPr>
        <w:t>bastecer al área focal</w:t>
      </w:r>
      <w:r w:rsidR="00A458BE" w:rsidRPr="00931D46">
        <w:rPr>
          <w:rFonts w:ascii="Arial" w:hAnsi="Arial" w:cs="Arial"/>
        </w:rPr>
        <w:t xml:space="preserve"> oportunamente y sin costos considerables</w:t>
      </w:r>
      <w:r w:rsidR="00E162A8" w:rsidRPr="00931D46">
        <w:rPr>
          <w:rFonts w:ascii="Arial" w:hAnsi="Arial" w:cs="Arial"/>
        </w:rPr>
        <w:t xml:space="preserve">. </w:t>
      </w:r>
      <w:r w:rsidR="00A458BE" w:rsidRPr="00931D46">
        <w:rPr>
          <w:rFonts w:ascii="Arial" w:hAnsi="Arial" w:cs="Arial"/>
        </w:rPr>
        <w:t xml:space="preserve">Se utiliza </w:t>
      </w:r>
      <w:r w:rsidR="00E162A8" w:rsidRPr="00931D46">
        <w:rPr>
          <w:rFonts w:ascii="Arial" w:hAnsi="Arial" w:cs="Arial"/>
        </w:rPr>
        <w:t xml:space="preserve">evidencia </w:t>
      </w:r>
      <w:r w:rsidR="00A458BE" w:rsidRPr="00931D46">
        <w:rPr>
          <w:rFonts w:ascii="Arial" w:hAnsi="Arial" w:cs="Arial"/>
        </w:rPr>
        <w:t>sobre</w:t>
      </w:r>
      <w:r w:rsidR="00E162A8" w:rsidRPr="00931D46">
        <w:rPr>
          <w:rFonts w:ascii="Arial" w:hAnsi="Arial" w:cs="Arial"/>
        </w:rPr>
        <w:t xml:space="preserve"> costos </w:t>
      </w:r>
      <w:r w:rsidR="00A458BE" w:rsidRPr="00931D46">
        <w:rPr>
          <w:rFonts w:ascii="Arial" w:hAnsi="Arial" w:cs="Arial"/>
        </w:rPr>
        <w:t xml:space="preserve">para transportar los </w:t>
      </w:r>
      <w:r w:rsidR="00330363">
        <w:rPr>
          <w:rFonts w:ascii="Arial" w:hAnsi="Arial" w:cs="Arial"/>
        </w:rPr>
        <w:t>productos</w:t>
      </w:r>
      <w:r w:rsidR="00A458BE" w:rsidRPr="00931D46">
        <w:rPr>
          <w:rFonts w:ascii="Arial" w:hAnsi="Arial" w:cs="Arial"/>
        </w:rPr>
        <w:t xml:space="preserve"> y flujos comerciales</w:t>
      </w:r>
      <w:r w:rsidR="00E162A8" w:rsidRPr="00931D46">
        <w:rPr>
          <w:rFonts w:ascii="Arial" w:hAnsi="Arial" w:cs="Arial"/>
        </w:rPr>
        <w:t xml:space="preserve">. </w:t>
      </w:r>
      <w:r w:rsidR="00A458BE" w:rsidRPr="00931D46">
        <w:rPr>
          <w:rFonts w:ascii="Arial" w:hAnsi="Arial" w:cs="Arial"/>
        </w:rPr>
        <w:t>C</w:t>
      </w:r>
      <w:r w:rsidR="00E162A8" w:rsidRPr="00931D46">
        <w:rPr>
          <w:rFonts w:ascii="Arial" w:hAnsi="Arial" w:cs="Arial"/>
        </w:rPr>
        <w:t>uando se analiza si un mercado geográfico debe definirse con dimensión más amplia que nacional</w:t>
      </w:r>
      <w:r w:rsidR="00A458BE" w:rsidRPr="00931D46">
        <w:rPr>
          <w:rFonts w:ascii="Arial" w:hAnsi="Arial" w:cs="Arial"/>
        </w:rPr>
        <w:t xml:space="preserve"> pueden observarse datos de importaciones</w:t>
      </w:r>
      <w:r w:rsidR="00E162A8" w:rsidRPr="00931D46">
        <w:rPr>
          <w:rFonts w:ascii="Arial" w:hAnsi="Arial" w:cs="Arial"/>
        </w:rPr>
        <w:t>.</w:t>
      </w:r>
    </w:p>
    <w:p w14:paraId="46277AB2" w14:textId="77777777" w:rsidR="00FC5A84" w:rsidRPr="00931D46" w:rsidRDefault="00FC5A84" w:rsidP="0023353F">
      <w:pPr>
        <w:spacing w:before="0" w:after="0"/>
        <w:rPr>
          <w:rFonts w:ascii="Arial" w:hAnsi="Arial" w:cs="Arial"/>
        </w:rPr>
      </w:pPr>
    </w:p>
    <w:p w14:paraId="739AD102" w14:textId="2683C1E8" w:rsidR="00E162A8" w:rsidRPr="00931D46" w:rsidRDefault="00E162A8" w:rsidP="0023353F">
      <w:pPr>
        <w:spacing w:before="0" w:after="0"/>
        <w:rPr>
          <w:rFonts w:ascii="Arial" w:hAnsi="Arial" w:cs="Arial"/>
        </w:rPr>
      </w:pPr>
      <w:r w:rsidRPr="00931D46">
        <w:rPr>
          <w:rFonts w:ascii="Arial" w:hAnsi="Arial" w:cs="Arial"/>
        </w:rPr>
        <w:t xml:space="preserve">Por su parte, </w:t>
      </w:r>
      <w:r w:rsidR="00A458BE" w:rsidRPr="00931D46">
        <w:rPr>
          <w:rFonts w:ascii="Arial" w:hAnsi="Arial" w:cs="Arial"/>
        </w:rPr>
        <w:t>Ofcom</w:t>
      </w:r>
      <w:r w:rsidRPr="00931D46">
        <w:rPr>
          <w:rFonts w:ascii="Arial" w:hAnsi="Arial" w:cs="Arial"/>
        </w:rPr>
        <w:t xml:space="preserve"> ha delimitado geográficamente mercados con base en la homogeneidad de las condiciones de competencia. Por ejemplo, en sus revisiones del mercado </w:t>
      </w:r>
      <w:r w:rsidR="00A458BE" w:rsidRPr="00931D46">
        <w:rPr>
          <w:rFonts w:ascii="Arial" w:hAnsi="Arial" w:cs="Arial"/>
        </w:rPr>
        <w:t xml:space="preserve">mayorista </w:t>
      </w:r>
      <w:r w:rsidRPr="00931D46">
        <w:rPr>
          <w:rFonts w:ascii="Arial" w:hAnsi="Arial" w:cs="Arial"/>
        </w:rPr>
        <w:t>de enlaces dedicados,</w:t>
      </w:r>
      <w:r w:rsidRPr="00931D46">
        <w:rPr>
          <w:rStyle w:val="Refdenotaalpie"/>
          <w:rFonts w:ascii="Arial" w:hAnsi="Arial" w:cs="Arial"/>
        </w:rPr>
        <w:footnoteReference w:id="153"/>
      </w:r>
      <w:r w:rsidRPr="00931D46">
        <w:rPr>
          <w:rFonts w:ascii="Arial" w:hAnsi="Arial" w:cs="Arial"/>
        </w:rPr>
        <w:t xml:space="preserve"> consideró apropiado y práctico identificar mercados regionales</w:t>
      </w:r>
      <w:r w:rsidR="00B32460" w:rsidRPr="00931D46">
        <w:rPr>
          <w:rFonts w:ascii="Arial" w:hAnsi="Arial" w:cs="Arial"/>
        </w:rPr>
        <w:t xml:space="preserve"> con base en la </w:t>
      </w:r>
      <w:r w:rsidRPr="00931D46">
        <w:rPr>
          <w:rFonts w:ascii="Arial" w:hAnsi="Arial" w:cs="Arial"/>
        </w:rPr>
        <w:t xml:space="preserve">homogeneidad de las condiciones </w:t>
      </w:r>
      <w:r w:rsidR="002F61A3" w:rsidRPr="00931D46">
        <w:rPr>
          <w:rFonts w:ascii="Arial" w:hAnsi="Arial" w:cs="Arial"/>
        </w:rPr>
        <w:t xml:space="preserve">de competencia </w:t>
      </w:r>
      <w:r w:rsidR="00B32460" w:rsidRPr="00931D46">
        <w:rPr>
          <w:rFonts w:ascii="Arial" w:hAnsi="Arial" w:cs="Arial"/>
        </w:rPr>
        <w:t>de las unidades geográficas</w:t>
      </w:r>
      <w:r w:rsidR="00DB7638" w:rsidRPr="00931D46">
        <w:rPr>
          <w:rFonts w:ascii="Arial" w:hAnsi="Arial" w:cs="Arial"/>
        </w:rPr>
        <w:t>,</w:t>
      </w:r>
      <w:r w:rsidR="00B32460" w:rsidRPr="00931D46">
        <w:rPr>
          <w:rFonts w:ascii="Arial" w:hAnsi="Arial" w:cs="Arial"/>
        </w:rPr>
        <w:t xml:space="preserve"> </w:t>
      </w:r>
      <w:r w:rsidR="00DB7638" w:rsidRPr="00931D46">
        <w:rPr>
          <w:rFonts w:ascii="Arial" w:hAnsi="Arial" w:cs="Arial"/>
        </w:rPr>
        <w:t>considerando</w:t>
      </w:r>
      <w:r w:rsidR="00B32460" w:rsidRPr="00931D46">
        <w:rPr>
          <w:rFonts w:ascii="Arial" w:hAnsi="Arial" w:cs="Arial"/>
        </w:rPr>
        <w:t xml:space="preserve"> factores como: i) el número de proveedores </w:t>
      </w:r>
      <w:r w:rsidR="00DF78CB" w:rsidRPr="00931D46">
        <w:rPr>
          <w:rFonts w:ascii="Arial" w:hAnsi="Arial" w:cs="Arial"/>
        </w:rPr>
        <w:t xml:space="preserve">presentes </w:t>
      </w:r>
      <w:r w:rsidR="00B32460" w:rsidRPr="00931D46">
        <w:rPr>
          <w:rFonts w:ascii="Arial" w:hAnsi="Arial" w:cs="Arial"/>
        </w:rPr>
        <w:t>con red (con una proximidad razonable a clientes comerciales),</w:t>
      </w:r>
      <w:r w:rsidR="00B32460" w:rsidRPr="00931D46">
        <w:rPr>
          <w:rStyle w:val="Refdenotaalpie"/>
          <w:rFonts w:ascii="Arial" w:hAnsi="Arial" w:cs="Arial"/>
        </w:rPr>
        <w:footnoteReference w:id="154"/>
      </w:r>
      <w:r w:rsidR="00B32460" w:rsidRPr="00931D46">
        <w:rPr>
          <w:rFonts w:ascii="Arial" w:hAnsi="Arial" w:cs="Arial"/>
        </w:rPr>
        <w:t xml:space="preserve"> ii) la distribución de participaciones de mercado y iii) los precios.</w:t>
      </w:r>
      <w:r w:rsidRPr="00931D46">
        <w:rPr>
          <w:rFonts w:ascii="Arial" w:hAnsi="Arial" w:cs="Arial"/>
        </w:rPr>
        <w:t xml:space="preserve"> La unidad geográfica básica para el análisis fue el sector de código postal,</w:t>
      </w:r>
      <w:r w:rsidRPr="00931D46" w:rsidDel="00166C23">
        <w:rPr>
          <w:rStyle w:val="Refdenotaalpie"/>
          <w:rFonts w:ascii="Arial" w:hAnsi="Arial" w:cs="Arial"/>
        </w:rPr>
        <w:t xml:space="preserve"> </w:t>
      </w:r>
      <w:r w:rsidRPr="00931D46">
        <w:rPr>
          <w:rFonts w:ascii="Arial" w:hAnsi="Arial" w:cs="Arial"/>
        </w:rPr>
        <w:t>ya que consideró que proporciona un equilibrio apropiado entre practicidad y granularidad</w:t>
      </w:r>
      <w:r w:rsidR="00A458BE" w:rsidRPr="00931D46">
        <w:rPr>
          <w:rFonts w:ascii="Arial" w:hAnsi="Arial" w:cs="Arial"/>
        </w:rPr>
        <w:t xml:space="preserve"> de la información</w:t>
      </w:r>
      <w:r w:rsidRPr="00931D46">
        <w:rPr>
          <w:rFonts w:ascii="Arial" w:hAnsi="Arial" w:cs="Arial"/>
        </w:rPr>
        <w:t xml:space="preserve">. </w:t>
      </w:r>
    </w:p>
    <w:p w14:paraId="15512B78" w14:textId="77777777" w:rsidR="00FC5A84" w:rsidRPr="00931D46" w:rsidRDefault="00FC5A84" w:rsidP="0023353F">
      <w:pPr>
        <w:spacing w:before="0" w:after="0"/>
        <w:rPr>
          <w:rFonts w:ascii="Arial" w:hAnsi="Arial" w:cs="Arial"/>
        </w:rPr>
      </w:pPr>
    </w:p>
    <w:p w14:paraId="65FD6A3E" w14:textId="77777777" w:rsidR="00E162A8" w:rsidRPr="00931D46" w:rsidRDefault="002B5389" w:rsidP="00C60527">
      <w:pPr>
        <w:pStyle w:val="Ttulo3"/>
        <w:keepLines w:val="0"/>
        <w:numPr>
          <w:ilvl w:val="2"/>
          <w:numId w:val="3"/>
        </w:numPr>
        <w:spacing w:before="0"/>
        <w:ind w:left="1701"/>
        <w:rPr>
          <w:rFonts w:ascii="Arial" w:eastAsia="Times New Roman" w:hAnsi="Arial" w:cs="Arial"/>
          <w:b/>
          <w:color w:val="auto"/>
          <w:sz w:val="26"/>
          <w:szCs w:val="26"/>
          <w:lang w:eastAsia="es-MX"/>
        </w:rPr>
      </w:pPr>
      <w:bookmarkStart w:id="128" w:name="_Toc42852849"/>
      <w:bookmarkStart w:id="129" w:name="_Toc42853005"/>
      <w:bookmarkStart w:id="130" w:name="_Toc43109001"/>
      <w:bookmarkStart w:id="131" w:name="_Toc43134218"/>
      <w:bookmarkStart w:id="132" w:name="_Toc43137703"/>
      <w:bookmarkStart w:id="133" w:name="_Toc43139147"/>
      <w:bookmarkStart w:id="134" w:name="_Toc43206611"/>
      <w:bookmarkStart w:id="135" w:name="_Toc43376741"/>
      <w:bookmarkStart w:id="136" w:name="_Toc44689090"/>
      <w:r w:rsidRPr="00931D46">
        <w:rPr>
          <w:rFonts w:ascii="Arial" w:eastAsia="Times New Roman" w:hAnsi="Arial" w:cs="Arial"/>
          <w:b/>
          <w:color w:val="auto"/>
          <w:sz w:val="26"/>
          <w:szCs w:val="26"/>
          <w:lang w:eastAsia="es-MX"/>
        </w:rPr>
        <w:t>Canadá</w:t>
      </w:r>
      <w:r w:rsidR="00E162A8" w:rsidRPr="00931D46">
        <w:rPr>
          <w:rFonts w:ascii="Arial" w:eastAsia="Times New Roman" w:hAnsi="Arial" w:cs="Arial"/>
          <w:b/>
          <w:color w:val="auto"/>
          <w:sz w:val="26"/>
          <w:szCs w:val="26"/>
          <w:vertAlign w:val="superscript"/>
          <w:lang w:eastAsia="es-MX"/>
        </w:rPr>
        <w:footnoteReference w:id="155"/>
      </w:r>
      <w:bookmarkEnd w:id="128"/>
      <w:bookmarkEnd w:id="129"/>
      <w:bookmarkEnd w:id="130"/>
      <w:bookmarkEnd w:id="131"/>
      <w:bookmarkEnd w:id="132"/>
      <w:bookmarkEnd w:id="133"/>
      <w:bookmarkEnd w:id="134"/>
      <w:bookmarkEnd w:id="135"/>
      <w:bookmarkEnd w:id="136"/>
    </w:p>
    <w:p w14:paraId="45E1A996" w14:textId="77777777" w:rsidR="002B5389" w:rsidRPr="00931D46" w:rsidRDefault="002B5389" w:rsidP="0023353F">
      <w:pPr>
        <w:keepNext/>
        <w:spacing w:before="0" w:after="0"/>
        <w:rPr>
          <w:rFonts w:ascii="Arial" w:hAnsi="Arial" w:cs="Arial"/>
        </w:rPr>
      </w:pPr>
    </w:p>
    <w:p w14:paraId="7D33A9E4" w14:textId="4104EA92" w:rsidR="00DF78CB" w:rsidRPr="00931D46" w:rsidRDefault="00DF78CB" w:rsidP="0023353F">
      <w:pPr>
        <w:spacing w:before="0" w:after="0"/>
        <w:rPr>
          <w:rFonts w:ascii="Arial" w:hAnsi="Arial" w:cs="Arial"/>
        </w:rPr>
      </w:pPr>
      <w:r w:rsidRPr="00931D46">
        <w:rPr>
          <w:rFonts w:ascii="Arial" w:hAnsi="Arial" w:cs="Arial"/>
        </w:rPr>
        <w:t>De acuerdo con la CB</w:t>
      </w:r>
      <w:r w:rsidR="00E75907" w:rsidRPr="00931D46">
        <w:rPr>
          <w:rFonts w:ascii="Arial" w:hAnsi="Arial" w:cs="Arial"/>
        </w:rPr>
        <w:t>C</w:t>
      </w:r>
      <w:r w:rsidRPr="00931D46">
        <w:rPr>
          <w:rFonts w:ascii="Arial" w:hAnsi="Arial" w:cs="Arial"/>
        </w:rPr>
        <w:t xml:space="preserve">, para la delimitación geográfica del MR, lo que importa no es la identidad </w:t>
      </w:r>
      <w:r w:rsidR="000760D4" w:rsidRPr="00931D46">
        <w:rPr>
          <w:rFonts w:ascii="Arial" w:hAnsi="Arial" w:cs="Arial"/>
        </w:rPr>
        <w:t xml:space="preserve">y características </w:t>
      </w:r>
      <w:r w:rsidRPr="00931D46">
        <w:rPr>
          <w:rFonts w:ascii="Arial" w:hAnsi="Arial" w:cs="Arial"/>
        </w:rPr>
        <w:t>de los vendedores, sino la</w:t>
      </w:r>
      <w:r w:rsidR="000760D4" w:rsidRPr="00931D46">
        <w:rPr>
          <w:rFonts w:ascii="Arial" w:hAnsi="Arial" w:cs="Arial"/>
        </w:rPr>
        <w:t xml:space="preserve">s </w:t>
      </w:r>
      <w:r w:rsidRPr="00931D46">
        <w:rPr>
          <w:rFonts w:ascii="Arial" w:hAnsi="Arial" w:cs="Arial"/>
        </w:rPr>
        <w:t xml:space="preserve">características de los </w:t>
      </w:r>
      <w:r w:rsidR="00330363">
        <w:rPr>
          <w:rFonts w:ascii="Arial" w:hAnsi="Arial" w:cs="Arial"/>
        </w:rPr>
        <w:t>productos</w:t>
      </w:r>
      <w:r w:rsidRPr="00931D46">
        <w:rPr>
          <w:rFonts w:ascii="Arial" w:hAnsi="Arial" w:cs="Arial"/>
        </w:rPr>
        <w:t xml:space="preserve"> y la </w:t>
      </w:r>
      <w:r w:rsidR="000760D4" w:rsidRPr="00931D46">
        <w:rPr>
          <w:rFonts w:ascii="Arial" w:hAnsi="Arial" w:cs="Arial"/>
        </w:rPr>
        <w:t>capacidad</w:t>
      </w:r>
      <w:r w:rsidRPr="00931D46">
        <w:rPr>
          <w:rFonts w:ascii="Arial" w:hAnsi="Arial" w:cs="Arial"/>
        </w:rPr>
        <w:t xml:space="preserve"> o disposición de los consumidores para cambiar </w:t>
      </w:r>
      <w:r w:rsidR="000D1278" w:rsidRPr="00931D46">
        <w:rPr>
          <w:rFonts w:ascii="Arial" w:hAnsi="Arial" w:cs="Arial"/>
        </w:rPr>
        <w:t xml:space="preserve">sus compras en cantidad suficiente </w:t>
      </w:r>
      <w:r w:rsidRPr="00931D46">
        <w:rPr>
          <w:rFonts w:ascii="Arial" w:hAnsi="Arial" w:cs="Arial"/>
        </w:rPr>
        <w:t>de</w:t>
      </w:r>
      <w:r w:rsidR="000D1278" w:rsidRPr="00931D46">
        <w:rPr>
          <w:rFonts w:ascii="Arial" w:hAnsi="Arial" w:cs="Arial"/>
        </w:rPr>
        <w:t xml:space="preserve"> proveedores situados en un lugar a proveedores en otro</w:t>
      </w:r>
      <w:r w:rsidRPr="00931D46">
        <w:rPr>
          <w:rFonts w:ascii="Arial" w:hAnsi="Arial" w:cs="Arial"/>
        </w:rPr>
        <w:t xml:space="preserve"> </w:t>
      </w:r>
      <w:r w:rsidR="000D1278" w:rsidRPr="00931D46">
        <w:rPr>
          <w:rFonts w:ascii="Arial" w:hAnsi="Arial" w:cs="Arial"/>
        </w:rPr>
        <w:t>lugar,</w:t>
      </w:r>
      <w:r w:rsidRPr="00931D46">
        <w:rPr>
          <w:rFonts w:ascii="Arial" w:hAnsi="Arial" w:cs="Arial"/>
        </w:rPr>
        <w:t xml:space="preserve"> en respuesta a cambios en los precios relativos.</w:t>
      </w:r>
    </w:p>
    <w:p w14:paraId="42099E31" w14:textId="77777777" w:rsidR="00DF78CB" w:rsidRPr="00931D46" w:rsidRDefault="00DF78CB" w:rsidP="0023353F">
      <w:pPr>
        <w:spacing w:before="0" w:after="0"/>
        <w:rPr>
          <w:rFonts w:ascii="Arial" w:hAnsi="Arial" w:cs="Arial"/>
        </w:rPr>
      </w:pPr>
    </w:p>
    <w:p w14:paraId="06069C24" w14:textId="77777777" w:rsidR="00E162A8" w:rsidRPr="00931D46" w:rsidRDefault="00DF78CB" w:rsidP="0023353F">
      <w:pPr>
        <w:spacing w:before="0" w:after="0"/>
        <w:rPr>
          <w:rFonts w:ascii="Arial" w:hAnsi="Arial" w:cs="Arial"/>
        </w:rPr>
      </w:pPr>
      <w:r w:rsidRPr="00931D46">
        <w:rPr>
          <w:rFonts w:ascii="Arial" w:hAnsi="Arial" w:cs="Arial"/>
        </w:rPr>
        <w:t>Por otra parte, l</w:t>
      </w:r>
      <w:r w:rsidR="00E162A8" w:rsidRPr="00931D46">
        <w:rPr>
          <w:rFonts w:ascii="Arial" w:hAnsi="Arial" w:cs="Arial"/>
        </w:rPr>
        <w:t xml:space="preserve">a CBC señala que </w:t>
      </w:r>
      <w:r w:rsidR="00751FE6" w:rsidRPr="00931D46">
        <w:rPr>
          <w:rFonts w:ascii="Arial" w:hAnsi="Arial" w:cs="Arial"/>
        </w:rPr>
        <w:t>“</w:t>
      </w:r>
      <w:r w:rsidR="00E162A8" w:rsidRPr="00931D46">
        <w:rPr>
          <w:rFonts w:ascii="Arial" w:hAnsi="Arial" w:cs="Arial"/>
          <w:i/>
        </w:rPr>
        <w:t>Cuando existe discriminación de precios (y los compradores y terceros no pueden mediar entre áreas de precios bajos y altos), los mercados geográficos se definen de acuerdo con la ubicación de cada grupo de compradores</w:t>
      </w:r>
      <w:r w:rsidR="00E162A8" w:rsidRPr="00931D46">
        <w:rPr>
          <w:rFonts w:ascii="Arial" w:hAnsi="Arial" w:cs="Arial"/>
        </w:rPr>
        <w:t>”.</w:t>
      </w:r>
    </w:p>
    <w:p w14:paraId="46A0B87E" w14:textId="77777777" w:rsidR="00751FE6" w:rsidRPr="00931D46" w:rsidRDefault="00751FE6" w:rsidP="0023353F">
      <w:pPr>
        <w:spacing w:before="0" w:after="0"/>
        <w:rPr>
          <w:rFonts w:ascii="Arial" w:hAnsi="Arial" w:cs="Arial"/>
        </w:rPr>
      </w:pPr>
    </w:p>
    <w:p w14:paraId="1ED28215" w14:textId="77777777" w:rsidR="00E162A8" w:rsidRPr="00931D46" w:rsidRDefault="00E162A8" w:rsidP="0023353F">
      <w:pPr>
        <w:spacing w:before="0" w:after="0"/>
        <w:rPr>
          <w:rFonts w:ascii="Arial" w:hAnsi="Arial" w:cs="Arial"/>
        </w:rPr>
      </w:pPr>
      <w:r w:rsidRPr="00931D46">
        <w:rPr>
          <w:rFonts w:ascii="Arial" w:hAnsi="Arial" w:cs="Arial"/>
        </w:rPr>
        <w:t xml:space="preserve">Asimismo, la CBC señala que, al </w:t>
      </w:r>
      <w:r w:rsidR="00751FE6" w:rsidRPr="00931D46">
        <w:rPr>
          <w:rFonts w:ascii="Arial" w:hAnsi="Arial" w:cs="Arial"/>
        </w:rPr>
        <w:t>delimitar la dimensión geográfica</w:t>
      </w:r>
      <w:r w:rsidRPr="00931D46">
        <w:rPr>
          <w:rFonts w:ascii="Arial" w:hAnsi="Arial" w:cs="Arial"/>
        </w:rPr>
        <w:t>, generalmente toma en cuenta evidencia sobre la sustituibilidad, incluyendo</w:t>
      </w:r>
      <w:r w:rsidR="00751FE6" w:rsidRPr="00931D46">
        <w:rPr>
          <w:rFonts w:ascii="Arial" w:hAnsi="Arial" w:cs="Arial"/>
        </w:rPr>
        <w:t>:</w:t>
      </w:r>
    </w:p>
    <w:p w14:paraId="0CD51DF9" w14:textId="77777777" w:rsidR="0023353F" w:rsidRPr="00931D46" w:rsidRDefault="0023353F" w:rsidP="0023353F">
      <w:pPr>
        <w:spacing w:before="0" w:after="0"/>
        <w:rPr>
          <w:rFonts w:ascii="Arial" w:hAnsi="Arial" w:cs="Arial"/>
        </w:rPr>
      </w:pPr>
    </w:p>
    <w:p w14:paraId="66EB91BA" w14:textId="4F71D1CC" w:rsidR="00E162A8" w:rsidRPr="00931D46" w:rsidRDefault="002A75E8" w:rsidP="00A8609F">
      <w:pPr>
        <w:pStyle w:val="Prrafodelista"/>
        <w:numPr>
          <w:ilvl w:val="0"/>
          <w:numId w:val="23"/>
        </w:numPr>
        <w:spacing w:before="0" w:after="0"/>
        <w:ind w:left="709" w:hanging="567"/>
        <w:contextualSpacing w:val="0"/>
        <w:rPr>
          <w:rFonts w:ascii="Arial" w:hAnsi="Arial" w:cs="Arial"/>
        </w:rPr>
      </w:pPr>
      <w:r w:rsidRPr="00931D46">
        <w:rPr>
          <w:rFonts w:ascii="Arial" w:hAnsi="Arial" w:cs="Arial"/>
        </w:rPr>
        <w:t>O</w:t>
      </w:r>
      <w:r w:rsidR="00E162A8" w:rsidRPr="00931D46">
        <w:rPr>
          <w:rFonts w:ascii="Arial" w:hAnsi="Arial" w:cs="Arial"/>
        </w:rPr>
        <w:t xml:space="preserve">piniones, estrategias y comportamiento de los </w:t>
      </w:r>
      <w:r w:rsidRPr="00931D46">
        <w:rPr>
          <w:rFonts w:ascii="Arial" w:hAnsi="Arial" w:cs="Arial"/>
        </w:rPr>
        <w:t>consumidores</w:t>
      </w:r>
      <w:r w:rsidR="00E162A8" w:rsidRPr="00931D46">
        <w:rPr>
          <w:rFonts w:ascii="Arial" w:hAnsi="Arial" w:cs="Arial"/>
        </w:rPr>
        <w:t xml:space="preserve"> </w:t>
      </w:r>
      <w:r w:rsidR="00751FE6" w:rsidRPr="00931D46">
        <w:rPr>
          <w:rFonts w:ascii="Arial" w:hAnsi="Arial" w:cs="Arial"/>
        </w:rPr>
        <w:t>respecto a acudir a</w:t>
      </w:r>
      <w:r w:rsidR="00E162A8" w:rsidRPr="00931D46">
        <w:rPr>
          <w:rFonts w:ascii="Arial" w:hAnsi="Arial" w:cs="Arial"/>
        </w:rPr>
        <w:t xml:space="preserve"> otras áreas geográficas</w:t>
      </w:r>
      <w:r w:rsidR="0069151D" w:rsidRPr="00931D46">
        <w:rPr>
          <w:rFonts w:ascii="Arial" w:hAnsi="Arial" w:cs="Arial"/>
        </w:rPr>
        <w:t xml:space="preserve"> ante incrementos en el precio del </w:t>
      </w:r>
      <w:r w:rsidR="00330363">
        <w:rPr>
          <w:rFonts w:ascii="Arial" w:hAnsi="Arial" w:cs="Arial"/>
        </w:rPr>
        <w:t>producto</w:t>
      </w:r>
      <w:r w:rsidR="0069151D" w:rsidRPr="00931D46">
        <w:rPr>
          <w:rFonts w:ascii="Arial" w:hAnsi="Arial" w:cs="Arial"/>
        </w:rPr>
        <w:t xml:space="preserve"> focal</w:t>
      </w:r>
      <w:r w:rsidR="00E162A8" w:rsidRPr="00931D46">
        <w:rPr>
          <w:rFonts w:ascii="Arial" w:hAnsi="Arial" w:cs="Arial"/>
        </w:rPr>
        <w:t xml:space="preserve">, </w:t>
      </w:r>
    </w:p>
    <w:p w14:paraId="76427637" w14:textId="4426E111" w:rsidR="00E162A8" w:rsidRPr="00931D46" w:rsidRDefault="002A75E8" w:rsidP="00A8609F">
      <w:pPr>
        <w:pStyle w:val="Prrafodelista"/>
        <w:numPr>
          <w:ilvl w:val="0"/>
          <w:numId w:val="23"/>
        </w:numPr>
        <w:spacing w:before="0" w:after="0"/>
        <w:ind w:left="709" w:hanging="567"/>
        <w:contextualSpacing w:val="0"/>
        <w:rPr>
          <w:rFonts w:ascii="Arial" w:hAnsi="Arial" w:cs="Arial"/>
        </w:rPr>
      </w:pPr>
      <w:r w:rsidRPr="00931D46">
        <w:rPr>
          <w:rFonts w:ascii="Arial" w:hAnsi="Arial" w:cs="Arial"/>
        </w:rPr>
        <w:t>E</w:t>
      </w:r>
      <w:r w:rsidR="00E162A8" w:rsidRPr="00931D46">
        <w:rPr>
          <w:rFonts w:ascii="Arial" w:hAnsi="Arial" w:cs="Arial"/>
        </w:rPr>
        <w:t xml:space="preserve">ncuestas de la industria, opiniones, estrategias y comportamiento de </w:t>
      </w:r>
      <w:r w:rsidRPr="00931D46">
        <w:rPr>
          <w:rFonts w:ascii="Arial" w:hAnsi="Arial" w:cs="Arial"/>
        </w:rPr>
        <w:t xml:space="preserve">proveedores </w:t>
      </w:r>
      <w:r w:rsidR="00E162A8" w:rsidRPr="00931D46">
        <w:rPr>
          <w:rFonts w:ascii="Arial" w:hAnsi="Arial" w:cs="Arial"/>
        </w:rPr>
        <w:t xml:space="preserve">respecto a </w:t>
      </w:r>
      <w:r w:rsidR="0069151D" w:rsidRPr="00931D46">
        <w:rPr>
          <w:rFonts w:ascii="Arial" w:hAnsi="Arial" w:cs="Arial"/>
        </w:rPr>
        <w:t xml:space="preserve">su entrada en </w:t>
      </w:r>
      <w:r w:rsidR="00E162A8" w:rsidRPr="00931D46">
        <w:rPr>
          <w:rFonts w:ascii="Arial" w:hAnsi="Arial" w:cs="Arial"/>
        </w:rPr>
        <w:t xml:space="preserve">otras áreas geográficas </w:t>
      </w:r>
      <w:r w:rsidR="0069151D" w:rsidRPr="00931D46">
        <w:rPr>
          <w:rFonts w:ascii="Arial" w:hAnsi="Arial" w:cs="Arial"/>
        </w:rPr>
        <w:t xml:space="preserve">ante incrementos en el precio del </w:t>
      </w:r>
      <w:r w:rsidR="00330363">
        <w:rPr>
          <w:rFonts w:ascii="Arial" w:hAnsi="Arial" w:cs="Arial"/>
        </w:rPr>
        <w:t>producto</w:t>
      </w:r>
      <w:r w:rsidR="0069151D" w:rsidRPr="00931D46">
        <w:rPr>
          <w:rFonts w:ascii="Arial" w:hAnsi="Arial" w:cs="Arial"/>
        </w:rPr>
        <w:t xml:space="preserve"> focal, e</w:t>
      </w:r>
    </w:p>
    <w:p w14:paraId="6EBE2087" w14:textId="77777777" w:rsidR="00E162A8" w:rsidRPr="00931D46" w:rsidRDefault="0069151D" w:rsidP="00A8609F">
      <w:pPr>
        <w:pStyle w:val="Prrafodelista"/>
        <w:numPr>
          <w:ilvl w:val="0"/>
          <w:numId w:val="23"/>
        </w:numPr>
        <w:spacing w:before="0" w:after="0"/>
        <w:ind w:left="709" w:hanging="567"/>
        <w:contextualSpacing w:val="0"/>
        <w:rPr>
          <w:rFonts w:ascii="Arial" w:hAnsi="Arial" w:cs="Arial"/>
        </w:rPr>
      </w:pPr>
      <w:r w:rsidRPr="00931D46">
        <w:rPr>
          <w:rFonts w:ascii="Arial" w:hAnsi="Arial" w:cs="Arial"/>
        </w:rPr>
        <w:t>Información sobre l</w:t>
      </w:r>
      <w:r w:rsidR="00E162A8" w:rsidRPr="00931D46">
        <w:rPr>
          <w:rFonts w:ascii="Arial" w:hAnsi="Arial" w:cs="Arial"/>
        </w:rPr>
        <w:t xml:space="preserve">a medida en que los </w:t>
      </w:r>
      <w:r w:rsidRPr="00931D46">
        <w:rPr>
          <w:rFonts w:ascii="Arial" w:hAnsi="Arial" w:cs="Arial"/>
        </w:rPr>
        <w:t xml:space="preserve">proveedores </w:t>
      </w:r>
      <w:r w:rsidR="00E162A8" w:rsidRPr="00931D46">
        <w:rPr>
          <w:rFonts w:ascii="Arial" w:hAnsi="Arial" w:cs="Arial"/>
        </w:rPr>
        <w:t xml:space="preserve">toman en cuenta a </w:t>
      </w:r>
      <w:r w:rsidRPr="00931D46">
        <w:rPr>
          <w:rFonts w:ascii="Arial" w:hAnsi="Arial" w:cs="Arial"/>
        </w:rPr>
        <w:t xml:space="preserve">los proveedores de otras zonas </w:t>
      </w:r>
      <w:r w:rsidR="00E162A8" w:rsidRPr="00931D46">
        <w:rPr>
          <w:rFonts w:ascii="Arial" w:hAnsi="Arial" w:cs="Arial"/>
        </w:rPr>
        <w:t>distantes en sus planes comerciales y estrategias de comercialización.</w:t>
      </w:r>
    </w:p>
    <w:p w14:paraId="0EF2C153" w14:textId="77777777" w:rsidR="00751FE6" w:rsidRPr="00931D46" w:rsidRDefault="00751FE6" w:rsidP="0023353F">
      <w:pPr>
        <w:spacing w:before="0" w:after="0"/>
        <w:rPr>
          <w:rFonts w:ascii="Arial" w:hAnsi="Arial" w:cs="Arial"/>
        </w:rPr>
      </w:pPr>
    </w:p>
    <w:p w14:paraId="11EF3E62" w14:textId="502D8DF3" w:rsidR="00E162A8" w:rsidRPr="00931D46" w:rsidRDefault="00E162A8" w:rsidP="0023353F">
      <w:pPr>
        <w:spacing w:before="0" w:after="0"/>
        <w:rPr>
          <w:rFonts w:ascii="Arial" w:hAnsi="Arial" w:cs="Arial"/>
        </w:rPr>
      </w:pPr>
      <w:r w:rsidRPr="00931D46">
        <w:rPr>
          <w:rFonts w:ascii="Arial" w:hAnsi="Arial" w:cs="Arial"/>
        </w:rPr>
        <w:t xml:space="preserve">Además, </w:t>
      </w:r>
      <w:r w:rsidR="0069151D" w:rsidRPr="00931D46">
        <w:rPr>
          <w:rFonts w:ascii="Arial" w:hAnsi="Arial" w:cs="Arial"/>
        </w:rPr>
        <w:t xml:space="preserve">la CBC </w:t>
      </w:r>
      <w:r w:rsidRPr="00931D46">
        <w:rPr>
          <w:rFonts w:ascii="Arial" w:hAnsi="Arial" w:cs="Arial"/>
        </w:rPr>
        <w:t xml:space="preserve">señala que varios indicadores funcionales pueden ayudar a determinar si las áreas geográficas se consideran sustitutas, incluidas las características particulares del </w:t>
      </w:r>
      <w:r w:rsidR="00330363">
        <w:rPr>
          <w:rFonts w:ascii="Arial" w:hAnsi="Arial" w:cs="Arial"/>
        </w:rPr>
        <w:t>producto</w:t>
      </w:r>
      <w:r w:rsidRPr="00931D46">
        <w:rPr>
          <w:rFonts w:ascii="Arial" w:hAnsi="Arial" w:cs="Arial"/>
        </w:rPr>
        <w:t>, costos de cambio</w:t>
      </w:r>
      <w:r w:rsidR="0069151D" w:rsidRPr="00931D46">
        <w:rPr>
          <w:rFonts w:ascii="Arial" w:hAnsi="Arial" w:cs="Arial"/>
        </w:rPr>
        <w:t xml:space="preserve"> para los usuarios</w:t>
      </w:r>
      <w:r w:rsidRPr="00931D46">
        <w:rPr>
          <w:rFonts w:ascii="Arial" w:hAnsi="Arial" w:cs="Arial"/>
        </w:rPr>
        <w:t xml:space="preserve">, costos de transporte, relaciones de precios y precios relativos, </w:t>
      </w:r>
      <w:r w:rsidR="00DF78CB" w:rsidRPr="00931D46">
        <w:rPr>
          <w:rFonts w:ascii="Arial" w:hAnsi="Arial" w:cs="Arial"/>
        </w:rPr>
        <w:t xml:space="preserve">patrones de flujos comerciales entre áreas geográficas </w:t>
      </w:r>
      <w:r w:rsidRPr="00931D46">
        <w:rPr>
          <w:rFonts w:ascii="Arial" w:hAnsi="Arial" w:cs="Arial"/>
        </w:rPr>
        <w:t>y competencia extranjera.</w:t>
      </w:r>
    </w:p>
    <w:p w14:paraId="2238F60B" w14:textId="77777777" w:rsidR="002B5389" w:rsidRPr="00931D46" w:rsidRDefault="002B5389" w:rsidP="0023353F">
      <w:pPr>
        <w:spacing w:before="0" w:after="0"/>
        <w:rPr>
          <w:rFonts w:ascii="Arial" w:hAnsi="Arial" w:cs="Arial"/>
        </w:rPr>
      </w:pPr>
    </w:p>
    <w:p w14:paraId="7E43BF90" w14:textId="77777777" w:rsidR="00E162A8" w:rsidRPr="00931D46" w:rsidRDefault="00E162A8" w:rsidP="00C60527">
      <w:pPr>
        <w:pStyle w:val="Ttulo3"/>
        <w:keepLines w:val="0"/>
        <w:numPr>
          <w:ilvl w:val="2"/>
          <w:numId w:val="3"/>
        </w:numPr>
        <w:spacing w:before="0"/>
        <w:ind w:left="1701"/>
        <w:rPr>
          <w:rFonts w:ascii="Arial" w:eastAsia="Times New Roman" w:hAnsi="Arial" w:cs="Arial"/>
          <w:b/>
          <w:color w:val="auto"/>
          <w:sz w:val="26"/>
          <w:szCs w:val="26"/>
          <w:lang w:eastAsia="es-MX"/>
        </w:rPr>
      </w:pPr>
      <w:bookmarkStart w:id="137" w:name="_Toc42787651"/>
      <w:bookmarkStart w:id="138" w:name="_Toc42849261"/>
      <w:bookmarkStart w:id="139" w:name="_Toc42852850"/>
      <w:bookmarkStart w:id="140" w:name="_Toc42853006"/>
      <w:bookmarkStart w:id="141" w:name="_Toc43109002"/>
      <w:bookmarkStart w:id="142" w:name="_Toc43134219"/>
      <w:bookmarkStart w:id="143" w:name="_Toc43137704"/>
      <w:bookmarkStart w:id="144" w:name="_Toc43139148"/>
      <w:bookmarkStart w:id="145" w:name="_Toc43206612"/>
      <w:bookmarkStart w:id="146" w:name="_Toc43376742"/>
      <w:bookmarkStart w:id="147" w:name="_Toc44689091"/>
      <w:r w:rsidRPr="00931D46">
        <w:rPr>
          <w:rFonts w:ascii="Arial" w:eastAsia="Times New Roman" w:hAnsi="Arial" w:cs="Arial"/>
          <w:b/>
          <w:color w:val="auto"/>
          <w:sz w:val="26"/>
          <w:szCs w:val="26"/>
          <w:lang w:eastAsia="es-MX"/>
        </w:rPr>
        <w:t>Australia</w:t>
      </w:r>
      <w:bookmarkEnd w:id="137"/>
      <w:bookmarkEnd w:id="138"/>
      <w:bookmarkEnd w:id="139"/>
      <w:bookmarkEnd w:id="140"/>
      <w:bookmarkEnd w:id="141"/>
      <w:r w:rsidRPr="00931D46">
        <w:rPr>
          <w:rFonts w:ascii="Arial" w:eastAsia="Times New Roman" w:hAnsi="Arial" w:cs="Arial"/>
          <w:b/>
          <w:color w:val="auto"/>
          <w:sz w:val="26"/>
          <w:szCs w:val="26"/>
          <w:vertAlign w:val="superscript"/>
          <w:lang w:eastAsia="es-MX"/>
        </w:rPr>
        <w:footnoteReference w:id="156"/>
      </w:r>
      <w:bookmarkEnd w:id="142"/>
      <w:bookmarkEnd w:id="143"/>
      <w:bookmarkEnd w:id="144"/>
      <w:bookmarkEnd w:id="145"/>
      <w:bookmarkEnd w:id="146"/>
      <w:bookmarkEnd w:id="147"/>
    </w:p>
    <w:p w14:paraId="0818E0AA" w14:textId="77777777" w:rsidR="002B5389" w:rsidRPr="00931D46" w:rsidRDefault="002B5389" w:rsidP="0023353F">
      <w:pPr>
        <w:keepNext/>
        <w:spacing w:before="0" w:after="0"/>
        <w:rPr>
          <w:rFonts w:ascii="Arial" w:hAnsi="Arial" w:cs="Arial"/>
        </w:rPr>
      </w:pPr>
    </w:p>
    <w:p w14:paraId="3D6F9C38" w14:textId="562D151D" w:rsidR="00E162A8" w:rsidRPr="00931D46" w:rsidRDefault="00E162A8" w:rsidP="0023353F">
      <w:pPr>
        <w:spacing w:before="0" w:after="0"/>
        <w:rPr>
          <w:rFonts w:ascii="Arial" w:hAnsi="Arial" w:cs="Arial"/>
        </w:rPr>
      </w:pPr>
      <w:r w:rsidRPr="00931D46">
        <w:rPr>
          <w:rFonts w:ascii="Arial" w:hAnsi="Arial" w:cs="Arial"/>
        </w:rPr>
        <w:t xml:space="preserve">Respecto a la </w:t>
      </w:r>
      <w:r w:rsidR="00410DFB" w:rsidRPr="00931D46">
        <w:rPr>
          <w:rFonts w:ascii="Arial" w:hAnsi="Arial" w:cs="Arial"/>
        </w:rPr>
        <w:t xml:space="preserve">delimitación </w:t>
      </w:r>
      <w:r w:rsidRPr="00931D46">
        <w:rPr>
          <w:rFonts w:ascii="Arial" w:hAnsi="Arial" w:cs="Arial"/>
        </w:rPr>
        <w:t>geográfica de</w:t>
      </w:r>
      <w:r w:rsidR="00410DFB" w:rsidRPr="00931D46">
        <w:rPr>
          <w:rFonts w:ascii="Arial" w:hAnsi="Arial" w:cs="Arial"/>
        </w:rPr>
        <w:t xml:space="preserve">l MR, </w:t>
      </w:r>
      <w:r w:rsidRPr="00931D46">
        <w:rPr>
          <w:rFonts w:ascii="Arial" w:hAnsi="Arial" w:cs="Arial"/>
        </w:rPr>
        <w:t xml:space="preserve">la ACCC señala </w:t>
      </w:r>
      <w:r w:rsidR="000C39CB" w:rsidRPr="00931D46">
        <w:rPr>
          <w:rFonts w:ascii="Arial" w:hAnsi="Arial" w:cs="Arial"/>
        </w:rPr>
        <w:t>que</w:t>
      </w:r>
      <w:r w:rsidRPr="00931D46">
        <w:rPr>
          <w:rFonts w:ascii="Arial" w:hAnsi="Arial" w:cs="Arial"/>
        </w:rPr>
        <w:t xml:space="preserve"> </w:t>
      </w:r>
      <w:r w:rsidR="000C39CB" w:rsidRPr="00931D46">
        <w:rPr>
          <w:rFonts w:ascii="Arial" w:hAnsi="Arial" w:cs="Arial"/>
        </w:rPr>
        <w:t>l</w:t>
      </w:r>
      <w:r w:rsidRPr="00931D46">
        <w:rPr>
          <w:rFonts w:ascii="Arial" w:hAnsi="Arial" w:cs="Arial"/>
        </w:rPr>
        <w:t xml:space="preserve">a sustitución </w:t>
      </w:r>
      <w:r w:rsidR="000C39CB" w:rsidRPr="00931D46">
        <w:rPr>
          <w:rFonts w:ascii="Arial" w:hAnsi="Arial" w:cs="Arial"/>
        </w:rPr>
        <w:t xml:space="preserve">por </w:t>
      </w:r>
      <w:r w:rsidRPr="00931D46">
        <w:rPr>
          <w:rFonts w:ascii="Arial" w:hAnsi="Arial" w:cs="Arial"/>
        </w:rPr>
        <w:t xml:space="preserve">el lado de la demanda depende de la disposición de los clientes a cambiar de un </w:t>
      </w:r>
      <w:r w:rsidR="00330363">
        <w:rPr>
          <w:rFonts w:ascii="Arial" w:hAnsi="Arial" w:cs="Arial"/>
        </w:rPr>
        <w:t>producto</w:t>
      </w:r>
      <w:r w:rsidRPr="00931D46">
        <w:rPr>
          <w:rFonts w:ascii="Arial" w:hAnsi="Arial" w:cs="Arial"/>
        </w:rPr>
        <w:t xml:space="preserve"> suministrado en una ubicación al mismo </w:t>
      </w:r>
      <w:r w:rsidR="00330363">
        <w:rPr>
          <w:rFonts w:ascii="Arial" w:hAnsi="Arial" w:cs="Arial"/>
        </w:rPr>
        <w:t>producto</w:t>
      </w:r>
      <w:r w:rsidRPr="00931D46">
        <w:rPr>
          <w:rFonts w:ascii="Arial" w:hAnsi="Arial" w:cs="Arial"/>
        </w:rPr>
        <w:t xml:space="preserve"> suministrado en otra ubicación en r</w:t>
      </w:r>
      <w:r w:rsidR="000C39CB" w:rsidRPr="00931D46">
        <w:rPr>
          <w:rFonts w:ascii="Arial" w:hAnsi="Arial" w:cs="Arial"/>
        </w:rPr>
        <w:t>espuesta a un aumento de precio, y la sustitución p</w:t>
      </w:r>
      <w:r w:rsidRPr="00931D46">
        <w:rPr>
          <w:rFonts w:ascii="Arial" w:hAnsi="Arial" w:cs="Arial"/>
        </w:rPr>
        <w:t>or el lado de la oferta</w:t>
      </w:r>
      <w:r w:rsidR="000C39CB" w:rsidRPr="00931D46">
        <w:rPr>
          <w:rFonts w:ascii="Arial" w:hAnsi="Arial" w:cs="Arial"/>
        </w:rPr>
        <w:t xml:space="preserve"> consiste en analizar </w:t>
      </w:r>
      <w:r w:rsidRPr="00931D46">
        <w:rPr>
          <w:rFonts w:ascii="Arial" w:hAnsi="Arial" w:cs="Arial"/>
        </w:rPr>
        <w:t xml:space="preserve">si en respuesta a un </w:t>
      </w:r>
      <w:r w:rsidR="000C39CB" w:rsidRPr="00931D46">
        <w:rPr>
          <w:rFonts w:ascii="Arial" w:hAnsi="Arial" w:cs="Arial"/>
        </w:rPr>
        <w:t xml:space="preserve">aumento de precios, los proveedores de otras zonas </w:t>
      </w:r>
      <w:r w:rsidRPr="00931D46">
        <w:rPr>
          <w:rFonts w:ascii="Arial" w:hAnsi="Arial" w:cs="Arial"/>
        </w:rPr>
        <w:t>puede</w:t>
      </w:r>
      <w:r w:rsidR="000C39CB" w:rsidRPr="00931D46">
        <w:rPr>
          <w:rFonts w:ascii="Arial" w:hAnsi="Arial" w:cs="Arial"/>
        </w:rPr>
        <w:t>n</w:t>
      </w:r>
      <w:r w:rsidRPr="00931D46">
        <w:rPr>
          <w:rFonts w:ascii="Arial" w:hAnsi="Arial" w:cs="Arial"/>
        </w:rPr>
        <w:t xml:space="preserve"> </w:t>
      </w:r>
      <w:r w:rsidR="000C39CB" w:rsidRPr="00931D46">
        <w:rPr>
          <w:rFonts w:ascii="Arial" w:hAnsi="Arial" w:cs="Arial"/>
        </w:rPr>
        <w:t xml:space="preserve">entrar </w:t>
      </w:r>
      <w:r w:rsidRPr="00931D46">
        <w:rPr>
          <w:rFonts w:ascii="Arial" w:hAnsi="Arial" w:cs="Arial"/>
        </w:rPr>
        <w:t xml:space="preserve">rápidamente y sin inversiones significativas </w:t>
      </w:r>
      <w:r w:rsidR="000C39CB" w:rsidRPr="00931D46">
        <w:rPr>
          <w:rFonts w:ascii="Arial" w:hAnsi="Arial" w:cs="Arial"/>
        </w:rPr>
        <w:t>a la zona focal</w:t>
      </w:r>
      <w:r w:rsidRPr="00931D46">
        <w:rPr>
          <w:rFonts w:ascii="Arial" w:hAnsi="Arial" w:cs="Arial"/>
        </w:rPr>
        <w:t>.</w:t>
      </w:r>
    </w:p>
    <w:p w14:paraId="7DC8EE9A" w14:textId="77777777" w:rsidR="000C39CB" w:rsidRPr="00931D46" w:rsidRDefault="000C39CB" w:rsidP="0023353F">
      <w:pPr>
        <w:spacing w:before="0" w:after="0"/>
        <w:rPr>
          <w:rFonts w:ascii="Arial" w:hAnsi="Arial" w:cs="Arial"/>
          <w:i/>
        </w:rPr>
      </w:pPr>
    </w:p>
    <w:p w14:paraId="2076771E" w14:textId="77777777" w:rsidR="00E162A8" w:rsidRPr="00931D46" w:rsidRDefault="00E162A8" w:rsidP="0023353F">
      <w:pPr>
        <w:spacing w:before="0" w:after="0"/>
        <w:rPr>
          <w:rFonts w:ascii="Arial" w:hAnsi="Arial" w:cs="Arial"/>
        </w:rPr>
      </w:pPr>
      <w:r w:rsidRPr="00931D46">
        <w:rPr>
          <w:rFonts w:ascii="Arial" w:hAnsi="Arial" w:cs="Arial"/>
        </w:rPr>
        <w:t xml:space="preserve">En este sentido, para identificar las regiones geográficas que pueden ser sustitutos cercanos, </w:t>
      </w:r>
      <w:r w:rsidR="00426431" w:rsidRPr="00931D46">
        <w:rPr>
          <w:rFonts w:ascii="Arial" w:hAnsi="Arial" w:cs="Arial"/>
        </w:rPr>
        <w:t xml:space="preserve">la ACCC considera los siguientes </w:t>
      </w:r>
      <w:r w:rsidRPr="00931D46">
        <w:rPr>
          <w:rFonts w:ascii="Arial" w:hAnsi="Arial" w:cs="Arial"/>
        </w:rPr>
        <w:t>elementos:</w:t>
      </w:r>
    </w:p>
    <w:p w14:paraId="7BC48666" w14:textId="77777777" w:rsidR="0023353F" w:rsidRPr="00931D46" w:rsidRDefault="0023353F" w:rsidP="0023353F">
      <w:pPr>
        <w:spacing w:before="0" w:after="0"/>
        <w:rPr>
          <w:rFonts w:ascii="Arial" w:hAnsi="Arial" w:cs="Arial"/>
        </w:rPr>
      </w:pPr>
    </w:p>
    <w:p w14:paraId="3D64E25A" w14:textId="1987A8BE" w:rsidR="00E162A8" w:rsidRPr="00931D46" w:rsidRDefault="006A1C0C"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P</w:t>
      </w:r>
      <w:r w:rsidR="00976BAB" w:rsidRPr="00931D46">
        <w:rPr>
          <w:rFonts w:ascii="Arial" w:hAnsi="Arial" w:cs="Arial"/>
        </w:rPr>
        <w:t xml:space="preserve">ortabilidad del </w:t>
      </w:r>
      <w:r w:rsidR="00330363">
        <w:rPr>
          <w:rFonts w:ascii="Arial" w:hAnsi="Arial" w:cs="Arial"/>
        </w:rPr>
        <w:t>producto</w:t>
      </w:r>
      <w:r w:rsidR="00976BAB" w:rsidRPr="00931D46">
        <w:rPr>
          <w:rFonts w:ascii="Arial" w:hAnsi="Arial" w:cs="Arial"/>
        </w:rPr>
        <w:t xml:space="preserve"> </w:t>
      </w:r>
      <w:r w:rsidR="00E162A8" w:rsidRPr="00931D46">
        <w:rPr>
          <w:rFonts w:ascii="Arial" w:hAnsi="Arial" w:cs="Arial"/>
        </w:rPr>
        <w:t>relevante,</w:t>
      </w:r>
    </w:p>
    <w:p w14:paraId="624C74BB" w14:textId="77777777" w:rsidR="00657E9E"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Costos y limitaciones para los clientes de obtener suministro de regiones alternativas,</w:t>
      </w:r>
    </w:p>
    <w:p w14:paraId="2A270233" w14:textId="463E7C6C" w:rsidR="00E162A8" w:rsidRPr="00931D46" w:rsidRDefault="00426431"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C</w:t>
      </w:r>
      <w:r w:rsidR="00E162A8" w:rsidRPr="00931D46">
        <w:rPr>
          <w:rFonts w:ascii="Arial" w:hAnsi="Arial" w:cs="Arial"/>
        </w:rPr>
        <w:t xml:space="preserve">ostos de transporte para mover el </w:t>
      </w:r>
      <w:r w:rsidR="00330363">
        <w:rPr>
          <w:rFonts w:ascii="Arial" w:hAnsi="Arial" w:cs="Arial"/>
        </w:rPr>
        <w:t>producto</w:t>
      </w:r>
      <w:r w:rsidR="00E162A8" w:rsidRPr="00931D46">
        <w:rPr>
          <w:rFonts w:ascii="Arial" w:hAnsi="Arial" w:cs="Arial"/>
        </w:rPr>
        <w:t xml:space="preserve"> relevante entre regiones (particularmente los costos de transporte como proporción del valor total del </w:t>
      </w:r>
      <w:r w:rsidR="00330363">
        <w:rPr>
          <w:rFonts w:ascii="Arial" w:hAnsi="Arial" w:cs="Arial"/>
        </w:rPr>
        <w:t>producto</w:t>
      </w:r>
      <w:r w:rsidR="00E162A8" w:rsidRPr="00931D46">
        <w:rPr>
          <w:rFonts w:ascii="Arial" w:hAnsi="Arial" w:cs="Arial"/>
        </w:rPr>
        <w:t>),</w:t>
      </w:r>
    </w:p>
    <w:p w14:paraId="358C3751" w14:textId="77777777" w:rsidR="00E162A8" w:rsidRPr="00931D46" w:rsidRDefault="00426431"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C</w:t>
      </w:r>
      <w:r w:rsidR="00E162A8" w:rsidRPr="00931D46">
        <w:rPr>
          <w:rFonts w:ascii="Arial" w:hAnsi="Arial" w:cs="Arial"/>
        </w:rPr>
        <w:t>ostos de extender o cambiar los sistemas de producción y distribución para abastecer a los clientes en regiones alternativas,</w:t>
      </w:r>
    </w:p>
    <w:p w14:paraId="5F3301A1" w14:textId="2EFA608D" w:rsidR="00E162A8"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R</w:t>
      </w:r>
      <w:r w:rsidR="00E162A8" w:rsidRPr="00931D46">
        <w:rPr>
          <w:rFonts w:ascii="Arial" w:hAnsi="Arial" w:cs="Arial"/>
        </w:rPr>
        <w:t>estricci</w:t>
      </w:r>
      <w:r w:rsidRPr="00931D46">
        <w:rPr>
          <w:rFonts w:ascii="Arial" w:hAnsi="Arial" w:cs="Arial"/>
        </w:rPr>
        <w:t>ones</w:t>
      </w:r>
      <w:r w:rsidR="00E162A8" w:rsidRPr="00931D46">
        <w:rPr>
          <w:rFonts w:ascii="Arial" w:hAnsi="Arial" w:cs="Arial"/>
        </w:rPr>
        <w:t xml:space="preserve"> regulatoria</w:t>
      </w:r>
      <w:r w:rsidRPr="00931D46">
        <w:rPr>
          <w:rFonts w:ascii="Arial" w:hAnsi="Arial" w:cs="Arial"/>
        </w:rPr>
        <w:t>s</w:t>
      </w:r>
      <w:r w:rsidR="00E162A8" w:rsidRPr="00931D46">
        <w:rPr>
          <w:rFonts w:ascii="Arial" w:hAnsi="Arial" w:cs="Arial"/>
        </w:rPr>
        <w:t xml:space="preserve"> u otra</w:t>
      </w:r>
      <w:r w:rsidR="00A8609F">
        <w:rPr>
          <w:rFonts w:ascii="Arial" w:hAnsi="Arial" w:cs="Arial"/>
        </w:rPr>
        <w:t>s</w:t>
      </w:r>
      <w:r w:rsidR="00E162A8" w:rsidRPr="00931D46">
        <w:rPr>
          <w:rFonts w:ascii="Arial" w:hAnsi="Arial" w:cs="Arial"/>
        </w:rPr>
        <w:t xml:space="preserve"> restricci</w:t>
      </w:r>
      <w:r w:rsidR="00A8609F">
        <w:rPr>
          <w:rFonts w:ascii="Arial" w:hAnsi="Arial" w:cs="Arial"/>
        </w:rPr>
        <w:t>o</w:t>
      </w:r>
      <w:r w:rsidR="00E162A8" w:rsidRPr="00931D46">
        <w:rPr>
          <w:rFonts w:ascii="Arial" w:hAnsi="Arial" w:cs="Arial"/>
        </w:rPr>
        <w:t>n</w:t>
      </w:r>
      <w:r w:rsidR="00A8609F">
        <w:rPr>
          <w:rFonts w:ascii="Arial" w:hAnsi="Arial" w:cs="Arial"/>
        </w:rPr>
        <w:t>es</w:t>
      </w:r>
      <w:r w:rsidR="00E162A8" w:rsidRPr="00931D46">
        <w:rPr>
          <w:rFonts w:ascii="Arial" w:hAnsi="Arial" w:cs="Arial"/>
        </w:rPr>
        <w:t xml:space="preserve"> práctica</w:t>
      </w:r>
      <w:r w:rsidR="00A8609F">
        <w:rPr>
          <w:rFonts w:ascii="Arial" w:hAnsi="Arial" w:cs="Arial"/>
        </w:rPr>
        <w:t>s</w:t>
      </w:r>
      <w:r w:rsidR="00E162A8" w:rsidRPr="00931D46">
        <w:rPr>
          <w:rFonts w:ascii="Arial" w:hAnsi="Arial" w:cs="Arial"/>
        </w:rPr>
        <w:t xml:space="preserve"> </w:t>
      </w:r>
      <w:r w:rsidRPr="00931D46">
        <w:rPr>
          <w:rFonts w:ascii="Arial" w:hAnsi="Arial" w:cs="Arial"/>
        </w:rPr>
        <w:t xml:space="preserve">para que </w:t>
      </w:r>
      <w:r w:rsidR="00E162A8" w:rsidRPr="00931D46">
        <w:rPr>
          <w:rFonts w:ascii="Arial" w:hAnsi="Arial" w:cs="Arial"/>
        </w:rPr>
        <w:t xml:space="preserve">proveedores </w:t>
      </w:r>
      <w:r w:rsidRPr="00931D46">
        <w:rPr>
          <w:rFonts w:ascii="Arial" w:hAnsi="Arial" w:cs="Arial"/>
        </w:rPr>
        <w:t>puedan abastecer</w:t>
      </w:r>
      <w:r w:rsidR="00E162A8" w:rsidRPr="00931D46">
        <w:rPr>
          <w:rFonts w:ascii="Arial" w:hAnsi="Arial" w:cs="Arial"/>
        </w:rPr>
        <w:t xml:space="preserve"> regiones alternativas,</w:t>
      </w:r>
    </w:p>
    <w:p w14:paraId="42D26A36" w14:textId="77777777" w:rsidR="00E162A8"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R</w:t>
      </w:r>
      <w:r w:rsidR="00E162A8" w:rsidRPr="00931D46">
        <w:rPr>
          <w:rFonts w:ascii="Arial" w:hAnsi="Arial" w:cs="Arial"/>
        </w:rPr>
        <w:t>egistros relacionados con los flujos comerciales y el movimiento real de clientes y/o proveedores entre regiones geográficas, especialmente relacionados con cambios en los precios relativos entre regiones en el pasado reciente,</w:t>
      </w:r>
    </w:p>
    <w:p w14:paraId="1D41629A" w14:textId="77777777" w:rsidR="00657E9E"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Opiniones</w:t>
      </w:r>
      <w:r w:rsidR="00E162A8" w:rsidRPr="00931D46">
        <w:rPr>
          <w:rFonts w:ascii="Arial" w:hAnsi="Arial" w:cs="Arial"/>
        </w:rPr>
        <w:t xml:space="preserve"> de </w:t>
      </w:r>
      <w:r w:rsidRPr="00931D46">
        <w:rPr>
          <w:rFonts w:ascii="Arial" w:hAnsi="Arial" w:cs="Arial"/>
        </w:rPr>
        <w:t>consumidores</w:t>
      </w:r>
      <w:r w:rsidR="00E162A8" w:rsidRPr="00931D46">
        <w:rPr>
          <w:rFonts w:ascii="Arial" w:hAnsi="Arial" w:cs="Arial"/>
        </w:rPr>
        <w:t xml:space="preserve"> y proveedores con respecto a la probabilidad de cambiar </w:t>
      </w:r>
      <w:r w:rsidRPr="00931D46">
        <w:rPr>
          <w:rFonts w:ascii="Arial" w:hAnsi="Arial" w:cs="Arial"/>
        </w:rPr>
        <w:t xml:space="preserve">suministro </w:t>
      </w:r>
      <w:r w:rsidR="00E162A8" w:rsidRPr="00931D46">
        <w:rPr>
          <w:rFonts w:ascii="Arial" w:hAnsi="Arial" w:cs="Arial"/>
        </w:rPr>
        <w:t xml:space="preserve">entre </w:t>
      </w:r>
      <w:r w:rsidR="00E23738" w:rsidRPr="00931D46">
        <w:rPr>
          <w:rFonts w:ascii="Arial" w:hAnsi="Arial" w:cs="Arial"/>
        </w:rPr>
        <w:t>regiones</w:t>
      </w:r>
      <w:r w:rsidR="00E162A8" w:rsidRPr="00931D46">
        <w:rPr>
          <w:rFonts w:ascii="Arial" w:hAnsi="Arial" w:cs="Arial"/>
        </w:rPr>
        <w:t>,</w:t>
      </w:r>
    </w:p>
    <w:p w14:paraId="70705E45" w14:textId="77777777" w:rsidR="00E162A8"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 xml:space="preserve">Registros comerciales de proveedores respecto a cambios en el suministro de </w:t>
      </w:r>
      <w:r w:rsidR="00E23738" w:rsidRPr="00931D46">
        <w:rPr>
          <w:rFonts w:ascii="Arial" w:hAnsi="Arial" w:cs="Arial"/>
        </w:rPr>
        <w:t>las regiones</w:t>
      </w:r>
      <w:r w:rsidRPr="00931D46">
        <w:rPr>
          <w:rFonts w:ascii="Arial" w:hAnsi="Arial" w:cs="Arial"/>
        </w:rPr>
        <w:t xml:space="preserve">, </w:t>
      </w:r>
      <w:r w:rsidR="00E162A8" w:rsidRPr="00931D46">
        <w:rPr>
          <w:rFonts w:ascii="Arial" w:hAnsi="Arial" w:cs="Arial"/>
        </w:rPr>
        <w:t>y</w:t>
      </w:r>
    </w:p>
    <w:p w14:paraId="21DD8357" w14:textId="77777777" w:rsidR="00E162A8" w:rsidRPr="00931D46" w:rsidRDefault="00657E9E" w:rsidP="00A8609F">
      <w:pPr>
        <w:pStyle w:val="Prrafodelista"/>
        <w:numPr>
          <w:ilvl w:val="0"/>
          <w:numId w:val="24"/>
        </w:numPr>
        <w:spacing w:before="0" w:after="0"/>
        <w:ind w:left="709" w:hanging="567"/>
        <w:contextualSpacing w:val="0"/>
        <w:rPr>
          <w:rFonts w:ascii="Arial" w:hAnsi="Arial" w:cs="Arial"/>
        </w:rPr>
      </w:pPr>
      <w:r w:rsidRPr="00931D46">
        <w:rPr>
          <w:rFonts w:ascii="Arial" w:hAnsi="Arial" w:cs="Arial"/>
        </w:rPr>
        <w:t>P</w:t>
      </w:r>
      <w:r w:rsidR="00E162A8" w:rsidRPr="00931D46">
        <w:rPr>
          <w:rFonts w:ascii="Arial" w:hAnsi="Arial" w:cs="Arial"/>
        </w:rPr>
        <w:t xml:space="preserve">recios relativos y movimientos de precios </w:t>
      </w:r>
      <w:r w:rsidRPr="00931D46">
        <w:rPr>
          <w:rFonts w:ascii="Arial" w:hAnsi="Arial" w:cs="Arial"/>
        </w:rPr>
        <w:t xml:space="preserve">entre </w:t>
      </w:r>
      <w:r w:rsidR="00E162A8" w:rsidRPr="00931D46">
        <w:rPr>
          <w:rFonts w:ascii="Arial" w:hAnsi="Arial" w:cs="Arial"/>
        </w:rPr>
        <w:t xml:space="preserve">diferentes </w:t>
      </w:r>
      <w:r w:rsidR="00E23738" w:rsidRPr="00931D46">
        <w:rPr>
          <w:rFonts w:ascii="Arial" w:hAnsi="Arial" w:cs="Arial"/>
        </w:rPr>
        <w:t>regiones</w:t>
      </w:r>
      <w:r w:rsidR="00E162A8" w:rsidRPr="00931D46">
        <w:rPr>
          <w:rFonts w:ascii="Arial" w:hAnsi="Arial" w:cs="Arial"/>
        </w:rPr>
        <w:t>.</w:t>
      </w:r>
    </w:p>
    <w:p w14:paraId="4A046743" w14:textId="77777777" w:rsidR="00E162A8" w:rsidRPr="00931D46" w:rsidRDefault="00E162A8" w:rsidP="0023353F">
      <w:pPr>
        <w:pStyle w:val="Prrafodelista"/>
        <w:spacing w:before="0" w:after="0"/>
        <w:ind w:left="1080"/>
        <w:contextualSpacing w:val="0"/>
        <w:rPr>
          <w:rFonts w:ascii="Arial" w:hAnsi="Arial" w:cs="Arial"/>
        </w:rPr>
      </w:pPr>
    </w:p>
    <w:p w14:paraId="25FA5A32" w14:textId="77777777" w:rsidR="00E162A8" w:rsidRPr="00931D46" w:rsidRDefault="00E162A8" w:rsidP="00C60527">
      <w:pPr>
        <w:pStyle w:val="Ttulo3"/>
        <w:keepLines w:val="0"/>
        <w:numPr>
          <w:ilvl w:val="2"/>
          <w:numId w:val="3"/>
        </w:numPr>
        <w:spacing w:before="0"/>
        <w:ind w:left="1701"/>
        <w:rPr>
          <w:rFonts w:ascii="Arial" w:eastAsia="Times New Roman" w:hAnsi="Arial" w:cs="Arial"/>
          <w:b/>
          <w:color w:val="auto"/>
          <w:sz w:val="26"/>
          <w:szCs w:val="26"/>
          <w:lang w:eastAsia="es-MX"/>
        </w:rPr>
      </w:pPr>
      <w:bookmarkStart w:id="148" w:name="_Toc42787658"/>
      <w:bookmarkStart w:id="149" w:name="_Toc42852851"/>
      <w:bookmarkStart w:id="150" w:name="_Toc42853007"/>
      <w:bookmarkStart w:id="151" w:name="_Toc43109004"/>
      <w:bookmarkStart w:id="152" w:name="_Toc43134221"/>
      <w:bookmarkStart w:id="153" w:name="_Toc43137706"/>
      <w:bookmarkStart w:id="154" w:name="_Toc43139150"/>
      <w:bookmarkStart w:id="155" w:name="_Toc43206614"/>
      <w:bookmarkStart w:id="156" w:name="_Toc43376744"/>
      <w:bookmarkStart w:id="157" w:name="_Toc44689093"/>
      <w:r w:rsidRPr="00931D46">
        <w:rPr>
          <w:rFonts w:ascii="Arial" w:eastAsia="Times New Roman" w:hAnsi="Arial" w:cs="Arial"/>
          <w:b/>
          <w:color w:val="auto"/>
          <w:sz w:val="26"/>
          <w:szCs w:val="26"/>
          <w:lang w:eastAsia="es-MX"/>
        </w:rPr>
        <w:t>Portugal</w:t>
      </w:r>
      <w:bookmarkEnd w:id="148"/>
      <w:bookmarkEnd w:id="149"/>
      <w:bookmarkEnd w:id="150"/>
      <w:bookmarkEnd w:id="151"/>
      <w:bookmarkEnd w:id="152"/>
      <w:bookmarkEnd w:id="153"/>
      <w:bookmarkEnd w:id="154"/>
      <w:bookmarkEnd w:id="155"/>
      <w:bookmarkEnd w:id="156"/>
      <w:bookmarkEnd w:id="157"/>
      <w:r w:rsidR="00DD3F62" w:rsidRPr="00931D46">
        <w:rPr>
          <w:rFonts w:ascii="Arial" w:eastAsia="Times New Roman" w:hAnsi="Arial" w:cs="Arial"/>
          <w:b/>
          <w:color w:val="auto"/>
          <w:sz w:val="26"/>
          <w:szCs w:val="26"/>
          <w:vertAlign w:val="superscript"/>
          <w:lang w:eastAsia="es-MX"/>
        </w:rPr>
        <w:footnoteReference w:id="157"/>
      </w:r>
    </w:p>
    <w:p w14:paraId="1062F660" w14:textId="77777777" w:rsidR="002B5389" w:rsidRPr="00931D46" w:rsidRDefault="002B5389" w:rsidP="0023353F">
      <w:pPr>
        <w:keepNext/>
        <w:spacing w:before="0" w:after="0"/>
        <w:rPr>
          <w:rFonts w:ascii="Arial" w:hAnsi="Arial" w:cs="Arial"/>
        </w:rPr>
      </w:pPr>
    </w:p>
    <w:p w14:paraId="3F927BEB" w14:textId="06A57823" w:rsidR="0062742B" w:rsidRPr="00931D46" w:rsidRDefault="00E162A8" w:rsidP="0023353F">
      <w:pPr>
        <w:spacing w:before="0" w:after="0"/>
        <w:rPr>
          <w:rFonts w:ascii="Arial" w:hAnsi="Arial" w:cs="Arial"/>
        </w:rPr>
      </w:pPr>
      <w:r w:rsidRPr="00931D46">
        <w:rPr>
          <w:rFonts w:ascii="Arial" w:hAnsi="Arial" w:cs="Arial"/>
        </w:rPr>
        <w:t xml:space="preserve">En el análisis de la concentración entre ZON y Optimus, la Autoridad de Competencia de Portugal analizó, entre otros </w:t>
      </w:r>
      <w:r w:rsidR="006A1C0C" w:rsidRPr="00931D46">
        <w:rPr>
          <w:rFonts w:ascii="Arial" w:hAnsi="Arial" w:cs="Arial"/>
        </w:rPr>
        <w:t>MR</w:t>
      </w:r>
      <w:r w:rsidRPr="00931D46">
        <w:rPr>
          <w:rFonts w:ascii="Arial" w:hAnsi="Arial" w:cs="Arial"/>
        </w:rPr>
        <w:t xml:space="preserve">, el </w:t>
      </w:r>
      <w:r w:rsidR="005763CF">
        <w:rPr>
          <w:rFonts w:ascii="Arial" w:hAnsi="Arial" w:cs="Arial"/>
        </w:rPr>
        <w:t xml:space="preserve">del </w:t>
      </w:r>
      <w:r w:rsidR="00970DAF" w:rsidRPr="00931D46">
        <w:rPr>
          <w:rFonts w:ascii="Arial" w:hAnsi="Arial" w:cs="Arial"/>
        </w:rPr>
        <w:t>SBAF</w:t>
      </w:r>
      <w:r w:rsidR="00CB3C49" w:rsidRPr="00931D46">
        <w:rPr>
          <w:rFonts w:ascii="Arial" w:hAnsi="Arial" w:cs="Arial"/>
        </w:rPr>
        <w:t xml:space="preserve"> </w:t>
      </w:r>
      <w:r w:rsidRPr="00931D46">
        <w:rPr>
          <w:rFonts w:ascii="Arial" w:hAnsi="Arial" w:cs="Arial"/>
        </w:rPr>
        <w:t xml:space="preserve">y el de ofertas </w:t>
      </w:r>
      <w:r w:rsidRPr="00931D46">
        <w:rPr>
          <w:rFonts w:ascii="Arial" w:hAnsi="Arial" w:cs="Arial"/>
          <w:i/>
        </w:rPr>
        <w:t>triple play</w:t>
      </w:r>
      <w:r w:rsidR="00207332" w:rsidRPr="00931D46">
        <w:rPr>
          <w:rFonts w:ascii="Arial" w:hAnsi="Arial" w:cs="Arial"/>
        </w:rPr>
        <w:t xml:space="preserve"> (</w:t>
      </w:r>
      <w:r w:rsidR="00970DAF" w:rsidRPr="00931D46">
        <w:rPr>
          <w:rFonts w:ascii="Arial" w:hAnsi="Arial" w:cs="Arial"/>
        </w:rPr>
        <w:t>SBAF</w:t>
      </w:r>
      <w:r w:rsidR="00207332" w:rsidRPr="00931D46">
        <w:rPr>
          <w:rFonts w:ascii="Arial" w:hAnsi="Arial" w:cs="Arial"/>
        </w:rPr>
        <w:t>+STAR+STF</w:t>
      </w:r>
      <w:r w:rsidRPr="00931D46">
        <w:rPr>
          <w:rFonts w:ascii="Arial" w:hAnsi="Arial" w:cs="Arial"/>
        </w:rPr>
        <w:t>)</w:t>
      </w:r>
      <w:r w:rsidR="00207332" w:rsidRPr="00931D46">
        <w:rPr>
          <w:rFonts w:ascii="Arial" w:hAnsi="Arial" w:cs="Arial"/>
        </w:rPr>
        <w:t xml:space="preserve">, </w:t>
      </w:r>
      <w:r w:rsidR="00CB3C49" w:rsidRPr="00931D46">
        <w:rPr>
          <w:rFonts w:ascii="Arial" w:hAnsi="Arial" w:cs="Arial"/>
        </w:rPr>
        <w:t xml:space="preserve">con </w:t>
      </w:r>
      <w:r w:rsidRPr="00931D46">
        <w:rPr>
          <w:rFonts w:ascii="Arial" w:hAnsi="Arial" w:cs="Arial"/>
        </w:rPr>
        <w:t xml:space="preserve">una </w:t>
      </w:r>
      <w:r w:rsidRPr="00931D46">
        <w:rPr>
          <w:rFonts w:ascii="Arial" w:hAnsi="Arial" w:cs="Arial"/>
          <w:b/>
        </w:rPr>
        <w:t xml:space="preserve">dimensión geográfica </w:t>
      </w:r>
      <w:r w:rsidR="00DF78CB" w:rsidRPr="00931D46">
        <w:rPr>
          <w:rFonts w:ascii="Arial" w:hAnsi="Arial" w:cs="Arial"/>
          <w:b/>
        </w:rPr>
        <w:t>subnacional</w:t>
      </w:r>
      <w:r w:rsidR="0062742B" w:rsidRPr="00931D46">
        <w:rPr>
          <w:rFonts w:ascii="Arial" w:hAnsi="Arial" w:cs="Arial"/>
        </w:rPr>
        <w:t>, con base en las siguientes consideraciones:</w:t>
      </w:r>
    </w:p>
    <w:p w14:paraId="71A8C54D" w14:textId="77777777" w:rsidR="0023353F" w:rsidRPr="00931D46" w:rsidRDefault="0023353F" w:rsidP="0023353F">
      <w:pPr>
        <w:spacing w:before="0" w:after="0"/>
        <w:rPr>
          <w:rFonts w:ascii="Arial" w:hAnsi="Arial" w:cs="Arial"/>
          <w:b/>
        </w:rPr>
      </w:pPr>
    </w:p>
    <w:p w14:paraId="72A6207E" w14:textId="11B83E21" w:rsidR="0062742B" w:rsidRPr="00931D46" w:rsidRDefault="0062742B" w:rsidP="005763CF">
      <w:pPr>
        <w:pStyle w:val="Prrafodelista"/>
        <w:numPr>
          <w:ilvl w:val="0"/>
          <w:numId w:val="25"/>
        </w:numPr>
        <w:spacing w:before="0" w:after="0"/>
        <w:ind w:hanging="578"/>
        <w:contextualSpacing w:val="0"/>
        <w:rPr>
          <w:rFonts w:ascii="Arial" w:hAnsi="Arial" w:cs="Arial"/>
        </w:rPr>
      </w:pPr>
      <w:r w:rsidRPr="00931D46">
        <w:rPr>
          <w:rFonts w:ascii="Arial" w:hAnsi="Arial" w:cs="Arial"/>
        </w:rPr>
        <w:t>A</w:t>
      </w:r>
      <w:r w:rsidR="00E162A8" w:rsidRPr="00931D46">
        <w:rPr>
          <w:rFonts w:ascii="Arial" w:hAnsi="Arial" w:cs="Arial"/>
        </w:rPr>
        <w:t xml:space="preserve"> pesar de la estrategia nacional de fijación de precios de los operadores, existe la posibilidad de discriminación de precios en función de la ubicación de los consumidores</w:t>
      </w:r>
      <w:r w:rsidR="00DF78CB" w:rsidRPr="00931D46">
        <w:rPr>
          <w:rFonts w:ascii="Arial" w:hAnsi="Arial" w:cs="Arial"/>
        </w:rPr>
        <w:t xml:space="preserve"> (no hay posibilidad de arbitraje, es decir, no es posible que los consumidores de </w:t>
      </w:r>
      <w:r w:rsidR="008D5964" w:rsidRPr="00931D46">
        <w:rPr>
          <w:rFonts w:ascii="Arial" w:hAnsi="Arial" w:cs="Arial"/>
        </w:rPr>
        <w:t>una</w:t>
      </w:r>
      <w:r w:rsidR="00DF78CB" w:rsidRPr="00931D46">
        <w:rPr>
          <w:rFonts w:ascii="Arial" w:hAnsi="Arial" w:cs="Arial"/>
        </w:rPr>
        <w:t xml:space="preserve"> zona geográfica que compran el </w:t>
      </w:r>
      <w:r w:rsidR="00330363">
        <w:rPr>
          <w:rFonts w:ascii="Arial" w:hAnsi="Arial" w:cs="Arial"/>
        </w:rPr>
        <w:t>producto</w:t>
      </w:r>
      <w:r w:rsidR="00DF78CB" w:rsidRPr="00931D46">
        <w:rPr>
          <w:rFonts w:ascii="Arial" w:hAnsi="Arial" w:cs="Arial"/>
        </w:rPr>
        <w:t xml:space="preserve"> a un precio más bajo lo revendan a los consumidores de </w:t>
      </w:r>
      <w:r w:rsidR="008D5964" w:rsidRPr="00931D46">
        <w:rPr>
          <w:rFonts w:ascii="Arial" w:hAnsi="Arial" w:cs="Arial"/>
        </w:rPr>
        <w:t>otras</w:t>
      </w:r>
      <w:r w:rsidR="00DF78CB" w:rsidRPr="00931D46">
        <w:rPr>
          <w:rFonts w:ascii="Arial" w:hAnsi="Arial" w:cs="Arial"/>
        </w:rPr>
        <w:t xml:space="preserve"> zonas geográficas que lo compran a un precio más alto)</w:t>
      </w:r>
      <w:r w:rsidR="00E162A8" w:rsidRPr="00931D46">
        <w:rPr>
          <w:rFonts w:ascii="Arial" w:hAnsi="Arial" w:cs="Arial"/>
        </w:rPr>
        <w:t>;</w:t>
      </w:r>
    </w:p>
    <w:p w14:paraId="6A3975FC" w14:textId="77777777" w:rsidR="00DF78CB" w:rsidRPr="00931D46" w:rsidRDefault="00DF78CB" w:rsidP="005763CF">
      <w:pPr>
        <w:pStyle w:val="Prrafodelista"/>
        <w:numPr>
          <w:ilvl w:val="0"/>
          <w:numId w:val="25"/>
        </w:numPr>
        <w:spacing w:before="0" w:after="0"/>
        <w:ind w:hanging="578"/>
        <w:contextualSpacing w:val="0"/>
        <w:rPr>
          <w:rFonts w:ascii="Arial" w:hAnsi="Arial" w:cs="Arial"/>
        </w:rPr>
      </w:pPr>
      <w:r w:rsidRPr="00931D46">
        <w:rPr>
          <w:rFonts w:ascii="Arial" w:hAnsi="Arial" w:cs="Arial"/>
        </w:rPr>
        <w:t>La homogeneidad de las condiciones de la oferta y la demanda en el sector de comunicaciones electrónicas, en términos geográficos, está condicionada por la cobertura de las red</w:t>
      </w:r>
      <w:r w:rsidR="00CB3C49" w:rsidRPr="00931D46">
        <w:rPr>
          <w:rFonts w:ascii="Arial" w:hAnsi="Arial" w:cs="Arial"/>
        </w:rPr>
        <w:t>es</w:t>
      </w:r>
      <w:r w:rsidRPr="00931D46">
        <w:rPr>
          <w:rFonts w:ascii="Arial" w:hAnsi="Arial" w:cs="Arial"/>
        </w:rPr>
        <w:t>, misma que determina el número de operadores activos en cada zona geográfica, su tamaño y posicionamiento relativos y, en ese sentido, el grado de competencia efectiva en los mercados. Por lo tanto, el hecho de que las ofertas y los precios sean homogéneos en todo el territorio nacional no determina por sí mismo que los mercados tengan un alcance nacional;</w:t>
      </w:r>
    </w:p>
    <w:p w14:paraId="39703A43" w14:textId="77777777" w:rsidR="0062742B" w:rsidRPr="00931D46" w:rsidRDefault="00CB3C49" w:rsidP="005763CF">
      <w:pPr>
        <w:pStyle w:val="Prrafodelista"/>
        <w:numPr>
          <w:ilvl w:val="0"/>
          <w:numId w:val="25"/>
        </w:numPr>
        <w:spacing w:before="0" w:after="0"/>
        <w:ind w:hanging="578"/>
        <w:contextualSpacing w:val="0"/>
        <w:rPr>
          <w:rFonts w:ascii="Arial" w:hAnsi="Arial" w:cs="Arial"/>
        </w:rPr>
      </w:pPr>
      <w:r w:rsidRPr="00931D46">
        <w:rPr>
          <w:rFonts w:ascii="Arial" w:hAnsi="Arial" w:cs="Arial"/>
        </w:rPr>
        <w:t>L</w:t>
      </w:r>
      <w:r w:rsidR="00E162A8" w:rsidRPr="00931D46">
        <w:rPr>
          <w:rFonts w:ascii="Arial" w:hAnsi="Arial" w:cs="Arial"/>
        </w:rPr>
        <w:t xml:space="preserve">a concentración </w:t>
      </w:r>
      <w:r w:rsidR="0062742B" w:rsidRPr="00931D46">
        <w:rPr>
          <w:rFonts w:ascii="Arial" w:hAnsi="Arial" w:cs="Arial"/>
        </w:rPr>
        <w:t xml:space="preserve">analizada </w:t>
      </w:r>
      <w:r w:rsidRPr="00931D46">
        <w:rPr>
          <w:rFonts w:ascii="Arial" w:hAnsi="Arial" w:cs="Arial"/>
        </w:rPr>
        <w:t xml:space="preserve">podría </w:t>
      </w:r>
      <w:r w:rsidR="00E162A8" w:rsidRPr="00931D46">
        <w:rPr>
          <w:rFonts w:ascii="Arial" w:hAnsi="Arial" w:cs="Arial"/>
        </w:rPr>
        <w:t>afect</w:t>
      </w:r>
      <w:r w:rsidRPr="00931D46">
        <w:rPr>
          <w:rFonts w:ascii="Arial" w:hAnsi="Arial" w:cs="Arial"/>
        </w:rPr>
        <w:t>ar</w:t>
      </w:r>
      <w:r w:rsidR="00E162A8" w:rsidRPr="00931D46">
        <w:rPr>
          <w:rFonts w:ascii="Arial" w:hAnsi="Arial" w:cs="Arial"/>
        </w:rPr>
        <w:t xml:space="preserve"> de manera diferente las condiciones de competencia en diferentes áreas geográficas; </w:t>
      </w:r>
    </w:p>
    <w:p w14:paraId="2177DD88" w14:textId="77777777" w:rsidR="00E162A8" w:rsidRPr="00931D46" w:rsidRDefault="00CB3C49" w:rsidP="005763CF">
      <w:pPr>
        <w:pStyle w:val="Prrafodelista"/>
        <w:numPr>
          <w:ilvl w:val="0"/>
          <w:numId w:val="25"/>
        </w:numPr>
        <w:spacing w:before="0" w:after="0"/>
        <w:ind w:hanging="578"/>
        <w:contextualSpacing w:val="0"/>
        <w:rPr>
          <w:rFonts w:ascii="Arial" w:hAnsi="Arial" w:cs="Arial"/>
        </w:rPr>
      </w:pPr>
      <w:r w:rsidRPr="00931D46">
        <w:rPr>
          <w:rFonts w:ascii="Arial" w:hAnsi="Arial" w:cs="Arial"/>
        </w:rPr>
        <w:t>Una dimensión geográfica equivalente al área de una central del operador dominante corresponde al área más pequeña donde las condiciones de competencia son efectivamente homogéneas, aunque, para el caso de mérito, también podría ser adecuado evaluar una dimensión geográfica municipal.</w:t>
      </w:r>
    </w:p>
    <w:p w14:paraId="0E7A5EEF" w14:textId="77777777" w:rsidR="00CB3C49" w:rsidRPr="00931D46" w:rsidRDefault="00CB3C49" w:rsidP="0023353F">
      <w:pPr>
        <w:spacing w:before="0" w:after="0"/>
        <w:rPr>
          <w:rFonts w:ascii="Arial" w:hAnsi="Arial" w:cs="Arial"/>
        </w:rPr>
      </w:pPr>
    </w:p>
    <w:p w14:paraId="0798B6F7" w14:textId="77777777" w:rsidR="00CB3C49" w:rsidRPr="00931D46" w:rsidRDefault="00CB3C49" w:rsidP="0023353F">
      <w:pPr>
        <w:spacing w:before="0" w:after="0"/>
        <w:rPr>
          <w:rFonts w:ascii="Arial" w:hAnsi="Arial" w:cs="Arial"/>
        </w:rPr>
      </w:pPr>
      <w:r w:rsidRPr="00931D46">
        <w:rPr>
          <w:rFonts w:ascii="Arial" w:hAnsi="Arial" w:cs="Arial"/>
        </w:rPr>
        <w:t xml:space="preserve">Con base en lo anterior, la Autoridad de Competencia de Portugal planteó dos escenarios </w:t>
      </w:r>
      <w:r w:rsidR="000F3EA2" w:rsidRPr="00931D46">
        <w:rPr>
          <w:rFonts w:ascii="Arial" w:hAnsi="Arial" w:cs="Arial"/>
        </w:rPr>
        <w:t xml:space="preserve">geográficos: </w:t>
      </w:r>
      <w:r w:rsidRPr="00931D46">
        <w:rPr>
          <w:rFonts w:ascii="Arial" w:hAnsi="Arial" w:cs="Arial"/>
        </w:rPr>
        <w:t>i) área de centrales, en zonas competidas y no competidas, y ii) municipios</w:t>
      </w:r>
      <w:r w:rsidR="000F3EA2" w:rsidRPr="00931D46">
        <w:rPr>
          <w:rFonts w:ascii="Arial" w:hAnsi="Arial" w:cs="Arial"/>
        </w:rPr>
        <w:t>,</w:t>
      </w:r>
      <w:r w:rsidRPr="00931D46">
        <w:rPr>
          <w:rFonts w:ascii="Arial" w:hAnsi="Arial" w:cs="Arial"/>
        </w:rPr>
        <w:t xml:space="preserve"> correspondientes a las centrales en las que Optimus </w:t>
      </w:r>
      <w:r w:rsidR="000F3EA2" w:rsidRPr="00931D46">
        <w:rPr>
          <w:rFonts w:ascii="Arial" w:hAnsi="Arial" w:cs="Arial"/>
        </w:rPr>
        <w:t xml:space="preserve">(el comprador) </w:t>
      </w:r>
      <w:r w:rsidRPr="00931D46">
        <w:rPr>
          <w:rFonts w:ascii="Arial" w:hAnsi="Arial" w:cs="Arial"/>
        </w:rPr>
        <w:t>está presente con red de fibra óptica</w:t>
      </w:r>
      <w:r w:rsidRPr="00931D46" w:rsidDel="00B80374">
        <w:rPr>
          <w:rFonts w:ascii="Arial" w:hAnsi="Arial" w:cs="Arial"/>
        </w:rPr>
        <w:t xml:space="preserve"> (</w:t>
      </w:r>
      <w:r w:rsidRPr="00931D46">
        <w:rPr>
          <w:rFonts w:ascii="Arial" w:hAnsi="Arial" w:cs="Arial"/>
        </w:rPr>
        <w:t xml:space="preserve">propia o de Vodafone). Para efectos del caso específico, se determinó que </w:t>
      </w:r>
      <w:r w:rsidR="000F3EA2" w:rsidRPr="00931D46">
        <w:rPr>
          <w:rFonts w:ascii="Arial" w:hAnsi="Arial" w:cs="Arial"/>
        </w:rPr>
        <w:t xml:space="preserve">el escenario de municipios </w:t>
      </w:r>
      <w:r w:rsidRPr="00931D46">
        <w:rPr>
          <w:rFonts w:ascii="Arial" w:hAnsi="Arial" w:cs="Arial"/>
        </w:rPr>
        <w:t xml:space="preserve">reflejaba </w:t>
      </w:r>
      <w:r w:rsidR="000F3EA2" w:rsidRPr="00931D46">
        <w:rPr>
          <w:rFonts w:ascii="Arial" w:hAnsi="Arial" w:cs="Arial"/>
        </w:rPr>
        <w:t xml:space="preserve">de </w:t>
      </w:r>
      <w:r w:rsidRPr="00931D46">
        <w:rPr>
          <w:rFonts w:ascii="Arial" w:hAnsi="Arial" w:cs="Arial"/>
        </w:rPr>
        <w:t xml:space="preserve">mejor </w:t>
      </w:r>
      <w:r w:rsidR="000F3EA2" w:rsidRPr="00931D46">
        <w:rPr>
          <w:rFonts w:ascii="Arial" w:hAnsi="Arial" w:cs="Arial"/>
        </w:rPr>
        <w:t xml:space="preserve">manera </w:t>
      </w:r>
      <w:r w:rsidRPr="00931D46">
        <w:rPr>
          <w:rFonts w:ascii="Arial" w:hAnsi="Arial" w:cs="Arial"/>
        </w:rPr>
        <w:t xml:space="preserve">los efectos en la competencia </w:t>
      </w:r>
      <w:r w:rsidR="000F3EA2" w:rsidRPr="00931D46">
        <w:rPr>
          <w:rFonts w:ascii="Arial" w:hAnsi="Arial" w:cs="Arial"/>
        </w:rPr>
        <w:t xml:space="preserve">derivados de la </w:t>
      </w:r>
      <w:r w:rsidR="000F6C83" w:rsidRPr="00931D46">
        <w:rPr>
          <w:rFonts w:ascii="Arial" w:hAnsi="Arial" w:cs="Arial"/>
        </w:rPr>
        <w:t>concentración</w:t>
      </w:r>
      <w:r w:rsidR="000F3EA2" w:rsidRPr="00931D46">
        <w:rPr>
          <w:rFonts w:ascii="Arial" w:hAnsi="Arial" w:cs="Arial"/>
        </w:rPr>
        <w:t>, toda vez que es en esas zonas en las que Optimus mantiene su oferta comercial y realiza esfuerzos para ganar suscriptores, por lo que la presión competitiva que ejerce se limita a dichas zonas.</w:t>
      </w:r>
    </w:p>
    <w:p w14:paraId="08AFE7CB" w14:textId="77777777" w:rsidR="000F3EA2" w:rsidRPr="00931D46" w:rsidRDefault="000F3EA2" w:rsidP="0023353F">
      <w:pPr>
        <w:spacing w:before="0" w:after="0"/>
        <w:rPr>
          <w:rFonts w:ascii="Arial" w:hAnsi="Arial" w:cs="Arial"/>
        </w:rPr>
      </w:pPr>
    </w:p>
    <w:p w14:paraId="5F5C03DA" w14:textId="77777777" w:rsidR="00E162A8" w:rsidRPr="00931D46" w:rsidRDefault="00E162A8" w:rsidP="00C60527">
      <w:pPr>
        <w:pStyle w:val="Ttulo3"/>
        <w:numPr>
          <w:ilvl w:val="2"/>
          <w:numId w:val="3"/>
        </w:numPr>
        <w:rPr>
          <w:rFonts w:ascii="Arial" w:eastAsia="Times New Roman" w:hAnsi="Arial" w:cs="Arial"/>
          <w:b/>
          <w:color w:val="auto"/>
          <w:sz w:val="26"/>
          <w:szCs w:val="26"/>
          <w:lang w:eastAsia="es-MX"/>
        </w:rPr>
      </w:pPr>
      <w:bookmarkStart w:id="158" w:name="_Toc43134223"/>
      <w:bookmarkStart w:id="159" w:name="_Toc43137708"/>
      <w:bookmarkStart w:id="160" w:name="_Toc43139152"/>
      <w:bookmarkStart w:id="161" w:name="_Toc43206616"/>
      <w:bookmarkStart w:id="162" w:name="_Toc43376746"/>
      <w:bookmarkStart w:id="163" w:name="_Toc44689094"/>
      <w:r w:rsidRPr="00931D46">
        <w:rPr>
          <w:rFonts w:ascii="Arial" w:eastAsia="Times New Roman" w:hAnsi="Arial" w:cs="Arial"/>
          <w:b/>
          <w:color w:val="auto"/>
          <w:sz w:val="26"/>
          <w:szCs w:val="26"/>
          <w:lang w:eastAsia="es-MX"/>
        </w:rPr>
        <w:t>Estados Unidos de América</w:t>
      </w:r>
      <w:r w:rsidR="005502CE" w:rsidRPr="00931D46">
        <w:rPr>
          <w:rFonts w:ascii="Arial" w:eastAsia="Times New Roman" w:hAnsi="Arial" w:cs="Arial"/>
          <w:b/>
          <w:color w:val="auto"/>
          <w:sz w:val="26"/>
          <w:szCs w:val="26"/>
          <w:vertAlign w:val="superscript"/>
          <w:lang w:eastAsia="es-MX"/>
        </w:rPr>
        <w:footnoteReference w:id="158"/>
      </w:r>
      <w:bookmarkEnd w:id="158"/>
      <w:bookmarkEnd w:id="159"/>
      <w:bookmarkEnd w:id="160"/>
      <w:bookmarkEnd w:id="161"/>
      <w:bookmarkEnd w:id="162"/>
      <w:bookmarkEnd w:id="163"/>
    </w:p>
    <w:p w14:paraId="680CA95F" w14:textId="77777777" w:rsidR="002B5389" w:rsidRPr="00931D46" w:rsidRDefault="002B5389" w:rsidP="0023353F">
      <w:pPr>
        <w:keepNext/>
        <w:spacing w:before="0" w:after="0"/>
        <w:rPr>
          <w:rFonts w:ascii="Arial" w:hAnsi="Arial" w:cs="Arial"/>
        </w:rPr>
      </w:pPr>
    </w:p>
    <w:p w14:paraId="48CA7FEC" w14:textId="6136DEB8" w:rsidR="00F97946" w:rsidRPr="00931D46" w:rsidRDefault="00E162A8" w:rsidP="0023353F">
      <w:pPr>
        <w:spacing w:before="0" w:after="0"/>
        <w:rPr>
          <w:rFonts w:ascii="Arial" w:hAnsi="Arial" w:cs="Arial"/>
        </w:rPr>
      </w:pPr>
      <w:r w:rsidRPr="00931D46">
        <w:rPr>
          <w:rFonts w:ascii="Arial" w:hAnsi="Arial" w:cs="Arial"/>
        </w:rPr>
        <w:t xml:space="preserve">El </w:t>
      </w:r>
      <w:r w:rsidR="00074B18" w:rsidRPr="00931D46">
        <w:rPr>
          <w:rFonts w:ascii="Arial" w:hAnsi="Arial" w:cs="Arial"/>
        </w:rPr>
        <w:t>DOJ</w:t>
      </w:r>
      <w:r w:rsidRPr="00931D46">
        <w:rPr>
          <w:rFonts w:ascii="Arial" w:hAnsi="Arial" w:cs="Arial"/>
        </w:rPr>
        <w:t xml:space="preserve"> y la FTC señalan que el ámbito </w:t>
      </w:r>
      <w:r w:rsidR="005502CE" w:rsidRPr="00931D46">
        <w:rPr>
          <w:rFonts w:ascii="Arial" w:hAnsi="Arial" w:cs="Arial"/>
        </w:rPr>
        <w:t xml:space="preserve">geográfico </w:t>
      </w:r>
      <w:r w:rsidRPr="00931D46">
        <w:rPr>
          <w:rFonts w:ascii="Arial" w:hAnsi="Arial" w:cs="Arial"/>
        </w:rPr>
        <w:t xml:space="preserve">de competencia afectado por una concentración puede delimitarse </w:t>
      </w:r>
      <w:r w:rsidR="005502CE" w:rsidRPr="00931D46">
        <w:rPr>
          <w:rFonts w:ascii="Arial" w:hAnsi="Arial" w:cs="Arial"/>
        </w:rPr>
        <w:t xml:space="preserve">con base en </w:t>
      </w:r>
      <w:r w:rsidRPr="00931D46">
        <w:rPr>
          <w:rFonts w:ascii="Arial" w:hAnsi="Arial" w:cs="Arial"/>
        </w:rPr>
        <w:t xml:space="preserve">i) la disposición o capacidad de algunos consumidores de sustituir algunos </w:t>
      </w:r>
      <w:r w:rsidR="00330363">
        <w:rPr>
          <w:rFonts w:ascii="Arial" w:hAnsi="Arial" w:cs="Arial"/>
        </w:rPr>
        <w:t>productos</w:t>
      </w:r>
      <w:r w:rsidRPr="00931D46">
        <w:rPr>
          <w:rFonts w:ascii="Arial" w:hAnsi="Arial" w:cs="Arial"/>
        </w:rPr>
        <w:t xml:space="preserve">, </w:t>
      </w:r>
      <w:r w:rsidR="00F97946" w:rsidRPr="00931D46">
        <w:rPr>
          <w:rFonts w:ascii="Arial" w:hAnsi="Arial" w:cs="Arial"/>
        </w:rPr>
        <w:t>y</w:t>
      </w:r>
      <w:r w:rsidRPr="00931D46">
        <w:rPr>
          <w:rFonts w:ascii="Arial" w:hAnsi="Arial" w:cs="Arial"/>
        </w:rPr>
        <w:t xml:space="preserve"> ii) la disposición o capacidad de algunos oferentes de atender a algunos consumidores</w:t>
      </w:r>
      <w:r w:rsidR="00F97946" w:rsidRPr="00931D46">
        <w:rPr>
          <w:rFonts w:ascii="Arial" w:hAnsi="Arial" w:cs="Arial"/>
        </w:rPr>
        <w:t xml:space="preserve">, para lo cual aplican los mismos principios </w:t>
      </w:r>
      <w:r w:rsidR="00F97946" w:rsidRPr="00931D46">
        <w:rPr>
          <w:rFonts w:ascii="Arial" w:hAnsi="Arial" w:cs="Arial"/>
          <w:color w:val="000000"/>
        </w:rPr>
        <w:t xml:space="preserve">del análisis de sustitución de la delimitación de la dimensión </w:t>
      </w:r>
      <w:r w:rsidR="00330363">
        <w:rPr>
          <w:rFonts w:ascii="Arial" w:hAnsi="Arial" w:cs="Arial"/>
          <w:color w:val="000000"/>
        </w:rPr>
        <w:t>producto</w:t>
      </w:r>
      <w:r w:rsidRPr="00931D46">
        <w:rPr>
          <w:rFonts w:ascii="Arial" w:hAnsi="Arial" w:cs="Arial"/>
        </w:rPr>
        <w:t>.</w:t>
      </w:r>
      <w:r w:rsidR="00F97946" w:rsidRPr="00931D46">
        <w:rPr>
          <w:rFonts w:ascii="Arial" w:hAnsi="Arial" w:cs="Arial"/>
        </w:rPr>
        <w:t xml:space="preserve"> </w:t>
      </w:r>
      <w:r w:rsidRPr="00931D46">
        <w:rPr>
          <w:rFonts w:ascii="Arial" w:hAnsi="Arial" w:cs="Arial"/>
        </w:rPr>
        <w:t>Asimismo, señalan que</w:t>
      </w:r>
      <w:r w:rsidR="00F97946" w:rsidRPr="00931D46">
        <w:rPr>
          <w:rFonts w:ascii="Arial" w:hAnsi="Arial" w:cs="Arial"/>
        </w:rPr>
        <w:t xml:space="preserve"> la dimensión geográfica</w:t>
      </w:r>
      <w:r w:rsidRPr="00931D46">
        <w:rPr>
          <w:rFonts w:ascii="Arial" w:hAnsi="Arial" w:cs="Arial"/>
        </w:rPr>
        <w:t xml:space="preserve"> de</w:t>
      </w:r>
      <w:r w:rsidR="00F97946" w:rsidRPr="00931D46">
        <w:rPr>
          <w:rFonts w:ascii="Arial" w:hAnsi="Arial" w:cs="Arial"/>
        </w:rPr>
        <w:t>l MR</w:t>
      </w:r>
      <w:r w:rsidRPr="00931D46">
        <w:rPr>
          <w:rFonts w:ascii="Arial" w:hAnsi="Arial" w:cs="Arial"/>
        </w:rPr>
        <w:t xml:space="preserve"> suele </w:t>
      </w:r>
      <w:r w:rsidR="001E7C40" w:rsidRPr="00931D46">
        <w:rPr>
          <w:rFonts w:ascii="Arial" w:hAnsi="Arial" w:cs="Arial"/>
        </w:rPr>
        <w:t>delimitarse con base en elementos como</w:t>
      </w:r>
      <w:r w:rsidR="00F97946" w:rsidRPr="00931D46">
        <w:rPr>
          <w:rFonts w:ascii="Arial" w:hAnsi="Arial" w:cs="Arial"/>
        </w:rPr>
        <w:t>:</w:t>
      </w:r>
    </w:p>
    <w:p w14:paraId="1B9A557B" w14:textId="77777777" w:rsidR="0023353F" w:rsidRPr="00931D46" w:rsidRDefault="0023353F" w:rsidP="0023353F">
      <w:pPr>
        <w:spacing w:before="0" w:after="0"/>
        <w:rPr>
          <w:rFonts w:ascii="Arial" w:hAnsi="Arial" w:cs="Arial"/>
        </w:rPr>
      </w:pPr>
    </w:p>
    <w:p w14:paraId="0ACE13DF" w14:textId="3E3699DD" w:rsidR="00F97946" w:rsidRPr="00931D46" w:rsidRDefault="00F97946" w:rsidP="00784EC3">
      <w:pPr>
        <w:pStyle w:val="Prrafodelista"/>
        <w:numPr>
          <w:ilvl w:val="0"/>
          <w:numId w:val="26"/>
        </w:numPr>
        <w:spacing w:before="0" w:after="0"/>
        <w:ind w:hanging="578"/>
        <w:contextualSpacing w:val="0"/>
        <w:rPr>
          <w:rFonts w:ascii="Arial" w:hAnsi="Arial" w:cs="Arial"/>
        </w:rPr>
      </w:pPr>
      <w:r w:rsidRPr="00931D46">
        <w:rPr>
          <w:rFonts w:ascii="Arial" w:hAnsi="Arial" w:cs="Arial"/>
        </w:rPr>
        <w:t>C</w:t>
      </w:r>
      <w:r w:rsidR="00E162A8" w:rsidRPr="00931D46">
        <w:rPr>
          <w:rFonts w:ascii="Arial" w:hAnsi="Arial" w:cs="Arial"/>
        </w:rPr>
        <w:t xml:space="preserve">ostos </w:t>
      </w:r>
      <w:r w:rsidR="001E7C40" w:rsidRPr="00931D46">
        <w:rPr>
          <w:rFonts w:ascii="Arial" w:hAnsi="Arial" w:cs="Arial"/>
        </w:rPr>
        <w:t xml:space="preserve">y tiempo </w:t>
      </w:r>
      <w:r w:rsidR="00E162A8" w:rsidRPr="00931D46">
        <w:rPr>
          <w:rFonts w:ascii="Arial" w:hAnsi="Arial" w:cs="Arial"/>
        </w:rPr>
        <w:t>de transporte</w:t>
      </w:r>
      <w:r w:rsidR="001E7C40" w:rsidRPr="00931D46">
        <w:rPr>
          <w:rFonts w:ascii="Arial" w:hAnsi="Arial" w:cs="Arial"/>
        </w:rPr>
        <w:t xml:space="preserve"> (del </w:t>
      </w:r>
      <w:r w:rsidR="00330363">
        <w:rPr>
          <w:rFonts w:ascii="Arial" w:hAnsi="Arial" w:cs="Arial"/>
        </w:rPr>
        <w:t>producto</w:t>
      </w:r>
      <w:r w:rsidR="001E7C40" w:rsidRPr="00931D46">
        <w:rPr>
          <w:rFonts w:ascii="Arial" w:hAnsi="Arial" w:cs="Arial"/>
        </w:rPr>
        <w:t xml:space="preserve"> y de los consumidores para trasladarse de una zona a otra)</w:t>
      </w:r>
      <w:r w:rsidR="00E162A8" w:rsidRPr="00931D46">
        <w:rPr>
          <w:rFonts w:ascii="Arial" w:hAnsi="Arial" w:cs="Arial"/>
        </w:rPr>
        <w:t>;</w:t>
      </w:r>
    </w:p>
    <w:p w14:paraId="1EDD10BB" w14:textId="1DE904F8" w:rsidR="001E7C40" w:rsidRPr="00931D46" w:rsidRDefault="00F97946" w:rsidP="00784EC3">
      <w:pPr>
        <w:pStyle w:val="Prrafodelista"/>
        <w:numPr>
          <w:ilvl w:val="0"/>
          <w:numId w:val="26"/>
        </w:numPr>
        <w:spacing w:before="0" w:after="0"/>
        <w:ind w:hanging="578"/>
        <w:contextualSpacing w:val="0"/>
        <w:rPr>
          <w:rFonts w:ascii="Arial" w:hAnsi="Arial" w:cs="Arial"/>
        </w:rPr>
      </w:pPr>
      <w:r w:rsidRPr="00931D46">
        <w:rPr>
          <w:rFonts w:ascii="Arial" w:hAnsi="Arial" w:cs="Arial"/>
        </w:rPr>
        <w:t xml:space="preserve">Factores como lenguaje, regulación, barreras arancelarias y no arancelarias, usos y costumbres, reputación y disponibilidad del </w:t>
      </w:r>
      <w:r w:rsidR="00330363">
        <w:rPr>
          <w:rFonts w:ascii="Arial" w:hAnsi="Arial" w:cs="Arial"/>
        </w:rPr>
        <w:t>producto</w:t>
      </w:r>
      <w:r w:rsidRPr="00931D46">
        <w:rPr>
          <w:rFonts w:ascii="Arial" w:hAnsi="Arial" w:cs="Arial"/>
        </w:rPr>
        <w:t>;</w:t>
      </w:r>
      <w:r w:rsidR="00E162A8" w:rsidRPr="00931D46">
        <w:rPr>
          <w:rFonts w:ascii="Arial" w:hAnsi="Arial" w:cs="Arial"/>
        </w:rPr>
        <w:t xml:space="preserve"> </w:t>
      </w:r>
    </w:p>
    <w:p w14:paraId="21D78AAF" w14:textId="77777777" w:rsidR="001E7C40" w:rsidRPr="00931D46" w:rsidRDefault="001E7C40" w:rsidP="00784EC3">
      <w:pPr>
        <w:pStyle w:val="Prrafodelista"/>
        <w:numPr>
          <w:ilvl w:val="0"/>
          <w:numId w:val="26"/>
        </w:numPr>
        <w:spacing w:before="0" w:after="0"/>
        <w:ind w:hanging="578"/>
        <w:contextualSpacing w:val="0"/>
        <w:rPr>
          <w:rFonts w:ascii="Arial" w:hAnsi="Arial" w:cs="Arial"/>
        </w:rPr>
      </w:pPr>
      <w:r w:rsidRPr="00931D46">
        <w:rPr>
          <w:rFonts w:ascii="Arial" w:hAnsi="Arial" w:cs="Arial"/>
        </w:rPr>
        <w:t>Registros de cómo los consumidores han cambiado sus compras en el pasado entre diferentes ubicaciones, en respuesta a cambios relativos en el precio u otras condiciones;</w:t>
      </w:r>
    </w:p>
    <w:p w14:paraId="64F0309E" w14:textId="77777777" w:rsidR="001E7C40" w:rsidRPr="00931D46" w:rsidRDefault="001E7C40" w:rsidP="00784EC3">
      <w:pPr>
        <w:pStyle w:val="Prrafodelista"/>
        <w:numPr>
          <w:ilvl w:val="0"/>
          <w:numId w:val="26"/>
        </w:numPr>
        <w:spacing w:before="0" w:after="0"/>
        <w:ind w:hanging="578"/>
        <w:contextualSpacing w:val="0"/>
        <w:rPr>
          <w:rFonts w:ascii="Arial" w:hAnsi="Arial" w:cs="Arial"/>
        </w:rPr>
      </w:pPr>
      <w:r w:rsidRPr="00931D46">
        <w:rPr>
          <w:rFonts w:ascii="Arial" w:hAnsi="Arial" w:cs="Arial"/>
        </w:rPr>
        <w:t>Si los oferentes requieren tener presencia cerca de los consumidores para proveer el servicio o soporte; y</w:t>
      </w:r>
    </w:p>
    <w:p w14:paraId="6D85FD74" w14:textId="77777777" w:rsidR="001E7C40" w:rsidRPr="00931D46" w:rsidRDefault="001E7C40" w:rsidP="00784EC3">
      <w:pPr>
        <w:pStyle w:val="Prrafodelista"/>
        <w:numPr>
          <w:ilvl w:val="0"/>
          <w:numId w:val="26"/>
        </w:numPr>
        <w:spacing w:before="0" w:after="0"/>
        <w:ind w:hanging="578"/>
        <w:contextualSpacing w:val="0"/>
        <w:rPr>
          <w:rFonts w:ascii="Arial" w:hAnsi="Arial" w:cs="Arial"/>
        </w:rPr>
      </w:pPr>
      <w:r w:rsidRPr="00931D46">
        <w:rPr>
          <w:rFonts w:ascii="Arial" w:hAnsi="Arial" w:cs="Arial"/>
        </w:rPr>
        <w:t>Evidencia sobre si los oferentes basan sus decisiones de negocio en la perspectiva de que los consumidores cambien entre ubicaciones geográficas</w:t>
      </w:r>
      <w:r w:rsidR="00AF1E3F" w:rsidRPr="00931D46">
        <w:rPr>
          <w:rFonts w:ascii="Arial" w:hAnsi="Arial" w:cs="Arial"/>
        </w:rPr>
        <w:t>,</w:t>
      </w:r>
      <w:r w:rsidRPr="00931D46">
        <w:rPr>
          <w:rFonts w:ascii="Arial" w:hAnsi="Arial" w:cs="Arial"/>
        </w:rPr>
        <w:t xml:space="preserve"> en respuesta a cambios relativos en el precio u otras variables de competencia.</w:t>
      </w:r>
    </w:p>
    <w:p w14:paraId="48594619" w14:textId="77777777" w:rsidR="001E7C40" w:rsidRPr="00931D46" w:rsidRDefault="001E7C40" w:rsidP="0023353F">
      <w:pPr>
        <w:spacing w:before="0" w:after="0"/>
        <w:rPr>
          <w:rFonts w:ascii="Arial" w:hAnsi="Arial" w:cs="Arial"/>
        </w:rPr>
      </w:pPr>
    </w:p>
    <w:p w14:paraId="23E309C5" w14:textId="665FF865" w:rsidR="00E162A8" w:rsidRPr="00931D46" w:rsidRDefault="001E7C40" w:rsidP="0023353F">
      <w:pPr>
        <w:spacing w:before="0" w:after="0"/>
        <w:rPr>
          <w:rFonts w:ascii="Arial" w:hAnsi="Arial" w:cs="Arial"/>
        </w:rPr>
      </w:pPr>
      <w:r w:rsidRPr="00931D46">
        <w:rPr>
          <w:rFonts w:ascii="Arial" w:hAnsi="Arial" w:cs="Arial"/>
        </w:rPr>
        <w:t>Asimismo, las autoridades señalan que, e</w:t>
      </w:r>
      <w:r w:rsidR="00E162A8" w:rsidRPr="00931D46">
        <w:rPr>
          <w:rFonts w:ascii="Arial" w:hAnsi="Arial" w:cs="Arial"/>
        </w:rPr>
        <w:t xml:space="preserve">n ausencia de discriminación de precios basada en la ubicación de los consumidores, normalmente </w:t>
      </w:r>
      <w:r w:rsidR="00073443" w:rsidRPr="00931D46">
        <w:rPr>
          <w:rFonts w:ascii="Arial" w:hAnsi="Arial" w:cs="Arial"/>
        </w:rPr>
        <w:t xml:space="preserve">se </w:t>
      </w:r>
      <w:r w:rsidR="00E162A8" w:rsidRPr="00931D46">
        <w:rPr>
          <w:rFonts w:ascii="Arial" w:hAnsi="Arial" w:cs="Arial"/>
        </w:rPr>
        <w:t xml:space="preserve">delimitan los mercados geográficos con base en la ubicación de los oferentes; cuando la discriminación de precios es factible, </w:t>
      </w:r>
      <w:r w:rsidR="00F97946" w:rsidRPr="00931D46">
        <w:rPr>
          <w:rFonts w:ascii="Arial" w:hAnsi="Arial" w:cs="Arial"/>
        </w:rPr>
        <w:t xml:space="preserve">la delimitación </w:t>
      </w:r>
      <w:r w:rsidR="00E162A8" w:rsidRPr="00931D46">
        <w:rPr>
          <w:rFonts w:ascii="Arial" w:hAnsi="Arial" w:cs="Arial"/>
        </w:rPr>
        <w:t xml:space="preserve">se </w:t>
      </w:r>
      <w:r w:rsidR="00F97946" w:rsidRPr="00931D46">
        <w:rPr>
          <w:rFonts w:ascii="Arial" w:hAnsi="Arial" w:cs="Arial"/>
        </w:rPr>
        <w:t xml:space="preserve">basa </w:t>
      </w:r>
      <w:r w:rsidR="00E162A8" w:rsidRPr="00931D46">
        <w:rPr>
          <w:rFonts w:ascii="Arial" w:hAnsi="Arial" w:cs="Arial"/>
        </w:rPr>
        <w:t>en la ubicación de los consumidores</w:t>
      </w:r>
      <w:r w:rsidR="00F97946" w:rsidRPr="00931D46">
        <w:rPr>
          <w:rFonts w:ascii="Arial" w:hAnsi="Arial" w:cs="Arial"/>
        </w:rPr>
        <w:t xml:space="preserve">, lo cual </w:t>
      </w:r>
      <w:r w:rsidR="00F97946" w:rsidRPr="00931D46">
        <w:rPr>
          <w:rFonts w:ascii="Arial" w:eastAsiaTheme="majorEastAsia" w:hAnsi="Arial" w:cs="Arial"/>
          <w:szCs w:val="32"/>
        </w:rPr>
        <w:t xml:space="preserve">sucede frecuentemente cuando los proveedores entregan el </w:t>
      </w:r>
      <w:r w:rsidR="00330363">
        <w:rPr>
          <w:rFonts w:ascii="Arial" w:eastAsiaTheme="majorEastAsia" w:hAnsi="Arial" w:cs="Arial"/>
          <w:szCs w:val="32"/>
        </w:rPr>
        <w:t>producto</w:t>
      </w:r>
      <w:r w:rsidR="00F97946" w:rsidRPr="00931D46">
        <w:rPr>
          <w:rFonts w:ascii="Arial" w:eastAsiaTheme="majorEastAsia" w:hAnsi="Arial" w:cs="Arial"/>
          <w:szCs w:val="32"/>
        </w:rPr>
        <w:t xml:space="preserve"> en el domicilio del cliente</w:t>
      </w:r>
      <w:r w:rsidR="00E162A8" w:rsidRPr="00931D46">
        <w:rPr>
          <w:rFonts w:ascii="Arial" w:hAnsi="Arial" w:cs="Arial"/>
        </w:rPr>
        <w:t>.</w:t>
      </w:r>
    </w:p>
    <w:p w14:paraId="57FA987E" w14:textId="77777777" w:rsidR="00F97946" w:rsidRPr="00931D46" w:rsidRDefault="00F97946" w:rsidP="0023353F">
      <w:pPr>
        <w:spacing w:before="0" w:after="0"/>
        <w:rPr>
          <w:rFonts w:ascii="Arial" w:hAnsi="Arial" w:cs="Arial"/>
        </w:rPr>
      </w:pPr>
    </w:p>
    <w:p w14:paraId="43B8F004" w14:textId="77777777" w:rsidR="00E162A8" w:rsidRPr="00931D46" w:rsidRDefault="00E162A8" w:rsidP="00C60527">
      <w:pPr>
        <w:pStyle w:val="Ttulo3"/>
        <w:numPr>
          <w:ilvl w:val="2"/>
          <w:numId w:val="3"/>
        </w:numPr>
        <w:rPr>
          <w:rFonts w:ascii="Arial" w:eastAsia="Times New Roman" w:hAnsi="Arial" w:cs="Arial"/>
          <w:b/>
          <w:color w:val="auto"/>
          <w:sz w:val="26"/>
          <w:szCs w:val="26"/>
          <w:lang w:eastAsia="es-MX"/>
        </w:rPr>
      </w:pPr>
      <w:bookmarkStart w:id="164" w:name="_Toc43471151"/>
      <w:bookmarkStart w:id="165" w:name="_Toc43471195"/>
      <w:bookmarkStart w:id="166" w:name="_Toc43471234"/>
      <w:r w:rsidRPr="00931D46">
        <w:rPr>
          <w:rFonts w:ascii="Arial" w:eastAsia="Times New Roman" w:hAnsi="Arial" w:cs="Arial"/>
          <w:b/>
          <w:color w:val="auto"/>
          <w:sz w:val="26"/>
          <w:szCs w:val="26"/>
          <w:lang w:eastAsia="es-MX"/>
        </w:rPr>
        <w:t>China</w:t>
      </w:r>
      <w:r w:rsidRPr="00931D46">
        <w:rPr>
          <w:rFonts w:ascii="Arial" w:eastAsia="Times New Roman" w:hAnsi="Arial" w:cs="Arial"/>
          <w:b/>
          <w:color w:val="auto"/>
          <w:sz w:val="26"/>
          <w:szCs w:val="26"/>
          <w:vertAlign w:val="superscript"/>
          <w:lang w:eastAsia="es-MX"/>
        </w:rPr>
        <w:footnoteReference w:id="159"/>
      </w:r>
      <w:bookmarkEnd w:id="164"/>
      <w:bookmarkEnd w:id="165"/>
      <w:bookmarkEnd w:id="166"/>
    </w:p>
    <w:p w14:paraId="28DCA5EB" w14:textId="77777777" w:rsidR="00E162A8" w:rsidRPr="00931D46" w:rsidRDefault="00E162A8" w:rsidP="0023353F">
      <w:pPr>
        <w:keepNext/>
        <w:autoSpaceDE w:val="0"/>
        <w:autoSpaceDN w:val="0"/>
        <w:adjustRightInd w:val="0"/>
        <w:spacing w:before="0" w:after="0"/>
        <w:rPr>
          <w:rFonts w:ascii="Arial" w:hAnsi="Arial" w:cs="Arial"/>
          <w:lang w:eastAsia="es-MX"/>
        </w:rPr>
      </w:pPr>
    </w:p>
    <w:p w14:paraId="33D5E165" w14:textId="6063E59A" w:rsidR="00E162A8" w:rsidRDefault="00E162A8" w:rsidP="0023353F">
      <w:pPr>
        <w:autoSpaceDE w:val="0"/>
        <w:autoSpaceDN w:val="0"/>
        <w:adjustRightInd w:val="0"/>
        <w:spacing w:before="0" w:after="0"/>
        <w:rPr>
          <w:rFonts w:ascii="Arial" w:hAnsi="Arial" w:cs="Arial"/>
          <w:lang w:eastAsia="es-MX"/>
        </w:rPr>
      </w:pPr>
      <w:r w:rsidRPr="00931D46">
        <w:rPr>
          <w:rFonts w:ascii="Arial" w:hAnsi="Arial" w:cs="Arial"/>
          <w:lang w:eastAsia="es-MX"/>
        </w:rPr>
        <w:t xml:space="preserve">En el caso Qihoo v Tencent, la Suprema Corte del Pueblo consideró que la </w:t>
      </w:r>
      <w:r w:rsidR="004513A8" w:rsidRPr="00931D46">
        <w:rPr>
          <w:rFonts w:ascii="Arial" w:hAnsi="Arial" w:cs="Arial"/>
          <w:lang w:eastAsia="es-MX"/>
        </w:rPr>
        <w:t>dimensión</w:t>
      </w:r>
      <w:r w:rsidRPr="00931D46">
        <w:rPr>
          <w:rFonts w:ascii="Arial" w:hAnsi="Arial" w:cs="Arial"/>
          <w:lang w:eastAsia="es-MX"/>
        </w:rPr>
        <w:t xml:space="preserve"> geográfica del mercado era nacional en lugar de global, debido a que otros servicios de mensajería instantánea localizados en el extranjero enfrenta</w:t>
      </w:r>
      <w:r w:rsidR="004513A8" w:rsidRPr="00931D46">
        <w:rPr>
          <w:rFonts w:ascii="Arial" w:hAnsi="Arial" w:cs="Arial"/>
          <w:lang w:eastAsia="es-MX"/>
        </w:rPr>
        <w:t>ban</w:t>
      </w:r>
      <w:r w:rsidRPr="00931D46">
        <w:rPr>
          <w:rFonts w:ascii="Arial" w:hAnsi="Arial" w:cs="Arial"/>
          <w:lang w:eastAsia="es-MX"/>
        </w:rPr>
        <w:t xml:space="preserve"> barreras legales y regulatorias para poder operar en China.</w:t>
      </w:r>
    </w:p>
    <w:p w14:paraId="736C1E08" w14:textId="77777777" w:rsidR="00C2756B" w:rsidRPr="00931D46" w:rsidRDefault="00C2756B" w:rsidP="0023353F">
      <w:pPr>
        <w:autoSpaceDE w:val="0"/>
        <w:autoSpaceDN w:val="0"/>
        <w:adjustRightInd w:val="0"/>
        <w:spacing w:before="0" w:after="0"/>
        <w:rPr>
          <w:rFonts w:ascii="Arial" w:hAnsi="Arial" w:cs="Arial"/>
        </w:rPr>
      </w:pPr>
    </w:p>
    <w:p w14:paraId="7B88AAF8" w14:textId="77777777" w:rsidR="008D29FE" w:rsidRPr="00931D46" w:rsidRDefault="00DB4085" w:rsidP="0023353F">
      <w:pPr>
        <w:pStyle w:val="Ttulo1"/>
        <w:keepLines w:val="0"/>
        <w:numPr>
          <w:ilvl w:val="0"/>
          <w:numId w:val="3"/>
        </w:numPr>
        <w:spacing w:before="0"/>
        <w:rPr>
          <w:rFonts w:ascii="Arial" w:hAnsi="Arial" w:cs="Arial"/>
          <w:b/>
          <w:color w:val="auto"/>
          <w:sz w:val="26"/>
          <w:szCs w:val="26"/>
        </w:rPr>
      </w:pPr>
      <w:bookmarkStart w:id="167" w:name="_Toc41649749"/>
      <w:bookmarkStart w:id="168" w:name="_Toc41649890"/>
      <w:bookmarkStart w:id="169" w:name="_Toc45216575"/>
      <w:bookmarkStart w:id="170" w:name="_Toc45628328"/>
      <w:bookmarkStart w:id="171" w:name="_Toc74306776"/>
      <w:bookmarkStart w:id="172" w:name="_Toc74323832"/>
      <w:r w:rsidRPr="00931D46">
        <w:rPr>
          <w:rFonts w:ascii="Arial" w:hAnsi="Arial" w:cs="Arial"/>
          <w:b/>
          <w:color w:val="auto"/>
          <w:sz w:val="26"/>
          <w:szCs w:val="26"/>
        </w:rPr>
        <w:t>Exhaustividad en la delimitación d</w:t>
      </w:r>
      <w:r w:rsidR="008D29FE" w:rsidRPr="00931D46">
        <w:rPr>
          <w:rFonts w:ascii="Arial" w:hAnsi="Arial" w:cs="Arial"/>
          <w:b/>
          <w:color w:val="auto"/>
          <w:sz w:val="26"/>
          <w:szCs w:val="26"/>
        </w:rPr>
        <w:t>el MR</w:t>
      </w:r>
      <w:bookmarkEnd w:id="167"/>
      <w:bookmarkEnd w:id="168"/>
      <w:bookmarkEnd w:id="169"/>
      <w:bookmarkEnd w:id="170"/>
      <w:bookmarkEnd w:id="171"/>
      <w:bookmarkEnd w:id="172"/>
    </w:p>
    <w:p w14:paraId="4513EF12" w14:textId="77777777" w:rsidR="008D29FE" w:rsidRPr="00931D46" w:rsidRDefault="008D29FE" w:rsidP="0023353F">
      <w:pPr>
        <w:keepNext/>
        <w:spacing w:before="0" w:after="0"/>
        <w:rPr>
          <w:rFonts w:ascii="Arial" w:eastAsiaTheme="majorEastAsia" w:hAnsi="Arial" w:cs="Arial"/>
          <w:b/>
          <w:szCs w:val="32"/>
          <w:highlight w:val="green"/>
        </w:rPr>
      </w:pPr>
    </w:p>
    <w:p w14:paraId="28C74C7F" w14:textId="72ECAF18" w:rsidR="009D2140" w:rsidRPr="00931D46" w:rsidRDefault="00D022C3" w:rsidP="0023353F">
      <w:pPr>
        <w:spacing w:before="0" w:after="0"/>
        <w:rPr>
          <w:rFonts w:ascii="Arial" w:hAnsi="Arial" w:cs="Arial"/>
        </w:rPr>
      </w:pPr>
      <w:r>
        <w:rPr>
          <w:rFonts w:ascii="Arial" w:hAnsi="Arial" w:cs="Arial"/>
        </w:rPr>
        <w:t>C</w:t>
      </w:r>
      <w:r w:rsidR="009D2140" w:rsidRPr="00931D46">
        <w:rPr>
          <w:rFonts w:ascii="Arial" w:hAnsi="Arial" w:cs="Arial"/>
        </w:rPr>
        <w:t xml:space="preserve">omo se señaló previamente, </w:t>
      </w:r>
      <w:r w:rsidR="009D2140" w:rsidRPr="00931D46">
        <w:rPr>
          <w:rFonts w:ascii="Arial" w:eastAsia="Times New Roman" w:hAnsi="Arial" w:cs="Arial"/>
          <w:bCs/>
          <w:kern w:val="1"/>
          <w:lang w:eastAsia="ar-SA"/>
        </w:rPr>
        <w:t xml:space="preserve">la determinación del MR no es un fin </w:t>
      </w:r>
      <w:r>
        <w:rPr>
          <w:rFonts w:ascii="Arial" w:eastAsia="Times New Roman" w:hAnsi="Arial" w:cs="Arial"/>
          <w:bCs/>
          <w:kern w:val="1"/>
          <w:lang w:eastAsia="ar-SA"/>
        </w:rPr>
        <w:t>en sí mismo</w:t>
      </w:r>
      <w:r w:rsidR="009D2140" w:rsidRPr="00931D46">
        <w:rPr>
          <w:rFonts w:ascii="Arial" w:eastAsia="Times New Roman" w:hAnsi="Arial" w:cs="Arial"/>
          <w:bCs/>
          <w:kern w:val="1"/>
          <w:lang w:eastAsia="ar-SA"/>
        </w:rPr>
        <w:t xml:space="preserve">, sino una herramienta para establecer un marco de referencia en el que se </w:t>
      </w:r>
      <w:r>
        <w:rPr>
          <w:rFonts w:ascii="Arial" w:eastAsia="Times New Roman" w:hAnsi="Arial" w:cs="Arial"/>
          <w:bCs/>
          <w:kern w:val="1"/>
          <w:lang w:eastAsia="ar-SA"/>
        </w:rPr>
        <w:t>realiza</w:t>
      </w:r>
      <w:r w:rsidR="009D2140" w:rsidRPr="00931D46">
        <w:rPr>
          <w:rFonts w:ascii="Arial" w:eastAsia="Times New Roman" w:hAnsi="Arial" w:cs="Arial"/>
          <w:bCs/>
          <w:kern w:val="1"/>
          <w:lang w:eastAsia="ar-SA"/>
        </w:rPr>
        <w:t xml:space="preserve"> la evaluación de</w:t>
      </w:r>
      <w:r w:rsidR="00C2756B">
        <w:rPr>
          <w:rFonts w:ascii="Arial" w:eastAsia="Times New Roman" w:hAnsi="Arial" w:cs="Arial"/>
          <w:bCs/>
          <w:kern w:val="1"/>
          <w:lang w:eastAsia="ar-SA"/>
        </w:rPr>
        <w:t xml:space="preserve"> poder sustancial de mercado, condiciones de competencia o condiciones de competencia efectiva, así como de los</w:t>
      </w:r>
      <w:r w:rsidR="009D2140" w:rsidRPr="00931D46">
        <w:rPr>
          <w:rFonts w:ascii="Arial" w:eastAsia="Times New Roman" w:hAnsi="Arial" w:cs="Arial"/>
          <w:bCs/>
          <w:kern w:val="1"/>
          <w:lang w:eastAsia="ar-SA"/>
        </w:rPr>
        <w:t xml:space="preserve"> efectos </w:t>
      </w:r>
      <w:r w:rsidR="00C2756B">
        <w:rPr>
          <w:rFonts w:ascii="Arial" w:eastAsia="Times New Roman" w:hAnsi="Arial" w:cs="Arial"/>
          <w:bCs/>
          <w:kern w:val="1"/>
          <w:lang w:eastAsia="ar-SA"/>
        </w:rPr>
        <w:t>de una conducta u operación</w:t>
      </w:r>
      <w:r w:rsidR="009D2140" w:rsidRPr="00931D46">
        <w:rPr>
          <w:rFonts w:ascii="Arial" w:hAnsi="Arial" w:cs="Arial"/>
        </w:rPr>
        <w:t xml:space="preserve">. En ese sentido, </w:t>
      </w:r>
      <w:r w:rsidR="00AD1A9D" w:rsidRPr="00931D46">
        <w:rPr>
          <w:rFonts w:ascii="Arial" w:hAnsi="Arial" w:cs="Arial"/>
        </w:rPr>
        <w:t xml:space="preserve">el análisis e implementación </w:t>
      </w:r>
      <w:r w:rsidR="00251442" w:rsidRPr="00931D46">
        <w:rPr>
          <w:rFonts w:ascii="Arial" w:hAnsi="Arial" w:cs="Arial"/>
        </w:rPr>
        <w:t>de los criterios señalados en el artículo 58 de la LFCE</w:t>
      </w:r>
      <w:r w:rsidR="009D2140" w:rsidRPr="00931D46">
        <w:rPr>
          <w:rFonts w:ascii="Arial" w:hAnsi="Arial" w:cs="Arial"/>
        </w:rPr>
        <w:t xml:space="preserve"> </w:t>
      </w:r>
      <w:r w:rsidR="00251442" w:rsidRPr="00931D46">
        <w:rPr>
          <w:rFonts w:ascii="Arial" w:hAnsi="Arial" w:cs="Arial"/>
        </w:rPr>
        <w:t>y en la Guía</w:t>
      </w:r>
      <w:r w:rsidR="009D2140" w:rsidRPr="00931D46">
        <w:rPr>
          <w:rFonts w:ascii="Arial" w:hAnsi="Arial" w:cs="Arial"/>
        </w:rPr>
        <w:t xml:space="preserve"> debe hacerse tomando en cuenta las circunstancias particulares del caso sujeto de análisis</w:t>
      </w:r>
      <w:r w:rsidR="00251442" w:rsidRPr="00931D46">
        <w:rPr>
          <w:rFonts w:ascii="Arial" w:hAnsi="Arial" w:cs="Arial"/>
        </w:rPr>
        <w:t xml:space="preserve"> y </w:t>
      </w:r>
      <w:r w:rsidR="00923CC9" w:rsidRPr="00931D46">
        <w:rPr>
          <w:rFonts w:ascii="Arial" w:hAnsi="Arial" w:cs="Arial"/>
        </w:rPr>
        <w:t>considerando</w:t>
      </w:r>
      <w:r w:rsidR="00251442" w:rsidRPr="00931D46">
        <w:rPr>
          <w:rFonts w:ascii="Arial" w:hAnsi="Arial" w:cs="Arial"/>
        </w:rPr>
        <w:t xml:space="preserve"> que el objetivo principal es la </w:t>
      </w:r>
      <w:r w:rsidR="00251442" w:rsidRPr="00931D46">
        <w:rPr>
          <w:rFonts w:ascii="Arial" w:eastAsia="Times New Roman" w:hAnsi="Arial" w:cs="Arial"/>
          <w:bCs/>
          <w:kern w:val="1"/>
          <w:lang w:eastAsia="ar-SA"/>
        </w:rPr>
        <w:t xml:space="preserve">evaluación de </w:t>
      </w:r>
      <w:r w:rsidR="00C2756B">
        <w:rPr>
          <w:rFonts w:ascii="Arial" w:eastAsia="Times New Roman" w:hAnsi="Arial" w:cs="Arial"/>
          <w:bCs/>
          <w:kern w:val="1"/>
          <w:lang w:eastAsia="ar-SA"/>
        </w:rPr>
        <w:t>la existencia de poder sustancial de mercado, condiciones de competencia o condiciones de competencia efectiva</w:t>
      </w:r>
      <w:r w:rsidR="00251442" w:rsidRPr="00931D46">
        <w:rPr>
          <w:rFonts w:ascii="Arial" w:eastAsia="Times New Roman" w:hAnsi="Arial" w:cs="Arial"/>
          <w:bCs/>
          <w:kern w:val="1"/>
          <w:lang w:eastAsia="ar-SA"/>
        </w:rPr>
        <w:t xml:space="preserve"> y no la delimitación del MR </w:t>
      </w:r>
      <w:r w:rsidR="00251442" w:rsidRPr="00931D46">
        <w:rPr>
          <w:rFonts w:ascii="Arial" w:eastAsia="Times New Roman" w:hAnsi="Arial" w:cs="Arial"/>
          <w:bCs/>
          <w:i/>
          <w:kern w:val="1"/>
          <w:lang w:eastAsia="ar-SA"/>
        </w:rPr>
        <w:t>per sé</w:t>
      </w:r>
      <w:r w:rsidR="009D2140" w:rsidRPr="00931D46">
        <w:rPr>
          <w:rFonts w:ascii="Arial" w:hAnsi="Arial" w:cs="Arial"/>
        </w:rPr>
        <w:t>.</w:t>
      </w:r>
    </w:p>
    <w:p w14:paraId="00CE7E81" w14:textId="77777777" w:rsidR="009D2140" w:rsidRPr="00931D46" w:rsidRDefault="009D2140" w:rsidP="0023353F">
      <w:pPr>
        <w:spacing w:before="0" w:after="0"/>
        <w:rPr>
          <w:rFonts w:ascii="Arial" w:hAnsi="Arial" w:cs="Arial"/>
        </w:rPr>
      </w:pPr>
    </w:p>
    <w:p w14:paraId="0CD7D097" w14:textId="4FF5A36C" w:rsidR="003C56F9" w:rsidRPr="00931D46" w:rsidRDefault="00C2756B" w:rsidP="0023353F">
      <w:pPr>
        <w:spacing w:before="0" w:after="0"/>
        <w:rPr>
          <w:rFonts w:ascii="Arial" w:hAnsi="Arial" w:cs="Arial"/>
        </w:rPr>
      </w:pPr>
      <w:r>
        <w:rPr>
          <w:rFonts w:ascii="Arial" w:hAnsi="Arial" w:cs="Arial"/>
        </w:rPr>
        <w:t xml:space="preserve">En el caso particular de </w:t>
      </w:r>
      <w:r w:rsidR="00F05882" w:rsidRPr="00931D46">
        <w:rPr>
          <w:rFonts w:ascii="Arial" w:hAnsi="Arial" w:cs="Arial"/>
        </w:rPr>
        <w:t xml:space="preserve">las concentraciones que se señalan en el artículo 92 de la LFCE </w:t>
      </w:r>
      <w:r w:rsidR="00402AED" w:rsidRPr="00931D46">
        <w:rPr>
          <w:rFonts w:ascii="Arial" w:hAnsi="Arial" w:cs="Arial"/>
        </w:rPr>
        <w:t>o las que cumplen con lo señalado en el artículo 6 del</w:t>
      </w:r>
      <w:r w:rsidR="00F05882" w:rsidRPr="00931D46">
        <w:rPr>
          <w:rFonts w:ascii="Arial" w:hAnsi="Arial" w:cs="Arial"/>
        </w:rPr>
        <w:t xml:space="preserve"> Criterio Técnico</w:t>
      </w:r>
      <w:r w:rsidR="00834BE3" w:rsidRPr="00931D46">
        <w:rPr>
          <w:rStyle w:val="Refdenotaalpie"/>
          <w:rFonts w:ascii="Arial" w:hAnsi="Arial" w:cs="Arial"/>
        </w:rPr>
        <w:footnoteReference w:id="160"/>
      </w:r>
      <w:r w:rsidR="00402AED" w:rsidRPr="00931D46">
        <w:rPr>
          <w:rFonts w:ascii="Arial" w:hAnsi="Arial" w:cs="Arial"/>
        </w:rPr>
        <w:t xml:space="preserve"> y no se encuentran en los supuestos del artículo 7 del mismo ordenamiento</w:t>
      </w:r>
      <w:r>
        <w:rPr>
          <w:rFonts w:ascii="Arial" w:hAnsi="Arial" w:cs="Arial"/>
        </w:rPr>
        <w:t>,</w:t>
      </w:r>
      <w:r w:rsidR="00834BE3" w:rsidRPr="00931D46">
        <w:rPr>
          <w:rStyle w:val="Refdenotaalpie"/>
          <w:rFonts w:ascii="Arial" w:hAnsi="Arial" w:cs="Arial"/>
        </w:rPr>
        <w:footnoteReference w:id="161"/>
      </w:r>
      <w:r w:rsidR="00402AED" w:rsidRPr="00931D46">
        <w:rPr>
          <w:rFonts w:ascii="Arial" w:hAnsi="Arial" w:cs="Arial"/>
        </w:rPr>
        <w:t xml:space="preserve"> </w:t>
      </w:r>
      <w:r>
        <w:rPr>
          <w:rFonts w:ascii="Arial" w:hAnsi="Arial" w:cs="Arial"/>
        </w:rPr>
        <w:t>un análisis preliminar permite concluir que los efectos de la operación no implican afectaciones a la competencia y libre concurrencia.</w:t>
      </w:r>
    </w:p>
    <w:p w14:paraId="4E69ED66" w14:textId="77777777" w:rsidR="00AD1A9D" w:rsidRPr="00931D46" w:rsidRDefault="00AD1A9D" w:rsidP="0023353F">
      <w:pPr>
        <w:spacing w:before="0" w:after="0"/>
        <w:rPr>
          <w:rFonts w:ascii="Arial" w:hAnsi="Arial" w:cs="Arial"/>
        </w:rPr>
      </w:pPr>
    </w:p>
    <w:p w14:paraId="50C53E67" w14:textId="1DD33188" w:rsidR="00AD1A9D" w:rsidRPr="00931D46" w:rsidRDefault="00AD1A9D" w:rsidP="0023353F">
      <w:pPr>
        <w:spacing w:before="0" w:after="0"/>
        <w:rPr>
          <w:rFonts w:ascii="Arial" w:hAnsi="Arial" w:cs="Arial"/>
        </w:rPr>
      </w:pPr>
      <w:r w:rsidRPr="00931D46">
        <w:rPr>
          <w:rFonts w:ascii="Arial" w:hAnsi="Arial" w:cs="Arial"/>
        </w:rPr>
        <w:t>En e</w:t>
      </w:r>
      <w:r w:rsidR="00C2756B">
        <w:rPr>
          <w:rFonts w:ascii="Arial" w:hAnsi="Arial" w:cs="Arial"/>
        </w:rPr>
        <w:t>ste</w:t>
      </w:r>
      <w:r w:rsidRPr="00931D46">
        <w:rPr>
          <w:rFonts w:ascii="Arial" w:hAnsi="Arial" w:cs="Arial"/>
        </w:rPr>
        <w:t xml:space="preserve"> sentido, la Guía de Concentraciones señala que: </w:t>
      </w:r>
      <w:r w:rsidRPr="00931D46">
        <w:rPr>
          <w:rFonts w:ascii="Arial" w:hAnsi="Arial" w:cs="Arial"/>
          <w:i/>
        </w:rPr>
        <w:t xml:space="preserve">“(…) Los datos de participaciones que los agentes económicos presenten no necesariamente corresponden al mercado relevante o mercados relacionados en los que tiene efectos la concentración (…) Sin embargo, pueden ser utilizados de forma razonable para tratar de construir diferentes escenarios de agregación, entre los cuales se podría ubicar el mercado relevante y los mercados relacionados correspondientes. </w:t>
      </w:r>
      <w:r w:rsidRPr="00931D46">
        <w:rPr>
          <w:rFonts w:ascii="Arial" w:hAnsi="Arial" w:cs="Arial"/>
          <w:b/>
          <w:i/>
        </w:rPr>
        <w:t xml:space="preserve">Si bajo ninguno de esos escenarios de agregación, se identifica que ésta pudiera obstaculizar, disminuir, dañar </w:t>
      </w:r>
      <w:r w:rsidR="00FE750A" w:rsidRPr="00931D46">
        <w:rPr>
          <w:rFonts w:ascii="Arial" w:hAnsi="Arial" w:cs="Arial"/>
          <w:b/>
          <w:i/>
        </w:rPr>
        <w:t xml:space="preserve">o </w:t>
      </w:r>
      <w:r w:rsidRPr="00931D46">
        <w:rPr>
          <w:rFonts w:ascii="Arial" w:hAnsi="Arial" w:cs="Arial"/>
          <w:b/>
          <w:i/>
        </w:rPr>
        <w:t>impedir la libre concurrencia y competencia económica, entonces el IFT considerará finalizado su análisis de efectos</w:t>
      </w:r>
      <w:r w:rsidRPr="00931D46">
        <w:rPr>
          <w:rFonts w:ascii="Arial" w:hAnsi="Arial" w:cs="Arial"/>
          <w:i/>
        </w:rPr>
        <w:t xml:space="preserve"> (…).”</w:t>
      </w:r>
      <w:r w:rsidRPr="00931D46">
        <w:rPr>
          <w:rStyle w:val="Refdenotaalpie"/>
          <w:rFonts w:ascii="Arial" w:hAnsi="Arial" w:cs="Arial"/>
        </w:rPr>
        <w:footnoteReference w:id="162"/>
      </w:r>
    </w:p>
    <w:p w14:paraId="39F7DD92" w14:textId="77777777" w:rsidR="003C56F9" w:rsidRPr="00931D46" w:rsidRDefault="003C56F9" w:rsidP="0023353F">
      <w:pPr>
        <w:spacing w:before="0" w:after="0"/>
        <w:rPr>
          <w:rFonts w:ascii="Arial" w:hAnsi="Arial" w:cs="Arial"/>
        </w:rPr>
      </w:pPr>
    </w:p>
    <w:p w14:paraId="74FBEFF2" w14:textId="700BA250" w:rsidR="00F05882" w:rsidRPr="00931D46" w:rsidRDefault="005074DE" w:rsidP="0023353F">
      <w:pPr>
        <w:spacing w:before="0" w:after="0"/>
        <w:rPr>
          <w:rFonts w:ascii="Arial" w:hAnsi="Arial" w:cs="Arial"/>
        </w:rPr>
      </w:pPr>
      <w:r w:rsidRPr="00931D46">
        <w:rPr>
          <w:rFonts w:ascii="Arial" w:hAnsi="Arial" w:cs="Arial"/>
        </w:rPr>
        <w:t>E</w:t>
      </w:r>
      <w:r w:rsidR="00402AED" w:rsidRPr="00931D46">
        <w:rPr>
          <w:rFonts w:ascii="Arial" w:hAnsi="Arial" w:cs="Arial"/>
        </w:rPr>
        <w:t xml:space="preserve">n </w:t>
      </w:r>
      <w:r w:rsidR="00AD1A9D" w:rsidRPr="00931D46">
        <w:rPr>
          <w:rFonts w:ascii="Arial" w:hAnsi="Arial" w:cs="Arial"/>
        </w:rPr>
        <w:t>los</w:t>
      </w:r>
      <w:r w:rsidR="00402AED" w:rsidRPr="00931D46">
        <w:rPr>
          <w:rFonts w:ascii="Arial" w:hAnsi="Arial" w:cs="Arial"/>
        </w:rPr>
        <w:t xml:space="preserve"> casos</w:t>
      </w:r>
      <w:r w:rsidR="00AD1A9D" w:rsidRPr="00931D46">
        <w:rPr>
          <w:rFonts w:ascii="Arial" w:hAnsi="Arial" w:cs="Arial"/>
        </w:rPr>
        <w:t xml:space="preserve"> </w:t>
      </w:r>
      <w:r w:rsidR="00C2756B">
        <w:rPr>
          <w:rFonts w:ascii="Arial" w:hAnsi="Arial" w:cs="Arial"/>
        </w:rPr>
        <w:t xml:space="preserve">de concentraciones </w:t>
      </w:r>
      <w:r w:rsidR="00AD1A9D" w:rsidRPr="00931D46">
        <w:rPr>
          <w:rFonts w:ascii="Arial" w:hAnsi="Arial" w:cs="Arial"/>
        </w:rPr>
        <w:t>descritos</w:t>
      </w:r>
      <w:r w:rsidR="00402AED" w:rsidRPr="00931D46">
        <w:rPr>
          <w:rFonts w:ascii="Arial" w:hAnsi="Arial" w:cs="Arial"/>
        </w:rPr>
        <w:t xml:space="preserve">, </w:t>
      </w:r>
      <w:r w:rsidR="00F05882" w:rsidRPr="00931D46">
        <w:rPr>
          <w:rFonts w:ascii="Arial" w:hAnsi="Arial" w:cs="Arial"/>
        </w:rPr>
        <w:t xml:space="preserve">no </w:t>
      </w:r>
      <w:r w:rsidRPr="00931D46">
        <w:rPr>
          <w:rFonts w:ascii="Arial" w:hAnsi="Arial" w:cs="Arial"/>
        </w:rPr>
        <w:t>e</w:t>
      </w:r>
      <w:r w:rsidR="00F05882" w:rsidRPr="00931D46">
        <w:rPr>
          <w:rFonts w:ascii="Arial" w:hAnsi="Arial" w:cs="Arial"/>
        </w:rPr>
        <w:t>s</w:t>
      </w:r>
      <w:r w:rsidRPr="00931D46">
        <w:rPr>
          <w:rFonts w:ascii="Arial" w:hAnsi="Arial" w:cs="Arial"/>
        </w:rPr>
        <w:t xml:space="preserve"> </w:t>
      </w:r>
      <w:r w:rsidR="00F05882" w:rsidRPr="00931D46">
        <w:rPr>
          <w:rFonts w:ascii="Arial" w:hAnsi="Arial" w:cs="Arial"/>
        </w:rPr>
        <w:t xml:space="preserve">necesario llevar a cabo una delimitación exhaustiva del MR aplicando todos y cada uno de los </w:t>
      </w:r>
      <w:r w:rsidR="00AD1A9D" w:rsidRPr="00931D46">
        <w:rPr>
          <w:rFonts w:ascii="Arial" w:hAnsi="Arial" w:cs="Arial"/>
        </w:rPr>
        <w:t>c</w:t>
      </w:r>
      <w:r w:rsidR="00F05882" w:rsidRPr="00931D46">
        <w:rPr>
          <w:rFonts w:ascii="Arial" w:hAnsi="Arial" w:cs="Arial"/>
        </w:rPr>
        <w:t>riterios</w:t>
      </w:r>
      <w:r w:rsidR="00445166" w:rsidRPr="00931D46">
        <w:rPr>
          <w:rFonts w:ascii="Arial" w:hAnsi="Arial" w:cs="Arial"/>
        </w:rPr>
        <w:t xml:space="preserve"> establecidos en el artículo 58 de la LFCE</w:t>
      </w:r>
      <w:r w:rsidR="00AD1A9D" w:rsidRPr="00931D46">
        <w:rPr>
          <w:rFonts w:ascii="Arial" w:hAnsi="Arial" w:cs="Arial"/>
        </w:rPr>
        <w:t xml:space="preserve"> y en la Guía</w:t>
      </w:r>
      <w:r w:rsidRPr="00931D46">
        <w:rPr>
          <w:rFonts w:ascii="Arial" w:hAnsi="Arial" w:cs="Arial"/>
        </w:rPr>
        <w:t xml:space="preserve">, pues hacerlo implicaría </w:t>
      </w:r>
      <w:r w:rsidR="003C56F9" w:rsidRPr="00931D46">
        <w:rPr>
          <w:rFonts w:ascii="Arial" w:hAnsi="Arial" w:cs="Arial"/>
        </w:rPr>
        <w:t xml:space="preserve">llegar a la misma conclusión </w:t>
      </w:r>
      <w:r w:rsidR="00AD1A9D" w:rsidRPr="00931D46">
        <w:rPr>
          <w:rFonts w:ascii="Arial" w:hAnsi="Arial" w:cs="Arial"/>
        </w:rPr>
        <w:t>respecto a los</w:t>
      </w:r>
      <w:r w:rsidR="003C56F9" w:rsidRPr="00931D46">
        <w:rPr>
          <w:rFonts w:ascii="Arial" w:hAnsi="Arial" w:cs="Arial"/>
        </w:rPr>
        <w:t xml:space="preserve"> efectos</w:t>
      </w:r>
      <w:r w:rsidR="00AD1A9D" w:rsidRPr="00931D46">
        <w:rPr>
          <w:rFonts w:ascii="Arial" w:hAnsi="Arial" w:cs="Arial"/>
        </w:rPr>
        <w:t xml:space="preserve"> o condiciones de competencia y libre concurrencia</w:t>
      </w:r>
      <w:r w:rsidR="003C56F9" w:rsidRPr="00931D46">
        <w:rPr>
          <w:rFonts w:ascii="Arial" w:hAnsi="Arial" w:cs="Arial"/>
        </w:rPr>
        <w:t xml:space="preserve">, pero en un tiempo mayor de análisis y el consecuente </w:t>
      </w:r>
      <w:r w:rsidR="008A7C60" w:rsidRPr="00931D46">
        <w:rPr>
          <w:rFonts w:ascii="Arial" w:hAnsi="Arial" w:cs="Arial"/>
        </w:rPr>
        <w:t xml:space="preserve">costo </w:t>
      </w:r>
      <w:r w:rsidR="003C56F9" w:rsidRPr="00931D46">
        <w:rPr>
          <w:rFonts w:ascii="Arial" w:hAnsi="Arial" w:cs="Arial"/>
        </w:rPr>
        <w:t>por parte de los AE</w:t>
      </w:r>
      <w:r w:rsidR="00D022C3">
        <w:rPr>
          <w:rFonts w:ascii="Arial" w:hAnsi="Arial" w:cs="Arial"/>
        </w:rPr>
        <w:t xml:space="preserve"> y el Instituto</w:t>
      </w:r>
      <w:r w:rsidR="00F05882" w:rsidRPr="00931D46">
        <w:rPr>
          <w:rFonts w:ascii="Arial" w:hAnsi="Arial" w:cs="Arial"/>
        </w:rPr>
        <w:t>.</w:t>
      </w:r>
    </w:p>
    <w:p w14:paraId="003102D1" w14:textId="77777777" w:rsidR="00F05882" w:rsidRPr="00931D46" w:rsidRDefault="00F05882" w:rsidP="0023353F">
      <w:pPr>
        <w:spacing w:before="0" w:after="0"/>
        <w:rPr>
          <w:rFonts w:ascii="Arial" w:hAnsi="Arial" w:cs="Arial"/>
        </w:rPr>
      </w:pPr>
    </w:p>
    <w:p w14:paraId="7345AE9D" w14:textId="77777777" w:rsidR="00534336" w:rsidRPr="00931D46" w:rsidRDefault="00534336" w:rsidP="0023353F">
      <w:pPr>
        <w:pStyle w:val="Ttulo2"/>
        <w:keepLines w:val="0"/>
        <w:numPr>
          <w:ilvl w:val="1"/>
          <w:numId w:val="3"/>
        </w:numPr>
        <w:spacing w:before="0" w:after="0"/>
        <w:rPr>
          <w:rFonts w:ascii="Arial" w:eastAsia="Times New Roman" w:hAnsi="Arial" w:cs="Arial"/>
          <w:sz w:val="26"/>
          <w:lang w:eastAsia="es-MX"/>
        </w:rPr>
      </w:pPr>
      <w:bookmarkStart w:id="173" w:name="_Toc45216576"/>
      <w:bookmarkStart w:id="174" w:name="_Toc45628329"/>
      <w:bookmarkStart w:id="175" w:name="_Toc74306777"/>
      <w:bookmarkStart w:id="176" w:name="_Toc74323833"/>
      <w:r w:rsidRPr="00931D46">
        <w:rPr>
          <w:rFonts w:ascii="Arial" w:eastAsia="Times New Roman" w:hAnsi="Arial" w:cs="Arial"/>
          <w:sz w:val="26"/>
          <w:lang w:eastAsia="es-MX"/>
        </w:rPr>
        <w:t>Precedentes decisorios del Instituto</w:t>
      </w:r>
      <w:bookmarkEnd w:id="173"/>
      <w:bookmarkEnd w:id="174"/>
      <w:bookmarkEnd w:id="175"/>
      <w:bookmarkEnd w:id="176"/>
    </w:p>
    <w:p w14:paraId="5348C10F" w14:textId="77777777" w:rsidR="00534336" w:rsidRPr="00931D46" w:rsidRDefault="00534336" w:rsidP="0023353F">
      <w:pPr>
        <w:keepNext/>
        <w:spacing w:before="0" w:after="0"/>
        <w:rPr>
          <w:rFonts w:ascii="Arial" w:hAnsi="Arial" w:cs="Arial"/>
        </w:rPr>
      </w:pPr>
    </w:p>
    <w:p w14:paraId="292346A0" w14:textId="77777777" w:rsidR="00534336" w:rsidRPr="00931D46" w:rsidRDefault="00534336"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177" w:name="_Toc39855721"/>
      <w:bookmarkStart w:id="178" w:name="_Toc45628330"/>
      <w:r w:rsidRPr="00931D46">
        <w:rPr>
          <w:rFonts w:ascii="Arial" w:eastAsia="Times New Roman" w:hAnsi="Arial" w:cs="Arial"/>
          <w:b/>
          <w:color w:val="auto"/>
          <w:sz w:val="26"/>
          <w:szCs w:val="26"/>
          <w:lang w:eastAsia="es-MX"/>
        </w:rPr>
        <w:t>Six</w:t>
      </w:r>
      <w:r w:rsidR="00283CEC" w:rsidRPr="00931D46">
        <w:rPr>
          <w:rFonts w:ascii="Arial" w:eastAsia="Times New Roman" w:hAnsi="Arial" w:cs="Arial"/>
          <w:b/>
          <w:color w:val="auto"/>
          <w:sz w:val="26"/>
          <w:szCs w:val="26"/>
          <w:lang w:eastAsia="es-MX"/>
        </w:rPr>
        <w:t>S</w:t>
      </w:r>
      <w:r w:rsidR="00C57649" w:rsidRPr="00931D46">
        <w:rPr>
          <w:rFonts w:ascii="Arial" w:eastAsia="Times New Roman" w:hAnsi="Arial" w:cs="Arial"/>
          <w:b/>
          <w:color w:val="auto"/>
          <w:sz w:val="26"/>
          <w:szCs w:val="26"/>
          <w:lang w:eastAsia="es-MX"/>
        </w:rPr>
        <w:t>igma</w:t>
      </w:r>
      <w:r w:rsidRPr="00931D46">
        <w:rPr>
          <w:rFonts w:ascii="Arial" w:eastAsia="Times New Roman" w:hAnsi="Arial" w:cs="Arial"/>
          <w:b/>
          <w:color w:val="auto"/>
          <w:sz w:val="26"/>
          <w:szCs w:val="26"/>
          <w:lang w:eastAsia="es-MX"/>
        </w:rPr>
        <w:t>/Metro Net</w:t>
      </w:r>
      <w:bookmarkEnd w:id="177"/>
      <w:r w:rsidRPr="00931D46">
        <w:rPr>
          <w:rFonts w:ascii="Arial" w:eastAsia="Times New Roman" w:hAnsi="Arial" w:cs="Arial"/>
          <w:b/>
          <w:color w:val="auto"/>
          <w:sz w:val="26"/>
          <w:szCs w:val="26"/>
          <w:vertAlign w:val="superscript"/>
          <w:lang w:eastAsia="es-MX"/>
        </w:rPr>
        <w:footnoteReference w:id="163"/>
      </w:r>
      <w:bookmarkEnd w:id="178"/>
    </w:p>
    <w:p w14:paraId="49592A5D" w14:textId="77777777" w:rsidR="00534336" w:rsidRPr="00931D46" w:rsidRDefault="00534336" w:rsidP="0023353F">
      <w:pPr>
        <w:keepNext/>
        <w:spacing w:before="0" w:after="0"/>
        <w:rPr>
          <w:rFonts w:ascii="Arial" w:hAnsi="Arial" w:cs="Arial"/>
        </w:rPr>
      </w:pPr>
    </w:p>
    <w:p w14:paraId="7CBAFB23" w14:textId="77777777" w:rsidR="00534336" w:rsidRPr="00931D46" w:rsidRDefault="00580AD4" w:rsidP="0023353F">
      <w:pPr>
        <w:spacing w:before="0" w:after="0"/>
        <w:rPr>
          <w:rFonts w:ascii="Arial" w:hAnsi="Arial" w:cs="Arial"/>
        </w:rPr>
      </w:pPr>
      <w:r w:rsidRPr="00931D46">
        <w:rPr>
          <w:rFonts w:ascii="Arial" w:hAnsi="Arial" w:cs="Arial"/>
        </w:rPr>
        <w:t>En</w:t>
      </w:r>
      <w:r w:rsidR="00534336" w:rsidRPr="00931D46">
        <w:rPr>
          <w:rFonts w:ascii="Arial" w:hAnsi="Arial" w:cs="Arial"/>
        </w:rPr>
        <w:t xml:space="preserve"> </w:t>
      </w:r>
      <w:r w:rsidR="00BF41B8" w:rsidRPr="00931D46">
        <w:rPr>
          <w:rFonts w:ascii="Arial" w:hAnsi="Arial" w:cs="Arial"/>
        </w:rPr>
        <w:t>esta</w:t>
      </w:r>
      <w:r w:rsidR="00534336" w:rsidRPr="00931D46">
        <w:rPr>
          <w:rFonts w:ascii="Arial" w:hAnsi="Arial" w:cs="Arial"/>
        </w:rPr>
        <w:t xml:space="preserve"> concentración </w:t>
      </w:r>
      <w:r w:rsidRPr="00931D46">
        <w:rPr>
          <w:rFonts w:ascii="Arial" w:hAnsi="Arial" w:cs="Arial"/>
        </w:rPr>
        <w:t>e</w:t>
      </w:r>
      <w:r w:rsidR="00534336" w:rsidRPr="00931D46">
        <w:rPr>
          <w:rFonts w:ascii="Arial" w:hAnsi="Arial" w:cs="Arial"/>
        </w:rPr>
        <w:t xml:space="preserve">l Instituto </w:t>
      </w:r>
      <w:r w:rsidRPr="00931D46">
        <w:rPr>
          <w:rFonts w:ascii="Arial" w:hAnsi="Arial" w:cs="Arial"/>
        </w:rPr>
        <w:t xml:space="preserve">consideró, con </w:t>
      </w:r>
      <w:r w:rsidR="00BB1522" w:rsidRPr="00931D46">
        <w:rPr>
          <w:rFonts w:ascii="Arial" w:hAnsi="Arial" w:cs="Arial"/>
        </w:rPr>
        <w:t>base en</w:t>
      </w:r>
      <w:r w:rsidRPr="00931D46">
        <w:rPr>
          <w:rFonts w:ascii="Arial" w:hAnsi="Arial" w:cs="Arial"/>
        </w:rPr>
        <w:t xml:space="preserve"> un análisis preliminar, que tenía pocas probabilidades de afectar la competencia </w:t>
      </w:r>
      <w:r w:rsidR="00534336" w:rsidRPr="00931D46">
        <w:rPr>
          <w:rFonts w:ascii="Arial" w:hAnsi="Arial" w:cs="Arial"/>
        </w:rPr>
        <w:t>debido a la participación no significativa</w:t>
      </w:r>
      <w:r w:rsidR="00156184" w:rsidRPr="00931D46">
        <w:rPr>
          <w:rFonts w:ascii="Arial" w:hAnsi="Arial" w:cs="Arial"/>
        </w:rPr>
        <w:t xml:space="preserve"> de las partes</w:t>
      </w:r>
      <w:r w:rsidR="00534336" w:rsidRPr="00931D46">
        <w:rPr>
          <w:rFonts w:ascii="Arial" w:hAnsi="Arial" w:cs="Arial"/>
        </w:rPr>
        <w:t xml:space="preserve"> en la provisión de servicios administrados, hospedaje</w:t>
      </w:r>
      <w:r w:rsidR="00B91942" w:rsidRPr="00931D46">
        <w:rPr>
          <w:rFonts w:ascii="Arial" w:hAnsi="Arial" w:cs="Arial"/>
        </w:rPr>
        <w:t>,</w:t>
      </w:r>
      <w:r w:rsidR="00534336" w:rsidRPr="00931D46">
        <w:rPr>
          <w:rFonts w:ascii="Arial" w:hAnsi="Arial" w:cs="Arial"/>
        </w:rPr>
        <w:t xml:space="preserve"> cómputo en la nube</w:t>
      </w:r>
      <w:r w:rsidR="00B91942" w:rsidRPr="00931D46">
        <w:rPr>
          <w:rFonts w:ascii="Arial" w:hAnsi="Arial" w:cs="Arial"/>
        </w:rPr>
        <w:t xml:space="preserve">, </w:t>
      </w:r>
      <w:r w:rsidR="00970DAF" w:rsidRPr="00931D46">
        <w:rPr>
          <w:rFonts w:ascii="Arial" w:hAnsi="Arial" w:cs="Arial"/>
        </w:rPr>
        <w:t>SBAF</w:t>
      </w:r>
      <w:r w:rsidR="00B91942" w:rsidRPr="00931D46">
        <w:rPr>
          <w:rFonts w:ascii="Arial" w:hAnsi="Arial" w:cs="Arial"/>
        </w:rPr>
        <w:t xml:space="preserve"> y enlaces dedicados</w:t>
      </w:r>
      <w:r w:rsidR="00156184" w:rsidRPr="00931D46">
        <w:rPr>
          <w:rFonts w:ascii="Arial" w:hAnsi="Arial" w:cs="Arial"/>
        </w:rPr>
        <w:t>;</w:t>
      </w:r>
      <w:r w:rsidRPr="00931D46">
        <w:rPr>
          <w:rFonts w:ascii="Arial" w:hAnsi="Arial" w:cs="Arial"/>
        </w:rPr>
        <w:t xml:space="preserve"> la </w:t>
      </w:r>
      <w:r w:rsidR="00B91942" w:rsidRPr="00931D46">
        <w:rPr>
          <w:rFonts w:ascii="Arial" w:hAnsi="Arial" w:cs="Arial"/>
        </w:rPr>
        <w:t xml:space="preserve">red </w:t>
      </w:r>
      <w:r w:rsidRPr="00931D46">
        <w:rPr>
          <w:rFonts w:ascii="Arial" w:hAnsi="Arial" w:cs="Arial"/>
        </w:rPr>
        <w:t>adquirida</w:t>
      </w:r>
      <w:r w:rsidR="00534336" w:rsidRPr="00931D46">
        <w:rPr>
          <w:rFonts w:ascii="Arial" w:hAnsi="Arial" w:cs="Arial"/>
        </w:rPr>
        <w:t xml:space="preserve"> </w:t>
      </w:r>
      <w:r w:rsidRPr="00931D46">
        <w:rPr>
          <w:rFonts w:ascii="Arial" w:hAnsi="Arial" w:cs="Arial"/>
        </w:rPr>
        <w:t xml:space="preserve">tenía una extensión </w:t>
      </w:r>
      <w:r w:rsidR="00534336" w:rsidRPr="00931D46">
        <w:rPr>
          <w:rFonts w:ascii="Arial" w:hAnsi="Arial" w:cs="Arial"/>
        </w:rPr>
        <w:t xml:space="preserve">limitada en comparación con las </w:t>
      </w:r>
      <w:r w:rsidRPr="00931D46">
        <w:rPr>
          <w:rFonts w:ascii="Arial" w:hAnsi="Arial" w:cs="Arial"/>
        </w:rPr>
        <w:t xml:space="preserve">redes </w:t>
      </w:r>
      <w:r w:rsidR="00534336" w:rsidRPr="00931D46">
        <w:rPr>
          <w:rFonts w:ascii="Arial" w:hAnsi="Arial" w:cs="Arial"/>
        </w:rPr>
        <w:t>de otros proveedores</w:t>
      </w:r>
      <w:r w:rsidR="00B91942" w:rsidRPr="00931D46">
        <w:rPr>
          <w:rFonts w:ascii="Arial" w:hAnsi="Arial" w:cs="Arial"/>
        </w:rPr>
        <w:t xml:space="preserve"> y el adquirente no contaba con alguna red adicional</w:t>
      </w:r>
      <w:r w:rsidRPr="00931D46">
        <w:rPr>
          <w:rFonts w:ascii="Arial" w:hAnsi="Arial" w:cs="Arial"/>
        </w:rPr>
        <w:t xml:space="preserve">. En razón de lo anterior, el Instituto no realizó una delimitación exhaustiva de los MR involucrados </w:t>
      </w:r>
      <w:r w:rsidR="00AD1A9D" w:rsidRPr="00931D46">
        <w:rPr>
          <w:rFonts w:ascii="Arial" w:hAnsi="Arial" w:cs="Arial"/>
        </w:rPr>
        <w:t>ni consideró necesario</w:t>
      </w:r>
      <w:r w:rsidRPr="00931D46">
        <w:rPr>
          <w:rFonts w:ascii="Arial" w:hAnsi="Arial" w:cs="Arial"/>
        </w:rPr>
        <w:t xml:space="preserve"> </w:t>
      </w:r>
      <w:r w:rsidR="00AD1A9D" w:rsidRPr="00931D46">
        <w:rPr>
          <w:rFonts w:ascii="Arial" w:hAnsi="Arial" w:cs="Arial"/>
        </w:rPr>
        <w:t xml:space="preserve">analizar </w:t>
      </w:r>
      <w:r w:rsidR="00AC3EC3" w:rsidRPr="00931D46">
        <w:rPr>
          <w:rFonts w:ascii="Arial" w:hAnsi="Arial" w:cs="Arial"/>
        </w:rPr>
        <w:t>cada uno de los elementos señalados en el artículo 58 de la LFCE.</w:t>
      </w:r>
    </w:p>
    <w:p w14:paraId="2C416740" w14:textId="77777777" w:rsidR="00B91942" w:rsidRPr="00931D46" w:rsidRDefault="00B91942" w:rsidP="0023353F">
      <w:pPr>
        <w:spacing w:before="0" w:after="0"/>
        <w:rPr>
          <w:rFonts w:ascii="Arial" w:hAnsi="Arial" w:cs="Arial"/>
        </w:rPr>
      </w:pPr>
    </w:p>
    <w:p w14:paraId="6422CDB3" w14:textId="77777777" w:rsidR="00B91942" w:rsidRPr="00931D46" w:rsidRDefault="0045045C"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79" w:name="_Toc45628331"/>
      <w:r w:rsidRPr="00931D46">
        <w:rPr>
          <w:rFonts w:ascii="Arial" w:eastAsia="Times New Roman" w:hAnsi="Arial" w:cs="Arial"/>
          <w:b/>
          <w:color w:val="auto"/>
          <w:sz w:val="26"/>
          <w:szCs w:val="26"/>
          <w:lang w:val="en-US" w:eastAsia="es-MX"/>
        </w:rPr>
        <w:t xml:space="preserve">Mexico </w:t>
      </w:r>
      <w:r w:rsidR="00B91942" w:rsidRPr="00931D46">
        <w:rPr>
          <w:rFonts w:ascii="Arial" w:eastAsia="Times New Roman" w:hAnsi="Arial" w:cs="Arial"/>
          <w:b/>
          <w:color w:val="auto"/>
          <w:sz w:val="26"/>
          <w:szCs w:val="26"/>
          <w:lang w:val="en-US" w:eastAsia="es-MX"/>
        </w:rPr>
        <w:t xml:space="preserve">Tower Partners </w:t>
      </w:r>
      <w:r w:rsidRPr="00931D46">
        <w:rPr>
          <w:rFonts w:ascii="Arial" w:eastAsia="Times New Roman" w:hAnsi="Arial" w:cs="Arial"/>
          <w:b/>
          <w:color w:val="auto"/>
          <w:sz w:val="26"/>
          <w:szCs w:val="26"/>
          <w:lang w:val="en-US" w:eastAsia="es-MX"/>
        </w:rPr>
        <w:t>/</w:t>
      </w:r>
      <w:r w:rsidR="00B91942" w:rsidRPr="00931D46">
        <w:rPr>
          <w:rFonts w:ascii="Arial" w:eastAsia="Times New Roman" w:hAnsi="Arial" w:cs="Arial"/>
          <w:b/>
          <w:color w:val="auto"/>
          <w:sz w:val="26"/>
          <w:szCs w:val="26"/>
          <w:lang w:val="en-US" w:eastAsia="es-MX"/>
        </w:rPr>
        <w:t xml:space="preserve"> TGA Tower Partners</w:t>
      </w:r>
      <w:bookmarkEnd w:id="179"/>
      <w:r w:rsidR="00AD1A9D" w:rsidRPr="00931D46">
        <w:rPr>
          <w:rFonts w:ascii="Arial" w:eastAsia="Times New Roman" w:hAnsi="Arial" w:cs="Arial"/>
          <w:b/>
          <w:color w:val="auto"/>
          <w:sz w:val="26"/>
          <w:szCs w:val="26"/>
          <w:vertAlign w:val="superscript"/>
          <w:lang w:eastAsia="es-MX"/>
        </w:rPr>
        <w:footnoteReference w:id="164"/>
      </w:r>
    </w:p>
    <w:p w14:paraId="263A48DC" w14:textId="77777777" w:rsidR="0045045C" w:rsidRPr="00931D46" w:rsidRDefault="0045045C" w:rsidP="0023353F">
      <w:pPr>
        <w:keepNext/>
        <w:spacing w:before="0" w:after="0"/>
        <w:rPr>
          <w:rFonts w:ascii="Arial" w:hAnsi="Arial" w:cs="Arial"/>
          <w:lang w:val="en-US"/>
        </w:rPr>
      </w:pPr>
    </w:p>
    <w:p w14:paraId="2509EAED" w14:textId="77777777" w:rsidR="00BB2629" w:rsidRPr="00931D46" w:rsidRDefault="00BB2629" w:rsidP="0023353F">
      <w:pPr>
        <w:spacing w:before="0" w:after="0"/>
        <w:rPr>
          <w:rFonts w:ascii="Arial" w:hAnsi="Arial" w:cs="Arial"/>
        </w:rPr>
      </w:pPr>
      <w:r w:rsidRPr="00931D46">
        <w:rPr>
          <w:rFonts w:ascii="Arial" w:hAnsi="Arial" w:cs="Arial"/>
        </w:rPr>
        <w:t xml:space="preserve">La </w:t>
      </w:r>
      <w:r w:rsidR="00577408" w:rsidRPr="00931D46">
        <w:rPr>
          <w:rFonts w:ascii="Arial" w:hAnsi="Arial" w:cs="Arial"/>
        </w:rPr>
        <w:t xml:space="preserve">concentración </w:t>
      </w:r>
      <w:r w:rsidRPr="00931D46">
        <w:rPr>
          <w:rFonts w:ascii="Arial" w:hAnsi="Arial" w:cs="Arial"/>
        </w:rPr>
        <w:t xml:space="preserve">consistió en la adquisición de sitios para telecomunicaciones, respecto a la cual el Instituto consideró, con un análisis preliminar, que tenía pocas probabilidades de afectar la competencia debido a la participación no significativa en la provisión del servicio de sitios para telecomunicaciones que tendría el adquirente y la existencia de otros competidores con participaciones relativamente más altas. </w:t>
      </w:r>
    </w:p>
    <w:p w14:paraId="0886591F" w14:textId="77777777" w:rsidR="0076666B" w:rsidRPr="00931D46" w:rsidRDefault="0076666B" w:rsidP="0023353F">
      <w:pPr>
        <w:spacing w:before="0" w:after="0"/>
        <w:rPr>
          <w:rFonts w:ascii="Arial" w:hAnsi="Arial" w:cs="Arial"/>
        </w:rPr>
      </w:pPr>
    </w:p>
    <w:p w14:paraId="2515B7A1" w14:textId="77777777" w:rsidR="006247A6" w:rsidRPr="00931D46" w:rsidRDefault="00BB2629" w:rsidP="0023353F">
      <w:pPr>
        <w:spacing w:before="0" w:after="0"/>
        <w:rPr>
          <w:rFonts w:ascii="Arial" w:hAnsi="Arial" w:cs="Arial"/>
        </w:rPr>
      </w:pPr>
      <w:r w:rsidRPr="00931D46">
        <w:rPr>
          <w:rFonts w:ascii="Arial" w:hAnsi="Arial" w:cs="Arial"/>
        </w:rPr>
        <w:t>En el análisis antes referido se incluyó la descripción del servicio involucrado y se señaló que todos los oferentes del servicio tienen torres instaladas y gestionan espacios para la instalación de equipos de telecomunicaciones en todo el país, por lo que se consideró que para evaluar los efectos de la concentración era suficiente analizar la provisión de sitios para telecomunicaciones a nivel nacional y no era necesario considerar segmentaciones sub-nacionales. En razón de lo anterior, el Instituto no realizó una delimitación exhaustiva de los MR involucrados analizando cada uno de los elementos señalados en el artículo 58 de la LFCE.</w:t>
      </w:r>
    </w:p>
    <w:p w14:paraId="4D326C43" w14:textId="77777777" w:rsidR="003F43AC" w:rsidRPr="00931D46" w:rsidRDefault="003F43AC" w:rsidP="0023353F">
      <w:pPr>
        <w:spacing w:before="0" w:after="0"/>
        <w:rPr>
          <w:rFonts w:ascii="Arial" w:hAnsi="Arial" w:cs="Arial"/>
        </w:rPr>
      </w:pPr>
    </w:p>
    <w:p w14:paraId="6CE9EAC2" w14:textId="77777777" w:rsidR="00687F91" w:rsidRPr="00931D46" w:rsidRDefault="00687F91" w:rsidP="0023353F">
      <w:pPr>
        <w:spacing w:before="0" w:after="0"/>
        <w:rPr>
          <w:rFonts w:ascii="Arial" w:hAnsi="Arial" w:cs="Arial"/>
        </w:rPr>
      </w:pPr>
    </w:p>
    <w:p w14:paraId="64DFFD99" w14:textId="77777777" w:rsidR="00687F91" w:rsidRPr="00931D46" w:rsidRDefault="00687F91" w:rsidP="00B971D5">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AT&amp;T / Time Warner</w:t>
      </w:r>
      <w:r w:rsidR="00A63A8D" w:rsidRPr="00931D46">
        <w:rPr>
          <w:rFonts w:ascii="Arial" w:eastAsia="Times New Roman" w:hAnsi="Arial" w:cs="Arial"/>
          <w:b/>
          <w:color w:val="auto"/>
          <w:sz w:val="26"/>
          <w:szCs w:val="26"/>
          <w:vertAlign w:val="superscript"/>
          <w:lang w:eastAsia="es-MX"/>
        </w:rPr>
        <w:footnoteReference w:id="165"/>
      </w:r>
    </w:p>
    <w:p w14:paraId="0010D0CB" w14:textId="77777777" w:rsidR="00687F91" w:rsidRPr="00931D46" w:rsidRDefault="00687F91" w:rsidP="00B971D5">
      <w:pPr>
        <w:keepNext/>
        <w:spacing w:before="0" w:after="0"/>
        <w:rPr>
          <w:rFonts w:ascii="Arial" w:hAnsi="Arial" w:cs="Arial"/>
          <w:lang w:val="en-US"/>
        </w:rPr>
      </w:pPr>
    </w:p>
    <w:p w14:paraId="2026B90A" w14:textId="77777777" w:rsidR="00A63A8D" w:rsidRPr="00931D46" w:rsidRDefault="00687F91" w:rsidP="0023353F">
      <w:pPr>
        <w:spacing w:before="0" w:after="0"/>
        <w:rPr>
          <w:rFonts w:ascii="Arial" w:hAnsi="Arial" w:cs="Arial"/>
        </w:rPr>
      </w:pPr>
      <w:r w:rsidRPr="00931D46">
        <w:rPr>
          <w:rFonts w:ascii="Arial" w:hAnsi="Arial" w:cs="Arial"/>
        </w:rPr>
        <w:t xml:space="preserve">En </w:t>
      </w:r>
      <w:r w:rsidR="00854E1E" w:rsidRPr="00931D46">
        <w:rPr>
          <w:rFonts w:ascii="Arial" w:hAnsi="Arial" w:cs="Arial"/>
        </w:rPr>
        <w:t>esta</w:t>
      </w:r>
      <w:r w:rsidRPr="00931D46">
        <w:rPr>
          <w:rFonts w:ascii="Arial" w:hAnsi="Arial" w:cs="Arial"/>
        </w:rPr>
        <w:t xml:space="preserve"> concentración</w:t>
      </w:r>
      <w:r w:rsidR="00CA053D" w:rsidRPr="00931D46">
        <w:rPr>
          <w:rFonts w:ascii="Arial" w:hAnsi="Arial" w:cs="Arial"/>
        </w:rPr>
        <w:t>,</w:t>
      </w:r>
      <w:r w:rsidRPr="00931D46" w:rsidDel="009D475C">
        <w:rPr>
          <w:rFonts w:ascii="Arial" w:hAnsi="Arial" w:cs="Arial"/>
        </w:rPr>
        <w:t xml:space="preserve"> </w:t>
      </w:r>
      <w:r w:rsidRPr="00931D46">
        <w:rPr>
          <w:rFonts w:ascii="Arial" w:hAnsi="Arial" w:cs="Arial"/>
        </w:rPr>
        <w:t xml:space="preserve">el </w:t>
      </w:r>
      <w:r w:rsidR="00A63A8D" w:rsidRPr="00931D46">
        <w:rPr>
          <w:rFonts w:ascii="Arial" w:hAnsi="Arial" w:cs="Arial"/>
        </w:rPr>
        <w:t>P</w:t>
      </w:r>
      <w:r w:rsidRPr="00931D46">
        <w:rPr>
          <w:rFonts w:ascii="Arial" w:hAnsi="Arial" w:cs="Arial"/>
        </w:rPr>
        <w:t>leno del Instituto señaló</w:t>
      </w:r>
      <w:r w:rsidRPr="00931D46">
        <w:rPr>
          <w:rFonts w:ascii="Arial" w:hAnsi="Arial" w:cs="Arial"/>
          <w:i/>
        </w:rPr>
        <w:t xml:space="preserve"> </w:t>
      </w:r>
      <w:r w:rsidRPr="00931D46">
        <w:rPr>
          <w:rFonts w:ascii="Arial" w:hAnsi="Arial" w:cs="Arial"/>
        </w:rPr>
        <w:t>que</w:t>
      </w:r>
      <w:r w:rsidRPr="00931D46">
        <w:rPr>
          <w:rFonts w:ascii="Arial" w:hAnsi="Arial" w:cs="Arial"/>
          <w:i/>
        </w:rPr>
        <w:t xml:space="preserve"> “</w:t>
      </w:r>
      <w:r w:rsidRPr="00931D46">
        <w:rPr>
          <w:rFonts w:ascii="Arial" w:hAnsi="Arial" w:cs="Arial"/>
          <w:b/>
          <w:i/>
        </w:rPr>
        <w:t>el análisis exhaustivo</w:t>
      </w:r>
      <w:r w:rsidRPr="00931D46">
        <w:rPr>
          <w:rFonts w:ascii="Arial" w:hAnsi="Arial" w:cs="Arial"/>
          <w:i/>
        </w:rPr>
        <w:t xml:space="preserve"> </w:t>
      </w:r>
      <w:r w:rsidRPr="00931D46">
        <w:rPr>
          <w:rFonts w:ascii="Arial" w:hAnsi="Arial" w:cs="Arial"/>
          <w:b/>
          <w:i/>
        </w:rPr>
        <w:t>que se realiza en la presente Resolución</w:t>
      </w:r>
      <w:r w:rsidRPr="00931D46">
        <w:rPr>
          <w:rFonts w:ascii="Arial" w:hAnsi="Arial" w:cs="Arial"/>
          <w:i/>
        </w:rPr>
        <w:t xml:space="preserve"> </w:t>
      </w:r>
      <w:r w:rsidRPr="00931D46">
        <w:rPr>
          <w:rFonts w:ascii="Arial" w:hAnsi="Arial" w:cs="Arial"/>
          <w:b/>
          <w:i/>
        </w:rPr>
        <w:t>se enfoca en aquellos mercados para los que no se ha descartado la existencia de riesgos generados por la Operación</w:t>
      </w:r>
      <w:r w:rsidRPr="00931D46">
        <w:rPr>
          <w:rFonts w:ascii="Arial" w:hAnsi="Arial" w:cs="Arial"/>
          <w:i/>
        </w:rPr>
        <w:t xml:space="preserve"> (…). A </w:t>
      </w:r>
      <w:r w:rsidR="00120366" w:rsidRPr="00931D46">
        <w:rPr>
          <w:rFonts w:ascii="Arial" w:hAnsi="Arial" w:cs="Arial"/>
          <w:i/>
        </w:rPr>
        <w:t>continuación,</w:t>
      </w:r>
      <w:r w:rsidRPr="00931D46">
        <w:rPr>
          <w:rFonts w:ascii="Arial" w:hAnsi="Arial" w:cs="Arial"/>
          <w:i/>
        </w:rPr>
        <w:t xml:space="preserve"> se presenta el análisis de cada uno de los elementos previstos en </w:t>
      </w:r>
      <w:r w:rsidRPr="00931D46">
        <w:rPr>
          <w:rFonts w:ascii="Arial" w:hAnsi="Arial" w:cs="Arial"/>
          <w:b/>
          <w:i/>
        </w:rPr>
        <w:t>los artículos 58,</w:t>
      </w:r>
      <w:r w:rsidRPr="00931D46">
        <w:rPr>
          <w:rFonts w:ascii="Arial" w:hAnsi="Arial" w:cs="Arial"/>
          <w:i/>
        </w:rPr>
        <w:t xml:space="preserve"> 59, 63 y 64 </w:t>
      </w:r>
      <w:r w:rsidR="00A63A8D" w:rsidRPr="00931D46">
        <w:rPr>
          <w:rFonts w:ascii="Arial" w:hAnsi="Arial" w:cs="Arial"/>
          <w:i/>
        </w:rPr>
        <w:t>d</w:t>
      </w:r>
      <w:r w:rsidRPr="00931D46">
        <w:rPr>
          <w:rFonts w:ascii="Arial" w:hAnsi="Arial" w:cs="Arial"/>
          <w:i/>
        </w:rPr>
        <w:t>e la LFCE (…)</w:t>
      </w:r>
      <w:r w:rsidR="00A63A8D" w:rsidRPr="00931D46">
        <w:rPr>
          <w:rFonts w:ascii="Arial" w:hAnsi="Arial" w:cs="Arial"/>
          <w:i/>
        </w:rPr>
        <w:t>.</w:t>
      </w:r>
      <w:r w:rsidRPr="00931D46">
        <w:rPr>
          <w:rFonts w:ascii="Arial" w:hAnsi="Arial" w:cs="Arial"/>
          <w:i/>
        </w:rPr>
        <w:t>”</w:t>
      </w:r>
    </w:p>
    <w:p w14:paraId="08957E71" w14:textId="77777777" w:rsidR="00A63A8D" w:rsidRPr="00931D46" w:rsidRDefault="00A63A8D" w:rsidP="0023353F">
      <w:pPr>
        <w:spacing w:before="0" w:after="0"/>
        <w:rPr>
          <w:rFonts w:ascii="Arial" w:hAnsi="Arial" w:cs="Arial"/>
        </w:rPr>
      </w:pPr>
    </w:p>
    <w:p w14:paraId="6A2072F0" w14:textId="20D6611E" w:rsidR="00687F91" w:rsidRPr="00931D46" w:rsidRDefault="00A63A8D" w:rsidP="0023353F">
      <w:pPr>
        <w:spacing w:before="0" w:after="0"/>
        <w:rPr>
          <w:rFonts w:ascii="Arial" w:hAnsi="Arial" w:cs="Arial"/>
        </w:rPr>
      </w:pPr>
      <w:r w:rsidRPr="00931D46">
        <w:rPr>
          <w:rFonts w:ascii="Arial" w:hAnsi="Arial" w:cs="Arial"/>
        </w:rPr>
        <w:t>Así, e</w:t>
      </w:r>
      <w:r w:rsidR="00687F91" w:rsidRPr="00931D46">
        <w:rPr>
          <w:rFonts w:ascii="Arial" w:hAnsi="Arial" w:cs="Arial"/>
        </w:rPr>
        <w:t xml:space="preserve">l Pleno del Instituto analizó </w:t>
      </w:r>
      <w:r w:rsidR="00D022C3">
        <w:rPr>
          <w:rFonts w:ascii="Arial" w:hAnsi="Arial" w:cs="Arial"/>
        </w:rPr>
        <w:t>con</w:t>
      </w:r>
      <w:r w:rsidR="00687F91" w:rsidRPr="00931D46">
        <w:rPr>
          <w:rFonts w:ascii="Arial" w:hAnsi="Arial" w:cs="Arial"/>
        </w:rPr>
        <w:t xml:space="preserve"> detalle las fracciones del artículo 58 de la LFCE para definir los límites de un MR y un mercado relacionado</w:t>
      </w:r>
      <w:r w:rsidR="00687F91" w:rsidRPr="00931D46">
        <w:rPr>
          <w:rStyle w:val="Refdenotaalpie"/>
          <w:rFonts w:ascii="Arial" w:hAnsi="Arial" w:cs="Arial"/>
        </w:rPr>
        <w:footnoteReference w:id="166"/>
      </w:r>
      <w:r w:rsidR="00687F91" w:rsidRPr="00931D46">
        <w:rPr>
          <w:rFonts w:ascii="Arial" w:hAnsi="Arial" w:cs="Arial"/>
        </w:rPr>
        <w:t xml:space="preserve"> </w:t>
      </w:r>
      <w:r w:rsidRPr="00931D46">
        <w:rPr>
          <w:rFonts w:ascii="Arial" w:hAnsi="Arial" w:cs="Arial"/>
        </w:rPr>
        <w:t>en los que no se podían descartar riesgos a la competencia</w:t>
      </w:r>
      <w:r w:rsidR="00D022C3">
        <w:rPr>
          <w:rFonts w:ascii="Arial" w:hAnsi="Arial" w:cs="Arial"/>
        </w:rPr>
        <w:t>,</w:t>
      </w:r>
      <w:r w:rsidRPr="00931D46">
        <w:rPr>
          <w:rFonts w:ascii="Arial" w:hAnsi="Arial" w:cs="Arial"/>
        </w:rPr>
        <w:t xml:space="preserve"> </w:t>
      </w:r>
      <w:r w:rsidR="00CA053D" w:rsidRPr="00931D46">
        <w:rPr>
          <w:rFonts w:ascii="Arial" w:hAnsi="Arial" w:cs="Arial"/>
        </w:rPr>
        <w:t xml:space="preserve">para </w:t>
      </w:r>
      <w:r w:rsidRPr="00931D46">
        <w:rPr>
          <w:rFonts w:ascii="Arial" w:hAnsi="Arial" w:cs="Arial"/>
        </w:rPr>
        <w:t xml:space="preserve">poder </w:t>
      </w:r>
      <w:r w:rsidR="00687F91" w:rsidRPr="00931D46">
        <w:rPr>
          <w:rFonts w:ascii="Arial" w:hAnsi="Arial" w:cs="Arial"/>
        </w:rPr>
        <w:t xml:space="preserve">determinar </w:t>
      </w:r>
      <w:r w:rsidR="007712C9" w:rsidRPr="00931D46">
        <w:rPr>
          <w:rFonts w:ascii="Arial" w:hAnsi="Arial" w:cs="Arial"/>
        </w:rPr>
        <w:t xml:space="preserve">de manera precisa </w:t>
      </w:r>
      <w:r w:rsidR="00687F91" w:rsidRPr="00931D46">
        <w:rPr>
          <w:rFonts w:ascii="Arial" w:hAnsi="Arial" w:cs="Arial"/>
        </w:rPr>
        <w:t xml:space="preserve">los efectos derivados de la </w:t>
      </w:r>
      <w:r w:rsidR="00577408" w:rsidRPr="00931D46">
        <w:rPr>
          <w:rFonts w:ascii="Arial" w:hAnsi="Arial" w:cs="Arial"/>
        </w:rPr>
        <w:t>concentración</w:t>
      </w:r>
      <w:r w:rsidR="00687F91" w:rsidRPr="00931D46">
        <w:rPr>
          <w:rFonts w:ascii="Arial" w:hAnsi="Arial" w:cs="Arial"/>
        </w:rPr>
        <w:t>;</w:t>
      </w:r>
      <w:r w:rsidR="00687F91" w:rsidRPr="00931D46" w:rsidDel="008110AF">
        <w:rPr>
          <w:rFonts w:ascii="Arial" w:hAnsi="Arial" w:cs="Arial"/>
        </w:rPr>
        <w:t xml:space="preserve"> </w:t>
      </w:r>
      <w:r w:rsidR="00CA053D" w:rsidRPr="00931D46">
        <w:rPr>
          <w:rFonts w:ascii="Arial" w:hAnsi="Arial" w:cs="Arial"/>
        </w:rPr>
        <w:t xml:space="preserve">en el caso de </w:t>
      </w:r>
      <w:r w:rsidR="00687F91" w:rsidRPr="00931D46">
        <w:rPr>
          <w:rFonts w:ascii="Arial" w:hAnsi="Arial" w:cs="Arial"/>
        </w:rPr>
        <w:t>otros servicios en los que participaban los AE involucrados en la concentración</w:t>
      </w:r>
      <w:r w:rsidRPr="00931D46">
        <w:rPr>
          <w:rFonts w:ascii="Arial" w:hAnsi="Arial" w:cs="Arial"/>
        </w:rPr>
        <w:t>,</w:t>
      </w:r>
      <w:r w:rsidR="00687F91" w:rsidRPr="00931D46">
        <w:rPr>
          <w:rFonts w:ascii="Arial" w:hAnsi="Arial" w:cs="Arial"/>
        </w:rPr>
        <w:t xml:space="preserve"> con un análisis preliminar </w:t>
      </w:r>
      <w:r w:rsidRPr="00931D46">
        <w:rPr>
          <w:rFonts w:ascii="Arial" w:hAnsi="Arial" w:cs="Arial"/>
        </w:rPr>
        <w:t>se identific</w:t>
      </w:r>
      <w:r w:rsidR="00CA053D" w:rsidRPr="00931D46">
        <w:rPr>
          <w:rFonts w:ascii="Arial" w:hAnsi="Arial" w:cs="Arial"/>
        </w:rPr>
        <w:t>ó</w:t>
      </w:r>
      <w:r w:rsidRPr="00931D46">
        <w:rPr>
          <w:rFonts w:ascii="Arial" w:hAnsi="Arial" w:cs="Arial"/>
        </w:rPr>
        <w:t xml:space="preserve"> </w:t>
      </w:r>
      <w:r w:rsidR="00687F91" w:rsidRPr="00931D46">
        <w:rPr>
          <w:rFonts w:ascii="Arial" w:hAnsi="Arial" w:cs="Arial"/>
        </w:rPr>
        <w:t>que la operación no generaba riesgos al proceso de competencia y libre concurrencia</w:t>
      </w:r>
      <w:r w:rsidRPr="00931D46">
        <w:rPr>
          <w:rFonts w:ascii="Arial" w:hAnsi="Arial" w:cs="Arial"/>
        </w:rPr>
        <w:t xml:space="preserve">, por lo que no </w:t>
      </w:r>
      <w:r w:rsidR="00CA053D" w:rsidRPr="00931D46">
        <w:rPr>
          <w:rFonts w:ascii="Arial" w:hAnsi="Arial" w:cs="Arial"/>
        </w:rPr>
        <w:t>fue</w:t>
      </w:r>
      <w:r w:rsidRPr="00931D46">
        <w:rPr>
          <w:rFonts w:ascii="Arial" w:hAnsi="Arial" w:cs="Arial"/>
        </w:rPr>
        <w:t xml:space="preserve"> necesario analizar a detalle las fracciones del artículo 58 de la LFCE para esos servicios</w:t>
      </w:r>
      <w:r w:rsidR="00DD4F92" w:rsidRPr="00931D46">
        <w:rPr>
          <w:rFonts w:ascii="Arial" w:hAnsi="Arial" w:cs="Arial"/>
        </w:rPr>
        <w:t>.</w:t>
      </w:r>
      <w:r w:rsidR="00687F91" w:rsidRPr="00931D46">
        <w:rPr>
          <w:rStyle w:val="Refdenotaalpie"/>
          <w:rFonts w:ascii="Arial" w:hAnsi="Arial" w:cs="Arial"/>
        </w:rPr>
        <w:footnoteReference w:id="167"/>
      </w:r>
    </w:p>
    <w:p w14:paraId="79E662BC" w14:textId="77777777" w:rsidR="00687F91" w:rsidRPr="00931D46" w:rsidRDefault="00687F91" w:rsidP="0023353F">
      <w:pPr>
        <w:spacing w:before="0" w:after="0"/>
        <w:rPr>
          <w:rFonts w:ascii="Arial" w:hAnsi="Arial" w:cs="Arial"/>
        </w:rPr>
      </w:pPr>
    </w:p>
    <w:p w14:paraId="1666C8AD" w14:textId="77777777" w:rsidR="0020530E" w:rsidRPr="00931D46" w:rsidRDefault="0020530E"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80" w:name="_Toc45628333"/>
      <w:r w:rsidRPr="00931D46">
        <w:rPr>
          <w:rFonts w:ascii="Arial" w:eastAsia="Times New Roman" w:hAnsi="Arial" w:cs="Arial"/>
          <w:b/>
          <w:color w:val="auto"/>
          <w:sz w:val="26"/>
          <w:szCs w:val="26"/>
          <w:lang w:val="en-US" w:eastAsia="es-MX"/>
        </w:rPr>
        <w:t>AMX / MVS</w:t>
      </w:r>
      <w:bookmarkEnd w:id="180"/>
      <w:r w:rsidR="00943011" w:rsidRPr="00931D46">
        <w:rPr>
          <w:rFonts w:ascii="Arial" w:eastAsia="Times New Roman" w:hAnsi="Arial" w:cs="Arial"/>
          <w:b/>
          <w:color w:val="auto"/>
          <w:sz w:val="26"/>
          <w:szCs w:val="26"/>
          <w:vertAlign w:val="superscript"/>
          <w:lang w:eastAsia="es-MX"/>
        </w:rPr>
        <w:footnoteReference w:id="168"/>
      </w:r>
    </w:p>
    <w:p w14:paraId="002D4A6D" w14:textId="77777777" w:rsidR="0020530E" w:rsidRPr="00931D46" w:rsidRDefault="0020530E" w:rsidP="0023353F">
      <w:pPr>
        <w:keepNext/>
        <w:spacing w:before="0" w:after="0"/>
        <w:rPr>
          <w:rFonts w:ascii="Arial" w:hAnsi="Arial" w:cs="Arial"/>
        </w:rPr>
      </w:pPr>
    </w:p>
    <w:p w14:paraId="648CE633" w14:textId="42FEBA72" w:rsidR="0020530E" w:rsidRPr="00931D46" w:rsidRDefault="0020530E" w:rsidP="0023353F">
      <w:pPr>
        <w:spacing w:before="0" w:after="0"/>
        <w:rPr>
          <w:rFonts w:ascii="Arial" w:hAnsi="Arial" w:cs="Arial"/>
        </w:rPr>
      </w:pPr>
      <w:r w:rsidRPr="00931D46">
        <w:rPr>
          <w:rFonts w:ascii="Arial" w:hAnsi="Arial" w:cs="Arial"/>
        </w:rPr>
        <w:t xml:space="preserve">En el análisis de </w:t>
      </w:r>
      <w:r w:rsidR="004F513A" w:rsidRPr="00931D46">
        <w:rPr>
          <w:rFonts w:ascii="Arial" w:hAnsi="Arial" w:cs="Arial"/>
        </w:rPr>
        <w:t>esta</w:t>
      </w:r>
      <w:r w:rsidRPr="00931D46">
        <w:rPr>
          <w:rFonts w:ascii="Arial" w:hAnsi="Arial" w:cs="Arial"/>
        </w:rPr>
        <w:t xml:space="preserve"> </w:t>
      </w:r>
      <w:r w:rsidR="00687F91" w:rsidRPr="00931D46">
        <w:rPr>
          <w:rFonts w:ascii="Arial" w:hAnsi="Arial" w:cs="Arial"/>
        </w:rPr>
        <w:t xml:space="preserve">concentración </w:t>
      </w:r>
      <w:r w:rsidRPr="00931D46">
        <w:rPr>
          <w:rFonts w:ascii="Arial" w:hAnsi="Arial" w:cs="Arial"/>
        </w:rPr>
        <w:t>se identificó que consist</w:t>
      </w:r>
      <w:r w:rsidR="008655A4">
        <w:rPr>
          <w:rFonts w:ascii="Arial" w:hAnsi="Arial" w:cs="Arial"/>
        </w:rPr>
        <w:t>ía</w:t>
      </w:r>
      <w:r w:rsidRPr="00931D46">
        <w:rPr>
          <w:rFonts w:ascii="Arial" w:hAnsi="Arial" w:cs="Arial"/>
        </w:rPr>
        <w:t xml:space="preserve"> en la adquisición únicamente de concesiones de espectro radioeléctrico en la Banda de 2.5 GHz y no implicaba la transferencia de usuarios o suscriptores de algún </w:t>
      </w:r>
      <w:r w:rsidR="00687F91" w:rsidRPr="00931D46">
        <w:rPr>
          <w:rFonts w:ascii="Arial" w:hAnsi="Arial" w:cs="Arial"/>
        </w:rPr>
        <w:t>servicio</w:t>
      </w:r>
      <w:r w:rsidRPr="00931D46">
        <w:rPr>
          <w:rFonts w:ascii="Arial" w:hAnsi="Arial" w:cs="Arial"/>
        </w:rPr>
        <w:t xml:space="preserve"> en los sectores de TyR. Es decir, la </w:t>
      </w:r>
      <w:r w:rsidR="00577408" w:rsidRPr="00931D46">
        <w:rPr>
          <w:rFonts w:ascii="Arial" w:hAnsi="Arial" w:cs="Arial"/>
        </w:rPr>
        <w:t xml:space="preserve">concentración </w:t>
      </w:r>
      <w:r w:rsidRPr="00931D46">
        <w:rPr>
          <w:rFonts w:ascii="Arial" w:hAnsi="Arial" w:cs="Arial"/>
        </w:rPr>
        <w:t>no implicaba cambios en la estructura de algún mercado en términos de participaciones de mercado.</w:t>
      </w:r>
    </w:p>
    <w:p w14:paraId="0C6831FC" w14:textId="77777777" w:rsidR="00687F91" w:rsidRPr="00931D46" w:rsidRDefault="00687F91" w:rsidP="0023353F">
      <w:pPr>
        <w:spacing w:before="0" w:after="0"/>
        <w:rPr>
          <w:rFonts w:ascii="Arial" w:hAnsi="Arial" w:cs="Arial"/>
        </w:rPr>
      </w:pPr>
    </w:p>
    <w:p w14:paraId="1452514A" w14:textId="77777777" w:rsidR="0020530E" w:rsidRPr="00931D46" w:rsidRDefault="0020530E" w:rsidP="0023353F">
      <w:pPr>
        <w:spacing w:before="0" w:after="0"/>
        <w:rPr>
          <w:rFonts w:ascii="Arial" w:hAnsi="Arial" w:cs="Arial"/>
        </w:rPr>
      </w:pPr>
      <w:r w:rsidRPr="00931D46">
        <w:rPr>
          <w:rFonts w:ascii="Arial" w:hAnsi="Arial" w:cs="Arial"/>
        </w:rPr>
        <w:t xml:space="preserve">Por lo anterior, </w:t>
      </w:r>
      <w:r w:rsidR="00687F91" w:rsidRPr="00931D46">
        <w:rPr>
          <w:rFonts w:ascii="Arial" w:hAnsi="Arial" w:cs="Arial"/>
        </w:rPr>
        <w:t>la determinación del</w:t>
      </w:r>
      <w:r w:rsidRPr="00931D46">
        <w:rPr>
          <w:rFonts w:ascii="Arial" w:hAnsi="Arial" w:cs="Arial"/>
        </w:rPr>
        <w:t xml:space="preserve"> </w:t>
      </w:r>
      <w:r w:rsidR="00BB2629" w:rsidRPr="00931D46">
        <w:rPr>
          <w:rFonts w:ascii="Arial" w:hAnsi="Arial" w:cs="Arial"/>
        </w:rPr>
        <w:t>MR</w:t>
      </w:r>
      <w:r w:rsidRPr="00931D46">
        <w:rPr>
          <w:rFonts w:ascii="Arial" w:hAnsi="Arial" w:cs="Arial"/>
        </w:rPr>
        <w:t xml:space="preserve"> </w:t>
      </w:r>
      <w:r w:rsidR="00687F91" w:rsidRPr="00931D46">
        <w:rPr>
          <w:rFonts w:ascii="Arial" w:hAnsi="Arial" w:cs="Arial"/>
        </w:rPr>
        <w:t xml:space="preserve">no se hizo </w:t>
      </w:r>
      <w:r w:rsidRPr="00931D46">
        <w:rPr>
          <w:rFonts w:ascii="Arial" w:hAnsi="Arial" w:cs="Arial"/>
        </w:rPr>
        <w:t xml:space="preserve">analizando exhaustivamente todas las fracciones que indica el artículo 58 de la LFCE, </w:t>
      </w:r>
      <w:r w:rsidR="00687F91" w:rsidRPr="00931D46">
        <w:rPr>
          <w:rFonts w:ascii="Arial" w:hAnsi="Arial" w:cs="Arial"/>
        </w:rPr>
        <w:t>pues</w:t>
      </w:r>
      <w:r w:rsidRPr="00931D46">
        <w:rPr>
          <w:rFonts w:ascii="Arial" w:hAnsi="Arial" w:cs="Arial"/>
        </w:rPr>
        <w:t xml:space="preserve"> la </w:t>
      </w:r>
      <w:r w:rsidR="00577408" w:rsidRPr="00931D46">
        <w:rPr>
          <w:rFonts w:ascii="Arial" w:hAnsi="Arial" w:cs="Arial"/>
        </w:rPr>
        <w:t xml:space="preserve">concentración </w:t>
      </w:r>
      <w:r w:rsidRPr="00931D46">
        <w:rPr>
          <w:rFonts w:ascii="Arial" w:hAnsi="Arial" w:cs="Arial"/>
        </w:rPr>
        <w:t>no implic</w:t>
      </w:r>
      <w:r w:rsidR="00687F91" w:rsidRPr="00931D46">
        <w:rPr>
          <w:rFonts w:ascii="Arial" w:hAnsi="Arial" w:cs="Arial"/>
        </w:rPr>
        <w:t>aba</w:t>
      </w:r>
      <w:r w:rsidRPr="00931D46">
        <w:rPr>
          <w:rFonts w:ascii="Arial" w:hAnsi="Arial" w:cs="Arial"/>
        </w:rPr>
        <w:t xml:space="preserve"> la transferencia de una porción de mercado alguno. No obstante, sí se identificaron los servicios involucrados en la operación (servicios de telecomunicaciones móviles), </w:t>
      </w:r>
      <w:r w:rsidR="00BB2629" w:rsidRPr="00931D46">
        <w:rPr>
          <w:rFonts w:ascii="Arial" w:hAnsi="Arial" w:cs="Arial"/>
        </w:rPr>
        <w:t xml:space="preserve">así como los insumos que se adquirieron para </w:t>
      </w:r>
      <w:r w:rsidR="00CA053D" w:rsidRPr="00931D46">
        <w:rPr>
          <w:rFonts w:ascii="Arial" w:hAnsi="Arial" w:cs="Arial"/>
        </w:rPr>
        <w:t xml:space="preserve">la prestación de </w:t>
      </w:r>
      <w:r w:rsidR="00BB2629" w:rsidRPr="00931D46">
        <w:rPr>
          <w:rFonts w:ascii="Arial" w:hAnsi="Arial" w:cs="Arial"/>
        </w:rPr>
        <w:t>ese servicio (concesiones de espectro radioeléctrico), respecto de los cuales se analizaron los efectos en materia de competencia que tendría la operación</w:t>
      </w:r>
      <w:r w:rsidR="00CA053D" w:rsidRPr="00931D46">
        <w:rPr>
          <w:rFonts w:ascii="Arial" w:hAnsi="Arial" w:cs="Arial"/>
        </w:rPr>
        <w:t>,</w:t>
      </w:r>
      <w:r w:rsidR="00BB2629" w:rsidRPr="00931D46">
        <w:rPr>
          <w:rFonts w:ascii="Arial" w:hAnsi="Arial" w:cs="Arial"/>
        </w:rPr>
        <w:t xml:space="preserve"> identificando la acumulación de espectro y la disponibilidad del mismo para otros </w:t>
      </w:r>
      <w:r w:rsidR="00CA053D" w:rsidRPr="00931D46">
        <w:rPr>
          <w:rFonts w:ascii="Arial" w:hAnsi="Arial" w:cs="Arial"/>
        </w:rPr>
        <w:t xml:space="preserve">operadores </w:t>
      </w:r>
      <w:r w:rsidR="00BB2629" w:rsidRPr="00931D46">
        <w:rPr>
          <w:rFonts w:ascii="Arial" w:hAnsi="Arial" w:cs="Arial"/>
        </w:rPr>
        <w:t>de servicios de telecomunicaciones móviles.</w:t>
      </w:r>
    </w:p>
    <w:p w14:paraId="350534F6" w14:textId="77777777" w:rsidR="00943011" w:rsidRPr="00931D46" w:rsidRDefault="00943011" w:rsidP="0023353F">
      <w:pPr>
        <w:spacing w:before="0" w:after="0"/>
        <w:rPr>
          <w:rFonts w:ascii="Arial" w:hAnsi="Arial" w:cs="Arial"/>
        </w:rPr>
      </w:pPr>
    </w:p>
    <w:p w14:paraId="23CD9A3C" w14:textId="77777777" w:rsidR="00943011" w:rsidRPr="00931D46" w:rsidRDefault="00943011"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CommScope / Arris</w:t>
      </w:r>
      <w:r w:rsidRPr="00931D46">
        <w:rPr>
          <w:rFonts w:ascii="Arial" w:eastAsia="Times New Roman" w:hAnsi="Arial" w:cs="Arial"/>
          <w:b/>
          <w:color w:val="auto"/>
          <w:sz w:val="26"/>
          <w:szCs w:val="26"/>
          <w:vertAlign w:val="superscript"/>
          <w:lang w:val="en-US" w:eastAsia="es-MX"/>
        </w:rPr>
        <w:footnoteReference w:id="169"/>
      </w:r>
    </w:p>
    <w:p w14:paraId="21A2B39C" w14:textId="77777777" w:rsidR="003C56F9" w:rsidRPr="00931D46" w:rsidRDefault="003C56F9" w:rsidP="0023353F">
      <w:pPr>
        <w:spacing w:before="0" w:after="0"/>
        <w:rPr>
          <w:rFonts w:ascii="Arial" w:hAnsi="Arial" w:cs="Arial"/>
          <w:highlight w:val="yellow"/>
        </w:rPr>
      </w:pPr>
    </w:p>
    <w:p w14:paraId="79D129E8" w14:textId="7505E522" w:rsidR="00943011" w:rsidRPr="00931D46" w:rsidRDefault="00A9129B" w:rsidP="0023353F">
      <w:pPr>
        <w:spacing w:before="0" w:after="0"/>
        <w:rPr>
          <w:rFonts w:ascii="Arial" w:hAnsi="Arial" w:cs="Arial"/>
        </w:rPr>
      </w:pPr>
      <w:r w:rsidRPr="00931D46">
        <w:rPr>
          <w:rFonts w:ascii="Arial" w:hAnsi="Arial" w:cs="Arial"/>
        </w:rPr>
        <w:t>L</w:t>
      </w:r>
      <w:r w:rsidR="00943011" w:rsidRPr="00931D46">
        <w:rPr>
          <w:rFonts w:ascii="Arial" w:hAnsi="Arial" w:cs="Arial"/>
        </w:rPr>
        <w:t>a operación consist</w:t>
      </w:r>
      <w:r w:rsidRPr="00931D46">
        <w:rPr>
          <w:rFonts w:ascii="Arial" w:hAnsi="Arial" w:cs="Arial"/>
        </w:rPr>
        <w:t>ió</w:t>
      </w:r>
      <w:r w:rsidR="00943011" w:rsidRPr="00931D46">
        <w:rPr>
          <w:rFonts w:ascii="Arial" w:hAnsi="Arial" w:cs="Arial"/>
        </w:rPr>
        <w:t xml:space="preserve"> en la adquisición por parte de CommScope de</w:t>
      </w:r>
      <w:r w:rsidR="007712C9" w:rsidRPr="00931D46">
        <w:rPr>
          <w:rFonts w:ascii="Arial" w:hAnsi="Arial" w:cs="Arial"/>
        </w:rPr>
        <w:t xml:space="preserve"> </w:t>
      </w:r>
      <w:r w:rsidR="00943011" w:rsidRPr="00931D46">
        <w:rPr>
          <w:rFonts w:ascii="Arial" w:hAnsi="Arial" w:cs="Arial"/>
        </w:rPr>
        <w:t>100% (cien por ciento) del capital social de A</w:t>
      </w:r>
      <w:r w:rsidR="00532407" w:rsidRPr="00931D46">
        <w:rPr>
          <w:rFonts w:ascii="Arial" w:hAnsi="Arial" w:cs="Arial"/>
        </w:rPr>
        <w:t>rris</w:t>
      </w:r>
      <w:r w:rsidR="00943011" w:rsidRPr="00931D46">
        <w:rPr>
          <w:rFonts w:ascii="Arial" w:hAnsi="Arial" w:cs="Arial"/>
        </w:rPr>
        <w:t>. En el análisis</w:t>
      </w:r>
      <w:r w:rsidRPr="00931D46">
        <w:rPr>
          <w:rFonts w:ascii="Arial" w:hAnsi="Arial" w:cs="Arial"/>
        </w:rPr>
        <w:t>, el Instituto</w:t>
      </w:r>
      <w:r w:rsidR="00943011" w:rsidRPr="00931D46">
        <w:rPr>
          <w:rFonts w:ascii="Arial" w:hAnsi="Arial" w:cs="Arial"/>
        </w:rPr>
        <w:t xml:space="preserve"> señaló que las partes coincidían, a nivel genérico, en la provisión de i) elementos activos y pasivos para cableado de </w:t>
      </w:r>
      <w:r w:rsidRPr="00931D46">
        <w:rPr>
          <w:rFonts w:ascii="Arial" w:hAnsi="Arial" w:cs="Arial"/>
        </w:rPr>
        <w:t>RPT</w:t>
      </w:r>
      <w:r w:rsidR="00943011" w:rsidRPr="00931D46">
        <w:rPr>
          <w:rFonts w:ascii="Arial" w:hAnsi="Arial" w:cs="Arial"/>
        </w:rPr>
        <w:t xml:space="preserve"> y ii) </w:t>
      </w:r>
      <w:r w:rsidR="00330363">
        <w:rPr>
          <w:rFonts w:ascii="Arial" w:hAnsi="Arial" w:cs="Arial"/>
        </w:rPr>
        <w:t>productos</w:t>
      </w:r>
      <w:r w:rsidR="00943011" w:rsidRPr="00931D46">
        <w:rPr>
          <w:rFonts w:ascii="Arial" w:hAnsi="Arial" w:cs="Arial"/>
        </w:rPr>
        <w:t xml:space="preserve"> y soluciones de telecomunicaciones para cobertura inalámbrica y de capacidad; al no identificar elementos por los que la operación pudiera tener por objeto o efecto dañar la libre concurrencia y el proceso de competencia en cualquiera de las posibles dimensiones de </w:t>
      </w:r>
      <w:r w:rsidR="00330363">
        <w:rPr>
          <w:rFonts w:ascii="Arial" w:hAnsi="Arial" w:cs="Arial"/>
        </w:rPr>
        <w:t>producto</w:t>
      </w:r>
      <w:r w:rsidR="00943011" w:rsidRPr="00931D46">
        <w:rPr>
          <w:rStyle w:val="Refdenotaalpie"/>
          <w:rFonts w:ascii="Arial" w:hAnsi="Arial" w:cs="Arial"/>
        </w:rPr>
        <w:footnoteReference w:id="170"/>
      </w:r>
      <w:r w:rsidR="00943011" w:rsidRPr="00931D46">
        <w:rPr>
          <w:rFonts w:ascii="Arial" w:hAnsi="Arial" w:cs="Arial"/>
        </w:rPr>
        <w:t xml:space="preserve"> y geográficas analizadas</w:t>
      </w:r>
      <w:r w:rsidRPr="00931D46">
        <w:rPr>
          <w:rFonts w:ascii="Arial" w:hAnsi="Arial" w:cs="Arial"/>
        </w:rPr>
        <w:t>,</w:t>
      </w:r>
      <w:r w:rsidR="00943011" w:rsidRPr="00931D46">
        <w:rPr>
          <w:rStyle w:val="Refdenotaalpie"/>
          <w:rFonts w:ascii="Arial" w:hAnsi="Arial" w:cs="Arial"/>
        </w:rPr>
        <w:footnoteReference w:id="171"/>
      </w:r>
      <w:r w:rsidR="00943011" w:rsidRPr="00931D46">
        <w:rPr>
          <w:rFonts w:ascii="Arial" w:hAnsi="Arial" w:cs="Arial"/>
        </w:rPr>
        <w:t xml:space="preserve"> el Instituto resolvió dejar abierta la </w:t>
      </w:r>
      <w:r w:rsidR="007712C9" w:rsidRPr="00931D46">
        <w:rPr>
          <w:rFonts w:ascii="Arial" w:hAnsi="Arial" w:cs="Arial"/>
        </w:rPr>
        <w:t>delimitación</w:t>
      </w:r>
      <w:r w:rsidR="00943011" w:rsidRPr="00931D46">
        <w:rPr>
          <w:rFonts w:ascii="Arial" w:hAnsi="Arial" w:cs="Arial"/>
        </w:rPr>
        <w:t xml:space="preserve"> precisa del MR.</w:t>
      </w:r>
    </w:p>
    <w:p w14:paraId="684198FF" w14:textId="77777777" w:rsidR="00943011" w:rsidRPr="00931D46" w:rsidRDefault="00943011" w:rsidP="0023353F">
      <w:pPr>
        <w:spacing w:before="0" w:after="0"/>
        <w:rPr>
          <w:rFonts w:ascii="Arial" w:hAnsi="Arial" w:cs="Arial"/>
          <w:highlight w:val="yellow"/>
        </w:rPr>
      </w:pPr>
    </w:p>
    <w:p w14:paraId="3797683F" w14:textId="77777777" w:rsidR="00943011" w:rsidRPr="00931D46" w:rsidRDefault="00943011"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Grupo Alemán / GTV</w:t>
      </w:r>
      <w:r w:rsidRPr="00931D46">
        <w:rPr>
          <w:rFonts w:ascii="Arial" w:eastAsia="Times New Roman" w:hAnsi="Arial" w:cs="Arial"/>
          <w:b/>
          <w:color w:val="auto"/>
          <w:sz w:val="26"/>
          <w:szCs w:val="26"/>
          <w:vertAlign w:val="superscript"/>
          <w:lang w:val="en-US" w:eastAsia="es-MX"/>
        </w:rPr>
        <w:footnoteReference w:id="172"/>
      </w:r>
    </w:p>
    <w:p w14:paraId="46870B28" w14:textId="77777777" w:rsidR="00943011" w:rsidRPr="00931D46" w:rsidRDefault="00943011" w:rsidP="0023353F">
      <w:pPr>
        <w:keepNext/>
        <w:spacing w:before="0" w:after="0"/>
        <w:rPr>
          <w:rFonts w:ascii="Arial" w:hAnsi="Arial" w:cs="Arial"/>
          <w:highlight w:val="yellow"/>
        </w:rPr>
      </w:pPr>
    </w:p>
    <w:p w14:paraId="45C3E84E" w14:textId="77777777" w:rsidR="00943011" w:rsidRPr="00931D46" w:rsidRDefault="00F04E0C" w:rsidP="0023353F">
      <w:pPr>
        <w:spacing w:before="0" w:after="0"/>
        <w:rPr>
          <w:rFonts w:ascii="Arial" w:hAnsi="Arial" w:cs="Arial"/>
        </w:rPr>
      </w:pPr>
      <w:r w:rsidRPr="00931D46">
        <w:rPr>
          <w:rFonts w:ascii="Arial" w:hAnsi="Arial" w:cs="Arial"/>
        </w:rPr>
        <w:t xml:space="preserve">La operación consistió en la adquisición, por parte de </w:t>
      </w:r>
      <w:r w:rsidR="00943011" w:rsidRPr="00931D46">
        <w:rPr>
          <w:rFonts w:ascii="Arial" w:hAnsi="Arial" w:cs="Arial"/>
        </w:rPr>
        <w:t>Grupo Alemán</w:t>
      </w:r>
      <w:r w:rsidRPr="00931D46">
        <w:rPr>
          <w:rFonts w:ascii="Arial" w:hAnsi="Arial" w:cs="Arial"/>
        </w:rPr>
        <w:t>, de</w:t>
      </w:r>
      <w:r w:rsidR="00943011" w:rsidRPr="00931D46">
        <w:rPr>
          <w:rFonts w:ascii="Arial" w:hAnsi="Arial" w:cs="Arial"/>
        </w:rPr>
        <w:t xml:space="preserve"> 50% (cincuenta por ciento) del capital social de Sistema Radiópolis, </w:t>
      </w:r>
      <w:r w:rsidRPr="00931D46">
        <w:rPr>
          <w:rFonts w:ascii="Arial" w:hAnsi="Arial" w:cs="Arial"/>
        </w:rPr>
        <w:t xml:space="preserve">propiedad de GTV. La operación fue notificada en términos del artículo </w:t>
      </w:r>
      <w:r w:rsidR="00943011" w:rsidRPr="00931D46">
        <w:rPr>
          <w:rFonts w:ascii="Arial" w:hAnsi="Arial" w:cs="Arial"/>
        </w:rPr>
        <w:t xml:space="preserve">92 de la LFCE, el cual establece un procedimiento simplificado para autorizar concentraciones que notoriamente no tienen por objeto o efecto disminuir, dañar o impedir la libre concurrencia y la competencia económica. </w:t>
      </w:r>
    </w:p>
    <w:p w14:paraId="07B3CBF6" w14:textId="77777777" w:rsidR="00F04E0C" w:rsidRPr="00931D46" w:rsidRDefault="00F04E0C" w:rsidP="0023353F">
      <w:pPr>
        <w:spacing w:before="0" w:after="0"/>
        <w:rPr>
          <w:rFonts w:ascii="Arial" w:hAnsi="Arial" w:cs="Arial"/>
        </w:rPr>
      </w:pPr>
    </w:p>
    <w:p w14:paraId="17A444C2" w14:textId="491A64FC" w:rsidR="00943011" w:rsidRPr="00931D46" w:rsidRDefault="00943011" w:rsidP="0023353F">
      <w:pPr>
        <w:spacing w:before="0" w:after="0"/>
        <w:rPr>
          <w:rFonts w:ascii="Arial" w:hAnsi="Arial" w:cs="Arial"/>
        </w:rPr>
      </w:pPr>
      <w:r w:rsidRPr="00931D46">
        <w:rPr>
          <w:rFonts w:ascii="Arial" w:hAnsi="Arial" w:cs="Arial"/>
        </w:rPr>
        <w:t xml:space="preserve">El Instituto evaluó la operación y concluyó que </w:t>
      </w:r>
      <w:r w:rsidR="008655A4">
        <w:rPr>
          <w:rFonts w:ascii="Arial" w:hAnsi="Arial" w:cs="Arial"/>
        </w:rPr>
        <w:t>cumplía con</w:t>
      </w:r>
      <w:r w:rsidRPr="00931D46">
        <w:rPr>
          <w:rFonts w:ascii="Arial" w:hAnsi="Arial" w:cs="Arial"/>
        </w:rPr>
        <w:t xml:space="preserve"> el supuesto establecido en la fracción I del artículo 92 de la LFCE,</w:t>
      </w:r>
      <w:r w:rsidRPr="00931D46">
        <w:rPr>
          <w:rStyle w:val="Refdenotaalpie"/>
          <w:rFonts w:ascii="Arial" w:hAnsi="Arial" w:cs="Arial"/>
        </w:rPr>
        <w:footnoteReference w:id="173"/>
      </w:r>
      <w:r w:rsidRPr="00931D46">
        <w:rPr>
          <w:rFonts w:ascii="Arial" w:hAnsi="Arial" w:cs="Arial"/>
        </w:rPr>
        <w:t xml:space="preserve"> toda vez que i) el GIE del comprador no participaba en la provisión de servicios de </w:t>
      </w:r>
      <w:r w:rsidR="00420073" w:rsidRPr="00931D46">
        <w:rPr>
          <w:rFonts w:ascii="Arial" w:hAnsi="Arial" w:cs="Arial"/>
        </w:rPr>
        <w:t>Radio Sonora</w:t>
      </w:r>
      <w:r w:rsidRPr="00931D46">
        <w:rPr>
          <w:rFonts w:ascii="Arial" w:hAnsi="Arial" w:cs="Arial"/>
        </w:rPr>
        <w:t xml:space="preserve">, servicios que presta Sistema Radiópolis, por lo que derivado de la operación no se afectaría la estructura de los mercados en los que participa </w:t>
      </w:r>
      <w:r w:rsidR="00420073" w:rsidRPr="00931D46">
        <w:rPr>
          <w:rFonts w:ascii="Arial" w:hAnsi="Arial" w:cs="Arial"/>
        </w:rPr>
        <w:t>la empresa adquirida</w:t>
      </w:r>
      <w:r w:rsidRPr="00931D46">
        <w:rPr>
          <w:rFonts w:ascii="Arial" w:hAnsi="Arial" w:cs="Arial"/>
        </w:rPr>
        <w:t xml:space="preserve">; y ii) la operación implica únicamente la sustitución de un </w:t>
      </w:r>
      <w:r w:rsidR="00C50990" w:rsidRPr="00931D46">
        <w:rPr>
          <w:rFonts w:ascii="Arial" w:hAnsi="Arial" w:cs="Arial"/>
        </w:rPr>
        <w:t>AE</w:t>
      </w:r>
      <w:r w:rsidR="00420073" w:rsidRPr="00931D46">
        <w:rPr>
          <w:rFonts w:ascii="Arial" w:hAnsi="Arial" w:cs="Arial"/>
        </w:rPr>
        <w:t xml:space="preserve"> (</w:t>
      </w:r>
      <w:r w:rsidRPr="00931D46">
        <w:rPr>
          <w:rFonts w:ascii="Arial" w:hAnsi="Arial" w:cs="Arial"/>
        </w:rPr>
        <w:t>GTV</w:t>
      </w:r>
      <w:r w:rsidR="00420073" w:rsidRPr="00931D46">
        <w:rPr>
          <w:rFonts w:ascii="Arial" w:hAnsi="Arial" w:cs="Arial"/>
        </w:rPr>
        <w:t>)</w:t>
      </w:r>
      <w:r w:rsidRPr="00931D46">
        <w:rPr>
          <w:rFonts w:ascii="Arial" w:hAnsi="Arial" w:cs="Arial"/>
        </w:rPr>
        <w:t xml:space="preserve"> por otro</w:t>
      </w:r>
      <w:r w:rsidR="00420073" w:rsidRPr="00931D46">
        <w:rPr>
          <w:rFonts w:ascii="Arial" w:hAnsi="Arial" w:cs="Arial"/>
        </w:rPr>
        <w:t xml:space="preserve"> (</w:t>
      </w:r>
      <w:r w:rsidRPr="00931D46">
        <w:rPr>
          <w:rFonts w:ascii="Arial" w:hAnsi="Arial" w:cs="Arial"/>
        </w:rPr>
        <w:t>Grupo Alemán</w:t>
      </w:r>
      <w:r w:rsidR="00420073" w:rsidRPr="00931D46">
        <w:rPr>
          <w:rFonts w:ascii="Arial" w:hAnsi="Arial" w:cs="Arial"/>
        </w:rPr>
        <w:t>)</w:t>
      </w:r>
      <w:r w:rsidRPr="00931D46">
        <w:rPr>
          <w:rFonts w:ascii="Arial" w:hAnsi="Arial" w:cs="Arial"/>
        </w:rPr>
        <w:t>.</w:t>
      </w:r>
    </w:p>
    <w:p w14:paraId="13EE7649" w14:textId="77777777" w:rsidR="00420073" w:rsidRPr="00931D46" w:rsidRDefault="00420073" w:rsidP="0023353F">
      <w:pPr>
        <w:spacing w:before="0" w:after="0"/>
        <w:rPr>
          <w:rFonts w:ascii="Arial" w:hAnsi="Arial" w:cs="Arial"/>
        </w:rPr>
      </w:pPr>
    </w:p>
    <w:p w14:paraId="3E3C7DA6" w14:textId="77777777" w:rsidR="00943011" w:rsidRPr="00931D46" w:rsidRDefault="00943011" w:rsidP="0023353F">
      <w:pPr>
        <w:spacing w:before="0" w:after="0"/>
        <w:rPr>
          <w:rFonts w:ascii="Arial" w:hAnsi="Arial" w:cs="Arial"/>
        </w:rPr>
      </w:pPr>
      <w:r w:rsidRPr="00931D46">
        <w:rPr>
          <w:rFonts w:ascii="Arial" w:hAnsi="Arial" w:cs="Arial"/>
        </w:rPr>
        <w:t>En este contexto, el Instituto resolvió autorizar la operación notificada, sin que fuera necesario realizar una delimitación exhaustiva de los MR involucrados analizando cada uno de los elementos señalados en el artículo 58 de la LFCE.</w:t>
      </w:r>
    </w:p>
    <w:p w14:paraId="31AD2CD0" w14:textId="77777777" w:rsidR="00943011" w:rsidRPr="00931D46" w:rsidRDefault="00943011" w:rsidP="0023353F">
      <w:pPr>
        <w:spacing w:before="0" w:after="0"/>
        <w:rPr>
          <w:rFonts w:ascii="Arial" w:hAnsi="Arial" w:cs="Arial"/>
        </w:rPr>
      </w:pPr>
    </w:p>
    <w:p w14:paraId="5B9CE36E" w14:textId="77777777" w:rsidR="00F05882" w:rsidRPr="00931D46" w:rsidRDefault="00F05882" w:rsidP="0023353F">
      <w:pPr>
        <w:pStyle w:val="Ttulo2"/>
        <w:keepLines w:val="0"/>
        <w:numPr>
          <w:ilvl w:val="1"/>
          <w:numId w:val="3"/>
        </w:numPr>
        <w:spacing w:before="0" w:after="0"/>
        <w:rPr>
          <w:rFonts w:ascii="Arial" w:eastAsia="Times New Roman" w:hAnsi="Arial" w:cs="Arial"/>
          <w:sz w:val="26"/>
          <w:lang w:eastAsia="es-MX"/>
        </w:rPr>
      </w:pPr>
      <w:bookmarkStart w:id="181" w:name="_Toc45216577"/>
      <w:bookmarkStart w:id="182" w:name="_Toc45628334"/>
      <w:bookmarkStart w:id="183" w:name="_Toc74306778"/>
      <w:bookmarkStart w:id="184" w:name="_Toc74323834"/>
      <w:r w:rsidRPr="00931D46">
        <w:rPr>
          <w:rFonts w:ascii="Arial" w:eastAsia="Times New Roman" w:hAnsi="Arial" w:cs="Arial"/>
          <w:sz w:val="26"/>
          <w:lang w:eastAsia="es-MX"/>
        </w:rPr>
        <w:t>Experiencia internacional</w:t>
      </w:r>
      <w:bookmarkEnd w:id="181"/>
      <w:bookmarkEnd w:id="182"/>
      <w:bookmarkEnd w:id="183"/>
      <w:bookmarkEnd w:id="184"/>
    </w:p>
    <w:p w14:paraId="2CCDD1D2" w14:textId="77777777" w:rsidR="00534336" w:rsidRPr="00931D46" w:rsidRDefault="00534336" w:rsidP="0023353F">
      <w:pPr>
        <w:keepNext/>
        <w:spacing w:before="0" w:after="0"/>
        <w:rPr>
          <w:rFonts w:ascii="Arial" w:hAnsi="Arial" w:cs="Arial"/>
          <w:lang w:val="en-US"/>
        </w:rPr>
      </w:pPr>
    </w:p>
    <w:p w14:paraId="44226131" w14:textId="77777777" w:rsidR="006C17CC" w:rsidRPr="00931D46" w:rsidRDefault="006C17CC" w:rsidP="00D551A7">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85" w:name="_Toc45628335"/>
      <w:r w:rsidRPr="00931D46">
        <w:rPr>
          <w:rFonts w:ascii="Arial" w:eastAsia="Times New Roman" w:hAnsi="Arial" w:cs="Arial"/>
          <w:b/>
          <w:color w:val="auto"/>
          <w:sz w:val="26"/>
          <w:szCs w:val="26"/>
          <w:lang w:val="en-US" w:eastAsia="es-MX"/>
        </w:rPr>
        <w:t>ICN</w:t>
      </w:r>
      <w:r w:rsidRPr="00931D46">
        <w:rPr>
          <w:rStyle w:val="Refdenotaalpie"/>
          <w:rFonts w:ascii="Arial" w:hAnsi="Arial" w:cs="Arial"/>
          <w:b/>
          <w:color w:val="auto"/>
          <w:sz w:val="26"/>
          <w:szCs w:val="26"/>
        </w:rPr>
        <w:footnoteReference w:id="174"/>
      </w:r>
      <w:bookmarkEnd w:id="185"/>
    </w:p>
    <w:p w14:paraId="75F75AC8" w14:textId="77777777" w:rsidR="006C17CC" w:rsidRPr="00931D46" w:rsidRDefault="006C17CC" w:rsidP="0023353F">
      <w:pPr>
        <w:keepNext/>
        <w:spacing w:before="0" w:after="0"/>
        <w:rPr>
          <w:rFonts w:ascii="Arial" w:hAnsi="Arial" w:cs="Arial"/>
        </w:rPr>
      </w:pPr>
    </w:p>
    <w:p w14:paraId="2D629D86" w14:textId="32118680" w:rsidR="006C17CC" w:rsidRPr="00931D46" w:rsidRDefault="006C17CC" w:rsidP="0023353F">
      <w:pPr>
        <w:spacing w:before="0" w:after="0"/>
        <w:rPr>
          <w:rFonts w:ascii="Arial" w:hAnsi="Arial" w:cs="Arial"/>
          <w:szCs w:val="26"/>
        </w:rPr>
      </w:pPr>
      <w:r w:rsidRPr="00931D46">
        <w:rPr>
          <w:rFonts w:ascii="Arial" w:hAnsi="Arial" w:cs="Arial"/>
          <w:szCs w:val="26"/>
        </w:rPr>
        <w:t>La ICN ha señalado que cuando es posible descartar, bajo cualquier definición razonable de</w:t>
      </w:r>
      <w:r w:rsidR="008655A4">
        <w:rPr>
          <w:rFonts w:ascii="Arial" w:hAnsi="Arial" w:cs="Arial"/>
          <w:szCs w:val="26"/>
        </w:rPr>
        <w:t>l</w:t>
      </w:r>
      <w:r w:rsidRPr="00931D46">
        <w:rPr>
          <w:rFonts w:ascii="Arial" w:hAnsi="Arial" w:cs="Arial"/>
          <w:szCs w:val="26"/>
        </w:rPr>
        <w:t xml:space="preserve"> MR, que una concentración confiere o incrementa el poder de mercado del agente resultante de la operación, puede no ser necesario llevar a cabo una delimitación exhaustiva del MR, pues cualquiera de las alternativas disponibles –incluyendo la delimitación más estrecha– llevaría a las mismas conclusiones.</w:t>
      </w:r>
    </w:p>
    <w:p w14:paraId="3B41E2B0" w14:textId="77777777" w:rsidR="00A9129B" w:rsidRPr="00931D46" w:rsidRDefault="00A9129B" w:rsidP="0023353F">
      <w:pPr>
        <w:spacing w:before="0" w:after="0"/>
        <w:rPr>
          <w:rFonts w:ascii="Arial" w:hAnsi="Arial" w:cs="Arial"/>
          <w:szCs w:val="26"/>
        </w:rPr>
      </w:pPr>
    </w:p>
    <w:p w14:paraId="69A25EF0" w14:textId="77777777" w:rsidR="00A9129B" w:rsidRPr="00931D46" w:rsidRDefault="00A9129B"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OCDE</w:t>
      </w:r>
      <w:r w:rsidRPr="00931D46">
        <w:rPr>
          <w:rStyle w:val="Refdenotaalpie"/>
          <w:rFonts w:ascii="Arial" w:hAnsi="Arial" w:cs="Arial"/>
          <w:b/>
          <w:color w:val="auto"/>
          <w:sz w:val="26"/>
          <w:szCs w:val="26"/>
        </w:rPr>
        <w:footnoteReference w:id="175"/>
      </w:r>
    </w:p>
    <w:p w14:paraId="152117B3" w14:textId="77777777" w:rsidR="00A9129B" w:rsidRPr="00931D46" w:rsidRDefault="00A9129B" w:rsidP="0023353F">
      <w:pPr>
        <w:keepNext/>
        <w:spacing w:before="0" w:after="0"/>
        <w:rPr>
          <w:rFonts w:ascii="Arial" w:hAnsi="Arial" w:cs="Arial"/>
        </w:rPr>
      </w:pPr>
    </w:p>
    <w:p w14:paraId="3196E0D4" w14:textId="77777777" w:rsidR="00A9129B" w:rsidRPr="00931D46" w:rsidRDefault="00E9475B" w:rsidP="0023353F">
      <w:pPr>
        <w:spacing w:before="0" w:after="0"/>
        <w:rPr>
          <w:rFonts w:ascii="Arial" w:hAnsi="Arial" w:cs="Arial"/>
        </w:rPr>
      </w:pPr>
      <w:r w:rsidRPr="00931D46">
        <w:rPr>
          <w:rFonts w:ascii="Arial" w:hAnsi="Arial" w:cs="Arial"/>
        </w:rPr>
        <w:t>P</w:t>
      </w:r>
      <w:r w:rsidR="00A9129B" w:rsidRPr="00931D46">
        <w:rPr>
          <w:rFonts w:ascii="Arial" w:hAnsi="Arial" w:cs="Arial"/>
        </w:rPr>
        <w:t xml:space="preserve">or lo que respecta a la dimensión geográfica del MR, </w:t>
      </w:r>
      <w:r w:rsidRPr="00931D46">
        <w:rPr>
          <w:rFonts w:ascii="Arial" w:hAnsi="Arial" w:cs="Arial"/>
        </w:rPr>
        <w:t xml:space="preserve">la OCDE señala </w:t>
      </w:r>
      <w:r w:rsidR="00A9129B" w:rsidRPr="00931D46">
        <w:rPr>
          <w:rFonts w:ascii="Arial" w:hAnsi="Arial" w:cs="Arial"/>
        </w:rPr>
        <w:t xml:space="preserve">que </w:t>
      </w:r>
      <w:r w:rsidR="00A9129B" w:rsidRPr="00931D46">
        <w:rPr>
          <w:rFonts w:ascii="Arial" w:hAnsi="Arial" w:cs="Arial"/>
          <w:i/>
        </w:rPr>
        <w:t>“cuando se revisan casos para los que no existen problemas de competencia, independientemente del alcance geográfico de un mercado, el enfoque que a menudo adoptan los tribunales y las autoridades de competencia es mantener abierta la definición del mercado geográfico”</w:t>
      </w:r>
      <w:r w:rsidR="00A9129B" w:rsidRPr="00931D46">
        <w:rPr>
          <w:rFonts w:ascii="Arial" w:hAnsi="Arial" w:cs="Arial"/>
        </w:rPr>
        <w:t>. Lo anterior, permite ahorrar tiempo y recursos, así como evitar que se llegue a una definición innecesaria que puede afectar casos futuros.</w:t>
      </w:r>
    </w:p>
    <w:p w14:paraId="043C04B4" w14:textId="77777777" w:rsidR="006C17CC" w:rsidRPr="00931D46" w:rsidRDefault="006C17CC" w:rsidP="0023353F">
      <w:pPr>
        <w:spacing w:before="0" w:after="0"/>
        <w:rPr>
          <w:rFonts w:ascii="Arial" w:hAnsi="Arial" w:cs="Arial"/>
        </w:rPr>
      </w:pPr>
    </w:p>
    <w:p w14:paraId="0D8D1F25" w14:textId="77777777" w:rsidR="00F05882" w:rsidRPr="00931D46" w:rsidRDefault="00F05882"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86" w:name="_Toc45628336"/>
      <w:r w:rsidRPr="00931D46">
        <w:rPr>
          <w:rFonts w:ascii="Arial" w:eastAsia="Times New Roman" w:hAnsi="Arial" w:cs="Arial"/>
          <w:b/>
          <w:color w:val="auto"/>
          <w:sz w:val="26"/>
          <w:szCs w:val="26"/>
          <w:lang w:val="en-US" w:eastAsia="es-MX"/>
        </w:rPr>
        <w:t>Estados Unidos de América</w:t>
      </w:r>
      <w:r w:rsidRPr="00931D46">
        <w:rPr>
          <w:rFonts w:ascii="Arial" w:eastAsia="Times New Roman" w:hAnsi="Arial" w:cs="Arial"/>
          <w:b/>
          <w:color w:val="auto"/>
          <w:sz w:val="26"/>
          <w:szCs w:val="26"/>
          <w:vertAlign w:val="superscript"/>
          <w:lang w:val="en-US" w:eastAsia="es-MX"/>
        </w:rPr>
        <w:footnoteReference w:id="176"/>
      </w:r>
      <w:bookmarkEnd w:id="186"/>
    </w:p>
    <w:p w14:paraId="79F0994B" w14:textId="77777777" w:rsidR="00F05882" w:rsidRPr="00931D46" w:rsidRDefault="00F05882" w:rsidP="0023353F">
      <w:pPr>
        <w:keepNext/>
        <w:spacing w:before="0" w:after="0"/>
        <w:rPr>
          <w:rFonts w:ascii="Arial" w:hAnsi="Arial" w:cs="Arial"/>
        </w:rPr>
      </w:pPr>
    </w:p>
    <w:p w14:paraId="1E35BDB2" w14:textId="2C67BA04" w:rsidR="00F05882" w:rsidRPr="00931D46" w:rsidRDefault="00F05882" w:rsidP="0023353F">
      <w:pPr>
        <w:spacing w:before="0" w:after="0"/>
        <w:rPr>
          <w:rFonts w:ascii="Arial" w:hAnsi="Arial" w:cs="Arial"/>
        </w:rPr>
      </w:pPr>
      <w:r w:rsidRPr="00931D46">
        <w:rPr>
          <w:rFonts w:ascii="Arial" w:hAnsi="Arial" w:cs="Arial"/>
        </w:rPr>
        <w:t xml:space="preserve">En Estados Unidos de América, </w:t>
      </w:r>
      <w:r w:rsidR="002F6145" w:rsidRPr="00931D46">
        <w:rPr>
          <w:rFonts w:ascii="Arial" w:hAnsi="Arial" w:cs="Arial"/>
        </w:rPr>
        <w:t>el DOJ y la FTC</w:t>
      </w:r>
      <w:r w:rsidR="002D5DBB" w:rsidRPr="00931D46">
        <w:rPr>
          <w:rFonts w:ascii="Arial" w:hAnsi="Arial" w:cs="Arial"/>
        </w:rPr>
        <w:t xml:space="preserve"> consideran que en muchos casos es posible evaluar si una determinada operación o práctica daña a la competencia sin </w:t>
      </w:r>
      <w:r w:rsidR="00EF2388" w:rsidRPr="00931D46">
        <w:rPr>
          <w:rFonts w:ascii="Arial" w:hAnsi="Arial" w:cs="Arial"/>
        </w:rPr>
        <w:t xml:space="preserve">necesidad de </w:t>
      </w:r>
      <w:r w:rsidR="00FF2B7A" w:rsidRPr="00931D46">
        <w:rPr>
          <w:rFonts w:ascii="Arial" w:hAnsi="Arial" w:cs="Arial"/>
        </w:rPr>
        <w:t>delimitar</w:t>
      </w:r>
      <w:r w:rsidR="002D5DBB" w:rsidRPr="00931D46">
        <w:rPr>
          <w:rFonts w:ascii="Arial" w:hAnsi="Arial" w:cs="Arial"/>
        </w:rPr>
        <w:t xml:space="preserve"> el MR; en este sentido, señalan que </w:t>
      </w:r>
      <w:r w:rsidRPr="00931D46">
        <w:rPr>
          <w:rFonts w:ascii="Arial" w:hAnsi="Arial" w:cs="Arial"/>
        </w:rPr>
        <w:t xml:space="preserve">la determinación del MR no siempre es el punto de partida para el análisis de competencia, pues algunas </w:t>
      </w:r>
      <w:r w:rsidRPr="00931D46" w:rsidDel="005905A4">
        <w:rPr>
          <w:rFonts w:ascii="Arial" w:hAnsi="Arial" w:cs="Arial"/>
        </w:rPr>
        <w:t>de</w:t>
      </w:r>
      <w:r w:rsidRPr="00931D46">
        <w:rPr>
          <w:rFonts w:ascii="Arial" w:hAnsi="Arial" w:cs="Arial"/>
        </w:rPr>
        <w:t xml:space="preserve"> las herramientas analíticas que se utilizan para evaluar los posibles efectos no se basan en la determinación del MR. En este enfoque se considera que, si bien es necesario evaluar las diferentes alternativas disponibles para los consumidores, dicha evaluación no corresponde necesariamente al primer paso en el análisis, pues la determinación del MR puede ayudar a identificar efectos en la competencia</w:t>
      </w:r>
      <w:r w:rsidR="008A7C60" w:rsidRPr="00931D46">
        <w:rPr>
          <w:rFonts w:ascii="Arial" w:hAnsi="Arial" w:cs="Arial"/>
        </w:rPr>
        <w:t>,</w:t>
      </w:r>
      <w:r w:rsidRPr="00931D46">
        <w:rPr>
          <w:rFonts w:ascii="Arial" w:hAnsi="Arial" w:cs="Arial"/>
        </w:rPr>
        <w:t xml:space="preserve"> pero también la evidencia sobre efectos en la competencia puede aportar información para la determinación del MR.</w:t>
      </w:r>
      <w:r w:rsidR="008A7C60" w:rsidRPr="00931D46">
        <w:rPr>
          <w:rFonts w:ascii="Arial" w:hAnsi="Arial" w:cs="Arial"/>
        </w:rPr>
        <w:t xml:space="preserve"> Por ejemplo, cuando el análisis sugiere mercados candidatos alternativos y razonablemente plausibles, donde las participaciones de mercado resultantes conducen a inferencias muy diferentes con respecto a los efectos competitivos, es particularmente valioso examinar evidencia </w:t>
      </w:r>
      <w:r w:rsidR="00E9475B" w:rsidRPr="00931D46">
        <w:rPr>
          <w:rFonts w:ascii="Arial" w:hAnsi="Arial" w:cs="Arial"/>
        </w:rPr>
        <w:t xml:space="preserve">directa de </w:t>
      </w:r>
      <w:r w:rsidR="008A7C60" w:rsidRPr="00931D46">
        <w:rPr>
          <w:rFonts w:ascii="Arial" w:hAnsi="Arial" w:cs="Arial"/>
        </w:rPr>
        <w:t>esos efectos</w:t>
      </w:r>
      <w:r w:rsidR="00E9475B" w:rsidRPr="00931D46">
        <w:rPr>
          <w:rFonts w:ascii="Arial" w:hAnsi="Arial" w:cs="Arial"/>
        </w:rPr>
        <w:t>, en vez de</w:t>
      </w:r>
      <w:r w:rsidR="008A7C60" w:rsidRPr="00931D46">
        <w:rPr>
          <w:rFonts w:ascii="Arial" w:hAnsi="Arial" w:cs="Arial"/>
        </w:rPr>
        <w:t xml:space="preserve"> delimitar exhaustivamente el MR.</w:t>
      </w:r>
    </w:p>
    <w:p w14:paraId="0EBB1B6D" w14:textId="77777777" w:rsidR="008A7C60" w:rsidRPr="00931D46" w:rsidRDefault="008A7C60" w:rsidP="0023353F">
      <w:pPr>
        <w:spacing w:before="0" w:after="0"/>
        <w:rPr>
          <w:rFonts w:ascii="Arial" w:hAnsi="Arial" w:cs="Arial"/>
        </w:rPr>
      </w:pPr>
    </w:p>
    <w:p w14:paraId="3B17DC32" w14:textId="371EDC86" w:rsidR="008A7C60" w:rsidRPr="00931D46" w:rsidRDefault="008A7C60" w:rsidP="0023353F">
      <w:pPr>
        <w:spacing w:before="0" w:after="0"/>
        <w:rPr>
          <w:rFonts w:ascii="Arial" w:hAnsi="Arial" w:cs="Arial"/>
        </w:rPr>
      </w:pPr>
      <w:r w:rsidRPr="00931D46">
        <w:rPr>
          <w:rFonts w:ascii="Arial" w:hAnsi="Arial" w:cs="Arial"/>
        </w:rPr>
        <w:t>En otros casos</w:t>
      </w:r>
      <w:r w:rsidR="00D92505">
        <w:rPr>
          <w:rFonts w:ascii="Arial" w:hAnsi="Arial" w:cs="Arial"/>
        </w:rPr>
        <w:t xml:space="preserve"> de concentraciones</w:t>
      </w:r>
      <w:r w:rsidRPr="00931D46">
        <w:rPr>
          <w:rFonts w:ascii="Arial" w:hAnsi="Arial" w:cs="Arial"/>
        </w:rPr>
        <w:t xml:space="preserve">, cuando hay suficiente información disponible, las autoridades evalúan </w:t>
      </w:r>
      <w:r w:rsidR="006628C5" w:rsidRPr="00931D46">
        <w:rPr>
          <w:rFonts w:ascii="Arial" w:hAnsi="Arial" w:cs="Arial"/>
        </w:rPr>
        <w:t xml:space="preserve">el valor de las </w:t>
      </w:r>
      <w:r w:rsidR="009809E3" w:rsidRPr="00931D46">
        <w:rPr>
          <w:rFonts w:ascii="Arial" w:hAnsi="Arial" w:cs="Arial"/>
        </w:rPr>
        <w:t xml:space="preserve">ventas </w:t>
      </w:r>
      <w:r w:rsidR="00D92505">
        <w:rPr>
          <w:rFonts w:ascii="Arial" w:hAnsi="Arial" w:cs="Arial"/>
        </w:rPr>
        <w:t xml:space="preserve">que se desvían de un </w:t>
      </w:r>
      <w:r w:rsidR="00330363">
        <w:rPr>
          <w:rFonts w:ascii="Arial" w:hAnsi="Arial" w:cs="Arial"/>
        </w:rPr>
        <w:t>producto</w:t>
      </w:r>
      <w:r w:rsidR="00D92505">
        <w:rPr>
          <w:rFonts w:ascii="Arial" w:hAnsi="Arial" w:cs="Arial"/>
        </w:rPr>
        <w:t xml:space="preserve"> </w:t>
      </w:r>
      <w:r w:rsidR="00DC72A8">
        <w:rPr>
          <w:rFonts w:ascii="Arial" w:hAnsi="Arial" w:cs="Arial"/>
        </w:rPr>
        <w:t xml:space="preserve">de una de las partes, a </w:t>
      </w:r>
      <w:r w:rsidR="00330363">
        <w:rPr>
          <w:rFonts w:ascii="Arial" w:hAnsi="Arial" w:cs="Arial"/>
        </w:rPr>
        <w:t>productos</w:t>
      </w:r>
      <w:r w:rsidR="00DC72A8">
        <w:rPr>
          <w:rFonts w:ascii="Arial" w:hAnsi="Arial" w:cs="Arial"/>
        </w:rPr>
        <w:t xml:space="preserve"> comercializados previamente por otra de las partes, </w:t>
      </w:r>
      <w:r w:rsidRPr="00931D46">
        <w:rPr>
          <w:rFonts w:ascii="Arial" w:hAnsi="Arial" w:cs="Arial"/>
        </w:rPr>
        <w:t>como un indicador de la presión al alza de</w:t>
      </w:r>
      <w:r w:rsidR="00DC72A8">
        <w:rPr>
          <w:rFonts w:ascii="Arial" w:hAnsi="Arial" w:cs="Arial"/>
        </w:rPr>
        <w:t>l</w:t>
      </w:r>
      <w:r w:rsidRPr="00931D46">
        <w:rPr>
          <w:rFonts w:ascii="Arial" w:hAnsi="Arial" w:cs="Arial"/>
        </w:rPr>
        <w:t xml:space="preserve"> precio </w:t>
      </w:r>
      <w:r w:rsidR="00DC72A8">
        <w:rPr>
          <w:rFonts w:ascii="Arial" w:hAnsi="Arial" w:cs="Arial"/>
        </w:rPr>
        <w:t>d</w:t>
      </w:r>
      <w:r w:rsidRPr="00931D46">
        <w:rPr>
          <w:rFonts w:ascii="Arial" w:hAnsi="Arial" w:cs="Arial"/>
        </w:rPr>
        <w:t>e</w:t>
      </w:r>
      <w:r w:rsidR="00DC72A8">
        <w:rPr>
          <w:rFonts w:ascii="Arial" w:hAnsi="Arial" w:cs="Arial"/>
        </w:rPr>
        <w:t xml:space="preserve"> dicho</w:t>
      </w:r>
      <w:r w:rsidRPr="00931D46">
        <w:rPr>
          <w:rFonts w:ascii="Arial" w:hAnsi="Arial" w:cs="Arial"/>
        </w:rPr>
        <w:t xml:space="preserve"> </w:t>
      </w:r>
      <w:r w:rsidR="00330363">
        <w:rPr>
          <w:rFonts w:ascii="Arial" w:hAnsi="Arial" w:cs="Arial"/>
        </w:rPr>
        <w:t>producto</w:t>
      </w:r>
      <w:r w:rsidR="00DC72A8">
        <w:rPr>
          <w:rFonts w:ascii="Arial" w:hAnsi="Arial" w:cs="Arial"/>
        </w:rPr>
        <w:t>;</w:t>
      </w:r>
      <w:r w:rsidRPr="00931D46">
        <w:rPr>
          <w:rFonts w:ascii="Arial" w:hAnsi="Arial" w:cs="Arial"/>
        </w:rPr>
        <w:t xml:space="preserve"> por lo </w:t>
      </w:r>
      <w:r w:rsidR="00DC72A8">
        <w:rPr>
          <w:rFonts w:ascii="Arial" w:hAnsi="Arial" w:cs="Arial"/>
        </w:rPr>
        <w:t xml:space="preserve">tanto, </w:t>
      </w:r>
      <w:r w:rsidRPr="00931D46">
        <w:rPr>
          <w:rFonts w:ascii="Arial" w:hAnsi="Arial" w:cs="Arial"/>
          <w:b/>
        </w:rPr>
        <w:t>no es necesaria la determinación del MR</w:t>
      </w:r>
      <w:r w:rsidRPr="00931D46">
        <w:rPr>
          <w:rFonts w:ascii="Arial" w:hAnsi="Arial" w:cs="Arial"/>
        </w:rPr>
        <w:t xml:space="preserve"> ni el cálculo de las participaciones de mercado.</w:t>
      </w:r>
      <w:r w:rsidRPr="00931D46">
        <w:rPr>
          <w:rStyle w:val="Refdenotaalpie"/>
          <w:rFonts w:ascii="Arial" w:hAnsi="Arial" w:cs="Arial"/>
        </w:rPr>
        <w:footnoteReference w:id="177"/>
      </w:r>
      <w:r w:rsidRPr="00931D46">
        <w:rPr>
          <w:rFonts w:ascii="Arial" w:hAnsi="Arial" w:cs="Arial"/>
        </w:rPr>
        <w:t xml:space="preserve"> </w:t>
      </w:r>
    </w:p>
    <w:p w14:paraId="1D673B77" w14:textId="77777777" w:rsidR="0076666B" w:rsidRPr="00931D46" w:rsidRDefault="0076666B" w:rsidP="0023353F">
      <w:pPr>
        <w:spacing w:before="0" w:after="0"/>
        <w:rPr>
          <w:rFonts w:ascii="Arial" w:hAnsi="Arial" w:cs="Arial"/>
        </w:rPr>
      </w:pPr>
    </w:p>
    <w:p w14:paraId="1C60FAC8" w14:textId="77777777" w:rsidR="008A7C60" w:rsidRPr="00931D46" w:rsidRDefault="008A7C60" w:rsidP="0023353F">
      <w:pPr>
        <w:spacing w:before="0" w:after="0"/>
        <w:rPr>
          <w:rFonts w:ascii="Arial" w:hAnsi="Arial" w:cs="Arial"/>
        </w:rPr>
      </w:pPr>
      <w:r w:rsidRPr="00931D46">
        <w:rPr>
          <w:rFonts w:ascii="Arial" w:hAnsi="Arial" w:cs="Arial"/>
        </w:rPr>
        <w:t xml:space="preserve">En adición, las agencias pueden construir </w:t>
      </w:r>
      <w:r w:rsidRPr="00931D46">
        <w:rPr>
          <w:rFonts w:ascii="Arial" w:hAnsi="Arial" w:cs="Arial"/>
          <w:b/>
        </w:rPr>
        <w:t>modelos económicos</w:t>
      </w:r>
      <w:r w:rsidRPr="00931D46">
        <w:rPr>
          <w:rFonts w:ascii="Arial" w:hAnsi="Arial" w:cs="Arial"/>
        </w:rPr>
        <w:t xml:space="preserve"> diseñados para cuantificar los efectos unilaterales en los precios resultantes de la </w:t>
      </w:r>
      <w:r w:rsidR="00E46251" w:rsidRPr="00931D46">
        <w:rPr>
          <w:rFonts w:ascii="Arial" w:hAnsi="Arial" w:cs="Arial"/>
        </w:rPr>
        <w:t>concentración</w:t>
      </w:r>
      <w:r w:rsidRPr="00931D46">
        <w:rPr>
          <w:rFonts w:ascii="Arial" w:hAnsi="Arial" w:cs="Arial"/>
        </w:rPr>
        <w:t xml:space="preserve">, mismos que a menudo incluyen respuestas independientes </w:t>
      </w:r>
      <w:r w:rsidR="00F36111" w:rsidRPr="00931D46">
        <w:rPr>
          <w:rFonts w:ascii="Arial" w:hAnsi="Arial" w:cs="Arial"/>
        </w:rPr>
        <w:t>de</w:t>
      </w:r>
      <w:r w:rsidRPr="00931D46">
        <w:rPr>
          <w:rFonts w:ascii="Arial" w:hAnsi="Arial" w:cs="Arial"/>
        </w:rPr>
        <w:t xml:space="preserve"> empresas que no se fusionan y pueden incorporar las eficiencias específicas de la </w:t>
      </w:r>
      <w:r w:rsidR="00E46251" w:rsidRPr="00931D46">
        <w:rPr>
          <w:rFonts w:ascii="Arial" w:hAnsi="Arial" w:cs="Arial"/>
        </w:rPr>
        <w:t>concentración</w:t>
      </w:r>
      <w:r w:rsidRPr="00931D46">
        <w:rPr>
          <w:rFonts w:ascii="Arial" w:hAnsi="Arial" w:cs="Arial"/>
        </w:rPr>
        <w:t xml:space="preserve">. </w:t>
      </w:r>
      <w:r w:rsidR="00E9475B" w:rsidRPr="00931D46">
        <w:rPr>
          <w:rFonts w:ascii="Arial" w:hAnsi="Arial" w:cs="Arial"/>
        </w:rPr>
        <w:t>E</w:t>
      </w:r>
      <w:r w:rsidRPr="00931D46">
        <w:rPr>
          <w:rFonts w:ascii="Arial" w:hAnsi="Arial" w:cs="Arial"/>
        </w:rPr>
        <w:t xml:space="preserve">stos métodos de simulación de fusiones </w:t>
      </w:r>
      <w:r w:rsidRPr="00931D46">
        <w:rPr>
          <w:rFonts w:ascii="Arial" w:hAnsi="Arial" w:cs="Arial"/>
          <w:b/>
        </w:rPr>
        <w:t>no dependen de la delimitación explícita del MR</w:t>
      </w:r>
      <w:r w:rsidRPr="00931D46">
        <w:rPr>
          <w:rFonts w:ascii="Arial" w:hAnsi="Arial" w:cs="Arial"/>
        </w:rPr>
        <w:t>.</w:t>
      </w:r>
    </w:p>
    <w:p w14:paraId="4F81871F" w14:textId="77777777" w:rsidR="008A7C60" w:rsidRPr="00931D46" w:rsidRDefault="008A7C60" w:rsidP="0023353F">
      <w:pPr>
        <w:spacing w:before="0" w:after="0"/>
        <w:rPr>
          <w:rFonts w:ascii="Arial" w:hAnsi="Arial" w:cs="Arial"/>
        </w:rPr>
      </w:pPr>
    </w:p>
    <w:p w14:paraId="3729A081" w14:textId="0B2947FA" w:rsidR="00EF2388" w:rsidRPr="00931D46" w:rsidRDefault="00EF2388" w:rsidP="0023353F">
      <w:pPr>
        <w:spacing w:before="0" w:after="0"/>
        <w:rPr>
          <w:rFonts w:ascii="Arial" w:hAnsi="Arial" w:cs="Arial"/>
        </w:rPr>
      </w:pPr>
      <w:r w:rsidRPr="00931D46">
        <w:rPr>
          <w:rFonts w:ascii="Arial" w:hAnsi="Arial" w:cs="Arial"/>
        </w:rPr>
        <w:t xml:space="preserve">Si bien la determinación exhaustiva del MR no es necesaria en todos los casos, las autoridades advierten que en todos los procedimientos se analiza la existencia de aquellos </w:t>
      </w:r>
      <w:r w:rsidR="00330363">
        <w:rPr>
          <w:rFonts w:ascii="Arial" w:hAnsi="Arial" w:cs="Arial"/>
        </w:rPr>
        <w:t>productos</w:t>
      </w:r>
      <w:r w:rsidRPr="00931D46">
        <w:rPr>
          <w:rFonts w:ascii="Arial" w:hAnsi="Arial" w:cs="Arial"/>
        </w:rPr>
        <w:t xml:space="preserve">, en determinada área geográfica, que ejercen una presión competitiva sobre el </w:t>
      </w:r>
      <w:r w:rsidR="00330363">
        <w:rPr>
          <w:rFonts w:ascii="Arial" w:hAnsi="Arial" w:cs="Arial"/>
        </w:rPr>
        <w:t>producto</w:t>
      </w:r>
      <w:r w:rsidRPr="00931D46">
        <w:rPr>
          <w:rFonts w:ascii="Arial" w:hAnsi="Arial" w:cs="Arial"/>
        </w:rPr>
        <w:t xml:space="preserve"> bajo análisis.</w:t>
      </w:r>
    </w:p>
    <w:p w14:paraId="52FF5273" w14:textId="77777777" w:rsidR="00EF2388" w:rsidRPr="00931D46" w:rsidRDefault="00EF2388" w:rsidP="0023353F">
      <w:pPr>
        <w:spacing w:before="0" w:after="0"/>
        <w:rPr>
          <w:rFonts w:ascii="Arial" w:hAnsi="Arial" w:cs="Arial"/>
        </w:rPr>
      </w:pPr>
    </w:p>
    <w:p w14:paraId="280ADA99" w14:textId="77777777" w:rsidR="00F05882" w:rsidRPr="00931D46" w:rsidRDefault="00F05882"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87" w:name="_Toc45628337"/>
      <w:r w:rsidRPr="00931D46">
        <w:rPr>
          <w:rFonts w:ascii="Arial" w:eastAsia="Times New Roman" w:hAnsi="Arial" w:cs="Arial"/>
          <w:b/>
          <w:color w:val="auto"/>
          <w:sz w:val="26"/>
          <w:szCs w:val="26"/>
          <w:lang w:val="en-US" w:eastAsia="es-MX"/>
        </w:rPr>
        <w:t>Uni</w:t>
      </w:r>
      <w:r w:rsidR="006C17CC" w:rsidRPr="00931D46">
        <w:rPr>
          <w:rFonts w:ascii="Arial" w:eastAsia="Times New Roman" w:hAnsi="Arial" w:cs="Arial"/>
          <w:b/>
          <w:color w:val="auto"/>
          <w:sz w:val="26"/>
          <w:szCs w:val="26"/>
          <w:lang w:val="en-US" w:eastAsia="es-MX"/>
        </w:rPr>
        <w:t>ón Europea</w:t>
      </w:r>
      <w:r w:rsidR="008A7C60" w:rsidRPr="00931D46">
        <w:rPr>
          <w:rStyle w:val="Refdenotaalpie"/>
          <w:rFonts w:ascii="Arial" w:eastAsia="Times New Roman" w:hAnsi="Arial" w:cs="Arial"/>
          <w:b/>
          <w:bCs/>
          <w:color w:val="auto"/>
          <w:kern w:val="1"/>
          <w:sz w:val="26"/>
          <w:szCs w:val="26"/>
          <w:lang w:eastAsia="ar-SA"/>
        </w:rPr>
        <w:footnoteReference w:id="178"/>
      </w:r>
      <w:r w:rsidRPr="00931D46">
        <w:rPr>
          <w:rFonts w:ascii="Arial" w:eastAsia="Times New Roman" w:hAnsi="Arial" w:cs="Arial"/>
          <w:b/>
          <w:color w:val="auto"/>
          <w:sz w:val="26"/>
          <w:szCs w:val="26"/>
          <w:lang w:val="en-US" w:eastAsia="es-MX"/>
        </w:rPr>
        <w:t xml:space="preserve"> </w:t>
      </w:r>
      <w:bookmarkEnd w:id="187"/>
    </w:p>
    <w:p w14:paraId="4370EABC" w14:textId="77777777" w:rsidR="00F05882" w:rsidRPr="00931D46" w:rsidRDefault="00F05882" w:rsidP="0023353F">
      <w:pPr>
        <w:keepNext/>
        <w:spacing w:before="0" w:after="0"/>
        <w:rPr>
          <w:rFonts w:ascii="Arial" w:hAnsi="Arial" w:cs="Arial"/>
        </w:rPr>
      </w:pPr>
    </w:p>
    <w:p w14:paraId="5DEA0F41" w14:textId="77777777" w:rsidR="001A5412" w:rsidRPr="00931D46" w:rsidRDefault="008A7C60" w:rsidP="0023353F">
      <w:pPr>
        <w:spacing w:before="0" w:after="0"/>
        <w:rPr>
          <w:rFonts w:ascii="Arial" w:hAnsi="Arial" w:cs="Arial"/>
        </w:rPr>
      </w:pPr>
      <w:r w:rsidRPr="00931D46">
        <w:rPr>
          <w:rFonts w:ascii="Arial" w:hAnsi="Arial" w:cs="Arial"/>
        </w:rPr>
        <w:t>La CE</w:t>
      </w:r>
      <w:r w:rsidR="001A5412" w:rsidRPr="00931D46">
        <w:rPr>
          <w:rFonts w:ascii="Arial" w:hAnsi="Arial" w:cs="Arial"/>
        </w:rPr>
        <w:t xml:space="preserve"> señala que en ciertas situaciones “</w:t>
      </w:r>
      <w:r w:rsidR="001A5412" w:rsidRPr="00931D46">
        <w:rPr>
          <w:rFonts w:ascii="Arial" w:hAnsi="Arial" w:cs="Arial"/>
          <w:i/>
        </w:rPr>
        <w:t>no es necesario considerar si el mercado también incluye productos adicionales, ni llegar a una conclusión definitiva sobre la delimitación precisa del mercado de producto. Si, teniendo en cuenta las posibles definiciones alternativas del mercado, la operación no plantea problemas en materia de competencia, la cuestión de la definición del mercado se dejará en suspenso, reduciendo así la carga que representa para las empresas el suministro de información.</w:t>
      </w:r>
      <w:r w:rsidR="001A5412" w:rsidRPr="00931D46">
        <w:rPr>
          <w:rFonts w:ascii="Arial" w:hAnsi="Arial" w:cs="Arial"/>
        </w:rPr>
        <w:t>”</w:t>
      </w:r>
    </w:p>
    <w:p w14:paraId="77580C19" w14:textId="77777777" w:rsidR="00F05882" w:rsidRPr="00931D46" w:rsidRDefault="00F05882" w:rsidP="0023353F">
      <w:pPr>
        <w:spacing w:before="0" w:after="0"/>
        <w:rPr>
          <w:rFonts w:ascii="Arial" w:hAnsi="Arial" w:cs="Arial"/>
        </w:rPr>
      </w:pPr>
    </w:p>
    <w:p w14:paraId="07D512F9" w14:textId="77777777" w:rsidR="006C17CC" w:rsidRPr="00931D46" w:rsidRDefault="006C17CC"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188" w:name="_Toc45628338"/>
      <w:r w:rsidRPr="00931D46">
        <w:rPr>
          <w:rFonts w:ascii="Arial" w:eastAsia="Times New Roman" w:hAnsi="Arial" w:cs="Arial"/>
          <w:b/>
          <w:color w:val="auto"/>
          <w:sz w:val="26"/>
          <w:szCs w:val="26"/>
          <w:lang w:val="en-US" w:eastAsia="es-MX"/>
        </w:rPr>
        <w:t>Australia</w:t>
      </w:r>
      <w:bookmarkEnd w:id="188"/>
    </w:p>
    <w:p w14:paraId="14457F8D" w14:textId="77777777" w:rsidR="006C17CC" w:rsidRPr="00931D46" w:rsidRDefault="006C17CC" w:rsidP="0023353F">
      <w:pPr>
        <w:keepNext/>
        <w:spacing w:before="0" w:after="0"/>
        <w:rPr>
          <w:rFonts w:ascii="Arial" w:hAnsi="Arial" w:cs="Arial"/>
        </w:rPr>
      </w:pPr>
    </w:p>
    <w:p w14:paraId="493AF454" w14:textId="11BC6521" w:rsidR="008C6144" w:rsidRPr="00931D46" w:rsidRDefault="006C17CC" w:rsidP="0023353F">
      <w:pPr>
        <w:spacing w:before="0" w:after="0"/>
        <w:rPr>
          <w:rFonts w:ascii="Arial" w:hAnsi="Arial" w:cs="Arial"/>
        </w:rPr>
      </w:pPr>
      <w:r w:rsidRPr="00931D46">
        <w:rPr>
          <w:rFonts w:ascii="Arial" w:hAnsi="Arial" w:cs="Arial"/>
        </w:rPr>
        <w:t xml:space="preserve">La </w:t>
      </w:r>
      <w:r w:rsidR="00EF0F5D">
        <w:rPr>
          <w:rFonts w:ascii="Arial" w:hAnsi="Arial" w:cs="Arial"/>
        </w:rPr>
        <w:t>G</w:t>
      </w:r>
      <w:r w:rsidRPr="00931D46">
        <w:rPr>
          <w:rFonts w:ascii="Arial" w:hAnsi="Arial" w:cs="Arial"/>
        </w:rPr>
        <w:t xml:space="preserve">uía de </w:t>
      </w:r>
      <w:r w:rsidR="00EF0F5D">
        <w:rPr>
          <w:rFonts w:ascii="Arial" w:hAnsi="Arial" w:cs="Arial"/>
        </w:rPr>
        <w:t>C</w:t>
      </w:r>
      <w:r w:rsidRPr="00931D46">
        <w:rPr>
          <w:rFonts w:ascii="Arial" w:hAnsi="Arial" w:cs="Arial"/>
        </w:rPr>
        <w:t xml:space="preserve">oncentraciones </w:t>
      </w:r>
      <w:r w:rsidR="008C6144" w:rsidRPr="00931D46">
        <w:rPr>
          <w:rFonts w:ascii="Arial" w:hAnsi="Arial" w:cs="Arial"/>
        </w:rPr>
        <w:t xml:space="preserve">en medios </w:t>
      </w:r>
      <w:r w:rsidRPr="00931D46">
        <w:rPr>
          <w:rFonts w:ascii="Arial" w:hAnsi="Arial" w:cs="Arial"/>
        </w:rPr>
        <w:t xml:space="preserve">de Australia </w:t>
      </w:r>
      <w:r w:rsidR="008C6144" w:rsidRPr="00931D46">
        <w:rPr>
          <w:rFonts w:ascii="Arial" w:hAnsi="Arial" w:cs="Arial"/>
        </w:rPr>
        <w:t>señala</w:t>
      </w:r>
      <w:r w:rsidRPr="00931D46">
        <w:rPr>
          <w:rFonts w:ascii="Arial" w:hAnsi="Arial" w:cs="Arial"/>
        </w:rPr>
        <w:t xml:space="preserve"> que </w:t>
      </w:r>
      <w:r w:rsidR="008C6144" w:rsidRPr="00931D46">
        <w:rPr>
          <w:rFonts w:ascii="Arial" w:hAnsi="Arial" w:cs="Arial"/>
        </w:rPr>
        <w:t xml:space="preserve">en algunos casos la </w:t>
      </w:r>
      <w:r w:rsidR="00705F41" w:rsidRPr="00931D46">
        <w:rPr>
          <w:rFonts w:ascii="Arial" w:hAnsi="Arial" w:cs="Arial"/>
        </w:rPr>
        <w:t>ACCC</w:t>
      </w:r>
      <w:r w:rsidR="008C6144" w:rsidRPr="00931D46">
        <w:rPr>
          <w:rFonts w:ascii="Arial" w:hAnsi="Arial" w:cs="Arial"/>
        </w:rPr>
        <w:t xml:space="preserve"> no necesita identificar los límites precisos del MR, sino que puede ser suficiente considerar las áreas de traslape e identificar los sustitutos cercanos en esas áreas.</w:t>
      </w:r>
      <w:r w:rsidR="00A9129B" w:rsidRPr="00931D46">
        <w:rPr>
          <w:rStyle w:val="Refdenotaalpie"/>
          <w:rFonts w:ascii="Arial" w:hAnsi="Arial" w:cs="Arial"/>
        </w:rPr>
        <w:footnoteReference w:id="179"/>
      </w:r>
    </w:p>
    <w:p w14:paraId="75BC0584" w14:textId="77777777" w:rsidR="008C6144" w:rsidRPr="00931D46" w:rsidRDefault="008C6144" w:rsidP="0023353F">
      <w:pPr>
        <w:spacing w:before="0" w:after="0"/>
        <w:rPr>
          <w:rFonts w:ascii="Arial" w:hAnsi="Arial" w:cs="Arial"/>
        </w:rPr>
      </w:pPr>
    </w:p>
    <w:p w14:paraId="492C9256" w14:textId="219A3CCA" w:rsidR="006C17CC" w:rsidRPr="00931D46" w:rsidRDefault="006C17CC" w:rsidP="0023353F">
      <w:pPr>
        <w:spacing w:before="0" w:after="0"/>
        <w:rPr>
          <w:rFonts w:ascii="Arial" w:hAnsi="Arial" w:cs="Arial"/>
        </w:rPr>
      </w:pPr>
      <w:r w:rsidRPr="00931D46">
        <w:rPr>
          <w:rFonts w:ascii="Arial" w:hAnsi="Arial" w:cs="Arial"/>
        </w:rPr>
        <w:t xml:space="preserve">La </w:t>
      </w:r>
      <w:r w:rsidR="00705F41" w:rsidRPr="00931D46">
        <w:rPr>
          <w:rFonts w:ascii="Arial" w:hAnsi="Arial" w:cs="Arial"/>
        </w:rPr>
        <w:t>ACCC</w:t>
      </w:r>
      <w:r w:rsidRPr="00931D46">
        <w:rPr>
          <w:rFonts w:ascii="Arial" w:hAnsi="Arial" w:cs="Arial"/>
        </w:rPr>
        <w:t xml:space="preserve"> señala que si resulta poco probable que la concentración disminuya la competencia en un </w:t>
      </w:r>
      <w:r w:rsidR="00330363">
        <w:rPr>
          <w:rFonts w:ascii="Arial" w:hAnsi="Arial" w:cs="Arial"/>
        </w:rPr>
        <w:t>producto</w:t>
      </w:r>
      <w:r w:rsidRPr="00931D46">
        <w:rPr>
          <w:rFonts w:ascii="Arial" w:hAnsi="Arial" w:cs="Arial"/>
        </w:rPr>
        <w:t xml:space="preserve"> y área geográfica específicos (definidos de manera estrecha), también será poco probable que disminuya la competencia en un </w:t>
      </w:r>
      <w:r w:rsidR="00330363">
        <w:rPr>
          <w:rFonts w:ascii="Arial" w:hAnsi="Arial" w:cs="Arial"/>
        </w:rPr>
        <w:t>producto</w:t>
      </w:r>
      <w:r w:rsidRPr="00931D46">
        <w:rPr>
          <w:rFonts w:ascii="Arial" w:hAnsi="Arial" w:cs="Arial"/>
        </w:rPr>
        <w:t xml:space="preserve"> y área geográfica más amplios, por lo que una </w:t>
      </w:r>
      <w:r w:rsidR="008C6144" w:rsidRPr="00931D46">
        <w:rPr>
          <w:rFonts w:ascii="Arial" w:hAnsi="Arial" w:cs="Arial"/>
        </w:rPr>
        <w:t>delimitación</w:t>
      </w:r>
      <w:r w:rsidRPr="00931D46">
        <w:rPr>
          <w:rFonts w:ascii="Arial" w:hAnsi="Arial" w:cs="Arial"/>
        </w:rPr>
        <w:t xml:space="preserve"> exhaustiva del MR no sería necesaria.</w:t>
      </w:r>
      <w:r w:rsidR="00A9129B" w:rsidRPr="00931D46">
        <w:rPr>
          <w:rFonts w:ascii="Arial" w:eastAsia="Times New Roman" w:hAnsi="Arial" w:cs="Arial"/>
          <w:vertAlign w:val="superscript"/>
          <w:lang w:eastAsia="es-MX"/>
        </w:rPr>
        <w:footnoteReference w:id="180"/>
      </w:r>
      <w:r w:rsidRPr="00931D46">
        <w:rPr>
          <w:rFonts w:ascii="Arial" w:hAnsi="Arial" w:cs="Arial"/>
        </w:rPr>
        <w:t xml:space="preserve"> </w:t>
      </w:r>
    </w:p>
    <w:p w14:paraId="4DF6D0F9" w14:textId="77777777" w:rsidR="006C17CC" w:rsidRPr="00931D46" w:rsidRDefault="006C17CC" w:rsidP="0023353F">
      <w:pPr>
        <w:spacing w:before="0" w:after="0"/>
        <w:rPr>
          <w:rFonts w:ascii="Arial" w:hAnsi="Arial" w:cs="Arial"/>
        </w:rPr>
      </w:pPr>
    </w:p>
    <w:p w14:paraId="10BBB13C" w14:textId="77777777" w:rsidR="00A9129B" w:rsidRPr="00931D46" w:rsidRDefault="00A9129B"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Portugal</w:t>
      </w:r>
    </w:p>
    <w:p w14:paraId="0B8AF6EF" w14:textId="77777777" w:rsidR="00A9129B" w:rsidRPr="00931D46" w:rsidRDefault="00A9129B" w:rsidP="0023353F">
      <w:pPr>
        <w:spacing w:before="0" w:after="0"/>
        <w:rPr>
          <w:rFonts w:ascii="Arial" w:hAnsi="Arial" w:cs="Arial"/>
          <w:lang w:val="en-US"/>
        </w:rPr>
      </w:pPr>
    </w:p>
    <w:p w14:paraId="6D2FE1C6" w14:textId="77777777" w:rsidR="00D551A7" w:rsidRPr="00931D46" w:rsidRDefault="00D551A7" w:rsidP="0023353F">
      <w:pPr>
        <w:spacing w:before="0" w:after="0"/>
        <w:rPr>
          <w:rFonts w:ascii="Arial" w:hAnsi="Arial" w:cs="Arial"/>
          <w:i/>
        </w:rPr>
      </w:pPr>
      <w:r w:rsidRPr="00931D46">
        <w:rPr>
          <w:rFonts w:ascii="Arial" w:hAnsi="Arial" w:cs="Arial"/>
        </w:rPr>
        <w:t>De acuerdo con las Directrices para el análisis económico de concentraciones horizontales publicadas por la autoridad de competencia de Portugal,</w:t>
      </w:r>
      <w:r w:rsidRPr="00931D46">
        <w:rPr>
          <w:rStyle w:val="Refdenotaalpie"/>
          <w:rFonts w:ascii="Arial" w:hAnsi="Arial" w:cs="Arial"/>
        </w:rPr>
        <w:footnoteReference w:id="181"/>
      </w:r>
      <w:r w:rsidRPr="00931D46">
        <w:rPr>
          <w:rFonts w:ascii="Arial" w:hAnsi="Arial" w:cs="Arial"/>
        </w:rPr>
        <w:t xml:space="preserve"> </w:t>
      </w:r>
      <w:r w:rsidRPr="00931D46">
        <w:rPr>
          <w:rFonts w:ascii="Arial" w:hAnsi="Arial" w:cs="Arial"/>
          <w:i/>
        </w:rPr>
        <w:t>“el objetivo último del control de concentraciones es evaluar si es probable que la transacción cree barreras importantes a la competencia. La delimitación de los mercados relevantes tiene, en este contexto, un carácter instrumental, pudiendo no realizarse un ejercicio formal de determinación de los límites de los mercados relevantes cuando no sea necesario para las conclusiones de la evaluación competitiva.”</w:t>
      </w:r>
    </w:p>
    <w:p w14:paraId="60F5568C" w14:textId="77777777" w:rsidR="00D551A7" w:rsidRPr="00931D46" w:rsidRDefault="00D551A7" w:rsidP="0023353F">
      <w:pPr>
        <w:spacing w:before="0" w:after="0"/>
        <w:rPr>
          <w:rFonts w:ascii="Arial" w:hAnsi="Arial" w:cs="Arial"/>
          <w:i/>
        </w:rPr>
      </w:pPr>
    </w:p>
    <w:p w14:paraId="3F062F2C" w14:textId="187D4DCF" w:rsidR="00755BCC" w:rsidRPr="00931D46" w:rsidRDefault="00A9129B" w:rsidP="0023353F">
      <w:pPr>
        <w:spacing w:before="0" w:after="0"/>
        <w:rPr>
          <w:rFonts w:ascii="Arial" w:hAnsi="Arial" w:cs="Arial"/>
        </w:rPr>
      </w:pPr>
      <w:r w:rsidRPr="00931D46">
        <w:rPr>
          <w:rFonts w:ascii="Arial" w:hAnsi="Arial" w:cs="Arial"/>
        </w:rPr>
        <w:t>En el análisis de la concentración entre ZON y Optimus,</w:t>
      </w:r>
      <w:r w:rsidR="00D551A7" w:rsidRPr="00931D46">
        <w:rPr>
          <w:rFonts w:ascii="Arial" w:eastAsia="Times New Roman" w:hAnsi="Arial" w:cs="Arial"/>
          <w:sz w:val="26"/>
          <w:szCs w:val="26"/>
          <w:vertAlign w:val="superscript"/>
          <w:lang w:eastAsia="es-MX"/>
        </w:rPr>
        <w:footnoteReference w:id="182"/>
      </w:r>
      <w:r w:rsidRPr="00931D46">
        <w:rPr>
          <w:rFonts w:ascii="Arial" w:hAnsi="Arial" w:cs="Arial"/>
        </w:rPr>
        <w:t xml:space="preserve"> la cual involucraba, entre otros, el servicio minorista de enlaces dedicados, la Autoridad de Competencia de Portugal señaló que</w:t>
      </w:r>
      <w:r w:rsidR="007712C9" w:rsidRPr="00931D46">
        <w:rPr>
          <w:rFonts w:ascii="Arial" w:hAnsi="Arial" w:cs="Arial"/>
        </w:rPr>
        <w:t>,</w:t>
      </w:r>
      <w:r w:rsidRPr="00931D46">
        <w:rPr>
          <w:rFonts w:ascii="Arial" w:hAnsi="Arial" w:cs="Arial"/>
        </w:rPr>
        <w:t xml:space="preserve"> para efectos de la operación analizada, la delimitación </w:t>
      </w:r>
      <w:r w:rsidR="00F36111" w:rsidRPr="00931D46">
        <w:rPr>
          <w:rFonts w:ascii="Arial" w:hAnsi="Arial" w:cs="Arial"/>
        </w:rPr>
        <w:t xml:space="preserve">precisa </w:t>
      </w:r>
      <w:r w:rsidRPr="00931D46">
        <w:rPr>
          <w:rFonts w:ascii="Arial" w:hAnsi="Arial" w:cs="Arial"/>
        </w:rPr>
        <w:t xml:space="preserve">de ese </w:t>
      </w:r>
      <w:r w:rsidR="00453876" w:rsidRPr="00931D46">
        <w:rPr>
          <w:rFonts w:ascii="Arial" w:hAnsi="Arial" w:cs="Arial"/>
        </w:rPr>
        <w:t>MR</w:t>
      </w:r>
      <w:r w:rsidRPr="00931D46">
        <w:rPr>
          <w:rFonts w:ascii="Arial" w:hAnsi="Arial" w:cs="Arial"/>
        </w:rPr>
        <w:t xml:space="preserve"> debía dejarse abierta, ya que, de la evaluación de competencia</w:t>
      </w:r>
      <w:r w:rsidR="00211EA9" w:rsidRPr="00931D46">
        <w:rPr>
          <w:rFonts w:ascii="Arial" w:hAnsi="Arial" w:cs="Arial"/>
        </w:rPr>
        <w:t>,</w:t>
      </w:r>
      <w:r w:rsidRPr="00931D46">
        <w:rPr>
          <w:rFonts w:ascii="Arial" w:hAnsi="Arial" w:cs="Arial"/>
        </w:rPr>
        <w:t xml:space="preserve"> se advertía que las conclusiones </w:t>
      </w:r>
      <w:r w:rsidR="00755BCC" w:rsidRPr="00931D46">
        <w:rPr>
          <w:rFonts w:ascii="Arial" w:hAnsi="Arial" w:cs="Arial"/>
        </w:rPr>
        <w:t>eran</w:t>
      </w:r>
      <w:r w:rsidRPr="00931D46">
        <w:rPr>
          <w:rFonts w:ascii="Arial" w:hAnsi="Arial" w:cs="Arial"/>
        </w:rPr>
        <w:t xml:space="preserve"> independientes de los </w:t>
      </w:r>
      <w:r w:rsidR="00D551A7" w:rsidRPr="00931D46">
        <w:rPr>
          <w:rFonts w:ascii="Arial" w:hAnsi="Arial" w:cs="Arial"/>
        </w:rPr>
        <w:t>límites</w:t>
      </w:r>
      <w:r w:rsidRPr="00931D46">
        <w:rPr>
          <w:rFonts w:ascii="Arial" w:hAnsi="Arial" w:cs="Arial"/>
        </w:rPr>
        <w:t xml:space="preserve"> que pud</w:t>
      </w:r>
      <w:r w:rsidR="00755BCC" w:rsidRPr="00931D46">
        <w:rPr>
          <w:rFonts w:ascii="Arial" w:hAnsi="Arial" w:cs="Arial"/>
        </w:rPr>
        <w:t>ier</w:t>
      </w:r>
      <w:r w:rsidRPr="00931D46">
        <w:rPr>
          <w:rFonts w:ascii="Arial" w:hAnsi="Arial" w:cs="Arial"/>
        </w:rPr>
        <w:t>a</w:t>
      </w:r>
      <w:r w:rsidR="00DC72A8">
        <w:rPr>
          <w:rFonts w:ascii="Arial" w:hAnsi="Arial" w:cs="Arial"/>
        </w:rPr>
        <w:t>n</w:t>
      </w:r>
      <w:r w:rsidRPr="00931D46">
        <w:rPr>
          <w:rFonts w:ascii="Arial" w:hAnsi="Arial" w:cs="Arial"/>
        </w:rPr>
        <w:t xml:space="preserve"> asumirse. </w:t>
      </w:r>
    </w:p>
    <w:p w14:paraId="6B4C7D8E" w14:textId="77777777" w:rsidR="00755BCC" w:rsidRPr="00931D46" w:rsidRDefault="00755BCC" w:rsidP="0023353F">
      <w:pPr>
        <w:spacing w:before="0" w:after="0"/>
        <w:rPr>
          <w:rFonts w:ascii="Arial" w:hAnsi="Arial" w:cs="Arial"/>
        </w:rPr>
      </w:pPr>
    </w:p>
    <w:p w14:paraId="707990DE" w14:textId="77777777" w:rsidR="00D551A7" w:rsidRPr="00931D46" w:rsidRDefault="00D551A7" w:rsidP="0023353F">
      <w:pPr>
        <w:spacing w:before="0" w:after="0"/>
        <w:rPr>
          <w:rFonts w:ascii="Arial" w:hAnsi="Arial" w:cs="Arial"/>
        </w:rPr>
      </w:pPr>
      <w:r w:rsidRPr="00931D46">
        <w:rPr>
          <w:rFonts w:ascii="Arial" w:hAnsi="Arial" w:cs="Arial"/>
        </w:rPr>
        <w:t>En este sentido, la autoridad señaló que dejaba abierta la delimitación de servicio relevante, así como los contornos exactos de la dimensión geográfica respectiva, teniendo en cuenta la participación marginal de ZON (AE adquirido) en la provisión de las ofertas bajo análisis.</w:t>
      </w:r>
    </w:p>
    <w:p w14:paraId="02B77E3A" w14:textId="77777777" w:rsidR="00A9129B" w:rsidRPr="00931D46" w:rsidRDefault="00A9129B" w:rsidP="0023353F">
      <w:pPr>
        <w:spacing w:before="0" w:after="0"/>
        <w:rPr>
          <w:rFonts w:ascii="Arial" w:hAnsi="Arial" w:cs="Arial"/>
        </w:rPr>
      </w:pPr>
    </w:p>
    <w:p w14:paraId="547227FF" w14:textId="77777777" w:rsidR="000E1B4E" w:rsidRPr="00931D46" w:rsidRDefault="000E1B4E"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r w:rsidRPr="00931D46">
        <w:rPr>
          <w:rFonts w:ascii="Arial" w:eastAsia="Times New Roman" w:hAnsi="Arial" w:cs="Arial"/>
          <w:b/>
          <w:color w:val="auto"/>
          <w:sz w:val="26"/>
          <w:szCs w:val="26"/>
          <w:lang w:val="en-US" w:eastAsia="es-MX"/>
        </w:rPr>
        <w:t>Canadá</w:t>
      </w:r>
      <w:r w:rsidR="00211EA9" w:rsidRPr="00931D46">
        <w:rPr>
          <w:rFonts w:ascii="Arial" w:eastAsia="Times New Roman" w:hAnsi="Arial" w:cs="Arial"/>
          <w:b/>
          <w:color w:val="auto"/>
          <w:sz w:val="26"/>
          <w:szCs w:val="26"/>
          <w:vertAlign w:val="superscript"/>
          <w:lang w:eastAsia="es-MX"/>
        </w:rPr>
        <w:footnoteReference w:id="183"/>
      </w:r>
    </w:p>
    <w:p w14:paraId="3A7552EE" w14:textId="77777777" w:rsidR="000E1B4E" w:rsidRPr="00931D46" w:rsidRDefault="000E1B4E" w:rsidP="0023353F">
      <w:pPr>
        <w:keepNext/>
        <w:spacing w:before="0" w:after="0"/>
        <w:rPr>
          <w:rFonts w:ascii="Arial" w:hAnsi="Arial" w:cs="Arial"/>
          <w:lang w:val="en-US"/>
        </w:rPr>
      </w:pPr>
    </w:p>
    <w:p w14:paraId="41FB5784" w14:textId="77777777" w:rsidR="00687F91" w:rsidRPr="00931D46" w:rsidRDefault="00687F91" w:rsidP="0023353F">
      <w:pPr>
        <w:spacing w:before="0" w:after="0"/>
        <w:rPr>
          <w:rFonts w:ascii="Arial" w:hAnsi="Arial" w:cs="Arial"/>
        </w:rPr>
      </w:pPr>
      <w:r w:rsidRPr="00931D46">
        <w:rPr>
          <w:rFonts w:ascii="Arial" w:hAnsi="Arial" w:cs="Arial"/>
        </w:rPr>
        <w:t xml:space="preserve">Respecto a la exhaustividad en la delimitación del MR, la guía de concentraciones de Canadá señala que </w:t>
      </w:r>
      <w:r w:rsidRPr="00931D46">
        <w:rPr>
          <w:rFonts w:ascii="Arial" w:hAnsi="Arial" w:cs="Arial"/>
          <w:i/>
        </w:rPr>
        <w:t>“es importante enfatizar que los límites del mercado ya sea con respecto a la dimensión producto o geográfica no son necesarios en muchos casos.”</w:t>
      </w:r>
    </w:p>
    <w:p w14:paraId="625941BC" w14:textId="77777777" w:rsidR="000E1B4E" w:rsidRPr="00931D46" w:rsidRDefault="000E1B4E" w:rsidP="0023353F">
      <w:pPr>
        <w:spacing w:before="0" w:after="0"/>
        <w:rPr>
          <w:rFonts w:ascii="Arial" w:hAnsi="Arial" w:cs="Arial"/>
        </w:rPr>
      </w:pPr>
    </w:p>
    <w:p w14:paraId="011D206A" w14:textId="711392B0" w:rsidR="00A70D7D" w:rsidRPr="00931D46" w:rsidRDefault="00A70D7D" w:rsidP="0023353F">
      <w:pPr>
        <w:pStyle w:val="Ttulo1"/>
        <w:keepLines w:val="0"/>
        <w:numPr>
          <w:ilvl w:val="0"/>
          <w:numId w:val="3"/>
        </w:numPr>
        <w:spacing w:before="0"/>
        <w:rPr>
          <w:rFonts w:ascii="Arial" w:hAnsi="Arial" w:cs="Arial"/>
          <w:b/>
          <w:color w:val="auto"/>
          <w:sz w:val="26"/>
          <w:szCs w:val="26"/>
        </w:rPr>
      </w:pPr>
      <w:bookmarkStart w:id="189" w:name="_Toc45216579"/>
      <w:bookmarkStart w:id="190" w:name="_Toc45628340"/>
      <w:bookmarkStart w:id="191" w:name="_Toc74306779"/>
      <w:bookmarkStart w:id="192" w:name="_Toc74323835"/>
      <w:r w:rsidRPr="00931D46">
        <w:rPr>
          <w:rFonts w:ascii="Arial" w:hAnsi="Arial" w:cs="Arial"/>
          <w:b/>
          <w:color w:val="auto"/>
          <w:sz w:val="26"/>
          <w:szCs w:val="26"/>
        </w:rPr>
        <w:t xml:space="preserve">Mercados </w:t>
      </w:r>
      <w:r w:rsidR="00D11008" w:rsidRPr="00931D46">
        <w:rPr>
          <w:rFonts w:ascii="Arial" w:hAnsi="Arial" w:cs="Arial"/>
          <w:b/>
          <w:color w:val="auto"/>
          <w:sz w:val="26"/>
          <w:szCs w:val="26"/>
        </w:rPr>
        <w:t>r</w:t>
      </w:r>
      <w:r w:rsidRPr="00931D46">
        <w:rPr>
          <w:rFonts w:ascii="Arial" w:hAnsi="Arial" w:cs="Arial"/>
          <w:b/>
          <w:color w:val="auto"/>
          <w:sz w:val="26"/>
          <w:szCs w:val="26"/>
        </w:rPr>
        <w:t>elacionados</w:t>
      </w:r>
      <w:bookmarkEnd w:id="66"/>
      <w:bookmarkEnd w:id="67"/>
      <w:bookmarkEnd w:id="189"/>
      <w:bookmarkEnd w:id="190"/>
      <w:bookmarkEnd w:id="191"/>
      <w:bookmarkEnd w:id="192"/>
    </w:p>
    <w:p w14:paraId="557134C9" w14:textId="77777777" w:rsidR="003E256E" w:rsidRPr="00931D46" w:rsidRDefault="003E256E" w:rsidP="0023353F">
      <w:pPr>
        <w:keepNext/>
        <w:spacing w:before="0" w:after="0"/>
        <w:rPr>
          <w:rFonts w:ascii="Arial" w:hAnsi="Arial" w:cs="Arial"/>
        </w:rPr>
      </w:pPr>
    </w:p>
    <w:p w14:paraId="7302D849" w14:textId="77777777" w:rsidR="003E256E" w:rsidRPr="00931D46" w:rsidRDefault="009E5EFF" w:rsidP="0023353F">
      <w:pPr>
        <w:pStyle w:val="Ttulo2"/>
        <w:keepLines w:val="0"/>
        <w:numPr>
          <w:ilvl w:val="1"/>
          <w:numId w:val="3"/>
        </w:numPr>
        <w:spacing w:before="0" w:after="0"/>
        <w:rPr>
          <w:rFonts w:ascii="Arial" w:eastAsia="Times New Roman" w:hAnsi="Arial" w:cs="Arial"/>
          <w:sz w:val="26"/>
          <w:lang w:eastAsia="es-MX"/>
        </w:rPr>
      </w:pPr>
      <w:bookmarkStart w:id="193" w:name="_Toc45216580"/>
      <w:bookmarkStart w:id="194" w:name="_Toc45628341"/>
      <w:bookmarkStart w:id="195" w:name="_Toc74306780"/>
      <w:bookmarkStart w:id="196" w:name="_Toc74323836"/>
      <w:r w:rsidRPr="00931D46">
        <w:rPr>
          <w:rFonts w:ascii="Arial" w:eastAsia="Times New Roman" w:hAnsi="Arial" w:cs="Arial"/>
          <w:sz w:val="26"/>
          <w:lang w:eastAsia="es-MX"/>
        </w:rPr>
        <w:t>Definición</w:t>
      </w:r>
      <w:bookmarkEnd w:id="193"/>
      <w:bookmarkEnd w:id="194"/>
      <w:bookmarkEnd w:id="195"/>
      <w:bookmarkEnd w:id="196"/>
    </w:p>
    <w:p w14:paraId="4F3068F2" w14:textId="77777777" w:rsidR="003E256E" w:rsidRPr="00931D46" w:rsidRDefault="003E256E" w:rsidP="0023353F">
      <w:pPr>
        <w:keepNext/>
        <w:spacing w:before="0" w:after="0"/>
        <w:rPr>
          <w:rFonts w:ascii="Arial" w:hAnsi="Arial" w:cs="Arial"/>
        </w:rPr>
      </w:pPr>
    </w:p>
    <w:p w14:paraId="0F36F2A5" w14:textId="77777777" w:rsidR="003E256E" w:rsidRPr="00931D46" w:rsidRDefault="005B72BC" w:rsidP="0023353F">
      <w:pPr>
        <w:spacing w:before="0" w:after="0"/>
        <w:rPr>
          <w:rFonts w:ascii="Arial" w:hAnsi="Arial" w:cs="Arial"/>
        </w:rPr>
      </w:pPr>
      <w:r w:rsidRPr="00931D46">
        <w:rPr>
          <w:rFonts w:ascii="Arial" w:hAnsi="Arial" w:cs="Arial"/>
        </w:rPr>
        <w:t xml:space="preserve">Aunque la LFCE no contempla una definición para </w:t>
      </w:r>
      <w:r w:rsidR="00BB7BEF" w:rsidRPr="00931D46">
        <w:rPr>
          <w:rFonts w:ascii="Arial" w:hAnsi="Arial" w:cs="Arial"/>
        </w:rPr>
        <w:t>el</w:t>
      </w:r>
      <w:r w:rsidRPr="00931D46">
        <w:rPr>
          <w:rFonts w:ascii="Arial" w:hAnsi="Arial" w:cs="Arial"/>
        </w:rPr>
        <w:t xml:space="preserve"> concepto</w:t>
      </w:r>
      <w:r w:rsidR="00BB7BEF" w:rsidRPr="00931D46">
        <w:rPr>
          <w:rFonts w:ascii="Arial" w:hAnsi="Arial" w:cs="Arial"/>
        </w:rPr>
        <w:t xml:space="preserve"> de mercados relacionados</w:t>
      </w:r>
      <w:r w:rsidRPr="00931D46">
        <w:rPr>
          <w:rFonts w:ascii="Arial" w:hAnsi="Arial" w:cs="Arial"/>
        </w:rPr>
        <w:t xml:space="preserve"> ni contiene criterios que permitan caracterizarlo, </w:t>
      </w:r>
      <w:r w:rsidR="003E256E" w:rsidRPr="00931D46">
        <w:rPr>
          <w:rFonts w:ascii="Arial" w:hAnsi="Arial" w:cs="Arial"/>
        </w:rPr>
        <w:t>prevé el análisis de mercados relacionados en los siguientes casos</w:t>
      </w:r>
      <w:r w:rsidR="0023353F" w:rsidRPr="00931D46">
        <w:rPr>
          <w:rFonts w:ascii="Arial" w:hAnsi="Arial" w:cs="Arial"/>
        </w:rPr>
        <w:t>:</w:t>
      </w:r>
    </w:p>
    <w:p w14:paraId="4A07588A" w14:textId="77777777" w:rsidR="003E256E" w:rsidRPr="00931D46" w:rsidRDefault="003E256E" w:rsidP="0023353F">
      <w:pPr>
        <w:spacing w:before="0" w:after="0"/>
        <w:rPr>
          <w:rFonts w:ascii="Arial" w:hAnsi="Arial" w:cs="Arial"/>
        </w:rPr>
      </w:pPr>
    </w:p>
    <w:p w14:paraId="16DC939B" w14:textId="77777777" w:rsidR="003E256E" w:rsidRPr="00931D46" w:rsidRDefault="003E256E" w:rsidP="0023353F">
      <w:pPr>
        <w:pStyle w:val="Prrafodelista"/>
        <w:numPr>
          <w:ilvl w:val="0"/>
          <w:numId w:val="2"/>
        </w:numPr>
        <w:spacing w:before="0" w:after="0"/>
        <w:ind w:left="709" w:hanging="567"/>
        <w:contextualSpacing w:val="0"/>
        <w:rPr>
          <w:rFonts w:ascii="Arial" w:hAnsi="Arial" w:cs="Arial"/>
        </w:rPr>
      </w:pPr>
      <w:r w:rsidRPr="00931D46">
        <w:rPr>
          <w:rFonts w:ascii="Arial" w:hAnsi="Arial" w:cs="Arial"/>
        </w:rPr>
        <w:t xml:space="preserve">Análisis de PMR (Artículo 54). Para determinar si una práctica analizada constituye una PMR, se analiza su objeto o efecto en el MR o en algún </w:t>
      </w:r>
      <w:r w:rsidRPr="00931D46">
        <w:rPr>
          <w:rFonts w:ascii="Arial" w:hAnsi="Arial" w:cs="Arial"/>
          <w:b/>
        </w:rPr>
        <w:t>mercado relacionado</w:t>
      </w:r>
      <w:r w:rsidRPr="00931D46">
        <w:rPr>
          <w:rFonts w:ascii="Arial" w:hAnsi="Arial" w:cs="Arial"/>
        </w:rPr>
        <w:t>.</w:t>
      </w:r>
    </w:p>
    <w:p w14:paraId="2717633F" w14:textId="77777777" w:rsidR="003E256E" w:rsidRPr="00931D46" w:rsidRDefault="003E256E" w:rsidP="0023353F">
      <w:pPr>
        <w:pStyle w:val="Prrafodelista"/>
        <w:numPr>
          <w:ilvl w:val="0"/>
          <w:numId w:val="2"/>
        </w:numPr>
        <w:spacing w:before="0" w:after="0"/>
        <w:ind w:left="709" w:hanging="567"/>
        <w:contextualSpacing w:val="0"/>
        <w:rPr>
          <w:rFonts w:ascii="Arial" w:hAnsi="Arial" w:cs="Arial"/>
        </w:rPr>
      </w:pPr>
      <w:r w:rsidRPr="00931D46">
        <w:rPr>
          <w:rFonts w:ascii="Arial" w:hAnsi="Arial" w:cs="Arial"/>
        </w:rPr>
        <w:t>Análisis de concentraciones.</w:t>
      </w:r>
    </w:p>
    <w:p w14:paraId="47473BBB" w14:textId="77777777" w:rsidR="003E256E" w:rsidRPr="00931D46" w:rsidRDefault="003E256E" w:rsidP="0023353F">
      <w:pPr>
        <w:pStyle w:val="Prrafodelista"/>
        <w:numPr>
          <w:ilvl w:val="1"/>
          <w:numId w:val="2"/>
        </w:numPr>
        <w:spacing w:before="0" w:after="0"/>
        <w:ind w:left="1276"/>
        <w:contextualSpacing w:val="0"/>
        <w:rPr>
          <w:rFonts w:ascii="Arial" w:hAnsi="Arial" w:cs="Arial"/>
        </w:rPr>
      </w:pPr>
      <w:r w:rsidRPr="00931D46">
        <w:rPr>
          <w:rFonts w:ascii="Arial" w:hAnsi="Arial" w:cs="Arial"/>
        </w:rPr>
        <w:t>Artículo 63, para determinar si una concentración no debe ser autorizada</w:t>
      </w:r>
      <w:r w:rsidR="00BB7BEF" w:rsidRPr="00931D46">
        <w:rPr>
          <w:rFonts w:ascii="Arial" w:hAnsi="Arial" w:cs="Arial"/>
        </w:rPr>
        <w:t xml:space="preserve"> o debe ser sancionada</w:t>
      </w:r>
      <w:r w:rsidRPr="00931D46">
        <w:rPr>
          <w:rFonts w:ascii="Arial" w:hAnsi="Arial" w:cs="Arial"/>
        </w:rPr>
        <w:t xml:space="preserve">, se consideran, entre otros, sus efectos en el MR y en </w:t>
      </w:r>
      <w:r w:rsidRPr="00931D46">
        <w:rPr>
          <w:rFonts w:ascii="Arial" w:hAnsi="Arial" w:cs="Arial"/>
          <w:b/>
        </w:rPr>
        <w:t>mercados relacionados</w:t>
      </w:r>
      <w:r w:rsidRPr="00931D46">
        <w:rPr>
          <w:rFonts w:ascii="Arial" w:hAnsi="Arial" w:cs="Arial"/>
        </w:rPr>
        <w:t xml:space="preserve">, así como la participación cruzada entre AE siempre que éstos participen en el MR o en </w:t>
      </w:r>
      <w:r w:rsidRPr="00931D46">
        <w:rPr>
          <w:rFonts w:ascii="Arial" w:hAnsi="Arial" w:cs="Arial"/>
          <w:b/>
        </w:rPr>
        <w:t>mercados relacionados</w:t>
      </w:r>
      <w:r w:rsidRPr="00931D46">
        <w:rPr>
          <w:rFonts w:ascii="Arial" w:hAnsi="Arial" w:cs="Arial"/>
        </w:rPr>
        <w:t xml:space="preserve">. </w:t>
      </w:r>
    </w:p>
    <w:p w14:paraId="12CB5897" w14:textId="77777777" w:rsidR="003E256E" w:rsidRPr="00931D46" w:rsidRDefault="003E256E" w:rsidP="0023353F">
      <w:pPr>
        <w:pStyle w:val="Prrafodelista"/>
        <w:numPr>
          <w:ilvl w:val="1"/>
          <w:numId w:val="2"/>
        </w:numPr>
        <w:spacing w:before="0" w:after="0"/>
        <w:ind w:left="1276"/>
        <w:contextualSpacing w:val="0"/>
        <w:rPr>
          <w:rFonts w:ascii="Arial" w:hAnsi="Arial" w:cs="Arial"/>
        </w:rPr>
      </w:pPr>
      <w:r w:rsidRPr="00931D46">
        <w:rPr>
          <w:rFonts w:ascii="Arial" w:hAnsi="Arial" w:cs="Arial"/>
        </w:rPr>
        <w:t xml:space="preserve">Artículo 64, para determinar si una concentración es ilícita, un indicio consiste en que ésta pueda tener por objeto o efecto establecer barreras a la entrada o impedir a terceros el acceso al MR o </w:t>
      </w:r>
      <w:r w:rsidR="00BB7BEF" w:rsidRPr="00931D46">
        <w:rPr>
          <w:rFonts w:ascii="Arial" w:hAnsi="Arial" w:cs="Arial"/>
        </w:rPr>
        <w:t xml:space="preserve">a </w:t>
      </w:r>
      <w:r w:rsidRPr="00931D46">
        <w:rPr>
          <w:rFonts w:ascii="Arial" w:hAnsi="Arial" w:cs="Arial"/>
          <w:b/>
        </w:rPr>
        <w:t>mercados relacionados</w:t>
      </w:r>
      <w:r w:rsidRPr="00931D46">
        <w:rPr>
          <w:rFonts w:ascii="Arial" w:hAnsi="Arial" w:cs="Arial"/>
        </w:rPr>
        <w:t xml:space="preserve">; </w:t>
      </w:r>
    </w:p>
    <w:p w14:paraId="1E1262AA" w14:textId="77777777" w:rsidR="003E256E" w:rsidRPr="00931D46" w:rsidRDefault="003E256E" w:rsidP="0023353F">
      <w:pPr>
        <w:pStyle w:val="Prrafodelista"/>
        <w:numPr>
          <w:ilvl w:val="1"/>
          <w:numId w:val="2"/>
        </w:numPr>
        <w:spacing w:before="0" w:after="0"/>
        <w:ind w:left="1276"/>
        <w:contextualSpacing w:val="0"/>
        <w:rPr>
          <w:rFonts w:ascii="Arial" w:hAnsi="Arial" w:cs="Arial"/>
        </w:rPr>
      </w:pPr>
      <w:r w:rsidRPr="00931D46">
        <w:rPr>
          <w:rFonts w:ascii="Arial" w:hAnsi="Arial" w:cs="Arial"/>
        </w:rPr>
        <w:t xml:space="preserve">Artículo 92, establece que es notorio que una concentración no tendrá como objeto o efecto disminuir, dañar o impedir la libre concurrencia y la competencia económica, cuando, entre otras, el adquiriente no participe en </w:t>
      </w:r>
      <w:r w:rsidRPr="00931D46">
        <w:rPr>
          <w:rFonts w:ascii="Arial" w:hAnsi="Arial" w:cs="Arial"/>
          <w:b/>
        </w:rPr>
        <w:t>mercados relacionados</w:t>
      </w:r>
      <w:r w:rsidRPr="00931D46">
        <w:rPr>
          <w:rFonts w:ascii="Arial" w:hAnsi="Arial" w:cs="Arial"/>
        </w:rPr>
        <w:t xml:space="preserve"> al MR en el que ocurra la concentración.</w:t>
      </w:r>
    </w:p>
    <w:p w14:paraId="425FC403" w14:textId="77777777" w:rsidR="003E256E" w:rsidRPr="00931D46" w:rsidRDefault="003E256E" w:rsidP="0023353F">
      <w:pPr>
        <w:spacing w:before="0" w:after="0"/>
        <w:rPr>
          <w:rFonts w:ascii="Arial" w:hAnsi="Arial" w:cs="Arial"/>
        </w:rPr>
      </w:pPr>
    </w:p>
    <w:p w14:paraId="6EEF8007" w14:textId="77777777" w:rsidR="003E256E" w:rsidRPr="00931D46" w:rsidRDefault="00F36111" w:rsidP="0023353F">
      <w:pPr>
        <w:spacing w:before="0" w:after="0"/>
        <w:rPr>
          <w:rFonts w:ascii="Arial" w:hAnsi="Arial" w:cs="Arial"/>
        </w:rPr>
      </w:pPr>
      <w:r w:rsidRPr="00931D46">
        <w:rPr>
          <w:rFonts w:ascii="Arial" w:hAnsi="Arial" w:cs="Arial"/>
        </w:rPr>
        <w:t>Por su parte</w:t>
      </w:r>
      <w:r w:rsidR="003E256E" w:rsidRPr="00931D46">
        <w:rPr>
          <w:rFonts w:ascii="Arial" w:hAnsi="Arial" w:cs="Arial"/>
        </w:rPr>
        <w:t>, para el análisis de concentraciones, los artículos 7 y 8 del Criterio Técnico establecen que:</w:t>
      </w:r>
    </w:p>
    <w:p w14:paraId="750F7DAF" w14:textId="77777777" w:rsidR="003E256E" w:rsidRPr="00931D46" w:rsidRDefault="003E256E" w:rsidP="0023353F">
      <w:pPr>
        <w:pStyle w:val="Cita"/>
      </w:pPr>
    </w:p>
    <w:p w14:paraId="6E558733" w14:textId="77777777" w:rsidR="003E256E" w:rsidRPr="00931D46" w:rsidRDefault="003E256E" w:rsidP="0023353F">
      <w:pPr>
        <w:spacing w:before="0" w:after="0"/>
        <w:ind w:left="709"/>
        <w:rPr>
          <w:rFonts w:ascii="Arial" w:hAnsi="Arial" w:cs="Arial"/>
          <w:i/>
          <w:sz w:val="20"/>
        </w:rPr>
      </w:pPr>
      <w:r w:rsidRPr="00931D46">
        <w:rPr>
          <w:rFonts w:ascii="Arial" w:hAnsi="Arial" w:cs="Arial"/>
          <w:i/>
          <w:sz w:val="20"/>
        </w:rPr>
        <w:t xml:space="preserve">“Artículo 7. […] el Instituto podrá considerar que existen potenciales riesgos de que ésta </w:t>
      </w:r>
      <w:r w:rsidRPr="00931D46">
        <w:rPr>
          <w:rFonts w:ascii="Arial" w:hAnsi="Arial" w:cs="Arial"/>
          <w:sz w:val="20"/>
        </w:rPr>
        <w:t>[concentración]</w:t>
      </w:r>
      <w:r w:rsidRPr="00931D46">
        <w:rPr>
          <w:rFonts w:ascii="Arial" w:hAnsi="Arial" w:cs="Arial"/>
          <w:i/>
          <w:sz w:val="20"/>
        </w:rPr>
        <w:t xml:space="preserve"> tiene por objeto o efecto obstaculizar, disminuir, dañar o impedir la competencia y la libre concurrencia, si sucede una o varias de las siguientes circunstancias:</w:t>
      </w:r>
    </w:p>
    <w:p w14:paraId="6230ADA1" w14:textId="77777777" w:rsidR="003E256E" w:rsidRPr="00931D46" w:rsidRDefault="003E256E" w:rsidP="0023353F">
      <w:pPr>
        <w:spacing w:before="0" w:after="0"/>
        <w:ind w:left="709"/>
        <w:rPr>
          <w:rFonts w:ascii="Arial" w:hAnsi="Arial" w:cs="Arial"/>
          <w:i/>
          <w:sz w:val="20"/>
        </w:rPr>
      </w:pPr>
      <w:r w:rsidRPr="00931D46">
        <w:rPr>
          <w:rFonts w:ascii="Arial" w:hAnsi="Arial" w:cs="Arial"/>
          <w:i/>
          <w:sz w:val="20"/>
        </w:rPr>
        <w:t xml:space="preserve">Los agentes económicos involucrados en la concentración tengan o puedan llegar a adquirir poder sustancial en </w:t>
      </w:r>
      <w:r w:rsidRPr="00931D46">
        <w:rPr>
          <w:rFonts w:ascii="Arial" w:hAnsi="Arial" w:cs="Arial"/>
          <w:b/>
          <w:i/>
          <w:sz w:val="20"/>
        </w:rPr>
        <w:t>mercados relacionados</w:t>
      </w:r>
      <w:r w:rsidRPr="00931D46">
        <w:rPr>
          <w:rFonts w:ascii="Arial" w:hAnsi="Arial" w:cs="Arial"/>
          <w:i/>
          <w:sz w:val="20"/>
        </w:rPr>
        <w:t>; […]</w:t>
      </w:r>
    </w:p>
    <w:p w14:paraId="0081EE4E" w14:textId="77777777" w:rsidR="003E256E" w:rsidRPr="00931D46" w:rsidRDefault="003E256E" w:rsidP="0023353F">
      <w:pPr>
        <w:spacing w:before="0" w:after="0"/>
        <w:ind w:left="709"/>
        <w:rPr>
          <w:rFonts w:ascii="Arial" w:hAnsi="Arial" w:cs="Arial"/>
          <w:i/>
          <w:sz w:val="20"/>
        </w:rPr>
      </w:pPr>
      <w:r w:rsidRPr="00931D46">
        <w:rPr>
          <w:rFonts w:ascii="Arial" w:hAnsi="Arial" w:cs="Arial"/>
          <w:i/>
          <w:sz w:val="20"/>
        </w:rPr>
        <w:t xml:space="preserve">La concentración pueda generar incentivos o facilitar la coordinación entre los agentes económicos que participen en el mercado analizado o </w:t>
      </w:r>
      <w:r w:rsidRPr="00931D46">
        <w:rPr>
          <w:rFonts w:ascii="Arial" w:hAnsi="Arial" w:cs="Arial"/>
          <w:b/>
          <w:i/>
          <w:sz w:val="20"/>
        </w:rPr>
        <w:t>mercados relacionados</w:t>
      </w:r>
      <w:r w:rsidRPr="00931D46">
        <w:rPr>
          <w:rFonts w:ascii="Arial" w:hAnsi="Arial" w:cs="Arial"/>
          <w:i/>
          <w:sz w:val="20"/>
        </w:rPr>
        <w:t>;</w:t>
      </w:r>
    </w:p>
    <w:p w14:paraId="139FE0A2" w14:textId="77777777" w:rsidR="003E256E" w:rsidRPr="00931D46" w:rsidRDefault="003E256E" w:rsidP="0023353F">
      <w:pPr>
        <w:spacing w:before="0" w:after="0"/>
        <w:ind w:left="709"/>
        <w:rPr>
          <w:rFonts w:ascii="Arial" w:hAnsi="Arial" w:cs="Arial"/>
          <w:i/>
          <w:sz w:val="20"/>
        </w:rPr>
      </w:pPr>
      <w:r w:rsidRPr="00931D46">
        <w:rPr>
          <w:rFonts w:ascii="Arial" w:hAnsi="Arial" w:cs="Arial"/>
          <w:i/>
          <w:sz w:val="20"/>
        </w:rPr>
        <w:t xml:space="preserve">Artículo 8. […] El Instituto también podrá utilizar el índice de concentración [IHH] como un indicador del grado de concentración en </w:t>
      </w:r>
      <w:r w:rsidRPr="00931D46">
        <w:rPr>
          <w:rFonts w:ascii="Arial" w:hAnsi="Arial" w:cs="Arial"/>
          <w:b/>
          <w:i/>
          <w:sz w:val="20"/>
        </w:rPr>
        <w:t>mercados relacionados</w:t>
      </w:r>
      <w:r w:rsidRPr="00931D46">
        <w:rPr>
          <w:rFonts w:ascii="Arial" w:hAnsi="Arial" w:cs="Arial"/>
          <w:i/>
          <w:sz w:val="20"/>
        </w:rPr>
        <w:t xml:space="preserve">.” </w:t>
      </w:r>
      <w:r w:rsidRPr="00931D46">
        <w:rPr>
          <w:rFonts w:ascii="Arial" w:hAnsi="Arial" w:cs="Arial"/>
          <w:sz w:val="20"/>
        </w:rPr>
        <w:t>[Énfasis añadido]</w:t>
      </w:r>
    </w:p>
    <w:p w14:paraId="77796677" w14:textId="77777777" w:rsidR="003E256E" w:rsidRPr="00931D46" w:rsidRDefault="003E256E" w:rsidP="0023353F">
      <w:pPr>
        <w:spacing w:before="0" w:after="0"/>
        <w:rPr>
          <w:rFonts w:ascii="Arial" w:hAnsi="Arial" w:cs="Arial"/>
        </w:rPr>
      </w:pPr>
    </w:p>
    <w:p w14:paraId="075CD0BE" w14:textId="10036201" w:rsidR="003E256E" w:rsidRPr="00931D46" w:rsidRDefault="003E256E" w:rsidP="0023353F">
      <w:pPr>
        <w:spacing w:before="0" w:after="0"/>
        <w:rPr>
          <w:rFonts w:ascii="Arial" w:hAnsi="Arial" w:cs="Arial"/>
        </w:rPr>
      </w:pPr>
      <w:r w:rsidRPr="00931D46">
        <w:rPr>
          <w:rFonts w:ascii="Arial" w:hAnsi="Arial" w:cs="Arial"/>
        </w:rPr>
        <w:t>Para estos efectos, el artículo 6 de las DRLFCE establece una definición de mercado relacionado y ciertos criterios que podrá considerar el Instituto para su determinación</w:t>
      </w:r>
      <w:r w:rsidR="00DC72A8">
        <w:rPr>
          <w:rFonts w:ascii="Arial" w:hAnsi="Arial" w:cs="Arial"/>
        </w:rPr>
        <w:t>:</w:t>
      </w:r>
    </w:p>
    <w:p w14:paraId="0EC0BB4E" w14:textId="77777777" w:rsidR="003E256E" w:rsidRPr="00931D46" w:rsidRDefault="003E256E" w:rsidP="0023353F">
      <w:pPr>
        <w:pStyle w:val="Cita"/>
      </w:pPr>
    </w:p>
    <w:p w14:paraId="12DE4E3E" w14:textId="77777777" w:rsidR="003E256E" w:rsidRPr="00931D46" w:rsidRDefault="003E256E" w:rsidP="0023353F">
      <w:pPr>
        <w:pStyle w:val="Cita"/>
      </w:pPr>
      <w:r w:rsidRPr="00931D46">
        <w:t xml:space="preserve">“Artículo 6. </w:t>
      </w:r>
      <w:r w:rsidRPr="00931D46">
        <w:rPr>
          <w:b/>
        </w:rPr>
        <w:t>Son mercados relacionados aquellos que involucran bienes, servicios o áreas geográficas distintas a las que forman parte del mercado relevante</w:t>
      </w:r>
      <w:r w:rsidRPr="00931D46">
        <w:t>, pero que inciden en o son influidos por las condiciones de competencia y libre concurrencia imperantes en el mismo.</w:t>
      </w:r>
    </w:p>
    <w:p w14:paraId="756C6F1F" w14:textId="77777777" w:rsidR="003E256E" w:rsidRPr="00931D46" w:rsidRDefault="003E256E" w:rsidP="0023353F">
      <w:pPr>
        <w:pStyle w:val="Cita"/>
        <w:rPr>
          <w:i w:val="0"/>
        </w:rPr>
      </w:pPr>
      <w:r w:rsidRPr="00931D46">
        <w:t xml:space="preserve">Para determinar los mercados relacionados </w:t>
      </w:r>
      <w:r w:rsidRPr="00931D46">
        <w:rPr>
          <w:b/>
        </w:rPr>
        <w:t>podrán considerarse los bienes o servicios que sean insumos en la cadena de producción, distribución o comercialización; los que sean bienes o servicios complementarios</w:t>
      </w:r>
      <w:r w:rsidRPr="00931D46">
        <w:t xml:space="preserve"> y, en general, aquellas actividades económicas que incidan o influyan en las condiciones de competencia y libre concurrencia del mercado relevante, o viceversa.” </w:t>
      </w:r>
      <w:r w:rsidRPr="00931D46">
        <w:rPr>
          <w:i w:val="0"/>
        </w:rPr>
        <w:t>[Énfasis añadido]</w:t>
      </w:r>
    </w:p>
    <w:p w14:paraId="5BEFE6DB" w14:textId="77777777" w:rsidR="00F36111" w:rsidRPr="00931D46" w:rsidRDefault="00F36111" w:rsidP="00F814F0">
      <w:pPr>
        <w:spacing w:before="0" w:after="0"/>
        <w:rPr>
          <w:rFonts w:ascii="Arial" w:hAnsi="Arial" w:cs="Arial"/>
        </w:rPr>
      </w:pPr>
    </w:p>
    <w:p w14:paraId="1D783D4C" w14:textId="77777777" w:rsidR="00F814F0" w:rsidRPr="00931D46" w:rsidRDefault="00FB0463" w:rsidP="00F814F0">
      <w:pPr>
        <w:spacing w:before="0" w:after="0"/>
        <w:rPr>
          <w:rFonts w:ascii="Arial" w:hAnsi="Arial" w:cs="Arial"/>
        </w:rPr>
      </w:pPr>
      <w:r w:rsidRPr="00931D46">
        <w:rPr>
          <w:rFonts w:ascii="Arial" w:hAnsi="Arial" w:cs="Arial"/>
        </w:rPr>
        <w:t>De acuerdo con lo anterior, e</w:t>
      </w:r>
      <w:r w:rsidR="00F814F0" w:rsidRPr="00931D46">
        <w:rPr>
          <w:rFonts w:ascii="Arial" w:hAnsi="Arial" w:cs="Arial"/>
        </w:rPr>
        <w:t xml:space="preserve">n términos generales, los mercados relacionados son aquellos que i) son distintos </w:t>
      </w:r>
      <w:r w:rsidRPr="00931D46">
        <w:rPr>
          <w:rFonts w:ascii="Arial" w:hAnsi="Arial" w:cs="Arial"/>
        </w:rPr>
        <w:t xml:space="preserve">al </w:t>
      </w:r>
      <w:r w:rsidR="00F814F0" w:rsidRPr="00931D46">
        <w:rPr>
          <w:rFonts w:ascii="Arial" w:hAnsi="Arial" w:cs="Arial"/>
        </w:rPr>
        <w:t xml:space="preserve">MR y ii) se encuentran vinculados con </w:t>
      </w:r>
      <w:r w:rsidRPr="00931D46">
        <w:rPr>
          <w:rFonts w:ascii="Arial" w:hAnsi="Arial" w:cs="Arial"/>
        </w:rPr>
        <w:t>el (</w:t>
      </w:r>
      <w:r w:rsidR="00F814F0" w:rsidRPr="00931D46">
        <w:rPr>
          <w:rFonts w:ascii="Arial" w:hAnsi="Arial" w:cs="Arial"/>
        </w:rPr>
        <w:t>los</w:t>
      </w:r>
      <w:r w:rsidRPr="00931D46">
        <w:rPr>
          <w:rFonts w:ascii="Arial" w:hAnsi="Arial" w:cs="Arial"/>
        </w:rPr>
        <w:t>)</w:t>
      </w:r>
      <w:r w:rsidR="00F814F0" w:rsidRPr="00931D46">
        <w:rPr>
          <w:rFonts w:ascii="Arial" w:hAnsi="Arial" w:cs="Arial"/>
        </w:rPr>
        <w:t xml:space="preserve"> MR de tal manera que es necesario considerarlos para llevar a cabo una evaluación integral de </w:t>
      </w:r>
      <w:r w:rsidR="00C2356A" w:rsidRPr="00931D46">
        <w:rPr>
          <w:rFonts w:ascii="Arial" w:hAnsi="Arial" w:cs="Arial"/>
        </w:rPr>
        <w:t xml:space="preserve">los </w:t>
      </w:r>
      <w:r w:rsidRPr="00931D46">
        <w:rPr>
          <w:rFonts w:ascii="Arial" w:hAnsi="Arial" w:cs="Arial"/>
        </w:rPr>
        <w:t>efectos</w:t>
      </w:r>
      <w:r w:rsidR="00F814F0" w:rsidRPr="00931D46">
        <w:rPr>
          <w:rFonts w:ascii="Arial" w:hAnsi="Arial" w:cs="Arial"/>
        </w:rPr>
        <w:t xml:space="preserve"> </w:t>
      </w:r>
      <w:r w:rsidRPr="00931D46">
        <w:rPr>
          <w:rFonts w:ascii="Arial" w:hAnsi="Arial" w:cs="Arial"/>
        </w:rPr>
        <w:t>en materia</w:t>
      </w:r>
      <w:r w:rsidR="00F814F0" w:rsidRPr="00931D46">
        <w:rPr>
          <w:rFonts w:ascii="Arial" w:hAnsi="Arial" w:cs="Arial"/>
        </w:rPr>
        <w:t xml:space="preserve"> de competencia</w:t>
      </w:r>
      <w:r w:rsidR="00C2356A" w:rsidRPr="00931D46">
        <w:rPr>
          <w:rFonts w:ascii="Arial" w:hAnsi="Arial" w:cs="Arial"/>
        </w:rPr>
        <w:t xml:space="preserve"> de la práctica u operación analizada</w:t>
      </w:r>
      <w:r w:rsidRPr="00931D46">
        <w:rPr>
          <w:rFonts w:ascii="Arial" w:hAnsi="Arial" w:cs="Arial"/>
        </w:rPr>
        <w:t>.</w:t>
      </w:r>
      <w:r w:rsidRPr="00931D46" w:rsidDel="00FB0463">
        <w:rPr>
          <w:rFonts w:ascii="Arial" w:hAnsi="Arial" w:cs="Arial"/>
        </w:rPr>
        <w:t xml:space="preserve"> </w:t>
      </w:r>
    </w:p>
    <w:p w14:paraId="28D44901" w14:textId="77777777" w:rsidR="003E256E" w:rsidRPr="00931D46" w:rsidRDefault="003E256E" w:rsidP="0023353F">
      <w:pPr>
        <w:spacing w:before="0" w:after="0"/>
        <w:rPr>
          <w:rFonts w:ascii="Arial" w:hAnsi="Arial" w:cs="Arial"/>
        </w:rPr>
      </w:pPr>
    </w:p>
    <w:p w14:paraId="73016E45" w14:textId="77777777" w:rsidR="003E256E" w:rsidRPr="00931D46" w:rsidRDefault="003E256E" w:rsidP="0023353F">
      <w:pPr>
        <w:pStyle w:val="Ttulo2"/>
        <w:keepLines w:val="0"/>
        <w:numPr>
          <w:ilvl w:val="1"/>
          <w:numId w:val="3"/>
        </w:numPr>
        <w:spacing w:before="0" w:after="0"/>
        <w:rPr>
          <w:rFonts w:ascii="Arial" w:eastAsia="Times New Roman" w:hAnsi="Arial" w:cs="Arial"/>
          <w:sz w:val="26"/>
          <w:lang w:eastAsia="es-MX"/>
        </w:rPr>
      </w:pPr>
      <w:bookmarkStart w:id="197" w:name="_Toc38377304"/>
      <w:bookmarkStart w:id="198" w:name="_Toc41649753"/>
      <w:bookmarkStart w:id="199" w:name="_Toc41649894"/>
      <w:bookmarkStart w:id="200" w:name="_Toc42534263"/>
      <w:bookmarkStart w:id="201" w:name="_Toc45216582"/>
      <w:bookmarkStart w:id="202" w:name="_Toc45628343"/>
      <w:bookmarkStart w:id="203" w:name="_Toc74306781"/>
      <w:bookmarkStart w:id="204" w:name="_Toc74323837"/>
      <w:r w:rsidRPr="00931D46">
        <w:rPr>
          <w:rFonts w:ascii="Arial" w:eastAsia="Times New Roman" w:hAnsi="Arial" w:cs="Arial"/>
          <w:sz w:val="26"/>
          <w:lang w:eastAsia="es-MX"/>
        </w:rPr>
        <w:t>Precedentes decisorios del Instituto</w:t>
      </w:r>
      <w:bookmarkEnd w:id="197"/>
      <w:bookmarkEnd w:id="198"/>
      <w:bookmarkEnd w:id="199"/>
      <w:bookmarkEnd w:id="200"/>
      <w:bookmarkEnd w:id="201"/>
      <w:bookmarkEnd w:id="202"/>
      <w:bookmarkEnd w:id="203"/>
      <w:bookmarkEnd w:id="204"/>
    </w:p>
    <w:p w14:paraId="18F05524" w14:textId="77777777" w:rsidR="003E256E" w:rsidRPr="00931D46" w:rsidRDefault="003E256E" w:rsidP="0023353F">
      <w:pPr>
        <w:keepNext/>
        <w:spacing w:before="0" w:after="0"/>
        <w:rPr>
          <w:rFonts w:ascii="Arial" w:hAnsi="Arial" w:cs="Arial"/>
        </w:rPr>
      </w:pPr>
    </w:p>
    <w:p w14:paraId="55688B3D"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205" w:name="_Toc41649754"/>
      <w:bookmarkStart w:id="206" w:name="_Toc41649895"/>
      <w:bookmarkStart w:id="207" w:name="_Toc45628344"/>
      <w:r w:rsidRPr="00931D46">
        <w:rPr>
          <w:rFonts w:ascii="Arial" w:eastAsia="Times New Roman" w:hAnsi="Arial" w:cs="Arial"/>
          <w:b/>
          <w:color w:val="auto"/>
          <w:sz w:val="26"/>
          <w:szCs w:val="26"/>
          <w:lang w:val="en-US" w:eastAsia="es-MX"/>
        </w:rPr>
        <w:t>AT&amp;T / Time Warner</w:t>
      </w:r>
      <w:r w:rsidRPr="00931D46">
        <w:rPr>
          <w:rFonts w:ascii="Arial" w:eastAsia="Times New Roman" w:hAnsi="Arial" w:cs="Arial"/>
          <w:b/>
          <w:color w:val="auto"/>
          <w:sz w:val="26"/>
          <w:szCs w:val="26"/>
          <w:vertAlign w:val="superscript"/>
          <w:lang w:eastAsia="es-MX"/>
        </w:rPr>
        <w:footnoteReference w:id="184"/>
      </w:r>
      <w:bookmarkEnd w:id="205"/>
      <w:bookmarkEnd w:id="206"/>
      <w:bookmarkEnd w:id="207"/>
    </w:p>
    <w:p w14:paraId="26B27CC7" w14:textId="77777777" w:rsidR="003E256E" w:rsidRPr="00931D46" w:rsidRDefault="003E256E" w:rsidP="0023353F">
      <w:pPr>
        <w:keepNext/>
        <w:spacing w:before="0" w:after="0"/>
        <w:rPr>
          <w:rFonts w:ascii="Arial" w:hAnsi="Arial" w:cs="Arial"/>
          <w:lang w:val="en-US"/>
        </w:rPr>
      </w:pPr>
    </w:p>
    <w:p w14:paraId="28699B10" w14:textId="77777777" w:rsidR="003E256E" w:rsidRPr="00931D46" w:rsidRDefault="003E256E" w:rsidP="0023353F">
      <w:pPr>
        <w:spacing w:before="0" w:after="0"/>
        <w:rPr>
          <w:rFonts w:ascii="Arial" w:hAnsi="Arial" w:cs="Arial"/>
        </w:rPr>
      </w:pPr>
      <w:r w:rsidRPr="00931D46">
        <w:rPr>
          <w:rFonts w:ascii="Arial" w:hAnsi="Arial" w:cs="Arial"/>
        </w:rPr>
        <w:t xml:space="preserve">En el análisis de </w:t>
      </w:r>
      <w:r w:rsidR="00F36111" w:rsidRPr="00931D46">
        <w:rPr>
          <w:rFonts w:ascii="Arial" w:hAnsi="Arial" w:cs="Arial"/>
        </w:rPr>
        <w:t>esta</w:t>
      </w:r>
      <w:r w:rsidRPr="00931D46">
        <w:rPr>
          <w:rFonts w:ascii="Arial" w:hAnsi="Arial" w:cs="Arial"/>
        </w:rPr>
        <w:t xml:space="preserve"> concentración se identificó que AT&amp;T participaba indirectamente en la provisión del STAR a través de tenencias accionarias en Sky México. Asimismo, se identificó que Time Warner</w:t>
      </w:r>
      <w:r w:rsidR="00B66E56" w:rsidRPr="00931D46">
        <w:rPr>
          <w:rFonts w:ascii="Arial" w:hAnsi="Arial" w:cs="Arial"/>
        </w:rPr>
        <w:t xml:space="preserve"> </w:t>
      </w:r>
      <w:r w:rsidRPr="00931D46">
        <w:rPr>
          <w:rFonts w:ascii="Arial" w:hAnsi="Arial" w:cs="Arial"/>
        </w:rPr>
        <w:t xml:space="preserve">era un proveedor importante de CA para el STAR en México. En este sentido, el Instituto </w:t>
      </w:r>
      <w:r w:rsidR="008B595C" w:rsidRPr="00931D46">
        <w:rPr>
          <w:rFonts w:ascii="Arial" w:hAnsi="Arial" w:cs="Arial"/>
        </w:rPr>
        <w:t>advirti</w:t>
      </w:r>
      <w:r w:rsidRPr="00931D46">
        <w:rPr>
          <w:rFonts w:ascii="Arial" w:hAnsi="Arial" w:cs="Arial"/>
        </w:rPr>
        <w:t xml:space="preserve">ó que AT&amp;T estaría involucrado en distintos eslabones de la cadena de valor de CA </w:t>
      </w:r>
      <w:r w:rsidR="008B595C" w:rsidRPr="00931D46">
        <w:rPr>
          <w:rFonts w:ascii="Arial" w:hAnsi="Arial" w:cs="Arial"/>
        </w:rPr>
        <w:t>que se distribuyen a los usuarios finales a través</w:t>
      </w:r>
      <w:r w:rsidRPr="00931D46">
        <w:rPr>
          <w:rFonts w:ascii="Arial" w:hAnsi="Arial" w:cs="Arial"/>
        </w:rPr>
        <w:t xml:space="preserve"> </w:t>
      </w:r>
      <w:r w:rsidR="008B595C" w:rsidRPr="00931D46">
        <w:rPr>
          <w:rFonts w:ascii="Arial" w:hAnsi="Arial" w:cs="Arial"/>
        </w:rPr>
        <w:t>d</w:t>
      </w:r>
      <w:r w:rsidRPr="00931D46">
        <w:rPr>
          <w:rFonts w:ascii="Arial" w:hAnsi="Arial" w:cs="Arial"/>
        </w:rPr>
        <w:t>el STAR, por lo que la nueva entidad podría influ</w:t>
      </w:r>
      <w:r w:rsidR="008B595C" w:rsidRPr="00931D46">
        <w:rPr>
          <w:rFonts w:ascii="Arial" w:hAnsi="Arial" w:cs="Arial"/>
        </w:rPr>
        <w:t>ir</w:t>
      </w:r>
      <w:r w:rsidRPr="00931D46">
        <w:rPr>
          <w:rFonts w:ascii="Arial" w:hAnsi="Arial" w:cs="Arial"/>
        </w:rPr>
        <w:t xml:space="preserve"> o incidir en el mercado de provisión y licenciamiento de CA para el STAR en México. </w:t>
      </w:r>
    </w:p>
    <w:p w14:paraId="766E7433" w14:textId="77777777" w:rsidR="003E256E" w:rsidRPr="00931D46" w:rsidRDefault="003E256E" w:rsidP="0023353F">
      <w:pPr>
        <w:spacing w:before="0" w:after="0"/>
        <w:rPr>
          <w:rFonts w:ascii="Arial" w:hAnsi="Arial" w:cs="Arial"/>
        </w:rPr>
      </w:pPr>
    </w:p>
    <w:p w14:paraId="066CBBFF" w14:textId="50DFE4B8" w:rsidR="00913FC7" w:rsidRPr="00931D46" w:rsidRDefault="003E256E" w:rsidP="0023353F">
      <w:pPr>
        <w:spacing w:before="0" w:after="0"/>
        <w:rPr>
          <w:rFonts w:ascii="Arial" w:hAnsi="Arial" w:cs="Arial"/>
        </w:rPr>
      </w:pPr>
      <w:r w:rsidRPr="00931D46">
        <w:rPr>
          <w:rFonts w:ascii="Arial" w:hAnsi="Arial" w:cs="Arial"/>
        </w:rPr>
        <w:t>El Instituto</w:t>
      </w:r>
      <w:r w:rsidR="008B595C" w:rsidRPr="00931D46">
        <w:rPr>
          <w:rFonts w:ascii="Arial" w:hAnsi="Arial" w:cs="Arial"/>
        </w:rPr>
        <w:t xml:space="preserve"> </w:t>
      </w:r>
      <w:r w:rsidR="00FC6C73" w:rsidRPr="00931D46">
        <w:rPr>
          <w:rFonts w:ascii="Arial" w:hAnsi="Arial" w:cs="Arial"/>
        </w:rPr>
        <w:t>realizó</w:t>
      </w:r>
      <w:r w:rsidR="008B595C" w:rsidRPr="00931D46">
        <w:rPr>
          <w:rFonts w:ascii="Arial" w:hAnsi="Arial" w:cs="Arial"/>
        </w:rPr>
        <w:t xml:space="preserve"> análisis de sustitución por el lado de la oferta y de la demanda</w:t>
      </w:r>
      <w:r w:rsidR="00FC6C73" w:rsidRPr="00931D46">
        <w:rPr>
          <w:rFonts w:ascii="Arial" w:hAnsi="Arial" w:cs="Arial"/>
        </w:rPr>
        <w:t xml:space="preserve"> para determinar </w:t>
      </w:r>
      <w:r w:rsidR="008B595C" w:rsidRPr="00931D46">
        <w:rPr>
          <w:rFonts w:ascii="Arial" w:hAnsi="Arial" w:cs="Arial"/>
        </w:rPr>
        <w:t>tanto el MR</w:t>
      </w:r>
      <w:r w:rsidR="00FC6C73" w:rsidRPr="00931D46">
        <w:rPr>
          <w:rFonts w:ascii="Arial" w:hAnsi="Arial" w:cs="Arial"/>
        </w:rPr>
        <w:t xml:space="preserve"> como el mercado relacionado. En cuanto al MR, concluyó que </w:t>
      </w:r>
      <w:r w:rsidR="008B595C" w:rsidRPr="00931D46">
        <w:rPr>
          <w:rFonts w:ascii="Arial" w:hAnsi="Arial" w:cs="Arial"/>
        </w:rPr>
        <w:t>correspondía a la provisión y licenciamiento de CA a los proveedores del STAR</w:t>
      </w:r>
      <w:r w:rsidR="00A228D3" w:rsidRPr="00931D46">
        <w:rPr>
          <w:rFonts w:ascii="Arial" w:hAnsi="Arial" w:cs="Arial"/>
        </w:rPr>
        <w:t>;</w:t>
      </w:r>
      <w:r w:rsidR="00913FC7" w:rsidRPr="00931D46">
        <w:rPr>
          <w:rFonts w:ascii="Arial" w:hAnsi="Arial" w:cs="Arial"/>
        </w:rPr>
        <w:t xml:space="preserve"> mientras que el </w:t>
      </w:r>
      <w:r w:rsidR="00A228D3" w:rsidRPr="00931D46">
        <w:rPr>
          <w:rFonts w:ascii="Arial" w:hAnsi="Arial" w:cs="Arial"/>
        </w:rPr>
        <w:t xml:space="preserve">mercado relacionado </w:t>
      </w:r>
      <w:r w:rsidR="00913FC7" w:rsidRPr="00931D46">
        <w:rPr>
          <w:rFonts w:ascii="Arial" w:hAnsi="Arial" w:cs="Arial"/>
        </w:rPr>
        <w:t xml:space="preserve">correspondía a la provisión del STAR. Como parte del análisis para determinar el mercado relacionado, </w:t>
      </w:r>
      <w:r w:rsidR="00F644EA" w:rsidRPr="00931D46">
        <w:rPr>
          <w:rFonts w:ascii="Arial" w:hAnsi="Arial" w:cs="Arial"/>
        </w:rPr>
        <w:t xml:space="preserve">se </w:t>
      </w:r>
      <w:r w:rsidR="00913FC7" w:rsidRPr="00931D46">
        <w:rPr>
          <w:rFonts w:ascii="Arial" w:hAnsi="Arial" w:cs="Arial"/>
        </w:rPr>
        <w:t>evaluó</w:t>
      </w:r>
      <w:r w:rsidRPr="00931D46">
        <w:rPr>
          <w:rFonts w:ascii="Arial" w:hAnsi="Arial" w:cs="Arial"/>
        </w:rPr>
        <w:t xml:space="preserve"> la sustitución </w:t>
      </w:r>
      <w:r w:rsidR="00913FC7" w:rsidRPr="00931D46">
        <w:rPr>
          <w:rFonts w:ascii="Arial" w:hAnsi="Arial" w:cs="Arial"/>
        </w:rPr>
        <w:t xml:space="preserve">del STAR </w:t>
      </w:r>
      <w:r w:rsidRPr="00931D46">
        <w:rPr>
          <w:rFonts w:ascii="Arial" w:hAnsi="Arial" w:cs="Arial"/>
        </w:rPr>
        <w:t xml:space="preserve">con distintos servicios, incluyendo </w:t>
      </w:r>
      <w:r w:rsidR="000B5F5F" w:rsidRPr="00931D46">
        <w:rPr>
          <w:rFonts w:ascii="Arial" w:hAnsi="Arial" w:cs="Arial"/>
        </w:rPr>
        <w:t>TV A</w:t>
      </w:r>
      <w:r w:rsidRPr="00931D46">
        <w:rPr>
          <w:rFonts w:ascii="Arial" w:hAnsi="Arial" w:cs="Arial"/>
        </w:rPr>
        <w:t xml:space="preserve">bierta comercial y servicios OTT. </w:t>
      </w:r>
    </w:p>
    <w:p w14:paraId="1474D5AB" w14:textId="77777777" w:rsidR="00913FC7" w:rsidRPr="00931D46" w:rsidRDefault="00913FC7" w:rsidP="0023353F">
      <w:pPr>
        <w:spacing w:before="0" w:after="0"/>
        <w:rPr>
          <w:rFonts w:ascii="Arial" w:hAnsi="Arial" w:cs="Arial"/>
        </w:rPr>
      </w:pPr>
    </w:p>
    <w:p w14:paraId="6135C527" w14:textId="77777777" w:rsidR="003E256E" w:rsidRPr="00931D46" w:rsidRDefault="00B66E56"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08" w:name="_Toc41649755"/>
      <w:bookmarkStart w:id="209" w:name="_Toc41649896"/>
      <w:bookmarkStart w:id="210" w:name="_Toc45628345"/>
      <w:r w:rsidRPr="00931D46">
        <w:rPr>
          <w:rFonts w:ascii="Arial" w:eastAsia="Times New Roman" w:hAnsi="Arial" w:cs="Arial"/>
          <w:b/>
          <w:color w:val="auto"/>
          <w:sz w:val="26"/>
          <w:szCs w:val="26"/>
          <w:lang w:eastAsia="es-MX"/>
        </w:rPr>
        <w:t>Disney</w:t>
      </w:r>
      <w:r w:rsidR="003E256E" w:rsidRPr="00931D46">
        <w:rPr>
          <w:rFonts w:ascii="Arial" w:eastAsia="Times New Roman" w:hAnsi="Arial" w:cs="Arial"/>
          <w:b/>
          <w:color w:val="auto"/>
          <w:sz w:val="26"/>
          <w:szCs w:val="26"/>
          <w:lang w:eastAsia="es-MX"/>
        </w:rPr>
        <w:t xml:space="preserve"> / </w:t>
      </w:r>
      <w:r w:rsidRPr="00931D46">
        <w:rPr>
          <w:rFonts w:ascii="Arial" w:eastAsia="Times New Roman" w:hAnsi="Arial" w:cs="Arial"/>
          <w:b/>
          <w:color w:val="auto"/>
          <w:sz w:val="26"/>
          <w:szCs w:val="26"/>
          <w:lang w:eastAsia="es-MX"/>
        </w:rPr>
        <w:t>Fox</w:t>
      </w:r>
      <w:r w:rsidR="003E256E" w:rsidRPr="00931D46">
        <w:rPr>
          <w:rFonts w:ascii="Arial" w:eastAsia="Times New Roman" w:hAnsi="Arial" w:cs="Arial"/>
          <w:b/>
          <w:color w:val="auto"/>
          <w:sz w:val="26"/>
          <w:szCs w:val="26"/>
          <w:vertAlign w:val="superscript"/>
          <w:lang w:eastAsia="es-MX"/>
        </w:rPr>
        <w:footnoteReference w:id="185"/>
      </w:r>
      <w:bookmarkEnd w:id="208"/>
      <w:bookmarkEnd w:id="209"/>
      <w:bookmarkEnd w:id="210"/>
    </w:p>
    <w:p w14:paraId="66D966AC" w14:textId="77777777" w:rsidR="003E256E" w:rsidRPr="00931D46" w:rsidRDefault="003E256E" w:rsidP="0023353F">
      <w:pPr>
        <w:keepNext/>
        <w:spacing w:before="0" w:after="0"/>
        <w:rPr>
          <w:rFonts w:ascii="Arial" w:hAnsi="Arial" w:cs="Arial"/>
        </w:rPr>
      </w:pPr>
    </w:p>
    <w:p w14:paraId="3D44B7D7" w14:textId="0ED402FD" w:rsidR="003E256E" w:rsidRPr="00931D46" w:rsidRDefault="003E256E" w:rsidP="0023353F">
      <w:pPr>
        <w:spacing w:before="0" w:after="0"/>
        <w:rPr>
          <w:rFonts w:ascii="Arial" w:hAnsi="Arial" w:cs="Arial"/>
        </w:rPr>
      </w:pPr>
      <w:r w:rsidRPr="00931D46">
        <w:rPr>
          <w:rFonts w:ascii="Arial" w:hAnsi="Arial" w:cs="Arial"/>
        </w:rPr>
        <w:t>En</w:t>
      </w:r>
      <w:r w:rsidR="00913FC7" w:rsidRPr="00931D46">
        <w:rPr>
          <w:rFonts w:ascii="Arial" w:hAnsi="Arial" w:cs="Arial"/>
        </w:rPr>
        <w:t xml:space="preserve"> el análisis </w:t>
      </w:r>
      <w:r w:rsidR="00F36111" w:rsidRPr="00931D46">
        <w:rPr>
          <w:rFonts w:ascii="Arial" w:hAnsi="Arial" w:cs="Arial"/>
        </w:rPr>
        <w:t xml:space="preserve">de </w:t>
      </w:r>
      <w:r w:rsidR="00923F2C" w:rsidRPr="00931D46">
        <w:rPr>
          <w:rFonts w:ascii="Arial" w:hAnsi="Arial" w:cs="Arial"/>
        </w:rPr>
        <w:t>esta</w:t>
      </w:r>
      <w:r w:rsidRPr="00931D46">
        <w:rPr>
          <w:rFonts w:ascii="Arial" w:hAnsi="Arial" w:cs="Arial"/>
        </w:rPr>
        <w:t xml:space="preserve"> </w:t>
      </w:r>
      <w:r w:rsidR="00F36111" w:rsidRPr="00931D46">
        <w:rPr>
          <w:rFonts w:ascii="Arial" w:hAnsi="Arial" w:cs="Arial"/>
        </w:rPr>
        <w:t>concentración, el Instituto</w:t>
      </w:r>
      <w:r w:rsidRPr="00931D46">
        <w:rPr>
          <w:rFonts w:ascii="Arial" w:hAnsi="Arial" w:cs="Arial"/>
        </w:rPr>
        <w:t xml:space="preserve"> identificó que ambas partes participaban en la provisión y licenciamiento de CA para </w:t>
      </w:r>
      <w:r w:rsidR="00DC72A8">
        <w:rPr>
          <w:rFonts w:ascii="Arial" w:hAnsi="Arial" w:cs="Arial"/>
        </w:rPr>
        <w:t xml:space="preserve">el </w:t>
      </w:r>
      <w:r w:rsidRPr="00931D46">
        <w:rPr>
          <w:rFonts w:ascii="Arial" w:hAnsi="Arial" w:cs="Arial"/>
        </w:rPr>
        <w:t xml:space="preserve">STAR y </w:t>
      </w:r>
      <w:r w:rsidR="00DC72A8">
        <w:rPr>
          <w:rFonts w:ascii="Arial" w:hAnsi="Arial" w:cs="Arial"/>
        </w:rPr>
        <w:t xml:space="preserve">servicios </w:t>
      </w:r>
      <w:r w:rsidRPr="00931D46">
        <w:rPr>
          <w:rFonts w:ascii="Arial" w:hAnsi="Arial" w:cs="Arial"/>
        </w:rPr>
        <w:t xml:space="preserve">OTT en México; asimismo, identificó que ambos competían en la adquisición de derechos (licencias) para la transmisión de eventos deportivos, nacionales e internacionales. Así, dado que la adquisición de derechos para la transmisión de eventos deportivos, nacionales e internacionales, </w:t>
      </w:r>
      <w:r w:rsidR="00913FC7" w:rsidRPr="00931D46">
        <w:rPr>
          <w:rFonts w:ascii="Arial" w:hAnsi="Arial" w:cs="Arial"/>
        </w:rPr>
        <w:t>es</w:t>
      </w:r>
      <w:r w:rsidRPr="00931D46">
        <w:rPr>
          <w:rFonts w:ascii="Arial" w:hAnsi="Arial" w:cs="Arial"/>
        </w:rPr>
        <w:t xml:space="preserve"> un insumo para la producción de CA deportivos para los proveedores del STAR, el Instituto determinó el mercado relacionado de adquisición de derechos para la transmisión de eventos deportivos en México</w:t>
      </w:r>
      <w:r w:rsidR="00E86191" w:rsidRPr="00931D46">
        <w:rPr>
          <w:rFonts w:ascii="Arial" w:hAnsi="Arial" w:cs="Arial"/>
        </w:rPr>
        <w:t>,</w:t>
      </w:r>
      <w:r w:rsidRPr="00931D46">
        <w:rPr>
          <w:rFonts w:ascii="Arial" w:hAnsi="Arial" w:cs="Arial"/>
        </w:rPr>
        <w:t xml:space="preserve"> en el cual analizó el impacto actual y potencial de la concentración notificada.</w:t>
      </w:r>
    </w:p>
    <w:p w14:paraId="104D8767" w14:textId="77777777" w:rsidR="003E256E" w:rsidRPr="00931D46" w:rsidRDefault="003E256E" w:rsidP="0023353F">
      <w:pPr>
        <w:spacing w:before="0" w:after="0"/>
        <w:rPr>
          <w:rFonts w:ascii="Arial" w:hAnsi="Arial" w:cs="Arial"/>
        </w:rPr>
      </w:pPr>
    </w:p>
    <w:p w14:paraId="09503B29"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11" w:name="_Toc41649756"/>
      <w:bookmarkStart w:id="212" w:name="_Toc41649897"/>
      <w:bookmarkStart w:id="213" w:name="_Toc45628346"/>
      <w:r w:rsidRPr="00931D46">
        <w:rPr>
          <w:rFonts w:ascii="Arial" w:eastAsia="Times New Roman" w:hAnsi="Arial" w:cs="Arial"/>
          <w:b/>
          <w:color w:val="auto"/>
          <w:sz w:val="26"/>
          <w:szCs w:val="26"/>
          <w:lang w:eastAsia="es-MX"/>
        </w:rPr>
        <w:t>GTV / Grupo Multimedios</w:t>
      </w:r>
      <w:r w:rsidRPr="00931D46">
        <w:rPr>
          <w:rFonts w:ascii="Arial" w:hAnsi="Arial" w:cs="Arial"/>
          <w:b/>
          <w:color w:val="auto"/>
          <w:sz w:val="26"/>
          <w:szCs w:val="26"/>
          <w:vertAlign w:val="superscript"/>
        </w:rPr>
        <w:footnoteReference w:id="186"/>
      </w:r>
      <w:bookmarkEnd w:id="211"/>
      <w:bookmarkEnd w:id="212"/>
      <w:bookmarkEnd w:id="213"/>
    </w:p>
    <w:p w14:paraId="65FA44F8" w14:textId="77777777" w:rsidR="003E256E" w:rsidRPr="00931D46" w:rsidRDefault="003E256E" w:rsidP="0023353F">
      <w:pPr>
        <w:keepNext/>
        <w:spacing w:before="0" w:after="0"/>
        <w:rPr>
          <w:rFonts w:ascii="Arial" w:hAnsi="Arial" w:cs="Arial"/>
        </w:rPr>
      </w:pPr>
    </w:p>
    <w:p w14:paraId="4D34DD52" w14:textId="77777777" w:rsidR="003E256E" w:rsidRPr="00931D46" w:rsidRDefault="003E256E" w:rsidP="0023353F">
      <w:pPr>
        <w:spacing w:before="0" w:after="0"/>
        <w:rPr>
          <w:rFonts w:ascii="Arial" w:hAnsi="Arial" w:cs="Arial"/>
        </w:rPr>
      </w:pPr>
      <w:r w:rsidRPr="00931D46">
        <w:rPr>
          <w:rFonts w:ascii="Arial" w:hAnsi="Arial" w:cs="Arial"/>
        </w:rPr>
        <w:t xml:space="preserve">En el análisis de </w:t>
      </w:r>
      <w:r w:rsidR="00CC464F" w:rsidRPr="00931D46">
        <w:rPr>
          <w:rFonts w:ascii="Arial" w:hAnsi="Arial" w:cs="Arial"/>
        </w:rPr>
        <w:t>esta</w:t>
      </w:r>
      <w:r w:rsidRPr="00931D46">
        <w:rPr>
          <w:rFonts w:ascii="Arial" w:hAnsi="Arial" w:cs="Arial"/>
        </w:rPr>
        <w:t xml:space="preserve"> concentración</w:t>
      </w:r>
      <w:r w:rsidR="00F36111" w:rsidRPr="00931D46">
        <w:rPr>
          <w:rFonts w:ascii="Arial" w:hAnsi="Arial" w:cs="Arial"/>
        </w:rPr>
        <w:t>, el Instituto</w:t>
      </w:r>
      <w:r w:rsidRPr="00931D46">
        <w:rPr>
          <w:rFonts w:ascii="Arial" w:hAnsi="Arial" w:cs="Arial"/>
        </w:rPr>
        <w:t xml:space="preserve"> determinó que la operación incidía en el MR de provisión del STAR, </w:t>
      </w:r>
      <w:r w:rsidR="00970DAF" w:rsidRPr="00931D46">
        <w:rPr>
          <w:rFonts w:ascii="Arial" w:hAnsi="Arial" w:cs="Arial"/>
        </w:rPr>
        <w:t>SBAF</w:t>
      </w:r>
      <w:r w:rsidRPr="00931D46">
        <w:rPr>
          <w:rFonts w:ascii="Arial" w:hAnsi="Arial" w:cs="Arial"/>
        </w:rPr>
        <w:t xml:space="preserve"> y </w:t>
      </w:r>
      <w:r w:rsidR="00970DAF" w:rsidRPr="00931D46">
        <w:rPr>
          <w:rFonts w:ascii="Arial" w:hAnsi="Arial" w:cs="Arial"/>
        </w:rPr>
        <w:t>STF</w:t>
      </w:r>
      <w:r w:rsidRPr="00931D46">
        <w:rPr>
          <w:rFonts w:ascii="Arial" w:hAnsi="Arial" w:cs="Arial"/>
        </w:rPr>
        <w:t xml:space="preserve">, en los cuales GTV y Grupo Multimedios tendrían un vínculo en virtud de </w:t>
      </w:r>
      <w:r w:rsidR="00D40AB7" w:rsidRPr="00931D46">
        <w:rPr>
          <w:rFonts w:ascii="Arial" w:hAnsi="Arial" w:cs="Arial"/>
        </w:rPr>
        <w:t>su</w:t>
      </w:r>
      <w:r w:rsidRPr="00931D46">
        <w:rPr>
          <w:rFonts w:ascii="Arial" w:hAnsi="Arial" w:cs="Arial"/>
        </w:rPr>
        <w:t xml:space="preserve"> participación conjunta en CVQ (una filial de GTV). Adicionalmente, se identificó que las partes involucradas competían en el mercado relacionado de provisión de servicios de radiodifusión comercial (</w:t>
      </w:r>
      <w:r w:rsidR="000B5F5F" w:rsidRPr="00931D46">
        <w:rPr>
          <w:rFonts w:ascii="Arial" w:hAnsi="Arial" w:cs="Arial"/>
        </w:rPr>
        <w:t>TV A</w:t>
      </w:r>
      <w:r w:rsidRPr="00931D46">
        <w:rPr>
          <w:rFonts w:ascii="Arial" w:hAnsi="Arial" w:cs="Arial"/>
        </w:rPr>
        <w:t xml:space="preserve">bierta en 7 localidades y </w:t>
      </w:r>
      <w:r w:rsidR="000B5F5F" w:rsidRPr="00931D46">
        <w:rPr>
          <w:rFonts w:ascii="Arial" w:hAnsi="Arial" w:cs="Arial"/>
        </w:rPr>
        <w:t>R</w:t>
      </w:r>
      <w:r w:rsidRPr="00931D46">
        <w:rPr>
          <w:rFonts w:ascii="Arial" w:hAnsi="Arial" w:cs="Arial"/>
        </w:rPr>
        <w:t xml:space="preserve">adio </w:t>
      </w:r>
      <w:r w:rsidR="000B5F5F" w:rsidRPr="00931D46">
        <w:rPr>
          <w:rFonts w:ascii="Arial" w:hAnsi="Arial" w:cs="Arial"/>
        </w:rPr>
        <w:t>S</w:t>
      </w:r>
      <w:r w:rsidRPr="00931D46">
        <w:rPr>
          <w:rFonts w:ascii="Arial" w:hAnsi="Arial" w:cs="Arial"/>
        </w:rPr>
        <w:t>onora en 6 localidades). El Instituto concluyó que el vínculo derivado de la operación podría facilitar el intercambio de información y la coordinación en el mercado relacionado.</w:t>
      </w:r>
    </w:p>
    <w:p w14:paraId="001B7CF7" w14:textId="77777777" w:rsidR="003E256E" w:rsidRPr="00931D46" w:rsidRDefault="003E256E" w:rsidP="0023353F">
      <w:pPr>
        <w:spacing w:before="0" w:after="0"/>
        <w:rPr>
          <w:rFonts w:ascii="Arial" w:hAnsi="Arial" w:cs="Arial"/>
        </w:rPr>
      </w:pPr>
    </w:p>
    <w:p w14:paraId="3995D1F8"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val="en-US" w:eastAsia="es-MX"/>
        </w:rPr>
      </w:pPr>
      <w:bookmarkStart w:id="214" w:name="_Toc41649757"/>
      <w:bookmarkStart w:id="215" w:name="_Toc41649898"/>
      <w:bookmarkStart w:id="216" w:name="_Toc45628347"/>
      <w:r w:rsidRPr="00931D46">
        <w:rPr>
          <w:rFonts w:ascii="Arial" w:eastAsia="Times New Roman" w:hAnsi="Arial" w:cs="Arial"/>
          <w:b/>
          <w:color w:val="auto"/>
          <w:sz w:val="26"/>
          <w:szCs w:val="26"/>
          <w:lang w:val="en-US" w:eastAsia="es-MX"/>
        </w:rPr>
        <w:t>PMR (</w:t>
      </w:r>
      <w:r w:rsidR="009F2211" w:rsidRPr="00931D46">
        <w:rPr>
          <w:rFonts w:ascii="Arial" w:eastAsia="Times New Roman" w:hAnsi="Arial" w:cs="Arial"/>
          <w:b/>
          <w:color w:val="auto"/>
          <w:sz w:val="26"/>
          <w:szCs w:val="26"/>
          <w:lang w:val="en-US" w:eastAsia="es-MX"/>
        </w:rPr>
        <w:t>AMX</w:t>
      </w:r>
      <w:r w:rsidR="006247A6" w:rsidRPr="00931D46">
        <w:rPr>
          <w:rFonts w:ascii="Arial" w:eastAsia="Times New Roman" w:hAnsi="Arial" w:cs="Arial"/>
          <w:b/>
          <w:color w:val="auto"/>
          <w:sz w:val="26"/>
          <w:szCs w:val="26"/>
          <w:lang w:val="en-US" w:eastAsia="es-MX"/>
        </w:rPr>
        <w:t xml:space="preserve"> - E-IFT/UCE/DGIPM/PMR/0006/2013</w:t>
      </w:r>
      <w:r w:rsidRPr="00931D46">
        <w:rPr>
          <w:rFonts w:ascii="Arial" w:eastAsia="Times New Roman" w:hAnsi="Arial" w:cs="Arial"/>
          <w:b/>
          <w:color w:val="auto"/>
          <w:sz w:val="26"/>
          <w:szCs w:val="26"/>
          <w:lang w:val="en-US" w:eastAsia="es-MX"/>
        </w:rPr>
        <w:t>)</w:t>
      </w:r>
      <w:r w:rsidRPr="00931D46">
        <w:rPr>
          <w:rFonts w:ascii="Arial" w:eastAsia="Times New Roman" w:hAnsi="Arial" w:cs="Arial"/>
          <w:b/>
          <w:color w:val="auto"/>
          <w:sz w:val="26"/>
          <w:szCs w:val="26"/>
          <w:vertAlign w:val="superscript"/>
          <w:lang w:val="en-US" w:eastAsia="es-MX"/>
        </w:rPr>
        <w:footnoteReference w:id="187"/>
      </w:r>
      <w:bookmarkEnd w:id="214"/>
      <w:bookmarkEnd w:id="215"/>
      <w:bookmarkEnd w:id="216"/>
    </w:p>
    <w:p w14:paraId="43A4E073" w14:textId="77777777" w:rsidR="003E256E" w:rsidRPr="00931D46" w:rsidRDefault="003E256E" w:rsidP="0023353F">
      <w:pPr>
        <w:keepNext/>
        <w:spacing w:before="0" w:after="0"/>
        <w:rPr>
          <w:rFonts w:ascii="Arial" w:eastAsia="Times New Roman" w:hAnsi="Arial" w:cs="Arial"/>
          <w:b/>
          <w:lang w:val="en-US" w:eastAsia="es-MX"/>
        </w:rPr>
      </w:pPr>
    </w:p>
    <w:p w14:paraId="27437D56" w14:textId="77777777" w:rsidR="003E256E" w:rsidRPr="00931D46" w:rsidRDefault="003E256E" w:rsidP="0023353F">
      <w:pPr>
        <w:spacing w:before="0" w:after="0"/>
        <w:rPr>
          <w:rFonts w:ascii="Arial" w:hAnsi="Arial" w:cs="Arial"/>
        </w:rPr>
      </w:pPr>
      <w:r w:rsidRPr="00931D46">
        <w:rPr>
          <w:rFonts w:ascii="Arial" w:hAnsi="Arial" w:cs="Arial"/>
        </w:rPr>
        <w:t>En el análisis de una</w:t>
      </w:r>
      <w:r w:rsidR="009F2211" w:rsidRPr="00931D46">
        <w:rPr>
          <w:rFonts w:ascii="Arial" w:hAnsi="Arial" w:cs="Arial"/>
        </w:rPr>
        <w:t xml:space="preserve"> PMR imputada a AMX</w:t>
      </w:r>
      <w:r w:rsidRPr="00931D46">
        <w:rPr>
          <w:rFonts w:ascii="Arial" w:hAnsi="Arial" w:cs="Arial"/>
        </w:rPr>
        <w:t xml:space="preserve">, se identificó que el MR era el de venta </w:t>
      </w:r>
      <w:r w:rsidR="00864261" w:rsidRPr="00931D46">
        <w:rPr>
          <w:rFonts w:ascii="Arial" w:hAnsi="Arial" w:cs="Arial"/>
        </w:rPr>
        <w:t xml:space="preserve">mayorista </w:t>
      </w:r>
      <w:r w:rsidRPr="00931D46">
        <w:rPr>
          <w:rFonts w:ascii="Arial" w:hAnsi="Arial" w:cs="Arial"/>
        </w:rPr>
        <w:t xml:space="preserve">de bolsas de tiempo aire </w:t>
      </w:r>
      <w:r w:rsidR="000F7769" w:rsidRPr="00931D46">
        <w:rPr>
          <w:rFonts w:ascii="Arial" w:hAnsi="Arial" w:cs="Arial"/>
        </w:rPr>
        <w:t>que ofrecen los operadores</w:t>
      </w:r>
      <w:r w:rsidRPr="00931D46">
        <w:rPr>
          <w:rFonts w:ascii="Arial" w:hAnsi="Arial" w:cs="Arial"/>
        </w:rPr>
        <w:t xml:space="preserve"> de servicios de telefonía móvil a distribuidores y/o comercializadores. </w:t>
      </w:r>
      <w:r w:rsidR="00864261" w:rsidRPr="00931D46">
        <w:rPr>
          <w:rFonts w:ascii="Arial" w:hAnsi="Arial" w:cs="Arial"/>
        </w:rPr>
        <w:t xml:space="preserve">El mercado relacionado correspondió a los servicios minoristas de venta de tiempo aire en ciertas localidades del país en las que operaba Blue Label México, con quien </w:t>
      </w:r>
      <w:r w:rsidR="00542C6F" w:rsidRPr="00931D46">
        <w:rPr>
          <w:rFonts w:ascii="Arial" w:hAnsi="Arial" w:cs="Arial"/>
        </w:rPr>
        <w:t>AMX</w:t>
      </w:r>
      <w:r w:rsidRPr="00931D46">
        <w:rPr>
          <w:rFonts w:ascii="Arial" w:hAnsi="Arial" w:cs="Arial"/>
        </w:rPr>
        <w:t xml:space="preserve"> desarrolló acuerdos comerciales exclusivos</w:t>
      </w:r>
      <w:r w:rsidR="00AB1491" w:rsidRPr="00931D46">
        <w:rPr>
          <w:rFonts w:ascii="Arial" w:hAnsi="Arial" w:cs="Arial"/>
        </w:rPr>
        <w:t>.</w:t>
      </w:r>
      <w:r w:rsidRPr="00931D46">
        <w:rPr>
          <w:rStyle w:val="Refdenotaalpie"/>
          <w:rFonts w:ascii="Arial" w:hAnsi="Arial" w:cs="Arial"/>
        </w:rPr>
        <w:footnoteReference w:id="188"/>
      </w:r>
      <w:r w:rsidRPr="00931D46">
        <w:rPr>
          <w:rFonts w:ascii="Arial" w:hAnsi="Arial" w:cs="Arial"/>
        </w:rPr>
        <w:t xml:space="preserve"> Estos acuerdos tuvieron como objeto impedir a competidores de </w:t>
      </w:r>
      <w:r w:rsidR="00542C6F" w:rsidRPr="00931D46">
        <w:rPr>
          <w:rFonts w:ascii="Arial" w:hAnsi="Arial" w:cs="Arial"/>
        </w:rPr>
        <w:t>AMX</w:t>
      </w:r>
      <w:r w:rsidRPr="00931D46">
        <w:rPr>
          <w:rFonts w:ascii="Arial" w:hAnsi="Arial" w:cs="Arial"/>
        </w:rPr>
        <w:t xml:space="preserve"> en el MR tener acceso al mercado relacionado de servicios minoristas de venta de tiempo aire.</w:t>
      </w:r>
    </w:p>
    <w:p w14:paraId="632C12BF" w14:textId="77777777" w:rsidR="00864261" w:rsidRPr="00931D46" w:rsidRDefault="00864261" w:rsidP="00864261">
      <w:pPr>
        <w:autoSpaceDE w:val="0"/>
        <w:autoSpaceDN w:val="0"/>
        <w:adjustRightInd w:val="0"/>
        <w:spacing w:before="0" w:after="0" w:line="240" w:lineRule="auto"/>
        <w:jc w:val="left"/>
        <w:rPr>
          <w:rFonts w:ascii="Arial" w:hAnsi="Arial" w:cs="Arial"/>
          <w:sz w:val="23"/>
          <w:szCs w:val="23"/>
        </w:rPr>
      </w:pPr>
    </w:p>
    <w:p w14:paraId="2CD826AB" w14:textId="77777777" w:rsidR="003E256E" w:rsidRPr="00931D46" w:rsidRDefault="003E256E" w:rsidP="0023353F">
      <w:pPr>
        <w:pStyle w:val="Ttulo2"/>
        <w:keepLines w:val="0"/>
        <w:numPr>
          <w:ilvl w:val="1"/>
          <w:numId w:val="3"/>
        </w:numPr>
        <w:spacing w:before="0" w:after="0"/>
        <w:rPr>
          <w:rFonts w:ascii="Arial" w:eastAsia="Times New Roman" w:hAnsi="Arial" w:cs="Arial"/>
          <w:sz w:val="26"/>
          <w:lang w:eastAsia="es-MX"/>
        </w:rPr>
      </w:pPr>
      <w:bookmarkStart w:id="217" w:name="_Toc38377305"/>
      <w:bookmarkStart w:id="218" w:name="_Toc41649758"/>
      <w:bookmarkStart w:id="219" w:name="_Toc41649899"/>
      <w:bookmarkStart w:id="220" w:name="_Toc42534264"/>
      <w:bookmarkStart w:id="221" w:name="_Toc45216583"/>
      <w:bookmarkStart w:id="222" w:name="_Toc45628348"/>
      <w:bookmarkStart w:id="223" w:name="_Toc74306782"/>
      <w:bookmarkStart w:id="224" w:name="_Toc74323838"/>
      <w:r w:rsidRPr="00931D46">
        <w:rPr>
          <w:rFonts w:ascii="Arial" w:eastAsia="Times New Roman" w:hAnsi="Arial" w:cs="Arial"/>
          <w:sz w:val="26"/>
          <w:lang w:eastAsia="es-MX"/>
        </w:rPr>
        <w:t>Experiencia internacional</w:t>
      </w:r>
      <w:bookmarkEnd w:id="217"/>
      <w:bookmarkEnd w:id="218"/>
      <w:bookmarkEnd w:id="219"/>
      <w:bookmarkEnd w:id="220"/>
      <w:bookmarkEnd w:id="221"/>
      <w:bookmarkEnd w:id="222"/>
      <w:bookmarkEnd w:id="223"/>
      <w:bookmarkEnd w:id="224"/>
    </w:p>
    <w:p w14:paraId="7B503C91" w14:textId="77777777" w:rsidR="003E256E" w:rsidRPr="00931D46" w:rsidRDefault="003E256E" w:rsidP="0023353F">
      <w:pPr>
        <w:pStyle w:val="Prrafodelista"/>
        <w:keepNext/>
        <w:spacing w:before="0" w:after="0"/>
        <w:ind w:left="0"/>
        <w:contextualSpacing w:val="0"/>
        <w:rPr>
          <w:rFonts w:ascii="Arial" w:hAnsi="Arial" w:cs="Arial"/>
        </w:rPr>
      </w:pPr>
    </w:p>
    <w:p w14:paraId="596EF453"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25" w:name="_Toc38377306"/>
      <w:bookmarkStart w:id="226" w:name="_Toc41649759"/>
      <w:bookmarkStart w:id="227" w:name="_Toc41649900"/>
      <w:bookmarkStart w:id="228" w:name="_Toc45628349"/>
      <w:r w:rsidRPr="00931D46">
        <w:rPr>
          <w:rFonts w:ascii="Arial" w:eastAsia="Times New Roman" w:hAnsi="Arial" w:cs="Arial"/>
          <w:b/>
          <w:color w:val="auto"/>
          <w:sz w:val="26"/>
          <w:szCs w:val="26"/>
          <w:lang w:eastAsia="es-MX"/>
        </w:rPr>
        <w:t>Unión E</w:t>
      </w:r>
      <w:bookmarkEnd w:id="225"/>
      <w:r w:rsidRPr="00931D46">
        <w:rPr>
          <w:rFonts w:ascii="Arial" w:eastAsia="Times New Roman" w:hAnsi="Arial" w:cs="Arial"/>
          <w:b/>
          <w:color w:val="auto"/>
          <w:sz w:val="26"/>
          <w:szCs w:val="26"/>
          <w:lang w:eastAsia="es-MX"/>
        </w:rPr>
        <w:t>uropea</w:t>
      </w:r>
      <w:bookmarkEnd w:id="226"/>
      <w:bookmarkEnd w:id="227"/>
      <w:bookmarkEnd w:id="228"/>
    </w:p>
    <w:p w14:paraId="109FFC61" w14:textId="77777777" w:rsidR="003E256E" w:rsidRPr="00931D46" w:rsidRDefault="003E256E" w:rsidP="0023353F">
      <w:pPr>
        <w:keepNext/>
        <w:spacing w:before="0" w:after="0"/>
        <w:rPr>
          <w:rFonts w:ascii="Arial" w:hAnsi="Arial" w:cs="Arial"/>
        </w:rPr>
      </w:pPr>
    </w:p>
    <w:p w14:paraId="64A1E21D" w14:textId="77777777" w:rsidR="003E256E" w:rsidRPr="00931D46" w:rsidRDefault="003E256E" w:rsidP="0023353F">
      <w:pPr>
        <w:spacing w:before="0" w:after="0"/>
        <w:rPr>
          <w:rFonts w:ascii="Arial" w:hAnsi="Arial" w:cs="Arial"/>
        </w:rPr>
      </w:pPr>
      <w:r w:rsidRPr="00931D46">
        <w:rPr>
          <w:rFonts w:ascii="Arial" w:hAnsi="Arial" w:cs="Arial"/>
        </w:rPr>
        <w:t>En el análisis de concentraciones verticales y de conglomerado</w:t>
      </w:r>
      <w:r w:rsidR="00AB1491" w:rsidRPr="00931D46">
        <w:rPr>
          <w:rFonts w:ascii="Arial" w:hAnsi="Arial" w:cs="Arial"/>
        </w:rPr>
        <w:t>,</w:t>
      </w:r>
      <w:r w:rsidR="00D43234" w:rsidRPr="00931D46">
        <w:rPr>
          <w:rStyle w:val="Refdenotaalpie"/>
          <w:rFonts w:ascii="Arial" w:hAnsi="Arial" w:cs="Arial"/>
        </w:rPr>
        <w:footnoteReference w:id="189"/>
      </w:r>
      <w:r w:rsidRPr="00931D46">
        <w:rPr>
          <w:rFonts w:ascii="Arial" w:hAnsi="Arial" w:cs="Arial"/>
        </w:rPr>
        <w:t xml:space="preserve"> </w:t>
      </w:r>
      <w:r w:rsidR="00365EEC" w:rsidRPr="00931D46">
        <w:rPr>
          <w:rFonts w:ascii="Arial" w:hAnsi="Arial" w:cs="Arial"/>
        </w:rPr>
        <w:t>en</w:t>
      </w:r>
      <w:r w:rsidRPr="00931D46">
        <w:rPr>
          <w:rFonts w:ascii="Arial" w:hAnsi="Arial" w:cs="Arial"/>
        </w:rPr>
        <w:t xml:space="preserve"> </w:t>
      </w:r>
      <w:r w:rsidR="00D40AB7" w:rsidRPr="00931D46">
        <w:rPr>
          <w:rFonts w:ascii="Arial" w:hAnsi="Arial" w:cs="Arial"/>
        </w:rPr>
        <w:t>las que</w:t>
      </w:r>
      <w:r w:rsidRPr="00931D46">
        <w:rPr>
          <w:rFonts w:ascii="Arial" w:hAnsi="Arial" w:cs="Arial"/>
        </w:rPr>
        <w:t xml:space="preserve"> los AE involucrados participan en MR distintos,</w:t>
      </w:r>
      <w:r w:rsidRPr="00931D46" w:rsidDel="003437E9">
        <w:rPr>
          <w:rFonts w:ascii="Arial" w:hAnsi="Arial" w:cs="Arial"/>
        </w:rPr>
        <w:t xml:space="preserve"> </w:t>
      </w:r>
      <w:r w:rsidRPr="00931D46">
        <w:rPr>
          <w:rFonts w:ascii="Arial" w:hAnsi="Arial" w:cs="Arial"/>
        </w:rPr>
        <w:t xml:space="preserve">la CE señala que evalúa la posibilidad y los incentivos de los AE involucrados en la </w:t>
      </w:r>
      <w:r w:rsidR="005E0A8C" w:rsidRPr="00931D46">
        <w:rPr>
          <w:rFonts w:ascii="Arial" w:hAnsi="Arial" w:cs="Arial"/>
        </w:rPr>
        <w:t>concentración</w:t>
      </w:r>
      <w:r w:rsidRPr="00931D46">
        <w:rPr>
          <w:rFonts w:ascii="Arial" w:hAnsi="Arial" w:cs="Arial"/>
        </w:rPr>
        <w:t xml:space="preserve"> para afectar la competencia cuando esos mercados están relacionados entre sí. </w:t>
      </w:r>
    </w:p>
    <w:p w14:paraId="316C5A50" w14:textId="77777777" w:rsidR="003E256E" w:rsidRPr="00931D46" w:rsidRDefault="003E256E" w:rsidP="0023353F">
      <w:pPr>
        <w:spacing w:before="0" w:after="0"/>
        <w:rPr>
          <w:rFonts w:ascii="Arial" w:hAnsi="Arial" w:cs="Arial"/>
        </w:rPr>
      </w:pPr>
    </w:p>
    <w:p w14:paraId="24D1787F" w14:textId="0B1A312B" w:rsidR="003E256E" w:rsidRPr="00931D46" w:rsidRDefault="003E256E" w:rsidP="0023353F">
      <w:pPr>
        <w:spacing w:before="0" w:after="0"/>
        <w:rPr>
          <w:rFonts w:ascii="Arial" w:hAnsi="Arial" w:cs="Arial"/>
        </w:rPr>
      </w:pPr>
      <w:r w:rsidRPr="00931D46">
        <w:rPr>
          <w:rFonts w:ascii="Arial" w:hAnsi="Arial" w:cs="Arial"/>
        </w:rPr>
        <w:t xml:space="preserve">Para identificar los mercados relacionados sujetos de análisis, la CE señala que se deben considerar: i) los </w:t>
      </w:r>
      <w:r w:rsidR="00330363">
        <w:rPr>
          <w:rFonts w:ascii="Arial" w:hAnsi="Arial" w:cs="Arial"/>
        </w:rPr>
        <w:t>productos</w:t>
      </w:r>
      <w:r w:rsidRPr="00931D46">
        <w:rPr>
          <w:rFonts w:ascii="Arial" w:hAnsi="Arial" w:cs="Arial"/>
        </w:rPr>
        <w:t xml:space="preserve"> complementarios o que pertenezcan a una gama de </w:t>
      </w:r>
      <w:r w:rsidR="00330363">
        <w:rPr>
          <w:rFonts w:ascii="Arial" w:hAnsi="Arial" w:cs="Arial"/>
        </w:rPr>
        <w:t>productos</w:t>
      </w:r>
      <w:r w:rsidRPr="00931D46">
        <w:rPr>
          <w:rFonts w:ascii="Arial" w:hAnsi="Arial" w:cs="Arial"/>
        </w:rPr>
        <w:t xml:space="preserve"> que tengan los mismos fines de consumo; y ii) los insumos que se ofrecen a través de la cadena de suministro en la que participan los AE. En el primer caso, los mercados donde participan los AE están relacionados por ser mercados de </w:t>
      </w:r>
      <w:r w:rsidRPr="00931D46">
        <w:rPr>
          <w:rFonts w:ascii="Arial" w:hAnsi="Arial" w:cs="Arial"/>
          <w:i/>
        </w:rPr>
        <w:t>“productos [servicios] complementarios o productos [servicios] que pertenecen a un rango de productos</w:t>
      </w:r>
      <w:r w:rsidR="00486DFB" w:rsidRPr="00931D46">
        <w:rPr>
          <w:rFonts w:ascii="Arial" w:hAnsi="Arial" w:cs="Arial"/>
          <w:i/>
        </w:rPr>
        <w:t xml:space="preserve"> [</w:t>
      </w:r>
      <w:r w:rsidRPr="00931D46">
        <w:rPr>
          <w:rFonts w:ascii="Arial" w:hAnsi="Arial" w:cs="Arial"/>
          <w:i/>
        </w:rPr>
        <w:t>servicios</w:t>
      </w:r>
      <w:r w:rsidR="00486DFB" w:rsidRPr="00931D46">
        <w:rPr>
          <w:rFonts w:ascii="Arial" w:hAnsi="Arial" w:cs="Arial"/>
          <w:i/>
        </w:rPr>
        <w:t>]</w:t>
      </w:r>
      <w:r w:rsidRPr="00931D46">
        <w:rPr>
          <w:rFonts w:ascii="Arial" w:hAnsi="Arial" w:cs="Arial"/>
          <w:i/>
        </w:rPr>
        <w:t xml:space="preserve"> que son generalmente adquiridos por el mismo grupo de consumidores para el mismo fin.”</w:t>
      </w:r>
      <w:r w:rsidRPr="00931D46">
        <w:rPr>
          <w:rFonts w:ascii="Arial" w:hAnsi="Arial" w:cs="Arial"/>
        </w:rPr>
        <w:t xml:space="preserve"> En el segundo</w:t>
      </w:r>
      <w:r w:rsidR="00545DF4">
        <w:rPr>
          <w:rFonts w:ascii="Arial" w:hAnsi="Arial" w:cs="Arial"/>
        </w:rPr>
        <w:t xml:space="preserve"> caso</w:t>
      </w:r>
      <w:r w:rsidRPr="00931D46">
        <w:rPr>
          <w:rFonts w:ascii="Arial" w:hAnsi="Arial" w:cs="Arial"/>
        </w:rPr>
        <w:t xml:space="preserve">, los mercados están relacionados si en estos se utiliza como insumo alguno de los </w:t>
      </w:r>
      <w:r w:rsidR="00330363">
        <w:rPr>
          <w:rFonts w:ascii="Arial" w:hAnsi="Arial" w:cs="Arial"/>
        </w:rPr>
        <w:t>productos</w:t>
      </w:r>
      <w:r w:rsidRPr="00931D46">
        <w:rPr>
          <w:rFonts w:ascii="Arial" w:hAnsi="Arial" w:cs="Arial"/>
        </w:rPr>
        <w:t xml:space="preserve"> que proveen los AE de la concentración.</w:t>
      </w:r>
      <w:r w:rsidR="00AB1491" w:rsidRPr="00931D46">
        <w:rPr>
          <w:rStyle w:val="Refdenotaalpie"/>
          <w:rFonts w:ascii="Arial" w:hAnsi="Arial" w:cs="Arial"/>
        </w:rPr>
        <w:footnoteReference w:id="190"/>
      </w:r>
    </w:p>
    <w:p w14:paraId="130853EA" w14:textId="77777777" w:rsidR="003E256E" w:rsidRPr="00931D46" w:rsidRDefault="003E256E" w:rsidP="0023353F">
      <w:pPr>
        <w:spacing w:before="0" w:after="0"/>
        <w:rPr>
          <w:rFonts w:ascii="Arial" w:hAnsi="Arial" w:cs="Arial"/>
        </w:rPr>
      </w:pPr>
    </w:p>
    <w:p w14:paraId="4187FF31" w14:textId="67E3FC5C" w:rsidR="003E256E" w:rsidRPr="00931D46" w:rsidRDefault="003E256E" w:rsidP="0023353F">
      <w:pPr>
        <w:spacing w:before="0" w:after="0"/>
        <w:rPr>
          <w:rFonts w:ascii="Arial" w:hAnsi="Arial" w:cs="Arial"/>
        </w:rPr>
      </w:pPr>
      <w:r w:rsidRPr="00931D46">
        <w:rPr>
          <w:rFonts w:ascii="Arial" w:hAnsi="Arial" w:cs="Arial"/>
        </w:rPr>
        <w:t xml:space="preserve">Para el caso de regulación relativa a comunicaciones electrónicas, la CE reconoce la existencia de mercados relacionados, particularmente mercados mayoristas, cuyos límites deben definirse teniendo en cuenta la sustituibilidad de los </w:t>
      </w:r>
      <w:r w:rsidR="00330363">
        <w:rPr>
          <w:rFonts w:ascii="Arial" w:hAnsi="Arial" w:cs="Arial"/>
        </w:rPr>
        <w:t>productos</w:t>
      </w:r>
      <w:r w:rsidRPr="00931D46">
        <w:rPr>
          <w:rFonts w:ascii="Arial" w:hAnsi="Arial" w:cs="Arial"/>
        </w:rPr>
        <w:t xml:space="preserve"> del lado de la demanda y, en la medida oportuna, del de la oferta.</w:t>
      </w:r>
      <w:r w:rsidRPr="00931D46">
        <w:rPr>
          <w:rStyle w:val="Refdenotaalpie"/>
          <w:rFonts w:ascii="Arial" w:hAnsi="Arial" w:cs="Arial"/>
        </w:rPr>
        <w:footnoteReference w:id="191"/>
      </w:r>
    </w:p>
    <w:p w14:paraId="1955C3B5" w14:textId="77777777" w:rsidR="003E256E" w:rsidRPr="00931D46" w:rsidRDefault="003E256E" w:rsidP="0023353F">
      <w:pPr>
        <w:spacing w:before="0" w:after="0"/>
        <w:rPr>
          <w:rFonts w:ascii="Arial" w:hAnsi="Arial" w:cs="Arial"/>
        </w:rPr>
      </w:pPr>
    </w:p>
    <w:p w14:paraId="0A41C67B"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29" w:name="_Toc45628350"/>
      <w:r w:rsidRPr="00931D46">
        <w:rPr>
          <w:rFonts w:ascii="Arial" w:eastAsia="Times New Roman" w:hAnsi="Arial" w:cs="Arial"/>
          <w:b/>
          <w:color w:val="auto"/>
          <w:sz w:val="26"/>
          <w:szCs w:val="26"/>
          <w:lang w:eastAsia="es-MX"/>
        </w:rPr>
        <w:t>Alemania</w:t>
      </w:r>
      <w:r w:rsidRPr="00931D46">
        <w:rPr>
          <w:rFonts w:ascii="Arial" w:hAnsi="Arial" w:cs="Arial"/>
          <w:b/>
          <w:color w:val="auto"/>
          <w:sz w:val="26"/>
          <w:szCs w:val="26"/>
          <w:vertAlign w:val="superscript"/>
        </w:rPr>
        <w:footnoteReference w:id="192"/>
      </w:r>
      <w:bookmarkEnd w:id="229"/>
    </w:p>
    <w:p w14:paraId="18681A5A" w14:textId="77777777" w:rsidR="003E256E" w:rsidRPr="00931D46" w:rsidRDefault="003E256E" w:rsidP="0023353F">
      <w:pPr>
        <w:keepNext/>
        <w:spacing w:before="0" w:after="0"/>
        <w:rPr>
          <w:rFonts w:ascii="Arial" w:hAnsi="Arial" w:cs="Arial"/>
        </w:rPr>
      </w:pPr>
    </w:p>
    <w:p w14:paraId="6CC7B4FA" w14:textId="0DA97D64" w:rsidR="003E256E" w:rsidRPr="00931D46" w:rsidRDefault="003E256E" w:rsidP="0023353F">
      <w:pPr>
        <w:spacing w:before="0" w:after="0"/>
        <w:rPr>
          <w:rFonts w:ascii="Arial" w:hAnsi="Arial" w:cs="Arial"/>
        </w:rPr>
      </w:pPr>
      <w:r w:rsidRPr="00931D46">
        <w:rPr>
          <w:rFonts w:ascii="Arial" w:hAnsi="Arial" w:cs="Arial"/>
        </w:rPr>
        <w:t>En el caso particular de Alemania, en la evaluación de concentraciones de conglomerados, se evalúa el impacto e</w:t>
      </w:r>
      <w:r w:rsidR="00545DF4">
        <w:rPr>
          <w:rFonts w:ascii="Arial" w:hAnsi="Arial" w:cs="Arial"/>
        </w:rPr>
        <w:t>n</w:t>
      </w:r>
      <w:r w:rsidRPr="00931D46">
        <w:rPr>
          <w:rFonts w:ascii="Arial" w:hAnsi="Arial" w:cs="Arial"/>
        </w:rPr>
        <w:t xml:space="preserve"> competencia en mercados relacionados, por lo que éstos se determinan con base en si la producción o distribución de </w:t>
      </w:r>
      <w:r w:rsidR="00330363">
        <w:rPr>
          <w:rFonts w:ascii="Arial" w:hAnsi="Arial" w:cs="Arial"/>
        </w:rPr>
        <w:t>productos</w:t>
      </w:r>
      <w:r w:rsidRPr="00931D46">
        <w:rPr>
          <w:rFonts w:ascii="Arial" w:hAnsi="Arial" w:cs="Arial"/>
        </w:rPr>
        <w:t xml:space="preserve"> requiere los mismos insumos o si los </w:t>
      </w:r>
      <w:r w:rsidR="00330363">
        <w:rPr>
          <w:rFonts w:ascii="Arial" w:hAnsi="Arial" w:cs="Arial"/>
        </w:rPr>
        <w:t>productos</w:t>
      </w:r>
      <w:r w:rsidRPr="00931D46">
        <w:rPr>
          <w:rFonts w:ascii="Arial" w:hAnsi="Arial" w:cs="Arial"/>
        </w:rPr>
        <w:t xml:space="preserve"> están dirigidos a los mismos grupos de </w:t>
      </w:r>
      <w:r w:rsidR="00376E90" w:rsidRPr="00931D46">
        <w:rPr>
          <w:rFonts w:ascii="Arial" w:hAnsi="Arial" w:cs="Arial"/>
        </w:rPr>
        <w:t>consumidores</w:t>
      </w:r>
      <w:r w:rsidR="00545DF4">
        <w:rPr>
          <w:rFonts w:ascii="Arial" w:hAnsi="Arial" w:cs="Arial"/>
        </w:rPr>
        <w:t xml:space="preserve"> que los del MR</w:t>
      </w:r>
      <w:r w:rsidRPr="00931D46">
        <w:rPr>
          <w:rFonts w:ascii="Arial" w:hAnsi="Arial" w:cs="Arial"/>
        </w:rPr>
        <w:t xml:space="preserve">. En otras palabras, los mercados relacionados son aquellos conformados de </w:t>
      </w:r>
      <w:r w:rsidR="00330363">
        <w:rPr>
          <w:rFonts w:ascii="Arial" w:hAnsi="Arial" w:cs="Arial"/>
        </w:rPr>
        <w:t>productos</w:t>
      </w:r>
      <w:r w:rsidRPr="00931D46">
        <w:rPr>
          <w:rFonts w:ascii="Arial" w:hAnsi="Arial" w:cs="Arial"/>
        </w:rPr>
        <w:t xml:space="preserve"> que pueden ser considerados por parte de la oferta o la demanda como complementos o sustitutos imperfectos del </w:t>
      </w:r>
      <w:r w:rsidR="00330363">
        <w:rPr>
          <w:rFonts w:ascii="Arial" w:hAnsi="Arial" w:cs="Arial"/>
        </w:rPr>
        <w:t>producto</w:t>
      </w:r>
      <w:r w:rsidRPr="00931D46">
        <w:rPr>
          <w:rFonts w:ascii="Arial" w:hAnsi="Arial" w:cs="Arial"/>
        </w:rPr>
        <w:t xml:space="preserve"> del MR.</w:t>
      </w:r>
    </w:p>
    <w:p w14:paraId="4476C332" w14:textId="77777777" w:rsidR="003E256E" w:rsidRPr="00931D46" w:rsidRDefault="003E256E" w:rsidP="0023353F">
      <w:pPr>
        <w:spacing w:before="0" w:after="0"/>
        <w:rPr>
          <w:rFonts w:ascii="Arial" w:hAnsi="Arial" w:cs="Arial"/>
        </w:rPr>
      </w:pPr>
    </w:p>
    <w:p w14:paraId="1B2B300E"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30" w:name="_Toc38377308"/>
      <w:bookmarkStart w:id="231" w:name="_Toc41649761"/>
      <w:bookmarkStart w:id="232" w:name="_Toc41649902"/>
      <w:bookmarkStart w:id="233" w:name="_Toc45628351"/>
      <w:r w:rsidRPr="00931D46">
        <w:rPr>
          <w:rFonts w:ascii="Arial" w:eastAsia="Times New Roman" w:hAnsi="Arial" w:cs="Arial"/>
          <w:b/>
          <w:color w:val="auto"/>
          <w:sz w:val="26"/>
          <w:szCs w:val="26"/>
          <w:lang w:eastAsia="es-MX"/>
        </w:rPr>
        <w:t>España</w:t>
      </w:r>
      <w:bookmarkEnd w:id="230"/>
      <w:bookmarkEnd w:id="231"/>
      <w:bookmarkEnd w:id="232"/>
      <w:bookmarkEnd w:id="233"/>
    </w:p>
    <w:p w14:paraId="62DF4939" w14:textId="77777777" w:rsidR="003E256E" w:rsidRPr="00931D46" w:rsidRDefault="003E256E" w:rsidP="0023353F">
      <w:pPr>
        <w:keepNext/>
        <w:spacing w:before="0" w:after="0"/>
        <w:rPr>
          <w:rFonts w:ascii="Arial" w:hAnsi="Arial" w:cs="Arial"/>
        </w:rPr>
      </w:pPr>
    </w:p>
    <w:p w14:paraId="2B08FC21" w14:textId="2B799EE5" w:rsidR="003E256E" w:rsidRPr="00931D46" w:rsidRDefault="003E256E" w:rsidP="0023353F">
      <w:pPr>
        <w:spacing w:before="0" w:after="0"/>
        <w:rPr>
          <w:rFonts w:ascii="Arial" w:hAnsi="Arial" w:cs="Arial"/>
        </w:rPr>
      </w:pPr>
      <w:r w:rsidRPr="00931D46">
        <w:rPr>
          <w:rFonts w:ascii="Arial" w:hAnsi="Arial" w:cs="Arial"/>
        </w:rPr>
        <w:t>En el análisis de la adquisición del control conjunto de Digital+ por Prisa, Telefónica y Telecinco,</w:t>
      </w:r>
      <w:r w:rsidRPr="00931D46">
        <w:rPr>
          <w:rFonts w:ascii="Arial" w:hAnsi="Arial" w:cs="Arial"/>
          <w:vertAlign w:val="superscript"/>
        </w:rPr>
        <w:footnoteReference w:id="193"/>
      </w:r>
      <w:r w:rsidRPr="00931D46">
        <w:rPr>
          <w:rFonts w:ascii="Arial" w:hAnsi="Arial" w:cs="Arial"/>
        </w:rPr>
        <w:t xml:space="preserve"> la autoridad concluyó que la transacción propuesta podía </w:t>
      </w:r>
      <w:r w:rsidR="00EC0DC0" w:rsidRPr="00931D46">
        <w:rPr>
          <w:rFonts w:ascii="Arial" w:hAnsi="Arial" w:cs="Arial"/>
        </w:rPr>
        <w:t xml:space="preserve">tener efectos en los </w:t>
      </w:r>
      <w:r w:rsidR="0078710B" w:rsidRPr="00931D46">
        <w:rPr>
          <w:rFonts w:ascii="Arial" w:hAnsi="Arial" w:cs="Arial"/>
        </w:rPr>
        <w:t>MR</w:t>
      </w:r>
      <w:r w:rsidR="00EC0DC0" w:rsidRPr="00931D46">
        <w:rPr>
          <w:rFonts w:ascii="Arial" w:hAnsi="Arial" w:cs="Arial"/>
        </w:rPr>
        <w:t xml:space="preserve">: </w:t>
      </w:r>
      <w:r w:rsidRPr="00931D46">
        <w:rPr>
          <w:rFonts w:ascii="Arial" w:hAnsi="Arial" w:cs="Arial"/>
        </w:rPr>
        <w:t xml:space="preserve">i) STAR y ii) </w:t>
      </w:r>
      <w:r w:rsidR="0078710B" w:rsidRPr="00931D46">
        <w:rPr>
          <w:rFonts w:ascii="Arial" w:hAnsi="Arial" w:cs="Arial"/>
        </w:rPr>
        <w:t>provisión</w:t>
      </w:r>
      <w:r w:rsidRPr="00931D46">
        <w:rPr>
          <w:rFonts w:ascii="Arial" w:hAnsi="Arial" w:cs="Arial"/>
        </w:rPr>
        <w:t xml:space="preserve"> de contenidos y producción/edición de canales temáticos/</w:t>
      </w:r>
      <w:r w:rsidRPr="00931D46">
        <w:rPr>
          <w:rFonts w:ascii="Arial" w:hAnsi="Arial" w:cs="Arial"/>
          <w:i/>
        </w:rPr>
        <w:t>premium</w:t>
      </w:r>
      <w:r w:rsidRPr="00931D46">
        <w:rPr>
          <w:rFonts w:ascii="Arial" w:hAnsi="Arial" w:cs="Arial"/>
        </w:rPr>
        <w:t xml:space="preserve"> para </w:t>
      </w:r>
      <w:r w:rsidR="00D40AB7" w:rsidRPr="00931D46">
        <w:rPr>
          <w:rFonts w:ascii="Arial" w:hAnsi="Arial" w:cs="Arial"/>
        </w:rPr>
        <w:t xml:space="preserve">el </w:t>
      </w:r>
      <w:r w:rsidRPr="00931D46">
        <w:rPr>
          <w:rFonts w:ascii="Arial" w:hAnsi="Arial" w:cs="Arial"/>
        </w:rPr>
        <w:t xml:space="preserve">STAR. Asimismo, </w:t>
      </w:r>
      <w:r w:rsidR="0078710B" w:rsidRPr="00931D46">
        <w:rPr>
          <w:rFonts w:ascii="Arial" w:hAnsi="Arial" w:cs="Arial"/>
        </w:rPr>
        <w:t>se determinaron los mercados relacionados de</w:t>
      </w:r>
      <w:r w:rsidR="00545DF4">
        <w:rPr>
          <w:rFonts w:ascii="Arial" w:hAnsi="Arial" w:cs="Arial"/>
        </w:rPr>
        <w:t>l</w:t>
      </w:r>
      <w:r w:rsidR="0078710B" w:rsidRPr="00931D46">
        <w:rPr>
          <w:rFonts w:ascii="Arial" w:hAnsi="Arial" w:cs="Arial"/>
        </w:rPr>
        <w:t xml:space="preserve"> STF y SBAF, y se</w:t>
      </w:r>
      <w:r w:rsidRPr="00931D46">
        <w:rPr>
          <w:rFonts w:ascii="Arial" w:hAnsi="Arial" w:cs="Arial"/>
        </w:rPr>
        <w:t xml:space="preserve"> identificó que la transacción podría derivar en efectos contrarios a la competencia en </w:t>
      </w:r>
      <w:r w:rsidR="0078710B" w:rsidRPr="00931D46">
        <w:rPr>
          <w:rFonts w:ascii="Arial" w:hAnsi="Arial" w:cs="Arial"/>
        </w:rPr>
        <w:t>esos mercados relacionados</w:t>
      </w:r>
      <w:r w:rsidRPr="00931D46">
        <w:rPr>
          <w:rFonts w:ascii="Arial" w:hAnsi="Arial" w:cs="Arial"/>
        </w:rPr>
        <w:t xml:space="preserve">, dado que: i) el </w:t>
      </w:r>
      <w:r w:rsidR="00970DAF" w:rsidRPr="00931D46">
        <w:rPr>
          <w:rFonts w:ascii="Arial" w:hAnsi="Arial" w:cs="Arial"/>
        </w:rPr>
        <w:t>SBAF</w:t>
      </w:r>
      <w:r w:rsidRPr="00931D46">
        <w:rPr>
          <w:rFonts w:ascii="Arial" w:hAnsi="Arial" w:cs="Arial"/>
        </w:rPr>
        <w:t xml:space="preserve"> y </w:t>
      </w:r>
      <w:r w:rsidR="00970DAF" w:rsidRPr="00931D46">
        <w:rPr>
          <w:rFonts w:ascii="Arial" w:hAnsi="Arial" w:cs="Arial"/>
        </w:rPr>
        <w:t>el STF</w:t>
      </w:r>
      <w:r w:rsidRPr="00931D46">
        <w:rPr>
          <w:rFonts w:ascii="Arial" w:hAnsi="Arial" w:cs="Arial"/>
        </w:rPr>
        <w:t xml:space="preserve"> se utilizan como complemento</w:t>
      </w:r>
      <w:r w:rsidR="00545DF4">
        <w:rPr>
          <w:rFonts w:ascii="Arial" w:hAnsi="Arial" w:cs="Arial"/>
        </w:rPr>
        <w:t>s</w:t>
      </w:r>
      <w:r w:rsidRPr="00931D46">
        <w:rPr>
          <w:rFonts w:ascii="Arial" w:hAnsi="Arial" w:cs="Arial"/>
        </w:rPr>
        <w:t xml:space="preserve"> de</w:t>
      </w:r>
      <w:r w:rsidR="00545DF4">
        <w:rPr>
          <w:rFonts w:ascii="Arial" w:hAnsi="Arial" w:cs="Arial"/>
        </w:rPr>
        <w:t>l</w:t>
      </w:r>
      <w:r w:rsidRPr="00931D46">
        <w:rPr>
          <w:rFonts w:ascii="Arial" w:hAnsi="Arial" w:cs="Arial"/>
        </w:rPr>
        <w:t xml:space="preserve"> STAR, resultado de la convergencia comercial y tecnológica, y ii) Telefónica cuenta con altas participaciones en los mercados de</w:t>
      </w:r>
      <w:r w:rsidR="00545DF4">
        <w:rPr>
          <w:rFonts w:ascii="Arial" w:hAnsi="Arial" w:cs="Arial"/>
        </w:rPr>
        <w:t>l</w:t>
      </w:r>
      <w:r w:rsidRPr="00931D46">
        <w:rPr>
          <w:rFonts w:ascii="Arial" w:hAnsi="Arial" w:cs="Arial"/>
        </w:rPr>
        <w:t xml:space="preserve"> </w:t>
      </w:r>
      <w:r w:rsidR="00970DAF" w:rsidRPr="00931D46">
        <w:rPr>
          <w:rFonts w:ascii="Arial" w:hAnsi="Arial" w:cs="Arial"/>
        </w:rPr>
        <w:t>STF</w:t>
      </w:r>
      <w:r w:rsidRPr="00931D46">
        <w:rPr>
          <w:rFonts w:ascii="Arial" w:hAnsi="Arial" w:cs="Arial"/>
        </w:rPr>
        <w:t xml:space="preserve">, telefonía móvil y </w:t>
      </w:r>
      <w:r w:rsidR="00970DAF" w:rsidRPr="00931D46">
        <w:rPr>
          <w:rFonts w:ascii="Arial" w:hAnsi="Arial" w:cs="Arial"/>
        </w:rPr>
        <w:t>SBAF</w:t>
      </w:r>
      <w:r w:rsidRPr="00931D46">
        <w:rPr>
          <w:rFonts w:ascii="Arial" w:hAnsi="Arial" w:cs="Arial"/>
        </w:rPr>
        <w:t>.</w:t>
      </w:r>
    </w:p>
    <w:p w14:paraId="12BD5176" w14:textId="77777777" w:rsidR="003E256E" w:rsidRPr="00931D46" w:rsidRDefault="001C6B42" w:rsidP="00AB1491">
      <w:pPr>
        <w:tabs>
          <w:tab w:val="left" w:pos="6743"/>
        </w:tabs>
        <w:spacing w:before="0" w:after="0"/>
        <w:rPr>
          <w:rFonts w:ascii="Arial" w:hAnsi="Arial" w:cs="Arial"/>
        </w:rPr>
      </w:pPr>
      <w:r w:rsidRPr="00931D46">
        <w:rPr>
          <w:rFonts w:ascii="Arial" w:hAnsi="Arial" w:cs="Arial"/>
        </w:rPr>
        <w:tab/>
      </w:r>
    </w:p>
    <w:p w14:paraId="03EADCAF" w14:textId="4BA127C0" w:rsidR="003E256E" w:rsidRPr="00931D46" w:rsidRDefault="003E256E" w:rsidP="0023353F">
      <w:pPr>
        <w:spacing w:before="0" w:after="0"/>
        <w:rPr>
          <w:rFonts w:ascii="Arial" w:hAnsi="Arial" w:cs="Arial"/>
        </w:rPr>
      </w:pPr>
      <w:r w:rsidRPr="00931D46">
        <w:rPr>
          <w:rFonts w:ascii="Arial" w:hAnsi="Arial" w:cs="Arial"/>
        </w:rPr>
        <w:t xml:space="preserve">En el caso de la adquisición de control conjunto por parte de Telefónica, CaixaBank y Banco Santander de una nueva sociedad (Newco) – un </w:t>
      </w:r>
      <w:r w:rsidRPr="00931D46">
        <w:rPr>
          <w:rFonts w:ascii="Arial" w:hAnsi="Arial" w:cs="Arial"/>
          <w:i/>
        </w:rPr>
        <w:t>joint venture</w:t>
      </w:r>
      <w:r w:rsidRPr="00931D46">
        <w:rPr>
          <w:rFonts w:ascii="Arial" w:hAnsi="Arial" w:cs="Arial"/>
        </w:rPr>
        <w:t>-</w:t>
      </w:r>
      <w:r w:rsidRPr="00931D46">
        <w:rPr>
          <w:rFonts w:ascii="Arial" w:hAnsi="Arial" w:cs="Arial"/>
          <w:vertAlign w:val="superscript"/>
        </w:rPr>
        <w:footnoteReference w:id="194"/>
      </w:r>
      <w:r w:rsidRPr="00931D46">
        <w:rPr>
          <w:rFonts w:ascii="Arial" w:hAnsi="Arial" w:cs="Arial"/>
        </w:rPr>
        <w:t xml:space="preserve"> se identificó que la operación incidiría en los </w:t>
      </w:r>
      <w:r w:rsidR="004642A0" w:rsidRPr="00931D46">
        <w:rPr>
          <w:rFonts w:ascii="Arial" w:hAnsi="Arial" w:cs="Arial"/>
        </w:rPr>
        <w:t>MR</w:t>
      </w:r>
      <w:r w:rsidRPr="00931D46">
        <w:rPr>
          <w:rFonts w:ascii="Arial" w:hAnsi="Arial" w:cs="Arial"/>
        </w:rPr>
        <w:t xml:space="preserve"> de: i) servicios de publicidad digital, ii) servicios de análisis de datos y iii) provisión minorista de servicios de billetera digital. Adicionalmente, se identificó que estos servicios requieren, en algunos casos,</w:t>
      </w:r>
      <w:r w:rsidR="00545DF4">
        <w:rPr>
          <w:rFonts w:ascii="Arial" w:hAnsi="Arial" w:cs="Arial"/>
        </w:rPr>
        <w:t xml:space="preserve"> de:</w:t>
      </w:r>
      <w:r w:rsidRPr="00931D46">
        <w:rPr>
          <w:rFonts w:ascii="Arial" w:hAnsi="Arial" w:cs="Arial"/>
        </w:rPr>
        <w:t xml:space="preserve"> i) una tarjeta virtual de pago emitida por una institución financiera y ii) </w:t>
      </w:r>
      <w:r w:rsidR="00AB1491" w:rsidRPr="00931D46">
        <w:rPr>
          <w:rFonts w:ascii="Arial" w:hAnsi="Arial" w:cs="Arial"/>
        </w:rPr>
        <w:t>acceso a Internet</w:t>
      </w:r>
      <w:r w:rsidRPr="00931D46">
        <w:rPr>
          <w:rFonts w:ascii="Arial" w:hAnsi="Arial" w:cs="Arial"/>
        </w:rPr>
        <w:t xml:space="preserve">. En este sentido, se analizaron los efectos de la operación en los mercados relacionados de: i) provisión del servicio de pagos con tarjeta en línea (virtual) y ii) mercados minoristas de servicios de telefonía móvil y </w:t>
      </w:r>
      <w:r w:rsidR="00AB1491" w:rsidRPr="00931D46">
        <w:rPr>
          <w:rFonts w:ascii="Arial" w:hAnsi="Arial" w:cs="Arial"/>
        </w:rPr>
        <w:t>acceso a Internet</w:t>
      </w:r>
      <w:r w:rsidRPr="00931D46">
        <w:rPr>
          <w:rFonts w:ascii="Arial" w:hAnsi="Arial" w:cs="Arial"/>
        </w:rPr>
        <w:t>.</w:t>
      </w:r>
    </w:p>
    <w:p w14:paraId="6420DD9E" w14:textId="77777777" w:rsidR="003E256E" w:rsidRPr="00931D46" w:rsidRDefault="003E256E" w:rsidP="0023353F">
      <w:pPr>
        <w:spacing w:before="0" w:after="0"/>
        <w:rPr>
          <w:rFonts w:ascii="Arial" w:hAnsi="Arial" w:cs="Arial"/>
        </w:rPr>
      </w:pPr>
    </w:p>
    <w:p w14:paraId="5BE2F181" w14:textId="77777777" w:rsidR="003E256E" w:rsidRPr="00931D46" w:rsidRDefault="003E256E"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34" w:name="_Toc45628352"/>
      <w:r w:rsidRPr="00931D46">
        <w:rPr>
          <w:rFonts w:ascii="Arial" w:eastAsia="Times New Roman" w:hAnsi="Arial" w:cs="Arial"/>
          <w:b/>
          <w:color w:val="auto"/>
          <w:sz w:val="26"/>
          <w:szCs w:val="26"/>
          <w:lang w:eastAsia="es-MX"/>
        </w:rPr>
        <w:t>Estados Unidos de América</w:t>
      </w:r>
      <w:r w:rsidRPr="00931D46">
        <w:rPr>
          <w:rFonts w:ascii="Arial" w:eastAsia="Times New Roman" w:hAnsi="Arial" w:cs="Arial"/>
          <w:b/>
          <w:color w:val="auto"/>
          <w:sz w:val="26"/>
          <w:szCs w:val="26"/>
          <w:vertAlign w:val="superscript"/>
          <w:lang w:eastAsia="es-MX"/>
        </w:rPr>
        <w:footnoteReference w:id="195"/>
      </w:r>
      <w:bookmarkEnd w:id="234"/>
    </w:p>
    <w:p w14:paraId="2C57CC6A" w14:textId="77777777" w:rsidR="003E256E" w:rsidRPr="00931D46" w:rsidRDefault="003E256E" w:rsidP="0023353F">
      <w:pPr>
        <w:keepNext/>
        <w:spacing w:before="0" w:after="0"/>
        <w:rPr>
          <w:rFonts w:ascii="Arial" w:hAnsi="Arial" w:cs="Arial"/>
        </w:rPr>
      </w:pPr>
    </w:p>
    <w:p w14:paraId="3F49BD39" w14:textId="75C7CA61" w:rsidR="003E256E" w:rsidRPr="00931D46" w:rsidRDefault="003E256E" w:rsidP="0023353F">
      <w:pPr>
        <w:spacing w:before="0" w:after="0"/>
        <w:rPr>
          <w:rFonts w:ascii="Arial" w:hAnsi="Arial" w:cs="Arial"/>
        </w:rPr>
      </w:pPr>
      <w:r w:rsidRPr="00931D46">
        <w:rPr>
          <w:rFonts w:ascii="Arial" w:hAnsi="Arial" w:cs="Arial"/>
        </w:rPr>
        <w:t xml:space="preserve">Dentro de los principios generales para la evaluación de acuerdos entre competidores y </w:t>
      </w:r>
      <w:r w:rsidR="00545DF4">
        <w:rPr>
          <w:rFonts w:ascii="Arial" w:hAnsi="Arial" w:cs="Arial"/>
        </w:rPr>
        <w:t xml:space="preserve">de </w:t>
      </w:r>
      <w:r w:rsidRPr="00931D46">
        <w:rPr>
          <w:rFonts w:ascii="Arial" w:hAnsi="Arial" w:cs="Arial"/>
        </w:rPr>
        <w:t xml:space="preserve">los posibles daños a la competencia, el </w:t>
      </w:r>
      <w:r w:rsidR="00074B18" w:rsidRPr="00931D46">
        <w:rPr>
          <w:rFonts w:ascii="Arial" w:hAnsi="Arial" w:cs="Arial"/>
        </w:rPr>
        <w:t>DOJ</w:t>
      </w:r>
      <w:r w:rsidRPr="00931D46">
        <w:rPr>
          <w:rFonts w:ascii="Arial" w:hAnsi="Arial" w:cs="Arial"/>
        </w:rPr>
        <w:t xml:space="preserve"> y la FTC han establecido que la evaluación de impacto e</w:t>
      </w:r>
      <w:r w:rsidR="00545DF4">
        <w:rPr>
          <w:rFonts w:ascii="Arial" w:hAnsi="Arial" w:cs="Arial"/>
        </w:rPr>
        <w:t>n</w:t>
      </w:r>
      <w:r w:rsidRPr="00931D46">
        <w:rPr>
          <w:rFonts w:ascii="Arial" w:hAnsi="Arial" w:cs="Arial"/>
        </w:rPr>
        <w:t xml:space="preserve"> competencia puede incluir a “mercados adicionales” en los que cualquiera de las partes es un competidor real o potencial. En este sentido, </w:t>
      </w:r>
      <w:r w:rsidR="00684C92" w:rsidRPr="00931D46">
        <w:rPr>
          <w:rFonts w:ascii="Arial" w:hAnsi="Arial" w:cs="Arial"/>
        </w:rPr>
        <w:t xml:space="preserve">la </w:t>
      </w:r>
      <w:r w:rsidRPr="00931D46">
        <w:rPr>
          <w:rFonts w:ascii="Arial" w:hAnsi="Arial" w:cs="Arial"/>
        </w:rPr>
        <w:t xml:space="preserve">participación </w:t>
      </w:r>
      <w:r w:rsidR="00684C92" w:rsidRPr="00931D46">
        <w:rPr>
          <w:rFonts w:ascii="Arial" w:hAnsi="Arial" w:cs="Arial"/>
        </w:rPr>
        <w:t>en la colaboración</w:t>
      </w:r>
      <w:r w:rsidRPr="00931D46">
        <w:rPr>
          <w:rFonts w:ascii="Arial" w:hAnsi="Arial" w:cs="Arial"/>
        </w:rPr>
        <w:t xml:space="preserve"> puede incidir en el comportamiento de </w:t>
      </w:r>
      <w:r w:rsidR="00CA36C8" w:rsidRPr="00931D46">
        <w:rPr>
          <w:rFonts w:ascii="Arial" w:hAnsi="Arial" w:cs="Arial"/>
        </w:rPr>
        <w:t>otros</w:t>
      </w:r>
      <w:r w:rsidRPr="00931D46">
        <w:rPr>
          <w:rFonts w:ascii="Arial" w:hAnsi="Arial" w:cs="Arial"/>
        </w:rPr>
        <w:t xml:space="preserve"> participantes</w:t>
      </w:r>
      <w:r w:rsidR="00684C92" w:rsidRPr="00931D46">
        <w:rPr>
          <w:rFonts w:ascii="Arial" w:hAnsi="Arial" w:cs="Arial"/>
        </w:rPr>
        <w:t xml:space="preserve"> en esos mercados</w:t>
      </w:r>
      <w:r w:rsidRPr="00931D46">
        <w:rPr>
          <w:rFonts w:ascii="Arial" w:hAnsi="Arial" w:cs="Arial"/>
        </w:rPr>
        <w:t xml:space="preserve">, </w:t>
      </w:r>
      <w:r w:rsidR="008D77E5" w:rsidRPr="00931D46">
        <w:rPr>
          <w:rFonts w:ascii="Arial" w:hAnsi="Arial" w:cs="Arial"/>
        </w:rPr>
        <w:t>al</w:t>
      </w:r>
      <w:r w:rsidRPr="00931D46">
        <w:rPr>
          <w:rFonts w:ascii="Arial" w:hAnsi="Arial" w:cs="Arial"/>
        </w:rPr>
        <w:t xml:space="preserve"> alterar los incentivos y la información disponible, o al brindar la oportunidad de formar acuerdos adicionales entre los participantes.</w:t>
      </w:r>
    </w:p>
    <w:p w14:paraId="0AED0ED3" w14:textId="77777777" w:rsidR="003E256E" w:rsidRPr="00931D46" w:rsidRDefault="003E256E" w:rsidP="0023353F">
      <w:pPr>
        <w:spacing w:before="0" w:after="0"/>
        <w:rPr>
          <w:rFonts w:ascii="Arial" w:hAnsi="Arial" w:cs="Arial"/>
        </w:rPr>
      </w:pPr>
    </w:p>
    <w:p w14:paraId="435E6355" w14:textId="04CCEF58" w:rsidR="008D77E5" w:rsidRPr="00931D46" w:rsidRDefault="003E256E">
      <w:pPr>
        <w:spacing w:before="0" w:after="0"/>
        <w:rPr>
          <w:rFonts w:ascii="Arial" w:hAnsi="Arial" w:cs="Arial"/>
        </w:rPr>
      </w:pPr>
      <w:r w:rsidRPr="00931D46">
        <w:rPr>
          <w:rFonts w:ascii="Arial" w:hAnsi="Arial" w:cs="Arial"/>
        </w:rPr>
        <w:t xml:space="preserve">Asimismo, en </w:t>
      </w:r>
      <w:r w:rsidR="00D500AE" w:rsidRPr="00931D46">
        <w:rPr>
          <w:rFonts w:ascii="Arial" w:hAnsi="Arial" w:cs="Arial"/>
        </w:rPr>
        <w:t xml:space="preserve">la </w:t>
      </w:r>
      <w:r w:rsidR="00D500AE" w:rsidRPr="00931D46">
        <w:rPr>
          <w:rFonts w:ascii="Arial" w:hAnsi="Arial" w:cs="Arial"/>
          <w:i/>
        </w:rPr>
        <w:t>Guía de Concentraciones Verticales</w:t>
      </w:r>
      <w:r w:rsidR="00D500AE" w:rsidRPr="00931D46">
        <w:rPr>
          <w:rStyle w:val="Refdenotaalpie"/>
          <w:rFonts w:ascii="Arial" w:hAnsi="Arial" w:cs="Arial"/>
          <w:i/>
        </w:rPr>
        <w:footnoteReference w:id="196"/>
      </w:r>
      <w:r w:rsidRPr="00931D46">
        <w:rPr>
          <w:rFonts w:ascii="Arial" w:hAnsi="Arial" w:cs="Arial"/>
        </w:rPr>
        <w:t xml:space="preserve"> se define un </w:t>
      </w:r>
      <w:r w:rsidR="008D77E5" w:rsidRPr="00931D46">
        <w:rPr>
          <w:rFonts w:ascii="Arial" w:hAnsi="Arial" w:cs="Arial"/>
        </w:rPr>
        <w:t xml:space="preserve">producto </w:t>
      </w:r>
      <w:r w:rsidRPr="00931D46">
        <w:rPr>
          <w:rFonts w:ascii="Arial" w:hAnsi="Arial" w:cs="Arial"/>
        </w:rPr>
        <w:t>relacionado</w:t>
      </w:r>
      <w:r w:rsidR="0049013E" w:rsidRPr="00931D46">
        <w:rPr>
          <w:rFonts w:ascii="Arial" w:hAnsi="Arial" w:cs="Arial"/>
        </w:rPr>
        <w:t xml:space="preserve"> como </w:t>
      </w:r>
      <w:r w:rsidR="0049013E" w:rsidRPr="00931D46">
        <w:rPr>
          <w:rFonts w:ascii="Arial" w:hAnsi="Arial" w:cs="Arial"/>
          <w:i/>
        </w:rPr>
        <w:t>“un producto o servicio que es suministrado o controlado por la empresa fusionada y está posicionado verticalmente o es complementario a los productos y servicios en el mercado relevante</w:t>
      </w:r>
      <w:r w:rsidR="008D77E5" w:rsidRPr="00931D46">
        <w:rPr>
          <w:rFonts w:ascii="Arial" w:hAnsi="Arial" w:cs="Arial"/>
          <w:i/>
        </w:rPr>
        <w:t>. P</w:t>
      </w:r>
      <w:r w:rsidRPr="00931D46">
        <w:rPr>
          <w:rFonts w:ascii="Arial" w:hAnsi="Arial" w:cs="Arial"/>
          <w:i/>
        </w:rPr>
        <w:t xml:space="preserve">or ejemplo, un </w:t>
      </w:r>
      <w:r w:rsidR="008D77E5" w:rsidRPr="00931D46">
        <w:rPr>
          <w:rFonts w:ascii="Arial" w:hAnsi="Arial" w:cs="Arial"/>
          <w:i/>
        </w:rPr>
        <w:t xml:space="preserve">producto relacionado puede ser un </w:t>
      </w:r>
      <w:r w:rsidRPr="00931D46">
        <w:rPr>
          <w:rFonts w:ascii="Arial" w:hAnsi="Arial" w:cs="Arial"/>
          <w:i/>
        </w:rPr>
        <w:t>insumo, un canal de distribución</w:t>
      </w:r>
      <w:r w:rsidR="000E00F7" w:rsidRPr="00931D46">
        <w:rPr>
          <w:rFonts w:ascii="Arial" w:hAnsi="Arial" w:cs="Arial"/>
          <w:i/>
        </w:rPr>
        <w:t>,</w:t>
      </w:r>
      <w:r w:rsidRPr="00931D46">
        <w:rPr>
          <w:rFonts w:ascii="Arial" w:hAnsi="Arial" w:cs="Arial"/>
          <w:i/>
        </w:rPr>
        <w:t xml:space="preserve"> un punto de venta</w:t>
      </w:r>
      <w:r w:rsidR="000E00F7" w:rsidRPr="00931D46">
        <w:rPr>
          <w:rFonts w:ascii="Arial" w:hAnsi="Arial" w:cs="Arial"/>
          <w:i/>
        </w:rPr>
        <w:t xml:space="preserve"> o un complemento</w:t>
      </w:r>
      <w:r w:rsidR="008D77E5" w:rsidRPr="00931D46">
        <w:rPr>
          <w:rFonts w:ascii="Arial" w:hAnsi="Arial" w:cs="Arial"/>
        </w:rPr>
        <w:t>”</w:t>
      </w:r>
      <w:r w:rsidRPr="00931D46">
        <w:rPr>
          <w:rFonts w:ascii="Arial" w:hAnsi="Arial" w:cs="Arial"/>
        </w:rPr>
        <w:t>.</w:t>
      </w:r>
      <w:r w:rsidR="008D77E5" w:rsidRPr="00931D46">
        <w:rPr>
          <w:rFonts w:ascii="Arial" w:hAnsi="Arial" w:cs="Arial"/>
        </w:rPr>
        <w:t xml:space="preserve"> </w:t>
      </w:r>
    </w:p>
    <w:p w14:paraId="171593F1" w14:textId="77777777" w:rsidR="003E256E" w:rsidRPr="00931D46" w:rsidRDefault="003E256E" w:rsidP="0023353F">
      <w:pPr>
        <w:spacing w:before="0" w:after="0"/>
        <w:rPr>
          <w:rFonts w:ascii="Arial" w:hAnsi="Arial" w:cs="Arial"/>
        </w:rPr>
      </w:pPr>
    </w:p>
    <w:p w14:paraId="322D3674" w14:textId="77777777" w:rsidR="00A70D7D" w:rsidRPr="00931D46" w:rsidRDefault="00A70D7D" w:rsidP="0023353F">
      <w:pPr>
        <w:pStyle w:val="Ttulo1"/>
        <w:keepLines w:val="0"/>
        <w:numPr>
          <w:ilvl w:val="0"/>
          <w:numId w:val="3"/>
        </w:numPr>
        <w:spacing w:before="0"/>
        <w:rPr>
          <w:rFonts w:ascii="Arial" w:hAnsi="Arial" w:cs="Arial"/>
          <w:b/>
          <w:color w:val="auto"/>
          <w:sz w:val="26"/>
          <w:szCs w:val="26"/>
        </w:rPr>
      </w:pPr>
      <w:bookmarkStart w:id="235" w:name="_Toc41649767"/>
      <w:bookmarkStart w:id="236" w:name="_Toc41649908"/>
      <w:bookmarkStart w:id="237" w:name="_Toc45216585"/>
      <w:bookmarkStart w:id="238" w:name="_Toc45628354"/>
      <w:bookmarkStart w:id="239" w:name="_Toc74306783"/>
      <w:bookmarkStart w:id="240" w:name="_Toc74323839"/>
      <w:r w:rsidRPr="00931D46">
        <w:rPr>
          <w:rFonts w:ascii="Arial" w:hAnsi="Arial" w:cs="Arial"/>
          <w:b/>
          <w:color w:val="auto"/>
          <w:sz w:val="26"/>
          <w:szCs w:val="26"/>
        </w:rPr>
        <w:t>Temas específicos</w:t>
      </w:r>
      <w:r w:rsidR="0091373E" w:rsidRPr="00931D46">
        <w:rPr>
          <w:rFonts w:ascii="Arial" w:hAnsi="Arial" w:cs="Arial"/>
          <w:b/>
          <w:color w:val="auto"/>
          <w:sz w:val="26"/>
          <w:szCs w:val="26"/>
        </w:rPr>
        <w:t xml:space="preserve"> de los sectores de TyR</w:t>
      </w:r>
      <w:bookmarkEnd w:id="235"/>
      <w:bookmarkEnd w:id="236"/>
      <w:bookmarkEnd w:id="237"/>
      <w:bookmarkEnd w:id="238"/>
      <w:bookmarkEnd w:id="239"/>
      <w:bookmarkEnd w:id="240"/>
    </w:p>
    <w:p w14:paraId="78669461" w14:textId="77777777" w:rsidR="00C87F08" w:rsidRPr="00931D46" w:rsidRDefault="00C87F08" w:rsidP="0023353F">
      <w:pPr>
        <w:spacing w:before="0" w:after="0"/>
        <w:rPr>
          <w:rFonts w:ascii="Arial" w:hAnsi="Arial" w:cs="Arial"/>
        </w:rPr>
      </w:pPr>
    </w:p>
    <w:p w14:paraId="5EE8795B" w14:textId="77777777" w:rsidR="00A70D7D" w:rsidRPr="00931D46" w:rsidRDefault="00D11008" w:rsidP="0023353F">
      <w:pPr>
        <w:pStyle w:val="Ttulo2"/>
        <w:keepLines w:val="0"/>
        <w:numPr>
          <w:ilvl w:val="1"/>
          <w:numId w:val="3"/>
        </w:numPr>
        <w:spacing w:before="0" w:after="0"/>
        <w:rPr>
          <w:rFonts w:ascii="Arial" w:eastAsia="Times New Roman" w:hAnsi="Arial" w:cs="Arial"/>
          <w:sz w:val="26"/>
          <w:lang w:eastAsia="es-MX"/>
        </w:rPr>
      </w:pPr>
      <w:bookmarkStart w:id="241" w:name="_Toc41649769"/>
      <w:bookmarkStart w:id="242" w:name="_Toc41649910"/>
      <w:bookmarkStart w:id="243" w:name="_Toc45216587"/>
      <w:bookmarkStart w:id="244" w:name="_Toc45628360"/>
      <w:bookmarkStart w:id="245" w:name="_Toc74306785"/>
      <w:bookmarkStart w:id="246" w:name="_Toc74323840"/>
      <w:r w:rsidRPr="00931D46">
        <w:rPr>
          <w:rFonts w:ascii="Arial" w:eastAsia="Times New Roman" w:hAnsi="Arial" w:cs="Arial"/>
          <w:sz w:val="26"/>
          <w:lang w:eastAsia="es-MX"/>
        </w:rPr>
        <w:t>I</w:t>
      </w:r>
      <w:r w:rsidR="00A70D7D" w:rsidRPr="00931D46">
        <w:rPr>
          <w:rFonts w:ascii="Arial" w:eastAsia="Times New Roman" w:hAnsi="Arial" w:cs="Arial"/>
          <w:sz w:val="26"/>
          <w:lang w:eastAsia="es-MX"/>
        </w:rPr>
        <w:t>ntegra</w:t>
      </w:r>
      <w:r w:rsidRPr="00931D46">
        <w:rPr>
          <w:rFonts w:ascii="Arial" w:eastAsia="Times New Roman" w:hAnsi="Arial" w:cs="Arial"/>
          <w:sz w:val="26"/>
          <w:lang w:eastAsia="es-MX"/>
        </w:rPr>
        <w:t>ción</w:t>
      </w:r>
      <w:r w:rsidR="00A70D7D" w:rsidRPr="00931D46">
        <w:rPr>
          <w:rFonts w:ascii="Arial" w:eastAsia="Times New Roman" w:hAnsi="Arial" w:cs="Arial"/>
          <w:sz w:val="26"/>
          <w:lang w:eastAsia="es-MX"/>
        </w:rPr>
        <w:t xml:space="preserve"> vertical</w:t>
      </w:r>
      <w:bookmarkEnd w:id="241"/>
      <w:bookmarkEnd w:id="242"/>
      <w:bookmarkEnd w:id="243"/>
      <w:bookmarkEnd w:id="244"/>
      <w:bookmarkEnd w:id="245"/>
      <w:bookmarkEnd w:id="246"/>
    </w:p>
    <w:p w14:paraId="17848DA0" w14:textId="77777777" w:rsidR="00D524A8" w:rsidRPr="00931D46" w:rsidRDefault="00D524A8" w:rsidP="0023353F">
      <w:pPr>
        <w:keepNext/>
        <w:spacing w:before="0" w:after="0"/>
        <w:rPr>
          <w:rFonts w:ascii="Arial" w:hAnsi="Arial" w:cs="Arial"/>
          <w:lang w:eastAsia="es-MX"/>
        </w:rPr>
      </w:pPr>
      <w:bookmarkStart w:id="247" w:name="_Toc41649782"/>
      <w:bookmarkStart w:id="248" w:name="_Toc41649915"/>
    </w:p>
    <w:p w14:paraId="319D101E" w14:textId="1B1BCA67" w:rsidR="00B26513" w:rsidRPr="00330363" w:rsidRDefault="00B26513" w:rsidP="0023353F">
      <w:pPr>
        <w:spacing w:before="0" w:after="0"/>
        <w:rPr>
          <w:rFonts w:ascii="Arial" w:hAnsi="Arial" w:cs="Arial"/>
        </w:rPr>
      </w:pPr>
      <w:r w:rsidRPr="00330363">
        <w:rPr>
          <w:rFonts w:ascii="Arial" w:hAnsi="Arial" w:cs="Arial"/>
        </w:rPr>
        <w:t xml:space="preserve">En los sectores de TyR es común observar mercados en los que </w:t>
      </w:r>
      <w:r w:rsidR="00B91419" w:rsidRPr="00330363">
        <w:rPr>
          <w:rFonts w:ascii="Arial" w:hAnsi="Arial" w:cs="Arial"/>
        </w:rPr>
        <w:t xml:space="preserve">un AE </w:t>
      </w:r>
      <w:r w:rsidRPr="00330363">
        <w:rPr>
          <w:rFonts w:ascii="Arial" w:hAnsi="Arial" w:cs="Arial"/>
        </w:rPr>
        <w:t>provee</w:t>
      </w:r>
      <w:r w:rsidR="00351498" w:rsidRPr="00330363">
        <w:rPr>
          <w:rFonts w:ascii="Arial" w:hAnsi="Arial" w:cs="Arial"/>
        </w:rPr>
        <w:t xml:space="preserve"> algún</w:t>
      </w:r>
      <w:r w:rsidRPr="00330363">
        <w:rPr>
          <w:rFonts w:ascii="Arial" w:hAnsi="Arial" w:cs="Arial"/>
        </w:rPr>
        <w:t xml:space="preserve"> insumo (aguas arriba)</w:t>
      </w:r>
      <w:r w:rsidR="00142E95" w:rsidRPr="00330363">
        <w:rPr>
          <w:rFonts w:ascii="Arial" w:hAnsi="Arial" w:cs="Arial"/>
        </w:rPr>
        <w:t>,</w:t>
      </w:r>
      <w:r w:rsidRPr="00330363">
        <w:rPr>
          <w:rFonts w:ascii="Arial" w:hAnsi="Arial" w:cs="Arial"/>
        </w:rPr>
        <w:t xml:space="preserve"> </w:t>
      </w:r>
      <w:r w:rsidR="00E54DA2" w:rsidRPr="00330363">
        <w:rPr>
          <w:rFonts w:ascii="Arial" w:hAnsi="Arial" w:cs="Arial"/>
        </w:rPr>
        <w:t xml:space="preserve">para </w:t>
      </w:r>
      <w:r w:rsidR="00B91419" w:rsidRPr="00330363">
        <w:rPr>
          <w:rFonts w:ascii="Arial" w:hAnsi="Arial" w:cs="Arial"/>
        </w:rPr>
        <w:t xml:space="preserve">él mismo </w:t>
      </w:r>
      <w:r w:rsidR="00E54DA2" w:rsidRPr="00330363">
        <w:rPr>
          <w:rFonts w:ascii="Arial" w:hAnsi="Arial" w:cs="Arial"/>
        </w:rPr>
        <w:t>(auto</w:t>
      </w:r>
      <w:r w:rsidR="00517DA9" w:rsidRPr="00330363">
        <w:rPr>
          <w:rFonts w:ascii="Arial" w:hAnsi="Arial" w:cs="Arial"/>
        </w:rPr>
        <w:t>abastecimiento</w:t>
      </w:r>
      <w:r w:rsidR="00E54DA2" w:rsidRPr="00330363">
        <w:rPr>
          <w:rFonts w:ascii="Arial" w:hAnsi="Arial" w:cs="Arial"/>
        </w:rPr>
        <w:t xml:space="preserve">) </w:t>
      </w:r>
      <w:r w:rsidR="00A43323" w:rsidRPr="00330363">
        <w:rPr>
          <w:rFonts w:ascii="Arial" w:hAnsi="Arial" w:cs="Arial"/>
        </w:rPr>
        <w:t>y/</w:t>
      </w:r>
      <w:r w:rsidR="00E54DA2" w:rsidRPr="00330363">
        <w:rPr>
          <w:rFonts w:ascii="Arial" w:hAnsi="Arial" w:cs="Arial"/>
        </w:rPr>
        <w:t>o</w:t>
      </w:r>
      <w:r w:rsidR="00142E95" w:rsidRPr="00330363">
        <w:rPr>
          <w:rFonts w:ascii="Arial" w:hAnsi="Arial" w:cs="Arial"/>
        </w:rPr>
        <w:t xml:space="preserve"> </w:t>
      </w:r>
      <w:r w:rsidR="00E54DA2" w:rsidRPr="00330363">
        <w:rPr>
          <w:rFonts w:ascii="Arial" w:hAnsi="Arial" w:cs="Arial"/>
        </w:rPr>
        <w:t xml:space="preserve">para </w:t>
      </w:r>
      <w:r w:rsidRPr="00330363">
        <w:rPr>
          <w:rFonts w:ascii="Arial" w:hAnsi="Arial" w:cs="Arial"/>
        </w:rPr>
        <w:t xml:space="preserve">que </w:t>
      </w:r>
      <w:r w:rsidR="00B91419" w:rsidRPr="00330363">
        <w:rPr>
          <w:rFonts w:ascii="Arial" w:hAnsi="Arial" w:cs="Arial"/>
        </w:rPr>
        <w:t xml:space="preserve">otros AE </w:t>
      </w:r>
      <w:r w:rsidR="00E54DA2" w:rsidRPr="00330363">
        <w:rPr>
          <w:rFonts w:ascii="Arial" w:hAnsi="Arial" w:cs="Arial"/>
        </w:rPr>
        <w:t xml:space="preserve">lo </w:t>
      </w:r>
      <w:r w:rsidRPr="00330363">
        <w:rPr>
          <w:rFonts w:ascii="Arial" w:hAnsi="Arial" w:cs="Arial"/>
        </w:rPr>
        <w:t>utili</w:t>
      </w:r>
      <w:r w:rsidR="00E54DA2" w:rsidRPr="00330363">
        <w:rPr>
          <w:rFonts w:ascii="Arial" w:hAnsi="Arial" w:cs="Arial"/>
        </w:rPr>
        <w:t>cen</w:t>
      </w:r>
      <w:r w:rsidRPr="00330363">
        <w:rPr>
          <w:rFonts w:ascii="Arial" w:hAnsi="Arial" w:cs="Arial"/>
        </w:rPr>
        <w:t xml:space="preserve"> para </w:t>
      </w:r>
      <w:r w:rsidR="00BF1DDE">
        <w:rPr>
          <w:rFonts w:ascii="Arial" w:hAnsi="Arial" w:cs="Arial"/>
        </w:rPr>
        <w:t>proveer un producto</w:t>
      </w:r>
      <w:r w:rsidRPr="00330363">
        <w:rPr>
          <w:rFonts w:ascii="Arial" w:hAnsi="Arial" w:cs="Arial"/>
        </w:rPr>
        <w:t xml:space="preserve"> en una fase posterior de la cadena de valor (aguas abajo).</w:t>
      </w:r>
      <w:r w:rsidR="003D2B94" w:rsidRPr="00330363">
        <w:rPr>
          <w:rStyle w:val="Refdenotaalpie"/>
          <w:rFonts w:ascii="Arial" w:hAnsi="Arial" w:cs="Arial"/>
        </w:rPr>
        <w:footnoteReference w:id="197"/>
      </w:r>
      <w:r w:rsidRPr="00330363">
        <w:rPr>
          <w:rFonts w:ascii="Arial" w:hAnsi="Arial" w:cs="Arial"/>
        </w:rPr>
        <w:t xml:space="preserve"> Estos mercados</w:t>
      </w:r>
      <w:r w:rsidR="00351498" w:rsidRPr="00330363">
        <w:rPr>
          <w:rFonts w:ascii="Arial" w:hAnsi="Arial" w:cs="Arial"/>
        </w:rPr>
        <w:t xml:space="preserve"> ascendentes y descendentes</w:t>
      </w:r>
      <w:r w:rsidRPr="00330363">
        <w:rPr>
          <w:rFonts w:ascii="Arial" w:hAnsi="Arial" w:cs="Arial"/>
        </w:rPr>
        <w:t>, también conocidos como mayoristas y minoristas, respectivamente, se relacionan de diversas maneras; por ejemplo, un solo mercado mayorista puede proporcionar insumos a varios mercados minoristas</w:t>
      </w:r>
      <w:r w:rsidR="00793D5F" w:rsidRPr="00330363">
        <w:rPr>
          <w:rFonts w:ascii="Arial" w:hAnsi="Arial" w:cs="Arial"/>
        </w:rPr>
        <w:t xml:space="preserve"> y los mercados minoristas pueden requerir insumos de varios mercados mayoristas.</w:t>
      </w:r>
      <w:r w:rsidR="00B90F7F" w:rsidRPr="00330363">
        <w:rPr>
          <w:rFonts w:ascii="Arial" w:hAnsi="Arial" w:cs="Arial"/>
        </w:rPr>
        <w:t xml:space="preserve"> La OCDE ha señalado que la demanda aguas arriba es una demanda derivada de la demanda del </w:t>
      </w:r>
      <w:r w:rsidR="00330363" w:rsidRPr="00330363">
        <w:rPr>
          <w:rFonts w:ascii="Arial" w:hAnsi="Arial" w:cs="Arial"/>
        </w:rPr>
        <w:t>producto</w:t>
      </w:r>
      <w:r w:rsidR="00B90F7F" w:rsidRPr="00330363">
        <w:rPr>
          <w:rFonts w:ascii="Arial" w:hAnsi="Arial" w:cs="Arial"/>
        </w:rPr>
        <w:t xml:space="preserve"> aguas abajo.</w:t>
      </w:r>
      <w:r w:rsidR="00B90F7F" w:rsidRPr="00330363">
        <w:rPr>
          <w:rStyle w:val="Refdenotaalpie"/>
          <w:rFonts w:ascii="Arial" w:hAnsi="Arial" w:cs="Arial"/>
        </w:rPr>
        <w:footnoteReference w:id="198"/>
      </w:r>
    </w:p>
    <w:p w14:paraId="71801C26" w14:textId="77777777" w:rsidR="00E0372D" w:rsidRPr="00330363" w:rsidRDefault="00E0372D" w:rsidP="0023353F">
      <w:pPr>
        <w:spacing w:before="0" w:after="0"/>
        <w:rPr>
          <w:rFonts w:ascii="Arial" w:hAnsi="Arial" w:cs="Arial"/>
        </w:rPr>
      </w:pPr>
    </w:p>
    <w:p w14:paraId="5AC4C20F" w14:textId="263B2A8C" w:rsidR="00B26513" w:rsidRPr="00330363" w:rsidRDefault="00B26513" w:rsidP="0023353F">
      <w:pPr>
        <w:spacing w:before="0" w:after="0"/>
        <w:rPr>
          <w:rFonts w:ascii="Arial" w:hAnsi="Arial" w:cs="Arial"/>
        </w:rPr>
      </w:pPr>
      <w:r w:rsidRPr="00330363">
        <w:rPr>
          <w:rFonts w:ascii="Arial" w:hAnsi="Arial" w:cs="Arial"/>
        </w:rPr>
        <w:t>Cuando un AE participa tanto en mercados aguas arriba como en mercados aguas abajo, se dice que está integrado verticalmente. La ICN define las concentraciones verticales como operaci</w:t>
      </w:r>
      <w:r w:rsidR="00793D5F" w:rsidRPr="00330363">
        <w:rPr>
          <w:rFonts w:ascii="Arial" w:hAnsi="Arial" w:cs="Arial"/>
        </w:rPr>
        <w:t>o</w:t>
      </w:r>
      <w:r w:rsidRPr="00330363">
        <w:rPr>
          <w:rFonts w:ascii="Arial" w:hAnsi="Arial" w:cs="Arial"/>
        </w:rPr>
        <w:t>n</w:t>
      </w:r>
      <w:r w:rsidR="00793D5F" w:rsidRPr="00330363">
        <w:rPr>
          <w:rFonts w:ascii="Arial" w:hAnsi="Arial" w:cs="Arial"/>
        </w:rPr>
        <w:t>es</w:t>
      </w:r>
      <w:r w:rsidRPr="00330363">
        <w:rPr>
          <w:rFonts w:ascii="Arial" w:hAnsi="Arial" w:cs="Arial"/>
        </w:rPr>
        <w:t xml:space="preserve"> entre </w:t>
      </w:r>
      <w:r w:rsidRPr="00330363">
        <w:rPr>
          <w:rFonts w:ascii="Arial" w:hAnsi="Arial" w:cs="Arial"/>
          <w:i/>
        </w:rPr>
        <w:t>“una empresa que opera aguas arriba y aguas abajo en diferentes niveles de la cadena de suministro de un mismo bien o servicio.”</w:t>
      </w:r>
      <w:r w:rsidRPr="00330363">
        <w:rPr>
          <w:rFonts w:ascii="Arial" w:hAnsi="Arial" w:cs="Arial"/>
          <w:vertAlign w:val="superscript"/>
        </w:rPr>
        <w:t xml:space="preserve"> </w:t>
      </w:r>
      <w:r w:rsidRPr="00330363">
        <w:rPr>
          <w:rFonts w:ascii="Arial" w:hAnsi="Arial" w:cs="Arial"/>
          <w:vertAlign w:val="superscript"/>
          <w:lang w:val="en-US"/>
        </w:rPr>
        <w:footnoteReference w:id="199"/>
      </w:r>
      <w:r w:rsidR="00E54DA2" w:rsidRPr="00330363">
        <w:rPr>
          <w:rFonts w:ascii="Arial" w:hAnsi="Arial" w:cs="Arial"/>
        </w:rPr>
        <w:t xml:space="preserve"> </w:t>
      </w:r>
    </w:p>
    <w:p w14:paraId="495594C9" w14:textId="77777777" w:rsidR="00E0372D" w:rsidRPr="00330363" w:rsidRDefault="00E0372D" w:rsidP="0023353F">
      <w:pPr>
        <w:spacing w:before="0" w:after="0"/>
        <w:rPr>
          <w:rFonts w:ascii="Arial" w:hAnsi="Arial" w:cs="Arial"/>
        </w:rPr>
      </w:pPr>
    </w:p>
    <w:p w14:paraId="7339CCF7" w14:textId="67BD55D8" w:rsidR="00E63136" w:rsidRPr="00330363" w:rsidRDefault="00B26513" w:rsidP="0023353F">
      <w:pPr>
        <w:spacing w:before="0" w:after="0"/>
        <w:rPr>
          <w:rFonts w:ascii="Arial" w:hAnsi="Arial" w:cs="Arial"/>
        </w:rPr>
      </w:pPr>
      <w:r w:rsidRPr="00330363">
        <w:rPr>
          <w:rFonts w:ascii="Arial" w:hAnsi="Arial" w:cs="Arial"/>
        </w:rPr>
        <w:t>Cuando un AE está integrado verticalmente, internaliza el control de las decisiones de producción y distribución de una misma cadena de valor</w:t>
      </w:r>
      <w:r w:rsidRPr="00330363">
        <w:rPr>
          <w:rFonts w:ascii="Arial" w:hAnsi="Arial" w:cs="Arial"/>
          <w:iCs/>
        </w:rPr>
        <w:t>.</w:t>
      </w:r>
      <w:r w:rsidRPr="00330363">
        <w:rPr>
          <w:rStyle w:val="Refdenotaalpie"/>
          <w:rFonts w:ascii="Arial" w:hAnsi="Arial" w:cs="Arial"/>
          <w:color w:val="000000"/>
        </w:rPr>
        <w:footnoteReference w:id="200"/>
      </w:r>
      <w:r w:rsidRPr="00330363">
        <w:rPr>
          <w:rFonts w:ascii="Arial" w:hAnsi="Arial" w:cs="Arial"/>
          <w:iCs/>
        </w:rPr>
        <w:t xml:space="preserve"> </w:t>
      </w:r>
      <w:r w:rsidRPr="00330363">
        <w:rPr>
          <w:rFonts w:ascii="Arial" w:hAnsi="Arial" w:cs="Arial"/>
        </w:rPr>
        <w:t xml:space="preserve">En consecuencia, una integración vertical puede impactar la competencia </w:t>
      </w:r>
      <w:r w:rsidR="00001E6D" w:rsidRPr="00330363">
        <w:rPr>
          <w:rFonts w:ascii="Arial" w:hAnsi="Arial" w:cs="Arial"/>
        </w:rPr>
        <w:t>en</w:t>
      </w:r>
      <w:r w:rsidRPr="00330363">
        <w:rPr>
          <w:rFonts w:ascii="Arial" w:hAnsi="Arial" w:cs="Arial"/>
        </w:rPr>
        <w:t xml:space="preserve"> distintas fases de una misma cadena de valor, por lo que su evaluación debe considerar sus efectos en, al menos, cada una de las distintas fases en las que </w:t>
      </w:r>
      <w:r w:rsidR="00351498" w:rsidRPr="00330363">
        <w:rPr>
          <w:rFonts w:ascii="Arial" w:hAnsi="Arial" w:cs="Arial"/>
        </w:rPr>
        <w:t xml:space="preserve">tiene </w:t>
      </w:r>
      <w:r w:rsidRPr="00330363">
        <w:rPr>
          <w:rFonts w:ascii="Arial" w:hAnsi="Arial" w:cs="Arial"/>
        </w:rPr>
        <w:t xml:space="preserve">efectos. </w:t>
      </w:r>
    </w:p>
    <w:p w14:paraId="0B7919CB" w14:textId="77777777" w:rsidR="00E63136" w:rsidRPr="00330363" w:rsidRDefault="00E63136" w:rsidP="0023353F">
      <w:pPr>
        <w:spacing w:before="0" w:after="0"/>
        <w:rPr>
          <w:rFonts w:ascii="Arial" w:hAnsi="Arial" w:cs="Arial"/>
        </w:rPr>
      </w:pPr>
    </w:p>
    <w:p w14:paraId="3FDF302D" w14:textId="1753B46A" w:rsidR="00B26513" w:rsidRPr="00330363" w:rsidRDefault="00B26513" w:rsidP="0023353F">
      <w:pPr>
        <w:spacing w:before="0" w:after="0"/>
        <w:rPr>
          <w:rFonts w:ascii="Arial" w:hAnsi="Arial" w:cs="Arial"/>
        </w:rPr>
      </w:pPr>
      <w:r w:rsidRPr="00330363">
        <w:rPr>
          <w:rFonts w:ascii="Arial" w:hAnsi="Arial" w:cs="Arial"/>
        </w:rPr>
        <w:t xml:space="preserve">Para ello, </w:t>
      </w:r>
      <w:r w:rsidR="00001E6D" w:rsidRPr="00330363">
        <w:rPr>
          <w:rFonts w:ascii="Arial" w:hAnsi="Arial" w:cs="Arial"/>
        </w:rPr>
        <w:t xml:space="preserve">en </w:t>
      </w:r>
      <w:r w:rsidRPr="00330363">
        <w:rPr>
          <w:rFonts w:ascii="Arial" w:hAnsi="Arial" w:cs="Arial"/>
        </w:rPr>
        <w:t xml:space="preserve">la práctica de competencia nacional e internacional </w:t>
      </w:r>
      <w:r w:rsidR="00001E6D" w:rsidRPr="00330363">
        <w:rPr>
          <w:rFonts w:ascii="Arial" w:hAnsi="Arial" w:cs="Arial"/>
        </w:rPr>
        <w:t>usualmente se</w:t>
      </w:r>
      <w:r w:rsidRPr="00330363">
        <w:rPr>
          <w:rFonts w:ascii="Arial" w:hAnsi="Arial" w:cs="Arial"/>
        </w:rPr>
        <w:t xml:space="preserve"> definen distintos MR, los cuales identifican la fase de producción</w:t>
      </w:r>
      <w:r w:rsidR="00BF1DDE">
        <w:rPr>
          <w:rFonts w:ascii="Arial" w:hAnsi="Arial" w:cs="Arial"/>
        </w:rPr>
        <w:t xml:space="preserve"> o </w:t>
      </w:r>
      <w:r w:rsidRPr="00330363">
        <w:rPr>
          <w:rFonts w:ascii="Arial" w:hAnsi="Arial" w:cs="Arial"/>
        </w:rPr>
        <w:t xml:space="preserve">distribución </w:t>
      </w:r>
      <w:r w:rsidR="00001E6D" w:rsidRPr="00330363">
        <w:rPr>
          <w:rFonts w:ascii="Arial" w:hAnsi="Arial" w:cs="Arial"/>
        </w:rPr>
        <w:t>a la que corresponden</w:t>
      </w:r>
      <w:r w:rsidR="00351498" w:rsidRPr="00330363">
        <w:rPr>
          <w:rFonts w:ascii="Arial" w:hAnsi="Arial" w:cs="Arial"/>
        </w:rPr>
        <w:t>:</w:t>
      </w:r>
      <w:r w:rsidRPr="00330363">
        <w:rPr>
          <w:rFonts w:ascii="Arial" w:hAnsi="Arial" w:cs="Arial"/>
        </w:rPr>
        <w:t xml:space="preserve"> comprenden mercados aguas arriba (provisión de insumos, mercados mayoristas) y mercados aguas abajo (venta a usuarios/consumidores finales, mercados minoristas).</w:t>
      </w:r>
      <w:r w:rsidR="00E529F4" w:rsidRPr="00330363">
        <w:rPr>
          <w:rFonts w:ascii="Arial" w:hAnsi="Arial" w:cs="Arial"/>
        </w:rPr>
        <w:t xml:space="preserve"> </w:t>
      </w:r>
      <w:r w:rsidR="00D176A3" w:rsidRPr="00330363">
        <w:rPr>
          <w:rFonts w:ascii="Arial" w:hAnsi="Arial" w:cs="Arial"/>
        </w:rPr>
        <w:t>Asimismo</w:t>
      </w:r>
      <w:r w:rsidR="00E529F4" w:rsidRPr="00330363">
        <w:rPr>
          <w:rFonts w:ascii="Arial" w:hAnsi="Arial" w:cs="Arial"/>
        </w:rPr>
        <w:t xml:space="preserve">, </w:t>
      </w:r>
      <w:r w:rsidR="00E63136" w:rsidRPr="00330363">
        <w:rPr>
          <w:rFonts w:ascii="Arial" w:hAnsi="Arial" w:cs="Arial"/>
        </w:rPr>
        <w:t xml:space="preserve">se identifica que la delimitación de los MR minoristas puede tener un </w:t>
      </w:r>
      <w:r w:rsidR="00EC1E9E" w:rsidRPr="00330363">
        <w:rPr>
          <w:rFonts w:ascii="Arial" w:hAnsi="Arial" w:cs="Arial"/>
        </w:rPr>
        <w:t>impacto</w:t>
      </w:r>
      <w:r w:rsidR="00E63136" w:rsidRPr="00330363">
        <w:rPr>
          <w:rFonts w:ascii="Arial" w:hAnsi="Arial" w:cs="Arial"/>
        </w:rPr>
        <w:t xml:space="preserve"> en la delimitación de los MR mayoristas</w:t>
      </w:r>
      <w:r w:rsidR="00B90F7F" w:rsidRPr="00330363">
        <w:rPr>
          <w:rFonts w:ascii="Arial" w:hAnsi="Arial" w:cs="Arial"/>
        </w:rPr>
        <w:t xml:space="preserve"> (restricciones indirectas)</w:t>
      </w:r>
      <w:r w:rsidR="002A3C3C" w:rsidRPr="00330363">
        <w:rPr>
          <w:rFonts w:ascii="Arial" w:hAnsi="Arial" w:cs="Arial"/>
        </w:rPr>
        <w:t>.</w:t>
      </w:r>
      <w:r w:rsidR="00E63136" w:rsidRPr="00330363">
        <w:rPr>
          <w:rFonts w:ascii="Arial" w:hAnsi="Arial" w:cs="Arial"/>
        </w:rPr>
        <w:t xml:space="preserve"> </w:t>
      </w:r>
    </w:p>
    <w:p w14:paraId="7048075C" w14:textId="77777777" w:rsidR="00E0372D" w:rsidRPr="00330363" w:rsidRDefault="00E0372D" w:rsidP="0023353F">
      <w:pPr>
        <w:spacing w:before="0" w:after="0"/>
        <w:rPr>
          <w:rFonts w:ascii="Arial" w:hAnsi="Arial" w:cs="Arial"/>
        </w:rPr>
      </w:pPr>
    </w:p>
    <w:p w14:paraId="164F4C89" w14:textId="77777777" w:rsidR="00B26513" w:rsidRPr="00330363" w:rsidRDefault="00B26513"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49" w:name="_Toc41649771"/>
      <w:bookmarkStart w:id="250" w:name="_Toc41649912"/>
      <w:bookmarkStart w:id="251" w:name="_Toc45628362"/>
      <w:bookmarkStart w:id="252" w:name="_Toc39855719"/>
      <w:r w:rsidRPr="00330363">
        <w:rPr>
          <w:rFonts w:ascii="Arial" w:eastAsia="Times New Roman" w:hAnsi="Arial" w:cs="Arial"/>
          <w:b/>
          <w:color w:val="auto"/>
          <w:sz w:val="26"/>
          <w:szCs w:val="26"/>
          <w:lang w:eastAsia="es-MX"/>
        </w:rPr>
        <w:t>Precedentes decisorios del Instituto</w:t>
      </w:r>
      <w:bookmarkEnd w:id="249"/>
      <w:bookmarkEnd w:id="250"/>
      <w:bookmarkEnd w:id="251"/>
      <w:r w:rsidRPr="00330363">
        <w:rPr>
          <w:rFonts w:ascii="Arial" w:eastAsia="Times New Roman" w:hAnsi="Arial" w:cs="Arial"/>
          <w:b/>
          <w:color w:val="auto"/>
          <w:sz w:val="26"/>
          <w:szCs w:val="26"/>
          <w:lang w:eastAsia="es-MX"/>
        </w:rPr>
        <w:t xml:space="preserve"> </w:t>
      </w:r>
      <w:bookmarkEnd w:id="252"/>
    </w:p>
    <w:p w14:paraId="7B37DDD6" w14:textId="77777777" w:rsidR="00E0372D" w:rsidRPr="00330363" w:rsidRDefault="00E0372D" w:rsidP="0023353F">
      <w:pPr>
        <w:keepNext/>
        <w:spacing w:before="0" w:after="0"/>
        <w:rPr>
          <w:rFonts w:ascii="Arial" w:hAnsi="Arial" w:cs="Arial"/>
        </w:rPr>
      </w:pPr>
    </w:p>
    <w:p w14:paraId="5D9BF96A" w14:textId="77777777" w:rsidR="00B26513" w:rsidRPr="00330363"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53" w:name="_Toc39855720"/>
      <w:bookmarkStart w:id="254" w:name="_Toc41649772"/>
      <w:r w:rsidRPr="00330363">
        <w:rPr>
          <w:rFonts w:ascii="Arial" w:eastAsia="Times New Roman" w:hAnsi="Arial" w:cs="Arial"/>
          <w:b/>
          <w:i w:val="0"/>
          <w:color w:val="auto"/>
          <w:lang w:val="en-US" w:eastAsia="es-MX"/>
        </w:rPr>
        <w:t>AT&amp;T / Time Warner</w:t>
      </w:r>
      <w:bookmarkEnd w:id="253"/>
      <w:bookmarkEnd w:id="254"/>
      <w:r w:rsidR="008A63B4" w:rsidRPr="00330363">
        <w:rPr>
          <w:rFonts w:ascii="Arial" w:eastAsia="Times New Roman" w:hAnsi="Arial" w:cs="Arial"/>
          <w:b/>
          <w:i w:val="0"/>
          <w:color w:val="auto"/>
          <w:vertAlign w:val="superscript"/>
          <w:lang w:eastAsia="es-MX"/>
        </w:rPr>
        <w:footnoteReference w:id="201"/>
      </w:r>
    </w:p>
    <w:p w14:paraId="43BC3E62" w14:textId="77777777" w:rsidR="00E0372D" w:rsidRPr="00330363" w:rsidRDefault="00E0372D" w:rsidP="0023353F">
      <w:pPr>
        <w:keepNext/>
        <w:spacing w:before="0" w:after="0"/>
        <w:rPr>
          <w:rFonts w:ascii="Arial" w:hAnsi="Arial" w:cs="Arial"/>
          <w:lang w:val="en-US"/>
        </w:rPr>
      </w:pPr>
    </w:p>
    <w:p w14:paraId="27B21E81" w14:textId="6DC921D3" w:rsidR="00B26513" w:rsidRPr="00330363" w:rsidRDefault="002F2B2B" w:rsidP="0023353F">
      <w:pPr>
        <w:spacing w:before="0" w:after="0"/>
        <w:rPr>
          <w:rFonts w:ascii="Arial" w:hAnsi="Arial" w:cs="Arial"/>
        </w:rPr>
      </w:pPr>
      <w:r w:rsidRPr="00330363">
        <w:rPr>
          <w:rFonts w:ascii="Arial" w:hAnsi="Arial" w:cs="Arial"/>
        </w:rPr>
        <w:t>En esta</w:t>
      </w:r>
      <w:r w:rsidR="00B26513" w:rsidRPr="00330363">
        <w:rPr>
          <w:rFonts w:ascii="Arial" w:hAnsi="Arial" w:cs="Arial"/>
        </w:rPr>
        <w:t xml:space="preserve"> concentración </w:t>
      </w:r>
      <w:r w:rsidRPr="00330363">
        <w:rPr>
          <w:rFonts w:ascii="Arial" w:hAnsi="Arial" w:cs="Arial"/>
        </w:rPr>
        <w:t>se identificaron</w:t>
      </w:r>
      <w:r w:rsidR="00B26513" w:rsidRPr="00330363">
        <w:rPr>
          <w:rFonts w:ascii="Arial" w:hAnsi="Arial" w:cs="Arial"/>
        </w:rPr>
        <w:t xml:space="preserve"> efectos verticales.</w:t>
      </w:r>
      <w:r w:rsidR="00B26513" w:rsidRPr="00330363" w:rsidDel="00E95A86">
        <w:rPr>
          <w:rFonts w:ascii="Arial" w:hAnsi="Arial" w:cs="Arial"/>
        </w:rPr>
        <w:t xml:space="preserve"> </w:t>
      </w:r>
      <w:r w:rsidR="00B26513" w:rsidRPr="00330363">
        <w:rPr>
          <w:rFonts w:ascii="Arial" w:hAnsi="Arial" w:cs="Arial"/>
        </w:rPr>
        <w:t>Por un lado, AT&amp;T ofrece servicios y productos de telecomunicaciones móviles y contaba hasta antes de la operación con acciones en Sky México, proveedor de</w:t>
      </w:r>
      <w:r w:rsidR="00415474" w:rsidRPr="00330363">
        <w:rPr>
          <w:rFonts w:ascii="Arial" w:hAnsi="Arial" w:cs="Arial"/>
        </w:rPr>
        <w:t>l</w:t>
      </w:r>
      <w:r w:rsidR="00B26513" w:rsidRPr="00330363">
        <w:rPr>
          <w:rFonts w:ascii="Arial" w:hAnsi="Arial" w:cs="Arial"/>
        </w:rPr>
        <w:t xml:space="preserve"> STAR.</w:t>
      </w:r>
      <w:r w:rsidR="00B26513" w:rsidRPr="00330363" w:rsidDel="00E95A86">
        <w:rPr>
          <w:rStyle w:val="Refdenotaalpie"/>
          <w:rFonts w:ascii="Arial" w:hAnsi="Arial" w:cs="Arial"/>
        </w:rPr>
        <w:footnoteReference w:id="202"/>
      </w:r>
      <w:r w:rsidR="00B26513" w:rsidRPr="00330363">
        <w:rPr>
          <w:rFonts w:ascii="Arial" w:hAnsi="Arial" w:cs="Arial"/>
        </w:rPr>
        <w:t xml:space="preserve"> Por otro lado, Time Warner</w:t>
      </w:r>
      <w:r w:rsidR="002B5389" w:rsidRPr="00330363">
        <w:rPr>
          <w:rFonts w:ascii="Arial" w:hAnsi="Arial" w:cs="Arial"/>
        </w:rPr>
        <w:t xml:space="preserve"> </w:t>
      </w:r>
      <w:r w:rsidR="00B26513" w:rsidRPr="00330363">
        <w:rPr>
          <w:rFonts w:ascii="Arial" w:hAnsi="Arial" w:cs="Arial"/>
        </w:rPr>
        <w:t xml:space="preserve">es uno de los principales proveedores de CA para </w:t>
      </w:r>
      <w:r w:rsidR="004226DB" w:rsidRPr="00330363">
        <w:rPr>
          <w:rFonts w:ascii="Arial" w:hAnsi="Arial" w:cs="Arial"/>
        </w:rPr>
        <w:t xml:space="preserve">el </w:t>
      </w:r>
      <w:r w:rsidR="00B26513" w:rsidRPr="00330363">
        <w:rPr>
          <w:rFonts w:ascii="Arial" w:hAnsi="Arial" w:cs="Arial"/>
        </w:rPr>
        <w:t xml:space="preserve">STAR, </w:t>
      </w:r>
      <w:r w:rsidR="004226DB" w:rsidRPr="00330363">
        <w:rPr>
          <w:rFonts w:ascii="Arial" w:hAnsi="Arial" w:cs="Arial"/>
        </w:rPr>
        <w:t xml:space="preserve">servicios </w:t>
      </w:r>
      <w:r w:rsidR="00B26513" w:rsidRPr="00330363">
        <w:rPr>
          <w:rFonts w:ascii="Arial" w:hAnsi="Arial" w:cs="Arial"/>
        </w:rPr>
        <w:t xml:space="preserve">OTT y </w:t>
      </w:r>
      <w:r w:rsidR="009D2C58" w:rsidRPr="00330363">
        <w:rPr>
          <w:rFonts w:ascii="Arial" w:hAnsi="Arial" w:cs="Arial"/>
        </w:rPr>
        <w:t>TV Abierta</w:t>
      </w:r>
      <w:r w:rsidR="00B26513" w:rsidRPr="00330363">
        <w:rPr>
          <w:rFonts w:ascii="Arial" w:hAnsi="Arial" w:cs="Arial"/>
        </w:rPr>
        <w:t>. En consecuencia, la operación implicó una integración vertical.</w:t>
      </w:r>
    </w:p>
    <w:p w14:paraId="7748F9BA" w14:textId="77777777" w:rsidR="00E0372D" w:rsidRPr="00330363" w:rsidRDefault="00E0372D" w:rsidP="0023353F">
      <w:pPr>
        <w:spacing w:before="0" w:after="0"/>
        <w:rPr>
          <w:rFonts w:ascii="Arial" w:hAnsi="Arial" w:cs="Arial"/>
        </w:rPr>
      </w:pPr>
    </w:p>
    <w:p w14:paraId="45A13D9F" w14:textId="020EF902" w:rsidR="00B26513" w:rsidRPr="00330363" w:rsidRDefault="00B26513" w:rsidP="004C5316">
      <w:pPr>
        <w:pStyle w:val="Textonotapie"/>
        <w:spacing w:line="276" w:lineRule="auto"/>
        <w:rPr>
          <w:rFonts w:ascii="Arial" w:hAnsi="Arial" w:cs="Arial"/>
          <w:sz w:val="22"/>
          <w:szCs w:val="22"/>
        </w:rPr>
      </w:pPr>
      <w:r w:rsidRPr="00330363">
        <w:rPr>
          <w:rFonts w:ascii="Arial" w:hAnsi="Arial" w:cs="Arial"/>
          <w:sz w:val="22"/>
          <w:szCs w:val="22"/>
        </w:rPr>
        <w:t xml:space="preserve">Para determinar los mercados en los que la operación tendría efectos, se identificó que la cadena de valor está integrada por: </w:t>
      </w:r>
      <w:r w:rsidR="00EC0DC0" w:rsidRPr="00330363">
        <w:rPr>
          <w:rFonts w:ascii="Arial" w:hAnsi="Arial" w:cs="Arial"/>
          <w:sz w:val="22"/>
          <w:szCs w:val="22"/>
        </w:rPr>
        <w:t xml:space="preserve">i) producción de CA, </w:t>
      </w:r>
      <w:r w:rsidRPr="00330363">
        <w:rPr>
          <w:rFonts w:ascii="Arial" w:hAnsi="Arial" w:cs="Arial"/>
          <w:sz w:val="22"/>
          <w:szCs w:val="22"/>
        </w:rPr>
        <w:t>ii) pro</w:t>
      </w:r>
      <w:r w:rsidR="00EC0DC0" w:rsidRPr="00330363">
        <w:rPr>
          <w:rFonts w:ascii="Arial" w:hAnsi="Arial" w:cs="Arial"/>
          <w:sz w:val="22"/>
          <w:szCs w:val="22"/>
        </w:rPr>
        <w:t xml:space="preserve">visión y licenciamiento de CA, </w:t>
      </w:r>
      <w:r w:rsidRPr="00330363">
        <w:rPr>
          <w:rFonts w:ascii="Arial" w:hAnsi="Arial" w:cs="Arial"/>
          <w:sz w:val="22"/>
          <w:szCs w:val="22"/>
        </w:rPr>
        <w:t xml:space="preserve">iii) distribución de CA a operadores de </w:t>
      </w:r>
      <w:r w:rsidR="009D2C58" w:rsidRPr="00330363">
        <w:rPr>
          <w:rFonts w:ascii="Arial" w:hAnsi="Arial" w:cs="Arial"/>
          <w:sz w:val="22"/>
          <w:szCs w:val="22"/>
        </w:rPr>
        <w:t>TV Abierta</w:t>
      </w:r>
      <w:r w:rsidR="00EC0DC0" w:rsidRPr="00330363">
        <w:rPr>
          <w:rFonts w:ascii="Arial" w:hAnsi="Arial" w:cs="Arial"/>
          <w:sz w:val="22"/>
          <w:szCs w:val="22"/>
        </w:rPr>
        <w:t xml:space="preserve">, STAR y </w:t>
      </w:r>
      <w:r w:rsidR="00801986" w:rsidRPr="00330363">
        <w:rPr>
          <w:rFonts w:ascii="Arial" w:hAnsi="Arial" w:cs="Arial"/>
          <w:sz w:val="22"/>
          <w:szCs w:val="22"/>
        </w:rPr>
        <w:t xml:space="preserve">servicios </w:t>
      </w:r>
      <w:r w:rsidR="00EC0DC0" w:rsidRPr="00330363">
        <w:rPr>
          <w:rFonts w:ascii="Arial" w:hAnsi="Arial" w:cs="Arial"/>
          <w:sz w:val="22"/>
          <w:szCs w:val="22"/>
        </w:rPr>
        <w:t xml:space="preserve">OTT; y </w:t>
      </w:r>
      <w:r w:rsidRPr="00330363">
        <w:rPr>
          <w:rFonts w:ascii="Arial" w:hAnsi="Arial" w:cs="Arial"/>
          <w:sz w:val="22"/>
          <w:szCs w:val="22"/>
        </w:rPr>
        <w:t>iv) servicios a usuarios finales. Por consiguiente, derivado de la operación</w:t>
      </w:r>
      <w:r w:rsidR="00EC0DC0" w:rsidRPr="00330363">
        <w:rPr>
          <w:rFonts w:ascii="Arial" w:hAnsi="Arial" w:cs="Arial"/>
          <w:sz w:val="22"/>
          <w:szCs w:val="22"/>
        </w:rPr>
        <w:t xml:space="preserve">, las partes participarían en: </w:t>
      </w:r>
      <w:r w:rsidRPr="00330363">
        <w:rPr>
          <w:rFonts w:ascii="Arial" w:hAnsi="Arial" w:cs="Arial"/>
          <w:sz w:val="22"/>
          <w:szCs w:val="22"/>
        </w:rPr>
        <w:t>i) producción, licenciamiento y comercialización mayorista de CA (ag</w:t>
      </w:r>
      <w:r w:rsidR="00EC0DC0" w:rsidRPr="00330363">
        <w:rPr>
          <w:rFonts w:ascii="Arial" w:hAnsi="Arial" w:cs="Arial"/>
          <w:sz w:val="22"/>
          <w:szCs w:val="22"/>
        </w:rPr>
        <w:t xml:space="preserve">uas arriba) para </w:t>
      </w:r>
      <w:r w:rsidR="00801986" w:rsidRPr="00330363">
        <w:rPr>
          <w:rFonts w:ascii="Arial" w:hAnsi="Arial" w:cs="Arial"/>
          <w:sz w:val="22"/>
          <w:szCs w:val="22"/>
        </w:rPr>
        <w:t xml:space="preserve">el </w:t>
      </w:r>
      <w:r w:rsidR="00EC0DC0" w:rsidRPr="00330363">
        <w:rPr>
          <w:rFonts w:ascii="Arial" w:hAnsi="Arial" w:cs="Arial"/>
          <w:sz w:val="22"/>
          <w:szCs w:val="22"/>
        </w:rPr>
        <w:t xml:space="preserve">STAR y </w:t>
      </w:r>
      <w:r w:rsidR="00801986" w:rsidRPr="00330363">
        <w:rPr>
          <w:rFonts w:ascii="Arial" w:hAnsi="Arial" w:cs="Arial"/>
          <w:sz w:val="22"/>
          <w:szCs w:val="22"/>
        </w:rPr>
        <w:t xml:space="preserve">servicios </w:t>
      </w:r>
      <w:r w:rsidR="00EC0DC0" w:rsidRPr="00330363">
        <w:rPr>
          <w:rFonts w:ascii="Arial" w:hAnsi="Arial" w:cs="Arial"/>
          <w:sz w:val="22"/>
          <w:szCs w:val="22"/>
        </w:rPr>
        <w:t xml:space="preserve">OTT; y </w:t>
      </w:r>
      <w:r w:rsidRPr="00330363">
        <w:rPr>
          <w:rFonts w:ascii="Arial" w:hAnsi="Arial" w:cs="Arial"/>
          <w:sz w:val="22"/>
          <w:szCs w:val="22"/>
        </w:rPr>
        <w:t>ii) distribución de CA (aguas abajo).</w:t>
      </w:r>
      <w:r w:rsidR="0067721A" w:rsidRPr="00330363">
        <w:rPr>
          <w:rFonts w:ascii="Arial" w:hAnsi="Arial" w:cs="Arial"/>
          <w:sz w:val="22"/>
          <w:szCs w:val="22"/>
        </w:rPr>
        <w:t xml:space="preserve"> </w:t>
      </w:r>
      <w:r w:rsidR="00F60260" w:rsidRPr="00330363">
        <w:rPr>
          <w:rFonts w:ascii="Arial" w:hAnsi="Arial" w:cs="Arial"/>
          <w:sz w:val="22"/>
          <w:szCs w:val="22"/>
        </w:rPr>
        <w:t>Considerando las actividades de la parte adquirida</w:t>
      </w:r>
      <w:r w:rsidR="0067721A" w:rsidRPr="00330363">
        <w:rPr>
          <w:rFonts w:ascii="Arial" w:hAnsi="Arial" w:cs="Arial"/>
          <w:sz w:val="22"/>
          <w:szCs w:val="22"/>
        </w:rPr>
        <w:t>, se defini</w:t>
      </w:r>
      <w:r w:rsidR="00F0024D" w:rsidRPr="00330363">
        <w:rPr>
          <w:rFonts w:ascii="Arial" w:hAnsi="Arial" w:cs="Arial"/>
          <w:sz w:val="22"/>
          <w:szCs w:val="22"/>
        </w:rPr>
        <w:t xml:space="preserve">ó el MR de </w:t>
      </w:r>
      <w:r w:rsidR="008A63B4" w:rsidRPr="00330363">
        <w:rPr>
          <w:rFonts w:ascii="Arial" w:hAnsi="Arial" w:cs="Arial"/>
          <w:sz w:val="22"/>
          <w:szCs w:val="22"/>
        </w:rPr>
        <w:t>CA</w:t>
      </w:r>
      <w:r w:rsidR="00F0024D" w:rsidRPr="00330363">
        <w:rPr>
          <w:rFonts w:ascii="Arial" w:hAnsi="Arial" w:cs="Arial"/>
          <w:sz w:val="22"/>
          <w:szCs w:val="22"/>
        </w:rPr>
        <w:t xml:space="preserve"> a proveedores de</w:t>
      </w:r>
      <w:r w:rsidR="00801986" w:rsidRPr="00330363">
        <w:rPr>
          <w:rFonts w:ascii="Arial" w:hAnsi="Arial" w:cs="Arial"/>
          <w:sz w:val="22"/>
          <w:szCs w:val="22"/>
        </w:rPr>
        <w:t>l</w:t>
      </w:r>
      <w:r w:rsidR="00F0024D" w:rsidRPr="00330363">
        <w:rPr>
          <w:rFonts w:ascii="Arial" w:hAnsi="Arial" w:cs="Arial"/>
          <w:sz w:val="22"/>
          <w:szCs w:val="22"/>
        </w:rPr>
        <w:t xml:space="preserve"> STAR a nivel nacional, en las diferentes categorías de canales básicos, así como los canales </w:t>
      </w:r>
      <w:r w:rsidR="00F0024D" w:rsidRPr="00330363">
        <w:rPr>
          <w:rFonts w:ascii="Arial" w:hAnsi="Arial" w:cs="Arial"/>
          <w:i/>
          <w:sz w:val="22"/>
          <w:szCs w:val="22"/>
        </w:rPr>
        <w:t>premium</w:t>
      </w:r>
      <w:r w:rsidR="00F0024D" w:rsidRPr="00330363">
        <w:rPr>
          <w:rFonts w:ascii="Arial" w:hAnsi="Arial" w:cs="Arial"/>
          <w:sz w:val="22"/>
          <w:szCs w:val="22"/>
        </w:rPr>
        <w:t xml:space="preserve">, </w:t>
      </w:r>
      <w:r w:rsidR="00F60260" w:rsidRPr="00330363">
        <w:rPr>
          <w:rFonts w:ascii="Arial" w:hAnsi="Arial" w:cs="Arial"/>
          <w:sz w:val="22"/>
          <w:szCs w:val="22"/>
        </w:rPr>
        <w:t xml:space="preserve">mientras que, considerando la participación de AT&amp;T en Sky México, se determinó el </w:t>
      </w:r>
      <w:r w:rsidR="00F0024D" w:rsidRPr="00330363">
        <w:rPr>
          <w:rFonts w:ascii="Arial" w:hAnsi="Arial" w:cs="Arial"/>
          <w:sz w:val="22"/>
          <w:szCs w:val="22"/>
        </w:rPr>
        <w:t>mercado relacionado de provi</w:t>
      </w:r>
      <w:r w:rsidR="009C0EFE" w:rsidRPr="00330363">
        <w:rPr>
          <w:rFonts w:ascii="Arial" w:hAnsi="Arial" w:cs="Arial"/>
          <w:sz w:val="22"/>
          <w:szCs w:val="22"/>
        </w:rPr>
        <w:t>sión del STAR a nivel nacional.</w:t>
      </w:r>
      <w:r w:rsidR="00F0024D" w:rsidRPr="00330363">
        <w:rPr>
          <w:rFonts w:ascii="Arial" w:hAnsi="Arial" w:cs="Arial"/>
          <w:sz w:val="22"/>
          <w:szCs w:val="22"/>
        </w:rPr>
        <w:t xml:space="preserve"> </w:t>
      </w:r>
    </w:p>
    <w:p w14:paraId="55C5C9B6" w14:textId="77777777" w:rsidR="00E0372D" w:rsidRPr="00330363" w:rsidRDefault="00E0372D" w:rsidP="0023353F">
      <w:pPr>
        <w:spacing w:before="0" w:after="0"/>
        <w:rPr>
          <w:rFonts w:ascii="Arial" w:hAnsi="Arial" w:cs="Arial"/>
        </w:rPr>
      </w:pPr>
    </w:p>
    <w:p w14:paraId="1FD839DD" w14:textId="77777777" w:rsidR="00B26513" w:rsidRPr="00330363"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bookmarkStart w:id="255" w:name="_Toc41649773"/>
      <w:r w:rsidRPr="00330363">
        <w:rPr>
          <w:rFonts w:ascii="Arial" w:eastAsia="Times New Roman" w:hAnsi="Arial" w:cs="Arial"/>
          <w:b/>
          <w:i w:val="0"/>
          <w:color w:val="auto"/>
          <w:lang w:eastAsia="es-MX"/>
        </w:rPr>
        <w:t>Six</w:t>
      </w:r>
      <w:r w:rsidR="00283CEC" w:rsidRPr="00330363">
        <w:rPr>
          <w:rFonts w:ascii="Arial" w:eastAsia="Times New Roman" w:hAnsi="Arial" w:cs="Arial"/>
          <w:b/>
          <w:i w:val="0"/>
          <w:color w:val="auto"/>
          <w:lang w:eastAsia="es-MX"/>
        </w:rPr>
        <w:t>S</w:t>
      </w:r>
      <w:r w:rsidRPr="00330363">
        <w:rPr>
          <w:rFonts w:ascii="Arial" w:eastAsia="Times New Roman" w:hAnsi="Arial" w:cs="Arial"/>
          <w:b/>
          <w:i w:val="0"/>
          <w:color w:val="auto"/>
          <w:lang w:eastAsia="es-MX"/>
        </w:rPr>
        <w:t>igma / Metro Net</w:t>
      </w:r>
      <w:r w:rsidRPr="00330363">
        <w:rPr>
          <w:rFonts w:ascii="Arial" w:hAnsi="Arial" w:cs="Arial"/>
          <w:b/>
          <w:i w:val="0"/>
          <w:color w:val="auto"/>
          <w:vertAlign w:val="superscript"/>
        </w:rPr>
        <w:footnoteReference w:id="203"/>
      </w:r>
      <w:bookmarkEnd w:id="255"/>
    </w:p>
    <w:p w14:paraId="45309898" w14:textId="77777777" w:rsidR="00E0372D" w:rsidRPr="00330363" w:rsidRDefault="00E0372D" w:rsidP="0023353F">
      <w:pPr>
        <w:keepNext/>
        <w:spacing w:before="0" w:after="0"/>
        <w:rPr>
          <w:rFonts w:ascii="Arial" w:hAnsi="Arial" w:cs="Arial"/>
          <w:szCs w:val="20"/>
        </w:rPr>
      </w:pPr>
    </w:p>
    <w:p w14:paraId="745AD9BB" w14:textId="77777777" w:rsidR="00B26513" w:rsidRPr="00330363" w:rsidRDefault="00B26513" w:rsidP="0023353F">
      <w:pPr>
        <w:spacing w:before="0" w:after="0"/>
        <w:rPr>
          <w:rFonts w:ascii="Arial" w:hAnsi="Arial" w:cs="Arial"/>
          <w:szCs w:val="20"/>
        </w:rPr>
      </w:pPr>
      <w:r w:rsidRPr="00330363">
        <w:rPr>
          <w:rFonts w:ascii="Arial" w:hAnsi="Arial" w:cs="Arial"/>
          <w:szCs w:val="20"/>
        </w:rPr>
        <w:t>La concentración i</w:t>
      </w:r>
      <w:r w:rsidR="00415474" w:rsidRPr="00330363">
        <w:rPr>
          <w:rFonts w:ascii="Arial" w:hAnsi="Arial" w:cs="Arial"/>
          <w:szCs w:val="20"/>
        </w:rPr>
        <w:t>mplicó</w:t>
      </w:r>
      <w:r w:rsidRPr="00330363">
        <w:rPr>
          <w:rFonts w:ascii="Arial" w:hAnsi="Arial" w:cs="Arial"/>
          <w:szCs w:val="20"/>
        </w:rPr>
        <w:t xml:space="preserve"> una integración vertical. El análisis identificó la cadena de valor de los servicios de aplicaci</w:t>
      </w:r>
      <w:r w:rsidR="00415474" w:rsidRPr="00330363">
        <w:rPr>
          <w:rFonts w:ascii="Arial" w:hAnsi="Arial" w:cs="Arial"/>
          <w:szCs w:val="20"/>
        </w:rPr>
        <w:t>ones</w:t>
      </w:r>
      <w:r w:rsidRPr="00330363">
        <w:rPr>
          <w:rFonts w:ascii="Arial" w:hAnsi="Arial" w:cs="Arial"/>
          <w:szCs w:val="20"/>
        </w:rPr>
        <w:t xml:space="preserve"> y contenidos, los cuales requieren como insumo el </w:t>
      </w:r>
      <w:r w:rsidR="00415474" w:rsidRPr="00330363">
        <w:rPr>
          <w:rFonts w:ascii="Arial" w:hAnsi="Arial" w:cs="Arial"/>
          <w:szCs w:val="20"/>
        </w:rPr>
        <w:t xml:space="preserve">servicio de </w:t>
      </w:r>
      <w:r w:rsidRPr="00330363">
        <w:rPr>
          <w:rFonts w:ascii="Arial" w:hAnsi="Arial" w:cs="Arial"/>
          <w:szCs w:val="20"/>
        </w:rPr>
        <w:t xml:space="preserve">acceso a Internet. </w:t>
      </w:r>
    </w:p>
    <w:p w14:paraId="5C5FC4F5" w14:textId="77777777" w:rsidR="00E0372D" w:rsidRPr="00330363" w:rsidRDefault="00E0372D" w:rsidP="0023353F">
      <w:pPr>
        <w:spacing w:before="0" w:after="0"/>
        <w:rPr>
          <w:rFonts w:ascii="Arial" w:hAnsi="Arial" w:cs="Arial"/>
          <w:szCs w:val="20"/>
        </w:rPr>
      </w:pPr>
    </w:p>
    <w:p w14:paraId="6113C5BE" w14:textId="690A8216" w:rsidR="00B26513" w:rsidRPr="00330363" w:rsidRDefault="00B26513" w:rsidP="0023353F">
      <w:pPr>
        <w:spacing w:before="0" w:after="0"/>
        <w:rPr>
          <w:rFonts w:ascii="Arial" w:hAnsi="Arial" w:cs="Arial"/>
          <w:szCs w:val="20"/>
        </w:rPr>
      </w:pPr>
      <w:r w:rsidRPr="00330363">
        <w:rPr>
          <w:rFonts w:ascii="Arial" w:hAnsi="Arial" w:cs="Arial"/>
          <w:szCs w:val="20"/>
        </w:rPr>
        <w:t xml:space="preserve">Por un lado, SixSigma prestaba servicios de aplicaciones y contenidos (administrados, hospedaje y cómputo en la nube), entre otros, mientras que Metro Net prestaba </w:t>
      </w:r>
      <w:r w:rsidR="00801986" w:rsidRPr="00330363">
        <w:rPr>
          <w:rFonts w:ascii="Arial" w:hAnsi="Arial" w:cs="Arial"/>
          <w:szCs w:val="20"/>
        </w:rPr>
        <w:t xml:space="preserve">el </w:t>
      </w:r>
      <w:r w:rsidR="00970DAF" w:rsidRPr="00330363">
        <w:rPr>
          <w:rFonts w:ascii="Arial" w:hAnsi="Arial" w:cs="Arial"/>
          <w:szCs w:val="20"/>
        </w:rPr>
        <w:t xml:space="preserve">SBAF </w:t>
      </w:r>
      <w:r w:rsidRPr="00330363">
        <w:rPr>
          <w:rFonts w:ascii="Arial" w:hAnsi="Arial" w:cs="Arial"/>
          <w:szCs w:val="20"/>
        </w:rPr>
        <w:t xml:space="preserve">y enlaces dedicados. </w:t>
      </w:r>
      <w:r w:rsidR="00FB5C30" w:rsidRPr="00330363">
        <w:rPr>
          <w:rFonts w:ascii="Arial" w:hAnsi="Arial" w:cs="Arial"/>
          <w:szCs w:val="20"/>
        </w:rPr>
        <w:t>En este sentido</w:t>
      </w:r>
      <w:r w:rsidR="00FE44C9" w:rsidRPr="00330363">
        <w:rPr>
          <w:rFonts w:ascii="Arial" w:hAnsi="Arial" w:cs="Arial"/>
          <w:szCs w:val="20"/>
        </w:rPr>
        <w:t>,</w:t>
      </w:r>
      <w:r w:rsidR="00FB5C30" w:rsidRPr="00330363">
        <w:rPr>
          <w:rFonts w:ascii="Arial" w:hAnsi="Arial" w:cs="Arial"/>
          <w:szCs w:val="20"/>
        </w:rPr>
        <w:t xml:space="preserve"> se analizaron las condiciones de competencia en i) la provisión de servicios de aplicaciones y ii) la provisión de servicios de conectividad (SBAF y enlaces dedicados), </w:t>
      </w:r>
      <w:r w:rsidR="00415474" w:rsidRPr="00330363">
        <w:rPr>
          <w:rFonts w:ascii="Arial" w:hAnsi="Arial" w:cs="Arial"/>
          <w:szCs w:val="20"/>
        </w:rPr>
        <w:t xml:space="preserve">así </w:t>
      </w:r>
      <w:r w:rsidR="00FB5C30" w:rsidRPr="00330363">
        <w:rPr>
          <w:rFonts w:ascii="Arial" w:hAnsi="Arial" w:cs="Arial"/>
          <w:szCs w:val="20"/>
        </w:rPr>
        <w:t xml:space="preserve">como los incentivos y la capacidad de desplazar a terceros </w:t>
      </w:r>
      <w:r w:rsidR="00CF42D2" w:rsidRPr="00330363">
        <w:rPr>
          <w:rFonts w:ascii="Arial" w:hAnsi="Arial" w:cs="Arial"/>
          <w:szCs w:val="20"/>
        </w:rPr>
        <w:t>a partir</w:t>
      </w:r>
      <w:r w:rsidR="00FB5C30" w:rsidRPr="00330363">
        <w:rPr>
          <w:rFonts w:ascii="Arial" w:hAnsi="Arial" w:cs="Arial"/>
          <w:szCs w:val="20"/>
        </w:rPr>
        <w:t xml:space="preserve"> de la integración vertical generada por la operación.</w:t>
      </w:r>
    </w:p>
    <w:p w14:paraId="4E95E297" w14:textId="77777777" w:rsidR="00E0372D" w:rsidRPr="00330363" w:rsidRDefault="00E0372D" w:rsidP="0023353F">
      <w:pPr>
        <w:spacing w:before="0" w:after="0"/>
        <w:rPr>
          <w:rFonts w:ascii="Arial" w:hAnsi="Arial" w:cs="Arial"/>
          <w:szCs w:val="20"/>
        </w:rPr>
      </w:pPr>
    </w:p>
    <w:p w14:paraId="67228927" w14:textId="77777777" w:rsidR="00B26513" w:rsidRPr="00330363"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330363">
        <w:rPr>
          <w:rFonts w:ascii="Arial" w:eastAsia="Times New Roman" w:hAnsi="Arial" w:cs="Arial"/>
          <w:b/>
          <w:i w:val="0"/>
          <w:color w:val="auto"/>
          <w:lang w:eastAsia="es-MX"/>
        </w:rPr>
        <w:t>Satmex / Eutelsat</w:t>
      </w:r>
      <w:r w:rsidRPr="00330363">
        <w:rPr>
          <w:rFonts w:ascii="Arial" w:hAnsi="Arial" w:cs="Arial"/>
          <w:b/>
          <w:i w:val="0"/>
          <w:color w:val="auto"/>
          <w:vertAlign w:val="superscript"/>
        </w:rPr>
        <w:footnoteReference w:id="204"/>
      </w:r>
    </w:p>
    <w:p w14:paraId="32F49641" w14:textId="77777777" w:rsidR="00E0372D" w:rsidRPr="00330363" w:rsidRDefault="00E0372D" w:rsidP="0023353F">
      <w:pPr>
        <w:keepNext/>
        <w:spacing w:before="0" w:after="0"/>
        <w:rPr>
          <w:rFonts w:ascii="Arial" w:hAnsi="Arial" w:cs="Arial"/>
          <w:szCs w:val="20"/>
        </w:rPr>
      </w:pPr>
    </w:p>
    <w:p w14:paraId="6C350378" w14:textId="614DABA7" w:rsidR="00B26513" w:rsidRPr="00330363" w:rsidRDefault="00B26513" w:rsidP="0023353F">
      <w:pPr>
        <w:spacing w:before="0" w:after="0"/>
        <w:rPr>
          <w:rFonts w:ascii="Arial" w:hAnsi="Arial" w:cs="Arial"/>
        </w:rPr>
      </w:pPr>
      <w:r w:rsidRPr="00330363">
        <w:rPr>
          <w:rFonts w:ascii="Arial" w:hAnsi="Arial" w:cs="Arial"/>
          <w:szCs w:val="20"/>
        </w:rPr>
        <w:t xml:space="preserve">En la concentración entre Satmex y Eutelsat se identificó que el MR era el de provisión de capacidad satelital para servicio fijo por satélite. Es decir, se trató de un mercado aguas arriba en el que se provee capacidad satelital que demandan y utilizan concesionarios para ofrecer servicios aguas abajo, como </w:t>
      </w:r>
      <w:r w:rsidR="00801986" w:rsidRPr="00330363">
        <w:rPr>
          <w:rFonts w:ascii="Arial" w:hAnsi="Arial" w:cs="Arial"/>
          <w:szCs w:val="20"/>
        </w:rPr>
        <w:t xml:space="preserve">el </w:t>
      </w:r>
      <w:r w:rsidRPr="00330363">
        <w:rPr>
          <w:rFonts w:ascii="Arial" w:hAnsi="Arial" w:cs="Arial"/>
          <w:szCs w:val="20"/>
        </w:rPr>
        <w:t>STAR vía satélite, di</w:t>
      </w:r>
      <w:r w:rsidRPr="00330363">
        <w:rPr>
          <w:rFonts w:ascii="Arial" w:hAnsi="Arial" w:cs="Arial"/>
        </w:rPr>
        <w:t xml:space="preserve">stribución de video, redes corporativas y </w:t>
      </w:r>
      <w:r w:rsidR="00970DAF" w:rsidRPr="00330363">
        <w:rPr>
          <w:rFonts w:ascii="Arial" w:hAnsi="Arial" w:cs="Arial"/>
        </w:rPr>
        <w:t>SBAF</w:t>
      </w:r>
      <w:r w:rsidRPr="00330363">
        <w:rPr>
          <w:rFonts w:ascii="Arial" w:hAnsi="Arial" w:cs="Arial"/>
        </w:rPr>
        <w:t>.</w:t>
      </w:r>
    </w:p>
    <w:p w14:paraId="48D2F3DA" w14:textId="77777777" w:rsidR="00E0372D" w:rsidRPr="00330363" w:rsidRDefault="00E0372D" w:rsidP="0023353F">
      <w:pPr>
        <w:spacing w:before="0" w:after="0"/>
        <w:rPr>
          <w:rFonts w:ascii="Arial" w:hAnsi="Arial" w:cs="Arial"/>
          <w:lang w:val="es-ES"/>
        </w:rPr>
      </w:pPr>
    </w:p>
    <w:p w14:paraId="5FE1C357" w14:textId="77777777" w:rsidR="00B26513" w:rsidRPr="00931D46" w:rsidRDefault="00B26513" w:rsidP="0023353F">
      <w:pPr>
        <w:spacing w:before="0" w:after="0"/>
        <w:rPr>
          <w:rFonts w:ascii="Arial" w:hAnsi="Arial" w:cs="Arial"/>
          <w:szCs w:val="20"/>
        </w:rPr>
      </w:pPr>
      <w:r w:rsidRPr="00330363">
        <w:rPr>
          <w:rFonts w:ascii="Arial" w:hAnsi="Arial" w:cs="Arial"/>
          <w:szCs w:val="20"/>
        </w:rPr>
        <w:t>El análisis descartó efectos contrarios a la competencia a pesar de que el AE resultante tendría una participación mayor a 35% en el MR, porque: i) no se configuraba una integración vertical, ii) los clientes son concesionarios con poder de negociación elevado, por lo que tienen capacidad para reaccionar ante un posible incremento en precios, y ii</w:t>
      </w:r>
      <w:r w:rsidR="00415474" w:rsidRPr="00330363">
        <w:rPr>
          <w:rFonts w:ascii="Arial" w:hAnsi="Arial" w:cs="Arial"/>
          <w:szCs w:val="20"/>
        </w:rPr>
        <w:t>i</w:t>
      </w:r>
      <w:r w:rsidRPr="00330363">
        <w:rPr>
          <w:rFonts w:ascii="Arial" w:hAnsi="Arial" w:cs="Arial"/>
          <w:szCs w:val="20"/>
        </w:rPr>
        <w:t>) los competidores contaban con capacidad instalada suficiente para contrarrestar al AE resultante incrementando su oferta.</w:t>
      </w:r>
      <w:r w:rsidRPr="00931D46">
        <w:rPr>
          <w:rFonts w:ascii="Arial" w:hAnsi="Arial" w:cs="Arial"/>
          <w:szCs w:val="20"/>
        </w:rPr>
        <w:t xml:space="preserve"> </w:t>
      </w:r>
    </w:p>
    <w:p w14:paraId="730FD5F1" w14:textId="77777777" w:rsidR="00E0372D" w:rsidRPr="00931D46" w:rsidRDefault="00E0372D" w:rsidP="0023353F">
      <w:pPr>
        <w:spacing w:before="0" w:after="0"/>
        <w:rPr>
          <w:rFonts w:ascii="Arial" w:hAnsi="Arial" w:cs="Arial"/>
          <w:szCs w:val="20"/>
        </w:rPr>
      </w:pPr>
    </w:p>
    <w:p w14:paraId="418F69A0" w14:textId="77777777" w:rsidR="00B26513" w:rsidRPr="00931D46" w:rsidRDefault="00B26513"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56" w:name="_Toc39855722"/>
      <w:bookmarkStart w:id="257" w:name="_Toc41649774"/>
      <w:bookmarkStart w:id="258" w:name="_Toc41649913"/>
      <w:bookmarkStart w:id="259" w:name="_Toc45628363"/>
      <w:r w:rsidRPr="00931D46">
        <w:rPr>
          <w:rFonts w:ascii="Arial" w:eastAsia="Times New Roman" w:hAnsi="Arial" w:cs="Arial"/>
          <w:b/>
          <w:color w:val="auto"/>
          <w:sz w:val="26"/>
          <w:szCs w:val="26"/>
          <w:lang w:eastAsia="es-MX"/>
        </w:rPr>
        <w:t>Experiencia Internacional</w:t>
      </w:r>
      <w:bookmarkEnd w:id="256"/>
      <w:bookmarkEnd w:id="257"/>
      <w:bookmarkEnd w:id="258"/>
      <w:bookmarkEnd w:id="259"/>
    </w:p>
    <w:p w14:paraId="35D3E855" w14:textId="77777777" w:rsidR="001C282D" w:rsidRPr="00931D46" w:rsidRDefault="001C282D" w:rsidP="0023353F">
      <w:pPr>
        <w:keepNext/>
        <w:spacing w:before="0" w:after="0"/>
        <w:rPr>
          <w:rFonts w:ascii="Arial" w:hAnsi="Arial" w:cs="Arial"/>
        </w:rPr>
      </w:pPr>
    </w:p>
    <w:p w14:paraId="69398368" w14:textId="77777777" w:rsidR="00B26513" w:rsidRPr="00931D46"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60" w:name="_Toc39855723"/>
      <w:bookmarkStart w:id="261" w:name="_Toc41649775"/>
      <w:r w:rsidRPr="00931D46">
        <w:rPr>
          <w:rFonts w:ascii="Arial" w:eastAsia="Times New Roman" w:hAnsi="Arial" w:cs="Arial"/>
          <w:b/>
          <w:i w:val="0"/>
          <w:color w:val="auto"/>
          <w:lang w:val="en-US" w:eastAsia="es-MX"/>
        </w:rPr>
        <w:t>ICN</w:t>
      </w:r>
      <w:bookmarkEnd w:id="260"/>
      <w:bookmarkEnd w:id="261"/>
    </w:p>
    <w:p w14:paraId="5E732D6E" w14:textId="77777777" w:rsidR="001C282D" w:rsidRPr="00931D46" w:rsidRDefault="001C282D" w:rsidP="0023353F">
      <w:pPr>
        <w:keepNext/>
        <w:spacing w:before="0" w:after="0"/>
        <w:rPr>
          <w:rFonts w:ascii="Arial" w:hAnsi="Arial" w:cs="Arial"/>
        </w:rPr>
      </w:pPr>
    </w:p>
    <w:p w14:paraId="03A2D072" w14:textId="18C6954E" w:rsidR="00B26513" w:rsidRPr="00931D46" w:rsidRDefault="00B26513" w:rsidP="0023353F">
      <w:pPr>
        <w:spacing w:before="0" w:after="0"/>
        <w:rPr>
          <w:rFonts w:ascii="Arial" w:hAnsi="Arial" w:cs="Arial"/>
        </w:rPr>
      </w:pPr>
      <w:r w:rsidRPr="00931D46">
        <w:rPr>
          <w:rFonts w:ascii="Arial" w:hAnsi="Arial" w:cs="Arial"/>
        </w:rPr>
        <w:t>De acuerdo con los resultados del estudio comparativo internacional de la</w:t>
      </w:r>
      <w:r w:rsidRPr="00931D46">
        <w:rPr>
          <w:rFonts w:ascii="Arial" w:hAnsi="Arial" w:cs="Arial"/>
          <w:i/>
        </w:rPr>
        <w:t xml:space="preserve"> Encuesta de Concentraciones Verticales</w:t>
      </w:r>
      <w:r w:rsidRPr="00931D46">
        <w:rPr>
          <w:rFonts w:ascii="Arial" w:hAnsi="Arial" w:cs="Arial"/>
        </w:rPr>
        <w:t xml:space="preserve">, en el análisis de concentraciones verticales, las autoridades de competencia inician identificando la cadena de valor del </w:t>
      </w:r>
      <w:r w:rsidR="00330363">
        <w:rPr>
          <w:rFonts w:ascii="Arial" w:hAnsi="Arial" w:cs="Arial"/>
        </w:rPr>
        <w:t>producto</w:t>
      </w:r>
      <w:r w:rsidRPr="00931D46">
        <w:rPr>
          <w:rFonts w:ascii="Arial" w:hAnsi="Arial" w:cs="Arial"/>
        </w:rPr>
        <w:t xml:space="preserve"> en el que </w:t>
      </w:r>
      <w:r w:rsidR="00D55798" w:rsidRPr="00931D46">
        <w:rPr>
          <w:rFonts w:ascii="Arial" w:hAnsi="Arial" w:cs="Arial"/>
        </w:rPr>
        <w:t>se lleva a cabo</w:t>
      </w:r>
      <w:r w:rsidRPr="00931D46">
        <w:rPr>
          <w:rFonts w:ascii="Arial" w:hAnsi="Arial" w:cs="Arial"/>
        </w:rPr>
        <w:t xml:space="preserve"> la operación y estableciendo posibles teorías del daño, como podría ser un cierre de mercado</w:t>
      </w:r>
      <w:r w:rsidR="00E84780" w:rsidRPr="00931D46">
        <w:rPr>
          <w:rStyle w:val="Refdenotaalpie"/>
          <w:rFonts w:ascii="Arial" w:hAnsi="Arial" w:cs="Arial"/>
          <w:szCs w:val="20"/>
        </w:rPr>
        <w:footnoteReference w:id="205"/>
      </w:r>
      <w:r w:rsidRPr="00931D46">
        <w:rPr>
          <w:rFonts w:ascii="Arial" w:hAnsi="Arial" w:cs="Arial"/>
        </w:rPr>
        <w:t xml:space="preserve"> </w:t>
      </w:r>
      <w:r w:rsidRPr="00931D46">
        <w:rPr>
          <w:rFonts w:ascii="Arial" w:hAnsi="Arial" w:cs="Arial"/>
          <w:szCs w:val="20"/>
        </w:rPr>
        <w:t xml:space="preserve">parcial o total o estrategias de coordinación. </w:t>
      </w:r>
      <w:r w:rsidRPr="00931D46">
        <w:rPr>
          <w:rFonts w:ascii="Arial" w:hAnsi="Arial" w:cs="Arial"/>
        </w:rPr>
        <w:t xml:space="preserve">Asimismo, las autoridades identifican: i) el mercado aguas abajo; ii) los insumos necesarios  y </w:t>
      </w:r>
      <w:r w:rsidR="00D55798" w:rsidRPr="00931D46">
        <w:rPr>
          <w:rFonts w:ascii="Arial" w:hAnsi="Arial" w:cs="Arial"/>
        </w:rPr>
        <w:t>su</w:t>
      </w:r>
      <w:r w:rsidRPr="00931D46">
        <w:rPr>
          <w:rFonts w:ascii="Arial" w:hAnsi="Arial" w:cs="Arial"/>
        </w:rPr>
        <w:t xml:space="preserve"> importancia relativa para la provisión del </w:t>
      </w:r>
      <w:r w:rsidR="00330363">
        <w:rPr>
          <w:rFonts w:ascii="Arial" w:hAnsi="Arial" w:cs="Arial"/>
        </w:rPr>
        <w:t>producto</w:t>
      </w:r>
      <w:r w:rsidRPr="00931D46">
        <w:rPr>
          <w:rFonts w:ascii="Arial" w:hAnsi="Arial" w:cs="Arial"/>
        </w:rPr>
        <w:t xml:space="preserve"> aguas abajo</w:t>
      </w:r>
      <w:r w:rsidR="00D55798" w:rsidRPr="00931D46">
        <w:rPr>
          <w:rFonts w:ascii="Arial" w:hAnsi="Arial" w:cs="Arial"/>
        </w:rPr>
        <w:t>, así como la existencia de sustitutos de dichos insumos</w:t>
      </w:r>
      <w:r w:rsidRPr="00931D46">
        <w:rPr>
          <w:rFonts w:ascii="Arial" w:hAnsi="Arial" w:cs="Arial"/>
        </w:rPr>
        <w:t>; iii) las características de las relaciones comerciales</w:t>
      </w:r>
      <w:r w:rsidR="00D55798" w:rsidRPr="00931D46">
        <w:rPr>
          <w:rFonts w:ascii="Arial" w:hAnsi="Arial" w:cs="Arial"/>
        </w:rPr>
        <w:t xml:space="preserve"> entre los agentes</w:t>
      </w:r>
      <w:r w:rsidRPr="00931D46">
        <w:rPr>
          <w:rFonts w:ascii="Arial" w:hAnsi="Arial" w:cs="Arial"/>
        </w:rPr>
        <w:t>; y i</w:t>
      </w:r>
      <w:r w:rsidR="00EC0DC0" w:rsidRPr="00931D46">
        <w:rPr>
          <w:rFonts w:ascii="Arial" w:hAnsi="Arial" w:cs="Arial"/>
        </w:rPr>
        <w:t>v</w:t>
      </w:r>
      <w:r w:rsidRPr="00931D46">
        <w:rPr>
          <w:rFonts w:ascii="Arial" w:hAnsi="Arial" w:cs="Arial"/>
        </w:rPr>
        <w:t>) el mercado aguas arriba.</w:t>
      </w:r>
      <w:r w:rsidR="00E84780" w:rsidRPr="00931D46">
        <w:rPr>
          <w:rFonts w:ascii="Arial" w:hAnsi="Arial" w:cs="Arial"/>
          <w:vertAlign w:val="superscript"/>
          <w:lang w:val="en-US"/>
        </w:rPr>
        <w:footnoteReference w:id="206"/>
      </w:r>
    </w:p>
    <w:p w14:paraId="18236614" w14:textId="77777777" w:rsidR="001C282D" w:rsidRPr="00931D46" w:rsidRDefault="001C282D" w:rsidP="0023353F">
      <w:pPr>
        <w:spacing w:before="0" w:after="0"/>
        <w:rPr>
          <w:rFonts w:ascii="Arial" w:hAnsi="Arial" w:cs="Arial"/>
        </w:rPr>
      </w:pPr>
    </w:p>
    <w:p w14:paraId="210FDDBE" w14:textId="77777777" w:rsidR="00B26513" w:rsidRPr="00931D46"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62" w:name="_Toc39855724"/>
      <w:bookmarkStart w:id="263" w:name="_Toc41649776"/>
      <w:r w:rsidRPr="00931D46">
        <w:rPr>
          <w:rFonts w:ascii="Arial" w:eastAsia="Times New Roman" w:hAnsi="Arial" w:cs="Arial"/>
          <w:b/>
          <w:i w:val="0"/>
          <w:color w:val="auto"/>
          <w:lang w:val="en-US" w:eastAsia="es-MX"/>
        </w:rPr>
        <w:t>OCDE</w:t>
      </w:r>
      <w:bookmarkEnd w:id="262"/>
      <w:bookmarkEnd w:id="263"/>
    </w:p>
    <w:p w14:paraId="78BA78A5" w14:textId="77777777" w:rsidR="001C282D" w:rsidRPr="00931D46" w:rsidRDefault="001C282D" w:rsidP="0023353F">
      <w:pPr>
        <w:keepNext/>
        <w:spacing w:before="0" w:after="0"/>
        <w:rPr>
          <w:rFonts w:ascii="Arial" w:hAnsi="Arial" w:cs="Arial"/>
        </w:rPr>
      </w:pPr>
    </w:p>
    <w:p w14:paraId="24B33BBE" w14:textId="5012A9CA" w:rsidR="00B26513" w:rsidRPr="00931D46" w:rsidRDefault="00B26513" w:rsidP="0023353F">
      <w:pPr>
        <w:spacing w:before="0" w:after="0"/>
        <w:rPr>
          <w:rFonts w:ascii="Arial" w:hAnsi="Arial" w:cs="Arial"/>
        </w:rPr>
      </w:pPr>
      <w:r w:rsidRPr="00931D46">
        <w:rPr>
          <w:rFonts w:ascii="Arial" w:hAnsi="Arial" w:cs="Arial"/>
        </w:rPr>
        <w:t xml:space="preserve">La OCDE reconoce que, por sus características, la determinación de los MR puede representar un reto en presencia de integraciones verticales. Con base en un análisis de la experiencia de la </w:t>
      </w:r>
      <w:r w:rsidR="00063027" w:rsidRPr="00931D46">
        <w:rPr>
          <w:rFonts w:ascii="Arial" w:hAnsi="Arial" w:cs="Arial"/>
        </w:rPr>
        <w:t>UE</w:t>
      </w:r>
      <w:r w:rsidRPr="00931D46">
        <w:rPr>
          <w:rFonts w:ascii="Arial" w:hAnsi="Arial" w:cs="Arial"/>
        </w:rPr>
        <w:t xml:space="preserve">, la OCDE recomienda que las autoridades de competencia comiencen por la definición del MR aguas abajo y prosigan con los MR aguas arriba debido a que la demanda del </w:t>
      </w:r>
      <w:r w:rsidR="00330363">
        <w:rPr>
          <w:rFonts w:ascii="Arial" w:hAnsi="Arial" w:cs="Arial"/>
        </w:rPr>
        <w:t>producto</w:t>
      </w:r>
      <w:r w:rsidRPr="00931D46">
        <w:rPr>
          <w:rFonts w:ascii="Arial" w:hAnsi="Arial" w:cs="Arial"/>
        </w:rPr>
        <w:t xml:space="preserve"> aguas arriba es una demanda derivada de la demanda aguas abajo y </w:t>
      </w:r>
      <w:r w:rsidR="00801986">
        <w:rPr>
          <w:rFonts w:ascii="Arial" w:hAnsi="Arial" w:cs="Arial"/>
        </w:rPr>
        <w:t xml:space="preserve">a </w:t>
      </w:r>
      <w:r w:rsidRPr="00931D46">
        <w:rPr>
          <w:rFonts w:ascii="Arial" w:eastAsia="Times New Roman" w:hAnsi="Arial" w:cs="Arial"/>
        </w:rPr>
        <w:t xml:space="preserve">que un análisis de competencia que inicie con la definición del MR aguas abajo y prosiga con el análisis en mercados aguas arriba, favorece que las autoridades de competencia se concentren en el </w:t>
      </w:r>
      <w:r w:rsidRPr="00931D46">
        <w:rPr>
          <w:rFonts w:ascii="Arial" w:eastAsia="Times New Roman" w:hAnsi="Arial" w:cs="Arial"/>
          <w:i/>
        </w:rPr>
        <w:t>“impacto esperado de una transacción en el bienestar del consumidor o el bienestar total y no en el impacto a un competidor particular.”</w:t>
      </w:r>
      <w:r w:rsidRPr="00931D46">
        <w:rPr>
          <w:rFonts w:ascii="Arial" w:eastAsia="Times New Roman" w:hAnsi="Arial" w:cs="Arial"/>
          <w:i/>
          <w:vertAlign w:val="superscript"/>
        </w:rPr>
        <w:footnoteReference w:id="207"/>
      </w:r>
      <w:r w:rsidRPr="00931D46">
        <w:rPr>
          <w:rFonts w:ascii="Arial" w:hAnsi="Arial" w:cs="Arial"/>
        </w:rPr>
        <w:t xml:space="preserve"> </w:t>
      </w:r>
    </w:p>
    <w:p w14:paraId="0B07ADC9" w14:textId="77777777" w:rsidR="001C282D" w:rsidRPr="00931D46" w:rsidRDefault="001C282D" w:rsidP="0023353F">
      <w:pPr>
        <w:spacing w:before="0" w:after="0"/>
        <w:rPr>
          <w:rFonts w:ascii="Arial" w:hAnsi="Arial" w:cs="Arial"/>
        </w:rPr>
      </w:pPr>
    </w:p>
    <w:p w14:paraId="40A2AF9E" w14:textId="3FAFC26A" w:rsidR="00B26513" w:rsidRPr="00931D46" w:rsidRDefault="00B26513" w:rsidP="0023353F">
      <w:pPr>
        <w:spacing w:before="0" w:after="0"/>
        <w:rPr>
          <w:rFonts w:ascii="Arial" w:eastAsia="Times New Roman" w:hAnsi="Arial" w:cs="Arial"/>
        </w:rPr>
      </w:pPr>
      <w:r w:rsidRPr="00931D46">
        <w:rPr>
          <w:rFonts w:ascii="Arial" w:eastAsia="Times New Roman" w:hAnsi="Arial" w:cs="Arial"/>
        </w:rPr>
        <w:t xml:space="preserve">La OCDE señala que, al delimitar el MR aguas abajo en primer lugar, por interrelación vertical, los MR aguas arriba estarán constituidos por todos aquellos insumos para la producción de los </w:t>
      </w:r>
      <w:r w:rsidR="00330363">
        <w:rPr>
          <w:rFonts w:ascii="Arial" w:eastAsia="Times New Roman" w:hAnsi="Arial" w:cs="Arial"/>
        </w:rPr>
        <w:t>productos</w:t>
      </w:r>
      <w:r w:rsidRPr="00931D46">
        <w:rPr>
          <w:rFonts w:ascii="Arial" w:eastAsia="Times New Roman" w:hAnsi="Arial" w:cs="Arial"/>
        </w:rPr>
        <w:t xml:space="preserve"> minoristas identificados en el MR aguas abajo.</w:t>
      </w:r>
      <w:r w:rsidR="00884873" w:rsidRPr="00931D46">
        <w:rPr>
          <w:rFonts w:ascii="Arial" w:eastAsia="Times New Roman" w:hAnsi="Arial" w:cs="Arial"/>
          <w:vertAlign w:val="superscript"/>
        </w:rPr>
        <w:footnoteReference w:id="208"/>
      </w:r>
    </w:p>
    <w:p w14:paraId="3C3811B2" w14:textId="77777777" w:rsidR="001C282D" w:rsidRPr="00931D46" w:rsidRDefault="001C282D" w:rsidP="0023353F">
      <w:pPr>
        <w:spacing w:before="0" w:after="0"/>
        <w:rPr>
          <w:rFonts w:ascii="Arial" w:eastAsia="Times New Roman" w:hAnsi="Arial" w:cs="Arial"/>
        </w:rPr>
      </w:pPr>
    </w:p>
    <w:p w14:paraId="4E0BB693" w14:textId="77777777" w:rsidR="00B26513" w:rsidRPr="00931D46" w:rsidRDefault="00B26513" w:rsidP="0023353F">
      <w:pPr>
        <w:spacing w:before="0" w:after="0"/>
        <w:rPr>
          <w:rFonts w:ascii="Arial" w:eastAsia="Times New Roman" w:hAnsi="Arial" w:cs="Arial"/>
        </w:rPr>
      </w:pPr>
      <w:r w:rsidRPr="00931D46">
        <w:rPr>
          <w:rFonts w:ascii="Arial" w:eastAsia="Times New Roman" w:hAnsi="Arial" w:cs="Arial"/>
        </w:rPr>
        <w:t xml:space="preserve">Asimismo, la OCDE menciona que uno de los elementos de análisis al determinar MR mayoristas en presencia de integraciones verticales son las restricciones indirectas. Por ejemplo, </w:t>
      </w:r>
      <w:r w:rsidRPr="00931D46">
        <w:rPr>
          <w:rFonts w:ascii="Arial" w:hAnsi="Arial" w:cs="Arial"/>
        </w:rPr>
        <w:t>si dos servicios A y B que se proveen a través de las tecnologías X y Y, respectivamente, son sustitutos a nivel minorista, las empresas que proveen los servicios X y Y a nivel mayorista podrían enfrentar restricciones competitivas indirectas aun cuando X y Y no sean sustitutos directos a nivel mayorista.</w:t>
      </w:r>
      <w:r w:rsidRPr="00931D46">
        <w:rPr>
          <w:rFonts w:ascii="Arial" w:eastAsia="Times New Roman" w:hAnsi="Arial" w:cs="Arial"/>
        </w:rPr>
        <w:t xml:space="preserve"> Las alternativas en este contexto son determinar el MR:</w:t>
      </w:r>
    </w:p>
    <w:p w14:paraId="3268083C" w14:textId="77777777" w:rsidR="0023353F" w:rsidRPr="00931D46" w:rsidRDefault="0023353F" w:rsidP="0023353F">
      <w:pPr>
        <w:spacing w:before="0" w:after="0"/>
        <w:rPr>
          <w:rFonts w:ascii="Arial" w:eastAsia="Times New Roman" w:hAnsi="Arial" w:cs="Arial"/>
        </w:rPr>
      </w:pPr>
    </w:p>
    <w:p w14:paraId="5C10AFAD" w14:textId="77777777" w:rsidR="00B26513" w:rsidRPr="00931D46" w:rsidRDefault="00B26513" w:rsidP="00E85A09">
      <w:pPr>
        <w:pStyle w:val="Prrafodelista"/>
        <w:numPr>
          <w:ilvl w:val="0"/>
          <w:numId w:val="5"/>
        </w:numPr>
        <w:spacing w:before="0" w:after="0"/>
        <w:ind w:left="709" w:hanging="567"/>
        <w:contextualSpacing w:val="0"/>
        <w:rPr>
          <w:rFonts w:ascii="Arial" w:eastAsia="Times New Roman" w:hAnsi="Arial" w:cs="Arial"/>
        </w:rPr>
      </w:pPr>
      <w:r w:rsidRPr="00931D46">
        <w:rPr>
          <w:rFonts w:ascii="Arial" w:hAnsi="Arial" w:cs="Arial"/>
        </w:rPr>
        <w:t xml:space="preserve">Considerando sólo restricciones directas (y considerar </w:t>
      </w:r>
      <w:r w:rsidR="00D55798" w:rsidRPr="00931D46">
        <w:rPr>
          <w:rFonts w:ascii="Arial" w:hAnsi="Arial" w:cs="Arial"/>
        </w:rPr>
        <w:t xml:space="preserve">las restricciones indirectas </w:t>
      </w:r>
      <w:r w:rsidRPr="00931D46">
        <w:rPr>
          <w:rFonts w:ascii="Arial" w:hAnsi="Arial" w:cs="Arial"/>
        </w:rPr>
        <w:t>en el análisis de efectos) o</w:t>
      </w:r>
    </w:p>
    <w:p w14:paraId="07305D70" w14:textId="77777777" w:rsidR="00B26513" w:rsidRPr="00931D46" w:rsidRDefault="00B26513" w:rsidP="00E85A09">
      <w:pPr>
        <w:pStyle w:val="Prrafodelista"/>
        <w:numPr>
          <w:ilvl w:val="0"/>
          <w:numId w:val="5"/>
        </w:numPr>
        <w:spacing w:before="0" w:after="0"/>
        <w:ind w:left="709" w:hanging="567"/>
        <w:contextualSpacing w:val="0"/>
        <w:rPr>
          <w:rFonts w:ascii="Arial" w:eastAsia="Times New Roman" w:hAnsi="Arial" w:cs="Arial"/>
        </w:rPr>
      </w:pPr>
      <w:r w:rsidRPr="00931D46">
        <w:rPr>
          <w:rFonts w:ascii="Arial" w:hAnsi="Arial" w:cs="Arial"/>
        </w:rPr>
        <w:t xml:space="preserve">Considerando </w:t>
      </w:r>
      <w:r w:rsidR="00D55798" w:rsidRPr="00931D46">
        <w:rPr>
          <w:rFonts w:ascii="Arial" w:hAnsi="Arial" w:cs="Arial"/>
        </w:rPr>
        <w:t>tanto</w:t>
      </w:r>
      <w:r w:rsidRPr="00931D46">
        <w:rPr>
          <w:rFonts w:ascii="Arial" w:hAnsi="Arial" w:cs="Arial"/>
        </w:rPr>
        <w:t xml:space="preserve"> restricciones directas </w:t>
      </w:r>
      <w:r w:rsidR="00D55798" w:rsidRPr="00931D46">
        <w:rPr>
          <w:rFonts w:ascii="Arial" w:hAnsi="Arial" w:cs="Arial"/>
        </w:rPr>
        <w:t>como</w:t>
      </w:r>
      <w:r w:rsidRPr="00931D46">
        <w:rPr>
          <w:rFonts w:ascii="Arial" w:hAnsi="Arial" w:cs="Arial"/>
        </w:rPr>
        <w:t xml:space="preserve"> indirectas.</w:t>
      </w:r>
    </w:p>
    <w:p w14:paraId="657D4024" w14:textId="77777777" w:rsidR="001C282D" w:rsidRPr="00931D46" w:rsidRDefault="001C282D" w:rsidP="0023353F">
      <w:pPr>
        <w:spacing w:before="0" w:after="0"/>
        <w:rPr>
          <w:rFonts w:ascii="Arial" w:eastAsia="Times New Roman" w:hAnsi="Arial" w:cs="Arial"/>
        </w:rPr>
      </w:pPr>
    </w:p>
    <w:p w14:paraId="11129699" w14:textId="77777777" w:rsidR="00B26513" w:rsidRPr="00931D46" w:rsidRDefault="00B26513" w:rsidP="0023353F">
      <w:pPr>
        <w:spacing w:before="0" w:after="0"/>
        <w:rPr>
          <w:rFonts w:ascii="Arial" w:eastAsia="Times New Roman" w:hAnsi="Arial" w:cs="Arial"/>
        </w:rPr>
      </w:pPr>
      <w:r w:rsidRPr="00931D46">
        <w:rPr>
          <w:rFonts w:ascii="Arial" w:eastAsia="Times New Roman" w:hAnsi="Arial" w:cs="Arial"/>
        </w:rPr>
        <w:t>La elección de un enfoque u otro depende de la integración vertical bajo análisis.</w:t>
      </w:r>
    </w:p>
    <w:p w14:paraId="1128262E" w14:textId="77777777" w:rsidR="001C282D" w:rsidRPr="00931D46" w:rsidRDefault="001C282D" w:rsidP="0023353F">
      <w:pPr>
        <w:spacing w:before="0" w:after="0"/>
        <w:rPr>
          <w:rFonts w:ascii="Arial" w:eastAsia="Times New Roman" w:hAnsi="Arial" w:cs="Arial"/>
        </w:rPr>
      </w:pPr>
    </w:p>
    <w:p w14:paraId="4C4D67D6" w14:textId="77777777" w:rsidR="00B26513" w:rsidRPr="00931D46"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64" w:name="_Toc39855725"/>
      <w:bookmarkStart w:id="265" w:name="_Toc41649777"/>
      <w:r w:rsidRPr="00931D46">
        <w:rPr>
          <w:rFonts w:ascii="Arial" w:eastAsia="Times New Roman" w:hAnsi="Arial" w:cs="Arial"/>
          <w:b/>
          <w:i w:val="0"/>
          <w:color w:val="auto"/>
          <w:lang w:val="en-US" w:eastAsia="es-MX"/>
        </w:rPr>
        <w:t>Unión Europea</w:t>
      </w:r>
      <w:bookmarkEnd w:id="264"/>
      <w:bookmarkEnd w:id="265"/>
    </w:p>
    <w:p w14:paraId="50954E43" w14:textId="77777777" w:rsidR="001C282D" w:rsidRPr="00931D46" w:rsidRDefault="001C282D" w:rsidP="0023353F">
      <w:pPr>
        <w:keepNext/>
        <w:spacing w:before="0" w:after="0"/>
        <w:rPr>
          <w:rFonts w:ascii="Arial" w:hAnsi="Arial" w:cs="Arial"/>
        </w:rPr>
      </w:pPr>
    </w:p>
    <w:p w14:paraId="0AE85229" w14:textId="77777777" w:rsidR="00B26513" w:rsidRPr="00931D46" w:rsidRDefault="00B26513" w:rsidP="0023353F">
      <w:pPr>
        <w:spacing w:before="0" w:after="0"/>
        <w:rPr>
          <w:rFonts w:ascii="Arial" w:hAnsi="Arial" w:cs="Arial"/>
        </w:rPr>
      </w:pPr>
      <w:r w:rsidRPr="00931D46">
        <w:rPr>
          <w:rFonts w:ascii="Arial" w:hAnsi="Arial" w:cs="Arial"/>
        </w:rPr>
        <w:t>La CE recomienda comenzar por la definición de los mercados minoristas, debido a que la demanda en el mercado mayorista es una demanda derivada, es decir, se encuentra determinada por la demanda a nivel minorista.</w:t>
      </w:r>
      <w:r w:rsidR="00ED37DC" w:rsidRPr="00931D46">
        <w:rPr>
          <w:rStyle w:val="Refdenotaalpie"/>
          <w:rFonts w:ascii="Arial" w:hAnsi="Arial" w:cs="Arial"/>
        </w:rPr>
        <w:footnoteReference w:id="209"/>
      </w:r>
    </w:p>
    <w:p w14:paraId="0DA49F00" w14:textId="77777777" w:rsidR="001C282D" w:rsidRPr="00931D46" w:rsidRDefault="001C282D" w:rsidP="0023353F">
      <w:pPr>
        <w:spacing w:before="0" w:after="0"/>
        <w:rPr>
          <w:rFonts w:ascii="Arial" w:hAnsi="Arial" w:cs="Arial"/>
        </w:rPr>
      </w:pPr>
    </w:p>
    <w:p w14:paraId="7F748E00" w14:textId="21539BD7" w:rsidR="00B26513" w:rsidRPr="00931D46" w:rsidRDefault="00B26513" w:rsidP="0023353F">
      <w:pPr>
        <w:spacing w:before="0" w:after="0"/>
        <w:rPr>
          <w:rFonts w:ascii="Arial" w:hAnsi="Arial" w:cs="Arial"/>
        </w:rPr>
      </w:pPr>
      <w:r w:rsidRPr="00931D46">
        <w:rPr>
          <w:rFonts w:ascii="Arial" w:hAnsi="Arial" w:cs="Arial"/>
        </w:rPr>
        <w:t xml:space="preserve">Para el caso de </w:t>
      </w:r>
      <w:r w:rsidR="00801986">
        <w:rPr>
          <w:rFonts w:ascii="Arial" w:hAnsi="Arial" w:cs="Arial"/>
        </w:rPr>
        <w:t xml:space="preserve">la </w:t>
      </w:r>
      <w:r w:rsidRPr="00931D46">
        <w:rPr>
          <w:rFonts w:ascii="Arial" w:hAnsi="Arial" w:cs="Arial"/>
        </w:rPr>
        <w:t xml:space="preserve">regulación relativa a comunicaciones electrónicas, la CE ha enfatizado que el punto de partida para la identificación de los mercados mayoristas que pueden ser objeto de regulación </w:t>
      </w:r>
      <w:r w:rsidRPr="00931D46">
        <w:rPr>
          <w:rFonts w:ascii="Arial" w:hAnsi="Arial" w:cs="Arial"/>
          <w:i/>
        </w:rPr>
        <w:t>ex ante</w:t>
      </w:r>
      <w:r w:rsidRPr="00931D46">
        <w:rPr>
          <w:rFonts w:ascii="Arial" w:hAnsi="Arial" w:cs="Arial"/>
        </w:rPr>
        <w:t xml:space="preserve"> debe ser siempre el análisis del mercado o los mercados minoristas correspondientes. </w:t>
      </w:r>
    </w:p>
    <w:p w14:paraId="35788F63" w14:textId="77777777" w:rsidR="001C282D" w:rsidRPr="00931D46" w:rsidRDefault="001C282D" w:rsidP="0023353F">
      <w:pPr>
        <w:spacing w:before="0" w:after="0"/>
        <w:rPr>
          <w:rFonts w:ascii="Arial" w:hAnsi="Arial" w:cs="Arial"/>
        </w:rPr>
      </w:pPr>
    </w:p>
    <w:p w14:paraId="6D218654" w14:textId="77777777" w:rsidR="00B26513" w:rsidRPr="00931D46" w:rsidRDefault="00B26513" w:rsidP="0023353F">
      <w:pPr>
        <w:spacing w:before="0" w:after="0"/>
        <w:rPr>
          <w:rFonts w:ascii="Arial" w:hAnsi="Arial" w:cs="Arial"/>
        </w:rPr>
      </w:pPr>
      <w:r w:rsidRPr="00931D46">
        <w:rPr>
          <w:rFonts w:ascii="Arial" w:hAnsi="Arial" w:cs="Arial"/>
        </w:rPr>
        <w:t>Asimismo, la CE señala que en la delimitación de</w:t>
      </w:r>
      <w:r w:rsidR="00BC60F0" w:rsidRPr="00931D46">
        <w:rPr>
          <w:rFonts w:ascii="Arial" w:hAnsi="Arial" w:cs="Arial"/>
        </w:rPr>
        <w:t xml:space="preserve"> los</w:t>
      </w:r>
      <w:r w:rsidRPr="00931D46">
        <w:rPr>
          <w:rFonts w:ascii="Arial" w:hAnsi="Arial" w:cs="Arial"/>
        </w:rPr>
        <w:t xml:space="preserve"> MR mayorista</w:t>
      </w:r>
      <w:r w:rsidR="00BC60F0" w:rsidRPr="00931D46">
        <w:rPr>
          <w:rFonts w:ascii="Arial" w:hAnsi="Arial" w:cs="Arial"/>
        </w:rPr>
        <w:t>s</w:t>
      </w:r>
      <w:r w:rsidRPr="00931D46">
        <w:rPr>
          <w:rFonts w:ascii="Arial" w:hAnsi="Arial" w:cs="Arial"/>
        </w:rPr>
        <w:t xml:space="preserve"> deben tenerse en cuenta las presiones competitivas directas e indirectas</w:t>
      </w:r>
      <w:r w:rsidR="00BC60F0" w:rsidRPr="00931D46">
        <w:rPr>
          <w:rFonts w:ascii="Arial" w:hAnsi="Arial" w:cs="Arial"/>
        </w:rPr>
        <w:t xml:space="preserve"> (derivadas de las presiones competitivas a nivel minorista)</w:t>
      </w:r>
      <w:r w:rsidRPr="00931D46">
        <w:rPr>
          <w:rFonts w:ascii="Arial" w:hAnsi="Arial" w:cs="Arial"/>
        </w:rPr>
        <w:t xml:space="preserve">, independientemente de si estas </w:t>
      </w:r>
      <w:r w:rsidR="00C45B61" w:rsidRPr="00931D46">
        <w:rPr>
          <w:rFonts w:ascii="Arial" w:hAnsi="Arial" w:cs="Arial"/>
        </w:rPr>
        <w:t>presiones</w:t>
      </w:r>
      <w:r w:rsidRPr="00931D46">
        <w:rPr>
          <w:rFonts w:ascii="Arial" w:hAnsi="Arial" w:cs="Arial"/>
        </w:rPr>
        <w:t xml:space="preserve"> derivan de las redes de comunicaciones electrónicas, de los servicios de comunicaciones electrónicas o de otros tipos de servicios o aplicaciones que sean comparables desde el punto de vista del usuario final</w:t>
      </w:r>
      <w:r w:rsidR="00C45B61" w:rsidRPr="00931D46">
        <w:rPr>
          <w:rFonts w:ascii="Arial" w:hAnsi="Arial" w:cs="Arial"/>
        </w:rPr>
        <w:t>.</w:t>
      </w:r>
      <w:r w:rsidR="00BC60F0" w:rsidRPr="00931D46">
        <w:rPr>
          <w:rFonts w:ascii="Arial" w:hAnsi="Arial" w:cs="Arial"/>
        </w:rPr>
        <w:t xml:space="preserve"> </w:t>
      </w:r>
      <w:r w:rsidR="00C45B61" w:rsidRPr="00931D46">
        <w:rPr>
          <w:rFonts w:ascii="Arial" w:hAnsi="Arial" w:cs="Arial"/>
        </w:rPr>
        <w:t>S</w:t>
      </w:r>
      <w:r w:rsidRPr="00931D46">
        <w:rPr>
          <w:rFonts w:ascii="Arial" w:hAnsi="Arial" w:cs="Arial"/>
        </w:rPr>
        <w:t>i las presiones</w:t>
      </w:r>
      <w:r w:rsidR="00BC60F0" w:rsidRPr="00931D46">
        <w:rPr>
          <w:rFonts w:ascii="Arial" w:hAnsi="Arial" w:cs="Arial"/>
        </w:rPr>
        <w:t xml:space="preserve"> competitivas </w:t>
      </w:r>
      <w:r w:rsidR="00636F89" w:rsidRPr="00931D46">
        <w:rPr>
          <w:rFonts w:ascii="Arial" w:hAnsi="Arial" w:cs="Arial"/>
        </w:rPr>
        <w:t xml:space="preserve">indirectas </w:t>
      </w:r>
      <w:r w:rsidR="00BC60F0" w:rsidRPr="00931D46">
        <w:rPr>
          <w:rFonts w:ascii="Arial" w:hAnsi="Arial" w:cs="Arial"/>
        </w:rPr>
        <w:t xml:space="preserve">que </w:t>
      </w:r>
      <w:r w:rsidR="00C45B61" w:rsidRPr="00931D46">
        <w:rPr>
          <w:rFonts w:ascii="Arial" w:hAnsi="Arial" w:cs="Arial"/>
        </w:rPr>
        <w:t>se derivan de estos productos o servicios a</w:t>
      </w:r>
      <w:r w:rsidR="00BC60F0" w:rsidRPr="00931D46">
        <w:rPr>
          <w:rFonts w:ascii="Arial" w:hAnsi="Arial" w:cs="Arial"/>
        </w:rPr>
        <w:t xml:space="preserve"> nivel minorista</w:t>
      </w:r>
      <w:r w:rsidRPr="00931D46">
        <w:rPr>
          <w:rFonts w:ascii="Arial" w:hAnsi="Arial" w:cs="Arial"/>
        </w:rPr>
        <w:t xml:space="preserve"> no son suficientemente fuertes </w:t>
      </w:r>
      <w:r w:rsidR="00BC77D8" w:rsidRPr="00931D46">
        <w:rPr>
          <w:rFonts w:ascii="Arial" w:hAnsi="Arial" w:cs="Arial"/>
        </w:rPr>
        <w:t xml:space="preserve">para </w:t>
      </w:r>
      <w:r w:rsidR="00636F89" w:rsidRPr="00931D46">
        <w:rPr>
          <w:rFonts w:ascii="Arial" w:hAnsi="Arial" w:cs="Arial"/>
        </w:rPr>
        <w:t>delimitar</w:t>
      </w:r>
      <w:r w:rsidR="00C45B61" w:rsidRPr="00931D46">
        <w:rPr>
          <w:rFonts w:ascii="Arial" w:hAnsi="Arial" w:cs="Arial"/>
        </w:rPr>
        <w:t xml:space="preserve"> el </w:t>
      </w:r>
      <w:r w:rsidRPr="00931D46">
        <w:rPr>
          <w:rFonts w:ascii="Arial" w:hAnsi="Arial" w:cs="Arial"/>
        </w:rPr>
        <w:t>MR</w:t>
      </w:r>
      <w:r w:rsidR="00C45B61" w:rsidRPr="00931D46">
        <w:rPr>
          <w:rFonts w:ascii="Arial" w:hAnsi="Arial" w:cs="Arial"/>
        </w:rPr>
        <w:t xml:space="preserve"> mayorista</w:t>
      </w:r>
      <w:r w:rsidRPr="00931D46">
        <w:rPr>
          <w:rFonts w:ascii="Arial" w:hAnsi="Arial" w:cs="Arial"/>
        </w:rPr>
        <w:t>,</w:t>
      </w:r>
      <w:r w:rsidR="00C45B61" w:rsidRPr="00931D46">
        <w:rPr>
          <w:rFonts w:ascii="Arial" w:hAnsi="Arial" w:cs="Arial"/>
        </w:rPr>
        <w:t xml:space="preserve"> éstas</w:t>
      </w:r>
      <w:r w:rsidRPr="00931D46">
        <w:rPr>
          <w:rFonts w:ascii="Arial" w:hAnsi="Arial" w:cs="Arial"/>
        </w:rPr>
        <w:t xml:space="preserve"> deben evaluarse en la fase de evaluación del PSM.</w:t>
      </w:r>
      <w:r w:rsidRPr="00931D46">
        <w:rPr>
          <w:rStyle w:val="Refdenotaalpie"/>
          <w:rFonts w:ascii="Arial" w:hAnsi="Arial" w:cs="Arial"/>
        </w:rPr>
        <w:footnoteReference w:id="210"/>
      </w:r>
    </w:p>
    <w:p w14:paraId="318F0C51" w14:textId="77777777" w:rsidR="003C3202" w:rsidRPr="00931D46" w:rsidRDefault="003C3202" w:rsidP="00B90F7F">
      <w:pPr>
        <w:autoSpaceDE w:val="0"/>
        <w:autoSpaceDN w:val="0"/>
        <w:adjustRightInd w:val="0"/>
        <w:spacing w:before="0" w:after="0"/>
        <w:jc w:val="left"/>
        <w:rPr>
          <w:rFonts w:ascii="Arial" w:hAnsi="Arial" w:cs="Arial"/>
        </w:rPr>
      </w:pPr>
    </w:p>
    <w:p w14:paraId="57D83E70" w14:textId="77777777" w:rsidR="00B26513" w:rsidRPr="00931D46" w:rsidRDefault="00B26513" w:rsidP="0023353F">
      <w:pPr>
        <w:spacing w:before="0" w:after="0"/>
        <w:rPr>
          <w:rFonts w:ascii="Arial" w:hAnsi="Arial" w:cs="Arial"/>
        </w:rPr>
      </w:pPr>
      <w:r w:rsidRPr="00931D46">
        <w:rPr>
          <w:rFonts w:ascii="Arial" w:hAnsi="Arial" w:cs="Arial"/>
        </w:rPr>
        <w:t>Como ejemplo, en la adquisición de Virgin Media</w:t>
      </w:r>
      <w:r w:rsidRPr="00931D46">
        <w:rPr>
          <w:rStyle w:val="Refdenotaalpie"/>
          <w:rFonts w:ascii="Arial" w:hAnsi="Arial" w:cs="Arial"/>
          <w:color w:val="000000"/>
        </w:rPr>
        <w:footnoteReference w:id="211"/>
      </w:r>
      <w:r w:rsidRPr="00931D46">
        <w:rPr>
          <w:rFonts w:ascii="Arial" w:hAnsi="Arial" w:cs="Arial"/>
        </w:rPr>
        <w:t xml:space="preserve"> por parte de Liberty Global</w:t>
      </w:r>
      <w:r w:rsidRPr="00931D46">
        <w:rPr>
          <w:rStyle w:val="Refdenotaalpie"/>
          <w:rFonts w:ascii="Arial" w:hAnsi="Arial" w:cs="Arial"/>
          <w:color w:val="000000"/>
        </w:rPr>
        <w:footnoteReference w:id="212"/>
      </w:r>
      <w:r w:rsidRPr="00931D46">
        <w:rPr>
          <w:rFonts w:ascii="Arial" w:hAnsi="Arial" w:cs="Arial"/>
        </w:rPr>
        <w:t>, concluida en 2013,</w:t>
      </w:r>
      <w:r w:rsidR="0074338A" w:rsidRPr="00931D46">
        <w:rPr>
          <w:rStyle w:val="Refdenotaalpie"/>
          <w:rFonts w:ascii="Arial" w:hAnsi="Arial" w:cs="Arial"/>
          <w:szCs w:val="20"/>
        </w:rPr>
        <w:footnoteReference w:id="213"/>
      </w:r>
      <w:r w:rsidRPr="00931D46">
        <w:rPr>
          <w:rFonts w:ascii="Arial" w:hAnsi="Arial" w:cs="Arial"/>
        </w:rPr>
        <w:t xml:space="preserve"> se identificaron las actividades que cada empresa llevaba a cabo antes de la transacción, destacando que algunas de ellas podían integrarse de forma vertical a lo largo de la cadena de valor asociada al licenciamiento y distribución de CA para el STAR en el Reino Unido. </w:t>
      </w:r>
    </w:p>
    <w:p w14:paraId="1DE045AD" w14:textId="77777777" w:rsidR="001C282D" w:rsidRPr="00931D46" w:rsidRDefault="001C282D" w:rsidP="0023353F">
      <w:pPr>
        <w:spacing w:before="0" w:after="0"/>
        <w:rPr>
          <w:rFonts w:ascii="Arial" w:hAnsi="Arial" w:cs="Arial"/>
        </w:rPr>
      </w:pPr>
    </w:p>
    <w:p w14:paraId="3FDDC268" w14:textId="77777777" w:rsidR="00B26513" w:rsidRPr="00931D46" w:rsidRDefault="00636F89" w:rsidP="0023353F">
      <w:pPr>
        <w:spacing w:before="0" w:after="0"/>
        <w:rPr>
          <w:rFonts w:ascii="Arial" w:hAnsi="Arial" w:cs="Arial"/>
        </w:rPr>
      </w:pPr>
      <w:r w:rsidRPr="00931D46">
        <w:rPr>
          <w:rFonts w:ascii="Arial" w:hAnsi="Arial" w:cs="Arial"/>
        </w:rPr>
        <w:t xml:space="preserve">Liberty Global </w:t>
      </w:r>
      <w:r w:rsidR="00B26513" w:rsidRPr="00931D46">
        <w:rPr>
          <w:rFonts w:ascii="Arial" w:hAnsi="Arial" w:cs="Arial"/>
        </w:rPr>
        <w:t xml:space="preserve">proveía CA, mientras que </w:t>
      </w:r>
      <w:r w:rsidRPr="00931D46">
        <w:rPr>
          <w:rFonts w:ascii="Arial" w:hAnsi="Arial" w:cs="Arial"/>
        </w:rPr>
        <w:t xml:space="preserve">Virgin Media </w:t>
      </w:r>
      <w:r w:rsidR="00B26513" w:rsidRPr="00931D46">
        <w:rPr>
          <w:rFonts w:ascii="Arial" w:hAnsi="Arial" w:cs="Arial"/>
        </w:rPr>
        <w:t xml:space="preserve">ofrecía STAR, </w:t>
      </w:r>
      <w:r w:rsidR="00850947" w:rsidRPr="00931D46">
        <w:rPr>
          <w:rFonts w:ascii="Arial" w:hAnsi="Arial" w:cs="Arial"/>
        </w:rPr>
        <w:t>STF</w:t>
      </w:r>
      <w:r w:rsidR="00B26513" w:rsidRPr="00931D46">
        <w:rPr>
          <w:rFonts w:ascii="Arial" w:hAnsi="Arial" w:cs="Arial"/>
        </w:rPr>
        <w:t xml:space="preserve"> y </w:t>
      </w:r>
      <w:r w:rsidR="00E36851" w:rsidRPr="00931D46">
        <w:rPr>
          <w:rFonts w:ascii="Arial" w:hAnsi="Arial" w:cs="Arial"/>
        </w:rPr>
        <w:t xml:space="preserve">telefonía </w:t>
      </w:r>
      <w:r w:rsidR="00B26513" w:rsidRPr="00931D46">
        <w:rPr>
          <w:rFonts w:ascii="Arial" w:hAnsi="Arial" w:cs="Arial"/>
        </w:rPr>
        <w:t>móvil a usuarios finales. Al respecto, los principales riesgos de af</w:t>
      </w:r>
      <w:r w:rsidR="00EC0DC0" w:rsidRPr="00931D46">
        <w:rPr>
          <w:rFonts w:ascii="Arial" w:hAnsi="Arial" w:cs="Arial"/>
        </w:rPr>
        <w:t xml:space="preserve">ectar la competencia eran dos: </w:t>
      </w:r>
      <w:r w:rsidR="00B26513" w:rsidRPr="00931D46">
        <w:rPr>
          <w:rFonts w:ascii="Arial" w:hAnsi="Arial" w:cs="Arial"/>
        </w:rPr>
        <w:t xml:space="preserve">i) aguas arriba: las empresas competidoras de </w:t>
      </w:r>
      <w:r w:rsidRPr="00931D46">
        <w:rPr>
          <w:rFonts w:ascii="Arial" w:hAnsi="Arial" w:cs="Arial"/>
        </w:rPr>
        <w:t xml:space="preserve">Liberty Global </w:t>
      </w:r>
      <w:r w:rsidR="00B26513" w:rsidRPr="00931D46">
        <w:rPr>
          <w:rFonts w:ascii="Arial" w:hAnsi="Arial" w:cs="Arial"/>
        </w:rPr>
        <w:t xml:space="preserve">podrían perder como cliente a </w:t>
      </w:r>
      <w:r w:rsidRPr="00931D46">
        <w:rPr>
          <w:rFonts w:ascii="Arial" w:hAnsi="Arial" w:cs="Arial"/>
        </w:rPr>
        <w:t>Virgin Media</w:t>
      </w:r>
      <w:r w:rsidR="00B26513" w:rsidRPr="00931D46">
        <w:rPr>
          <w:rFonts w:ascii="Arial" w:hAnsi="Arial" w:cs="Arial"/>
        </w:rPr>
        <w:t xml:space="preserve">, y ii) aguas abajo, los competidores de </w:t>
      </w:r>
      <w:r w:rsidRPr="00931D46">
        <w:rPr>
          <w:rFonts w:ascii="Arial" w:hAnsi="Arial" w:cs="Arial"/>
        </w:rPr>
        <w:t xml:space="preserve">Virgin Media </w:t>
      </w:r>
      <w:r w:rsidR="00B26513" w:rsidRPr="00931D46">
        <w:rPr>
          <w:rFonts w:ascii="Arial" w:hAnsi="Arial" w:cs="Arial"/>
        </w:rPr>
        <w:t xml:space="preserve">podrían no tener acceso a CA de </w:t>
      </w:r>
      <w:r w:rsidRPr="00931D46">
        <w:rPr>
          <w:rFonts w:ascii="Arial" w:hAnsi="Arial" w:cs="Arial"/>
        </w:rPr>
        <w:t>Liberty Global</w:t>
      </w:r>
      <w:r w:rsidR="00B26513" w:rsidRPr="00931D46">
        <w:rPr>
          <w:rFonts w:ascii="Arial" w:hAnsi="Arial" w:cs="Arial"/>
        </w:rPr>
        <w:t xml:space="preserve">, ya fuera </w:t>
      </w:r>
      <w:r w:rsidR="00322593" w:rsidRPr="00931D46">
        <w:rPr>
          <w:rFonts w:ascii="Arial" w:hAnsi="Arial" w:cs="Arial"/>
        </w:rPr>
        <w:t xml:space="preserve">porque se les </w:t>
      </w:r>
      <w:r w:rsidR="00B26513" w:rsidRPr="00931D46">
        <w:rPr>
          <w:rFonts w:ascii="Arial" w:hAnsi="Arial" w:cs="Arial"/>
        </w:rPr>
        <w:t>neg</w:t>
      </w:r>
      <w:r w:rsidR="00322593" w:rsidRPr="00931D46">
        <w:rPr>
          <w:rFonts w:ascii="Arial" w:hAnsi="Arial" w:cs="Arial"/>
        </w:rPr>
        <w:t>ara</w:t>
      </w:r>
      <w:r w:rsidR="00B26513" w:rsidRPr="00931D46">
        <w:rPr>
          <w:rFonts w:ascii="Arial" w:hAnsi="Arial" w:cs="Arial"/>
        </w:rPr>
        <w:t xml:space="preserve"> el acceso o </w:t>
      </w:r>
      <w:r w:rsidR="00322593" w:rsidRPr="00931D46">
        <w:rPr>
          <w:rFonts w:ascii="Arial" w:hAnsi="Arial" w:cs="Arial"/>
        </w:rPr>
        <w:t xml:space="preserve">a través de la modificación de </w:t>
      </w:r>
      <w:r w:rsidR="00B26513" w:rsidRPr="00931D46">
        <w:rPr>
          <w:rFonts w:ascii="Arial" w:hAnsi="Arial" w:cs="Arial"/>
        </w:rPr>
        <w:t>los precios de la</w:t>
      </w:r>
      <w:r w:rsidR="00322593" w:rsidRPr="00931D46">
        <w:rPr>
          <w:rFonts w:ascii="Arial" w:hAnsi="Arial" w:cs="Arial"/>
        </w:rPr>
        <w:t>s</w:t>
      </w:r>
      <w:r w:rsidR="00B26513" w:rsidRPr="00931D46">
        <w:rPr>
          <w:rFonts w:ascii="Arial" w:hAnsi="Arial" w:cs="Arial"/>
        </w:rPr>
        <w:t xml:space="preserve"> licencia</w:t>
      </w:r>
      <w:r w:rsidR="00322593" w:rsidRPr="00931D46">
        <w:rPr>
          <w:rFonts w:ascii="Arial" w:hAnsi="Arial" w:cs="Arial"/>
        </w:rPr>
        <w:t>s</w:t>
      </w:r>
      <w:r w:rsidR="00B26513" w:rsidRPr="00931D46">
        <w:rPr>
          <w:rFonts w:ascii="Arial" w:hAnsi="Arial" w:cs="Arial"/>
        </w:rPr>
        <w:t>.</w:t>
      </w:r>
    </w:p>
    <w:p w14:paraId="3977F157" w14:textId="77777777" w:rsidR="001C282D" w:rsidRPr="00931D46" w:rsidRDefault="001C282D" w:rsidP="0023353F">
      <w:pPr>
        <w:spacing w:before="0" w:after="0"/>
        <w:rPr>
          <w:rFonts w:ascii="Arial" w:hAnsi="Arial" w:cs="Arial"/>
        </w:rPr>
      </w:pPr>
    </w:p>
    <w:p w14:paraId="49725D1D" w14:textId="0D28F069" w:rsidR="00B26513" w:rsidRPr="00330363" w:rsidRDefault="00B26513" w:rsidP="0023353F">
      <w:pPr>
        <w:spacing w:before="0" w:after="0"/>
        <w:rPr>
          <w:rFonts w:ascii="Arial" w:hAnsi="Arial" w:cs="Arial"/>
          <w:color w:val="000000"/>
        </w:rPr>
      </w:pPr>
      <w:r w:rsidRPr="00330363">
        <w:rPr>
          <w:rFonts w:ascii="Arial" w:hAnsi="Arial" w:cs="Arial"/>
        </w:rPr>
        <w:t>En este caso, la CE consideró necesario determinar 4 (cuatro) MR dentro de la cadena de valor:</w:t>
      </w:r>
      <w:r w:rsidRPr="00330363">
        <w:rPr>
          <w:rFonts w:ascii="Arial" w:hAnsi="Arial" w:cs="Arial"/>
          <w:color w:val="000000"/>
        </w:rPr>
        <w:t xml:space="preserve"> i) </w:t>
      </w:r>
      <w:r w:rsidR="00801986" w:rsidRPr="00330363">
        <w:rPr>
          <w:rFonts w:ascii="Arial" w:hAnsi="Arial" w:cs="Arial"/>
          <w:color w:val="000000"/>
        </w:rPr>
        <w:t>c</w:t>
      </w:r>
      <w:r w:rsidRPr="00330363">
        <w:rPr>
          <w:rFonts w:ascii="Arial" w:hAnsi="Arial" w:cs="Arial"/>
          <w:color w:val="000000"/>
        </w:rPr>
        <w:t xml:space="preserve">oncesión de licencias de derechos individuales de transmisión de CA, ii) </w:t>
      </w:r>
      <w:r w:rsidR="00801986" w:rsidRPr="00330363">
        <w:rPr>
          <w:rFonts w:ascii="Arial" w:hAnsi="Arial" w:cs="Arial"/>
          <w:color w:val="000000"/>
        </w:rPr>
        <w:t>c</w:t>
      </w:r>
      <w:r w:rsidRPr="00330363">
        <w:rPr>
          <w:rFonts w:ascii="Arial" w:hAnsi="Arial" w:cs="Arial"/>
          <w:color w:val="000000"/>
        </w:rPr>
        <w:t>uministro mayorista de CA (aguas a</w:t>
      </w:r>
      <w:r w:rsidR="00EC0DC0" w:rsidRPr="00330363">
        <w:rPr>
          <w:rFonts w:ascii="Arial" w:hAnsi="Arial" w:cs="Arial"/>
          <w:color w:val="000000"/>
        </w:rPr>
        <w:t xml:space="preserve">rriba), </w:t>
      </w:r>
      <w:r w:rsidRPr="00330363">
        <w:rPr>
          <w:rFonts w:ascii="Arial" w:hAnsi="Arial" w:cs="Arial"/>
          <w:color w:val="000000"/>
        </w:rPr>
        <w:t xml:space="preserve">iii) </w:t>
      </w:r>
      <w:r w:rsidR="00801986" w:rsidRPr="00330363">
        <w:rPr>
          <w:rFonts w:ascii="Arial" w:hAnsi="Arial" w:cs="Arial"/>
          <w:color w:val="000000"/>
        </w:rPr>
        <w:t>s</w:t>
      </w:r>
      <w:r w:rsidRPr="00330363">
        <w:rPr>
          <w:rFonts w:ascii="Arial" w:hAnsi="Arial" w:cs="Arial"/>
          <w:color w:val="000000"/>
        </w:rPr>
        <w:t>uministro minorista de CA para u</w:t>
      </w:r>
      <w:r w:rsidR="00EC0DC0" w:rsidRPr="00330363">
        <w:rPr>
          <w:rFonts w:ascii="Arial" w:hAnsi="Arial" w:cs="Arial"/>
          <w:color w:val="000000"/>
        </w:rPr>
        <w:t xml:space="preserve">suarios finales (aguas abajo) y </w:t>
      </w:r>
      <w:r w:rsidRPr="00330363">
        <w:rPr>
          <w:rFonts w:ascii="Arial" w:hAnsi="Arial" w:cs="Arial"/>
          <w:color w:val="000000"/>
        </w:rPr>
        <w:t>iv) prestación de servicios de telecomunicaciones.</w:t>
      </w:r>
    </w:p>
    <w:p w14:paraId="436AF874" w14:textId="4394A9CB" w:rsidR="001C282D" w:rsidRPr="00330363" w:rsidRDefault="001C282D" w:rsidP="0023353F">
      <w:pPr>
        <w:spacing w:before="0" w:after="0"/>
        <w:rPr>
          <w:rFonts w:ascii="Arial" w:hAnsi="Arial" w:cs="Arial"/>
        </w:rPr>
      </w:pPr>
    </w:p>
    <w:p w14:paraId="1E83AEBD" w14:textId="48687AE4" w:rsidR="005A5468" w:rsidRPr="00330363" w:rsidRDefault="005A5468" w:rsidP="005A5468">
      <w:pPr>
        <w:autoSpaceDE w:val="0"/>
        <w:autoSpaceDN w:val="0"/>
        <w:adjustRightInd w:val="0"/>
        <w:spacing w:before="0" w:after="0"/>
        <w:rPr>
          <w:rFonts w:ascii="Arial" w:hAnsi="Arial" w:cs="Arial"/>
        </w:rPr>
      </w:pPr>
      <w:r w:rsidRPr="00330363">
        <w:rPr>
          <w:rFonts w:ascii="Arial" w:hAnsi="Arial" w:cs="Arial"/>
        </w:rPr>
        <w:t>Por otra parte, BEREC ha enfatizado la relevancia del auto-abastecimiento de insumos, principalmente cuando existen pocos oferentes en el mercado mayorista, y plantea si éstos deberían considerarse como un MR mayorista aun cuando no se vendan a terceros pero</w:t>
      </w:r>
      <w:r w:rsidR="00801986" w:rsidRPr="00330363">
        <w:rPr>
          <w:rFonts w:ascii="Arial" w:hAnsi="Arial" w:cs="Arial"/>
        </w:rPr>
        <w:t>,</w:t>
      </w:r>
      <w:r w:rsidRPr="00330363">
        <w:rPr>
          <w:rFonts w:ascii="Arial" w:hAnsi="Arial" w:cs="Arial"/>
        </w:rPr>
        <w:t xml:space="preserve"> en principio</w:t>
      </w:r>
      <w:r w:rsidR="00801986" w:rsidRPr="00330363">
        <w:rPr>
          <w:rFonts w:ascii="Arial" w:hAnsi="Arial" w:cs="Arial"/>
        </w:rPr>
        <w:t>,</w:t>
      </w:r>
      <w:r w:rsidRPr="00330363">
        <w:rPr>
          <w:rFonts w:ascii="Arial" w:hAnsi="Arial" w:cs="Arial"/>
        </w:rPr>
        <w:t xml:space="preserve"> podrían venderse.</w:t>
      </w:r>
      <w:r w:rsidRPr="00330363">
        <w:rPr>
          <w:rStyle w:val="Refdenotaalpie"/>
          <w:rFonts w:ascii="Arial" w:hAnsi="Arial" w:cs="Arial"/>
        </w:rPr>
        <w:footnoteReference w:id="214"/>
      </w:r>
    </w:p>
    <w:p w14:paraId="3CD339AA" w14:textId="77777777" w:rsidR="005A5468" w:rsidRPr="00330363" w:rsidRDefault="005A5468" w:rsidP="005A5468">
      <w:pPr>
        <w:autoSpaceDE w:val="0"/>
        <w:autoSpaceDN w:val="0"/>
        <w:adjustRightInd w:val="0"/>
        <w:spacing w:before="0" w:after="0"/>
        <w:rPr>
          <w:rFonts w:ascii="Arial" w:hAnsi="Arial" w:cs="Arial"/>
        </w:rPr>
      </w:pPr>
    </w:p>
    <w:p w14:paraId="0E5800A8" w14:textId="77777777" w:rsidR="005A5468" w:rsidRPr="00330363" w:rsidRDefault="005A5468" w:rsidP="005A5468">
      <w:pPr>
        <w:autoSpaceDE w:val="0"/>
        <w:autoSpaceDN w:val="0"/>
        <w:adjustRightInd w:val="0"/>
        <w:spacing w:before="0" w:after="0"/>
        <w:rPr>
          <w:rFonts w:ascii="Arial" w:hAnsi="Arial" w:cs="Arial"/>
        </w:rPr>
      </w:pPr>
      <w:r w:rsidRPr="00330363">
        <w:rPr>
          <w:rFonts w:ascii="Arial" w:hAnsi="Arial" w:cs="Arial"/>
        </w:rPr>
        <w:t xml:space="preserve">BEREC también señala que en presencia de integraciones verticales es conveniente evaluar las restricciones directas e indirectas. Para identificar la relevancia de las restricciones indirectas se han utilizado principalmente: (i) el cociente entre los precios de los mercados mayorista y minorista; (ii) el nivel de competencia en el mercado minorista; y (iii) la sensibilidad al precio de los consumidores en el mercado minorista. </w:t>
      </w:r>
    </w:p>
    <w:p w14:paraId="3942BB5F" w14:textId="77777777" w:rsidR="005A5468" w:rsidRPr="00330363" w:rsidRDefault="005A5468" w:rsidP="0023353F">
      <w:pPr>
        <w:spacing w:before="0" w:after="0"/>
        <w:rPr>
          <w:rFonts w:ascii="Arial" w:hAnsi="Arial" w:cs="Arial"/>
        </w:rPr>
      </w:pPr>
    </w:p>
    <w:p w14:paraId="79CA4896" w14:textId="77777777" w:rsidR="00B26513" w:rsidRPr="00330363"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66" w:name="_Toc39855726"/>
      <w:bookmarkStart w:id="267" w:name="_Toc41649778"/>
      <w:r w:rsidRPr="00330363">
        <w:rPr>
          <w:rFonts w:ascii="Arial" w:eastAsia="Times New Roman" w:hAnsi="Arial" w:cs="Arial"/>
          <w:b/>
          <w:i w:val="0"/>
          <w:color w:val="auto"/>
          <w:lang w:val="en-US" w:eastAsia="es-MX"/>
        </w:rPr>
        <w:t>Estados Unidos</w:t>
      </w:r>
      <w:bookmarkEnd w:id="266"/>
      <w:r w:rsidRPr="00330363">
        <w:rPr>
          <w:rFonts w:ascii="Arial" w:eastAsia="Times New Roman" w:hAnsi="Arial" w:cs="Arial"/>
          <w:b/>
          <w:i w:val="0"/>
          <w:color w:val="auto"/>
          <w:lang w:val="en-US" w:eastAsia="es-MX"/>
        </w:rPr>
        <w:t xml:space="preserve"> de América</w:t>
      </w:r>
      <w:bookmarkEnd w:id="267"/>
    </w:p>
    <w:p w14:paraId="604FA983" w14:textId="77777777" w:rsidR="001C282D" w:rsidRPr="00330363" w:rsidRDefault="001C282D" w:rsidP="0023353F">
      <w:pPr>
        <w:keepNext/>
        <w:spacing w:before="0" w:after="0"/>
        <w:rPr>
          <w:rFonts w:ascii="Arial" w:hAnsi="Arial" w:cs="Arial"/>
        </w:rPr>
      </w:pPr>
    </w:p>
    <w:p w14:paraId="6B26ECB7" w14:textId="77777777" w:rsidR="00B26513" w:rsidRPr="00330363" w:rsidRDefault="00B26513" w:rsidP="0023353F">
      <w:pPr>
        <w:spacing w:before="0" w:after="0"/>
        <w:rPr>
          <w:rFonts w:ascii="Arial" w:hAnsi="Arial" w:cs="Arial"/>
        </w:rPr>
      </w:pPr>
      <w:r w:rsidRPr="00330363">
        <w:rPr>
          <w:rFonts w:ascii="Arial" w:hAnsi="Arial" w:cs="Arial"/>
        </w:rPr>
        <w:t xml:space="preserve">La FTC y el </w:t>
      </w:r>
      <w:r w:rsidR="00074B18" w:rsidRPr="00330363">
        <w:rPr>
          <w:rFonts w:ascii="Arial" w:hAnsi="Arial" w:cs="Arial"/>
        </w:rPr>
        <w:t>DOJ</w:t>
      </w:r>
      <w:r w:rsidRPr="00330363">
        <w:rPr>
          <w:rFonts w:ascii="Arial" w:hAnsi="Arial" w:cs="Arial"/>
        </w:rPr>
        <w:t xml:space="preserve"> </w:t>
      </w:r>
      <w:r w:rsidR="00D500AE" w:rsidRPr="00330363">
        <w:rPr>
          <w:rFonts w:ascii="Arial" w:hAnsi="Arial" w:cs="Arial"/>
        </w:rPr>
        <w:t xml:space="preserve">publicaron </w:t>
      </w:r>
      <w:r w:rsidR="007666DB" w:rsidRPr="00330363">
        <w:rPr>
          <w:rFonts w:ascii="Arial" w:hAnsi="Arial" w:cs="Arial"/>
        </w:rPr>
        <w:t>en 2020</w:t>
      </w:r>
      <w:r w:rsidR="002772F9" w:rsidRPr="00330363">
        <w:rPr>
          <w:rFonts w:ascii="Arial" w:hAnsi="Arial" w:cs="Arial"/>
        </w:rPr>
        <w:t xml:space="preserve"> </w:t>
      </w:r>
      <w:r w:rsidR="00D500AE" w:rsidRPr="00330363">
        <w:rPr>
          <w:rFonts w:ascii="Arial" w:hAnsi="Arial" w:cs="Arial"/>
        </w:rPr>
        <w:t>la</w:t>
      </w:r>
      <w:r w:rsidRPr="00330363">
        <w:rPr>
          <w:rFonts w:ascii="Arial" w:hAnsi="Arial" w:cs="Arial"/>
        </w:rPr>
        <w:t xml:space="preserve"> nueva </w:t>
      </w:r>
      <w:r w:rsidRPr="00330363">
        <w:rPr>
          <w:rFonts w:ascii="Arial" w:hAnsi="Arial" w:cs="Arial"/>
          <w:i/>
        </w:rPr>
        <w:t>Guía de Concentraciones Verticales</w:t>
      </w:r>
      <w:r w:rsidR="00D500AE" w:rsidRPr="00330363">
        <w:rPr>
          <w:rStyle w:val="Refdenotaalpie"/>
          <w:rFonts w:ascii="Arial" w:hAnsi="Arial" w:cs="Arial"/>
        </w:rPr>
        <w:footnoteReference w:id="215"/>
      </w:r>
      <w:r w:rsidRPr="00330363">
        <w:rPr>
          <w:rFonts w:ascii="Arial" w:hAnsi="Arial" w:cs="Arial"/>
        </w:rPr>
        <w:t xml:space="preserve"> </w:t>
      </w:r>
      <w:r w:rsidR="00D500AE" w:rsidRPr="00330363">
        <w:rPr>
          <w:rFonts w:ascii="Arial" w:hAnsi="Arial" w:cs="Arial"/>
        </w:rPr>
        <w:t>que actualiza los criterios de evaluación de las concentraciones verticales respecto a la guía de concentraciones de 1984</w:t>
      </w:r>
      <w:r w:rsidR="00D500AE" w:rsidRPr="00330363">
        <w:rPr>
          <w:rStyle w:val="Refdenotaalpie"/>
          <w:rFonts w:ascii="Arial" w:hAnsi="Arial" w:cs="Arial"/>
        </w:rPr>
        <w:footnoteReference w:id="216"/>
      </w:r>
      <w:r w:rsidR="00D500AE" w:rsidRPr="00330363">
        <w:rPr>
          <w:rFonts w:ascii="Arial" w:hAnsi="Arial" w:cs="Arial"/>
        </w:rPr>
        <w:t>.</w:t>
      </w:r>
    </w:p>
    <w:p w14:paraId="4F54186C" w14:textId="77777777" w:rsidR="001C282D" w:rsidRPr="00330363" w:rsidRDefault="001C282D" w:rsidP="0023353F">
      <w:pPr>
        <w:spacing w:before="0" w:after="0"/>
        <w:rPr>
          <w:rFonts w:ascii="Arial" w:hAnsi="Arial" w:cs="Arial"/>
        </w:rPr>
      </w:pPr>
    </w:p>
    <w:p w14:paraId="6839CF75" w14:textId="77777777" w:rsidR="00303429" w:rsidRPr="00330363" w:rsidRDefault="00D500AE" w:rsidP="0023353F">
      <w:pPr>
        <w:spacing w:before="0" w:after="0"/>
        <w:rPr>
          <w:rFonts w:ascii="Arial" w:hAnsi="Arial" w:cs="Arial"/>
          <w:lang w:val="es-ES"/>
        </w:rPr>
      </w:pPr>
      <w:r w:rsidRPr="00330363">
        <w:rPr>
          <w:rFonts w:ascii="Arial" w:hAnsi="Arial" w:cs="Arial"/>
        </w:rPr>
        <w:t>La nueva</w:t>
      </w:r>
      <w:r w:rsidR="00B26513" w:rsidRPr="00330363">
        <w:rPr>
          <w:rFonts w:ascii="Arial" w:hAnsi="Arial" w:cs="Arial"/>
        </w:rPr>
        <w:t xml:space="preserve"> guía señala que, </w:t>
      </w:r>
      <w:r w:rsidR="000E00F7" w:rsidRPr="00330363">
        <w:rPr>
          <w:rFonts w:ascii="Arial" w:hAnsi="Arial" w:cs="Arial"/>
        </w:rPr>
        <w:t xml:space="preserve">en concentraciones verticales, las autoridades </w:t>
      </w:r>
      <w:r w:rsidR="000E00F7" w:rsidRPr="00330363">
        <w:rPr>
          <w:rFonts w:ascii="Arial" w:hAnsi="Arial" w:cs="Arial"/>
          <w:lang w:val="es-ES"/>
        </w:rPr>
        <w:t xml:space="preserve">identifican generalmente uno o más MR en los que la concentración puede disminuir sustancialmente la competencia, los cuales pueden estar aguas arriba o aguas abajo, y la determinación de éstos se hace </w:t>
      </w:r>
      <w:r w:rsidR="00FC0218" w:rsidRPr="00330363">
        <w:rPr>
          <w:rFonts w:ascii="Arial" w:hAnsi="Arial" w:cs="Arial"/>
          <w:lang w:val="es-ES"/>
        </w:rPr>
        <w:t xml:space="preserve">generalmente utilizando la misma metodología </w:t>
      </w:r>
      <w:r w:rsidR="000E00F7" w:rsidRPr="00330363">
        <w:rPr>
          <w:rFonts w:ascii="Arial" w:hAnsi="Arial" w:cs="Arial"/>
          <w:lang w:val="es-ES"/>
        </w:rPr>
        <w:t>que en concentraciones horizontales.</w:t>
      </w:r>
    </w:p>
    <w:p w14:paraId="0CD8AEBF" w14:textId="77777777" w:rsidR="000E00F7" w:rsidRPr="00330363" w:rsidRDefault="000E00F7" w:rsidP="0023353F">
      <w:pPr>
        <w:spacing w:before="0" w:after="0"/>
        <w:rPr>
          <w:rFonts w:ascii="Arial" w:hAnsi="Arial" w:cs="Arial"/>
        </w:rPr>
      </w:pPr>
    </w:p>
    <w:p w14:paraId="6FB496CC" w14:textId="77777777" w:rsidR="00B26513" w:rsidRPr="00330363"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68" w:name="_Toc39855727"/>
      <w:bookmarkStart w:id="269" w:name="_Toc41649779"/>
      <w:r w:rsidRPr="00330363">
        <w:rPr>
          <w:rFonts w:ascii="Arial" w:eastAsia="Times New Roman" w:hAnsi="Arial" w:cs="Arial"/>
          <w:b/>
          <w:i w:val="0"/>
          <w:color w:val="auto"/>
          <w:lang w:val="en-US" w:eastAsia="es-MX"/>
        </w:rPr>
        <w:t>Australia</w:t>
      </w:r>
      <w:bookmarkEnd w:id="268"/>
      <w:bookmarkEnd w:id="269"/>
      <w:r w:rsidR="000C39CB" w:rsidRPr="00330363">
        <w:rPr>
          <w:rFonts w:ascii="Arial" w:eastAsia="Times New Roman" w:hAnsi="Arial" w:cs="Arial"/>
          <w:b/>
          <w:i w:val="0"/>
          <w:color w:val="auto"/>
          <w:vertAlign w:val="superscript"/>
          <w:lang w:eastAsia="es-MX"/>
        </w:rPr>
        <w:footnoteReference w:id="217"/>
      </w:r>
    </w:p>
    <w:p w14:paraId="7E09FFE6" w14:textId="77777777" w:rsidR="001C282D" w:rsidRPr="00330363" w:rsidRDefault="001C282D" w:rsidP="0023353F">
      <w:pPr>
        <w:keepNext/>
        <w:spacing w:before="0" w:after="0"/>
        <w:rPr>
          <w:rFonts w:ascii="Arial" w:hAnsi="Arial" w:cs="Arial"/>
        </w:rPr>
      </w:pPr>
    </w:p>
    <w:p w14:paraId="60AB1B0E" w14:textId="7896A097" w:rsidR="00B26513" w:rsidRPr="00931D46" w:rsidRDefault="00B26513" w:rsidP="0023353F">
      <w:pPr>
        <w:spacing w:before="0" w:after="0"/>
        <w:rPr>
          <w:rFonts w:ascii="Arial" w:hAnsi="Arial" w:cs="Arial"/>
        </w:rPr>
      </w:pPr>
      <w:r w:rsidRPr="00330363">
        <w:rPr>
          <w:rFonts w:ascii="Arial" w:hAnsi="Arial" w:cs="Arial"/>
        </w:rPr>
        <w:t xml:space="preserve">En el análisis de concentraciones verticales o </w:t>
      </w:r>
      <w:r w:rsidR="00A31678" w:rsidRPr="00330363">
        <w:rPr>
          <w:rFonts w:ascii="Arial" w:hAnsi="Arial" w:cs="Arial"/>
        </w:rPr>
        <w:t xml:space="preserve">cuando </w:t>
      </w:r>
      <w:r w:rsidRPr="00330363">
        <w:rPr>
          <w:rFonts w:ascii="Arial" w:hAnsi="Arial" w:cs="Arial"/>
        </w:rPr>
        <w:t>el AE resultante compite con empresas integradas verticalmente, la ACCC debe determinar si la evaluación de competencia se r</w:t>
      </w:r>
      <w:r w:rsidR="00EC0DC0" w:rsidRPr="00330363">
        <w:rPr>
          <w:rFonts w:ascii="Arial" w:hAnsi="Arial" w:cs="Arial"/>
        </w:rPr>
        <w:t xml:space="preserve">ealiza mejor en el contexto de </w:t>
      </w:r>
      <w:r w:rsidRPr="00330363">
        <w:rPr>
          <w:rFonts w:ascii="Arial" w:hAnsi="Arial" w:cs="Arial"/>
        </w:rPr>
        <w:t xml:space="preserve">i) un </w:t>
      </w:r>
      <w:r w:rsidR="009E7933" w:rsidRPr="00330363">
        <w:rPr>
          <w:rFonts w:ascii="Arial" w:hAnsi="Arial" w:cs="Arial"/>
        </w:rPr>
        <w:t>MR</w:t>
      </w:r>
      <w:r w:rsidRPr="00330363">
        <w:rPr>
          <w:rFonts w:ascii="Arial" w:hAnsi="Arial" w:cs="Arial"/>
        </w:rPr>
        <w:t xml:space="preserve"> que abarque toda la cadena de valor (i.e. incluir restricc</w:t>
      </w:r>
      <w:r w:rsidR="00EC0DC0" w:rsidRPr="00330363">
        <w:rPr>
          <w:rFonts w:ascii="Arial" w:hAnsi="Arial" w:cs="Arial"/>
        </w:rPr>
        <w:t xml:space="preserve">iones directas e indirectas) o </w:t>
      </w:r>
      <w:r w:rsidRPr="00330363">
        <w:rPr>
          <w:rFonts w:ascii="Arial" w:hAnsi="Arial" w:cs="Arial"/>
        </w:rPr>
        <w:t xml:space="preserve">ii) una serie de mercados separados (i.e. </w:t>
      </w:r>
      <w:r w:rsidR="00807A4B" w:rsidRPr="00330363">
        <w:rPr>
          <w:rFonts w:ascii="Arial" w:hAnsi="Arial" w:cs="Arial"/>
        </w:rPr>
        <w:t xml:space="preserve">incluir </w:t>
      </w:r>
      <w:r w:rsidRPr="00330363">
        <w:rPr>
          <w:rFonts w:ascii="Arial" w:hAnsi="Arial" w:cs="Arial"/>
        </w:rPr>
        <w:t>sólo restricciones directas), cada uno de los cuales comprende</w:t>
      </w:r>
      <w:r w:rsidRPr="00931D46">
        <w:rPr>
          <w:rFonts w:ascii="Arial" w:hAnsi="Arial" w:cs="Arial"/>
        </w:rPr>
        <w:t xml:space="preserve"> una etapa de la cadena. Esta determinación depende de la concentración bajo análisis; cuando haya eficiencias contundentes de la integración vertical analizada entre dos o más etapas en la cadena de suministro, la ACCC definirá un mercado abarcando todas esas etapas. </w:t>
      </w:r>
    </w:p>
    <w:p w14:paraId="1F39D5B5" w14:textId="77777777" w:rsidR="001C282D" w:rsidRPr="00931D46" w:rsidRDefault="001C282D" w:rsidP="0023353F">
      <w:pPr>
        <w:spacing w:before="0" w:after="0"/>
        <w:rPr>
          <w:rFonts w:ascii="Arial" w:hAnsi="Arial" w:cs="Arial"/>
        </w:rPr>
      </w:pPr>
    </w:p>
    <w:p w14:paraId="08C850A2" w14:textId="1078724C" w:rsidR="00B26513" w:rsidRPr="00931D46" w:rsidRDefault="00B26513" w:rsidP="0023353F">
      <w:pPr>
        <w:spacing w:before="0" w:after="0"/>
        <w:rPr>
          <w:rFonts w:ascii="Arial" w:hAnsi="Arial" w:cs="Arial"/>
        </w:rPr>
      </w:pPr>
      <w:r w:rsidRPr="00931D46">
        <w:rPr>
          <w:rFonts w:ascii="Arial" w:hAnsi="Arial" w:cs="Arial"/>
        </w:rPr>
        <w:t>En l</w:t>
      </w:r>
      <w:r w:rsidR="00ED37DC" w:rsidRPr="00931D46">
        <w:rPr>
          <w:rFonts w:ascii="Arial" w:hAnsi="Arial" w:cs="Arial"/>
        </w:rPr>
        <w:t>a concentración de TPG Telecom e</w:t>
      </w:r>
      <w:r w:rsidRPr="00931D46">
        <w:rPr>
          <w:rFonts w:ascii="Arial" w:hAnsi="Arial" w:cs="Arial"/>
        </w:rPr>
        <w:t xml:space="preserve"> iiNet,</w:t>
      </w:r>
      <w:r w:rsidRPr="00931D46">
        <w:rPr>
          <w:rFonts w:ascii="Arial" w:hAnsi="Arial" w:cs="Arial"/>
          <w:vertAlign w:val="superscript"/>
        </w:rPr>
        <w:footnoteReference w:id="218"/>
      </w:r>
      <w:r w:rsidRPr="00931D46">
        <w:rPr>
          <w:rFonts w:ascii="Arial" w:hAnsi="Arial" w:cs="Arial"/>
        </w:rPr>
        <w:t xml:space="preserve"> para definir el MR, la ACCC consideró que había diferentes niveles funcionale</w:t>
      </w:r>
      <w:r w:rsidR="00CD670A" w:rsidRPr="00931D46">
        <w:rPr>
          <w:rFonts w:ascii="Arial" w:hAnsi="Arial" w:cs="Arial"/>
        </w:rPr>
        <w:t xml:space="preserve">s de la cadena de suministro de servicios de </w:t>
      </w:r>
      <w:r w:rsidRPr="00931D46">
        <w:rPr>
          <w:rFonts w:ascii="Arial" w:hAnsi="Arial" w:cs="Arial"/>
        </w:rPr>
        <w:t xml:space="preserve">telecomunicaciones </w:t>
      </w:r>
      <w:r w:rsidR="00CD670A" w:rsidRPr="00931D46">
        <w:rPr>
          <w:rFonts w:ascii="Arial" w:hAnsi="Arial" w:cs="Arial"/>
        </w:rPr>
        <w:t xml:space="preserve">fijos </w:t>
      </w:r>
      <w:r w:rsidRPr="00931D46">
        <w:rPr>
          <w:rFonts w:ascii="Arial" w:hAnsi="Arial" w:cs="Arial"/>
        </w:rPr>
        <w:t>que se verían afectadas por la concentración; observó que ambas empresas estaban integradas verticalmente aguas arriba</w:t>
      </w:r>
      <w:r w:rsidR="00CD670A" w:rsidRPr="00931D46">
        <w:rPr>
          <w:rFonts w:ascii="Arial" w:hAnsi="Arial" w:cs="Arial"/>
        </w:rPr>
        <w:t xml:space="preserve"> (en servicios de transporte de datos</w:t>
      </w:r>
      <w:r w:rsidRPr="00931D46">
        <w:rPr>
          <w:rFonts w:ascii="Arial" w:hAnsi="Arial" w:cs="Arial"/>
        </w:rPr>
        <w:t xml:space="preserve">) </w:t>
      </w:r>
      <w:r w:rsidR="00CD670A" w:rsidRPr="00931D46">
        <w:rPr>
          <w:rFonts w:ascii="Arial" w:hAnsi="Arial" w:cs="Arial"/>
        </w:rPr>
        <w:t xml:space="preserve">y </w:t>
      </w:r>
      <w:r w:rsidRPr="00931D46">
        <w:rPr>
          <w:rFonts w:ascii="Arial" w:hAnsi="Arial" w:cs="Arial"/>
        </w:rPr>
        <w:t>aguas abajo</w:t>
      </w:r>
      <w:r w:rsidR="00CD670A" w:rsidRPr="00931D46">
        <w:rPr>
          <w:rFonts w:ascii="Arial" w:hAnsi="Arial" w:cs="Arial"/>
        </w:rPr>
        <w:t xml:space="preserve"> (en la provisión de SBAF</w:t>
      </w:r>
      <w:r w:rsidRPr="00931D46">
        <w:rPr>
          <w:rFonts w:ascii="Arial" w:hAnsi="Arial" w:cs="Arial"/>
        </w:rPr>
        <w:t>), por lo que ambas empresas podían tener contacto con los clientes finales y con otras empresas del sector, tanto para realizar acuerdos comerciales como para competir por el mercado.</w:t>
      </w:r>
    </w:p>
    <w:p w14:paraId="07C9FC18" w14:textId="77777777" w:rsidR="001C282D" w:rsidRPr="00931D46" w:rsidRDefault="001C282D" w:rsidP="0023353F">
      <w:pPr>
        <w:spacing w:before="0" w:after="0"/>
        <w:rPr>
          <w:rFonts w:ascii="Arial" w:hAnsi="Arial" w:cs="Arial"/>
        </w:rPr>
      </w:pPr>
    </w:p>
    <w:p w14:paraId="6AD8E2C2" w14:textId="77777777" w:rsidR="00B26513" w:rsidRPr="00931D46" w:rsidRDefault="00B26513" w:rsidP="0023353F">
      <w:pPr>
        <w:spacing w:before="0" w:after="0"/>
        <w:rPr>
          <w:rFonts w:ascii="Arial" w:hAnsi="Arial" w:cs="Arial"/>
        </w:rPr>
      </w:pPr>
      <w:r w:rsidRPr="00931D46">
        <w:rPr>
          <w:rFonts w:ascii="Arial" w:hAnsi="Arial" w:cs="Arial"/>
        </w:rPr>
        <w:t>Por lo anterior, la ACCC consideró que el análisis de competencia en este caso se realizaría mejor definiendo MR separados, pero relacionados verticalmente, ya que cada mercado comprendía una etapa diferente de la cadena de suministro.</w:t>
      </w:r>
      <w:bookmarkStart w:id="270" w:name="_Toc39855728"/>
    </w:p>
    <w:p w14:paraId="1D80159A" w14:textId="77777777" w:rsidR="001C282D" w:rsidRPr="00931D46" w:rsidRDefault="001C282D" w:rsidP="0023353F">
      <w:pPr>
        <w:spacing w:before="0" w:after="0"/>
        <w:rPr>
          <w:rFonts w:ascii="Arial" w:hAnsi="Arial" w:cs="Arial"/>
        </w:rPr>
      </w:pPr>
    </w:p>
    <w:p w14:paraId="55C988CA" w14:textId="77777777" w:rsidR="00B26513" w:rsidRPr="00931D46" w:rsidRDefault="00B26513"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71" w:name="_Toc41649780"/>
      <w:r w:rsidRPr="00931D46">
        <w:rPr>
          <w:rFonts w:ascii="Arial" w:eastAsia="Times New Roman" w:hAnsi="Arial" w:cs="Arial"/>
          <w:b/>
          <w:i w:val="0"/>
          <w:color w:val="auto"/>
          <w:lang w:val="en-US" w:eastAsia="es-MX"/>
        </w:rPr>
        <w:t>Canadá</w:t>
      </w:r>
      <w:bookmarkEnd w:id="270"/>
      <w:bookmarkEnd w:id="271"/>
    </w:p>
    <w:p w14:paraId="2F91910A" w14:textId="77777777" w:rsidR="001C282D" w:rsidRPr="00931D46" w:rsidRDefault="001C282D" w:rsidP="0023353F">
      <w:pPr>
        <w:keepNext/>
        <w:spacing w:before="0" w:after="0"/>
        <w:rPr>
          <w:rFonts w:ascii="Arial" w:hAnsi="Arial" w:cs="Arial"/>
        </w:rPr>
      </w:pPr>
    </w:p>
    <w:p w14:paraId="7E75F66F" w14:textId="77777777" w:rsidR="00B26513" w:rsidRPr="00931D46" w:rsidRDefault="00B26513" w:rsidP="0023353F">
      <w:pPr>
        <w:spacing w:before="0" w:after="0"/>
        <w:rPr>
          <w:rFonts w:ascii="Arial" w:hAnsi="Arial" w:cs="Arial"/>
        </w:rPr>
      </w:pPr>
      <w:r w:rsidRPr="00931D46">
        <w:rPr>
          <w:rFonts w:ascii="Arial" w:hAnsi="Arial" w:cs="Arial"/>
        </w:rPr>
        <w:t xml:space="preserve">Si bien la CBC, en su </w:t>
      </w:r>
      <w:r w:rsidR="00ED37DC" w:rsidRPr="00931D46">
        <w:rPr>
          <w:rFonts w:ascii="Arial" w:hAnsi="Arial" w:cs="Arial"/>
        </w:rPr>
        <w:t>g</w:t>
      </w:r>
      <w:r w:rsidRPr="00931D46">
        <w:rPr>
          <w:rFonts w:ascii="Arial" w:hAnsi="Arial" w:cs="Arial"/>
        </w:rPr>
        <w:t xml:space="preserve">uía de concentraciones, no hace alusión explícita respecto a qué mercado determina en primer lugar, del siguiente caso es posible advertir que la evaluación inicia en el mercado aguas abajo. </w:t>
      </w:r>
    </w:p>
    <w:p w14:paraId="0E7BFD4F" w14:textId="77777777" w:rsidR="001C282D" w:rsidRPr="00931D46" w:rsidRDefault="001C282D" w:rsidP="0023353F">
      <w:pPr>
        <w:spacing w:before="0" w:after="0"/>
        <w:rPr>
          <w:rFonts w:ascii="Arial" w:hAnsi="Arial" w:cs="Arial"/>
        </w:rPr>
      </w:pPr>
    </w:p>
    <w:p w14:paraId="45B17247" w14:textId="77777777" w:rsidR="00B26513" w:rsidRPr="00931D46" w:rsidRDefault="00B26513" w:rsidP="0023353F">
      <w:pPr>
        <w:spacing w:before="0" w:after="0"/>
        <w:rPr>
          <w:rFonts w:ascii="Arial" w:hAnsi="Arial" w:cs="Arial"/>
        </w:rPr>
      </w:pPr>
      <w:r w:rsidRPr="00931D46">
        <w:rPr>
          <w:rFonts w:ascii="Arial" w:hAnsi="Arial" w:cs="Arial"/>
        </w:rPr>
        <w:t>En la concentración</w:t>
      </w:r>
      <w:r w:rsidRPr="00931D46">
        <w:rPr>
          <w:rFonts w:ascii="Arial" w:hAnsi="Arial" w:cs="Arial"/>
          <w:color w:val="000000"/>
          <w:vertAlign w:val="superscript"/>
        </w:rPr>
        <w:footnoteReference w:id="219"/>
      </w:r>
      <w:r w:rsidRPr="00931D46">
        <w:rPr>
          <w:rFonts w:ascii="Arial" w:hAnsi="Arial" w:cs="Arial"/>
        </w:rPr>
        <w:t xml:space="preserve"> de Astral</w:t>
      </w:r>
      <w:r w:rsidRPr="00931D46">
        <w:rPr>
          <w:rFonts w:ascii="Arial" w:hAnsi="Arial" w:cs="Arial"/>
          <w:color w:val="000000"/>
          <w:vertAlign w:val="superscript"/>
        </w:rPr>
        <w:footnoteReference w:id="220"/>
      </w:r>
      <w:r w:rsidRPr="00931D46">
        <w:rPr>
          <w:rFonts w:ascii="Arial" w:hAnsi="Arial" w:cs="Arial"/>
        </w:rPr>
        <w:t xml:space="preserve"> y Bell Canada Enterprises</w:t>
      </w:r>
      <w:r w:rsidR="00947969" w:rsidRPr="00931D46">
        <w:rPr>
          <w:rFonts w:ascii="Arial" w:hAnsi="Arial" w:cs="Arial"/>
        </w:rPr>
        <w:t>,</w:t>
      </w:r>
      <w:r w:rsidRPr="00931D46">
        <w:rPr>
          <w:rFonts w:ascii="Arial" w:hAnsi="Arial" w:cs="Arial"/>
          <w:color w:val="000000"/>
          <w:vertAlign w:val="superscript"/>
        </w:rPr>
        <w:footnoteReference w:id="221"/>
      </w:r>
      <w:r w:rsidRPr="00931D46">
        <w:rPr>
          <w:rFonts w:ascii="Arial" w:hAnsi="Arial" w:cs="Arial"/>
        </w:rPr>
        <w:t xml:space="preserve"> la CBC advirtió que ambas empresas participaban en la industria de la programación televisiva: produciendo, empaquetando y distribuyendo CA. </w:t>
      </w:r>
      <w:r w:rsidR="002B6A2B" w:rsidRPr="00931D46">
        <w:rPr>
          <w:rFonts w:ascii="Arial" w:hAnsi="Arial" w:cs="Arial"/>
        </w:rPr>
        <w:t>La</w:t>
      </w:r>
      <w:r w:rsidRPr="00931D46">
        <w:rPr>
          <w:rFonts w:ascii="Arial" w:hAnsi="Arial" w:cs="Arial"/>
        </w:rPr>
        <w:t xml:space="preserve"> incorpora</w:t>
      </w:r>
      <w:r w:rsidR="002B6A2B" w:rsidRPr="00931D46">
        <w:rPr>
          <w:rFonts w:ascii="Arial" w:hAnsi="Arial" w:cs="Arial"/>
        </w:rPr>
        <w:t xml:space="preserve">ción de </w:t>
      </w:r>
      <w:r w:rsidRPr="00931D46">
        <w:rPr>
          <w:rFonts w:ascii="Arial" w:hAnsi="Arial" w:cs="Arial"/>
        </w:rPr>
        <w:t>Astral le daría a Bell un mayor poder de mercado en la negociación de tarifas y términos con los distribuidores, quienes buscaban acceder a los servicios de programación de Astral y Bell. De este modo, la CBC inició definiendo el mercado aguas abajo</w:t>
      </w:r>
      <w:r w:rsidR="002B6A2B" w:rsidRPr="00931D46">
        <w:rPr>
          <w:rFonts w:ascii="Arial" w:hAnsi="Arial" w:cs="Arial"/>
        </w:rPr>
        <w:t xml:space="preserve"> y</w:t>
      </w:r>
      <w:r w:rsidRPr="00931D46">
        <w:rPr>
          <w:rFonts w:ascii="Arial" w:hAnsi="Arial" w:cs="Arial"/>
        </w:rPr>
        <w:t xml:space="preserve"> concluy</w:t>
      </w:r>
      <w:r w:rsidR="002B6A2B" w:rsidRPr="00931D46">
        <w:rPr>
          <w:rFonts w:ascii="Arial" w:hAnsi="Arial" w:cs="Arial"/>
        </w:rPr>
        <w:t>ó</w:t>
      </w:r>
      <w:r w:rsidRPr="00931D46">
        <w:rPr>
          <w:rFonts w:ascii="Arial" w:hAnsi="Arial" w:cs="Arial"/>
        </w:rPr>
        <w:t xml:space="preserve"> que la concentración en el MR aguas arriba podía tener efectos en el mercado aguas abajo, a</w:t>
      </w:r>
      <w:r w:rsidR="00157577" w:rsidRPr="00931D46">
        <w:rPr>
          <w:rFonts w:ascii="Arial" w:hAnsi="Arial" w:cs="Arial"/>
        </w:rPr>
        <w:t>nte la posibilidad de</w:t>
      </w:r>
      <w:r w:rsidRPr="00931D46">
        <w:rPr>
          <w:rFonts w:ascii="Arial" w:hAnsi="Arial" w:cs="Arial"/>
        </w:rPr>
        <w:t xml:space="preserve"> cerrar parcialmente el acceso a los competidores de Bell a CA que demandaban los consumidores. </w:t>
      </w:r>
    </w:p>
    <w:p w14:paraId="4379D892" w14:textId="77777777" w:rsidR="001C282D" w:rsidRPr="00931D46" w:rsidRDefault="001C282D" w:rsidP="0023353F">
      <w:pPr>
        <w:spacing w:before="0" w:after="0"/>
        <w:rPr>
          <w:rFonts w:ascii="Arial" w:hAnsi="Arial" w:cs="Arial"/>
        </w:rPr>
      </w:pPr>
    </w:p>
    <w:p w14:paraId="1A0F1339" w14:textId="5EAC384D" w:rsidR="00A70D7D" w:rsidRPr="00931D46" w:rsidRDefault="00A70D7D" w:rsidP="00465227">
      <w:pPr>
        <w:pStyle w:val="Ttulo2"/>
        <w:keepLines w:val="0"/>
        <w:numPr>
          <w:ilvl w:val="1"/>
          <w:numId w:val="3"/>
        </w:numPr>
        <w:spacing w:before="0" w:after="0"/>
        <w:rPr>
          <w:rFonts w:ascii="Arial" w:eastAsia="Times New Roman" w:hAnsi="Arial" w:cs="Arial"/>
          <w:sz w:val="26"/>
          <w:lang w:eastAsia="es-MX"/>
        </w:rPr>
      </w:pPr>
      <w:bookmarkStart w:id="272" w:name="_Toc45216588"/>
      <w:bookmarkStart w:id="273" w:name="_Toc45628365"/>
      <w:bookmarkStart w:id="274" w:name="_Toc74306786"/>
      <w:bookmarkStart w:id="275" w:name="_Toc74323841"/>
      <w:r w:rsidRPr="00931D46">
        <w:rPr>
          <w:rFonts w:ascii="Arial" w:eastAsia="Times New Roman" w:hAnsi="Arial" w:cs="Arial"/>
          <w:sz w:val="26"/>
          <w:lang w:eastAsia="es-MX"/>
        </w:rPr>
        <w:t>Sustitución asimétrica</w:t>
      </w:r>
      <w:bookmarkEnd w:id="247"/>
      <w:bookmarkEnd w:id="248"/>
      <w:bookmarkEnd w:id="272"/>
      <w:bookmarkEnd w:id="273"/>
      <w:bookmarkEnd w:id="274"/>
      <w:bookmarkEnd w:id="275"/>
      <w:r w:rsidRPr="00931D46">
        <w:rPr>
          <w:rFonts w:ascii="Arial" w:eastAsia="Times New Roman" w:hAnsi="Arial" w:cs="Arial"/>
          <w:sz w:val="26"/>
          <w:lang w:eastAsia="es-MX"/>
        </w:rPr>
        <w:t xml:space="preserve"> </w:t>
      </w:r>
    </w:p>
    <w:p w14:paraId="00816BED" w14:textId="77777777" w:rsidR="00B11018" w:rsidRPr="00931D46" w:rsidRDefault="00B11018" w:rsidP="00465227">
      <w:pPr>
        <w:keepNext/>
        <w:spacing w:before="0" w:after="0"/>
        <w:rPr>
          <w:rFonts w:ascii="Arial" w:hAnsi="Arial" w:cs="Arial"/>
        </w:rPr>
      </w:pPr>
    </w:p>
    <w:p w14:paraId="00161AEC" w14:textId="56B77717" w:rsidR="00B11018" w:rsidRPr="00330363" w:rsidRDefault="00B11018" w:rsidP="00465227">
      <w:pPr>
        <w:spacing w:before="0" w:after="0"/>
        <w:rPr>
          <w:rFonts w:ascii="Arial" w:hAnsi="Arial" w:cs="Arial"/>
        </w:rPr>
      </w:pPr>
      <w:r w:rsidRPr="00931D46">
        <w:rPr>
          <w:rFonts w:ascii="Arial" w:hAnsi="Arial" w:cs="Arial"/>
        </w:rPr>
        <w:t xml:space="preserve">La sustitución asimétrica puede definirse como la sustitución entre dos </w:t>
      </w:r>
      <w:r w:rsidR="00330363">
        <w:rPr>
          <w:rFonts w:ascii="Arial" w:hAnsi="Arial" w:cs="Arial"/>
        </w:rPr>
        <w:t>productos</w:t>
      </w:r>
      <w:r w:rsidRPr="00931D46">
        <w:rPr>
          <w:rFonts w:ascii="Arial" w:hAnsi="Arial" w:cs="Arial"/>
        </w:rPr>
        <w:t xml:space="preserve"> que ocurre en una sola dirección.</w:t>
      </w:r>
      <w:r w:rsidRPr="00931D46">
        <w:rPr>
          <w:rStyle w:val="Refdenotaalpie"/>
          <w:rFonts w:ascii="Arial" w:hAnsi="Arial" w:cs="Arial"/>
        </w:rPr>
        <w:footnoteReference w:id="222"/>
      </w:r>
      <w:r w:rsidRPr="00931D46">
        <w:rPr>
          <w:rFonts w:ascii="Arial" w:hAnsi="Arial" w:cs="Arial"/>
        </w:rPr>
        <w:t xml:space="preserve"> E</w:t>
      </w:r>
      <w:r w:rsidR="00864170" w:rsidRPr="00931D46">
        <w:rPr>
          <w:rFonts w:ascii="Arial" w:hAnsi="Arial" w:cs="Arial"/>
        </w:rPr>
        <w:t>n otras palabras</w:t>
      </w:r>
      <w:r w:rsidRPr="00931D46">
        <w:rPr>
          <w:rFonts w:ascii="Arial" w:hAnsi="Arial" w:cs="Arial"/>
        </w:rPr>
        <w:t xml:space="preserve">, un </w:t>
      </w:r>
      <w:r w:rsidR="00330363">
        <w:rPr>
          <w:rFonts w:ascii="Arial" w:hAnsi="Arial" w:cs="Arial"/>
        </w:rPr>
        <w:t>producto</w:t>
      </w:r>
      <w:r w:rsidRPr="00931D46">
        <w:rPr>
          <w:rFonts w:ascii="Arial" w:hAnsi="Arial" w:cs="Arial"/>
        </w:rPr>
        <w:t xml:space="preserve"> A puede sustituir al </w:t>
      </w:r>
      <w:r w:rsidR="00330363">
        <w:rPr>
          <w:rFonts w:ascii="Arial" w:hAnsi="Arial" w:cs="Arial"/>
        </w:rPr>
        <w:t>producto</w:t>
      </w:r>
      <w:r w:rsidRPr="00931D46">
        <w:rPr>
          <w:rFonts w:ascii="Arial" w:hAnsi="Arial" w:cs="Arial"/>
        </w:rPr>
        <w:t xml:space="preserve"> B, pero el </w:t>
      </w:r>
      <w:r w:rsidR="00330363">
        <w:rPr>
          <w:rFonts w:ascii="Arial" w:hAnsi="Arial" w:cs="Arial"/>
        </w:rPr>
        <w:t>producto</w:t>
      </w:r>
      <w:r w:rsidRPr="00931D46">
        <w:rPr>
          <w:rFonts w:ascii="Arial" w:hAnsi="Arial" w:cs="Arial"/>
        </w:rPr>
        <w:t xml:space="preserve"> B, debido a características físicas, técnicas o funcionales (por ejemplo, calidad inferior, funcionalidades más limitadas o especializadas, o que el </w:t>
      </w:r>
      <w:r w:rsidR="00330363">
        <w:rPr>
          <w:rFonts w:ascii="Arial" w:hAnsi="Arial" w:cs="Arial"/>
        </w:rPr>
        <w:t>producto</w:t>
      </w:r>
      <w:r w:rsidRPr="00931D46">
        <w:rPr>
          <w:rFonts w:ascii="Arial" w:hAnsi="Arial" w:cs="Arial"/>
        </w:rPr>
        <w:t xml:space="preserve"> A sea un paquete que incluye </w:t>
      </w:r>
      <w:r w:rsidRPr="00330363">
        <w:rPr>
          <w:rFonts w:ascii="Arial" w:hAnsi="Arial" w:cs="Arial"/>
        </w:rPr>
        <w:t xml:space="preserve">al servicio B), no puede sustituir al </w:t>
      </w:r>
      <w:r w:rsidR="00330363" w:rsidRPr="00330363">
        <w:rPr>
          <w:rFonts w:ascii="Arial" w:hAnsi="Arial" w:cs="Arial"/>
        </w:rPr>
        <w:t>producto</w:t>
      </w:r>
      <w:r w:rsidRPr="00330363">
        <w:rPr>
          <w:rFonts w:ascii="Arial" w:hAnsi="Arial" w:cs="Arial"/>
        </w:rPr>
        <w:t xml:space="preserve"> A. En este sentido, la sustitución asimétrica tiene implicaciones importantes para la determinación del MR, pues éste podría ser distinto dependiendo del </w:t>
      </w:r>
      <w:r w:rsidR="00330363" w:rsidRPr="00330363">
        <w:rPr>
          <w:rFonts w:ascii="Arial" w:hAnsi="Arial" w:cs="Arial"/>
        </w:rPr>
        <w:t>producto</w:t>
      </w:r>
      <w:r w:rsidRPr="00330363">
        <w:rPr>
          <w:rFonts w:ascii="Arial" w:hAnsi="Arial" w:cs="Arial"/>
        </w:rPr>
        <w:t xml:space="preserve"> focal con el que se inicie el análisis de sustitución.</w:t>
      </w:r>
      <w:r w:rsidR="00DE0CE5" w:rsidRPr="00330363">
        <w:rPr>
          <w:rFonts w:ascii="Arial" w:hAnsi="Arial" w:cs="Arial"/>
        </w:rPr>
        <w:t xml:space="preserve"> Asimismo, se identifican dos enfoques para tratarla: i) incluir en el mismo MR</w:t>
      </w:r>
      <w:r w:rsidR="00103767">
        <w:rPr>
          <w:rFonts w:ascii="Arial" w:hAnsi="Arial" w:cs="Arial"/>
        </w:rPr>
        <w:t xml:space="preserve"> a</w:t>
      </w:r>
      <w:r w:rsidR="00DE0CE5" w:rsidRPr="00330363">
        <w:rPr>
          <w:rFonts w:ascii="Arial" w:hAnsi="Arial" w:cs="Arial"/>
        </w:rPr>
        <w:t xml:space="preserve"> los </w:t>
      </w:r>
      <w:r w:rsidR="00330363" w:rsidRPr="00330363">
        <w:rPr>
          <w:rFonts w:ascii="Arial" w:hAnsi="Arial" w:cs="Arial"/>
        </w:rPr>
        <w:t>productos</w:t>
      </w:r>
      <w:r w:rsidR="00DE0CE5" w:rsidRPr="00330363">
        <w:rPr>
          <w:rFonts w:ascii="Arial" w:hAnsi="Arial" w:cs="Arial"/>
        </w:rPr>
        <w:t xml:space="preserve"> que sustituy</w:t>
      </w:r>
      <w:r w:rsidR="00DC21CC">
        <w:rPr>
          <w:rFonts w:ascii="Arial" w:hAnsi="Arial" w:cs="Arial"/>
        </w:rPr>
        <w:t>a</w:t>
      </w:r>
      <w:r w:rsidR="00DE0CE5" w:rsidRPr="00330363">
        <w:rPr>
          <w:rFonts w:ascii="Arial" w:hAnsi="Arial" w:cs="Arial"/>
        </w:rPr>
        <w:t xml:space="preserve">n </w:t>
      </w:r>
      <w:r w:rsidR="00DC21CC">
        <w:rPr>
          <w:rFonts w:ascii="Arial" w:hAnsi="Arial" w:cs="Arial"/>
        </w:rPr>
        <w:t>asimétricamente al producto focal</w:t>
      </w:r>
      <w:r w:rsidR="00DE0CE5" w:rsidRPr="00330363">
        <w:rPr>
          <w:rFonts w:ascii="Arial" w:hAnsi="Arial" w:cs="Arial"/>
        </w:rPr>
        <w:t xml:space="preserve">, o </w:t>
      </w:r>
      <w:r w:rsidR="006B0F1D" w:rsidRPr="00330363">
        <w:rPr>
          <w:rFonts w:ascii="Arial" w:hAnsi="Arial" w:cs="Arial"/>
        </w:rPr>
        <w:t>ii</w:t>
      </w:r>
      <w:r w:rsidR="00DE0CE5" w:rsidRPr="00330363">
        <w:rPr>
          <w:rFonts w:ascii="Arial" w:hAnsi="Arial" w:cs="Arial"/>
        </w:rPr>
        <w:t xml:space="preserve">) </w:t>
      </w:r>
      <w:r w:rsidR="00DC21CC">
        <w:rPr>
          <w:rFonts w:ascii="Arial" w:hAnsi="Arial" w:cs="Arial"/>
        </w:rPr>
        <w:t xml:space="preserve">sin importar la dirección de la sustitución, </w:t>
      </w:r>
      <w:r w:rsidR="00DE0CE5" w:rsidRPr="00330363">
        <w:rPr>
          <w:rFonts w:ascii="Arial" w:hAnsi="Arial" w:cs="Arial"/>
        </w:rPr>
        <w:t>de</w:t>
      </w:r>
      <w:r w:rsidR="00DC21CC">
        <w:rPr>
          <w:rFonts w:ascii="Arial" w:hAnsi="Arial" w:cs="Arial"/>
        </w:rPr>
        <w:t>terminar</w:t>
      </w:r>
      <w:r w:rsidR="00DE0CE5" w:rsidRPr="00330363">
        <w:rPr>
          <w:rFonts w:ascii="Arial" w:hAnsi="Arial" w:cs="Arial"/>
        </w:rPr>
        <w:t xml:space="preserve"> MR separados para </w:t>
      </w:r>
      <w:r w:rsidR="00DC21CC">
        <w:rPr>
          <w:rFonts w:ascii="Arial" w:hAnsi="Arial" w:cs="Arial"/>
        </w:rPr>
        <w:t>el producto focal y para los productos alternativos</w:t>
      </w:r>
      <w:r w:rsidR="00103767">
        <w:rPr>
          <w:rFonts w:ascii="Arial" w:hAnsi="Arial" w:cs="Arial"/>
        </w:rPr>
        <w:t xml:space="preserve">, </w:t>
      </w:r>
      <w:r w:rsidR="00103767" w:rsidRPr="00103767">
        <w:rPr>
          <w:rFonts w:ascii="Arial" w:hAnsi="Arial" w:cs="Arial"/>
        </w:rPr>
        <w:t>y considerar la presión competitiva que ejerzan entre sí en etapas posteriores del análisis de competencia</w:t>
      </w:r>
      <w:r w:rsidR="00103767">
        <w:rPr>
          <w:rFonts w:ascii="Arial" w:hAnsi="Arial" w:cs="Arial"/>
        </w:rPr>
        <w:t>.</w:t>
      </w:r>
      <w:r w:rsidR="00DC21CC" w:rsidRPr="00330363" w:rsidDel="00DC21CC">
        <w:rPr>
          <w:rFonts w:ascii="Arial" w:hAnsi="Arial" w:cs="Arial"/>
        </w:rPr>
        <w:t xml:space="preserve"> </w:t>
      </w:r>
    </w:p>
    <w:p w14:paraId="6B138F92" w14:textId="77777777" w:rsidR="00B11018" w:rsidRPr="00330363" w:rsidRDefault="00B11018" w:rsidP="0023353F">
      <w:pPr>
        <w:spacing w:before="0" w:after="0"/>
        <w:rPr>
          <w:rFonts w:ascii="Arial" w:hAnsi="Arial" w:cs="Arial"/>
        </w:rPr>
      </w:pPr>
    </w:p>
    <w:p w14:paraId="6877D673" w14:textId="08771B67" w:rsidR="00B11018" w:rsidRPr="00931D46" w:rsidRDefault="00B11018" w:rsidP="0023353F">
      <w:pPr>
        <w:spacing w:before="0" w:after="0"/>
        <w:rPr>
          <w:rFonts w:ascii="Arial" w:hAnsi="Arial" w:cs="Arial"/>
        </w:rPr>
      </w:pPr>
      <w:r w:rsidRPr="00330363">
        <w:rPr>
          <w:rFonts w:ascii="Arial" w:hAnsi="Arial" w:cs="Arial"/>
        </w:rPr>
        <w:t xml:space="preserve">En el caso particular de servicios de telecomunicaciones, la sustitución asimétrica puede darse, por ejemplo, en situaciones de transición tecnológica en las que un nuevo desarrollo tecnológico incluye las características del desarrollo anterior, pero incorpora nuevas características o funcionalidades que son valoradas por los consumidores; o entre servicios individuales frente a paquetes de servicios, en el que los usuarios no </w:t>
      </w:r>
      <w:r w:rsidR="0068275A" w:rsidRPr="00330363">
        <w:rPr>
          <w:rFonts w:ascii="Arial" w:hAnsi="Arial" w:cs="Arial"/>
        </w:rPr>
        <w:t>están dispuestos</w:t>
      </w:r>
      <w:r w:rsidRPr="00330363">
        <w:rPr>
          <w:rFonts w:ascii="Arial" w:hAnsi="Arial" w:cs="Arial"/>
        </w:rPr>
        <w:t xml:space="preserve"> a sustituir un paquete por un servicio individual, pero sí </w:t>
      </w:r>
      <w:r w:rsidR="0068275A" w:rsidRPr="00330363">
        <w:rPr>
          <w:rFonts w:ascii="Arial" w:hAnsi="Arial" w:cs="Arial"/>
        </w:rPr>
        <w:t>están dispuestos</w:t>
      </w:r>
      <w:r w:rsidRPr="00330363">
        <w:rPr>
          <w:rFonts w:ascii="Arial" w:hAnsi="Arial" w:cs="Arial"/>
        </w:rPr>
        <w:t xml:space="preserve"> a sustituir un servicio individual por un paquete.</w:t>
      </w:r>
      <w:r w:rsidRPr="00330363">
        <w:rPr>
          <w:rStyle w:val="Refdenotaalpie"/>
          <w:rFonts w:ascii="Arial" w:hAnsi="Arial" w:cs="Arial"/>
        </w:rPr>
        <w:footnoteReference w:id="223"/>
      </w:r>
      <w:r w:rsidRPr="00330363">
        <w:rPr>
          <w:rFonts w:ascii="Arial" w:hAnsi="Arial" w:cs="Arial"/>
        </w:rPr>
        <w:t xml:space="preserve"> En este escenario, el paquete </w:t>
      </w:r>
      <w:r w:rsidR="00892E1A" w:rsidRPr="00330363">
        <w:rPr>
          <w:rFonts w:ascii="Arial" w:hAnsi="Arial" w:cs="Arial"/>
        </w:rPr>
        <w:t>representaría</w:t>
      </w:r>
      <w:r w:rsidR="00892E1A" w:rsidRPr="00931D46">
        <w:rPr>
          <w:rFonts w:ascii="Arial" w:hAnsi="Arial" w:cs="Arial"/>
        </w:rPr>
        <w:t xml:space="preserve"> una presión competitiva sobre el servicio individual pero lo inverso no ocurre, por lo que el paquete</w:t>
      </w:r>
      <w:r w:rsidRPr="00931D46">
        <w:rPr>
          <w:rFonts w:ascii="Arial" w:hAnsi="Arial" w:cs="Arial"/>
        </w:rPr>
        <w:t xml:space="preserve"> podría incluirse en el MR si se elige </w:t>
      </w:r>
      <w:r w:rsidR="009B68F0" w:rsidRPr="00931D46">
        <w:rPr>
          <w:rFonts w:ascii="Arial" w:hAnsi="Arial" w:cs="Arial"/>
        </w:rPr>
        <w:t xml:space="preserve">el servicio individual </w:t>
      </w:r>
      <w:r w:rsidRPr="00931D46">
        <w:rPr>
          <w:rFonts w:ascii="Arial" w:hAnsi="Arial" w:cs="Arial"/>
        </w:rPr>
        <w:t xml:space="preserve">como </w:t>
      </w:r>
      <w:r w:rsidR="00330363">
        <w:rPr>
          <w:rFonts w:ascii="Arial" w:hAnsi="Arial" w:cs="Arial"/>
        </w:rPr>
        <w:t>producto</w:t>
      </w:r>
      <w:r w:rsidRPr="00931D46">
        <w:rPr>
          <w:rFonts w:ascii="Arial" w:hAnsi="Arial" w:cs="Arial"/>
        </w:rPr>
        <w:t xml:space="preserve"> focal, pero el servicio individual podría no incluirse en el MR si el </w:t>
      </w:r>
      <w:r w:rsidR="00330363">
        <w:rPr>
          <w:rFonts w:ascii="Arial" w:hAnsi="Arial" w:cs="Arial"/>
        </w:rPr>
        <w:t>producto</w:t>
      </w:r>
      <w:r w:rsidRPr="00931D46">
        <w:rPr>
          <w:rFonts w:ascii="Arial" w:hAnsi="Arial" w:cs="Arial"/>
        </w:rPr>
        <w:t xml:space="preserve"> focal es el paquete.</w:t>
      </w:r>
      <w:r w:rsidRPr="00931D46">
        <w:rPr>
          <w:rStyle w:val="Refdenotaalpie"/>
          <w:rFonts w:ascii="Arial" w:hAnsi="Arial" w:cs="Arial"/>
        </w:rPr>
        <w:footnoteReference w:id="224"/>
      </w:r>
    </w:p>
    <w:p w14:paraId="586AD7A9" w14:textId="77777777" w:rsidR="00B11018" w:rsidRPr="00931D46" w:rsidRDefault="00B11018" w:rsidP="0023353F">
      <w:pPr>
        <w:spacing w:before="0" w:after="0"/>
        <w:rPr>
          <w:rFonts w:ascii="Arial" w:hAnsi="Arial" w:cs="Arial"/>
        </w:rPr>
      </w:pPr>
    </w:p>
    <w:p w14:paraId="15E05F17" w14:textId="77777777" w:rsidR="00B11018" w:rsidRPr="00931D46" w:rsidRDefault="00B11018" w:rsidP="0023353F">
      <w:pPr>
        <w:spacing w:before="0" w:after="0"/>
        <w:rPr>
          <w:rFonts w:ascii="Arial" w:hAnsi="Arial" w:cs="Arial"/>
        </w:rPr>
      </w:pPr>
      <w:r w:rsidRPr="00931D46">
        <w:rPr>
          <w:rFonts w:ascii="Arial" w:hAnsi="Arial" w:cs="Arial"/>
        </w:rPr>
        <w:t xml:space="preserve">La sustitución asimétrica se ha observado entre servicios de telecomunicaciones como el acceso a Internet fijo y móvil; servicios de telecomunicaciones ofrecidos de manera individual y en paquetes </w:t>
      </w:r>
      <w:r w:rsidRPr="00931D46">
        <w:rPr>
          <w:rFonts w:ascii="Arial" w:hAnsi="Arial" w:cs="Arial"/>
          <w:i/>
        </w:rPr>
        <w:t>doble play</w:t>
      </w:r>
      <w:r w:rsidRPr="00931D46">
        <w:rPr>
          <w:rFonts w:ascii="Arial" w:hAnsi="Arial" w:cs="Arial"/>
        </w:rPr>
        <w:t xml:space="preserve"> y </w:t>
      </w:r>
      <w:r w:rsidRPr="00931D46">
        <w:rPr>
          <w:rFonts w:ascii="Arial" w:hAnsi="Arial" w:cs="Arial"/>
          <w:i/>
        </w:rPr>
        <w:t>triple play</w:t>
      </w:r>
      <w:r w:rsidRPr="00931D46">
        <w:rPr>
          <w:rFonts w:ascii="Arial" w:hAnsi="Arial" w:cs="Arial"/>
        </w:rPr>
        <w:t>; así como los servicios de acceso a Internet de alta velocidad frente a los de baja velocidad.</w:t>
      </w:r>
      <w:r w:rsidRPr="00931D46">
        <w:rPr>
          <w:rStyle w:val="Refdenotaalpie"/>
          <w:rFonts w:ascii="Arial" w:hAnsi="Arial" w:cs="Arial"/>
        </w:rPr>
        <w:footnoteReference w:id="225"/>
      </w:r>
      <w:r w:rsidRPr="00931D46">
        <w:rPr>
          <w:rFonts w:ascii="Arial" w:hAnsi="Arial" w:cs="Arial"/>
        </w:rPr>
        <w:t xml:space="preserve"> </w:t>
      </w:r>
    </w:p>
    <w:p w14:paraId="5BACB006" w14:textId="77777777" w:rsidR="00B11018" w:rsidRPr="00931D46" w:rsidRDefault="00B11018" w:rsidP="0023353F">
      <w:pPr>
        <w:spacing w:before="0" w:after="0"/>
        <w:rPr>
          <w:rFonts w:ascii="Arial" w:hAnsi="Arial" w:cs="Arial"/>
        </w:rPr>
      </w:pPr>
    </w:p>
    <w:p w14:paraId="0AE9B8A4" w14:textId="77777777" w:rsidR="00B11018" w:rsidRPr="00931D46" w:rsidRDefault="00B11018"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76" w:name="_Toc45628367"/>
      <w:r w:rsidRPr="00931D46">
        <w:rPr>
          <w:rFonts w:ascii="Arial" w:eastAsia="Times New Roman" w:hAnsi="Arial" w:cs="Arial"/>
          <w:b/>
          <w:color w:val="auto"/>
          <w:sz w:val="26"/>
          <w:szCs w:val="26"/>
          <w:lang w:eastAsia="es-MX"/>
        </w:rPr>
        <w:t>Precedentes decisorios del Instituto</w:t>
      </w:r>
      <w:bookmarkEnd w:id="276"/>
    </w:p>
    <w:p w14:paraId="435D129E" w14:textId="77777777" w:rsidR="00B11018" w:rsidRPr="00931D46" w:rsidRDefault="00B11018" w:rsidP="0023353F">
      <w:pPr>
        <w:keepNext/>
        <w:spacing w:before="0" w:after="0"/>
        <w:rPr>
          <w:rFonts w:ascii="Arial" w:hAnsi="Arial" w:cs="Arial"/>
        </w:rPr>
      </w:pPr>
    </w:p>
    <w:p w14:paraId="044FC538"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PSM (GTV – DC-001-2014)</w:t>
      </w:r>
      <w:r w:rsidRPr="00931D46">
        <w:rPr>
          <w:rFonts w:ascii="Arial" w:eastAsia="Times New Roman" w:hAnsi="Arial" w:cs="Arial"/>
          <w:b/>
          <w:i w:val="0"/>
          <w:color w:val="auto"/>
          <w:vertAlign w:val="superscript"/>
          <w:lang w:val="en-US"/>
        </w:rPr>
        <w:footnoteReference w:id="226"/>
      </w:r>
    </w:p>
    <w:p w14:paraId="034DA3E1" w14:textId="77777777" w:rsidR="00B11018" w:rsidRPr="00931D46" w:rsidRDefault="00B11018" w:rsidP="0023353F">
      <w:pPr>
        <w:keepNext/>
        <w:spacing w:before="0" w:after="0"/>
        <w:rPr>
          <w:rFonts w:ascii="Arial" w:hAnsi="Arial" w:cs="Arial"/>
          <w:lang w:eastAsia="es-MX"/>
        </w:rPr>
      </w:pPr>
    </w:p>
    <w:p w14:paraId="54949A7F" w14:textId="77777777" w:rsidR="00B11018" w:rsidRPr="00931D46" w:rsidRDefault="00B11018" w:rsidP="0023353F">
      <w:pPr>
        <w:spacing w:before="0" w:after="0"/>
        <w:rPr>
          <w:rFonts w:ascii="Arial" w:hAnsi="Arial" w:cs="Arial"/>
          <w:lang w:eastAsia="es-MX"/>
        </w:rPr>
      </w:pPr>
      <w:r w:rsidRPr="00931D46">
        <w:rPr>
          <w:rFonts w:ascii="Arial" w:hAnsi="Arial" w:cs="Arial"/>
          <w:lang w:eastAsia="es-MX"/>
        </w:rPr>
        <w:t>En el expediente DC-001-2014</w:t>
      </w:r>
      <w:r w:rsidR="009B68F0" w:rsidRPr="00931D46">
        <w:rPr>
          <w:rFonts w:ascii="Arial" w:hAnsi="Arial" w:cs="Arial"/>
          <w:lang w:eastAsia="es-MX"/>
        </w:rPr>
        <w:t xml:space="preserve"> </w:t>
      </w:r>
      <w:r w:rsidR="00DD625D" w:rsidRPr="00931D46">
        <w:rPr>
          <w:rFonts w:ascii="Arial" w:hAnsi="Arial" w:cs="Arial"/>
          <w:lang w:eastAsia="es-MX"/>
        </w:rPr>
        <w:t>(</w:t>
      </w:r>
      <w:r w:rsidRPr="00931D46">
        <w:rPr>
          <w:rFonts w:ascii="Arial" w:hAnsi="Arial" w:cs="Arial"/>
          <w:lang w:eastAsia="es-MX"/>
        </w:rPr>
        <w:t>investigación sobre la existencia de PSM en la provisión del STAR</w:t>
      </w:r>
      <w:r w:rsidR="002A6529" w:rsidRPr="00931D46">
        <w:rPr>
          <w:rFonts w:ascii="Arial" w:hAnsi="Arial" w:cs="Arial"/>
          <w:lang w:eastAsia="es-MX"/>
        </w:rPr>
        <w:t>)</w:t>
      </w:r>
      <w:r w:rsidRPr="00931D46">
        <w:rPr>
          <w:rFonts w:ascii="Arial" w:hAnsi="Arial" w:cs="Arial"/>
          <w:lang w:eastAsia="es-MX"/>
        </w:rPr>
        <w:t>, se definieron dos segmentos: STAR satelital y STAR por plataformas fijas (cable e IPTV</w:t>
      </w:r>
      <w:r w:rsidR="00074B18" w:rsidRPr="00931D46">
        <w:rPr>
          <w:rStyle w:val="Refdenotaalpie"/>
          <w:rFonts w:ascii="Arial" w:hAnsi="Arial" w:cs="Arial"/>
          <w:lang w:eastAsia="es-MX"/>
        </w:rPr>
        <w:footnoteReference w:id="227"/>
      </w:r>
      <w:r w:rsidRPr="00931D46">
        <w:rPr>
          <w:rFonts w:ascii="Arial" w:hAnsi="Arial" w:cs="Arial"/>
          <w:lang w:eastAsia="es-MX"/>
        </w:rPr>
        <w:t xml:space="preserve">), y se señaló que el STAR satelital es un sustituto cercano, pero no perfecto del STAR de plataformas fijas </w:t>
      </w:r>
      <w:r w:rsidRPr="00931D46">
        <w:rPr>
          <w:rFonts w:ascii="Arial" w:hAnsi="Arial" w:cs="Arial"/>
          <w:i/>
          <w:lang w:eastAsia="es-MX"/>
        </w:rPr>
        <w:t>“en virtud de que las plataformas fijas tienen la capacidad de ofertar servicios adicionales de telecomunicaciones en forma empaquetada y las satelitales no tienen esa capacidad.”</w:t>
      </w:r>
      <w:r w:rsidRPr="00931D46">
        <w:rPr>
          <w:rFonts w:ascii="Arial" w:hAnsi="Arial" w:cs="Arial"/>
          <w:lang w:eastAsia="es-MX"/>
        </w:rPr>
        <w:t xml:space="preserve"> Asimismo, se mencionó que “</w:t>
      </w:r>
      <w:r w:rsidRPr="00931D46">
        <w:rPr>
          <w:rFonts w:ascii="Arial" w:hAnsi="Arial" w:cs="Arial"/>
          <w:i/>
        </w:rPr>
        <w:t>Los usuarios de plataformas fijas perciben éstas como con mayor valor, debido a la posibilidad que tienen en éstas de acceder a servicios de telecomunicaciones convergentes, respecto a las plataformas satelitales, por lo que la sustitución por éstas últimas es asimétrica (…)”</w:t>
      </w:r>
    </w:p>
    <w:p w14:paraId="63F7D6F9" w14:textId="77777777" w:rsidR="00B11018" w:rsidRPr="00931D46" w:rsidRDefault="00B11018" w:rsidP="0023353F">
      <w:pPr>
        <w:spacing w:before="0" w:after="0"/>
        <w:rPr>
          <w:rFonts w:ascii="Arial" w:hAnsi="Arial" w:cs="Arial"/>
          <w:lang w:eastAsia="es-MX"/>
        </w:rPr>
      </w:pPr>
    </w:p>
    <w:p w14:paraId="35FF0153" w14:textId="03639A19" w:rsidR="00B11018" w:rsidRPr="00931D46" w:rsidRDefault="00B11018" w:rsidP="0023353F">
      <w:pPr>
        <w:spacing w:before="0" w:after="0"/>
        <w:rPr>
          <w:rFonts w:ascii="Arial" w:hAnsi="Arial" w:cs="Arial"/>
          <w:lang w:eastAsia="es-MX"/>
        </w:rPr>
      </w:pPr>
      <w:r w:rsidRPr="00931D46">
        <w:rPr>
          <w:rFonts w:ascii="Arial" w:hAnsi="Arial" w:cs="Arial"/>
          <w:lang w:eastAsia="es-MX"/>
        </w:rPr>
        <w:t xml:space="preserve">El Instituto concluyó que, si bien las características anteriores reducen la sustitución </w:t>
      </w:r>
      <w:r w:rsidRPr="00931D46">
        <w:rPr>
          <w:rFonts w:ascii="Arial" w:hAnsi="Arial" w:cs="Arial"/>
          <w:i/>
          <w:lang w:eastAsia="es-MX"/>
        </w:rPr>
        <w:t xml:space="preserve">“a un grado que justifica la segmentación (…) no es lo suficientemente significativo para determinar que forma parte de un mercado distinto.” </w:t>
      </w:r>
      <w:r w:rsidRPr="00931D46">
        <w:rPr>
          <w:rFonts w:ascii="Arial" w:hAnsi="Arial" w:cs="Arial"/>
          <w:lang w:eastAsia="es-MX"/>
        </w:rPr>
        <w:t>Es decir, el Instituto identificó una posible sustitución asimétrica del STAR por plataformas fijas hacia el STAR satelital, pero no suficientemente significativa para determinar que pertenecen a MR separados.</w:t>
      </w:r>
    </w:p>
    <w:p w14:paraId="12E29217" w14:textId="77777777" w:rsidR="00B11018" w:rsidRPr="00931D46" w:rsidRDefault="00B11018" w:rsidP="0023353F">
      <w:pPr>
        <w:spacing w:before="0" w:after="0"/>
        <w:rPr>
          <w:rFonts w:ascii="Arial" w:hAnsi="Arial" w:cs="Arial"/>
          <w:lang w:eastAsia="es-MX"/>
        </w:rPr>
      </w:pPr>
    </w:p>
    <w:p w14:paraId="190B3408"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PMR (Telmex</w:t>
      </w:r>
      <w:r w:rsidR="00542C6F" w:rsidRPr="00931D46">
        <w:rPr>
          <w:rFonts w:ascii="Arial" w:eastAsia="Times New Roman" w:hAnsi="Arial" w:cs="Arial"/>
          <w:b/>
          <w:i w:val="0"/>
          <w:color w:val="auto"/>
          <w:lang w:val="en-US" w:eastAsia="es-MX"/>
        </w:rPr>
        <w:t xml:space="preserve"> –</w:t>
      </w:r>
      <w:r w:rsidR="00542C6F" w:rsidRPr="00931D46">
        <w:rPr>
          <w:rFonts w:ascii="Arial" w:hAnsi="Arial" w:cs="Arial"/>
          <w:b/>
          <w:i w:val="0"/>
          <w:color w:val="auto"/>
          <w:lang w:eastAsia="es-MX"/>
        </w:rPr>
        <w:t>DE-001-2014</w:t>
      </w:r>
      <w:r w:rsidRPr="00931D46">
        <w:rPr>
          <w:rFonts w:ascii="Arial" w:eastAsia="Times New Roman" w:hAnsi="Arial" w:cs="Arial"/>
          <w:b/>
          <w:i w:val="0"/>
          <w:color w:val="auto"/>
          <w:lang w:val="en-US" w:eastAsia="es-MX"/>
        </w:rPr>
        <w:t>)</w:t>
      </w:r>
      <w:r w:rsidRPr="00931D46">
        <w:rPr>
          <w:rFonts w:ascii="Arial" w:eastAsia="Times New Roman" w:hAnsi="Arial" w:cs="Arial"/>
          <w:b/>
          <w:i w:val="0"/>
          <w:color w:val="auto"/>
          <w:vertAlign w:val="superscript"/>
          <w:lang w:val="en-US"/>
        </w:rPr>
        <w:footnoteReference w:id="228"/>
      </w:r>
    </w:p>
    <w:p w14:paraId="5DD7C8CF" w14:textId="77777777" w:rsidR="00B11018" w:rsidRPr="00931D46" w:rsidRDefault="00B11018" w:rsidP="0023353F">
      <w:pPr>
        <w:keepNext/>
        <w:spacing w:before="0" w:after="0"/>
        <w:rPr>
          <w:rFonts w:ascii="Arial" w:hAnsi="Arial" w:cs="Arial"/>
          <w:lang w:eastAsia="es-MX"/>
        </w:rPr>
      </w:pPr>
    </w:p>
    <w:p w14:paraId="3A3F85FD" w14:textId="25BD88A2" w:rsidR="00B11018" w:rsidRDefault="00B11018" w:rsidP="0023353F">
      <w:pPr>
        <w:spacing w:before="0" w:after="0"/>
        <w:rPr>
          <w:rFonts w:ascii="Arial" w:hAnsi="Arial" w:cs="Arial"/>
          <w:lang w:eastAsia="es-MX"/>
        </w:rPr>
      </w:pPr>
      <w:r w:rsidRPr="00931D46">
        <w:rPr>
          <w:rFonts w:ascii="Arial" w:hAnsi="Arial" w:cs="Arial"/>
          <w:lang w:eastAsia="es-MX"/>
        </w:rPr>
        <w:t xml:space="preserve">En el expediente DE-001-2014 </w:t>
      </w:r>
      <w:r w:rsidR="009B68F0" w:rsidRPr="00931D46">
        <w:rPr>
          <w:rFonts w:ascii="Arial" w:hAnsi="Arial" w:cs="Arial"/>
          <w:lang w:eastAsia="es-MX"/>
        </w:rPr>
        <w:t>(</w:t>
      </w:r>
      <w:r w:rsidRPr="00931D46">
        <w:rPr>
          <w:rFonts w:ascii="Arial" w:hAnsi="Arial" w:cs="Arial"/>
          <w:lang w:eastAsia="es-MX"/>
        </w:rPr>
        <w:t>investiga</w:t>
      </w:r>
      <w:r w:rsidR="009B68F0" w:rsidRPr="00931D46">
        <w:rPr>
          <w:rFonts w:ascii="Arial" w:hAnsi="Arial" w:cs="Arial"/>
          <w:lang w:eastAsia="es-MX"/>
        </w:rPr>
        <w:t>ción sobre</w:t>
      </w:r>
      <w:r w:rsidRPr="00931D46">
        <w:rPr>
          <w:rFonts w:ascii="Arial" w:hAnsi="Arial" w:cs="Arial"/>
          <w:lang w:eastAsia="es-MX"/>
        </w:rPr>
        <w:t xml:space="preserve"> diversas PMR derivadas de una promoción otorgada en el servicio </w:t>
      </w:r>
      <w:r w:rsidRPr="00931D46">
        <w:rPr>
          <w:rFonts w:ascii="Arial" w:hAnsi="Arial" w:cs="Arial"/>
          <w:i/>
          <w:lang w:eastAsia="es-MX"/>
        </w:rPr>
        <w:t>doble play</w:t>
      </w:r>
      <w:r w:rsidRPr="00931D46">
        <w:rPr>
          <w:rFonts w:ascii="Arial" w:hAnsi="Arial" w:cs="Arial"/>
          <w:lang w:eastAsia="es-MX"/>
        </w:rPr>
        <w:t xml:space="preserve"> (STF+SBAF) por parte de Telmex</w:t>
      </w:r>
      <w:r w:rsidR="009B68F0" w:rsidRPr="00931D46">
        <w:rPr>
          <w:rFonts w:ascii="Arial" w:hAnsi="Arial" w:cs="Arial"/>
          <w:lang w:eastAsia="es-MX"/>
        </w:rPr>
        <w:t>)</w:t>
      </w:r>
      <w:r w:rsidRPr="00931D46">
        <w:rPr>
          <w:rFonts w:ascii="Arial" w:hAnsi="Arial" w:cs="Arial"/>
          <w:lang w:eastAsia="es-MX"/>
        </w:rPr>
        <w:t xml:space="preserve">, el Pleno del Instituto consideró que </w:t>
      </w:r>
      <w:r w:rsidRPr="00931D46">
        <w:rPr>
          <w:rFonts w:ascii="Arial" w:hAnsi="Arial" w:cs="Arial"/>
          <w:i/>
          <w:lang w:eastAsia="es-MX"/>
        </w:rPr>
        <w:t>“[e]</w:t>
      </w:r>
      <w:r w:rsidRPr="00931D46">
        <w:rPr>
          <w:rFonts w:ascii="Arial" w:hAnsi="Arial" w:cs="Arial"/>
          <w:i/>
        </w:rPr>
        <w:t>n caso que el paquete esté sujeto a presiones competitivas de cada uno de sus componentes, entonces puede existir un mercado relevante para cada uno de los componentes, los cuales pueden o no (en caso de sustitución asimétrica) incluir el paquete. En caso de identificar que el paquete sólo está sujeto a presiones competitivas de un componente, entonces es posible definir que existe un mercado relevante que corresponda a ese bien o servicio, en el cual se puede incluir las condiciones en las que se oferta dentro del paquete</w:t>
      </w:r>
      <w:r w:rsidRPr="00931D46">
        <w:rPr>
          <w:rFonts w:ascii="Arial" w:hAnsi="Arial" w:cs="Arial"/>
        </w:rPr>
        <w:t>.</w:t>
      </w:r>
      <w:r w:rsidRPr="00931D46">
        <w:rPr>
          <w:rFonts w:ascii="Arial" w:hAnsi="Arial" w:cs="Arial"/>
          <w:lang w:eastAsia="es-MX"/>
        </w:rPr>
        <w:t>”</w:t>
      </w:r>
    </w:p>
    <w:p w14:paraId="732F81F2" w14:textId="32F0C569" w:rsidR="00393B0E" w:rsidRDefault="00393B0E" w:rsidP="0023353F">
      <w:pPr>
        <w:spacing w:before="0" w:after="0"/>
        <w:rPr>
          <w:rFonts w:ascii="Arial" w:hAnsi="Arial" w:cs="Arial"/>
          <w:lang w:eastAsia="es-MX"/>
        </w:rPr>
      </w:pPr>
    </w:p>
    <w:p w14:paraId="59D228DB" w14:textId="1A0E1BEB" w:rsidR="00393B0E" w:rsidRPr="00393B0E" w:rsidRDefault="00393B0E" w:rsidP="00052395">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393B0E">
        <w:rPr>
          <w:rFonts w:ascii="Arial" w:eastAsia="Times New Roman" w:hAnsi="Arial" w:cs="Arial"/>
          <w:b/>
          <w:i w:val="0"/>
          <w:color w:val="auto"/>
          <w:lang w:val="en-US" w:eastAsia="es-MX"/>
        </w:rPr>
        <w:t>PSM (GTV – DC-002-2019</w:t>
      </w:r>
      <w:r w:rsidR="00FB3093">
        <w:rPr>
          <w:rFonts w:ascii="Arial" w:eastAsia="Times New Roman" w:hAnsi="Arial" w:cs="Arial"/>
          <w:b/>
          <w:i w:val="0"/>
          <w:color w:val="auto"/>
          <w:lang w:val="en-US" w:eastAsia="es-MX"/>
        </w:rPr>
        <w:t>)</w:t>
      </w:r>
      <w:r w:rsidRPr="00393B0E">
        <w:rPr>
          <w:rStyle w:val="Refdenotaalpie"/>
          <w:rFonts w:ascii="Arial" w:hAnsi="Arial" w:cs="Arial"/>
          <w:b/>
          <w:bCs/>
          <w:i w:val="0"/>
        </w:rPr>
        <w:footnoteReference w:id="229"/>
      </w:r>
    </w:p>
    <w:p w14:paraId="5FEFC3C4" w14:textId="77777777" w:rsidR="00393B0E" w:rsidRDefault="00393B0E" w:rsidP="00052395">
      <w:pPr>
        <w:keepNext/>
        <w:spacing w:before="0" w:after="0"/>
        <w:rPr>
          <w:rFonts w:ascii="Arial" w:hAnsi="Arial" w:cs="Arial"/>
          <w:lang w:eastAsia="es-MX"/>
        </w:rPr>
      </w:pPr>
    </w:p>
    <w:p w14:paraId="192EB0F3" w14:textId="436F7C05" w:rsidR="00393B0E" w:rsidRPr="00931D46" w:rsidRDefault="00393B0E" w:rsidP="0023353F">
      <w:pPr>
        <w:spacing w:before="0" w:after="0"/>
        <w:rPr>
          <w:rFonts w:ascii="Arial" w:hAnsi="Arial" w:cs="Arial"/>
          <w:lang w:eastAsia="es-MX"/>
        </w:rPr>
      </w:pPr>
      <w:r w:rsidRPr="00052395">
        <w:rPr>
          <w:rFonts w:ascii="Arial" w:hAnsi="Arial" w:cs="Arial"/>
          <w:lang w:eastAsia="es-MX"/>
        </w:rPr>
        <w:t xml:space="preserve">En el expediente DC-002-2019 (investigación sobre PSM de GTV en la provisión del STAR), se consideró que no existía sustitución asimétrica, o que </w:t>
      </w:r>
      <w:r w:rsidR="00807A4B">
        <w:rPr>
          <w:rFonts w:ascii="Arial" w:hAnsi="Arial" w:cs="Arial"/>
          <w:lang w:eastAsia="es-MX"/>
        </w:rPr>
        <w:t xml:space="preserve">esta </w:t>
      </w:r>
      <w:r w:rsidRPr="00052395">
        <w:rPr>
          <w:rFonts w:ascii="Arial" w:hAnsi="Arial" w:cs="Arial"/>
          <w:lang w:eastAsia="es-MX"/>
        </w:rPr>
        <w:t>fuera relevante, entre el servicio individual y paquetes que incluían el STAR</w:t>
      </w:r>
      <w:r w:rsidR="00807A4B">
        <w:rPr>
          <w:rFonts w:ascii="Arial" w:hAnsi="Arial" w:cs="Arial"/>
          <w:lang w:eastAsia="es-MX"/>
        </w:rPr>
        <w:t>,</w:t>
      </w:r>
      <w:r w:rsidRPr="00052395">
        <w:rPr>
          <w:rFonts w:ascii="Arial" w:hAnsi="Arial" w:cs="Arial"/>
          <w:lang w:eastAsia="es-MX"/>
        </w:rPr>
        <w:t xml:space="preserve"> en razón de que</w:t>
      </w:r>
      <w:r w:rsidR="006F572A">
        <w:rPr>
          <w:rFonts w:ascii="Arial" w:hAnsi="Arial" w:cs="Arial"/>
          <w:lang w:eastAsia="es-MX"/>
        </w:rPr>
        <w:t xml:space="preserve"> </w:t>
      </w:r>
      <w:r w:rsidR="006F572A" w:rsidRPr="00FB3093">
        <w:rPr>
          <w:rFonts w:ascii="Arial" w:hAnsi="Arial" w:cs="Arial"/>
          <w:bCs/>
        </w:rPr>
        <w:t>i) existen opciones para que los usuarios adquieran el STAR de manera individual o empaquetada, ii) los usuarios tienen la posibilidad de equiparar las ofertas</w:t>
      </w:r>
      <w:r w:rsidR="006F572A" w:rsidRPr="00FB3093">
        <w:rPr>
          <w:rFonts w:ascii="Arial" w:hAnsi="Arial" w:cs="Arial"/>
          <w:lang w:eastAsia="es-MX"/>
        </w:rPr>
        <w:t xml:space="preserve"> comerciales de paquetes con la contratación de diversas combinaciones de servicios individuales y empaquetados (paquetes sintéticos), </w:t>
      </w:r>
      <w:r w:rsidR="006F572A" w:rsidRPr="00FB3093">
        <w:rPr>
          <w:rFonts w:ascii="Arial" w:hAnsi="Arial" w:cs="Arial"/>
        </w:rPr>
        <w:t>y</w:t>
      </w:r>
      <w:r w:rsidR="006F572A" w:rsidRPr="00FB3093">
        <w:rPr>
          <w:rFonts w:ascii="Arial" w:hAnsi="Arial" w:cs="Arial"/>
          <w:bCs/>
        </w:rPr>
        <w:t xml:space="preserve"> </w:t>
      </w:r>
      <w:r w:rsidR="006F572A" w:rsidRPr="00FB3093">
        <w:rPr>
          <w:rFonts w:ascii="Arial" w:hAnsi="Arial" w:cs="Arial"/>
        </w:rPr>
        <w:t xml:space="preserve">iii) en la práctica, </w:t>
      </w:r>
      <w:r w:rsidR="006F572A" w:rsidRPr="00FB3093">
        <w:rPr>
          <w:rFonts w:ascii="Arial" w:hAnsi="Arial" w:cs="Arial"/>
          <w:bCs/>
        </w:rPr>
        <w:t xml:space="preserve">a pesar de tener opciones disponibles para contratar servicios empaquetados, una proporción importante de los usuarios del STAR (de 23% a 43%, dependiendo la zona analizada) contratan el servicio de manera individual y construyen paquetes sintéticos </w:t>
      </w:r>
      <w:r w:rsidR="006F572A" w:rsidRPr="00FB3093">
        <w:rPr>
          <w:rFonts w:ascii="Arial" w:hAnsi="Arial" w:cs="Arial"/>
          <w:i/>
        </w:rPr>
        <w:t>doble play</w:t>
      </w:r>
      <w:r w:rsidR="006F572A" w:rsidRPr="00FB3093">
        <w:rPr>
          <w:rFonts w:ascii="Arial" w:hAnsi="Arial" w:cs="Arial"/>
          <w:bCs/>
        </w:rPr>
        <w:t xml:space="preserve"> o </w:t>
      </w:r>
      <w:r w:rsidR="006F572A" w:rsidRPr="00FB3093">
        <w:rPr>
          <w:rFonts w:ascii="Arial" w:hAnsi="Arial" w:cs="Arial"/>
          <w:i/>
        </w:rPr>
        <w:t>triple play</w:t>
      </w:r>
      <w:r w:rsidR="006F572A">
        <w:rPr>
          <w:rFonts w:ascii="Arial" w:hAnsi="Arial" w:cs="Arial"/>
          <w:i/>
        </w:rPr>
        <w:t>.</w:t>
      </w:r>
    </w:p>
    <w:p w14:paraId="63042B41" w14:textId="77777777" w:rsidR="00B11018" w:rsidRPr="00931D46" w:rsidRDefault="00B11018"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77" w:name="_Toc45628368"/>
      <w:r w:rsidRPr="00931D46">
        <w:rPr>
          <w:rFonts w:ascii="Arial" w:eastAsia="Times New Roman" w:hAnsi="Arial" w:cs="Arial"/>
          <w:b/>
          <w:color w:val="auto"/>
          <w:sz w:val="26"/>
          <w:szCs w:val="26"/>
          <w:lang w:eastAsia="es-MX"/>
        </w:rPr>
        <w:t>Experiencia internacional</w:t>
      </w:r>
      <w:bookmarkEnd w:id="277"/>
      <w:r w:rsidRPr="00931D46">
        <w:rPr>
          <w:rFonts w:ascii="Arial" w:eastAsia="Times New Roman" w:hAnsi="Arial" w:cs="Arial"/>
          <w:b/>
          <w:color w:val="auto"/>
          <w:sz w:val="26"/>
          <w:szCs w:val="26"/>
          <w:lang w:eastAsia="es-MX"/>
        </w:rPr>
        <w:t xml:space="preserve"> </w:t>
      </w:r>
    </w:p>
    <w:p w14:paraId="31FC4BF5" w14:textId="77777777" w:rsidR="00B11018" w:rsidRPr="00931D46" w:rsidRDefault="00B11018" w:rsidP="0023353F">
      <w:pPr>
        <w:keepNext/>
        <w:spacing w:before="0" w:after="0"/>
        <w:rPr>
          <w:rFonts w:ascii="Arial" w:hAnsi="Arial" w:cs="Arial"/>
        </w:rPr>
      </w:pPr>
    </w:p>
    <w:p w14:paraId="5ECED60F"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Unión Europea</w:t>
      </w:r>
    </w:p>
    <w:p w14:paraId="3FF6E24E" w14:textId="77777777" w:rsidR="00B11018" w:rsidRPr="00931D46" w:rsidRDefault="00B11018" w:rsidP="0023353F">
      <w:pPr>
        <w:keepNext/>
        <w:spacing w:before="0" w:after="0"/>
        <w:rPr>
          <w:rFonts w:ascii="Arial" w:hAnsi="Arial" w:cs="Arial"/>
        </w:rPr>
      </w:pPr>
    </w:p>
    <w:p w14:paraId="7D54908A" w14:textId="6E25C4B6" w:rsidR="00B11018" w:rsidRPr="00931D46" w:rsidRDefault="00B11018" w:rsidP="0023353F">
      <w:pPr>
        <w:spacing w:before="0" w:after="0"/>
        <w:rPr>
          <w:rFonts w:ascii="Arial" w:hAnsi="Arial" w:cs="Arial"/>
          <w:b/>
        </w:rPr>
      </w:pPr>
      <w:r w:rsidRPr="00931D46">
        <w:rPr>
          <w:rFonts w:ascii="Arial" w:hAnsi="Arial" w:cs="Arial"/>
        </w:rPr>
        <w:t xml:space="preserve">BEREC sugiere que, en presencia de sustitución asimétrica, las autoridades definan un </w:t>
      </w:r>
      <w:r w:rsidR="00330363">
        <w:rPr>
          <w:rFonts w:ascii="Arial" w:hAnsi="Arial" w:cs="Arial"/>
          <w:b/>
        </w:rPr>
        <w:t>producto</w:t>
      </w:r>
      <w:r w:rsidRPr="00931D46">
        <w:rPr>
          <w:rFonts w:ascii="Arial" w:hAnsi="Arial" w:cs="Arial"/>
          <w:b/>
        </w:rPr>
        <w:t xml:space="preserve"> focal </w:t>
      </w:r>
      <w:r w:rsidRPr="00931D46">
        <w:rPr>
          <w:rFonts w:ascii="Arial" w:hAnsi="Arial" w:cs="Arial"/>
        </w:rPr>
        <w:t xml:space="preserve">alrededor del cual se centre la determinación del MR, conforme a las condiciones específicas del mercado y del problema que las autoridades pretendan atender. Por ejemplo, seleccionar como </w:t>
      </w:r>
      <w:r w:rsidR="00330363">
        <w:rPr>
          <w:rFonts w:ascii="Arial" w:hAnsi="Arial" w:cs="Arial"/>
        </w:rPr>
        <w:t>producto</w:t>
      </w:r>
      <w:r w:rsidRPr="00931D46">
        <w:rPr>
          <w:rFonts w:ascii="Arial" w:hAnsi="Arial" w:cs="Arial"/>
        </w:rPr>
        <w:t xml:space="preserve"> focal a aquél </w:t>
      </w:r>
      <w:r w:rsidR="00330363">
        <w:rPr>
          <w:rFonts w:ascii="Arial" w:hAnsi="Arial" w:cs="Arial"/>
        </w:rPr>
        <w:t>producto</w:t>
      </w:r>
      <w:r w:rsidRPr="00931D46">
        <w:rPr>
          <w:rFonts w:ascii="Arial" w:hAnsi="Arial" w:cs="Arial"/>
        </w:rPr>
        <w:t xml:space="preserve"> donde se crea que existen problemas de competencia o a aquel que cuente con un mayor volumen de ventas o líneas instaladas frente a otros </w:t>
      </w:r>
      <w:r w:rsidR="00330363">
        <w:rPr>
          <w:rFonts w:ascii="Arial" w:hAnsi="Arial" w:cs="Arial"/>
        </w:rPr>
        <w:t>productos</w:t>
      </w:r>
      <w:r w:rsidRPr="00931D46">
        <w:rPr>
          <w:rFonts w:ascii="Arial" w:hAnsi="Arial" w:cs="Arial"/>
        </w:rPr>
        <w:t xml:space="preserve">. La elección del </w:t>
      </w:r>
      <w:r w:rsidR="00330363">
        <w:rPr>
          <w:rFonts w:ascii="Arial" w:hAnsi="Arial" w:cs="Arial"/>
        </w:rPr>
        <w:t>producto</w:t>
      </w:r>
      <w:r w:rsidRPr="00931D46">
        <w:rPr>
          <w:rFonts w:ascii="Arial" w:hAnsi="Arial" w:cs="Arial"/>
        </w:rPr>
        <w:t xml:space="preserve"> focal en presencia de sustitución asimétrica es crítica para identificar los límites del MR.</w:t>
      </w:r>
      <w:r w:rsidR="00854A64" w:rsidRPr="00931D46">
        <w:rPr>
          <w:rFonts w:ascii="Arial" w:eastAsia="Times New Roman" w:hAnsi="Arial" w:cs="Arial"/>
          <w:vertAlign w:val="superscript"/>
          <w:lang w:val="en-US" w:eastAsia="es-MX"/>
        </w:rPr>
        <w:footnoteReference w:id="230"/>
      </w:r>
      <w:r w:rsidRPr="00931D46">
        <w:rPr>
          <w:rFonts w:ascii="Arial" w:hAnsi="Arial" w:cs="Arial"/>
          <w:b/>
        </w:rPr>
        <w:t xml:space="preserve"> </w:t>
      </w:r>
    </w:p>
    <w:p w14:paraId="303A05E7" w14:textId="77777777" w:rsidR="00B11018" w:rsidRPr="00931D46" w:rsidRDefault="00B11018" w:rsidP="0023353F">
      <w:pPr>
        <w:spacing w:before="0" w:after="0"/>
        <w:rPr>
          <w:rFonts w:ascii="Arial" w:hAnsi="Arial" w:cs="Arial"/>
          <w:b/>
        </w:rPr>
      </w:pPr>
    </w:p>
    <w:p w14:paraId="3D014DDA" w14:textId="1BAA37E1" w:rsidR="00B11018" w:rsidRPr="00931D46" w:rsidRDefault="00B11018" w:rsidP="0023353F">
      <w:pPr>
        <w:spacing w:before="0" w:after="0"/>
        <w:rPr>
          <w:rFonts w:ascii="Arial" w:hAnsi="Arial" w:cs="Arial"/>
        </w:rPr>
      </w:pPr>
      <w:r w:rsidRPr="00931D46">
        <w:rPr>
          <w:rFonts w:ascii="Arial" w:hAnsi="Arial" w:cs="Arial"/>
        </w:rPr>
        <w:t xml:space="preserve">Una vez definido el </w:t>
      </w:r>
      <w:r w:rsidR="00330363">
        <w:rPr>
          <w:rFonts w:ascii="Arial" w:hAnsi="Arial" w:cs="Arial"/>
        </w:rPr>
        <w:t>producto</w:t>
      </w:r>
      <w:r w:rsidRPr="00931D46">
        <w:rPr>
          <w:rFonts w:ascii="Arial" w:hAnsi="Arial" w:cs="Arial"/>
        </w:rPr>
        <w:t xml:space="preserve"> focal, si éste es sustituido por otro </w:t>
      </w:r>
      <w:r w:rsidR="00330363">
        <w:rPr>
          <w:rFonts w:ascii="Arial" w:hAnsi="Arial" w:cs="Arial"/>
        </w:rPr>
        <w:t>producto</w:t>
      </w:r>
      <w:r w:rsidRPr="00931D46">
        <w:rPr>
          <w:rFonts w:ascii="Arial" w:hAnsi="Arial" w:cs="Arial"/>
        </w:rPr>
        <w:t xml:space="preserve">, pero no así en la dirección opuesta, entonces ambos </w:t>
      </w:r>
      <w:r w:rsidR="00330363">
        <w:rPr>
          <w:rFonts w:ascii="Arial" w:hAnsi="Arial" w:cs="Arial"/>
        </w:rPr>
        <w:t>productos</w:t>
      </w:r>
      <w:r w:rsidRPr="00931D46">
        <w:rPr>
          <w:rFonts w:ascii="Arial" w:hAnsi="Arial" w:cs="Arial"/>
        </w:rPr>
        <w:t xml:space="preserve"> pertenecen al mismo MR; por el contrario, si el </w:t>
      </w:r>
      <w:r w:rsidR="00330363">
        <w:rPr>
          <w:rFonts w:ascii="Arial" w:hAnsi="Arial" w:cs="Arial"/>
        </w:rPr>
        <w:t>producto</w:t>
      </w:r>
      <w:r w:rsidRPr="00931D46">
        <w:rPr>
          <w:rFonts w:ascii="Arial" w:hAnsi="Arial" w:cs="Arial"/>
        </w:rPr>
        <w:t xml:space="preserve"> focal sustituye a otro, pero no a la inversa, el MR no incluirá a ambos </w:t>
      </w:r>
      <w:r w:rsidR="00330363">
        <w:rPr>
          <w:rFonts w:ascii="Arial" w:hAnsi="Arial" w:cs="Arial"/>
        </w:rPr>
        <w:t>productos</w:t>
      </w:r>
      <w:r w:rsidRPr="00931D46">
        <w:rPr>
          <w:rFonts w:ascii="Arial" w:hAnsi="Arial" w:cs="Arial"/>
        </w:rPr>
        <w:t>.</w:t>
      </w:r>
    </w:p>
    <w:p w14:paraId="7614835A" w14:textId="77777777" w:rsidR="00B11018" w:rsidRPr="00931D46" w:rsidRDefault="00B11018" w:rsidP="0023353F">
      <w:pPr>
        <w:spacing w:before="0" w:after="0"/>
        <w:rPr>
          <w:rFonts w:ascii="Arial" w:hAnsi="Arial" w:cs="Arial"/>
        </w:rPr>
      </w:pPr>
    </w:p>
    <w:p w14:paraId="0C0007C3" w14:textId="5E71B29F" w:rsidR="00B11018" w:rsidRPr="00931D46" w:rsidRDefault="00B11018" w:rsidP="0023353F">
      <w:pPr>
        <w:spacing w:before="0" w:after="0"/>
        <w:rPr>
          <w:rFonts w:ascii="Arial" w:hAnsi="Arial" w:cs="Arial"/>
          <w:lang w:eastAsia="es-MX"/>
        </w:rPr>
      </w:pPr>
      <w:r w:rsidRPr="00931D46">
        <w:rPr>
          <w:rFonts w:ascii="Arial" w:hAnsi="Arial" w:cs="Arial"/>
        </w:rPr>
        <w:t xml:space="preserve">En relación con lo anterior, en el caso </w:t>
      </w:r>
      <w:r w:rsidRPr="00931D46">
        <w:rPr>
          <w:rFonts w:ascii="Arial" w:hAnsi="Arial" w:cs="Arial"/>
          <w:lang w:eastAsia="es-MX"/>
        </w:rPr>
        <w:t>Wanadoo Interactive,</w:t>
      </w:r>
      <w:r w:rsidRPr="00931D46">
        <w:rPr>
          <w:rStyle w:val="Refdenotaalpie"/>
          <w:rFonts w:ascii="Arial" w:hAnsi="Arial" w:cs="Arial"/>
          <w:lang w:eastAsia="es-MX"/>
        </w:rPr>
        <w:footnoteReference w:id="231"/>
      </w:r>
      <w:r w:rsidRPr="00931D46">
        <w:rPr>
          <w:rFonts w:ascii="Arial" w:hAnsi="Arial" w:cs="Arial"/>
          <w:lang w:eastAsia="es-MX"/>
        </w:rPr>
        <w:t xml:space="preserve"> </w:t>
      </w:r>
      <w:r w:rsidRPr="00931D46">
        <w:rPr>
          <w:rFonts w:ascii="Arial" w:hAnsi="Arial" w:cs="Arial"/>
        </w:rPr>
        <w:t xml:space="preserve">la CE definió como </w:t>
      </w:r>
      <w:r w:rsidR="00330363">
        <w:rPr>
          <w:rFonts w:ascii="Arial" w:hAnsi="Arial" w:cs="Arial"/>
        </w:rPr>
        <w:t>producto</w:t>
      </w:r>
      <w:r w:rsidRPr="00931D46">
        <w:rPr>
          <w:rFonts w:ascii="Arial" w:hAnsi="Arial" w:cs="Arial"/>
        </w:rPr>
        <w:t xml:space="preserve"> focal el acceso a Internet de alta velocidad en razón de que era en este servicio en el que se investigaba la existencia de abuso de PSM; y encontró que, si bien este servicio podía sustituir al servicio de Internet de baja velocidad, era poco probable la sustitución en el sentido opuesto por las características técnicas y </w:t>
      </w:r>
      <w:r w:rsidR="00666F63" w:rsidRPr="00931D46">
        <w:rPr>
          <w:rFonts w:ascii="Arial" w:hAnsi="Arial" w:cs="Arial"/>
        </w:rPr>
        <w:t>la</w:t>
      </w:r>
      <w:r w:rsidRPr="00931D46">
        <w:rPr>
          <w:rFonts w:ascii="Arial" w:hAnsi="Arial" w:cs="Arial"/>
        </w:rPr>
        <w:t xml:space="preserve"> calidad de los servicios, por lo que descartó que el servicio de baja velocidad pertenecie</w:t>
      </w:r>
      <w:r w:rsidR="00807A4B">
        <w:rPr>
          <w:rFonts w:ascii="Arial" w:hAnsi="Arial" w:cs="Arial"/>
        </w:rPr>
        <w:t>ra</w:t>
      </w:r>
      <w:r w:rsidRPr="00931D46">
        <w:rPr>
          <w:rFonts w:ascii="Arial" w:hAnsi="Arial" w:cs="Arial"/>
        </w:rPr>
        <w:t xml:space="preserve"> al MR del servicio focal.</w:t>
      </w:r>
    </w:p>
    <w:p w14:paraId="78368540" w14:textId="77777777" w:rsidR="00B11018" w:rsidRPr="00931D46" w:rsidRDefault="00B11018" w:rsidP="0023353F">
      <w:pPr>
        <w:spacing w:before="0" w:after="0"/>
        <w:rPr>
          <w:rFonts w:ascii="Arial" w:hAnsi="Arial" w:cs="Arial"/>
        </w:rPr>
      </w:pPr>
    </w:p>
    <w:p w14:paraId="5EA2D80B" w14:textId="4C30B0D9" w:rsidR="00B11018" w:rsidRPr="00931D46" w:rsidRDefault="00B11018" w:rsidP="0023353F">
      <w:pPr>
        <w:spacing w:before="0" w:after="0"/>
        <w:rPr>
          <w:rFonts w:ascii="Arial" w:hAnsi="Arial" w:cs="Arial"/>
        </w:rPr>
      </w:pPr>
      <w:r w:rsidRPr="00931D46">
        <w:rPr>
          <w:rFonts w:ascii="Arial" w:hAnsi="Arial" w:cs="Arial"/>
        </w:rPr>
        <w:t xml:space="preserve">Otro enfoque que BEREC identifica para determinar el MR en presencia de sustitución asimétrica consiste en, sin importar la dirección de la sustitución, definir MR separados: uno para el </w:t>
      </w:r>
      <w:r w:rsidR="00330363">
        <w:rPr>
          <w:rFonts w:ascii="Arial" w:hAnsi="Arial" w:cs="Arial"/>
        </w:rPr>
        <w:t>producto</w:t>
      </w:r>
      <w:r w:rsidRPr="00931D46">
        <w:rPr>
          <w:rFonts w:ascii="Arial" w:hAnsi="Arial" w:cs="Arial"/>
        </w:rPr>
        <w:t xml:space="preserve"> focal y otro para los </w:t>
      </w:r>
      <w:r w:rsidR="00330363">
        <w:rPr>
          <w:rFonts w:ascii="Arial" w:hAnsi="Arial" w:cs="Arial"/>
        </w:rPr>
        <w:t>productos</w:t>
      </w:r>
      <w:r w:rsidRPr="00931D46">
        <w:rPr>
          <w:rFonts w:ascii="Arial" w:hAnsi="Arial" w:cs="Arial"/>
        </w:rPr>
        <w:t xml:space="preserve"> alternativos, y analizar la presión competitiva que ejercen</w:t>
      </w:r>
      <w:r w:rsidR="00807A4B">
        <w:rPr>
          <w:rFonts w:ascii="Arial" w:hAnsi="Arial" w:cs="Arial"/>
        </w:rPr>
        <w:t xml:space="preserve"> entre sí</w:t>
      </w:r>
      <w:r w:rsidRPr="00931D46">
        <w:rPr>
          <w:rFonts w:ascii="Arial" w:hAnsi="Arial" w:cs="Arial"/>
        </w:rPr>
        <w:t xml:space="preserve"> en etapas posteriores del análisis de competencia. </w:t>
      </w:r>
    </w:p>
    <w:p w14:paraId="2846F823" w14:textId="77777777" w:rsidR="00B11018" w:rsidRPr="00931D46" w:rsidRDefault="00B11018" w:rsidP="0023353F">
      <w:pPr>
        <w:spacing w:before="0" w:after="0"/>
        <w:rPr>
          <w:rFonts w:ascii="Arial" w:hAnsi="Arial" w:cs="Arial"/>
        </w:rPr>
      </w:pPr>
    </w:p>
    <w:p w14:paraId="45AA1DE6" w14:textId="77777777" w:rsidR="00B11018" w:rsidRPr="00931D46" w:rsidRDefault="00B11018" w:rsidP="0023353F">
      <w:pPr>
        <w:spacing w:before="0" w:after="0"/>
        <w:rPr>
          <w:rFonts w:ascii="Arial" w:hAnsi="Arial" w:cs="Arial"/>
          <w:lang w:eastAsia="es-MX"/>
        </w:rPr>
      </w:pPr>
      <w:r w:rsidRPr="00931D46">
        <w:rPr>
          <w:rFonts w:ascii="Arial" w:hAnsi="Arial" w:cs="Arial"/>
        </w:rPr>
        <w:t xml:space="preserve">El enfoque anterior se observó por FICORA en </w:t>
      </w:r>
      <w:r w:rsidRPr="00931D46">
        <w:rPr>
          <w:rFonts w:ascii="Arial" w:hAnsi="Arial" w:cs="Arial"/>
          <w:lang w:eastAsia="es-MX"/>
        </w:rPr>
        <w:t xml:space="preserve">la evaluación del </w:t>
      </w:r>
      <w:r w:rsidR="00970DAF" w:rsidRPr="00931D46">
        <w:rPr>
          <w:rFonts w:ascii="Arial" w:hAnsi="Arial" w:cs="Arial"/>
          <w:lang w:eastAsia="es-MX"/>
        </w:rPr>
        <w:t>SBAF</w:t>
      </w:r>
      <w:r w:rsidRPr="00931D46">
        <w:rPr>
          <w:rFonts w:ascii="Arial" w:hAnsi="Arial" w:cs="Arial"/>
          <w:lang w:eastAsia="es-MX"/>
        </w:rPr>
        <w:t xml:space="preserve"> a nivel residencial y empresarial, que tenía por posible sustituto al servicio de acceso a Internet móvil. En dicho caso se consideró que el servicio de acceso a Internet móvil podría sustituir al </w:t>
      </w:r>
      <w:r w:rsidR="00970DAF" w:rsidRPr="00931D46">
        <w:rPr>
          <w:rFonts w:ascii="Arial" w:hAnsi="Arial" w:cs="Arial"/>
          <w:lang w:eastAsia="es-MX"/>
        </w:rPr>
        <w:t>SBAF</w:t>
      </w:r>
      <w:r w:rsidRPr="00931D46">
        <w:rPr>
          <w:rFonts w:ascii="Arial" w:hAnsi="Arial" w:cs="Arial"/>
          <w:lang w:eastAsia="es-MX"/>
        </w:rPr>
        <w:t>, pero no en la dirección opuesta. Ante ello, FICORA consideró determinar MR separados</w:t>
      </w:r>
      <w:r w:rsidR="00854A64" w:rsidRPr="00931D46">
        <w:rPr>
          <w:rFonts w:ascii="Arial" w:hAnsi="Arial" w:cs="Arial"/>
          <w:lang w:eastAsia="es-MX"/>
        </w:rPr>
        <w:t xml:space="preserve"> y en etapas posteriores evalúo la presión competitiva que</w:t>
      </w:r>
      <w:r w:rsidRPr="00931D46">
        <w:rPr>
          <w:rFonts w:ascii="Arial" w:hAnsi="Arial" w:cs="Arial"/>
          <w:lang w:eastAsia="es-MX"/>
        </w:rPr>
        <w:t xml:space="preserve"> los proveedores del servicio fijo enfrentaban por parte de los proveedores del servicio móvil.</w:t>
      </w:r>
      <w:r w:rsidRPr="00931D46">
        <w:rPr>
          <w:rStyle w:val="Refdenotaalpie"/>
          <w:rFonts w:ascii="Arial" w:hAnsi="Arial" w:cs="Arial"/>
          <w:lang w:eastAsia="es-MX"/>
        </w:rPr>
        <w:footnoteReference w:id="232"/>
      </w:r>
    </w:p>
    <w:p w14:paraId="2A49C976" w14:textId="77777777" w:rsidR="00B11018" w:rsidRPr="00931D46" w:rsidRDefault="00B11018" w:rsidP="0023353F">
      <w:pPr>
        <w:spacing w:before="0" w:after="0"/>
        <w:rPr>
          <w:rFonts w:ascii="Arial" w:hAnsi="Arial" w:cs="Arial"/>
          <w:lang w:eastAsia="es-MX"/>
        </w:rPr>
      </w:pPr>
    </w:p>
    <w:p w14:paraId="6BC28397" w14:textId="7AA96AAA" w:rsidR="00B11018" w:rsidRPr="00931D46" w:rsidRDefault="00B11018" w:rsidP="0023353F">
      <w:pPr>
        <w:spacing w:before="0" w:after="0"/>
        <w:rPr>
          <w:rFonts w:ascii="Arial" w:hAnsi="Arial" w:cs="Arial"/>
          <w:lang w:eastAsia="es-MX"/>
        </w:rPr>
      </w:pPr>
      <w:r w:rsidRPr="00931D46">
        <w:rPr>
          <w:rFonts w:ascii="Arial" w:hAnsi="Arial" w:cs="Arial"/>
          <w:lang w:eastAsia="es-MX"/>
        </w:rPr>
        <w:t>Otro caso donde se abordó la presencia de sustitución asimétrica fue el de la Sentencia del Tribunal General</w:t>
      </w:r>
      <w:r w:rsidR="00D20510" w:rsidRPr="00931D46">
        <w:rPr>
          <w:rFonts w:ascii="Arial" w:hAnsi="Arial" w:cs="Arial"/>
          <w:lang w:eastAsia="es-MX"/>
        </w:rPr>
        <w:t>,</w:t>
      </w:r>
      <w:r w:rsidRPr="00931D46">
        <w:rPr>
          <w:rFonts w:ascii="Arial" w:hAnsi="Arial" w:cs="Arial"/>
          <w:lang w:eastAsia="es-MX"/>
        </w:rPr>
        <w:t xml:space="preserve"> en el Asunto T-336/07</w:t>
      </w:r>
      <w:r w:rsidR="00D20510" w:rsidRPr="00931D46">
        <w:rPr>
          <w:rFonts w:ascii="Arial" w:hAnsi="Arial" w:cs="Arial"/>
          <w:lang w:eastAsia="es-MX"/>
        </w:rPr>
        <w:t>,</w:t>
      </w:r>
      <w:r w:rsidRPr="00931D46">
        <w:rPr>
          <w:rFonts w:ascii="Arial" w:hAnsi="Arial" w:cs="Arial"/>
          <w:lang w:eastAsia="es-MX"/>
        </w:rPr>
        <w:t xml:space="preserve"> respecto a una apelación de Telefónica España contra una decisión de la CE que determinaba imponer</w:t>
      </w:r>
      <w:r w:rsidR="00D20510" w:rsidRPr="00931D46">
        <w:rPr>
          <w:rFonts w:ascii="Arial" w:hAnsi="Arial" w:cs="Arial"/>
          <w:lang w:eastAsia="es-MX"/>
        </w:rPr>
        <w:t>le</w:t>
      </w:r>
      <w:r w:rsidRPr="00931D46">
        <w:rPr>
          <w:rFonts w:ascii="Arial" w:hAnsi="Arial" w:cs="Arial"/>
          <w:lang w:eastAsia="es-MX"/>
        </w:rPr>
        <w:t xml:space="preserve"> una multa por abuso de posición dominante mediante el estrechamiento de márgenes. Al respecto, el Tribunal General descartó el argumento de la demandante que alegaba la existencia de sustitución asimétrica entre un </w:t>
      </w:r>
      <w:r w:rsidR="00330363">
        <w:rPr>
          <w:rFonts w:ascii="Arial" w:hAnsi="Arial" w:cs="Arial"/>
          <w:lang w:eastAsia="es-MX"/>
        </w:rPr>
        <w:t>producto</w:t>
      </w:r>
      <w:r w:rsidRPr="00931D46">
        <w:rPr>
          <w:rFonts w:ascii="Arial" w:hAnsi="Arial" w:cs="Arial"/>
          <w:lang w:eastAsia="es-MX"/>
        </w:rPr>
        <w:t xml:space="preserve"> mayorista regional y un </w:t>
      </w:r>
      <w:r w:rsidR="00330363">
        <w:rPr>
          <w:rFonts w:ascii="Arial" w:hAnsi="Arial" w:cs="Arial"/>
          <w:lang w:eastAsia="es-MX"/>
        </w:rPr>
        <w:t>producto</w:t>
      </w:r>
      <w:r w:rsidRPr="00931D46">
        <w:rPr>
          <w:rFonts w:ascii="Arial" w:hAnsi="Arial" w:cs="Arial"/>
          <w:lang w:eastAsia="es-MX"/>
        </w:rPr>
        <w:t xml:space="preserve"> mayorista nacional (acceso desagregado al bucle local); el Tribunal concluyó que, de hecho, no existía sustitución en ningún sentido, pues la transición del </w:t>
      </w:r>
      <w:r w:rsidR="00330363">
        <w:rPr>
          <w:rFonts w:ascii="Arial" w:hAnsi="Arial" w:cs="Arial"/>
          <w:lang w:eastAsia="es-MX"/>
        </w:rPr>
        <w:t>producto</w:t>
      </w:r>
      <w:r w:rsidRPr="00931D46">
        <w:rPr>
          <w:rFonts w:ascii="Arial" w:hAnsi="Arial" w:cs="Arial"/>
          <w:lang w:eastAsia="es-MX"/>
        </w:rPr>
        <w:t xml:space="preserve"> regional hacia el nacional requiere tiempo e inversiones cuantiosas, mientras que la migración del </w:t>
      </w:r>
      <w:r w:rsidR="00330363">
        <w:rPr>
          <w:rFonts w:ascii="Arial" w:hAnsi="Arial" w:cs="Arial"/>
          <w:lang w:eastAsia="es-MX"/>
        </w:rPr>
        <w:t>producto</w:t>
      </w:r>
      <w:r w:rsidRPr="00931D46">
        <w:rPr>
          <w:rFonts w:ascii="Arial" w:hAnsi="Arial" w:cs="Arial"/>
          <w:lang w:eastAsia="es-MX"/>
        </w:rPr>
        <w:t xml:space="preserve"> nacional al regional no era lógica desde el punto de vista económico. En consecuencia, el Tribunal respaldó la conclusión de la CE, en el sentido de que no había sustitución entre el </w:t>
      </w:r>
      <w:r w:rsidR="00330363">
        <w:rPr>
          <w:rFonts w:ascii="Arial" w:hAnsi="Arial" w:cs="Arial"/>
          <w:lang w:eastAsia="es-MX"/>
        </w:rPr>
        <w:t>producto</w:t>
      </w:r>
      <w:r w:rsidRPr="00931D46">
        <w:rPr>
          <w:rFonts w:ascii="Arial" w:hAnsi="Arial" w:cs="Arial"/>
          <w:lang w:eastAsia="es-MX"/>
        </w:rPr>
        <w:t xml:space="preserve"> mayorista regional y el nacional, por lo que no pertenecían al mismo MR.</w:t>
      </w:r>
      <w:r w:rsidRPr="00931D46">
        <w:rPr>
          <w:rStyle w:val="Refdenotaalpie"/>
          <w:rFonts w:ascii="Arial" w:hAnsi="Arial" w:cs="Arial"/>
          <w:lang w:eastAsia="es-MX"/>
        </w:rPr>
        <w:t xml:space="preserve"> </w:t>
      </w:r>
      <w:r w:rsidRPr="00931D46">
        <w:rPr>
          <w:rStyle w:val="Refdenotaalpie"/>
          <w:rFonts w:ascii="Arial" w:hAnsi="Arial" w:cs="Arial"/>
          <w:lang w:eastAsia="es-MX"/>
        </w:rPr>
        <w:footnoteReference w:id="233"/>
      </w:r>
      <w:r w:rsidRPr="00931D46">
        <w:rPr>
          <w:rFonts w:ascii="Arial" w:hAnsi="Arial" w:cs="Arial"/>
          <w:lang w:eastAsia="es-MX"/>
        </w:rPr>
        <w:t xml:space="preserve"> </w:t>
      </w:r>
    </w:p>
    <w:p w14:paraId="203F1BE3" w14:textId="77777777" w:rsidR="00B11018" w:rsidRPr="00931D46" w:rsidRDefault="00B11018" w:rsidP="0023353F">
      <w:pPr>
        <w:spacing w:before="0" w:after="0"/>
        <w:rPr>
          <w:rFonts w:ascii="Arial" w:hAnsi="Arial" w:cs="Arial"/>
          <w:lang w:eastAsia="es-MX"/>
        </w:rPr>
      </w:pPr>
    </w:p>
    <w:p w14:paraId="301D99D3"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Estados Unidos</w:t>
      </w:r>
      <w:r w:rsidR="00292354" w:rsidRPr="00931D46">
        <w:rPr>
          <w:rFonts w:ascii="Arial" w:eastAsia="Times New Roman" w:hAnsi="Arial" w:cs="Arial"/>
          <w:b/>
          <w:i w:val="0"/>
          <w:color w:val="auto"/>
          <w:lang w:val="en-US" w:eastAsia="es-MX"/>
        </w:rPr>
        <w:t xml:space="preserve"> de América</w:t>
      </w:r>
    </w:p>
    <w:p w14:paraId="7AA2FCA1" w14:textId="77777777" w:rsidR="00B11018" w:rsidRPr="00931D46" w:rsidRDefault="00B11018" w:rsidP="0023353F">
      <w:pPr>
        <w:keepNext/>
        <w:spacing w:before="0" w:after="0"/>
        <w:rPr>
          <w:rFonts w:ascii="Arial" w:hAnsi="Arial" w:cs="Arial"/>
          <w:lang w:eastAsia="es-MX"/>
        </w:rPr>
      </w:pPr>
    </w:p>
    <w:p w14:paraId="59C2A98B" w14:textId="77777777" w:rsidR="00B11018" w:rsidRPr="00931D46" w:rsidRDefault="00B11018" w:rsidP="0023353F">
      <w:pPr>
        <w:spacing w:before="0" w:after="0"/>
        <w:rPr>
          <w:rFonts w:ascii="Arial" w:hAnsi="Arial" w:cs="Arial"/>
          <w:lang w:eastAsia="es-MX"/>
        </w:rPr>
      </w:pPr>
      <w:r w:rsidRPr="00931D46">
        <w:rPr>
          <w:rFonts w:ascii="Arial" w:hAnsi="Arial" w:cs="Arial"/>
          <w:lang w:eastAsia="es-MX"/>
        </w:rPr>
        <w:t xml:space="preserve">El </w:t>
      </w:r>
      <w:r w:rsidR="00074B18" w:rsidRPr="00931D46">
        <w:rPr>
          <w:rFonts w:ascii="Arial" w:hAnsi="Arial" w:cs="Arial"/>
          <w:lang w:eastAsia="es-MX"/>
        </w:rPr>
        <w:t>DOJ</w:t>
      </w:r>
      <w:r w:rsidRPr="00931D46">
        <w:rPr>
          <w:rFonts w:ascii="Arial" w:hAnsi="Arial" w:cs="Arial"/>
          <w:lang w:eastAsia="es-MX"/>
        </w:rPr>
        <w:t xml:space="preserve">, en su demanda para bloquear la concentración AT&amp;T / T-Mobile, señaló que los servicios de telecomunicaciones </w:t>
      </w:r>
      <w:r w:rsidR="00CD670A" w:rsidRPr="00931D46">
        <w:rPr>
          <w:rFonts w:ascii="Arial" w:hAnsi="Arial" w:cs="Arial"/>
          <w:lang w:eastAsia="es-MX"/>
        </w:rPr>
        <w:t xml:space="preserve">fijos </w:t>
      </w:r>
      <w:r w:rsidRPr="00931D46">
        <w:rPr>
          <w:rFonts w:ascii="Arial" w:hAnsi="Arial" w:cs="Arial"/>
          <w:lang w:eastAsia="es-MX"/>
        </w:rPr>
        <w:t>no forman parte de</w:t>
      </w:r>
      <w:r w:rsidR="00CD670A" w:rsidRPr="00931D46">
        <w:rPr>
          <w:rFonts w:ascii="Arial" w:hAnsi="Arial" w:cs="Arial"/>
          <w:lang w:eastAsia="es-MX"/>
        </w:rPr>
        <w:t>l</w:t>
      </w:r>
      <w:r w:rsidRPr="00931D46">
        <w:rPr>
          <w:rFonts w:ascii="Arial" w:hAnsi="Arial" w:cs="Arial"/>
          <w:lang w:eastAsia="es-MX"/>
        </w:rPr>
        <w:t xml:space="preserve"> MR de los servicios </w:t>
      </w:r>
      <w:r w:rsidR="00CD670A" w:rsidRPr="00931D46">
        <w:rPr>
          <w:rFonts w:ascii="Arial" w:hAnsi="Arial" w:cs="Arial"/>
          <w:lang w:eastAsia="es-MX"/>
        </w:rPr>
        <w:t>de telecomunicaciones móviles de voz y datos</w:t>
      </w:r>
      <w:r w:rsidRPr="00931D46">
        <w:rPr>
          <w:rFonts w:ascii="Arial" w:hAnsi="Arial" w:cs="Arial"/>
          <w:lang w:eastAsia="es-MX"/>
        </w:rPr>
        <w:t>, ya que los primeros no constituían una alternativa razonable debido a su falta de movilidad.</w:t>
      </w:r>
      <w:r w:rsidRPr="00931D46">
        <w:rPr>
          <w:rStyle w:val="Refdenotaalpie"/>
          <w:rFonts w:ascii="Arial" w:hAnsi="Arial" w:cs="Arial"/>
          <w:lang w:eastAsia="es-MX"/>
        </w:rPr>
        <w:footnoteReference w:id="234"/>
      </w:r>
      <w:r w:rsidRPr="00931D46">
        <w:rPr>
          <w:rFonts w:ascii="Arial" w:hAnsi="Arial" w:cs="Arial"/>
          <w:lang w:eastAsia="es-MX"/>
        </w:rPr>
        <w:t xml:space="preserve">  Esta demanda motivó a AT&amp;T a retractarse de la operación.</w:t>
      </w:r>
    </w:p>
    <w:p w14:paraId="1BEF197B" w14:textId="77777777" w:rsidR="00B11018" w:rsidRPr="00931D46" w:rsidRDefault="00B11018" w:rsidP="0023353F">
      <w:pPr>
        <w:spacing w:before="0" w:after="0"/>
        <w:rPr>
          <w:rFonts w:ascii="Arial" w:hAnsi="Arial" w:cs="Arial"/>
          <w:lang w:eastAsia="es-MX"/>
        </w:rPr>
      </w:pPr>
    </w:p>
    <w:p w14:paraId="3EB1514F" w14:textId="77777777" w:rsidR="00B11018" w:rsidRPr="00931D46" w:rsidRDefault="00B11018" w:rsidP="0023353F">
      <w:pPr>
        <w:spacing w:before="0" w:after="0"/>
        <w:rPr>
          <w:rFonts w:ascii="Arial" w:hAnsi="Arial" w:cs="Arial"/>
          <w:lang w:eastAsia="es-MX"/>
        </w:rPr>
      </w:pPr>
      <w:r w:rsidRPr="00931D46">
        <w:rPr>
          <w:rFonts w:ascii="Arial" w:hAnsi="Arial" w:cs="Arial"/>
          <w:lang w:eastAsia="es-MX"/>
        </w:rPr>
        <w:t>En el mismo sentido, la FCC señala que los usuarios no pueden sustituir los servicios de telefonía móvil con servicios fijos debido a la característica de movilidad, pero algunos usuarios pueden encontrar en los servicios móviles un sustituto de los servicios fijos.</w:t>
      </w:r>
      <w:r w:rsidRPr="00931D46">
        <w:rPr>
          <w:rStyle w:val="Refdenotaalpie"/>
          <w:rFonts w:ascii="Arial" w:hAnsi="Arial" w:cs="Arial"/>
          <w:lang w:eastAsia="es-MX"/>
        </w:rPr>
        <w:footnoteReference w:id="235"/>
      </w:r>
      <w:r w:rsidRPr="00931D46">
        <w:rPr>
          <w:rFonts w:ascii="Arial" w:hAnsi="Arial" w:cs="Arial"/>
          <w:lang w:eastAsia="es-MX"/>
        </w:rPr>
        <w:t xml:space="preserve"> En efecto, en el caso de cesiones de concesiones de T-Mobile a Sprint en 2019, la FCC señaló que el mercado de servicios fijos no forma parte del MR de servicios de telefonía móvil, debido a que pocos usuarios cambiarían el servicio móvil por el fijo en una </w:t>
      </w:r>
      <w:r w:rsidR="00EC45B0" w:rsidRPr="00931D46">
        <w:rPr>
          <w:rFonts w:ascii="Arial" w:hAnsi="Arial" w:cs="Arial"/>
          <w:lang w:eastAsia="es-MX"/>
        </w:rPr>
        <w:t>P</w:t>
      </w:r>
      <w:r w:rsidRPr="00931D46">
        <w:rPr>
          <w:rFonts w:ascii="Arial" w:hAnsi="Arial" w:cs="Arial"/>
          <w:lang w:eastAsia="es-MX"/>
        </w:rPr>
        <w:t>rueba SSNIP.</w:t>
      </w:r>
      <w:r w:rsidRPr="00931D46">
        <w:rPr>
          <w:rStyle w:val="Refdenotaalpie"/>
          <w:rFonts w:ascii="Arial" w:hAnsi="Arial" w:cs="Arial"/>
          <w:lang w:eastAsia="es-MX"/>
        </w:rPr>
        <w:footnoteReference w:id="236"/>
      </w:r>
    </w:p>
    <w:p w14:paraId="3389246F" w14:textId="77777777" w:rsidR="00B11018" w:rsidRPr="00931D46" w:rsidRDefault="00B11018" w:rsidP="0023353F">
      <w:pPr>
        <w:spacing w:before="0" w:after="0"/>
        <w:rPr>
          <w:rFonts w:ascii="Arial" w:hAnsi="Arial" w:cs="Arial"/>
          <w:lang w:eastAsia="es-MX"/>
        </w:rPr>
      </w:pPr>
    </w:p>
    <w:p w14:paraId="2F477CE8"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Portugal</w:t>
      </w:r>
    </w:p>
    <w:p w14:paraId="648FAE2A" w14:textId="77777777" w:rsidR="00B11018" w:rsidRPr="00931D46" w:rsidRDefault="00B11018" w:rsidP="0023353F">
      <w:pPr>
        <w:keepNext/>
        <w:spacing w:before="0" w:after="0"/>
        <w:rPr>
          <w:rFonts w:ascii="Arial" w:hAnsi="Arial" w:cs="Arial"/>
        </w:rPr>
      </w:pPr>
    </w:p>
    <w:p w14:paraId="771971F2" w14:textId="05D5154F" w:rsidR="00B11018" w:rsidRPr="00931D46" w:rsidRDefault="00B11018" w:rsidP="0023353F">
      <w:pPr>
        <w:spacing w:before="0" w:after="0"/>
        <w:rPr>
          <w:rFonts w:ascii="Arial" w:hAnsi="Arial" w:cs="Arial"/>
        </w:rPr>
      </w:pPr>
      <w:r w:rsidRPr="00931D46">
        <w:rPr>
          <w:rFonts w:ascii="Arial" w:hAnsi="Arial" w:cs="Arial"/>
        </w:rPr>
        <w:t xml:space="preserve">En torno a la elección del </w:t>
      </w:r>
      <w:r w:rsidR="00330363">
        <w:rPr>
          <w:rFonts w:ascii="Arial" w:hAnsi="Arial" w:cs="Arial"/>
        </w:rPr>
        <w:t>producto</w:t>
      </w:r>
      <w:r w:rsidRPr="00931D46">
        <w:rPr>
          <w:rFonts w:ascii="Arial" w:hAnsi="Arial" w:cs="Arial"/>
        </w:rPr>
        <w:t xml:space="preserve"> focal, en la revisión de los mercados mayoristas y minoristas de enlaces dedicados por parte de </w:t>
      </w:r>
      <w:r w:rsidR="00CD69FB">
        <w:rPr>
          <w:rFonts w:ascii="Arial" w:hAnsi="Arial" w:cs="Arial"/>
        </w:rPr>
        <w:t xml:space="preserve">la </w:t>
      </w:r>
      <w:r w:rsidRPr="00931D46">
        <w:rPr>
          <w:rFonts w:ascii="Arial" w:hAnsi="Arial" w:cs="Arial"/>
        </w:rPr>
        <w:t xml:space="preserve">ANACOM, se eligió como </w:t>
      </w:r>
      <w:r w:rsidR="00330363">
        <w:rPr>
          <w:rFonts w:ascii="Arial" w:hAnsi="Arial" w:cs="Arial"/>
        </w:rPr>
        <w:t>producto</w:t>
      </w:r>
      <w:r w:rsidRPr="00931D46">
        <w:rPr>
          <w:rFonts w:ascii="Arial" w:hAnsi="Arial" w:cs="Arial"/>
        </w:rPr>
        <w:t xml:space="preserve"> focal (tanto para los mercados mayoristas y minoristas) los enlaces dedicados tradicionales (basados en fibra y tecnologías PDH y SDH</w:t>
      </w:r>
      <w:r w:rsidR="00760EBC" w:rsidRPr="00931D46">
        <w:rPr>
          <w:rStyle w:val="Refdenotaalpie"/>
          <w:rFonts w:ascii="Arial" w:hAnsi="Arial" w:cs="Arial"/>
          <w:lang w:eastAsia="es-MX"/>
        </w:rPr>
        <w:footnoteReference w:id="237"/>
      </w:r>
      <w:r w:rsidRPr="00931D46">
        <w:rPr>
          <w:rFonts w:ascii="Arial" w:hAnsi="Arial" w:cs="Arial"/>
        </w:rPr>
        <w:t>) en función de que éstos habían sido el único servicio evaluado en estudios anteriores, se le habían establecido obligaciones y contaba con un mayor volumen de líneas instaladas que el servicio de enlaces dedicados basados en Ethernet.</w:t>
      </w:r>
      <w:r w:rsidRPr="00931D46">
        <w:rPr>
          <w:rStyle w:val="Refdenotaalpie"/>
          <w:rFonts w:ascii="Arial" w:hAnsi="Arial" w:cs="Arial"/>
        </w:rPr>
        <w:footnoteReference w:id="238"/>
      </w:r>
    </w:p>
    <w:p w14:paraId="26355850" w14:textId="77777777" w:rsidR="00B11018" w:rsidRPr="00931D46" w:rsidRDefault="00B11018" w:rsidP="0023353F">
      <w:pPr>
        <w:spacing w:before="0" w:after="0"/>
        <w:rPr>
          <w:rFonts w:ascii="Arial" w:hAnsi="Arial" w:cs="Arial"/>
        </w:rPr>
      </w:pPr>
    </w:p>
    <w:p w14:paraId="6789B13A" w14:textId="77777777" w:rsidR="00B11018" w:rsidRPr="00931D46" w:rsidRDefault="00B11018" w:rsidP="0023353F">
      <w:pPr>
        <w:spacing w:before="0" w:after="0"/>
        <w:rPr>
          <w:rFonts w:ascii="Arial" w:hAnsi="Arial" w:cs="Arial"/>
        </w:rPr>
      </w:pPr>
      <w:r w:rsidRPr="00931D46">
        <w:rPr>
          <w:rFonts w:ascii="Arial" w:hAnsi="Arial" w:cs="Arial"/>
        </w:rPr>
        <w:t>Partiendo de lo anterior, la ANACOM identificó que los usuarios gradualmente migraban desde los enlaces dedicados tradicionales hacia los enlaces basados en Ethernet, debido a que estos últimos presentan ventajas adicionales en términos de mayor eficiencia y menores costos, siendo dicha migración asimétrica, pues los usuarios de enlaces dedicados basados en Ethernet no migraban hacia los enlaces tradicionales. En consecuencia, la ANACOM incluyó a ambos tipos de enlace en el mismo MR.</w:t>
      </w:r>
    </w:p>
    <w:p w14:paraId="2860F8CE" w14:textId="77777777" w:rsidR="00B11018" w:rsidRPr="00931D46" w:rsidRDefault="00B11018" w:rsidP="0023353F">
      <w:pPr>
        <w:spacing w:before="0" w:after="0"/>
        <w:rPr>
          <w:rFonts w:ascii="Arial" w:hAnsi="Arial" w:cs="Arial"/>
        </w:rPr>
      </w:pPr>
    </w:p>
    <w:p w14:paraId="2B35BE8B" w14:textId="2919DA12" w:rsidR="00B11018" w:rsidRPr="00931D46" w:rsidRDefault="00B11018" w:rsidP="0023353F">
      <w:pPr>
        <w:spacing w:before="0" w:after="0"/>
        <w:rPr>
          <w:rFonts w:ascii="Arial" w:hAnsi="Arial" w:cs="Arial"/>
        </w:rPr>
      </w:pPr>
      <w:r w:rsidRPr="00931D46">
        <w:rPr>
          <w:rFonts w:ascii="Arial" w:hAnsi="Arial" w:cs="Arial"/>
        </w:rPr>
        <w:t>En la concentración entre ZON y Optimus,</w:t>
      </w:r>
      <w:r w:rsidR="00DD3F62" w:rsidRPr="00931D46">
        <w:rPr>
          <w:rFonts w:ascii="Arial" w:eastAsia="Times New Roman" w:hAnsi="Arial" w:cs="Arial"/>
          <w:vertAlign w:val="superscript"/>
          <w:lang w:eastAsia="es-MX"/>
        </w:rPr>
        <w:footnoteReference w:id="239"/>
      </w:r>
      <w:r w:rsidRPr="00931D46">
        <w:rPr>
          <w:rFonts w:ascii="Arial" w:hAnsi="Arial" w:cs="Arial"/>
        </w:rPr>
        <w:t xml:space="preserve"> se analizaron, entre otros, el </w:t>
      </w:r>
      <w:r w:rsidR="00970DAF" w:rsidRPr="00931D46">
        <w:rPr>
          <w:rFonts w:ascii="Arial" w:hAnsi="Arial" w:cs="Arial"/>
        </w:rPr>
        <w:t>SBAF</w:t>
      </w:r>
      <w:r w:rsidRPr="00931D46">
        <w:rPr>
          <w:rFonts w:ascii="Arial" w:hAnsi="Arial" w:cs="Arial"/>
        </w:rPr>
        <w:t xml:space="preserve">, el STAR y ofertas </w:t>
      </w:r>
      <w:r w:rsidRPr="00931D46">
        <w:rPr>
          <w:rFonts w:ascii="Arial" w:hAnsi="Arial" w:cs="Arial"/>
          <w:i/>
        </w:rPr>
        <w:t>triple play</w:t>
      </w:r>
      <w:r w:rsidRPr="00931D46">
        <w:rPr>
          <w:rFonts w:ascii="Arial" w:hAnsi="Arial" w:cs="Arial"/>
        </w:rPr>
        <w:t xml:space="preserve"> (</w:t>
      </w:r>
      <w:r w:rsidR="00970DAF" w:rsidRPr="00931D46">
        <w:rPr>
          <w:rFonts w:ascii="Arial" w:hAnsi="Arial" w:cs="Arial"/>
        </w:rPr>
        <w:t>SBAF</w:t>
      </w:r>
      <w:r w:rsidRPr="00931D46">
        <w:rPr>
          <w:rFonts w:ascii="Arial" w:hAnsi="Arial" w:cs="Arial"/>
        </w:rPr>
        <w:t xml:space="preserve">, </w:t>
      </w:r>
      <w:r w:rsidR="00970DAF" w:rsidRPr="00931D46">
        <w:rPr>
          <w:rFonts w:ascii="Arial" w:hAnsi="Arial" w:cs="Arial"/>
        </w:rPr>
        <w:t>STF</w:t>
      </w:r>
      <w:r w:rsidRPr="00931D46">
        <w:rPr>
          <w:rFonts w:ascii="Arial" w:hAnsi="Arial" w:cs="Arial"/>
        </w:rPr>
        <w:t xml:space="preserve"> </w:t>
      </w:r>
      <w:r w:rsidR="006C2A03" w:rsidRPr="00931D46">
        <w:rPr>
          <w:rFonts w:ascii="Arial" w:hAnsi="Arial" w:cs="Arial"/>
        </w:rPr>
        <w:t xml:space="preserve">+ </w:t>
      </w:r>
      <w:r w:rsidRPr="00931D46">
        <w:rPr>
          <w:rFonts w:ascii="Arial" w:hAnsi="Arial" w:cs="Arial"/>
        </w:rPr>
        <w:t xml:space="preserve">STAR). Al determinar la dimensión </w:t>
      </w:r>
      <w:r w:rsidR="00330363">
        <w:rPr>
          <w:rFonts w:ascii="Arial" w:hAnsi="Arial" w:cs="Arial"/>
        </w:rPr>
        <w:t>producto</w:t>
      </w:r>
      <w:r w:rsidRPr="00931D46">
        <w:rPr>
          <w:rFonts w:ascii="Arial" w:hAnsi="Arial" w:cs="Arial"/>
        </w:rPr>
        <w:t xml:space="preserve"> del </w:t>
      </w:r>
      <w:r w:rsidR="00970DAF" w:rsidRPr="00931D46">
        <w:rPr>
          <w:rFonts w:ascii="Arial" w:hAnsi="Arial" w:cs="Arial"/>
        </w:rPr>
        <w:t>SBAF</w:t>
      </w:r>
      <w:r w:rsidRPr="00931D46">
        <w:rPr>
          <w:rFonts w:ascii="Arial" w:hAnsi="Arial" w:cs="Arial"/>
        </w:rPr>
        <w:t xml:space="preserve">, la autoridad señaló que </w:t>
      </w:r>
      <w:r w:rsidRPr="00931D46">
        <w:rPr>
          <w:rFonts w:ascii="Arial" w:hAnsi="Arial" w:cs="Arial"/>
          <w:color w:val="000000" w:themeColor="text1"/>
        </w:rPr>
        <w:t xml:space="preserve">los usuarios finales consideran que los paquetes que incluyen ese servicio pueden sustituir al servicio individual, pero no al revés. Asimismo, al realizar la </w:t>
      </w:r>
      <w:r w:rsidR="00F532B2" w:rsidRPr="00931D46">
        <w:rPr>
          <w:rFonts w:ascii="Arial" w:hAnsi="Arial" w:cs="Arial"/>
          <w:color w:val="000000" w:themeColor="text1"/>
        </w:rPr>
        <w:t>P</w:t>
      </w:r>
      <w:r w:rsidRPr="00931D46">
        <w:rPr>
          <w:rFonts w:ascii="Arial" w:hAnsi="Arial" w:cs="Arial"/>
          <w:color w:val="000000" w:themeColor="text1"/>
        </w:rPr>
        <w:t xml:space="preserve">rueba SSNIP considerando el </w:t>
      </w:r>
      <w:r w:rsidRPr="00931D46">
        <w:rPr>
          <w:rFonts w:ascii="Arial" w:hAnsi="Arial" w:cs="Arial"/>
          <w:i/>
          <w:color w:val="000000" w:themeColor="text1"/>
        </w:rPr>
        <w:t>triple play</w:t>
      </w:r>
      <w:r w:rsidRPr="00931D46">
        <w:rPr>
          <w:rFonts w:ascii="Arial" w:hAnsi="Arial" w:cs="Arial"/>
          <w:color w:val="000000" w:themeColor="text1"/>
        </w:rPr>
        <w:t xml:space="preserve"> como servicio focal, se concluyó que constituye un MR en sí mismo, debido a que a un monopolista hipotético de ofertas </w:t>
      </w:r>
      <w:r w:rsidRPr="00931D46">
        <w:rPr>
          <w:rFonts w:ascii="Arial" w:hAnsi="Arial" w:cs="Arial"/>
          <w:i/>
          <w:color w:val="000000" w:themeColor="text1"/>
        </w:rPr>
        <w:t>triple play</w:t>
      </w:r>
      <w:r w:rsidRPr="00931D46">
        <w:rPr>
          <w:rFonts w:ascii="Arial" w:hAnsi="Arial" w:cs="Arial"/>
          <w:color w:val="000000" w:themeColor="text1"/>
        </w:rPr>
        <w:t xml:space="preserve"> le sería rentable realizar un aumento en el precio de entre 5% y 10%.</w:t>
      </w:r>
      <w:r w:rsidRPr="00931D46">
        <w:rPr>
          <w:rStyle w:val="Refdenotaalpie"/>
          <w:rFonts w:ascii="Arial" w:hAnsi="Arial" w:cs="Arial"/>
          <w:color w:val="000000" w:themeColor="text1"/>
        </w:rPr>
        <w:footnoteReference w:id="240"/>
      </w:r>
      <w:r w:rsidRPr="00931D46">
        <w:rPr>
          <w:rFonts w:ascii="Arial" w:hAnsi="Arial" w:cs="Arial"/>
          <w:color w:val="000000" w:themeColor="text1"/>
        </w:rPr>
        <w:t xml:space="preserve"> Es decir, </w:t>
      </w:r>
      <w:r w:rsidR="00CD69FB">
        <w:rPr>
          <w:rFonts w:ascii="Arial" w:hAnsi="Arial" w:cs="Arial"/>
          <w:color w:val="000000" w:themeColor="text1"/>
        </w:rPr>
        <w:t xml:space="preserve">se identificó la existencia de </w:t>
      </w:r>
      <w:r w:rsidRPr="00931D46">
        <w:rPr>
          <w:rFonts w:ascii="Arial" w:hAnsi="Arial" w:cs="Arial"/>
          <w:color w:val="000000" w:themeColor="text1"/>
        </w:rPr>
        <w:t>sustitución asimétrica.</w:t>
      </w:r>
    </w:p>
    <w:p w14:paraId="47DBADD1" w14:textId="77777777" w:rsidR="00B11018" w:rsidRPr="00931D46" w:rsidRDefault="00B11018" w:rsidP="0023353F">
      <w:pPr>
        <w:spacing w:before="0" w:after="0"/>
        <w:rPr>
          <w:rFonts w:ascii="Arial" w:hAnsi="Arial" w:cs="Arial"/>
        </w:rPr>
      </w:pPr>
    </w:p>
    <w:p w14:paraId="51A8042A" w14:textId="3A08CA71" w:rsidR="00B11018" w:rsidRPr="00931D46" w:rsidRDefault="00B11018" w:rsidP="0023353F">
      <w:pPr>
        <w:spacing w:before="0" w:after="0"/>
        <w:rPr>
          <w:rFonts w:ascii="Arial" w:hAnsi="Arial" w:cs="Arial"/>
          <w:color w:val="000000" w:themeColor="text1"/>
        </w:rPr>
      </w:pPr>
      <w:r w:rsidRPr="00931D46">
        <w:rPr>
          <w:rFonts w:ascii="Arial" w:hAnsi="Arial" w:cs="Arial"/>
        </w:rPr>
        <w:t xml:space="preserve">La autoridad de competencia señaló que </w:t>
      </w:r>
      <w:r w:rsidRPr="00931D46">
        <w:rPr>
          <w:rFonts w:ascii="Arial" w:hAnsi="Arial" w:cs="Arial"/>
          <w:color w:val="000000" w:themeColor="text1"/>
        </w:rPr>
        <w:t xml:space="preserve">una forma de incorporar dicho efecto de sustitución asimétrica en el análisis de competencia era definir dos MR: i) uno para el servicio individual, que incluía el servicio individual y los paquetes que contienen el servicio individual, es decir, todas las formas de comercialización del servicio, y ii) uno que incluye sólo el servicio </w:t>
      </w:r>
      <w:r w:rsidRPr="00931D46">
        <w:rPr>
          <w:rFonts w:ascii="Arial" w:hAnsi="Arial" w:cs="Arial"/>
          <w:i/>
          <w:color w:val="000000" w:themeColor="text1"/>
        </w:rPr>
        <w:t>triple play,</w:t>
      </w:r>
      <w:r w:rsidRPr="00931D46">
        <w:rPr>
          <w:rFonts w:ascii="Arial" w:hAnsi="Arial" w:cs="Arial"/>
          <w:color w:val="000000" w:themeColor="text1"/>
        </w:rPr>
        <w:t xml:space="preserve"> debido a que no tenía sustitutos y una alta proporción de usuarios contrataban esa modalidad</w:t>
      </w:r>
      <w:r w:rsidR="000276AF" w:rsidRPr="00931D46">
        <w:rPr>
          <w:rFonts w:ascii="Arial" w:hAnsi="Arial" w:cs="Arial"/>
          <w:color w:val="000000" w:themeColor="text1"/>
        </w:rPr>
        <w:t xml:space="preserve"> (</w:t>
      </w:r>
      <w:r w:rsidR="00F90FE7" w:rsidRPr="00931D46">
        <w:rPr>
          <w:rFonts w:ascii="Arial" w:hAnsi="Arial" w:cs="Arial"/>
        </w:rPr>
        <w:t>a</w:t>
      </w:r>
      <w:r w:rsidR="000276AF" w:rsidRPr="00931D46">
        <w:rPr>
          <w:rFonts w:ascii="Arial" w:hAnsi="Arial" w:cs="Arial"/>
        </w:rPr>
        <w:t xml:space="preserve"> finales de 2012, 74,6% de los clientes del SBAF contrataban este servicio en paquete </w:t>
      </w:r>
      <w:r w:rsidR="000276AF" w:rsidRPr="00931D46">
        <w:rPr>
          <w:rFonts w:ascii="Arial" w:hAnsi="Arial" w:cs="Arial"/>
          <w:i/>
        </w:rPr>
        <w:t>triple play</w:t>
      </w:r>
      <w:r w:rsidR="000276AF" w:rsidRPr="00931D46">
        <w:rPr>
          <w:rFonts w:ascii="Arial" w:hAnsi="Arial" w:cs="Arial"/>
          <w:color w:val="000000" w:themeColor="text1"/>
        </w:rPr>
        <w:t>)</w:t>
      </w:r>
      <w:r w:rsidRPr="00931D46">
        <w:rPr>
          <w:rFonts w:ascii="Arial" w:hAnsi="Arial" w:cs="Arial"/>
          <w:color w:val="000000" w:themeColor="text1"/>
        </w:rPr>
        <w:t>.</w:t>
      </w:r>
    </w:p>
    <w:p w14:paraId="35B4A5E9" w14:textId="77777777" w:rsidR="00B11018" w:rsidRPr="00931D46" w:rsidRDefault="00B11018" w:rsidP="0023353F">
      <w:pPr>
        <w:spacing w:before="0" w:after="0"/>
        <w:rPr>
          <w:rFonts w:ascii="Arial" w:hAnsi="Arial" w:cs="Arial"/>
          <w:color w:val="000000" w:themeColor="text1"/>
        </w:rPr>
      </w:pPr>
    </w:p>
    <w:p w14:paraId="6E4DAFA3" w14:textId="77777777" w:rsidR="00B11018" w:rsidRPr="00931D46" w:rsidRDefault="00B11018"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Reino Unido</w:t>
      </w:r>
    </w:p>
    <w:p w14:paraId="3557F1CF" w14:textId="77777777" w:rsidR="00B11018" w:rsidRPr="00931D46" w:rsidRDefault="00B11018" w:rsidP="0023353F">
      <w:pPr>
        <w:keepNext/>
        <w:spacing w:before="0" w:after="0"/>
        <w:rPr>
          <w:rFonts w:ascii="Arial" w:hAnsi="Arial" w:cs="Arial"/>
        </w:rPr>
      </w:pPr>
    </w:p>
    <w:p w14:paraId="09E453C4" w14:textId="77777777" w:rsidR="00B11018" w:rsidRPr="00931D46" w:rsidRDefault="00AE1E43" w:rsidP="0023353F">
      <w:pPr>
        <w:spacing w:before="0" w:after="0"/>
        <w:rPr>
          <w:rFonts w:ascii="Arial" w:hAnsi="Arial" w:cs="Arial"/>
        </w:rPr>
      </w:pPr>
      <w:r w:rsidRPr="00931D46">
        <w:rPr>
          <w:rFonts w:ascii="Arial" w:hAnsi="Arial" w:cs="Arial"/>
        </w:rPr>
        <w:t xml:space="preserve">En </w:t>
      </w:r>
      <w:r w:rsidR="006428D7" w:rsidRPr="00931D46">
        <w:rPr>
          <w:rFonts w:ascii="Arial" w:hAnsi="Arial" w:cs="Arial"/>
        </w:rPr>
        <w:t>un</w:t>
      </w:r>
      <w:r w:rsidRPr="00931D46">
        <w:rPr>
          <w:rFonts w:ascii="Arial" w:hAnsi="Arial" w:cs="Arial"/>
        </w:rPr>
        <w:t xml:space="preserve"> estudio </w:t>
      </w:r>
      <w:r w:rsidR="006428D7" w:rsidRPr="00931D46">
        <w:rPr>
          <w:rFonts w:ascii="Arial" w:hAnsi="Arial" w:cs="Arial"/>
        </w:rPr>
        <w:t xml:space="preserve">sobre provisión del </w:t>
      </w:r>
      <w:r w:rsidRPr="00931D46">
        <w:rPr>
          <w:rFonts w:ascii="Arial" w:hAnsi="Arial" w:cs="Arial"/>
        </w:rPr>
        <w:t xml:space="preserve">SBAF, </w:t>
      </w:r>
      <w:r w:rsidR="00B11018" w:rsidRPr="00931D46">
        <w:rPr>
          <w:rFonts w:ascii="Arial" w:hAnsi="Arial" w:cs="Arial"/>
        </w:rPr>
        <w:t>Ofcom identificó un fenómeno de sustitución asimétrica entre el SBAF estándar (con velocidades máximas de descarga menores a los 30 Mb</w:t>
      </w:r>
      <w:r w:rsidR="006428D7" w:rsidRPr="00931D46">
        <w:rPr>
          <w:rFonts w:ascii="Arial" w:hAnsi="Arial" w:cs="Arial"/>
        </w:rPr>
        <w:t>p</w:t>
      </w:r>
      <w:r w:rsidR="00B11018" w:rsidRPr="00931D46">
        <w:rPr>
          <w:rFonts w:ascii="Arial" w:hAnsi="Arial" w:cs="Arial"/>
        </w:rPr>
        <w:t xml:space="preserve">s) y el SBAF súper rápido (con velocidades de descarga entre 30 </w:t>
      </w:r>
      <w:r w:rsidR="006428D7" w:rsidRPr="00931D46">
        <w:rPr>
          <w:rFonts w:ascii="Arial" w:hAnsi="Arial" w:cs="Arial"/>
        </w:rPr>
        <w:t xml:space="preserve">y 300 </w:t>
      </w:r>
      <w:r w:rsidR="00B11018" w:rsidRPr="00931D46">
        <w:rPr>
          <w:rFonts w:ascii="Arial" w:hAnsi="Arial" w:cs="Arial"/>
        </w:rPr>
        <w:t>Mb</w:t>
      </w:r>
      <w:r w:rsidR="006428D7" w:rsidRPr="00931D46">
        <w:rPr>
          <w:rFonts w:ascii="Arial" w:hAnsi="Arial" w:cs="Arial"/>
        </w:rPr>
        <w:t>ps</w:t>
      </w:r>
      <w:r w:rsidR="00B11018" w:rsidRPr="00931D46">
        <w:rPr>
          <w:rFonts w:ascii="Arial" w:hAnsi="Arial" w:cs="Arial"/>
        </w:rPr>
        <w:t>), donde el desplazamiento de los usuarios de la banda ancha estándar hacia la banda ancha súper rápida es de dos a tres veces superior que en la dirección contraria.</w:t>
      </w:r>
      <w:r w:rsidR="00B11018" w:rsidRPr="00931D46">
        <w:rPr>
          <w:rStyle w:val="Refdenotaalpie"/>
          <w:rFonts w:ascii="Arial" w:hAnsi="Arial" w:cs="Arial"/>
        </w:rPr>
        <w:footnoteReference w:id="241"/>
      </w:r>
      <w:r w:rsidR="00B11018" w:rsidRPr="00931D46">
        <w:rPr>
          <w:rFonts w:ascii="Arial" w:hAnsi="Arial" w:cs="Arial"/>
        </w:rPr>
        <w:t xml:space="preserve"> </w:t>
      </w:r>
    </w:p>
    <w:p w14:paraId="176E3736" w14:textId="77777777" w:rsidR="00B11018" w:rsidRPr="00931D46" w:rsidRDefault="00B11018" w:rsidP="0023353F">
      <w:pPr>
        <w:spacing w:before="0" w:after="0"/>
        <w:rPr>
          <w:rFonts w:ascii="Arial" w:hAnsi="Arial" w:cs="Arial"/>
        </w:rPr>
      </w:pPr>
    </w:p>
    <w:p w14:paraId="7A48BE26" w14:textId="77777777" w:rsidR="00B11018" w:rsidRPr="00931D46" w:rsidRDefault="00B11018" w:rsidP="0023353F">
      <w:pPr>
        <w:spacing w:before="0" w:after="0"/>
        <w:rPr>
          <w:rFonts w:ascii="Arial" w:hAnsi="Arial" w:cs="Arial"/>
        </w:rPr>
      </w:pPr>
      <w:r w:rsidRPr="00931D46">
        <w:rPr>
          <w:rFonts w:ascii="Arial" w:hAnsi="Arial" w:cs="Arial"/>
        </w:rPr>
        <w:t xml:space="preserve">Ofcom consideró que el </w:t>
      </w:r>
      <w:r w:rsidR="00976BAB" w:rsidRPr="00931D46">
        <w:rPr>
          <w:rFonts w:ascii="Arial" w:hAnsi="Arial" w:cs="Arial"/>
        </w:rPr>
        <w:t>servicio</w:t>
      </w:r>
      <w:r w:rsidRPr="00931D46">
        <w:rPr>
          <w:rFonts w:ascii="Arial" w:hAnsi="Arial" w:cs="Arial"/>
        </w:rPr>
        <w:t xml:space="preserve"> focal era el SBAF estándar en virtud de manifestaciones de proveedores del servicio y de utilizar una definición de MR más estrecha. Con base en ello, se concluyó que ambos servicios podían englobarse en un mismo MR. </w:t>
      </w:r>
    </w:p>
    <w:p w14:paraId="53B3A619" w14:textId="77777777" w:rsidR="00B11018" w:rsidRPr="00931D46" w:rsidRDefault="00B11018" w:rsidP="0023353F">
      <w:pPr>
        <w:spacing w:before="0" w:after="0"/>
        <w:rPr>
          <w:rFonts w:ascii="Arial" w:hAnsi="Arial" w:cs="Arial"/>
        </w:rPr>
      </w:pPr>
    </w:p>
    <w:p w14:paraId="6BD3E668" w14:textId="4CCB169E" w:rsidR="00A70D7D" w:rsidRPr="00931D46" w:rsidRDefault="00A70D7D" w:rsidP="0023353F">
      <w:pPr>
        <w:pStyle w:val="Ttulo2"/>
        <w:keepLines w:val="0"/>
        <w:numPr>
          <w:ilvl w:val="1"/>
          <w:numId w:val="3"/>
        </w:numPr>
        <w:spacing w:before="0" w:after="0"/>
        <w:rPr>
          <w:rFonts w:ascii="Arial" w:eastAsia="Times New Roman" w:hAnsi="Arial" w:cs="Arial"/>
          <w:sz w:val="26"/>
          <w:lang w:eastAsia="es-MX"/>
        </w:rPr>
      </w:pPr>
      <w:bookmarkStart w:id="278" w:name="_Toc41649783"/>
      <w:bookmarkStart w:id="279" w:name="_Toc41649916"/>
      <w:bookmarkStart w:id="280" w:name="_Toc45216589"/>
      <w:bookmarkStart w:id="281" w:name="_Toc45628370"/>
      <w:bookmarkStart w:id="282" w:name="_Toc74306787"/>
      <w:bookmarkStart w:id="283" w:name="_Toc74323842"/>
      <w:r w:rsidRPr="00931D46">
        <w:rPr>
          <w:rFonts w:ascii="Arial" w:eastAsia="Times New Roman" w:hAnsi="Arial" w:cs="Arial"/>
          <w:sz w:val="26"/>
          <w:lang w:eastAsia="es-MX"/>
        </w:rPr>
        <w:t xml:space="preserve">Diferenciación de </w:t>
      </w:r>
      <w:bookmarkEnd w:id="278"/>
      <w:bookmarkEnd w:id="279"/>
      <w:bookmarkEnd w:id="280"/>
      <w:bookmarkEnd w:id="281"/>
      <w:r w:rsidR="00330363">
        <w:rPr>
          <w:rFonts w:ascii="Arial" w:eastAsia="Times New Roman" w:hAnsi="Arial" w:cs="Arial"/>
          <w:sz w:val="26"/>
          <w:lang w:eastAsia="es-MX"/>
        </w:rPr>
        <w:t>productos</w:t>
      </w:r>
      <w:bookmarkEnd w:id="282"/>
      <w:bookmarkEnd w:id="283"/>
      <w:r w:rsidRPr="00931D46">
        <w:rPr>
          <w:rFonts w:ascii="Arial" w:eastAsia="Times New Roman" w:hAnsi="Arial" w:cs="Arial"/>
          <w:sz w:val="26"/>
          <w:lang w:eastAsia="es-MX"/>
        </w:rPr>
        <w:t xml:space="preserve"> </w:t>
      </w:r>
    </w:p>
    <w:p w14:paraId="3B3B1453" w14:textId="77777777" w:rsidR="001572EF" w:rsidRPr="00931D46" w:rsidRDefault="001572EF" w:rsidP="0023353F">
      <w:pPr>
        <w:keepNext/>
        <w:spacing w:before="0" w:after="0"/>
        <w:rPr>
          <w:rFonts w:ascii="Arial" w:eastAsiaTheme="majorEastAsia" w:hAnsi="Arial" w:cs="Arial"/>
        </w:rPr>
      </w:pPr>
      <w:bookmarkStart w:id="284" w:name="_Toc41649794"/>
      <w:bookmarkStart w:id="285" w:name="_Toc41649921"/>
    </w:p>
    <w:p w14:paraId="3E622654" w14:textId="77777777" w:rsidR="00762536" w:rsidRPr="00931D46" w:rsidRDefault="00762536" w:rsidP="0023353F">
      <w:pPr>
        <w:keepNext/>
        <w:spacing w:before="0" w:after="0"/>
        <w:rPr>
          <w:rFonts w:ascii="Arial" w:eastAsiaTheme="majorEastAsia" w:hAnsi="Arial" w:cs="Arial"/>
        </w:rPr>
      </w:pPr>
    </w:p>
    <w:p w14:paraId="566528ED" w14:textId="66977154" w:rsidR="001572EF" w:rsidRPr="00931D46" w:rsidRDefault="004A488E" w:rsidP="0023353F">
      <w:pPr>
        <w:spacing w:before="0" w:after="0"/>
        <w:rPr>
          <w:rFonts w:ascii="Arial" w:hAnsi="Arial" w:cs="Arial"/>
        </w:rPr>
      </w:pPr>
      <w:r w:rsidRPr="00931D46">
        <w:rPr>
          <w:rFonts w:ascii="Arial" w:hAnsi="Arial" w:cs="Arial"/>
        </w:rPr>
        <w:t>L</w:t>
      </w:r>
      <w:r w:rsidR="001572EF" w:rsidRPr="00931D46">
        <w:rPr>
          <w:rFonts w:ascii="Arial" w:hAnsi="Arial" w:cs="Arial"/>
        </w:rPr>
        <w:t>a literatura y la práctica en materia de competencia económica</w:t>
      </w:r>
      <w:r w:rsidRPr="00931D46">
        <w:rPr>
          <w:rFonts w:ascii="Arial" w:hAnsi="Arial" w:cs="Arial"/>
        </w:rPr>
        <w:t xml:space="preserve"> señala</w:t>
      </w:r>
      <w:r w:rsidR="008D6E09">
        <w:rPr>
          <w:rFonts w:ascii="Arial" w:hAnsi="Arial" w:cs="Arial"/>
        </w:rPr>
        <w:t>n</w:t>
      </w:r>
      <w:r w:rsidRPr="00931D46">
        <w:rPr>
          <w:rFonts w:ascii="Arial" w:hAnsi="Arial" w:cs="Arial"/>
        </w:rPr>
        <w:t xml:space="preserve"> que </w:t>
      </w:r>
      <w:r w:rsidR="001572EF" w:rsidRPr="00931D46">
        <w:rPr>
          <w:rFonts w:ascii="Arial" w:hAnsi="Arial" w:cs="Arial"/>
          <w:i/>
        </w:rPr>
        <w:t xml:space="preserve">“los productos destinados a usos similares, pero con características bastante diferentes se denominan </w:t>
      </w:r>
      <w:r w:rsidR="001572EF" w:rsidRPr="00931D46">
        <w:rPr>
          <w:rFonts w:ascii="Arial" w:hAnsi="Arial" w:cs="Arial"/>
          <w:b/>
          <w:i/>
        </w:rPr>
        <w:t>productos diferenciados</w:t>
      </w:r>
      <w:r w:rsidR="00581150" w:rsidRPr="00931D46">
        <w:rPr>
          <w:rFonts w:ascii="Arial" w:hAnsi="Arial" w:cs="Arial"/>
          <w:i/>
        </w:rPr>
        <w:t xml:space="preserve"> […]</w:t>
      </w:r>
      <w:r w:rsidR="001572EF" w:rsidRPr="00931D46">
        <w:rPr>
          <w:rFonts w:ascii="Arial" w:hAnsi="Arial" w:cs="Arial"/>
          <w:i/>
        </w:rPr>
        <w:t xml:space="preserve"> Los mercados diferenciados generalmente se caracterizan por un continuo de sustitución y una intensidad variable de la interacción competitiva entre los productos en cuestión”.</w:t>
      </w:r>
      <w:r w:rsidR="001572EF" w:rsidRPr="00931D46">
        <w:rPr>
          <w:rFonts w:ascii="Arial" w:hAnsi="Arial" w:cs="Arial"/>
          <w:vertAlign w:val="superscript"/>
        </w:rPr>
        <w:footnoteReference w:id="242"/>
      </w:r>
      <w:r w:rsidR="001572EF" w:rsidRPr="00931D46">
        <w:rPr>
          <w:rFonts w:ascii="Arial" w:hAnsi="Arial" w:cs="Arial"/>
        </w:rPr>
        <w:t xml:space="preserve"> La diferenciación de </w:t>
      </w:r>
      <w:r w:rsidR="00330363">
        <w:rPr>
          <w:rFonts w:ascii="Arial" w:hAnsi="Arial" w:cs="Arial"/>
        </w:rPr>
        <w:t>productos</w:t>
      </w:r>
      <w:r w:rsidR="001572EF" w:rsidRPr="00931D46">
        <w:rPr>
          <w:rFonts w:ascii="Arial" w:hAnsi="Arial" w:cs="Arial"/>
        </w:rPr>
        <w:t xml:space="preserve"> puede ser horizontal o vertical:</w:t>
      </w:r>
      <w:r w:rsidR="001572EF" w:rsidRPr="00931D46">
        <w:rPr>
          <w:rStyle w:val="Refdenotaalpie"/>
          <w:rFonts w:ascii="Arial" w:hAnsi="Arial" w:cs="Arial"/>
        </w:rPr>
        <w:footnoteReference w:id="243"/>
      </w:r>
      <w:r w:rsidR="001572EF" w:rsidRPr="00931D46">
        <w:rPr>
          <w:rFonts w:ascii="Arial" w:hAnsi="Arial" w:cs="Arial"/>
        </w:rPr>
        <w:t xml:space="preserve"> </w:t>
      </w:r>
    </w:p>
    <w:p w14:paraId="01DFDFB9" w14:textId="77777777" w:rsidR="0023353F" w:rsidRPr="00931D46" w:rsidRDefault="0023353F" w:rsidP="0023353F">
      <w:pPr>
        <w:spacing w:before="0" w:after="0"/>
        <w:rPr>
          <w:rFonts w:ascii="Arial" w:hAnsi="Arial" w:cs="Arial"/>
        </w:rPr>
      </w:pPr>
    </w:p>
    <w:p w14:paraId="04966499" w14:textId="32BD08A4" w:rsidR="001572EF" w:rsidRPr="00931D46" w:rsidRDefault="001572EF" w:rsidP="0023353F">
      <w:pPr>
        <w:pStyle w:val="Prrafodelista"/>
        <w:numPr>
          <w:ilvl w:val="0"/>
          <w:numId w:val="4"/>
        </w:numPr>
        <w:spacing w:before="0" w:after="0"/>
        <w:ind w:left="714" w:hanging="572"/>
        <w:contextualSpacing w:val="0"/>
        <w:rPr>
          <w:rFonts w:ascii="Arial" w:eastAsiaTheme="majorEastAsia" w:hAnsi="Arial" w:cs="Arial"/>
        </w:rPr>
      </w:pPr>
      <w:r w:rsidRPr="00931D46">
        <w:rPr>
          <w:rFonts w:ascii="Arial" w:eastAsiaTheme="majorEastAsia" w:hAnsi="Arial" w:cs="Arial"/>
          <w:b/>
        </w:rPr>
        <w:t>Diferenciación vertical</w:t>
      </w:r>
      <w:r w:rsidRPr="00931D46">
        <w:rPr>
          <w:rFonts w:ascii="Arial" w:eastAsiaTheme="majorEastAsia" w:hAnsi="Arial" w:cs="Arial"/>
        </w:rPr>
        <w:t xml:space="preserve">. Se encuentra asociada a atributos de calidad, es decir, se presenta cuando el </w:t>
      </w:r>
      <w:r w:rsidR="00330363">
        <w:rPr>
          <w:rFonts w:ascii="Arial" w:eastAsiaTheme="majorEastAsia" w:hAnsi="Arial" w:cs="Arial"/>
        </w:rPr>
        <w:t>producto</w:t>
      </w:r>
      <w:r w:rsidRPr="00931D46">
        <w:rPr>
          <w:rFonts w:ascii="Arial" w:eastAsiaTheme="majorEastAsia" w:hAnsi="Arial" w:cs="Arial"/>
        </w:rPr>
        <w:t xml:space="preserve"> tiene atributos que lo hacen más valorado ante los consumidores en general. Esto significa que, si se enfrentan al mismo precio, todos los consumidores preferirán el </w:t>
      </w:r>
      <w:r w:rsidR="00330363">
        <w:rPr>
          <w:rFonts w:ascii="Arial" w:eastAsiaTheme="majorEastAsia" w:hAnsi="Arial" w:cs="Arial"/>
        </w:rPr>
        <w:t>producto</w:t>
      </w:r>
      <w:r w:rsidRPr="00931D46">
        <w:rPr>
          <w:rFonts w:ascii="Arial" w:eastAsiaTheme="majorEastAsia" w:hAnsi="Arial" w:cs="Arial"/>
        </w:rPr>
        <w:t xml:space="preserve"> de mayor calidad, mientras que el </w:t>
      </w:r>
      <w:r w:rsidR="00330363">
        <w:rPr>
          <w:rFonts w:ascii="Arial" w:eastAsiaTheme="majorEastAsia" w:hAnsi="Arial" w:cs="Arial"/>
        </w:rPr>
        <w:t>producto</w:t>
      </w:r>
      <w:r w:rsidRPr="00931D46">
        <w:rPr>
          <w:rFonts w:ascii="Arial" w:eastAsiaTheme="majorEastAsia" w:hAnsi="Arial" w:cs="Arial"/>
        </w:rPr>
        <w:t xml:space="preserve"> de menor calidad sólo sería adquirido si se ofrece a menor precio, aunque tenga las mismas funcionalidades.</w:t>
      </w:r>
    </w:p>
    <w:p w14:paraId="189DF164" w14:textId="6355141C" w:rsidR="001572EF" w:rsidRPr="00931D46" w:rsidRDefault="001572EF" w:rsidP="0023353F">
      <w:pPr>
        <w:pStyle w:val="Prrafodelista"/>
        <w:numPr>
          <w:ilvl w:val="0"/>
          <w:numId w:val="4"/>
        </w:numPr>
        <w:spacing w:before="0" w:after="0"/>
        <w:ind w:left="714" w:hanging="572"/>
        <w:contextualSpacing w:val="0"/>
        <w:rPr>
          <w:rFonts w:ascii="Arial" w:eastAsiaTheme="majorEastAsia" w:hAnsi="Arial" w:cs="Arial"/>
        </w:rPr>
      </w:pPr>
      <w:r w:rsidRPr="00931D46">
        <w:rPr>
          <w:rFonts w:ascii="Arial" w:eastAsiaTheme="majorEastAsia" w:hAnsi="Arial" w:cs="Arial"/>
          <w:b/>
        </w:rPr>
        <w:t>Diferenciación horizontal</w:t>
      </w:r>
      <w:r w:rsidRPr="00931D46">
        <w:rPr>
          <w:rFonts w:ascii="Arial" w:eastAsiaTheme="majorEastAsia" w:hAnsi="Arial" w:cs="Arial"/>
        </w:rPr>
        <w:t xml:space="preserve">. Se presenta cuando los </w:t>
      </w:r>
      <w:r w:rsidR="00330363">
        <w:rPr>
          <w:rFonts w:ascii="Arial" w:eastAsiaTheme="majorEastAsia" w:hAnsi="Arial" w:cs="Arial"/>
        </w:rPr>
        <w:t>productos</w:t>
      </w:r>
      <w:r w:rsidRPr="00931D46">
        <w:rPr>
          <w:rFonts w:ascii="Arial" w:eastAsiaTheme="majorEastAsia" w:hAnsi="Arial" w:cs="Arial"/>
        </w:rPr>
        <w:t xml:space="preserve"> exhiben diferencias en atributos (se diferencian en variedad) de forma que cada variante no es considerada de manera general como mejor o peor que otra, sino que responde a las preferencias particulares de los distintos consumidores. Esto implica que, en igualdad de precios, dos </w:t>
      </w:r>
      <w:r w:rsidR="00330363">
        <w:rPr>
          <w:rFonts w:ascii="Arial" w:eastAsiaTheme="majorEastAsia" w:hAnsi="Arial" w:cs="Arial"/>
        </w:rPr>
        <w:t>productos</w:t>
      </w:r>
      <w:r w:rsidRPr="00931D46">
        <w:rPr>
          <w:rFonts w:ascii="Arial" w:eastAsiaTheme="majorEastAsia" w:hAnsi="Arial" w:cs="Arial"/>
        </w:rPr>
        <w:t xml:space="preserve"> diferenciados horizontalmente serán adquiridos por distintos grupos de consumidores. </w:t>
      </w:r>
    </w:p>
    <w:p w14:paraId="7E424F73" w14:textId="77777777" w:rsidR="001572EF" w:rsidRPr="00931D46" w:rsidRDefault="001572EF" w:rsidP="0023353F">
      <w:pPr>
        <w:spacing w:before="0" w:after="0"/>
        <w:rPr>
          <w:rFonts w:ascii="Arial" w:hAnsi="Arial" w:cs="Arial"/>
        </w:rPr>
      </w:pPr>
    </w:p>
    <w:p w14:paraId="50EEE055" w14:textId="250B1DBF" w:rsidR="004A488E" w:rsidRPr="00931D46" w:rsidRDefault="004A488E" w:rsidP="0023353F">
      <w:pPr>
        <w:spacing w:before="0" w:after="0"/>
        <w:rPr>
          <w:rFonts w:ascii="Arial" w:hAnsi="Arial" w:cs="Arial"/>
        </w:rPr>
      </w:pPr>
      <w:r w:rsidRPr="00931D46">
        <w:rPr>
          <w:rFonts w:ascii="Arial" w:eastAsiaTheme="majorEastAsia" w:hAnsi="Arial" w:cs="Arial"/>
        </w:rPr>
        <w:t xml:space="preserve">En </w:t>
      </w:r>
      <w:r w:rsidRPr="00931D46">
        <w:rPr>
          <w:rFonts w:ascii="Arial" w:hAnsi="Arial" w:cs="Arial"/>
        </w:rPr>
        <w:t xml:space="preserve">los sectores de TyR, </w:t>
      </w:r>
      <w:r w:rsidRPr="00931D46">
        <w:rPr>
          <w:rFonts w:ascii="Arial" w:eastAsiaTheme="majorEastAsia" w:hAnsi="Arial" w:cs="Arial"/>
        </w:rPr>
        <w:t>muchos de</w:t>
      </w:r>
      <w:r w:rsidRPr="00931D46">
        <w:rPr>
          <w:rFonts w:ascii="Arial" w:hAnsi="Arial" w:cs="Arial"/>
        </w:rPr>
        <w:t xml:space="preserve"> los productos que se proveen son diferenciados, ya sea como resultado de las decisiones estratégicas de los proveedores </w:t>
      </w:r>
      <w:r w:rsidR="006B548E" w:rsidRPr="00931D46">
        <w:rPr>
          <w:rFonts w:ascii="Arial" w:hAnsi="Arial" w:cs="Arial"/>
        </w:rPr>
        <w:t xml:space="preserve">(por ejemplo, servicios de precio cero que se diferencian en calidad u otros elementos) </w:t>
      </w:r>
      <w:r w:rsidRPr="00931D46">
        <w:rPr>
          <w:rFonts w:ascii="Arial" w:hAnsi="Arial" w:cs="Arial"/>
        </w:rPr>
        <w:t>o de la continua innovación que caracteriza a los mercados en estos sectores,</w:t>
      </w:r>
      <w:r w:rsidRPr="00931D46">
        <w:rPr>
          <w:rFonts w:ascii="Arial" w:hAnsi="Arial" w:cs="Arial"/>
          <w:vertAlign w:val="superscript"/>
        </w:rPr>
        <w:footnoteReference w:id="244"/>
      </w:r>
      <w:r w:rsidRPr="00931D46">
        <w:rPr>
          <w:rFonts w:ascii="Arial" w:hAnsi="Arial" w:cs="Arial"/>
        </w:rPr>
        <w:t xml:space="preserve"> tales como la convergencia tecnológica, surgimiento de nuevas tecnologías, digitalización y constante surgimiento de nuevos modelos de negocio.</w:t>
      </w:r>
    </w:p>
    <w:p w14:paraId="7720EE2C" w14:textId="77777777" w:rsidR="004A488E" w:rsidRPr="00931D46" w:rsidRDefault="004A488E" w:rsidP="0023353F">
      <w:pPr>
        <w:spacing w:before="0" w:after="0"/>
        <w:rPr>
          <w:rFonts w:ascii="Arial" w:hAnsi="Arial" w:cs="Arial"/>
        </w:rPr>
      </w:pPr>
    </w:p>
    <w:p w14:paraId="455E1142" w14:textId="3A442FB1" w:rsidR="001572EF" w:rsidRPr="00931D46" w:rsidRDefault="004A488E" w:rsidP="0023353F">
      <w:pPr>
        <w:spacing w:before="0" w:after="0"/>
        <w:rPr>
          <w:rFonts w:ascii="Arial" w:hAnsi="Arial" w:cs="Arial"/>
        </w:rPr>
      </w:pPr>
      <w:r w:rsidRPr="00330363">
        <w:rPr>
          <w:rFonts w:ascii="Arial" w:eastAsiaTheme="majorEastAsia" w:hAnsi="Arial" w:cs="Arial"/>
        </w:rPr>
        <w:t xml:space="preserve">Para efectos de la delimitación del MR en presencia de </w:t>
      </w:r>
      <w:r w:rsidR="00330363" w:rsidRPr="00330363">
        <w:rPr>
          <w:rFonts w:ascii="Arial" w:eastAsiaTheme="majorEastAsia" w:hAnsi="Arial" w:cs="Arial"/>
        </w:rPr>
        <w:t>productos</w:t>
      </w:r>
      <w:r w:rsidRPr="00330363">
        <w:rPr>
          <w:rFonts w:ascii="Arial" w:eastAsiaTheme="majorEastAsia" w:hAnsi="Arial" w:cs="Arial"/>
        </w:rPr>
        <w:t xml:space="preserve"> diferenciados, la determinación precisa de los límites del MR puede representar un desafío, pues los </w:t>
      </w:r>
      <w:r w:rsidR="00330363" w:rsidRPr="00330363">
        <w:rPr>
          <w:rFonts w:ascii="Arial" w:eastAsiaTheme="majorEastAsia" w:hAnsi="Arial" w:cs="Arial"/>
        </w:rPr>
        <w:t>productos</w:t>
      </w:r>
      <w:r w:rsidRPr="00330363">
        <w:rPr>
          <w:rFonts w:ascii="Arial" w:eastAsiaTheme="majorEastAsia" w:hAnsi="Arial" w:cs="Arial"/>
        </w:rPr>
        <w:t xml:space="preserve">, </w:t>
      </w:r>
      <w:r w:rsidRPr="00330363">
        <w:rPr>
          <w:rFonts w:ascii="Arial" w:hAnsi="Arial" w:cs="Arial"/>
        </w:rPr>
        <w:t xml:space="preserve">sin ser sustitutos perfectos, pueden </w:t>
      </w:r>
      <w:r w:rsidR="00EC0DC0" w:rsidRPr="00330363">
        <w:rPr>
          <w:rFonts w:ascii="Arial" w:hAnsi="Arial" w:cs="Arial"/>
        </w:rPr>
        <w:t>pertenecer a</w:t>
      </w:r>
      <w:r w:rsidRPr="00330363">
        <w:rPr>
          <w:rFonts w:ascii="Arial" w:hAnsi="Arial" w:cs="Arial"/>
        </w:rPr>
        <w:t xml:space="preserve"> un mismo MR</w:t>
      </w:r>
      <w:r w:rsidR="004F2061" w:rsidRPr="00330363">
        <w:rPr>
          <w:rFonts w:ascii="Arial" w:hAnsi="Arial" w:cs="Arial"/>
        </w:rPr>
        <w:t>,</w:t>
      </w:r>
      <w:r w:rsidR="005045AA" w:rsidRPr="00330363">
        <w:rPr>
          <w:rFonts w:ascii="Arial" w:hAnsi="Arial" w:cs="Arial"/>
        </w:rPr>
        <w:t xml:space="preserve"> </w:t>
      </w:r>
      <w:r w:rsidR="00434089" w:rsidRPr="00330363">
        <w:rPr>
          <w:rFonts w:ascii="Arial" w:hAnsi="Arial" w:cs="Arial"/>
        </w:rPr>
        <w:t xml:space="preserve">principalmente </w:t>
      </w:r>
      <w:r w:rsidR="005045AA" w:rsidRPr="00330363">
        <w:rPr>
          <w:rFonts w:ascii="Arial" w:hAnsi="Arial" w:cs="Arial"/>
        </w:rPr>
        <w:t xml:space="preserve">si se comprueba la existencia de </w:t>
      </w:r>
      <w:r w:rsidR="00790555" w:rsidRPr="00330363">
        <w:rPr>
          <w:rFonts w:ascii="Arial" w:hAnsi="Arial" w:cs="Arial"/>
        </w:rPr>
        <w:t xml:space="preserve">cadenas de </w:t>
      </w:r>
      <w:r w:rsidR="00D65BB6" w:rsidRPr="00330363">
        <w:rPr>
          <w:rFonts w:ascii="Arial" w:hAnsi="Arial" w:cs="Arial"/>
        </w:rPr>
        <w:t>sustitución</w:t>
      </w:r>
      <w:r w:rsidRPr="00330363">
        <w:rPr>
          <w:rFonts w:ascii="Arial" w:hAnsi="Arial" w:cs="Arial"/>
        </w:rPr>
        <w:t>; y</w:t>
      </w:r>
      <w:r w:rsidR="00434089" w:rsidRPr="00330363">
        <w:rPr>
          <w:rFonts w:ascii="Arial" w:hAnsi="Arial" w:cs="Arial"/>
        </w:rPr>
        <w:t xml:space="preserve"> también puede haber situaciones en las que</w:t>
      </w:r>
      <w:r w:rsidR="00EC0DC0" w:rsidRPr="00330363">
        <w:rPr>
          <w:rFonts w:ascii="Arial" w:hAnsi="Arial" w:cs="Arial"/>
        </w:rPr>
        <w:t>,</w:t>
      </w:r>
      <w:r w:rsidR="00EC0DC0" w:rsidRPr="00330363">
        <w:rPr>
          <w:rFonts w:ascii="Arial" w:eastAsiaTheme="majorEastAsia" w:hAnsi="Arial" w:cs="Arial"/>
        </w:rPr>
        <w:t xml:space="preserve"> </w:t>
      </w:r>
      <w:r w:rsidR="00EC0DC0" w:rsidRPr="00330363">
        <w:rPr>
          <w:rFonts w:ascii="Arial" w:hAnsi="Arial" w:cs="Arial"/>
        </w:rPr>
        <w:t xml:space="preserve">aun cuando </w:t>
      </w:r>
      <w:r w:rsidR="00EC3F9A" w:rsidRPr="00330363">
        <w:rPr>
          <w:rFonts w:ascii="Arial" w:hAnsi="Arial" w:cs="Arial"/>
        </w:rPr>
        <w:t xml:space="preserve">los </w:t>
      </w:r>
      <w:r w:rsidR="00330363" w:rsidRPr="00330363">
        <w:rPr>
          <w:rFonts w:ascii="Arial" w:hAnsi="Arial" w:cs="Arial"/>
        </w:rPr>
        <w:t>productos</w:t>
      </w:r>
      <w:r w:rsidR="00EC3F9A" w:rsidRPr="00330363">
        <w:rPr>
          <w:rFonts w:ascii="Arial" w:hAnsi="Arial" w:cs="Arial"/>
        </w:rPr>
        <w:t xml:space="preserve"> </w:t>
      </w:r>
      <w:r w:rsidR="00EC0DC0" w:rsidRPr="00330363">
        <w:rPr>
          <w:rFonts w:ascii="Arial" w:hAnsi="Arial" w:cs="Arial"/>
        </w:rPr>
        <w:t>tengan usos semejantes o pudieran ser</w:t>
      </w:r>
      <w:r w:rsidR="00EC0DC0" w:rsidRPr="00931D46">
        <w:rPr>
          <w:rFonts w:ascii="Arial" w:hAnsi="Arial" w:cs="Arial"/>
        </w:rPr>
        <w:t xml:space="preserve"> provistos por el mismo AE, pueden no pertenecer al mismo MR. Ello dependerá de la presión competitiva que se </w:t>
      </w:r>
      <w:r w:rsidR="00CD69FB">
        <w:rPr>
          <w:rFonts w:ascii="Arial" w:hAnsi="Arial" w:cs="Arial"/>
        </w:rPr>
        <w:t>ejerzan</w:t>
      </w:r>
      <w:r w:rsidR="00CD69FB" w:rsidRPr="00931D46">
        <w:rPr>
          <w:rFonts w:ascii="Arial" w:hAnsi="Arial" w:cs="Arial"/>
        </w:rPr>
        <w:t xml:space="preserve"> </w:t>
      </w:r>
      <w:r w:rsidR="00EC0DC0" w:rsidRPr="00931D46">
        <w:rPr>
          <w:rFonts w:ascii="Arial" w:hAnsi="Arial" w:cs="Arial"/>
        </w:rPr>
        <w:t>entre sí.</w:t>
      </w:r>
    </w:p>
    <w:p w14:paraId="44C8F3CF" w14:textId="77777777" w:rsidR="001572EF" w:rsidRPr="00931D46" w:rsidRDefault="001572EF" w:rsidP="0023353F">
      <w:pPr>
        <w:spacing w:before="0" w:after="0"/>
        <w:rPr>
          <w:rFonts w:ascii="Arial" w:hAnsi="Arial" w:cs="Arial"/>
        </w:rPr>
      </w:pPr>
    </w:p>
    <w:p w14:paraId="6C3E1613" w14:textId="77777777" w:rsidR="001572EF" w:rsidRPr="00931D46" w:rsidRDefault="001572EF"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286" w:name="_Toc41643459"/>
      <w:bookmarkStart w:id="287" w:name="_Toc41643552"/>
      <w:bookmarkStart w:id="288" w:name="_Toc41643648"/>
      <w:bookmarkStart w:id="289" w:name="_Toc41649785"/>
      <w:bookmarkStart w:id="290" w:name="_Toc41649918"/>
      <w:bookmarkStart w:id="291" w:name="_Toc45628372"/>
      <w:r w:rsidRPr="00931D46">
        <w:rPr>
          <w:rFonts w:ascii="Arial" w:eastAsia="Times New Roman" w:hAnsi="Arial" w:cs="Arial"/>
          <w:b/>
          <w:color w:val="auto"/>
          <w:sz w:val="26"/>
          <w:szCs w:val="26"/>
          <w:lang w:eastAsia="es-MX"/>
        </w:rPr>
        <w:t>Precedentes decisorios del Instituto</w:t>
      </w:r>
      <w:bookmarkEnd w:id="286"/>
      <w:bookmarkEnd w:id="287"/>
      <w:bookmarkEnd w:id="288"/>
      <w:bookmarkEnd w:id="289"/>
      <w:bookmarkEnd w:id="290"/>
      <w:bookmarkEnd w:id="291"/>
    </w:p>
    <w:p w14:paraId="24E1DADA" w14:textId="77777777" w:rsidR="001572EF" w:rsidRPr="00931D46" w:rsidRDefault="001572EF" w:rsidP="0023353F">
      <w:pPr>
        <w:keepNext/>
        <w:spacing w:before="0" w:after="0"/>
        <w:rPr>
          <w:rFonts w:ascii="Arial" w:hAnsi="Arial" w:cs="Arial"/>
        </w:rPr>
      </w:pPr>
    </w:p>
    <w:p w14:paraId="21129B29" w14:textId="77777777" w:rsidR="001572EF" w:rsidRPr="00931D46" w:rsidRDefault="00B66E56"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92" w:name="_Toc41643460"/>
      <w:bookmarkStart w:id="293" w:name="_Toc41643553"/>
      <w:bookmarkStart w:id="294" w:name="_Toc41643649"/>
      <w:bookmarkStart w:id="295" w:name="_Toc41649786"/>
      <w:r w:rsidRPr="00931D46">
        <w:rPr>
          <w:rFonts w:ascii="Arial" w:eastAsia="Times New Roman" w:hAnsi="Arial" w:cs="Arial"/>
          <w:b/>
          <w:i w:val="0"/>
          <w:color w:val="auto"/>
          <w:lang w:eastAsia="es-MX"/>
        </w:rPr>
        <w:t>Disney</w:t>
      </w:r>
      <w:r w:rsidR="001572EF" w:rsidRPr="00931D46">
        <w:rPr>
          <w:rFonts w:ascii="Arial" w:eastAsia="Times New Roman" w:hAnsi="Arial" w:cs="Arial"/>
          <w:b/>
          <w:i w:val="0"/>
          <w:color w:val="auto"/>
          <w:lang w:val="en-US" w:eastAsia="es-MX"/>
        </w:rPr>
        <w:t xml:space="preserve"> / </w:t>
      </w:r>
      <w:r w:rsidRPr="00931D46">
        <w:rPr>
          <w:rFonts w:ascii="Arial" w:eastAsia="Times New Roman" w:hAnsi="Arial" w:cs="Arial"/>
          <w:b/>
          <w:i w:val="0"/>
          <w:color w:val="auto"/>
          <w:lang w:val="en-US" w:eastAsia="es-MX"/>
        </w:rPr>
        <w:t>Fox</w:t>
      </w:r>
      <w:r w:rsidR="008F2746" w:rsidRPr="00931D46">
        <w:rPr>
          <w:rFonts w:ascii="Arial" w:eastAsia="Times New Roman" w:hAnsi="Arial" w:cs="Arial"/>
          <w:b/>
          <w:i w:val="0"/>
          <w:color w:val="auto"/>
          <w:szCs w:val="26"/>
          <w:vertAlign w:val="superscript"/>
          <w:lang w:eastAsia="es-MX"/>
        </w:rPr>
        <w:footnoteReference w:id="245"/>
      </w:r>
      <w:r w:rsidR="001572EF" w:rsidRPr="00931D46">
        <w:rPr>
          <w:rFonts w:ascii="Arial" w:eastAsia="Times New Roman" w:hAnsi="Arial" w:cs="Arial"/>
          <w:b/>
          <w:i w:val="0"/>
          <w:color w:val="auto"/>
          <w:lang w:val="en-US" w:eastAsia="es-MX"/>
        </w:rPr>
        <w:t xml:space="preserve"> </w:t>
      </w:r>
      <w:bookmarkEnd w:id="292"/>
      <w:bookmarkEnd w:id="293"/>
      <w:bookmarkEnd w:id="294"/>
      <w:bookmarkEnd w:id="295"/>
    </w:p>
    <w:p w14:paraId="61D72964" w14:textId="77777777" w:rsidR="00581150" w:rsidRPr="00931D46" w:rsidRDefault="00581150" w:rsidP="0023353F">
      <w:pPr>
        <w:keepNext/>
        <w:spacing w:before="0" w:after="0"/>
        <w:rPr>
          <w:rFonts w:ascii="Arial" w:hAnsi="Arial" w:cs="Arial"/>
        </w:rPr>
      </w:pPr>
    </w:p>
    <w:p w14:paraId="165BD5B2" w14:textId="77777777" w:rsidR="001572EF" w:rsidRPr="00931D46" w:rsidRDefault="001572EF" w:rsidP="0023353F">
      <w:pPr>
        <w:spacing w:before="0" w:after="0"/>
        <w:rPr>
          <w:rFonts w:ascii="Arial" w:hAnsi="Arial" w:cs="Arial"/>
        </w:rPr>
      </w:pPr>
      <w:r w:rsidRPr="00931D46">
        <w:rPr>
          <w:rFonts w:ascii="Arial" w:hAnsi="Arial" w:cs="Arial"/>
        </w:rPr>
        <w:t>La concentración consistió en una operación que involucró a dos proveedores de CA para los operadores del STAR. El análisis de competencia definió dos MR y un mercado relacionado. Los MR identificados fueron: i) pr</w:t>
      </w:r>
      <w:r w:rsidR="00100D07" w:rsidRPr="00931D46">
        <w:rPr>
          <w:rFonts w:ascii="Arial" w:hAnsi="Arial" w:cs="Arial"/>
        </w:rPr>
        <w:t>ovisión y licenciamiento de CA</w:t>
      </w:r>
      <w:r w:rsidRPr="00931D46">
        <w:rPr>
          <w:rFonts w:ascii="Arial" w:hAnsi="Arial" w:cs="Arial"/>
        </w:rPr>
        <w:t xml:space="preserve"> a proveedores del STAR a nivel nacional</w:t>
      </w:r>
      <w:r w:rsidR="00993B86" w:rsidRPr="00931D46">
        <w:rPr>
          <w:rFonts w:ascii="Arial" w:hAnsi="Arial" w:cs="Arial"/>
        </w:rPr>
        <w:t xml:space="preserve"> (por</w:t>
      </w:r>
      <w:r w:rsidR="008F2746" w:rsidRPr="00931D46">
        <w:rPr>
          <w:rFonts w:ascii="Arial" w:hAnsi="Arial" w:cs="Arial"/>
        </w:rPr>
        <w:t xml:space="preserve"> </w:t>
      </w:r>
      <w:r w:rsidR="00100D07" w:rsidRPr="00931D46">
        <w:rPr>
          <w:rFonts w:ascii="Arial" w:hAnsi="Arial" w:cs="Arial"/>
        </w:rPr>
        <w:t>categorías programáticas</w:t>
      </w:r>
      <w:r w:rsidR="00993B86" w:rsidRPr="00931D46">
        <w:rPr>
          <w:rFonts w:ascii="Arial" w:hAnsi="Arial" w:cs="Arial"/>
        </w:rPr>
        <w:t>)</w:t>
      </w:r>
      <w:r w:rsidR="00100D07" w:rsidRPr="00931D46">
        <w:rPr>
          <w:rFonts w:ascii="Arial" w:hAnsi="Arial" w:cs="Arial"/>
        </w:rPr>
        <w:t xml:space="preserve"> </w:t>
      </w:r>
      <w:r w:rsidRPr="00931D46">
        <w:rPr>
          <w:rFonts w:ascii="Arial" w:hAnsi="Arial" w:cs="Arial"/>
        </w:rPr>
        <w:t>y ii) provisión y licenciamiento de la categoría programática Deportes a proveedores de</w:t>
      </w:r>
      <w:r w:rsidR="00581150" w:rsidRPr="00931D46">
        <w:rPr>
          <w:rFonts w:ascii="Arial" w:hAnsi="Arial" w:cs="Arial"/>
        </w:rPr>
        <w:t xml:space="preserve"> servicios OTT</w:t>
      </w:r>
      <w:r w:rsidRPr="00931D46">
        <w:rPr>
          <w:rFonts w:ascii="Arial" w:hAnsi="Arial" w:cs="Arial"/>
        </w:rPr>
        <w:t xml:space="preserve">; mientras que el mercado relacionado que se identificó fue el de adquisición de derechos para la transmisión de </w:t>
      </w:r>
      <w:r w:rsidR="007D1F91" w:rsidRPr="00931D46">
        <w:rPr>
          <w:rFonts w:ascii="Arial" w:hAnsi="Arial" w:cs="Arial"/>
        </w:rPr>
        <w:t>CA de</w:t>
      </w:r>
      <w:r w:rsidR="000E3D00" w:rsidRPr="00931D46">
        <w:rPr>
          <w:rFonts w:ascii="Arial" w:hAnsi="Arial" w:cs="Arial"/>
        </w:rPr>
        <w:t xml:space="preserve"> eventos </w:t>
      </w:r>
      <w:r w:rsidR="00517278" w:rsidRPr="00931D46">
        <w:rPr>
          <w:rFonts w:ascii="Arial" w:hAnsi="Arial" w:cs="Arial"/>
        </w:rPr>
        <w:t>deportivos</w:t>
      </w:r>
      <w:r w:rsidRPr="00931D46">
        <w:rPr>
          <w:rFonts w:ascii="Arial" w:hAnsi="Arial" w:cs="Arial"/>
        </w:rPr>
        <w:t>.</w:t>
      </w:r>
    </w:p>
    <w:p w14:paraId="5C21C483" w14:textId="77777777" w:rsidR="001572EF" w:rsidRPr="00931D46" w:rsidRDefault="001572EF" w:rsidP="0023353F">
      <w:pPr>
        <w:spacing w:before="0" w:after="0"/>
        <w:rPr>
          <w:rFonts w:ascii="Arial" w:hAnsi="Arial" w:cs="Arial"/>
        </w:rPr>
      </w:pPr>
    </w:p>
    <w:p w14:paraId="167CADEF" w14:textId="77777777" w:rsidR="001572EF" w:rsidRPr="00931D46" w:rsidRDefault="00100D07" w:rsidP="0023353F">
      <w:pPr>
        <w:spacing w:before="0" w:after="0"/>
        <w:rPr>
          <w:rFonts w:ascii="Arial" w:hAnsi="Arial" w:cs="Arial"/>
        </w:rPr>
      </w:pPr>
      <w:r w:rsidRPr="00931D46">
        <w:rPr>
          <w:rFonts w:ascii="Arial" w:hAnsi="Arial" w:cs="Arial"/>
        </w:rPr>
        <w:t>Respecto al</w:t>
      </w:r>
      <w:r w:rsidR="001572EF" w:rsidRPr="00931D46">
        <w:rPr>
          <w:rFonts w:ascii="Arial" w:hAnsi="Arial" w:cs="Arial"/>
        </w:rPr>
        <w:t xml:space="preserve"> MR de provisión y licenciamiento de CA, el Instituto advirtió que </w:t>
      </w:r>
      <w:r w:rsidR="001572EF" w:rsidRPr="00931D46">
        <w:rPr>
          <w:rFonts w:ascii="Arial" w:hAnsi="Arial" w:cs="Arial"/>
          <w:i/>
        </w:rPr>
        <w:t xml:space="preserve">“los canales de televisión </w:t>
      </w:r>
      <w:r w:rsidR="001572EF" w:rsidRPr="00931D46">
        <w:rPr>
          <w:rFonts w:ascii="Arial" w:hAnsi="Arial" w:cs="Arial"/>
        </w:rPr>
        <w:t>[en el STAR]</w:t>
      </w:r>
      <w:r w:rsidR="001572EF" w:rsidRPr="00931D46">
        <w:rPr>
          <w:rFonts w:ascii="Arial" w:hAnsi="Arial" w:cs="Arial"/>
          <w:i/>
        </w:rPr>
        <w:t xml:space="preserve"> son bienes diferenciados, pues cada canal contiene un conjunto específico de contenidos (programas), con una distribución particular en el tiempo.”</w:t>
      </w:r>
      <w:r w:rsidR="001572EF" w:rsidRPr="00931D46">
        <w:rPr>
          <w:rFonts w:ascii="Arial" w:hAnsi="Arial" w:cs="Arial"/>
        </w:rPr>
        <w:t xml:space="preserve"> </w:t>
      </w:r>
      <w:r w:rsidRPr="00931D46">
        <w:rPr>
          <w:rFonts w:ascii="Arial" w:hAnsi="Arial" w:cs="Arial"/>
        </w:rPr>
        <w:t>En este sentido,</w:t>
      </w:r>
      <w:r w:rsidR="001572EF" w:rsidRPr="00931D46">
        <w:rPr>
          <w:rFonts w:ascii="Arial" w:hAnsi="Arial" w:cs="Arial"/>
        </w:rPr>
        <w:t xml:space="preserve"> los canales de programación se clasificaron, por sus características, en canales básicos y canales </w:t>
      </w:r>
      <w:r w:rsidR="001572EF" w:rsidRPr="00931D46">
        <w:rPr>
          <w:rFonts w:ascii="Arial" w:hAnsi="Arial" w:cs="Arial"/>
          <w:i/>
        </w:rPr>
        <w:t>premium</w:t>
      </w:r>
      <w:r w:rsidR="001572EF" w:rsidRPr="00931D46">
        <w:rPr>
          <w:rFonts w:ascii="Arial" w:hAnsi="Arial" w:cs="Arial"/>
        </w:rPr>
        <w:t>.</w:t>
      </w:r>
    </w:p>
    <w:p w14:paraId="48296338" w14:textId="77777777" w:rsidR="001572EF" w:rsidRPr="00931D46" w:rsidRDefault="001572EF" w:rsidP="0023353F">
      <w:pPr>
        <w:spacing w:before="0" w:after="0"/>
        <w:rPr>
          <w:rFonts w:ascii="Arial" w:hAnsi="Arial" w:cs="Arial"/>
        </w:rPr>
      </w:pPr>
    </w:p>
    <w:p w14:paraId="76D03A6D" w14:textId="2FE5C05F" w:rsidR="001572EF" w:rsidRPr="00931D46" w:rsidRDefault="001572EF" w:rsidP="0023353F">
      <w:pPr>
        <w:spacing w:before="0" w:after="0"/>
        <w:rPr>
          <w:rFonts w:ascii="Arial" w:hAnsi="Arial" w:cs="Arial"/>
        </w:rPr>
      </w:pPr>
      <w:r w:rsidRPr="00931D46">
        <w:rPr>
          <w:rFonts w:ascii="Arial" w:hAnsi="Arial" w:cs="Arial"/>
        </w:rPr>
        <w:t>Para los canales básicos se identificaron 8 categorías programáticas distinguibles entre sí,</w:t>
      </w:r>
      <w:r w:rsidRPr="00931D46">
        <w:rPr>
          <w:rStyle w:val="Refdenotaalpie"/>
          <w:rFonts w:ascii="Arial" w:hAnsi="Arial" w:cs="Arial"/>
        </w:rPr>
        <w:footnoteReference w:id="246"/>
      </w:r>
      <w:r w:rsidRPr="00931D46">
        <w:rPr>
          <w:rFonts w:ascii="Arial" w:hAnsi="Arial" w:cs="Arial"/>
        </w:rPr>
        <w:t xml:space="preserve"> que resultan complementarias en la oferta a los usuarios finales</w:t>
      </w:r>
      <w:r w:rsidR="00581150" w:rsidRPr="00931D46">
        <w:rPr>
          <w:rFonts w:ascii="Arial" w:hAnsi="Arial" w:cs="Arial"/>
        </w:rPr>
        <w:t>,</w:t>
      </w:r>
      <w:r w:rsidRPr="00931D46">
        <w:rPr>
          <w:rFonts w:ascii="Arial" w:hAnsi="Arial" w:cs="Arial"/>
        </w:rPr>
        <w:t xml:space="preserve"> por lo que la provi</w:t>
      </w:r>
      <w:r w:rsidR="00581150" w:rsidRPr="00931D46">
        <w:rPr>
          <w:rFonts w:ascii="Arial" w:hAnsi="Arial" w:cs="Arial"/>
        </w:rPr>
        <w:t>sión y licenciamiento de los CA</w:t>
      </w:r>
      <w:r w:rsidRPr="00931D46">
        <w:rPr>
          <w:rFonts w:ascii="Arial" w:hAnsi="Arial" w:cs="Arial"/>
        </w:rPr>
        <w:t xml:space="preserve"> a proveedores del STAR en cada categoría programática constituye un MR independiente. De los canales </w:t>
      </w:r>
      <w:r w:rsidRPr="00931D46">
        <w:rPr>
          <w:rFonts w:ascii="Arial" w:hAnsi="Arial" w:cs="Arial"/>
          <w:i/>
        </w:rPr>
        <w:t>premium</w:t>
      </w:r>
      <w:r w:rsidRPr="00931D46">
        <w:rPr>
          <w:rFonts w:ascii="Arial" w:hAnsi="Arial" w:cs="Arial"/>
        </w:rPr>
        <w:t xml:space="preserve">, se advirtió que </w:t>
      </w:r>
      <w:r w:rsidR="00581150" w:rsidRPr="00931D46">
        <w:rPr>
          <w:rFonts w:ascii="Arial" w:hAnsi="Arial" w:cs="Arial"/>
        </w:rPr>
        <w:t>é</w:t>
      </w:r>
      <w:r w:rsidRPr="00931D46">
        <w:rPr>
          <w:rFonts w:ascii="Arial" w:hAnsi="Arial" w:cs="Arial"/>
        </w:rPr>
        <w:t xml:space="preserve">stos forman parte de un </w:t>
      </w:r>
      <w:r w:rsidR="00581150" w:rsidRPr="00931D46">
        <w:rPr>
          <w:rFonts w:ascii="Arial" w:hAnsi="Arial" w:cs="Arial"/>
        </w:rPr>
        <w:t>MR</w:t>
      </w:r>
      <w:r w:rsidRPr="00931D46">
        <w:rPr>
          <w:rFonts w:ascii="Arial" w:hAnsi="Arial" w:cs="Arial"/>
        </w:rPr>
        <w:t xml:space="preserve"> separado de los canales básicos ya que: i) incluyen programación de alto valor para las audiencias; ii) no incluyen publicidad, y iii) sus contenidos no tienen censuras.</w:t>
      </w:r>
    </w:p>
    <w:p w14:paraId="2D5E54B2" w14:textId="77777777" w:rsidR="001572EF" w:rsidRPr="00931D46" w:rsidRDefault="001572EF" w:rsidP="0023353F">
      <w:pPr>
        <w:spacing w:before="0" w:after="0"/>
        <w:rPr>
          <w:rFonts w:ascii="Arial" w:hAnsi="Arial" w:cs="Arial"/>
        </w:rPr>
      </w:pPr>
    </w:p>
    <w:p w14:paraId="16E3F620" w14:textId="77777777" w:rsidR="001572EF" w:rsidRPr="00931D46" w:rsidRDefault="001572EF" w:rsidP="0023353F">
      <w:pPr>
        <w:spacing w:before="0" w:after="0"/>
        <w:rPr>
          <w:rFonts w:ascii="Arial" w:hAnsi="Arial" w:cs="Arial"/>
        </w:rPr>
      </w:pPr>
      <w:r w:rsidRPr="00931D46">
        <w:rPr>
          <w:rFonts w:ascii="Arial" w:hAnsi="Arial" w:cs="Arial"/>
        </w:rPr>
        <w:t xml:space="preserve">Respecto al mercado relacionado, el Instituto </w:t>
      </w:r>
      <w:r w:rsidR="00100D07" w:rsidRPr="00931D46">
        <w:rPr>
          <w:rFonts w:ascii="Arial" w:hAnsi="Arial" w:cs="Arial"/>
        </w:rPr>
        <w:t xml:space="preserve">también </w:t>
      </w:r>
      <w:r w:rsidRPr="00931D46">
        <w:rPr>
          <w:rFonts w:ascii="Arial" w:hAnsi="Arial" w:cs="Arial"/>
        </w:rPr>
        <w:t>señaló que los CA</w:t>
      </w:r>
      <w:r w:rsidR="000E3D00" w:rsidRPr="00931D46">
        <w:rPr>
          <w:rFonts w:ascii="Arial" w:hAnsi="Arial" w:cs="Arial"/>
        </w:rPr>
        <w:t xml:space="preserve"> </w:t>
      </w:r>
      <w:r w:rsidR="007F3315" w:rsidRPr="00931D46">
        <w:rPr>
          <w:rFonts w:ascii="Arial" w:hAnsi="Arial" w:cs="Arial"/>
        </w:rPr>
        <w:t xml:space="preserve">de eventos </w:t>
      </w:r>
      <w:r w:rsidR="000E3D00" w:rsidRPr="00931D46">
        <w:rPr>
          <w:rFonts w:ascii="Arial" w:hAnsi="Arial" w:cs="Arial"/>
        </w:rPr>
        <w:t>deportivos</w:t>
      </w:r>
      <w:r w:rsidRPr="00931D46">
        <w:rPr>
          <w:rFonts w:ascii="Arial" w:hAnsi="Arial" w:cs="Arial"/>
        </w:rPr>
        <w:t xml:space="preserve"> </w:t>
      </w:r>
      <w:r w:rsidRPr="00931D46">
        <w:rPr>
          <w:rFonts w:ascii="Arial" w:hAnsi="Arial" w:cs="Arial"/>
          <w:i/>
        </w:rPr>
        <w:t>“se generan a partir de eventos que tienen como atributo el no ser replicables, por lo que son productos diferenciados.</w:t>
      </w:r>
      <w:r w:rsidRPr="00931D46">
        <w:rPr>
          <w:rFonts w:ascii="Arial" w:hAnsi="Arial" w:cs="Arial"/>
        </w:rPr>
        <w:t xml:space="preserve"> </w:t>
      </w:r>
      <w:r w:rsidRPr="00931D46">
        <w:rPr>
          <w:rFonts w:ascii="Arial" w:hAnsi="Arial" w:cs="Arial"/>
          <w:i/>
        </w:rPr>
        <w:t>Este atributo se replica a lo largo de la cadena de valor.”</w:t>
      </w:r>
      <w:r w:rsidRPr="00931D46">
        <w:rPr>
          <w:rFonts w:ascii="Arial" w:hAnsi="Arial" w:cs="Arial"/>
        </w:rPr>
        <w:t xml:space="preserve"> </w:t>
      </w:r>
    </w:p>
    <w:p w14:paraId="4265EBB6" w14:textId="77777777" w:rsidR="001572EF" w:rsidRPr="00931D46" w:rsidRDefault="001572EF" w:rsidP="0023353F">
      <w:pPr>
        <w:spacing w:before="0" w:after="0"/>
        <w:rPr>
          <w:rFonts w:ascii="Arial" w:hAnsi="Arial" w:cs="Arial"/>
        </w:rPr>
      </w:pPr>
    </w:p>
    <w:p w14:paraId="5B1086E6" w14:textId="77777777" w:rsidR="001572EF" w:rsidRPr="00931D46" w:rsidRDefault="001572EF"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296" w:name="_Toc41643461"/>
      <w:bookmarkStart w:id="297" w:name="_Toc41643554"/>
      <w:bookmarkStart w:id="298" w:name="_Toc41643650"/>
      <w:bookmarkStart w:id="299" w:name="_Toc41649787"/>
      <w:r w:rsidRPr="00931D46">
        <w:rPr>
          <w:rFonts w:ascii="Arial" w:eastAsia="Times New Roman" w:hAnsi="Arial" w:cs="Arial"/>
          <w:b/>
          <w:i w:val="0"/>
          <w:color w:val="auto"/>
          <w:lang w:val="en-US" w:eastAsia="es-MX"/>
        </w:rPr>
        <w:t>AT&amp;T / Nextel</w:t>
      </w:r>
      <w:bookmarkEnd w:id="296"/>
      <w:bookmarkEnd w:id="297"/>
      <w:bookmarkEnd w:id="298"/>
      <w:bookmarkEnd w:id="299"/>
      <w:r w:rsidR="0043197C" w:rsidRPr="00931D46">
        <w:rPr>
          <w:rStyle w:val="Refdenotaalpie"/>
          <w:rFonts w:ascii="Arial" w:eastAsia="Times New Roman" w:hAnsi="Arial" w:cs="Arial"/>
          <w:b/>
          <w:i w:val="0"/>
          <w:color w:val="auto"/>
          <w:lang w:val="en-US" w:eastAsia="es-MX"/>
        </w:rPr>
        <w:footnoteReference w:id="247"/>
      </w:r>
    </w:p>
    <w:p w14:paraId="241400F8" w14:textId="77777777" w:rsidR="001572EF" w:rsidRPr="00931D46" w:rsidRDefault="001572EF" w:rsidP="0023353F">
      <w:pPr>
        <w:keepNext/>
        <w:spacing w:before="0" w:after="0"/>
        <w:rPr>
          <w:rFonts w:ascii="Arial" w:hAnsi="Arial" w:cs="Arial"/>
        </w:rPr>
      </w:pPr>
    </w:p>
    <w:p w14:paraId="2E75F4A6" w14:textId="77777777" w:rsidR="001572EF" w:rsidRPr="00931D46" w:rsidRDefault="001572EF" w:rsidP="0023353F">
      <w:pPr>
        <w:spacing w:before="0" w:after="0"/>
        <w:rPr>
          <w:rFonts w:ascii="Arial" w:hAnsi="Arial" w:cs="Arial"/>
        </w:rPr>
      </w:pPr>
      <w:r w:rsidRPr="00931D46">
        <w:rPr>
          <w:rFonts w:ascii="Arial" w:hAnsi="Arial" w:cs="Arial"/>
        </w:rPr>
        <w:t xml:space="preserve">En la concentración </w:t>
      </w:r>
      <w:r w:rsidR="00EC0DC0" w:rsidRPr="00931D46">
        <w:rPr>
          <w:rFonts w:ascii="Arial" w:hAnsi="Arial" w:cs="Arial"/>
        </w:rPr>
        <w:t>entre</w:t>
      </w:r>
      <w:r w:rsidRPr="00931D46">
        <w:rPr>
          <w:rFonts w:ascii="Arial" w:hAnsi="Arial" w:cs="Arial"/>
        </w:rPr>
        <w:t xml:space="preserve"> AT&amp;T</w:t>
      </w:r>
      <w:r w:rsidR="00EC0DC0" w:rsidRPr="00931D46">
        <w:rPr>
          <w:rFonts w:ascii="Arial" w:hAnsi="Arial" w:cs="Arial"/>
        </w:rPr>
        <w:t xml:space="preserve"> y Nextel</w:t>
      </w:r>
      <w:r w:rsidRPr="00931D46">
        <w:rPr>
          <w:rFonts w:ascii="Arial" w:hAnsi="Arial" w:cs="Arial"/>
        </w:rPr>
        <w:t xml:space="preserve">, con base en el estudio de las actividades económicas de ambos AE, se determinó que la operación tendría efectos en </w:t>
      </w:r>
      <w:r w:rsidR="0030777E" w:rsidRPr="00931D46">
        <w:rPr>
          <w:rFonts w:ascii="Arial" w:hAnsi="Arial" w:cs="Arial"/>
        </w:rPr>
        <w:t xml:space="preserve">los </w:t>
      </w:r>
      <w:r w:rsidRPr="00931D46">
        <w:rPr>
          <w:rFonts w:ascii="Arial" w:hAnsi="Arial" w:cs="Arial"/>
        </w:rPr>
        <w:t xml:space="preserve">servicios </w:t>
      </w:r>
      <w:r w:rsidR="0030777E" w:rsidRPr="00931D46">
        <w:rPr>
          <w:rFonts w:ascii="Arial" w:hAnsi="Arial" w:cs="Arial"/>
        </w:rPr>
        <w:t xml:space="preserve">minoristas </w:t>
      </w:r>
      <w:r w:rsidRPr="00931D46">
        <w:rPr>
          <w:rFonts w:ascii="Arial" w:hAnsi="Arial" w:cs="Arial"/>
        </w:rPr>
        <w:t xml:space="preserve">de telefonía móvil y acceso a </w:t>
      </w:r>
      <w:r w:rsidR="0030777E" w:rsidRPr="00931D46">
        <w:rPr>
          <w:rFonts w:ascii="Arial" w:hAnsi="Arial" w:cs="Arial"/>
        </w:rPr>
        <w:t>Internet móvil, así como en los</w:t>
      </w:r>
      <w:r w:rsidRPr="00931D46">
        <w:rPr>
          <w:rFonts w:ascii="Arial" w:hAnsi="Arial" w:cs="Arial"/>
        </w:rPr>
        <w:t xml:space="preserve"> servicios mayoristas</w:t>
      </w:r>
      <w:r w:rsidR="0030777E" w:rsidRPr="00931D46">
        <w:rPr>
          <w:rFonts w:ascii="Arial" w:hAnsi="Arial" w:cs="Arial"/>
        </w:rPr>
        <w:t xml:space="preserve"> de</w:t>
      </w:r>
      <w:r w:rsidRPr="00931D46">
        <w:rPr>
          <w:rFonts w:ascii="Arial" w:hAnsi="Arial" w:cs="Arial"/>
        </w:rPr>
        <w:t xml:space="preserve"> interconexión. </w:t>
      </w:r>
    </w:p>
    <w:p w14:paraId="7E3753E0" w14:textId="77777777" w:rsidR="00EC0DC0" w:rsidRPr="00931D46" w:rsidRDefault="00EC0DC0" w:rsidP="0023353F">
      <w:pPr>
        <w:spacing w:before="0" w:after="0"/>
        <w:rPr>
          <w:rFonts w:ascii="Arial" w:hAnsi="Arial" w:cs="Arial"/>
        </w:rPr>
      </w:pPr>
    </w:p>
    <w:p w14:paraId="2B99B4D5" w14:textId="77777777" w:rsidR="0030777E" w:rsidRPr="00931D46" w:rsidRDefault="0030777E" w:rsidP="0023353F">
      <w:pPr>
        <w:spacing w:before="0" w:after="0"/>
        <w:rPr>
          <w:rFonts w:ascii="Arial" w:hAnsi="Arial" w:cs="Arial"/>
        </w:rPr>
      </w:pPr>
      <w:r w:rsidRPr="00931D46">
        <w:rPr>
          <w:rFonts w:ascii="Arial" w:hAnsi="Arial" w:cs="Arial"/>
        </w:rPr>
        <w:t xml:space="preserve">Respecto a </w:t>
      </w:r>
      <w:r w:rsidR="001572EF" w:rsidRPr="00931D46">
        <w:rPr>
          <w:rFonts w:ascii="Arial" w:hAnsi="Arial" w:cs="Arial"/>
        </w:rPr>
        <w:t>los servicios minoristas</w:t>
      </w:r>
      <w:r w:rsidRPr="00931D46">
        <w:rPr>
          <w:rFonts w:ascii="Arial" w:hAnsi="Arial" w:cs="Arial"/>
        </w:rPr>
        <w:t>,</w:t>
      </w:r>
      <w:r w:rsidR="001572EF" w:rsidRPr="00931D46">
        <w:rPr>
          <w:rFonts w:ascii="Arial" w:hAnsi="Arial" w:cs="Arial"/>
        </w:rPr>
        <w:t xml:space="preserve"> se identificaron las siguientes características: i) se proveen por medio de la emisión de señales utilizando el espectro radioeléctrico; ii) se prestan a través de dispositivos que pueden estar en movimiento y que tienen distintas aplicaciones; y iii) </w:t>
      </w:r>
      <w:r w:rsidRPr="00931D46">
        <w:rPr>
          <w:rFonts w:ascii="Arial" w:hAnsi="Arial" w:cs="Arial"/>
        </w:rPr>
        <w:t>ofrecen</w:t>
      </w:r>
      <w:r w:rsidR="001572EF" w:rsidRPr="00931D46">
        <w:rPr>
          <w:rFonts w:ascii="Arial" w:hAnsi="Arial" w:cs="Arial"/>
        </w:rPr>
        <w:t xml:space="preserve"> la capacidad de comunicarse por medio de voz, mensajes cortos y a</w:t>
      </w:r>
      <w:r w:rsidRPr="00931D46">
        <w:rPr>
          <w:rFonts w:ascii="Arial" w:hAnsi="Arial" w:cs="Arial"/>
        </w:rPr>
        <w:t>cceso a I</w:t>
      </w:r>
      <w:r w:rsidR="001572EF" w:rsidRPr="00931D46">
        <w:rPr>
          <w:rFonts w:ascii="Arial" w:hAnsi="Arial" w:cs="Arial"/>
        </w:rPr>
        <w:t>nternet.</w:t>
      </w:r>
      <w:r w:rsidRPr="00931D46">
        <w:rPr>
          <w:rFonts w:ascii="Arial" w:hAnsi="Arial" w:cs="Arial"/>
        </w:rPr>
        <w:t xml:space="preserve"> </w:t>
      </w:r>
      <w:r w:rsidR="001572EF" w:rsidRPr="00931D46">
        <w:rPr>
          <w:rFonts w:ascii="Arial" w:hAnsi="Arial" w:cs="Arial"/>
        </w:rPr>
        <w:t xml:space="preserve">En virtud de estas características, se analizó </w:t>
      </w:r>
      <w:r w:rsidRPr="00931D46">
        <w:rPr>
          <w:rFonts w:ascii="Arial" w:hAnsi="Arial" w:cs="Arial"/>
        </w:rPr>
        <w:t xml:space="preserve">su posible </w:t>
      </w:r>
      <w:r w:rsidR="001572EF" w:rsidRPr="00931D46">
        <w:rPr>
          <w:rFonts w:ascii="Arial" w:hAnsi="Arial" w:cs="Arial"/>
        </w:rPr>
        <w:t xml:space="preserve">sustituibilidad </w:t>
      </w:r>
      <w:r w:rsidRPr="00931D46">
        <w:rPr>
          <w:rFonts w:ascii="Arial" w:hAnsi="Arial" w:cs="Arial"/>
        </w:rPr>
        <w:t xml:space="preserve">con </w:t>
      </w:r>
      <w:r w:rsidR="001572EF" w:rsidRPr="00931D46">
        <w:rPr>
          <w:rFonts w:ascii="Arial" w:hAnsi="Arial" w:cs="Arial"/>
        </w:rPr>
        <w:t>otros servicios</w:t>
      </w:r>
      <w:r w:rsidRPr="00931D46">
        <w:rPr>
          <w:rFonts w:ascii="Arial" w:hAnsi="Arial" w:cs="Arial"/>
        </w:rPr>
        <w:t xml:space="preserve"> que tienen funcionalidades similares, pero son servicios diferenciados</w:t>
      </w:r>
      <w:r w:rsidR="001572EF" w:rsidRPr="00931D46">
        <w:rPr>
          <w:rFonts w:ascii="Arial" w:hAnsi="Arial" w:cs="Arial"/>
        </w:rPr>
        <w:t xml:space="preserve">: </w:t>
      </w:r>
      <w:r w:rsidR="00850947" w:rsidRPr="00931D46">
        <w:rPr>
          <w:rFonts w:ascii="Arial" w:hAnsi="Arial" w:cs="Arial"/>
        </w:rPr>
        <w:t>STF</w:t>
      </w:r>
      <w:r w:rsidR="001572EF" w:rsidRPr="00931D46">
        <w:rPr>
          <w:rFonts w:ascii="Arial" w:hAnsi="Arial" w:cs="Arial"/>
        </w:rPr>
        <w:t xml:space="preserve">, telefonía satelital y </w:t>
      </w:r>
      <w:r w:rsidR="001572EF" w:rsidRPr="00931D46">
        <w:rPr>
          <w:rFonts w:ascii="Arial" w:hAnsi="Arial" w:cs="Arial"/>
          <w:i/>
        </w:rPr>
        <w:t>Trunking</w:t>
      </w:r>
      <w:r w:rsidR="001572EF" w:rsidRPr="00931D46">
        <w:rPr>
          <w:rFonts w:ascii="Arial" w:hAnsi="Arial" w:cs="Arial"/>
        </w:rPr>
        <w:t>.</w:t>
      </w:r>
    </w:p>
    <w:p w14:paraId="42BB1DFB" w14:textId="77777777" w:rsidR="0030777E" w:rsidRPr="00931D46" w:rsidRDefault="0030777E" w:rsidP="0023353F">
      <w:pPr>
        <w:spacing w:before="0" w:after="0"/>
        <w:rPr>
          <w:rFonts w:ascii="Arial" w:hAnsi="Arial" w:cs="Arial"/>
        </w:rPr>
      </w:pPr>
    </w:p>
    <w:p w14:paraId="1F79EE6B" w14:textId="48D2483A" w:rsidR="001572EF" w:rsidRPr="00931D46" w:rsidRDefault="001572EF" w:rsidP="0023353F">
      <w:pPr>
        <w:spacing w:before="0" w:after="0"/>
        <w:rPr>
          <w:rFonts w:ascii="Arial" w:hAnsi="Arial" w:cs="Arial"/>
        </w:rPr>
      </w:pPr>
      <w:r w:rsidRPr="00931D46">
        <w:rPr>
          <w:rFonts w:ascii="Arial" w:hAnsi="Arial" w:cs="Arial"/>
        </w:rPr>
        <w:t>Respecto a</w:t>
      </w:r>
      <w:r w:rsidR="0030777E" w:rsidRPr="00931D46">
        <w:rPr>
          <w:rFonts w:ascii="Arial" w:hAnsi="Arial" w:cs="Arial"/>
        </w:rPr>
        <w:t xml:space="preserve">l servicio de </w:t>
      </w:r>
      <w:r w:rsidR="0030777E" w:rsidRPr="00931D46">
        <w:rPr>
          <w:rFonts w:ascii="Arial" w:hAnsi="Arial" w:cs="Arial"/>
          <w:i/>
        </w:rPr>
        <w:t>Trunking</w:t>
      </w:r>
      <w:r w:rsidRPr="00931D46">
        <w:rPr>
          <w:rFonts w:ascii="Arial" w:hAnsi="Arial" w:cs="Arial"/>
        </w:rPr>
        <w:t xml:space="preserve">, se identificó que </w:t>
      </w:r>
      <w:r w:rsidR="0030777E" w:rsidRPr="00931D46">
        <w:rPr>
          <w:rFonts w:ascii="Arial" w:hAnsi="Arial" w:cs="Arial"/>
        </w:rPr>
        <w:t>ofrece comunicación de</w:t>
      </w:r>
      <w:r w:rsidRPr="00931D46">
        <w:rPr>
          <w:rFonts w:ascii="Arial" w:hAnsi="Arial" w:cs="Arial"/>
        </w:rPr>
        <w:t xml:space="preserve"> voz y datos a grupos de usuarios</w:t>
      </w:r>
      <w:r w:rsidR="0030777E" w:rsidRPr="00931D46">
        <w:rPr>
          <w:rFonts w:ascii="Arial" w:hAnsi="Arial" w:cs="Arial"/>
        </w:rPr>
        <w:t xml:space="preserve"> y </w:t>
      </w:r>
      <w:r w:rsidRPr="00931D46">
        <w:rPr>
          <w:rFonts w:ascii="Arial" w:hAnsi="Arial" w:cs="Arial"/>
        </w:rPr>
        <w:t xml:space="preserve">soporta el acceso a </w:t>
      </w:r>
      <w:r w:rsidR="0030777E" w:rsidRPr="00931D46">
        <w:rPr>
          <w:rFonts w:ascii="Arial" w:hAnsi="Arial" w:cs="Arial"/>
        </w:rPr>
        <w:t>I</w:t>
      </w:r>
      <w:r w:rsidRPr="00931D46">
        <w:rPr>
          <w:rFonts w:ascii="Arial" w:hAnsi="Arial" w:cs="Arial"/>
        </w:rPr>
        <w:t>nternet con velocidades de transferencia de datos similares a las de otros servicios móviles</w:t>
      </w:r>
      <w:r w:rsidR="0030777E" w:rsidRPr="00931D46">
        <w:rPr>
          <w:rFonts w:ascii="Arial" w:hAnsi="Arial" w:cs="Arial"/>
        </w:rPr>
        <w:t xml:space="preserve">; </w:t>
      </w:r>
      <w:r w:rsidR="00850947" w:rsidRPr="00931D46">
        <w:rPr>
          <w:rFonts w:ascii="Arial" w:hAnsi="Arial" w:cs="Arial"/>
        </w:rPr>
        <w:t>el STF</w:t>
      </w:r>
      <w:r w:rsidR="0030777E" w:rsidRPr="00931D46">
        <w:rPr>
          <w:rFonts w:ascii="Arial" w:hAnsi="Arial" w:cs="Arial"/>
        </w:rPr>
        <w:t xml:space="preserve"> no cuenta</w:t>
      </w:r>
      <w:r w:rsidRPr="00931D46">
        <w:rPr>
          <w:rFonts w:ascii="Arial" w:hAnsi="Arial" w:cs="Arial"/>
        </w:rPr>
        <w:t xml:space="preserve"> con movilidad </w:t>
      </w:r>
      <w:r w:rsidR="0030777E" w:rsidRPr="00931D46">
        <w:rPr>
          <w:rFonts w:ascii="Arial" w:hAnsi="Arial" w:cs="Arial"/>
        </w:rPr>
        <w:t>ni</w:t>
      </w:r>
      <w:r w:rsidRPr="00931D46">
        <w:rPr>
          <w:rFonts w:ascii="Arial" w:hAnsi="Arial" w:cs="Arial"/>
        </w:rPr>
        <w:t xml:space="preserve"> </w:t>
      </w:r>
      <w:r w:rsidR="0030777E" w:rsidRPr="00931D46">
        <w:rPr>
          <w:rFonts w:ascii="Arial" w:hAnsi="Arial" w:cs="Arial"/>
        </w:rPr>
        <w:t xml:space="preserve">permite el </w:t>
      </w:r>
      <w:r w:rsidRPr="00931D46">
        <w:rPr>
          <w:rFonts w:ascii="Arial" w:hAnsi="Arial" w:cs="Arial"/>
        </w:rPr>
        <w:t>acceso a aplicaciones a través de un mismo dispositivo</w:t>
      </w:r>
      <w:r w:rsidR="0030777E" w:rsidRPr="00931D46">
        <w:rPr>
          <w:rFonts w:ascii="Arial" w:hAnsi="Arial" w:cs="Arial"/>
        </w:rPr>
        <w:t>;</w:t>
      </w:r>
      <w:r w:rsidRPr="00931D46">
        <w:rPr>
          <w:rFonts w:ascii="Arial" w:hAnsi="Arial" w:cs="Arial"/>
        </w:rPr>
        <w:t xml:space="preserve"> y </w:t>
      </w:r>
      <w:r w:rsidR="0030777E" w:rsidRPr="00931D46">
        <w:rPr>
          <w:rFonts w:ascii="Arial" w:hAnsi="Arial" w:cs="Arial"/>
        </w:rPr>
        <w:t xml:space="preserve">la </w:t>
      </w:r>
      <w:r w:rsidRPr="00931D46">
        <w:rPr>
          <w:rFonts w:ascii="Arial" w:hAnsi="Arial" w:cs="Arial"/>
        </w:rPr>
        <w:t xml:space="preserve">telefonía satelital </w:t>
      </w:r>
      <w:r w:rsidR="0030777E" w:rsidRPr="00931D46">
        <w:rPr>
          <w:rFonts w:ascii="Arial" w:hAnsi="Arial" w:cs="Arial"/>
        </w:rPr>
        <w:t>t</w:t>
      </w:r>
      <w:r w:rsidR="004F0430" w:rsidRPr="00931D46">
        <w:rPr>
          <w:rFonts w:ascii="Arial" w:hAnsi="Arial" w:cs="Arial"/>
        </w:rPr>
        <w:t>enía</w:t>
      </w:r>
      <w:r w:rsidR="0030777E" w:rsidRPr="00931D46">
        <w:rPr>
          <w:rFonts w:ascii="Arial" w:hAnsi="Arial" w:cs="Arial"/>
        </w:rPr>
        <w:t xml:space="preserve"> un costo </w:t>
      </w:r>
      <w:r w:rsidR="001D2474" w:rsidRPr="00931D46">
        <w:rPr>
          <w:rFonts w:ascii="Arial" w:hAnsi="Arial" w:cs="Arial"/>
        </w:rPr>
        <w:t xml:space="preserve">por </w:t>
      </w:r>
      <w:r w:rsidRPr="00931D46">
        <w:rPr>
          <w:rFonts w:ascii="Arial" w:hAnsi="Arial" w:cs="Arial"/>
        </w:rPr>
        <w:t>minuto entre 370% y 1,500% más elevado</w:t>
      </w:r>
      <w:r w:rsidR="0030777E" w:rsidRPr="00931D46">
        <w:rPr>
          <w:rFonts w:ascii="Arial" w:hAnsi="Arial" w:cs="Arial"/>
        </w:rPr>
        <w:t xml:space="preserve"> que la telefonía móvil y </w:t>
      </w:r>
      <w:r w:rsidRPr="00931D46">
        <w:rPr>
          <w:rFonts w:ascii="Arial" w:hAnsi="Arial" w:cs="Arial"/>
        </w:rPr>
        <w:t>requiere equipos terminales especiales</w:t>
      </w:r>
      <w:r w:rsidR="0030777E" w:rsidRPr="00931D46">
        <w:rPr>
          <w:rFonts w:ascii="Arial" w:hAnsi="Arial" w:cs="Arial"/>
        </w:rPr>
        <w:t xml:space="preserve">. Por estas características, se concluyó que </w:t>
      </w:r>
      <w:r w:rsidR="0030777E" w:rsidRPr="00931D46">
        <w:rPr>
          <w:rFonts w:ascii="Arial" w:hAnsi="Arial" w:cs="Arial"/>
          <w:i/>
        </w:rPr>
        <w:t>“el servicio relevante es el servicio de telecomunicaciones móviles, al que se agregan los servicios de Trunking</w:t>
      </w:r>
      <w:r w:rsidR="0030777E" w:rsidRPr="00931D46">
        <w:rPr>
          <w:rFonts w:ascii="Arial" w:hAnsi="Arial" w:cs="Arial"/>
        </w:rPr>
        <w:t xml:space="preserve"> </w:t>
      </w:r>
      <w:r w:rsidR="0030777E" w:rsidRPr="00931D46">
        <w:rPr>
          <w:rFonts w:ascii="Arial" w:hAnsi="Arial" w:cs="Arial"/>
          <w:i/>
        </w:rPr>
        <w:t>que incluye comunicación por voz, transmisión de mensajes cortos y acceso a internet”,</w:t>
      </w:r>
      <w:r w:rsidR="0030777E" w:rsidRPr="00931D46">
        <w:rPr>
          <w:rFonts w:ascii="Arial" w:hAnsi="Arial" w:cs="Arial"/>
        </w:rPr>
        <w:t xml:space="preserve"> mientras que </w:t>
      </w:r>
      <w:r w:rsidR="00850947" w:rsidRPr="00931D46">
        <w:rPr>
          <w:rFonts w:ascii="Arial" w:hAnsi="Arial" w:cs="Arial"/>
        </w:rPr>
        <w:t>el STF</w:t>
      </w:r>
      <w:r w:rsidR="0030777E" w:rsidRPr="00931D46">
        <w:rPr>
          <w:rFonts w:ascii="Arial" w:hAnsi="Arial" w:cs="Arial"/>
        </w:rPr>
        <w:t xml:space="preserve"> y </w:t>
      </w:r>
      <w:r w:rsidR="00EF48B1" w:rsidRPr="00931D46">
        <w:rPr>
          <w:rFonts w:ascii="Arial" w:hAnsi="Arial" w:cs="Arial"/>
        </w:rPr>
        <w:t xml:space="preserve">telefonía </w:t>
      </w:r>
      <w:r w:rsidR="0030777E" w:rsidRPr="00931D46">
        <w:rPr>
          <w:rFonts w:ascii="Arial" w:hAnsi="Arial" w:cs="Arial"/>
        </w:rPr>
        <w:t xml:space="preserve">satelital </w:t>
      </w:r>
      <w:r w:rsidRPr="00931D46">
        <w:rPr>
          <w:rFonts w:ascii="Arial" w:hAnsi="Arial" w:cs="Arial"/>
        </w:rPr>
        <w:t>no son parte del mismo MR de servicios de telecomunicaciones móviles.</w:t>
      </w:r>
    </w:p>
    <w:p w14:paraId="23BC363F" w14:textId="77777777" w:rsidR="001572EF" w:rsidRPr="00931D46" w:rsidRDefault="001572EF" w:rsidP="0023353F">
      <w:pPr>
        <w:spacing w:before="0" w:after="0"/>
        <w:rPr>
          <w:rFonts w:ascii="Arial" w:hAnsi="Arial" w:cs="Arial"/>
        </w:rPr>
      </w:pPr>
    </w:p>
    <w:p w14:paraId="0679CB48" w14:textId="77777777" w:rsidR="001572EF" w:rsidRPr="00931D46" w:rsidRDefault="001572EF" w:rsidP="0023353F">
      <w:pPr>
        <w:spacing w:before="0" w:after="0"/>
        <w:rPr>
          <w:rFonts w:ascii="Arial" w:hAnsi="Arial" w:cs="Arial"/>
        </w:rPr>
      </w:pPr>
      <w:r w:rsidRPr="00931D46">
        <w:rPr>
          <w:rFonts w:ascii="Arial" w:hAnsi="Arial" w:cs="Arial"/>
        </w:rPr>
        <w:t>Este caso presenta un ejemplo donde se analizan servicios</w:t>
      </w:r>
      <w:r w:rsidR="001D2474" w:rsidRPr="00931D46">
        <w:rPr>
          <w:rFonts w:ascii="Arial" w:hAnsi="Arial" w:cs="Arial"/>
        </w:rPr>
        <w:t xml:space="preserve"> que</w:t>
      </w:r>
      <w:r w:rsidRPr="00931D46">
        <w:rPr>
          <w:rFonts w:ascii="Arial" w:hAnsi="Arial" w:cs="Arial"/>
        </w:rPr>
        <w:t xml:space="preserve">, a </w:t>
      </w:r>
      <w:r w:rsidRPr="00931D46">
        <w:rPr>
          <w:rFonts w:ascii="Arial" w:hAnsi="Arial" w:cs="Arial"/>
          <w:i/>
        </w:rPr>
        <w:t>priori</w:t>
      </w:r>
      <w:r w:rsidRPr="00931D46">
        <w:rPr>
          <w:rFonts w:ascii="Arial" w:hAnsi="Arial" w:cs="Arial"/>
        </w:rPr>
        <w:t xml:space="preserve">, </w:t>
      </w:r>
      <w:r w:rsidR="001D2474" w:rsidRPr="00931D46">
        <w:rPr>
          <w:rFonts w:ascii="Arial" w:hAnsi="Arial" w:cs="Arial"/>
        </w:rPr>
        <w:t xml:space="preserve">se </w:t>
      </w:r>
      <w:r w:rsidRPr="00931D46">
        <w:rPr>
          <w:rFonts w:ascii="Arial" w:hAnsi="Arial" w:cs="Arial"/>
        </w:rPr>
        <w:t>destina</w:t>
      </w:r>
      <w:r w:rsidR="001D2474" w:rsidRPr="00931D46">
        <w:rPr>
          <w:rFonts w:ascii="Arial" w:hAnsi="Arial" w:cs="Arial"/>
        </w:rPr>
        <w:t>n a los</w:t>
      </w:r>
      <w:r w:rsidRPr="00931D46">
        <w:rPr>
          <w:rFonts w:ascii="Arial" w:hAnsi="Arial" w:cs="Arial"/>
        </w:rPr>
        <w:t xml:space="preserve"> mismo</w:t>
      </w:r>
      <w:r w:rsidR="001D2474" w:rsidRPr="00931D46">
        <w:rPr>
          <w:rFonts w:ascii="Arial" w:hAnsi="Arial" w:cs="Arial"/>
        </w:rPr>
        <w:t>s</w:t>
      </w:r>
      <w:r w:rsidRPr="00931D46">
        <w:rPr>
          <w:rFonts w:ascii="Arial" w:hAnsi="Arial" w:cs="Arial"/>
        </w:rPr>
        <w:t xml:space="preserve"> uso</w:t>
      </w:r>
      <w:r w:rsidR="001D2474" w:rsidRPr="00931D46">
        <w:rPr>
          <w:rFonts w:ascii="Arial" w:hAnsi="Arial" w:cs="Arial"/>
        </w:rPr>
        <w:t>s</w:t>
      </w:r>
      <w:r w:rsidRPr="00931D46">
        <w:rPr>
          <w:rFonts w:ascii="Arial" w:hAnsi="Arial" w:cs="Arial"/>
        </w:rPr>
        <w:t>, pero que están altamente diferenciados, por lo que pertenecen a MR distintos.</w:t>
      </w:r>
    </w:p>
    <w:p w14:paraId="09784C12" w14:textId="77777777" w:rsidR="001572EF" w:rsidRPr="00931D46" w:rsidRDefault="001572EF" w:rsidP="0023353F">
      <w:pPr>
        <w:spacing w:before="0" w:after="0"/>
        <w:rPr>
          <w:rFonts w:ascii="Arial" w:hAnsi="Arial" w:cs="Arial"/>
        </w:rPr>
      </w:pPr>
    </w:p>
    <w:p w14:paraId="670B09E1" w14:textId="77777777" w:rsidR="001572EF" w:rsidRPr="00931D46" w:rsidRDefault="001572EF"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300" w:name="_Toc41643462"/>
      <w:bookmarkStart w:id="301" w:name="_Toc41643555"/>
      <w:bookmarkStart w:id="302" w:name="_Toc41643651"/>
      <w:bookmarkStart w:id="303" w:name="_Toc41649788"/>
      <w:bookmarkStart w:id="304" w:name="_Toc41649919"/>
      <w:bookmarkStart w:id="305" w:name="_Toc45628373"/>
      <w:r w:rsidRPr="00931D46">
        <w:rPr>
          <w:rFonts w:ascii="Arial" w:eastAsia="Times New Roman" w:hAnsi="Arial" w:cs="Arial"/>
          <w:b/>
          <w:color w:val="auto"/>
          <w:sz w:val="26"/>
          <w:szCs w:val="26"/>
          <w:lang w:eastAsia="es-MX"/>
        </w:rPr>
        <w:t>Experiencia Internacional</w:t>
      </w:r>
      <w:bookmarkEnd w:id="300"/>
      <w:bookmarkEnd w:id="301"/>
      <w:bookmarkEnd w:id="302"/>
      <w:bookmarkEnd w:id="303"/>
      <w:bookmarkEnd w:id="304"/>
      <w:bookmarkEnd w:id="305"/>
    </w:p>
    <w:p w14:paraId="2D86F78C" w14:textId="77777777" w:rsidR="001572EF" w:rsidRPr="00931D46" w:rsidRDefault="001572EF" w:rsidP="0023353F">
      <w:pPr>
        <w:keepNext/>
        <w:spacing w:before="0" w:after="0"/>
        <w:rPr>
          <w:rFonts w:ascii="Arial" w:hAnsi="Arial" w:cs="Arial"/>
        </w:rPr>
      </w:pPr>
    </w:p>
    <w:p w14:paraId="65204ADA" w14:textId="77777777" w:rsidR="001572EF" w:rsidRPr="00931D46" w:rsidRDefault="001572EF"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306" w:name="_Toc41643463"/>
      <w:bookmarkStart w:id="307" w:name="_Toc41643556"/>
      <w:bookmarkStart w:id="308" w:name="_Toc41643652"/>
      <w:bookmarkStart w:id="309" w:name="_Toc41649789"/>
      <w:r w:rsidRPr="00931D46">
        <w:rPr>
          <w:rFonts w:ascii="Arial" w:eastAsia="Times New Roman" w:hAnsi="Arial" w:cs="Arial"/>
          <w:b/>
          <w:i w:val="0"/>
          <w:color w:val="auto"/>
          <w:lang w:val="en-US" w:eastAsia="es-MX"/>
        </w:rPr>
        <w:t>OCDE</w:t>
      </w:r>
      <w:bookmarkEnd w:id="306"/>
      <w:bookmarkEnd w:id="307"/>
      <w:bookmarkEnd w:id="308"/>
      <w:bookmarkEnd w:id="309"/>
    </w:p>
    <w:p w14:paraId="22E480D0" w14:textId="77777777" w:rsidR="001572EF" w:rsidRPr="00931D46" w:rsidRDefault="001572EF" w:rsidP="0023353F">
      <w:pPr>
        <w:keepNext/>
        <w:spacing w:before="0" w:after="0"/>
        <w:rPr>
          <w:rFonts w:ascii="Arial" w:hAnsi="Arial" w:cs="Arial"/>
        </w:rPr>
      </w:pPr>
    </w:p>
    <w:p w14:paraId="332E6974" w14:textId="6D5AC8F4" w:rsidR="001572EF" w:rsidRPr="00931D46" w:rsidRDefault="001572EF" w:rsidP="0023353F">
      <w:pPr>
        <w:spacing w:before="0" w:after="0"/>
        <w:rPr>
          <w:rFonts w:ascii="Arial" w:hAnsi="Arial" w:cs="Arial"/>
        </w:rPr>
      </w:pPr>
      <w:r w:rsidRPr="00931D46">
        <w:rPr>
          <w:rFonts w:ascii="Arial" w:hAnsi="Arial" w:cs="Arial"/>
        </w:rPr>
        <w:t xml:space="preserve">Para los sectores de TyR, la OCDE argumenta que las </w:t>
      </w:r>
      <w:r w:rsidR="00691BC6" w:rsidRPr="00931D46">
        <w:rPr>
          <w:rFonts w:ascii="Arial" w:hAnsi="Arial" w:cs="Arial"/>
        </w:rPr>
        <w:t>redes</w:t>
      </w:r>
      <w:r w:rsidRPr="00931D46">
        <w:rPr>
          <w:rFonts w:ascii="Arial" w:hAnsi="Arial" w:cs="Arial"/>
        </w:rPr>
        <w:t xml:space="preserve"> </w:t>
      </w:r>
      <w:r w:rsidR="00691BC6" w:rsidRPr="00931D46">
        <w:rPr>
          <w:rFonts w:ascii="Arial" w:hAnsi="Arial" w:cs="Arial"/>
        </w:rPr>
        <w:t>de nueva generación dan lugar a retos en la determinación del MR, pues</w:t>
      </w:r>
      <w:r w:rsidRPr="00931D46">
        <w:rPr>
          <w:rFonts w:ascii="Arial" w:hAnsi="Arial" w:cs="Arial"/>
        </w:rPr>
        <w:t xml:space="preserve"> p</w:t>
      </w:r>
      <w:r w:rsidR="008075E9">
        <w:rPr>
          <w:rFonts w:ascii="Arial" w:hAnsi="Arial" w:cs="Arial"/>
        </w:rPr>
        <w:t>ermiten</w:t>
      </w:r>
      <w:r w:rsidRPr="00931D46">
        <w:rPr>
          <w:rFonts w:ascii="Arial" w:hAnsi="Arial" w:cs="Arial"/>
        </w:rPr>
        <w:t xml:space="preserve"> ofrecer a los usuarios finales </w:t>
      </w:r>
      <w:r w:rsidR="00691BC6" w:rsidRPr="00931D46">
        <w:rPr>
          <w:rFonts w:ascii="Arial" w:hAnsi="Arial" w:cs="Arial"/>
        </w:rPr>
        <w:t xml:space="preserve">servicios que pueden ser </w:t>
      </w:r>
      <w:r w:rsidRPr="00931D46">
        <w:rPr>
          <w:rFonts w:ascii="Arial" w:hAnsi="Arial" w:cs="Arial"/>
        </w:rPr>
        <w:t xml:space="preserve">sustitutos </w:t>
      </w:r>
      <w:r w:rsidR="00691BC6" w:rsidRPr="00931D46">
        <w:rPr>
          <w:rFonts w:ascii="Arial" w:hAnsi="Arial" w:cs="Arial"/>
        </w:rPr>
        <w:t xml:space="preserve">de los que se proveen a través de </w:t>
      </w:r>
      <w:r w:rsidRPr="00931D46">
        <w:rPr>
          <w:rFonts w:ascii="Arial" w:hAnsi="Arial" w:cs="Arial"/>
        </w:rPr>
        <w:t xml:space="preserve">tecnologías tradicionales </w:t>
      </w:r>
      <w:r w:rsidR="00691BC6" w:rsidRPr="00931D46">
        <w:rPr>
          <w:rFonts w:ascii="Arial" w:hAnsi="Arial" w:cs="Arial"/>
        </w:rPr>
        <w:t>vía cadenas de sustitución</w:t>
      </w:r>
      <w:r w:rsidRPr="00931D46">
        <w:rPr>
          <w:rFonts w:ascii="Arial" w:hAnsi="Arial" w:cs="Arial"/>
        </w:rPr>
        <w:t>:</w:t>
      </w:r>
      <w:r w:rsidRPr="00931D46">
        <w:rPr>
          <w:rStyle w:val="Refdenotaalpie"/>
          <w:rFonts w:ascii="Arial" w:hAnsi="Arial" w:cs="Arial"/>
        </w:rPr>
        <w:footnoteReference w:id="248"/>
      </w:r>
    </w:p>
    <w:p w14:paraId="16906255" w14:textId="77777777" w:rsidR="00465227" w:rsidRPr="00931D46" w:rsidRDefault="00465227" w:rsidP="0023353F">
      <w:pPr>
        <w:spacing w:before="0" w:after="0"/>
        <w:rPr>
          <w:rFonts w:ascii="Arial" w:hAnsi="Arial" w:cs="Arial"/>
        </w:rPr>
      </w:pPr>
    </w:p>
    <w:p w14:paraId="3C190C87" w14:textId="77777777" w:rsidR="001572EF" w:rsidRPr="00931D46" w:rsidRDefault="001572EF" w:rsidP="0023353F">
      <w:pPr>
        <w:pStyle w:val="Cita"/>
      </w:pPr>
      <w:r w:rsidRPr="00931D46">
        <w:t>“La actualización de las redes de acceso de cobre a redes de acceso de próxima generación (NGAN, Next Generation Access Networks) y el despliegue de redes de fibra, han derivado en nuevos problemas con respecto a la definición del mercado. […] Aunque dos servicios no son sustitutos directos, pueden pertenecer al mismo mercado siempre que haya una cadena de sustitución entre ellos.”</w:t>
      </w:r>
    </w:p>
    <w:p w14:paraId="280272FB" w14:textId="77777777" w:rsidR="001572EF" w:rsidRPr="00931D46" w:rsidRDefault="001572EF" w:rsidP="0023353F">
      <w:pPr>
        <w:spacing w:before="0" w:after="0"/>
        <w:rPr>
          <w:rFonts w:ascii="Arial" w:hAnsi="Arial" w:cs="Arial"/>
        </w:rPr>
      </w:pPr>
    </w:p>
    <w:p w14:paraId="0101DC28" w14:textId="623F86AA" w:rsidR="001572EF" w:rsidRPr="00931D46" w:rsidRDefault="001572EF" w:rsidP="0023353F">
      <w:pPr>
        <w:spacing w:before="0" w:after="0"/>
        <w:rPr>
          <w:rFonts w:ascii="Arial" w:hAnsi="Arial" w:cs="Arial"/>
        </w:rPr>
      </w:pPr>
      <w:r w:rsidRPr="00931D46">
        <w:rPr>
          <w:rFonts w:ascii="Arial" w:hAnsi="Arial" w:cs="Arial"/>
        </w:rPr>
        <w:t xml:space="preserve">En ese sentido, la OCDE advierte que cierto tipo de análisis cualitativos permiten establecer la diferenciación de </w:t>
      </w:r>
      <w:r w:rsidR="00330363">
        <w:rPr>
          <w:rFonts w:ascii="Arial" w:hAnsi="Arial" w:cs="Arial"/>
        </w:rPr>
        <w:t>producto</w:t>
      </w:r>
      <w:r w:rsidRPr="00931D46">
        <w:rPr>
          <w:rFonts w:ascii="Arial" w:hAnsi="Arial" w:cs="Arial"/>
        </w:rPr>
        <w:t xml:space="preserve">, pero podrían ser insuficientes para excluir, </w:t>
      </w:r>
      <w:r w:rsidRPr="00931D46">
        <w:rPr>
          <w:rFonts w:ascii="Arial" w:hAnsi="Arial" w:cs="Arial"/>
          <w:i/>
        </w:rPr>
        <w:t>a</w:t>
      </w:r>
      <w:r w:rsidRPr="00931D46">
        <w:rPr>
          <w:rFonts w:ascii="Arial" w:hAnsi="Arial" w:cs="Arial"/>
        </w:rPr>
        <w:t xml:space="preserve"> </w:t>
      </w:r>
      <w:r w:rsidRPr="00931D46">
        <w:rPr>
          <w:rFonts w:ascii="Arial" w:hAnsi="Arial" w:cs="Arial"/>
          <w:i/>
        </w:rPr>
        <w:t>priori</w:t>
      </w:r>
      <w:r w:rsidRPr="00931D46">
        <w:rPr>
          <w:rFonts w:ascii="Arial" w:hAnsi="Arial" w:cs="Arial"/>
        </w:rPr>
        <w:t xml:space="preserve">, la sustitución. Por lo tanto, se requiere, en primer lugar, identificar a los sustitutos potenciales y, </w:t>
      </w:r>
      <w:r w:rsidR="005B43F8" w:rsidRPr="00931D46">
        <w:rPr>
          <w:rFonts w:ascii="Arial" w:hAnsi="Arial" w:cs="Arial"/>
        </w:rPr>
        <w:t>posteriormente</w:t>
      </w:r>
      <w:r w:rsidRPr="00931D46">
        <w:rPr>
          <w:rFonts w:ascii="Arial" w:hAnsi="Arial" w:cs="Arial"/>
        </w:rPr>
        <w:t>, obtener información del comportamiento de los consumidores.</w:t>
      </w:r>
      <w:r w:rsidRPr="00931D46">
        <w:rPr>
          <w:rStyle w:val="Refdenotaalpie"/>
          <w:rFonts w:ascii="Arial" w:hAnsi="Arial" w:cs="Arial"/>
        </w:rPr>
        <w:footnoteReference w:id="249"/>
      </w:r>
    </w:p>
    <w:p w14:paraId="3F679D42" w14:textId="77777777" w:rsidR="00B4325D" w:rsidRPr="00931D46" w:rsidRDefault="00B4325D" w:rsidP="0023353F">
      <w:pPr>
        <w:spacing w:before="0" w:after="0"/>
        <w:rPr>
          <w:rFonts w:ascii="Arial" w:hAnsi="Arial" w:cs="Arial"/>
        </w:rPr>
      </w:pPr>
    </w:p>
    <w:p w14:paraId="0508C5B2" w14:textId="2D7D8D41" w:rsidR="00B4325D" w:rsidRPr="00931D46" w:rsidRDefault="00B4325D" w:rsidP="0023353F">
      <w:pPr>
        <w:spacing w:before="0" w:after="0"/>
        <w:rPr>
          <w:rFonts w:ascii="Arial" w:hAnsi="Arial" w:cs="Arial"/>
        </w:rPr>
      </w:pPr>
      <w:r w:rsidRPr="00931D46">
        <w:rPr>
          <w:rFonts w:ascii="Arial" w:hAnsi="Arial" w:cs="Arial"/>
        </w:rPr>
        <w:t xml:space="preserve">En presencia de mercados o plataformas de múltiples lados, la OCDE señala </w:t>
      </w:r>
      <w:r w:rsidR="00906199" w:rsidRPr="00931D46">
        <w:rPr>
          <w:rFonts w:ascii="Arial" w:hAnsi="Arial" w:cs="Arial"/>
        </w:rPr>
        <w:t xml:space="preserve">que se deben considerar </w:t>
      </w:r>
      <w:r w:rsidRPr="00931D46">
        <w:rPr>
          <w:rFonts w:ascii="Arial" w:hAnsi="Arial" w:cs="Arial"/>
        </w:rPr>
        <w:t xml:space="preserve">las siguientes cuestiones relacionadas con la diferenciación de </w:t>
      </w:r>
      <w:r w:rsidR="00330363">
        <w:rPr>
          <w:rFonts w:ascii="Arial" w:hAnsi="Arial" w:cs="Arial"/>
        </w:rPr>
        <w:t>producto</w:t>
      </w:r>
      <w:r w:rsidRPr="00931D46">
        <w:rPr>
          <w:rFonts w:ascii="Arial" w:hAnsi="Arial" w:cs="Arial"/>
        </w:rPr>
        <w:t>:</w:t>
      </w:r>
      <w:r w:rsidRPr="00931D46">
        <w:rPr>
          <w:rStyle w:val="Refdenotaalpie"/>
          <w:rFonts w:ascii="Arial" w:hAnsi="Arial" w:cs="Arial"/>
        </w:rPr>
        <w:footnoteReference w:id="250"/>
      </w:r>
      <w:r w:rsidRPr="00931D46">
        <w:rPr>
          <w:rFonts w:ascii="Arial" w:hAnsi="Arial" w:cs="Arial"/>
        </w:rPr>
        <w:t xml:space="preserve"> </w:t>
      </w:r>
    </w:p>
    <w:p w14:paraId="3C94FF01" w14:textId="77777777" w:rsidR="0023353F" w:rsidRPr="00931D46" w:rsidRDefault="0023353F" w:rsidP="0023353F">
      <w:pPr>
        <w:spacing w:before="0" w:after="0"/>
        <w:rPr>
          <w:rFonts w:ascii="Arial" w:hAnsi="Arial" w:cs="Arial"/>
        </w:rPr>
      </w:pPr>
    </w:p>
    <w:p w14:paraId="3B078BD3" w14:textId="77777777" w:rsidR="00B4325D" w:rsidRPr="00931D46" w:rsidRDefault="00B4325D" w:rsidP="0023353F">
      <w:pPr>
        <w:pStyle w:val="Prrafodelista"/>
        <w:numPr>
          <w:ilvl w:val="0"/>
          <w:numId w:val="4"/>
        </w:numPr>
        <w:spacing w:before="0" w:after="0"/>
        <w:ind w:hanging="578"/>
        <w:contextualSpacing w:val="0"/>
        <w:rPr>
          <w:rFonts w:ascii="Arial" w:hAnsi="Arial" w:cs="Arial"/>
        </w:rPr>
      </w:pPr>
      <w:r w:rsidRPr="00931D46">
        <w:rPr>
          <w:rFonts w:ascii="Arial" w:hAnsi="Arial" w:cs="Arial"/>
          <w:iCs/>
        </w:rPr>
        <w:t>En cada lado de los mercados de múltiples lados, el grado de competencia que enfrenta una plataforma depende del grado de diferenciación vertical y horizontal en cada lado.</w:t>
      </w:r>
    </w:p>
    <w:p w14:paraId="344C06D1" w14:textId="71A41CCB" w:rsidR="00B4325D" w:rsidRPr="00931D46" w:rsidRDefault="00B4325D" w:rsidP="008075E9">
      <w:pPr>
        <w:pStyle w:val="Prrafodelista"/>
        <w:numPr>
          <w:ilvl w:val="0"/>
          <w:numId w:val="4"/>
        </w:numPr>
        <w:spacing w:before="0" w:after="0"/>
        <w:ind w:hanging="578"/>
        <w:contextualSpacing w:val="0"/>
        <w:rPr>
          <w:rFonts w:ascii="Arial" w:hAnsi="Arial" w:cs="Arial"/>
        </w:rPr>
      </w:pPr>
      <w:r w:rsidRPr="00931D46">
        <w:rPr>
          <w:rFonts w:ascii="Arial" w:hAnsi="Arial" w:cs="Arial"/>
        </w:rPr>
        <w:t>La definición de</w:t>
      </w:r>
      <w:r w:rsidR="00906199" w:rsidRPr="00931D46">
        <w:rPr>
          <w:rFonts w:ascii="Arial" w:hAnsi="Arial" w:cs="Arial"/>
        </w:rPr>
        <w:t>l MR</w:t>
      </w:r>
      <w:r w:rsidRPr="00931D46">
        <w:rPr>
          <w:rFonts w:ascii="Arial" w:hAnsi="Arial" w:cs="Arial"/>
        </w:rPr>
        <w:t xml:space="preserve"> en mercados de un solo lado típicamente toma la diferenciación de </w:t>
      </w:r>
      <w:r w:rsidR="00330363">
        <w:rPr>
          <w:rFonts w:ascii="Arial" w:hAnsi="Arial" w:cs="Arial"/>
        </w:rPr>
        <w:t>producto</w:t>
      </w:r>
      <w:r w:rsidRPr="00931D46">
        <w:rPr>
          <w:rFonts w:ascii="Arial" w:hAnsi="Arial" w:cs="Arial"/>
        </w:rPr>
        <w:t xml:space="preserve"> como dada. Sin embargo, en un mercado de </w:t>
      </w:r>
      <w:r w:rsidR="008075E9">
        <w:rPr>
          <w:rFonts w:ascii="Arial" w:hAnsi="Arial" w:cs="Arial"/>
        </w:rPr>
        <w:t>múltiples</w:t>
      </w:r>
      <w:r w:rsidR="008075E9" w:rsidRPr="00931D46">
        <w:rPr>
          <w:rFonts w:ascii="Arial" w:hAnsi="Arial" w:cs="Arial"/>
        </w:rPr>
        <w:t xml:space="preserve"> </w:t>
      </w:r>
      <w:r w:rsidRPr="00931D46">
        <w:rPr>
          <w:rFonts w:ascii="Arial" w:hAnsi="Arial" w:cs="Arial"/>
        </w:rPr>
        <w:t xml:space="preserve">lados, </w:t>
      </w:r>
      <w:r w:rsidR="008075E9">
        <w:rPr>
          <w:rFonts w:ascii="Arial" w:hAnsi="Arial" w:cs="Arial"/>
        </w:rPr>
        <w:t>l</w:t>
      </w:r>
      <w:r w:rsidRPr="00931D46">
        <w:rPr>
          <w:rFonts w:ascii="Arial" w:hAnsi="Arial" w:cs="Arial"/>
        </w:rPr>
        <w:t xml:space="preserve">a diferenciación de </w:t>
      </w:r>
      <w:r w:rsidR="00330363">
        <w:rPr>
          <w:rFonts w:ascii="Arial" w:hAnsi="Arial" w:cs="Arial"/>
        </w:rPr>
        <w:t>producto</w:t>
      </w:r>
      <w:r w:rsidRPr="00931D46">
        <w:rPr>
          <w:rFonts w:ascii="Arial" w:hAnsi="Arial" w:cs="Arial"/>
        </w:rPr>
        <w:t xml:space="preserve"> en uno de los lados no solo afecta la determinación de precios en ese lado (como en los mercados de un lado), sino que también puede depender de las decisiones de precios en el (los) otro(s) lado(s).</w:t>
      </w:r>
    </w:p>
    <w:p w14:paraId="63AE4C5A" w14:textId="77777777" w:rsidR="00B4325D" w:rsidRPr="00931D46" w:rsidRDefault="00B4325D" w:rsidP="0023353F">
      <w:pPr>
        <w:spacing w:before="0" w:after="0"/>
        <w:rPr>
          <w:rFonts w:ascii="Arial" w:hAnsi="Arial" w:cs="Arial"/>
        </w:rPr>
      </w:pPr>
    </w:p>
    <w:p w14:paraId="30B3FD07" w14:textId="77777777" w:rsidR="001572EF" w:rsidRPr="00931D46" w:rsidRDefault="001572EF"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310" w:name="_Toc41643464"/>
      <w:bookmarkStart w:id="311" w:name="_Toc41643557"/>
      <w:bookmarkStart w:id="312" w:name="_Toc41643653"/>
      <w:bookmarkStart w:id="313" w:name="_Toc41649790"/>
      <w:r w:rsidRPr="00931D46">
        <w:rPr>
          <w:rFonts w:ascii="Arial" w:eastAsia="Times New Roman" w:hAnsi="Arial" w:cs="Arial"/>
          <w:b/>
          <w:i w:val="0"/>
          <w:color w:val="auto"/>
          <w:lang w:val="en-US" w:eastAsia="es-MX"/>
        </w:rPr>
        <w:t>Unión Europea</w:t>
      </w:r>
      <w:bookmarkEnd w:id="310"/>
      <w:bookmarkEnd w:id="311"/>
      <w:bookmarkEnd w:id="312"/>
      <w:bookmarkEnd w:id="313"/>
    </w:p>
    <w:p w14:paraId="03FEB157" w14:textId="77777777" w:rsidR="001572EF" w:rsidRPr="00931D46" w:rsidRDefault="001572EF" w:rsidP="0023353F">
      <w:pPr>
        <w:keepNext/>
        <w:spacing w:before="0" w:after="0"/>
        <w:ind w:right="49"/>
        <w:rPr>
          <w:rFonts w:ascii="Arial" w:hAnsi="Arial" w:cs="Arial"/>
        </w:rPr>
      </w:pPr>
    </w:p>
    <w:p w14:paraId="5CE60822" w14:textId="2D828FFD" w:rsidR="00683C9A" w:rsidRPr="00931D46" w:rsidRDefault="00691BC6" w:rsidP="0023353F">
      <w:pPr>
        <w:spacing w:before="0" w:after="0"/>
        <w:ind w:right="49"/>
        <w:rPr>
          <w:rFonts w:ascii="Arial" w:hAnsi="Arial" w:cs="Arial"/>
          <w:i/>
        </w:rPr>
      </w:pPr>
      <w:r w:rsidRPr="00931D46">
        <w:rPr>
          <w:rFonts w:ascii="Arial" w:hAnsi="Arial" w:cs="Arial"/>
        </w:rPr>
        <w:t>L</w:t>
      </w:r>
      <w:r w:rsidR="001572EF" w:rsidRPr="00931D46">
        <w:rPr>
          <w:rFonts w:ascii="Arial" w:hAnsi="Arial" w:cs="Arial"/>
        </w:rPr>
        <w:t xml:space="preserve">a CE </w:t>
      </w:r>
      <w:r w:rsidRPr="00931D46">
        <w:rPr>
          <w:rFonts w:ascii="Arial" w:hAnsi="Arial" w:cs="Arial"/>
        </w:rPr>
        <w:t>señala</w:t>
      </w:r>
      <w:r w:rsidR="001572EF" w:rsidRPr="00931D46">
        <w:rPr>
          <w:rFonts w:ascii="Arial" w:hAnsi="Arial" w:cs="Arial"/>
        </w:rPr>
        <w:t xml:space="preserve"> que las diferencias en las características de los </w:t>
      </w:r>
      <w:r w:rsidR="00330363">
        <w:rPr>
          <w:rFonts w:ascii="Arial" w:hAnsi="Arial" w:cs="Arial"/>
        </w:rPr>
        <w:t>productos</w:t>
      </w:r>
      <w:r w:rsidR="001572EF" w:rsidRPr="00931D46">
        <w:rPr>
          <w:rFonts w:ascii="Arial" w:hAnsi="Arial" w:cs="Arial"/>
        </w:rPr>
        <w:t xml:space="preserve"> no bastan en sí mismas para afirmar que no existe sustituibilidad en la demanda, por lo que se requiere analizar todos aquellos </w:t>
      </w:r>
      <w:r w:rsidR="00330363">
        <w:rPr>
          <w:rFonts w:ascii="Arial" w:hAnsi="Arial" w:cs="Arial"/>
        </w:rPr>
        <w:t>productos</w:t>
      </w:r>
      <w:r w:rsidR="001572EF" w:rsidRPr="00931D46">
        <w:rPr>
          <w:rFonts w:ascii="Arial" w:hAnsi="Arial" w:cs="Arial"/>
        </w:rPr>
        <w:t xml:space="preserve"> que cumplen el mismo fin desde la perspectiva de la demanda</w:t>
      </w:r>
      <w:r w:rsidR="006158BA" w:rsidRPr="00931D46">
        <w:rPr>
          <w:rFonts w:ascii="Arial" w:hAnsi="Arial" w:cs="Arial"/>
        </w:rPr>
        <w:t xml:space="preserve">; asimismo, considera que </w:t>
      </w:r>
      <w:r w:rsidR="00EA7684" w:rsidRPr="00931D46">
        <w:rPr>
          <w:rFonts w:ascii="Arial" w:hAnsi="Arial" w:cs="Arial"/>
        </w:rPr>
        <w:t xml:space="preserve">en la </w:t>
      </w:r>
      <w:r w:rsidR="00B81AB3" w:rsidRPr="00931D46">
        <w:rPr>
          <w:rFonts w:ascii="Arial" w:hAnsi="Arial" w:cs="Arial"/>
        </w:rPr>
        <w:t>determinación</w:t>
      </w:r>
      <w:r w:rsidR="00EA7684" w:rsidRPr="00931D46">
        <w:rPr>
          <w:rFonts w:ascii="Arial" w:hAnsi="Arial" w:cs="Arial"/>
        </w:rPr>
        <w:t xml:space="preserve"> del MR se debe </w:t>
      </w:r>
      <w:r w:rsidR="006158BA" w:rsidRPr="00931D46">
        <w:rPr>
          <w:rFonts w:ascii="Arial" w:hAnsi="Arial" w:cs="Arial"/>
        </w:rPr>
        <w:t xml:space="preserve">analizar </w:t>
      </w:r>
      <w:r w:rsidR="00B81AB3" w:rsidRPr="00931D46">
        <w:rPr>
          <w:rFonts w:ascii="Arial" w:hAnsi="Arial" w:cs="Arial"/>
        </w:rPr>
        <w:t>la existencia de sustitución en cadena y que u</w:t>
      </w:r>
      <w:r w:rsidR="00EA7684" w:rsidRPr="00931D46">
        <w:rPr>
          <w:rFonts w:ascii="Arial" w:hAnsi="Arial" w:cs="Arial"/>
        </w:rPr>
        <w:t xml:space="preserve">na manera para corroborar la existencia de tales cadenas puede llevarse a cabo </w:t>
      </w:r>
      <w:r w:rsidR="006158BA" w:rsidRPr="00931D46">
        <w:rPr>
          <w:rFonts w:ascii="Arial" w:hAnsi="Arial" w:cs="Arial"/>
        </w:rPr>
        <w:t>“</w:t>
      </w:r>
      <w:r w:rsidR="00EA7684" w:rsidRPr="00931D46">
        <w:rPr>
          <w:rFonts w:ascii="Arial" w:hAnsi="Arial" w:cs="Arial"/>
          <w:i/>
        </w:rPr>
        <w:t>por evidencia real, por ejemplo, relacionada con la interdependencia de precios en los extremos de las cadenas de sustitución</w:t>
      </w:r>
      <w:r w:rsidR="006158BA" w:rsidRPr="00931D46">
        <w:rPr>
          <w:rFonts w:ascii="Arial" w:hAnsi="Arial" w:cs="Arial"/>
          <w:i/>
        </w:rPr>
        <w:t xml:space="preserve"> (…) Los niveles de precios en los extremos de las cadenas tendrían que ser de la misma magnitud.”</w:t>
      </w:r>
      <w:r w:rsidR="00B81AB3" w:rsidRPr="00931D46">
        <w:rPr>
          <w:rStyle w:val="Refdenotaalpie"/>
          <w:rFonts w:ascii="Arial" w:hAnsi="Arial" w:cs="Arial"/>
        </w:rPr>
        <w:footnoteReference w:id="251"/>
      </w:r>
      <w:r w:rsidR="006158BA" w:rsidRPr="00931D46">
        <w:rPr>
          <w:rFonts w:ascii="Arial" w:hAnsi="Arial" w:cs="Arial"/>
          <w:i/>
        </w:rPr>
        <w:t xml:space="preserve"> </w:t>
      </w:r>
    </w:p>
    <w:p w14:paraId="7FD2DCA9" w14:textId="77777777" w:rsidR="005665C1" w:rsidRPr="00931D46" w:rsidRDefault="005665C1" w:rsidP="0023353F">
      <w:pPr>
        <w:spacing w:before="0" w:after="0"/>
        <w:ind w:right="49"/>
        <w:rPr>
          <w:rFonts w:ascii="Arial" w:hAnsi="Arial" w:cs="Arial"/>
        </w:rPr>
      </w:pPr>
    </w:p>
    <w:p w14:paraId="57683734" w14:textId="77777777" w:rsidR="00EA7684" w:rsidRPr="00931D46" w:rsidRDefault="00683C9A" w:rsidP="0023353F">
      <w:pPr>
        <w:spacing w:before="0" w:after="0"/>
        <w:ind w:right="49"/>
        <w:rPr>
          <w:rFonts w:ascii="Arial" w:hAnsi="Arial" w:cs="Arial"/>
        </w:rPr>
      </w:pPr>
      <w:r w:rsidRPr="00931D46">
        <w:rPr>
          <w:rFonts w:ascii="Arial" w:hAnsi="Arial" w:cs="Arial"/>
        </w:rPr>
        <w:t xml:space="preserve">Un </w:t>
      </w:r>
      <w:r w:rsidR="00EA7684" w:rsidRPr="00931D46">
        <w:rPr>
          <w:rFonts w:ascii="Arial" w:hAnsi="Arial" w:cs="Arial"/>
        </w:rPr>
        <w:t>caso ilustrativo de lo anterior para los sectores de TyR</w:t>
      </w:r>
      <w:r w:rsidRPr="00931D46">
        <w:rPr>
          <w:rFonts w:ascii="Arial" w:hAnsi="Arial" w:cs="Arial"/>
        </w:rPr>
        <w:t xml:space="preserve"> sería el siguiente</w:t>
      </w:r>
      <w:r w:rsidR="00EA7684" w:rsidRPr="00931D46">
        <w:rPr>
          <w:rFonts w:ascii="Arial" w:hAnsi="Arial" w:cs="Arial"/>
        </w:rPr>
        <w:t>:</w:t>
      </w:r>
      <w:r w:rsidRPr="00931D46">
        <w:rPr>
          <w:rFonts w:ascii="Arial" w:hAnsi="Arial" w:cs="Arial"/>
        </w:rPr>
        <w:t xml:space="preserve"> s</w:t>
      </w:r>
      <w:r w:rsidR="00EA7684" w:rsidRPr="00931D46">
        <w:rPr>
          <w:rFonts w:ascii="Arial" w:hAnsi="Arial" w:cs="Arial"/>
        </w:rPr>
        <w:t>i los precios de anteriores o actuales generaciones de tecnologías pueden condicionar los precios de generaciones futuras, es probable que exista una cadena de sustitución, lo que podría justificar la agrupación de todas las generaciones de tecnologías en el mismo MR.</w:t>
      </w:r>
      <w:r w:rsidRPr="00931D46">
        <w:rPr>
          <w:rFonts w:ascii="Arial" w:hAnsi="Arial" w:cs="Arial"/>
          <w:vertAlign w:val="superscript"/>
        </w:rPr>
        <w:footnoteReference w:id="252"/>
      </w:r>
    </w:p>
    <w:p w14:paraId="541AB0D0" w14:textId="77777777" w:rsidR="006158BA" w:rsidRPr="00931D46" w:rsidRDefault="006158BA" w:rsidP="0023353F">
      <w:pPr>
        <w:spacing w:before="0" w:after="0"/>
        <w:ind w:left="708"/>
        <w:rPr>
          <w:rFonts w:ascii="Arial" w:hAnsi="Arial" w:cs="Arial"/>
        </w:rPr>
      </w:pPr>
    </w:p>
    <w:p w14:paraId="1EFDFD1F" w14:textId="4E0F4619" w:rsidR="00E306AF" w:rsidRPr="00931D46" w:rsidRDefault="00E306AF" w:rsidP="0023353F">
      <w:pPr>
        <w:spacing w:before="0" w:after="0"/>
        <w:rPr>
          <w:rFonts w:ascii="Arial" w:hAnsi="Arial" w:cs="Arial"/>
        </w:rPr>
      </w:pPr>
      <w:r w:rsidRPr="00931D46">
        <w:rPr>
          <w:rFonts w:ascii="Arial" w:hAnsi="Arial" w:cs="Arial"/>
        </w:rPr>
        <w:t>En el caso de Wanadoo España contra Telefónica,</w:t>
      </w:r>
      <w:r w:rsidRPr="00931D46">
        <w:rPr>
          <w:rStyle w:val="Refdenotaalpie"/>
          <w:rFonts w:ascii="Arial" w:hAnsi="Arial" w:cs="Arial"/>
        </w:rPr>
        <w:footnoteReference w:id="253"/>
      </w:r>
      <w:r w:rsidRPr="00931D46">
        <w:rPr>
          <w:rFonts w:ascii="Arial" w:hAnsi="Arial" w:cs="Arial"/>
        </w:rPr>
        <w:t xml:space="preserve"> la CE señaló que </w:t>
      </w:r>
      <w:r w:rsidR="00EF48B1" w:rsidRPr="00931D46">
        <w:rPr>
          <w:rFonts w:ascii="Arial" w:hAnsi="Arial" w:cs="Arial"/>
        </w:rPr>
        <w:t>el</w:t>
      </w:r>
      <w:r w:rsidRPr="00931D46">
        <w:rPr>
          <w:rFonts w:ascii="Arial" w:hAnsi="Arial" w:cs="Arial"/>
        </w:rPr>
        <w:t xml:space="preserve"> </w:t>
      </w:r>
      <w:r w:rsidR="00CB5E57" w:rsidRPr="00931D46">
        <w:rPr>
          <w:rFonts w:ascii="Arial" w:hAnsi="Arial" w:cs="Arial"/>
        </w:rPr>
        <w:t>SBAF</w:t>
      </w:r>
      <w:r w:rsidRPr="00931D46">
        <w:rPr>
          <w:rFonts w:ascii="Arial" w:hAnsi="Arial" w:cs="Arial"/>
        </w:rPr>
        <w:t xml:space="preserve"> puede ser diferenciado en función de: i) sus características de uso, ii) su velocidad, iii) su tecnología, iv) características individuales (por ejemplo, servicios a la medida), y v) su precio.</w:t>
      </w:r>
    </w:p>
    <w:p w14:paraId="10E454C6" w14:textId="77777777" w:rsidR="00E306AF" w:rsidRPr="00931D46" w:rsidRDefault="00E306AF" w:rsidP="0023353F">
      <w:pPr>
        <w:spacing w:before="0" w:after="0"/>
        <w:rPr>
          <w:rFonts w:ascii="Arial" w:hAnsi="Arial" w:cs="Arial"/>
        </w:rPr>
      </w:pPr>
    </w:p>
    <w:p w14:paraId="2294E07C" w14:textId="6D129553" w:rsidR="00E306AF" w:rsidRPr="00931D46" w:rsidRDefault="00E306AF" w:rsidP="0023353F">
      <w:pPr>
        <w:spacing w:before="0" w:after="0"/>
        <w:rPr>
          <w:rFonts w:ascii="Arial" w:hAnsi="Arial" w:cs="Arial"/>
        </w:rPr>
      </w:pPr>
      <w:r w:rsidRPr="00931D46">
        <w:rPr>
          <w:rFonts w:ascii="Arial" w:hAnsi="Arial" w:cs="Arial"/>
        </w:rPr>
        <w:t xml:space="preserve">Al respecto, la CE concluyó que </w:t>
      </w:r>
      <w:r w:rsidR="00EF48B1" w:rsidRPr="00931D46">
        <w:rPr>
          <w:rFonts w:ascii="Arial" w:hAnsi="Arial" w:cs="Arial"/>
        </w:rPr>
        <w:t>el SBAF provisto</w:t>
      </w:r>
      <w:r w:rsidRPr="00931D46">
        <w:rPr>
          <w:rFonts w:ascii="Arial" w:hAnsi="Arial" w:cs="Arial"/>
        </w:rPr>
        <w:t xml:space="preserve"> mediante tecnología ADSL</w:t>
      </w:r>
      <w:r w:rsidR="00361AC3" w:rsidRPr="00931D46">
        <w:rPr>
          <w:rStyle w:val="Refdenotaalpie"/>
          <w:rFonts w:ascii="Arial" w:hAnsi="Arial" w:cs="Arial"/>
        </w:rPr>
        <w:footnoteReference w:id="254"/>
      </w:r>
      <w:r w:rsidRPr="00931D46">
        <w:rPr>
          <w:rFonts w:ascii="Arial" w:hAnsi="Arial" w:cs="Arial"/>
        </w:rPr>
        <w:t xml:space="preserve"> o por cualquier otra tecnología, forma parte del mismo MR, toda vez que se trata de servicios estándar, dirigidos a clientes con necesidades comunes y sus precios y funcionalidades son similares; mientras que los servicios de acceso a Internet “a la medida”, fundamentalmente dirigidos a grandes empresas, no forman parte del mismo MR, pues se diseñan para cubrir necesidades específicas de ciertos clientes, incorporan funciones más avanzadas y sus precios son más altos que los de los servicios de acceso estándar.</w:t>
      </w:r>
    </w:p>
    <w:p w14:paraId="4474C37F" w14:textId="77777777" w:rsidR="00E306AF" w:rsidRPr="00931D46" w:rsidRDefault="00E306AF" w:rsidP="0023353F">
      <w:pPr>
        <w:spacing w:before="0" w:after="0"/>
        <w:rPr>
          <w:rFonts w:ascii="Arial" w:hAnsi="Arial" w:cs="Arial"/>
        </w:rPr>
      </w:pPr>
    </w:p>
    <w:p w14:paraId="4E7CBFCB" w14:textId="77777777" w:rsidR="00E306AF" w:rsidRPr="00931D46" w:rsidRDefault="00E306AF" w:rsidP="0023353F">
      <w:pPr>
        <w:spacing w:before="0" w:after="0"/>
        <w:ind w:right="49"/>
        <w:rPr>
          <w:rFonts w:ascii="Arial" w:hAnsi="Arial" w:cs="Arial"/>
        </w:rPr>
      </w:pPr>
      <w:r w:rsidRPr="00931D46">
        <w:rPr>
          <w:rFonts w:ascii="Arial" w:hAnsi="Arial" w:cs="Arial"/>
        </w:rPr>
        <w:t xml:space="preserve">En este caso, se advierte que, a pesar de que algunos servicios podrían variar en función de velocidades y tecnología, dichos elementos no son suficientes para concluir que pertenecen a MR distintos; sin embargo, las características específicas y los precios fueron determinantes para </w:t>
      </w:r>
      <w:r w:rsidR="00C13B83" w:rsidRPr="00931D46">
        <w:rPr>
          <w:rFonts w:ascii="Arial" w:hAnsi="Arial" w:cs="Arial"/>
        </w:rPr>
        <w:t xml:space="preserve">concluir </w:t>
      </w:r>
      <w:r w:rsidRPr="00931D46">
        <w:rPr>
          <w:rFonts w:ascii="Arial" w:hAnsi="Arial" w:cs="Arial"/>
        </w:rPr>
        <w:t>que los servicios forman parte de MR separados.</w:t>
      </w:r>
    </w:p>
    <w:p w14:paraId="22D6B4BA" w14:textId="77777777" w:rsidR="00E306AF" w:rsidRPr="00931D46" w:rsidRDefault="00E306AF" w:rsidP="0023353F">
      <w:pPr>
        <w:spacing w:before="0" w:after="0"/>
        <w:ind w:right="49"/>
        <w:rPr>
          <w:rFonts w:ascii="Arial" w:hAnsi="Arial" w:cs="Arial"/>
        </w:rPr>
      </w:pPr>
    </w:p>
    <w:p w14:paraId="21DFFF37" w14:textId="77777777" w:rsidR="00EA7684" w:rsidRPr="00931D46" w:rsidRDefault="00EA7684"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r w:rsidRPr="00931D46">
        <w:rPr>
          <w:rFonts w:ascii="Arial" w:eastAsia="Times New Roman" w:hAnsi="Arial" w:cs="Arial"/>
          <w:b/>
          <w:i w:val="0"/>
          <w:color w:val="auto"/>
          <w:lang w:val="en-US" w:eastAsia="es-MX"/>
        </w:rPr>
        <w:t>Francia</w:t>
      </w:r>
    </w:p>
    <w:p w14:paraId="294EAAF0" w14:textId="77777777" w:rsidR="00EA7684" w:rsidRPr="00931D46" w:rsidRDefault="00EA7684" w:rsidP="0023353F">
      <w:pPr>
        <w:keepNext/>
        <w:spacing w:before="0" w:after="0"/>
        <w:ind w:right="49"/>
        <w:rPr>
          <w:rFonts w:ascii="Arial" w:hAnsi="Arial" w:cs="Arial"/>
          <w:lang w:val="en-US"/>
        </w:rPr>
      </w:pPr>
    </w:p>
    <w:p w14:paraId="4A007761" w14:textId="77777777" w:rsidR="00E34FA6" w:rsidRPr="00931D46" w:rsidRDefault="00EA7684" w:rsidP="0023353F">
      <w:pPr>
        <w:spacing w:before="0" w:after="0"/>
        <w:ind w:right="49"/>
        <w:rPr>
          <w:rFonts w:ascii="Arial" w:hAnsi="Arial" w:cs="Arial"/>
        </w:rPr>
      </w:pPr>
      <w:r w:rsidRPr="00931D46">
        <w:rPr>
          <w:rFonts w:ascii="Arial" w:hAnsi="Arial" w:cs="Arial"/>
        </w:rPr>
        <w:t>En 2005,</w:t>
      </w:r>
      <w:r w:rsidR="001572EF" w:rsidRPr="00931D46">
        <w:rPr>
          <w:rFonts w:ascii="Arial" w:hAnsi="Arial" w:cs="Arial"/>
        </w:rPr>
        <w:t xml:space="preserve"> ARCEP </w:t>
      </w:r>
      <w:r w:rsidRPr="00931D46">
        <w:rPr>
          <w:rFonts w:ascii="Arial" w:hAnsi="Arial" w:cs="Arial"/>
        </w:rPr>
        <w:t xml:space="preserve">solicitó </w:t>
      </w:r>
      <w:r w:rsidR="00E34FA6" w:rsidRPr="00931D46">
        <w:rPr>
          <w:rFonts w:ascii="Arial" w:hAnsi="Arial" w:cs="Arial"/>
        </w:rPr>
        <w:t>al CC su opinión sobre la definición del MR de</w:t>
      </w:r>
      <w:r w:rsidR="00970DAF" w:rsidRPr="00931D46">
        <w:rPr>
          <w:rFonts w:ascii="Arial" w:hAnsi="Arial" w:cs="Arial"/>
        </w:rPr>
        <w:t>l STF</w:t>
      </w:r>
      <w:r w:rsidR="00E34FA6" w:rsidRPr="00931D46">
        <w:rPr>
          <w:rFonts w:ascii="Arial" w:hAnsi="Arial" w:cs="Arial"/>
        </w:rPr>
        <w:t>,</w:t>
      </w:r>
      <w:r w:rsidR="00E34FA6" w:rsidRPr="00931D46">
        <w:rPr>
          <w:rFonts w:ascii="Arial" w:hAnsi="Arial" w:cs="Arial"/>
          <w:vertAlign w:val="superscript"/>
        </w:rPr>
        <w:footnoteReference w:id="255"/>
      </w:r>
      <w:r w:rsidR="00E34FA6" w:rsidRPr="00931D46">
        <w:rPr>
          <w:rFonts w:ascii="Arial" w:hAnsi="Arial" w:cs="Arial"/>
          <w:vertAlign w:val="superscript"/>
        </w:rPr>
        <w:t xml:space="preserve"> </w:t>
      </w:r>
      <w:r w:rsidR="00E34FA6" w:rsidRPr="00931D46">
        <w:rPr>
          <w:rFonts w:ascii="Arial" w:hAnsi="Arial" w:cs="Arial"/>
        </w:rPr>
        <w:t xml:space="preserve">el cual no incluía el servicio de </w:t>
      </w:r>
      <w:r w:rsidR="00997D34" w:rsidRPr="00931D46">
        <w:rPr>
          <w:rFonts w:ascii="Arial" w:hAnsi="Arial" w:cs="Arial"/>
        </w:rPr>
        <w:t>voz sobre banda ancha</w:t>
      </w:r>
      <w:r w:rsidR="00E34FA6" w:rsidRPr="00931D46">
        <w:rPr>
          <w:rFonts w:ascii="Arial" w:hAnsi="Arial" w:cs="Arial"/>
        </w:rPr>
        <w:t xml:space="preserve"> porque, de acuerdo con los argumentos de ARCEP, la provisión de </w:t>
      </w:r>
      <w:r w:rsidR="00997D34" w:rsidRPr="00931D46">
        <w:rPr>
          <w:rFonts w:ascii="Arial" w:hAnsi="Arial" w:cs="Arial"/>
        </w:rPr>
        <w:t xml:space="preserve">este último </w:t>
      </w:r>
      <w:r w:rsidR="00E34FA6" w:rsidRPr="00931D46">
        <w:rPr>
          <w:rFonts w:ascii="Arial" w:hAnsi="Arial" w:cs="Arial"/>
        </w:rPr>
        <w:t>no podía separarse de la provisión de</w:t>
      </w:r>
      <w:r w:rsidR="00970DAF" w:rsidRPr="00931D46">
        <w:rPr>
          <w:rFonts w:ascii="Arial" w:hAnsi="Arial" w:cs="Arial"/>
        </w:rPr>
        <w:t>l SBAF</w:t>
      </w:r>
      <w:r w:rsidR="00E34FA6" w:rsidRPr="00931D46">
        <w:rPr>
          <w:rFonts w:ascii="Arial" w:hAnsi="Arial" w:cs="Arial"/>
        </w:rPr>
        <w:t xml:space="preserve"> y, por ende, debería excluirse del mercado de</w:t>
      </w:r>
      <w:r w:rsidR="00970DAF" w:rsidRPr="00931D46">
        <w:rPr>
          <w:rFonts w:ascii="Arial" w:hAnsi="Arial" w:cs="Arial"/>
        </w:rPr>
        <w:t>l STF</w:t>
      </w:r>
      <w:r w:rsidR="00997D34" w:rsidRPr="00931D46">
        <w:rPr>
          <w:rFonts w:ascii="Arial" w:hAnsi="Arial" w:cs="Arial"/>
        </w:rPr>
        <w:t>.</w:t>
      </w:r>
    </w:p>
    <w:p w14:paraId="0EF094F0" w14:textId="77777777" w:rsidR="00E34FA6" w:rsidRPr="00931D46" w:rsidRDefault="00E34FA6" w:rsidP="0023353F">
      <w:pPr>
        <w:spacing w:before="0" w:after="0"/>
        <w:ind w:right="49"/>
        <w:rPr>
          <w:rFonts w:ascii="Arial" w:hAnsi="Arial" w:cs="Arial"/>
        </w:rPr>
      </w:pPr>
    </w:p>
    <w:p w14:paraId="3E8E86B7" w14:textId="5285793F" w:rsidR="00997D34" w:rsidRPr="00931D46" w:rsidRDefault="001572EF" w:rsidP="0023353F">
      <w:pPr>
        <w:spacing w:before="0" w:after="0"/>
        <w:rPr>
          <w:rFonts w:ascii="Arial" w:hAnsi="Arial" w:cs="Arial"/>
        </w:rPr>
      </w:pPr>
      <w:r w:rsidRPr="00931D46">
        <w:rPr>
          <w:rFonts w:ascii="Arial" w:hAnsi="Arial" w:cs="Arial"/>
        </w:rPr>
        <w:t xml:space="preserve">En </w:t>
      </w:r>
      <w:r w:rsidR="00E34FA6" w:rsidRPr="00931D46">
        <w:rPr>
          <w:rFonts w:ascii="Arial" w:hAnsi="Arial" w:cs="Arial"/>
        </w:rPr>
        <w:t>su</w:t>
      </w:r>
      <w:r w:rsidRPr="00931D46">
        <w:rPr>
          <w:rFonts w:ascii="Arial" w:hAnsi="Arial" w:cs="Arial"/>
        </w:rPr>
        <w:t xml:space="preserve"> revisión, </w:t>
      </w:r>
      <w:r w:rsidR="00E34FA6" w:rsidRPr="00931D46">
        <w:rPr>
          <w:rFonts w:ascii="Arial" w:hAnsi="Arial" w:cs="Arial"/>
        </w:rPr>
        <w:t>el</w:t>
      </w:r>
      <w:r w:rsidRPr="00931D46">
        <w:rPr>
          <w:rFonts w:ascii="Arial" w:hAnsi="Arial" w:cs="Arial"/>
        </w:rPr>
        <w:t xml:space="preserve"> CC no estuvo de acuerdo </w:t>
      </w:r>
      <w:r w:rsidR="00997D34" w:rsidRPr="00931D46">
        <w:rPr>
          <w:rFonts w:ascii="Arial" w:hAnsi="Arial" w:cs="Arial"/>
        </w:rPr>
        <w:t xml:space="preserve">con lo anterior </w:t>
      </w:r>
      <w:r w:rsidRPr="00931D46">
        <w:rPr>
          <w:rFonts w:ascii="Arial" w:hAnsi="Arial" w:cs="Arial"/>
        </w:rPr>
        <w:t xml:space="preserve">y argumentó que </w:t>
      </w:r>
      <w:r w:rsidR="00E34FA6" w:rsidRPr="00931D46">
        <w:rPr>
          <w:rFonts w:ascii="Arial" w:hAnsi="Arial" w:cs="Arial"/>
        </w:rPr>
        <w:t xml:space="preserve">los </w:t>
      </w:r>
      <w:r w:rsidR="00330363">
        <w:rPr>
          <w:rFonts w:ascii="Arial" w:hAnsi="Arial" w:cs="Arial"/>
        </w:rPr>
        <w:t>productos</w:t>
      </w:r>
      <w:r w:rsidR="00E34FA6" w:rsidRPr="00931D46">
        <w:rPr>
          <w:rFonts w:ascii="Arial" w:hAnsi="Arial" w:cs="Arial"/>
        </w:rPr>
        <w:t xml:space="preserve"> diferenciados, pero con la misma funcionalidad o destinados al mismo uso, podrían ser considerados como intercambiables. Por lo tanto, para evaluar la sustitución entre varios servicios de voz desde la perspectiva de los usuarios finales, lo apropiado era considerar la calidad, el uso real que le dan los usuarios, así como las funcionalidades que pueden proporcionar. En consecuencia, en opinión del CC, las características específicas de</w:t>
      </w:r>
      <w:r w:rsidR="00997D34" w:rsidRPr="00931D46">
        <w:rPr>
          <w:rFonts w:ascii="Arial" w:hAnsi="Arial" w:cs="Arial"/>
        </w:rPr>
        <w:t>l servicio de voz sobre banda ancha</w:t>
      </w:r>
      <w:r w:rsidR="00E34FA6" w:rsidRPr="00931D46">
        <w:rPr>
          <w:rFonts w:ascii="Arial" w:hAnsi="Arial" w:cs="Arial"/>
        </w:rPr>
        <w:t xml:space="preserve"> no </w:t>
      </w:r>
      <w:r w:rsidR="006F13EE" w:rsidRPr="00931D46">
        <w:rPr>
          <w:rFonts w:ascii="Arial" w:hAnsi="Arial" w:cs="Arial"/>
        </w:rPr>
        <w:t xml:space="preserve">impiden </w:t>
      </w:r>
      <w:r w:rsidR="00E34FA6" w:rsidRPr="00931D46">
        <w:rPr>
          <w:rFonts w:ascii="Arial" w:hAnsi="Arial" w:cs="Arial"/>
        </w:rPr>
        <w:t>su sustitución, desde la persp</w:t>
      </w:r>
      <w:r w:rsidR="00997D34" w:rsidRPr="00931D46">
        <w:rPr>
          <w:rFonts w:ascii="Arial" w:hAnsi="Arial" w:cs="Arial"/>
        </w:rPr>
        <w:t>ectiva de los usuarios finales,</w:t>
      </w:r>
      <w:r w:rsidR="00E34FA6" w:rsidRPr="00931D46">
        <w:rPr>
          <w:rFonts w:ascii="Arial" w:hAnsi="Arial" w:cs="Arial"/>
        </w:rPr>
        <w:t xml:space="preserve"> </w:t>
      </w:r>
      <w:r w:rsidR="00475F37">
        <w:rPr>
          <w:rFonts w:ascii="Arial" w:hAnsi="Arial" w:cs="Arial"/>
        </w:rPr>
        <w:t xml:space="preserve">con </w:t>
      </w:r>
      <w:r w:rsidR="00E34FA6" w:rsidRPr="00931D46">
        <w:rPr>
          <w:rFonts w:ascii="Arial" w:hAnsi="Arial" w:cs="Arial"/>
        </w:rPr>
        <w:t xml:space="preserve">el </w:t>
      </w:r>
      <w:r w:rsidR="00EF48B1" w:rsidRPr="00931D46">
        <w:rPr>
          <w:rFonts w:ascii="Arial" w:hAnsi="Arial" w:cs="Arial"/>
        </w:rPr>
        <w:t>STF</w:t>
      </w:r>
      <w:r w:rsidR="00E34FA6" w:rsidRPr="00931D46">
        <w:rPr>
          <w:rFonts w:ascii="Arial" w:hAnsi="Arial" w:cs="Arial"/>
        </w:rPr>
        <w:t xml:space="preserve"> tradicional.</w:t>
      </w:r>
      <w:r w:rsidR="00E34FA6" w:rsidRPr="00931D46">
        <w:rPr>
          <w:rStyle w:val="Refdenotaalpie"/>
          <w:rFonts w:ascii="Arial" w:hAnsi="Arial" w:cs="Arial"/>
        </w:rPr>
        <w:footnoteReference w:id="256"/>
      </w:r>
      <w:r w:rsidR="00E34FA6" w:rsidRPr="00931D46">
        <w:rPr>
          <w:rFonts w:ascii="Arial" w:hAnsi="Arial" w:cs="Arial"/>
        </w:rPr>
        <w:t xml:space="preserve"> </w:t>
      </w:r>
    </w:p>
    <w:p w14:paraId="7CD2F7EA" w14:textId="77777777" w:rsidR="00997D34" w:rsidRPr="00931D46" w:rsidRDefault="00997D34" w:rsidP="0023353F">
      <w:pPr>
        <w:spacing w:before="0" w:after="0"/>
        <w:rPr>
          <w:rFonts w:ascii="Arial" w:hAnsi="Arial" w:cs="Arial"/>
        </w:rPr>
      </w:pPr>
    </w:p>
    <w:p w14:paraId="447DB941" w14:textId="77777777" w:rsidR="00E34FA6" w:rsidRPr="00931D46" w:rsidRDefault="00997D34" w:rsidP="0023353F">
      <w:pPr>
        <w:spacing w:before="0" w:after="0"/>
        <w:rPr>
          <w:rFonts w:ascii="Arial" w:hAnsi="Arial" w:cs="Arial"/>
        </w:rPr>
      </w:pPr>
      <w:r w:rsidRPr="00931D46">
        <w:rPr>
          <w:rFonts w:ascii="Arial" w:hAnsi="Arial" w:cs="Arial"/>
        </w:rPr>
        <w:t>Con base en lo anterior</w:t>
      </w:r>
      <w:r w:rsidR="00E34FA6" w:rsidRPr="00931D46">
        <w:rPr>
          <w:rFonts w:ascii="Arial" w:hAnsi="Arial" w:cs="Arial"/>
        </w:rPr>
        <w:t xml:space="preserve">, ARCEP concluyó que los servicios de </w:t>
      </w:r>
      <w:r w:rsidRPr="00931D46">
        <w:rPr>
          <w:rFonts w:ascii="Arial" w:hAnsi="Arial" w:cs="Arial"/>
        </w:rPr>
        <w:t>voz sobre banda ancha</w:t>
      </w:r>
      <w:r w:rsidR="00E34FA6" w:rsidRPr="00931D46">
        <w:rPr>
          <w:rFonts w:ascii="Arial" w:hAnsi="Arial" w:cs="Arial"/>
        </w:rPr>
        <w:t xml:space="preserve"> son sustitutos de</w:t>
      </w:r>
      <w:r w:rsidR="00EF48B1" w:rsidRPr="00931D46">
        <w:rPr>
          <w:rFonts w:ascii="Arial" w:hAnsi="Arial" w:cs="Arial"/>
        </w:rPr>
        <w:t xml:space="preserve">l STF </w:t>
      </w:r>
      <w:r w:rsidR="00E34FA6" w:rsidRPr="00931D46">
        <w:rPr>
          <w:rFonts w:ascii="Arial" w:hAnsi="Arial" w:cs="Arial"/>
        </w:rPr>
        <w:t>tradicional</w:t>
      </w:r>
      <w:r w:rsidR="00E34FA6" w:rsidRPr="00931D46" w:rsidDel="00850947">
        <w:rPr>
          <w:rFonts w:ascii="Arial" w:hAnsi="Arial" w:cs="Arial"/>
        </w:rPr>
        <w:t xml:space="preserve"> </w:t>
      </w:r>
      <w:r w:rsidR="00E34FA6" w:rsidRPr="00931D46">
        <w:rPr>
          <w:rFonts w:ascii="Arial" w:hAnsi="Arial" w:cs="Arial"/>
        </w:rPr>
        <w:t xml:space="preserve">y, por lo tanto, forman parte del mismo </w:t>
      </w:r>
      <w:r w:rsidRPr="00931D46">
        <w:rPr>
          <w:rFonts w:ascii="Arial" w:hAnsi="Arial" w:cs="Arial"/>
        </w:rPr>
        <w:t>MR</w:t>
      </w:r>
      <w:r w:rsidR="00E34FA6" w:rsidRPr="00931D46">
        <w:rPr>
          <w:rFonts w:ascii="Arial" w:hAnsi="Arial" w:cs="Arial"/>
        </w:rPr>
        <w:t>.</w:t>
      </w:r>
      <w:r w:rsidR="00E34FA6" w:rsidRPr="00931D46">
        <w:rPr>
          <w:rStyle w:val="Refdenotaalpie"/>
          <w:rFonts w:ascii="Arial" w:hAnsi="Arial" w:cs="Arial"/>
        </w:rPr>
        <w:footnoteReference w:id="257"/>
      </w:r>
    </w:p>
    <w:p w14:paraId="2638C629" w14:textId="77777777" w:rsidR="00E34FA6" w:rsidRPr="00931D46" w:rsidRDefault="00E34FA6" w:rsidP="0023353F">
      <w:pPr>
        <w:spacing w:before="0" w:after="0"/>
        <w:rPr>
          <w:rFonts w:ascii="Arial" w:hAnsi="Arial" w:cs="Arial"/>
        </w:rPr>
      </w:pPr>
    </w:p>
    <w:p w14:paraId="6B16DAAC" w14:textId="77777777" w:rsidR="00E34FA6" w:rsidRPr="00931D46" w:rsidRDefault="00E34FA6" w:rsidP="0023353F">
      <w:pPr>
        <w:spacing w:before="0" w:after="0"/>
        <w:ind w:right="49"/>
        <w:rPr>
          <w:rFonts w:ascii="Arial" w:hAnsi="Arial" w:cs="Arial"/>
        </w:rPr>
      </w:pPr>
      <w:r w:rsidRPr="00931D46">
        <w:rPr>
          <w:rFonts w:ascii="Arial" w:hAnsi="Arial" w:cs="Arial"/>
        </w:rPr>
        <w:t>Este caso ilustra el hecho de que, aun cuando se trate de servicios diferenciados en términos de su tecnología de provisión, las características y funcionalidades desde la perspectiva de los usuarios puede llevarlos a ser incluidos en el mismo MR.</w:t>
      </w:r>
    </w:p>
    <w:p w14:paraId="66CFF922" w14:textId="77777777" w:rsidR="00460792" w:rsidRPr="00931D46" w:rsidRDefault="00460792" w:rsidP="0023353F">
      <w:pPr>
        <w:spacing w:before="0" w:after="0"/>
        <w:ind w:right="49"/>
        <w:rPr>
          <w:rFonts w:ascii="Arial" w:hAnsi="Arial" w:cs="Arial"/>
        </w:rPr>
      </w:pPr>
    </w:p>
    <w:p w14:paraId="539588E8" w14:textId="77777777" w:rsidR="001572EF" w:rsidRPr="00931D46" w:rsidRDefault="001572EF"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314" w:name="_Toc39855365"/>
      <w:bookmarkStart w:id="315" w:name="_Toc41643465"/>
      <w:bookmarkStart w:id="316" w:name="_Toc41643558"/>
      <w:bookmarkStart w:id="317" w:name="_Toc41643654"/>
      <w:bookmarkStart w:id="318" w:name="_Toc41649791"/>
      <w:bookmarkEnd w:id="314"/>
      <w:r w:rsidRPr="00931D46">
        <w:rPr>
          <w:rFonts w:ascii="Arial" w:eastAsia="Times New Roman" w:hAnsi="Arial" w:cs="Arial"/>
          <w:b/>
          <w:i w:val="0"/>
          <w:color w:val="auto"/>
          <w:lang w:val="en-US" w:eastAsia="es-MX"/>
        </w:rPr>
        <w:t>Reino Unido</w:t>
      </w:r>
      <w:bookmarkEnd w:id="315"/>
      <w:bookmarkEnd w:id="316"/>
      <w:bookmarkEnd w:id="317"/>
      <w:bookmarkEnd w:id="318"/>
      <w:r w:rsidR="00C17D90" w:rsidRPr="00931D46">
        <w:rPr>
          <w:rStyle w:val="Refdenotaalpie"/>
          <w:rFonts w:ascii="Arial" w:hAnsi="Arial" w:cs="Arial"/>
          <w:b/>
          <w:i w:val="0"/>
          <w:color w:val="auto"/>
        </w:rPr>
        <w:footnoteReference w:id="258"/>
      </w:r>
    </w:p>
    <w:p w14:paraId="2AB21A47" w14:textId="77777777" w:rsidR="001572EF" w:rsidRPr="00931D46" w:rsidRDefault="001572EF" w:rsidP="0023353F">
      <w:pPr>
        <w:keepNext/>
        <w:spacing w:before="0" w:after="0"/>
        <w:rPr>
          <w:rFonts w:ascii="Arial" w:hAnsi="Arial" w:cs="Arial"/>
        </w:rPr>
      </w:pPr>
    </w:p>
    <w:p w14:paraId="0DA6E226" w14:textId="5BE6052F" w:rsidR="001572EF" w:rsidRPr="00931D46" w:rsidRDefault="001572EF" w:rsidP="0023353F">
      <w:pPr>
        <w:spacing w:before="0" w:after="0"/>
        <w:rPr>
          <w:rFonts w:ascii="Arial" w:hAnsi="Arial" w:cs="Arial"/>
        </w:rPr>
      </w:pPr>
      <w:r w:rsidRPr="00931D46">
        <w:rPr>
          <w:rFonts w:ascii="Arial" w:hAnsi="Arial" w:cs="Arial"/>
        </w:rPr>
        <w:t xml:space="preserve">La </w:t>
      </w:r>
      <w:r w:rsidR="00EC3F9A" w:rsidRPr="00931D46">
        <w:rPr>
          <w:rFonts w:ascii="Arial" w:hAnsi="Arial" w:cs="Arial"/>
        </w:rPr>
        <w:t xml:space="preserve">autoridad de competencia del Reino Unido </w:t>
      </w:r>
      <w:r w:rsidRPr="00931D46">
        <w:rPr>
          <w:rFonts w:ascii="Arial" w:hAnsi="Arial" w:cs="Arial"/>
        </w:rPr>
        <w:t xml:space="preserve">señala que cuando los mercados contienen </w:t>
      </w:r>
      <w:r w:rsidR="00330363">
        <w:rPr>
          <w:rFonts w:ascii="Arial" w:hAnsi="Arial" w:cs="Arial"/>
        </w:rPr>
        <w:t>productos</w:t>
      </w:r>
      <w:r w:rsidRPr="00931D46">
        <w:rPr>
          <w:rFonts w:ascii="Arial" w:hAnsi="Arial" w:cs="Arial"/>
        </w:rPr>
        <w:t xml:space="preserve"> diferenciados puede que no haya un punto de corte claro que delimite al MR</w:t>
      </w:r>
      <w:r w:rsidR="00E306AF" w:rsidRPr="00931D46">
        <w:rPr>
          <w:rFonts w:ascii="Arial" w:hAnsi="Arial" w:cs="Arial"/>
        </w:rPr>
        <w:t xml:space="preserve">, por lo que </w:t>
      </w:r>
      <w:r w:rsidRPr="00931D46">
        <w:rPr>
          <w:rFonts w:ascii="Arial" w:hAnsi="Arial" w:cs="Arial"/>
        </w:rPr>
        <w:t xml:space="preserve">se debe evaluar si </w:t>
      </w:r>
      <w:r w:rsidR="00E306AF" w:rsidRPr="00931D46">
        <w:rPr>
          <w:rFonts w:ascii="Arial" w:hAnsi="Arial" w:cs="Arial"/>
        </w:rPr>
        <w:t>el</w:t>
      </w:r>
      <w:r w:rsidRPr="00931D46">
        <w:rPr>
          <w:rFonts w:ascii="Arial" w:hAnsi="Arial" w:cs="Arial"/>
        </w:rPr>
        <w:t xml:space="preserve"> </w:t>
      </w:r>
      <w:r w:rsidR="00330363">
        <w:rPr>
          <w:rFonts w:ascii="Arial" w:hAnsi="Arial" w:cs="Arial"/>
        </w:rPr>
        <w:t>producto</w:t>
      </w:r>
      <w:r w:rsidRPr="00931D46">
        <w:rPr>
          <w:rFonts w:ascii="Arial" w:hAnsi="Arial" w:cs="Arial"/>
        </w:rPr>
        <w:t xml:space="preserve"> focal es parte de una cadena larga e ininterrumpida de sustitutos. En este caso, el criterio esencial para decidir si un </w:t>
      </w:r>
      <w:r w:rsidR="00330363">
        <w:rPr>
          <w:rFonts w:ascii="Arial" w:hAnsi="Arial" w:cs="Arial"/>
        </w:rPr>
        <w:t>producto</w:t>
      </w:r>
      <w:r w:rsidRPr="00931D46">
        <w:rPr>
          <w:rFonts w:ascii="Arial" w:hAnsi="Arial" w:cs="Arial"/>
        </w:rPr>
        <w:t xml:space="preserve"> tiene que ser incluido </w:t>
      </w:r>
      <w:r w:rsidR="00E306AF" w:rsidRPr="00931D46">
        <w:rPr>
          <w:rFonts w:ascii="Arial" w:hAnsi="Arial" w:cs="Arial"/>
        </w:rPr>
        <w:t xml:space="preserve">en el MR </w:t>
      </w:r>
      <w:r w:rsidRPr="00931D46">
        <w:rPr>
          <w:rFonts w:ascii="Arial" w:hAnsi="Arial" w:cs="Arial"/>
        </w:rPr>
        <w:t xml:space="preserve">es </w:t>
      </w:r>
      <w:r w:rsidRPr="00931D46">
        <w:rPr>
          <w:rFonts w:ascii="Arial" w:hAnsi="Arial" w:cs="Arial"/>
          <w:i/>
        </w:rPr>
        <w:t>“si el precio de uno limita suficientemente el precio del otro</w:t>
      </w:r>
      <w:r w:rsidRPr="00931D46">
        <w:rPr>
          <w:rFonts w:ascii="Arial" w:hAnsi="Arial" w:cs="Arial"/>
        </w:rPr>
        <w:t>”.</w:t>
      </w:r>
    </w:p>
    <w:p w14:paraId="563E82CD" w14:textId="77777777" w:rsidR="001572EF" w:rsidRPr="00931D46" w:rsidRDefault="001572EF" w:rsidP="0023353F">
      <w:pPr>
        <w:spacing w:before="0" w:after="0"/>
        <w:rPr>
          <w:rFonts w:ascii="Arial" w:hAnsi="Arial" w:cs="Arial"/>
        </w:rPr>
      </w:pPr>
    </w:p>
    <w:p w14:paraId="372CD8C0" w14:textId="77777777" w:rsidR="001572EF" w:rsidRPr="00931D46" w:rsidRDefault="001572EF" w:rsidP="0023353F">
      <w:pPr>
        <w:pStyle w:val="Ttulo4"/>
        <w:keepLines w:val="0"/>
        <w:numPr>
          <w:ilvl w:val="3"/>
          <w:numId w:val="3"/>
        </w:numPr>
        <w:spacing w:before="0" w:line="276" w:lineRule="auto"/>
        <w:ind w:left="2268"/>
        <w:jc w:val="both"/>
        <w:rPr>
          <w:rFonts w:ascii="Arial" w:eastAsia="Times New Roman" w:hAnsi="Arial" w:cs="Arial"/>
          <w:b/>
          <w:i w:val="0"/>
          <w:color w:val="auto"/>
          <w:lang w:val="en-US" w:eastAsia="es-MX"/>
        </w:rPr>
      </w:pPr>
      <w:bookmarkStart w:id="319" w:name="_Toc39855367"/>
      <w:bookmarkStart w:id="320" w:name="_Toc41643466"/>
      <w:bookmarkStart w:id="321" w:name="_Toc41643559"/>
      <w:bookmarkStart w:id="322" w:name="_Toc41643655"/>
      <w:bookmarkStart w:id="323" w:name="_Toc41649792"/>
      <w:bookmarkEnd w:id="319"/>
      <w:r w:rsidRPr="00931D46">
        <w:rPr>
          <w:rFonts w:ascii="Arial" w:eastAsia="Times New Roman" w:hAnsi="Arial" w:cs="Arial"/>
          <w:b/>
          <w:i w:val="0"/>
          <w:color w:val="auto"/>
          <w:lang w:val="en-US" w:eastAsia="es-MX"/>
        </w:rPr>
        <w:t>Canadá</w:t>
      </w:r>
      <w:bookmarkEnd w:id="320"/>
      <w:bookmarkEnd w:id="321"/>
      <w:bookmarkEnd w:id="322"/>
      <w:bookmarkEnd w:id="323"/>
    </w:p>
    <w:p w14:paraId="4E841544" w14:textId="77777777" w:rsidR="001572EF" w:rsidRPr="00931D46" w:rsidRDefault="001572EF" w:rsidP="0023353F">
      <w:pPr>
        <w:keepNext/>
        <w:spacing w:before="0" w:after="0"/>
        <w:rPr>
          <w:rFonts w:ascii="Arial" w:hAnsi="Arial" w:cs="Arial"/>
        </w:rPr>
      </w:pPr>
    </w:p>
    <w:p w14:paraId="3C30B189" w14:textId="46D750BD" w:rsidR="001572EF" w:rsidRPr="00931D46" w:rsidRDefault="001572EF" w:rsidP="0023353F">
      <w:pPr>
        <w:spacing w:before="0" w:after="0"/>
        <w:rPr>
          <w:rFonts w:ascii="Arial" w:hAnsi="Arial" w:cs="Arial"/>
          <w:vertAlign w:val="superscript"/>
        </w:rPr>
      </w:pPr>
      <w:r w:rsidRPr="00931D46">
        <w:rPr>
          <w:rFonts w:ascii="Arial" w:hAnsi="Arial" w:cs="Arial"/>
        </w:rPr>
        <w:t xml:space="preserve">En casos </w:t>
      </w:r>
      <w:r w:rsidR="00E306AF" w:rsidRPr="00931D46">
        <w:rPr>
          <w:rFonts w:ascii="Arial" w:hAnsi="Arial" w:cs="Arial"/>
        </w:rPr>
        <w:t xml:space="preserve">que involucran </w:t>
      </w:r>
      <w:r w:rsidR="00330363">
        <w:rPr>
          <w:rFonts w:ascii="Arial" w:hAnsi="Arial" w:cs="Arial"/>
        </w:rPr>
        <w:t>productos</w:t>
      </w:r>
      <w:r w:rsidRPr="00931D46">
        <w:rPr>
          <w:rFonts w:ascii="Arial" w:hAnsi="Arial" w:cs="Arial"/>
        </w:rPr>
        <w:t xml:space="preserve"> diferenciados, la CBC ha utilizado análisis de elasticidades cruzadas y </w:t>
      </w:r>
      <w:r w:rsidR="00650FC1" w:rsidRPr="00931D46">
        <w:rPr>
          <w:rFonts w:ascii="Arial" w:hAnsi="Arial" w:cs="Arial"/>
        </w:rPr>
        <w:t xml:space="preserve">técnicas de </w:t>
      </w:r>
      <w:r w:rsidRPr="00931D46">
        <w:rPr>
          <w:rFonts w:ascii="Arial" w:hAnsi="Arial" w:cs="Arial"/>
        </w:rPr>
        <w:t xml:space="preserve">cointegración para </w:t>
      </w:r>
      <w:r w:rsidR="006B548E" w:rsidRPr="00931D46">
        <w:rPr>
          <w:rFonts w:ascii="Arial" w:hAnsi="Arial" w:cs="Arial"/>
        </w:rPr>
        <w:t>estimar</w:t>
      </w:r>
      <w:r w:rsidRPr="00931D46">
        <w:rPr>
          <w:rFonts w:ascii="Arial" w:hAnsi="Arial" w:cs="Arial"/>
        </w:rPr>
        <w:t xml:space="preserve"> en qué magnitud los precios de diferentes </w:t>
      </w:r>
      <w:r w:rsidR="00330363">
        <w:rPr>
          <w:rFonts w:ascii="Arial" w:hAnsi="Arial" w:cs="Arial"/>
        </w:rPr>
        <w:t>productos</w:t>
      </w:r>
      <w:r w:rsidRPr="00931D46">
        <w:rPr>
          <w:rFonts w:ascii="Arial" w:hAnsi="Arial" w:cs="Arial"/>
        </w:rPr>
        <w:t xml:space="preserve"> se mueven juntos y, </w:t>
      </w:r>
      <w:r w:rsidR="006B548E" w:rsidRPr="00931D46">
        <w:rPr>
          <w:rFonts w:ascii="Arial" w:hAnsi="Arial" w:cs="Arial"/>
        </w:rPr>
        <w:t>con</w:t>
      </w:r>
      <w:r w:rsidRPr="00931D46">
        <w:rPr>
          <w:rFonts w:ascii="Arial" w:hAnsi="Arial" w:cs="Arial"/>
        </w:rPr>
        <w:t xml:space="preserve"> ello, </w:t>
      </w:r>
      <w:r w:rsidR="006B548E" w:rsidRPr="00931D46">
        <w:rPr>
          <w:rFonts w:ascii="Arial" w:hAnsi="Arial" w:cs="Arial"/>
        </w:rPr>
        <w:t xml:space="preserve">aportar </w:t>
      </w:r>
      <w:r w:rsidRPr="00931D46">
        <w:rPr>
          <w:rFonts w:ascii="Arial" w:hAnsi="Arial" w:cs="Arial"/>
        </w:rPr>
        <w:t xml:space="preserve">evidencia acerca de si dos </w:t>
      </w:r>
      <w:r w:rsidR="00330363">
        <w:rPr>
          <w:rFonts w:ascii="Arial" w:hAnsi="Arial" w:cs="Arial"/>
        </w:rPr>
        <w:t>productos</w:t>
      </w:r>
      <w:r w:rsidRPr="00931D46">
        <w:rPr>
          <w:rFonts w:ascii="Arial" w:hAnsi="Arial" w:cs="Arial"/>
        </w:rPr>
        <w:t xml:space="preserve"> son o no sustitutos.</w:t>
      </w:r>
      <w:r w:rsidRPr="00931D46">
        <w:rPr>
          <w:rStyle w:val="Refdenotaalpie"/>
          <w:rFonts w:ascii="Arial" w:hAnsi="Arial" w:cs="Arial"/>
        </w:rPr>
        <w:footnoteReference w:id="259"/>
      </w:r>
    </w:p>
    <w:p w14:paraId="3317BAD3" w14:textId="77777777" w:rsidR="001572EF" w:rsidRPr="00931D46" w:rsidRDefault="001572EF" w:rsidP="0023353F">
      <w:pPr>
        <w:spacing w:before="0" w:after="0"/>
        <w:rPr>
          <w:rFonts w:ascii="Arial" w:hAnsi="Arial" w:cs="Arial"/>
        </w:rPr>
      </w:pPr>
    </w:p>
    <w:p w14:paraId="3066F344" w14:textId="7E0B0F72" w:rsidR="001572EF" w:rsidRPr="00330363" w:rsidRDefault="006B548E" w:rsidP="0023353F">
      <w:pPr>
        <w:spacing w:before="0" w:after="0"/>
        <w:rPr>
          <w:rFonts w:ascii="Arial" w:hAnsi="Arial" w:cs="Arial"/>
        </w:rPr>
      </w:pPr>
      <w:r w:rsidRPr="00931D46">
        <w:rPr>
          <w:rFonts w:ascii="Arial" w:hAnsi="Arial" w:cs="Arial"/>
        </w:rPr>
        <w:t>Por su parte</w:t>
      </w:r>
      <w:r w:rsidR="001572EF" w:rsidRPr="00931D46">
        <w:rPr>
          <w:rFonts w:ascii="Arial" w:hAnsi="Arial" w:cs="Arial"/>
        </w:rPr>
        <w:t xml:space="preserve">, la CRTC ha señalado que al definir el MR no sólo se deben considerar variables </w:t>
      </w:r>
      <w:r w:rsidR="001572EF" w:rsidRPr="00330363">
        <w:rPr>
          <w:rFonts w:ascii="Arial" w:hAnsi="Arial" w:cs="Arial"/>
        </w:rPr>
        <w:t xml:space="preserve">tradicionales, como el uso final y las características del </w:t>
      </w:r>
      <w:r w:rsidR="00330363" w:rsidRPr="00330363">
        <w:rPr>
          <w:rFonts w:ascii="Arial" w:hAnsi="Arial" w:cs="Arial"/>
        </w:rPr>
        <w:t>producto</w:t>
      </w:r>
      <w:r w:rsidR="001572EF" w:rsidRPr="00330363">
        <w:rPr>
          <w:rFonts w:ascii="Arial" w:hAnsi="Arial" w:cs="Arial"/>
        </w:rPr>
        <w:t xml:space="preserve">, sino </w:t>
      </w:r>
      <w:r w:rsidRPr="00330363">
        <w:rPr>
          <w:rFonts w:ascii="Arial" w:hAnsi="Arial" w:cs="Arial"/>
        </w:rPr>
        <w:t xml:space="preserve">otras </w:t>
      </w:r>
      <w:r w:rsidR="001572EF" w:rsidRPr="00330363">
        <w:rPr>
          <w:rFonts w:ascii="Arial" w:hAnsi="Arial" w:cs="Arial"/>
        </w:rPr>
        <w:t xml:space="preserve">herramientas empíricas </w:t>
      </w:r>
      <w:r w:rsidR="00EF48B1" w:rsidRPr="00330363">
        <w:rPr>
          <w:rFonts w:ascii="Arial" w:hAnsi="Arial" w:cs="Arial"/>
        </w:rPr>
        <w:t xml:space="preserve">que aporten evidencia respecto a la diferenciación, como los </w:t>
      </w:r>
      <w:r w:rsidR="001572EF" w:rsidRPr="00330363">
        <w:rPr>
          <w:rFonts w:ascii="Arial" w:hAnsi="Arial" w:cs="Arial"/>
        </w:rPr>
        <w:t xml:space="preserve">experimentos naturales, </w:t>
      </w:r>
      <w:r w:rsidRPr="00330363">
        <w:rPr>
          <w:rFonts w:ascii="Arial" w:hAnsi="Arial" w:cs="Arial"/>
        </w:rPr>
        <w:t xml:space="preserve">análisis de </w:t>
      </w:r>
      <w:r w:rsidR="001572EF" w:rsidRPr="00330363">
        <w:rPr>
          <w:rFonts w:ascii="Arial" w:hAnsi="Arial" w:cs="Arial"/>
        </w:rPr>
        <w:t>tendencias del c</w:t>
      </w:r>
      <w:r w:rsidRPr="00330363">
        <w:rPr>
          <w:rFonts w:ascii="Arial" w:hAnsi="Arial" w:cs="Arial"/>
        </w:rPr>
        <w:t>omportamiento de los usuarios</w:t>
      </w:r>
      <w:r w:rsidR="00C30945" w:rsidRPr="00330363">
        <w:rPr>
          <w:rFonts w:ascii="Arial" w:hAnsi="Arial" w:cs="Arial"/>
        </w:rPr>
        <w:t xml:space="preserve">, </w:t>
      </w:r>
      <w:r w:rsidR="00B9049D" w:rsidRPr="00330363">
        <w:rPr>
          <w:rFonts w:ascii="Arial" w:hAnsi="Arial" w:cs="Arial"/>
        </w:rPr>
        <w:t xml:space="preserve">cocientes </w:t>
      </w:r>
      <w:r w:rsidR="00C30945" w:rsidRPr="00330363">
        <w:rPr>
          <w:rFonts w:ascii="Arial" w:hAnsi="Arial" w:cs="Arial"/>
        </w:rPr>
        <w:t>de desvío,</w:t>
      </w:r>
      <w:r w:rsidRPr="00330363">
        <w:rPr>
          <w:rFonts w:ascii="Arial" w:hAnsi="Arial" w:cs="Arial"/>
        </w:rPr>
        <w:t xml:space="preserve"> y estudios especializados</w:t>
      </w:r>
      <w:r w:rsidR="001572EF" w:rsidRPr="00330363">
        <w:rPr>
          <w:rFonts w:ascii="Arial" w:hAnsi="Arial" w:cs="Arial"/>
        </w:rPr>
        <w:t>.</w:t>
      </w:r>
      <w:r w:rsidR="001572EF" w:rsidRPr="00330363">
        <w:rPr>
          <w:rStyle w:val="Refdenotaalpie"/>
          <w:rFonts w:ascii="Arial" w:hAnsi="Arial" w:cs="Arial"/>
        </w:rPr>
        <w:footnoteReference w:id="260"/>
      </w:r>
    </w:p>
    <w:p w14:paraId="788F3D88" w14:textId="77777777" w:rsidR="00B62C7B" w:rsidRPr="00330363" w:rsidRDefault="00B62C7B" w:rsidP="0023353F">
      <w:pPr>
        <w:spacing w:before="0" w:after="0"/>
        <w:rPr>
          <w:rFonts w:ascii="Arial" w:hAnsi="Arial" w:cs="Arial"/>
        </w:rPr>
      </w:pPr>
    </w:p>
    <w:p w14:paraId="2A3895B3" w14:textId="3D930B7D" w:rsidR="00B62C7B" w:rsidRPr="00931D46" w:rsidRDefault="004F2061" w:rsidP="0023353F">
      <w:pPr>
        <w:spacing w:before="0" w:after="0"/>
        <w:rPr>
          <w:rFonts w:ascii="Arial" w:hAnsi="Arial" w:cs="Arial"/>
        </w:rPr>
      </w:pPr>
      <w:r w:rsidRPr="00330363">
        <w:rPr>
          <w:rFonts w:ascii="Arial" w:hAnsi="Arial" w:cs="Arial"/>
        </w:rPr>
        <w:t>Asimismo</w:t>
      </w:r>
      <w:r w:rsidR="00B62C7B" w:rsidRPr="00330363">
        <w:rPr>
          <w:rFonts w:ascii="Arial" w:hAnsi="Arial" w:cs="Arial"/>
        </w:rPr>
        <w:t xml:space="preserve">, </w:t>
      </w:r>
      <w:r w:rsidRPr="00330363">
        <w:rPr>
          <w:rFonts w:ascii="Arial" w:hAnsi="Arial" w:cs="Arial"/>
        </w:rPr>
        <w:t xml:space="preserve">la CRTC ha considerado la importancia de considerar variables </w:t>
      </w:r>
      <w:r w:rsidR="00214A2C" w:rsidRPr="00330363">
        <w:rPr>
          <w:rFonts w:ascii="Arial" w:hAnsi="Arial" w:cs="Arial"/>
        </w:rPr>
        <w:t>relevantes</w:t>
      </w:r>
      <w:r w:rsidR="00330167" w:rsidRPr="00330363">
        <w:rPr>
          <w:rFonts w:ascii="Arial" w:hAnsi="Arial" w:cs="Arial"/>
        </w:rPr>
        <w:t xml:space="preserve"> según el caso bajo análisis</w:t>
      </w:r>
      <w:r w:rsidRPr="00330363">
        <w:rPr>
          <w:rFonts w:ascii="Arial" w:hAnsi="Arial" w:cs="Arial"/>
        </w:rPr>
        <w:t>. Por ejemplo</w:t>
      </w:r>
      <w:r w:rsidR="00330167" w:rsidRPr="00330363">
        <w:rPr>
          <w:rFonts w:ascii="Arial" w:hAnsi="Arial" w:cs="Arial"/>
        </w:rPr>
        <w:t>,</w:t>
      </w:r>
      <w:r w:rsidRPr="00330363">
        <w:rPr>
          <w:rFonts w:ascii="Arial" w:hAnsi="Arial" w:cs="Arial"/>
        </w:rPr>
        <w:t xml:space="preserve"> </w:t>
      </w:r>
      <w:r w:rsidR="00C30945" w:rsidRPr="00330363">
        <w:rPr>
          <w:rFonts w:ascii="Arial" w:hAnsi="Arial" w:cs="Arial"/>
        </w:rPr>
        <w:t xml:space="preserve">en cuanto a </w:t>
      </w:r>
      <w:r w:rsidR="00B94755" w:rsidRPr="00330363">
        <w:rPr>
          <w:rFonts w:ascii="Arial" w:hAnsi="Arial" w:cs="Arial"/>
        </w:rPr>
        <w:t>los</w:t>
      </w:r>
      <w:r w:rsidR="00EC3F9A" w:rsidRPr="00330363">
        <w:rPr>
          <w:rFonts w:ascii="Arial" w:hAnsi="Arial" w:cs="Arial"/>
        </w:rPr>
        <w:t xml:space="preserve"> CA</w:t>
      </w:r>
      <w:r w:rsidR="00B62C7B" w:rsidRPr="00330363">
        <w:rPr>
          <w:rFonts w:ascii="Arial" w:hAnsi="Arial" w:cs="Arial"/>
        </w:rPr>
        <w:t xml:space="preserve">, la CRTC identificó </w:t>
      </w:r>
      <w:r w:rsidR="00C30945" w:rsidRPr="00330363">
        <w:rPr>
          <w:rFonts w:ascii="Arial" w:hAnsi="Arial" w:cs="Arial"/>
        </w:rPr>
        <w:t>que</w:t>
      </w:r>
      <w:r w:rsidR="00840AD0" w:rsidRPr="00330363">
        <w:rPr>
          <w:rFonts w:ascii="Arial" w:hAnsi="Arial" w:cs="Arial"/>
        </w:rPr>
        <w:t>,</w:t>
      </w:r>
      <w:r w:rsidR="00C30945" w:rsidRPr="00330363">
        <w:rPr>
          <w:rFonts w:ascii="Arial" w:hAnsi="Arial" w:cs="Arial"/>
        </w:rPr>
        <w:t xml:space="preserve"> entre las principales variables para evaluar la diferenciación entre </w:t>
      </w:r>
      <w:r w:rsidR="00EC3F9A" w:rsidRPr="00330363">
        <w:rPr>
          <w:rFonts w:ascii="Arial" w:hAnsi="Arial" w:cs="Arial"/>
        </w:rPr>
        <w:t>éstos</w:t>
      </w:r>
      <w:r w:rsidR="00840AD0" w:rsidRPr="00330363">
        <w:rPr>
          <w:rFonts w:ascii="Arial" w:hAnsi="Arial" w:cs="Arial"/>
        </w:rPr>
        <w:t>,</w:t>
      </w:r>
      <w:r w:rsidR="00EC3F9A" w:rsidRPr="00330363">
        <w:rPr>
          <w:rFonts w:ascii="Arial" w:hAnsi="Arial" w:cs="Arial"/>
        </w:rPr>
        <w:t xml:space="preserve"> </w:t>
      </w:r>
      <w:r w:rsidR="00C30945" w:rsidRPr="00330363">
        <w:rPr>
          <w:rFonts w:ascii="Arial" w:hAnsi="Arial" w:cs="Arial"/>
        </w:rPr>
        <w:t>podría</w:t>
      </w:r>
      <w:r w:rsidRPr="00330363">
        <w:rPr>
          <w:rFonts w:ascii="Arial" w:hAnsi="Arial" w:cs="Arial"/>
        </w:rPr>
        <w:t>n</w:t>
      </w:r>
      <w:r w:rsidR="00C30945" w:rsidRPr="00330363">
        <w:rPr>
          <w:rFonts w:ascii="Arial" w:hAnsi="Arial" w:cs="Arial"/>
        </w:rPr>
        <w:t xml:space="preserve"> </w:t>
      </w:r>
      <w:r w:rsidRPr="00330363">
        <w:rPr>
          <w:rFonts w:ascii="Arial" w:hAnsi="Arial" w:cs="Arial"/>
        </w:rPr>
        <w:t>encontrarse</w:t>
      </w:r>
      <w:r w:rsidR="00B62C7B" w:rsidRPr="00330363">
        <w:rPr>
          <w:rFonts w:ascii="Arial" w:hAnsi="Arial" w:cs="Arial"/>
        </w:rPr>
        <w:t>: i) la variedad de programación; ii) la calidad de la imagen; iii) la cantidad de publicidad que incluyen; iv) la duración o disponibilidad temporal de los programas, entre otros; lo anterior</w:t>
      </w:r>
      <w:r w:rsidR="00255CCF" w:rsidRPr="00330363">
        <w:rPr>
          <w:rFonts w:ascii="Arial" w:hAnsi="Arial" w:cs="Arial"/>
        </w:rPr>
        <w:t>,</w:t>
      </w:r>
      <w:r w:rsidR="00B62C7B" w:rsidRPr="00330363">
        <w:rPr>
          <w:rFonts w:ascii="Arial" w:hAnsi="Arial" w:cs="Arial"/>
        </w:rPr>
        <w:t xml:space="preserve"> debido a que estos atributos pueden cambiar la valoración del </w:t>
      </w:r>
      <w:r w:rsidR="00330363" w:rsidRPr="00330363">
        <w:rPr>
          <w:rFonts w:ascii="Arial" w:hAnsi="Arial" w:cs="Arial"/>
        </w:rPr>
        <w:t>producto</w:t>
      </w:r>
      <w:r w:rsidR="00B62C7B" w:rsidRPr="00330363">
        <w:rPr>
          <w:rFonts w:ascii="Arial" w:hAnsi="Arial" w:cs="Arial"/>
        </w:rPr>
        <w:t xml:space="preserve"> por parte de los consumidores.</w:t>
      </w:r>
      <w:r w:rsidR="00B94755" w:rsidRPr="00330363">
        <w:rPr>
          <w:rStyle w:val="Refdenotaalpie"/>
          <w:rFonts w:ascii="Arial" w:hAnsi="Arial" w:cs="Arial"/>
        </w:rPr>
        <w:footnoteReference w:id="261"/>
      </w:r>
    </w:p>
    <w:p w14:paraId="57D3C147" w14:textId="77777777" w:rsidR="001572EF" w:rsidRPr="00931D46" w:rsidRDefault="001572EF" w:rsidP="0023353F">
      <w:pPr>
        <w:spacing w:before="0" w:after="0"/>
        <w:rPr>
          <w:rFonts w:ascii="Arial" w:hAnsi="Arial" w:cs="Arial"/>
        </w:rPr>
      </w:pPr>
    </w:p>
    <w:p w14:paraId="252E2386" w14:textId="75700590" w:rsidR="00A70D7D" w:rsidRPr="00931D46" w:rsidRDefault="00A70D7D" w:rsidP="0023353F">
      <w:pPr>
        <w:pStyle w:val="Ttulo2"/>
        <w:keepLines w:val="0"/>
        <w:numPr>
          <w:ilvl w:val="1"/>
          <w:numId w:val="3"/>
        </w:numPr>
        <w:spacing w:before="0" w:after="0"/>
        <w:rPr>
          <w:rFonts w:ascii="Arial" w:eastAsia="Times New Roman" w:hAnsi="Arial" w:cs="Arial"/>
          <w:sz w:val="26"/>
          <w:lang w:eastAsia="es-MX"/>
        </w:rPr>
      </w:pPr>
      <w:bookmarkStart w:id="324" w:name="_Toc45216590"/>
      <w:bookmarkStart w:id="325" w:name="_Toc45628375"/>
      <w:bookmarkStart w:id="326" w:name="_Toc74306788"/>
      <w:bookmarkStart w:id="327" w:name="_Toc74323843"/>
      <w:r w:rsidRPr="00931D46">
        <w:rPr>
          <w:rFonts w:ascii="Arial" w:eastAsia="Times New Roman" w:hAnsi="Arial" w:cs="Arial"/>
          <w:sz w:val="26"/>
          <w:lang w:eastAsia="es-MX"/>
        </w:rPr>
        <w:t>Empaquetamiento</w:t>
      </w:r>
      <w:bookmarkEnd w:id="284"/>
      <w:bookmarkEnd w:id="285"/>
      <w:bookmarkEnd w:id="324"/>
      <w:bookmarkEnd w:id="325"/>
      <w:r w:rsidR="00346C4F" w:rsidRPr="00931D46">
        <w:rPr>
          <w:rFonts w:ascii="Arial" w:eastAsia="Times New Roman" w:hAnsi="Arial" w:cs="Arial"/>
          <w:sz w:val="26"/>
          <w:lang w:eastAsia="es-MX"/>
        </w:rPr>
        <w:t xml:space="preserve"> de servicios</w:t>
      </w:r>
      <w:bookmarkEnd w:id="326"/>
      <w:bookmarkEnd w:id="327"/>
    </w:p>
    <w:bookmarkEnd w:id="0"/>
    <w:bookmarkEnd w:id="1"/>
    <w:bookmarkEnd w:id="2"/>
    <w:bookmarkEnd w:id="3"/>
    <w:bookmarkEnd w:id="4"/>
    <w:bookmarkEnd w:id="5"/>
    <w:bookmarkEnd w:id="6"/>
    <w:bookmarkEnd w:id="7"/>
    <w:p w14:paraId="76159ABA" w14:textId="77777777" w:rsidR="00A70D7D" w:rsidRPr="00931D46" w:rsidRDefault="00A70D7D" w:rsidP="0023353F">
      <w:pPr>
        <w:keepNext/>
        <w:spacing w:before="0" w:after="0"/>
        <w:rPr>
          <w:rFonts w:ascii="Arial" w:hAnsi="Arial" w:cs="Arial"/>
        </w:rPr>
      </w:pPr>
    </w:p>
    <w:p w14:paraId="17A62332" w14:textId="77777777" w:rsidR="00EF6A04" w:rsidRPr="00931D46" w:rsidRDefault="00EF6A04" w:rsidP="0023353F">
      <w:pPr>
        <w:keepNext/>
        <w:spacing w:before="0" w:after="0"/>
        <w:rPr>
          <w:rFonts w:ascii="Arial" w:hAnsi="Arial" w:cs="Arial"/>
        </w:rPr>
      </w:pPr>
    </w:p>
    <w:p w14:paraId="5BA101BD" w14:textId="77777777" w:rsidR="007334D9" w:rsidRPr="00931D46" w:rsidRDefault="00EF6A04" w:rsidP="0023353F">
      <w:pPr>
        <w:spacing w:before="0" w:after="0"/>
        <w:rPr>
          <w:rFonts w:ascii="Arial" w:hAnsi="Arial" w:cs="Arial"/>
          <w:szCs w:val="20"/>
        </w:rPr>
      </w:pPr>
      <w:r w:rsidRPr="00931D46">
        <w:rPr>
          <w:rFonts w:ascii="Arial" w:hAnsi="Arial" w:cs="Arial"/>
        </w:rPr>
        <w:t>La convergencia tecnológica</w:t>
      </w:r>
      <w:r w:rsidRPr="00931D46" w:rsidDel="00FE2FE2">
        <w:rPr>
          <w:rFonts w:ascii="Arial" w:hAnsi="Arial" w:cs="Arial"/>
        </w:rPr>
        <w:t xml:space="preserve"> </w:t>
      </w:r>
      <w:r w:rsidRPr="00931D46">
        <w:rPr>
          <w:rFonts w:ascii="Arial" w:hAnsi="Arial" w:cs="Arial"/>
        </w:rPr>
        <w:t xml:space="preserve">y el incremento en la capacidad y velocidad de transmisión de información de las redes de </w:t>
      </w:r>
      <w:r w:rsidR="00DC379E" w:rsidRPr="00931D46">
        <w:rPr>
          <w:rFonts w:ascii="Arial" w:hAnsi="Arial" w:cs="Arial"/>
        </w:rPr>
        <w:t xml:space="preserve">telecomunicaciones de </w:t>
      </w:r>
      <w:r w:rsidRPr="00931D46">
        <w:rPr>
          <w:rFonts w:ascii="Arial" w:hAnsi="Arial" w:cs="Arial"/>
        </w:rPr>
        <w:t>nueva generación permiten ofrecer múltiples servicios</w:t>
      </w:r>
      <w:r w:rsidR="00631792" w:rsidRPr="00931D46">
        <w:rPr>
          <w:rFonts w:ascii="Arial" w:hAnsi="Arial" w:cs="Arial"/>
        </w:rPr>
        <w:t xml:space="preserve"> (como STF, STAR, SBAF, entre otros), los cuales, dependiendo de las </w:t>
      </w:r>
      <w:r w:rsidR="00631792" w:rsidRPr="00931D46">
        <w:rPr>
          <w:rFonts w:ascii="Arial" w:hAnsi="Arial" w:cs="Arial"/>
          <w:bCs/>
        </w:rPr>
        <w:t xml:space="preserve">prácticas de comercialización de los proveedores, pueden </w:t>
      </w:r>
      <w:r w:rsidRPr="00931D46">
        <w:rPr>
          <w:rFonts w:ascii="Arial" w:hAnsi="Arial" w:cs="Arial"/>
        </w:rPr>
        <w:t>ofrecer</w:t>
      </w:r>
      <w:r w:rsidR="00631792" w:rsidRPr="00931D46">
        <w:rPr>
          <w:rFonts w:ascii="Arial" w:hAnsi="Arial" w:cs="Arial"/>
        </w:rPr>
        <w:t>se</w:t>
      </w:r>
      <w:r w:rsidRPr="00931D46" w:rsidDel="00EB7EF2">
        <w:rPr>
          <w:rFonts w:ascii="Arial" w:hAnsi="Arial" w:cs="Arial"/>
        </w:rPr>
        <w:t xml:space="preserve"> </w:t>
      </w:r>
      <w:r w:rsidRPr="00931D46">
        <w:rPr>
          <w:rFonts w:ascii="Arial" w:hAnsi="Arial" w:cs="Arial"/>
        </w:rPr>
        <w:t xml:space="preserve">empaquetados. </w:t>
      </w:r>
    </w:p>
    <w:p w14:paraId="4ACCA1ED" w14:textId="77777777" w:rsidR="00EF6A04" w:rsidRPr="00931D46" w:rsidRDefault="00EF6A04" w:rsidP="0023353F">
      <w:pPr>
        <w:spacing w:before="0" w:after="0"/>
        <w:rPr>
          <w:rFonts w:ascii="Arial" w:hAnsi="Arial" w:cs="Arial"/>
        </w:rPr>
      </w:pPr>
    </w:p>
    <w:p w14:paraId="276CDB03" w14:textId="58E2E7E2" w:rsidR="00EF6A04" w:rsidRPr="00931D46" w:rsidRDefault="00EF6A04" w:rsidP="0023353F">
      <w:pPr>
        <w:spacing w:before="0" w:after="0"/>
        <w:rPr>
          <w:rFonts w:ascii="Arial" w:hAnsi="Arial" w:cs="Arial"/>
        </w:rPr>
      </w:pPr>
      <w:r w:rsidRPr="00931D46">
        <w:rPr>
          <w:rFonts w:ascii="Arial" w:hAnsi="Arial" w:cs="Arial"/>
        </w:rPr>
        <w:t xml:space="preserve">El empaquetamiento puede ser </w:t>
      </w:r>
      <w:r w:rsidR="00DC379E" w:rsidRPr="00931D46">
        <w:rPr>
          <w:rFonts w:ascii="Arial" w:hAnsi="Arial" w:cs="Arial"/>
        </w:rPr>
        <w:t xml:space="preserve">i) </w:t>
      </w:r>
      <w:r w:rsidRPr="00931D46">
        <w:rPr>
          <w:rFonts w:ascii="Arial" w:hAnsi="Arial" w:cs="Arial"/>
          <w:b/>
        </w:rPr>
        <w:t>puro</w:t>
      </w:r>
      <w:r w:rsidR="00DC379E" w:rsidRPr="00931D46">
        <w:rPr>
          <w:rFonts w:ascii="Arial" w:hAnsi="Arial" w:cs="Arial"/>
        </w:rPr>
        <w:t>, cuando</w:t>
      </w:r>
      <w:r w:rsidRPr="00931D46">
        <w:rPr>
          <w:rFonts w:ascii="Arial" w:hAnsi="Arial" w:cs="Arial"/>
        </w:rPr>
        <w:t xml:space="preserve"> la venta de </w:t>
      </w:r>
      <w:r w:rsidR="00330363">
        <w:rPr>
          <w:rFonts w:ascii="Arial" w:hAnsi="Arial" w:cs="Arial"/>
        </w:rPr>
        <w:t>productos</w:t>
      </w:r>
      <w:r w:rsidRPr="00931D46">
        <w:rPr>
          <w:rFonts w:ascii="Arial" w:hAnsi="Arial" w:cs="Arial"/>
        </w:rPr>
        <w:t xml:space="preserve"> se realiza únicamente en paquete, sin que sus componentes puedan ser adquiridos por separado;</w:t>
      </w:r>
      <w:r w:rsidR="00DC379E" w:rsidRPr="00931D46">
        <w:rPr>
          <w:rFonts w:ascii="Arial" w:hAnsi="Arial" w:cs="Arial"/>
        </w:rPr>
        <w:t xml:space="preserve"> o ii) </w:t>
      </w:r>
      <w:r w:rsidR="00DC379E" w:rsidRPr="00931D46">
        <w:rPr>
          <w:rFonts w:ascii="Arial" w:hAnsi="Arial" w:cs="Arial"/>
          <w:b/>
        </w:rPr>
        <w:t>mixto,</w:t>
      </w:r>
      <w:r w:rsidRPr="00931D46">
        <w:rPr>
          <w:rFonts w:ascii="Arial" w:hAnsi="Arial" w:cs="Arial"/>
        </w:rPr>
        <w:t xml:space="preserve"> </w:t>
      </w:r>
      <w:r w:rsidR="00DC379E" w:rsidRPr="00931D46">
        <w:rPr>
          <w:rFonts w:ascii="Arial" w:hAnsi="Arial" w:cs="Arial"/>
        </w:rPr>
        <w:t>cuando</w:t>
      </w:r>
      <w:r w:rsidRPr="00931D46">
        <w:rPr>
          <w:rFonts w:ascii="Arial" w:hAnsi="Arial" w:cs="Arial"/>
        </w:rPr>
        <w:t xml:space="preserve"> los </w:t>
      </w:r>
      <w:r w:rsidR="00330363">
        <w:rPr>
          <w:rFonts w:ascii="Arial" w:hAnsi="Arial" w:cs="Arial"/>
        </w:rPr>
        <w:t>productos</w:t>
      </w:r>
      <w:r w:rsidRPr="00931D46">
        <w:rPr>
          <w:rFonts w:ascii="Arial" w:hAnsi="Arial" w:cs="Arial"/>
        </w:rPr>
        <w:t xml:space="preserve"> ofrecidos a los usuarios están disponibles tanto en paquete como de forma separada. </w:t>
      </w:r>
    </w:p>
    <w:p w14:paraId="161ADABC" w14:textId="77777777" w:rsidR="00EF6A04" w:rsidRPr="00931D46" w:rsidRDefault="00EF6A04" w:rsidP="0023353F">
      <w:pPr>
        <w:spacing w:before="0" w:after="0"/>
        <w:rPr>
          <w:rFonts w:ascii="Arial" w:hAnsi="Arial" w:cs="Arial"/>
          <w:szCs w:val="20"/>
        </w:rPr>
      </w:pPr>
    </w:p>
    <w:p w14:paraId="1F460D34" w14:textId="436D0E2B" w:rsidR="007334D9" w:rsidRPr="00931D46" w:rsidRDefault="00EF6A04" w:rsidP="0023353F">
      <w:pPr>
        <w:spacing w:before="0" w:after="0"/>
        <w:rPr>
          <w:rFonts w:ascii="Arial" w:hAnsi="Arial" w:cs="Arial"/>
          <w:szCs w:val="20"/>
        </w:rPr>
      </w:pPr>
      <w:r w:rsidRPr="00931D46">
        <w:rPr>
          <w:rFonts w:ascii="Arial" w:hAnsi="Arial" w:cs="Arial"/>
          <w:szCs w:val="20"/>
        </w:rPr>
        <w:t xml:space="preserve">En </w:t>
      </w:r>
      <w:r w:rsidR="00DC379E" w:rsidRPr="00931D46">
        <w:rPr>
          <w:rFonts w:ascii="Arial" w:hAnsi="Arial" w:cs="Arial"/>
          <w:szCs w:val="20"/>
        </w:rPr>
        <w:t xml:space="preserve">presencia de empaquetamiento de servicios, la delimitación de la dimensión </w:t>
      </w:r>
      <w:r w:rsidR="00330363">
        <w:rPr>
          <w:rFonts w:ascii="Arial" w:hAnsi="Arial" w:cs="Arial"/>
          <w:szCs w:val="20"/>
        </w:rPr>
        <w:t>producto</w:t>
      </w:r>
      <w:r w:rsidR="00DC379E" w:rsidRPr="00931D46">
        <w:rPr>
          <w:rFonts w:ascii="Arial" w:hAnsi="Arial" w:cs="Arial"/>
          <w:szCs w:val="20"/>
        </w:rPr>
        <w:t xml:space="preserve"> del MR puede enfrentar retos como señala la OCDE:</w:t>
      </w:r>
      <w:r w:rsidR="007334D9" w:rsidRPr="00931D46">
        <w:rPr>
          <w:rStyle w:val="Refdenotaalpie"/>
          <w:rFonts w:ascii="Arial" w:hAnsi="Arial" w:cs="Arial"/>
        </w:rPr>
        <w:footnoteReference w:id="262"/>
      </w:r>
    </w:p>
    <w:p w14:paraId="5D75527D" w14:textId="77777777" w:rsidR="0023353F" w:rsidRPr="00931D46" w:rsidRDefault="0023353F" w:rsidP="0023353F">
      <w:pPr>
        <w:spacing w:before="0" w:after="0"/>
        <w:rPr>
          <w:rFonts w:ascii="Arial" w:hAnsi="Arial" w:cs="Arial"/>
          <w:szCs w:val="20"/>
        </w:rPr>
      </w:pPr>
    </w:p>
    <w:p w14:paraId="55712819" w14:textId="77777777" w:rsidR="007334D9" w:rsidRPr="00931D46" w:rsidRDefault="007334D9" w:rsidP="00840AD0">
      <w:pPr>
        <w:pStyle w:val="Prrafodelista"/>
        <w:numPr>
          <w:ilvl w:val="0"/>
          <w:numId w:val="33"/>
        </w:numPr>
        <w:spacing w:before="0" w:after="0"/>
        <w:ind w:hanging="578"/>
        <w:contextualSpacing w:val="0"/>
        <w:rPr>
          <w:rFonts w:ascii="Arial" w:hAnsi="Arial" w:cs="Arial"/>
          <w:szCs w:val="20"/>
        </w:rPr>
      </w:pPr>
      <w:r w:rsidRPr="00931D46">
        <w:rPr>
          <w:rFonts w:ascii="Arial" w:hAnsi="Arial" w:cs="Arial"/>
          <w:szCs w:val="20"/>
        </w:rPr>
        <w:t>A medida que los paquetes son cada vez más comunes, evaluar los efectos que tienen sobre la competencia se vuelve un reto cada vez más desafiante e importante para las autoridades reguladoras y de competencia.</w:t>
      </w:r>
    </w:p>
    <w:p w14:paraId="711C29E9" w14:textId="77777777" w:rsidR="00EF6A04" w:rsidRPr="00931D46" w:rsidRDefault="007334D9" w:rsidP="00840AD0">
      <w:pPr>
        <w:pStyle w:val="Prrafodelista"/>
        <w:numPr>
          <w:ilvl w:val="0"/>
          <w:numId w:val="33"/>
        </w:numPr>
        <w:spacing w:before="0" w:after="0"/>
        <w:ind w:hanging="578"/>
        <w:contextualSpacing w:val="0"/>
        <w:rPr>
          <w:rFonts w:ascii="Arial" w:hAnsi="Arial" w:cs="Arial"/>
          <w:szCs w:val="20"/>
        </w:rPr>
      </w:pPr>
      <w:r w:rsidRPr="00931D46">
        <w:rPr>
          <w:rFonts w:ascii="Arial" w:hAnsi="Arial" w:cs="Arial"/>
          <w:szCs w:val="20"/>
        </w:rPr>
        <w:t>Las autoridades deben cuestionarse en qué medida la determinación del MR debería continuar considerando solo servicios independientes o si, en algunos casos, los paquetes podrían llegar a conformar el MR.</w:t>
      </w:r>
    </w:p>
    <w:p w14:paraId="6080BFE3" w14:textId="77777777" w:rsidR="007334D9" w:rsidRPr="00931D46" w:rsidRDefault="007334D9" w:rsidP="0023353F">
      <w:pPr>
        <w:spacing w:before="0" w:after="0"/>
        <w:rPr>
          <w:rFonts w:ascii="Arial" w:hAnsi="Arial" w:cs="Arial"/>
          <w:szCs w:val="20"/>
        </w:rPr>
      </w:pPr>
    </w:p>
    <w:p w14:paraId="50221D9F" w14:textId="2B02C9D3" w:rsidR="005C7F08" w:rsidRPr="00330363" w:rsidRDefault="004227E6" w:rsidP="0023353F">
      <w:pPr>
        <w:spacing w:before="0" w:after="0"/>
        <w:rPr>
          <w:rFonts w:ascii="Arial" w:hAnsi="Arial" w:cs="Arial"/>
          <w:szCs w:val="20"/>
        </w:rPr>
      </w:pPr>
      <w:r w:rsidRPr="00931D46">
        <w:rPr>
          <w:rFonts w:ascii="Arial" w:hAnsi="Arial" w:cs="Arial"/>
          <w:bCs/>
        </w:rPr>
        <w:t>P</w:t>
      </w:r>
      <w:r w:rsidR="007334D9" w:rsidRPr="00931D46">
        <w:rPr>
          <w:rFonts w:ascii="Arial" w:hAnsi="Arial" w:cs="Arial"/>
          <w:bCs/>
        </w:rPr>
        <w:t xml:space="preserve">ara poder dilucidar si se trata de un mercado de paquetes o mercados de servicios individuales, es necesario analizar si existe sustitución asimétrica en el sentido de que los paquetes pueden sustituir a los servicios individuales, pero no viceversa; esta característica es importante porque afecta el análisis dependiendo de si el servicio </w:t>
      </w:r>
      <w:r w:rsidR="00840AD0">
        <w:rPr>
          <w:rFonts w:ascii="Arial" w:hAnsi="Arial" w:cs="Arial"/>
          <w:bCs/>
        </w:rPr>
        <w:t>focal</w:t>
      </w:r>
      <w:r w:rsidR="007334D9" w:rsidRPr="00931D46">
        <w:rPr>
          <w:rFonts w:ascii="Arial" w:hAnsi="Arial" w:cs="Arial"/>
          <w:bCs/>
        </w:rPr>
        <w:t xml:space="preserve"> con el que se inicia el análisis de sustitución </w:t>
      </w:r>
      <w:r w:rsidR="007334D9" w:rsidRPr="00330363">
        <w:rPr>
          <w:rFonts w:ascii="Arial" w:hAnsi="Arial" w:cs="Arial"/>
          <w:bCs/>
        </w:rPr>
        <w:t>es un paquete de servicios o es un servicio individual.</w:t>
      </w:r>
      <w:r w:rsidR="00867965" w:rsidRPr="00330363">
        <w:rPr>
          <w:rFonts w:ascii="Arial" w:hAnsi="Arial" w:cs="Arial"/>
          <w:szCs w:val="20"/>
        </w:rPr>
        <w:t xml:space="preserve"> </w:t>
      </w:r>
    </w:p>
    <w:p w14:paraId="33C8461B" w14:textId="77777777" w:rsidR="005C7F08" w:rsidRPr="00330363" w:rsidRDefault="005C7F08" w:rsidP="0023353F">
      <w:pPr>
        <w:spacing w:before="0" w:after="0"/>
        <w:rPr>
          <w:rFonts w:ascii="Arial" w:hAnsi="Arial" w:cs="Arial"/>
          <w:szCs w:val="20"/>
        </w:rPr>
      </w:pPr>
    </w:p>
    <w:p w14:paraId="464E4533" w14:textId="157B2165" w:rsidR="00867965" w:rsidRPr="00330363" w:rsidRDefault="007C7B41" w:rsidP="0023353F">
      <w:pPr>
        <w:spacing w:before="0" w:after="0"/>
        <w:rPr>
          <w:rFonts w:ascii="Arial" w:hAnsi="Arial" w:cs="Arial"/>
          <w:szCs w:val="20"/>
        </w:rPr>
      </w:pPr>
      <w:r w:rsidRPr="00330363">
        <w:rPr>
          <w:rFonts w:ascii="Arial" w:hAnsi="Arial" w:cs="Arial"/>
          <w:szCs w:val="20"/>
        </w:rPr>
        <w:t>También es importante</w:t>
      </w:r>
      <w:r w:rsidR="00867965" w:rsidRPr="00330363">
        <w:rPr>
          <w:rFonts w:ascii="Arial" w:hAnsi="Arial" w:cs="Arial"/>
          <w:szCs w:val="20"/>
        </w:rPr>
        <w:t xml:space="preserve"> señalar que, </w:t>
      </w:r>
      <w:r w:rsidR="004227E6" w:rsidRPr="00330363">
        <w:rPr>
          <w:rFonts w:ascii="Arial" w:hAnsi="Arial" w:cs="Arial"/>
          <w:szCs w:val="20"/>
        </w:rPr>
        <w:t xml:space="preserve">cuando se analizan </w:t>
      </w:r>
      <w:r w:rsidR="00330363" w:rsidRPr="00330363">
        <w:rPr>
          <w:rFonts w:ascii="Arial" w:hAnsi="Arial" w:cs="Arial"/>
          <w:szCs w:val="20"/>
        </w:rPr>
        <w:t>productos</w:t>
      </w:r>
      <w:r w:rsidR="00867965" w:rsidRPr="00330363">
        <w:rPr>
          <w:rFonts w:ascii="Arial" w:hAnsi="Arial" w:cs="Arial"/>
          <w:szCs w:val="20"/>
        </w:rPr>
        <w:t xml:space="preserve"> empaquetados, </w:t>
      </w:r>
      <w:r w:rsidR="005C7F08" w:rsidRPr="00330363">
        <w:rPr>
          <w:rFonts w:ascii="Arial" w:hAnsi="Arial" w:cs="Arial"/>
          <w:szCs w:val="20"/>
        </w:rPr>
        <w:t xml:space="preserve">la aplicación de la </w:t>
      </w:r>
      <w:r w:rsidR="003C7933" w:rsidRPr="00330363">
        <w:rPr>
          <w:rFonts w:ascii="Arial" w:hAnsi="Arial" w:cs="Arial"/>
          <w:szCs w:val="20"/>
        </w:rPr>
        <w:t>P</w:t>
      </w:r>
      <w:r w:rsidR="005C7F08" w:rsidRPr="00330363">
        <w:rPr>
          <w:rFonts w:ascii="Arial" w:hAnsi="Arial" w:cs="Arial"/>
          <w:szCs w:val="20"/>
        </w:rPr>
        <w:t xml:space="preserve">rueba </w:t>
      </w:r>
      <w:r w:rsidR="00867965" w:rsidRPr="00330363">
        <w:rPr>
          <w:rFonts w:ascii="Arial" w:hAnsi="Arial" w:cs="Arial"/>
          <w:szCs w:val="20"/>
        </w:rPr>
        <w:t xml:space="preserve">SSNIP es </w:t>
      </w:r>
      <w:r w:rsidR="005C7F08" w:rsidRPr="00330363">
        <w:rPr>
          <w:rFonts w:ascii="Arial" w:hAnsi="Arial" w:cs="Arial"/>
          <w:szCs w:val="20"/>
        </w:rPr>
        <w:t xml:space="preserve">teóricamente la </w:t>
      </w:r>
      <w:r w:rsidR="00867965" w:rsidRPr="00330363">
        <w:rPr>
          <w:rFonts w:ascii="Arial" w:hAnsi="Arial" w:cs="Arial"/>
          <w:szCs w:val="20"/>
        </w:rPr>
        <w:t>mism</w:t>
      </w:r>
      <w:r w:rsidR="005C7F08" w:rsidRPr="00330363">
        <w:rPr>
          <w:rFonts w:ascii="Arial" w:hAnsi="Arial" w:cs="Arial"/>
          <w:szCs w:val="20"/>
        </w:rPr>
        <w:t>a</w:t>
      </w:r>
      <w:r w:rsidR="00867965" w:rsidRPr="00330363">
        <w:rPr>
          <w:rFonts w:ascii="Arial" w:hAnsi="Arial" w:cs="Arial"/>
          <w:szCs w:val="20"/>
        </w:rPr>
        <w:t xml:space="preserve"> y el resultado</w:t>
      </w:r>
      <w:r w:rsidRPr="00330363">
        <w:rPr>
          <w:rFonts w:ascii="Arial" w:hAnsi="Arial" w:cs="Arial"/>
          <w:szCs w:val="20"/>
        </w:rPr>
        <w:t xml:space="preserve"> variará de acuerdo al </w:t>
      </w:r>
      <w:r w:rsidR="00330363" w:rsidRPr="00330363">
        <w:rPr>
          <w:rFonts w:ascii="Arial" w:hAnsi="Arial" w:cs="Arial"/>
          <w:szCs w:val="20"/>
        </w:rPr>
        <w:t>producto</w:t>
      </w:r>
      <w:r w:rsidRPr="00330363">
        <w:rPr>
          <w:rFonts w:ascii="Arial" w:hAnsi="Arial" w:cs="Arial"/>
          <w:szCs w:val="20"/>
        </w:rPr>
        <w:t xml:space="preserve"> </w:t>
      </w:r>
      <w:r w:rsidR="00E02FB8" w:rsidRPr="00330363">
        <w:rPr>
          <w:rFonts w:ascii="Arial" w:hAnsi="Arial" w:cs="Arial"/>
          <w:szCs w:val="20"/>
        </w:rPr>
        <w:t>focal del que se part</w:t>
      </w:r>
      <w:r w:rsidR="005C7F08" w:rsidRPr="00330363">
        <w:rPr>
          <w:rFonts w:ascii="Arial" w:hAnsi="Arial" w:cs="Arial"/>
          <w:szCs w:val="20"/>
        </w:rPr>
        <w:t>a</w:t>
      </w:r>
      <w:r w:rsidR="00867965" w:rsidRPr="00330363">
        <w:rPr>
          <w:rFonts w:ascii="Arial" w:hAnsi="Arial" w:cs="Arial"/>
          <w:szCs w:val="20"/>
        </w:rPr>
        <w:t>, así como del grado de sustitución entre los productos individuales y los paquetes.</w:t>
      </w:r>
    </w:p>
    <w:p w14:paraId="43C19848" w14:textId="77777777" w:rsidR="00790555" w:rsidRPr="00330363" w:rsidRDefault="00790555" w:rsidP="0023353F">
      <w:pPr>
        <w:spacing w:before="0" w:after="0"/>
        <w:rPr>
          <w:rFonts w:ascii="Arial" w:hAnsi="Arial" w:cs="Arial"/>
          <w:szCs w:val="20"/>
        </w:rPr>
      </w:pPr>
    </w:p>
    <w:p w14:paraId="74FBEB6D" w14:textId="6F91C581" w:rsidR="0079367A" w:rsidRPr="00330363" w:rsidRDefault="00F96F4C" w:rsidP="0023353F">
      <w:pPr>
        <w:spacing w:before="0" w:after="0"/>
        <w:rPr>
          <w:rFonts w:ascii="Arial" w:hAnsi="Arial" w:cs="Arial"/>
          <w:szCs w:val="20"/>
        </w:rPr>
      </w:pPr>
      <w:r w:rsidRPr="00330363">
        <w:rPr>
          <w:rFonts w:ascii="Arial" w:hAnsi="Arial" w:cs="Arial"/>
          <w:szCs w:val="20"/>
        </w:rPr>
        <w:t>Respecto</w:t>
      </w:r>
      <w:r w:rsidR="0079367A" w:rsidRPr="00330363">
        <w:rPr>
          <w:rFonts w:ascii="Arial" w:hAnsi="Arial" w:cs="Arial"/>
          <w:szCs w:val="20"/>
        </w:rPr>
        <w:t xml:space="preserve"> la delimitación del </w:t>
      </w:r>
      <w:r w:rsidR="005C7F08" w:rsidRPr="00330363">
        <w:rPr>
          <w:rFonts w:ascii="Arial" w:hAnsi="Arial" w:cs="Arial"/>
          <w:szCs w:val="20"/>
        </w:rPr>
        <w:t xml:space="preserve">MR, pueden resultar </w:t>
      </w:r>
      <w:r w:rsidR="0079367A" w:rsidRPr="00330363">
        <w:rPr>
          <w:rFonts w:ascii="Arial" w:hAnsi="Arial" w:cs="Arial"/>
          <w:szCs w:val="20"/>
        </w:rPr>
        <w:t xml:space="preserve">diversos </w:t>
      </w:r>
      <w:r w:rsidR="00321107" w:rsidRPr="00330363">
        <w:rPr>
          <w:rFonts w:ascii="Arial" w:hAnsi="Arial" w:cs="Arial"/>
          <w:szCs w:val="20"/>
        </w:rPr>
        <w:t>escenarios</w:t>
      </w:r>
      <w:r w:rsidR="0079367A" w:rsidRPr="00330363">
        <w:rPr>
          <w:rFonts w:ascii="Arial" w:hAnsi="Arial" w:cs="Arial"/>
          <w:szCs w:val="20"/>
        </w:rPr>
        <w:t>. Por ejemplo, si se analizara</w:t>
      </w:r>
      <w:r w:rsidR="005C7F08" w:rsidRPr="00330363">
        <w:rPr>
          <w:rFonts w:ascii="Arial" w:hAnsi="Arial" w:cs="Arial"/>
          <w:szCs w:val="20"/>
        </w:rPr>
        <w:t>n 2 (</w:t>
      </w:r>
      <w:r w:rsidR="0079367A" w:rsidRPr="00330363">
        <w:rPr>
          <w:rFonts w:ascii="Arial" w:hAnsi="Arial" w:cs="Arial"/>
          <w:szCs w:val="20"/>
        </w:rPr>
        <w:t>dos</w:t>
      </w:r>
      <w:r w:rsidR="005C7F08" w:rsidRPr="00330363">
        <w:rPr>
          <w:rFonts w:ascii="Arial" w:hAnsi="Arial" w:cs="Arial"/>
          <w:szCs w:val="20"/>
        </w:rPr>
        <w:t>)</w:t>
      </w:r>
      <w:r w:rsidR="0079367A" w:rsidRPr="00330363">
        <w:rPr>
          <w:rFonts w:ascii="Arial" w:hAnsi="Arial" w:cs="Arial"/>
          <w:szCs w:val="20"/>
        </w:rPr>
        <w:t xml:space="preserve"> servicios</w:t>
      </w:r>
      <w:r w:rsidR="005C7F08" w:rsidRPr="00330363">
        <w:rPr>
          <w:rFonts w:ascii="Arial" w:hAnsi="Arial" w:cs="Arial"/>
          <w:szCs w:val="20"/>
        </w:rPr>
        <w:t xml:space="preserve"> que se venden de manera individual y empaquetada</w:t>
      </w:r>
      <w:r w:rsidR="0079367A" w:rsidRPr="00330363">
        <w:rPr>
          <w:rFonts w:ascii="Arial" w:hAnsi="Arial" w:cs="Arial"/>
          <w:szCs w:val="20"/>
        </w:rPr>
        <w:t>,</w:t>
      </w:r>
      <w:r w:rsidR="005C7F08" w:rsidRPr="00330363">
        <w:rPr>
          <w:rFonts w:ascii="Arial" w:hAnsi="Arial" w:cs="Arial"/>
          <w:szCs w:val="20"/>
        </w:rPr>
        <w:t xml:space="preserve"> podrían existir los siguientes MR</w:t>
      </w:r>
      <w:r w:rsidR="0079367A" w:rsidRPr="00330363">
        <w:rPr>
          <w:rFonts w:ascii="Arial" w:hAnsi="Arial" w:cs="Arial"/>
          <w:szCs w:val="20"/>
        </w:rPr>
        <w:t xml:space="preserve">: i) </w:t>
      </w:r>
      <w:r w:rsidR="005C7F08" w:rsidRPr="00330363">
        <w:rPr>
          <w:rFonts w:ascii="Arial" w:hAnsi="Arial" w:cs="Arial"/>
          <w:szCs w:val="20"/>
        </w:rPr>
        <w:t>2 (</w:t>
      </w:r>
      <w:r w:rsidR="0079367A" w:rsidRPr="00330363">
        <w:rPr>
          <w:rFonts w:ascii="Arial" w:hAnsi="Arial" w:cs="Arial"/>
          <w:szCs w:val="20"/>
        </w:rPr>
        <w:t>dos</w:t>
      </w:r>
      <w:r w:rsidR="005C7F08" w:rsidRPr="00330363">
        <w:rPr>
          <w:rFonts w:ascii="Arial" w:hAnsi="Arial" w:cs="Arial"/>
          <w:szCs w:val="20"/>
        </w:rPr>
        <w:t>)</w:t>
      </w:r>
      <w:r w:rsidR="0079367A" w:rsidRPr="00330363">
        <w:rPr>
          <w:rFonts w:ascii="Arial" w:hAnsi="Arial" w:cs="Arial"/>
          <w:szCs w:val="20"/>
        </w:rPr>
        <w:t xml:space="preserve"> </w:t>
      </w:r>
      <w:r w:rsidR="005C7F08" w:rsidRPr="00330363">
        <w:rPr>
          <w:rFonts w:ascii="Arial" w:hAnsi="Arial" w:cs="Arial"/>
          <w:szCs w:val="20"/>
        </w:rPr>
        <w:t xml:space="preserve">MR </w:t>
      </w:r>
      <w:r w:rsidR="0079367A" w:rsidRPr="00330363">
        <w:rPr>
          <w:rFonts w:ascii="Arial" w:hAnsi="Arial" w:cs="Arial"/>
          <w:szCs w:val="20"/>
        </w:rPr>
        <w:t xml:space="preserve">separados, uno para cada servicio individual; ii) </w:t>
      </w:r>
      <w:r w:rsidR="005C7F08" w:rsidRPr="00330363">
        <w:rPr>
          <w:rFonts w:ascii="Arial" w:hAnsi="Arial" w:cs="Arial"/>
          <w:szCs w:val="20"/>
        </w:rPr>
        <w:t>1 (</w:t>
      </w:r>
      <w:r w:rsidR="0079367A" w:rsidRPr="00330363">
        <w:rPr>
          <w:rFonts w:ascii="Arial" w:hAnsi="Arial" w:cs="Arial"/>
          <w:szCs w:val="20"/>
        </w:rPr>
        <w:t>un</w:t>
      </w:r>
      <w:r w:rsidR="005C7F08" w:rsidRPr="00330363">
        <w:rPr>
          <w:rFonts w:ascii="Arial" w:hAnsi="Arial" w:cs="Arial"/>
          <w:szCs w:val="20"/>
        </w:rPr>
        <w:t>)</w:t>
      </w:r>
      <w:r w:rsidR="0079367A" w:rsidRPr="00330363">
        <w:rPr>
          <w:rFonts w:ascii="Arial" w:hAnsi="Arial" w:cs="Arial"/>
          <w:szCs w:val="20"/>
        </w:rPr>
        <w:t xml:space="preserve"> </w:t>
      </w:r>
      <w:r w:rsidR="005C7F08" w:rsidRPr="00330363">
        <w:rPr>
          <w:rFonts w:ascii="Arial" w:hAnsi="Arial" w:cs="Arial"/>
          <w:szCs w:val="20"/>
        </w:rPr>
        <w:t xml:space="preserve">MR </w:t>
      </w:r>
      <w:r w:rsidR="0079367A" w:rsidRPr="00330363">
        <w:rPr>
          <w:rFonts w:ascii="Arial" w:hAnsi="Arial" w:cs="Arial"/>
          <w:szCs w:val="20"/>
        </w:rPr>
        <w:t xml:space="preserve">que incluya </w:t>
      </w:r>
      <w:r w:rsidR="005C7F08" w:rsidRPr="00330363">
        <w:rPr>
          <w:rFonts w:ascii="Arial" w:hAnsi="Arial" w:cs="Arial"/>
          <w:szCs w:val="20"/>
        </w:rPr>
        <w:t>el paquete de los dos servicios</w:t>
      </w:r>
      <w:r w:rsidR="0079367A" w:rsidRPr="00330363">
        <w:rPr>
          <w:rFonts w:ascii="Arial" w:hAnsi="Arial" w:cs="Arial"/>
          <w:szCs w:val="20"/>
        </w:rPr>
        <w:t xml:space="preserve">; iii) </w:t>
      </w:r>
      <w:r w:rsidR="005C7F08" w:rsidRPr="00330363">
        <w:rPr>
          <w:rFonts w:ascii="Arial" w:hAnsi="Arial" w:cs="Arial"/>
          <w:szCs w:val="20"/>
        </w:rPr>
        <w:t>3 (</w:t>
      </w:r>
      <w:r w:rsidR="0079367A" w:rsidRPr="00330363">
        <w:rPr>
          <w:rFonts w:ascii="Arial" w:hAnsi="Arial" w:cs="Arial"/>
          <w:szCs w:val="20"/>
        </w:rPr>
        <w:t>tres</w:t>
      </w:r>
      <w:r w:rsidR="005C7F08" w:rsidRPr="00330363">
        <w:rPr>
          <w:rFonts w:ascii="Arial" w:hAnsi="Arial" w:cs="Arial"/>
          <w:szCs w:val="20"/>
        </w:rPr>
        <w:t>)</w:t>
      </w:r>
      <w:r w:rsidR="0079367A" w:rsidRPr="00330363">
        <w:rPr>
          <w:rFonts w:ascii="Arial" w:hAnsi="Arial" w:cs="Arial"/>
          <w:szCs w:val="20"/>
        </w:rPr>
        <w:t xml:space="preserve"> </w:t>
      </w:r>
      <w:r w:rsidR="005C7F08" w:rsidRPr="00330363">
        <w:rPr>
          <w:rFonts w:ascii="Arial" w:hAnsi="Arial" w:cs="Arial"/>
          <w:szCs w:val="20"/>
        </w:rPr>
        <w:t xml:space="preserve">MR </w:t>
      </w:r>
      <w:r w:rsidR="0079367A" w:rsidRPr="00330363">
        <w:rPr>
          <w:rFonts w:ascii="Arial" w:hAnsi="Arial" w:cs="Arial"/>
          <w:szCs w:val="20"/>
        </w:rPr>
        <w:t>separados</w:t>
      </w:r>
      <w:r w:rsidR="005C7F08" w:rsidRPr="00330363">
        <w:rPr>
          <w:rFonts w:ascii="Arial" w:hAnsi="Arial" w:cs="Arial"/>
          <w:szCs w:val="20"/>
        </w:rPr>
        <w:t xml:space="preserve">: </w:t>
      </w:r>
      <w:r w:rsidR="0079367A" w:rsidRPr="00330363">
        <w:rPr>
          <w:rFonts w:ascii="Arial" w:hAnsi="Arial" w:cs="Arial"/>
          <w:szCs w:val="20"/>
        </w:rPr>
        <w:t xml:space="preserve"> </w:t>
      </w:r>
      <w:r w:rsidR="005C7F08" w:rsidRPr="00330363">
        <w:rPr>
          <w:rFonts w:ascii="Arial" w:hAnsi="Arial" w:cs="Arial"/>
          <w:szCs w:val="20"/>
        </w:rPr>
        <w:t xml:space="preserve">2 (dos) </w:t>
      </w:r>
      <w:r w:rsidR="0079367A" w:rsidRPr="00330363">
        <w:rPr>
          <w:rFonts w:ascii="Arial" w:hAnsi="Arial" w:cs="Arial"/>
          <w:szCs w:val="20"/>
        </w:rPr>
        <w:t xml:space="preserve">para los productos individuales y </w:t>
      </w:r>
      <w:r w:rsidR="005C7F08" w:rsidRPr="00330363">
        <w:rPr>
          <w:rFonts w:ascii="Arial" w:hAnsi="Arial" w:cs="Arial"/>
          <w:szCs w:val="20"/>
        </w:rPr>
        <w:t>1 (</w:t>
      </w:r>
      <w:r w:rsidR="0079367A" w:rsidRPr="00330363">
        <w:rPr>
          <w:rFonts w:ascii="Arial" w:hAnsi="Arial" w:cs="Arial"/>
          <w:szCs w:val="20"/>
        </w:rPr>
        <w:t>uno</w:t>
      </w:r>
      <w:r w:rsidR="005C7F08" w:rsidRPr="00330363">
        <w:rPr>
          <w:rFonts w:ascii="Arial" w:hAnsi="Arial" w:cs="Arial"/>
          <w:szCs w:val="20"/>
        </w:rPr>
        <w:t>)</w:t>
      </w:r>
      <w:r w:rsidR="0079367A" w:rsidRPr="00330363">
        <w:rPr>
          <w:rFonts w:ascii="Arial" w:hAnsi="Arial" w:cs="Arial"/>
          <w:szCs w:val="20"/>
        </w:rPr>
        <w:t xml:space="preserve"> para el paquete; iv) </w:t>
      </w:r>
      <w:r w:rsidR="005C7F08" w:rsidRPr="00330363">
        <w:rPr>
          <w:rFonts w:ascii="Arial" w:hAnsi="Arial" w:cs="Arial"/>
          <w:szCs w:val="20"/>
        </w:rPr>
        <w:t>1 (</w:t>
      </w:r>
      <w:r w:rsidR="0079367A" w:rsidRPr="00330363">
        <w:rPr>
          <w:rFonts w:ascii="Arial" w:hAnsi="Arial" w:cs="Arial"/>
          <w:szCs w:val="20"/>
        </w:rPr>
        <w:t>un</w:t>
      </w:r>
      <w:r w:rsidR="005C7F08" w:rsidRPr="00330363">
        <w:rPr>
          <w:rFonts w:ascii="Arial" w:hAnsi="Arial" w:cs="Arial"/>
          <w:szCs w:val="20"/>
        </w:rPr>
        <w:t>)</w:t>
      </w:r>
      <w:r w:rsidR="0079367A" w:rsidRPr="00330363">
        <w:rPr>
          <w:rFonts w:ascii="Arial" w:hAnsi="Arial" w:cs="Arial"/>
          <w:szCs w:val="20"/>
        </w:rPr>
        <w:t xml:space="preserve"> </w:t>
      </w:r>
      <w:r w:rsidR="005C7F08" w:rsidRPr="00330363">
        <w:rPr>
          <w:rFonts w:ascii="Arial" w:hAnsi="Arial" w:cs="Arial"/>
          <w:szCs w:val="20"/>
        </w:rPr>
        <w:t xml:space="preserve">MR </w:t>
      </w:r>
      <w:r w:rsidR="0079367A" w:rsidRPr="00330363">
        <w:rPr>
          <w:rFonts w:ascii="Arial" w:hAnsi="Arial" w:cs="Arial"/>
          <w:szCs w:val="20"/>
        </w:rPr>
        <w:t xml:space="preserve">que incluya el paquete y los servicios individuales y, v) </w:t>
      </w:r>
      <w:r w:rsidR="005C7F08" w:rsidRPr="00330363">
        <w:rPr>
          <w:rFonts w:ascii="Arial" w:hAnsi="Arial" w:cs="Arial"/>
          <w:szCs w:val="20"/>
        </w:rPr>
        <w:t>2 (</w:t>
      </w:r>
      <w:r w:rsidR="0079367A" w:rsidRPr="00330363">
        <w:rPr>
          <w:rFonts w:ascii="Arial" w:hAnsi="Arial" w:cs="Arial"/>
          <w:szCs w:val="20"/>
        </w:rPr>
        <w:t>dos</w:t>
      </w:r>
      <w:r w:rsidR="005C7F08" w:rsidRPr="00330363">
        <w:rPr>
          <w:rFonts w:ascii="Arial" w:hAnsi="Arial" w:cs="Arial"/>
          <w:szCs w:val="20"/>
        </w:rPr>
        <w:t>)</w:t>
      </w:r>
      <w:r w:rsidR="0079367A" w:rsidRPr="00330363">
        <w:rPr>
          <w:rFonts w:ascii="Arial" w:hAnsi="Arial" w:cs="Arial"/>
          <w:szCs w:val="20"/>
        </w:rPr>
        <w:t xml:space="preserve"> </w:t>
      </w:r>
      <w:r w:rsidR="005C7F08" w:rsidRPr="00330363">
        <w:rPr>
          <w:rFonts w:ascii="Arial" w:hAnsi="Arial" w:cs="Arial"/>
          <w:szCs w:val="20"/>
        </w:rPr>
        <w:t>MR</w:t>
      </w:r>
      <w:r w:rsidR="0079367A" w:rsidRPr="00330363">
        <w:rPr>
          <w:rFonts w:ascii="Arial" w:hAnsi="Arial" w:cs="Arial"/>
          <w:szCs w:val="20"/>
        </w:rPr>
        <w:t xml:space="preserve">, cada uno compuesto por el servicio empaquetado y el servicio individual correspondiente. </w:t>
      </w:r>
    </w:p>
    <w:p w14:paraId="7F83BCAA" w14:textId="77777777" w:rsidR="00EF6A04" w:rsidRPr="00330363" w:rsidRDefault="00EF6A04" w:rsidP="0023353F">
      <w:pPr>
        <w:spacing w:before="0" w:after="0"/>
        <w:rPr>
          <w:rFonts w:ascii="Arial" w:hAnsi="Arial" w:cs="Arial"/>
        </w:rPr>
      </w:pPr>
    </w:p>
    <w:p w14:paraId="7BE9C090" w14:textId="77777777" w:rsidR="00EF6A04" w:rsidRPr="00330363" w:rsidRDefault="00EF6A04"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328" w:name="_Toc43117679"/>
      <w:bookmarkStart w:id="329" w:name="_Toc43985859"/>
      <w:bookmarkStart w:id="330" w:name="_Toc44057907"/>
      <w:bookmarkStart w:id="331" w:name="_Toc44072031"/>
      <w:bookmarkStart w:id="332" w:name="_Toc44074709"/>
      <w:bookmarkStart w:id="333" w:name="_Toc44077120"/>
      <w:bookmarkStart w:id="334" w:name="_Toc44078319"/>
      <w:bookmarkStart w:id="335" w:name="_Toc44078587"/>
      <w:bookmarkStart w:id="336" w:name="_Toc42167323"/>
      <w:bookmarkStart w:id="337" w:name="_Toc42256671"/>
      <w:bookmarkStart w:id="338" w:name="_Toc42766336"/>
      <w:bookmarkStart w:id="339" w:name="_Toc42794204"/>
      <w:r w:rsidRPr="00330363">
        <w:rPr>
          <w:rFonts w:ascii="Arial" w:eastAsia="Times New Roman" w:hAnsi="Arial" w:cs="Arial"/>
          <w:b/>
          <w:color w:val="auto"/>
          <w:sz w:val="26"/>
          <w:szCs w:val="26"/>
          <w:lang w:eastAsia="es-MX"/>
        </w:rPr>
        <w:t>Precedentes decisorios del Instituto</w:t>
      </w:r>
      <w:bookmarkEnd w:id="328"/>
      <w:bookmarkEnd w:id="329"/>
      <w:bookmarkEnd w:id="330"/>
      <w:bookmarkEnd w:id="331"/>
      <w:bookmarkEnd w:id="332"/>
      <w:bookmarkEnd w:id="333"/>
      <w:bookmarkEnd w:id="334"/>
      <w:bookmarkEnd w:id="335"/>
      <w:bookmarkEnd w:id="336"/>
      <w:bookmarkEnd w:id="337"/>
      <w:bookmarkEnd w:id="338"/>
      <w:bookmarkEnd w:id="339"/>
    </w:p>
    <w:p w14:paraId="518D496D" w14:textId="77777777" w:rsidR="00EF6A04" w:rsidRPr="00330363" w:rsidRDefault="00EF6A04" w:rsidP="0023353F">
      <w:pPr>
        <w:keepNext/>
        <w:spacing w:before="0" w:after="0"/>
        <w:rPr>
          <w:rFonts w:ascii="Arial" w:hAnsi="Arial" w:cs="Arial"/>
        </w:rPr>
      </w:pPr>
    </w:p>
    <w:p w14:paraId="3D387DEF" w14:textId="4D3F6018" w:rsidR="00FB3093" w:rsidRPr="00330363" w:rsidRDefault="00FB3093" w:rsidP="00FB3093">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330363">
        <w:rPr>
          <w:rFonts w:ascii="Arial" w:eastAsia="Times New Roman" w:hAnsi="Arial" w:cs="Arial"/>
          <w:b/>
          <w:i w:val="0"/>
          <w:color w:val="auto"/>
          <w:lang w:eastAsia="es-MX"/>
        </w:rPr>
        <w:t>PSM (GTV – DC-002-2019)</w:t>
      </w:r>
      <w:r w:rsidRPr="00330363">
        <w:rPr>
          <w:rStyle w:val="Refdenotaalpie"/>
          <w:rFonts w:ascii="Arial" w:hAnsi="Arial" w:cs="Arial"/>
          <w:b/>
          <w:bCs/>
          <w:i w:val="0"/>
        </w:rPr>
        <w:footnoteReference w:id="263"/>
      </w:r>
    </w:p>
    <w:p w14:paraId="7AAB88BF" w14:textId="77777777" w:rsidR="00FB3093" w:rsidRDefault="00FB3093" w:rsidP="00FB3093">
      <w:pPr>
        <w:spacing w:before="0" w:after="0"/>
        <w:rPr>
          <w:rFonts w:ascii="Arial" w:hAnsi="Arial" w:cs="Arial"/>
          <w:highlight w:val="yellow"/>
          <w:lang w:eastAsia="es-MX"/>
        </w:rPr>
      </w:pPr>
    </w:p>
    <w:p w14:paraId="7F3E10CC" w14:textId="78837942" w:rsidR="00FB3093" w:rsidRPr="00FB3093" w:rsidRDefault="00FB3093" w:rsidP="00FB3093">
      <w:pPr>
        <w:spacing w:before="0" w:after="0"/>
        <w:rPr>
          <w:rFonts w:ascii="Arial" w:hAnsi="Arial" w:cs="Arial"/>
          <w:bCs/>
        </w:rPr>
      </w:pPr>
      <w:r w:rsidRPr="00FB3093">
        <w:rPr>
          <w:rFonts w:ascii="Arial" w:hAnsi="Arial" w:cs="Arial"/>
          <w:lang w:eastAsia="es-MX"/>
        </w:rPr>
        <w:t>En el expediente AI/DC-002-2019 (investigación sobre PSM de GTV en la provisión del STAR),</w:t>
      </w:r>
      <w:r w:rsidRPr="00FB3093">
        <w:rPr>
          <w:rFonts w:ascii="Arial" w:hAnsi="Arial" w:cs="Arial"/>
          <w:bCs/>
        </w:rPr>
        <w:t xml:space="preserve"> </w:t>
      </w:r>
      <w:r w:rsidRPr="00FB3093">
        <w:rPr>
          <w:rFonts w:ascii="Arial" w:hAnsi="Arial" w:cs="Arial"/>
          <w:lang w:eastAsia="es-MX"/>
        </w:rPr>
        <w:t xml:space="preserve">se determinó que el STAR </w:t>
      </w:r>
      <w:r w:rsidRPr="00FB3093">
        <w:rPr>
          <w:rFonts w:ascii="Arial" w:eastAsiaTheme="majorEastAsia" w:hAnsi="Arial" w:cs="Arial"/>
          <w:szCs w:val="24"/>
        </w:rPr>
        <w:t>ofrecido de manera individual (</w:t>
      </w:r>
      <w:r w:rsidRPr="00FB3093">
        <w:rPr>
          <w:rFonts w:ascii="Arial" w:eastAsiaTheme="majorEastAsia" w:hAnsi="Arial" w:cs="Arial"/>
          <w:i/>
          <w:szCs w:val="24"/>
        </w:rPr>
        <w:t>single play</w:t>
      </w:r>
      <w:r w:rsidRPr="00FB3093">
        <w:rPr>
          <w:rFonts w:ascii="Arial" w:eastAsiaTheme="majorEastAsia" w:hAnsi="Arial" w:cs="Arial"/>
          <w:szCs w:val="24"/>
        </w:rPr>
        <w:t xml:space="preserve">) o empaquetada con otros servicios de telecomunicaciones fijos (SBAF y STF) en modalidad </w:t>
      </w:r>
      <w:r w:rsidRPr="00FB3093">
        <w:rPr>
          <w:rFonts w:ascii="Arial" w:eastAsiaTheme="majorEastAsia" w:hAnsi="Arial" w:cs="Arial"/>
          <w:i/>
          <w:szCs w:val="24"/>
        </w:rPr>
        <w:t>doble play</w:t>
      </w:r>
      <w:r w:rsidRPr="00FB3093">
        <w:rPr>
          <w:rFonts w:ascii="Arial" w:eastAsiaTheme="majorEastAsia" w:hAnsi="Arial" w:cs="Arial"/>
          <w:szCs w:val="24"/>
        </w:rPr>
        <w:t xml:space="preserve"> y </w:t>
      </w:r>
      <w:r w:rsidRPr="00FB3093">
        <w:rPr>
          <w:rFonts w:ascii="Arial" w:eastAsiaTheme="majorEastAsia" w:hAnsi="Arial" w:cs="Arial"/>
          <w:i/>
          <w:szCs w:val="24"/>
        </w:rPr>
        <w:t>triple play,</w:t>
      </w:r>
      <w:r w:rsidRPr="00FB3093">
        <w:rPr>
          <w:rFonts w:ascii="Arial" w:hAnsi="Arial" w:cs="Arial"/>
          <w:bCs/>
        </w:rPr>
        <w:t xml:space="preserve"> forma parte del mismo MR</w:t>
      </w:r>
      <w:r w:rsidRPr="00FB3093">
        <w:rPr>
          <w:rFonts w:ascii="Arial" w:hAnsi="Arial" w:cs="Arial"/>
          <w:lang w:eastAsia="es-MX"/>
        </w:rPr>
        <w:t>, con base en los siguientes elementos</w:t>
      </w:r>
      <w:r w:rsidRPr="00FB3093">
        <w:rPr>
          <w:rFonts w:ascii="Arial" w:hAnsi="Arial" w:cs="Arial"/>
          <w:bCs/>
        </w:rPr>
        <w:t xml:space="preserve">:  </w:t>
      </w:r>
    </w:p>
    <w:p w14:paraId="0B17671C" w14:textId="77777777" w:rsidR="00FB3093" w:rsidRPr="00FB3093" w:rsidRDefault="00FB3093" w:rsidP="00FB3093">
      <w:pPr>
        <w:spacing w:before="0" w:after="0"/>
        <w:rPr>
          <w:rFonts w:ascii="Arial" w:hAnsi="Arial" w:cs="Arial"/>
          <w:lang w:eastAsia="es-MX"/>
        </w:rPr>
      </w:pPr>
    </w:p>
    <w:p w14:paraId="1BDB6089" w14:textId="595686C0" w:rsidR="00FB3093" w:rsidRPr="00FB3093" w:rsidRDefault="00FB3093" w:rsidP="00840AD0">
      <w:pPr>
        <w:pStyle w:val="Prrafodelista"/>
        <w:numPr>
          <w:ilvl w:val="0"/>
          <w:numId w:val="70"/>
        </w:numPr>
        <w:spacing w:before="0" w:after="0"/>
        <w:ind w:left="709" w:hanging="567"/>
        <w:contextualSpacing w:val="0"/>
        <w:rPr>
          <w:rFonts w:ascii="Arial" w:hAnsi="Arial" w:cs="Arial"/>
        </w:rPr>
      </w:pPr>
      <w:r w:rsidRPr="00FB3093">
        <w:rPr>
          <w:rFonts w:ascii="Arial" w:hAnsi="Arial" w:cs="Arial"/>
        </w:rPr>
        <w:t xml:space="preserve">Los proveedores del STAR que </w:t>
      </w:r>
      <w:r w:rsidRPr="006F572A">
        <w:rPr>
          <w:rFonts w:ascii="Arial" w:hAnsi="Arial" w:cs="Arial"/>
        </w:rPr>
        <w:t>utilizan la tecnología satelital no tienen capacidad</w:t>
      </w:r>
      <w:r w:rsidR="006F572A" w:rsidRPr="006F572A">
        <w:rPr>
          <w:rFonts w:ascii="Arial" w:hAnsi="Arial" w:cs="Arial"/>
        </w:rPr>
        <w:t xml:space="preserve"> (o es limitada)</w:t>
      </w:r>
      <w:r w:rsidRPr="006F572A">
        <w:rPr>
          <w:rFonts w:ascii="Arial" w:hAnsi="Arial" w:cs="Arial"/>
        </w:rPr>
        <w:t xml:space="preserve"> de ofertar servicios adicionales de telecomunicaciones en forma empaquetada. </w:t>
      </w:r>
      <w:r w:rsidRPr="006F572A">
        <w:rPr>
          <w:rFonts w:ascii="Arial" w:eastAsiaTheme="majorEastAsia" w:hAnsi="Arial" w:cs="Arial"/>
          <w:szCs w:val="24"/>
        </w:rPr>
        <w:t>Sin embargo, los usuarios tienen la capacidad de conformar paquetes “sintéticos” de servicios a partir de la adquisición de servicios individuales y, de hecho, la evidencia muestra que lo hacen,</w:t>
      </w:r>
      <w:r w:rsidRPr="00FB3093">
        <w:rPr>
          <w:rFonts w:ascii="Arial" w:eastAsiaTheme="majorEastAsia" w:hAnsi="Arial" w:cs="Arial"/>
          <w:szCs w:val="24"/>
        </w:rPr>
        <w:t xml:space="preserve"> al combinar, por ejemplo, paquetes </w:t>
      </w:r>
      <w:r w:rsidRPr="00FB3093">
        <w:rPr>
          <w:rFonts w:ascii="Arial" w:eastAsiaTheme="majorEastAsia" w:hAnsi="Arial" w:cs="Arial"/>
          <w:i/>
          <w:szCs w:val="24"/>
        </w:rPr>
        <w:t>doble play</w:t>
      </w:r>
      <w:r w:rsidRPr="00FB3093">
        <w:rPr>
          <w:rFonts w:ascii="Arial" w:eastAsiaTheme="majorEastAsia" w:hAnsi="Arial" w:cs="Arial"/>
          <w:szCs w:val="24"/>
        </w:rPr>
        <w:t xml:space="preserve"> (SBAF+STF) con el STAR satelital,</w:t>
      </w:r>
    </w:p>
    <w:p w14:paraId="4A13268F" w14:textId="77777777" w:rsidR="00FB3093" w:rsidRPr="00FB3093" w:rsidRDefault="00FB3093" w:rsidP="00840AD0">
      <w:pPr>
        <w:pStyle w:val="Prrafodelista"/>
        <w:numPr>
          <w:ilvl w:val="0"/>
          <w:numId w:val="70"/>
        </w:numPr>
        <w:spacing w:before="0" w:after="0"/>
        <w:ind w:left="709" w:hanging="567"/>
        <w:contextualSpacing w:val="0"/>
        <w:rPr>
          <w:rFonts w:ascii="Arial" w:hAnsi="Arial" w:cs="Arial"/>
          <w:bCs/>
        </w:rPr>
      </w:pPr>
      <w:r w:rsidRPr="00FB3093">
        <w:rPr>
          <w:rFonts w:ascii="Arial" w:hAnsi="Arial" w:cs="Arial"/>
        </w:rPr>
        <w:t xml:space="preserve">No se identificó </w:t>
      </w:r>
      <w:r w:rsidRPr="00FB3093">
        <w:rPr>
          <w:rFonts w:ascii="Arial" w:hAnsi="Arial" w:cs="Arial"/>
          <w:bCs/>
        </w:rPr>
        <w:t xml:space="preserve">un patrón específico de contratación del STAR: el STAR en </w:t>
      </w:r>
      <w:r w:rsidRPr="00FB3093">
        <w:rPr>
          <w:rFonts w:ascii="Arial" w:hAnsi="Arial" w:cs="Arial"/>
          <w:bCs/>
          <w:i/>
        </w:rPr>
        <w:t>single play</w:t>
      </w:r>
      <w:r w:rsidRPr="00FB3093">
        <w:rPr>
          <w:rFonts w:ascii="Arial" w:hAnsi="Arial" w:cs="Arial"/>
          <w:bCs/>
        </w:rPr>
        <w:t xml:space="preserve"> era la forma más común de contratación (48.22% de los suscriptores), seguida del </w:t>
      </w:r>
      <w:r w:rsidRPr="00FB3093">
        <w:rPr>
          <w:rFonts w:ascii="Arial" w:hAnsi="Arial" w:cs="Arial"/>
          <w:bCs/>
          <w:i/>
        </w:rPr>
        <w:t xml:space="preserve">triple play </w:t>
      </w:r>
      <w:r w:rsidRPr="00FB3093">
        <w:rPr>
          <w:rFonts w:ascii="Arial" w:hAnsi="Arial" w:cs="Arial"/>
          <w:bCs/>
        </w:rPr>
        <w:t>(40.09%), y</w:t>
      </w:r>
    </w:p>
    <w:p w14:paraId="5BBB1E07" w14:textId="606DC101" w:rsidR="00FB3093" w:rsidRPr="00FB3093" w:rsidRDefault="00FB3093" w:rsidP="00840AD0">
      <w:pPr>
        <w:pStyle w:val="Prrafodelista"/>
        <w:numPr>
          <w:ilvl w:val="0"/>
          <w:numId w:val="70"/>
        </w:numPr>
        <w:spacing w:before="0" w:after="0"/>
        <w:ind w:left="709" w:hanging="567"/>
        <w:contextualSpacing w:val="0"/>
        <w:rPr>
          <w:rFonts w:ascii="Arial" w:hAnsi="Arial" w:cs="Arial"/>
          <w:bCs/>
        </w:rPr>
      </w:pPr>
      <w:r w:rsidRPr="00FB3093">
        <w:rPr>
          <w:rFonts w:ascii="Arial" w:hAnsi="Arial" w:cs="Arial"/>
          <w:bCs/>
        </w:rPr>
        <w:t>No se identifica que exista sustitución asimétrica entre diversos tipos de comercialización del STAR, o que esta sea relevante, por lo que no resulta determinante para definir la existencia de un mercado de paquetes.</w:t>
      </w:r>
    </w:p>
    <w:p w14:paraId="36EFFA03" w14:textId="77777777" w:rsidR="00FB3093" w:rsidRPr="00931D46" w:rsidRDefault="00FB3093" w:rsidP="0023353F">
      <w:pPr>
        <w:spacing w:before="0" w:after="0"/>
        <w:rPr>
          <w:rFonts w:ascii="Arial" w:hAnsi="Arial" w:cs="Arial"/>
          <w:bCs/>
        </w:rPr>
      </w:pPr>
    </w:p>
    <w:p w14:paraId="78C1882C" w14:textId="77777777" w:rsidR="00EF6A04" w:rsidRPr="00931D46" w:rsidRDefault="003F2354"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PMR (</w:t>
      </w:r>
      <w:bookmarkStart w:id="340" w:name="_Toc42256672"/>
      <w:bookmarkStart w:id="341" w:name="_Toc42766337"/>
      <w:bookmarkStart w:id="342" w:name="_Toc42794205"/>
      <w:bookmarkStart w:id="343" w:name="_Toc43117680"/>
      <w:bookmarkStart w:id="344" w:name="_Toc43985860"/>
      <w:bookmarkStart w:id="345" w:name="_Toc44057908"/>
      <w:bookmarkStart w:id="346" w:name="_Toc44072032"/>
      <w:bookmarkStart w:id="347" w:name="_Toc44074710"/>
      <w:bookmarkStart w:id="348" w:name="_Toc44077121"/>
      <w:bookmarkStart w:id="349" w:name="_Toc44078320"/>
      <w:bookmarkStart w:id="350" w:name="_Toc44078588"/>
      <w:bookmarkStart w:id="351" w:name="_Toc42167324"/>
      <w:r w:rsidR="00EF6A04" w:rsidRPr="00931D46">
        <w:rPr>
          <w:rFonts w:ascii="Arial" w:eastAsia="Times New Roman" w:hAnsi="Arial" w:cs="Arial"/>
          <w:b/>
          <w:i w:val="0"/>
          <w:color w:val="auto"/>
          <w:lang w:eastAsia="es-MX"/>
        </w:rPr>
        <w:t>Claro Video</w:t>
      </w:r>
      <w:r w:rsidRPr="00931D46">
        <w:rPr>
          <w:rFonts w:ascii="Arial" w:eastAsia="Times New Roman" w:hAnsi="Arial" w:cs="Arial"/>
          <w:b/>
          <w:i w:val="0"/>
          <w:color w:val="auto"/>
          <w:lang w:eastAsia="es-MX"/>
        </w:rPr>
        <w:t xml:space="preserve"> – </w:t>
      </w:r>
      <w:r w:rsidRPr="00931D46">
        <w:rPr>
          <w:rFonts w:ascii="Arial" w:hAnsi="Arial" w:cs="Arial"/>
          <w:b/>
          <w:bCs/>
          <w:i w:val="0"/>
          <w:color w:val="auto"/>
        </w:rPr>
        <w:t>DE-001-2014</w:t>
      </w:r>
      <w:r w:rsidRPr="00931D46">
        <w:rPr>
          <w:rFonts w:ascii="Arial" w:eastAsia="Times New Roman" w:hAnsi="Arial" w:cs="Arial"/>
          <w:b/>
          <w:i w:val="0"/>
          <w:color w:val="auto"/>
          <w:lang w:eastAsia="es-MX"/>
        </w:rPr>
        <w:t>)</w:t>
      </w:r>
      <w:r w:rsidR="00EF6A04" w:rsidRPr="00931D46">
        <w:rPr>
          <w:rFonts w:ascii="Arial" w:eastAsia="Times New Roman" w:hAnsi="Arial" w:cs="Arial"/>
          <w:b/>
          <w:i w:val="0"/>
          <w:color w:val="auto"/>
          <w:vertAlign w:val="superscript"/>
          <w:lang w:val="en-US" w:eastAsia="es-MX"/>
        </w:rPr>
        <w:footnoteReference w:id="264"/>
      </w:r>
      <w:bookmarkEnd w:id="340"/>
      <w:bookmarkEnd w:id="341"/>
      <w:bookmarkEnd w:id="342"/>
      <w:bookmarkEnd w:id="343"/>
      <w:bookmarkEnd w:id="344"/>
      <w:bookmarkEnd w:id="345"/>
      <w:bookmarkEnd w:id="346"/>
      <w:bookmarkEnd w:id="347"/>
      <w:bookmarkEnd w:id="348"/>
      <w:bookmarkEnd w:id="349"/>
      <w:bookmarkEnd w:id="350"/>
    </w:p>
    <w:bookmarkEnd w:id="351"/>
    <w:p w14:paraId="3391F8C5" w14:textId="77777777" w:rsidR="00EF6A04" w:rsidRPr="00931D46" w:rsidRDefault="00EF6A04" w:rsidP="0023353F">
      <w:pPr>
        <w:keepNext/>
        <w:spacing w:before="0" w:after="0"/>
        <w:rPr>
          <w:rFonts w:ascii="Arial" w:eastAsiaTheme="majorEastAsia" w:hAnsi="Arial" w:cs="Arial"/>
          <w:bCs/>
        </w:rPr>
      </w:pPr>
    </w:p>
    <w:p w14:paraId="02016FEB" w14:textId="77777777" w:rsidR="00EF6A04" w:rsidRPr="00931D46" w:rsidRDefault="00EF6A04" w:rsidP="0023353F">
      <w:pPr>
        <w:spacing w:before="0" w:after="0"/>
        <w:rPr>
          <w:rFonts w:ascii="Arial" w:eastAsiaTheme="majorEastAsia" w:hAnsi="Arial" w:cs="Arial"/>
          <w:bCs/>
        </w:rPr>
      </w:pPr>
      <w:r w:rsidRPr="00931D46">
        <w:rPr>
          <w:rFonts w:ascii="Arial" w:eastAsiaTheme="majorEastAsia" w:hAnsi="Arial" w:cs="Arial"/>
          <w:bCs/>
        </w:rPr>
        <w:t>En el expediente UCE/DE-001-2014</w:t>
      </w:r>
      <w:r w:rsidR="00290113" w:rsidRPr="00931D46">
        <w:rPr>
          <w:rFonts w:ascii="Arial" w:eastAsiaTheme="majorEastAsia" w:hAnsi="Arial" w:cs="Arial"/>
          <w:bCs/>
        </w:rPr>
        <w:t xml:space="preserve"> (investigación sobre una PMR)</w:t>
      </w:r>
      <w:r w:rsidRPr="00931D46">
        <w:rPr>
          <w:rFonts w:ascii="Arial" w:eastAsiaTheme="majorEastAsia" w:hAnsi="Arial" w:cs="Arial"/>
          <w:bCs/>
        </w:rPr>
        <w:t>, el I</w:t>
      </w:r>
      <w:r w:rsidR="005151E6" w:rsidRPr="00931D46">
        <w:rPr>
          <w:rFonts w:ascii="Arial" w:eastAsiaTheme="majorEastAsia" w:hAnsi="Arial" w:cs="Arial"/>
          <w:bCs/>
        </w:rPr>
        <w:t>nstituto</w:t>
      </w:r>
      <w:r w:rsidRPr="00931D46">
        <w:rPr>
          <w:rFonts w:ascii="Arial" w:eastAsiaTheme="majorEastAsia" w:hAnsi="Arial" w:cs="Arial"/>
          <w:bCs/>
        </w:rPr>
        <w:t xml:space="preserve"> analizó si </w:t>
      </w:r>
      <w:r w:rsidRPr="00931D46">
        <w:rPr>
          <w:rFonts w:ascii="Arial" w:hAnsi="Arial" w:cs="Arial"/>
        </w:rPr>
        <w:t xml:space="preserve">AMX, Telmex y Telnor incurrieron en una PMR al proporcionar el servicio bajo demanda Claro Video, sin costo por </w:t>
      </w:r>
      <w:r w:rsidR="00290113" w:rsidRPr="00931D46">
        <w:rPr>
          <w:rFonts w:ascii="Arial" w:hAnsi="Arial" w:cs="Arial"/>
        </w:rPr>
        <w:t xml:space="preserve">12 </w:t>
      </w:r>
      <w:r w:rsidRPr="00931D46">
        <w:rPr>
          <w:rFonts w:ascii="Arial" w:hAnsi="Arial" w:cs="Arial"/>
        </w:rPr>
        <w:t xml:space="preserve">meses, a sus suscriptores del servicio </w:t>
      </w:r>
      <w:r w:rsidRPr="00931D46">
        <w:rPr>
          <w:rFonts w:ascii="Arial" w:hAnsi="Arial" w:cs="Arial"/>
          <w:i/>
        </w:rPr>
        <w:t>doble play</w:t>
      </w:r>
      <w:r w:rsidRPr="00931D46">
        <w:rPr>
          <w:rFonts w:ascii="Arial" w:hAnsi="Arial" w:cs="Arial"/>
        </w:rPr>
        <w:t xml:space="preserve"> (SBAF+STF)</w:t>
      </w:r>
      <w:r w:rsidRPr="00931D46">
        <w:rPr>
          <w:rFonts w:ascii="Arial" w:eastAsiaTheme="majorEastAsia" w:hAnsi="Arial" w:cs="Arial"/>
          <w:bCs/>
        </w:rPr>
        <w:t>.</w:t>
      </w:r>
    </w:p>
    <w:p w14:paraId="0C2F2F64" w14:textId="77777777" w:rsidR="00EF6A04" w:rsidRPr="00931D46" w:rsidRDefault="00EF6A04" w:rsidP="0023353F">
      <w:pPr>
        <w:spacing w:before="0" w:after="0"/>
        <w:rPr>
          <w:rFonts w:ascii="Arial" w:eastAsiaTheme="majorEastAsia" w:hAnsi="Arial" w:cs="Arial"/>
          <w:bCs/>
        </w:rPr>
      </w:pPr>
    </w:p>
    <w:p w14:paraId="0939B878" w14:textId="140C6660" w:rsidR="00EF6A04" w:rsidRPr="00931D46" w:rsidRDefault="00EF6A04" w:rsidP="0023353F">
      <w:pPr>
        <w:spacing w:before="0" w:after="0"/>
        <w:rPr>
          <w:rFonts w:ascii="Arial" w:eastAsiaTheme="majorEastAsia" w:hAnsi="Arial" w:cs="Arial"/>
          <w:bCs/>
        </w:rPr>
      </w:pPr>
      <w:r w:rsidRPr="00931D46">
        <w:rPr>
          <w:rFonts w:ascii="Arial" w:eastAsiaTheme="majorEastAsia" w:hAnsi="Arial" w:cs="Arial"/>
          <w:bCs/>
        </w:rPr>
        <w:t xml:space="preserve">En </w:t>
      </w:r>
      <w:r w:rsidR="003F2354" w:rsidRPr="00931D46">
        <w:rPr>
          <w:rFonts w:ascii="Arial" w:eastAsiaTheme="majorEastAsia" w:hAnsi="Arial" w:cs="Arial"/>
          <w:bCs/>
        </w:rPr>
        <w:t>el</w:t>
      </w:r>
      <w:r w:rsidRPr="00931D46">
        <w:rPr>
          <w:rFonts w:ascii="Arial" w:eastAsiaTheme="majorEastAsia" w:hAnsi="Arial" w:cs="Arial"/>
          <w:bCs/>
        </w:rPr>
        <w:t xml:space="preserve"> </w:t>
      </w:r>
      <w:r w:rsidR="003F2354" w:rsidRPr="00931D46">
        <w:rPr>
          <w:rFonts w:ascii="Arial" w:eastAsiaTheme="majorEastAsia" w:hAnsi="Arial" w:cs="Arial"/>
          <w:bCs/>
        </w:rPr>
        <w:t>o</w:t>
      </w:r>
      <w:r w:rsidRPr="00931D46">
        <w:rPr>
          <w:rFonts w:ascii="Arial" w:eastAsiaTheme="majorEastAsia" w:hAnsi="Arial" w:cs="Arial"/>
          <w:bCs/>
        </w:rPr>
        <w:t xml:space="preserve">ficio de </w:t>
      </w:r>
      <w:r w:rsidR="003F2354" w:rsidRPr="00931D46">
        <w:rPr>
          <w:rFonts w:ascii="Arial" w:eastAsiaTheme="majorEastAsia" w:hAnsi="Arial" w:cs="Arial"/>
          <w:bCs/>
        </w:rPr>
        <w:t>p</w:t>
      </w:r>
      <w:r w:rsidRPr="00931D46">
        <w:rPr>
          <w:rFonts w:ascii="Arial" w:eastAsiaTheme="majorEastAsia" w:hAnsi="Arial" w:cs="Arial"/>
          <w:bCs/>
        </w:rPr>
        <w:t xml:space="preserve">robable </w:t>
      </w:r>
      <w:r w:rsidR="003F2354" w:rsidRPr="00931D46">
        <w:rPr>
          <w:rFonts w:ascii="Arial" w:eastAsiaTheme="majorEastAsia" w:hAnsi="Arial" w:cs="Arial"/>
          <w:bCs/>
        </w:rPr>
        <w:t>r</w:t>
      </w:r>
      <w:r w:rsidRPr="00931D46">
        <w:rPr>
          <w:rFonts w:ascii="Arial" w:eastAsiaTheme="majorEastAsia" w:hAnsi="Arial" w:cs="Arial"/>
          <w:bCs/>
        </w:rPr>
        <w:t>esponsabilidad, la A</w:t>
      </w:r>
      <w:r w:rsidR="00BE67AD" w:rsidRPr="00931D46">
        <w:rPr>
          <w:rFonts w:ascii="Arial" w:eastAsiaTheme="majorEastAsia" w:hAnsi="Arial" w:cs="Arial"/>
          <w:bCs/>
        </w:rPr>
        <w:t xml:space="preserve">utoridad </w:t>
      </w:r>
      <w:r w:rsidRPr="00931D46">
        <w:rPr>
          <w:rFonts w:ascii="Arial" w:eastAsiaTheme="majorEastAsia" w:hAnsi="Arial" w:cs="Arial"/>
          <w:bCs/>
        </w:rPr>
        <w:t>I</w:t>
      </w:r>
      <w:r w:rsidR="00BE67AD" w:rsidRPr="00931D46">
        <w:rPr>
          <w:rFonts w:ascii="Arial" w:eastAsiaTheme="majorEastAsia" w:hAnsi="Arial" w:cs="Arial"/>
          <w:bCs/>
        </w:rPr>
        <w:t>nvestigadora del Instituto</w:t>
      </w:r>
      <w:r w:rsidRPr="00931D46">
        <w:rPr>
          <w:rFonts w:ascii="Arial" w:eastAsiaTheme="majorEastAsia" w:hAnsi="Arial" w:cs="Arial"/>
          <w:bCs/>
        </w:rPr>
        <w:t xml:space="preserve"> </w:t>
      </w:r>
      <w:r w:rsidR="00764B57" w:rsidRPr="00931D46">
        <w:rPr>
          <w:rFonts w:ascii="Arial" w:eastAsiaTheme="majorEastAsia" w:hAnsi="Arial" w:cs="Arial"/>
          <w:bCs/>
        </w:rPr>
        <w:t>determinó que</w:t>
      </w:r>
      <w:r w:rsidR="003F2354" w:rsidRPr="00931D46">
        <w:rPr>
          <w:rFonts w:ascii="Arial" w:eastAsiaTheme="majorEastAsia" w:hAnsi="Arial" w:cs="Arial"/>
          <w:bCs/>
        </w:rPr>
        <w:t xml:space="preserve"> </w:t>
      </w:r>
      <w:r w:rsidRPr="00931D46">
        <w:rPr>
          <w:rFonts w:ascii="Arial" w:eastAsiaTheme="majorEastAsia" w:hAnsi="Arial" w:cs="Arial"/>
          <w:bCs/>
        </w:rPr>
        <w:t xml:space="preserve">el MR </w:t>
      </w:r>
      <w:r w:rsidR="00764B57" w:rsidRPr="00931D46">
        <w:rPr>
          <w:rFonts w:ascii="Arial" w:eastAsiaTheme="majorEastAsia" w:hAnsi="Arial" w:cs="Arial"/>
          <w:bCs/>
        </w:rPr>
        <w:t xml:space="preserve">tenía como </w:t>
      </w:r>
      <w:r w:rsidR="003F2354" w:rsidRPr="00931D46">
        <w:rPr>
          <w:rFonts w:ascii="Arial" w:eastAsiaTheme="majorEastAsia" w:hAnsi="Arial" w:cs="Arial"/>
          <w:bCs/>
        </w:rPr>
        <w:t>di</w:t>
      </w:r>
      <w:r w:rsidR="00764B57" w:rsidRPr="00931D46">
        <w:rPr>
          <w:rFonts w:ascii="Arial" w:eastAsiaTheme="majorEastAsia" w:hAnsi="Arial" w:cs="Arial"/>
          <w:bCs/>
        </w:rPr>
        <w:t xml:space="preserve">mensión </w:t>
      </w:r>
      <w:r w:rsidR="00330363">
        <w:rPr>
          <w:rFonts w:ascii="Arial" w:eastAsiaTheme="majorEastAsia" w:hAnsi="Arial" w:cs="Arial"/>
          <w:bCs/>
        </w:rPr>
        <w:t>producto</w:t>
      </w:r>
      <w:r w:rsidR="00764B57" w:rsidRPr="00931D46">
        <w:rPr>
          <w:rFonts w:ascii="Arial" w:eastAsiaTheme="majorEastAsia" w:hAnsi="Arial" w:cs="Arial"/>
          <w:bCs/>
        </w:rPr>
        <w:t xml:space="preserve"> </w:t>
      </w:r>
      <w:r w:rsidRPr="00931D46">
        <w:rPr>
          <w:rFonts w:ascii="Arial" w:eastAsiaTheme="majorEastAsia" w:hAnsi="Arial" w:cs="Arial"/>
          <w:bCs/>
        </w:rPr>
        <w:t xml:space="preserve">el paquete </w:t>
      </w:r>
      <w:r w:rsidRPr="00931D46">
        <w:rPr>
          <w:rFonts w:ascii="Arial" w:eastAsiaTheme="majorEastAsia" w:hAnsi="Arial" w:cs="Arial"/>
          <w:bCs/>
          <w:i/>
        </w:rPr>
        <w:t xml:space="preserve">doble play </w:t>
      </w:r>
      <w:r w:rsidRPr="00931D46" w:rsidDel="00BF73E7">
        <w:rPr>
          <w:rFonts w:ascii="Arial" w:eastAsiaTheme="majorEastAsia" w:hAnsi="Arial" w:cs="Arial"/>
          <w:bCs/>
          <w:i/>
        </w:rPr>
        <w:t>(</w:t>
      </w:r>
      <w:r w:rsidRPr="00931D46">
        <w:rPr>
          <w:rFonts w:ascii="Arial" w:eastAsiaTheme="majorEastAsia" w:hAnsi="Arial" w:cs="Arial"/>
          <w:bCs/>
        </w:rPr>
        <w:t xml:space="preserve">SBAF+STF) </w:t>
      </w:r>
      <w:r w:rsidR="00AE7B0D" w:rsidRPr="00931D46">
        <w:rPr>
          <w:rFonts w:ascii="Arial" w:eastAsiaTheme="majorEastAsia" w:hAnsi="Arial" w:cs="Arial"/>
          <w:bCs/>
        </w:rPr>
        <w:t xml:space="preserve">al considerar que </w:t>
      </w:r>
      <w:r w:rsidRPr="00931D46">
        <w:rPr>
          <w:rFonts w:ascii="Arial" w:eastAsiaTheme="majorEastAsia" w:hAnsi="Arial" w:cs="Arial"/>
          <w:bCs/>
        </w:rPr>
        <w:t xml:space="preserve">satisface necesidades distintas de las que atienden otros </w:t>
      </w:r>
      <w:r w:rsidR="003F2354" w:rsidRPr="00931D46">
        <w:rPr>
          <w:rFonts w:ascii="Arial" w:eastAsiaTheme="majorEastAsia" w:hAnsi="Arial" w:cs="Arial"/>
          <w:bCs/>
        </w:rPr>
        <w:t xml:space="preserve">paquetes o </w:t>
      </w:r>
      <w:r w:rsidRPr="00931D46">
        <w:rPr>
          <w:rFonts w:ascii="Arial" w:eastAsiaTheme="majorEastAsia" w:hAnsi="Arial" w:cs="Arial"/>
          <w:bCs/>
        </w:rPr>
        <w:t xml:space="preserve">servicios de telecomunicaciones como el </w:t>
      </w:r>
      <w:r w:rsidRPr="00931D46">
        <w:rPr>
          <w:rFonts w:ascii="Arial" w:eastAsiaTheme="majorEastAsia" w:hAnsi="Arial" w:cs="Arial"/>
          <w:bCs/>
          <w:i/>
        </w:rPr>
        <w:t>triple play</w:t>
      </w:r>
      <w:r w:rsidRPr="00931D46">
        <w:rPr>
          <w:rFonts w:ascii="Arial" w:eastAsiaTheme="majorEastAsia" w:hAnsi="Arial" w:cs="Arial"/>
          <w:bCs/>
        </w:rPr>
        <w:t xml:space="preserve"> (STAR+</w:t>
      </w:r>
      <w:r w:rsidRPr="00931D46">
        <w:rPr>
          <w:rFonts w:ascii="Arial" w:hAnsi="Arial" w:cs="Arial"/>
        </w:rPr>
        <w:t>SBAF+STF)</w:t>
      </w:r>
      <w:r w:rsidRPr="00931D46">
        <w:rPr>
          <w:rFonts w:ascii="Arial" w:eastAsiaTheme="majorEastAsia" w:hAnsi="Arial" w:cs="Arial"/>
          <w:bCs/>
        </w:rPr>
        <w:t xml:space="preserve"> o el STF y el SBAF contratados de manera individual. </w:t>
      </w:r>
      <w:r w:rsidR="003F2354" w:rsidRPr="00931D46">
        <w:rPr>
          <w:rFonts w:ascii="Arial" w:eastAsiaTheme="majorEastAsia" w:hAnsi="Arial" w:cs="Arial"/>
          <w:bCs/>
        </w:rPr>
        <w:t xml:space="preserve">No obstante, en la resolución final del expediente, </w:t>
      </w:r>
      <w:r w:rsidRPr="00931D46">
        <w:rPr>
          <w:rFonts w:ascii="Arial" w:eastAsiaTheme="majorEastAsia" w:hAnsi="Arial" w:cs="Arial"/>
          <w:bCs/>
        </w:rPr>
        <w:t xml:space="preserve">el Pleno del Instituto señaló que: </w:t>
      </w:r>
    </w:p>
    <w:p w14:paraId="0666935A" w14:textId="77777777" w:rsidR="0023353F" w:rsidRPr="00931D46" w:rsidRDefault="0023353F" w:rsidP="0023353F">
      <w:pPr>
        <w:spacing w:before="0" w:after="0"/>
        <w:rPr>
          <w:rFonts w:ascii="Arial" w:eastAsiaTheme="majorEastAsia" w:hAnsi="Arial" w:cs="Arial"/>
          <w:bCs/>
        </w:rPr>
      </w:pPr>
    </w:p>
    <w:p w14:paraId="282F9E05" w14:textId="77777777" w:rsidR="00EF6A04" w:rsidRPr="00931D46" w:rsidRDefault="00EF6A04" w:rsidP="00840AD0">
      <w:pPr>
        <w:pStyle w:val="Prrafodelista"/>
        <w:numPr>
          <w:ilvl w:val="0"/>
          <w:numId w:val="34"/>
        </w:numPr>
        <w:spacing w:before="0" w:after="0"/>
        <w:ind w:left="709" w:hanging="567"/>
        <w:contextualSpacing w:val="0"/>
        <w:rPr>
          <w:rFonts w:ascii="Arial" w:eastAsiaTheme="majorEastAsia" w:hAnsi="Arial" w:cs="Arial"/>
          <w:bCs/>
        </w:rPr>
      </w:pPr>
      <w:r w:rsidRPr="00931D46">
        <w:rPr>
          <w:rFonts w:ascii="Arial" w:eastAsiaTheme="majorEastAsia" w:hAnsi="Arial" w:cs="Arial"/>
          <w:bCs/>
        </w:rPr>
        <w:t>Tratándose de servicios de telecomunicaciones a usuarios finales, no se excluye la posibilidad</w:t>
      </w:r>
      <w:r w:rsidRPr="00931D46">
        <w:rPr>
          <w:rFonts w:ascii="Arial" w:eastAsiaTheme="majorEastAsia" w:hAnsi="Arial" w:cs="Arial"/>
        </w:rPr>
        <w:t xml:space="preserve"> </w:t>
      </w:r>
      <w:r w:rsidRPr="00931D46">
        <w:rPr>
          <w:rFonts w:ascii="Arial" w:eastAsiaTheme="majorEastAsia" w:hAnsi="Arial" w:cs="Arial"/>
          <w:bCs/>
        </w:rPr>
        <w:t xml:space="preserve">de </w:t>
      </w:r>
      <w:r w:rsidRPr="00931D46">
        <w:rPr>
          <w:rFonts w:ascii="Arial" w:eastAsiaTheme="majorEastAsia" w:hAnsi="Arial" w:cs="Arial"/>
        </w:rPr>
        <w:t xml:space="preserve">definir </w:t>
      </w:r>
      <w:r w:rsidRPr="00931D46">
        <w:rPr>
          <w:rFonts w:ascii="Arial" w:eastAsiaTheme="majorEastAsia" w:hAnsi="Arial" w:cs="Arial"/>
          <w:bCs/>
        </w:rPr>
        <w:t>MR</w:t>
      </w:r>
      <w:r w:rsidRPr="00931D46">
        <w:rPr>
          <w:rFonts w:ascii="Arial" w:eastAsiaTheme="majorEastAsia" w:hAnsi="Arial" w:cs="Arial"/>
        </w:rPr>
        <w:t xml:space="preserve"> en términos de paquetes de servicios siempre y cuando </w:t>
      </w:r>
      <w:r w:rsidR="003F2354" w:rsidRPr="00931D46">
        <w:rPr>
          <w:rFonts w:ascii="Arial" w:eastAsiaTheme="majorEastAsia" w:hAnsi="Arial" w:cs="Arial"/>
        </w:rPr>
        <w:t>se hayan</w:t>
      </w:r>
      <w:r w:rsidRPr="00931D46">
        <w:rPr>
          <w:rFonts w:ascii="Arial" w:eastAsiaTheme="majorEastAsia" w:hAnsi="Arial" w:cs="Arial"/>
        </w:rPr>
        <w:t xml:space="preserve"> considerado las posibilidades de sustitu</w:t>
      </w:r>
      <w:r w:rsidR="003F2354" w:rsidRPr="00931D46">
        <w:rPr>
          <w:rFonts w:ascii="Arial" w:eastAsiaTheme="majorEastAsia" w:hAnsi="Arial" w:cs="Arial"/>
        </w:rPr>
        <w:t xml:space="preserve">ción </w:t>
      </w:r>
      <w:r w:rsidRPr="00931D46">
        <w:rPr>
          <w:rFonts w:ascii="Arial" w:eastAsiaTheme="majorEastAsia" w:hAnsi="Arial" w:cs="Arial"/>
        </w:rPr>
        <w:t>por el lado de la oferta y la demanda</w:t>
      </w:r>
      <w:r w:rsidR="003F2354" w:rsidRPr="00931D46">
        <w:rPr>
          <w:rFonts w:ascii="Arial" w:eastAsiaTheme="majorEastAsia" w:hAnsi="Arial" w:cs="Arial"/>
        </w:rPr>
        <w:t>,</w:t>
      </w:r>
      <w:r w:rsidRPr="00931D46">
        <w:rPr>
          <w:rFonts w:ascii="Arial" w:eastAsiaTheme="majorEastAsia" w:hAnsi="Arial" w:cs="Arial"/>
          <w:bCs/>
        </w:rPr>
        <w:t xml:space="preserve"> </w:t>
      </w:r>
    </w:p>
    <w:p w14:paraId="45CDECD7" w14:textId="289AA91F" w:rsidR="00EF6A04" w:rsidRPr="00931D46" w:rsidRDefault="00EF6A04" w:rsidP="00840AD0">
      <w:pPr>
        <w:pStyle w:val="Prrafodelista"/>
        <w:numPr>
          <w:ilvl w:val="0"/>
          <w:numId w:val="34"/>
        </w:numPr>
        <w:spacing w:before="0" w:after="0"/>
        <w:ind w:left="709" w:hanging="567"/>
        <w:contextualSpacing w:val="0"/>
        <w:rPr>
          <w:rFonts w:ascii="Arial" w:eastAsiaTheme="majorEastAsia" w:hAnsi="Arial" w:cs="Arial"/>
          <w:bCs/>
        </w:rPr>
      </w:pPr>
      <w:r w:rsidRPr="00931D46">
        <w:rPr>
          <w:rFonts w:ascii="Arial" w:eastAsiaTheme="majorEastAsia" w:hAnsi="Arial" w:cs="Arial"/>
          <w:bCs/>
        </w:rPr>
        <w:t xml:space="preserve">La forma de comercialización específica </w:t>
      </w:r>
      <w:r w:rsidR="003F2354" w:rsidRPr="00931D46">
        <w:rPr>
          <w:rFonts w:ascii="Arial" w:eastAsiaTheme="majorEastAsia" w:hAnsi="Arial" w:cs="Arial"/>
          <w:bCs/>
          <w:i/>
        </w:rPr>
        <w:t>doble play</w:t>
      </w:r>
      <w:r w:rsidR="003F2354" w:rsidRPr="00931D46">
        <w:rPr>
          <w:rFonts w:ascii="Arial" w:eastAsiaTheme="majorEastAsia" w:hAnsi="Arial" w:cs="Arial"/>
          <w:bCs/>
        </w:rPr>
        <w:t xml:space="preserve"> </w:t>
      </w:r>
      <w:r w:rsidRPr="00931D46">
        <w:rPr>
          <w:rFonts w:ascii="Arial" w:eastAsiaTheme="majorEastAsia" w:hAnsi="Arial" w:cs="Arial"/>
          <w:bCs/>
        </w:rPr>
        <w:t>(STF</w:t>
      </w:r>
      <w:r w:rsidR="00185122" w:rsidRPr="00931D46">
        <w:rPr>
          <w:rFonts w:ascii="Arial" w:eastAsiaTheme="majorEastAsia" w:hAnsi="Arial" w:cs="Arial"/>
          <w:bCs/>
        </w:rPr>
        <w:t>+</w:t>
      </w:r>
      <w:r w:rsidRPr="00931D46">
        <w:rPr>
          <w:rFonts w:ascii="Arial" w:eastAsiaTheme="majorEastAsia" w:hAnsi="Arial" w:cs="Arial"/>
          <w:bCs/>
        </w:rPr>
        <w:t>SBAF</w:t>
      </w:r>
      <w:r w:rsidR="003F2354" w:rsidRPr="00931D46">
        <w:rPr>
          <w:rFonts w:ascii="Arial" w:eastAsiaTheme="majorEastAsia" w:hAnsi="Arial" w:cs="Arial"/>
          <w:bCs/>
        </w:rPr>
        <w:t>)</w:t>
      </w:r>
      <w:r w:rsidRPr="00931D46">
        <w:rPr>
          <w:rFonts w:ascii="Arial" w:eastAsiaTheme="majorEastAsia" w:hAnsi="Arial" w:cs="Arial"/>
          <w:bCs/>
        </w:rPr>
        <w:t>, por sí misma</w:t>
      </w:r>
      <w:r w:rsidR="003F2354" w:rsidRPr="00931D46">
        <w:rPr>
          <w:rFonts w:ascii="Arial" w:eastAsiaTheme="majorEastAsia" w:hAnsi="Arial" w:cs="Arial"/>
          <w:bCs/>
        </w:rPr>
        <w:t>,</w:t>
      </w:r>
      <w:r w:rsidRPr="00931D46">
        <w:rPr>
          <w:rFonts w:ascii="Arial" w:eastAsiaTheme="majorEastAsia" w:hAnsi="Arial" w:cs="Arial"/>
          <w:bCs/>
        </w:rPr>
        <w:t xml:space="preserve"> no es suficiente para determinar el MR</w:t>
      </w:r>
      <w:r w:rsidR="003F2354" w:rsidRPr="00931D46">
        <w:rPr>
          <w:rFonts w:ascii="Arial" w:eastAsiaTheme="majorEastAsia" w:hAnsi="Arial" w:cs="Arial"/>
          <w:bCs/>
        </w:rPr>
        <w:t>,</w:t>
      </w:r>
      <w:r w:rsidRPr="00931D46">
        <w:rPr>
          <w:rFonts w:ascii="Arial" w:eastAsiaTheme="majorEastAsia" w:hAnsi="Arial" w:cs="Arial"/>
          <w:bCs/>
        </w:rPr>
        <w:t xml:space="preserve"> pues podría conducir a conclusiones erróneas si no </w:t>
      </w:r>
      <w:r w:rsidR="00290113" w:rsidRPr="00931D46">
        <w:rPr>
          <w:rFonts w:ascii="Arial" w:eastAsiaTheme="majorEastAsia" w:hAnsi="Arial" w:cs="Arial"/>
          <w:bCs/>
        </w:rPr>
        <w:t xml:space="preserve">se </w:t>
      </w:r>
      <w:r w:rsidRPr="00931D46">
        <w:rPr>
          <w:rFonts w:ascii="Arial" w:eastAsiaTheme="majorEastAsia" w:hAnsi="Arial" w:cs="Arial"/>
          <w:bCs/>
        </w:rPr>
        <w:t>toma</w:t>
      </w:r>
      <w:r w:rsidR="00840AD0">
        <w:rPr>
          <w:rFonts w:ascii="Arial" w:eastAsiaTheme="majorEastAsia" w:hAnsi="Arial" w:cs="Arial"/>
          <w:bCs/>
        </w:rPr>
        <w:t>n</w:t>
      </w:r>
      <w:r w:rsidRPr="00931D46">
        <w:rPr>
          <w:rFonts w:ascii="Arial" w:eastAsiaTheme="majorEastAsia" w:hAnsi="Arial" w:cs="Arial"/>
          <w:bCs/>
        </w:rPr>
        <w:t xml:space="preserve"> en consideración todos los elementos relevantes que determinan las presiones competitivas para el paquete y sus componentes</w:t>
      </w:r>
      <w:r w:rsidR="003F2354" w:rsidRPr="00931D46">
        <w:rPr>
          <w:rFonts w:ascii="Arial" w:eastAsiaTheme="majorEastAsia" w:hAnsi="Arial" w:cs="Arial"/>
          <w:bCs/>
        </w:rPr>
        <w:t>,</w:t>
      </w:r>
    </w:p>
    <w:p w14:paraId="0803C631" w14:textId="77777777" w:rsidR="00EF6A04" w:rsidRPr="00931D46" w:rsidRDefault="00EF6A04" w:rsidP="00840AD0">
      <w:pPr>
        <w:pStyle w:val="Prrafodelista"/>
        <w:numPr>
          <w:ilvl w:val="0"/>
          <w:numId w:val="34"/>
        </w:numPr>
        <w:spacing w:before="0" w:after="0"/>
        <w:ind w:left="709" w:hanging="567"/>
        <w:contextualSpacing w:val="0"/>
        <w:rPr>
          <w:rFonts w:ascii="Arial" w:eastAsiaTheme="majorEastAsia" w:hAnsi="Arial" w:cs="Arial"/>
        </w:rPr>
      </w:pPr>
      <w:r w:rsidRPr="00931D46">
        <w:rPr>
          <w:rFonts w:ascii="Arial" w:eastAsiaTheme="majorEastAsia" w:hAnsi="Arial" w:cs="Arial"/>
          <w:bCs/>
        </w:rPr>
        <w:t xml:space="preserve">Es posible que existan MR para paquetes de servicios, distintos a los </w:t>
      </w:r>
      <w:r w:rsidR="003F2354" w:rsidRPr="00931D46">
        <w:rPr>
          <w:rFonts w:ascii="Arial" w:eastAsiaTheme="majorEastAsia" w:hAnsi="Arial" w:cs="Arial"/>
          <w:bCs/>
        </w:rPr>
        <w:t xml:space="preserve">MR </w:t>
      </w:r>
      <w:r w:rsidRPr="00931D46">
        <w:rPr>
          <w:rFonts w:ascii="Arial" w:eastAsiaTheme="majorEastAsia" w:hAnsi="Arial" w:cs="Arial"/>
          <w:bCs/>
        </w:rPr>
        <w:t>de los servicios que los componen cuando, por ejemplo: i) el precio de un paquete es significativamente menor, comparado con la suma de los precio</w:t>
      </w:r>
      <w:r w:rsidR="003F2354" w:rsidRPr="00931D46">
        <w:rPr>
          <w:rFonts w:ascii="Arial" w:eastAsiaTheme="majorEastAsia" w:hAnsi="Arial" w:cs="Arial"/>
          <w:bCs/>
        </w:rPr>
        <w:t xml:space="preserve">s de sus componentes, o bien </w:t>
      </w:r>
      <w:r w:rsidRPr="00931D46">
        <w:rPr>
          <w:rFonts w:ascii="Arial" w:eastAsiaTheme="majorEastAsia" w:hAnsi="Arial" w:cs="Arial"/>
          <w:bCs/>
        </w:rPr>
        <w:t>ii) si el paquete ofrece una calidad que no tienen sus componentes</w:t>
      </w:r>
      <w:r w:rsidR="006D1A66" w:rsidRPr="00931D46">
        <w:rPr>
          <w:rFonts w:ascii="Arial" w:eastAsiaTheme="majorEastAsia" w:hAnsi="Arial" w:cs="Arial"/>
          <w:bCs/>
        </w:rPr>
        <w:t>, y</w:t>
      </w:r>
    </w:p>
    <w:p w14:paraId="13D70BF0" w14:textId="77777777" w:rsidR="00EF6A04" w:rsidRPr="00931D46" w:rsidRDefault="00EF6A04" w:rsidP="00840AD0">
      <w:pPr>
        <w:pStyle w:val="Prrafodelista"/>
        <w:numPr>
          <w:ilvl w:val="0"/>
          <w:numId w:val="34"/>
        </w:numPr>
        <w:spacing w:before="0" w:after="0"/>
        <w:ind w:left="709" w:hanging="567"/>
        <w:contextualSpacing w:val="0"/>
        <w:rPr>
          <w:rFonts w:ascii="Arial" w:eastAsiaTheme="majorEastAsia" w:hAnsi="Arial" w:cs="Arial"/>
        </w:rPr>
      </w:pPr>
      <w:r w:rsidRPr="00931D46">
        <w:rPr>
          <w:rFonts w:ascii="Arial" w:eastAsiaTheme="majorEastAsia" w:hAnsi="Arial" w:cs="Arial"/>
        </w:rPr>
        <w:t xml:space="preserve">Antes de </w:t>
      </w:r>
      <w:r w:rsidR="003F2354" w:rsidRPr="00931D46">
        <w:rPr>
          <w:rFonts w:ascii="Arial" w:eastAsiaTheme="majorEastAsia" w:hAnsi="Arial" w:cs="Arial"/>
        </w:rPr>
        <w:t xml:space="preserve">determinar que el MR es el de un paquete particular, </w:t>
      </w:r>
      <w:r w:rsidRPr="00931D46">
        <w:rPr>
          <w:rFonts w:ascii="Arial" w:eastAsiaTheme="majorEastAsia" w:hAnsi="Arial" w:cs="Arial"/>
        </w:rPr>
        <w:t xml:space="preserve">debe acreditarse que </w:t>
      </w:r>
      <w:r w:rsidR="003F2354" w:rsidRPr="00931D46">
        <w:rPr>
          <w:rFonts w:ascii="Arial" w:eastAsiaTheme="majorEastAsia" w:hAnsi="Arial" w:cs="Arial"/>
        </w:rPr>
        <w:t xml:space="preserve">dicho paquete </w:t>
      </w:r>
      <w:r w:rsidRPr="00931D46">
        <w:rPr>
          <w:rFonts w:ascii="Arial" w:eastAsiaTheme="majorEastAsia" w:hAnsi="Arial" w:cs="Arial"/>
        </w:rPr>
        <w:t xml:space="preserve">no puede ser sustituido por uno o más de sus componentes. </w:t>
      </w:r>
    </w:p>
    <w:p w14:paraId="3BF1AA43" w14:textId="77777777" w:rsidR="00EF6A04" w:rsidRPr="00931D46" w:rsidRDefault="00EF6A04" w:rsidP="0023353F">
      <w:pPr>
        <w:spacing w:before="0" w:after="0"/>
        <w:rPr>
          <w:rFonts w:ascii="Arial" w:eastAsiaTheme="majorEastAsia" w:hAnsi="Arial" w:cs="Arial"/>
          <w:bCs/>
        </w:rPr>
      </w:pPr>
    </w:p>
    <w:p w14:paraId="411DAF65" w14:textId="77777777" w:rsidR="00EF6A04" w:rsidRPr="00931D46" w:rsidRDefault="00EF6A04" w:rsidP="0023353F">
      <w:pPr>
        <w:spacing w:before="0" w:after="0"/>
        <w:rPr>
          <w:rFonts w:ascii="Arial" w:eastAsiaTheme="majorEastAsia" w:hAnsi="Arial" w:cs="Arial"/>
          <w:bCs/>
        </w:rPr>
      </w:pPr>
      <w:r w:rsidRPr="00931D46">
        <w:rPr>
          <w:rFonts w:ascii="Arial" w:eastAsiaTheme="majorEastAsia" w:hAnsi="Arial" w:cs="Arial"/>
          <w:bCs/>
        </w:rPr>
        <w:t xml:space="preserve">El Pleno del </w:t>
      </w:r>
      <w:r w:rsidR="00AE7B0D" w:rsidRPr="00931D46">
        <w:rPr>
          <w:rFonts w:ascii="Arial" w:eastAsiaTheme="majorEastAsia" w:hAnsi="Arial" w:cs="Arial"/>
          <w:bCs/>
        </w:rPr>
        <w:t>Instituto</w:t>
      </w:r>
      <w:r w:rsidRPr="00931D46">
        <w:rPr>
          <w:rFonts w:ascii="Arial" w:eastAsiaTheme="majorEastAsia" w:hAnsi="Arial" w:cs="Arial"/>
          <w:bCs/>
        </w:rPr>
        <w:t xml:space="preserve"> </w:t>
      </w:r>
      <w:r w:rsidR="00683887" w:rsidRPr="00931D46">
        <w:rPr>
          <w:rFonts w:ascii="Arial" w:eastAsiaTheme="majorEastAsia" w:hAnsi="Arial" w:cs="Arial"/>
          <w:bCs/>
        </w:rPr>
        <w:t>resolvi</w:t>
      </w:r>
      <w:r w:rsidRPr="00931D46">
        <w:rPr>
          <w:rFonts w:ascii="Arial" w:eastAsiaTheme="majorEastAsia" w:hAnsi="Arial" w:cs="Arial"/>
          <w:bCs/>
        </w:rPr>
        <w:t xml:space="preserve">ó que, para el caso bajo análisis, no se </w:t>
      </w:r>
      <w:r w:rsidR="00F05907" w:rsidRPr="00931D46">
        <w:rPr>
          <w:rFonts w:ascii="Arial" w:eastAsiaTheme="majorEastAsia" w:hAnsi="Arial" w:cs="Arial"/>
          <w:bCs/>
        </w:rPr>
        <w:t xml:space="preserve">podía </w:t>
      </w:r>
      <w:r w:rsidRPr="00931D46">
        <w:rPr>
          <w:rFonts w:ascii="Arial" w:eastAsiaTheme="majorEastAsia" w:hAnsi="Arial" w:cs="Arial"/>
          <w:bCs/>
        </w:rPr>
        <w:t>exclu</w:t>
      </w:r>
      <w:r w:rsidR="00F05907" w:rsidRPr="00931D46">
        <w:rPr>
          <w:rFonts w:ascii="Arial" w:eastAsiaTheme="majorEastAsia" w:hAnsi="Arial" w:cs="Arial"/>
          <w:bCs/>
        </w:rPr>
        <w:t xml:space="preserve">ir </w:t>
      </w:r>
      <w:r w:rsidRPr="00931D46">
        <w:rPr>
          <w:rFonts w:ascii="Arial" w:eastAsiaTheme="majorEastAsia" w:hAnsi="Arial" w:cs="Arial"/>
          <w:bCs/>
        </w:rPr>
        <w:t xml:space="preserve">la posibilidad de que el MR </w:t>
      </w:r>
      <w:r w:rsidR="00F05907" w:rsidRPr="00931D46">
        <w:rPr>
          <w:rFonts w:ascii="Arial" w:eastAsiaTheme="majorEastAsia" w:hAnsi="Arial" w:cs="Arial"/>
          <w:bCs/>
        </w:rPr>
        <w:t xml:space="preserve">fuese </w:t>
      </w:r>
      <w:r w:rsidRPr="00931D46">
        <w:rPr>
          <w:rFonts w:ascii="Arial" w:eastAsiaTheme="majorEastAsia" w:hAnsi="Arial" w:cs="Arial"/>
          <w:bCs/>
        </w:rPr>
        <w:t xml:space="preserve">el paquete </w:t>
      </w:r>
      <w:r w:rsidRPr="00931D46">
        <w:rPr>
          <w:rFonts w:ascii="Arial" w:eastAsiaTheme="majorEastAsia" w:hAnsi="Arial" w:cs="Arial"/>
          <w:i/>
        </w:rPr>
        <w:t xml:space="preserve">doble play </w:t>
      </w:r>
      <w:r w:rsidRPr="00931D46">
        <w:rPr>
          <w:rFonts w:ascii="Arial" w:eastAsiaTheme="majorEastAsia" w:hAnsi="Arial" w:cs="Arial"/>
          <w:bCs/>
        </w:rPr>
        <w:t xml:space="preserve">(STF+SBAF), pero </w:t>
      </w:r>
      <w:r w:rsidR="00F05907" w:rsidRPr="00931D46">
        <w:rPr>
          <w:rFonts w:ascii="Arial" w:eastAsiaTheme="majorEastAsia" w:hAnsi="Arial" w:cs="Arial"/>
          <w:bCs/>
        </w:rPr>
        <w:t>debió</w:t>
      </w:r>
      <w:r w:rsidRPr="00931D46">
        <w:rPr>
          <w:rFonts w:ascii="Arial" w:eastAsiaTheme="majorEastAsia" w:hAnsi="Arial" w:cs="Arial"/>
          <w:bCs/>
        </w:rPr>
        <w:t xml:space="preserve"> acreditarse que las </w:t>
      </w:r>
      <w:r w:rsidRPr="00931D46">
        <w:rPr>
          <w:rFonts w:ascii="Arial" w:eastAsiaTheme="majorEastAsia" w:hAnsi="Arial" w:cs="Arial"/>
        </w:rPr>
        <w:t>ofertas de los servicios separados o como parte de otros paquetes (</w:t>
      </w:r>
      <w:r w:rsidR="008F4197" w:rsidRPr="00931D46">
        <w:rPr>
          <w:rFonts w:ascii="Arial" w:eastAsiaTheme="majorEastAsia" w:hAnsi="Arial" w:cs="Arial"/>
        </w:rPr>
        <w:t xml:space="preserve">por </w:t>
      </w:r>
      <w:r w:rsidR="00AE7B0D" w:rsidRPr="00931D46">
        <w:rPr>
          <w:rFonts w:ascii="Arial" w:eastAsiaTheme="majorEastAsia" w:hAnsi="Arial" w:cs="Arial"/>
        </w:rPr>
        <w:t>ej</w:t>
      </w:r>
      <w:r w:rsidR="008F4197" w:rsidRPr="00931D46">
        <w:rPr>
          <w:rFonts w:ascii="Arial" w:eastAsiaTheme="majorEastAsia" w:hAnsi="Arial" w:cs="Arial"/>
        </w:rPr>
        <w:t>emplo,</w:t>
      </w:r>
      <w:r w:rsidR="00AE7B0D" w:rsidRPr="00931D46">
        <w:rPr>
          <w:rFonts w:ascii="Arial" w:eastAsiaTheme="majorEastAsia" w:hAnsi="Arial" w:cs="Arial"/>
        </w:rPr>
        <w:t xml:space="preserve"> STF+SBAF+</w:t>
      </w:r>
      <w:r w:rsidRPr="00931D46">
        <w:rPr>
          <w:rFonts w:ascii="Arial" w:eastAsiaTheme="majorEastAsia" w:hAnsi="Arial" w:cs="Arial"/>
        </w:rPr>
        <w:t>STAR) no ejercen una presión competitiva significativa</w:t>
      </w:r>
      <w:r w:rsidR="00AE7B0D" w:rsidRPr="00931D46">
        <w:rPr>
          <w:rFonts w:ascii="Arial" w:eastAsiaTheme="majorEastAsia" w:hAnsi="Arial" w:cs="Arial"/>
        </w:rPr>
        <w:t xml:space="preserve"> al paquete </w:t>
      </w:r>
      <w:r w:rsidR="00AE7B0D" w:rsidRPr="00931D46">
        <w:rPr>
          <w:rFonts w:ascii="Arial" w:eastAsiaTheme="majorEastAsia" w:hAnsi="Arial" w:cs="Arial"/>
          <w:i/>
        </w:rPr>
        <w:t xml:space="preserve">doble play </w:t>
      </w:r>
      <w:r w:rsidR="00AE7B0D" w:rsidRPr="00931D46">
        <w:rPr>
          <w:rFonts w:ascii="Arial" w:eastAsiaTheme="majorEastAsia" w:hAnsi="Arial" w:cs="Arial"/>
          <w:bCs/>
        </w:rPr>
        <w:t>(STF+SBAF)</w:t>
      </w:r>
      <w:r w:rsidRPr="00931D46">
        <w:rPr>
          <w:rFonts w:ascii="Arial" w:eastAsiaTheme="majorEastAsia" w:hAnsi="Arial" w:cs="Arial"/>
          <w:bCs/>
        </w:rPr>
        <w:t xml:space="preserve">. </w:t>
      </w:r>
      <w:r w:rsidR="004F1A83" w:rsidRPr="00931D46">
        <w:rPr>
          <w:rFonts w:ascii="Arial" w:eastAsiaTheme="majorEastAsia" w:hAnsi="Arial" w:cs="Arial"/>
          <w:bCs/>
        </w:rPr>
        <w:t xml:space="preserve">Particularmente, </w:t>
      </w:r>
      <w:r w:rsidRPr="00931D46">
        <w:rPr>
          <w:rFonts w:ascii="Arial" w:eastAsiaTheme="majorEastAsia" w:hAnsi="Arial" w:cs="Arial"/>
          <w:bCs/>
        </w:rPr>
        <w:t>el Pleno</w:t>
      </w:r>
      <w:r w:rsidR="004F1A83" w:rsidRPr="00931D46">
        <w:rPr>
          <w:rFonts w:ascii="Arial" w:eastAsiaTheme="majorEastAsia" w:hAnsi="Arial" w:cs="Arial"/>
          <w:bCs/>
        </w:rPr>
        <w:t xml:space="preserve"> del Instituto concluyó que </w:t>
      </w:r>
      <w:r w:rsidRPr="00931D46">
        <w:rPr>
          <w:rFonts w:ascii="Arial" w:eastAsiaTheme="majorEastAsia" w:hAnsi="Arial" w:cs="Arial"/>
          <w:bCs/>
        </w:rPr>
        <w:t xml:space="preserve">el análisis realizado por la AI </w:t>
      </w:r>
      <w:r w:rsidRPr="00931D46" w:rsidDel="00816764">
        <w:rPr>
          <w:rFonts w:ascii="Arial" w:eastAsiaTheme="majorEastAsia" w:hAnsi="Arial" w:cs="Arial"/>
          <w:bCs/>
        </w:rPr>
        <w:t>omitió evaluar</w:t>
      </w:r>
      <w:r w:rsidRPr="00931D46">
        <w:rPr>
          <w:rFonts w:ascii="Arial" w:eastAsiaTheme="majorEastAsia" w:hAnsi="Arial" w:cs="Arial"/>
          <w:bCs/>
        </w:rPr>
        <w:t xml:space="preserve">: i) las posibilidades que tienen los usuarios finales de </w:t>
      </w:r>
      <w:r w:rsidR="00631792" w:rsidRPr="00931D46">
        <w:rPr>
          <w:rFonts w:ascii="Arial" w:eastAsiaTheme="majorEastAsia" w:hAnsi="Arial" w:cs="Arial"/>
          <w:bCs/>
        </w:rPr>
        <w:t>contratar</w:t>
      </w:r>
      <w:r w:rsidRPr="00931D46">
        <w:rPr>
          <w:rFonts w:ascii="Arial" w:eastAsiaTheme="majorEastAsia" w:hAnsi="Arial" w:cs="Arial"/>
          <w:bCs/>
        </w:rPr>
        <w:t xml:space="preserve"> el STF y el SBAF en forma individual y en </w:t>
      </w:r>
      <w:r w:rsidR="004F1A83" w:rsidRPr="00931D46">
        <w:rPr>
          <w:rFonts w:ascii="Arial" w:eastAsiaTheme="majorEastAsia" w:hAnsi="Arial" w:cs="Arial"/>
          <w:bCs/>
        </w:rPr>
        <w:t>otras</w:t>
      </w:r>
      <w:r w:rsidRPr="00931D46">
        <w:rPr>
          <w:rFonts w:ascii="Arial" w:eastAsiaTheme="majorEastAsia" w:hAnsi="Arial" w:cs="Arial"/>
          <w:bCs/>
        </w:rPr>
        <w:t xml:space="preserve"> formas de empaquetamiento,</w:t>
      </w:r>
      <w:r w:rsidR="00631792" w:rsidRPr="00931D46">
        <w:rPr>
          <w:rFonts w:ascii="Arial" w:eastAsiaTheme="majorEastAsia" w:hAnsi="Arial" w:cs="Arial"/>
          <w:bCs/>
        </w:rPr>
        <w:t xml:space="preserve"> ii)</w:t>
      </w:r>
      <w:r w:rsidRPr="00931D46">
        <w:rPr>
          <w:rFonts w:ascii="Arial" w:eastAsiaTheme="majorEastAsia" w:hAnsi="Arial" w:cs="Arial"/>
          <w:bCs/>
        </w:rPr>
        <w:t xml:space="preserve"> </w:t>
      </w:r>
      <w:r w:rsidRPr="00931D46">
        <w:rPr>
          <w:rFonts w:ascii="Arial" w:eastAsiaTheme="majorEastAsia" w:hAnsi="Arial" w:cs="Arial"/>
        </w:rPr>
        <w:t>la</w:t>
      </w:r>
      <w:r w:rsidR="004F1A83" w:rsidRPr="00931D46">
        <w:rPr>
          <w:rFonts w:ascii="Arial" w:eastAsiaTheme="majorEastAsia" w:hAnsi="Arial" w:cs="Arial"/>
        </w:rPr>
        <w:t xml:space="preserve"> disponibilidad de los distintos servicios en las diferentes zonas</w:t>
      </w:r>
      <w:r w:rsidRPr="00931D46">
        <w:rPr>
          <w:rFonts w:ascii="Arial" w:eastAsiaTheme="majorEastAsia" w:hAnsi="Arial" w:cs="Arial"/>
        </w:rPr>
        <w:t xml:space="preserve"> geográficas, </w:t>
      </w:r>
      <w:r w:rsidRPr="00931D46">
        <w:rPr>
          <w:rFonts w:ascii="Arial" w:eastAsiaTheme="majorEastAsia" w:hAnsi="Arial" w:cs="Arial"/>
          <w:bCs/>
        </w:rPr>
        <w:t>y iii) la evidencia sobre contratación del STF, el SBAF y el STAR por parte de los usuarios</w:t>
      </w:r>
      <w:r w:rsidR="004F1A83" w:rsidRPr="00931D46">
        <w:rPr>
          <w:rFonts w:ascii="Arial" w:eastAsiaTheme="majorEastAsia" w:hAnsi="Arial" w:cs="Arial"/>
          <w:bCs/>
        </w:rPr>
        <w:t xml:space="preserve"> en sus distintas modalidades</w:t>
      </w:r>
      <w:r w:rsidR="00166D15" w:rsidRPr="00931D46">
        <w:rPr>
          <w:rFonts w:ascii="Arial" w:eastAsiaTheme="majorEastAsia" w:hAnsi="Arial" w:cs="Arial"/>
          <w:bCs/>
        </w:rPr>
        <w:t xml:space="preserve"> de</w:t>
      </w:r>
      <w:r w:rsidR="000B3985" w:rsidRPr="00931D46">
        <w:rPr>
          <w:rFonts w:ascii="Arial" w:eastAsiaTheme="majorEastAsia" w:hAnsi="Arial" w:cs="Arial"/>
          <w:bCs/>
        </w:rPr>
        <w:t xml:space="preserve"> empaqueta</w:t>
      </w:r>
      <w:r w:rsidR="00166D15" w:rsidRPr="00931D46">
        <w:rPr>
          <w:rFonts w:ascii="Arial" w:eastAsiaTheme="majorEastAsia" w:hAnsi="Arial" w:cs="Arial"/>
          <w:bCs/>
        </w:rPr>
        <w:t>miento</w:t>
      </w:r>
      <w:r w:rsidR="00131268" w:rsidRPr="00931D46">
        <w:rPr>
          <w:rFonts w:ascii="Arial" w:eastAsiaTheme="majorEastAsia" w:hAnsi="Arial" w:cs="Arial"/>
          <w:bCs/>
        </w:rPr>
        <w:t xml:space="preserve"> </w:t>
      </w:r>
      <w:r w:rsidR="00166D15" w:rsidRPr="00931D46">
        <w:rPr>
          <w:rFonts w:ascii="Arial" w:eastAsiaTheme="majorEastAsia" w:hAnsi="Arial" w:cs="Arial"/>
          <w:bCs/>
        </w:rPr>
        <w:t>y en forma individual</w:t>
      </w:r>
      <w:r w:rsidRPr="00931D46">
        <w:rPr>
          <w:rFonts w:ascii="Arial" w:eastAsiaTheme="majorEastAsia" w:hAnsi="Arial" w:cs="Arial"/>
          <w:bCs/>
        </w:rPr>
        <w:t>.</w:t>
      </w:r>
      <w:r w:rsidRPr="00931D46" w:rsidDel="002B6847">
        <w:rPr>
          <w:rFonts w:ascii="Arial" w:eastAsiaTheme="majorEastAsia" w:hAnsi="Arial" w:cs="Arial"/>
          <w:bCs/>
        </w:rPr>
        <w:t xml:space="preserve"> </w:t>
      </w:r>
    </w:p>
    <w:p w14:paraId="2ADE947A" w14:textId="77777777" w:rsidR="00EF6A04" w:rsidRPr="00931D46" w:rsidRDefault="00EF6A04" w:rsidP="0023353F">
      <w:pPr>
        <w:spacing w:before="0" w:after="0"/>
        <w:rPr>
          <w:rFonts w:ascii="Arial" w:hAnsi="Arial" w:cs="Arial"/>
        </w:rPr>
      </w:pPr>
    </w:p>
    <w:p w14:paraId="37F2DD8B" w14:textId="77777777" w:rsidR="00EF6A04" w:rsidRPr="00931D46" w:rsidRDefault="00EF6A04" w:rsidP="0023353F">
      <w:pPr>
        <w:pStyle w:val="Ttulo3"/>
        <w:keepLines w:val="0"/>
        <w:numPr>
          <w:ilvl w:val="2"/>
          <w:numId w:val="3"/>
        </w:numPr>
        <w:spacing w:before="0"/>
        <w:ind w:left="1701"/>
        <w:rPr>
          <w:rFonts w:ascii="Arial" w:eastAsia="Times New Roman" w:hAnsi="Arial" w:cs="Arial"/>
          <w:b/>
          <w:color w:val="auto"/>
          <w:sz w:val="26"/>
          <w:szCs w:val="26"/>
          <w:lang w:eastAsia="es-MX"/>
        </w:rPr>
      </w:pPr>
      <w:bookmarkStart w:id="352" w:name="_Toc42167325"/>
      <w:bookmarkStart w:id="353" w:name="_Toc42256673"/>
      <w:bookmarkStart w:id="354" w:name="_Toc42766338"/>
      <w:bookmarkStart w:id="355" w:name="_Toc42794206"/>
      <w:bookmarkStart w:id="356" w:name="_Toc43117681"/>
      <w:bookmarkStart w:id="357" w:name="_Toc43985862"/>
      <w:bookmarkStart w:id="358" w:name="_Toc44057911"/>
      <w:bookmarkStart w:id="359" w:name="_Toc44072036"/>
      <w:bookmarkStart w:id="360" w:name="_Toc44074713"/>
      <w:bookmarkStart w:id="361" w:name="_Toc44077124"/>
      <w:bookmarkStart w:id="362" w:name="_Toc44078323"/>
      <w:bookmarkStart w:id="363" w:name="_Toc44078591"/>
      <w:r w:rsidRPr="00931D46">
        <w:rPr>
          <w:rFonts w:ascii="Arial" w:eastAsia="Times New Roman" w:hAnsi="Arial" w:cs="Arial"/>
          <w:b/>
          <w:color w:val="auto"/>
          <w:sz w:val="26"/>
          <w:szCs w:val="26"/>
          <w:lang w:eastAsia="es-MX"/>
        </w:rPr>
        <w:t>Experiencia Internacional</w:t>
      </w:r>
      <w:bookmarkEnd w:id="352"/>
      <w:bookmarkEnd w:id="353"/>
      <w:bookmarkEnd w:id="354"/>
      <w:bookmarkEnd w:id="355"/>
      <w:bookmarkEnd w:id="356"/>
      <w:bookmarkEnd w:id="357"/>
      <w:bookmarkEnd w:id="358"/>
      <w:bookmarkEnd w:id="359"/>
      <w:bookmarkEnd w:id="360"/>
      <w:bookmarkEnd w:id="361"/>
      <w:bookmarkEnd w:id="362"/>
      <w:bookmarkEnd w:id="363"/>
    </w:p>
    <w:p w14:paraId="7B29F370" w14:textId="77777777" w:rsidR="00EF6A04" w:rsidRPr="00931D46" w:rsidRDefault="00EF6A04" w:rsidP="0023353F">
      <w:pPr>
        <w:keepNext/>
        <w:spacing w:before="0" w:after="0"/>
        <w:rPr>
          <w:rFonts w:ascii="Arial" w:hAnsi="Arial" w:cs="Arial"/>
        </w:rPr>
      </w:pPr>
      <w:bookmarkStart w:id="364" w:name="_Toc42167326"/>
      <w:bookmarkStart w:id="365" w:name="_Toc42256674"/>
      <w:bookmarkStart w:id="366" w:name="_Toc42766339"/>
      <w:bookmarkStart w:id="367" w:name="_Toc42794207"/>
      <w:bookmarkEnd w:id="364"/>
      <w:bookmarkEnd w:id="365"/>
      <w:bookmarkEnd w:id="366"/>
      <w:bookmarkEnd w:id="367"/>
    </w:p>
    <w:p w14:paraId="5F68E0EB" w14:textId="77777777" w:rsidR="00EF6A04" w:rsidRPr="00931D46" w:rsidRDefault="00EF6A04"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bookmarkStart w:id="368" w:name="_Toc44077083"/>
      <w:bookmarkStart w:id="369" w:name="_Toc44077104"/>
      <w:bookmarkStart w:id="370" w:name="_Toc44077192"/>
      <w:bookmarkStart w:id="371" w:name="_Toc44077203"/>
      <w:bookmarkStart w:id="372" w:name="_Toc44077221"/>
      <w:bookmarkStart w:id="373" w:name="_Toc44077255"/>
      <w:bookmarkStart w:id="374" w:name="_Toc44077276"/>
      <w:bookmarkStart w:id="375" w:name="_Toc44077322"/>
      <w:bookmarkStart w:id="376" w:name="_Toc44077373"/>
      <w:bookmarkStart w:id="377" w:name="_Toc44077391"/>
      <w:bookmarkStart w:id="378" w:name="_Toc44077490"/>
      <w:bookmarkStart w:id="379" w:name="_Toc44077512"/>
      <w:bookmarkStart w:id="380" w:name="_Toc44077553"/>
      <w:bookmarkStart w:id="381" w:name="_Toc44077713"/>
      <w:bookmarkStart w:id="382" w:name="_Toc44077734"/>
      <w:bookmarkStart w:id="383" w:name="_Toc44077778"/>
      <w:bookmarkStart w:id="384" w:name="_Toc44077898"/>
      <w:bookmarkStart w:id="385" w:name="_Toc44078100"/>
      <w:bookmarkStart w:id="386" w:name="_Toc44078003"/>
      <w:bookmarkStart w:id="387" w:name="_Toc44078028"/>
      <w:bookmarkStart w:id="388" w:name="_Toc44078121"/>
      <w:bookmarkStart w:id="389" w:name="_Toc44078147"/>
      <w:bookmarkStart w:id="390" w:name="_Toc44078168"/>
      <w:bookmarkStart w:id="391" w:name="_Toc44078324"/>
      <w:bookmarkStart w:id="392" w:name="_Toc44078592"/>
      <w:bookmarkStart w:id="393" w:name="_Toc44077126"/>
      <w:bookmarkStart w:id="394" w:name="_Toc44078325"/>
      <w:bookmarkStart w:id="395" w:name="_Toc4407859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931D46">
        <w:rPr>
          <w:rFonts w:ascii="Arial" w:eastAsia="Times New Roman" w:hAnsi="Arial" w:cs="Arial"/>
          <w:b/>
          <w:i w:val="0"/>
          <w:color w:val="auto"/>
          <w:lang w:eastAsia="es-MX"/>
        </w:rPr>
        <w:t>OCDE</w:t>
      </w:r>
      <w:r w:rsidRPr="00931D46">
        <w:rPr>
          <w:rFonts w:ascii="Arial" w:eastAsia="Times New Roman" w:hAnsi="Arial" w:cs="Arial"/>
          <w:b/>
          <w:i w:val="0"/>
          <w:color w:val="auto"/>
          <w:vertAlign w:val="superscript"/>
          <w:lang w:eastAsia="es-MX"/>
        </w:rPr>
        <w:t xml:space="preserve"> </w:t>
      </w:r>
      <w:bookmarkEnd w:id="393"/>
      <w:bookmarkEnd w:id="394"/>
      <w:bookmarkEnd w:id="395"/>
    </w:p>
    <w:p w14:paraId="55897DF2" w14:textId="77777777" w:rsidR="00EF6A04" w:rsidRPr="00931D46" w:rsidRDefault="00EF6A04" w:rsidP="0023353F">
      <w:pPr>
        <w:keepNext/>
        <w:spacing w:before="0" w:after="0"/>
        <w:rPr>
          <w:rFonts w:ascii="Arial" w:hAnsi="Arial" w:cs="Arial"/>
        </w:rPr>
      </w:pPr>
    </w:p>
    <w:p w14:paraId="16B1A04E" w14:textId="796E30C2" w:rsidR="00EF6A04" w:rsidRPr="00931D46" w:rsidRDefault="00EF6A04" w:rsidP="0023353F">
      <w:pPr>
        <w:spacing w:before="0" w:after="0"/>
        <w:rPr>
          <w:rFonts w:ascii="Arial" w:hAnsi="Arial" w:cs="Arial"/>
        </w:rPr>
      </w:pPr>
      <w:r w:rsidRPr="00931D46">
        <w:rPr>
          <w:rFonts w:ascii="Arial" w:hAnsi="Arial" w:cs="Arial"/>
        </w:rPr>
        <w:t xml:space="preserve">La OCDE señala que cuando una proporción grande de </w:t>
      </w:r>
      <w:r w:rsidR="00455CAA" w:rsidRPr="00931D46">
        <w:rPr>
          <w:rFonts w:ascii="Arial" w:hAnsi="Arial" w:cs="Arial"/>
        </w:rPr>
        <w:t xml:space="preserve">usuarios </w:t>
      </w:r>
      <w:r w:rsidR="00A11DEF" w:rsidRPr="00931D46">
        <w:rPr>
          <w:rFonts w:ascii="Arial" w:hAnsi="Arial" w:cs="Arial"/>
        </w:rPr>
        <w:t>contrata</w:t>
      </w:r>
      <w:r w:rsidRPr="00931D46">
        <w:rPr>
          <w:rFonts w:ascii="Arial" w:hAnsi="Arial" w:cs="Arial"/>
        </w:rPr>
        <w:t xml:space="preserve"> los </w:t>
      </w:r>
      <w:r w:rsidR="00455CAA" w:rsidRPr="00931D46">
        <w:rPr>
          <w:rFonts w:ascii="Arial" w:hAnsi="Arial" w:cs="Arial"/>
        </w:rPr>
        <w:t xml:space="preserve">servicios </w:t>
      </w:r>
      <w:r w:rsidRPr="00931D46">
        <w:rPr>
          <w:rFonts w:ascii="Arial" w:hAnsi="Arial" w:cs="Arial"/>
        </w:rPr>
        <w:t>de forma empaquetada</w:t>
      </w:r>
      <w:r w:rsidR="00455CAA" w:rsidRPr="00931D46">
        <w:rPr>
          <w:rFonts w:ascii="Arial" w:hAnsi="Arial" w:cs="Arial"/>
        </w:rPr>
        <w:t xml:space="preserve">, </w:t>
      </w:r>
      <w:r w:rsidR="00EE5E1C" w:rsidRPr="00931D46">
        <w:rPr>
          <w:rFonts w:ascii="Arial" w:hAnsi="Arial" w:cs="Arial"/>
        </w:rPr>
        <w:t xml:space="preserve">puede ser apropiado determinar un MR que contenga </w:t>
      </w:r>
      <w:r w:rsidR="00E075C6" w:rsidRPr="00931D46">
        <w:rPr>
          <w:rFonts w:ascii="Arial" w:hAnsi="Arial" w:cs="Arial"/>
        </w:rPr>
        <w:t xml:space="preserve">los </w:t>
      </w:r>
      <w:r w:rsidR="00EE5E1C" w:rsidRPr="00931D46">
        <w:rPr>
          <w:rFonts w:ascii="Arial" w:hAnsi="Arial" w:cs="Arial"/>
        </w:rPr>
        <w:t xml:space="preserve">paquetes de servicios, </w:t>
      </w:r>
      <w:r w:rsidR="00455CAA" w:rsidRPr="00931D46">
        <w:rPr>
          <w:rFonts w:ascii="Arial" w:hAnsi="Arial" w:cs="Arial"/>
        </w:rPr>
        <w:t xml:space="preserve">aunque acota que </w:t>
      </w:r>
      <w:r w:rsidRPr="00931D46">
        <w:rPr>
          <w:rFonts w:ascii="Arial" w:hAnsi="Arial" w:cs="Arial"/>
        </w:rPr>
        <w:t>el comportamiento de los consumidores no es por sí mismo evidencia suficiente</w:t>
      </w:r>
      <w:r w:rsidR="00EE5E1C" w:rsidRPr="00931D46">
        <w:rPr>
          <w:rFonts w:ascii="Arial" w:hAnsi="Arial" w:cs="Arial"/>
        </w:rPr>
        <w:t xml:space="preserve"> para delimitar el MR, pues ello </w:t>
      </w:r>
      <w:r w:rsidRPr="00931D46">
        <w:rPr>
          <w:rFonts w:ascii="Arial" w:hAnsi="Arial" w:cs="Arial"/>
        </w:rPr>
        <w:t xml:space="preserve">depende de: i) el grado de sustituibilidad entre el paquete y los </w:t>
      </w:r>
      <w:r w:rsidR="00330363">
        <w:rPr>
          <w:rFonts w:ascii="Arial" w:hAnsi="Arial" w:cs="Arial"/>
        </w:rPr>
        <w:t>productos</w:t>
      </w:r>
      <w:r w:rsidRPr="00931D46">
        <w:rPr>
          <w:rFonts w:ascii="Arial" w:hAnsi="Arial" w:cs="Arial"/>
        </w:rPr>
        <w:t xml:space="preserve"> individuales, </w:t>
      </w:r>
      <w:r w:rsidR="00EE5E1C" w:rsidRPr="00931D46">
        <w:rPr>
          <w:rFonts w:ascii="Arial" w:hAnsi="Arial" w:cs="Arial"/>
        </w:rPr>
        <w:t>y</w:t>
      </w:r>
      <w:r w:rsidRPr="00931D46">
        <w:rPr>
          <w:rFonts w:ascii="Arial" w:hAnsi="Arial" w:cs="Arial"/>
        </w:rPr>
        <w:t xml:space="preserve"> ii) el punto de partida del análisis para delimitar el mercado</w:t>
      </w:r>
      <w:r w:rsidR="00EE5E1C" w:rsidRPr="00931D46">
        <w:rPr>
          <w:rFonts w:ascii="Arial" w:hAnsi="Arial" w:cs="Arial"/>
        </w:rPr>
        <w:t xml:space="preserve"> (cuando existe sustitución asimétrica)</w:t>
      </w:r>
      <w:r w:rsidRPr="00931D46">
        <w:rPr>
          <w:rFonts w:ascii="Arial" w:hAnsi="Arial" w:cs="Arial"/>
        </w:rPr>
        <w:t>.</w:t>
      </w:r>
      <w:r w:rsidR="00EE5E1C" w:rsidRPr="00931D46">
        <w:rPr>
          <w:rFonts w:ascii="Arial" w:eastAsia="Times New Roman" w:hAnsi="Arial" w:cs="Arial"/>
          <w:vertAlign w:val="superscript"/>
          <w:lang w:eastAsia="es-MX"/>
        </w:rPr>
        <w:footnoteReference w:id="265"/>
      </w:r>
    </w:p>
    <w:p w14:paraId="375F9FB0" w14:textId="77777777" w:rsidR="00EE5E1C" w:rsidRPr="00931D46" w:rsidRDefault="00EE5E1C" w:rsidP="0023353F">
      <w:pPr>
        <w:spacing w:before="0" w:after="0"/>
        <w:rPr>
          <w:rFonts w:ascii="Arial" w:hAnsi="Arial" w:cs="Arial"/>
        </w:rPr>
      </w:pPr>
    </w:p>
    <w:p w14:paraId="6A7DE41F" w14:textId="77777777" w:rsidR="00EF6A04" w:rsidRPr="00931D46" w:rsidRDefault="00EF6A04" w:rsidP="0023353F">
      <w:pPr>
        <w:spacing w:before="0" w:after="0"/>
        <w:rPr>
          <w:rFonts w:ascii="Arial" w:hAnsi="Arial" w:cs="Arial"/>
        </w:rPr>
      </w:pPr>
      <w:r w:rsidRPr="00931D46">
        <w:rPr>
          <w:rFonts w:ascii="Arial" w:hAnsi="Arial" w:cs="Arial"/>
        </w:rPr>
        <w:t xml:space="preserve">Además, la OCDE señala que la aplicación de la </w:t>
      </w:r>
      <w:r w:rsidR="00FB4B91" w:rsidRPr="00931D46">
        <w:rPr>
          <w:rFonts w:ascii="Arial" w:hAnsi="Arial" w:cs="Arial"/>
        </w:rPr>
        <w:t>P</w:t>
      </w:r>
      <w:r w:rsidRPr="00931D46">
        <w:rPr>
          <w:rFonts w:ascii="Arial" w:hAnsi="Arial" w:cs="Arial"/>
        </w:rPr>
        <w:t>rueba SSNIP a paquetes es un ejercicio complejo, el cual implica evaluar la sustituibilidad no solo entre paquetes con ofertas del mismo tipo, sino también con distintas modalidades de empaquetamiento y con servicios individuales.</w:t>
      </w:r>
      <w:r w:rsidR="00EE5E1C" w:rsidRPr="00931D46">
        <w:rPr>
          <w:rFonts w:ascii="Arial" w:eastAsia="Times New Roman" w:hAnsi="Arial" w:cs="Arial"/>
          <w:vertAlign w:val="superscript"/>
          <w:lang w:eastAsia="es-MX"/>
        </w:rPr>
        <w:footnoteReference w:id="266"/>
      </w:r>
    </w:p>
    <w:p w14:paraId="7AA57A82" w14:textId="77777777" w:rsidR="00EF6A04" w:rsidRPr="00931D46" w:rsidRDefault="00EF6A04" w:rsidP="0023353F">
      <w:pPr>
        <w:spacing w:before="0" w:after="0"/>
        <w:rPr>
          <w:rFonts w:ascii="Arial" w:hAnsi="Arial" w:cs="Arial"/>
        </w:rPr>
      </w:pPr>
    </w:p>
    <w:p w14:paraId="3959DA18" w14:textId="77777777" w:rsidR="00EF6A04" w:rsidRPr="00931D46" w:rsidRDefault="00EF6A04"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bookmarkStart w:id="396" w:name="_Toc42167327"/>
      <w:bookmarkStart w:id="397" w:name="_Toc42256675"/>
      <w:bookmarkStart w:id="398" w:name="_Toc42766340"/>
      <w:bookmarkStart w:id="399" w:name="_Toc42794208"/>
      <w:bookmarkStart w:id="400" w:name="_Toc44077127"/>
      <w:bookmarkStart w:id="401" w:name="_Toc44078326"/>
      <w:bookmarkStart w:id="402" w:name="_Toc44078594"/>
      <w:r w:rsidRPr="00931D46">
        <w:rPr>
          <w:rFonts w:ascii="Arial" w:eastAsia="Times New Roman" w:hAnsi="Arial" w:cs="Arial"/>
          <w:b/>
          <w:i w:val="0"/>
          <w:color w:val="auto"/>
          <w:lang w:eastAsia="es-MX"/>
        </w:rPr>
        <w:t>Unión Europea</w:t>
      </w:r>
      <w:bookmarkEnd w:id="396"/>
      <w:bookmarkEnd w:id="397"/>
      <w:bookmarkEnd w:id="398"/>
      <w:bookmarkEnd w:id="399"/>
      <w:bookmarkEnd w:id="400"/>
      <w:bookmarkEnd w:id="401"/>
      <w:bookmarkEnd w:id="402"/>
    </w:p>
    <w:p w14:paraId="471090C7" w14:textId="77777777" w:rsidR="00EF6A04" w:rsidRPr="00931D46" w:rsidRDefault="00EF6A04" w:rsidP="0023353F">
      <w:pPr>
        <w:keepNext/>
        <w:spacing w:before="0" w:after="0"/>
        <w:rPr>
          <w:rFonts w:ascii="Arial" w:hAnsi="Arial" w:cs="Arial"/>
        </w:rPr>
      </w:pPr>
    </w:p>
    <w:p w14:paraId="618EF5C3" w14:textId="77777777" w:rsidR="00EF6A04" w:rsidRPr="00931D46" w:rsidRDefault="00EF6A04" w:rsidP="0023353F">
      <w:pPr>
        <w:spacing w:before="0" w:after="0"/>
        <w:rPr>
          <w:rFonts w:ascii="Arial" w:hAnsi="Arial" w:cs="Arial"/>
        </w:rPr>
      </w:pPr>
      <w:r w:rsidRPr="00931D46">
        <w:rPr>
          <w:rFonts w:ascii="Arial" w:hAnsi="Arial" w:cs="Arial"/>
        </w:rPr>
        <w:t>La CE señala que, si bien la importancia creciente de los paquetes en el sector de comunicaciones electrónicas no ha llevado a muchas autoridades a definir mercados de paquetes, las autoridades deben evaluar con un enfoque prospectivo su impacto en la delimitación de mercados mayoristas y minoristas.</w:t>
      </w:r>
      <w:r w:rsidRPr="00931D46">
        <w:rPr>
          <w:rStyle w:val="Refdenotaalpie"/>
          <w:rFonts w:ascii="Arial" w:hAnsi="Arial" w:cs="Arial"/>
        </w:rPr>
        <w:t xml:space="preserve"> </w:t>
      </w:r>
      <w:r w:rsidRPr="00931D46">
        <w:rPr>
          <w:rFonts w:ascii="Arial" w:hAnsi="Arial" w:cs="Arial"/>
        </w:rPr>
        <w:t>Asimismo, la CE señala que se puede delimitar un mercado de paquetes a nivel minorista si:</w:t>
      </w:r>
      <w:r w:rsidR="006079B5" w:rsidRPr="00931D46">
        <w:rPr>
          <w:rFonts w:ascii="Arial" w:eastAsia="Times New Roman" w:hAnsi="Arial" w:cs="Arial"/>
          <w:vertAlign w:val="superscript"/>
          <w:lang w:eastAsia="es-MX"/>
        </w:rPr>
        <w:footnoteReference w:id="267"/>
      </w:r>
      <w:r w:rsidRPr="00931D46">
        <w:rPr>
          <w:rStyle w:val="Refdenotaalpie"/>
          <w:rFonts w:ascii="Arial" w:hAnsi="Arial" w:cs="Arial"/>
        </w:rPr>
        <w:t xml:space="preserve"> </w:t>
      </w:r>
    </w:p>
    <w:p w14:paraId="44772104" w14:textId="77777777" w:rsidR="0023353F" w:rsidRPr="00931D46" w:rsidRDefault="0023353F" w:rsidP="0023353F">
      <w:pPr>
        <w:spacing w:before="0" w:after="0"/>
        <w:rPr>
          <w:rFonts w:ascii="Arial" w:hAnsi="Arial" w:cs="Arial"/>
        </w:rPr>
      </w:pPr>
    </w:p>
    <w:p w14:paraId="293A74DD" w14:textId="77777777" w:rsidR="00EF6A04" w:rsidRPr="00931D46" w:rsidRDefault="00EF6A04" w:rsidP="00840AD0">
      <w:pPr>
        <w:pStyle w:val="Prrafodelista"/>
        <w:numPr>
          <w:ilvl w:val="0"/>
          <w:numId w:val="35"/>
        </w:numPr>
        <w:spacing w:before="0" w:after="0"/>
        <w:ind w:left="709" w:hanging="567"/>
        <w:contextualSpacing w:val="0"/>
        <w:rPr>
          <w:rFonts w:ascii="Arial" w:hAnsi="Arial" w:cs="Arial"/>
        </w:rPr>
      </w:pPr>
      <w:r w:rsidRPr="00931D46">
        <w:rPr>
          <w:rFonts w:ascii="Arial" w:hAnsi="Arial" w:cs="Arial"/>
        </w:rPr>
        <w:t>Desde la perspectiva de la demanda, ante un SSNIP los consumidores no cambiarían el paquete por sus componentes individuales.</w:t>
      </w:r>
    </w:p>
    <w:p w14:paraId="42A21707" w14:textId="77777777" w:rsidR="00EF6A04" w:rsidRPr="00931D46" w:rsidRDefault="00EF6A04" w:rsidP="00840AD0">
      <w:pPr>
        <w:pStyle w:val="Prrafodelista"/>
        <w:numPr>
          <w:ilvl w:val="0"/>
          <w:numId w:val="35"/>
        </w:numPr>
        <w:spacing w:before="0" w:after="0"/>
        <w:ind w:left="709" w:hanging="567"/>
        <w:contextualSpacing w:val="0"/>
        <w:rPr>
          <w:rFonts w:ascii="Arial" w:hAnsi="Arial" w:cs="Arial"/>
        </w:rPr>
      </w:pPr>
      <w:r w:rsidRPr="00931D46">
        <w:rPr>
          <w:rFonts w:ascii="Arial" w:hAnsi="Arial" w:cs="Arial"/>
        </w:rPr>
        <w:t xml:space="preserve">Desde la perspectiva de la oferta, ante un SSNIP los oferentes en mercados relacionados no entrarían, en el corto plazo, en la provisión de paquetes. </w:t>
      </w:r>
    </w:p>
    <w:p w14:paraId="5F5A5217" w14:textId="77777777" w:rsidR="00EF6A04" w:rsidRPr="00931D46" w:rsidRDefault="00EF6A04" w:rsidP="0023353F">
      <w:pPr>
        <w:spacing w:before="0" w:after="0"/>
        <w:rPr>
          <w:rFonts w:ascii="Arial" w:hAnsi="Arial" w:cs="Arial"/>
        </w:rPr>
      </w:pPr>
    </w:p>
    <w:p w14:paraId="270C2170" w14:textId="77777777" w:rsidR="00EF6A04" w:rsidRPr="00931D46" w:rsidRDefault="00EF6A04" w:rsidP="0023353F">
      <w:pPr>
        <w:spacing w:before="0" w:after="0"/>
        <w:rPr>
          <w:rFonts w:ascii="Arial" w:hAnsi="Arial" w:cs="Arial"/>
          <w:color w:val="000000"/>
        </w:rPr>
      </w:pPr>
      <w:r w:rsidRPr="00931D46">
        <w:rPr>
          <w:rFonts w:ascii="Arial" w:hAnsi="Arial" w:cs="Arial"/>
        </w:rPr>
        <w:t xml:space="preserve">Por su parte, BEREC señala que </w:t>
      </w:r>
      <w:r w:rsidRPr="00931D46">
        <w:rPr>
          <w:rFonts w:ascii="Arial" w:hAnsi="Arial" w:cs="Arial"/>
          <w:color w:val="000000"/>
        </w:rPr>
        <w:t xml:space="preserve">la jurisprudencia de competencia indica que la existencia de proveedores de servicios </w:t>
      </w:r>
      <w:r w:rsidR="006079B5" w:rsidRPr="00931D46">
        <w:rPr>
          <w:rFonts w:ascii="Arial" w:hAnsi="Arial" w:cs="Arial"/>
          <w:color w:val="000000"/>
        </w:rPr>
        <w:t xml:space="preserve">individuales </w:t>
      </w:r>
      <w:r w:rsidRPr="00931D46">
        <w:rPr>
          <w:rFonts w:ascii="Arial" w:hAnsi="Arial" w:cs="Arial"/>
          <w:color w:val="000000"/>
        </w:rPr>
        <w:t>podría verse como un indicador importante de demanda para cada servicio, mientras que la teoría económica indica que puede ser apropiado definir un mercado separado para paquetes si existe sustituibilidad limitada entre los servicios por separado y los paquetes.</w:t>
      </w:r>
      <w:r w:rsidR="006079B5" w:rsidRPr="00931D46">
        <w:rPr>
          <w:rFonts w:ascii="Arial" w:eastAsia="Times New Roman" w:hAnsi="Arial" w:cs="Arial"/>
          <w:vertAlign w:val="superscript"/>
          <w:lang w:eastAsia="es-MX"/>
        </w:rPr>
        <w:footnoteReference w:id="268"/>
      </w:r>
      <w:r w:rsidR="006079B5" w:rsidRPr="00931D46">
        <w:rPr>
          <w:rFonts w:ascii="Arial" w:hAnsi="Arial" w:cs="Arial"/>
          <w:color w:val="000000"/>
        </w:rPr>
        <w:t xml:space="preserve"> </w:t>
      </w:r>
      <w:r w:rsidRPr="00931D46">
        <w:rPr>
          <w:rFonts w:ascii="Arial" w:hAnsi="Arial" w:cs="Arial"/>
          <w:color w:val="000000"/>
        </w:rPr>
        <w:t>En cuanto al marco analítico y evidencia que se emplea, BEREC señala lo siguiente:</w:t>
      </w:r>
    </w:p>
    <w:p w14:paraId="176B7A71" w14:textId="77777777" w:rsidR="0023353F" w:rsidRPr="00931D46" w:rsidRDefault="0023353F" w:rsidP="0023353F">
      <w:pPr>
        <w:spacing w:before="0" w:after="0"/>
        <w:rPr>
          <w:rFonts w:ascii="Arial" w:hAnsi="Arial" w:cs="Arial"/>
          <w:color w:val="000000"/>
        </w:rPr>
      </w:pPr>
    </w:p>
    <w:p w14:paraId="1144EFBC" w14:textId="4E69FB15" w:rsidR="00EF6A04" w:rsidRPr="00931D46" w:rsidRDefault="00EF6A04" w:rsidP="00840AD0">
      <w:pPr>
        <w:pStyle w:val="Prrafodelista"/>
        <w:numPr>
          <w:ilvl w:val="0"/>
          <w:numId w:val="35"/>
        </w:numPr>
        <w:spacing w:before="0" w:after="0"/>
        <w:ind w:left="709" w:hanging="567"/>
        <w:contextualSpacing w:val="0"/>
        <w:rPr>
          <w:rFonts w:ascii="Arial" w:hAnsi="Arial" w:cs="Arial"/>
        </w:rPr>
      </w:pPr>
      <w:r w:rsidRPr="00931D46">
        <w:rPr>
          <w:rFonts w:ascii="Arial" w:hAnsi="Arial" w:cs="Arial"/>
        </w:rPr>
        <w:t xml:space="preserve">La </w:t>
      </w:r>
      <w:r w:rsidR="0077669A" w:rsidRPr="00931D46">
        <w:rPr>
          <w:rFonts w:ascii="Arial" w:hAnsi="Arial" w:cs="Arial"/>
        </w:rPr>
        <w:t>P</w:t>
      </w:r>
      <w:r w:rsidR="006079B5" w:rsidRPr="00931D46">
        <w:rPr>
          <w:rFonts w:ascii="Arial" w:hAnsi="Arial" w:cs="Arial"/>
        </w:rPr>
        <w:t>rueba SSNIP</w:t>
      </w:r>
      <w:r w:rsidRPr="00931D46">
        <w:rPr>
          <w:rFonts w:ascii="Arial" w:hAnsi="Arial" w:cs="Arial"/>
        </w:rPr>
        <w:t xml:space="preserve"> sigue siendo relevante para delimitar mercados de paquetes. </w:t>
      </w:r>
      <w:r w:rsidR="007A20A2" w:rsidRPr="00931D46">
        <w:rPr>
          <w:rFonts w:ascii="Arial" w:hAnsi="Arial" w:cs="Arial"/>
        </w:rPr>
        <w:t>T</w:t>
      </w:r>
      <w:r w:rsidRPr="00931D46">
        <w:rPr>
          <w:rFonts w:ascii="Arial" w:hAnsi="Arial" w:cs="Arial"/>
        </w:rPr>
        <w:t>omando como referencia el precio competitivo del paquete, se evalúa si un monopolista hipotético podría mantener de forma rentable un SSNIP sin que los consumidores cambien el paquete por sus componentes</w:t>
      </w:r>
      <w:r w:rsidR="006079B5" w:rsidRPr="00931D46">
        <w:rPr>
          <w:rFonts w:ascii="Arial" w:hAnsi="Arial" w:cs="Arial"/>
        </w:rPr>
        <w:t xml:space="preserve"> individuales</w:t>
      </w:r>
      <w:r w:rsidRPr="00931D46">
        <w:rPr>
          <w:rFonts w:ascii="Arial" w:hAnsi="Arial" w:cs="Arial"/>
        </w:rPr>
        <w:t xml:space="preserve">. </w:t>
      </w:r>
    </w:p>
    <w:p w14:paraId="1CADB8FF" w14:textId="35604961" w:rsidR="00EF6A04" w:rsidRPr="00931D46" w:rsidRDefault="00EF6A04" w:rsidP="00840AD0">
      <w:pPr>
        <w:pStyle w:val="Prrafodelista"/>
        <w:numPr>
          <w:ilvl w:val="0"/>
          <w:numId w:val="35"/>
        </w:numPr>
        <w:spacing w:before="0" w:after="0"/>
        <w:ind w:left="709" w:hanging="567"/>
        <w:contextualSpacing w:val="0"/>
        <w:rPr>
          <w:rFonts w:ascii="Arial" w:hAnsi="Arial" w:cs="Arial"/>
          <w:szCs w:val="20"/>
        </w:rPr>
      </w:pPr>
      <w:r w:rsidRPr="00931D46">
        <w:rPr>
          <w:rFonts w:ascii="Arial" w:hAnsi="Arial" w:cs="Arial"/>
        </w:rPr>
        <w:t xml:space="preserve">Podría ser adecuado definir mercados de paquetes en presencia de </w:t>
      </w:r>
      <w:r w:rsidR="00B8094C" w:rsidRPr="00931D46">
        <w:rPr>
          <w:rFonts w:ascii="Arial" w:hAnsi="Arial" w:cs="Arial"/>
        </w:rPr>
        <w:t>“</w:t>
      </w:r>
      <w:r w:rsidRPr="00931D46">
        <w:rPr>
          <w:rFonts w:ascii="Arial" w:hAnsi="Arial" w:cs="Arial"/>
        </w:rPr>
        <w:t>economías de alcance</w:t>
      </w:r>
      <w:r w:rsidR="006708F4" w:rsidRPr="00931D46">
        <w:rPr>
          <w:rFonts w:ascii="Arial" w:hAnsi="Arial" w:cs="Arial"/>
        </w:rPr>
        <w:t xml:space="preserve"> </w:t>
      </w:r>
      <w:r w:rsidR="000D5E2A" w:rsidRPr="00931D46">
        <w:rPr>
          <w:rFonts w:ascii="Arial" w:hAnsi="Arial" w:cs="Arial"/>
        </w:rPr>
        <w:t>específicas del cliente”</w:t>
      </w:r>
      <w:r w:rsidR="000D5E2A" w:rsidRPr="00931D46">
        <w:rPr>
          <w:rStyle w:val="Refdenotaalpie"/>
          <w:rFonts w:ascii="Arial" w:hAnsi="Arial" w:cs="Arial"/>
        </w:rPr>
        <w:footnoteReference w:id="269"/>
      </w:r>
      <w:r w:rsidRPr="00931D46">
        <w:rPr>
          <w:rFonts w:ascii="Arial" w:hAnsi="Arial" w:cs="Arial"/>
        </w:rPr>
        <w:t xml:space="preserve"> y ahorros en costos de transacción </w:t>
      </w:r>
      <w:r w:rsidR="006079B5" w:rsidRPr="00931D46">
        <w:rPr>
          <w:rFonts w:ascii="Arial" w:hAnsi="Arial" w:cs="Arial"/>
        </w:rPr>
        <w:t>por el</w:t>
      </w:r>
      <w:r w:rsidRPr="00931D46">
        <w:rPr>
          <w:rFonts w:ascii="Arial" w:hAnsi="Arial" w:cs="Arial"/>
        </w:rPr>
        <w:t xml:space="preserve"> </w:t>
      </w:r>
      <w:r w:rsidR="006079B5" w:rsidRPr="00931D46">
        <w:rPr>
          <w:rFonts w:ascii="Arial" w:hAnsi="Arial" w:cs="Arial"/>
        </w:rPr>
        <w:t xml:space="preserve">empaquetamiento, aunado a evidencia respecto a </w:t>
      </w:r>
      <w:r w:rsidRPr="00931D46">
        <w:rPr>
          <w:rFonts w:ascii="Arial" w:hAnsi="Arial" w:cs="Arial"/>
        </w:rPr>
        <w:t xml:space="preserve">i) si los </w:t>
      </w:r>
      <w:r w:rsidR="00F23702" w:rsidRPr="00931D46">
        <w:rPr>
          <w:rFonts w:ascii="Arial" w:hAnsi="Arial" w:cs="Arial"/>
        </w:rPr>
        <w:t>usuarios</w:t>
      </w:r>
      <w:r w:rsidRPr="00931D46">
        <w:rPr>
          <w:rFonts w:ascii="Arial" w:hAnsi="Arial" w:cs="Arial"/>
        </w:rPr>
        <w:t xml:space="preserve"> han cambiado de paquetes a servicios individuales, o viceversa, como resultado de cambios en los precios</w:t>
      </w:r>
      <w:r w:rsidR="006079B5" w:rsidRPr="00931D46">
        <w:rPr>
          <w:rFonts w:ascii="Arial" w:hAnsi="Arial" w:cs="Arial"/>
        </w:rPr>
        <w:t xml:space="preserve">; </w:t>
      </w:r>
      <w:r w:rsidRPr="00931D46">
        <w:rPr>
          <w:rFonts w:ascii="Arial" w:hAnsi="Arial" w:cs="Arial"/>
        </w:rPr>
        <w:t>ii) los costos de cambio entre el paquete y los servicios</w:t>
      </w:r>
      <w:r w:rsidRPr="00931D46">
        <w:rPr>
          <w:rFonts w:ascii="Arial" w:hAnsi="Arial" w:cs="Arial"/>
          <w:szCs w:val="20"/>
        </w:rPr>
        <w:t xml:space="preserve"> individuales</w:t>
      </w:r>
      <w:r w:rsidR="006079B5" w:rsidRPr="00931D46">
        <w:rPr>
          <w:rFonts w:ascii="Arial" w:hAnsi="Arial" w:cs="Arial"/>
        </w:rPr>
        <w:t xml:space="preserve">; </w:t>
      </w:r>
      <w:r w:rsidRPr="00931D46">
        <w:rPr>
          <w:rFonts w:ascii="Arial" w:hAnsi="Arial" w:cs="Arial"/>
        </w:rPr>
        <w:t xml:space="preserve">iii) la </w:t>
      </w:r>
      <w:r w:rsidR="00B765F3" w:rsidRPr="00931D46">
        <w:rPr>
          <w:rFonts w:ascii="Arial" w:hAnsi="Arial" w:cs="Arial"/>
        </w:rPr>
        <w:t xml:space="preserve">proporción de usuarios que </w:t>
      </w:r>
      <w:r w:rsidR="006079B5" w:rsidRPr="00931D46">
        <w:rPr>
          <w:rFonts w:ascii="Arial" w:hAnsi="Arial" w:cs="Arial"/>
        </w:rPr>
        <w:t>contratan</w:t>
      </w:r>
      <w:r w:rsidRPr="00931D46">
        <w:rPr>
          <w:rFonts w:ascii="Arial" w:hAnsi="Arial" w:cs="Arial"/>
          <w:szCs w:val="20"/>
        </w:rPr>
        <w:t xml:space="preserve"> paquetes en comparación con la de </w:t>
      </w:r>
      <w:r w:rsidR="00330363">
        <w:rPr>
          <w:rFonts w:ascii="Arial" w:hAnsi="Arial" w:cs="Arial"/>
          <w:szCs w:val="20"/>
        </w:rPr>
        <w:t>productos</w:t>
      </w:r>
      <w:r w:rsidRPr="00931D46">
        <w:rPr>
          <w:rFonts w:ascii="Arial" w:hAnsi="Arial" w:cs="Arial"/>
          <w:szCs w:val="20"/>
        </w:rPr>
        <w:t xml:space="preserve"> individuales, </w:t>
      </w:r>
      <w:r w:rsidR="006079B5" w:rsidRPr="00931D46">
        <w:rPr>
          <w:rFonts w:ascii="Arial" w:hAnsi="Arial" w:cs="Arial"/>
          <w:szCs w:val="20"/>
        </w:rPr>
        <w:t>y</w:t>
      </w:r>
      <w:r w:rsidRPr="00931D46">
        <w:rPr>
          <w:rFonts w:ascii="Arial" w:hAnsi="Arial" w:cs="Arial"/>
          <w:szCs w:val="20"/>
        </w:rPr>
        <w:t xml:space="preserve"> </w:t>
      </w:r>
      <w:r w:rsidRPr="00931D46">
        <w:rPr>
          <w:rFonts w:ascii="Arial" w:hAnsi="Arial" w:cs="Arial"/>
        </w:rPr>
        <w:t xml:space="preserve">iv) </w:t>
      </w:r>
      <w:r w:rsidR="00B765F3" w:rsidRPr="00931D46">
        <w:rPr>
          <w:rFonts w:ascii="Arial" w:hAnsi="Arial" w:cs="Arial"/>
          <w:szCs w:val="20"/>
        </w:rPr>
        <w:t>la existencia de proveedores de servicios individuales, alternativos a los proveedores de paquetes</w:t>
      </w:r>
      <w:r w:rsidRPr="00931D46">
        <w:rPr>
          <w:rFonts w:ascii="Arial" w:hAnsi="Arial" w:cs="Arial"/>
          <w:szCs w:val="20"/>
        </w:rPr>
        <w:t>.</w:t>
      </w:r>
    </w:p>
    <w:p w14:paraId="4F9EBCDE" w14:textId="77777777" w:rsidR="00EF6A04" w:rsidRPr="00931D46" w:rsidRDefault="00EF6A04" w:rsidP="0023353F">
      <w:pPr>
        <w:spacing w:before="0" w:after="0"/>
        <w:rPr>
          <w:rFonts w:ascii="Arial" w:hAnsi="Arial" w:cs="Arial"/>
          <w:color w:val="000000"/>
        </w:rPr>
      </w:pPr>
    </w:p>
    <w:p w14:paraId="17C06D43" w14:textId="7736EE43" w:rsidR="00EF6A04" w:rsidRPr="00931D46" w:rsidRDefault="00F23702" w:rsidP="0023353F">
      <w:pPr>
        <w:spacing w:before="0" w:after="0"/>
        <w:rPr>
          <w:rFonts w:ascii="Arial" w:hAnsi="Arial" w:cs="Arial"/>
          <w:color w:val="000000"/>
        </w:rPr>
      </w:pPr>
      <w:r w:rsidRPr="00931D46">
        <w:rPr>
          <w:rFonts w:ascii="Arial" w:hAnsi="Arial" w:cs="Arial"/>
          <w:color w:val="000000"/>
        </w:rPr>
        <w:t>Finalmente</w:t>
      </w:r>
      <w:r w:rsidR="00EF6A04" w:rsidRPr="00931D46">
        <w:rPr>
          <w:rFonts w:ascii="Arial" w:hAnsi="Arial" w:cs="Arial"/>
          <w:color w:val="000000"/>
        </w:rPr>
        <w:t xml:space="preserve">, </w:t>
      </w:r>
      <w:r w:rsidR="006079B5" w:rsidRPr="00931D46">
        <w:rPr>
          <w:rFonts w:ascii="Arial" w:hAnsi="Arial" w:cs="Arial"/>
          <w:color w:val="000000"/>
        </w:rPr>
        <w:t xml:space="preserve">BEREC </w:t>
      </w:r>
      <w:r w:rsidR="00EF6A04" w:rsidRPr="00931D46">
        <w:rPr>
          <w:rFonts w:ascii="Arial" w:hAnsi="Arial" w:cs="Arial"/>
          <w:color w:val="000000"/>
        </w:rPr>
        <w:t xml:space="preserve">señala que </w:t>
      </w:r>
      <w:r w:rsidR="006079B5" w:rsidRPr="00931D46">
        <w:rPr>
          <w:rFonts w:ascii="Arial" w:hAnsi="Arial" w:cs="Arial"/>
          <w:color w:val="000000"/>
        </w:rPr>
        <w:t xml:space="preserve">en presencia de </w:t>
      </w:r>
      <w:r w:rsidR="00EF6A04" w:rsidRPr="00931D46">
        <w:rPr>
          <w:rFonts w:ascii="Arial" w:hAnsi="Arial" w:cs="Arial"/>
          <w:color w:val="000000"/>
        </w:rPr>
        <w:t>sustitución asimétrica la delimi</w:t>
      </w:r>
      <w:r w:rsidR="006079B5" w:rsidRPr="00931D46">
        <w:rPr>
          <w:rFonts w:ascii="Arial" w:hAnsi="Arial" w:cs="Arial"/>
          <w:color w:val="000000"/>
        </w:rPr>
        <w:t>tación del MR puede ser distinta</w:t>
      </w:r>
      <w:r w:rsidR="00EF6A04" w:rsidRPr="00931D46">
        <w:rPr>
          <w:rFonts w:ascii="Arial" w:hAnsi="Arial" w:cs="Arial"/>
          <w:color w:val="000000"/>
        </w:rPr>
        <w:t xml:space="preserve"> en función del </w:t>
      </w:r>
      <w:r w:rsidR="00330363">
        <w:rPr>
          <w:rFonts w:ascii="Arial" w:hAnsi="Arial" w:cs="Arial"/>
          <w:color w:val="000000"/>
        </w:rPr>
        <w:t>producto</w:t>
      </w:r>
      <w:r w:rsidR="00EF6A04" w:rsidRPr="00931D46">
        <w:rPr>
          <w:rFonts w:ascii="Arial" w:hAnsi="Arial" w:cs="Arial"/>
          <w:color w:val="000000"/>
        </w:rPr>
        <w:t xml:space="preserve"> focal que se considera en el análisis. </w:t>
      </w:r>
    </w:p>
    <w:p w14:paraId="4C2C6A4C" w14:textId="77777777" w:rsidR="00EF6A04" w:rsidRPr="00931D46" w:rsidRDefault="00EF6A04" w:rsidP="0023353F">
      <w:pPr>
        <w:spacing w:before="0" w:after="0"/>
        <w:rPr>
          <w:rFonts w:ascii="Arial" w:hAnsi="Arial" w:cs="Arial"/>
          <w:color w:val="000000"/>
        </w:rPr>
      </w:pPr>
    </w:p>
    <w:p w14:paraId="5EF6BFF9" w14:textId="77777777" w:rsidR="00EF6A04" w:rsidRPr="00931D46" w:rsidRDefault="00EF6A04"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bookmarkStart w:id="403" w:name="_Toc44077556"/>
      <w:bookmarkStart w:id="404" w:name="_Toc44077716"/>
      <w:bookmarkStart w:id="405" w:name="_Toc44077901"/>
      <w:bookmarkStart w:id="406" w:name="_Toc44078103"/>
      <w:bookmarkStart w:id="407" w:name="_Toc44078006"/>
      <w:bookmarkStart w:id="408" w:name="_Toc44078031"/>
      <w:bookmarkStart w:id="409" w:name="_Toc44078150"/>
      <w:bookmarkStart w:id="410" w:name="_Toc44078327"/>
      <w:bookmarkStart w:id="411" w:name="_Toc44078595"/>
      <w:bookmarkStart w:id="412" w:name="_Toc44077557"/>
      <w:bookmarkStart w:id="413" w:name="_Toc44077717"/>
      <w:bookmarkStart w:id="414" w:name="_Toc44077902"/>
      <w:bookmarkStart w:id="415" w:name="_Toc44078104"/>
      <w:bookmarkStart w:id="416" w:name="_Toc44078007"/>
      <w:bookmarkStart w:id="417" w:name="_Toc44078032"/>
      <w:bookmarkStart w:id="418" w:name="_Toc44078151"/>
      <w:bookmarkStart w:id="419" w:name="_Toc44078328"/>
      <w:bookmarkStart w:id="420" w:name="_Toc44078596"/>
      <w:bookmarkStart w:id="421" w:name="_Toc44077558"/>
      <w:bookmarkStart w:id="422" w:name="_Toc44077718"/>
      <w:bookmarkStart w:id="423" w:name="_Toc44077903"/>
      <w:bookmarkStart w:id="424" w:name="_Toc44078105"/>
      <w:bookmarkStart w:id="425" w:name="_Toc44078008"/>
      <w:bookmarkStart w:id="426" w:name="_Toc44078033"/>
      <w:bookmarkStart w:id="427" w:name="_Toc44078152"/>
      <w:bookmarkStart w:id="428" w:name="_Toc44078329"/>
      <w:bookmarkStart w:id="429" w:name="_Toc44078597"/>
      <w:bookmarkStart w:id="430" w:name="_Toc42256677"/>
      <w:bookmarkStart w:id="431" w:name="_Toc42766342"/>
      <w:bookmarkStart w:id="432" w:name="_Toc42794210"/>
      <w:bookmarkStart w:id="433" w:name="_Toc44077129"/>
      <w:bookmarkStart w:id="434" w:name="_Toc44078331"/>
      <w:bookmarkStart w:id="435" w:name="_Toc44078599"/>
      <w:bookmarkStart w:id="436" w:name="_Toc4216732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931D46">
        <w:rPr>
          <w:rFonts w:ascii="Arial" w:eastAsia="Times New Roman" w:hAnsi="Arial" w:cs="Arial"/>
          <w:b/>
          <w:i w:val="0"/>
          <w:color w:val="auto"/>
          <w:lang w:eastAsia="es-MX"/>
        </w:rPr>
        <w:t>Portugal</w:t>
      </w:r>
      <w:bookmarkEnd w:id="430"/>
      <w:bookmarkEnd w:id="431"/>
      <w:bookmarkEnd w:id="432"/>
      <w:bookmarkEnd w:id="433"/>
      <w:bookmarkEnd w:id="434"/>
      <w:bookmarkEnd w:id="435"/>
    </w:p>
    <w:p w14:paraId="3B2F8F8B" w14:textId="77777777" w:rsidR="00EF6A04" w:rsidRPr="00931D46" w:rsidRDefault="00EF6A04" w:rsidP="0023353F">
      <w:pPr>
        <w:keepNext/>
        <w:spacing w:before="0" w:after="0"/>
        <w:rPr>
          <w:rFonts w:ascii="Arial" w:hAnsi="Arial" w:cs="Arial"/>
        </w:rPr>
      </w:pPr>
    </w:p>
    <w:p w14:paraId="2AA2AA67" w14:textId="073E3D60" w:rsidR="006079B5" w:rsidRPr="00931D46" w:rsidRDefault="006079B5" w:rsidP="0023353F">
      <w:pPr>
        <w:spacing w:before="0" w:after="0"/>
        <w:rPr>
          <w:rFonts w:ascii="Arial" w:hAnsi="Arial" w:cs="Arial"/>
        </w:rPr>
      </w:pPr>
      <w:r w:rsidRPr="00931D46">
        <w:rPr>
          <w:rFonts w:ascii="Arial" w:hAnsi="Arial" w:cs="Arial"/>
        </w:rPr>
        <w:t>De acuer</w:t>
      </w:r>
      <w:r w:rsidR="00B30280" w:rsidRPr="00931D46">
        <w:rPr>
          <w:rFonts w:ascii="Arial" w:hAnsi="Arial" w:cs="Arial"/>
        </w:rPr>
        <w:t>do con las Directrices para el a</w:t>
      </w:r>
      <w:r w:rsidRPr="00931D46">
        <w:rPr>
          <w:rFonts w:ascii="Arial" w:hAnsi="Arial" w:cs="Arial"/>
        </w:rPr>
        <w:t xml:space="preserve">nálisis </w:t>
      </w:r>
      <w:r w:rsidR="00B30280" w:rsidRPr="00931D46">
        <w:rPr>
          <w:rFonts w:ascii="Arial" w:hAnsi="Arial" w:cs="Arial"/>
        </w:rPr>
        <w:t>e</w:t>
      </w:r>
      <w:r w:rsidRPr="00931D46">
        <w:rPr>
          <w:rFonts w:ascii="Arial" w:hAnsi="Arial" w:cs="Arial"/>
        </w:rPr>
        <w:t xml:space="preserve">conómico de </w:t>
      </w:r>
      <w:r w:rsidR="00B30280" w:rsidRPr="00931D46">
        <w:rPr>
          <w:rFonts w:ascii="Arial" w:hAnsi="Arial" w:cs="Arial"/>
        </w:rPr>
        <w:t>concentraciones</w:t>
      </w:r>
      <w:r w:rsidRPr="00931D46">
        <w:rPr>
          <w:rFonts w:ascii="Arial" w:hAnsi="Arial" w:cs="Arial"/>
        </w:rPr>
        <w:t xml:space="preserve"> </w:t>
      </w:r>
      <w:r w:rsidR="00B30280" w:rsidRPr="00931D46">
        <w:rPr>
          <w:rFonts w:ascii="Arial" w:hAnsi="Arial" w:cs="Arial"/>
        </w:rPr>
        <w:t>h</w:t>
      </w:r>
      <w:r w:rsidRPr="00931D46">
        <w:rPr>
          <w:rFonts w:ascii="Arial" w:hAnsi="Arial" w:cs="Arial"/>
        </w:rPr>
        <w:t>orizontales</w:t>
      </w:r>
      <w:r w:rsidR="006444AB" w:rsidRPr="00931D46">
        <w:rPr>
          <w:rFonts w:ascii="Arial" w:hAnsi="Arial" w:cs="Arial"/>
        </w:rPr>
        <w:t xml:space="preserve"> publicadas por la autoridad de competencia de Portugal</w:t>
      </w:r>
      <w:r w:rsidRPr="00931D46">
        <w:rPr>
          <w:rFonts w:ascii="Arial" w:hAnsi="Arial" w:cs="Arial"/>
        </w:rPr>
        <w:t>,</w:t>
      </w:r>
      <w:r w:rsidR="00345ACB" w:rsidRPr="00931D46">
        <w:rPr>
          <w:rStyle w:val="Refdenotaalpie"/>
          <w:rFonts w:ascii="Arial" w:hAnsi="Arial" w:cs="Arial"/>
        </w:rPr>
        <w:footnoteReference w:id="270"/>
      </w:r>
      <w:r w:rsidRPr="00931D46">
        <w:rPr>
          <w:rFonts w:ascii="Arial" w:hAnsi="Arial" w:cs="Arial"/>
        </w:rPr>
        <w:t xml:space="preserve"> si un monopolista hipotético </w:t>
      </w:r>
      <w:r w:rsidR="006444AB" w:rsidRPr="00931D46">
        <w:rPr>
          <w:rFonts w:ascii="Arial" w:hAnsi="Arial" w:cs="Arial"/>
        </w:rPr>
        <w:t>tiene</w:t>
      </w:r>
      <w:r w:rsidRPr="00931D46">
        <w:rPr>
          <w:rFonts w:ascii="Arial" w:hAnsi="Arial" w:cs="Arial"/>
        </w:rPr>
        <w:t xml:space="preserve"> incentivos para aplicar un SSNIP a un paquete de </w:t>
      </w:r>
      <w:r w:rsidR="006444AB" w:rsidRPr="00931D46">
        <w:rPr>
          <w:rFonts w:ascii="Arial" w:hAnsi="Arial" w:cs="Arial"/>
        </w:rPr>
        <w:t>servicios</w:t>
      </w:r>
      <w:r w:rsidRPr="00931D46">
        <w:rPr>
          <w:rFonts w:ascii="Arial" w:hAnsi="Arial" w:cs="Arial"/>
        </w:rPr>
        <w:t xml:space="preserve">, es posible justificar </w:t>
      </w:r>
      <w:r w:rsidR="006444AB" w:rsidRPr="00931D46">
        <w:rPr>
          <w:rFonts w:ascii="Arial" w:hAnsi="Arial" w:cs="Arial"/>
        </w:rPr>
        <w:t>la existencia de un MR para ese</w:t>
      </w:r>
      <w:r w:rsidRPr="00931D46">
        <w:rPr>
          <w:rFonts w:ascii="Arial" w:hAnsi="Arial" w:cs="Arial"/>
        </w:rPr>
        <w:t xml:space="preserve"> paquete</w:t>
      </w:r>
      <w:r w:rsidR="006444AB" w:rsidRPr="00931D46">
        <w:rPr>
          <w:rFonts w:ascii="Arial" w:hAnsi="Arial" w:cs="Arial"/>
        </w:rPr>
        <w:t xml:space="preserve"> y MR </w:t>
      </w:r>
      <w:r w:rsidRPr="00931D46">
        <w:rPr>
          <w:rFonts w:ascii="Arial" w:hAnsi="Arial" w:cs="Arial"/>
        </w:rPr>
        <w:t xml:space="preserve">paralelos </w:t>
      </w:r>
      <w:r w:rsidR="006444AB" w:rsidRPr="00931D46">
        <w:rPr>
          <w:rFonts w:ascii="Arial" w:hAnsi="Arial" w:cs="Arial"/>
        </w:rPr>
        <w:t>para</w:t>
      </w:r>
      <w:r w:rsidRPr="00931D46">
        <w:rPr>
          <w:rFonts w:ascii="Arial" w:hAnsi="Arial" w:cs="Arial"/>
        </w:rPr>
        <w:t xml:space="preserve"> cada uno de los </w:t>
      </w:r>
      <w:r w:rsidR="006444AB" w:rsidRPr="00931D46">
        <w:rPr>
          <w:rFonts w:ascii="Arial" w:hAnsi="Arial" w:cs="Arial"/>
        </w:rPr>
        <w:t xml:space="preserve">servicios individuales </w:t>
      </w:r>
      <w:r w:rsidR="00575846" w:rsidRPr="00931D46">
        <w:rPr>
          <w:rFonts w:ascii="Arial" w:hAnsi="Arial" w:cs="Arial"/>
        </w:rPr>
        <w:t>del paquete.</w:t>
      </w:r>
      <w:r w:rsidRPr="00931D46">
        <w:rPr>
          <w:rFonts w:ascii="Arial" w:hAnsi="Arial" w:cs="Arial"/>
        </w:rPr>
        <w:t xml:space="preserve"> </w:t>
      </w:r>
      <w:r w:rsidR="006444AB" w:rsidRPr="00931D46">
        <w:rPr>
          <w:rFonts w:ascii="Arial" w:hAnsi="Arial" w:cs="Arial"/>
        </w:rPr>
        <w:t xml:space="preserve">En caso contrario, </w:t>
      </w:r>
      <w:r w:rsidRPr="00931D46">
        <w:rPr>
          <w:rFonts w:ascii="Arial" w:hAnsi="Arial" w:cs="Arial"/>
        </w:rPr>
        <w:t xml:space="preserve">si el monopolista hipotético no </w:t>
      </w:r>
      <w:r w:rsidR="006444AB" w:rsidRPr="00931D46">
        <w:rPr>
          <w:rFonts w:ascii="Arial" w:hAnsi="Arial" w:cs="Arial"/>
        </w:rPr>
        <w:t>tuvie</w:t>
      </w:r>
      <w:r w:rsidR="00840AD0">
        <w:rPr>
          <w:rFonts w:ascii="Arial" w:hAnsi="Arial" w:cs="Arial"/>
        </w:rPr>
        <w:t>ra</w:t>
      </w:r>
      <w:r w:rsidR="006444AB" w:rsidRPr="00931D46">
        <w:rPr>
          <w:rFonts w:ascii="Arial" w:hAnsi="Arial" w:cs="Arial"/>
        </w:rPr>
        <w:t xml:space="preserve"> </w:t>
      </w:r>
      <w:r w:rsidRPr="00931D46">
        <w:rPr>
          <w:rFonts w:ascii="Arial" w:hAnsi="Arial" w:cs="Arial"/>
        </w:rPr>
        <w:t xml:space="preserve">incentivos para aplicar un SSNIP porque una proporción significativa de los consumidores dejaran de consumir el paquete, la delimitación exacta del </w:t>
      </w:r>
      <w:r w:rsidR="006444AB" w:rsidRPr="00931D46">
        <w:rPr>
          <w:rFonts w:ascii="Arial" w:hAnsi="Arial" w:cs="Arial"/>
        </w:rPr>
        <w:t xml:space="preserve">MR </w:t>
      </w:r>
      <w:r w:rsidRPr="00931D46">
        <w:rPr>
          <w:rFonts w:ascii="Arial" w:hAnsi="Arial" w:cs="Arial"/>
        </w:rPr>
        <w:t xml:space="preserve">depende de cómo los </w:t>
      </w:r>
      <w:r w:rsidR="00330363">
        <w:rPr>
          <w:rFonts w:ascii="Arial" w:hAnsi="Arial" w:cs="Arial"/>
        </w:rPr>
        <w:t>productos</w:t>
      </w:r>
      <w:r w:rsidRPr="00931D46">
        <w:rPr>
          <w:rFonts w:ascii="Arial" w:hAnsi="Arial" w:cs="Arial"/>
        </w:rPr>
        <w:t xml:space="preserve"> individuales ejercen presión competitiva sobre el paquete: si cada uno de los </w:t>
      </w:r>
      <w:r w:rsidR="00330363">
        <w:rPr>
          <w:rFonts w:ascii="Arial" w:hAnsi="Arial" w:cs="Arial"/>
        </w:rPr>
        <w:t>productos</w:t>
      </w:r>
      <w:r w:rsidRPr="00931D46">
        <w:rPr>
          <w:rFonts w:ascii="Arial" w:hAnsi="Arial" w:cs="Arial"/>
        </w:rPr>
        <w:t xml:space="preserve"> ejerce presión competitiva significativa sobre el paquete, se pueden delimitar varios </w:t>
      </w:r>
      <w:r w:rsidR="006444AB" w:rsidRPr="00931D46">
        <w:rPr>
          <w:rFonts w:ascii="Arial" w:hAnsi="Arial" w:cs="Arial"/>
        </w:rPr>
        <w:t>MR,</w:t>
      </w:r>
      <w:r w:rsidRPr="00931D46">
        <w:rPr>
          <w:rFonts w:ascii="Arial" w:hAnsi="Arial" w:cs="Arial"/>
        </w:rPr>
        <w:t xml:space="preserve"> cada uno de los cuales incluye el paquete y uno de los </w:t>
      </w:r>
      <w:r w:rsidR="006444AB" w:rsidRPr="00931D46">
        <w:rPr>
          <w:rFonts w:ascii="Arial" w:hAnsi="Arial" w:cs="Arial"/>
        </w:rPr>
        <w:t xml:space="preserve">servicios </w:t>
      </w:r>
      <w:r w:rsidRPr="00931D46">
        <w:rPr>
          <w:rFonts w:ascii="Arial" w:hAnsi="Arial" w:cs="Arial"/>
        </w:rPr>
        <w:t xml:space="preserve">individuales; si </w:t>
      </w:r>
      <w:r w:rsidR="006444AB" w:rsidRPr="00931D46">
        <w:rPr>
          <w:rFonts w:ascii="Arial" w:hAnsi="Arial" w:cs="Arial"/>
        </w:rPr>
        <w:t xml:space="preserve">la presión competitiva que ejercen sobre el </w:t>
      </w:r>
      <w:r w:rsidRPr="00931D46">
        <w:rPr>
          <w:rFonts w:ascii="Arial" w:hAnsi="Arial" w:cs="Arial"/>
        </w:rPr>
        <w:t xml:space="preserve">paquete </w:t>
      </w:r>
      <w:r w:rsidR="006444AB" w:rsidRPr="00931D46">
        <w:rPr>
          <w:rFonts w:ascii="Arial" w:hAnsi="Arial" w:cs="Arial"/>
        </w:rPr>
        <w:t xml:space="preserve">es de manera conjunta entre todos </w:t>
      </w:r>
      <w:r w:rsidR="00330363">
        <w:rPr>
          <w:rFonts w:ascii="Arial" w:hAnsi="Arial" w:cs="Arial"/>
        </w:rPr>
        <w:t>productos</w:t>
      </w:r>
      <w:r w:rsidRPr="00931D46">
        <w:rPr>
          <w:rFonts w:ascii="Arial" w:hAnsi="Arial" w:cs="Arial"/>
        </w:rPr>
        <w:t xml:space="preserve"> individuales que lo componen, el MR </w:t>
      </w:r>
      <w:r w:rsidR="006444AB" w:rsidRPr="00931D46">
        <w:rPr>
          <w:rFonts w:ascii="Arial" w:hAnsi="Arial" w:cs="Arial"/>
        </w:rPr>
        <w:t>incluye a</w:t>
      </w:r>
      <w:r w:rsidRPr="00931D46">
        <w:rPr>
          <w:rFonts w:ascii="Arial" w:hAnsi="Arial" w:cs="Arial"/>
        </w:rPr>
        <w:t xml:space="preserve">l paquete y </w:t>
      </w:r>
      <w:r w:rsidR="006444AB" w:rsidRPr="00931D46">
        <w:rPr>
          <w:rFonts w:ascii="Arial" w:hAnsi="Arial" w:cs="Arial"/>
        </w:rPr>
        <w:t xml:space="preserve">a </w:t>
      </w:r>
      <w:r w:rsidRPr="00931D46">
        <w:rPr>
          <w:rFonts w:ascii="Arial" w:hAnsi="Arial" w:cs="Arial"/>
        </w:rPr>
        <w:t xml:space="preserve">los diversos </w:t>
      </w:r>
      <w:r w:rsidR="00330363">
        <w:rPr>
          <w:rFonts w:ascii="Arial" w:hAnsi="Arial" w:cs="Arial"/>
        </w:rPr>
        <w:t>productos</w:t>
      </w:r>
      <w:r w:rsidRPr="00931D46">
        <w:rPr>
          <w:rFonts w:ascii="Arial" w:hAnsi="Arial" w:cs="Arial"/>
        </w:rPr>
        <w:t xml:space="preserve"> individuales</w:t>
      </w:r>
      <w:r w:rsidR="006444AB" w:rsidRPr="00931D46">
        <w:rPr>
          <w:rFonts w:ascii="Arial" w:hAnsi="Arial" w:cs="Arial"/>
        </w:rPr>
        <w:t>.</w:t>
      </w:r>
    </w:p>
    <w:p w14:paraId="3D700244" w14:textId="77777777" w:rsidR="006444AB" w:rsidRPr="00931D46" w:rsidRDefault="006444AB" w:rsidP="0023353F">
      <w:pPr>
        <w:spacing w:before="0" w:after="0"/>
        <w:rPr>
          <w:rFonts w:ascii="Arial" w:hAnsi="Arial" w:cs="Arial"/>
        </w:rPr>
      </w:pPr>
    </w:p>
    <w:bookmarkEnd w:id="436"/>
    <w:p w14:paraId="0D13C42C" w14:textId="77777777" w:rsidR="00EF6A04" w:rsidRPr="00931D46" w:rsidRDefault="00EF6A04" w:rsidP="0023353F">
      <w:pPr>
        <w:spacing w:before="0" w:after="0"/>
        <w:rPr>
          <w:rFonts w:ascii="Arial" w:hAnsi="Arial" w:cs="Arial"/>
        </w:rPr>
      </w:pPr>
      <w:r w:rsidRPr="00931D46">
        <w:rPr>
          <w:rFonts w:ascii="Arial" w:hAnsi="Arial" w:cs="Arial"/>
        </w:rPr>
        <w:t xml:space="preserve">En </w:t>
      </w:r>
      <w:r w:rsidR="00575846" w:rsidRPr="00931D46">
        <w:rPr>
          <w:rFonts w:ascii="Arial" w:hAnsi="Arial" w:cs="Arial"/>
        </w:rPr>
        <w:t>particular</w:t>
      </w:r>
      <w:r w:rsidRPr="00931D46">
        <w:rPr>
          <w:rFonts w:ascii="Arial" w:hAnsi="Arial" w:cs="Arial"/>
        </w:rPr>
        <w:t>, en la concentración entre ZON y Optimus de 2013,</w:t>
      </w:r>
      <w:r w:rsidR="00DD3F62" w:rsidRPr="00931D46">
        <w:rPr>
          <w:rFonts w:ascii="Arial" w:eastAsia="Times New Roman" w:hAnsi="Arial" w:cs="Arial"/>
          <w:vertAlign w:val="superscript"/>
          <w:lang w:eastAsia="es-MX"/>
        </w:rPr>
        <w:footnoteReference w:id="271"/>
      </w:r>
      <w:r w:rsidR="00575846" w:rsidRPr="00931D46">
        <w:rPr>
          <w:rFonts w:ascii="Arial" w:hAnsi="Arial" w:cs="Arial"/>
        </w:rPr>
        <w:t xml:space="preserve"> la a</w:t>
      </w:r>
      <w:r w:rsidRPr="00931D46">
        <w:rPr>
          <w:rFonts w:ascii="Arial" w:hAnsi="Arial" w:cs="Arial"/>
        </w:rPr>
        <w:t xml:space="preserve">utoridad de </w:t>
      </w:r>
      <w:r w:rsidR="00575846" w:rsidRPr="00931D46">
        <w:rPr>
          <w:rFonts w:ascii="Arial" w:hAnsi="Arial" w:cs="Arial"/>
        </w:rPr>
        <w:t>c</w:t>
      </w:r>
      <w:r w:rsidRPr="00931D46">
        <w:rPr>
          <w:rFonts w:ascii="Arial" w:hAnsi="Arial" w:cs="Arial"/>
        </w:rPr>
        <w:t xml:space="preserve">ompetencia de Portugal determinó la existencia de un </w:t>
      </w:r>
      <w:r w:rsidR="00575846" w:rsidRPr="00931D46">
        <w:rPr>
          <w:rFonts w:ascii="Arial" w:hAnsi="Arial" w:cs="Arial"/>
        </w:rPr>
        <w:t>MR</w:t>
      </w:r>
      <w:r w:rsidRPr="00931D46">
        <w:rPr>
          <w:rFonts w:ascii="Arial" w:hAnsi="Arial" w:cs="Arial"/>
        </w:rPr>
        <w:t xml:space="preserve"> de ofertas </w:t>
      </w:r>
      <w:r w:rsidRPr="00931D46">
        <w:rPr>
          <w:rFonts w:ascii="Arial" w:hAnsi="Arial" w:cs="Arial"/>
          <w:i/>
        </w:rPr>
        <w:t xml:space="preserve">triple </w:t>
      </w:r>
      <w:r w:rsidRPr="00931D46">
        <w:rPr>
          <w:rFonts w:ascii="Arial" w:hAnsi="Arial" w:cs="Arial"/>
        </w:rPr>
        <w:t>play</w:t>
      </w:r>
      <w:r w:rsidR="00575846" w:rsidRPr="00931D46">
        <w:rPr>
          <w:rFonts w:ascii="Arial" w:hAnsi="Arial" w:cs="Arial"/>
        </w:rPr>
        <w:t xml:space="preserve"> (SBAF</w:t>
      </w:r>
      <w:r w:rsidR="00601B94" w:rsidRPr="00931D46">
        <w:rPr>
          <w:rFonts w:ascii="Arial" w:hAnsi="Arial" w:cs="Arial"/>
        </w:rPr>
        <w:t>+</w:t>
      </w:r>
      <w:r w:rsidR="00575846" w:rsidRPr="00931D46">
        <w:rPr>
          <w:rFonts w:ascii="Arial" w:hAnsi="Arial" w:cs="Arial"/>
        </w:rPr>
        <w:t>STF</w:t>
      </w:r>
      <w:r w:rsidR="00601B94" w:rsidRPr="00931D46">
        <w:rPr>
          <w:rFonts w:ascii="Arial" w:hAnsi="Arial" w:cs="Arial"/>
        </w:rPr>
        <w:t>+</w:t>
      </w:r>
      <w:r w:rsidR="00575846" w:rsidRPr="00931D46">
        <w:rPr>
          <w:rFonts w:ascii="Arial" w:hAnsi="Arial" w:cs="Arial"/>
        </w:rPr>
        <w:t>STAR)</w:t>
      </w:r>
      <w:r w:rsidRPr="00931D46">
        <w:rPr>
          <w:rFonts w:ascii="Arial" w:hAnsi="Arial" w:cs="Arial"/>
        </w:rPr>
        <w:t xml:space="preserve"> en ciertas áreas geográficas, </w:t>
      </w:r>
      <w:r w:rsidR="00575846" w:rsidRPr="00931D46">
        <w:rPr>
          <w:rFonts w:ascii="Arial" w:hAnsi="Arial" w:cs="Arial"/>
        </w:rPr>
        <w:t>así como MR para cada uno de los servicios que lo componen</w:t>
      </w:r>
      <w:r w:rsidRPr="00931D46">
        <w:rPr>
          <w:rFonts w:ascii="Arial" w:hAnsi="Arial" w:cs="Arial"/>
        </w:rPr>
        <w:t>, considerando, entre otros aspectos, lo siguiente:</w:t>
      </w:r>
    </w:p>
    <w:p w14:paraId="4A597AD0" w14:textId="77777777" w:rsidR="0023353F" w:rsidRPr="00931D46" w:rsidRDefault="0023353F" w:rsidP="0023353F">
      <w:pPr>
        <w:spacing w:before="0" w:after="0"/>
        <w:rPr>
          <w:rFonts w:ascii="Arial" w:hAnsi="Arial" w:cs="Arial"/>
        </w:rPr>
      </w:pPr>
    </w:p>
    <w:p w14:paraId="65C96B8E" w14:textId="77777777" w:rsidR="00EF6A04" w:rsidRPr="00931D46" w:rsidRDefault="00EF6A04" w:rsidP="00840AD0">
      <w:pPr>
        <w:pStyle w:val="Prrafodelista"/>
        <w:numPr>
          <w:ilvl w:val="0"/>
          <w:numId w:val="30"/>
        </w:numPr>
        <w:spacing w:before="0" w:after="0"/>
        <w:ind w:hanging="578"/>
        <w:contextualSpacing w:val="0"/>
        <w:rPr>
          <w:rFonts w:ascii="Arial" w:hAnsi="Arial" w:cs="Arial"/>
        </w:rPr>
      </w:pPr>
      <w:r w:rsidRPr="00931D46">
        <w:rPr>
          <w:rFonts w:ascii="Arial" w:hAnsi="Arial" w:cs="Arial"/>
        </w:rPr>
        <w:t xml:space="preserve">Una alta proporción de usuarios </w:t>
      </w:r>
      <w:r w:rsidR="00575846" w:rsidRPr="00931D46">
        <w:rPr>
          <w:rFonts w:ascii="Arial" w:hAnsi="Arial" w:cs="Arial"/>
        </w:rPr>
        <w:t>(75%</w:t>
      </w:r>
      <w:r w:rsidR="00B555FF" w:rsidRPr="00931D46">
        <w:rPr>
          <w:rFonts w:ascii="Arial" w:hAnsi="Arial" w:cs="Arial"/>
        </w:rPr>
        <w:t xml:space="preserve"> de los usuarios del SBAF</w:t>
      </w:r>
      <w:r w:rsidR="00575846" w:rsidRPr="00931D46">
        <w:rPr>
          <w:rFonts w:ascii="Arial" w:hAnsi="Arial" w:cs="Arial"/>
        </w:rPr>
        <w:t xml:space="preserve">) </w:t>
      </w:r>
      <w:r w:rsidRPr="00931D46">
        <w:rPr>
          <w:rFonts w:ascii="Arial" w:hAnsi="Arial" w:cs="Arial"/>
        </w:rPr>
        <w:t xml:space="preserve">contratan </w:t>
      </w:r>
      <w:r w:rsidRPr="00931D46">
        <w:rPr>
          <w:rFonts w:ascii="Arial" w:hAnsi="Arial" w:cs="Arial"/>
          <w:szCs w:val="20"/>
        </w:rPr>
        <w:t>paquetes</w:t>
      </w:r>
      <w:r w:rsidR="00575846" w:rsidRPr="00931D46">
        <w:rPr>
          <w:rFonts w:ascii="Arial" w:hAnsi="Arial" w:cs="Arial"/>
          <w:szCs w:val="20"/>
        </w:rPr>
        <w:t xml:space="preserve"> </w:t>
      </w:r>
      <w:r w:rsidR="00575846" w:rsidRPr="00931D46">
        <w:rPr>
          <w:rFonts w:ascii="Arial" w:hAnsi="Arial" w:cs="Arial"/>
          <w:i/>
          <w:szCs w:val="20"/>
        </w:rPr>
        <w:t>triple play</w:t>
      </w:r>
      <w:r w:rsidRPr="00931D46">
        <w:rPr>
          <w:rFonts w:ascii="Arial" w:hAnsi="Arial" w:cs="Arial"/>
          <w:szCs w:val="20"/>
        </w:rPr>
        <w:t xml:space="preserve">, </w:t>
      </w:r>
      <w:r w:rsidRPr="00931D46">
        <w:rPr>
          <w:rFonts w:ascii="Arial" w:hAnsi="Arial" w:cs="Arial"/>
        </w:rPr>
        <w:t>aunque los</w:t>
      </w:r>
      <w:r w:rsidRPr="00931D46">
        <w:rPr>
          <w:rFonts w:ascii="Arial" w:hAnsi="Arial" w:cs="Arial"/>
          <w:szCs w:val="20"/>
        </w:rPr>
        <w:t xml:space="preserve"> servicios </w:t>
      </w:r>
      <w:r w:rsidR="00575846" w:rsidRPr="00931D46">
        <w:rPr>
          <w:rFonts w:ascii="Arial" w:hAnsi="Arial" w:cs="Arial"/>
        </w:rPr>
        <w:t xml:space="preserve">individuales </w:t>
      </w:r>
      <w:r w:rsidRPr="00931D46">
        <w:rPr>
          <w:rFonts w:ascii="Arial" w:hAnsi="Arial" w:cs="Arial"/>
        </w:rPr>
        <w:t>permanecen en el mercado.</w:t>
      </w:r>
    </w:p>
    <w:p w14:paraId="7B30194C" w14:textId="77777777" w:rsidR="00EF6A04" w:rsidRPr="00931D46" w:rsidRDefault="00EF6A04" w:rsidP="00840AD0">
      <w:pPr>
        <w:pStyle w:val="Prrafodelista"/>
        <w:numPr>
          <w:ilvl w:val="0"/>
          <w:numId w:val="30"/>
        </w:numPr>
        <w:spacing w:before="0" w:after="0"/>
        <w:ind w:hanging="578"/>
        <w:contextualSpacing w:val="0"/>
        <w:rPr>
          <w:rFonts w:ascii="Arial" w:hAnsi="Arial" w:cs="Arial"/>
        </w:rPr>
      </w:pPr>
      <w:r w:rsidRPr="00931D46">
        <w:rPr>
          <w:rFonts w:ascii="Arial" w:hAnsi="Arial" w:cs="Arial"/>
        </w:rPr>
        <w:t xml:space="preserve">Los usuarios finales muestran una clara preferencia por las soluciones de ventanilla única (posibilidad de contratar con un único proveedor y recibir una sola factura), además de la existencia de posibles descuentos de precios en comparación con lo que resultaría si los usuarios adquirieran los diversos servicios de manera </w:t>
      </w:r>
      <w:r w:rsidR="00575846" w:rsidRPr="00931D46">
        <w:rPr>
          <w:rFonts w:ascii="Arial" w:hAnsi="Arial" w:cs="Arial"/>
        </w:rPr>
        <w:t>individual</w:t>
      </w:r>
      <w:r w:rsidRPr="00931D46">
        <w:rPr>
          <w:rFonts w:ascii="Arial" w:hAnsi="Arial" w:cs="Arial"/>
        </w:rPr>
        <w:t>.</w:t>
      </w:r>
    </w:p>
    <w:p w14:paraId="7F477C54" w14:textId="79504C75" w:rsidR="00EF6A04" w:rsidRPr="00931D46" w:rsidRDefault="00EF6A04" w:rsidP="00840AD0">
      <w:pPr>
        <w:pStyle w:val="Prrafodelista"/>
        <w:numPr>
          <w:ilvl w:val="0"/>
          <w:numId w:val="30"/>
        </w:numPr>
        <w:spacing w:before="0" w:after="0"/>
        <w:ind w:hanging="578"/>
        <w:contextualSpacing w:val="0"/>
        <w:rPr>
          <w:rFonts w:ascii="Arial" w:hAnsi="Arial" w:cs="Arial"/>
        </w:rPr>
      </w:pPr>
      <w:r w:rsidRPr="00931D46">
        <w:rPr>
          <w:rFonts w:ascii="Arial" w:hAnsi="Arial" w:cs="Arial"/>
        </w:rPr>
        <w:t xml:space="preserve">Para el caso de SBAF y STAR, existe </w:t>
      </w:r>
      <w:r w:rsidR="00575846" w:rsidRPr="00931D46">
        <w:rPr>
          <w:rFonts w:ascii="Arial" w:hAnsi="Arial" w:cs="Arial"/>
        </w:rPr>
        <w:t xml:space="preserve">sustitución </w:t>
      </w:r>
      <w:r w:rsidRPr="00931D46">
        <w:rPr>
          <w:rFonts w:ascii="Arial" w:hAnsi="Arial" w:cs="Arial"/>
        </w:rPr>
        <w:t xml:space="preserve">asimétrica entre las ofertas de servicios </w:t>
      </w:r>
      <w:r w:rsidR="00575846" w:rsidRPr="00931D46">
        <w:rPr>
          <w:rFonts w:ascii="Arial" w:hAnsi="Arial" w:cs="Arial"/>
        </w:rPr>
        <w:t xml:space="preserve">individuales </w:t>
      </w:r>
      <w:r w:rsidRPr="00931D46">
        <w:rPr>
          <w:rFonts w:ascii="Arial" w:hAnsi="Arial" w:cs="Arial"/>
        </w:rPr>
        <w:t xml:space="preserve">y las de paquetes de servicios. </w:t>
      </w:r>
      <w:r w:rsidR="00575846" w:rsidRPr="00931D46">
        <w:rPr>
          <w:rFonts w:ascii="Arial" w:hAnsi="Arial" w:cs="Arial"/>
        </w:rPr>
        <w:t xml:space="preserve">Para un monopolista hipotético, que controlara todas las ofertas de </w:t>
      </w:r>
      <w:r w:rsidR="00575846" w:rsidRPr="00931D46">
        <w:rPr>
          <w:rFonts w:ascii="Arial" w:hAnsi="Arial" w:cs="Arial"/>
          <w:i/>
        </w:rPr>
        <w:t>triple play</w:t>
      </w:r>
      <w:r w:rsidR="00575846" w:rsidRPr="00931D46">
        <w:rPr>
          <w:rFonts w:ascii="Arial" w:hAnsi="Arial" w:cs="Arial"/>
        </w:rPr>
        <w:t xml:space="preserve"> en el mercado, sería rentable </w:t>
      </w:r>
      <w:r w:rsidR="009A0D03">
        <w:rPr>
          <w:rFonts w:ascii="Arial" w:hAnsi="Arial" w:cs="Arial"/>
        </w:rPr>
        <w:t>realizar</w:t>
      </w:r>
      <w:r w:rsidR="009A0D03" w:rsidRPr="00931D46">
        <w:rPr>
          <w:rFonts w:ascii="Arial" w:hAnsi="Arial" w:cs="Arial"/>
        </w:rPr>
        <w:t xml:space="preserve"> </w:t>
      </w:r>
      <w:r w:rsidR="00575846" w:rsidRPr="00931D46">
        <w:rPr>
          <w:rFonts w:ascii="Arial" w:hAnsi="Arial" w:cs="Arial"/>
        </w:rPr>
        <w:t xml:space="preserve">un aumento de precios </w:t>
      </w:r>
      <w:r w:rsidR="00A009A9" w:rsidRPr="00931D46">
        <w:rPr>
          <w:rFonts w:ascii="Arial" w:hAnsi="Arial" w:cs="Arial"/>
        </w:rPr>
        <w:t xml:space="preserve">de </w:t>
      </w:r>
      <w:r w:rsidR="00575846" w:rsidRPr="00931D46">
        <w:rPr>
          <w:rFonts w:ascii="Arial" w:hAnsi="Arial" w:cs="Arial"/>
        </w:rPr>
        <w:t>entre 5</w:t>
      </w:r>
      <w:r w:rsidR="00B555FF" w:rsidRPr="00931D46">
        <w:rPr>
          <w:rFonts w:ascii="Arial" w:hAnsi="Arial" w:cs="Arial"/>
        </w:rPr>
        <w:t>% y 10%</w:t>
      </w:r>
      <w:r w:rsidRPr="00931D46">
        <w:rPr>
          <w:rFonts w:ascii="Arial" w:hAnsi="Arial" w:cs="Arial"/>
        </w:rPr>
        <w:t>.</w:t>
      </w:r>
    </w:p>
    <w:p w14:paraId="7479AF4E" w14:textId="77777777" w:rsidR="00EF6A04" w:rsidRPr="00931D46" w:rsidRDefault="007D5E1F" w:rsidP="00840AD0">
      <w:pPr>
        <w:pStyle w:val="Prrafodelista"/>
        <w:numPr>
          <w:ilvl w:val="0"/>
          <w:numId w:val="30"/>
        </w:numPr>
        <w:spacing w:before="0" w:after="0"/>
        <w:ind w:hanging="578"/>
        <w:contextualSpacing w:val="0"/>
        <w:rPr>
          <w:rFonts w:ascii="Arial" w:hAnsi="Arial" w:cs="Arial"/>
        </w:rPr>
      </w:pPr>
      <w:r w:rsidRPr="00931D46">
        <w:rPr>
          <w:rFonts w:ascii="Arial" w:hAnsi="Arial" w:cs="Arial"/>
        </w:rPr>
        <w:t>T</w:t>
      </w:r>
      <w:r w:rsidR="00EF6A04" w:rsidRPr="00931D46">
        <w:rPr>
          <w:rFonts w:ascii="Arial" w:hAnsi="Arial" w:cs="Arial"/>
        </w:rPr>
        <w:t xml:space="preserve">odos los </w:t>
      </w:r>
      <w:r w:rsidRPr="00931D46">
        <w:rPr>
          <w:rFonts w:ascii="Arial" w:hAnsi="Arial" w:cs="Arial"/>
        </w:rPr>
        <w:t>proveedores</w:t>
      </w:r>
      <w:r w:rsidR="00EF6A04" w:rsidRPr="00931D46">
        <w:rPr>
          <w:rFonts w:ascii="Arial" w:hAnsi="Arial" w:cs="Arial"/>
        </w:rPr>
        <w:t xml:space="preserve"> </w:t>
      </w:r>
      <w:r w:rsidRPr="00931D46">
        <w:rPr>
          <w:rFonts w:ascii="Arial" w:hAnsi="Arial" w:cs="Arial"/>
        </w:rPr>
        <w:t>ofrecen paquetes</w:t>
      </w:r>
      <w:r w:rsidR="00EF6A04" w:rsidRPr="00931D46">
        <w:rPr>
          <w:rFonts w:ascii="Arial" w:hAnsi="Arial" w:cs="Arial"/>
        </w:rPr>
        <w:t xml:space="preserve"> </w:t>
      </w:r>
      <w:r w:rsidR="00EF6A04" w:rsidRPr="00931D46">
        <w:rPr>
          <w:rFonts w:ascii="Arial" w:hAnsi="Arial" w:cs="Arial"/>
          <w:i/>
        </w:rPr>
        <w:t>triple play</w:t>
      </w:r>
      <w:r w:rsidR="00EF6A04" w:rsidRPr="00931D46">
        <w:rPr>
          <w:rFonts w:ascii="Arial" w:hAnsi="Arial" w:cs="Arial"/>
        </w:rPr>
        <w:t>.</w:t>
      </w:r>
    </w:p>
    <w:p w14:paraId="7B4728DC" w14:textId="77777777" w:rsidR="00EF6A04" w:rsidRPr="00931D46" w:rsidRDefault="00EF6A04" w:rsidP="0023353F">
      <w:pPr>
        <w:spacing w:before="0" w:after="0"/>
        <w:rPr>
          <w:rFonts w:ascii="Arial" w:hAnsi="Arial" w:cs="Arial"/>
        </w:rPr>
      </w:pPr>
    </w:p>
    <w:p w14:paraId="73F784EB" w14:textId="77777777" w:rsidR="00EF6A04" w:rsidRPr="00931D46" w:rsidRDefault="00EF6A04" w:rsidP="0023353F">
      <w:pPr>
        <w:pStyle w:val="Ttulo4"/>
        <w:keepLines w:val="0"/>
        <w:numPr>
          <w:ilvl w:val="3"/>
          <w:numId w:val="3"/>
        </w:numPr>
        <w:spacing w:before="0" w:line="276" w:lineRule="auto"/>
        <w:ind w:left="2268"/>
        <w:jc w:val="both"/>
        <w:rPr>
          <w:rFonts w:ascii="Arial" w:eastAsia="Times New Roman" w:hAnsi="Arial" w:cs="Arial"/>
          <w:b/>
          <w:i w:val="0"/>
          <w:color w:val="auto"/>
          <w:lang w:eastAsia="es-MX"/>
        </w:rPr>
      </w:pPr>
      <w:r w:rsidRPr="00931D46">
        <w:rPr>
          <w:rFonts w:ascii="Arial" w:eastAsia="Times New Roman" w:hAnsi="Arial" w:cs="Arial"/>
          <w:b/>
          <w:i w:val="0"/>
          <w:color w:val="auto"/>
          <w:lang w:eastAsia="es-MX"/>
        </w:rPr>
        <w:t>Reino Unido</w:t>
      </w:r>
      <w:r w:rsidRPr="00931D46">
        <w:rPr>
          <w:rFonts w:ascii="Arial" w:eastAsia="Times New Roman" w:hAnsi="Arial" w:cs="Arial"/>
          <w:b/>
          <w:i w:val="0"/>
          <w:color w:val="auto"/>
          <w:vertAlign w:val="superscript"/>
          <w:lang w:eastAsia="es-MX"/>
        </w:rPr>
        <w:footnoteReference w:id="272"/>
      </w:r>
    </w:p>
    <w:p w14:paraId="79B31517" w14:textId="77777777" w:rsidR="00EF6A04" w:rsidRPr="00931D46" w:rsidRDefault="00EF6A04" w:rsidP="0023353F">
      <w:pPr>
        <w:keepNext/>
        <w:spacing w:before="0" w:after="0"/>
        <w:rPr>
          <w:rFonts w:ascii="Arial" w:hAnsi="Arial" w:cs="Arial"/>
        </w:rPr>
      </w:pPr>
    </w:p>
    <w:p w14:paraId="663D1EF2" w14:textId="0A8431FB" w:rsidR="00EF6A04" w:rsidRPr="00931D46" w:rsidRDefault="00EF6A04" w:rsidP="0023353F">
      <w:pPr>
        <w:spacing w:before="0" w:after="0"/>
        <w:rPr>
          <w:rFonts w:ascii="Arial" w:hAnsi="Arial" w:cs="Arial"/>
        </w:rPr>
      </w:pPr>
      <w:r w:rsidRPr="00931D46">
        <w:rPr>
          <w:rFonts w:ascii="Arial" w:hAnsi="Arial" w:cs="Arial"/>
        </w:rPr>
        <w:t xml:space="preserve">En el análisis de la </w:t>
      </w:r>
      <w:r w:rsidR="00E46251" w:rsidRPr="00931D46">
        <w:rPr>
          <w:rFonts w:ascii="Arial" w:hAnsi="Arial" w:cs="Arial"/>
        </w:rPr>
        <w:t xml:space="preserve">concentración </w:t>
      </w:r>
      <w:r w:rsidRPr="00931D46">
        <w:rPr>
          <w:rFonts w:ascii="Arial" w:hAnsi="Arial" w:cs="Arial"/>
        </w:rPr>
        <w:t xml:space="preserve">entre BT Group plc y EE Limited, la CMA determinó que los paquetes </w:t>
      </w:r>
      <w:r w:rsidR="00982466" w:rsidRPr="00931D46">
        <w:rPr>
          <w:rFonts w:ascii="Arial" w:hAnsi="Arial" w:cs="Arial"/>
        </w:rPr>
        <w:t xml:space="preserve">que incluyen </w:t>
      </w:r>
      <w:r w:rsidRPr="00931D46">
        <w:rPr>
          <w:rFonts w:ascii="Arial" w:hAnsi="Arial" w:cs="Arial"/>
        </w:rPr>
        <w:t>servicios</w:t>
      </w:r>
      <w:r w:rsidR="00982466" w:rsidRPr="00931D46">
        <w:rPr>
          <w:rFonts w:ascii="Arial" w:hAnsi="Arial" w:cs="Arial"/>
        </w:rPr>
        <w:t xml:space="preserve"> de telecomunicaciones</w:t>
      </w:r>
      <w:r w:rsidRPr="00931D46">
        <w:rPr>
          <w:rFonts w:ascii="Arial" w:hAnsi="Arial" w:cs="Arial"/>
        </w:rPr>
        <w:t xml:space="preserve"> fijos y móviles no constitu</w:t>
      </w:r>
      <w:r w:rsidR="00982466" w:rsidRPr="00931D46">
        <w:rPr>
          <w:rFonts w:ascii="Arial" w:hAnsi="Arial" w:cs="Arial"/>
        </w:rPr>
        <w:t>ye</w:t>
      </w:r>
      <w:r w:rsidRPr="00931D46">
        <w:rPr>
          <w:rFonts w:ascii="Arial" w:hAnsi="Arial" w:cs="Arial"/>
        </w:rPr>
        <w:t xml:space="preserve">n un MR. </w:t>
      </w:r>
      <w:r w:rsidR="009A0D03">
        <w:rPr>
          <w:rFonts w:ascii="Arial" w:hAnsi="Arial" w:cs="Arial"/>
        </w:rPr>
        <w:t>Para ello, l</w:t>
      </w:r>
      <w:r w:rsidRPr="00931D46">
        <w:rPr>
          <w:rFonts w:ascii="Arial" w:hAnsi="Arial" w:cs="Arial"/>
        </w:rPr>
        <w:t>a CMA evaluó si, en respuesta a un SSNIP o una degradación equivalente de la calidad para paquetes</w:t>
      </w:r>
      <w:r w:rsidR="00982466" w:rsidRPr="00931D46">
        <w:rPr>
          <w:rFonts w:ascii="Arial" w:hAnsi="Arial" w:cs="Arial"/>
        </w:rPr>
        <w:t>,</w:t>
      </w:r>
      <w:r w:rsidRPr="00931D46">
        <w:rPr>
          <w:rFonts w:ascii="Arial" w:hAnsi="Arial" w:cs="Arial"/>
        </w:rPr>
        <w:t xml:space="preserve"> pero no para componentes individuales, los clientes actuales y potenciales cambiarían a </w:t>
      </w:r>
      <w:r w:rsidR="00330363">
        <w:rPr>
          <w:rFonts w:ascii="Arial" w:hAnsi="Arial" w:cs="Arial"/>
        </w:rPr>
        <w:t>productos</w:t>
      </w:r>
      <w:r w:rsidRPr="00931D46">
        <w:rPr>
          <w:rFonts w:ascii="Arial" w:hAnsi="Arial" w:cs="Arial"/>
        </w:rPr>
        <w:t xml:space="preserve"> </w:t>
      </w:r>
      <w:r w:rsidR="00982466" w:rsidRPr="00931D46">
        <w:rPr>
          <w:rFonts w:ascii="Arial" w:hAnsi="Arial" w:cs="Arial"/>
        </w:rPr>
        <w:t xml:space="preserve">individuales </w:t>
      </w:r>
      <w:r w:rsidRPr="00931D46">
        <w:rPr>
          <w:rFonts w:ascii="Arial" w:hAnsi="Arial" w:cs="Arial"/>
        </w:rPr>
        <w:t xml:space="preserve">en </w:t>
      </w:r>
      <w:r w:rsidR="00982466" w:rsidRPr="00931D46">
        <w:rPr>
          <w:rFonts w:ascii="Arial" w:hAnsi="Arial" w:cs="Arial"/>
        </w:rPr>
        <w:t xml:space="preserve">una proporción </w:t>
      </w:r>
      <w:r w:rsidRPr="00931D46">
        <w:rPr>
          <w:rFonts w:ascii="Arial" w:hAnsi="Arial" w:cs="Arial"/>
        </w:rPr>
        <w:t xml:space="preserve">suficiente para que el aumento de precios no sea rentable. Además, en su </w:t>
      </w:r>
      <w:r w:rsidR="00982466" w:rsidRPr="00931D46">
        <w:rPr>
          <w:rFonts w:ascii="Arial" w:hAnsi="Arial" w:cs="Arial"/>
        </w:rPr>
        <w:t xml:space="preserve">conclusión </w:t>
      </w:r>
      <w:r w:rsidRPr="00931D46">
        <w:rPr>
          <w:rFonts w:ascii="Arial" w:hAnsi="Arial" w:cs="Arial"/>
        </w:rPr>
        <w:t>refirió lo siguiente:</w:t>
      </w:r>
    </w:p>
    <w:p w14:paraId="51D9130A" w14:textId="77777777" w:rsidR="0023353F" w:rsidRPr="00931D46" w:rsidRDefault="0023353F" w:rsidP="0023353F">
      <w:pPr>
        <w:spacing w:before="0" w:after="0"/>
        <w:rPr>
          <w:rFonts w:ascii="Arial" w:hAnsi="Arial" w:cs="Arial"/>
        </w:rPr>
      </w:pPr>
    </w:p>
    <w:p w14:paraId="0FBC3A68" w14:textId="77777777" w:rsidR="00EF6A04" w:rsidRPr="00931D46" w:rsidRDefault="00EF6A04" w:rsidP="009A0D03">
      <w:pPr>
        <w:pStyle w:val="Prrafodelista"/>
        <w:numPr>
          <w:ilvl w:val="0"/>
          <w:numId w:val="31"/>
        </w:numPr>
        <w:spacing w:before="0" w:after="0"/>
        <w:ind w:left="714" w:hanging="572"/>
        <w:contextualSpacing w:val="0"/>
        <w:rPr>
          <w:rFonts w:ascii="Arial" w:hAnsi="Arial" w:cs="Arial"/>
        </w:rPr>
      </w:pPr>
      <w:r w:rsidRPr="00931D46">
        <w:rPr>
          <w:rFonts w:ascii="Arial" w:hAnsi="Arial" w:cs="Arial"/>
        </w:rPr>
        <w:t>Los paquetes de servicios fijos y móviles no han sido adoptados ampliamente en Reino Unido (</w:t>
      </w:r>
      <w:r w:rsidR="00982466" w:rsidRPr="00931D46">
        <w:rPr>
          <w:rFonts w:ascii="Arial" w:hAnsi="Arial" w:cs="Arial"/>
        </w:rPr>
        <w:t xml:space="preserve">menos de 10% de usuarios </w:t>
      </w:r>
      <w:r w:rsidR="00117AB7" w:rsidRPr="00931D46">
        <w:rPr>
          <w:rFonts w:ascii="Arial" w:hAnsi="Arial" w:cs="Arial"/>
        </w:rPr>
        <w:t>co</w:t>
      </w:r>
      <w:r w:rsidR="008A362C" w:rsidRPr="00931D46">
        <w:rPr>
          <w:rFonts w:ascii="Arial" w:hAnsi="Arial" w:cs="Arial"/>
        </w:rPr>
        <w:t>ntrata</w:t>
      </w:r>
      <w:r w:rsidR="00F3765E" w:rsidRPr="00931D46">
        <w:rPr>
          <w:rFonts w:ascii="Arial" w:hAnsi="Arial" w:cs="Arial"/>
        </w:rPr>
        <w:t>n</w:t>
      </w:r>
      <w:r w:rsidR="00117AB7" w:rsidRPr="00931D46">
        <w:rPr>
          <w:rFonts w:ascii="Arial" w:hAnsi="Arial" w:cs="Arial"/>
        </w:rPr>
        <w:t xml:space="preserve"> </w:t>
      </w:r>
      <w:r w:rsidRPr="00931D46">
        <w:rPr>
          <w:rFonts w:ascii="Arial" w:hAnsi="Arial" w:cs="Arial"/>
        </w:rPr>
        <w:t>servicios fijos y móviles con un mismo proveedor).</w:t>
      </w:r>
    </w:p>
    <w:p w14:paraId="43195E1B" w14:textId="77777777" w:rsidR="00EF6A04" w:rsidRPr="00931D46" w:rsidRDefault="00EF6A04" w:rsidP="009A0D03">
      <w:pPr>
        <w:pStyle w:val="Prrafodelista"/>
        <w:numPr>
          <w:ilvl w:val="0"/>
          <w:numId w:val="31"/>
        </w:numPr>
        <w:spacing w:before="0" w:after="0"/>
        <w:ind w:hanging="572"/>
        <w:contextualSpacing w:val="0"/>
        <w:rPr>
          <w:rFonts w:ascii="Arial" w:hAnsi="Arial" w:cs="Arial"/>
        </w:rPr>
      </w:pPr>
      <w:r w:rsidRPr="00931D46">
        <w:rPr>
          <w:rFonts w:ascii="Arial" w:hAnsi="Arial" w:cs="Arial"/>
        </w:rPr>
        <w:t xml:space="preserve">Otras autoridades han dejado abierta la cuestión sobre si los paquetes forman parte de un MR separado. En particular, en 2015, la CE dejó abierta la cuestión sobre si </w:t>
      </w:r>
      <w:r w:rsidR="00C86AB0" w:rsidRPr="00931D46">
        <w:rPr>
          <w:rFonts w:ascii="Arial" w:hAnsi="Arial" w:cs="Arial"/>
        </w:rPr>
        <w:t xml:space="preserve">los paquetes </w:t>
      </w:r>
      <w:r w:rsidRPr="00931D46">
        <w:rPr>
          <w:rFonts w:ascii="Arial" w:hAnsi="Arial" w:cs="Arial"/>
        </w:rPr>
        <w:t>de servicios fijos y móviles const</w:t>
      </w:r>
      <w:r w:rsidR="00C86AB0" w:rsidRPr="00931D46">
        <w:rPr>
          <w:rFonts w:ascii="Arial" w:hAnsi="Arial" w:cs="Arial"/>
        </w:rPr>
        <w:t>it</w:t>
      </w:r>
      <w:r w:rsidRPr="00931D46">
        <w:rPr>
          <w:rFonts w:ascii="Arial" w:hAnsi="Arial" w:cs="Arial"/>
        </w:rPr>
        <w:t>uían un MR en España, país con la mayor adopción de paquetes en Europa.</w:t>
      </w:r>
    </w:p>
    <w:p w14:paraId="3F3BFFBC" w14:textId="77777777" w:rsidR="00EF6A04" w:rsidRPr="00931D46" w:rsidRDefault="00C86AB0" w:rsidP="009A0D03">
      <w:pPr>
        <w:pStyle w:val="Prrafodelista"/>
        <w:numPr>
          <w:ilvl w:val="0"/>
          <w:numId w:val="31"/>
        </w:numPr>
        <w:spacing w:before="0" w:after="0"/>
        <w:ind w:hanging="572"/>
        <w:contextualSpacing w:val="0"/>
        <w:rPr>
          <w:rFonts w:ascii="Arial" w:hAnsi="Arial" w:cs="Arial"/>
        </w:rPr>
      </w:pPr>
      <w:r w:rsidRPr="00931D46">
        <w:rPr>
          <w:rFonts w:ascii="Arial" w:hAnsi="Arial" w:cs="Arial"/>
        </w:rPr>
        <w:t xml:space="preserve">La </w:t>
      </w:r>
      <w:r w:rsidR="00EF6A04" w:rsidRPr="00931D46">
        <w:rPr>
          <w:rFonts w:ascii="Arial" w:hAnsi="Arial" w:cs="Arial"/>
        </w:rPr>
        <w:t>sustitución</w:t>
      </w:r>
      <w:r w:rsidR="00016485" w:rsidRPr="00931D46">
        <w:rPr>
          <w:rFonts w:ascii="Arial" w:hAnsi="Arial" w:cs="Arial"/>
        </w:rPr>
        <w:t xml:space="preserve"> de la demanda</w:t>
      </w:r>
      <w:r w:rsidR="00EF6A04" w:rsidRPr="00931D46">
        <w:rPr>
          <w:rFonts w:ascii="Arial" w:hAnsi="Arial" w:cs="Arial"/>
        </w:rPr>
        <w:t xml:space="preserve"> entre </w:t>
      </w:r>
      <w:r w:rsidRPr="00931D46">
        <w:rPr>
          <w:rFonts w:ascii="Arial" w:hAnsi="Arial" w:cs="Arial"/>
        </w:rPr>
        <w:t xml:space="preserve">paquetes </w:t>
      </w:r>
      <w:r w:rsidR="00EF6A04" w:rsidRPr="00931D46">
        <w:rPr>
          <w:rFonts w:ascii="Arial" w:hAnsi="Arial" w:cs="Arial"/>
        </w:rPr>
        <w:t xml:space="preserve">y </w:t>
      </w:r>
      <w:r w:rsidRPr="00931D46">
        <w:rPr>
          <w:rFonts w:ascii="Arial" w:hAnsi="Arial" w:cs="Arial"/>
        </w:rPr>
        <w:t xml:space="preserve">servicios individuales </w:t>
      </w:r>
      <w:r w:rsidR="00EF6A04" w:rsidRPr="00931D46">
        <w:rPr>
          <w:rFonts w:ascii="Arial" w:hAnsi="Arial" w:cs="Arial"/>
        </w:rPr>
        <w:t xml:space="preserve">podría ser más débil si las ofertas difieren significativamente en precio o calidad, o si existen barreras contractuales o de otro tipo para </w:t>
      </w:r>
      <w:r w:rsidRPr="00931D46">
        <w:rPr>
          <w:rFonts w:ascii="Arial" w:hAnsi="Arial" w:cs="Arial"/>
        </w:rPr>
        <w:t>el cambio de los usuarios de un servicio a otro</w:t>
      </w:r>
      <w:r w:rsidR="00EF6A04" w:rsidRPr="00931D46">
        <w:rPr>
          <w:rFonts w:ascii="Arial" w:hAnsi="Arial" w:cs="Arial"/>
        </w:rPr>
        <w:t>.</w:t>
      </w:r>
    </w:p>
    <w:p w14:paraId="171E2923" w14:textId="2475530D" w:rsidR="00D01BA8" w:rsidRPr="009A0D03" w:rsidRDefault="00D01BA8" w:rsidP="009A0D03">
      <w:pPr>
        <w:shd w:val="clear" w:color="auto" w:fill="FFFFFF" w:themeFill="background1"/>
        <w:spacing w:before="0" w:after="0"/>
        <w:rPr>
          <w:rFonts w:ascii="Arial" w:hAnsi="Arial" w:cs="Arial"/>
        </w:rPr>
      </w:pPr>
    </w:p>
    <w:sectPr w:rsidR="00D01BA8" w:rsidRPr="009A0D03" w:rsidSect="005A77DB">
      <w:headerReference w:type="even" r:id="rId11"/>
      <w:headerReference w:type="default" r:id="rId12"/>
      <w:footerReference w:type="default" r:id="rId13"/>
      <w:headerReference w:type="first" r:id="rId14"/>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15F49" w14:textId="77777777" w:rsidR="0040239C" w:rsidRDefault="0040239C" w:rsidP="00442F1E">
      <w:pPr>
        <w:spacing w:after="0" w:line="240" w:lineRule="auto"/>
      </w:pPr>
      <w:r>
        <w:separator/>
      </w:r>
    </w:p>
  </w:endnote>
  <w:endnote w:type="continuationSeparator" w:id="0">
    <w:p w14:paraId="2ABE0E3C" w14:textId="77777777" w:rsidR="0040239C" w:rsidRDefault="0040239C" w:rsidP="00442F1E">
      <w:pPr>
        <w:spacing w:after="0" w:line="240" w:lineRule="auto"/>
      </w:pPr>
      <w:r>
        <w:continuationSeparator/>
      </w:r>
    </w:p>
  </w:endnote>
  <w:endnote w:type="continuationNotice" w:id="1">
    <w:p w14:paraId="00C15813" w14:textId="77777777" w:rsidR="0040239C" w:rsidRDefault="004023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imesNewRomanPS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6705773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62DB217" w14:textId="0523C672" w:rsidR="007E0735" w:rsidRPr="001D25C9" w:rsidRDefault="007E0735" w:rsidP="00C72BC5">
            <w:pPr>
              <w:pStyle w:val="Piedepgina"/>
              <w:jc w:val="right"/>
              <w:rPr>
                <w:rFonts w:ascii="Arial" w:hAnsi="Arial" w:cs="Arial"/>
              </w:rPr>
            </w:pPr>
            <w:r w:rsidRPr="00C72BC5">
              <w:rPr>
                <w:rFonts w:ascii="Arial" w:hAnsi="Arial" w:cs="Arial"/>
                <w:sz w:val="18"/>
                <w:lang w:val="es-ES"/>
              </w:rPr>
              <w:t xml:space="preserve">Página </w:t>
            </w:r>
            <w:r w:rsidRPr="00C72BC5">
              <w:rPr>
                <w:rFonts w:ascii="Arial" w:hAnsi="Arial" w:cs="Arial"/>
                <w:bCs/>
                <w:sz w:val="18"/>
              </w:rPr>
              <w:fldChar w:fldCharType="begin"/>
            </w:r>
            <w:r w:rsidRPr="00C72BC5">
              <w:rPr>
                <w:rFonts w:ascii="Arial" w:hAnsi="Arial" w:cs="Arial"/>
                <w:bCs/>
                <w:sz w:val="18"/>
              </w:rPr>
              <w:instrText>PAGE</w:instrText>
            </w:r>
            <w:r w:rsidRPr="00C72BC5">
              <w:rPr>
                <w:rFonts w:ascii="Arial" w:hAnsi="Arial" w:cs="Arial"/>
                <w:bCs/>
                <w:sz w:val="18"/>
              </w:rPr>
              <w:fldChar w:fldCharType="separate"/>
            </w:r>
            <w:r w:rsidR="004A79FF">
              <w:rPr>
                <w:rFonts w:ascii="Arial" w:hAnsi="Arial" w:cs="Arial"/>
                <w:bCs/>
                <w:noProof/>
                <w:sz w:val="18"/>
              </w:rPr>
              <w:t>1</w:t>
            </w:r>
            <w:r w:rsidRPr="00C72BC5">
              <w:rPr>
                <w:rFonts w:ascii="Arial" w:hAnsi="Arial" w:cs="Arial"/>
                <w:bCs/>
                <w:sz w:val="18"/>
              </w:rPr>
              <w:fldChar w:fldCharType="end"/>
            </w:r>
            <w:r w:rsidRPr="00C72BC5">
              <w:rPr>
                <w:rFonts w:ascii="Arial" w:hAnsi="Arial" w:cs="Arial"/>
                <w:sz w:val="18"/>
                <w:lang w:val="es-ES"/>
              </w:rPr>
              <w:t xml:space="preserve"> de </w:t>
            </w:r>
            <w:r w:rsidRPr="00C72BC5">
              <w:rPr>
                <w:rFonts w:ascii="Arial" w:hAnsi="Arial" w:cs="Arial"/>
                <w:bCs/>
                <w:sz w:val="18"/>
              </w:rPr>
              <w:fldChar w:fldCharType="begin"/>
            </w:r>
            <w:r w:rsidRPr="00C72BC5">
              <w:rPr>
                <w:rFonts w:ascii="Arial" w:hAnsi="Arial" w:cs="Arial"/>
                <w:bCs/>
                <w:sz w:val="18"/>
              </w:rPr>
              <w:instrText>NUMPAGES</w:instrText>
            </w:r>
            <w:r w:rsidRPr="00C72BC5">
              <w:rPr>
                <w:rFonts w:ascii="Arial" w:hAnsi="Arial" w:cs="Arial"/>
                <w:bCs/>
                <w:sz w:val="18"/>
              </w:rPr>
              <w:fldChar w:fldCharType="separate"/>
            </w:r>
            <w:r w:rsidR="004A79FF">
              <w:rPr>
                <w:rFonts w:ascii="Arial" w:hAnsi="Arial" w:cs="Arial"/>
                <w:bCs/>
                <w:noProof/>
                <w:sz w:val="18"/>
              </w:rPr>
              <w:t>81</w:t>
            </w:r>
            <w:r w:rsidRPr="00C72BC5">
              <w:rPr>
                <w:rFonts w:ascii="Arial" w:hAnsi="Arial" w:cs="Arial"/>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5859" w14:textId="77777777" w:rsidR="0040239C" w:rsidRDefault="0040239C" w:rsidP="00442F1E">
      <w:pPr>
        <w:spacing w:after="0" w:line="240" w:lineRule="auto"/>
      </w:pPr>
      <w:r>
        <w:separator/>
      </w:r>
    </w:p>
  </w:footnote>
  <w:footnote w:type="continuationSeparator" w:id="0">
    <w:p w14:paraId="71946095" w14:textId="77777777" w:rsidR="0040239C" w:rsidRDefault="0040239C" w:rsidP="00442F1E">
      <w:pPr>
        <w:spacing w:after="0" w:line="240" w:lineRule="auto"/>
      </w:pPr>
      <w:r>
        <w:continuationSeparator/>
      </w:r>
    </w:p>
  </w:footnote>
  <w:footnote w:type="continuationNotice" w:id="1">
    <w:p w14:paraId="0CACBF4E" w14:textId="77777777" w:rsidR="0040239C" w:rsidRDefault="0040239C">
      <w:pPr>
        <w:spacing w:before="0" w:after="0" w:line="240" w:lineRule="auto"/>
      </w:pPr>
    </w:p>
  </w:footnote>
  <w:footnote w:id="2">
    <w:p w14:paraId="70CE4AD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Los términos y acrónimos presentados tienen el único objeto de facilitar la lectura y su aplicación se limita a este documento. La agrupación de empresas y personas en este documento no prejuzga sobre la dimensión e integrantes de Agentes Económicos en decisiones o resoluciones emitidas por el Instituto.</w:t>
      </w:r>
    </w:p>
  </w:footnote>
  <w:footnote w:id="3">
    <w:p w14:paraId="351B1CA9" w14:textId="77777777" w:rsidR="007E0735" w:rsidRPr="00A73501" w:rsidRDefault="007E0735" w:rsidP="00A73501">
      <w:pPr>
        <w:pStyle w:val="NotaPie"/>
        <w:rPr>
          <w:lang w:val="es-ES"/>
        </w:rPr>
      </w:pPr>
      <w:r w:rsidRPr="00A73501">
        <w:rPr>
          <w:rStyle w:val="Refdenotaalpie"/>
        </w:rPr>
        <w:footnoteRef/>
      </w:r>
      <w:r w:rsidRPr="00A73501">
        <w:t xml:space="preserve"> </w:t>
      </w:r>
      <w:r w:rsidRPr="00A73501">
        <w:rPr>
          <w:lang w:val="es-ES"/>
        </w:rPr>
        <w:t xml:space="preserve">Disponible en: </w:t>
      </w:r>
      <w:hyperlink r:id="rId1" w:history="1">
        <w:r w:rsidRPr="00A73501">
          <w:rPr>
            <w:rStyle w:val="Hipervnculo"/>
            <w:lang w:val="es-ES"/>
          </w:rPr>
          <w:t>http://www.dof.gob.mx/nota_detalle.php?codigo=5432595&amp;fecha=11/04/2016</w:t>
        </w:r>
      </w:hyperlink>
    </w:p>
  </w:footnote>
  <w:footnote w:id="4">
    <w:p w14:paraId="6C275C8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Disponible en: </w:t>
      </w:r>
      <w:hyperlink r:id="rId2" w:history="1">
        <w:r w:rsidRPr="00A73501">
          <w:rPr>
            <w:rStyle w:val="Hipervnculo"/>
            <w:rFonts w:ascii="Arial" w:hAnsi="Arial" w:cs="Arial"/>
            <w:sz w:val="14"/>
            <w:szCs w:val="14"/>
          </w:rPr>
          <w:t>http://www.ift.org.mx/sites/default/files/industria/temasrelevantes/9195/documentos/pift280617368.pdf</w:t>
        </w:r>
      </w:hyperlink>
    </w:p>
  </w:footnote>
  <w:footnote w:id="5">
    <w:p w14:paraId="3E45CD58" w14:textId="0EFA1BDF"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Motta, M. (2004). </w:t>
      </w:r>
      <w:r w:rsidRPr="00A73501">
        <w:rPr>
          <w:rFonts w:ascii="Arial" w:hAnsi="Arial" w:cs="Arial"/>
          <w:i/>
          <w:sz w:val="14"/>
          <w:szCs w:val="14"/>
          <w:lang w:val="fr-FR"/>
        </w:rPr>
        <w:t xml:space="preserve">Competition Policy. </w:t>
      </w:r>
      <w:r w:rsidRPr="00A73501">
        <w:rPr>
          <w:rFonts w:ascii="Arial" w:hAnsi="Arial" w:cs="Arial"/>
          <w:i/>
          <w:sz w:val="14"/>
          <w:szCs w:val="14"/>
          <w:lang w:val="en-GB"/>
        </w:rPr>
        <w:t>Theory and Practice</w:t>
      </w:r>
      <w:r w:rsidRPr="00A73501">
        <w:rPr>
          <w:rFonts w:ascii="Arial" w:hAnsi="Arial" w:cs="Arial"/>
          <w:sz w:val="14"/>
          <w:szCs w:val="14"/>
          <w:lang w:val="en-GB"/>
        </w:rPr>
        <w:t xml:space="preserve">, capítulo 3, pp. 1, 2. </w:t>
      </w:r>
      <w:r w:rsidRPr="00A73501">
        <w:rPr>
          <w:rFonts w:ascii="Arial" w:hAnsi="Arial" w:cs="Arial"/>
          <w:sz w:val="14"/>
          <w:szCs w:val="14"/>
        </w:rPr>
        <w:t>Cambridge University Press.</w:t>
      </w:r>
    </w:p>
  </w:footnote>
  <w:footnote w:id="6">
    <w:p w14:paraId="16E370CA" w14:textId="757F081A" w:rsidR="007E0735" w:rsidRPr="00A73501" w:rsidRDefault="007E0735" w:rsidP="00A73501">
      <w:pPr>
        <w:pStyle w:val="Notaalpie"/>
      </w:pPr>
      <w:r w:rsidRPr="00A73501">
        <w:rPr>
          <w:rStyle w:val="Refdenotaalpie"/>
        </w:rPr>
        <w:footnoteRef/>
      </w:r>
      <w:r w:rsidRPr="00A73501">
        <w:t xml:space="preserve"> SCJN (2008). </w:t>
      </w:r>
      <w:r w:rsidRPr="00A73501">
        <w:rPr>
          <w:i/>
        </w:rPr>
        <w:t>Mercado Relevante. Su Concepto en Materia de Competencia Económica</w:t>
      </w:r>
      <w:r w:rsidRPr="00A73501">
        <w:t>. Tesis I.4o.A. J/75. Tribunales Colegiados de Circuito. Semanario Judicial de la Federación y su Gaceta. Tomo XXVIII, octubre de 2008. Novena Época. Pág. 2225.</w:t>
      </w:r>
    </w:p>
  </w:footnote>
  <w:footnote w:id="7">
    <w:p w14:paraId="2E6AC00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Disponible en </w:t>
      </w:r>
      <w:hyperlink r:id="rId3" w:history="1">
        <w:r w:rsidRPr="00A73501">
          <w:rPr>
            <w:rStyle w:val="Hipervnculo"/>
            <w:rFonts w:ascii="Arial" w:hAnsi="Arial" w:cs="Arial"/>
            <w:sz w:val="14"/>
            <w:szCs w:val="14"/>
          </w:rPr>
          <w:t>https://eur-lex.europa.eu/legal-content/ES/TXT/PDF/?uri=CELEX:31997Y1209(01)&amp;from=EN</w:t>
        </w:r>
      </w:hyperlink>
    </w:p>
  </w:footnote>
  <w:footnote w:id="8">
    <w:p w14:paraId="505509A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DOJ y FTC (2010). </w:t>
      </w:r>
      <w:r w:rsidRPr="00A73501">
        <w:rPr>
          <w:rFonts w:ascii="Arial" w:hAnsi="Arial" w:cs="Arial"/>
          <w:i/>
          <w:sz w:val="14"/>
          <w:szCs w:val="14"/>
        </w:rPr>
        <w:t>Horizontal Merger Guidelines</w:t>
      </w:r>
      <w:r w:rsidRPr="00A73501">
        <w:rPr>
          <w:rFonts w:ascii="Arial" w:hAnsi="Arial" w:cs="Arial"/>
          <w:sz w:val="14"/>
          <w:szCs w:val="14"/>
        </w:rPr>
        <w:t xml:space="preserve">. Disponible en </w:t>
      </w:r>
      <w:hyperlink r:id="rId4" w:history="1">
        <w:r w:rsidRPr="00A73501">
          <w:rPr>
            <w:rStyle w:val="Hipervnculo"/>
            <w:rFonts w:ascii="Arial" w:hAnsi="Arial" w:cs="Arial"/>
            <w:sz w:val="14"/>
            <w:szCs w:val="14"/>
          </w:rPr>
          <w:t>https://www.ftc.gov/sites/default/files/attachments/merger-review/100819hmg.pdf</w:t>
        </w:r>
      </w:hyperlink>
      <w:hyperlink r:id="rId5" w:history="1"/>
    </w:p>
  </w:footnote>
  <w:footnote w:id="9">
    <w:p w14:paraId="695F5DD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(2010). </w:t>
      </w:r>
      <w:r w:rsidRPr="00A73501">
        <w:rPr>
          <w:rFonts w:ascii="Arial" w:hAnsi="Arial" w:cs="Arial"/>
          <w:i/>
          <w:sz w:val="14"/>
          <w:szCs w:val="14"/>
          <w:lang w:val="en-US"/>
        </w:rPr>
        <w:t>Merger Assessment Guidelines.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6" w:history="1">
        <w:r w:rsidRPr="00A73501">
          <w:rPr>
            <w:rStyle w:val="Hipervnculo"/>
            <w:rFonts w:ascii="Arial" w:hAnsi="Arial" w:cs="Arial"/>
            <w:sz w:val="14"/>
            <w:szCs w:val="14"/>
          </w:rPr>
          <w:t>https://assets.publishing.service.gov.uk/government/uploads/system/uploads/attachment_data/file/284449/OFT1254.pdf</w:t>
        </w:r>
      </w:hyperlink>
    </w:p>
  </w:footnote>
  <w:footnote w:id="10">
    <w:p w14:paraId="0A9F368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 guía señala que cuando los proveedores pueden discriminar en precios, el mercado puede definirse por grupo de consumidores a los que se les ofrecen diferentes términos y condiciones. Además, cuando diferentes proveedores pueden satisfacer las necesidades de los clientes en diferentes momentos, el MR puede tener una dimensión temporal.</w:t>
      </w:r>
    </w:p>
  </w:footnote>
  <w:footnote w:id="11">
    <w:p w14:paraId="18FCA354"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CBC (2011). </w:t>
      </w:r>
      <w:r w:rsidRPr="00A73501">
        <w:rPr>
          <w:rFonts w:ascii="Arial" w:hAnsi="Arial" w:cs="Arial"/>
          <w:i/>
          <w:sz w:val="14"/>
          <w:szCs w:val="14"/>
          <w:lang w:val="fr-FR"/>
        </w:rPr>
        <w:t>Merger Enforcement Guidelines.</w:t>
      </w:r>
      <w:r w:rsidRPr="00A73501">
        <w:rPr>
          <w:rFonts w:ascii="Arial" w:hAnsi="Arial" w:cs="Arial"/>
          <w:sz w:val="14"/>
          <w:szCs w:val="14"/>
          <w:lang w:val="fr-FR"/>
        </w:rPr>
        <w:t xml:space="preserve"> Disponible en: </w:t>
      </w:r>
      <w:hyperlink r:id="rId7" w:history="1">
        <w:r w:rsidRPr="00A73501">
          <w:rPr>
            <w:rStyle w:val="Hipervnculo"/>
            <w:rFonts w:ascii="Arial" w:hAnsi="Arial" w:cs="Arial"/>
            <w:sz w:val="14"/>
            <w:szCs w:val="14"/>
            <w:lang w:val="fr-FR"/>
          </w:rPr>
          <w:t>https://www.competitionbureau.gc.ca/eic/site/cb-bc.nsf/vwapj/cb-meg-2011-e.pdf/$FILE/cb-meg-2011-e.pdf</w:t>
        </w:r>
      </w:hyperlink>
    </w:p>
  </w:footnote>
  <w:footnote w:id="12">
    <w:p w14:paraId="2F129AC5"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ACCC (2008). </w:t>
      </w:r>
      <w:r w:rsidRPr="00A73501">
        <w:rPr>
          <w:rFonts w:ascii="Arial" w:hAnsi="Arial" w:cs="Arial"/>
          <w:i/>
          <w:sz w:val="14"/>
          <w:szCs w:val="14"/>
        </w:rPr>
        <w:t xml:space="preserve">Merger Guidelines </w:t>
      </w:r>
      <w:r w:rsidRPr="00A73501">
        <w:rPr>
          <w:rFonts w:ascii="Arial" w:hAnsi="Arial" w:cs="Arial"/>
          <w:color w:val="000000"/>
          <w:sz w:val="14"/>
          <w:szCs w:val="14"/>
          <w:shd w:val="clear" w:color="auto" w:fill="FFFFFF"/>
        </w:rPr>
        <w:t>(actualización 2017)</w:t>
      </w:r>
      <w:r w:rsidRPr="00A73501">
        <w:rPr>
          <w:rFonts w:ascii="Arial" w:hAnsi="Arial" w:cs="Arial"/>
          <w:sz w:val="14"/>
          <w:szCs w:val="14"/>
        </w:rPr>
        <w:t xml:space="preserve">. Disponible en: </w:t>
      </w:r>
      <w:hyperlink r:id="rId8" w:history="1">
        <w:r w:rsidRPr="00A73501">
          <w:rPr>
            <w:rStyle w:val="Hipervnculo"/>
            <w:rFonts w:ascii="Arial" w:hAnsi="Arial" w:cs="Arial"/>
            <w:sz w:val="14"/>
            <w:szCs w:val="14"/>
          </w:rPr>
          <w:t>https://www.accc.gov.au/system/files/Merger%20guidelines%20-%20Final.PDF</w:t>
        </w:r>
      </w:hyperlink>
    </w:p>
  </w:footnote>
  <w:footnote w:id="13">
    <w:p w14:paraId="77C83574" w14:textId="4A08ADDA"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w:t>
      </w:r>
      <w:r>
        <w:rPr>
          <w:rFonts w:ascii="Arial" w:hAnsi="Arial" w:cs="Arial"/>
          <w:sz w:val="14"/>
          <w:szCs w:val="14"/>
          <w:lang w:val="en-US"/>
        </w:rPr>
        <w:t>CE</w:t>
      </w:r>
      <w:r w:rsidRPr="00A73501">
        <w:rPr>
          <w:rFonts w:ascii="Arial" w:hAnsi="Arial" w:cs="Arial"/>
          <w:sz w:val="14"/>
          <w:szCs w:val="14"/>
          <w:lang w:val="en-US"/>
        </w:rPr>
        <w:t xml:space="preserve"> (2012). </w:t>
      </w:r>
      <w:r w:rsidRPr="00A73501">
        <w:rPr>
          <w:rFonts w:ascii="Arial" w:hAnsi="Arial" w:cs="Arial"/>
          <w:i/>
          <w:sz w:val="14"/>
          <w:szCs w:val="14"/>
          <w:lang w:val="en-US"/>
        </w:rPr>
        <w:t>Roundtable on market definition. Note by the delegation of the European Union</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9" w:history="1">
        <w:r w:rsidRPr="00A73501">
          <w:rPr>
            <w:rStyle w:val="Hipervnculo"/>
            <w:rFonts w:ascii="Arial" w:hAnsi="Arial" w:cs="Arial"/>
            <w:sz w:val="14"/>
            <w:szCs w:val="14"/>
          </w:rPr>
          <w:t>https://ec.europa.eu/competition/international/multilateral/2012_jun_market_definition_en.pdf</w:t>
        </w:r>
      </w:hyperlink>
    </w:p>
  </w:footnote>
  <w:footnote w:id="14">
    <w:p w14:paraId="56B7A4B1" w14:textId="77777777" w:rsidR="007E0735" w:rsidRPr="00A73501" w:rsidRDefault="007E0735" w:rsidP="00A73501">
      <w:pPr>
        <w:autoSpaceDE w:val="0"/>
        <w:autoSpaceDN w:val="0"/>
        <w:adjustRightInd w:val="0"/>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 autoridad de competencia de Canadá apunta que el MR que se analiza para investigar efectos en materia de competencia, podría no corresponder a las categorías de productos o zonas de servicio establecidas por las empresas para efectos de su operación. CBC (2011). </w:t>
      </w:r>
      <w:r w:rsidRPr="00A73501">
        <w:rPr>
          <w:rFonts w:ascii="Arial" w:hAnsi="Arial" w:cs="Arial"/>
          <w:i/>
          <w:sz w:val="14"/>
          <w:szCs w:val="14"/>
        </w:rPr>
        <w:t>Merger Enforcement Guidelines</w:t>
      </w:r>
      <w:r w:rsidRPr="00A73501">
        <w:rPr>
          <w:rFonts w:ascii="Arial" w:hAnsi="Arial" w:cs="Arial"/>
          <w:sz w:val="14"/>
          <w:szCs w:val="14"/>
        </w:rPr>
        <w:t xml:space="preserve">. p.11. </w:t>
      </w:r>
    </w:p>
    <w:p w14:paraId="5E35F663" w14:textId="77777777" w:rsidR="007E0735" w:rsidRPr="00A73501" w:rsidRDefault="007E0735" w:rsidP="00A73501">
      <w:pPr>
        <w:autoSpaceDE w:val="0"/>
        <w:autoSpaceDN w:val="0"/>
        <w:adjustRightInd w:val="0"/>
        <w:spacing w:before="0" w:after="0" w:line="240" w:lineRule="auto"/>
        <w:rPr>
          <w:rFonts w:ascii="Arial" w:hAnsi="Arial" w:cs="Arial"/>
          <w:sz w:val="14"/>
          <w:szCs w:val="14"/>
        </w:rPr>
      </w:pPr>
      <w:r w:rsidRPr="00A73501">
        <w:rPr>
          <w:rFonts w:ascii="Arial" w:hAnsi="Arial" w:cs="Arial"/>
          <w:sz w:val="14"/>
          <w:szCs w:val="14"/>
        </w:rPr>
        <w:t xml:space="preserve">La Guía de Concentraciones Horizontales de Estados Unidos de América, advierte que los MR (definidos según la Prueba SSNIP) no siempre son intuitivos y pueden no coincidir con la forma en que los miembros de la industria utilizan el término "mercado". DOJ y FTC (2010). </w:t>
      </w:r>
      <w:r w:rsidRPr="00A73501">
        <w:rPr>
          <w:rFonts w:ascii="Arial" w:hAnsi="Arial" w:cs="Arial"/>
          <w:i/>
          <w:sz w:val="14"/>
          <w:szCs w:val="14"/>
        </w:rPr>
        <w:t xml:space="preserve">Horizontal Merger Guidelines. </w:t>
      </w:r>
      <w:r w:rsidRPr="00A73501">
        <w:rPr>
          <w:rFonts w:ascii="Arial" w:hAnsi="Arial" w:cs="Arial"/>
          <w:sz w:val="14"/>
          <w:szCs w:val="14"/>
        </w:rPr>
        <w:t>p. 8.</w:t>
      </w:r>
    </w:p>
    <w:p w14:paraId="573A16DE" w14:textId="77777777" w:rsidR="007E0735" w:rsidRPr="00A73501" w:rsidRDefault="007E0735" w:rsidP="00A73501">
      <w:pPr>
        <w:autoSpaceDE w:val="0"/>
        <w:autoSpaceDN w:val="0"/>
        <w:adjustRightInd w:val="0"/>
        <w:spacing w:before="0" w:after="0" w:line="240" w:lineRule="auto"/>
        <w:rPr>
          <w:rFonts w:ascii="Arial" w:hAnsi="Arial" w:cs="Arial"/>
          <w:sz w:val="14"/>
          <w:szCs w:val="14"/>
        </w:rPr>
      </w:pPr>
      <w:r w:rsidRPr="00A73501">
        <w:rPr>
          <w:rFonts w:ascii="Arial" w:hAnsi="Arial" w:cs="Arial"/>
          <w:sz w:val="14"/>
          <w:szCs w:val="14"/>
        </w:rPr>
        <w:t xml:space="preserve">La CE también ha señalado que el concepto de mercado de referencia es diferente de otros conceptos de mercado utilizados frecuentemente en otros contextos. CE (1997). </w:t>
      </w:r>
      <w:r w:rsidRPr="00A73501">
        <w:rPr>
          <w:rFonts w:ascii="Arial" w:hAnsi="Arial" w:cs="Arial"/>
          <w:i/>
          <w:sz w:val="14"/>
          <w:szCs w:val="14"/>
        </w:rPr>
        <w:t xml:space="preserve">COMUNICACIÓN DE LA COMISIÓN relativa a la definición de mercado de referencia a efectos de la normativa comunitaria en materia de competencia, </w:t>
      </w:r>
      <w:r w:rsidRPr="00A73501">
        <w:rPr>
          <w:rFonts w:ascii="Arial" w:hAnsi="Arial" w:cs="Arial"/>
          <w:sz w:val="14"/>
          <w:szCs w:val="14"/>
        </w:rPr>
        <w:t>párrafo 3.</w:t>
      </w:r>
    </w:p>
  </w:footnote>
  <w:footnote w:id="15">
    <w:p w14:paraId="6A8C39DB"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OCDE (2012). </w:t>
      </w:r>
      <w:r w:rsidRPr="00A73501">
        <w:rPr>
          <w:rFonts w:ascii="Arial" w:hAnsi="Arial" w:cs="Arial"/>
          <w:i/>
          <w:sz w:val="14"/>
          <w:szCs w:val="14"/>
          <w:lang w:val="fr-FR"/>
        </w:rPr>
        <w:t>Market Definition</w:t>
      </w:r>
      <w:r w:rsidRPr="00A73501">
        <w:rPr>
          <w:rFonts w:ascii="Arial" w:hAnsi="Arial" w:cs="Arial"/>
          <w:sz w:val="14"/>
          <w:szCs w:val="14"/>
          <w:lang w:val="fr-FR"/>
        </w:rPr>
        <w:t xml:space="preserve">. Disponible en: </w:t>
      </w:r>
      <w:hyperlink r:id="rId10" w:history="1">
        <w:r w:rsidRPr="00A73501">
          <w:rPr>
            <w:rStyle w:val="Hipervnculo"/>
            <w:rFonts w:ascii="Arial" w:hAnsi="Arial" w:cs="Arial"/>
            <w:sz w:val="14"/>
            <w:szCs w:val="14"/>
            <w:lang w:val="fr-FR"/>
          </w:rPr>
          <w:t>http://www.oecd.org/daf/competition/Marketdefinition2012.pdf</w:t>
        </w:r>
      </w:hyperlink>
      <w:r w:rsidRPr="00A73501">
        <w:rPr>
          <w:rStyle w:val="Hipervnculo"/>
          <w:rFonts w:ascii="Arial" w:hAnsi="Arial" w:cs="Arial"/>
          <w:sz w:val="14"/>
          <w:szCs w:val="14"/>
          <w:lang w:val="fr-FR"/>
        </w:rPr>
        <w:t>.</w:t>
      </w:r>
      <w:r w:rsidRPr="00A73501">
        <w:rPr>
          <w:rFonts w:ascii="Arial" w:hAnsi="Arial" w:cs="Arial"/>
          <w:sz w:val="14"/>
          <w:szCs w:val="14"/>
          <w:lang w:val="fr-FR"/>
        </w:rPr>
        <w:t xml:space="preserve"> </w:t>
      </w:r>
    </w:p>
  </w:footnote>
  <w:footnote w:id="16">
    <w:p w14:paraId="2094866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Por ejemplo, la CE señala que definirá los mercados de comunicaciones electrónicas sujetos de regulación ex-ante de conformidad con los principios del Derecho de la competencia. Ver CE (2002). </w:t>
      </w:r>
      <w:r w:rsidRPr="00A73501">
        <w:rPr>
          <w:rFonts w:ascii="Arial" w:hAnsi="Arial" w:cs="Arial"/>
          <w:i/>
          <w:sz w:val="14"/>
          <w:szCs w:val="14"/>
        </w:rPr>
        <w:t>Directiva 2002/21/CE del Parlamento Europeo y del Consejo, de 7 de marzo de 2002 relativa a un marco regulador común de las redes y los servicios de comunicaciones electrónicas</w:t>
      </w:r>
      <w:r w:rsidRPr="00A73501">
        <w:rPr>
          <w:rFonts w:ascii="Arial" w:hAnsi="Arial" w:cs="Arial"/>
          <w:sz w:val="14"/>
          <w:szCs w:val="14"/>
        </w:rPr>
        <w:t xml:space="preserve">. p. 44. </w:t>
      </w:r>
    </w:p>
  </w:footnote>
  <w:footnote w:id="17">
    <w:p w14:paraId="7CF45928" w14:textId="77777777" w:rsidR="007E0735" w:rsidRPr="00A73501" w:rsidRDefault="007E0735" w:rsidP="00A73501">
      <w:pPr>
        <w:pStyle w:val="Notaalpie"/>
      </w:pPr>
      <w:r w:rsidRPr="00A73501">
        <w:rPr>
          <w:rStyle w:val="Refdenotaalpie"/>
        </w:rPr>
        <w:footnoteRef/>
      </w:r>
      <w:r w:rsidRPr="00A73501">
        <w:t xml:space="preserve"> SCJN (2008). </w:t>
      </w:r>
      <w:r w:rsidRPr="00A73501">
        <w:rPr>
          <w:i/>
        </w:rPr>
        <w:t>Mercado Relevante. Su Concepto en Materia de Competencia Económica</w:t>
      </w:r>
      <w:r w:rsidRPr="00A73501">
        <w:t>. Tesis I.4o.A. J/75. Tribunales Colegiados de Circuito. Semanario Judicial de la Federación y su Gaceta. Tomo XXVIII, octubre de 2008. Novena Época. Pág. 2225.</w:t>
      </w:r>
    </w:p>
  </w:footnote>
  <w:footnote w:id="18">
    <w:p w14:paraId="450D4187"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rPr>
        <w:t xml:space="preserve"> ICN (2006). </w:t>
      </w:r>
      <w:r w:rsidRPr="00A73501">
        <w:rPr>
          <w:rFonts w:ascii="Arial" w:hAnsi="Arial" w:cs="Arial"/>
          <w:i/>
          <w:sz w:val="14"/>
          <w:szCs w:val="14"/>
        </w:rPr>
        <w:t>ICN Merger Guidelines Workbook.</w:t>
      </w:r>
      <w:r w:rsidRPr="00A73501">
        <w:rPr>
          <w:rFonts w:ascii="Arial" w:hAnsi="Arial" w:cs="Arial"/>
          <w:sz w:val="14"/>
          <w:szCs w:val="14"/>
        </w:rPr>
        <w:t xml:space="preserve"> pp. 15-20. </w:t>
      </w:r>
      <w:r w:rsidRPr="00A73501">
        <w:rPr>
          <w:rFonts w:ascii="Arial" w:hAnsi="Arial" w:cs="Arial"/>
          <w:sz w:val="14"/>
          <w:szCs w:val="14"/>
          <w:lang w:val="fr-FR"/>
        </w:rPr>
        <w:t xml:space="preserve">Disponible en: </w:t>
      </w:r>
      <w:r w:rsidRPr="00A73501">
        <w:rPr>
          <w:rStyle w:val="Hipervnculo"/>
          <w:rFonts w:ascii="Arial" w:hAnsi="Arial" w:cs="Arial"/>
          <w:sz w:val="14"/>
          <w:szCs w:val="14"/>
          <w:lang w:val="fr-FR"/>
        </w:rPr>
        <w:t xml:space="preserve"> https://www.internationalcompetitionnetwork.org/wp-content/uploads/2018/05/MWG_MergerGuidelinesWorkbook.pdf</w:t>
      </w:r>
    </w:p>
  </w:footnote>
  <w:footnote w:id="19">
    <w:p w14:paraId="2897A466"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OCDE (2012). </w:t>
      </w:r>
      <w:r w:rsidRPr="00A73501">
        <w:rPr>
          <w:rFonts w:ascii="Arial" w:hAnsi="Arial" w:cs="Arial"/>
          <w:i/>
          <w:sz w:val="14"/>
          <w:szCs w:val="14"/>
          <w:lang w:val="fr-FR"/>
        </w:rPr>
        <w:t>Market Definition</w:t>
      </w:r>
      <w:r w:rsidRPr="00A73501">
        <w:rPr>
          <w:rFonts w:ascii="Arial" w:hAnsi="Arial" w:cs="Arial"/>
          <w:sz w:val="14"/>
          <w:szCs w:val="14"/>
          <w:lang w:val="fr-FR"/>
        </w:rPr>
        <w:t xml:space="preserve">. p. 29. </w:t>
      </w:r>
    </w:p>
  </w:footnote>
  <w:footnote w:id="20">
    <w:p w14:paraId="5C8A940D"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(2012). </w:t>
      </w:r>
      <w:r w:rsidRPr="00A73501">
        <w:rPr>
          <w:rFonts w:ascii="Arial" w:hAnsi="Arial" w:cs="Arial"/>
          <w:i/>
          <w:sz w:val="14"/>
          <w:szCs w:val="14"/>
          <w:lang w:val="en-US"/>
        </w:rPr>
        <w:t>Roundtable on market definition. Note by the delegation of the European Union. p. 2</w:t>
      </w:r>
      <w:r w:rsidRPr="00A73501">
        <w:rPr>
          <w:rFonts w:ascii="Arial" w:hAnsi="Arial" w:cs="Arial"/>
          <w:sz w:val="14"/>
          <w:szCs w:val="14"/>
          <w:lang w:val="en-US"/>
        </w:rPr>
        <w:t xml:space="preserve">.  </w:t>
      </w:r>
    </w:p>
  </w:footnote>
  <w:footnote w:id="21">
    <w:p w14:paraId="4B5E9D0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pp. 7-8. </w:t>
      </w:r>
      <w:r w:rsidRPr="00A73501">
        <w:rPr>
          <w:rFonts w:ascii="Arial" w:hAnsi="Arial" w:cs="Arial"/>
          <w:sz w:val="14"/>
          <w:szCs w:val="14"/>
        </w:rPr>
        <w:t xml:space="preserve">Disponible en: </w:t>
      </w:r>
      <w:hyperlink r:id="rId11" w:history="1">
        <w:r w:rsidRPr="00A73501">
          <w:rPr>
            <w:rStyle w:val="Hipervnculo"/>
            <w:rFonts w:ascii="Arial" w:hAnsi="Arial" w:cs="Arial"/>
            <w:sz w:val="14"/>
            <w:szCs w:val="14"/>
          </w:rPr>
          <w:t>https://assets.publishing.service.gov.uk/government/uploads/system/uploads/attachment_data/file/284423/oft403.pdf</w:t>
        </w:r>
      </w:hyperlink>
    </w:p>
  </w:footnote>
  <w:footnote w:id="22">
    <w:p w14:paraId="07B9E085" w14:textId="6A773B97" w:rsidR="007E0735" w:rsidRPr="00103767"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DOJ y FTC (2010). </w:t>
      </w:r>
      <w:r w:rsidRPr="00103767">
        <w:rPr>
          <w:rFonts w:ascii="Arial" w:hAnsi="Arial" w:cs="Arial"/>
          <w:i/>
          <w:sz w:val="14"/>
          <w:szCs w:val="14"/>
        </w:rPr>
        <w:t>Horizontal Merger Guidelines</w:t>
      </w:r>
      <w:r w:rsidRPr="00103767">
        <w:rPr>
          <w:rFonts w:ascii="Arial" w:hAnsi="Arial" w:cs="Arial"/>
          <w:sz w:val="14"/>
          <w:szCs w:val="14"/>
        </w:rPr>
        <w:t>.</w:t>
      </w:r>
      <w:r w:rsidR="00103767" w:rsidRPr="00103767">
        <w:rPr>
          <w:rFonts w:ascii="Arial" w:hAnsi="Arial" w:cs="Arial"/>
          <w:sz w:val="14"/>
          <w:szCs w:val="14"/>
        </w:rPr>
        <w:t xml:space="preserve"> Disponible en:</w:t>
      </w:r>
      <w:r w:rsidR="00103767" w:rsidRPr="00103767">
        <w:t xml:space="preserve"> </w:t>
      </w:r>
      <w:hyperlink r:id="rId12" w:history="1">
        <w:r w:rsidR="00103767" w:rsidRPr="00257681">
          <w:rPr>
            <w:rStyle w:val="Hipervnculo"/>
            <w:rFonts w:ascii="Arial" w:hAnsi="Arial" w:cs="Arial"/>
            <w:sz w:val="14"/>
            <w:szCs w:val="14"/>
          </w:rPr>
          <w:t>https://apps.fcc.gov/edocs_public/attachmatch/FCC-15-94A1.pdf</w:t>
        </w:r>
      </w:hyperlink>
      <w:r w:rsidR="00103767">
        <w:rPr>
          <w:rFonts w:ascii="Arial" w:hAnsi="Arial" w:cs="Arial"/>
          <w:sz w:val="14"/>
          <w:szCs w:val="14"/>
        </w:rPr>
        <w:t xml:space="preserve"> </w:t>
      </w:r>
      <w:r w:rsidR="00103767" w:rsidRPr="00103767">
        <w:rPr>
          <w:rFonts w:ascii="Arial" w:hAnsi="Arial" w:cs="Arial"/>
          <w:sz w:val="14"/>
          <w:szCs w:val="14"/>
        </w:rPr>
        <w:t xml:space="preserve"> </w:t>
      </w:r>
      <w:r w:rsidRPr="00103767">
        <w:rPr>
          <w:rFonts w:ascii="Arial" w:hAnsi="Arial" w:cs="Arial"/>
          <w:sz w:val="14"/>
          <w:szCs w:val="14"/>
        </w:rPr>
        <w:t xml:space="preserve"> </w:t>
      </w:r>
      <w:hyperlink r:id="rId13" w:history="1"/>
    </w:p>
  </w:footnote>
  <w:footnote w:id="23">
    <w:p w14:paraId="00E707CA"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(2011). </w:t>
      </w:r>
      <w:r w:rsidRPr="00A73501">
        <w:rPr>
          <w:rFonts w:ascii="Arial" w:hAnsi="Arial" w:cs="Arial"/>
          <w:i/>
          <w:sz w:val="14"/>
          <w:szCs w:val="14"/>
          <w:lang w:val="en-US"/>
        </w:rPr>
        <w:t>Merger Enforcement Guidelines</w:t>
      </w:r>
      <w:r w:rsidRPr="00A73501">
        <w:rPr>
          <w:rFonts w:ascii="Arial" w:hAnsi="Arial" w:cs="Arial"/>
          <w:sz w:val="14"/>
          <w:szCs w:val="14"/>
          <w:lang w:val="en-US"/>
        </w:rPr>
        <w:t>. p. 9.</w:t>
      </w:r>
    </w:p>
  </w:footnote>
  <w:footnote w:id="24">
    <w:p w14:paraId="3A22901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shd w:val="clear" w:color="auto" w:fill="FFFFFF"/>
        </w:rPr>
        <w:t xml:space="preserve">ACCC (2008). </w:t>
      </w:r>
      <w:r w:rsidRPr="00A73501">
        <w:rPr>
          <w:rFonts w:ascii="Arial" w:hAnsi="Arial" w:cs="Arial"/>
          <w:i/>
          <w:color w:val="000000"/>
          <w:sz w:val="14"/>
          <w:szCs w:val="14"/>
          <w:shd w:val="clear" w:color="auto" w:fill="FFFFFF"/>
        </w:rPr>
        <w:t>Merger Guidelines</w:t>
      </w:r>
      <w:r w:rsidRPr="00A73501">
        <w:rPr>
          <w:rFonts w:ascii="Arial" w:hAnsi="Arial" w:cs="Arial"/>
          <w:color w:val="000000"/>
          <w:sz w:val="14"/>
          <w:szCs w:val="14"/>
          <w:shd w:val="clear" w:color="auto" w:fill="FFFFFF"/>
        </w:rPr>
        <w:t xml:space="preserve"> (actualización 2017). pp. 20-21. </w:t>
      </w:r>
    </w:p>
  </w:footnote>
  <w:footnote w:id="25">
    <w:p w14:paraId="5AFDEB83" w14:textId="77777777" w:rsidR="007E0735" w:rsidRPr="00A73501" w:rsidRDefault="007E0735" w:rsidP="00A73501">
      <w:pPr>
        <w:pStyle w:val="Notaalpie"/>
      </w:pPr>
      <w:r w:rsidRPr="00A73501">
        <w:rPr>
          <w:rStyle w:val="Refdenotaalpie"/>
        </w:rPr>
        <w:footnoteRef/>
      </w:r>
      <w:r w:rsidRPr="00A73501">
        <w:t xml:space="preserve"> SCJN (2008). </w:t>
      </w:r>
      <w:r w:rsidRPr="00A73501">
        <w:rPr>
          <w:i/>
        </w:rPr>
        <w:t>Mercado Relevante. Su Concepto en Materia de Competencia Económica</w:t>
      </w:r>
      <w:r w:rsidRPr="00A73501">
        <w:t xml:space="preserve">. Tesis I.4o.A. J/75. Tribunales Colegiados de Circuito. Semanario Judicial de la Federación y su Gaceta. Tomo XXVIII, octubre de 2008. Novena Época. Pág. 2225. </w:t>
      </w:r>
    </w:p>
  </w:footnote>
  <w:footnote w:id="26">
    <w:p w14:paraId="5A40F84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p. 4. Disponible en: </w:t>
      </w:r>
      <w:hyperlink r:id="rId14" w:history="1">
        <w:r w:rsidRPr="00A73501">
          <w:rPr>
            <w:rStyle w:val="Hipervnculo"/>
            <w:rFonts w:ascii="Arial" w:hAnsi="Arial" w:cs="Arial"/>
            <w:sz w:val="14"/>
            <w:szCs w:val="14"/>
          </w:rPr>
          <w:t>https://eur-lex.europa.eu/legal-content/ES/TXT/PDF/?uri=CELEX:52018XC0507(01)&amp;from=HU</w:t>
        </w:r>
      </w:hyperlink>
    </w:p>
  </w:footnote>
  <w:footnote w:id="27">
    <w:p w14:paraId="09808C2A" w14:textId="7DF2848F" w:rsidR="007E0735" w:rsidRPr="00103767"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DOJ y FTC (2010). </w:t>
      </w:r>
      <w:r w:rsidRPr="00103767">
        <w:rPr>
          <w:rFonts w:ascii="Arial" w:hAnsi="Arial" w:cs="Arial"/>
          <w:i/>
          <w:sz w:val="14"/>
          <w:szCs w:val="14"/>
        </w:rPr>
        <w:t>Horizontal Merger Guidelines</w:t>
      </w:r>
      <w:r w:rsidRPr="00103767">
        <w:rPr>
          <w:rFonts w:ascii="Arial" w:hAnsi="Arial" w:cs="Arial"/>
          <w:sz w:val="14"/>
          <w:szCs w:val="14"/>
        </w:rPr>
        <w:t>.</w:t>
      </w:r>
      <w:r w:rsidR="00103767" w:rsidRPr="00103767">
        <w:rPr>
          <w:rFonts w:ascii="Arial" w:hAnsi="Arial" w:cs="Arial"/>
          <w:sz w:val="14"/>
          <w:szCs w:val="14"/>
        </w:rPr>
        <w:t xml:space="preserve"> Disponible en:</w:t>
      </w:r>
      <w:r w:rsidR="00103767">
        <w:rPr>
          <w:rFonts w:ascii="Arial" w:hAnsi="Arial" w:cs="Arial"/>
          <w:sz w:val="14"/>
          <w:szCs w:val="14"/>
        </w:rPr>
        <w:t xml:space="preserve"> </w:t>
      </w:r>
      <w:hyperlink r:id="rId15" w:history="1">
        <w:r w:rsidR="00103767" w:rsidRPr="00257681">
          <w:rPr>
            <w:rStyle w:val="Hipervnculo"/>
            <w:rFonts w:ascii="Arial" w:hAnsi="Arial" w:cs="Arial"/>
            <w:sz w:val="14"/>
            <w:szCs w:val="14"/>
          </w:rPr>
          <w:t>https://apps.fcc.gov/edocs_public/attachmatch/FCC-15-94A1.pdf</w:t>
        </w:r>
      </w:hyperlink>
      <w:hyperlink r:id="rId16" w:history="1"/>
    </w:p>
  </w:footnote>
  <w:footnote w:id="28">
    <w:p w14:paraId="238DE3BA"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(2010). Merger Assessment Guidelines. </w:t>
      </w:r>
    </w:p>
  </w:footnote>
  <w:footnote w:id="29">
    <w:p w14:paraId="1566207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pp. 7-8. </w:t>
      </w:r>
    </w:p>
  </w:footnote>
  <w:footnote w:id="30">
    <w:p w14:paraId="09F7B95E"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US"/>
        </w:rPr>
        <w:t xml:space="preserve"> ACCC (2018). Guidelines on Misuse of Market Power. pp. 4-5. </w:t>
      </w:r>
      <w:r w:rsidRPr="00A73501">
        <w:rPr>
          <w:rFonts w:ascii="Arial" w:hAnsi="Arial" w:cs="Arial"/>
          <w:sz w:val="14"/>
          <w:szCs w:val="14"/>
          <w:lang w:val="fr-FR"/>
        </w:rPr>
        <w:t>Disponible en:</w:t>
      </w:r>
      <w:r w:rsidRPr="00A73501">
        <w:rPr>
          <w:rFonts w:ascii="Arial" w:hAnsi="Arial" w:cs="Arial"/>
          <w:b/>
          <w:sz w:val="14"/>
          <w:szCs w:val="14"/>
          <w:lang w:val="fr-FR"/>
        </w:rPr>
        <w:t xml:space="preserve"> </w:t>
      </w:r>
      <w:hyperlink r:id="rId17" w:history="1">
        <w:r w:rsidRPr="00A73501">
          <w:rPr>
            <w:rStyle w:val="Hipervnculo"/>
            <w:rFonts w:ascii="Arial" w:hAnsi="Arial" w:cs="Arial"/>
            <w:sz w:val="14"/>
            <w:szCs w:val="14"/>
            <w:lang w:val="fr-FR"/>
          </w:rPr>
          <w:t>https://www.accc.gov.au/system/files/Updated%20Guidelines%20on%20Misuse%20of%20Market%20Power.pdf</w:t>
        </w:r>
      </w:hyperlink>
    </w:p>
  </w:footnote>
  <w:footnote w:id="31">
    <w:p w14:paraId="7F8EF99A"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OCDE (2012). </w:t>
      </w:r>
      <w:r w:rsidRPr="00A73501">
        <w:rPr>
          <w:rFonts w:ascii="Arial" w:hAnsi="Arial" w:cs="Arial"/>
          <w:i/>
          <w:sz w:val="14"/>
          <w:szCs w:val="14"/>
          <w:lang w:val="fr-FR"/>
        </w:rPr>
        <w:t>Market Definition</w:t>
      </w:r>
      <w:r w:rsidRPr="00A73501">
        <w:rPr>
          <w:rFonts w:ascii="Arial" w:hAnsi="Arial" w:cs="Arial"/>
          <w:sz w:val="14"/>
          <w:szCs w:val="14"/>
          <w:lang w:val="fr-FR"/>
        </w:rPr>
        <w:t xml:space="preserve">. </w:t>
      </w:r>
    </w:p>
  </w:footnote>
  <w:footnote w:id="32">
    <w:p w14:paraId="2B0A7A7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pp. 7 y 13. </w:t>
      </w:r>
      <w:r w:rsidRPr="00A73501">
        <w:rPr>
          <w:rFonts w:ascii="Arial" w:hAnsi="Arial" w:cs="Arial"/>
          <w:sz w:val="14"/>
          <w:szCs w:val="14"/>
        </w:rPr>
        <w:t xml:space="preserve">Disponible en: </w:t>
      </w:r>
      <w:hyperlink r:id="rId18" w:history="1">
        <w:r w:rsidRPr="00A73501">
          <w:rPr>
            <w:rStyle w:val="Hipervnculo"/>
            <w:rFonts w:ascii="Arial" w:hAnsi="Arial" w:cs="Arial"/>
            <w:sz w:val="14"/>
            <w:szCs w:val="14"/>
          </w:rPr>
          <w:t>https://www.oecd.org/daf/competition/Defining_Relevant_Market_in_Telecommunications_web.pdf</w:t>
        </w:r>
      </w:hyperlink>
    </w:p>
  </w:footnote>
  <w:footnote w:id="33">
    <w:p w14:paraId="4C08E1E6"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 12. </w:t>
      </w:r>
    </w:p>
  </w:footnote>
  <w:footnote w:id="34">
    <w:p w14:paraId="0BCF170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 11. </w:t>
      </w:r>
    </w:p>
  </w:footnote>
  <w:footnote w:id="35">
    <w:p w14:paraId="22B29B7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(1997). </w:t>
      </w:r>
      <w:r w:rsidRPr="00A73501">
        <w:rPr>
          <w:rFonts w:ascii="Arial" w:hAnsi="Arial" w:cs="Arial"/>
          <w:i/>
          <w:sz w:val="14"/>
          <w:szCs w:val="14"/>
        </w:rPr>
        <w:t xml:space="preserve">COMUNICACIÓN DE LA COMISIÓN relativa a la definición de mercado de referencia a efectos de la normativa comunitaria en materia de competencia. </w:t>
      </w:r>
      <w:r w:rsidRPr="00A73501">
        <w:rPr>
          <w:rFonts w:ascii="Arial" w:hAnsi="Arial" w:cs="Arial"/>
          <w:sz w:val="14"/>
          <w:szCs w:val="14"/>
        </w:rPr>
        <w:t xml:space="preserve">pp. 6-8, y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párrafo 28.</w:t>
      </w:r>
    </w:p>
  </w:footnote>
  <w:footnote w:id="36">
    <w:p w14:paraId="3903FC9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párrafo 28.</w:t>
      </w:r>
    </w:p>
  </w:footnote>
  <w:footnote w:id="37">
    <w:p w14:paraId="68FE72E4" w14:textId="77777777" w:rsidR="007E0735" w:rsidRPr="00A73501" w:rsidRDefault="007E0735" w:rsidP="00A73501">
      <w:pPr>
        <w:autoSpaceDE w:val="0"/>
        <w:autoSpaceDN w:val="0"/>
        <w:adjustRightInd w:val="0"/>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(1992). </w:t>
      </w:r>
      <w:r w:rsidRPr="00A73501">
        <w:rPr>
          <w:rFonts w:ascii="Arial" w:hAnsi="Arial" w:cs="Arial"/>
          <w:i/>
          <w:sz w:val="14"/>
          <w:szCs w:val="14"/>
        </w:rPr>
        <w:t>Case No IV/M.166 - TORRAS / SARRIO.</w:t>
      </w:r>
      <w:r w:rsidRPr="00A73501">
        <w:rPr>
          <w:rFonts w:ascii="Arial" w:hAnsi="Arial" w:cs="Arial"/>
          <w:sz w:val="14"/>
          <w:szCs w:val="14"/>
        </w:rPr>
        <w:t xml:space="preserve"> Disponible en </w:t>
      </w:r>
      <w:hyperlink r:id="rId19" w:history="1">
        <w:r w:rsidRPr="00A73501">
          <w:rPr>
            <w:rStyle w:val="Hipervnculo"/>
            <w:rFonts w:ascii="Arial" w:hAnsi="Arial" w:cs="Arial"/>
            <w:sz w:val="14"/>
            <w:szCs w:val="14"/>
          </w:rPr>
          <w:t>https://ec.europa.eu/competition/mergers/cases/decisions/m166_en.pdf</w:t>
        </w:r>
      </w:hyperlink>
      <w:r w:rsidRPr="00A73501">
        <w:rPr>
          <w:rFonts w:ascii="Arial" w:hAnsi="Arial" w:cs="Arial"/>
          <w:sz w:val="14"/>
          <w:szCs w:val="14"/>
        </w:rPr>
        <w:t>. También sobre la industria del papel, la CE señala que “</w:t>
      </w:r>
      <w:r w:rsidRPr="00A73501">
        <w:rPr>
          <w:rFonts w:ascii="Arial" w:hAnsi="Arial" w:cs="Arial"/>
          <w:i/>
          <w:sz w:val="14"/>
          <w:szCs w:val="14"/>
        </w:rPr>
        <w:t xml:space="preserve">las fábricas de papel pueden producir diferentes calidades, y la producción puede ajustarse a un coste insignificante a corto plazo. Por ello, si no existen dificultades particulares en la distribución, los fabricantes de papel pueden competir respecto de los pedidos de diversas calidades, particularmente si éstos se efectúan con antelación suficiente para permitir modificar los planes de producción. En tales circunstancias, la Comisión no define un mercado distinto para cada calidad de papel y uso respectivo. Las diversas calidades de papel se incluyen en el mercado de referencia”. </w:t>
      </w:r>
      <w:r w:rsidRPr="00A73501">
        <w:rPr>
          <w:rFonts w:ascii="Arial" w:hAnsi="Arial" w:cs="Arial"/>
          <w:sz w:val="14"/>
          <w:szCs w:val="14"/>
        </w:rPr>
        <w:t xml:space="preserve"> CE (1997). </w:t>
      </w:r>
      <w:r w:rsidRPr="00A73501">
        <w:rPr>
          <w:rFonts w:ascii="Arial" w:hAnsi="Arial" w:cs="Arial"/>
          <w:i/>
          <w:sz w:val="14"/>
          <w:szCs w:val="14"/>
        </w:rPr>
        <w:t xml:space="preserve">COMUNICACIÓN DE LA COMISIÓN relativa a la definición de mercado de referencia a efectos de la normativa comunitaria en materia de competencia, </w:t>
      </w:r>
      <w:r w:rsidRPr="00A73501">
        <w:rPr>
          <w:rFonts w:ascii="Arial" w:hAnsi="Arial" w:cs="Arial"/>
          <w:sz w:val="14"/>
          <w:szCs w:val="14"/>
        </w:rPr>
        <w:t>párrafo 23.</w:t>
      </w:r>
    </w:p>
  </w:footnote>
  <w:footnote w:id="38">
    <w:p w14:paraId="048A7198" w14:textId="41C46123"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Australia tiene un foque similar al de la CE y, en cuanto a la </w:t>
      </w:r>
      <w:r w:rsidRPr="00A73501">
        <w:rPr>
          <w:rFonts w:ascii="Arial" w:hAnsi="Arial" w:cs="Arial"/>
          <w:b/>
          <w:sz w:val="14"/>
          <w:szCs w:val="14"/>
        </w:rPr>
        <w:t>sustitución por el lado de la oferta</w:t>
      </w:r>
      <w:r w:rsidRPr="00A73501">
        <w:rPr>
          <w:rFonts w:ascii="Arial" w:hAnsi="Arial" w:cs="Arial"/>
          <w:sz w:val="14"/>
          <w:szCs w:val="14"/>
        </w:rPr>
        <w:t xml:space="preserve">, considera que un </w:t>
      </w:r>
      <w:r>
        <w:rPr>
          <w:rFonts w:ascii="Arial" w:hAnsi="Arial" w:cs="Arial"/>
          <w:sz w:val="14"/>
          <w:szCs w:val="14"/>
        </w:rPr>
        <w:t>producto</w:t>
      </w:r>
      <w:r w:rsidRPr="00A73501">
        <w:rPr>
          <w:rFonts w:ascii="Arial" w:hAnsi="Arial" w:cs="Arial"/>
          <w:sz w:val="14"/>
          <w:szCs w:val="14"/>
        </w:rPr>
        <w:t xml:space="preserve"> es sustituto de otro cuando, en respuesta a un aumento en el precio del segundo </w:t>
      </w:r>
      <w:r>
        <w:rPr>
          <w:rFonts w:ascii="Arial" w:hAnsi="Arial" w:cs="Arial"/>
          <w:sz w:val="14"/>
          <w:szCs w:val="14"/>
        </w:rPr>
        <w:t>producto</w:t>
      </w:r>
      <w:r w:rsidRPr="00A73501">
        <w:rPr>
          <w:rFonts w:ascii="Arial" w:hAnsi="Arial" w:cs="Arial"/>
          <w:sz w:val="14"/>
          <w:szCs w:val="14"/>
        </w:rPr>
        <w:t xml:space="preserve">, toda o prácticamente toda la capacidad de producción del primero pueda cambiarse de manera rentable para suministrar un sustituto efectivo del </w:t>
      </w:r>
      <w:r>
        <w:rPr>
          <w:rFonts w:ascii="Arial" w:hAnsi="Arial" w:cs="Arial"/>
          <w:sz w:val="14"/>
          <w:szCs w:val="14"/>
        </w:rPr>
        <w:t>producto</w:t>
      </w:r>
      <w:r w:rsidRPr="00A73501">
        <w:rPr>
          <w:rFonts w:ascii="Arial" w:hAnsi="Arial" w:cs="Arial"/>
          <w:sz w:val="14"/>
          <w:szCs w:val="14"/>
        </w:rPr>
        <w:t xml:space="preserve"> cuyo precio se incrementa, rápidamente y sin inversiones significativas. En caso de que solo una proporción de la capacidad total de suministro pueda cambiarse de forma rápida y con un costo mínimo, la capacidad que podría cambiarse se considera como una </w:t>
      </w:r>
      <w:r w:rsidRPr="00A73501">
        <w:rPr>
          <w:rFonts w:ascii="Arial" w:hAnsi="Arial" w:cs="Arial"/>
          <w:b/>
          <w:sz w:val="14"/>
          <w:szCs w:val="14"/>
        </w:rPr>
        <w:t>entrada potencial</w:t>
      </w:r>
      <w:r w:rsidRPr="00A73501">
        <w:rPr>
          <w:rFonts w:ascii="Arial" w:hAnsi="Arial" w:cs="Arial"/>
          <w:sz w:val="14"/>
          <w:szCs w:val="14"/>
        </w:rPr>
        <w:t xml:space="preserve"> en el análisis de competencia, en lugar de incluirse en la determinación de MR. ACCC (2008). </w:t>
      </w:r>
      <w:r w:rsidRPr="00A73501">
        <w:rPr>
          <w:rFonts w:ascii="Arial" w:hAnsi="Arial" w:cs="Arial"/>
          <w:i/>
          <w:sz w:val="14"/>
          <w:szCs w:val="14"/>
        </w:rPr>
        <w:t>Merger Guidelines</w:t>
      </w:r>
      <w:r w:rsidRPr="00A73501">
        <w:rPr>
          <w:rFonts w:ascii="Arial" w:hAnsi="Arial" w:cs="Arial"/>
          <w:sz w:val="14"/>
          <w:szCs w:val="14"/>
        </w:rPr>
        <w:t xml:space="preserve"> </w:t>
      </w:r>
      <w:r w:rsidRPr="00A73501">
        <w:rPr>
          <w:rFonts w:ascii="Arial" w:hAnsi="Arial" w:cs="Arial"/>
          <w:color w:val="000000"/>
          <w:sz w:val="14"/>
          <w:szCs w:val="14"/>
          <w:shd w:val="clear" w:color="auto" w:fill="FFFFFF"/>
        </w:rPr>
        <w:t>(actualización 2017)</w:t>
      </w:r>
      <w:r w:rsidRPr="00A73501">
        <w:rPr>
          <w:rFonts w:ascii="Arial" w:hAnsi="Arial" w:cs="Arial"/>
          <w:sz w:val="14"/>
          <w:szCs w:val="14"/>
        </w:rPr>
        <w:t>. p. 16.</w:t>
      </w:r>
    </w:p>
  </w:footnote>
  <w:footnote w:id="39">
    <w:p w14:paraId="4E3482C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DOJ y FTC (2010). </w:t>
      </w:r>
      <w:r w:rsidRPr="00A73501">
        <w:rPr>
          <w:rFonts w:ascii="Arial" w:hAnsi="Arial" w:cs="Arial"/>
          <w:i/>
          <w:sz w:val="14"/>
          <w:szCs w:val="14"/>
        </w:rPr>
        <w:t>Horizontal Merger Guidelines</w:t>
      </w:r>
      <w:r w:rsidRPr="00A73501">
        <w:rPr>
          <w:rFonts w:ascii="Arial" w:hAnsi="Arial" w:cs="Arial"/>
          <w:sz w:val="14"/>
          <w:szCs w:val="14"/>
        </w:rPr>
        <w:t>. p. 7 y 15-16.</w:t>
      </w:r>
    </w:p>
  </w:footnote>
  <w:footnote w:id="40">
    <w:p w14:paraId="4F88D1DF"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(2012). </w:t>
      </w:r>
      <w:r w:rsidRPr="00A73501">
        <w:rPr>
          <w:rFonts w:ascii="Arial" w:hAnsi="Arial" w:cs="Arial"/>
          <w:i/>
          <w:sz w:val="14"/>
          <w:szCs w:val="14"/>
          <w:lang w:val="en-US"/>
        </w:rPr>
        <w:t>Market Definition</w:t>
      </w:r>
      <w:r w:rsidRPr="00A73501">
        <w:rPr>
          <w:rFonts w:ascii="Arial" w:hAnsi="Arial" w:cs="Arial"/>
          <w:sz w:val="14"/>
          <w:szCs w:val="14"/>
          <w:lang w:val="en-US"/>
        </w:rPr>
        <w:t xml:space="preserve">.; DOJ y FTC (2010). </w:t>
      </w:r>
      <w:r w:rsidRPr="00A73501">
        <w:rPr>
          <w:rFonts w:ascii="Arial" w:hAnsi="Arial" w:cs="Arial"/>
          <w:i/>
          <w:sz w:val="14"/>
          <w:szCs w:val="14"/>
        </w:rPr>
        <w:t>Horizontal Merger Guidelines</w:t>
      </w:r>
      <w:r w:rsidRPr="00A73501">
        <w:rPr>
          <w:rFonts w:ascii="Arial" w:hAnsi="Arial" w:cs="Arial"/>
          <w:sz w:val="14"/>
          <w:szCs w:val="14"/>
        </w:rPr>
        <w:t>; y OCDE (2016).</w:t>
      </w:r>
      <w:r w:rsidRPr="00A73501">
        <w:rPr>
          <w:rFonts w:ascii="Arial" w:hAnsi="Arial" w:cs="Arial"/>
          <w:i/>
          <w:sz w:val="14"/>
          <w:szCs w:val="14"/>
        </w:rPr>
        <w:t xml:space="preserve"> Exámenes de mercado en México: Un manual del secretariado de la OCDE</w:t>
      </w:r>
      <w:r w:rsidRPr="00A73501">
        <w:rPr>
          <w:rFonts w:ascii="Arial" w:hAnsi="Arial" w:cs="Arial"/>
          <w:sz w:val="14"/>
          <w:szCs w:val="14"/>
        </w:rPr>
        <w:t xml:space="preserve">. </w:t>
      </w:r>
      <w:r w:rsidRPr="00A73501">
        <w:rPr>
          <w:rFonts w:ascii="Arial" w:hAnsi="Arial" w:cs="Arial"/>
          <w:sz w:val="14"/>
          <w:szCs w:val="14"/>
          <w:lang w:val="fr-FR"/>
        </w:rPr>
        <w:t xml:space="preserve">Disponible en: </w:t>
      </w:r>
      <w:hyperlink r:id="rId20" w:history="1">
        <w:r w:rsidRPr="00A73501">
          <w:rPr>
            <w:rStyle w:val="Hipervnculo"/>
            <w:rFonts w:ascii="Arial" w:hAnsi="Arial" w:cs="Arial"/>
            <w:sz w:val="14"/>
            <w:szCs w:val="14"/>
            <w:lang w:val="fr-FR"/>
          </w:rPr>
          <w:t>http://www.oecd.org/daf/competition/Examenes-de-mercado-en-Mexico-Manual-2016.pdf</w:t>
        </w:r>
      </w:hyperlink>
    </w:p>
  </w:footnote>
  <w:footnote w:id="41">
    <w:p w14:paraId="4EE834D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párrafo 25. </w:t>
      </w:r>
    </w:p>
  </w:footnote>
  <w:footnote w:id="42">
    <w:p w14:paraId="3D4044B2" w14:textId="3D5EAF0C" w:rsidR="007E0735" w:rsidRPr="00103767"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DOJ y FTC (2010). </w:t>
      </w:r>
      <w:r w:rsidRPr="00103767">
        <w:rPr>
          <w:rFonts w:ascii="Arial" w:hAnsi="Arial" w:cs="Arial"/>
          <w:i/>
          <w:sz w:val="14"/>
          <w:szCs w:val="14"/>
        </w:rPr>
        <w:t>Horizontal Merger Guidelines</w:t>
      </w:r>
      <w:r w:rsidRPr="00103767">
        <w:rPr>
          <w:rFonts w:ascii="Arial" w:hAnsi="Arial" w:cs="Arial"/>
          <w:sz w:val="14"/>
          <w:szCs w:val="14"/>
        </w:rPr>
        <w:t>.</w:t>
      </w:r>
      <w:r w:rsidR="00103767" w:rsidRPr="00103767">
        <w:rPr>
          <w:rFonts w:ascii="Arial" w:hAnsi="Arial" w:cs="Arial"/>
          <w:sz w:val="14"/>
          <w:szCs w:val="14"/>
        </w:rPr>
        <w:t xml:space="preserve"> Disponible en:</w:t>
      </w:r>
      <w:r w:rsidR="00103767">
        <w:rPr>
          <w:rFonts w:ascii="Arial" w:hAnsi="Arial" w:cs="Arial"/>
          <w:sz w:val="14"/>
          <w:szCs w:val="14"/>
        </w:rPr>
        <w:t xml:space="preserve"> </w:t>
      </w:r>
      <w:hyperlink r:id="rId21" w:history="1">
        <w:r w:rsidR="00103767" w:rsidRPr="00257681">
          <w:rPr>
            <w:rStyle w:val="Hipervnculo"/>
            <w:rFonts w:ascii="Arial" w:hAnsi="Arial" w:cs="Arial"/>
            <w:sz w:val="14"/>
            <w:szCs w:val="14"/>
          </w:rPr>
          <w:t>https://apps.fcc.gov/edocs_public/attachmatch/FCC-15-94A1.pdf</w:t>
        </w:r>
      </w:hyperlink>
    </w:p>
  </w:footnote>
  <w:footnote w:id="43">
    <w:p w14:paraId="65982EAA"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GB"/>
        </w:rPr>
        <w:t xml:space="preserve"> CMA/</w:t>
      </w:r>
      <w:r w:rsidRPr="00A73501">
        <w:rPr>
          <w:rFonts w:ascii="Arial" w:hAnsi="Arial" w:cs="Arial"/>
          <w:sz w:val="14"/>
          <w:szCs w:val="14"/>
          <w:lang w:val="en-US"/>
        </w:rPr>
        <w:t xml:space="preserve">OFT (2004). </w:t>
      </w:r>
      <w:r w:rsidRPr="00A73501">
        <w:rPr>
          <w:rFonts w:ascii="Arial" w:hAnsi="Arial" w:cs="Arial"/>
          <w:i/>
          <w:sz w:val="14"/>
          <w:szCs w:val="14"/>
          <w:lang w:val="en-US"/>
        </w:rPr>
        <w:t xml:space="preserve">Market definition, Understanding competition law. </w:t>
      </w:r>
      <w:r w:rsidRPr="00A73501">
        <w:rPr>
          <w:rFonts w:ascii="Arial" w:hAnsi="Arial" w:cs="Arial"/>
          <w:sz w:val="14"/>
          <w:szCs w:val="14"/>
          <w:lang w:val="en-US"/>
        </w:rPr>
        <w:t xml:space="preserve">p. 8. </w:t>
      </w:r>
    </w:p>
  </w:footnote>
  <w:footnote w:id="44">
    <w:p w14:paraId="1A430CF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En la literatura especializada, se ha señalado que la Prueba SSNIP “</w:t>
      </w:r>
      <w:r w:rsidRPr="00A73501">
        <w:rPr>
          <w:rFonts w:ascii="Arial" w:hAnsi="Arial" w:cs="Arial"/>
          <w:i/>
          <w:sz w:val="14"/>
          <w:szCs w:val="14"/>
        </w:rPr>
        <w:t>debe guiar el análisis de la definición de mercado, tanto en la dimensión producto como en la dimensión geográfica</w:t>
      </w:r>
      <w:r w:rsidRPr="00A73501">
        <w:rPr>
          <w:rFonts w:ascii="Arial" w:hAnsi="Arial" w:cs="Arial"/>
          <w:sz w:val="14"/>
          <w:szCs w:val="14"/>
        </w:rPr>
        <w:t xml:space="preserve">”. Motta, M. (2004). </w:t>
      </w:r>
      <w:r w:rsidRPr="00A73501">
        <w:rPr>
          <w:rFonts w:ascii="Arial" w:hAnsi="Arial" w:cs="Arial"/>
          <w:i/>
          <w:sz w:val="14"/>
          <w:szCs w:val="14"/>
        </w:rPr>
        <w:t>Competition Policy. Theory and Practice</w:t>
      </w:r>
      <w:r w:rsidRPr="00A73501">
        <w:rPr>
          <w:rFonts w:ascii="Arial" w:hAnsi="Arial" w:cs="Arial"/>
          <w:sz w:val="14"/>
          <w:szCs w:val="14"/>
        </w:rPr>
        <w:t>, capítulo 3.</w:t>
      </w:r>
    </w:p>
  </w:footnote>
  <w:footnote w:id="45">
    <w:p w14:paraId="19555E70"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En la práctica internacional, usualmente se considera un aumento de entre 5% y 10% en el precio en un periodo de por lo menos 1 año. OCDE (2012). </w:t>
      </w:r>
      <w:r w:rsidRPr="00A73501">
        <w:rPr>
          <w:rFonts w:ascii="Arial" w:hAnsi="Arial" w:cs="Arial"/>
          <w:i/>
          <w:sz w:val="14"/>
          <w:szCs w:val="14"/>
        </w:rPr>
        <w:t>Market Definition</w:t>
      </w:r>
      <w:r w:rsidRPr="00A73501">
        <w:rPr>
          <w:rFonts w:ascii="Arial" w:hAnsi="Arial" w:cs="Arial"/>
          <w:sz w:val="14"/>
          <w:szCs w:val="14"/>
        </w:rPr>
        <w:t xml:space="preserve">. p. 30;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CBC (2011). </w:t>
      </w:r>
      <w:r w:rsidRPr="00A73501">
        <w:rPr>
          <w:rFonts w:ascii="Arial" w:hAnsi="Arial" w:cs="Arial"/>
          <w:i/>
          <w:sz w:val="14"/>
          <w:szCs w:val="14"/>
        </w:rPr>
        <w:t>Merger Enforcement Guidelines</w:t>
      </w:r>
      <w:r w:rsidRPr="00A73501">
        <w:rPr>
          <w:rFonts w:ascii="Arial" w:hAnsi="Arial" w:cs="Arial"/>
          <w:sz w:val="14"/>
          <w:szCs w:val="14"/>
        </w:rPr>
        <w:t xml:space="preserve">. p. 11, y CE (2018). </w:t>
      </w:r>
      <w:r w:rsidRPr="00A73501">
        <w:rPr>
          <w:rFonts w:ascii="Arial" w:hAnsi="Arial" w:cs="Arial"/>
          <w:i/>
          <w:sz w:val="14"/>
          <w:szCs w:val="14"/>
        </w:rPr>
        <w:t xml:space="preserve">Directrices sobre análisis del mercado y evaluación del peso significativo en el mercado dentro del marco regulador de las redes y los servicios de comunicaciones electrónicas de la UE, </w:t>
      </w:r>
      <w:r w:rsidRPr="00A73501">
        <w:rPr>
          <w:rFonts w:ascii="Arial" w:hAnsi="Arial" w:cs="Arial"/>
          <w:sz w:val="14"/>
          <w:szCs w:val="14"/>
        </w:rPr>
        <w:t xml:space="preserve">párrafo 29. No obstante, la CBC también ha señalado que pueden utilizarse parámetros distintos para la duración o porcentaje, si el caso lo amerita. </w:t>
      </w:r>
      <w:r w:rsidRPr="00A73501">
        <w:rPr>
          <w:rFonts w:ascii="Arial" w:hAnsi="Arial" w:cs="Arial"/>
          <w:sz w:val="14"/>
          <w:szCs w:val="14"/>
          <w:lang w:val="en-US"/>
        </w:rPr>
        <w:t xml:space="preserve">CBC (2011). </w:t>
      </w:r>
      <w:r w:rsidRPr="00A73501">
        <w:rPr>
          <w:rFonts w:ascii="Arial" w:hAnsi="Arial" w:cs="Arial"/>
          <w:i/>
          <w:sz w:val="14"/>
          <w:szCs w:val="14"/>
          <w:lang w:val="en-US"/>
        </w:rPr>
        <w:t>Merger Enforcement Guidelines</w:t>
      </w:r>
      <w:r w:rsidRPr="00A73501">
        <w:rPr>
          <w:rFonts w:ascii="Arial" w:hAnsi="Arial" w:cs="Arial"/>
          <w:sz w:val="14"/>
          <w:szCs w:val="14"/>
          <w:lang w:val="en-US"/>
        </w:rPr>
        <w:t>. p. 11.</w:t>
      </w:r>
    </w:p>
  </w:footnote>
  <w:footnote w:id="46">
    <w:p w14:paraId="7B14A81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(2011). </w:t>
      </w:r>
      <w:r w:rsidRPr="00A73501">
        <w:rPr>
          <w:rFonts w:ascii="Arial" w:hAnsi="Arial" w:cs="Arial"/>
          <w:i/>
          <w:sz w:val="14"/>
          <w:szCs w:val="14"/>
          <w:lang w:val="en-US"/>
        </w:rPr>
        <w:t>Merger Enforcement Guidelines</w:t>
      </w:r>
      <w:r w:rsidRPr="00A73501">
        <w:rPr>
          <w:rFonts w:ascii="Arial" w:hAnsi="Arial" w:cs="Arial"/>
          <w:sz w:val="14"/>
          <w:szCs w:val="14"/>
          <w:lang w:val="en-US"/>
        </w:rPr>
        <w:t xml:space="preserve">. p. 11. y ACCC (2008). </w:t>
      </w:r>
      <w:r w:rsidRPr="00A73501">
        <w:rPr>
          <w:rFonts w:ascii="Arial" w:hAnsi="Arial" w:cs="Arial"/>
          <w:i/>
          <w:sz w:val="14"/>
          <w:szCs w:val="14"/>
          <w:lang w:val="en-US"/>
        </w:rPr>
        <w:t xml:space="preserve">Merger Guidelines </w:t>
      </w:r>
      <w:r w:rsidRPr="00A73501">
        <w:rPr>
          <w:rFonts w:ascii="Arial" w:hAnsi="Arial" w:cs="Arial"/>
          <w:color w:val="000000"/>
          <w:sz w:val="14"/>
          <w:szCs w:val="14"/>
          <w:shd w:val="clear" w:color="auto" w:fill="FFFFFF"/>
          <w:lang w:val="en-US"/>
        </w:rPr>
        <w:t xml:space="preserve">(actualización 2017). p.15. </w:t>
      </w:r>
    </w:p>
  </w:footnote>
  <w:footnote w:id="47">
    <w:p w14:paraId="62810CB6" w14:textId="77777777" w:rsidR="007E0735" w:rsidRPr="00A73501"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A73501">
        <w:rPr>
          <w:rFonts w:ascii="Arial" w:hAnsi="Arial" w:cs="Arial"/>
          <w:sz w:val="14"/>
          <w:szCs w:val="14"/>
          <w:lang w:val="en-GB"/>
        </w:rPr>
        <w:t xml:space="preserve"> CMA/</w:t>
      </w:r>
      <w:r w:rsidRPr="00A73501">
        <w:rPr>
          <w:rFonts w:ascii="Arial" w:hAnsi="Arial" w:cs="Arial"/>
          <w:sz w:val="14"/>
          <w:szCs w:val="14"/>
          <w:lang w:val="en-US"/>
        </w:rPr>
        <w:t xml:space="preserve">OFT (2004). </w:t>
      </w:r>
      <w:r w:rsidRPr="00A73501">
        <w:rPr>
          <w:rFonts w:ascii="Arial" w:hAnsi="Arial" w:cs="Arial"/>
          <w:i/>
          <w:sz w:val="14"/>
          <w:szCs w:val="14"/>
          <w:lang w:val="en-US"/>
        </w:rPr>
        <w:t xml:space="preserve">Market definition, Understanding competition law. </w:t>
      </w:r>
      <w:r w:rsidRPr="00A73501">
        <w:rPr>
          <w:rFonts w:ascii="Arial" w:hAnsi="Arial" w:cs="Arial"/>
          <w:sz w:val="14"/>
          <w:szCs w:val="14"/>
          <w:lang w:val="en-US"/>
        </w:rPr>
        <w:t>p. 15.</w:t>
      </w:r>
    </w:p>
  </w:footnote>
  <w:footnote w:id="48">
    <w:p w14:paraId="0BD18F4B"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(2011). </w:t>
      </w:r>
      <w:r w:rsidRPr="00A73501">
        <w:rPr>
          <w:rFonts w:ascii="Arial" w:hAnsi="Arial" w:cs="Arial"/>
          <w:i/>
          <w:sz w:val="14"/>
          <w:szCs w:val="14"/>
          <w:lang w:val="en-US"/>
        </w:rPr>
        <w:t>Merger Enforcement Guidelines</w:t>
      </w:r>
      <w:r w:rsidRPr="00A73501">
        <w:rPr>
          <w:rFonts w:ascii="Arial" w:hAnsi="Arial" w:cs="Arial"/>
          <w:sz w:val="14"/>
          <w:szCs w:val="14"/>
          <w:lang w:val="en-US"/>
        </w:rPr>
        <w:t xml:space="preserve">. p. 12; OCDE (2012). </w:t>
      </w:r>
      <w:r w:rsidRPr="00A73501">
        <w:rPr>
          <w:rFonts w:ascii="Arial" w:hAnsi="Arial" w:cs="Arial"/>
          <w:i/>
          <w:sz w:val="14"/>
          <w:szCs w:val="14"/>
          <w:lang w:val="en-GB"/>
        </w:rPr>
        <w:t>Market Definition</w:t>
      </w:r>
      <w:r w:rsidRPr="00A73501">
        <w:rPr>
          <w:rFonts w:ascii="Arial" w:hAnsi="Arial" w:cs="Arial"/>
          <w:sz w:val="14"/>
          <w:szCs w:val="14"/>
          <w:lang w:val="en-GB"/>
        </w:rPr>
        <w:t xml:space="preserve">. pp. 31-34, y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p. 15.</w:t>
      </w:r>
    </w:p>
  </w:footnote>
  <w:footnote w:id="49">
    <w:p w14:paraId="42453B16" w14:textId="1C772528"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w:t>
      </w:r>
      <w:r w:rsidRPr="00A73501">
        <w:rPr>
          <w:rFonts w:ascii="Arial" w:hAnsi="Arial" w:cs="Arial"/>
          <w:i/>
          <w:sz w:val="14"/>
          <w:szCs w:val="14"/>
          <w:lang w:val="en-US"/>
        </w:rPr>
        <w:t>Small-butsignificant non-transitory decrease in quality test (SSNDQ).</w:t>
      </w:r>
      <w:r w:rsidRPr="00A73501">
        <w:rPr>
          <w:rFonts w:ascii="Arial" w:hAnsi="Arial" w:cs="Arial"/>
          <w:sz w:val="14"/>
          <w:szCs w:val="14"/>
          <w:lang w:val="en-US"/>
        </w:rPr>
        <w:t xml:space="preserve"> Ver OCDE (2018). </w:t>
      </w:r>
      <w:r w:rsidRPr="00A73501">
        <w:rPr>
          <w:rFonts w:ascii="Arial" w:hAnsi="Arial" w:cs="Arial"/>
          <w:i/>
          <w:sz w:val="14"/>
          <w:szCs w:val="14"/>
          <w:lang w:val="en-US"/>
        </w:rPr>
        <w:t>Quality considerations in digital zero-price markets</w:t>
      </w:r>
      <w:r w:rsidRPr="00A73501">
        <w:rPr>
          <w:rFonts w:ascii="Arial" w:hAnsi="Arial" w:cs="Arial"/>
          <w:sz w:val="14"/>
          <w:szCs w:val="14"/>
          <w:lang w:val="en-US"/>
        </w:rPr>
        <w:t xml:space="preserve">. </w:t>
      </w:r>
      <w:r w:rsidRPr="00A73501">
        <w:rPr>
          <w:rFonts w:ascii="Arial" w:hAnsi="Arial" w:cs="Arial"/>
          <w:i/>
          <w:sz w:val="14"/>
          <w:szCs w:val="14"/>
          <w:lang w:val="en-US"/>
        </w:rPr>
        <w:t>Background note by the Secretariat</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22" w:history="1">
        <w:r w:rsidRPr="00A73501">
          <w:rPr>
            <w:rStyle w:val="Hipervnculo"/>
            <w:rFonts w:ascii="Arial" w:hAnsi="Arial" w:cs="Arial"/>
            <w:sz w:val="14"/>
            <w:szCs w:val="14"/>
          </w:rPr>
          <w:t>https://one.oecd.org/document/DAF/COMP(2018)14/en/pdf</w:t>
        </w:r>
      </w:hyperlink>
    </w:p>
  </w:footnote>
  <w:footnote w:id="50">
    <w:p w14:paraId="0172D650" w14:textId="681211DB"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SCJN (2016). </w:t>
      </w:r>
      <w:r w:rsidRPr="00A73501">
        <w:rPr>
          <w:rFonts w:ascii="Arial" w:hAnsi="Arial" w:cs="Arial"/>
          <w:b/>
          <w:i/>
          <w:sz w:val="14"/>
          <w:szCs w:val="14"/>
        </w:rPr>
        <w:t>MERCADO RELEVANTE. CARACTERÍSTICAS Y UTILIDAD DE LA PRUEBA DE ELASTICIDAD CRUZADA DE LA DEMANDA Y DE LA OFERTA PARA DETERMINARLO</w:t>
      </w:r>
      <w:r w:rsidRPr="00A73501">
        <w:rPr>
          <w:rFonts w:ascii="Arial" w:hAnsi="Arial" w:cs="Arial"/>
          <w:i/>
          <w:sz w:val="14"/>
          <w:szCs w:val="14"/>
        </w:rPr>
        <w:t>.</w:t>
      </w:r>
      <w:r w:rsidRPr="00A73501">
        <w:rPr>
          <w:rFonts w:ascii="Arial" w:hAnsi="Arial" w:cs="Arial"/>
          <w:sz w:val="14"/>
          <w:szCs w:val="14"/>
        </w:rPr>
        <w:t xml:space="preserve"> Tesis: I.1o.A.E.121 A (10a.). Gaceta del Semanario Judicial de la Federación, Décima Época, Tribunales Colegiados de Circuito. Libro 27, Febrero de 2016, Tomo III. Pag. 2097.</w:t>
      </w:r>
    </w:p>
  </w:footnote>
  <w:footnote w:id="51">
    <w:p w14:paraId="2D947908" w14:textId="77777777" w:rsidR="007E0735" w:rsidRPr="00DF009A"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E975FE">
        <w:rPr>
          <w:rFonts w:ascii="Arial" w:hAnsi="Arial" w:cs="Arial"/>
          <w:sz w:val="14"/>
          <w:szCs w:val="14"/>
        </w:rPr>
        <w:t xml:space="preserve"> ICN (2006). </w:t>
      </w:r>
      <w:r w:rsidRPr="007E637D">
        <w:rPr>
          <w:rFonts w:ascii="Arial" w:hAnsi="Arial" w:cs="Arial"/>
          <w:i/>
          <w:sz w:val="14"/>
          <w:szCs w:val="14"/>
        </w:rPr>
        <w:t>ICN Merger Guidelines Workbook</w:t>
      </w:r>
      <w:r w:rsidRPr="00DF009A">
        <w:rPr>
          <w:rFonts w:ascii="Arial" w:hAnsi="Arial" w:cs="Arial"/>
          <w:sz w:val="14"/>
          <w:szCs w:val="14"/>
        </w:rPr>
        <w:t xml:space="preserve">. p. 20. </w:t>
      </w:r>
      <w:r w:rsidRPr="00DF009A">
        <w:rPr>
          <w:rFonts w:ascii="Arial" w:hAnsi="Arial" w:cs="Arial"/>
          <w:i/>
          <w:sz w:val="14"/>
          <w:szCs w:val="14"/>
        </w:rPr>
        <w:t xml:space="preserve"> </w:t>
      </w:r>
    </w:p>
  </w:footnote>
  <w:footnote w:id="52">
    <w:p w14:paraId="33F3E3B4"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US"/>
        </w:rPr>
        <w:t xml:space="preserve"> ICN (2006), </w:t>
      </w:r>
      <w:r w:rsidRPr="00A73501">
        <w:rPr>
          <w:rFonts w:ascii="Arial" w:hAnsi="Arial" w:cs="Arial"/>
          <w:i/>
          <w:sz w:val="14"/>
          <w:szCs w:val="14"/>
          <w:lang w:val="en-US"/>
        </w:rPr>
        <w:t>ICN Merger Guidelines Workbook</w:t>
      </w:r>
      <w:r w:rsidRPr="00A73501">
        <w:rPr>
          <w:rFonts w:ascii="Arial" w:hAnsi="Arial" w:cs="Arial"/>
          <w:sz w:val="14"/>
          <w:szCs w:val="14"/>
          <w:lang w:val="en-US"/>
        </w:rPr>
        <w:t xml:space="preserve">. p. 20;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p. 7; DOJ y FTC (2010). </w:t>
      </w:r>
      <w:r w:rsidRPr="00A73501">
        <w:rPr>
          <w:rFonts w:ascii="Arial" w:hAnsi="Arial" w:cs="Arial"/>
          <w:i/>
          <w:sz w:val="14"/>
          <w:szCs w:val="14"/>
          <w:lang w:val="en-GB"/>
        </w:rPr>
        <w:t xml:space="preserve">Horizontal Merger Guidelines. </w:t>
      </w:r>
      <w:r w:rsidRPr="00A73501">
        <w:rPr>
          <w:rFonts w:ascii="Arial" w:hAnsi="Arial" w:cs="Arial"/>
          <w:sz w:val="14"/>
          <w:szCs w:val="14"/>
          <w:lang w:val="en-GB"/>
        </w:rPr>
        <w:t xml:space="preserve">p. 12; ACCC (2008). </w:t>
      </w:r>
      <w:r w:rsidRPr="00A73501">
        <w:rPr>
          <w:rFonts w:ascii="Arial" w:hAnsi="Arial" w:cs="Arial"/>
          <w:i/>
          <w:sz w:val="14"/>
          <w:szCs w:val="14"/>
          <w:lang w:val="en-US"/>
        </w:rPr>
        <w:t xml:space="preserve">Merger Guidelines </w:t>
      </w:r>
      <w:r w:rsidRPr="00A73501">
        <w:rPr>
          <w:rFonts w:ascii="Arial" w:hAnsi="Arial" w:cs="Arial"/>
          <w:color w:val="000000"/>
          <w:sz w:val="14"/>
          <w:szCs w:val="14"/>
          <w:shd w:val="clear" w:color="auto" w:fill="FFFFFF"/>
          <w:lang w:val="en-US"/>
        </w:rPr>
        <w:t>(actualización 2017). p.16; CMA/</w:t>
      </w:r>
      <w:r w:rsidRPr="00A73501">
        <w:rPr>
          <w:rFonts w:ascii="Arial" w:hAnsi="Arial" w:cs="Arial"/>
          <w:sz w:val="14"/>
          <w:szCs w:val="14"/>
          <w:lang w:val="en-GB"/>
        </w:rPr>
        <w:t xml:space="preserve">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p. 4, y </w:t>
      </w:r>
      <w:r w:rsidRPr="00A73501">
        <w:rPr>
          <w:rFonts w:ascii="Arial" w:hAnsi="Arial" w:cs="Arial"/>
          <w:sz w:val="14"/>
          <w:szCs w:val="14"/>
          <w:lang w:val="en-GB"/>
        </w:rPr>
        <w:t xml:space="preserve">CBC (2011). </w:t>
      </w:r>
      <w:r w:rsidRPr="00A73501">
        <w:rPr>
          <w:rFonts w:ascii="Arial" w:hAnsi="Arial" w:cs="Arial"/>
          <w:i/>
          <w:sz w:val="14"/>
          <w:szCs w:val="14"/>
          <w:lang w:val="fr-FR"/>
        </w:rPr>
        <w:t>Merger Enforcement Guidelines</w:t>
      </w:r>
      <w:r w:rsidRPr="00A73501">
        <w:rPr>
          <w:rFonts w:ascii="Arial" w:hAnsi="Arial" w:cs="Arial"/>
          <w:sz w:val="14"/>
          <w:szCs w:val="14"/>
          <w:lang w:val="fr-FR"/>
        </w:rPr>
        <w:t>. p. 13.</w:t>
      </w:r>
    </w:p>
  </w:footnote>
  <w:footnote w:id="53">
    <w:p w14:paraId="2E732D6C"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DOJ y FTC (2010). </w:t>
      </w:r>
      <w:r w:rsidRPr="00A73501">
        <w:rPr>
          <w:rFonts w:ascii="Arial" w:hAnsi="Arial" w:cs="Arial"/>
          <w:i/>
          <w:sz w:val="14"/>
          <w:szCs w:val="14"/>
          <w:lang w:val="fr-FR"/>
        </w:rPr>
        <w:t xml:space="preserve">Horizontal Merger Guidelines. </w:t>
      </w:r>
      <w:r w:rsidRPr="00A73501">
        <w:rPr>
          <w:rFonts w:ascii="Arial" w:hAnsi="Arial" w:cs="Arial"/>
          <w:sz w:val="14"/>
          <w:szCs w:val="14"/>
          <w:lang w:val="fr-FR"/>
        </w:rPr>
        <w:t>p. 12.</w:t>
      </w:r>
    </w:p>
  </w:footnote>
  <w:footnote w:id="54">
    <w:p w14:paraId="13A24CD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párrafo 15.</w:t>
      </w:r>
    </w:p>
  </w:footnote>
  <w:footnote w:id="55">
    <w:p w14:paraId="546A593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ACCC (2008). </w:t>
      </w:r>
      <w:r w:rsidRPr="00A73501">
        <w:rPr>
          <w:rFonts w:ascii="Arial" w:hAnsi="Arial" w:cs="Arial"/>
          <w:i/>
          <w:sz w:val="14"/>
          <w:szCs w:val="14"/>
        </w:rPr>
        <w:t>Merger Guidelines</w:t>
      </w:r>
      <w:r w:rsidRPr="00A73501">
        <w:rPr>
          <w:rFonts w:ascii="Arial" w:hAnsi="Arial" w:cs="Arial"/>
          <w:sz w:val="14"/>
          <w:szCs w:val="14"/>
        </w:rPr>
        <w:t xml:space="preserve"> </w:t>
      </w:r>
      <w:r w:rsidRPr="00A73501">
        <w:rPr>
          <w:rFonts w:ascii="Arial" w:hAnsi="Arial" w:cs="Arial"/>
          <w:color w:val="000000"/>
          <w:sz w:val="14"/>
          <w:szCs w:val="14"/>
          <w:shd w:val="clear" w:color="auto" w:fill="FFFFFF"/>
        </w:rPr>
        <w:t>(actualización 2017)</w:t>
      </w:r>
      <w:r w:rsidRPr="00A73501">
        <w:rPr>
          <w:rFonts w:ascii="Arial" w:hAnsi="Arial" w:cs="Arial"/>
          <w:sz w:val="14"/>
          <w:szCs w:val="14"/>
        </w:rPr>
        <w:t>. p. 16.</w:t>
      </w:r>
    </w:p>
  </w:footnote>
  <w:footnote w:id="56">
    <w:p w14:paraId="0EEE50CB" w14:textId="77777777" w:rsidR="007E0735" w:rsidRPr="00A73501"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GB"/>
        </w:rPr>
        <w:t xml:space="preserve"> p. 4. </w:t>
      </w:r>
    </w:p>
  </w:footnote>
  <w:footnote w:id="57">
    <w:p w14:paraId="679E2C73"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CBC (2011). </w:t>
      </w:r>
      <w:r w:rsidRPr="00A73501">
        <w:rPr>
          <w:rFonts w:ascii="Arial" w:hAnsi="Arial" w:cs="Arial"/>
          <w:i/>
          <w:sz w:val="14"/>
          <w:szCs w:val="14"/>
          <w:lang w:val="fr-FR"/>
        </w:rPr>
        <w:t xml:space="preserve">Merger Enforcement Guidelines. </w:t>
      </w:r>
      <w:r w:rsidRPr="00A73501">
        <w:rPr>
          <w:rFonts w:ascii="Arial" w:hAnsi="Arial" w:cs="Arial"/>
          <w:sz w:val="14"/>
          <w:szCs w:val="14"/>
          <w:lang w:val="fr-FR"/>
        </w:rPr>
        <w:t>p. 13.</w:t>
      </w:r>
    </w:p>
  </w:footnote>
  <w:footnote w:id="58">
    <w:p w14:paraId="6B94C8CA" w14:textId="6C29A257" w:rsidR="007E0735" w:rsidRPr="00170BD5" w:rsidRDefault="007E0735" w:rsidP="00170BD5">
      <w:pPr>
        <w:pStyle w:val="Textonotapie"/>
        <w:rPr>
          <w:rFonts w:ascii="Arial" w:hAnsi="Arial" w:cs="Arial"/>
          <w:sz w:val="14"/>
          <w:szCs w:val="14"/>
        </w:rPr>
      </w:pPr>
      <w:r w:rsidRPr="00170BD5">
        <w:rPr>
          <w:rStyle w:val="Refdenotaalpie"/>
          <w:rFonts w:ascii="Arial" w:hAnsi="Arial" w:cs="Arial"/>
          <w:sz w:val="14"/>
          <w:szCs w:val="14"/>
        </w:rPr>
        <w:footnoteRef/>
      </w:r>
      <w:r w:rsidRPr="00170BD5">
        <w:rPr>
          <w:rFonts w:ascii="Arial" w:hAnsi="Arial" w:cs="Arial"/>
          <w:sz w:val="14"/>
          <w:szCs w:val="14"/>
        </w:rPr>
        <w:t xml:space="preserve"> Instituto (2020). </w:t>
      </w:r>
      <w:r w:rsidRPr="00170B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170BD5">
        <w:rPr>
          <w:rFonts w:ascii="Arial" w:hAnsi="Arial" w:cs="Arial"/>
          <w:sz w:val="14"/>
          <w:szCs w:val="14"/>
        </w:rPr>
        <w:t xml:space="preserve">. Acuerdo P/IFT/181120/436. Disponible en: </w:t>
      </w:r>
      <w:hyperlink r:id="rId23" w:history="1">
        <w:r w:rsidRPr="00170BD5">
          <w:rPr>
            <w:rStyle w:val="Hipervnculo"/>
            <w:rFonts w:ascii="Arial" w:hAnsi="Arial" w:cs="Arial"/>
            <w:sz w:val="14"/>
            <w:szCs w:val="14"/>
          </w:rPr>
          <w:t>http://www.ift.org.mx/sites/default/files/conocenos/pleno/sesiones/acuerdoliga/vp181120436.pdf</w:t>
        </w:r>
      </w:hyperlink>
    </w:p>
  </w:footnote>
  <w:footnote w:id="59">
    <w:p w14:paraId="3A1C142A" w14:textId="77777777" w:rsidR="007E0735" w:rsidRPr="00170BD5" w:rsidRDefault="007E0735" w:rsidP="00A73501">
      <w:pPr>
        <w:pStyle w:val="Textonotapie"/>
        <w:rPr>
          <w:rFonts w:ascii="Arial" w:hAnsi="Arial" w:cs="Arial"/>
          <w:sz w:val="14"/>
          <w:szCs w:val="14"/>
          <w:lang w:val="en-US"/>
        </w:rPr>
      </w:pPr>
      <w:r w:rsidRPr="00170BD5">
        <w:rPr>
          <w:rStyle w:val="Refdenotaalpie"/>
          <w:rFonts w:ascii="Arial" w:hAnsi="Arial" w:cs="Arial"/>
          <w:sz w:val="14"/>
          <w:szCs w:val="14"/>
        </w:rPr>
        <w:footnoteRef/>
      </w:r>
      <w:r w:rsidRPr="00170BD5">
        <w:rPr>
          <w:rFonts w:ascii="Arial" w:hAnsi="Arial" w:cs="Arial"/>
          <w:sz w:val="14"/>
          <w:szCs w:val="14"/>
          <w:lang w:val="fr-FR"/>
        </w:rPr>
        <w:t xml:space="preserve"> DOJ y FTC (2010). </w:t>
      </w:r>
      <w:r w:rsidRPr="00170BD5">
        <w:rPr>
          <w:rFonts w:ascii="Arial" w:hAnsi="Arial" w:cs="Arial"/>
          <w:i/>
          <w:sz w:val="14"/>
          <w:szCs w:val="14"/>
          <w:lang w:val="en-US"/>
        </w:rPr>
        <w:t xml:space="preserve">Horizontal Merger Guidelines. </w:t>
      </w:r>
      <w:r w:rsidRPr="00170BD5">
        <w:rPr>
          <w:rFonts w:ascii="Arial" w:hAnsi="Arial" w:cs="Arial"/>
          <w:sz w:val="14"/>
          <w:szCs w:val="14"/>
          <w:lang w:val="en-US"/>
        </w:rPr>
        <w:t xml:space="preserve">p. 10. </w:t>
      </w:r>
    </w:p>
  </w:footnote>
  <w:footnote w:id="60">
    <w:p w14:paraId="623E67AC"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(2011). </w:t>
      </w:r>
      <w:r w:rsidRPr="00A73501">
        <w:rPr>
          <w:rFonts w:ascii="Arial" w:hAnsi="Arial" w:cs="Arial"/>
          <w:i/>
          <w:sz w:val="14"/>
          <w:szCs w:val="14"/>
          <w:lang w:val="en-US"/>
        </w:rPr>
        <w:t>Merger Enforcement Guidelines</w:t>
      </w:r>
      <w:r w:rsidRPr="00A73501">
        <w:rPr>
          <w:rFonts w:ascii="Arial" w:hAnsi="Arial" w:cs="Arial"/>
          <w:sz w:val="14"/>
          <w:szCs w:val="14"/>
          <w:lang w:val="en-US"/>
        </w:rPr>
        <w:t>. p. 12.</w:t>
      </w:r>
    </w:p>
  </w:footnote>
  <w:footnote w:id="61">
    <w:p w14:paraId="0F1C1837" w14:textId="77777777" w:rsidR="007E0735" w:rsidRPr="00103767" w:rsidRDefault="007E0735" w:rsidP="00A73501">
      <w:pPr>
        <w:spacing w:before="0" w:after="0"/>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GB"/>
        </w:rPr>
        <w:t xml:space="preserve"> OCDE (2016). </w:t>
      </w:r>
      <w:r w:rsidRPr="00A73501">
        <w:rPr>
          <w:rFonts w:ascii="Arial" w:hAnsi="Arial" w:cs="Arial"/>
          <w:i/>
          <w:sz w:val="14"/>
          <w:szCs w:val="14"/>
          <w:lang w:val="en-GB"/>
        </w:rPr>
        <w:t>Defining Geographic Markets Across National Borders. Background Paper by the Secretariat</w:t>
      </w:r>
      <w:r w:rsidRPr="00A73501">
        <w:rPr>
          <w:rFonts w:ascii="Arial" w:hAnsi="Arial" w:cs="Arial"/>
          <w:sz w:val="14"/>
          <w:szCs w:val="14"/>
          <w:lang w:val="en-GB"/>
        </w:rPr>
        <w:t xml:space="preserve">. p. 5. </w:t>
      </w:r>
      <w:r w:rsidRPr="00103767">
        <w:rPr>
          <w:rFonts w:ascii="Arial" w:hAnsi="Arial" w:cs="Arial"/>
          <w:sz w:val="14"/>
          <w:szCs w:val="14"/>
        </w:rPr>
        <w:t xml:space="preserve">Disponible en: </w:t>
      </w:r>
      <w:hyperlink r:id="rId24" w:history="1">
        <w:r w:rsidRPr="00103767">
          <w:rPr>
            <w:rStyle w:val="Hipervnculo"/>
            <w:rFonts w:ascii="Arial" w:hAnsi="Arial" w:cs="Arial"/>
            <w:sz w:val="14"/>
            <w:szCs w:val="14"/>
          </w:rPr>
          <w:t>https://one.oecd.org/document/DAF/COMP/WP3(2016)5/en/pdf</w:t>
        </w:r>
      </w:hyperlink>
    </w:p>
  </w:footnote>
  <w:footnote w:id="62">
    <w:p w14:paraId="43D9AA95" w14:textId="77777777" w:rsidR="007E0735" w:rsidRPr="00A73501"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A73501">
        <w:rPr>
          <w:rFonts w:ascii="Arial" w:hAnsi="Arial" w:cs="Arial"/>
          <w:sz w:val="14"/>
          <w:szCs w:val="14"/>
          <w:lang w:val="en-GB"/>
        </w:rPr>
        <w:t xml:space="preserve"> DOJ y FTC (2010). </w:t>
      </w:r>
      <w:r w:rsidRPr="00A73501">
        <w:rPr>
          <w:rFonts w:ascii="Arial" w:hAnsi="Arial" w:cs="Arial"/>
          <w:i/>
          <w:sz w:val="14"/>
          <w:szCs w:val="14"/>
          <w:lang w:val="en-US"/>
        </w:rPr>
        <w:t xml:space="preserve">Horizontal Merger Guidelines. </w:t>
      </w:r>
      <w:r w:rsidRPr="00A73501">
        <w:rPr>
          <w:rFonts w:ascii="Arial" w:hAnsi="Arial" w:cs="Arial"/>
          <w:sz w:val="14"/>
          <w:szCs w:val="14"/>
          <w:lang w:val="en-US"/>
        </w:rPr>
        <w:t>p. 12.</w:t>
      </w:r>
    </w:p>
  </w:footnote>
  <w:footnote w:id="63">
    <w:p w14:paraId="1071DD3D"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GB"/>
        </w:rPr>
        <w:t xml:space="preserve"> CMA/</w:t>
      </w:r>
      <w:r w:rsidRPr="00A73501">
        <w:rPr>
          <w:rFonts w:ascii="Arial" w:hAnsi="Arial" w:cs="Arial"/>
          <w:sz w:val="14"/>
          <w:szCs w:val="14"/>
          <w:lang w:val="en-US"/>
        </w:rPr>
        <w:t xml:space="preserve">OFT (2004). </w:t>
      </w:r>
      <w:r w:rsidRPr="00A73501">
        <w:rPr>
          <w:rFonts w:ascii="Arial" w:hAnsi="Arial" w:cs="Arial"/>
          <w:i/>
          <w:sz w:val="14"/>
          <w:szCs w:val="14"/>
          <w:lang w:val="en-US"/>
        </w:rPr>
        <w:t xml:space="preserve">Market definition, Understanding competition law. </w:t>
      </w:r>
      <w:r w:rsidRPr="00A73501">
        <w:rPr>
          <w:rFonts w:ascii="Arial" w:hAnsi="Arial" w:cs="Arial"/>
          <w:sz w:val="14"/>
          <w:szCs w:val="14"/>
          <w:lang w:val="en-US"/>
        </w:rPr>
        <w:t>p. 10.</w:t>
      </w:r>
    </w:p>
  </w:footnote>
  <w:footnote w:id="64">
    <w:p w14:paraId="7B412F18"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OCDE (2012). </w:t>
      </w:r>
      <w:r w:rsidRPr="00A73501">
        <w:rPr>
          <w:rFonts w:ascii="Arial" w:hAnsi="Arial" w:cs="Arial"/>
          <w:i/>
          <w:sz w:val="14"/>
          <w:szCs w:val="14"/>
        </w:rPr>
        <w:t>Market Definition</w:t>
      </w:r>
      <w:r w:rsidRPr="00A73501">
        <w:rPr>
          <w:rFonts w:ascii="Arial" w:hAnsi="Arial" w:cs="Arial"/>
          <w:sz w:val="14"/>
          <w:szCs w:val="14"/>
        </w:rPr>
        <w:t>. p. 36.</w:t>
      </w:r>
    </w:p>
  </w:footnote>
  <w:footnote w:id="65">
    <w:p w14:paraId="0EB8A5E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Centro Regional de Competencia para América Latina (2017). </w:t>
      </w:r>
      <w:r w:rsidRPr="00A73501">
        <w:rPr>
          <w:rFonts w:ascii="Arial" w:hAnsi="Arial" w:cs="Arial"/>
          <w:i/>
          <w:sz w:val="14"/>
          <w:szCs w:val="14"/>
        </w:rPr>
        <w:t>Directrices sobre Técnicas Cuantitativas para el Análisis de la Competencia</w:t>
      </w:r>
      <w:r w:rsidRPr="00A73501">
        <w:rPr>
          <w:rFonts w:ascii="Arial" w:hAnsi="Arial" w:cs="Arial"/>
          <w:sz w:val="14"/>
          <w:szCs w:val="14"/>
        </w:rPr>
        <w:t xml:space="preserve">. p. 49. Disponible en: </w:t>
      </w:r>
      <w:hyperlink r:id="rId25" w:history="1">
        <w:r w:rsidRPr="00A73501">
          <w:rPr>
            <w:rStyle w:val="Hipervnculo"/>
            <w:rFonts w:ascii="Arial" w:hAnsi="Arial" w:cs="Arial"/>
            <w:sz w:val="14"/>
            <w:szCs w:val="14"/>
          </w:rPr>
          <w:t>https://unctadcompal.org/wp-content/uploads/2017/11/Lectura-3-DT-Hatzitaskos-Card-Howell.pdf</w:t>
        </w:r>
      </w:hyperlink>
    </w:p>
  </w:footnote>
  <w:footnote w:id="66">
    <w:p w14:paraId="5CC258D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Centro Regional de Competencia para América Latina (2017). </w:t>
      </w:r>
      <w:r w:rsidRPr="00A73501">
        <w:rPr>
          <w:rFonts w:ascii="Arial" w:hAnsi="Arial" w:cs="Arial"/>
          <w:i/>
          <w:sz w:val="14"/>
          <w:szCs w:val="14"/>
        </w:rPr>
        <w:t>Directrices sobre Técnicas Cuantitativas para el Análisis de la Competencia</w:t>
      </w:r>
      <w:r w:rsidRPr="00A73501">
        <w:rPr>
          <w:rFonts w:ascii="Arial" w:hAnsi="Arial" w:cs="Arial"/>
          <w:sz w:val="14"/>
          <w:szCs w:val="14"/>
        </w:rPr>
        <w:t>. p. 49.</w:t>
      </w:r>
    </w:p>
  </w:footnote>
  <w:footnote w:id="67">
    <w:p w14:paraId="26D68DCA" w14:textId="54B7A8A9"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En un ejemplo simplificado, se consideran dos </w:t>
      </w:r>
      <w:r>
        <w:rPr>
          <w:rFonts w:ascii="Arial" w:hAnsi="Arial" w:cs="Arial"/>
          <w:sz w:val="14"/>
          <w:szCs w:val="14"/>
        </w:rPr>
        <w:t>productos</w:t>
      </w:r>
      <w:r w:rsidRPr="00A73501">
        <w:rPr>
          <w:rFonts w:ascii="Arial" w:hAnsi="Arial" w:cs="Arial"/>
          <w:sz w:val="14"/>
          <w:szCs w:val="14"/>
        </w:rPr>
        <w:t xml:space="preserve">, A y B, ambos con un margen de 25% y participaciones de mercado iguales. En el caso de que la empresa A tuviera un margen de 25% y buscara incrementar su precio en un 8%, la Pérdida Crítica sería de 24% (i.e. el incremento de 8% del precio genera beneficios siempre y cuando la cantidad demandada no disminuya en más de 24%). Si estimamos que la elasticidad precio propia del </w:t>
      </w:r>
      <w:r>
        <w:rPr>
          <w:rFonts w:ascii="Arial" w:hAnsi="Arial" w:cs="Arial"/>
          <w:sz w:val="14"/>
          <w:szCs w:val="14"/>
        </w:rPr>
        <w:t>producto</w:t>
      </w:r>
      <w:r w:rsidRPr="00A73501">
        <w:rPr>
          <w:rFonts w:ascii="Arial" w:hAnsi="Arial" w:cs="Arial"/>
          <w:sz w:val="14"/>
          <w:szCs w:val="14"/>
        </w:rPr>
        <w:t xml:space="preserve"> A es –6, un SSNIP de 8% para el </w:t>
      </w:r>
      <w:r>
        <w:rPr>
          <w:rFonts w:ascii="Arial" w:hAnsi="Arial" w:cs="Arial"/>
          <w:sz w:val="14"/>
          <w:szCs w:val="14"/>
        </w:rPr>
        <w:t>producto</w:t>
      </w:r>
      <w:r w:rsidRPr="00A73501">
        <w:rPr>
          <w:rFonts w:ascii="Arial" w:hAnsi="Arial" w:cs="Arial"/>
          <w:sz w:val="14"/>
          <w:szCs w:val="14"/>
        </w:rPr>
        <w:t xml:space="preserve"> A causaría una caída de aproximadamente 48% en la cantidad demandada del producto A, mayor que la pérdida crítica. Si ahora se supone que el monopolista hipotético controla la empresa A y la empresa B y la elasticidad precio cruzada entre los </w:t>
      </w:r>
      <w:r>
        <w:rPr>
          <w:rFonts w:ascii="Arial" w:hAnsi="Arial" w:cs="Arial"/>
          <w:sz w:val="14"/>
          <w:szCs w:val="14"/>
        </w:rPr>
        <w:t>productos</w:t>
      </w:r>
      <w:r w:rsidRPr="00A73501">
        <w:rPr>
          <w:rFonts w:ascii="Arial" w:hAnsi="Arial" w:cs="Arial"/>
          <w:sz w:val="14"/>
          <w:szCs w:val="14"/>
        </w:rPr>
        <w:t xml:space="preserve"> A y B se estima en 4, entonces un SSNIP de 8% para el </w:t>
      </w:r>
      <w:r>
        <w:rPr>
          <w:rFonts w:ascii="Arial" w:hAnsi="Arial" w:cs="Arial"/>
          <w:sz w:val="14"/>
          <w:szCs w:val="14"/>
        </w:rPr>
        <w:t>producto</w:t>
      </w:r>
      <w:r w:rsidRPr="00A73501">
        <w:rPr>
          <w:rFonts w:ascii="Arial" w:hAnsi="Arial" w:cs="Arial"/>
          <w:sz w:val="14"/>
          <w:szCs w:val="14"/>
        </w:rPr>
        <w:t xml:space="preserve"> A resultaría en un incremento del 32% en la demanda para el producto B. Así, 32% de la demanda de A se desvía a B y 16% se desvía a </w:t>
      </w:r>
      <w:r>
        <w:rPr>
          <w:rFonts w:ascii="Arial" w:hAnsi="Arial" w:cs="Arial"/>
          <w:sz w:val="14"/>
          <w:szCs w:val="14"/>
        </w:rPr>
        <w:t>productos</w:t>
      </w:r>
      <w:r w:rsidRPr="00A73501">
        <w:rPr>
          <w:rFonts w:ascii="Arial" w:hAnsi="Arial" w:cs="Arial"/>
          <w:sz w:val="14"/>
          <w:szCs w:val="14"/>
        </w:rPr>
        <w:t xml:space="preserve"> fuera del control del monopolista hipotético. Es decir, el 52% de las unidades de A reciben ahora un margen adicional del 8% (el margen cambia de 25% a 33%), lo cual es mayor que la pérdida del margen del 25% sobre el 16% de sus unidades. Por lo tanto, el SSNIP es rentable.</w:t>
      </w:r>
    </w:p>
  </w:footnote>
  <w:footnote w:id="68">
    <w:p w14:paraId="100A50E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OCDE (2012). </w:t>
      </w:r>
      <w:r w:rsidRPr="00A73501">
        <w:rPr>
          <w:rFonts w:ascii="Arial" w:hAnsi="Arial" w:cs="Arial"/>
          <w:i/>
          <w:sz w:val="14"/>
          <w:szCs w:val="14"/>
        </w:rPr>
        <w:t>Market Definition</w:t>
      </w:r>
      <w:r w:rsidRPr="00A73501">
        <w:rPr>
          <w:rFonts w:ascii="Arial" w:hAnsi="Arial" w:cs="Arial"/>
          <w:sz w:val="14"/>
          <w:szCs w:val="14"/>
        </w:rPr>
        <w:t>. p. 40.</w:t>
      </w:r>
    </w:p>
  </w:footnote>
  <w:footnote w:id="69">
    <w:p w14:paraId="76CDA10D" w14:textId="77777777" w:rsidR="007E0735" w:rsidRPr="00A73501" w:rsidRDefault="007E0735" w:rsidP="00A73501">
      <w:pPr>
        <w:pStyle w:val="Textocomentario"/>
        <w:spacing w:before="0" w:after="0"/>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(1996). </w:t>
      </w:r>
      <w:r w:rsidRPr="00A73501">
        <w:rPr>
          <w:rFonts w:ascii="Arial" w:hAnsi="Arial" w:cs="Arial"/>
          <w:i/>
          <w:sz w:val="14"/>
          <w:szCs w:val="14"/>
          <w:lang w:val="en-GB"/>
        </w:rPr>
        <w:t>Abuse of Dominance and Monopolisation.</w:t>
      </w:r>
      <w:r w:rsidRPr="00A73501">
        <w:rPr>
          <w:rFonts w:ascii="Arial" w:hAnsi="Arial" w:cs="Arial"/>
          <w:sz w:val="14"/>
          <w:szCs w:val="14"/>
          <w:lang w:val="en-GB"/>
        </w:rPr>
        <w:t xml:space="preserve"> </w:t>
      </w:r>
      <w:r w:rsidRPr="00A73501">
        <w:rPr>
          <w:rFonts w:ascii="Arial" w:hAnsi="Arial" w:cs="Arial"/>
          <w:sz w:val="14"/>
          <w:szCs w:val="14"/>
        </w:rPr>
        <w:t xml:space="preserve">Disponible en: </w:t>
      </w:r>
      <w:hyperlink r:id="rId26" w:history="1">
        <w:r w:rsidRPr="00A73501">
          <w:rPr>
            <w:rStyle w:val="Hipervnculo"/>
            <w:rFonts w:ascii="Arial" w:hAnsi="Arial" w:cs="Arial"/>
            <w:sz w:val="14"/>
            <w:szCs w:val="14"/>
          </w:rPr>
          <w:t>https://www.oecd.org/competition/abuse/2379408.pdf</w:t>
        </w:r>
      </w:hyperlink>
    </w:p>
  </w:footnote>
  <w:footnote w:id="70">
    <w:p w14:paraId="49A85D58"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OCDE (2012). </w:t>
      </w:r>
      <w:r w:rsidRPr="00A73501">
        <w:rPr>
          <w:rFonts w:ascii="Arial" w:hAnsi="Arial" w:cs="Arial"/>
          <w:i/>
          <w:sz w:val="14"/>
          <w:szCs w:val="14"/>
        </w:rPr>
        <w:t>Market Definition</w:t>
      </w:r>
      <w:r w:rsidRPr="00A73501">
        <w:rPr>
          <w:rFonts w:ascii="Arial" w:hAnsi="Arial" w:cs="Arial"/>
          <w:sz w:val="14"/>
          <w:szCs w:val="14"/>
        </w:rPr>
        <w:t>. p. 329 (contribución de Estados Unidos).</w:t>
      </w:r>
    </w:p>
  </w:footnote>
  <w:footnote w:id="71">
    <w:p w14:paraId="5B11C8E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(2012). </w:t>
      </w:r>
      <w:r w:rsidRPr="00A73501">
        <w:rPr>
          <w:rFonts w:ascii="Arial" w:hAnsi="Arial" w:cs="Arial"/>
          <w:i/>
          <w:sz w:val="14"/>
          <w:szCs w:val="14"/>
          <w:lang w:val="en-US"/>
        </w:rPr>
        <w:t>Market Definition</w:t>
      </w:r>
      <w:r w:rsidRPr="00A73501">
        <w:rPr>
          <w:rFonts w:ascii="Arial" w:hAnsi="Arial" w:cs="Arial"/>
          <w:sz w:val="14"/>
          <w:szCs w:val="14"/>
          <w:lang w:val="en-US"/>
        </w:rPr>
        <w:t xml:space="preserve">. pp. 41-42, y Aron, D. y Burstein, D. (2010). </w:t>
      </w:r>
      <w:r w:rsidRPr="00A73501">
        <w:rPr>
          <w:rFonts w:ascii="Arial" w:hAnsi="Arial" w:cs="Arial"/>
          <w:i/>
          <w:sz w:val="14"/>
          <w:szCs w:val="14"/>
          <w:lang w:val="en-US"/>
        </w:rPr>
        <w:t>Regulatory policy and the reverse cellophane fallacy</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27" w:history="1">
        <w:r w:rsidRPr="00A73501">
          <w:rPr>
            <w:rStyle w:val="Hipervnculo"/>
            <w:rFonts w:ascii="Arial" w:hAnsi="Arial" w:cs="Arial"/>
            <w:sz w:val="14"/>
            <w:szCs w:val="14"/>
          </w:rPr>
          <w:t>https://academic.oup.com/jcle/article/6/4/973/825175</w:t>
        </w:r>
      </w:hyperlink>
      <w:r w:rsidRPr="00A73501">
        <w:rPr>
          <w:rFonts w:ascii="Arial" w:hAnsi="Arial" w:cs="Arial"/>
          <w:sz w:val="14"/>
          <w:szCs w:val="14"/>
        </w:rPr>
        <w:t xml:space="preserve"> </w:t>
      </w:r>
    </w:p>
  </w:footnote>
  <w:footnote w:id="72">
    <w:p w14:paraId="5455B1F1"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Se dice que un consumidor es infra marginal cuando está dispuesto a pagar más por el bien que el consumidor marginal; su relevancia para el análisis de competencia radica en que </w:t>
      </w:r>
      <w:r w:rsidRPr="00A73501">
        <w:rPr>
          <w:rFonts w:ascii="Arial" w:hAnsi="Arial" w:cs="Arial"/>
          <w:i/>
          <w:sz w:val="14"/>
          <w:szCs w:val="14"/>
        </w:rPr>
        <w:t>“un monopolista hipotético debe tener la capacidad de identificar a los consumidores infra-marginales, basándose en el conocimiento de las elasticidades de la demanda de varios grupos de consumidores dentro del mercado más amplio, de tal manera que permita precios discriminatorios.”</w:t>
      </w:r>
      <w:r w:rsidRPr="00A73501">
        <w:rPr>
          <w:rFonts w:ascii="Arial" w:hAnsi="Arial" w:cs="Arial"/>
          <w:sz w:val="14"/>
          <w:szCs w:val="14"/>
        </w:rPr>
        <w:t xml:space="preserve"> </w:t>
      </w:r>
      <w:r w:rsidRPr="00A73501">
        <w:rPr>
          <w:rFonts w:ascii="Arial" w:hAnsi="Arial" w:cs="Arial"/>
          <w:sz w:val="14"/>
          <w:szCs w:val="14"/>
          <w:lang w:val="en-US"/>
        </w:rPr>
        <w:t xml:space="preserve">En: Keith N. Hylton (2003). </w:t>
      </w:r>
      <w:r w:rsidRPr="00A73501">
        <w:rPr>
          <w:rFonts w:ascii="Arial" w:hAnsi="Arial" w:cs="Arial"/>
          <w:i/>
          <w:sz w:val="14"/>
          <w:szCs w:val="14"/>
          <w:lang w:val="en-US"/>
        </w:rPr>
        <w:t>Antitrust Law: Economic Theory and Common Law Evolution</w:t>
      </w:r>
      <w:r w:rsidRPr="00A73501">
        <w:rPr>
          <w:rFonts w:ascii="Arial" w:hAnsi="Arial" w:cs="Arial"/>
          <w:sz w:val="14"/>
          <w:szCs w:val="14"/>
          <w:lang w:val="en-US"/>
        </w:rPr>
        <w:t xml:space="preserve">. </w:t>
      </w:r>
      <w:r w:rsidRPr="00A73501">
        <w:rPr>
          <w:rFonts w:ascii="Arial" w:hAnsi="Arial" w:cs="Arial"/>
          <w:sz w:val="14"/>
          <w:szCs w:val="14"/>
        </w:rPr>
        <w:t xml:space="preserve">Cambridge University Press. Disponible en: </w:t>
      </w:r>
      <w:hyperlink r:id="rId28" w:history="1">
        <w:r w:rsidRPr="00A73501">
          <w:rPr>
            <w:rStyle w:val="Hipervnculo"/>
            <w:rFonts w:ascii="Arial" w:hAnsi="Arial" w:cs="Arial"/>
            <w:sz w:val="14"/>
            <w:szCs w:val="14"/>
          </w:rPr>
          <w:t>http://assets.cambridge.org/052179/031X/excerpt/052179031X_excerpt.pdf</w:t>
        </w:r>
      </w:hyperlink>
      <w:r w:rsidRPr="00A73501">
        <w:rPr>
          <w:rFonts w:ascii="Arial" w:hAnsi="Arial" w:cs="Arial"/>
          <w:sz w:val="14"/>
          <w:szCs w:val="14"/>
        </w:rPr>
        <w:t xml:space="preserve"> y FTC (2009). </w:t>
      </w:r>
      <w:r w:rsidRPr="00A73501">
        <w:rPr>
          <w:rFonts w:ascii="Arial" w:hAnsi="Arial" w:cs="Arial"/>
          <w:sz w:val="14"/>
          <w:szCs w:val="14"/>
          <w:lang w:val="en-US"/>
        </w:rPr>
        <w:t>HMG Review Project – Comment, Project No. P092900 November 9, 2009, p. 16. Disponible en: https://www.ftc.gov/sites/default/files/documents/public_comments/horizontal-merger-guidelines-review-project-545095-00034/545095-00034.pdf.</w:t>
      </w:r>
    </w:p>
  </w:footnote>
  <w:footnote w:id="73">
    <w:p w14:paraId="76984AD5" w14:textId="685D588D"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En ese caso, el Tribunal de Justicia de la UE, en la determinación de la dimensión </w:t>
      </w:r>
      <w:r>
        <w:rPr>
          <w:rFonts w:ascii="Arial" w:hAnsi="Arial" w:cs="Arial"/>
          <w:sz w:val="14"/>
          <w:szCs w:val="14"/>
        </w:rPr>
        <w:t>producto</w:t>
      </w:r>
      <w:r w:rsidRPr="00A73501">
        <w:rPr>
          <w:rFonts w:ascii="Arial" w:hAnsi="Arial" w:cs="Arial"/>
          <w:sz w:val="14"/>
          <w:szCs w:val="14"/>
        </w:rPr>
        <w:t xml:space="preserve"> de MR, analizó si los plátanos forman parte del mercado de las frutas frescas. La conclusión fue que el mercado del plátano está suficientemente diferenciado del de las demás frutas frescas, considerando, entre otros argumentos, el hecho de que “</w:t>
      </w:r>
      <w:r w:rsidRPr="00A73501">
        <w:rPr>
          <w:rFonts w:ascii="Arial" w:hAnsi="Arial" w:cs="Arial"/>
          <w:i/>
          <w:sz w:val="14"/>
          <w:szCs w:val="14"/>
        </w:rPr>
        <w:t>la apariencia del plátano, su gusto, su consistencia blanda, el hecho de carecer de pepitas, su fácil manejo y su nivel de producción permanente son características que le permiten satisfacer las necesidades constantes de una categoría importante de la población compuesta de niños, personas de edad y enfermos [desdentados]</w:t>
      </w:r>
      <w:r w:rsidRPr="00A73501">
        <w:rPr>
          <w:rFonts w:ascii="Arial" w:hAnsi="Arial" w:cs="Arial"/>
          <w:sz w:val="14"/>
          <w:szCs w:val="14"/>
        </w:rPr>
        <w:t xml:space="preserve">”. Es decir, no se incluyeron bienes sustitutos en el MR debido a que el análisis se hizo sobre un grupo particular de consumidores del </w:t>
      </w:r>
      <w:r>
        <w:rPr>
          <w:rFonts w:ascii="Arial" w:hAnsi="Arial" w:cs="Arial"/>
          <w:sz w:val="14"/>
          <w:szCs w:val="14"/>
        </w:rPr>
        <w:t>producto</w:t>
      </w:r>
      <w:r w:rsidRPr="00A73501">
        <w:rPr>
          <w:rFonts w:ascii="Arial" w:hAnsi="Arial" w:cs="Arial"/>
          <w:sz w:val="14"/>
          <w:szCs w:val="14"/>
        </w:rPr>
        <w:t xml:space="preserve">: los desdentados. </w:t>
      </w:r>
      <w:r w:rsidRPr="00A73501">
        <w:rPr>
          <w:rFonts w:ascii="Arial" w:hAnsi="Arial" w:cs="Arial"/>
          <w:sz w:val="14"/>
          <w:szCs w:val="14"/>
          <w:lang w:val="en-US"/>
        </w:rPr>
        <w:t xml:space="preserve">CE (1978). </w:t>
      </w:r>
      <w:r w:rsidRPr="00A73501">
        <w:rPr>
          <w:rFonts w:ascii="Arial" w:hAnsi="Arial" w:cs="Arial"/>
          <w:i/>
          <w:sz w:val="14"/>
          <w:szCs w:val="14"/>
          <w:lang w:val="en-GB"/>
        </w:rPr>
        <w:t xml:space="preserve">Case </w:t>
      </w:r>
      <w:r w:rsidRPr="00A73501">
        <w:rPr>
          <w:rFonts w:ascii="Arial" w:hAnsi="Arial" w:cs="Arial"/>
          <w:i/>
          <w:color w:val="444444"/>
          <w:sz w:val="14"/>
          <w:szCs w:val="14"/>
          <w:shd w:val="clear" w:color="auto" w:fill="FFFFFF"/>
          <w:lang w:val="en-GB"/>
        </w:rPr>
        <w:t>27/76, United Brands Company and United Brands Continentaal BV v Commission</w:t>
      </w:r>
      <w:r w:rsidRPr="00A73501">
        <w:rPr>
          <w:rFonts w:ascii="Arial" w:hAnsi="Arial" w:cs="Arial"/>
          <w:color w:val="444444"/>
          <w:sz w:val="14"/>
          <w:szCs w:val="14"/>
          <w:shd w:val="clear" w:color="auto" w:fill="FFFFFF"/>
          <w:lang w:val="en-GB"/>
        </w:rPr>
        <w:t xml:space="preserve">. </w:t>
      </w:r>
      <w:r w:rsidRPr="00A73501">
        <w:rPr>
          <w:rFonts w:ascii="Arial" w:hAnsi="Arial" w:cs="Arial"/>
          <w:color w:val="444444"/>
          <w:sz w:val="14"/>
          <w:szCs w:val="14"/>
          <w:shd w:val="clear" w:color="auto" w:fill="FFFFFF"/>
          <w:lang w:val="en-US"/>
        </w:rPr>
        <w:t xml:space="preserve">pp. 76-77. </w:t>
      </w:r>
      <w:r w:rsidRPr="00A73501">
        <w:rPr>
          <w:rFonts w:ascii="Arial" w:hAnsi="Arial" w:cs="Arial"/>
          <w:color w:val="444444"/>
          <w:sz w:val="14"/>
          <w:szCs w:val="14"/>
          <w:shd w:val="clear" w:color="auto" w:fill="FFFFFF"/>
        </w:rPr>
        <w:t xml:space="preserve">Disponible en: </w:t>
      </w:r>
      <w:hyperlink r:id="rId29" w:history="1">
        <w:r w:rsidRPr="00A73501">
          <w:rPr>
            <w:rStyle w:val="Hipervnculo"/>
            <w:rFonts w:ascii="Arial" w:hAnsi="Arial" w:cs="Arial"/>
            <w:sz w:val="14"/>
            <w:szCs w:val="14"/>
          </w:rPr>
          <w:t>https://eur-lex.europa.eu/legal-content/EN/TXT/?uri=CELEX%3A61976CJ0027</w:t>
        </w:r>
      </w:hyperlink>
      <w:r w:rsidRPr="00A73501">
        <w:rPr>
          <w:rFonts w:ascii="Arial" w:hAnsi="Arial" w:cs="Arial"/>
          <w:sz w:val="14"/>
          <w:szCs w:val="14"/>
        </w:rPr>
        <w:t xml:space="preserve">. </w:t>
      </w:r>
    </w:p>
  </w:footnote>
  <w:footnote w:id="74">
    <w:p w14:paraId="4B7BB6E1" w14:textId="0AA29CA9"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El consumidor marginal es aquél que es indiferente entre comprar el </w:t>
      </w:r>
      <w:r>
        <w:rPr>
          <w:rFonts w:ascii="Arial" w:hAnsi="Arial" w:cs="Arial"/>
          <w:sz w:val="14"/>
          <w:szCs w:val="14"/>
        </w:rPr>
        <w:t>producto</w:t>
      </w:r>
      <w:r w:rsidRPr="00A73501">
        <w:rPr>
          <w:rFonts w:ascii="Arial" w:hAnsi="Arial" w:cs="Arial"/>
          <w:sz w:val="14"/>
          <w:szCs w:val="14"/>
        </w:rPr>
        <w:t xml:space="preserve"> y prescindir de él, dado el precio de mercado. </w:t>
      </w:r>
      <w:r w:rsidRPr="00A73501">
        <w:rPr>
          <w:rFonts w:ascii="Arial" w:hAnsi="Arial" w:cs="Arial"/>
          <w:sz w:val="14"/>
          <w:szCs w:val="14"/>
          <w:lang w:val="en-US"/>
        </w:rPr>
        <w:t xml:space="preserve">En: Keith N. Hylton (2003). </w:t>
      </w:r>
      <w:r w:rsidRPr="00A73501">
        <w:rPr>
          <w:rFonts w:ascii="Arial" w:hAnsi="Arial" w:cs="Arial"/>
          <w:i/>
          <w:sz w:val="14"/>
          <w:szCs w:val="14"/>
          <w:lang w:val="en-US"/>
        </w:rPr>
        <w:t>Antitrust Law: Economic Theory and Common Law Evolution</w:t>
      </w:r>
      <w:r w:rsidRPr="00A73501">
        <w:rPr>
          <w:rFonts w:ascii="Arial" w:hAnsi="Arial" w:cs="Arial"/>
          <w:sz w:val="14"/>
          <w:szCs w:val="14"/>
          <w:lang w:val="en-US"/>
        </w:rPr>
        <w:t>. Cambridge University Press.</w:t>
      </w:r>
    </w:p>
  </w:footnote>
  <w:footnote w:id="75">
    <w:p w14:paraId="6423A5FC" w14:textId="77777777" w:rsidR="007E0735" w:rsidRPr="00A73501"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A73501">
        <w:rPr>
          <w:rFonts w:ascii="Arial" w:hAnsi="Arial" w:cs="Arial"/>
          <w:sz w:val="14"/>
          <w:szCs w:val="14"/>
          <w:lang w:val="en-GB"/>
        </w:rPr>
        <w:t xml:space="preserve"> CMA/</w:t>
      </w:r>
      <w:r w:rsidRPr="00A73501">
        <w:rPr>
          <w:rFonts w:ascii="Arial" w:hAnsi="Arial" w:cs="Arial"/>
          <w:sz w:val="14"/>
          <w:szCs w:val="14"/>
          <w:lang w:val="en-US"/>
        </w:rPr>
        <w:t xml:space="preserve">OFT (2004). </w:t>
      </w:r>
      <w:r w:rsidRPr="00A73501">
        <w:rPr>
          <w:rFonts w:ascii="Arial" w:hAnsi="Arial" w:cs="Arial"/>
          <w:i/>
          <w:sz w:val="14"/>
          <w:szCs w:val="14"/>
          <w:lang w:val="en-US"/>
        </w:rPr>
        <w:t xml:space="preserve">Market definition, Understanding competition law, </w:t>
      </w:r>
      <w:r w:rsidRPr="00A73501">
        <w:rPr>
          <w:rFonts w:ascii="Arial" w:hAnsi="Arial" w:cs="Arial"/>
          <w:sz w:val="14"/>
          <w:szCs w:val="14"/>
          <w:lang w:val="en-US"/>
        </w:rPr>
        <w:t>p. 7.</w:t>
      </w:r>
    </w:p>
  </w:footnote>
  <w:footnote w:id="76">
    <w:p w14:paraId="46A3A2FE" w14:textId="77777777" w:rsidR="007E0735" w:rsidRPr="00103767"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GB"/>
        </w:rPr>
        <w:t xml:space="preserve"> </w:t>
      </w:r>
      <w:r w:rsidRPr="00A73501">
        <w:rPr>
          <w:rFonts w:ascii="Arial" w:hAnsi="Arial" w:cs="Arial"/>
          <w:sz w:val="14"/>
          <w:szCs w:val="14"/>
          <w:lang w:val="en-US"/>
        </w:rPr>
        <w:t xml:space="preserve">EE Limited (2014). </w:t>
      </w:r>
      <w:r w:rsidRPr="00A73501">
        <w:rPr>
          <w:rFonts w:ascii="Arial" w:hAnsi="Arial" w:cs="Arial"/>
          <w:i/>
          <w:sz w:val="14"/>
          <w:szCs w:val="14"/>
          <w:lang w:val="en-US"/>
        </w:rPr>
        <w:t>Mobile call termination market review 2015-18. EE response to Ofcom’s consultation</w:t>
      </w:r>
      <w:r w:rsidRPr="00A73501">
        <w:rPr>
          <w:rFonts w:ascii="Arial" w:hAnsi="Arial" w:cs="Arial"/>
          <w:sz w:val="14"/>
          <w:szCs w:val="14"/>
          <w:lang w:val="en-US"/>
        </w:rPr>
        <w:t xml:space="preserve">. p. 10. </w:t>
      </w:r>
      <w:r w:rsidRPr="00103767">
        <w:rPr>
          <w:rFonts w:ascii="Arial" w:hAnsi="Arial" w:cs="Arial"/>
          <w:sz w:val="14"/>
          <w:szCs w:val="14"/>
        </w:rPr>
        <w:t xml:space="preserve">Disponible en: </w:t>
      </w:r>
      <w:hyperlink r:id="rId30" w:history="1">
        <w:r w:rsidRPr="00103767">
          <w:rPr>
            <w:rStyle w:val="Hipervnculo"/>
            <w:rFonts w:ascii="Arial" w:hAnsi="Arial" w:cs="Arial"/>
            <w:sz w:val="14"/>
            <w:szCs w:val="14"/>
          </w:rPr>
          <w:t>https://www.ofcom.org.uk/__data/assets/pdf_file/0028/78166/everything_everywhere.pdf</w:t>
        </w:r>
      </w:hyperlink>
      <w:r w:rsidRPr="00103767">
        <w:rPr>
          <w:rStyle w:val="Hipervnculo"/>
          <w:rFonts w:ascii="Arial" w:hAnsi="Arial" w:cs="Arial"/>
          <w:sz w:val="14"/>
          <w:szCs w:val="14"/>
        </w:rPr>
        <w:t>.</w:t>
      </w:r>
    </w:p>
  </w:footnote>
  <w:footnote w:id="77">
    <w:p w14:paraId="0EB0BA1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ACCC (2008). </w:t>
      </w:r>
      <w:r w:rsidRPr="00A73501">
        <w:rPr>
          <w:rFonts w:ascii="Arial" w:hAnsi="Arial" w:cs="Arial"/>
          <w:i/>
          <w:sz w:val="14"/>
          <w:szCs w:val="14"/>
        </w:rPr>
        <w:t>Merger Guidelines</w:t>
      </w:r>
      <w:r w:rsidRPr="00A73501">
        <w:rPr>
          <w:rFonts w:ascii="Arial" w:hAnsi="Arial" w:cs="Arial"/>
          <w:sz w:val="14"/>
          <w:szCs w:val="14"/>
        </w:rPr>
        <w:t xml:space="preserve"> </w:t>
      </w:r>
      <w:r w:rsidRPr="00A73501">
        <w:rPr>
          <w:rFonts w:ascii="Arial" w:hAnsi="Arial" w:cs="Arial"/>
          <w:color w:val="000000"/>
          <w:sz w:val="14"/>
          <w:szCs w:val="14"/>
          <w:shd w:val="clear" w:color="auto" w:fill="FFFFFF"/>
        </w:rPr>
        <w:t>(actualización 2017)</w:t>
      </w:r>
      <w:r w:rsidRPr="00A73501">
        <w:rPr>
          <w:rFonts w:ascii="Arial" w:hAnsi="Arial" w:cs="Arial"/>
          <w:sz w:val="14"/>
          <w:szCs w:val="14"/>
        </w:rPr>
        <w:t xml:space="preserve">. pp. 16-17;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pp.10-11; CBC (2011). </w:t>
      </w:r>
      <w:r w:rsidRPr="00A73501">
        <w:rPr>
          <w:rFonts w:ascii="Arial" w:hAnsi="Arial" w:cs="Arial"/>
          <w:i/>
          <w:sz w:val="14"/>
          <w:szCs w:val="14"/>
          <w:lang w:val="en-GB"/>
        </w:rPr>
        <w:t>Merger Enforcement Guidelines</w:t>
      </w:r>
      <w:r w:rsidRPr="00A73501">
        <w:rPr>
          <w:rFonts w:ascii="Arial" w:hAnsi="Arial" w:cs="Arial"/>
          <w:sz w:val="14"/>
          <w:szCs w:val="14"/>
          <w:lang w:val="en-GB"/>
        </w:rPr>
        <w:t>. p. 12;</w:t>
      </w:r>
      <w:r w:rsidRPr="00A73501">
        <w:rPr>
          <w:rFonts w:ascii="Arial" w:hAnsi="Arial" w:cs="Arial"/>
          <w:sz w:val="14"/>
          <w:szCs w:val="14"/>
          <w:lang w:val="en-US"/>
        </w:rPr>
        <w:t xml:space="preserve"> CMA/OFT (2004). </w:t>
      </w:r>
      <w:r w:rsidRPr="00A73501">
        <w:rPr>
          <w:rFonts w:ascii="Arial" w:hAnsi="Arial" w:cs="Arial"/>
          <w:i/>
          <w:sz w:val="14"/>
          <w:szCs w:val="14"/>
          <w:lang w:val="en-US"/>
        </w:rPr>
        <w:t xml:space="preserve">Market definition, Understanding competition law. </w:t>
      </w:r>
      <w:r w:rsidRPr="00A73501">
        <w:rPr>
          <w:rFonts w:ascii="Arial" w:hAnsi="Arial" w:cs="Arial"/>
          <w:sz w:val="14"/>
          <w:szCs w:val="14"/>
          <w:lang w:val="en-US"/>
        </w:rPr>
        <w:t xml:space="preserve">pp. </w:t>
      </w:r>
      <w:r w:rsidRPr="00A73501">
        <w:rPr>
          <w:rFonts w:ascii="Arial" w:hAnsi="Arial" w:cs="Arial"/>
          <w:sz w:val="14"/>
          <w:szCs w:val="14"/>
          <w:lang w:val="en-GB"/>
        </w:rPr>
        <w:t xml:space="preserve">8-12; DOJ y FTC (2010). </w:t>
      </w:r>
      <w:r w:rsidRPr="00A73501">
        <w:rPr>
          <w:rFonts w:ascii="Arial" w:hAnsi="Arial" w:cs="Arial"/>
          <w:i/>
          <w:sz w:val="14"/>
          <w:szCs w:val="14"/>
        </w:rPr>
        <w:t xml:space="preserve">Horizontal Merger Guidelines. </w:t>
      </w:r>
      <w:r w:rsidRPr="00A73501">
        <w:rPr>
          <w:rFonts w:ascii="Arial" w:hAnsi="Arial" w:cs="Arial"/>
          <w:sz w:val="14"/>
          <w:szCs w:val="14"/>
        </w:rPr>
        <w:t xml:space="preserve">pp. 11-12, y OCDE (2012), </w:t>
      </w:r>
      <w:r w:rsidRPr="00A73501">
        <w:rPr>
          <w:rFonts w:ascii="Arial" w:hAnsi="Arial" w:cs="Arial"/>
          <w:i/>
          <w:sz w:val="14"/>
          <w:szCs w:val="14"/>
        </w:rPr>
        <w:t>Market Definition</w:t>
      </w:r>
      <w:r w:rsidRPr="00A73501">
        <w:rPr>
          <w:rFonts w:ascii="Arial" w:hAnsi="Arial" w:cs="Arial"/>
          <w:sz w:val="14"/>
          <w:szCs w:val="14"/>
        </w:rPr>
        <w:t>. p. 33.</w:t>
      </w:r>
    </w:p>
  </w:footnote>
  <w:footnote w:id="78">
    <w:p w14:paraId="2CDF2F8A" w14:textId="6B75A2AA"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Si un usuario puede utilizar únicamente una plataforma para un servicio específico, por lo general se considera como </w:t>
      </w:r>
      <w:r w:rsidRPr="00A73501">
        <w:rPr>
          <w:rFonts w:ascii="Arial" w:hAnsi="Arial" w:cs="Arial"/>
          <w:i/>
          <w:sz w:val="14"/>
          <w:szCs w:val="14"/>
        </w:rPr>
        <w:t>single-homing</w:t>
      </w:r>
      <w:r w:rsidRPr="00A73501">
        <w:rPr>
          <w:rFonts w:ascii="Arial" w:hAnsi="Arial" w:cs="Arial"/>
          <w:sz w:val="14"/>
          <w:szCs w:val="14"/>
        </w:rPr>
        <w:t xml:space="preserve">. Cuando se pueden utilizar múltiples plataformas, se dice que es </w:t>
      </w:r>
      <w:r w:rsidRPr="00A73501">
        <w:rPr>
          <w:rFonts w:ascii="Arial" w:hAnsi="Arial" w:cs="Arial"/>
          <w:i/>
          <w:sz w:val="14"/>
          <w:szCs w:val="14"/>
        </w:rPr>
        <w:t>multi-homing</w:t>
      </w:r>
      <w:r w:rsidRPr="00A73501">
        <w:rPr>
          <w:rFonts w:ascii="Arial" w:hAnsi="Arial" w:cs="Arial"/>
          <w:sz w:val="14"/>
          <w:szCs w:val="14"/>
        </w:rPr>
        <w:t xml:space="preserve">. </w:t>
      </w:r>
      <w:r w:rsidRPr="00A73501">
        <w:rPr>
          <w:rFonts w:ascii="Arial" w:hAnsi="Arial" w:cs="Arial"/>
          <w:sz w:val="14"/>
          <w:szCs w:val="14"/>
          <w:lang w:val="en-US"/>
        </w:rPr>
        <w:t xml:space="preserve">OCDE (2018). </w:t>
      </w:r>
      <w:r w:rsidRPr="00A73501">
        <w:rPr>
          <w:rFonts w:ascii="Arial" w:hAnsi="Arial" w:cs="Arial"/>
          <w:i/>
          <w:sz w:val="14"/>
          <w:szCs w:val="14"/>
          <w:lang w:val="en-US"/>
        </w:rPr>
        <w:t>Rethinking Antitrust Tools for Multi-Sided Platforms.</w:t>
      </w:r>
      <w:r w:rsidRPr="00A73501">
        <w:rPr>
          <w:rFonts w:ascii="Arial" w:hAnsi="Arial" w:cs="Arial"/>
          <w:sz w:val="14"/>
          <w:szCs w:val="14"/>
          <w:lang w:val="en-US"/>
        </w:rPr>
        <w:t xml:space="preserve"> p. 19,</w:t>
      </w:r>
      <w:r>
        <w:rPr>
          <w:rFonts w:ascii="Arial" w:hAnsi="Arial" w:cs="Arial"/>
          <w:sz w:val="14"/>
          <w:szCs w:val="14"/>
          <w:lang w:val="en-US"/>
        </w:rPr>
        <w:t xml:space="preserve"> Disponible en:</w:t>
      </w:r>
      <w:r w:rsidRPr="00A77AA4">
        <w:rPr>
          <w:lang w:val="en-US"/>
        </w:rPr>
        <w:t xml:space="preserve"> </w:t>
      </w:r>
      <w:hyperlink r:id="rId31" w:history="1">
        <w:r w:rsidRPr="00A77AA4">
          <w:rPr>
            <w:rStyle w:val="Hipervnculo"/>
            <w:rFonts w:ascii="Arial" w:hAnsi="Arial" w:cs="Arial"/>
            <w:sz w:val="14"/>
            <w:szCs w:val="14"/>
            <w:lang w:val="en-US"/>
          </w:rPr>
          <w:t>https://www.oecd.org/daf/competition/Rethinking-antitrust-tools-for-multi-sided-platforms-2018.pdf</w:t>
        </w:r>
      </w:hyperlink>
      <w:r w:rsidRPr="00A73501">
        <w:rPr>
          <w:rFonts w:ascii="Arial" w:hAnsi="Arial" w:cs="Arial"/>
          <w:sz w:val="14"/>
          <w:szCs w:val="14"/>
          <w:lang w:val="en-US"/>
        </w:rPr>
        <w:t xml:space="preserve"> y OCDE (2018). </w:t>
      </w:r>
      <w:r w:rsidRPr="00A73501">
        <w:rPr>
          <w:rFonts w:ascii="Arial" w:hAnsi="Arial" w:cs="Arial"/>
          <w:i/>
          <w:sz w:val="14"/>
          <w:szCs w:val="14"/>
        </w:rPr>
        <w:t>Plataformas digitales y competencia en México</w:t>
      </w:r>
      <w:r w:rsidRPr="00A73501">
        <w:rPr>
          <w:rFonts w:ascii="Arial" w:hAnsi="Arial" w:cs="Arial"/>
          <w:sz w:val="14"/>
          <w:szCs w:val="14"/>
        </w:rPr>
        <w:t xml:space="preserve">, pp. 9 y 10. Disponible en: </w:t>
      </w:r>
      <w:hyperlink r:id="rId32" w:history="1">
        <w:r w:rsidRPr="00A73501">
          <w:rPr>
            <w:rStyle w:val="Hipervnculo"/>
            <w:rFonts w:ascii="Arial" w:hAnsi="Arial" w:cs="Arial"/>
            <w:sz w:val="14"/>
            <w:szCs w:val="14"/>
          </w:rPr>
          <w:t>https://www.oecd.org/daf/competition/esp-plataformas-digitales-y-competencia-en-mexico.pdf</w:t>
        </w:r>
      </w:hyperlink>
      <w:r w:rsidRPr="00A73501">
        <w:rPr>
          <w:rFonts w:ascii="Arial" w:hAnsi="Arial" w:cs="Arial"/>
          <w:sz w:val="14"/>
          <w:szCs w:val="14"/>
        </w:rPr>
        <w:t xml:space="preserve"> </w:t>
      </w:r>
    </w:p>
  </w:footnote>
  <w:footnote w:id="79">
    <w:p w14:paraId="092F834C" w14:textId="5FC53495"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 20.</w:t>
      </w:r>
    </w:p>
  </w:footnote>
  <w:footnote w:id="80">
    <w:p w14:paraId="7ECCBCFE" w14:textId="77777777" w:rsidR="007E0735" w:rsidRPr="00A73501" w:rsidRDefault="007E0735" w:rsidP="00A73501">
      <w:pPr>
        <w:pStyle w:val="Textonotapie"/>
        <w:rPr>
          <w:rFonts w:ascii="Arial" w:hAnsi="Arial" w:cs="Arial"/>
          <w:sz w:val="14"/>
          <w:szCs w:val="14"/>
          <w:highlight w:val="yellow"/>
          <w:lang w:val="en-US"/>
        </w:rPr>
      </w:pPr>
      <w:r w:rsidRPr="00A73501">
        <w:rPr>
          <w:rStyle w:val="Refdenotaalpie"/>
          <w:rFonts w:ascii="Arial" w:hAnsi="Arial" w:cs="Arial"/>
          <w:sz w:val="14"/>
          <w:szCs w:val="14"/>
        </w:rPr>
        <w:footnoteRef/>
      </w:r>
      <w:r w:rsidRPr="00A73501">
        <w:rPr>
          <w:rFonts w:ascii="Arial" w:hAnsi="Arial" w:cs="Arial"/>
          <w:sz w:val="14"/>
          <w:szCs w:val="14"/>
        </w:rPr>
        <w:t xml:space="preserve"> ACCC (2008). </w:t>
      </w:r>
      <w:r w:rsidRPr="00A73501">
        <w:rPr>
          <w:rFonts w:ascii="Arial" w:hAnsi="Arial" w:cs="Arial"/>
          <w:i/>
          <w:sz w:val="14"/>
          <w:szCs w:val="14"/>
        </w:rPr>
        <w:t>Merger Guidelines</w:t>
      </w:r>
      <w:r w:rsidRPr="00A73501">
        <w:rPr>
          <w:rFonts w:ascii="Arial" w:hAnsi="Arial" w:cs="Arial"/>
          <w:sz w:val="14"/>
          <w:szCs w:val="14"/>
        </w:rPr>
        <w:t xml:space="preserve"> </w:t>
      </w:r>
      <w:r w:rsidRPr="00A73501">
        <w:rPr>
          <w:rFonts w:ascii="Arial" w:hAnsi="Arial" w:cs="Arial"/>
          <w:color w:val="000000"/>
          <w:sz w:val="14"/>
          <w:szCs w:val="14"/>
          <w:shd w:val="clear" w:color="auto" w:fill="FFFFFF"/>
        </w:rPr>
        <w:t>(actualización 2017)</w:t>
      </w:r>
      <w:r w:rsidRPr="00A73501">
        <w:rPr>
          <w:rFonts w:ascii="Arial" w:hAnsi="Arial" w:cs="Arial"/>
          <w:sz w:val="14"/>
          <w:szCs w:val="14"/>
        </w:rPr>
        <w:t xml:space="preserve">. p. 17;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pp. 11-12; CE (2018). </w:t>
      </w:r>
      <w:r w:rsidRPr="00A73501">
        <w:rPr>
          <w:rFonts w:ascii="Arial" w:hAnsi="Arial" w:cs="Arial"/>
          <w:i/>
          <w:sz w:val="14"/>
          <w:szCs w:val="14"/>
        </w:rPr>
        <w:t xml:space="preserve">Directrices sobre análisis del mercado y evaluación del peso significativo en el mercado dentro del marco regulador de las redes y los servicios de comunicaciones electrónicas de la UE, </w:t>
      </w:r>
      <w:r w:rsidRPr="00A73501">
        <w:rPr>
          <w:rFonts w:ascii="Arial" w:hAnsi="Arial" w:cs="Arial"/>
          <w:sz w:val="14"/>
          <w:szCs w:val="14"/>
        </w:rPr>
        <w:t xml:space="preserve">párrafo 51, y OCDE (2016). </w:t>
      </w:r>
      <w:r w:rsidRPr="00A73501">
        <w:rPr>
          <w:rFonts w:ascii="Arial" w:hAnsi="Arial" w:cs="Arial"/>
          <w:i/>
          <w:sz w:val="14"/>
          <w:szCs w:val="14"/>
          <w:lang w:val="en-GB"/>
        </w:rPr>
        <w:t xml:space="preserve">Defining Geographic Markets Across National Borders. </w:t>
      </w:r>
      <w:r w:rsidRPr="00A73501">
        <w:rPr>
          <w:rFonts w:ascii="Arial" w:hAnsi="Arial" w:cs="Arial"/>
          <w:i/>
          <w:sz w:val="14"/>
          <w:szCs w:val="14"/>
          <w:lang w:val="en-US"/>
        </w:rPr>
        <w:t>Background Paper by the Secretariat</w:t>
      </w:r>
      <w:r w:rsidRPr="00A73501">
        <w:rPr>
          <w:rFonts w:ascii="Arial" w:hAnsi="Arial" w:cs="Arial"/>
          <w:sz w:val="14"/>
          <w:szCs w:val="14"/>
          <w:lang w:val="en-US"/>
        </w:rPr>
        <w:t xml:space="preserve">. pp.20-21. </w:t>
      </w:r>
    </w:p>
  </w:footnote>
  <w:footnote w:id="81">
    <w:p w14:paraId="0F7B59EE" w14:textId="70D600CD"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Se puede aplicar la prueba de Elzinga-Hogarty, la cual consiste en analizar el porcentaje de ventas hechas por empresas ubicadas dentro de la zona focal y a consumidores ubicados en la zona focal; si dichos porcentajes se encuentra</w:t>
      </w:r>
      <w:r>
        <w:rPr>
          <w:rFonts w:ascii="Arial" w:hAnsi="Arial" w:cs="Arial"/>
          <w:sz w:val="14"/>
          <w:szCs w:val="14"/>
        </w:rPr>
        <w:t>n</w:t>
      </w:r>
      <w:r w:rsidRPr="00A73501">
        <w:rPr>
          <w:rFonts w:ascii="Arial" w:hAnsi="Arial" w:cs="Arial"/>
          <w:sz w:val="14"/>
          <w:szCs w:val="14"/>
        </w:rPr>
        <w:t xml:space="preserve"> entre 75% y 90%, las zonas geográficas analizadas pertenecen al mismo MR.</w:t>
      </w:r>
    </w:p>
    <w:p w14:paraId="0A35CA78" w14:textId="15F40F70" w:rsidR="007E0735" w:rsidRPr="00A73501" w:rsidRDefault="007E0735" w:rsidP="00A73501">
      <w:pPr>
        <w:pStyle w:val="Textonotapie"/>
        <w:rPr>
          <w:rFonts w:ascii="Arial" w:hAnsi="Arial" w:cs="Arial"/>
          <w:sz w:val="14"/>
          <w:szCs w:val="14"/>
        </w:rPr>
      </w:pPr>
      <w:r w:rsidRPr="00A73501">
        <w:rPr>
          <w:rFonts w:ascii="Arial" w:hAnsi="Arial" w:cs="Arial"/>
          <w:sz w:val="14"/>
          <w:szCs w:val="14"/>
        </w:rPr>
        <w:t xml:space="preserve">Cuando se analice información de importaciones, se debe tener cuidado debido a que la existencia de importaciones no siempre significa que el mercado es internacional, por varias razones: i) las importaciones pueden provenir solo de operaciones internacionales de proveedores nacionales; ii) los proveedores internacionales pueden requerir inversiones sustanciales para establecer redes de distribución o marcas de sus </w:t>
      </w:r>
      <w:r>
        <w:rPr>
          <w:rFonts w:ascii="Arial" w:hAnsi="Arial" w:cs="Arial"/>
          <w:sz w:val="14"/>
          <w:szCs w:val="14"/>
        </w:rPr>
        <w:t>productos</w:t>
      </w:r>
      <w:r w:rsidRPr="00A73501">
        <w:rPr>
          <w:rFonts w:ascii="Arial" w:hAnsi="Arial" w:cs="Arial"/>
          <w:sz w:val="14"/>
          <w:szCs w:val="14"/>
        </w:rPr>
        <w:t xml:space="preserve"> en el país de destino; y iii) puede haber limitantes al volumen de importaciones en el país de destino. Estos factores pueden significar que los proveedores internaciones no representan una restricción suficiente para los proveedores nacionales. Asimismo, la falta de importaciones no significa necesariamente que el mercado no puede ser internacional, pues el potencial para las importaciones puede ser una fuente importante de sustitución si los precios se incrementan.</w:t>
      </w:r>
    </w:p>
  </w:footnote>
  <w:footnote w:id="82">
    <w:p w14:paraId="72871CF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(2015).</w:t>
      </w:r>
      <w:r w:rsidRPr="00A73501">
        <w:rPr>
          <w:rFonts w:ascii="Arial" w:hAnsi="Arial" w:cs="Arial"/>
          <w:i/>
          <w:sz w:val="14"/>
          <w:szCs w:val="14"/>
        </w:rPr>
        <w:t xml:space="preserve"> RESOLUCIÓN MEDIANTE LA CUAL EL PLENO DEL INSTITUTO FEDERAL DE TELECOMUNICACIONES AUTORIZA QUE SE REALICE LA CONCENTRACIÓN RADICADA BAJO EL EXPEDIENTE NO. UCE/CNC-002-2015, NOTIFICADA POR NOKIA CORPORATION Y ALCATEL-LUCENT</w:t>
      </w:r>
      <w:r w:rsidRPr="00A73501">
        <w:rPr>
          <w:rFonts w:ascii="Arial" w:hAnsi="Arial" w:cs="Arial"/>
          <w:sz w:val="14"/>
          <w:szCs w:val="14"/>
        </w:rPr>
        <w:t xml:space="preserve">. Acuerdo P/IFT/201015/152. pp. 23-26. Disponible en: </w:t>
      </w:r>
      <w:hyperlink r:id="rId33" w:history="1">
        <w:r w:rsidRPr="00A73501">
          <w:rPr>
            <w:rStyle w:val="Hipervnculo"/>
            <w:rFonts w:ascii="Arial" w:hAnsi="Arial" w:cs="Arial"/>
            <w:sz w:val="14"/>
            <w:szCs w:val="14"/>
          </w:rPr>
          <w:t>http://apps.ift.org.mx/publicdata/Version_Publica_UCE_P_IFT_EXT_201015_152.pdf</w:t>
        </w:r>
      </w:hyperlink>
      <w:r w:rsidRPr="00A73501">
        <w:rPr>
          <w:rStyle w:val="Hipervnculo"/>
          <w:rFonts w:ascii="Arial" w:hAnsi="Arial" w:cs="Arial"/>
          <w:sz w:val="14"/>
          <w:szCs w:val="14"/>
        </w:rPr>
        <w:t>.</w:t>
      </w:r>
    </w:p>
  </w:footnote>
  <w:footnote w:id="83">
    <w:p w14:paraId="446F99F5" w14:textId="77777777"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Los servicios conexos se proveen en conjunto con los equipos de infraestructura y consisten en la instalación, operación y mantenimiento de equipos de infraestructura activa de las redes de telecomunicaciones. Los servicios no conexos se proveen de forma separada y comprenden instalación, operación y mantenimiento de equipos de infraestructura activa de redes de telecomunicaciones inalámbricas.</w:t>
      </w:r>
    </w:p>
  </w:footnote>
  <w:footnote w:id="84">
    <w:p w14:paraId="08721EA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Los equipos </w:t>
      </w:r>
      <w:r w:rsidRPr="00A73501">
        <w:rPr>
          <w:rFonts w:ascii="Arial" w:hAnsi="Arial" w:cs="Arial"/>
          <w:i/>
          <w:sz w:val="14"/>
          <w:szCs w:val="14"/>
        </w:rPr>
        <w:t>RAN</w:t>
      </w:r>
      <w:r w:rsidRPr="00A73501">
        <w:rPr>
          <w:rFonts w:ascii="Arial" w:hAnsi="Arial" w:cs="Arial"/>
          <w:sz w:val="14"/>
          <w:szCs w:val="14"/>
        </w:rPr>
        <w:t xml:space="preserve"> y servicios conexos tienen dos funciones principales: (i) proporcionar acceso a dispositivos terminales mediante tecnologías inalámbricas, y (ii) gestión de las señales recibidas por las estaciones de acceso y transferencia a la red central. En tanto, los equipos </w:t>
      </w:r>
      <w:r w:rsidRPr="00A73501">
        <w:rPr>
          <w:rFonts w:ascii="Arial" w:hAnsi="Arial" w:cs="Arial"/>
          <w:i/>
          <w:sz w:val="14"/>
          <w:szCs w:val="14"/>
        </w:rPr>
        <w:t>CNS</w:t>
      </w:r>
      <w:r w:rsidRPr="00A73501">
        <w:rPr>
          <w:rFonts w:ascii="Arial" w:hAnsi="Arial" w:cs="Arial"/>
          <w:sz w:val="14"/>
          <w:szCs w:val="14"/>
        </w:rPr>
        <w:t xml:space="preserve"> y servicios conexos gestionan el flujo de información dentro de la red y la comunicación con redes externas, como la red de Internet y redes privadas. Acuerdo P/IFT/201015/152. pp. 20-21.</w:t>
      </w:r>
    </w:p>
  </w:footnote>
  <w:footnote w:id="85">
    <w:p w14:paraId="1D0EAD8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w:t>
      </w:r>
      <w:r w:rsidRPr="00A73501">
        <w:rPr>
          <w:rFonts w:ascii="Arial" w:hAnsi="Arial" w:cs="Arial"/>
          <w:color w:val="000000"/>
          <w:sz w:val="14"/>
          <w:szCs w:val="14"/>
          <w:shd w:val="clear" w:color="auto" w:fill="FFFFFF"/>
        </w:rPr>
        <w:t>P/IFT/260617/356</w:t>
      </w:r>
      <w:r w:rsidRPr="00A73501">
        <w:rPr>
          <w:rFonts w:ascii="Arial" w:hAnsi="Arial" w:cs="Arial"/>
          <w:b/>
          <w:color w:val="000000"/>
          <w:sz w:val="14"/>
          <w:szCs w:val="14"/>
          <w:shd w:val="clear" w:color="auto" w:fill="FFFFFF"/>
        </w:rPr>
        <w:t>.</w:t>
      </w:r>
      <w:r w:rsidRPr="00A73501">
        <w:rPr>
          <w:rFonts w:ascii="Arial" w:hAnsi="Arial" w:cs="Arial"/>
          <w:color w:val="000000"/>
          <w:sz w:val="14"/>
          <w:szCs w:val="14"/>
          <w:shd w:val="clear" w:color="auto" w:fill="FFFFFF"/>
        </w:rPr>
        <w:t xml:space="preserve"> p. 228.</w:t>
      </w:r>
      <w:r w:rsidRPr="00A73501">
        <w:rPr>
          <w:rFonts w:ascii="Arial" w:hAnsi="Arial" w:cs="Arial"/>
          <w:b/>
          <w:color w:val="000000"/>
          <w:sz w:val="14"/>
          <w:szCs w:val="14"/>
          <w:shd w:val="clear" w:color="auto" w:fill="FFFFFF"/>
        </w:rPr>
        <w:t xml:space="preserve"> </w:t>
      </w:r>
      <w:r w:rsidRPr="00A73501">
        <w:rPr>
          <w:rFonts w:ascii="Arial" w:hAnsi="Arial" w:cs="Arial"/>
          <w:sz w:val="14"/>
          <w:szCs w:val="14"/>
        </w:rPr>
        <w:t>Disponible en:</w:t>
      </w:r>
      <w:r w:rsidRPr="00A73501" w:rsidDel="003A64E7">
        <w:rPr>
          <w:rFonts w:ascii="Arial" w:hAnsi="Arial" w:cs="Arial"/>
          <w:sz w:val="14"/>
          <w:szCs w:val="14"/>
        </w:rPr>
        <w:t xml:space="preserve"> </w:t>
      </w:r>
      <w:hyperlink r:id="rId34" w:history="1">
        <w:r w:rsidRPr="00A73501">
          <w:rPr>
            <w:rStyle w:val="Hipervnculo"/>
            <w:rFonts w:ascii="Arial" w:hAnsi="Arial" w:cs="Arial"/>
            <w:sz w:val="14"/>
            <w:szCs w:val="14"/>
          </w:rPr>
          <w:t>http://apps.ift.org.mx/publicdata/VP_P_IFT_260617_356.pdf</w:t>
        </w:r>
      </w:hyperlink>
      <w:r w:rsidRPr="00A73501">
        <w:rPr>
          <w:rStyle w:val="Hipervnculo"/>
          <w:rFonts w:ascii="Arial" w:hAnsi="Arial" w:cs="Arial"/>
          <w:sz w:val="14"/>
          <w:szCs w:val="14"/>
        </w:rPr>
        <w:t>.</w:t>
      </w:r>
    </w:p>
  </w:footnote>
  <w:footnote w:id="86">
    <w:p w14:paraId="572505F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CFC (2011). </w:t>
      </w:r>
      <w:r w:rsidRPr="00A73501">
        <w:rPr>
          <w:rFonts w:ascii="Arial" w:hAnsi="Arial" w:cs="Arial"/>
          <w:bCs/>
          <w:sz w:val="14"/>
          <w:szCs w:val="14"/>
        </w:rPr>
        <w:t xml:space="preserve">Expediente DC-07-2007. </w:t>
      </w:r>
      <w:r w:rsidRPr="00A73501">
        <w:rPr>
          <w:rFonts w:ascii="Arial" w:hAnsi="Arial" w:cs="Arial"/>
          <w:sz w:val="14"/>
          <w:szCs w:val="14"/>
        </w:rPr>
        <w:t>Disponible en:</w:t>
      </w:r>
    </w:p>
    <w:p w14:paraId="4262A55A" w14:textId="77777777" w:rsidR="007E0735" w:rsidRPr="00A73501" w:rsidRDefault="0040239C" w:rsidP="00A73501">
      <w:pPr>
        <w:pStyle w:val="Textonotapie"/>
        <w:rPr>
          <w:rFonts w:ascii="Arial" w:hAnsi="Arial" w:cs="Arial"/>
          <w:sz w:val="14"/>
          <w:szCs w:val="14"/>
        </w:rPr>
      </w:pPr>
      <w:hyperlink r:id="rId35" w:history="1">
        <w:r w:rsidR="007E0735" w:rsidRPr="00A73501">
          <w:rPr>
            <w:rStyle w:val="Hipervnculo"/>
            <w:rFonts w:ascii="Arial" w:hAnsi="Arial" w:cs="Arial"/>
            <w:sz w:val="14"/>
            <w:szCs w:val="14"/>
          </w:rPr>
          <w:t>https://www.cofece.mx/cfcresoluciones/DOCS/Procesos%20de%20Privatizacion%20y%20Licitaciones/V136/2/1548475.pdf</w:t>
        </w:r>
      </w:hyperlink>
      <w:r w:rsidR="007E0735" w:rsidRPr="00A73501">
        <w:rPr>
          <w:rFonts w:ascii="Arial" w:hAnsi="Arial" w:cs="Arial"/>
          <w:sz w:val="14"/>
          <w:szCs w:val="14"/>
        </w:rPr>
        <w:t>.</w:t>
      </w:r>
    </w:p>
  </w:footnote>
  <w:footnote w:id="87">
    <w:p w14:paraId="5D6E589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(2015). </w:t>
      </w:r>
      <w:r w:rsidRPr="00A73501">
        <w:rPr>
          <w:rFonts w:ascii="Arial" w:hAnsi="Arial" w:cs="Arial"/>
          <w:i/>
          <w:sz w:val="14"/>
          <w:szCs w:val="14"/>
        </w:rPr>
        <w:t xml:space="preserve">RESOLUCIÓN MEDIANTE LA CUAL EL PLENO DEL INSTITUTO FEDERAL DE TELECOMUNICACIONES AUTORIZA QUE SE REALICE LA CONCENTRACIÓN RADICADA BAJO EL EXPEDIENTE NO. </w:t>
      </w:r>
      <w:r w:rsidRPr="00A73501">
        <w:rPr>
          <w:rFonts w:ascii="Arial" w:hAnsi="Arial" w:cs="Arial"/>
          <w:i/>
          <w:sz w:val="14"/>
          <w:szCs w:val="14"/>
          <w:lang w:val="en-US"/>
        </w:rPr>
        <w:t xml:space="preserve">UCE/CNC-001-2015, NOTIFICADA POR AT&amp;T, INC. Y NII HOLDINGS, INC. </w:t>
      </w:r>
      <w:r w:rsidRPr="00A73501">
        <w:rPr>
          <w:rFonts w:ascii="Arial" w:hAnsi="Arial" w:cs="Arial"/>
          <w:sz w:val="14"/>
          <w:szCs w:val="14"/>
        </w:rPr>
        <w:t xml:space="preserve">Acuerdo P/IFT/EXT/290415/86. Disponible en: </w:t>
      </w:r>
      <w:hyperlink r:id="rId36" w:history="1">
        <w:r w:rsidRPr="00A73501">
          <w:rPr>
            <w:rStyle w:val="Hipervnculo"/>
            <w:rFonts w:ascii="Arial" w:hAnsi="Arial" w:cs="Arial"/>
            <w:sz w:val="14"/>
            <w:szCs w:val="14"/>
          </w:rPr>
          <w:t>http://apps.ift.org.mx/publicdata/VP2_P_IFT_EXT_290415_86.pdf</w:t>
        </w:r>
      </w:hyperlink>
      <w:r w:rsidRPr="00A73501">
        <w:rPr>
          <w:rStyle w:val="Hipervnculo"/>
          <w:rFonts w:ascii="Arial" w:hAnsi="Arial" w:cs="Arial"/>
          <w:sz w:val="14"/>
          <w:szCs w:val="14"/>
        </w:rPr>
        <w:t>.</w:t>
      </w:r>
      <w:r w:rsidRPr="00A73501">
        <w:rPr>
          <w:rFonts w:ascii="Arial" w:hAnsi="Arial" w:cs="Arial"/>
          <w:sz w:val="14"/>
          <w:szCs w:val="14"/>
        </w:rPr>
        <w:t xml:space="preserve"> </w:t>
      </w:r>
    </w:p>
  </w:footnote>
  <w:footnote w:id="88">
    <w:p w14:paraId="6D4A86F4" w14:textId="64109C70"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Instituto (201</w:t>
      </w:r>
      <w:r>
        <w:rPr>
          <w:rFonts w:ascii="Arial" w:hAnsi="Arial" w:cs="Arial"/>
          <w:sz w:val="14"/>
          <w:szCs w:val="14"/>
        </w:rPr>
        <w:t>3</w:t>
      </w:r>
      <w:r w:rsidRPr="00A73501">
        <w:rPr>
          <w:rFonts w:ascii="Arial" w:hAnsi="Arial" w:cs="Arial"/>
          <w:sz w:val="14"/>
          <w:szCs w:val="14"/>
        </w:rPr>
        <w:t xml:space="preserve">). </w:t>
      </w:r>
      <w:r w:rsidRPr="00A73501">
        <w:rPr>
          <w:rFonts w:ascii="Arial" w:hAnsi="Arial" w:cs="Arial"/>
          <w:i/>
          <w:caps/>
          <w:sz w:val="14"/>
          <w:szCs w:val="14"/>
        </w:rPr>
        <w:t>Resolución mediante la cual el Pleno del Instituto Federal de Telecomunicaciones autoriza que se realice la concentración radicada bajo el expediente No. E-IFT/DGCCC/CNC/0002/2013, notificada por Satmex International CoÖperatieve U.A., Intenal Mexicana, S.A.P.I. de C.V., Alejandro SÁinz Orantes, Centerbridge Capital Partners SBS (Cayman), L.P., Eja Holdings LTD, Satmex International B.V., Holdsat México, S.A.P.I. de C.V., Satélites Mexicanos, S.A. de C.V. y Eutelsat, S.A.</w:t>
      </w:r>
      <w:r w:rsidRPr="00A73501">
        <w:rPr>
          <w:rFonts w:ascii="Arial" w:hAnsi="Arial" w:cs="Arial"/>
          <w:sz w:val="14"/>
          <w:szCs w:val="14"/>
        </w:rPr>
        <w:t xml:space="preserve"> Acuerdo P/IFT/271113/20. Disponible en: </w:t>
      </w:r>
      <w:hyperlink r:id="rId37" w:history="1">
        <w:r w:rsidRPr="00A73501">
          <w:rPr>
            <w:rStyle w:val="Hipervnculo"/>
            <w:rFonts w:ascii="Arial" w:hAnsi="Arial" w:cs="Arial"/>
            <w:sz w:val="14"/>
            <w:szCs w:val="14"/>
          </w:rPr>
          <w:t>http://apps.ift.org.mx/publicdata/P_IFT_271113_20_Version_Publica_Hoja.pdf</w:t>
        </w:r>
      </w:hyperlink>
    </w:p>
  </w:footnote>
  <w:footnote w:id="89">
    <w:p w14:paraId="5F282B8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w:t>
      </w:r>
      <w:r w:rsidRPr="00A73501">
        <w:rPr>
          <w:rFonts w:ascii="Arial" w:hAnsi="Arial" w:cs="Arial"/>
          <w:b/>
          <w:bCs/>
          <w:sz w:val="14"/>
          <w:szCs w:val="14"/>
        </w:rPr>
        <w:t xml:space="preserve"> </w:t>
      </w:r>
      <w:r w:rsidRPr="00A73501">
        <w:rPr>
          <w:rFonts w:ascii="Arial" w:hAnsi="Arial" w:cs="Arial"/>
          <w:i/>
          <w:sz w:val="14"/>
          <w:szCs w:val="14"/>
        </w:rPr>
        <w:t xml:space="preserve">RESOLUCIÓN MEDIANTE LA CUAL EL PLENO DEL INSTITUTO FEDERAL DE TELECOMUNICACIONES AUTORIZA LLEVAR A CABO LA CONCENTRACIÓN RADICADA BAJO EL EXPEDIENTE NO. </w:t>
      </w:r>
      <w:r w:rsidRPr="00A73501">
        <w:rPr>
          <w:rFonts w:ascii="Arial" w:hAnsi="Arial" w:cs="Arial"/>
          <w:i/>
          <w:sz w:val="14"/>
          <w:szCs w:val="14"/>
          <w:lang w:val="en-US"/>
        </w:rPr>
        <w:t xml:space="preserve">UCE/CNC-004-2016, NOTIFICADA POR AT&amp;T INC., WEST MERGER SUB INC. </w:t>
      </w:r>
      <w:r w:rsidRPr="00A73501">
        <w:rPr>
          <w:rFonts w:ascii="Arial" w:hAnsi="Arial" w:cs="Arial"/>
          <w:i/>
          <w:sz w:val="14"/>
          <w:szCs w:val="14"/>
        </w:rPr>
        <w:t>Y TIME WARNER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P/IFT/150817/487. D</w:t>
      </w:r>
      <w:r w:rsidRPr="00A73501">
        <w:rPr>
          <w:rFonts w:ascii="Arial" w:hAnsi="Arial" w:cs="Arial"/>
          <w:sz w:val="14"/>
          <w:szCs w:val="14"/>
        </w:rPr>
        <w:t xml:space="preserve">isponible en: </w:t>
      </w:r>
      <w:hyperlink r:id="rId38" w:history="1">
        <w:r w:rsidRPr="00A73501">
          <w:rPr>
            <w:rStyle w:val="Hipervnculo"/>
            <w:rFonts w:ascii="Arial" w:hAnsi="Arial" w:cs="Arial"/>
            <w:sz w:val="14"/>
            <w:szCs w:val="14"/>
          </w:rPr>
          <w:t>http://apps.ift.org.mx/publicdata/VP_P_IFT_150817_487.pdf</w:t>
        </w:r>
      </w:hyperlink>
    </w:p>
  </w:footnote>
  <w:footnote w:id="90">
    <w:p w14:paraId="231A1795"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P/IFT/110319/122. D</w:t>
      </w:r>
      <w:r w:rsidRPr="00A73501">
        <w:rPr>
          <w:rFonts w:ascii="Arial" w:hAnsi="Arial" w:cs="Arial"/>
          <w:sz w:val="14"/>
          <w:szCs w:val="14"/>
        </w:rPr>
        <w:t xml:space="preserve">isponible en: </w:t>
      </w:r>
      <w:hyperlink r:id="rId39" w:history="1">
        <w:r w:rsidRPr="00A73501">
          <w:rPr>
            <w:rStyle w:val="Hipervnculo"/>
            <w:rFonts w:ascii="Arial" w:hAnsi="Arial" w:cs="Arial"/>
            <w:sz w:val="14"/>
            <w:szCs w:val="14"/>
          </w:rPr>
          <w:t>http://www.ift.org.mx/sites/default/files/conocenos/pleno/sesiones/acuerdoliga/verpubpift110319122canxuce.pdf</w:t>
        </w:r>
      </w:hyperlink>
      <w:r w:rsidRPr="00A73501">
        <w:rPr>
          <w:rFonts w:ascii="Arial" w:hAnsi="Arial" w:cs="Arial"/>
          <w:sz w:val="14"/>
          <w:szCs w:val="14"/>
        </w:rPr>
        <w:t xml:space="preserve"> </w:t>
      </w:r>
    </w:p>
  </w:footnote>
  <w:footnote w:id="91">
    <w:p w14:paraId="3B07848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Las categorías programáticas de canales básicos para el STAR son: Entretenimiento, Infantil, Películas y series, Fácticos (cultural, documental y </w:t>
      </w:r>
      <w:r w:rsidRPr="00A73501">
        <w:rPr>
          <w:rFonts w:ascii="Arial" w:hAnsi="Arial" w:cs="Arial"/>
          <w:i/>
          <w:sz w:val="14"/>
          <w:szCs w:val="14"/>
        </w:rPr>
        <w:t>reality</w:t>
      </w:r>
      <w:r w:rsidRPr="00A73501">
        <w:rPr>
          <w:rFonts w:ascii="Arial" w:hAnsi="Arial" w:cs="Arial"/>
          <w:sz w:val="14"/>
          <w:szCs w:val="14"/>
        </w:rPr>
        <w:t>), Música, Noticas, Deportes y canales de TV Abierta.</w:t>
      </w:r>
    </w:p>
  </w:footnote>
  <w:footnote w:id="92">
    <w:p w14:paraId="2A74CB6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Obligaciones para la retransmisión de canales conforme al artículo Octavo Transitorio, fracción I, del </w:t>
      </w:r>
      <w:r w:rsidRPr="00A73501">
        <w:rPr>
          <w:rFonts w:ascii="Arial" w:hAnsi="Arial" w:cs="Arial"/>
          <w:i/>
          <w:sz w:val="14"/>
          <w:szCs w:val="14"/>
        </w:rPr>
        <w:t>DECRETO por el que se reforman y adicionan diversas disposiciones de los artículos 6o., 7o., 27, 28, 73, 78, 94 y 105 de la Constitución Política de los Estados Unidos Mexicanos, en materia de telecomunicaciones</w:t>
      </w:r>
      <w:r w:rsidRPr="00A73501">
        <w:rPr>
          <w:rFonts w:ascii="Arial" w:hAnsi="Arial" w:cs="Arial"/>
          <w:sz w:val="14"/>
          <w:szCs w:val="14"/>
        </w:rPr>
        <w:t>. Must Offer es la obligación de los concesionarios de TV Abierta de poner sus señales a disposición de los concesionarios proveedores del STAR para que sean difundidas; Must Carry es la obligación de los concesionarios proveedores del STAR de retransmitir las señales de TV Abierta.</w:t>
      </w:r>
    </w:p>
  </w:footnote>
  <w:footnote w:id="93">
    <w:p w14:paraId="5DABC80B"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(2015). </w:t>
      </w:r>
      <w:r w:rsidRPr="00A73501">
        <w:rPr>
          <w:rFonts w:ascii="Arial" w:hAnsi="Arial" w:cs="Arial"/>
          <w:i/>
          <w:sz w:val="14"/>
          <w:szCs w:val="14"/>
        </w:rPr>
        <w:t xml:space="preserve">RESOLUCIÓN MEDIANTE LA CUAL EL PLENO DEL INSTITUTO FEDERAL DE TELECOMUNICACIONES AUTORIZA QUE SE REALICE LA CONCENTRACIÓN RADICADA BAJO EL EXPEDIENTE NO. </w:t>
      </w:r>
      <w:r w:rsidRPr="00A73501">
        <w:rPr>
          <w:rFonts w:ascii="Arial" w:hAnsi="Arial" w:cs="Arial"/>
          <w:i/>
          <w:sz w:val="14"/>
          <w:szCs w:val="14"/>
          <w:lang w:val="en-US"/>
        </w:rPr>
        <w:t xml:space="preserve">UCE/CNC-001-2015, NOTIFICADA POR AT&amp;T, INC. Y NII HOLDINGS, INC. </w:t>
      </w:r>
      <w:r w:rsidRPr="00A73501">
        <w:rPr>
          <w:rFonts w:ascii="Arial" w:hAnsi="Arial" w:cs="Arial"/>
          <w:sz w:val="14"/>
          <w:szCs w:val="14"/>
        </w:rPr>
        <w:t xml:space="preserve">Acuerdo P/IFT/EXT/290415/86. </w:t>
      </w:r>
    </w:p>
  </w:footnote>
  <w:footnote w:id="94">
    <w:p w14:paraId="22262C7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w:t>
      </w:r>
      <w:r w:rsidRPr="00A73501">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Radiomóvil Dipsa, S.A. de C.V. y AMOV IV, S.A. de C.V. </w:t>
      </w:r>
      <w:r w:rsidRPr="00A73501">
        <w:rPr>
          <w:rFonts w:ascii="Arial" w:hAnsi="Arial" w:cs="Arial"/>
          <w:sz w:val="14"/>
          <w:szCs w:val="14"/>
        </w:rPr>
        <w:t xml:space="preserve">Acuerdo P/IFT/270417/221. Disponible en: </w:t>
      </w:r>
      <w:hyperlink r:id="rId40" w:history="1">
        <w:r w:rsidRPr="00A73501">
          <w:rPr>
            <w:rStyle w:val="Hipervnculo"/>
            <w:rFonts w:ascii="Arial" w:hAnsi="Arial" w:cs="Arial"/>
            <w:sz w:val="14"/>
            <w:szCs w:val="14"/>
          </w:rPr>
          <w:t>http://apps.ift.org.mx/publicdata/Version_Publica_UCE_270417_221.pdf</w:t>
        </w:r>
      </w:hyperlink>
      <w:r w:rsidRPr="00A73501">
        <w:rPr>
          <w:rStyle w:val="Hipervnculo"/>
          <w:rFonts w:ascii="Arial" w:hAnsi="Arial" w:cs="Arial"/>
          <w:sz w:val="14"/>
          <w:szCs w:val="14"/>
        </w:rPr>
        <w:t>.</w:t>
      </w:r>
      <w:r w:rsidRPr="00A73501">
        <w:rPr>
          <w:rFonts w:ascii="Arial" w:hAnsi="Arial" w:cs="Arial"/>
          <w:sz w:val="14"/>
          <w:szCs w:val="14"/>
        </w:rPr>
        <w:t xml:space="preserve">  </w:t>
      </w:r>
    </w:p>
  </w:footnote>
  <w:footnote w:id="95">
    <w:p w14:paraId="2D85466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(2018). Acuerdo P/IFT/220818/511. p. 185. Disponible en:</w:t>
      </w:r>
    </w:p>
    <w:p w14:paraId="6CEA771E" w14:textId="77777777" w:rsidR="007E0735" w:rsidRPr="00A73501" w:rsidRDefault="007E0735" w:rsidP="00A73501">
      <w:pPr>
        <w:pStyle w:val="Textonotapie"/>
        <w:rPr>
          <w:rFonts w:ascii="Arial" w:hAnsi="Arial" w:cs="Arial"/>
          <w:sz w:val="14"/>
          <w:szCs w:val="14"/>
        </w:rPr>
      </w:pPr>
      <w:r w:rsidRPr="00A73501">
        <w:rPr>
          <w:rFonts w:ascii="Arial" w:hAnsi="Arial" w:cs="Arial"/>
          <w:sz w:val="14"/>
          <w:szCs w:val="14"/>
        </w:rPr>
        <w:t xml:space="preserve"> </w:t>
      </w:r>
      <w:hyperlink r:id="rId41" w:history="1">
        <w:r w:rsidRPr="00A73501">
          <w:rPr>
            <w:rStyle w:val="Hipervnculo"/>
            <w:rFonts w:ascii="Arial" w:eastAsiaTheme="majorEastAsia" w:hAnsi="Arial" w:cs="Arial"/>
            <w:sz w:val="14"/>
            <w:szCs w:val="14"/>
          </w:rPr>
          <w:t>http://www.ift.org.mx/sites/default/files/conocenos/pleno/sesiones/acuerdoliga/vppift220818511noct_1.pdf</w:t>
        </w:r>
      </w:hyperlink>
      <w:r w:rsidRPr="00A73501">
        <w:rPr>
          <w:rStyle w:val="Hipervnculo"/>
          <w:rFonts w:ascii="Arial" w:eastAsiaTheme="majorEastAsia" w:hAnsi="Arial" w:cs="Arial"/>
          <w:sz w:val="14"/>
          <w:szCs w:val="14"/>
        </w:rPr>
        <w:t>.</w:t>
      </w:r>
    </w:p>
  </w:footnote>
  <w:footnote w:id="96">
    <w:p w14:paraId="79E89F5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CFC (2013). Expediente RA-016-2010 en relación con el </w:t>
      </w:r>
      <w:r w:rsidRPr="00A73501">
        <w:rPr>
          <w:rFonts w:ascii="Arial" w:hAnsi="Arial" w:cs="Arial"/>
          <w:bCs/>
          <w:sz w:val="14"/>
          <w:szCs w:val="14"/>
        </w:rPr>
        <w:t>Expediente DC-08-2007.</w:t>
      </w:r>
      <w:r w:rsidRPr="00A73501">
        <w:rPr>
          <w:rFonts w:ascii="Arial" w:hAnsi="Arial" w:cs="Arial"/>
          <w:sz w:val="14"/>
          <w:szCs w:val="14"/>
        </w:rPr>
        <w:t xml:space="preserve"> Disponible en: </w:t>
      </w:r>
      <w:hyperlink r:id="rId42" w:history="1">
        <w:r w:rsidRPr="00A73501">
          <w:rPr>
            <w:rStyle w:val="Hipervnculo"/>
            <w:rFonts w:ascii="Arial" w:hAnsi="Arial" w:cs="Arial"/>
            <w:sz w:val="14"/>
            <w:szCs w:val="14"/>
          </w:rPr>
          <w:t>https://www.cofece.mx/cfcresoluciones/docs/Asuntos%20Juridicos/V67/4/1723150.pdf</w:t>
        </w:r>
      </w:hyperlink>
    </w:p>
  </w:footnote>
  <w:footnote w:id="97">
    <w:p w14:paraId="6C36176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 RESOLUCIÓN MEDIANTE LA CUAL EL PLENO DEL INSTITUTO FEDERAL DE TELECOMUNICACIONES AUTORIZA QUE SE REALICE LA CONCENTRACION RADICADA BAJO EL EXPEDIENTE NO. UCE/CNC-006-2014, NOTIFICADA POR AT&amp;T, INC. Y GRUPO SALINAS TELECOM. S.A. DE C.V. Acuerdo P/IFT/EXT/181214/282. Disponible en: </w:t>
      </w:r>
      <w:hyperlink r:id="rId43" w:history="1">
        <w:r w:rsidRPr="00A73501">
          <w:rPr>
            <w:rStyle w:val="Hipervnculo"/>
            <w:rFonts w:ascii="Arial" w:hAnsi="Arial" w:cs="Arial"/>
            <w:sz w:val="14"/>
            <w:szCs w:val="14"/>
          </w:rPr>
          <w:t>http://apps.ift.org.mx/publicdata/P_IFT_EXT_181214_282_Version_Publica.pdf</w:t>
        </w:r>
      </w:hyperlink>
      <w:r w:rsidRPr="00A73501">
        <w:rPr>
          <w:rStyle w:val="Hipervnculo"/>
          <w:rFonts w:ascii="Arial" w:hAnsi="Arial" w:cs="Arial"/>
          <w:sz w:val="14"/>
          <w:szCs w:val="14"/>
        </w:rPr>
        <w:t>.</w:t>
      </w:r>
    </w:p>
  </w:footnote>
  <w:footnote w:id="98">
    <w:p w14:paraId="722DF22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P/IFT/230117/8</w:t>
      </w:r>
      <w:r w:rsidRPr="00A73501">
        <w:rPr>
          <w:rFonts w:ascii="Arial" w:hAnsi="Arial" w:cs="Arial"/>
          <w:i/>
          <w:sz w:val="14"/>
          <w:szCs w:val="14"/>
        </w:rPr>
        <w:t>.</w:t>
      </w:r>
      <w:r w:rsidRPr="00A73501">
        <w:rPr>
          <w:rFonts w:ascii="Arial" w:hAnsi="Arial" w:cs="Arial"/>
          <w:sz w:val="14"/>
          <w:szCs w:val="14"/>
        </w:rPr>
        <w:t xml:space="preserve"> pp. 41-51. Disponible en: </w:t>
      </w:r>
      <w:hyperlink r:id="rId44" w:history="1">
        <w:r w:rsidRPr="00A73501">
          <w:rPr>
            <w:rStyle w:val="Hipervnculo"/>
            <w:rFonts w:ascii="Arial" w:hAnsi="Arial" w:cs="Arial"/>
            <w:sz w:val="14"/>
            <w:szCs w:val="14"/>
          </w:rPr>
          <w:t>http://apps.ift.org.mx/publicdata/Version_Publica_AI_P_IFT_230117_8.pdf</w:t>
        </w:r>
      </w:hyperlink>
      <w:r w:rsidRPr="00A73501">
        <w:rPr>
          <w:rStyle w:val="Hipervnculo"/>
          <w:rFonts w:ascii="Arial" w:hAnsi="Arial" w:cs="Arial"/>
          <w:sz w:val="14"/>
          <w:szCs w:val="14"/>
        </w:rPr>
        <w:t>.</w:t>
      </w:r>
      <w:r w:rsidRPr="00A73501">
        <w:rPr>
          <w:rFonts w:ascii="Arial" w:hAnsi="Arial" w:cs="Arial"/>
          <w:sz w:val="14"/>
          <w:szCs w:val="14"/>
        </w:rPr>
        <w:t xml:space="preserve"> </w:t>
      </w:r>
    </w:p>
  </w:footnote>
  <w:footnote w:id="99">
    <w:p w14:paraId="7E02E1C2" w14:textId="6323BF31" w:rsidR="007E0735" w:rsidRPr="00170BD5" w:rsidRDefault="007E0735" w:rsidP="00170BD5">
      <w:pPr>
        <w:pStyle w:val="Textonotapie"/>
        <w:rPr>
          <w:rFonts w:ascii="Arial" w:hAnsi="Arial" w:cs="Arial"/>
          <w:sz w:val="14"/>
          <w:szCs w:val="14"/>
        </w:rPr>
      </w:pPr>
      <w:r w:rsidRPr="00170BD5">
        <w:rPr>
          <w:rStyle w:val="Refdenotaalpie"/>
          <w:rFonts w:ascii="Arial" w:hAnsi="Arial" w:cs="Arial"/>
          <w:sz w:val="14"/>
          <w:szCs w:val="14"/>
        </w:rPr>
        <w:footnoteRef/>
      </w:r>
      <w:r w:rsidRPr="00170BD5">
        <w:rPr>
          <w:rFonts w:ascii="Arial" w:hAnsi="Arial" w:cs="Arial"/>
          <w:sz w:val="14"/>
          <w:szCs w:val="14"/>
        </w:rPr>
        <w:t xml:space="preserve"> Instituto (2020). </w:t>
      </w:r>
      <w:r w:rsidRPr="00170B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170BD5">
        <w:rPr>
          <w:rFonts w:ascii="Arial" w:hAnsi="Arial" w:cs="Arial"/>
          <w:sz w:val="14"/>
          <w:szCs w:val="14"/>
        </w:rPr>
        <w:t xml:space="preserve">. Acuerdo P/IFT/181120/436. </w:t>
      </w:r>
    </w:p>
  </w:footnote>
  <w:footnote w:id="100">
    <w:p w14:paraId="67AF0972" w14:textId="5A634AAF"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 </w:t>
      </w:r>
      <w:r w:rsidRPr="00A73501">
        <w:rPr>
          <w:rFonts w:ascii="Arial" w:hAnsi="Arial" w:cs="Arial"/>
          <w:i/>
          <w:sz w:val="14"/>
          <w:szCs w:val="14"/>
        </w:rPr>
        <w:t>Bases de la Licitación IFT-1.</w:t>
      </w:r>
      <w:r w:rsidRPr="00A73501">
        <w:rPr>
          <w:rFonts w:ascii="Arial" w:hAnsi="Arial" w:cs="Arial"/>
          <w:sz w:val="14"/>
          <w:szCs w:val="14"/>
        </w:rPr>
        <w:t xml:space="preserve"> Disponibles en: </w:t>
      </w:r>
      <w:hyperlink r:id="rId45" w:history="1">
        <w:r w:rsidRPr="00D918F9">
          <w:rPr>
            <w:rStyle w:val="Hipervnculo"/>
            <w:rFonts w:ascii="Arial" w:hAnsi="Arial" w:cs="Arial"/>
            <w:sz w:val="14"/>
            <w:szCs w:val="14"/>
          </w:rPr>
          <w:t>http://www.ift.org.mx/industria/espectro-radioelectrico/radiodifusion/2014/ift-1-licitacion-de-dos-cadenas-de-television-radiodifundida-digital</w:t>
        </w:r>
      </w:hyperlink>
      <w:r w:rsidRPr="006B5397">
        <w:rPr>
          <w:sz w:val="18"/>
          <w:szCs w:val="18"/>
        </w:rPr>
        <w:t xml:space="preserve">. </w:t>
      </w:r>
      <w:r w:rsidRPr="00A73501">
        <w:rPr>
          <w:rFonts w:ascii="Arial" w:hAnsi="Arial" w:cs="Arial"/>
          <w:sz w:val="14"/>
          <w:szCs w:val="14"/>
        </w:rPr>
        <w:t xml:space="preserve">e </w:t>
      </w:r>
    </w:p>
    <w:p w14:paraId="410A476F" w14:textId="77777777" w:rsidR="007E0735" w:rsidRPr="00A73501" w:rsidRDefault="007E0735" w:rsidP="00A73501">
      <w:pPr>
        <w:pStyle w:val="Textonotapie"/>
        <w:rPr>
          <w:rFonts w:ascii="Arial" w:hAnsi="Arial" w:cs="Arial"/>
          <w:sz w:val="14"/>
          <w:szCs w:val="14"/>
        </w:rPr>
      </w:pPr>
      <w:r w:rsidRPr="00A73501">
        <w:rPr>
          <w:rFonts w:ascii="Arial" w:hAnsi="Arial" w:cs="Arial"/>
          <w:sz w:val="14"/>
          <w:szCs w:val="14"/>
        </w:rPr>
        <w:t xml:space="preserve">Instituto (2014). </w:t>
      </w:r>
      <w:r w:rsidRPr="00A73501">
        <w:rPr>
          <w:rFonts w:ascii="Arial" w:hAnsi="Arial" w:cs="Arial"/>
          <w:i/>
          <w:sz w:val="14"/>
          <w:szCs w:val="14"/>
        </w:rPr>
        <w:t>Opiniones en materia de competencia económica emitidas por el Instituto en la Licitación IFT-1.</w:t>
      </w:r>
      <w:r w:rsidRPr="00A73501">
        <w:rPr>
          <w:rFonts w:ascii="Arial" w:hAnsi="Arial" w:cs="Arial"/>
          <w:sz w:val="14"/>
          <w:szCs w:val="14"/>
        </w:rPr>
        <w:t xml:space="preserve"> Disponibles en: </w:t>
      </w:r>
      <w:hyperlink r:id="rId46" w:anchor="overlay-context=pagina-de-inicio/apendices" w:history="1">
        <w:r w:rsidRPr="00A73501">
          <w:rPr>
            <w:rStyle w:val="Hipervnculo"/>
            <w:rFonts w:ascii="Arial" w:hAnsi="Arial" w:cs="Arial"/>
            <w:sz w:val="14"/>
            <w:szCs w:val="14"/>
          </w:rPr>
          <w:t>http://www.ift.org.mx/pagina-de-inicio/opiniones-en-materia-de-competencia-economica#overlay-context=pagina-de-inicio/apendices</w:t>
        </w:r>
      </w:hyperlink>
      <w:r w:rsidRPr="00A73501">
        <w:rPr>
          <w:rStyle w:val="Hipervnculo"/>
          <w:rFonts w:ascii="Arial" w:hAnsi="Arial" w:cs="Arial"/>
          <w:sz w:val="14"/>
          <w:szCs w:val="14"/>
        </w:rPr>
        <w:t>.</w:t>
      </w:r>
    </w:p>
  </w:footnote>
  <w:footnote w:id="101">
    <w:p w14:paraId="4263522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 </w:t>
      </w:r>
      <w:r w:rsidRPr="00A73501">
        <w:rPr>
          <w:rFonts w:ascii="Arial" w:hAnsi="Arial" w:cs="Arial"/>
          <w:i/>
          <w:sz w:val="14"/>
          <w:szCs w:val="14"/>
        </w:rPr>
        <w:t>Bases de la Licitación IFT-6.</w:t>
      </w:r>
      <w:r w:rsidRPr="00A73501">
        <w:rPr>
          <w:rFonts w:ascii="Arial" w:hAnsi="Arial" w:cs="Arial"/>
          <w:sz w:val="14"/>
          <w:szCs w:val="14"/>
        </w:rPr>
        <w:t xml:space="preserve"> Disponibles en: </w:t>
      </w:r>
      <w:hyperlink r:id="rId47" w:history="1">
        <w:r w:rsidRPr="00A73501">
          <w:rPr>
            <w:rStyle w:val="Hipervnculo"/>
            <w:rFonts w:ascii="Arial" w:hAnsi="Arial" w:cs="Arial"/>
            <w:sz w:val="14"/>
            <w:szCs w:val="14"/>
          </w:rPr>
          <w:t>http://www.ift.org.mx/industria/espectro-radioelectrico/television/2016/licitacion-no-ift-6-television-radiodifundida-digital</w:t>
        </w:r>
      </w:hyperlink>
      <w:r w:rsidRPr="00A73501">
        <w:rPr>
          <w:rFonts w:ascii="Arial" w:hAnsi="Arial" w:cs="Arial"/>
          <w:sz w:val="14"/>
          <w:szCs w:val="14"/>
        </w:rPr>
        <w:t>.</w:t>
      </w:r>
    </w:p>
  </w:footnote>
  <w:footnote w:id="102">
    <w:p w14:paraId="775474EA" w14:textId="551C65E2"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w:t>
      </w:r>
      <w:r w:rsidRPr="00A73501">
        <w:rPr>
          <w:rFonts w:ascii="Arial" w:hAnsi="Arial" w:cs="Arial"/>
          <w:b/>
          <w:bCs/>
          <w:sz w:val="14"/>
          <w:szCs w:val="14"/>
        </w:rPr>
        <w:t xml:space="preserve"> </w:t>
      </w:r>
      <w:r w:rsidRPr="00A73501">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A73501">
        <w:rPr>
          <w:rFonts w:ascii="Arial" w:hAnsi="Arial" w:cs="Arial"/>
          <w:sz w:val="14"/>
          <w:szCs w:val="14"/>
        </w:rPr>
        <w:t xml:space="preserve">. Acuerdo </w:t>
      </w:r>
      <w:r w:rsidRPr="00A73501">
        <w:rPr>
          <w:rFonts w:ascii="Arial" w:hAnsi="Arial" w:cs="Arial"/>
          <w:bCs/>
          <w:sz w:val="14"/>
          <w:szCs w:val="14"/>
        </w:rPr>
        <w:t>P/IFT/EXT/190216/7. D</w:t>
      </w:r>
      <w:r w:rsidRPr="00A73501">
        <w:rPr>
          <w:rFonts w:ascii="Arial" w:hAnsi="Arial" w:cs="Arial"/>
          <w:sz w:val="14"/>
          <w:szCs w:val="14"/>
        </w:rPr>
        <w:t>isponible en:</w:t>
      </w:r>
      <w:r w:rsidRPr="00D918F9">
        <w:rPr>
          <w:sz w:val="18"/>
          <w:szCs w:val="18"/>
        </w:rPr>
        <w:t xml:space="preserve"> </w:t>
      </w:r>
      <w:hyperlink r:id="rId48" w:history="1">
        <w:r w:rsidRPr="00D918F9">
          <w:rPr>
            <w:rStyle w:val="Hipervnculo"/>
            <w:rFonts w:ascii="Arial" w:hAnsi="Arial" w:cs="Arial"/>
            <w:sz w:val="14"/>
            <w:szCs w:val="14"/>
          </w:rPr>
          <w:t>http://apps.ift.org.mx/publicdata/Version_Publica_P_IFT_EXT_190216_7.pdf</w:t>
        </w:r>
      </w:hyperlink>
      <w:r w:rsidRPr="00D918F9">
        <w:rPr>
          <w:rStyle w:val="Hipervnculo"/>
          <w:rFonts w:ascii="Arial" w:hAnsi="Arial" w:cs="Arial"/>
          <w:sz w:val="14"/>
          <w:szCs w:val="14"/>
        </w:rPr>
        <w:t>.</w:t>
      </w:r>
    </w:p>
  </w:footnote>
  <w:footnote w:id="103">
    <w:p w14:paraId="7E163CC6" w14:textId="77777777"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Del inglés </w:t>
      </w:r>
      <w:r w:rsidRPr="00A73501">
        <w:rPr>
          <w:rFonts w:ascii="Arial" w:hAnsi="Arial" w:cs="Arial"/>
          <w:i/>
          <w:iCs/>
          <w:sz w:val="14"/>
          <w:szCs w:val="14"/>
        </w:rPr>
        <w:t xml:space="preserve">Advertising Video on Demand; </w:t>
      </w:r>
      <w:r w:rsidRPr="00A73501">
        <w:rPr>
          <w:rFonts w:ascii="Arial" w:hAnsi="Arial" w:cs="Arial"/>
          <w:sz w:val="14"/>
          <w:szCs w:val="14"/>
        </w:rPr>
        <w:t xml:space="preserve">se refiere </w:t>
      </w:r>
      <w:r w:rsidRPr="00A73501">
        <w:rPr>
          <w:rFonts w:ascii="Arial" w:hAnsi="Arial" w:cs="Arial"/>
          <w:i/>
          <w:iCs/>
          <w:sz w:val="14"/>
          <w:szCs w:val="14"/>
        </w:rPr>
        <w:t xml:space="preserve">a </w:t>
      </w:r>
      <w:r w:rsidRPr="00A73501">
        <w:rPr>
          <w:rFonts w:ascii="Arial" w:hAnsi="Arial" w:cs="Arial"/>
          <w:sz w:val="14"/>
          <w:szCs w:val="14"/>
        </w:rPr>
        <w:t xml:space="preserve">servicios de contenidos que se ofrecen de manera gratuita; SVoD: del inglés </w:t>
      </w:r>
      <w:r w:rsidRPr="00A73501">
        <w:rPr>
          <w:rFonts w:ascii="Arial" w:hAnsi="Arial" w:cs="Arial"/>
          <w:i/>
          <w:iCs/>
          <w:sz w:val="14"/>
          <w:szCs w:val="14"/>
        </w:rPr>
        <w:t xml:space="preserve">Suscription Video on Demand; </w:t>
      </w:r>
      <w:r w:rsidRPr="00A73501">
        <w:rPr>
          <w:rFonts w:ascii="Arial" w:hAnsi="Arial" w:cs="Arial"/>
          <w:sz w:val="14"/>
          <w:szCs w:val="14"/>
        </w:rPr>
        <w:t>se refiere a servicios de contenidos que requieren de un cargo por suscripción.</w:t>
      </w:r>
    </w:p>
  </w:footnote>
  <w:footnote w:id="104">
    <w:p w14:paraId="36267D3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w:t>
      </w:r>
      <w:r w:rsidRPr="00A73501">
        <w:rPr>
          <w:rFonts w:ascii="Arial" w:hAnsi="Arial" w:cs="Arial"/>
          <w:b/>
          <w:bCs/>
          <w:sz w:val="14"/>
          <w:szCs w:val="14"/>
        </w:rPr>
        <w:t xml:space="preserve"> </w:t>
      </w:r>
      <w:r w:rsidRPr="00A73501">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A73501">
        <w:rPr>
          <w:rFonts w:ascii="Arial" w:hAnsi="Arial" w:cs="Arial"/>
          <w:sz w:val="14"/>
          <w:szCs w:val="14"/>
        </w:rPr>
        <w:t xml:space="preserve">. Acuerdo </w:t>
      </w:r>
      <w:r w:rsidRPr="00A73501">
        <w:rPr>
          <w:rFonts w:ascii="Arial" w:hAnsi="Arial" w:cs="Arial"/>
          <w:bCs/>
          <w:sz w:val="14"/>
          <w:szCs w:val="14"/>
        </w:rPr>
        <w:t>P/IFT/EXT/190216/7.</w:t>
      </w:r>
    </w:p>
  </w:footnote>
  <w:footnote w:id="105">
    <w:p w14:paraId="7D9EF94D" w14:textId="77777777" w:rsidR="007E0735" w:rsidRPr="00A73501" w:rsidRDefault="007E0735" w:rsidP="00A73501">
      <w:pPr>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(2018). Acuerdo P/IFT/121218/948. </w:t>
      </w:r>
      <w:r w:rsidRPr="00A73501">
        <w:rPr>
          <w:rFonts w:ascii="Arial" w:hAnsi="Arial" w:cs="Arial"/>
          <w:color w:val="000000" w:themeColor="text1"/>
          <w:sz w:val="14"/>
          <w:szCs w:val="14"/>
        </w:rPr>
        <w:t xml:space="preserve">Disponible en: </w:t>
      </w:r>
      <w:hyperlink r:id="rId49" w:anchor="P/IFT/121218/948" w:history="1">
        <w:r w:rsidRPr="00A73501">
          <w:rPr>
            <w:rStyle w:val="Hipervnculo"/>
            <w:rFonts w:ascii="Arial" w:hAnsi="Arial" w:cs="Arial"/>
            <w:sz w:val="14"/>
            <w:szCs w:val="14"/>
          </w:rPr>
          <w:t>http://www.ift.org.mx/sites/default/files/conocenos/pleno/sesiones/acuerdoliga/pift121218948.pdf#P/IFT/121218/948</w:t>
        </w:r>
      </w:hyperlink>
      <w:r w:rsidRPr="00A73501">
        <w:rPr>
          <w:rFonts w:ascii="Arial" w:hAnsi="Arial" w:cs="Arial"/>
          <w:sz w:val="14"/>
          <w:szCs w:val="14"/>
          <w:u w:val="single"/>
        </w:rPr>
        <w:t xml:space="preserve"> </w:t>
      </w:r>
      <w:r w:rsidRPr="00A73501">
        <w:rPr>
          <w:rFonts w:ascii="Arial" w:hAnsi="Arial" w:cs="Arial"/>
          <w:sz w:val="14"/>
          <w:szCs w:val="14"/>
        </w:rPr>
        <w:t xml:space="preserve">y Versión pública del Dictamen Preliminar emitido en el Expediente AC/DC-004-2018, disponible en: </w:t>
      </w:r>
      <w:hyperlink r:id="rId50" w:history="1">
        <w:r w:rsidRPr="00A73501">
          <w:rPr>
            <w:rStyle w:val="Hipervnculo"/>
            <w:rFonts w:ascii="Arial" w:hAnsi="Arial" w:cs="Arial"/>
            <w:sz w:val="14"/>
            <w:szCs w:val="14"/>
          </w:rPr>
          <w:t>http://www.ift.org.mx/sites/default/files/contenidogeneral/autoridad-investigadora/vpai-dc-004-2018.pdf</w:t>
        </w:r>
      </w:hyperlink>
      <w:r w:rsidRPr="00A73501">
        <w:rPr>
          <w:rFonts w:ascii="Arial" w:hAnsi="Arial" w:cs="Arial"/>
          <w:sz w:val="14"/>
          <w:szCs w:val="14"/>
          <w:u w:val="single"/>
        </w:rPr>
        <w:t>.</w:t>
      </w:r>
      <w:r w:rsidRPr="00A73501">
        <w:rPr>
          <w:rFonts w:ascii="Arial" w:hAnsi="Arial" w:cs="Arial"/>
          <w:sz w:val="14"/>
          <w:szCs w:val="14"/>
        </w:rPr>
        <w:t xml:space="preserve"> </w:t>
      </w:r>
    </w:p>
  </w:footnote>
  <w:footnote w:id="106">
    <w:p w14:paraId="56CEFA01" w14:textId="450B7A26"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Se provee por concesionarios de radiodifusión comercial, puede acompañarse de servicios complementarios (producción de </w:t>
      </w:r>
      <w:r w:rsidRPr="00A73501">
        <w:rPr>
          <w:rFonts w:ascii="Arial" w:hAnsi="Arial" w:cs="Arial"/>
          <w:i/>
          <w:sz w:val="14"/>
          <w:szCs w:val="14"/>
        </w:rPr>
        <w:t>spots</w:t>
      </w:r>
      <w:r w:rsidRPr="00A73501">
        <w:rPr>
          <w:rFonts w:ascii="Arial" w:hAnsi="Arial" w:cs="Arial"/>
          <w:sz w:val="14"/>
          <w:szCs w:val="14"/>
        </w:rPr>
        <w:t xml:space="preserve"> y reportes de audiencia), sus precios están determinados principalmente por el nivel y tipo de audiencia y alcance geográfico de la estación. </w:t>
      </w:r>
    </w:p>
  </w:footnote>
  <w:footnote w:id="107">
    <w:p w14:paraId="5D59DC17"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OCDE (2012). </w:t>
      </w:r>
      <w:r w:rsidRPr="00A73501">
        <w:rPr>
          <w:rFonts w:ascii="Arial" w:hAnsi="Arial" w:cs="Arial"/>
          <w:i/>
          <w:sz w:val="14"/>
          <w:szCs w:val="14"/>
          <w:lang w:val="fr-FR"/>
        </w:rPr>
        <w:t>Market Definition</w:t>
      </w:r>
      <w:r w:rsidRPr="00A73501">
        <w:rPr>
          <w:rFonts w:ascii="Arial" w:hAnsi="Arial" w:cs="Arial"/>
          <w:sz w:val="14"/>
          <w:szCs w:val="14"/>
          <w:lang w:val="fr-FR"/>
        </w:rPr>
        <w:t>. pp. 30-36.</w:t>
      </w:r>
      <w:r w:rsidRPr="00A73501">
        <w:rPr>
          <w:rFonts w:ascii="Arial" w:hAnsi="Arial" w:cs="Arial"/>
          <w:i/>
          <w:sz w:val="14"/>
          <w:szCs w:val="14"/>
          <w:lang w:val="fr-FR"/>
        </w:rPr>
        <w:t xml:space="preserve"> </w:t>
      </w:r>
    </w:p>
  </w:footnote>
  <w:footnote w:id="108">
    <w:p w14:paraId="5B5D557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w:t>
      </w:r>
    </w:p>
  </w:footnote>
  <w:footnote w:id="109">
    <w:p w14:paraId="26A59545" w14:textId="6983F21E"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 CE señala que un grupo de consumidores puede constituir un mercado distinto cuando dicho grupo puede ser sujeto de discriminación de precios, lo cual ocurre usualmente bajo dos condiciones: i) es posible identificar claramente el grupo al que pertenece un consumidor al momento de venderle el </w:t>
      </w:r>
      <w:r>
        <w:rPr>
          <w:rFonts w:ascii="Arial" w:hAnsi="Arial" w:cs="Arial"/>
          <w:sz w:val="14"/>
          <w:szCs w:val="14"/>
        </w:rPr>
        <w:t>producto</w:t>
      </w:r>
      <w:r w:rsidRPr="00A73501">
        <w:rPr>
          <w:rFonts w:ascii="Arial" w:hAnsi="Arial" w:cs="Arial"/>
          <w:sz w:val="14"/>
          <w:szCs w:val="14"/>
        </w:rPr>
        <w:t xml:space="preserve"> relevante y ii) no es posible el arbitraje por parte de terceros.</w:t>
      </w:r>
    </w:p>
  </w:footnote>
  <w:footnote w:id="110">
    <w:p w14:paraId="395C5162" w14:textId="1F67CAD4"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w:t>
      </w:r>
    </w:p>
  </w:footnote>
  <w:footnote w:id="111">
    <w:p w14:paraId="25AAE3D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(2013). </w:t>
      </w:r>
      <w:r w:rsidRPr="00A73501">
        <w:rPr>
          <w:rFonts w:ascii="Arial" w:hAnsi="Arial" w:cs="Arial"/>
          <w:i/>
          <w:sz w:val="14"/>
          <w:szCs w:val="14"/>
        </w:rPr>
        <w:t>Case No COMP/M.6880 - LIBERTY GLOBAL/ VIRGIN MEDIA</w:t>
      </w:r>
      <w:r w:rsidRPr="00A73501">
        <w:rPr>
          <w:rFonts w:ascii="Arial" w:hAnsi="Arial" w:cs="Arial"/>
          <w:sz w:val="14"/>
          <w:szCs w:val="14"/>
        </w:rPr>
        <w:t xml:space="preserve">, párrafos 42 a 50. Disponible en: </w:t>
      </w:r>
      <w:hyperlink r:id="rId51" w:history="1">
        <w:r w:rsidRPr="00A73501">
          <w:rPr>
            <w:rStyle w:val="Hipervnculo"/>
            <w:rFonts w:ascii="Arial" w:hAnsi="Arial" w:cs="Arial"/>
            <w:sz w:val="14"/>
            <w:szCs w:val="14"/>
          </w:rPr>
          <w:t>https://ec.europa.eu/competition/mergers/cases/decisions/m6880_410_2.pdf</w:t>
        </w:r>
      </w:hyperlink>
      <w:r w:rsidRPr="00A73501">
        <w:rPr>
          <w:rStyle w:val="Hipervnculo"/>
          <w:rFonts w:ascii="Arial" w:hAnsi="Arial" w:cs="Arial"/>
          <w:sz w:val="14"/>
          <w:szCs w:val="14"/>
        </w:rPr>
        <w:t>.</w:t>
      </w:r>
    </w:p>
  </w:footnote>
  <w:footnote w:id="112">
    <w:p w14:paraId="27F43ECC" w14:textId="77777777" w:rsidR="007E0735" w:rsidRPr="00A73501" w:rsidRDefault="007E0735" w:rsidP="00A73501">
      <w:pPr>
        <w:pStyle w:val="Textonotapie"/>
        <w:tabs>
          <w:tab w:val="left" w:pos="6379"/>
        </w:tabs>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(2019). </w:t>
      </w:r>
      <w:r w:rsidRPr="00A73501">
        <w:rPr>
          <w:rFonts w:ascii="Arial" w:hAnsi="Arial" w:cs="Arial"/>
          <w:i/>
          <w:sz w:val="14"/>
          <w:szCs w:val="14"/>
          <w:lang w:val="fr-FR"/>
        </w:rPr>
        <w:t>Case M.8864 - Vodafone / Certain Liberty Global Assets</w:t>
      </w:r>
      <w:r w:rsidRPr="00A73501">
        <w:rPr>
          <w:rFonts w:ascii="Arial" w:hAnsi="Arial" w:cs="Arial"/>
          <w:sz w:val="14"/>
          <w:szCs w:val="14"/>
          <w:lang w:val="fr-FR"/>
        </w:rPr>
        <w:t xml:space="preserve">, párrafos 49 a 67. Disponible en: </w:t>
      </w:r>
      <w:hyperlink r:id="rId52" w:history="1">
        <w:r w:rsidRPr="00A73501">
          <w:rPr>
            <w:rStyle w:val="Hipervnculo"/>
            <w:rFonts w:ascii="Arial" w:hAnsi="Arial" w:cs="Arial"/>
            <w:sz w:val="14"/>
            <w:szCs w:val="14"/>
            <w:lang w:val="fr-FR"/>
          </w:rPr>
          <w:t>https://ec.europa.eu/competition/mergers/cases/decisions/m8864_7363_3.pdf</w:t>
        </w:r>
      </w:hyperlink>
      <w:r w:rsidRPr="00A73501">
        <w:rPr>
          <w:rStyle w:val="Hipervnculo"/>
          <w:rFonts w:ascii="Arial" w:hAnsi="Arial" w:cs="Arial"/>
          <w:sz w:val="14"/>
          <w:szCs w:val="14"/>
          <w:lang w:val="fr-FR"/>
        </w:rPr>
        <w:t>.</w:t>
      </w:r>
    </w:p>
  </w:footnote>
  <w:footnote w:id="113">
    <w:p w14:paraId="6019E3B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3" w:history="1">
        <w:r w:rsidRPr="00A73501">
          <w:rPr>
            <w:rStyle w:val="Hipervnculo"/>
            <w:rFonts w:ascii="Arial" w:hAnsi="Arial" w:cs="Arial"/>
            <w:sz w:val="14"/>
            <w:szCs w:val="14"/>
          </w:rPr>
          <w:t>https://assets.publishing.service.gov.uk/government/uploads/system/uploads/attachment_data/file/284423/oft403.pdf</w:t>
        </w:r>
      </w:hyperlink>
      <w:r w:rsidRPr="00A73501">
        <w:rPr>
          <w:rStyle w:val="Hipervnculo"/>
          <w:rFonts w:ascii="Arial" w:hAnsi="Arial" w:cs="Arial"/>
          <w:sz w:val="14"/>
          <w:szCs w:val="14"/>
        </w:rPr>
        <w:t>.</w:t>
      </w:r>
    </w:p>
  </w:footnote>
  <w:footnote w:id="114">
    <w:p w14:paraId="5C41A185"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 (2020). </w:t>
      </w:r>
      <w:r w:rsidRPr="00A73501">
        <w:rPr>
          <w:rFonts w:ascii="Arial" w:hAnsi="Arial" w:cs="Arial"/>
          <w:bCs/>
          <w:i/>
          <w:sz w:val="14"/>
          <w:szCs w:val="14"/>
          <w:lang w:val="en-US"/>
        </w:rPr>
        <w:t>Bauer Media Group merger inquiry</w:t>
      </w:r>
      <w:r w:rsidRPr="00A73501">
        <w:rPr>
          <w:rFonts w:ascii="Arial" w:hAnsi="Arial" w:cs="Arial"/>
          <w:b/>
          <w:bCs/>
          <w:i/>
          <w:sz w:val="14"/>
          <w:szCs w:val="14"/>
          <w:lang w:val="en-US"/>
        </w:rPr>
        <w:t xml:space="preserve">. </w:t>
      </w:r>
      <w:r w:rsidRPr="00A73501">
        <w:rPr>
          <w:rFonts w:ascii="Arial" w:hAnsi="Arial" w:cs="Arial"/>
          <w:i/>
          <w:sz w:val="14"/>
          <w:szCs w:val="14"/>
          <w:lang w:val="en-US"/>
        </w:rPr>
        <w:t>Completed acquisitions by Bauer Media Group of certain businesses of Celador Entertainment Limited, Lincs FM Group Limited and Wireless Group Limited, as well as the entire business of UKRD Group Limited.</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4" w:history="1">
        <w:r w:rsidRPr="00A73501">
          <w:rPr>
            <w:rStyle w:val="Hipervnculo"/>
            <w:rFonts w:ascii="Arial" w:hAnsi="Arial" w:cs="Arial"/>
            <w:sz w:val="14"/>
            <w:szCs w:val="14"/>
          </w:rPr>
          <w:t>https://www.gov.uk/cma-cases/bauer-media-group-merger-inquiry</w:t>
        </w:r>
      </w:hyperlink>
      <w:r w:rsidRPr="00A73501">
        <w:rPr>
          <w:rStyle w:val="Hipervnculo"/>
          <w:rFonts w:ascii="Arial" w:hAnsi="Arial" w:cs="Arial"/>
          <w:sz w:val="14"/>
          <w:szCs w:val="14"/>
        </w:rPr>
        <w:t>.</w:t>
      </w:r>
    </w:p>
  </w:footnote>
  <w:footnote w:id="115">
    <w:p w14:paraId="585A46D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Un </w:t>
      </w:r>
      <w:r w:rsidRPr="00A73501">
        <w:rPr>
          <w:rFonts w:ascii="Arial" w:hAnsi="Arial" w:cs="Arial"/>
          <w:i/>
          <w:sz w:val="14"/>
          <w:szCs w:val="14"/>
        </w:rPr>
        <w:t>“jingle”</w:t>
      </w:r>
      <w:r w:rsidRPr="00A73501">
        <w:rPr>
          <w:rFonts w:ascii="Arial" w:hAnsi="Arial" w:cs="Arial"/>
          <w:sz w:val="14"/>
          <w:szCs w:val="14"/>
        </w:rPr>
        <w:t xml:space="preserve"> se define, en publicidad, como canciones sobre un producto o servicio que suelen llevar el tema publicitario y un mensaje sencillo.</w:t>
      </w:r>
    </w:p>
  </w:footnote>
  <w:footnote w:id="116">
    <w:p w14:paraId="1A5BC2F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DOJ y FTC (2010). </w:t>
      </w:r>
      <w:r w:rsidRPr="00A73501">
        <w:rPr>
          <w:rFonts w:ascii="Arial" w:hAnsi="Arial" w:cs="Arial"/>
          <w:i/>
          <w:sz w:val="14"/>
          <w:szCs w:val="14"/>
        </w:rPr>
        <w:t>Horizontal Merger Guidelines</w:t>
      </w:r>
      <w:r w:rsidRPr="00A73501">
        <w:rPr>
          <w:rFonts w:ascii="Arial" w:hAnsi="Arial" w:cs="Arial"/>
          <w:sz w:val="14"/>
          <w:szCs w:val="14"/>
        </w:rPr>
        <w:t xml:space="preserve">. </w:t>
      </w:r>
    </w:p>
    <w:p w14:paraId="4D53BEBF" w14:textId="77777777" w:rsidR="007E0735" w:rsidRPr="00A73501" w:rsidRDefault="007E0735" w:rsidP="00A73501">
      <w:pPr>
        <w:pStyle w:val="Textonotapie"/>
        <w:rPr>
          <w:rFonts w:ascii="Arial" w:hAnsi="Arial" w:cs="Arial"/>
          <w:sz w:val="14"/>
          <w:szCs w:val="14"/>
          <w:lang w:val="fr-FR"/>
        </w:rPr>
      </w:pPr>
      <w:r w:rsidRPr="00103767">
        <w:rPr>
          <w:rFonts w:ascii="Arial" w:hAnsi="Arial" w:cs="Arial"/>
          <w:sz w:val="14"/>
          <w:szCs w:val="14"/>
        </w:rPr>
        <w:t xml:space="preserve">DOJ y FTC (2010). </w:t>
      </w:r>
      <w:r w:rsidRPr="00A73501">
        <w:rPr>
          <w:rFonts w:ascii="Arial" w:hAnsi="Arial" w:cs="Arial"/>
          <w:i/>
          <w:sz w:val="14"/>
          <w:szCs w:val="14"/>
          <w:lang w:val="fr-FR"/>
        </w:rPr>
        <w:t>Product Market Definition</w:t>
      </w:r>
      <w:r w:rsidRPr="00A73501">
        <w:rPr>
          <w:rFonts w:ascii="Arial" w:hAnsi="Arial" w:cs="Arial"/>
          <w:sz w:val="14"/>
          <w:szCs w:val="14"/>
          <w:lang w:val="fr-FR"/>
        </w:rPr>
        <w:t xml:space="preserve">. Disponible en: </w:t>
      </w:r>
      <w:hyperlink r:id="rId55" w:history="1">
        <w:r w:rsidRPr="00A73501">
          <w:rPr>
            <w:rStyle w:val="Hipervnculo"/>
            <w:rFonts w:ascii="Arial" w:hAnsi="Arial" w:cs="Arial"/>
            <w:sz w:val="14"/>
            <w:szCs w:val="14"/>
            <w:lang w:val="fr-FR"/>
          </w:rPr>
          <w:t>https://www.justice.gov/atr/11-product-market-definition</w:t>
        </w:r>
      </w:hyperlink>
      <w:r w:rsidRPr="00A73501">
        <w:rPr>
          <w:rStyle w:val="Hipervnculo"/>
          <w:rFonts w:ascii="Arial" w:hAnsi="Arial" w:cs="Arial"/>
          <w:sz w:val="14"/>
          <w:szCs w:val="14"/>
          <w:lang w:val="fr-FR"/>
        </w:rPr>
        <w:t>.</w:t>
      </w:r>
    </w:p>
  </w:footnote>
  <w:footnote w:id="117">
    <w:p w14:paraId="20C97BA2"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CBC (2011). </w:t>
      </w:r>
      <w:r w:rsidRPr="00A73501">
        <w:rPr>
          <w:rFonts w:ascii="Arial" w:hAnsi="Arial" w:cs="Arial"/>
          <w:i/>
          <w:sz w:val="14"/>
          <w:szCs w:val="14"/>
          <w:lang w:val="fr-FR"/>
        </w:rPr>
        <w:t>Merger Enforcement Guidelines</w:t>
      </w:r>
      <w:r w:rsidRPr="00A73501">
        <w:rPr>
          <w:rFonts w:ascii="Arial" w:hAnsi="Arial" w:cs="Arial"/>
          <w:sz w:val="14"/>
          <w:szCs w:val="14"/>
          <w:lang w:val="fr-FR"/>
        </w:rPr>
        <w:t>.</w:t>
      </w:r>
      <w:r w:rsidRPr="00A73501" w:rsidDel="00442204">
        <w:rPr>
          <w:rFonts w:ascii="Arial" w:hAnsi="Arial" w:cs="Arial"/>
          <w:sz w:val="14"/>
          <w:szCs w:val="14"/>
          <w:lang w:val="fr-FR"/>
        </w:rPr>
        <w:t xml:space="preserve"> </w:t>
      </w:r>
    </w:p>
  </w:footnote>
  <w:footnote w:id="118">
    <w:p w14:paraId="6C98ABF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CRTC (2011). </w:t>
      </w:r>
      <w:r w:rsidRPr="00A73501">
        <w:rPr>
          <w:rFonts w:ascii="Arial" w:hAnsi="Arial" w:cs="Arial"/>
          <w:i/>
          <w:sz w:val="14"/>
          <w:szCs w:val="14"/>
          <w:lang w:val="en-US"/>
        </w:rPr>
        <w:t>Market Definition Issues for Audio and Audio-Visual Distribution Products and Services in a Digital Environment</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6" w:anchor="a6" w:history="1">
        <w:r w:rsidRPr="00A73501">
          <w:rPr>
            <w:rStyle w:val="Hipervnculo"/>
            <w:rFonts w:ascii="Arial" w:hAnsi="Arial" w:cs="Arial"/>
            <w:sz w:val="14"/>
            <w:szCs w:val="14"/>
          </w:rPr>
          <w:t>https://crtc.gc.ca/eng/publications/reports/rp110215.htm?_ga=2.166625598.140085912.1596486262-181080644.1596486262#a6</w:t>
        </w:r>
      </w:hyperlink>
    </w:p>
  </w:footnote>
  <w:footnote w:id="119">
    <w:p w14:paraId="380968A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(2017). </w:t>
      </w:r>
      <w:r w:rsidRPr="00A73501">
        <w:rPr>
          <w:rFonts w:ascii="Arial" w:hAnsi="Arial" w:cs="Arial"/>
          <w:i/>
          <w:sz w:val="14"/>
          <w:szCs w:val="14"/>
          <w:lang w:val="en-US"/>
        </w:rPr>
        <w:t>Competition Bureau statement regarding Bell’s acquisition of MTS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7" w:history="1">
        <w:r w:rsidRPr="00A73501">
          <w:rPr>
            <w:rStyle w:val="Hipervnculo"/>
            <w:rFonts w:ascii="Arial" w:hAnsi="Arial" w:cs="Arial"/>
            <w:sz w:val="14"/>
            <w:szCs w:val="14"/>
          </w:rPr>
          <w:t>https://www.competitionbureau.gc.ca/eic/site/cb-bc.nsf/eng/04200.html</w:t>
        </w:r>
      </w:hyperlink>
    </w:p>
  </w:footnote>
  <w:footnote w:id="120">
    <w:p w14:paraId="5C00FE1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shd w:val="clear" w:color="auto" w:fill="FFFFFF"/>
        </w:rPr>
        <w:t xml:space="preserve">ACCC (2008). </w:t>
      </w:r>
      <w:r w:rsidRPr="00A73501">
        <w:rPr>
          <w:rFonts w:ascii="Arial" w:hAnsi="Arial" w:cs="Arial"/>
          <w:i/>
          <w:color w:val="000000"/>
          <w:sz w:val="14"/>
          <w:szCs w:val="14"/>
          <w:shd w:val="clear" w:color="auto" w:fill="FFFFFF"/>
        </w:rPr>
        <w:t>Merger Guidelines (actualización 2017).</w:t>
      </w:r>
      <w:r w:rsidRPr="00A73501">
        <w:rPr>
          <w:rFonts w:ascii="Arial" w:hAnsi="Arial" w:cs="Arial"/>
          <w:color w:val="000000"/>
          <w:sz w:val="14"/>
          <w:szCs w:val="14"/>
          <w:shd w:val="clear" w:color="auto" w:fill="FFFFFF"/>
        </w:rPr>
        <w:t xml:space="preserve"> pp. 13-14, 16-17. </w:t>
      </w:r>
    </w:p>
    <w:p w14:paraId="2D200136" w14:textId="77777777" w:rsidR="007E0735" w:rsidRPr="00A73501" w:rsidRDefault="007E0735" w:rsidP="00A73501">
      <w:pPr>
        <w:pStyle w:val="Textonotapie"/>
        <w:rPr>
          <w:rFonts w:ascii="Arial" w:hAnsi="Arial" w:cs="Arial"/>
          <w:sz w:val="14"/>
          <w:szCs w:val="14"/>
          <w:lang w:val="en-US"/>
        </w:rPr>
      </w:pPr>
      <w:r w:rsidRPr="00A73501">
        <w:rPr>
          <w:rFonts w:ascii="Arial" w:hAnsi="Arial" w:cs="Arial"/>
          <w:sz w:val="14"/>
          <w:szCs w:val="14"/>
          <w:lang w:val="en-US"/>
        </w:rPr>
        <w:t xml:space="preserve">ACCC (2018). </w:t>
      </w:r>
      <w:r w:rsidRPr="00A73501">
        <w:rPr>
          <w:rFonts w:ascii="Arial" w:hAnsi="Arial" w:cs="Arial"/>
          <w:i/>
          <w:sz w:val="14"/>
          <w:szCs w:val="14"/>
          <w:lang w:val="en-US"/>
        </w:rPr>
        <w:t>Guidelines on misuse of market power</w:t>
      </w:r>
      <w:r w:rsidRPr="00A73501">
        <w:rPr>
          <w:rFonts w:ascii="Arial" w:hAnsi="Arial" w:cs="Arial"/>
          <w:sz w:val="14"/>
          <w:szCs w:val="14"/>
          <w:lang w:val="en-US"/>
        </w:rPr>
        <w:t xml:space="preserve">. </w:t>
      </w:r>
    </w:p>
  </w:footnote>
  <w:footnote w:id="121">
    <w:p w14:paraId="3FDB3415" w14:textId="77777777" w:rsidR="007E0735" w:rsidRPr="00A73501" w:rsidRDefault="007E0735" w:rsidP="00A73501">
      <w:pPr>
        <w:pStyle w:val="Textonotapie"/>
        <w:rPr>
          <w:rFonts w:ascii="Arial" w:hAnsi="Arial" w:cs="Arial"/>
          <w:i/>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ACCC (2015). </w:t>
      </w:r>
      <w:r w:rsidRPr="00A73501">
        <w:rPr>
          <w:rFonts w:ascii="Arial" w:hAnsi="Arial" w:cs="Arial"/>
          <w:i/>
          <w:sz w:val="14"/>
          <w:szCs w:val="14"/>
          <w:lang w:val="en-US"/>
        </w:rPr>
        <w:t>TPG Telecom Limited – proposed acquisition of iiNet Limited.</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8" w:history="1">
        <w:r w:rsidRPr="00A73501">
          <w:rPr>
            <w:rStyle w:val="Hipervnculo"/>
            <w:rFonts w:ascii="Arial" w:hAnsi="Arial" w:cs="Arial"/>
            <w:sz w:val="14"/>
            <w:szCs w:val="14"/>
          </w:rPr>
          <w:t>https://www.accc.gov.au/system/files/public-registers/documents/MER15%2B13662.pdf</w:t>
        </w:r>
      </w:hyperlink>
      <w:r w:rsidRPr="00A73501">
        <w:rPr>
          <w:rStyle w:val="Hipervnculo"/>
          <w:rFonts w:ascii="Arial" w:hAnsi="Arial" w:cs="Arial"/>
          <w:sz w:val="14"/>
          <w:szCs w:val="14"/>
        </w:rPr>
        <w:t>.</w:t>
      </w:r>
    </w:p>
  </w:footnote>
  <w:footnote w:id="122">
    <w:p w14:paraId="5769DDB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RTR (2008). </w:t>
      </w:r>
      <w:r w:rsidRPr="00A73501">
        <w:rPr>
          <w:rFonts w:ascii="Arial" w:hAnsi="Arial" w:cs="Arial"/>
          <w:i/>
          <w:sz w:val="14"/>
          <w:szCs w:val="14"/>
          <w:lang w:val="en-US"/>
        </w:rPr>
        <w:t>TKMV 2008 and explanatory remarks.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59" w:history="1">
        <w:r w:rsidRPr="00A73501">
          <w:rPr>
            <w:rStyle w:val="Hipervnculo"/>
            <w:rFonts w:ascii="Arial" w:hAnsi="Arial" w:cs="Arial"/>
            <w:sz w:val="14"/>
            <w:szCs w:val="14"/>
          </w:rPr>
          <w:t>https://www.rtr.at/en/tk/TKMV_2008</w:t>
        </w:r>
      </w:hyperlink>
      <w:r w:rsidRPr="00A73501">
        <w:rPr>
          <w:rStyle w:val="Hipervnculo"/>
          <w:rFonts w:ascii="Arial" w:hAnsi="Arial" w:cs="Arial"/>
          <w:sz w:val="14"/>
          <w:szCs w:val="14"/>
        </w:rPr>
        <w:t>.</w:t>
      </w:r>
    </w:p>
  </w:footnote>
  <w:footnote w:id="123">
    <w:p w14:paraId="136AEE3A" w14:textId="3B6160A6"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w:t>
      </w:r>
      <w:r>
        <w:rPr>
          <w:rFonts w:ascii="Arial" w:hAnsi="Arial" w:cs="Arial"/>
          <w:sz w:val="14"/>
          <w:szCs w:val="14"/>
          <w:lang w:val="en-US"/>
        </w:rPr>
        <w:t>CE (2009).</w:t>
      </w:r>
      <w:r w:rsidRPr="00EE1B36">
        <w:rPr>
          <w:rFonts w:ascii="Arial" w:hAnsi="Arial" w:cs="Arial"/>
          <w:sz w:val="14"/>
          <w:szCs w:val="14"/>
          <w:lang w:val="en-US"/>
        </w:rPr>
        <w:t xml:space="preserve"> </w:t>
      </w:r>
      <w:r w:rsidRPr="00200192">
        <w:rPr>
          <w:rFonts w:ascii="Arial" w:hAnsi="Arial" w:cs="Arial"/>
          <w:sz w:val="14"/>
          <w:szCs w:val="14"/>
          <w:lang w:val="en-GB"/>
        </w:rPr>
        <w:t xml:space="preserve">Telecoms: Commission endorses amended version of Austrian broadband access market definition. </w:t>
      </w:r>
      <w:r w:rsidRPr="00200192">
        <w:rPr>
          <w:rFonts w:ascii="Arial" w:hAnsi="Arial" w:cs="Arial"/>
          <w:sz w:val="14"/>
          <w:szCs w:val="14"/>
        </w:rPr>
        <w:t xml:space="preserve">Disponible en: </w:t>
      </w:r>
      <w:hyperlink r:id="rId60" w:history="1">
        <w:r w:rsidRPr="00200192">
          <w:rPr>
            <w:rStyle w:val="Hipervnculo"/>
            <w:rFonts w:ascii="Arial" w:hAnsi="Arial" w:cs="Arial"/>
            <w:sz w:val="14"/>
            <w:szCs w:val="14"/>
          </w:rPr>
          <w:t>https://ec.europa.eu/commission/presscorner/detail/en/IP_09_1888</w:t>
        </w:r>
      </w:hyperlink>
    </w:p>
  </w:footnote>
  <w:footnote w:id="124">
    <w:p w14:paraId="0841E48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E3AC5">
        <w:rPr>
          <w:rFonts w:ascii="Arial" w:hAnsi="Arial" w:cs="Arial"/>
          <w:sz w:val="14"/>
          <w:szCs w:val="14"/>
          <w:lang w:val="en-US"/>
        </w:rPr>
        <w:t xml:space="preserve"> OCDE (2014). </w:t>
      </w:r>
      <w:r w:rsidRPr="00A73501">
        <w:rPr>
          <w:rFonts w:ascii="Arial" w:hAnsi="Arial" w:cs="Arial"/>
          <w:i/>
          <w:sz w:val="14"/>
          <w:szCs w:val="14"/>
          <w:lang w:val="en-US"/>
        </w:rPr>
        <w:t>Defining the Relevant Markets in Telecommunications,</w:t>
      </w:r>
      <w:r w:rsidRPr="00A73501">
        <w:rPr>
          <w:rFonts w:ascii="Arial" w:hAnsi="Arial" w:cs="Arial"/>
          <w:sz w:val="14"/>
          <w:szCs w:val="14"/>
          <w:lang w:val="en-US"/>
        </w:rPr>
        <w:t xml:space="preserve"> pp. 25-26. </w:t>
      </w:r>
    </w:p>
  </w:footnote>
  <w:footnote w:id="125">
    <w:p w14:paraId="62E84D54" w14:textId="5901C232"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Un análisis econométrico de precios hedónicos es aquél en el que la variable precio (dependiente) se explica por las características del </w:t>
      </w:r>
      <w:r>
        <w:rPr>
          <w:rFonts w:ascii="Arial" w:hAnsi="Arial" w:cs="Arial"/>
          <w:sz w:val="14"/>
          <w:szCs w:val="14"/>
        </w:rPr>
        <w:t>producto</w:t>
      </w:r>
      <w:r w:rsidRPr="00A73501">
        <w:rPr>
          <w:rFonts w:ascii="Arial" w:hAnsi="Arial" w:cs="Arial"/>
          <w:sz w:val="14"/>
          <w:szCs w:val="14"/>
        </w:rPr>
        <w:t xml:space="preserve"> y variables binarias de tiempo (variables independientes).</w:t>
      </w:r>
    </w:p>
  </w:footnote>
  <w:footnote w:id="126">
    <w:p w14:paraId="04EB844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(2018). </w:t>
      </w:r>
      <w:r w:rsidRPr="00A73501">
        <w:rPr>
          <w:rFonts w:ascii="Arial" w:hAnsi="Arial" w:cs="Arial"/>
          <w:i/>
          <w:sz w:val="14"/>
          <w:szCs w:val="14"/>
          <w:lang w:val="fr-FR"/>
        </w:rPr>
        <w:t xml:space="preserve">Case M.8808 – T-Mobile Austria / UPC Austria. </w:t>
      </w:r>
      <w:r w:rsidRPr="00A73501">
        <w:rPr>
          <w:rFonts w:ascii="Arial" w:hAnsi="Arial" w:cs="Arial"/>
          <w:i/>
          <w:sz w:val="14"/>
          <w:szCs w:val="14"/>
          <w:lang w:val="en-US"/>
        </w:rPr>
        <w:t>Commission decision pursuant to Article 6(1)(b) of Council Regulation No 139/20041 and Article 57 of the Agreement on the European Economic Area.</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61" w:history="1">
        <w:r w:rsidRPr="00A73501">
          <w:rPr>
            <w:rStyle w:val="Hipervnculo"/>
            <w:rFonts w:ascii="Arial" w:hAnsi="Arial" w:cs="Arial"/>
            <w:sz w:val="14"/>
            <w:szCs w:val="14"/>
          </w:rPr>
          <w:t>https://ec.europa.eu/competition/mergers/cases/decisions/m8808_792_3.pdf</w:t>
        </w:r>
      </w:hyperlink>
      <w:r w:rsidRPr="00A73501">
        <w:rPr>
          <w:rStyle w:val="Hipervnculo"/>
          <w:rFonts w:ascii="Arial" w:hAnsi="Arial" w:cs="Arial"/>
          <w:sz w:val="14"/>
          <w:szCs w:val="14"/>
        </w:rPr>
        <w:t>.</w:t>
      </w:r>
    </w:p>
  </w:footnote>
  <w:footnote w:id="127">
    <w:p w14:paraId="5A3D8B4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(2013). </w:t>
      </w:r>
      <w:r w:rsidRPr="00A73501">
        <w:rPr>
          <w:rFonts w:ascii="Arial" w:hAnsi="Arial" w:cs="Arial"/>
          <w:i/>
          <w:sz w:val="14"/>
          <w:szCs w:val="14"/>
        </w:rPr>
        <w:t xml:space="preserve">Ccent. 5/2013 Kento*Unitel*Sonaecom/ZON*Optimus. </w:t>
      </w:r>
      <w:r w:rsidRPr="00A73501">
        <w:rPr>
          <w:rFonts w:ascii="Arial" w:hAnsi="Arial" w:cs="Arial"/>
          <w:sz w:val="14"/>
          <w:szCs w:val="14"/>
        </w:rPr>
        <w:t xml:space="preserve">Disponible en: </w:t>
      </w:r>
      <w:hyperlink r:id="rId62" w:history="1">
        <w:r w:rsidRPr="00A73501">
          <w:rPr>
            <w:rStyle w:val="Hipervnculo"/>
            <w:rFonts w:ascii="Arial" w:hAnsi="Arial" w:cs="Arial"/>
            <w:sz w:val="14"/>
            <w:szCs w:val="14"/>
          </w:rPr>
          <w:t>http://www.concorrencia.pt/FILES_TMP/2013_05_final_net.pdf</w:t>
        </w:r>
      </w:hyperlink>
      <w:r w:rsidRPr="00A73501">
        <w:rPr>
          <w:rStyle w:val="Hipervnculo"/>
          <w:rFonts w:ascii="Arial" w:hAnsi="Arial" w:cs="Arial"/>
          <w:sz w:val="14"/>
          <w:szCs w:val="14"/>
        </w:rPr>
        <w:t>.</w:t>
      </w:r>
    </w:p>
  </w:footnote>
  <w:footnote w:id="128">
    <w:p w14:paraId="0615F313" w14:textId="77777777" w:rsidR="007E0735" w:rsidRPr="00A73501" w:rsidRDefault="007E0735" w:rsidP="00A73501">
      <w:pPr>
        <w:spacing w:before="0" w:after="0" w:line="240" w:lineRule="auto"/>
        <w:rPr>
          <w:rFonts w:ascii="Arial" w:hAnsi="Arial" w:cs="Arial"/>
          <w:color w:val="000000" w:themeColor="text1"/>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Cabe señalar que se realizaron tres versiones de la Prueba SSNIP, y todas indicaron que en Portugal las ofertas </w:t>
      </w:r>
      <w:r w:rsidRPr="00A73501">
        <w:rPr>
          <w:rFonts w:ascii="Arial" w:hAnsi="Arial" w:cs="Arial"/>
          <w:i/>
          <w:sz w:val="14"/>
          <w:szCs w:val="14"/>
        </w:rPr>
        <w:t>triple play</w:t>
      </w:r>
      <w:r w:rsidRPr="00A73501">
        <w:rPr>
          <w:rFonts w:ascii="Arial" w:hAnsi="Arial" w:cs="Arial"/>
          <w:sz w:val="14"/>
          <w:szCs w:val="14"/>
        </w:rPr>
        <w:t xml:space="preserve"> constituían la dimensión producto del MR. </w:t>
      </w:r>
      <w:r w:rsidRPr="00A73501">
        <w:rPr>
          <w:rFonts w:ascii="Arial" w:hAnsi="Arial" w:cs="Arial"/>
          <w:color w:val="000000" w:themeColor="text1"/>
          <w:sz w:val="14"/>
          <w:szCs w:val="14"/>
        </w:rPr>
        <w:t xml:space="preserve">Las versiones de la Prueba SSNIP fueron las siguientes: 1) </w:t>
      </w:r>
      <w:r w:rsidRPr="00A73501">
        <w:rPr>
          <w:rFonts w:ascii="Arial" w:hAnsi="Arial" w:cs="Arial"/>
          <w:b/>
          <w:color w:val="000000" w:themeColor="text1"/>
          <w:sz w:val="14"/>
          <w:szCs w:val="14"/>
        </w:rPr>
        <w:t>incrementos unilaterales de precios,</w:t>
      </w:r>
      <w:r w:rsidRPr="00A73501">
        <w:rPr>
          <w:rFonts w:ascii="Arial" w:hAnsi="Arial" w:cs="Arial"/>
          <w:color w:val="000000" w:themeColor="text1"/>
          <w:sz w:val="14"/>
          <w:szCs w:val="14"/>
        </w:rPr>
        <w:t xml:space="preserve"> basada en el aviso de la CE sobre la definición de mercado relevante (1997); 2) </w:t>
      </w:r>
      <w:r w:rsidRPr="00A73501">
        <w:rPr>
          <w:rFonts w:ascii="Arial" w:hAnsi="Arial" w:cs="Arial"/>
          <w:b/>
          <w:color w:val="000000" w:themeColor="text1"/>
          <w:sz w:val="14"/>
          <w:szCs w:val="14"/>
        </w:rPr>
        <w:t>aumento del precio de equilibrio,</w:t>
      </w:r>
      <w:r w:rsidRPr="00A73501">
        <w:rPr>
          <w:rFonts w:ascii="Arial" w:hAnsi="Arial" w:cs="Arial"/>
          <w:color w:val="000000" w:themeColor="text1"/>
          <w:sz w:val="14"/>
          <w:szCs w:val="14"/>
        </w:rPr>
        <w:t xml:space="preserve"> basado en la guía de concentraciones del DOJ y FTC (1984), y 3) </w:t>
      </w:r>
      <w:r w:rsidRPr="00A73501">
        <w:rPr>
          <w:rFonts w:ascii="Arial" w:hAnsi="Arial" w:cs="Arial"/>
          <w:b/>
          <w:color w:val="000000" w:themeColor="text1"/>
          <w:sz w:val="14"/>
          <w:szCs w:val="14"/>
        </w:rPr>
        <w:t>presión al alza de los precios</w:t>
      </w:r>
      <w:r w:rsidRPr="00A73501">
        <w:rPr>
          <w:rFonts w:ascii="Arial" w:hAnsi="Arial" w:cs="Arial"/>
          <w:color w:val="000000" w:themeColor="text1"/>
          <w:sz w:val="14"/>
          <w:szCs w:val="14"/>
        </w:rPr>
        <w:t>, basada en la prueba homónima introducida por Farrell and Shapiro (2010).</w:t>
      </w:r>
      <w:r w:rsidRPr="00A73501">
        <w:rPr>
          <w:rFonts w:ascii="Arial" w:hAnsi="Arial" w:cs="Arial"/>
          <w:sz w:val="14"/>
          <w:szCs w:val="14"/>
        </w:rPr>
        <w:t xml:space="preserve"> La descripción del modelo y sus resultados se explican en Pereira, P. et al. </w:t>
      </w:r>
      <w:r w:rsidRPr="00A73501">
        <w:rPr>
          <w:rFonts w:ascii="Arial" w:hAnsi="Arial" w:cs="Arial"/>
          <w:sz w:val="14"/>
          <w:szCs w:val="14"/>
          <w:lang w:val="en-US"/>
        </w:rPr>
        <w:t xml:space="preserve">(2013). </w:t>
      </w:r>
      <w:r w:rsidRPr="00A73501">
        <w:rPr>
          <w:rFonts w:ascii="Arial" w:hAnsi="Arial" w:cs="Arial"/>
          <w:i/>
          <w:sz w:val="14"/>
          <w:szCs w:val="14"/>
          <w:lang w:val="en-US"/>
        </w:rPr>
        <w:t>Delineating markets for bundles with consumer level data: The case of triple play</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63" w:history="1">
        <w:r w:rsidRPr="00A73501">
          <w:rPr>
            <w:rStyle w:val="Hipervnculo"/>
            <w:rFonts w:ascii="Arial" w:hAnsi="Arial" w:cs="Arial"/>
            <w:sz w:val="14"/>
            <w:szCs w:val="14"/>
          </w:rPr>
          <w:t>https://reader.elsevier.com/reader/sd/pii/S0167718713000490?token=22717E8131547BA555726A33F1F8E326FEE1BAC184B0726FFFCFD1D2AF1217A730B5F5B576DF97120848C77FF08730E2</w:t>
        </w:r>
      </w:hyperlink>
      <w:r w:rsidRPr="00A73501">
        <w:rPr>
          <w:rFonts w:ascii="Arial" w:hAnsi="Arial" w:cs="Arial"/>
          <w:sz w:val="14"/>
          <w:szCs w:val="14"/>
        </w:rPr>
        <w:t>.</w:t>
      </w:r>
    </w:p>
  </w:footnote>
  <w:footnote w:id="129">
    <w:p w14:paraId="0856F47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 Acuerdo P/IFT/EXT/181214/282.</w:t>
      </w:r>
    </w:p>
  </w:footnote>
  <w:footnote w:id="130">
    <w:p w14:paraId="0AED25AB"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P/IFT/230117/8</w:t>
      </w:r>
      <w:r w:rsidRPr="00A73501">
        <w:rPr>
          <w:rFonts w:ascii="Arial" w:hAnsi="Arial" w:cs="Arial"/>
          <w:i/>
          <w:sz w:val="14"/>
          <w:szCs w:val="14"/>
        </w:rPr>
        <w:t>.</w:t>
      </w:r>
      <w:r w:rsidRPr="00A73501">
        <w:rPr>
          <w:rFonts w:ascii="Arial" w:hAnsi="Arial" w:cs="Arial"/>
          <w:sz w:val="14"/>
          <w:szCs w:val="14"/>
        </w:rPr>
        <w:t xml:space="preserve">  </w:t>
      </w:r>
    </w:p>
  </w:footnote>
  <w:footnote w:id="131">
    <w:p w14:paraId="3E58474A" w14:textId="77777777" w:rsidR="007E0735" w:rsidRPr="00170BD5" w:rsidRDefault="007E0735" w:rsidP="00170BD5">
      <w:pPr>
        <w:pStyle w:val="Textonotapie"/>
        <w:rPr>
          <w:rFonts w:ascii="Arial" w:hAnsi="Arial" w:cs="Arial"/>
          <w:sz w:val="14"/>
          <w:szCs w:val="14"/>
        </w:rPr>
      </w:pPr>
      <w:r w:rsidRPr="00170BD5">
        <w:rPr>
          <w:rStyle w:val="Refdenotaalpie"/>
          <w:rFonts w:ascii="Arial" w:hAnsi="Arial" w:cs="Arial"/>
          <w:sz w:val="14"/>
          <w:szCs w:val="14"/>
        </w:rPr>
        <w:footnoteRef/>
      </w:r>
      <w:r w:rsidRPr="00170BD5">
        <w:rPr>
          <w:rFonts w:ascii="Arial" w:hAnsi="Arial" w:cs="Arial"/>
          <w:sz w:val="14"/>
          <w:szCs w:val="14"/>
        </w:rPr>
        <w:t xml:space="preserve"> Instituto (2020). </w:t>
      </w:r>
      <w:r w:rsidRPr="00170B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170BD5">
        <w:rPr>
          <w:rFonts w:ascii="Arial" w:hAnsi="Arial" w:cs="Arial"/>
          <w:sz w:val="14"/>
          <w:szCs w:val="14"/>
        </w:rPr>
        <w:t xml:space="preserve">. Acuerdo P/IFT/181120/436. </w:t>
      </w:r>
    </w:p>
  </w:footnote>
  <w:footnote w:id="132">
    <w:p w14:paraId="46CAB995" w14:textId="77777777" w:rsidR="007E0735" w:rsidRPr="00A73501" w:rsidRDefault="007E0735" w:rsidP="00A73501">
      <w:pPr>
        <w:pStyle w:val="Textonotapie"/>
        <w:rPr>
          <w:rFonts w:ascii="Arial" w:hAnsi="Arial" w:cs="Arial"/>
          <w:color w:val="0563C1" w:themeColor="hyperlink"/>
          <w:sz w:val="14"/>
          <w:szCs w:val="14"/>
          <w:u w:val="single"/>
        </w:rPr>
      </w:pPr>
      <w:r w:rsidRPr="00A73501">
        <w:rPr>
          <w:rStyle w:val="Refdenotaalpie"/>
          <w:rFonts w:ascii="Arial" w:hAnsi="Arial" w:cs="Arial"/>
          <w:sz w:val="14"/>
          <w:szCs w:val="14"/>
        </w:rPr>
        <w:footnoteRef/>
      </w:r>
      <w:r w:rsidRPr="00A73501">
        <w:rPr>
          <w:rFonts w:ascii="Arial" w:hAnsi="Arial" w:cs="Arial"/>
          <w:sz w:val="14"/>
          <w:szCs w:val="14"/>
        </w:rPr>
        <w:t xml:space="preserve"> Instituto (2014). Acuerdo P/IFT/160414/92. Disponible en: </w:t>
      </w:r>
      <w:hyperlink r:id="rId64" w:history="1">
        <w:r w:rsidRPr="00A73501">
          <w:rPr>
            <w:rStyle w:val="Hipervnculo"/>
            <w:rFonts w:ascii="Arial" w:hAnsi="Arial" w:cs="Arial"/>
            <w:sz w:val="14"/>
            <w:szCs w:val="14"/>
          </w:rPr>
          <w:t>http://apps.ift.org.mx/publicdata/VP_P_IFT_160414_92.pdf</w:t>
        </w:r>
      </w:hyperlink>
    </w:p>
  </w:footnote>
  <w:footnote w:id="133">
    <w:p w14:paraId="6A3E664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P/IFT/181017/651. Disponible en: </w:t>
      </w:r>
      <w:hyperlink r:id="rId65" w:history="1">
        <w:r w:rsidRPr="00A73501">
          <w:rPr>
            <w:rStyle w:val="Hipervnculo"/>
            <w:rFonts w:ascii="Arial" w:hAnsi="Arial" w:cs="Arial"/>
            <w:sz w:val="14"/>
            <w:szCs w:val="14"/>
          </w:rPr>
          <w:t>http://apps.ift.org.mx/publicdata/VP_P_IFT_181017_651.pdf</w:t>
        </w:r>
      </w:hyperlink>
    </w:p>
  </w:footnote>
  <w:footnote w:id="134">
    <w:p w14:paraId="76E6101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Acuerdo P/IFT/131119/737. Disponible en: </w:t>
      </w:r>
      <w:hyperlink r:id="rId66" w:history="1">
        <w:r w:rsidRPr="00A73501">
          <w:rPr>
            <w:rStyle w:val="Hipervnculo"/>
            <w:rFonts w:ascii="Arial" w:hAnsi="Arial" w:cs="Arial"/>
            <w:sz w:val="14"/>
            <w:szCs w:val="14"/>
          </w:rPr>
          <w:t>http://apps.ift.org.mx/publicdata/VP_P_IFT_131119_737_Acc.pdf</w:t>
        </w:r>
      </w:hyperlink>
      <w:r w:rsidRPr="00A73501">
        <w:rPr>
          <w:rFonts w:ascii="Arial" w:hAnsi="Arial" w:cs="Arial"/>
          <w:sz w:val="14"/>
          <w:szCs w:val="14"/>
        </w:rPr>
        <w:t xml:space="preserve"> </w:t>
      </w:r>
    </w:p>
  </w:footnote>
  <w:footnote w:id="135">
    <w:p w14:paraId="73038CC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w:t>
      </w:r>
      <w:r w:rsidRPr="00A73501">
        <w:rPr>
          <w:rFonts w:ascii="Arial" w:hAnsi="Arial" w:cs="Arial"/>
          <w:b/>
          <w:bCs/>
          <w:sz w:val="14"/>
          <w:szCs w:val="14"/>
        </w:rPr>
        <w:t xml:space="preserve"> </w:t>
      </w:r>
      <w:r w:rsidRPr="00A73501">
        <w:rPr>
          <w:rFonts w:ascii="Arial" w:hAnsi="Arial" w:cs="Arial"/>
          <w:i/>
          <w:sz w:val="14"/>
          <w:szCs w:val="14"/>
        </w:rPr>
        <w:t xml:space="preserve">RESOLUCIÓN MEDIANTE LA CUAL EL PLENO DEL INSTITUTO FEDERAL DE TELECOMUNICACIONES AUTORIZA LLEVAR A CABO LA CONCENTRACIÓN RADICADA BAJO EL EXPEDIENTE NO. </w:t>
      </w:r>
      <w:r w:rsidRPr="00A73501">
        <w:rPr>
          <w:rFonts w:ascii="Arial" w:hAnsi="Arial" w:cs="Arial"/>
          <w:i/>
          <w:sz w:val="14"/>
          <w:szCs w:val="14"/>
          <w:lang w:val="en-US"/>
        </w:rPr>
        <w:t xml:space="preserve">UCE/CNC-004-2016, NOTIFICADA POR AT&amp;T INC., WEST MERGER SUB INC. </w:t>
      </w:r>
      <w:r w:rsidRPr="00A73501">
        <w:rPr>
          <w:rFonts w:ascii="Arial" w:hAnsi="Arial" w:cs="Arial"/>
          <w:i/>
          <w:sz w:val="14"/>
          <w:szCs w:val="14"/>
        </w:rPr>
        <w:t>Y TIME WARNER INC SUJETA AL CUMPLIMIENTO DE CONDICIONES</w:t>
      </w:r>
      <w:r w:rsidRPr="00A73501">
        <w:rPr>
          <w:rFonts w:ascii="Arial" w:hAnsi="Arial" w:cs="Arial"/>
          <w:sz w:val="14"/>
          <w:szCs w:val="14"/>
        </w:rPr>
        <w:t xml:space="preserve">. Acuerdo </w:t>
      </w:r>
      <w:r w:rsidRPr="00A73501">
        <w:rPr>
          <w:rFonts w:ascii="Arial" w:hAnsi="Arial" w:cs="Arial"/>
          <w:bCs/>
          <w:sz w:val="14"/>
          <w:szCs w:val="14"/>
        </w:rPr>
        <w:t xml:space="preserve">P/IFT/150817/487. </w:t>
      </w:r>
    </w:p>
  </w:footnote>
  <w:footnote w:id="136">
    <w:p w14:paraId="6A3CB37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P/IFT/110319/122.</w:t>
      </w:r>
      <w:r w:rsidRPr="00A73501">
        <w:rPr>
          <w:rFonts w:ascii="Arial" w:hAnsi="Arial" w:cs="Arial"/>
          <w:sz w:val="14"/>
          <w:szCs w:val="14"/>
        </w:rPr>
        <w:t xml:space="preserve"> </w:t>
      </w:r>
    </w:p>
  </w:footnote>
  <w:footnote w:id="137">
    <w:p w14:paraId="35BCC75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 </w:t>
      </w:r>
      <w:r w:rsidRPr="00A73501">
        <w:rPr>
          <w:rFonts w:ascii="Arial" w:hAnsi="Arial" w:cs="Arial"/>
          <w:i/>
          <w:sz w:val="14"/>
          <w:szCs w:val="14"/>
        </w:rPr>
        <w:t>Bases de la Licitación IFT-1.</w:t>
      </w:r>
      <w:r w:rsidRPr="00A73501">
        <w:rPr>
          <w:rFonts w:ascii="Arial" w:hAnsi="Arial" w:cs="Arial"/>
          <w:sz w:val="14"/>
          <w:szCs w:val="14"/>
        </w:rPr>
        <w:t xml:space="preserve"> Disponibles en: </w:t>
      </w:r>
      <w:hyperlink r:id="rId67" w:history="1">
        <w:r w:rsidRPr="00A73501">
          <w:rPr>
            <w:rStyle w:val="Hipervnculo"/>
            <w:rFonts w:ascii="Arial" w:hAnsi="Arial" w:cs="Arial"/>
            <w:sz w:val="14"/>
            <w:szCs w:val="14"/>
          </w:rPr>
          <w:t>http://www.ift.org.mx/pagina-de-inicio/licitacion-ift-1-cadenas-de-television</w:t>
        </w:r>
      </w:hyperlink>
      <w:r w:rsidRPr="00A73501">
        <w:rPr>
          <w:rFonts w:ascii="Arial" w:hAnsi="Arial" w:cs="Arial"/>
          <w:sz w:val="14"/>
          <w:szCs w:val="14"/>
        </w:rPr>
        <w:t xml:space="preserve">. </w:t>
      </w:r>
    </w:p>
    <w:p w14:paraId="26387E3F" w14:textId="77777777" w:rsidR="007E0735" w:rsidRPr="00A73501" w:rsidRDefault="007E0735" w:rsidP="00A73501">
      <w:pPr>
        <w:pStyle w:val="Textonotapie"/>
        <w:rPr>
          <w:rFonts w:ascii="Arial" w:hAnsi="Arial" w:cs="Arial"/>
          <w:sz w:val="14"/>
          <w:szCs w:val="14"/>
        </w:rPr>
      </w:pPr>
      <w:r w:rsidRPr="00A73501">
        <w:rPr>
          <w:rFonts w:ascii="Arial" w:hAnsi="Arial" w:cs="Arial"/>
          <w:sz w:val="14"/>
          <w:szCs w:val="14"/>
        </w:rPr>
        <w:t xml:space="preserve">Instituto (2014). </w:t>
      </w:r>
      <w:r w:rsidRPr="00A73501">
        <w:rPr>
          <w:rFonts w:ascii="Arial" w:hAnsi="Arial" w:cs="Arial"/>
          <w:i/>
          <w:sz w:val="14"/>
          <w:szCs w:val="14"/>
        </w:rPr>
        <w:t>Opiniones en materia de competencia económica emitidas por el Instituto en la Licitación IFT-1.</w:t>
      </w:r>
      <w:r w:rsidRPr="00A73501">
        <w:rPr>
          <w:rFonts w:ascii="Arial" w:hAnsi="Arial" w:cs="Arial"/>
          <w:sz w:val="14"/>
          <w:szCs w:val="14"/>
        </w:rPr>
        <w:t xml:space="preserve"> Disponibles en: </w:t>
      </w:r>
      <w:hyperlink r:id="rId68" w:anchor="overlay-context=pagina-de-inicio/apendices" w:history="1">
        <w:r w:rsidRPr="00A73501">
          <w:rPr>
            <w:rStyle w:val="Hipervnculo"/>
            <w:rFonts w:ascii="Arial" w:hAnsi="Arial" w:cs="Arial"/>
            <w:sz w:val="14"/>
            <w:szCs w:val="14"/>
          </w:rPr>
          <w:t>http://www.ift.org.mx/pagina-de-inicio/opiniones-en-materia-de-competencia-economica#overlay-context=pagina-de-inicio/apendices</w:t>
        </w:r>
      </w:hyperlink>
    </w:p>
  </w:footnote>
  <w:footnote w:id="138">
    <w:p w14:paraId="604FF35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 </w:t>
      </w:r>
      <w:r w:rsidRPr="00A73501">
        <w:rPr>
          <w:rFonts w:ascii="Arial" w:hAnsi="Arial" w:cs="Arial"/>
          <w:i/>
          <w:sz w:val="14"/>
          <w:szCs w:val="14"/>
        </w:rPr>
        <w:t>Bases de la Licitación IFT-6</w:t>
      </w:r>
      <w:r w:rsidRPr="00A73501">
        <w:rPr>
          <w:rFonts w:ascii="Arial" w:hAnsi="Arial" w:cs="Arial"/>
          <w:sz w:val="14"/>
          <w:szCs w:val="14"/>
        </w:rPr>
        <w:t xml:space="preserve">. Disponibles en: </w:t>
      </w:r>
      <w:hyperlink r:id="rId69" w:history="1">
        <w:r w:rsidRPr="00A73501">
          <w:rPr>
            <w:rStyle w:val="Hipervnculo"/>
            <w:rFonts w:ascii="Arial" w:hAnsi="Arial" w:cs="Arial"/>
            <w:sz w:val="14"/>
            <w:szCs w:val="14"/>
          </w:rPr>
          <w:t>http://www.ift.org.mx/industria/espectro-radioelectrico/television/2016/licitacion-no-ift-6-television-radiodifundida-digital</w:t>
        </w:r>
      </w:hyperlink>
      <w:r w:rsidRPr="00A73501">
        <w:rPr>
          <w:rFonts w:ascii="Arial" w:hAnsi="Arial" w:cs="Arial"/>
          <w:sz w:val="14"/>
          <w:szCs w:val="14"/>
        </w:rPr>
        <w:t>.</w:t>
      </w:r>
    </w:p>
  </w:footnote>
  <w:footnote w:id="139">
    <w:p w14:paraId="7637B3E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w:t>
      </w:r>
      <w:r w:rsidRPr="00A73501">
        <w:rPr>
          <w:rFonts w:ascii="Arial" w:hAnsi="Arial" w:cs="Arial"/>
          <w:b/>
          <w:bCs/>
          <w:sz w:val="14"/>
          <w:szCs w:val="14"/>
        </w:rPr>
        <w:t xml:space="preserve"> </w:t>
      </w:r>
      <w:r w:rsidRPr="00A73501">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A73501">
        <w:rPr>
          <w:rFonts w:ascii="Arial" w:hAnsi="Arial" w:cs="Arial"/>
          <w:sz w:val="14"/>
          <w:szCs w:val="14"/>
        </w:rPr>
        <w:t xml:space="preserve">. Acuerdo </w:t>
      </w:r>
      <w:r w:rsidRPr="00A73501">
        <w:rPr>
          <w:rFonts w:ascii="Arial" w:hAnsi="Arial" w:cs="Arial"/>
          <w:bCs/>
          <w:sz w:val="14"/>
          <w:szCs w:val="14"/>
        </w:rPr>
        <w:t>P/IFT/EXT/190216/7.</w:t>
      </w:r>
      <w:r w:rsidRPr="00A73501" w:rsidDel="002C7ED0">
        <w:rPr>
          <w:rFonts w:ascii="Arial" w:hAnsi="Arial" w:cs="Arial"/>
          <w:bCs/>
          <w:sz w:val="14"/>
          <w:szCs w:val="14"/>
        </w:rPr>
        <w:t xml:space="preserve"> </w:t>
      </w:r>
    </w:p>
  </w:footnote>
  <w:footnote w:id="140">
    <w:p w14:paraId="51FEDBC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 </w:t>
      </w:r>
      <w:r w:rsidRPr="00A73501">
        <w:rPr>
          <w:rFonts w:ascii="Arial" w:hAnsi="Arial" w:cs="Arial"/>
          <w:i/>
          <w:sz w:val="14"/>
          <w:szCs w:val="14"/>
        </w:rPr>
        <w:t>Bases de la Licitación IFT-4</w:t>
      </w:r>
      <w:r w:rsidRPr="00A73501">
        <w:rPr>
          <w:rFonts w:ascii="Arial" w:hAnsi="Arial" w:cs="Arial"/>
          <w:sz w:val="14"/>
          <w:szCs w:val="14"/>
        </w:rPr>
        <w:t xml:space="preserve">. Disponible en: </w:t>
      </w:r>
      <w:hyperlink r:id="rId70" w:history="1">
        <w:r w:rsidRPr="00A73501">
          <w:rPr>
            <w:rStyle w:val="Hipervnculo"/>
            <w:rFonts w:ascii="Arial" w:hAnsi="Arial" w:cs="Arial"/>
            <w:sz w:val="14"/>
            <w:szCs w:val="14"/>
          </w:rPr>
          <w:t>http://www.ift.org.mx/sites/default/files/industria/espectro-radioelectrico/radiodifusion/2016/4/basesift-4_1.pdf</w:t>
        </w:r>
      </w:hyperlink>
      <w:r w:rsidRPr="00A73501">
        <w:rPr>
          <w:rFonts w:ascii="Arial" w:hAnsi="Arial" w:cs="Arial"/>
          <w:sz w:val="14"/>
          <w:szCs w:val="14"/>
        </w:rPr>
        <w:t>. Ver el numeral “6. Limitantes de participación en la Licitación”.</w:t>
      </w:r>
    </w:p>
  </w:footnote>
  <w:footnote w:id="141">
    <w:p w14:paraId="39420FD3" w14:textId="77777777" w:rsidR="007E0735" w:rsidRPr="00A73501" w:rsidRDefault="007E0735" w:rsidP="00A73501">
      <w:pPr>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(2018). Acuerdo P/IFT/121218/948 y Dictamen Preliminar emitido en el Expediente AC/DC-004-2018. </w:t>
      </w:r>
    </w:p>
  </w:footnote>
  <w:footnote w:id="142">
    <w:p w14:paraId="3665E3C6" w14:textId="2BD4D3AA"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Instituto (201</w:t>
      </w:r>
      <w:r>
        <w:rPr>
          <w:rFonts w:ascii="Arial" w:hAnsi="Arial" w:cs="Arial"/>
          <w:sz w:val="14"/>
          <w:szCs w:val="14"/>
        </w:rPr>
        <w:t>3</w:t>
      </w:r>
      <w:r w:rsidRPr="00A73501">
        <w:rPr>
          <w:rFonts w:ascii="Arial" w:hAnsi="Arial" w:cs="Arial"/>
          <w:sz w:val="14"/>
          <w:szCs w:val="14"/>
        </w:rPr>
        <w:t xml:space="preserve">). </w:t>
      </w:r>
      <w:r w:rsidRPr="00A73501">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A73501">
        <w:rPr>
          <w:rFonts w:ascii="Arial" w:hAnsi="Arial" w:cs="Arial"/>
          <w:sz w:val="14"/>
          <w:szCs w:val="14"/>
        </w:rPr>
        <w:t xml:space="preserve"> Acuerdo P/IFT/271113/20.</w:t>
      </w:r>
      <w:r w:rsidRPr="00A73501" w:rsidDel="00A9480E">
        <w:rPr>
          <w:rFonts w:ascii="Arial" w:hAnsi="Arial" w:cs="Arial"/>
          <w:sz w:val="14"/>
          <w:szCs w:val="14"/>
        </w:rPr>
        <w:t xml:space="preserve"> </w:t>
      </w:r>
    </w:p>
  </w:footnote>
  <w:footnote w:id="143">
    <w:p w14:paraId="7DDFFFC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Actualmente esto corresponde a una autorización conforme al artículo 170 de la LFTR. </w:t>
      </w:r>
    </w:p>
  </w:footnote>
  <w:footnote w:id="144">
    <w:p w14:paraId="1563DE11"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Instituto (2015). </w:t>
      </w:r>
      <w:r w:rsidRPr="00A73501">
        <w:rPr>
          <w:rFonts w:ascii="Arial" w:hAnsi="Arial" w:cs="Arial"/>
          <w:i/>
          <w:sz w:val="14"/>
          <w:szCs w:val="14"/>
        </w:rPr>
        <w:t xml:space="preserve">RESOLUCIÓN MEDIANTE LA CUAL EL PLENO DEL INSTITUTO FEDERAL DE TELECOMUNICACIONES AUTORIZA QUE SE REALICE LA CONCENTRACIÓN RADICADA BAJO EL EXPEDIENTE NO. </w:t>
      </w:r>
      <w:r w:rsidRPr="00A73501">
        <w:rPr>
          <w:rFonts w:ascii="Arial" w:hAnsi="Arial" w:cs="Arial"/>
          <w:i/>
          <w:sz w:val="14"/>
          <w:szCs w:val="14"/>
          <w:lang w:val="en-US"/>
        </w:rPr>
        <w:t xml:space="preserve">UCE/CNC-001-2015, NOTIFICADA POR AT&amp;T, INC. Y NII HOLDINGS, INC. </w:t>
      </w:r>
      <w:r w:rsidRPr="00A73501">
        <w:rPr>
          <w:rFonts w:ascii="Arial" w:hAnsi="Arial" w:cs="Arial"/>
          <w:sz w:val="14"/>
          <w:szCs w:val="14"/>
          <w:lang w:val="en-US"/>
        </w:rPr>
        <w:t xml:space="preserve">Acuerdo P/IFT/EXT/290415/86. </w:t>
      </w:r>
    </w:p>
  </w:footnote>
  <w:footnote w:id="145">
    <w:p w14:paraId="334B0054" w14:textId="77777777" w:rsidR="007E0735" w:rsidRPr="00103767"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7E0735">
        <w:rPr>
          <w:rStyle w:val="Refdenotaalpie"/>
          <w:rFonts w:ascii="Arial" w:hAnsi="Arial" w:cs="Arial"/>
          <w:sz w:val="14"/>
          <w:szCs w:val="14"/>
          <w:vertAlign w:val="baseline"/>
          <w:lang w:val="en-GB"/>
        </w:rPr>
        <w:t xml:space="preserve"> I</w:t>
      </w:r>
      <w:r w:rsidRPr="007E0735">
        <w:rPr>
          <w:rFonts w:ascii="Arial" w:hAnsi="Arial" w:cs="Arial"/>
          <w:sz w:val="14"/>
          <w:szCs w:val="14"/>
          <w:lang w:val="en-GB"/>
        </w:rPr>
        <w:t>nstituto (2018).</w:t>
      </w:r>
      <w:r w:rsidRPr="007E0735">
        <w:rPr>
          <w:rStyle w:val="Refdenotaalpie"/>
          <w:rFonts w:ascii="Arial" w:hAnsi="Arial" w:cs="Arial"/>
          <w:sz w:val="14"/>
          <w:szCs w:val="14"/>
          <w:vertAlign w:val="baseline"/>
          <w:lang w:val="en-GB"/>
        </w:rPr>
        <w:t xml:space="preserve"> Acuerdo P/IFT/220818/511</w:t>
      </w:r>
      <w:r w:rsidRPr="007E0735">
        <w:rPr>
          <w:rStyle w:val="Refdenotaalpie"/>
          <w:rFonts w:ascii="Arial" w:hAnsi="Arial" w:cs="Arial"/>
          <w:i/>
          <w:sz w:val="14"/>
          <w:szCs w:val="14"/>
          <w:vertAlign w:val="baseline"/>
          <w:lang w:val="en-GB"/>
        </w:rPr>
        <w:t>.</w:t>
      </w:r>
      <w:r w:rsidRPr="00103767">
        <w:rPr>
          <w:rStyle w:val="Refdenotaalpie"/>
          <w:rFonts w:ascii="Arial" w:hAnsi="Arial" w:cs="Arial"/>
          <w:sz w:val="14"/>
          <w:szCs w:val="14"/>
          <w:vertAlign w:val="baseline"/>
          <w:lang w:val="en-GB"/>
        </w:rPr>
        <w:t xml:space="preserve"> </w:t>
      </w:r>
    </w:p>
  </w:footnote>
  <w:footnote w:id="146">
    <w:p w14:paraId="5F585B4C"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7E0735">
        <w:rPr>
          <w:rFonts w:ascii="Arial" w:hAnsi="Arial" w:cs="Arial"/>
          <w:sz w:val="14"/>
          <w:szCs w:val="14"/>
          <w:lang w:val="en-GB"/>
        </w:rPr>
        <w:t xml:space="preserve"> OCDE (2012). </w:t>
      </w:r>
      <w:r w:rsidRPr="00A73501">
        <w:rPr>
          <w:rFonts w:ascii="Arial" w:hAnsi="Arial" w:cs="Arial"/>
          <w:i/>
          <w:sz w:val="14"/>
          <w:szCs w:val="14"/>
          <w:lang w:val="en-US"/>
        </w:rPr>
        <w:t>Market Definition</w:t>
      </w:r>
      <w:r w:rsidRPr="00A73501">
        <w:rPr>
          <w:rFonts w:ascii="Arial" w:hAnsi="Arial" w:cs="Arial"/>
          <w:sz w:val="14"/>
          <w:szCs w:val="14"/>
          <w:lang w:val="en-US"/>
        </w:rPr>
        <w:t>. pp. 30-36.</w:t>
      </w:r>
    </w:p>
  </w:footnote>
  <w:footnote w:id="147">
    <w:p w14:paraId="5BB3691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GB"/>
        </w:rPr>
        <w:t xml:space="preserve"> OCDE (2016). </w:t>
      </w:r>
      <w:r w:rsidRPr="00A73501">
        <w:rPr>
          <w:rFonts w:ascii="Arial" w:hAnsi="Arial" w:cs="Arial"/>
          <w:i/>
          <w:sz w:val="14"/>
          <w:szCs w:val="14"/>
          <w:lang w:val="en-GB"/>
        </w:rPr>
        <w:t xml:space="preserve">Defining Geographic Markets Across National Borders. </w:t>
      </w:r>
      <w:r w:rsidRPr="00A73501">
        <w:rPr>
          <w:rFonts w:ascii="Arial" w:hAnsi="Arial" w:cs="Arial"/>
          <w:i/>
          <w:sz w:val="14"/>
          <w:szCs w:val="14"/>
        </w:rPr>
        <w:t>Background Paper by the Secretariat</w:t>
      </w:r>
      <w:r w:rsidRPr="00A73501">
        <w:rPr>
          <w:rFonts w:ascii="Arial" w:hAnsi="Arial" w:cs="Arial"/>
          <w:sz w:val="14"/>
          <w:szCs w:val="14"/>
        </w:rPr>
        <w:t>. pp. 6-17.</w:t>
      </w:r>
    </w:p>
  </w:footnote>
  <w:footnote w:id="148">
    <w:p w14:paraId="0CD2B80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w:t>
      </w:r>
    </w:p>
  </w:footnote>
  <w:footnote w:id="149">
    <w:p w14:paraId="0AEB7C6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p. 8. </w:t>
      </w:r>
    </w:p>
  </w:footnote>
  <w:footnote w:id="150">
    <w:p w14:paraId="07103F4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párrafo 43.</w:t>
      </w:r>
    </w:p>
  </w:footnote>
  <w:footnote w:id="151">
    <w:p w14:paraId="15595C8B"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(2007). </w:t>
      </w:r>
      <w:r w:rsidRPr="00A73501">
        <w:rPr>
          <w:rFonts w:ascii="Arial" w:hAnsi="Arial" w:cs="Arial"/>
          <w:i/>
          <w:sz w:val="14"/>
          <w:szCs w:val="14"/>
        </w:rPr>
        <w:t>Case No COMP/M.4439 – Ryanair / Aer Lingus</w:t>
      </w:r>
      <w:r w:rsidRPr="00A73501">
        <w:rPr>
          <w:rFonts w:ascii="Arial" w:hAnsi="Arial" w:cs="Arial"/>
          <w:sz w:val="14"/>
          <w:szCs w:val="14"/>
        </w:rPr>
        <w:t xml:space="preserve">. Disponible en </w:t>
      </w:r>
      <w:hyperlink r:id="rId71" w:history="1">
        <w:r w:rsidRPr="00A73501">
          <w:rPr>
            <w:rStyle w:val="Hipervnculo"/>
            <w:rFonts w:ascii="Arial" w:hAnsi="Arial" w:cs="Arial"/>
            <w:sz w:val="14"/>
            <w:szCs w:val="14"/>
          </w:rPr>
          <w:t>https://ec.europa.eu/competition/mergers/cases/decisions/m4439_20070627_20610_en.pdf</w:t>
        </w:r>
      </w:hyperlink>
    </w:p>
  </w:footnote>
  <w:footnote w:id="152">
    <w:p w14:paraId="204005BB"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w:t>
      </w:r>
    </w:p>
  </w:footnote>
  <w:footnote w:id="153">
    <w:p w14:paraId="5A20F87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Ofcom (2019). </w:t>
      </w:r>
      <w:r w:rsidRPr="00A73501">
        <w:rPr>
          <w:rFonts w:ascii="Arial" w:hAnsi="Arial" w:cs="Arial"/>
          <w:i/>
          <w:sz w:val="14"/>
          <w:szCs w:val="14"/>
          <w:lang w:val="en-US"/>
        </w:rPr>
        <w:t>Promoting competition and investment in fibre networks: review of the physical infrastructure and business connectivity markets</w:t>
      </w:r>
      <w:r w:rsidRPr="00A73501">
        <w:rPr>
          <w:rFonts w:ascii="Arial" w:hAnsi="Arial" w:cs="Arial"/>
          <w:sz w:val="14"/>
          <w:szCs w:val="14"/>
          <w:lang w:val="en-US"/>
        </w:rPr>
        <w:t xml:space="preserve">. </w:t>
      </w:r>
      <w:r w:rsidRPr="00A73501">
        <w:rPr>
          <w:rFonts w:ascii="Arial" w:hAnsi="Arial" w:cs="Arial"/>
          <w:sz w:val="14"/>
          <w:szCs w:val="14"/>
        </w:rPr>
        <w:t xml:space="preserve">Volumen 2. Disponible en: </w:t>
      </w:r>
      <w:hyperlink r:id="rId72" w:history="1">
        <w:r w:rsidRPr="00A73501">
          <w:rPr>
            <w:rStyle w:val="Hipervnculo"/>
            <w:rFonts w:ascii="Arial" w:hAnsi="Arial" w:cs="Arial"/>
            <w:sz w:val="14"/>
            <w:szCs w:val="14"/>
          </w:rPr>
          <w:t>https://www.ofcom.org.uk/__data/assets/pdf_file/0025/154591/volume-2-bcmr-final-statement.pdf</w:t>
        </w:r>
      </w:hyperlink>
      <w:r w:rsidRPr="00A73501">
        <w:rPr>
          <w:rFonts w:ascii="Arial" w:hAnsi="Arial" w:cs="Arial"/>
          <w:sz w:val="14"/>
          <w:szCs w:val="14"/>
        </w:rPr>
        <w:t xml:space="preserve">. </w:t>
      </w:r>
    </w:p>
  </w:footnote>
  <w:footnote w:id="154">
    <w:p w14:paraId="3DE8C785" w14:textId="77777777" w:rsidR="007E0735" w:rsidRPr="00A73501" w:rsidRDefault="007E0735" w:rsidP="00A73501">
      <w:pPr>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Un sector de código postal tiene redes rivales presentes si las redes rivales pueden suministrar más del 65% de los sitios de grandes empresas y estaciones base móviles en ese sector de código postal dentro de una distancia de 50 metros. Por lo tanto, </w:t>
      </w:r>
      <w:r w:rsidRPr="00A73501">
        <w:rPr>
          <w:rFonts w:ascii="Arial" w:hAnsi="Arial" w:cs="Arial"/>
          <w:sz w:val="14"/>
          <w:szCs w:val="14"/>
          <w:lang w:eastAsia="es-ES_tradnl"/>
        </w:rPr>
        <w:t xml:space="preserve">en </w:t>
      </w:r>
      <w:r w:rsidRPr="00A73501">
        <w:rPr>
          <w:rFonts w:ascii="Arial" w:hAnsi="Arial" w:cs="Arial"/>
          <w:sz w:val="14"/>
          <w:szCs w:val="14"/>
        </w:rPr>
        <w:t>el análisis se identificaron: i) los puntos de conexión de cada operador; ii) la ubicación de las grandes empresas y estaciones base móviles (sitios) y iii) una distancia radial de 50 metros alrededor de cada uno de los sitios. Con base en lo anterior, se calculó el número de operadores diferentes –contando cada operador solo una vez– disponibles para cada sitio y se promedió el valor de todos los sitios dentro de un sector de código postal.</w:t>
      </w:r>
    </w:p>
  </w:footnote>
  <w:footnote w:id="155">
    <w:p w14:paraId="263B0E70"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(2011). </w:t>
      </w:r>
      <w:r w:rsidRPr="00A73501">
        <w:rPr>
          <w:rFonts w:ascii="Arial" w:hAnsi="Arial" w:cs="Arial"/>
          <w:i/>
          <w:sz w:val="14"/>
          <w:szCs w:val="14"/>
          <w:lang w:val="en-US"/>
        </w:rPr>
        <w:t>Merger Enforcement Guidelines</w:t>
      </w:r>
      <w:r w:rsidRPr="00A73501">
        <w:rPr>
          <w:rFonts w:ascii="Arial" w:hAnsi="Arial" w:cs="Arial"/>
          <w:sz w:val="14"/>
          <w:szCs w:val="14"/>
          <w:lang w:val="en-US"/>
        </w:rPr>
        <w:t xml:space="preserve">. </w:t>
      </w:r>
    </w:p>
  </w:footnote>
  <w:footnote w:id="156">
    <w:p w14:paraId="42A59F5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w:t>
      </w:r>
      <w:r w:rsidRPr="00A73501">
        <w:rPr>
          <w:rFonts w:ascii="Arial" w:hAnsi="Arial" w:cs="Arial"/>
          <w:color w:val="000000"/>
          <w:sz w:val="14"/>
          <w:szCs w:val="14"/>
          <w:shd w:val="clear" w:color="auto" w:fill="FFFFFF"/>
          <w:lang w:val="en-US"/>
        </w:rPr>
        <w:t xml:space="preserve">ACCC (2008). </w:t>
      </w:r>
      <w:r w:rsidRPr="00A73501">
        <w:rPr>
          <w:rFonts w:ascii="Arial" w:hAnsi="Arial" w:cs="Arial"/>
          <w:i/>
          <w:color w:val="000000"/>
          <w:sz w:val="14"/>
          <w:szCs w:val="14"/>
          <w:shd w:val="clear" w:color="auto" w:fill="FFFFFF"/>
        </w:rPr>
        <w:t>Merger Guidelines</w:t>
      </w:r>
      <w:r w:rsidRPr="00A73501">
        <w:rPr>
          <w:rFonts w:ascii="Arial" w:hAnsi="Arial" w:cs="Arial"/>
          <w:color w:val="000000"/>
          <w:sz w:val="14"/>
          <w:szCs w:val="14"/>
          <w:shd w:val="clear" w:color="auto" w:fill="FFFFFF"/>
        </w:rPr>
        <w:t xml:space="preserve"> (actualización 2017). pp. 13-14, 16-17. </w:t>
      </w:r>
    </w:p>
  </w:footnote>
  <w:footnote w:id="157">
    <w:p w14:paraId="66DF102B"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(2013). </w:t>
      </w:r>
      <w:r w:rsidRPr="00A73501">
        <w:rPr>
          <w:rFonts w:ascii="Arial" w:hAnsi="Arial" w:cs="Arial"/>
          <w:i/>
          <w:sz w:val="14"/>
          <w:szCs w:val="14"/>
          <w:lang w:val="en-US"/>
        </w:rPr>
        <w:t xml:space="preserve">Ccent. 5/2013 Kento*Unitel*Sonaecom/ZON*Optimus. </w:t>
      </w:r>
    </w:p>
  </w:footnote>
  <w:footnote w:id="158">
    <w:p w14:paraId="167C1E9C" w14:textId="2288E7DE" w:rsidR="007E0735" w:rsidRPr="00214C2C"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DOJ y FTC (2010). </w:t>
      </w:r>
      <w:r w:rsidRPr="00214C2C">
        <w:rPr>
          <w:rFonts w:ascii="Arial" w:hAnsi="Arial" w:cs="Arial"/>
          <w:i/>
          <w:sz w:val="14"/>
          <w:szCs w:val="14"/>
        </w:rPr>
        <w:t>Horizontal Merger Guidelines</w:t>
      </w:r>
      <w:r w:rsidRPr="00214C2C">
        <w:rPr>
          <w:rFonts w:ascii="Arial" w:hAnsi="Arial" w:cs="Arial"/>
          <w:sz w:val="14"/>
          <w:szCs w:val="14"/>
        </w:rPr>
        <w:t>.</w:t>
      </w:r>
      <w:r w:rsidR="00214C2C" w:rsidRPr="00214C2C">
        <w:rPr>
          <w:rFonts w:ascii="Arial" w:hAnsi="Arial" w:cs="Arial"/>
          <w:sz w:val="14"/>
          <w:szCs w:val="14"/>
        </w:rPr>
        <w:t xml:space="preserve"> Disponible en:</w:t>
      </w:r>
      <w:r w:rsidR="00214C2C">
        <w:rPr>
          <w:rFonts w:ascii="Arial" w:hAnsi="Arial" w:cs="Arial"/>
          <w:sz w:val="14"/>
          <w:szCs w:val="14"/>
        </w:rPr>
        <w:t xml:space="preserve"> </w:t>
      </w:r>
      <w:hyperlink r:id="rId73" w:history="1">
        <w:r w:rsidR="00214C2C" w:rsidRPr="00257681">
          <w:rPr>
            <w:rStyle w:val="Hipervnculo"/>
            <w:rFonts w:ascii="Arial" w:hAnsi="Arial" w:cs="Arial"/>
            <w:sz w:val="14"/>
            <w:szCs w:val="14"/>
          </w:rPr>
          <w:t>https://apps.fcc.gov/edocs_public/attachmatch/FCC-15-94A1.pdf</w:t>
        </w:r>
      </w:hyperlink>
      <w:r w:rsidR="00214C2C">
        <w:rPr>
          <w:rFonts w:ascii="Arial" w:hAnsi="Arial" w:cs="Arial"/>
          <w:sz w:val="14"/>
          <w:szCs w:val="14"/>
        </w:rPr>
        <w:t xml:space="preserve"> </w:t>
      </w:r>
      <w:r w:rsidR="00214C2C" w:rsidRPr="00214C2C">
        <w:rPr>
          <w:rFonts w:ascii="Arial" w:hAnsi="Arial" w:cs="Arial"/>
          <w:sz w:val="14"/>
          <w:szCs w:val="14"/>
        </w:rPr>
        <w:t xml:space="preserve"> </w:t>
      </w:r>
    </w:p>
  </w:footnote>
  <w:footnote w:id="159">
    <w:p w14:paraId="32AF0A1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Charles River Associates (2015). </w:t>
      </w:r>
      <w:r w:rsidRPr="00A73501">
        <w:rPr>
          <w:rFonts w:ascii="Arial" w:hAnsi="Arial" w:cs="Arial"/>
          <w:i/>
          <w:sz w:val="14"/>
          <w:szCs w:val="14"/>
          <w:lang w:val="en-US"/>
        </w:rPr>
        <w:t xml:space="preserve">Qihoo v. Tencent: economic analysis of the first Chinese Supreme Court decision under Anti-Monopoly Law. </w:t>
      </w:r>
      <w:r w:rsidRPr="00A73501">
        <w:rPr>
          <w:rFonts w:ascii="Arial" w:hAnsi="Arial" w:cs="Arial"/>
          <w:i/>
          <w:sz w:val="14"/>
          <w:szCs w:val="14"/>
        </w:rPr>
        <w:t>China Highligts.</w:t>
      </w:r>
      <w:r w:rsidRPr="00A73501">
        <w:rPr>
          <w:rFonts w:ascii="Arial" w:hAnsi="Arial" w:cs="Arial"/>
          <w:sz w:val="14"/>
          <w:szCs w:val="14"/>
        </w:rPr>
        <w:t xml:space="preserve"> Disponible en: </w:t>
      </w:r>
      <w:hyperlink r:id="rId74" w:history="1">
        <w:r w:rsidRPr="00A73501">
          <w:rPr>
            <w:rStyle w:val="Hipervnculo"/>
            <w:rFonts w:ascii="Arial" w:hAnsi="Arial" w:cs="Arial"/>
            <w:sz w:val="14"/>
            <w:szCs w:val="14"/>
          </w:rPr>
          <w:t>https://www.crai.com/sites/default/files/publications/China-Highlights-Qihoo-360-v-Tencent-0215_0.pdf</w:t>
        </w:r>
      </w:hyperlink>
    </w:p>
  </w:footnote>
  <w:footnote w:id="160">
    <w:p w14:paraId="002399EF" w14:textId="77777777" w:rsidR="007E0735" w:rsidRPr="00A73501" w:rsidRDefault="007E0735" w:rsidP="00A73501">
      <w:pPr>
        <w:pStyle w:val="Textonotapie"/>
        <w:rPr>
          <w:rFonts w:ascii="Arial" w:hAnsi="Arial" w:cs="Arial"/>
          <w:i/>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b/>
          <w:i/>
          <w:sz w:val="14"/>
          <w:szCs w:val="14"/>
        </w:rPr>
        <w:t>Artículo 6.</w:t>
      </w:r>
      <w:r w:rsidRPr="00A73501">
        <w:rPr>
          <w:rFonts w:ascii="Arial" w:hAnsi="Arial" w:cs="Arial"/>
          <w:i/>
          <w:sz w:val="14"/>
          <w:szCs w:val="14"/>
        </w:rPr>
        <w:t xml:space="preserve"> El Instituto considerará que es poco probable que una concentración tiene por objeto o efecto obstaculizar, disminuir, dañar o impedir la competencia y la libre concurrencia, cuando posteriormente a ésta suceda alguna de las siguientes situaciones:</w:t>
      </w:r>
    </w:p>
    <w:p w14:paraId="70D51D6B" w14:textId="77777777" w:rsidR="007E0735" w:rsidRPr="00A73501" w:rsidRDefault="007E0735" w:rsidP="00D022C3">
      <w:pPr>
        <w:pStyle w:val="Textonotapie"/>
        <w:numPr>
          <w:ilvl w:val="0"/>
          <w:numId w:val="27"/>
        </w:numPr>
        <w:rPr>
          <w:rFonts w:ascii="Arial" w:hAnsi="Arial" w:cs="Arial"/>
          <w:i/>
          <w:sz w:val="14"/>
          <w:szCs w:val="14"/>
        </w:rPr>
      </w:pPr>
      <w:r w:rsidRPr="00A73501">
        <w:rPr>
          <w:rFonts w:ascii="Arial" w:hAnsi="Arial" w:cs="Arial"/>
          <w:i/>
          <w:sz w:val="14"/>
          <w:szCs w:val="14"/>
        </w:rPr>
        <w:t xml:space="preserve">IHH </w:t>
      </w:r>
      <m:oMath>
        <m:r>
          <w:rPr>
            <w:rFonts w:ascii="Cambria Math" w:hAnsi="Cambria Math" w:cs="Arial"/>
            <w:sz w:val="14"/>
            <w:szCs w:val="14"/>
          </w:rPr>
          <m:t>≤</m:t>
        </m:r>
      </m:oMath>
      <w:r w:rsidRPr="00A73501">
        <w:rPr>
          <w:rFonts w:ascii="Arial" w:hAnsi="Arial" w:cs="Arial"/>
          <w:i/>
          <w:sz w:val="14"/>
          <w:szCs w:val="14"/>
        </w:rPr>
        <w:t xml:space="preserve"> 2,000 puntos;</w:t>
      </w:r>
    </w:p>
    <w:p w14:paraId="3AD68989" w14:textId="77777777" w:rsidR="007E0735" w:rsidRPr="00A73501" w:rsidRDefault="007E0735" w:rsidP="00D022C3">
      <w:pPr>
        <w:pStyle w:val="Textonotapie"/>
        <w:numPr>
          <w:ilvl w:val="0"/>
          <w:numId w:val="27"/>
        </w:numPr>
        <w:rPr>
          <w:rFonts w:ascii="Arial" w:hAnsi="Arial" w:cs="Arial"/>
          <w:i/>
          <w:sz w:val="14"/>
          <w:szCs w:val="14"/>
        </w:rPr>
      </w:pPr>
      <w:r w:rsidRPr="00A73501">
        <w:rPr>
          <w:rFonts w:ascii="Arial" w:hAnsi="Arial" w:cs="Arial"/>
          <w:i/>
          <w:sz w:val="14"/>
          <w:szCs w:val="14"/>
        </w:rPr>
        <w:t xml:space="preserve">2,000 </w:t>
      </w:r>
      <m:oMath>
        <m:r>
          <w:rPr>
            <w:rFonts w:ascii="Cambria Math" w:hAnsi="Cambria Math" w:cs="Arial"/>
            <w:sz w:val="14"/>
            <w:szCs w:val="14"/>
          </w:rPr>
          <m:t>&lt;</m:t>
        </m:r>
      </m:oMath>
      <w:r w:rsidRPr="00A73501">
        <w:rPr>
          <w:rFonts w:ascii="Arial" w:eastAsiaTheme="minorEastAsia" w:hAnsi="Arial" w:cs="Arial"/>
          <w:i/>
          <w:sz w:val="14"/>
          <w:szCs w:val="14"/>
        </w:rPr>
        <w:t xml:space="preserve"> IHH </w:t>
      </w:r>
      <m:oMath>
        <m:r>
          <w:rPr>
            <w:rFonts w:ascii="Cambria Math" w:hAnsi="Cambria Math" w:cs="Arial"/>
            <w:sz w:val="14"/>
            <w:szCs w:val="14"/>
          </w:rPr>
          <m:t>≤</m:t>
        </m:r>
      </m:oMath>
      <w:r w:rsidRPr="00A73501">
        <w:rPr>
          <w:rFonts w:ascii="Arial" w:eastAsiaTheme="minorEastAsia" w:hAnsi="Arial" w:cs="Arial"/>
          <w:i/>
          <w:sz w:val="14"/>
          <w:szCs w:val="14"/>
        </w:rPr>
        <w:t xml:space="preserve"> 3,000 y </w:t>
      </w:r>
      <m:oMath>
        <m:r>
          <w:rPr>
            <w:rFonts w:ascii="Cambria Math" w:eastAsiaTheme="minorEastAsia" w:hAnsi="Cambria Math" w:cs="Arial"/>
            <w:sz w:val="14"/>
            <w:szCs w:val="14"/>
          </w:rPr>
          <m:t>∆</m:t>
        </m:r>
      </m:oMath>
      <w:r w:rsidRPr="00A73501">
        <w:rPr>
          <w:rFonts w:ascii="Arial" w:eastAsiaTheme="minorEastAsia" w:hAnsi="Arial" w:cs="Arial"/>
          <w:i/>
          <w:sz w:val="14"/>
          <w:szCs w:val="14"/>
        </w:rPr>
        <w:t xml:space="preserve">HH </w:t>
      </w:r>
      <m:oMath>
        <m:r>
          <w:rPr>
            <w:rFonts w:ascii="Cambria Math" w:hAnsi="Cambria Math" w:cs="Arial"/>
            <w:sz w:val="14"/>
            <w:szCs w:val="14"/>
          </w:rPr>
          <m:t>≤</m:t>
        </m:r>
      </m:oMath>
      <w:r w:rsidRPr="00A73501">
        <w:rPr>
          <w:rFonts w:ascii="Arial" w:eastAsiaTheme="minorEastAsia" w:hAnsi="Arial" w:cs="Arial"/>
          <w:i/>
          <w:sz w:val="14"/>
          <w:szCs w:val="14"/>
        </w:rPr>
        <w:t xml:space="preserve"> 150 puntos; o</w:t>
      </w:r>
    </w:p>
    <w:p w14:paraId="536711C7" w14:textId="77777777" w:rsidR="007E0735" w:rsidRPr="00A73501" w:rsidRDefault="007E0735" w:rsidP="00D022C3">
      <w:pPr>
        <w:pStyle w:val="Textonotapie"/>
        <w:numPr>
          <w:ilvl w:val="0"/>
          <w:numId w:val="27"/>
        </w:numPr>
        <w:rPr>
          <w:rFonts w:ascii="Arial" w:hAnsi="Arial" w:cs="Arial"/>
          <w:i/>
          <w:sz w:val="14"/>
          <w:szCs w:val="14"/>
        </w:rPr>
      </w:pPr>
      <w:r w:rsidRPr="00A73501">
        <w:rPr>
          <w:rFonts w:ascii="Arial" w:hAnsi="Arial" w:cs="Arial"/>
          <w:i/>
          <w:sz w:val="14"/>
          <w:szCs w:val="14"/>
        </w:rPr>
        <w:t xml:space="preserve">IHH </w:t>
      </w:r>
      <m:oMath>
        <m:r>
          <w:rPr>
            <w:rFonts w:ascii="Cambria Math" w:hAnsi="Cambria Math" w:cs="Arial"/>
            <w:sz w:val="14"/>
            <w:szCs w:val="14"/>
          </w:rPr>
          <m:t>&gt;</m:t>
        </m:r>
      </m:oMath>
      <w:r w:rsidRPr="00A73501">
        <w:rPr>
          <w:rFonts w:ascii="Arial" w:eastAsiaTheme="minorEastAsia" w:hAnsi="Arial" w:cs="Arial"/>
          <w:i/>
          <w:sz w:val="14"/>
          <w:szCs w:val="14"/>
        </w:rPr>
        <w:t xml:space="preserve">3,000 y </w:t>
      </w:r>
      <m:oMath>
        <m:r>
          <w:rPr>
            <w:rFonts w:ascii="Cambria Math" w:eastAsiaTheme="minorEastAsia" w:hAnsi="Cambria Math" w:cs="Arial"/>
            <w:sz w:val="14"/>
            <w:szCs w:val="14"/>
          </w:rPr>
          <m:t>∆</m:t>
        </m:r>
      </m:oMath>
      <w:r w:rsidRPr="00A73501">
        <w:rPr>
          <w:rFonts w:ascii="Arial" w:eastAsiaTheme="minorEastAsia" w:hAnsi="Arial" w:cs="Arial"/>
          <w:i/>
          <w:sz w:val="14"/>
          <w:szCs w:val="14"/>
        </w:rPr>
        <w:t xml:space="preserve">HH </w:t>
      </w:r>
      <m:oMath>
        <m:r>
          <w:rPr>
            <w:rFonts w:ascii="Cambria Math" w:hAnsi="Cambria Math" w:cs="Arial"/>
            <w:sz w:val="14"/>
            <w:szCs w:val="14"/>
          </w:rPr>
          <m:t>≤</m:t>
        </m:r>
      </m:oMath>
      <w:r w:rsidRPr="00A73501">
        <w:rPr>
          <w:rFonts w:ascii="Arial" w:eastAsiaTheme="minorEastAsia" w:hAnsi="Arial" w:cs="Arial"/>
          <w:i/>
          <w:sz w:val="14"/>
          <w:szCs w:val="14"/>
        </w:rPr>
        <w:t xml:space="preserve"> 100 puntos.</w:t>
      </w:r>
    </w:p>
  </w:footnote>
  <w:footnote w:id="161">
    <w:p w14:paraId="3421E44C" w14:textId="77777777" w:rsidR="007E0735" w:rsidRPr="00A73501" w:rsidRDefault="007E0735" w:rsidP="00A73501">
      <w:pPr>
        <w:pStyle w:val="Textonotapie"/>
        <w:rPr>
          <w:rFonts w:ascii="Arial" w:hAnsi="Arial" w:cs="Arial"/>
          <w:i/>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b/>
          <w:i/>
          <w:sz w:val="14"/>
          <w:szCs w:val="14"/>
        </w:rPr>
        <w:t xml:space="preserve">Artículo 7. </w:t>
      </w:r>
      <w:r w:rsidRPr="00A73501">
        <w:rPr>
          <w:rFonts w:ascii="Arial" w:hAnsi="Arial" w:cs="Arial"/>
          <w:i/>
          <w:sz w:val="14"/>
          <w:szCs w:val="14"/>
        </w:rPr>
        <w:t xml:space="preserve">Aun cuando una concentración implique valores de IHH y de la </w:t>
      </w:r>
      <m:oMath>
        <m:r>
          <w:rPr>
            <w:rFonts w:ascii="Cambria Math" w:eastAsiaTheme="minorEastAsia" w:hAnsi="Cambria Math" w:cs="Arial"/>
            <w:sz w:val="14"/>
            <w:szCs w:val="14"/>
          </w:rPr>
          <m:t>∆</m:t>
        </m:r>
      </m:oMath>
      <w:r w:rsidRPr="00A73501">
        <w:rPr>
          <w:rFonts w:ascii="Arial" w:eastAsiaTheme="minorEastAsia" w:hAnsi="Arial" w:cs="Arial"/>
          <w:i/>
          <w:sz w:val="14"/>
          <w:szCs w:val="14"/>
        </w:rPr>
        <w:t xml:space="preserve">HH se ubiquen dentro de los umbrales establecidos en el numeral anterior, </w:t>
      </w:r>
      <w:r w:rsidRPr="00A73501">
        <w:rPr>
          <w:rFonts w:ascii="Arial" w:hAnsi="Arial" w:cs="Arial"/>
          <w:i/>
          <w:sz w:val="14"/>
          <w:szCs w:val="14"/>
        </w:rPr>
        <w:t>el Instituto podrá considerar que existen potenciales riesgos de que ésta tiene por objeto o efecto obstaculizar, disminuir, dañar o impedir la competencia y la libre concurrencia, si sucede una o varias de las siguientes circunstancias:</w:t>
      </w:r>
    </w:p>
    <w:p w14:paraId="13400BC2" w14:textId="77777777" w:rsidR="007E0735" w:rsidRPr="00A73501" w:rsidRDefault="007E0735" w:rsidP="00D022C3">
      <w:pPr>
        <w:pStyle w:val="Default"/>
        <w:numPr>
          <w:ilvl w:val="0"/>
          <w:numId w:val="28"/>
        </w:numPr>
        <w:jc w:val="both"/>
        <w:rPr>
          <w:i/>
          <w:sz w:val="14"/>
          <w:szCs w:val="14"/>
        </w:rPr>
      </w:pPr>
      <w:r w:rsidRPr="00A73501">
        <w:rPr>
          <w:i/>
          <w:sz w:val="14"/>
          <w:szCs w:val="14"/>
        </w:rPr>
        <w:t xml:space="preserve">Los agentes económicos involucrados en la concentración tengan o puedan llegar a adquirir poder sustancial en mercados relacionados; </w:t>
      </w:r>
    </w:p>
    <w:p w14:paraId="1B0FC448" w14:textId="77777777" w:rsidR="007E0735" w:rsidRPr="00A73501" w:rsidRDefault="007E0735" w:rsidP="00D022C3">
      <w:pPr>
        <w:pStyle w:val="Default"/>
        <w:numPr>
          <w:ilvl w:val="0"/>
          <w:numId w:val="28"/>
        </w:numPr>
        <w:jc w:val="both"/>
        <w:rPr>
          <w:i/>
          <w:sz w:val="14"/>
          <w:szCs w:val="14"/>
        </w:rPr>
      </w:pPr>
      <w:r w:rsidRPr="00A73501">
        <w:rPr>
          <w:i/>
          <w:sz w:val="14"/>
          <w:szCs w:val="14"/>
        </w:rPr>
        <w:t xml:space="preserve">Los agentes económicos involucrados en la concentración alcancen una participación superior al treinta y cinco por ciento; </w:t>
      </w:r>
    </w:p>
    <w:p w14:paraId="46E9B77A" w14:textId="77777777" w:rsidR="007E0735" w:rsidRPr="00A73501" w:rsidRDefault="007E0735" w:rsidP="00D022C3">
      <w:pPr>
        <w:pStyle w:val="Default"/>
        <w:numPr>
          <w:ilvl w:val="0"/>
          <w:numId w:val="28"/>
        </w:numPr>
        <w:jc w:val="both"/>
        <w:rPr>
          <w:i/>
          <w:sz w:val="14"/>
          <w:szCs w:val="14"/>
        </w:rPr>
      </w:pPr>
      <w:r w:rsidRPr="00A73501">
        <w:rPr>
          <w:i/>
          <w:sz w:val="14"/>
          <w:szCs w:val="14"/>
        </w:rPr>
        <w:t xml:space="preserve">El agente económico adquirido es un agente económico disruptivo (conocido como </w:t>
      </w:r>
      <w:r w:rsidRPr="00A73501">
        <w:rPr>
          <w:i/>
          <w:iCs/>
          <w:sz w:val="14"/>
          <w:szCs w:val="14"/>
        </w:rPr>
        <w:t xml:space="preserve">maverick </w:t>
      </w:r>
      <w:r w:rsidRPr="00A73501">
        <w:rPr>
          <w:i/>
          <w:sz w:val="14"/>
          <w:szCs w:val="14"/>
        </w:rPr>
        <w:t xml:space="preserve">en inglés) que se distinga, por ejemplo, por introducir o desarrollar nuevas tecnologías o modelos de negocios o que pueda disciplinar los precios con base en su habilidad e incentivos a expandirse rápidamente; </w:t>
      </w:r>
    </w:p>
    <w:p w14:paraId="0F309B70" w14:textId="77777777" w:rsidR="007E0735" w:rsidRPr="00A73501" w:rsidRDefault="007E0735" w:rsidP="00D022C3">
      <w:pPr>
        <w:pStyle w:val="Default"/>
        <w:numPr>
          <w:ilvl w:val="0"/>
          <w:numId w:val="28"/>
        </w:numPr>
        <w:jc w:val="both"/>
        <w:rPr>
          <w:i/>
          <w:sz w:val="14"/>
          <w:szCs w:val="14"/>
        </w:rPr>
      </w:pPr>
      <w:r w:rsidRPr="00A73501">
        <w:rPr>
          <w:i/>
          <w:sz w:val="14"/>
          <w:szCs w:val="14"/>
        </w:rPr>
        <w:t xml:space="preserve">Uno o más de los agentes económicos involucrados en la concentración haya participado dentro de los últimos cinco años en operaciones previas en el mismo mercado y que consideradas en conjunto con la concentración analizada, rebasen los umbrales referidos en el Artículo 6 del presente Criterio Técnico; </w:t>
      </w:r>
    </w:p>
    <w:p w14:paraId="56C7E28A" w14:textId="77777777" w:rsidR="007E0735" w:rsidRPr="00A73501" w:rsidRDefault="007E0735" w:rsidP="00D022C3">
      <w:pPr>
        <w:pStyle w:val="Default"/>
        <w:numPr>
          <w:ilvl w:val="0"/>
          <w:numId w:val="28"/>
        </w:numPr>
        <w:jc w:val="both"/>
        <w:rPr>
          <w:i/>
          <w:sz w:val="14"/>
          <w:szCs w:val="14"/>
        </w:rPr>
      </w:pPr>
      <w:r w:rsidRPr="00A73501">
        <w:rPr>
          <w:i/>
          <w:sz w:val="14"/>
          <w:szCs w:val="14"/>
        </w:rPr>
        <w:t>La concentración pueda generar incentivos o facilitar la coordinación entre los agentes económicos que participen en el mercado analizado o mercados relacionados;</w:t>
      </w:r>
    </w:p>
  </w:footnote>
  <w:footnote w:id="162">
    <w:p w14:paraId="4D4AB394"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Guía de Concentraciones. p. 65. </w:t>
      </w:r>
    </w:p>
  </w:footnote>
  <w:footnote w:id="163">
    <w:p w14:paraId="45D820B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 </w:t>
      </w:r>
      <w:r w:rsidRPr="00A73501">
        <w:rPr>
          <w:rFonts w:ascii="Arial" w:hAnsi="Arial" w:cs="Arial"/>
          <w:i/>
          <w:sz w:val="14"/>
          <w:szCs w:val="14"/>
        </w:rPr>
        <w:t>RESOLUCIÓN MEDIANTE LA CUAL EL PLENO DEL INSTITUTO FEDERAL DE TELECOMUNICACIONES AUTORIZA QUE SE REALICE LA CONCENTRACIÓN RADICADA BAJO El EXPEDIENTE NO. UCE/CNC-004-2014, NOTIFICADA POR SIXSIGMA NETWORKS MÉXICO, S.A. DE C.V. Y METRO NET, S.A.P.I. DE C.V.</w:t>
      </w:r>
      <w:r w:rsidRPr="00A73501">
        <w:rPr>
          <w:rFonts w:ascii="Arial" w:hAnsi="Arial" w:cs="Arial"/>
          <w:sz w:val="14"/>
          <w:szCs w:val="14"/>
        </w:rPr>
        <w:t xml:space="preserve"> Acuerdo P/IFT/011014/332, disponible en: </w:t>
      </w:r>
      <w:hyperlink r:id="rId75" w:history="1">
        <w:r w:rsidRPr="00A73501">
          <w:rPr>
            <w:rStyle w:val="Hipervnculo"/>
            <w:rFonts w:ascii="Arial" w:hAnsi="Arial" w:cs="Arial"/>
            <w:color w:val="0563C1"/>
            <w:sz w:val="14"/>
            <w:szCs w:val="14"/>
          </w:rPr>
          <w:t>http</w:t>
        </w:r>
        <w:r w:rsidRPr="00A73501">
          <w:rPr>
            <w:rStyle w:val="Hipervnculo"/>
            <w:rFonts w:ascii="Arial" w:hAnsi="Arial" w:cs="Arial"/>
            <w:sz w:val="14"/>
            <w:szCs w:val="14"/>
          </w:rPr>
          <w:t>://apps.ift.org.mx/publicdata/P_IFT_011014_332_Version_Publica_UCE.pdf</w:t>
        </w:r>
      </w:hyperlink>
    </w:p>
  </w:footnote>
  <w:footnote w:id="164">
    <w:p w14:paraId="0F6CC2B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(2015). </w:t>
      </w:r>
      <w:r w:rsidRPr="00A73501">
        <w:rPr>
          <w:rFonts w:ascii="Arial" w:hAnsi="Arial" w:cs="Arial"/>
          <w:i/>
          <w:sz w:val="14"/>
          <w:szCs w:val="14"/>
        </w:rPr>
        <w:t xml:space="preserve">RESOLUCIÓN MEDIANTE LA CUAL EL PLENO DEL INSTITUTO FEDERAL DE TELECOMUNICACIONES AUTORIZA QUE SE REALICE LA CONCENTRACIÓN RADICADA BAJO EL EXPEDIENTE NO. UCE/CNC-007-2014, NOTIFICADA POR MEXICO TOWER PARTNERS, S.A.P.I. DE C.V. Y TGA TOWER VENTURES, S.A. DE C.V. </w:t>
      </w:r>
      <w:r w:rsidRPr="00A73501">
        <w:rPr>
          <w:rFonts w:ascii="Arial" w:hAnsi="Arial" w:cs="Arial"/>
          <w:sz w:val="14"/>
          <w:szCs w:val="14"/>
        </w:rPr>
        <w:t xml:space="preserve">Acuerdo P/IFT/180315/93, disponible en: </w:t>
      </w:r>
      <w:hyperlink r:id="rId76" w:history="1">
        <w:r w:rsidRPr="00A73501">
          <w:rPr>
            <w:rStyle w:val="Hipervnculo"/>
            <w:rFonts w:ascii="Arial" w:hAnsi="Arial" w:cs="Arial"/>
            <w:sz w:val="14"/>
            <w:szCs w:val="14"/>
          </w:rPr>
          <w:t>http://apps.ift.org.mx/publicdata/vppift18031593.pdf</w:t>
        </w:r>
      </w:hyperlink>
      <w:r w:rsidRPr="00A73501">
        <w:rPr>
          <w:rFonts w:ascii="Arial" w:hAnsi="Arial" w:cs="Arial"/>
          <w:sz w:val="14"/>
          <w:szCs w:val="14"/>
        </w:rPr>
        <w:t xml:space="preserve">  </w:t>
      </w:r>
    </w:p>
  </w:footnote>
  <w:footnote w:id="165">
    <w:p w14:paraId="6AB36DB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w:t>
      </w:r>
      <w:r w:rsidRPr="00A73501">
        <w:rPr>
          <w:rFonts w:ascii="Arial" w:hAnsi="Arial" w:cs="Arial"/>
          <w:b/>
          <w:bCs/>
          <w:sz w:val="14"/>
          <w:szCs w:val="14"/>
        </w:rPr>
        <w:t xml:space="preserve"> </w:t>
      </w:r>
      <w:r w:rsidRPr="00A73501">
        <w:rPr>
          <w:rFonts w:ascii="Arial" w:hAnsi="Arial" w:cs="Arial"/>
          <w:i/>
          <w:sz w:val="14"/>
          <w:szCs w:val="14"/>
        </w:rPr>
        <w:t xml:space="preserve">RESOLUCIÓN MEDIANTE LA CUAL EL PLENO DEL INSTITUTO FEDERAL DE TELECOMUNICACIONES AUTORIZA LLEVAR A CABO LA CONCENTRACIÓN RADICADA BAJO EL EXPEDIENTE NO. </w:t>
      </w:r>
      <w:r w:rsidRPr="00A73501">
        <w:rPr>
          <w:rFonts w:ascii="Arial" w:hAnsi="Arial" w:cs="Arial"/>
          <w:i/>
          <w:sz w:val="14"/>
          <w:szCs w:val="14"/>
          <w:lang w:val="en-US"/>
        </w:rPr>
        <w:t xml:space="preserve">UCE/CNC-004-2016, NOTIFICADA POR AT&amp;T INC., WEST MERGER SUB INC. </w:t>
      </w:r>
      <w:r w:rsidRPr="00A73501">
        <w:rPr>
          <w:rFonts w:ascii="Arial" w:hAnsi="Arial" w:cs="Arial"/>
          <w:i/>
          <w:sz w:val="14"/>
          <w:szCs w:val="14"/>
        </w:rPr>
        <w:t>Y TIME WARNER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P/IFT/150817/487.</w:t>
      </w:r>
      <w:r w:rsidRPr="00A73501" w:rsidDel="000C0367">
        <w:rPr>
          <w:rFonts w:ascii="Arial" w:hAnsi="Arial" w:cs="Arial"/>
          <w:bCs/>
          <w:sz w:val="14"/>
          <w:szCs w:val="14"/>
        </w:rPr>
        <w:t xml:space="preserve"> </w:t>
      </w:r>
    </w:p>
  </w:footnote>
  <w:footnote w:id="166">
    <w:p w14:paraId="00842F8B"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El análisis se realizó sobre los siguientes mercados: </w:t>
      </w:r>
    </w:p>
    <w:p w14:paraId="6A208DDB" w14:textId="77777777" w:rsidR="007E0735" w:rsidRPr="00A73501" w:rsidRDefault="007E0735" w:rsidP="008655A4">
      <w:pPr>
        <w:pStyle w:val="Textonotapie"/>
        <w:numPr>
          <w:ilvl w:val="0"/>
          <w:numId w:val="29"/>
        </w:numPr>
        <w:rPr>
          <w:rFonts w:ascii="Arial" w:hAnsi="Arial" w:cs="Arial"/>
          <w:sz w:val="14"/>
          <w:szCs w:val="14"/>
        </w:rPr>
      </w:pPr>
      <w:r w:rsidRPr="00A73501">
        <w:rPr>
          <w:rFonts w:ascii="Arial" w:hAnsi="Arial" w:cs="Arial"/>
          <w:sz w:val="14"/>
          <w:szCs w:val="14"/>
        </w:rPr>
        <w:t xml:space="preserve">MR de provisión y licenciamiento de canales de programación y paquetes de canales a proveedores de STAR a nivel nacional, en las diferentes categorías de Canales Básicos, así como los Canales </w:t>
      </w:r>
      <w:r w:rsidRPr="00A73501">
        <w:rPr>
          <w:rFonts w:ascii="Arial" w:hAnsi="Arial" w:cs="Arial"/>
          <w:i/>
          <w:sz w:val="14"/>
          <w:szCs w:val="14"/>
        </w:rPr>
        <w:t>Premium</w:t>
      </w:r>
      <w:r w:rsidRPr="00A73501">
        <w:rPr>
          <w:rFonts w:ascii="Arial" w:hAnsi="Arial" w:cs="Arial"/>
          <w:sz w:val="14"/>
          <w:szCs w:val="14"/>
        </w:rPr>
        <w:t>, y</w:t>
      </w:r>
    </w:p>
    <w:p w14:paraId="7DEF0AC2" w14:textId="77777777" w:rsidR="007E0735" w:rsidRPr="00A73501" w:rsidRDefault="007E0735" w:rsidP="008655A4">
      <w:pPr>
        <w:pStyle w:val="Textonotapie"/>
        <w:numPr>
          <w:ilvl w:val="0"/>
          <w:numId w:val="29"/>
        </w:numPr>
        <w:rPr>
          <w:rFonts w:ascii="Arial" w:hAnsi="Arial" w:cs="Arial"/>
          <w:sz w:val="14"/>
          <w:szCs w:val="14"/>
        </w:rPr>
      </w:pPr>
      <w:r w:rsidRPr="00A73501">
        <w:rPr>
          <w:rFonts w:ascii="Arial" w:hAnsi="Arial" w:cs="Arial"/>
          <w:sz w:val="14"/>
          <w:szCs w:val="14"/>
        </w:rPr>
        <w:t>Mercado relacionado: provisión del STAR a nivel nacional.</w:t>
      </w:r>
    </w:p>
  </w:footnote>
  <w:footnote w:id="167">
    <w:p w14:paraId="567CB7F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Por ejemplo, señaló que </w:t>
      </w:r>
      <w:r w:rsidRPr="00A73501">
        <w:rPr>
          <w:rFonts w:ascii="Arial" w:hAnsi="Arial" w:cs="Arial"/>
          <w:i/>
          <w:sz w:val="14"/>
          <w:szCs w:val="14"/>
        </w:rPr>
        <w:t>“no se prevé que en México, AT&amp;T tenga la capacidad e incentivos de negar o afectar el acceso al servicio de acceso o capacidad de banda ancha móvil a otros proveedores del servicio de distribución de programas a través de dispositivos móviles</w:t>
      </w:r>
      <w:r w:rsidRPr="00A73501">
        <w:rPr>
          <w:rFonts w:ascii="Arial" w:hAnsi="Arial" w:cs="Arial"/>
          <w:sz w:val="14"/>
          <w:szCs w:val="14"/>
        </w:rPr>
        <w:t>” debido a la participación no significativa en la provisión del servicio de acceso o internet de banda ancha móvil que tenía AT&amp;T y la existencia de otros competidores con participaciones relativamente más altas.</w:t>
      </w:r>
    </w:p>
  </w:footnote>
  <w:footnote w:id="168">
    <w:p w14:paraId="09AAC345"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w:t>
      </w:r>
      <w:r w:rsidRPr="00A73501">
        <w:rPr>
          <w:rFonts w:ascii="Arial" w:hAnsi="Arial" w:cs="Arial"/>
          <w:i/>
          <w:sz w:val="14"/>
          <w:szCs w:val="14"/>
        </w:rPr>
        <w:t xml:space="preserve">Resolución mediante la cual el Pleno del Instituto Federal de Telecomunicaciones autoriza llevar a cabo la concentración radicada bajo el expediente No. UCE/CNC-003-2016, notificada por Utrera, S.A. de C.V., Grupo MVS, S.A. de C.V., el C. XXXXXXXXXXXXXXXXXXXX, Radiomóvil Dipsa, S.A. de C.V. y AMOV IV, S.A. de C.V. </w:t>
      </w:r>
      <w:r w:rsidRPr="00A73501">
        <w:rPr>
          <w:rFonts w:ascii="Arial" w:hAnsi="Arial" w:cs="Arial"/>
          <w:sz w:val="14"/>
          <w:szCs w:val="14"/>
        </w:rPr>
        <w:t xml:space="preserve">Acuerdo P/IFT/270417/221.  </w:t>
      </w:r>
    </w:p>
  </w:footnote>
  <w:footnote w:id="169">
    <w:p w14:paraId="7711F28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 xml:space="preserve">RESOLUCIÓN MEDIANTE LA CUAL EL PLENO DEL INSTITUTO FEDERAL DE TELECOMUNICACIONES RESUELVE SOBRE LA CONCENTRACIÓN RADICADA BAJO EL EXPEDIENTE NO. UCE/CNC-001-2019, NOTIFICADA POR COMMSCOPE HOLDING COMPANY, INC. Y ARRIS INTERNÁTIONAL PLC. </w:t>
      </w:r>
      <w:r w:rsidRPr="00A73501">
        <w:rPr>
          <w:rFonts w:ascii="Arial" w:hAnsi="Arial" w:cs="Arial"/>
          <w:sz w:val="14"/>
          <w:szCs w:val="14"/>
        </w:rPr>
        <w:t>Acuerdo P/IFT/030419/169. Disponible en:</w:t>
      </w:r>
    </w:p>
    <w:p w14:paraId="0692E5D1" w14:textId="77777777" w:rsidR="007E0735" w:rsidRPr="00A73501" w:rsidRDefault="0040239C" w:rsidP="00A73501">
      <w:pPr>
        <w:pStyle w:val="Textonotapie"/>
        <w:rPr>
          <w:rFonts w:ascii="Arial" w:hAnsi="Arial" w:cs="Arial"/>
          <w:sz w:val="14"/>
          <w:szCs w:val="14"/>
        </w:rPr>
      </w:pPr>
      <w:hyperlink r:id="rId77" w:history="1">
        <w:r w:rsidR="007E0735" w:rsidRPr="00A73501">
          <w:rPr>
            <w:rStyle w:val="Hipervnculo"/>
            <w:rFonts w:ascii="Arial" w:hAnsi="Arial" w:cs="Arial"/>
            <w:sz w:val="14"/>
            <w:szCs w:val="14"/>
          </w:rPr>
          <w:t>http://www.ift.org.mx/sites/default/files/conocenos/pleno/sesiones/acuerdoliga/vppift030419169noct.pdf</w:t>
        </w:r>
      </w:hyperlink>
      <w:r w:rsidR="007E0735" w:rsidRPr="00A73501">
        <w:rPr>
          <w:rFonts w:ascii="Arial" w:hAnsi="Arial" w:cs="Arial"/>
          <w:sz w:val="14"/>
          <w:szCs w:val="14"/>
        </w:rPr>
        <w:t xml:space="preserve">  </w:t>
      </w:r>
    </w:p>
  </w:footnote>
  <w:footnote w:id="170">
    <w:p w14:paraId="4C872744" w14:textId="72A1A764"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Elementos activos y pasivos para cableados de redes de operadores; equipos de conectividad de fibra óptica; Multiplexores de División de Longitud de Onda (</w:t>
      </w:r>
      <w:r w:rsidRPr="00A73501">
        <w:rPr>
          <w:rFonts w:ascii="Arial" w:hAnsi="Arial" w:cs="Arial"/>
          <w:i/>
          <w:sz w:val="14"/>
          <w:szCs w:val="14"/>
        </w:rPr>
        <w:t>Wavelength Division Multiplexers</w:t>
      </w:r>
      <w:r w:rsidRPr="00A73501">
        <w:rPr>
          <w:rFonts w:ascii="Arial" w:hAnsi="Arial" w:cs="Arial"/>
          <w:sz w:val="14"/>
          <w:szCs w:val="14"/>
        </w:rPr>
        <w:t xml:space="preserve"> o WDM, en inglés); </w:t>
      </w:r>
      <w:r>
        <w:rPr>
          <w:rFonts w:ascii="Arial" w:hAnsi="Arial" w:cs="Arial"/>
          <w:sz w:val="14"/>
          <w:szCs w:val="14"/>
        </w:rPr>
        <w:t>productos</w:t>
      </w:r>
      <w:r w:rsidRPr="00A73501">
        <w:rPr>
          <w:rFonts w:ascii="Arial" w:hAnsi="Arial" w:cs="Arial"/>
          <w:sz w:val="14"/>
          <w:szCs w:val="14"/>
        </w:rPr>
        <w:t xml:space="preserve"> y soluciones de telecomunicaciones para cobertura inalámbrica y de capacidad; y redes de acceso radioeléctrico.</w:t>
      </w:r>
    </w:p>
  </w:footnote>
  <w:footnote w:id="171">
    <w:p w14:paraId="77FA393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Mundial, Norteamérica (Canadá, Estados Unidos y México) y nacional.</w:t>
      </w:r>
    </w:p>
  </w:footnote>
  <w:footnote w:id="172">
    <w:p w14:paraId="5571C0D4"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RESOLUCIÓN MEDIANTE LA CUAL EL PLENO DEL INSTITUTO FEDERAL DE TELECOMUNICACIONES AUTORIZA QUE SE REALICE LA CONCENTRACIÓN RADICADA BAJO EL EXPEDIENTE NO. UCE/CNC-003-2019, NOTIFICADA POR GRUPO TELEVISA S.A.B., PROMO-INDUSTRIAS METROPOLITANAS, S.A. DE C.V., EMILIO FERNANDO AZCÁRRAGA JEAN, CORPORATIVO CORAL S.A. DE C.V., CADENA RADIÓPOLIS, S.A DE C.V., RADIOTELEVISORA DE MEXICALI, S.A. DE C.V., CADENA RADIODIFUSORA MEXICANA S.A. DE C.V., RADIO MELODÍA. S.A., RADIO TAPATIA. S.A. DE C.V., XEZZ S.A DE C.V. Y SISTEMA RADIÓPOLIS, S.A. DE C.V., CONFORME AL PROCEDIMIENTO PREVISTO EN EL ARTICULO 92 DE LA LEY FEDERAL DE COMPETENCIA ECONÓMICA</w:t>
      </w:r>
      <w:r w:rsidRPr="00A73501">
        <w:rPr>
          <w:rFonts w:ascii="Arial" w:hAnsi="Arial" w:cs="Arial"/>
          <w:sz w:val="14"/>
          <w:szCs w:val="14"/>
        </w:rPr>
        <w:t xml:space="preserve">. Acuerdo P/IFT/210819/432. Disponible en: </w:t>
      </w:r>
      <w:hyperlink r:id="rId78" w:history="1">
        <w:r w:rsidRPr="00A73501">
          <w:rPr>
            <w:rStyle w:val="Hipervnculo"/>
            <w:rFonts w:ascii="Arial" w:hAnsi="Arial" w:cs="Arial"/>
            <w:sz w:val="14"/>
            <w:szCs w:val="14"/>
          </w:rPr>
          <w:t>http://apps.ift.org.mx/publicdata/VP_P_IFT_210819_432.pdf</w:t>
        </w:r>
      </w:hyperlink>
      <w:r w:rsidRPr="00A73501">
        <w:rPr>
          <w:rFonts w:ascii="Arial" w:hAnsi="Arial" w:cs="Arial"/>
          <w:sz w:val="14"/>
          <w:szCs w:val="14"/>
        </w:rPr>
        <w:t xml:space="preserve"> </w:t>
      </w:r>
    </w:p>
  </w:footnote>
  <w:footnote w:id="173">
    <w:p w14:paraId="07FF7ABB" w14:textId="77777777" w:rsidR="007E0735" w:rsidRPr="00A73501" w:rsidRDefault="007E0735" w:rsidP="00A73501">
      <w:pPr>
        <w:pStyle w:val="Textonotapie"/>
        <w:rPr>
          <w:rFonts w:ascii="Arial" w:hAnsi="Arial" w:cs="Arial"/>
          <w:i/>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i/>
          <w:sz w:val="14"/>
          <w:szCs w:val="14"/>
        </w:rPr>
        <w:t>Artículo 92. (…)</w:t>
      </w:r>
    </w:p>
    <w:p w14:paraId="6F14191E" w14:textId="77777777" w:rsidR="007E0735" w:rsidRPr="00A73501" w:rsidRDefault="007E0735" w:rsidP="00A73501">
      <w:pPr>
        <w:pStyle w:val="Textonotapie"/>
        <w:rPr>
          <w:rFonts w:ascii="Arial" w:hAnsi="Arial" w:cs="Arial"/>
          <w:sz w:val="14"/>
          <w:szCs w:val="14"/>
        </w:rPr>
      </w:pPr>
      <w:r w:rsidRPr="00A73501">
        <w:rPr>
          <w:rFonts w:ascii="Arial" w:hAnsi="Arial" w:cs="Arial"/>
          <w:i/>
          <w:sz w:val="14"/>
          <w:szCs w:val="14"/>
        </w:rPr>
        <w:t>I. 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w:t>
      </w:r>
      <w:r w:rsidRPr="00A73501">
        <w:rPr>
          <w:rFonts w:ascii="Arial" w:hAnsi="Arial" w:cs="Arial"/>
          <w:sz w:val="14"/>
          <w:szCs w:val="14"/>
        </w:rPr>
        <w:t>”.</w:t>
      </w:r>
    </w:p>
  </w:footnote>
  <w:footnote w:id="174">
    <w:p w14:paraId="71149526"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Style w:val="Refdenotaalpie"/>
          <w:rFonts w:ascii="Arial" w:hAnsi="Arial" w:cs="Arial"/>
          <w:sz w:val="14"/>
          <w:szCs w:val="14"/>
          <w:lang w:val="en-US"/>
        </w:rPr>
        <w:t xml:space="preserve"> </w:t>
      </w:r>
      <w:r w:rsidRPr="00A73501">
        <w:rPr>
          <w:rFonts w:ascii="Arial" w:hAnsi="Arial" w:cs="Arial"/>
          <w:sz w:val="14"/>
          <w:szCs w:val="14"/>
          <w:lang w:val="en-US"/>
        </w:rPr>
        <w:t xml:space="preserve">ICN (2006). </w:t>
      </w:r>
      <w:r w:rsidRPr="00A73501">
        <w:rPr>
          <w:rFonts w:ascii="Arial" w:hAnsi="Arial" w:cs="Arial"/>
          <w:i/>
          <w:sz w:val="14"/>
          <w:szCs w:val="14"/>
          <w:lang w:val="en-US"/>
        </w:rPr>
        <w:t xml:space="preserve">ICN Merger Guidelines Workbook. </w:t>
      </w:r>
      <w:r w:rsidRPr="00A73501">
        <w:rPr>
          <w:rFonts w:ascii="Arial" w:hAnsi="Arial" w:cs="Arial"/>
          <w:sz w:val="14"/>
          <w:szCs w:val="14"/>
          <w:lang w:val="en-US"/>
        </w:rPr>
        <w:t>pp. 15 - 20</w:t>
      </w:r>
      <w:r w:rsidRPr="00A73501" w:rsidDel="0036275B">
        <w:rPr>
          <w:rFonts w:ascii="Arial" w:hAnsi="Arial" w:cs="Arial"/>
          <w:sz w:val="14"/>
          <w:szCs w:val="14"/>
          <w:lang w:val="en-US"/>
        </w:rPr>
        <w:t xml:space="preserve"> </w:t>
      </w:r>
    </w:p>
  </w:footnote>
  <w:footnote w:id="175">
    <w:p w14:paraId="3DAAB962" w14:textId="77777777" w:rsidR="007E0735" w:rsidRPr="00181E30"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(2016). </w:t>
      </w:r>
      <w:r w:rsidRPr="00A73501">
        <w:rPr>
          <w:rFonts w:ascii="Arial" w:hAnsi="Arial" w:cs="Arial"/>
          <w:i/>
          <w:sz w:val="14"/>
          <w:szCs w:val="14"/>
          <w:lang w:val="en-US"/>
        </w:rPr>
        <w:t>Defining Geographic Markets Across National Borders.</w:t>
      </w:r>
      <w:r w:rsidRPr="00A73501">
        <w:rPr>
          <w:rFonts w:ascii="Arial" w:hAnsi="Arial" w:cs="Arial"/>
          <w:sz w:val="14"/>
          <w:szCs w:val="14"/>
          <w:lang w:val="en-US"/>
        </w:rPr>
        <w:t xml:space="preserve"> </w:t>
      </w:r>
      <w:r w:rsidRPr="00181E30">
        <w:rPr>
          <w:rFonts w:ascii="Arial" w:hAnsi="Arial" w:cs="Arial"/>
          <w:i/>
          <w:sz w:val="14"/>
          <w:szCs w:val="14"/>
          <w:lang w:val="en-US"/>
        </w:rPr>
        <w:t>Background Paper by the Secretariat.</w:t>
      </w:r>
      <w:r w:rsidRPr="00181E30">
        <w:rPr>
          <w:rFonts w:ascii="Arial" w:hAnsi="Arial" w:cs="Arial"/>
          <w:sz w:val="14"/>
          <w:szCs w:val="14"/>
          <w:lang w:val="en-US"/>
        </w:rPr>
        <w:t xml:space="preserve"> p. 6.</w:t>
      </w:r>
    </w:p>
  </w:footnote>
  <w:footnote w:id="176">
    <w:p w14:paraId="5996B1B4" w14:textId="77777777" w:rsidR="007E0735" w:rsidRPr="00181E30"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181E30">
        <w:rPr>
          <w:rFonts w:ascii="Arial" w:hAnsi="Arial" w:cs="Arial"/>
          <w:sz w:val="14"/>
          <w:szCs w:val="14"/>
          <w:lang w:val="en-US"/>
        </w:rPr>
        <w:t xml:space="preserve"> DOJ y FTC (2010). </w:t>
      </w:r>
      <w:r w:rsidRPr="00181E30">
        <w:rPr>
          <w:rFonts w:ascii="Arial" w:hAnsi="Arial" w:cs="Arial"/>
          <w:i/>
          <w:sz w:val="14"/>
          <w:szCs w:val="14"/>
          <w:lang w:val="en-US"/>
        </w:rPr>
        <w:t>Horizontal Merger Guidelines</w:t>
      </w:r>
      <w:r w:rsidRPr="00181E30">
        <w:rPr>
          <w:rFonts w:ascii="Arial" w:hAnsi="Arial" w:cs="Arial"/>
          <w:sz w:val="14"/>
          <w:szCs w:val="14"/>
          <w:lang w:val="en-US"/>
        </w:rPr>
        <w:t xml:space="preserve">. </w:t>
      </w:r>
      <w:hyperlink r:id="rId79" w:history="1"/>
    </w:p>
  </w:footnote>
  <w:footnote w:id="177">
    <w:p w14:paraId="052C1CB6" w14:textId="0D5564E2"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Style w:val="Refdenotaalpie"/>
          <w:rFonts w:ascii="Arial" w:hAnsi="Arial" w:cs="Arial"/>
          <w:sz w:val="14"/>
          <w:szCs w:val="14"/>
        </w:rPr>
        <w:t xml:space="preserve"> </w:t>
      </w:r>
      <w:r w:rsidRPr="00A73501">
        <w:rPr>
          <w:rStyle w:val="Hipervnculo"/>
          <w:rFonts w:ascii="Arial" w:hAnsi="Arial" w:cs="Arial"/>
          <w:color w:val="auto"/>
          <w:sz w:val="14"/>
          <w:szCs w:val="14"/>
          <w:u w:val="none"/>
        </w:rPr>
        <w:t xml:space="preserve">Las agencias confían más en el valor de las desviaciones de ventas que en el nivel de IHH para diagnosticar los efectos unilaterales en precios en mercados con </w:t>
      </w:r>
      <w:r>
        <w:rPr>
          <w:rStyle w:val="Hipervnculo"/>
          <w:rFonts w:ascii="Arial" w:hAnsi="Arial" w:cs="Arial"/>
          <w:color w:val="auto"/>
          <w:sz w:val="14"/>
          <w:szCs w:val="14"/>
          <w:u w:val="none"/>
        </w:rPr>
        <w:t>productos</w:t>
      </w:r>
      <w:r w:rsidRPr="00A73501">
        <w:rPr>
          <w:rStyle w:val="Hipervnculo"/>
          <w:rFonts w:ascii="Arial" w:hAnsi="Arial" w:cs="Arial"/>
          <w:color w:val="auto"/>
          <w:sz w:val="14"/>
          <w:szCs w:val="14"/>
          <w:u w:val="none"/>
        </w:rPr>
        <w:t xml:space="preserve"> diferenciados. Si el valor de las desviaciones de ventas es proporcionalmente pequeño, son poco probables efectos significativos unilaterales en precios.</w:t>
      </w:r>
    </w:p>
  </w:footnote>
  <w:footnote w:id="178">
    <w:p w14:paraId="08562F3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(1997). </w:t>
      </w:r>
      <w:r w:rsidRPr="00A73501">
        <w:rPr>
          <w:rFonts w:ascii="Arial" w:hAnsi="Arial" w:cs="Arial"/>
          <w:i/>
          <w:sz w:val="14"/>
          <w:szCs w:val="14"/>
        </w:rPr>
        <w:t>COMUNICACIÓN DE LA COMISIÓN relativa a la definición de mercado de referencia a efectos de la normativa comunitaria en materia de competencia.</w:t>
      </w:r>
      <w:r w:rsidRPr="00A73501">
        <w:rPr>
          <w:rFonts w:ascii="Arial" w:hAnsi="Arial" w:cs="Arial"/>
          <w:sz w:val="14"/>
          <w:szCs w:val="14"/>
        </w:rPr>
        <w:t xml:space="preserve"> </w:t>
      </w:r>
    </w:p>
  </w:footnote>
  <w:footnote w:id="179">
    <w:p w14:paraId="6D5CF95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ACCC (2017). </w:t>
      </w:r>
      <w:r w:rsidRPr="00A73501">
        <w:rPr>
          <w:rFonts w:ascii="Arial" w:hAnsi="Arial" w:cs="Arial"/>
          <w:i/>
          <w:sz w:val="14"/>
          <w:szCs w:val="14"/>
        </w:rPr>
        <w:t>Media Merger Guidelines</w:t>
      </w:r>
      <w:r w:rsidRPr="00A73501">
        <w:rPr>
          <w:rFonts w:ascii="Arial" w:hAnsi="Arial" w:cs="Arial"/>
          <w:sz w:val="14"/>
          <w:szCs w:val="14"/>
        </w:rPr>
        <w:t xml:space="preserve">. p. 4. Disponible en </w:t>
      </w:r>
      <w:hyperlink r:id="rId80" w:history="1">
        <w:r w:rsidRPr="00A73501">
          <w:rPr>
            <w:rStyle w:val="Hipervnculo"/>
            <w:rFonts w:ascii="Arial" w:hAnsi="Arial" w:cs="Arial"/>
            <w:sz w:val="14"/>
            <w:szCs w:val="14"/>
          </w:rPr>
          <w:t>https://www.accc.gov.au/system/files/Media%20Merger%20Guidelines%202017_0.pdf</w:t>
        </w:r>
      </w:hyperlink>
    </w:p>
  </w:footnote>
  <w:footnote w:id="180">
    <w:p w14:paraId="22D63B3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shd w:val="clear" w:color="auto" w:fill="FFFFFF"/>
        </w:rPr>
        <w:t xml:space="preserve">ACCC (2008). </w:t>
      </w:r>
      <w:r w:rsidRPr="00A73501">
        <w:rPr>
          <w:rFonts w:ascii="Arial" w:hAnsi="Arial" w:cs="Arial"/>
          <w:i/>
          <w:color w:val="000000"/>
          <w:sz w:val="14"/>
          <w:szCs w:val="14"/>
          <w:shd w:val="clear" w:color="auto" w:fill="FFFFFF"/>
        </w:rPr>
        <w:t>Merger Guidelines</w:t>
      </w:r>
      <w:r w:rsidRPr="00A73501">
        <w:rPr>
          <w:rFonts w:ascii="Arial" w:hAnsi="Arial" w:cs="Arial"/>
          <w:color w:val="000000"/>
          <w:sz w:val="14"/>
          <w:szCs w:val="14"/>
          <w:shd w:val="clear" w:color="auto" w:fill="FFFFFF"/>
        </w:rPr>
        <w:t xml:space="preserve"> (actualización 2017). </w:t>
      </w:r>
      <w:r w:rsidRPr="00A73501">
        <w:rPr>
          <w:rFonts w:ascii="Arial" w:hAnsi="Arial" w:cs="Arial"/>
          <w:sz w:val="14"/>
          <w:szCs w:val="14"/>
        </w:rPr>
        <w:t xml:space="preserve">p. 13. </w:t>
      </w:r>
    </w:p>
  </w:footnote>
  <w:footnote w:id="181">
    <w:p w14:paraId="0FAAD19A" w14:textId="77777777" w:rsidR="007E0735" w:rsidRPr="00A73501" w:rsidRDefault="007E0735" w:rsidP="00A73501">
      <w:pPr>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w:t>
      </w:r>
      <w:r w:rsidRPr="00A73501">
        <w:rPr>
          <w:rFonts w:ascii="Arial" w:hAnsi="Arial" w:cs="Arial"/>
          <w:i/>
          <w:sz w:val="14"/>
          <w:szCs w:val="14"/>
        </w:rPr>
        <w:t>Linhas de Orientação para a Análise Económica de Operações de Concentração Horizontais</w:t>
      </w:r>
      <w:r w:rsidRPr="00A73501">
        <w:rPr>
          <w:rFonts w:ascii="Arial" w:hAnsi="Arial" w:cs="Arial"/>
          <w:sz w:val="14"/>
          <w:szCs w:val="14"/>
        </w:rPr>
        <w:t xml:space="preserve">. p. 2. Disponible en: </w:t>
      </w:r>
    </w:p>
    <w:p w14:paraId="2737B6E5" w14:textId="77777777" w:rsidR="007E0735" w:rsidRPr="00A73501" w:rsidRDefault="0040239C" w:rsidP="00A73501">
      <w:pPr>
        <w:spacing w:before="0" w:after="0" w:line="240" w:lineRule="auto"/>
        <w:rPr>
          <w:rFonts w:ascii="Arial" w:hAnsi="Arial" w:cs="Arial"/>
          <w:sz w:val="14"/>
          <w:szCs w:val="14"/>
        </w:rPr>
      </w:pPr>
      <w:hyperlink r:id="rId81" w:history="1">
        <w:r w:rsidR="007E0735" w:rsidRPr="00A73501">
          <w:rPr>
            <w:rStyle w:val="Hipervnculo"/>
            <w:rFonts w:ascii="Arial" w:hAnsi="Arial" w:cs="Arial"/>
            <w:sz w:val="14"/>
            <w:szCs w:val="14"/>
          </w:rPr>
          <w:t>http://www.concorrencia.pt/vPT/Noticias_Eventos/ConsultasPublicas/Documents/Linhas%20de%20Orienta%C3%A7%C3%A3o%20para%20a%20An%C3%A1lise%20Econ%C3%B3mica%20de%20Opera%C3%A7%C3%B5es%20de%20Concentra%C3%A7%C3%A3o%20Horizontais.pdf</w:t>
        </w:r>
      </w:hyperlink>
      <w:r w:rsidR="007E0735" w:rsidRPr="00A73501">
        <w:rPr>
          <w:rFonts w:ascii="Arial" w:hAnsi="Arial" w:cs="Arial"/>
          <w:sz w:val="14"/>
          <w:szCs w:val="14"/>
        </w:rPr>
        <w:t xml:space="preserve"> </w:t>
      </w:r>
    </w:p>
  </w:footnote>
  <w:footnote w:id="182">
    <w:p w14:paraId="1F7040A4"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(2013). </w:t>
      </w:r>
      <w:r w:rsidRPr="00A73501">
        <w:rPr>
          <w:rFonts w:ascii="Arial" w:hAnsi="Arial" w:cs="Arial"/>
          <w:i/>
          <w:sz w:val="14"/>
          <w:szCs w:val="14"/>
        </w:rPr>
        <w:t xml:space="preserve">Ccent. 5/2013 Kento*Unitel*Sonaecom/ZON*Optimus. </w:t>
      </w:r>
    </w:p>
  </w:footnote>
  <w:footnote w:id="183">
    <w:p w14:paraId="306C9810" w14:textId="77777777" w:rsidR="007E0735" w:rsidRPr="00DC72A8" w:rsidRDefault="007E0735" w:rsidP="00A73501">
      <w:pPr>
        <w:pStyle w:val="Textonotapie"/>
        <w:rPr>
          <w:rFonts w:ascii="Arial" w:hAnsi="Arial" w:cs="Arial"/>
          <w:sz w:val="14"/>
          <w:szCs w:val="14"/>
          <w:lang w:val="en-GB"/>
        </w:rPr>
      </w:pPr>
      <w:r w:rsidRPr="00A73501">
        <w:rPr>
          <w:rStyle w:val="Refdenotaalpie"/>
          <w:rFonts w:ascii="Arial" w:hAnsi="Arial" w:cs="Arial"/>
          <w:sz w:val="14"/>
          <w:szCs w:val="14"/>
        </w:rPr>
        <w:footnoteRef/>
      </w:r>
      <w:r w:rsidRPr="00DC72A8">
        <w:rPr>
          <w:rFonts w:ascii="Arial" w:hAnsi="Arial" w:cs="Arial"/>
          <w:sz w:val="14"/>
          <w:szCs w:val="14"/>
          <w:lang w:val="en-GB"/>
        </w:rPr>
        <w:t xml:space="preserve"> CBC (2011). </w:t>
      </w:r>
      <w:r w:rsidRPr="00DC72A8">
        <w:rPr>
          <w:rFonts w:ascii="Arial" w:hAnsi="Arial" w:cs="Arial"/>
          <w:i/>
          <w:sz w:val="14"/>
          <w:szCs w:val="14"/>
          <w:lang w:val="en-GB"/>
        </w:rPr>
        <w:t>Merger Enforcement Guidelines</w:t>
      </w:r>
      <w:r w:rsidRPr="00DC72A8">
        <w:rPr>
          <w:rFonts w:ascii="Arial" w:hAnsi="Arial" w:cs="Arial"/>
          <w:sz w:val="14"/>
          <w:szCs w:val="14"/>
          <w:lang w:val="en-GB"/>
        </w:rPr>
        <w:t xml:space="preserve">. </w:t>
      </w:r>
    </w:p>
  </w:footnote>
  <w:footnote w:id="184">
    <w:p w14:paraId="5FDD341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DC72A8">
        <w:rPr>
          <w:rFonts w:ascii="Arial" w:hAnsi="Arial" w:cs="Arial"/>
          <w:sz w:val="14"/>
          <w:szCs w:val="14"/>
          <w:lang w:val="en-GB"/>
        </w:rPr>
        <w:t xml:space="preserve"> Instituto (2017).</w:t>
      </w:r>
      <w:r w:rsidRPr="00DC72A8">
        <w:rPr>
          <w:rFonts w:ascii="Arial" w:hAnsi="Arial" w:cs="Arial"/>
          <w:b/>
          <w:bCs/>
          <w:sz w:val="14"/>
          <w:szCs w:val="14"/>
          <w:lang w:val="en-GB"/>
        </w:rPr>
        <w:t xml:space="preserve"> </w:t>
      </w:r>
      <w:r w:rsidRPr="00A73501">
        <w:rPr>
          <w:rFonts w:ascii="Arial" w:hAnsi="Arial" w:cs="Arial"/>
          <w:i/>
          <w:sz w:val="14"/>
          <w:szCs w:val="14"/>
        </w:rPr>
        <w:t xml:space="preserve">RESOLUCIÓN MEDIANTE LA CUAL EL PLENO DEL INSTITUTO FEDERAL DE TELECOMUNICACIONES AUTORIZA LLEVAR A CABO LA CONCENTRACIÓN RADICADA BAJO EL EXPEDIENTE NO. </w:t>
      </w:r>
      <w:r w:rsidRPr="00181E30">
        <w:rPr>
          <w:rFonts w:ascii="Arial" w:hAnsi="Arial" w:cs="Arial"/>
          <w:i/>
          <w:sz w:val="14"/>
          <w:szCs w:val="14"/>
        </w:rPr>
        <w:t xml:space="preserve">UCE/CNC-004-2016, NOTIFICADA POR AT&amp;T INC., WEST MERGER SUB INC. </w:t>
      </w:r>
      <w:r w:rsidRPr="00A73501">
        <w:rPr>
          <w:rFonts w:ascii="Arial" w:hAnsi="Arial" w:cs="Arial"/>
          <w:i/>
          <w:sz w:val="14"/>
          <w:szCs w:val="14"/>
        </w:rPr>
        <w:t>Y TIME WARNER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P/IFT/150817/487</w:t>
      </w:r>
      <w:r w:rsidRPr="00A73501" w:rsidDel="00C87D6D">
        <w:rPr>
          <w:rFonts w:ascii="Arial" w:hAnsi="Arial" w:cs="Arial"/>
          <w:bCs/>
          <w:sz w:val="14"/>
          <w:szCs w:val="14"/>
        </w:rPr>
        <w:t xml:space="preserve"> </w:t>
      </w:r>
    </w:p>
  </w:footnote>
  <w:footnote w:id="185">
    <w:p w14:paraId="44242BD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P/IFT/110319/122</w:t>
      </w:r>
      <w:r w:rsidRPr="00A73501">
        <w:rPr>
          <w:rFonts w:ascii="Arial" w:hAnsi="Arial" w:cs="Arial"/>
          <w:sz w:val="14"/>
          <w:szCs w:val="14"/>
        </w:rPr>
        <w:t xml:space="preserve"> </w:t>
      </w:r>
    </w:p>
  </w:footnote>
  <w:footnote w:id="186">
    <w:p w14:paraId="3AB3075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(2016).</w:t>
      </w:r>
      <w:r w:rsidRPr="00A73501">
        <w:rPr>
          <w:rFonts w:ascii="Arial" w:hAnsi="Arial" w:cs="Arial"/>
          <w:b/>
          <w:bCs/>
          <w:sz w:val="14"/>
          <w:szCs w:val="14"/>
        </w:rPr>
        <w:t xml:space="preserve"> </w:t>
      </w:r>
      <w:r w:rsidRPr="00A73501">
        <w:rPr>
          <w:rFonts w:ascii="Arial" w:hAnsi="Arial" w:cs="Arial"/>
          <w:i/>
          <w:sz w:val="14"/>
          <w:szCs w:val="14"/>
        </w:rPr>
        <w:t>RESOLUCIÓN MEDIANTE LA CUAL EL PLENO DEL INSTITUTO FEDERAL DE TELECOMUNICACIONES AUTORIZA, SUJETA AL CUMPLIMIENTO DE CONDICIONES, LLEVAR A CABO LA CONCENTRACIÓN RADICADA BAJO EL EXPEDIENTE NO. UCE/CNC-003-2015, NOTIFICADA POR GRUPO TELEVISA S.A.B., CORPORATIVO VASCO DE QUIROGA S.A. DE C.V., TELEVISIÓN INTERNACIONAL, S.A. DE C.V., CABLE TV INTERNACIONAL, S.A. DE C.V., TELEVISIÓN DE ALTURA, S.A. DE C.V., TELECOM DE ALTURA, S.A. DE C.V., SAN ÁNGEL TELECOM, S.A. DE C.V., GRUPO TVI TELECOM, S.A. DE C.V. Y EL C. XXXXXXXXXXXX</w:t>
      </w:r>
      <w:r w:rsidRPr="00A73501">
        <w:rPr>
          <w:rFonts w:ascii="Arial" w:hAnsi="Arial" w:cs="Arial"/>
          <w:sz w:val="14"/>
          <w:szCs w:val="14"/>
        </w:rPr>
        <w:t xml:space="preserve">. Acuerdo </w:t>
      </w:r>
      <w:r w:rsidRPr="00A73501">
        <w:rPr>
          <w:rFonts w:ascii="Arial" w:hAnsi="Arial" w:cs="Arial"/>
          <w:bCs/>
          <w:sz w:val="14"/>
          <w:szCs w:val="14"/>
        </w:rPr>
        <w:t>P/IFT/EXT/190216/7.</w:t>
      </w:r>
      <w:r w:rsidRPr="00A73501" w:rsidDel="002C7ED0">
        <w:rPr>
          <w:rFonts w:ascii="Arial" w:hAnsi="Arial" w:cs="Arial"/>
          <w:bCs/>
          <w:sz w:val="14"/>
          <w:szCs w:val="14"/>
        </w:rPr>
        <w:t xml:space="preserve"> </w:t>
      </w:r>
    </w:p>
  </w:footnote>
  <w:footnote w:id="187">
    <w:p w14:paraId="012D507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(2018). </w:t>
      </w:r>
      <w:r w:rsidRPr="00A73501">
        <w:rPr>
          <w:rFonts w:ascii="Arial" w:hAnsi="Arial" w:cs="Arial"/>
          <w:i/>
          <w:sz w:val="14"/>
          <w:szCs w:val="14"/>
        </w:rPr>
        <w:t xml:space="preserve">RESOLUCIÓN MEDIANTE LA CUAL EL PLENO DEL INSTITUTO FEDERAL DE TELECOMUNICACIONES RESUELVE SOBRE LA PRÁCTICA MONOPÓLICA RELATIVA PREVISTA EN EL ARTÍCULO 10, FRACCIÓN VIII, DE LA LEY FEDERAL DE COMPETENCIA ECONÓMICA, IMPUTADA A AMÉRICA MÓVIL, S.A.B. DE C.V. Y RADIOMÓVIL DIPSA, S.A. DE C.V. EN EL EXPEDIENTE E-IFT/UCE/DGIPM/PMR/0006/2013. </w:t>
      </w:r>
      <w:r w:rsidRPr="00A73501">
        <w:rPr>
          <w:rFonts w:ascii="Arial" w:hAnsi="Arial" w:cs="Arial"/>
          <w:sz w:val="14"/>
          <w:szCs w:val="14"/>
        </w:rPr>
        <w:t xml:space="preserve">Acuerdo </w:t>
      </w:r>
      <w:r w:rsidRPr="00A73501">
        <w:rPr>
          <w:rFonts w:ascii="Arial" w:hAnsi="Arial" w:cs="Arial"/>
          <w:bCs/>
          <w:sz w:val="14"/>
          <w:szCs w:val="14"/>
        </w:rPr>
        <w:t>P/IFT/120418/293</w:t>
      </w:r>
      <w:r w:rsidRPr="00A73501">
        <w:rPr>
          <w:rFonts w:ascii="Arial" w:hAnsi="Arial" w:cs="Arial"/>
          <w:b/>
          <w:bCs/>
          <w:sz w:val="14"/>
          <w:szCs w:val="14"/>
        </w:rPr>
        <w:t xml:space="preserve">, </w:t>
      </w:r>
      <w:r w:rsidRPr="00A73501">
        <w:rPr>
          <w:rFonts w:ascii="Arial" w:hAnsi="Arial" w:cs="Arial"/>
          <w:sz w:val="14"/>
          <w:szCs w:val="14"/>
        </w:rPr>
        <w:t xml:space="preserve">disponible en: </w:t>
      </w:r>
      <w:hyperlink r:id="rId82" w:history="1">
        <w:r w:rsidRPr="00A73501">
          <w:rPr>
            <w:rStyle w:val="Hipervnculo"/>
            <w:rFonts w:ascii="Arial" w:hAnsi="Arial" w:cs="Arial"/>
            <w:sz w:val="14"/>
            <w:szCs w:val="14"/>
          </w:rPr>
          <w:t>http://www.ift.org.mx/sites/default/files/conocenos/pleno/sesiones/acuerdoliga/vppift120418293noct.pdf</w:t>
        </w:r>
      </w:hyperlink>
    </w:p>
  </w:footnote>
  <w:footnote w:id="188">
    <w:p w14:paraId="427510D1"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En estas localidades se demostró que los puntos de venta abastecidos por Blue Label México, S.A.P.I de C.V. eran los únicos puntos de venta disponibles y a los que podían acceder los suscriptores o consumidores finales.</w:t>
      </w:r>
    </w:p>
  </w:footnote>
  <w:footnote w:id="189">
    <w:p w14:paraId="2012FA1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Style w:val="Refdenotaalpie"/>
          <w:rFonts w:ascii="Arial" w:hAnsi="Arial" w:cs="Arial"/>
          <w:sz w:val="14"/>
          <w:szCs w:val="14"/>
        </w:rPr>
        <w:t xml:space="preserve"> </w:t>
      </w:r>
      <w:r w:rsidRPr="00A73501">
        <w:rPr>
          <w:rFonts w:ascii="Arial" w:hAnsi="Arial" w:cs="Arial"/>
          <w:sz w:val="14"/>
          <w:szCs w:val="14"/>
        </w:rPr>
        <w:t>Las concentraciones verticales involucran empresas que operan en diferentes niveles de la cadena de suministro. Las concentraciones de conglomerado son entre empresas que tienen una relación que no es horizontal (como competidores en el mismo MR) ni vertical (como proveedores o consumidores).</w:t>
      </w:r>
    </w:p>
  </w:footnote>
  <w:footnote w:id="190">
    <w:p w14:paraId="13122E30"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CE (2008). </w:t>
      </w:r>
      <w:r w:rsidRPr="00A73501">
        <w:rPr>
          <w:rFonts w:ascii="Arial" w:hAnsi="Arial" w:cs="Arial"/>
          <w:i/>
          <w:sz w:val="14"/>
          <w:szCs w:val="14"/>
          <w:lang w:val="en-US"/>
        </w:rPr>
        <w:t>Guidelines on the assessment of non-horizontal mergers under the Council Regulation on the control of concentrations between undertakings.</w:t>
      </w:r>
      <w:r w:rsidRPr="00A73501">
        <w:rPr>
          <w:rFonts w:ascii="Arial" w:hAnsi="Arial" w:cs="Arial"/>
          <w:sz w:val="14"/>
          <w:szCs w:val="14"/>
          <w:lang w:val="en-US"/>
        </w:rPr>
        <w:t xml:space="preserve"> </w:t>
      </w:r>
      <w:r w:rsidRPr="00A73501">
        <w:rPr>
          <w:rFonts w:ascii="Arial" w:hAnsi="Arial" w:cs="Arial"/>
          <w:sz w:val="14"/>
          <w:szCs w:val="14"/>
          <w:lang w:val="fr-FR"/>
        </w:rPr>
        <w:t xml:space="preserve">Disponible en: </w:t>
      </w:r>
      <w:hyperlink r:id="rId83" w:history="1">
        <w:r w:rsidRPr="00A73501">
          <w:rPr>
            <w:rStyle w:val="Hipervnculo"/>
            <w:rFonts w:ascii="Arial" w:hAnsi="Arial" w:cs="Arial"/>
            <w:sz w:val="14"/>
            <w:szCs w:val="14"/>
            <w:lang w:val="fr-FR"/>
          </w:rPr>
          <w:t>https://eur-lex.europa.eu/legal-content/EN/TXT/PDF/?uri=CELEX:52008XC1018(03)&amp;from=EN</w:t>
        </w:r>
      </w:hyperlink>
    </w:p>
  </w:footnote>
  <w:footnote w:id="191">
    <w:p w14:paraId="3B82A06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p. 4. </w:t>
      </w:r>
    </w:p>
  </w:footnote>
  <w:footnote w:id="192">
    <w:p w14:paraId="1D4FAB3E" w14:textId="77777777" w:rsidR="007E0735" w:rsidRPr="00A73501" w:rsidRDefault="007E0735" w:rsidP="00A73501">
      <w:pPr>
        <w:pStyle w:val="NotaPie"/>
        <w:rPr>
          <w:lang w:val="fr-FR"/>
        </w:rPr>
      </w:pPr>
      <w:r w:rsidRPr="00A73501">
        <w:rPr>
          <w:rStyle w:val="Refdenotaalpie"/>
        </w:rPr>
        <w:footnoteRef/>
      </w:r>
      <w:r w:rsidRPr="00A73501">
        <w:rPr>
          <w:lang w:val="fr-FR"/>
        </w:rPr>
        <w:t xml:space="preserve"> Bundeskartellamt (2012). </w:t>
      </w:r>
      <w:r w:rsidRPr="00A73501">
        <w:rPr>
          <w:i/>
          <w:lang w:val="fr-FR"/>
        </w:rPr>
        <w:t>Guidance on Substantive Merger Control</w:t>
      </w:r>
      <w:r w:rsidRPr="00A73501">
        <w:rPr>
          <w:lang w:val="fr-FR"/>
        </w:rPr>
        <w:t xml:space="preserve">. Disponible en: </w:t>
      </w:r>
      <w:hyperlink r:id="rId84" w:history="1">
        <w:r w:rsidRPr="00A73501">
          <w:rPr>
            <w:rStyle w:val="Hipervnculo"/>
            <w:lang w:val="fr-FR"/>
          </w:rPr>
          <w:t>https://www.bundeskartellamt.de/SharedDocs/Publikation/EN/Leitlinien/Guidance%20-%20Substantive%20Merger%20Control.pdf?__blob=publicationFile&amp;v=6</w:t>
        </w:r>
      </w:hyperlink>
    </w:p>
  </w:footnote>
  <w:footnote w:id="193">
    <w:p w14:paraId="1469229F" w14:textId="77777777" w:rsidR="007E0735" w:rsidRPr="00A73501" w:rsidRDefault="007E0735" w:rsidP="00A73501">
      <w:pPr>
        <w:pStyle w:val="NotaPie"/>
        <w:rPr>
          <w:lang w:val="fr-FR"/>
        </w:rPr>
      </w:pPr>
      <w:r w:rsidRPr="00A73501">
        <w:rPr>
          <w:rStyle w:val="Refdenotaalpie"/>
        </w:rPr>
        <w:footnoteRef/>
      </w:r>
      <w:r w:rsidRPr="00A73501">
        <w:t xml:space="preserve"> CE (2010).</w:t>
      </w:r>
      <w:r w:rsidRPr="00A73501">
        <w:rPr>
          <w:i/>
        </w:rPr>
        <w:t xml:space="preserve"> Asunto n° COMP/M.5748 - Prisa/ Telefónica/ Telecinco/ Digital+</w:t>
      </w:r>
      <w:r w:rsidRPr="00A73501">
        <w:t xml:space="preserve">. </w:t>
      </w:r>
      <w:r w:rsidRPr="00A73501">
        <w:rPr>
          <w:lang w:val="fr-FR"/>
        </w:rPr>
        <w:t xml:space="preserve">Disponible en: </w:t>
      </w:r>
      <w:hyperlink r:id="rId85" w:history="1">
        <w:r w:rsidRPr="00A73501">
          <w:rPr>
            <w:rStyle w:val="Hipervnculo"/>
            <w:lang w:val="fr-FR"/>
          </w:rPr>
          <w:t>https://ec.europa.eu/competition/mergers/cases/decisions/M5748_20100311_201220_254185_ES.pdf</w:t>
        </w:r>
      </w:hyperlink>
    </w:p>
  </w:footnote>
  <w:footnote w:id="194">
    <w:p w14:paraId="2061F0FA" w14:textId="77777777" w:rsidR="007E0735" w:rsidRPr="00A73501" w:rsidRDefault="007E0735" w:rsidP="00A73501">
      <w:pPr>
        <w:pStyle w:val="NotaPie"/>
      </w:pPr>
      <w:r w:rsidRPr="00A73501">
        <w:rPr>
          <w:rStyle w:val="Refdenotaalpie"/>
        </w:rPr>
        <w:footnoteRef/>
      </w:r>
      <w:r w:rsidRPr="00A73501">
        <w:rPr>
          <w:lang w:val="fr-FR"/>
        </w:rPr>
        <w:t xml:space="preserve"> CE (2013).</w:t>
      </w:r>
      <w:r w:rsidRPr="00A73501">
        <w:rPr>
          <w:i/>
          <w:lang w:val="fr-FR"/>
        </w:rPr>
        <w:t xml:space="preserve"> </w:t>
      </w:r>
      <w:r w:rsidRPr="00A73501">
        <w:rPr>
          <w:i/>
        </w:rPr>
        <w:t>Case No COMP/M.6956 - TELEFONICA/ CAIXABANK/ BANCO SANTANDER / JV</w:t>
      </w:r>
      <w:r w:rsidRPr="00A73501">
        <w:t xml:space="preserve">. Disponible en: </w:t>
      </w:r>
      <w:hyperlink r:id="rId86" w:history="1">
        <w:r w:rsidRPr="00A73501">
          <w:rPr>
            <w:rStyle w:val="Hipervnculo"/>
          </w:rPr>
          <w:t>https://ec.europa.eu/competition/mergers/cases/decisions/m6956_235_2.pdf</w:t>
        </w:r>
      </w:hyperlink>
    </w:p>
  </w:footnote>
  <w:footnote w:id="195">
    <w:p w14:paraId="686657AC" w14:textId="77777777" w:rsidR="007E0735" w:rsidRPr="00A73501" w:rsidRDefault="007E0735" w:rsidP="00A73501">
      <w:pPr>
        <w:pStyle w:val="NotaPie"/>
      </w:pPr>
      <w:r w:rsidRPr="00A73501">
        <w:rPr>
          <w:rStyle w:val="Refdenotaalpie"/>
        </w:rPr>
        <w:footnoteRef/>
      </w:r>
      <w:r w:rsidRPr="00A73501">
        <w:rPr>
          <w:lang w:val="en-US"/>
        </w:rPr>
        <w:t xml:space="preserve"> FTC y DOJ (2000). Antitrust Guidelines for Collaborations Among Competitors. </w:t>
      </w:r>
      <w:r w:rsidRPr="00A73501">
        <w:t>Disponible en:</w:t>
      </w:r>
    </w:p>
    <w:p w14:paraId="393E4BCF" w14:textId="77777777" w:rsidR="007E0735" w:rsidRPr="00A73501" w:rsidRDefault="0040239C" w:rsidP="00A73501">
      <w:pPr>
        <w:pStyle w:val="NotaPie"/>
      </w:pPr>
      <w:hyperlink r:id="rId87" w:history="1">
        <w:r w:rsidR="007E0735" w:rsidRPr="00A73501">
          <w:rPr>
            <w:rStyle w:val="Hipervnculo"/>
          </w:rPr>
          <w:t>https://www.ftc.gov/sites/default/files/documents/public_events/joint-venture-hearings-antitrust-guidelines-collaboration-among-competitors/ftcdojguidelines-2.pdf</w:t>
        </w:r>
      </w:hyperlink>
    </w:p>
  </w:footnote>
  <w:footnote w:id="196">
    <w:p w14:paraId="25EF1460" w14:textId="345F298A"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DOJ y FTC (2020).</w:t>
      </w:r>
      <w:r w:rsidRPr="00A73501">
        <w:rPr>
          <w:rFonts w:ascii="Arial" w:hAnsi="Arial" w:cs="Arial"/>
          <w:i/>
          <w:sz w:val="14"/>
          <w:szCs w:val="14"/>
        </w:rPr>
        <w:t xml:space="preserve"> Vertical Merger Guidelines.</w:t>
      </w:r>
      <w:r w:rsidRPr="00A73501">
        <w:rPr>
          <w:rFonts w:ascii="Arial" w:hAnsi="Arial" w:cs="Arial"/>
          <w:sz w:val="14"/>
          <w:szCs w:val="14"/>
        </w:rPr>
        <w:t xml:space="preserve"> Disponible en: </w:t>
      </w:r>
      <w:r w:rsidRPr="00440420">
        <w:rPr>
          <w:rStyle w:val="Hipervnculo"/>
          <w:rFonts w:ascii="Arial" w:hAnsi="Arial" w:cs="Arial"/>
          <w:sz w:val="14"/>
          <w:szCs w:val="14"/>
        </w:rPr>
        <w:t>https://www.ftc.gov/system/files/documents/reports/us-department-justice-federal-trade-commission-vertical-merger-guidelines/vertical_merger_guidelines_6-30-20.pdf</w:t>
      </w:r>
    </w:p>
  </w:footnote>
  <w:footnote w:id="197">
    <w:p w14:paraId="532B54B2" w14:textId="763D7C63"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Asimismo, se advierte que en la actualidad la cadena de valor de los sectores de TyR se ha extendido sustancialmente no solamente de manera vertical sino también en forma conglomerada, por ejemplo: un proveedor del servicio de búsqueda como Google ahora también posee infraestructura de interconexión.</w:t>
      </w:r>
    </w:p>
  </w:footnote>
  <w:footnote w:id="198">
    <w:p w14:paraId="1A7276ED" w14:textId="46B87518"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w:t>
      </w:r>
    </w:p>
  </w:footnote>
  <w:footnote w:id="199">
    <w:p w14:paraId="405D081B" w14:textId="273BD5BF"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US"/>
        </w:rPr>
        <w:t xml:space="preserve"> ICN (2018). </w:t>
      </w:r>
      <w:r>
        <w:rPr>
          <w:rFonts w:ascii="Arial" w:hAnsi="Arial" w:cs="Arial"/>
          <w:sz w:val="14"/>
          <w:szCs w:val="14"/>
          <w:lang w:val="en-US"/>
        </w:rPr>
        <w:t xml:space="preserve">ICN </w:t>
      </w:r>
      <w:r w:rsidRPr="00A73501">
        <w:rPr>
          <w:rFonts w:ascii="Arial" w:hAnsi="Arial" w:cs="Arial"/>
          <w:i/>
          <w:sz w:val="14"/>
          <w:szCs w:val="14"/>
          <w:lang w:val="en-US"/>
        </w:rPr>
        <w:t>Vertical Mergers Survey Report.</w:t>
      </w:r>
      <w:r w:rsidRPr="00A73501">
        <w:rPr>
          <w:rFonts w:ascii="Arial" w:hAnsi="Arial" w:cs="Arial"/>
          <w:sz w:val="14"/>
          <w:szCs w:val="14"/>
          <w:lang w:val="en-US"/>
        </w:rPr>
        <w:t xml:space="preserve"> </w:t>
      </w:r>
      <w:r w:rsidRPr="00A73501">
        <w:rPr>
          <w:rFonts w:ascii="Arial" w:hAnsi="Arial" w:cs="Arial"/>
          <w:sz w:val="14"/>
          <w:szCs w:val="14"/>
          <w:lang w:val="fr-FR"/>
        </w:rPr>
        <w:t xml:space="preserve">Disponible en: </w:t>
      </w:r>
      <w:hyperlink r:id="rId88" w:history="1">
        <w:r w:rsidRPr="00A73501">
          <w:rPr>
            <w:rStyle w:val="Hipervnculo"/>
            <w:rFonts w:ascii="Arial" w:hAnsi="Arial" w:cs="Arial"/>
            <w:sz w:val="14"/>
            <w:szCs w:val="14"/>
            <w:lang w:val="fr-FR"/>
          </w:rPr>
          <w:t>https://www.internationalcompetitionnetwork.org/wp-content/uploads/2018/10/MWG_SurveyreportVerticalMergers2018.pdf</w:t>
        </w:r>
      </w:hyperlink>
      <w:r w:rsidRPr="00A73501">
        <w:rPr>
          <w:rFonts w:ascii="Arial" w:hAnsi="Arial" w:cs="Arial"/>
          <w:sz w:val="14"/>
          <w:szCs w:val="14"/>
          <w:lang w:val="fr-FR"/>
        </w:rPr>
        <w:t xml:space="preserve"> </w:t>
      </w:r>
    </w:p>
  </w:footnote>
  <w:footnote w:id="200">
    <w:p w14:paraId="2214CCA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p>
  </w:footnote>
  <w:footnote w:id="201">
    <w:p w14:paraId="12FC31A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w:t>
      </w:r>
      <w:r w:rsidRPr="00A73501">
        <w:rPr>
          <w:rFonts w:ascii="Arial" w:hAnsi="Arial" w:cs="Arial"/>
          <w:b/>
          <w:bCs/>
          <w:sz w:val="14"/>
          <w:szCs w:val="14"/>
        </w:rPr>
        <w:t xml:space="preserve"> </w:t>
      </w:r>
      <w:r w:rsidRPr="00A73501">
        <w:rPr>
          <w:rFonts w:ascii="Arial" w:hAnsi="Arial" w:cs="Arial"/>
          <w:i/>
          <w:sz w:val="14"/>
          <w:szCs w:val="14"/>
        </w:rPr>
        <w:t xml:space="preserve">RESOLUCIÓN MEDIANTE LA CUAL EL PLENO DEL INSTITUTO FEDERAL DE TELECOMUNICACIONES AUTORIZA LLEVAR A CABO LA CONCENTRACIÓN RADICADA BAJO EL EXPEDIENTE NO. </w:t>
      </w:r>
      <w:r w:rsidRPr="00181E30">
        <w:rPr>
          <w:rFonts w:ascii="Arial" w:hAnsi="Arial" w:cs="Arial"/>
          <w:i/>
          <w:sz w:val="14"/>
          <w:szCs w:val="14"/>
        </w:rPr>
        <w:t xml:space="preserve">UCE/CNC-004-2016, NOTIFICADA POR AT&amp;T INC., WEST MERGER SUB INC. </w:t>
      </w:r>
      <w:r w:rsidRPr="00A73501">
        <w:rPr>
          <w:rFonts w:ascii="Arial" w:hAnsi="Arial" w:cs="Arial"/>
          <w:i/>
          <w:sz w:val="14"/>
          <w:szCs w:val="14"/>
        </w:rPr>
        <w:t>Y TIME WARNER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P/IFT/150817/487.</w:t>
      </w:r>
      <w:r w:rsidRPr="00A73501">
        <w:rPr>
          <w:rFonts w:ascii="Arial" w:hAnsi="Arial" w:cs="Arial"/>
          <w:sz w:val="14"/>
          <w:szCs w:val="14"/>
        </w:rPr>
        <w:t xml:space="preserve"> </w:t>
      </w:r>
    </w:p>
  </w:footnote>
  <w:footnote w:id="202">
    <w:p w14:paraId="7008DD34" w14:textId="77777777"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Sky México se dedica a la provisión del STAR con tecnología satelital DTH ('Direct to Home') y fijo. </w:t>
      </w:r>
      <w:r w:rsidRPr="00A73501" w:rsidDel="00E95A86">
        <w:rPr>
          <w:rFonts w:ascii="Arial" w:hAnsi="Arial" w:cs="Arial"/>
          <w:sz w:val="14"/>
          <w:szCs w:val="14"/>
        </w:rPr>
        <w:t>AT&amp;T, a través de DIRECTV,</w:t>
      </w:r>
      <w:r w:rsidRPr="00A73501">
        <w:rPr>
          <w:rFonts w:ascii="Arial" w:hAnsi="Arial" w:cs="Arial"/>
          <w:sz w:val="14"/>
          <w:szCs w:val="14"/>
        </w:rPr>
        <w:t xml:space="preserve"> contaba</w:t>
      </w:r>
      <w:r w:rsidRPr="00A73501" w:rsidDel="00E95A86">
        <w:rPr>
          <w:rFonts w:ascii="Arial" w:hAnsi="Arial" w:cs="Arial"/>
          <w:sz w:val="14"/>
          <w:szCs w:val="14"/>
        </w:rPr>
        <w:t xml:space="preserve"> </w:t>
      </w:r>
      <w:r w:rsidRPr="00A73501">
        <w:rPr>
          <w:rFonts w:ascii="Arial" w:hAnsi="Arial" w:cs="Arial"/>
          <w:sz w:val="14"/>
          <w:szCs w:val="14"/>
        </w:rPr>
        <w:t xml:space="preserve">con </w:t>
      </w:r>
      <w:r w:rsidRPr="00A73501" w:rsidDel="00E95A86">
        <w:rPr>
          <w:rFonts w:ascii="Arial" w:hAnsi="Arial" w:cs="Arial"/>
          <w:sz w:val="14"/>
          <w:szCs w:val="14"/>
        </w:rPr>
        <w:t>una participación accionaria de 41.3% en el capital social de Sky México</w:t>
      </w:r>
      <w:r w:rsidRPr="00A73501">
        <w:rPr>
          <w:rFonts w:ascii="Arial" w:hAnsi="Arial" w:cs="Arial"/>
          <w:sz w:val="14"/>
          <w:szCs w:val="14"/>
        </w:rPr>
        <w:t>; el accionista mayoritario es GTV, quien tiene el restante 58.77%.</w:t>
      </w:r>
    </w:p>
  </w:footnote>
  <w:footnote w:id="203">
    <w:p w14:paraId="1F1B0D6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(2014).</w:t>
      </w:r>
      <w:r w:rsidRPr="00A73501">
        <w:rPr>
          <w:rFonts w:ascii="Arial" w:hAnsi="Arial" w:cs="Arial"/>
          <w:b/>
          <w:sz w:val="14"/>
          <w:szCs w:val="14"/>
        </w:rPr>
        <w:t xml:space="preserve"> </w:t>
      </w:r>
      <w:r w:rsidRPr="00A73501">
        <w:rPr>
          <w:rFonts w:ascii="Arial" w:hAnsi="Arial" w:cs="Arial"/>
          <w:i/>
          <w:sz w:val="14"/>
          <w:szCs w:val="14"/>
        </w:rPr>
        <w:t xml:space="preserve">RESOLUCIÓN MEDIANTE LA CUAL EL PLENO DEL INSTITUTO FEDERAL DE TELECOMUNICACIONES AUTORIZA QUE SE REALICE LA CONCENTRACIÓN RADICADA BAJO El EXPEDIENTE NO. UCE/CNC-004-2014, NOTIFICADA POR SIXSIGMA NETWORKS MÉXICO, S.A. DE C.V. Y METRO NET, S.A.P.I. DE C.V. </w:t>
      </w:r>
      <w:r w:rsidRPr="00A73501">
        <w:rPr>
          <w:rFonts w:ascii="Arial" w:hAnsi="Arial" w:cs="Arial"/>
          <w:sz w:val="14"/>
          <w:szCs w:val="14"/>
        </w:rPr>
        <w:t>Acuerdo P/IFT/011014/332.</w:t>
      </w:r>
      <w:r w:rsidRPr="00A73501" w:rsidDel="008345F9">
        <w:rPr>
          <w:rFonts w:ascii="Arial" w:hAnsi="Arial" w:cs="Arial"/>
          <w:sz w:val="14"/>
          <w:szCs w:val="14"/>
        </w:rPr>
        <w:t xml:space="preserve"> </w:t>
      </w:r>
    </w:p>
  </w:footnote>
  <w:footnote w:id="204">
    <w:p w14:paraId="6BDEDA0C" w14:textId="32D99A0D"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Instituto (201</w:t>
      </w:r>
      <w:r>
        <w:rPr>
          <w:rFonts w:ascii="Arial" w:hAnsi="Arial" w:cs="Arial"/>
          <w:sz w:val="14"/>
          <w:szCs w:val="14"/>
        </w:rPr>
        <w:t>3</w:t>
      </w:r>
      <w:r w:rsidRPr="00A73501">
        <w:rPr>
          <w:rFonts w:ascii="Arial" w:hAnsi="Arial" w:cs="Arial"/>
          <w:sz w:val="14"/>
          <w:szCs w:val="14"/>
        </w:rPr>
        <w:t xml:space="preserve">). </w:t>
      </w:r>
      <w:r w:rsidRPr="00A73501">
        <w:rPr>
          <w:rFonts w:ascii="Arial" w:hAnsi="Arial" w:cs="Arial"/>
          <w:i/>
          <w:caps/>
          <w:sz w:val="14"/>
          <w:szCs w:val="14"/>
        </w:rPr>
        <w:t>Resolución mediante la cual el Pleno del Instituto Federal de Telecomunicaciones autoriza que se realice la concentración radicada bajo el expediente No. E- IFT/DGCCC/CNC/0002/2013, notificada por Satmex lnternational Coperatieve U.A., lntenal Mexicana, S.A.P.l. de C.V. Alejandro Sainz Orantes, Centerbridge Capital Partners SBS (Cayman). L.P., Eja Holdings LTD, Satmex lnternational B.V., Holdsat México, S.A.P.I. de C.V., Satélites Mexicanos, S.A. de C.V. y Eutelsat. S.A.</w:t>
      </w:r>
      <w:r w:rsidRPr="00A73501">
        <w:rPr>
          <w:rFonts w:ascii="Arial" w:hAnsi="Arial" w:cs="Arial"/>
          <w:sz w:val="14"/>
          <w:szCs w:val="14"/>
        </w:rPr>
        <w:t xml:space="preserve"> Acuerdo P/IFT/271113/20.</w:t>
      </w:r>
      <w:r w:rsidRPr="00A73501" w:rsidDel="00913A25">
        <w:rPr>
          <w:rFonts w:ascii="Arial" w:hAnsi="Arial" w:cs="Arial"/>
          <w:sz w:val="14"/>
          <w:szCs w:val="14"/>
        </w:rPr>
        <w:t xml:space="preserve"> </w:t>
      </w:r>
    </w:p>
  </w:footnote>
  <w:footnote w:id="205">
    <w:p w14:paraId="137F134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Las estrategias de cierre de mercado pueden ser: bloqueo al acceso de insumos o de clientes, negativa de trato o deterioro de las condiciones bajo las cuales se provee el insumo; y ventas atadas. En cuanto a daños a través de efectos coordinados o colusión horizontal, tradicionalmente se han identificado: eliminación de un competidor disruptivo y estrategias para el intercambio de información que favorezcan la colusión.</w:t>
      </w:r>
    </w:p>
  </w:footnote>
  <w:footnote w:id="206">
    <w:p w14:paraId="0D147812"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fr-FR"/>
        </w:rPr>
        <w:t xml:space="preserve"> ICN</w:t>
      </w:r>
      <w:r w:rsidRPr="00A73501">
        <w:rPr>
          <w:rFonts w:ascii="Arial" w:hAnsi="Arial" w:cs="Arial"/>
          <w:i/>
          <w:sz w:val="14"/>
          <w:szCs w:val="14"/>
          <w:lang w:val="fr-FR"/>
        </w:rPr>
        <w:t xml:space="preserve"> </w:t>
      </w:r>
      <w:r w:rsidRPr="00A73501">
        <w:rPr>
          <w:rFonts w:ascii="Arial" w:hAnsi="Arial" w:cs="Arial"/>
          <w:sz w:val="14"/>
          <w:szCs w:val="14"/>
          <w:lang w:val="fr-FR"/>
        </w:rPr>
        <w:t xml:space="preserve">(2019). </w:t>
      </w:r>
      <w:r w:rsidRPr="00A73501">
        <w:rPr>
          <w:rFonts w:ascii="Arial" w:hAnsi="Arial" w:cs="Arial"/>
          <w:i/>
          <w:sz w:val="14"/>
          <w:szCs w:val="14"/>
          <w:lang w:val="fr-FR"/>
        </w:rPr>
        <w:t>ICN Vertical Mergers Comparison Study</w:t>
      </w:r>
      <w:r w:rsidRPr="00A73501">
        <w:rPr>
          <w:rFonts w:ascii="Arial" w:hAnsi="Arial" w:cs="Arial"/>
          <w:sz w:val="14"/>
          <w:szCs w:val="14"/>
          <w:lang w:val="fr-FR"/>
        </w:rPr>
        <w:t xml:space="preserve">. Disponible en: </w:t>
      </w:r>
      <w:hyperlink r:id="rId89" w:history="1">
        <w:r w:rsidRPr="00A73501">
          <w:rPr>
            <w:rStyle w:val="Hipervnculo"/>
            <w:rFonts w:ascii="Arial" w:hAnsi="Arial" w:cs="Arial"/>
            <w:sz w:val="14"/>
            <w:szCs w:val="14"/>
            <w:lang w:val="fr-FR"/>
          </w:rPr>
          <w:t>https://www.internationalcompetitionnetwork.org/wp-content/uploads/2019/05/MWG-Vertical-Mergers-Comparison-Study.pdf</w:t>
        </w:r>
      </w:hyperlink>
    </w:p>
  </w:footnote>
  <w:footnote w:id="207">
    <w:p w14:paraId="654F111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(2019). </w:t>
      </w:r>
      <w:r w:rsidRPr="00A73501">
        <w:rPr>
          <w:rFonts w:ascii="Arial" w:hAnsi="Arial" w:cs="Arial"/>
          <w:i/>
          <w:sz w:val="14"/>
          <w:szCs w:val="14"/>
          <w:lang w:val="en-US"/>
        </w:rPr>
        <w:t>Vertical Mergers in the Technology, Media and Telecom Sector</w:t>
      </w:r>
      <w:r w:rsidRPr="00A73501">
        <w:rPr>
          <w:rFonts w:ascii="Arial" w:hAnsi="Arial" w:cs="Arial"/>
          <w:sz w:val="14"/>
          <w:szCs w:val="14"/>
          <w:lang w:val="en-US"/>
        </w:rPr>
        <w:t xml:space="preserve">. p. 18. </w:t>
      </w:r>
      <w:r w:rsidRPr="00A73501">
        <w:rPr>
          <w:rFonts w:ascii="Arial" w:hAnsi="Arial" w:cs="Arial"/>
          <w:sz w:val="14"/>
          <w:szCs w:val="14"/>
        </w:rPr>
        <w:t xml:space="preserve">Disponible en: </w:t>
      </w:r>
      <w:hyperlink r:id="rId90" w:history="1">
        <w:r w:rsidRPr="00A73501">
          <w:rPr>
            <w:rStyle w:val="Hipervnculo"/>
            <w:rFonts w:ascii="Arial" w:hAnsi="Arial" w:cs="Arial"/>
            <w:sz w:val="14"/>
            <w:szCs w:val="14"/>
          </w:rPr>
          <w:t>https://one.oecd.org/document/DAF/COMP(2019)5/en/pdf</w:t>
        </w:r>
      </w:hyperlink>
      <w:r w:rsidRPr="00A73501">
        <w:rPr>
          <w:rFonts w:ascii="Arial" w:hAnsi="Arial" w:cs="Arial"/>
          <w:sz w:val="14"/>
          <w:szCs w:val="14"/>
        </w:rPr>
        <w:t>.</w:t>
      </w:r>
    </w:p>
  </w:footnote>
  <w:footnote w:id="208">
    <w:p w14:paraId="2550B026"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pp. 14-18. </w:t>
      </w:r>
    </w:p>
  </w:footnote>
  <w:footnote w:id="209">
    <w:p w14:paraId="23826C23"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rPr>
        <w:t xml:space="preserve"> EU (2010). </w:t>
      </w:r>
      <w:r w:rsidRPr="00A73501">
        <w:rPr>
          <w:rFonts w:ascii="Arial" w:hAnsi="Arial" w:cs="Arial"/>
          <w:i/>
          <w:sz w:val="14"/>
          <w:szCs w:val="14"/>
        </w:rPr>
        <w:t>Directrices relativas a las restricciones verticales.</w:t>
      </w:r>
      <w:r w:rsidRPr="00A73501">
        <w:rPr>
          <w:rFonts w:ascii="Arial" w:hAnsi="Arial" w:cs="Arial"/>
          <w:sz w:val="14"/>
          <w:szCs w:val="14"/>
        </w:rPr>
        <w:t xml:space="preserve"> </w:t>
      </w:r>
      <w:r w:rsidRPr="00A73501">
        <w:rPr>
          <w:rFonts w:ascii="Arial" w:hAnsi="Arial" w:cs="Arial"/>
          <w:sz w:val="14"/>
          <w:szCs w:val="14"/>
          <w:lang w:val="fr-FR"/>
        </w:rPr>
        <w:t xml:space="preserve">Disponible en: </w:t>
      </w:r>
      <w:hyperlink r:id="rId91" w:history="1">
        <w:r w:rsidRPr="00A73501">
          <w:rPr>
            <w:rStyle w:val="Hipervnculo"/>
            <w:rFonts w:ascii="Arial" w:hAnsi="Arial" w:cs="Arial"/>
            <w:sz w:val="14"/>
            <w:szCs w:val="14"/>
            <w:lang w:val="fr-FR"/>
          </w:rPr>
          <w:t>https://eur-lex.europa.eu/legal-content/ES/TXT/PDF/?uri=CELEX:52010XC0519(04)&amp;from=ES</w:t>
        </w:r>
      </w:hyperlink>
      <w:r w:rsidRPr="00A73501">
        <w:rPr>
          <w:rFonts w:ascii="Arial" w:hAnsi="Arial" w:cs="Arial"/>
          <w:sz w:val="14"/>
          <w:szCs w:val="14"/>
          <w:lang w:val="fr-FR"/>
        </w:rPr>
        <w:t xml:space="preserve"> </w:t>
      </w:r>
    </w:p>
  </w:footnote>
  <w:footnote w:id="210">
    <w:p w14:paraId="5D7B3562" w14:textId="0C8C29D1"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(2018). </w:t>
      </w:r>
      <w:r w:rsidRPr="00A73501">
        <w:rPr>
          <w:rFonts w:ascii="Arial" w:hAnsi="Arial" w:cs="Arial"/>
          <w:i/>
          <w:sz w:val="14"/>
          <w:szCs w:val="14"/>
        </w:rPr>
        <w:t>Directrices sobre análisis del mercado y evaluación de poder significativo de mercado en el marco regulatorio de la U</w:t>
      </w:r>
      <w:r>
        <w:rPr>
          <w:rFonts w:ascii="Arial" w:hAnsi="Arial" w:cs="Arial"/>
          <w:i/>
          <w:sz w:val="14"/>
          <w:szCs w:val="14"/>
        </w:rPr>
        <w:t xml:space="preserve">nión </w:t>
      </w:r>
      <w:r w:rsidRPr="00A73501">
        <w:rPr>
          <w:rFonts w:ascii="Arial" w:hAnsi="Arial" w:cs="Arial"/>
          <w:i/>
          <w:sz w:val="14"/>
          <w:szCs w:val="14"/>
        </w:rPr>
        <w:t>E</w:t>
      </w:r>
      <w:r>
        <w:rPr>
          <w:rFonts w:ascii="Arial" w:hAnsi="Arial" w:cs="Arial"/>
          <w:i/>
          <w:sz w:val="14"/>
          <w:szCs w:val="14"/>
        </w:rPr>
        <w:t>uropea</w:t>
      </w:r>
      <w:r w:rsidRPr="00A73501">
        <w:rPr>
          <w:rFonts w:ascii="Arial" w:hAnsi="Arial" w:cs="Arial"/>
          <w:i/>
          <w:sz w:val="14"/>
          <w:szCs w:val="14"/>
        </w:rPr>
        <w:t xml:space="preserve"> para redes y servicios de comunicaciones electrónicas.</w:t>
      </w:r>
      <w:r w:rsidRPr="00A73501">
        <w:rPr>
          <w:rFonts w:ascii="Arial" w:hAnsi="Arial" w:cs="Arial"/>
          <w:sz w:val="14"/>
          <w:szCs w:val="14"/>
        </w:rPr>
        <w:t xml:space="preserve"> pp. 2-4 y 10. </w:t>
      </w:r>
    </w:p>
  </w:footnote>
  <w:footnote w:id="211">
    <w:p w14:paraId="729CB3D9" w14:textId="77777777" w:rsidR="007E0735" w:rsidRPr="00A73501" w:rsidRDefault="007E0735" w:rsidP="00A73501">
      <w:pPr>
        <w:pStyle w:val="NotaPie"/>
      </w:pPr>
      <w:r w:rsidRPr="00A73501">
        <w:rPr>
          <w:rStyle w:val="Refdenotaalpie"/>
        </w:rPr>
        <w:footnoteRef/>
      </w:r>
      <w:r w:rsidRPr="00A73501">
        <w:t xml:space="preserve"> Virgin Media es una compañía de entretenimiento y comunicaciones que posee y opera una red de cable en el Reino Unido; proporciona: Acceso a Internet de banda ancha, STAR, telefonía móvil y STF.</w:t>
      </w:r>
    </w:p>
  </w:footnote>
  <w:footnote w:id="212">
    <w:p w14:paraId="00AC7E07" w14:textId="77777777" w:rsidR="007E0735" w:rsidRPr="00A73501" w:rsidRDefault="007E0735" w:rsidP="00A73501">
      <w:pPr>
        <w:pStyle w:val="NotaPie"/>
      </w:pPr>
      <w:r w:rsidRPr="00A73501">
        <w:rPr>
          <w:rStyle w:val="Refdenotaalpie"/>
        </w:rPr>
        <w:footnoteRef/>
      </w:r>
      <w:r w:rsidRPr="00A73501">
        <w:t xml:space="preserve"> Liberty Global es un operador de cable internacional, quien posee y opera redes de cable que ofrecen STAR, Acceso a Internet de banda ancha y STF en 11 países europeos: Austria, Bélgica, Republica Checa, Alemania, Hungría, Irlanda, Países Bajos, Polonia, Rumania, Eslovaquia y Suiza; así como en Chile y Puerto Rico.</w:t>
      </w:r>
    </w:p>
  </w:footnote>
  <w:footnote w:id="213">
    <w:p w14:paraId="746B7F1F"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CE (2013). </w:t>
      </w:r>
      <w:r w:rsidRPr="00A73501">
        <w:rPr>
          <w:rFonts w:ascii="Arial" w:hAnsi="Arial" w:cs="Arial"/>
          <w:i/>
          <w:sz w:val="14"/>
          <w:szCs w:val="14"/>
          <w:lang w:val="en-US"/>
        </w:rPr>
        <w:t>Case No COMP/M.6880 - LIBERTY GLOBAL/ VIRGIN MEDIA.</w:t>
      </w:r>
      <w:r w:rsidRPr="00A73501">
        <w:rPr>
          <w:rFonts w:ascii="Arial" w:hAnsi="Arial" w:cs="Arial"/>
          <w:sz w:val="14"/>
          <w:szCs w:val="14"/>
          <w:lang w:val="en-US"/>
        </w:rPr>
        <w:t xml:space="preserve"> </w:t>
      </w:r>
    </w:p>
  </w:footnote>
  <w:footnote w:id="214">
    <w:p w14:paraId="611DF4F6" w14:textId="77777777" w:rsidR="007E0735" w:rsidRPr="00A73501" w:rsidRDefault="007E0735" w:rsidP="00A73501">
      <w:pPr>
        <w:spacing w:before="0" w:after="0"/>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(2010). </w:t>
      </w:r>
      <w:r w:rsidRPr="00A73501">
        <w:rPr>
          <w:rFonts w:ascii="Arial" w:hAnsi="Arial" w:cs="Arial"/>
          <w:i/>
          <w:sz w:val="14"/>
          <w:szCs w:val="14"/>
          <w:lang w:val="en-US"/>
        </w:rPr>
        <w:t>BEREC report on self-supply</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92" w:history="1">
        <w:r w:rsidRPr="00A73501">
          <w:rPr>
            <w:rStyle w:val="Hipervnculo"/>
            <w:rFonts w:ascii="Arial" w:hAnsi="Arial" w:cs="Arial"/>
            <w:sz w:val="14"/>
            <w:szCs w:val="14"/>
          </w:rPr>
          <w:t>https://berec.europa.eu/eng/document_register/subject_matter/berec/reports/171-berec-report-on-self-supply</w:t>
        </w:r>
      </w:hyperlink>
    </w:p>
  </w:footnote>
  <w:footnote w:id="215">
    <w:p w14:paraId="5AF8CB6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DOJ y FTC (2020).</w:t>
      </w:r>
      <w:r w:rsidRPr="00A73501">
        <w:rPr>
          <w:rFonts w:ascii="Arial" w:hAnsi="Arial" w:cs="Arial"/>
          <w:i/>
          <w:sz w:val="14"/>
          <w:szCs w:val="14"/>
        </w:rPr>
        <w:t xml:space="preserve"> Vertical Merger Guidelines.</w:t>
      </w:r>
      <w:r w:rsidRPr="00A73501">
        <w:rPr>
          <w:rFonts w:ascii="Arial" w:hAnsi="Arial" w:cs="Arial"/>
          <w:sz w:val="14"/>
          <w:szCs w:val="14"/>
        </w:rPr>
        <w:t xml:space="preserve"> </w:t>
      </w:r>
    </w:p>
  </w:footnote>
  <w:footnote w:id="216">
    <w:p w14:paraId="159F7567" w14:textId="77777777"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DOJ y FTC (1984). </w:t>
      </w:r>
      <w:r w:rsidRPr="00A73501">
        <w:rPr>
          <w:rFonts w:ascii="Arial" w:hAnsi="Arial" w:cs="Arial"/>
          <w:i/>
          <w:sz w:val="14"/>
          <w:szCs w:val="14"/>
          <w:lang w:val="en-US"/>
        </w:rPr>
        <w:t>Non-Horizontal Merger Guidelines</w:t>
      </w:r>
      <w:r w:rsidRPr="00A73501">
        <w:rPr>
          <w:rFonts w:ascii="Arial" w:hAnsi="Arial" w:cs="Arial"/>
          <w:sz w:val="14"/>
          <w:szCs w:val="14"/>
          <w:lang w:val="en-US"/>
        </w:rPr>
        <w:t xml:space="preserve">. pp. 23-30. </w:t>
      </w:r>
      <w:r w:rsidRPr="00A73501">
        <w:rPr>
          <w:rFonts w:ascii="Arial" w:hAnsi="Arial" w:cs="Arial"/>
          <w:sz w:val="14"/>
          <w:szCs w:val="14"/>
        </w:rPr>
        <w:t xml:space="preserve">Disponible en: </w:t>
      </w:r>
      <w:hyperlink r:id="rId93" w:history="1">
        <w:r w:rsidRPr="00A73501">
          <w:rPr>
            <w:rStyle w:val="Hipervnculo"/>
            <w:rFonts w:ascii="Arial" w:hAnsi="Arial" w:cs="Arial"/>
            <w:sz w:val="14"/>
            <w:szCs w:val="14"/>
          </w:rPr>
          <w:t>https://www.justice.gov/atr/page/file/1175141/download?mkwid=c</w:t>
        </w:r>
      </w:hyperlink>
    </w:p>
  </w:footnote>
  <w:footnote w:id="217">
    <w:p w14:paraId="21679B21"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shd w:val="clear" w:color="auto" w:fill="FFFFFF"/>
        </w:rPr>
        <w:t xml:space="preserve">ACCC (2008). </w:t>
      </w:r>
      <w:r w:rsidRPr="00A73501">
        <w:rPr>
          <w:rFonts w:ascii="Arial" w:hAnsi="Arial" w:cs="Arial"/>
          <w:i/>
          <w:color w:val="000000"/>
          <w:sz w:val="14"/>
          <w:szCs w:val="14"/>
          <w:shd w:val="clear" w:color="auto" w:fill="FFFFFF"/>
        </w:rPr>
        <w:t>Merger Guidelines</w:t>
      </w:r>
      <w:r w:rsidRPr="00A73501">
        <w:rPr>
          <w:rFonts w:ascii="Arial" w:hAnsi="Arial" w:cs="Arial"/>
          <w:color w:val="000000"/>
          <w:sz w:val="14"/>
          <w:szCs w:val="14"/>
          <w:shd w:val="clear" w:color="auto" w:fill="FFFFFF"/>
        </w:rPr>
        <w:t xml:space="preserve"> (actualización 2017).</w:t>
      </w:r>
    </w:p>
  </w:footnote>
  <w:footnote w:id="218">
    <w:p w14:paraId="1EB708FF"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ACCC (2015). </w:t>
      </w:r>
      <w:r w:rsidRPr="00A73501">
        <w:rPr>
          <w:rFonts w:ascii="Arial" w:hAnsi="Arial" w:cs="Arial"/>
          <w:i/>
          <w:sz w:val="14"/>
          <w:szCs w:val="14"/>
          <w:lang w:val="en-US"/>
        </w:rPr>
        <w:t xml:space="preserve">TPG Telecom Limited – proposed acquisition of iiNet Limited. </w:t>
      </w:r>
    </w:p>
  </w:footnote>
  <w:footnote w:id="219">
    <w:p w14:paraId="6EE0E77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(2013). </w:t>
      </w:r>
      <w:r w:rsidRPr="00A73501">
        <w:rPr>
          <w:rFonts w:ascii="Arial" w:hAnsi="Arial" w:cs="Arial"/>
          <w:i/>
          <w:sz w:val="14"/>
          <w:szCs w:val="14"/>
          <w:lang w:val="en-US"/>
        </w:rPr>
        <w:t>Competition Bureau review of the proposed acquisition of Astral by Bell</w:t>
      </w:r>
      <w:r w:rsidRPr="00A73501">
        <w:rPr>
          <w:rFonts w:ascii="Arial" w:hAnsi="Arial" w:cs="Arial"/>
          <w:sz w:val="14"/>
          <w:szCs w:val="14"/>
          <w:lang w:val="en-US"/>
        </w:rPr>
        <w:t xml:space="preserve">. </w:t>
      </w:r>
      <w:r w:rsidRPr="00A73501">
        <w:rPr>
          <w:rFonts w:ascii="Arial" w:hAnsi="Arial" w:cs="Arial"/>
          <w:color w:val="000000"/>
          <w:sz w:val="14"/>
          <w:szCs w:val="14"/>
        </w:rPr>
        <w:t xml:space="preserve">Disponible en: </w:t>
      </w:r>
      <w:hyperlink r:id="rId94" w:anchor="background" w:history="1">
        <w:r w:rsidRPr="00A73501">
          <w:rPr>
            <w:rStyle w:val="Hipervnculo"/>
            <w:rFonts w:ascii="Arial" w:hAnsi="Arial" w:cs="Arial"/>
            <w:sz w:val="14"/>
            <w:szCs w:val="14"/>
          </w:rPr>
          <w:t>https://www.competitionbureau.gc.ca/eic/site/cb-bc.nsf/eng/03544.html#background</w:t>
        </w:r>
      </w:hyperlink>
    </w:p>
  </w:footnote>
  <w:footnote w:id="220">
    <w:p w14:paraId="451CAF5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rPr>
        <w:t>Astral no estaba integrado verticalmente y era el mayor propietario independiente de servicios especializados y de programación de pago en inglés y francés en Canadá. También operaba servicios de pago como Super Écran, Family Channel y The Movie Network. Estos servicios son licenciados a distribuidores, incluido Bell, para su distribución aguas abajo.</w:t>
      </w:r>
    </w:p>
  </w:footnote>
  <w:footnote w:id="221">
    <w:p w14:paraId="787FD18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t>
      </w:r>
      <w:r w:rsidRPr="00A73501">
        <w:rPr>
          <w:rFonts w:ascii="Arial" w:hAnsi="Arial" w:cs="Arial"/>
          <w:color w:val="000000"/>
          <w:sz w:val="14"/>
          <w:szCs w:val="14"/>
        </w:rPr>
        <w:t>Bell Canada Enterprises compañía integrada verticalmente, era la compañía de comunicaciones más grande y uno de los mayores distribuidores de servicios de programación de televisión.</w:t>
      </w:r>
    </w:p>
  </w:footnote>
  <w:footnote w:id="222">
    <w:p w14:paraId="5A9727D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(2011). </w:t>
      </w:r>
      <w:r w:rsidRPr="00A73501">
        <w:rPr>
          <w:rFonts w:ascii="Arial" w:hAnsi="Arial" w:cs="Arial"/>
          <w:i/>
          <w:sz w:val="14"/>
          <w:szCs w:val="14"/>
          <w:lang w:val="en-US"/>
        </w:rPr>
        <w:t>Berec Report on Impact of Fixed-Mobile Substitution in Market Definition.</w:t>
      </w:r>
      <w:r w:rsidRPr="00A73501">
        <w:rPr>
          <w:rFonts w:ascii="Arial" w:hAnsi="Arial" w:cs="Arial"/>
          <w:sz w:val="14"/>
          <w:szCs w:val="14"/>
          <w:lang w:val="en-US"/>
        </w:rPr>
        <w:t xml:space="preserve"> p. 12. </w:t>
      </w:r>
      <w:r w:rsidRPr="00A73501">
        <w:rPr>
          <w:rFonts w:ascii="Arial" w:hAnsi="Arial" w:cs="Arial"/>
          <w:sz w:val="14"/>
          <w:szCs w:val="14"/>
        </w:rPr>
        <w:t xml:space="preserve">Disponible en: </w:t>
      </w:r>
      <w:hyperlink r:id="rId95" w:history="1">
        <w:r w:rsidRPr="00A73501">
          <w:rPr>
            <w:rStyle w:val="Hipervnculo"/>
            <w:rFonts w:ascii="Arial" w:hAnsi="Arial" w:cs="Arial"/>
            <w:sz w:val="14"/>
            <w:szCs w:val="14"/>
          </w:rPr>
          <w:t>https://berec.europa.eu/eng/document_register/subject_matter/berec/download/0/118-berec-draft-report-on-the-impact-of-fixed-mobile-substitution-in-market-definition_0.pdf</w:t>
        </w:r>
      </w:hyperlink>
      <w:r w:rsidRPr="00A73501">
        <w:rPr>
          <w:rFonts w:ascii="Arial" w:hAnsi="Arial" w:cs="Arial"/>
          <w:sz w:val="14"/>
          <w:szCs w:val="14"/>
        </w:rPr>
        <w:t xml:space="preserve"> </w:t>
      </w:r>
    </w:p>
  </w:footnote>
  <w:footnote w:id="223">
    <w:p w14:paraId="73DFB19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Willington, M. (2010). </w:t>
      </w:r>
      <w:r w:rsidRPr="00A73501">
        <w:rPr>
          <w:rFonts w:ascii="Arial" w:hAnsi="Arial" w:cs="Arial"/>
          <w:i/>
          <w:sz w:val="14"/>
          <w:szCs w:val="14"/>
        </w:rPr>
        <w:t>Mercados Relevantes en el Sector de Telecomunicaciones: Enfoques de la FNE y el TDLC y Revisión Internacional. Trabajo realizado para la Fiscalía Nacional Económica.</w:t>
      </w:r>
      <w:r w:rsidRPr="00A73501">
        <w:rPr>
          <w:rFonts w:ascii="Arial" w:hAnsi="Arial" w:cs="Arial"/>
          <w:sz w:val="14"/>
          <w:szCs w:val="14"/>
        </w:rPr>
        <w:t xml:space="preserve"> Disponible en: </w:t>
      </w:r>
      <w:hyperlink r:id="rId96" w:history="1">
        <w:r w:rsidRPr="00A73501">
          <w:rPr>
            <w:rStyle w:val="Hipervnculo"/>
            <w:rFonts w:ascii="Arial" w:hAnsi="Arial" w:cs="Arial"/>
            <w:sz w:val="14"/>
            <w:szCs w:val="14"/>
          </w:rPr>
          <w:t>https://www.fne.gob.cl/wp-content/uploads/2011/03/estu_0003_2010.pdf</w:t>
        </w:r>
      </w:hyperlink>
    </w:p>
  </w:footnote>
  <w:footnote w:id="224">
    <w:p w14:paraId="67AC5221"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(2010). </w:t>
      </w:r>
      <w:r w:rsidRPr="00A73501">
        <w:rPr>
          <w:rFonts w:ascii="Arial" w:hAnsi="Arial" w:cs="Arial"/>
          <w:i/>
          <w:sz w:val="14"/>
          <w:szCs w:val="14"/>
          <w:lang w:val="en-US"/>
        </w:rPr>
        <w:t xml:space="preserve">BEREC report on impact of bundled offers in retail and wholesale market definition. </w:t>
      </w:r>
      <w:r w:rsidRPr="00A73501">
        <w:rPr>
          <w:rFonts w:ascii="Arial" w:hAnsi="Arial" w:cs="Arial"/>
          <w:sz w:val="14"/>
          <w:szCs w:val="14"/>
          <w:lang w:val="en-US"/>
        </w:rPr>
        <w:t xml:space="preserve">p. 16. </w:t>
      </w:r>
      <w:r w:rsidRPr="00A73501">
        <w:rPr>
          <w:rFonts w:ascii="Arial" w:hAnsi="Arial" w:cs="Arial"/>
          <w:sz w:val="14"/>
          <w:szCs w:val="14"/>
        </w:rPr>
        <w:t xml:space="preserve">Disponible en: </w:t>
      </w:r>
      <w:hyperlink r:id="rId97" w:history="1">
        <w:r w:rsidRPr="00A73501">
          <w:rPr>
            <w:rStyle w:val="Hipervnculo"/>
            <w:rFonts w:ascii="Arial" w:hAnsi="Arial" w:cs="Arial"/>
            <w:sz w:val="14"/>
            <w:szCs w:val="14"/>
          </w:rPr>
          <w:t>https://berec.europa.eu/eng/document_register/subject_matter/berec/reports/209-berec-report-on-impact-of-bundled-offers-in-retail-and-wholesale-market-definition</w:t>
        </w:r>
      </w:hyperlink>
    </w:p>
  </w:footnote>
  <w:footnote w:id="225">
    <w:p w14:paraId="58D7B466" w14:textId="77777777" w:rsidR="007E0735" w:rsidRPr="00A73501" w:rsidRDefault="007E0735" w:rsidP="00A73501">
      <w:pPr>
        <w:pStyle w:val="Textonotapie"/>
        <w:rPr>
          <w:rStyle w:val="Hipervnculo"/>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w:t>
      </w:r>
    </w:p>
    <w:p w14:paraId="663082EC" w14:textId="77777777" w:rsidR="007E0735" w:rsidRPr="00A73501" w:rsidRDefault="007E0735" w:rsidP="00A73501">
      <w:pPr>
        <w:pStyle w:val="Textonotapie"/>
        <w:rPr>
          <w:rFonts w:ascii="Arial" w:hAnsi="Arial" w:cs="Arial"/>
          <w:sz w:val="14"/>
          <w:szCs w:val="14"/>
        </w:rPr>
      </w:pPr>
      <w:r w:rsidRPr="00A73501">
        <w:rPr>
          <w:rStyle w:val="Hipervnculo"/>
          <w:rFonts w:ascii="Arial" w:hAnsi="Arial" w:cs="Arial"/>
          <w:color w:val="auto"/>
          <w:sz w:val="14"/>
          <w:szCs w:val="14"/>
          <w:u w:val="none"/>
        </w:rPr>
        <w:t xml:space="preserve">UIT (2013). </w:t>
      </w:r>
      <w:r w:rsidRPr="00A73501">
        <w:rPr>
          <w:rStyle w:val="Hipervnculo"/>
          <w:rFonts w:ascii="Arial" w:hAnsi="Arial" w:cs="Arial"/>
          <w:i/>
          <w:color w:val="auto"/>
          <w:sz w:val="14"/>
          <w:szCs w:val="14"/>
          <w:u w:val="none"/>
        </w:rPr>
        <w:t xml:space="preserve">Competencia y reglamentación en el mundo de la banda ancha y la convergencia. </w:t>
      </w:r>
      <w:r w:rsidRPr="00A73501">
        <w:rPr>
          <w:rStyle w:val="Hipervnculo"/>
          <w:rFonts w:ascii="Arial" w:hAnsi="Arial" w:cs="Arial"/>
          <w:color w:val="auto"/>
          <w:sz w:val="14"/>
          <w:szCs w:val="14"/>
          <w:u w:val="none"/>
        </w:rPr>
        <w:t>Disponible en:</w:t>
      </w:r>
      <w:r w:rsidRPr="00A73501">
        <w:rPr>
          <w:rStyle w:val="Hipervnculo"/>
          <w:rFonts w:ascii="Arial" w:hAnsi="Arial" w:cs="Arial"/>
          <w:sz w:val="14"/>
          <w:szCs w:val="14"/>
        </w:rPr>
        <w:t xml:space="preserve"> </w:t>
      </w:r>
      <w:hyperlink r:id="rId98" w:history="1">
        <w:r w:rsidRPr="00A73501">
          <w:rPr>
            <w:rStyle w:val="Hipervnculo"/>
            <w:rFonts w:ascii="Arial" w:hAnsi="Arial" w:cs="Arial"/>
            <w:sz w:val="14"/>
            <w:szCs w:val="14"/>
          </w:rPr>
          <w:t>https://www.itu.int/ITU-D/treg/publications/SMP-S.pdf</w:t>
        </w:r>
      </w:hyperlink>
    </w:p>
  </w:footnote>
  <w:footnote w:id="226">
    <w:p w14:paraId="6E1B77B7" w14:textId="1B34C1CC"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P/IFT/240217/104. pp. 432-433, 465-466. Disponible en: </w:t>
      </w:r>
      <w:hyperlink r:id="rId99" w:history="1">
        <w:r w:rsidRPr="00A73501">
          <w:rPr>
            <w:rStyle w:val="Hipervnculo"/>
            <w:rFonts w:ascii="Arial" w:hAnsi="Arial" w:cs="Arial"/>
            <w:sz w:val="14"/>
            <w:szCs w:val="14"/>
          </w:rPr>
          <w:t>http://www.ift.org.mx/sites/default/files/conocenos/pleno/sesiones/acuerdoliga/versionpublicaucepift240217104_1.pdf</w:t>
        </w:r>
      </w:hyperlink>
    </w:p>
  </w:footnote>
  <w:footnote w:id="227">
    <w:p w14:paraId="2ECC9B79"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Televisión por protocolo de Internet (</w:t>
      </w:r>
      <w:r w:rsidRPr="00A73501">
        <w:rPr>
          <w:rFonts w:ascii="Arial" w:hAnsi="Arial" w:cs="Arial"/>
          <w:i/>
          <w:sz w:val="14"/>
          <w:szCs w:val="14"/>
        </w:rPr>
        <w:t>Internet Protocol Television</w:t>
      </w:r>
      <w:r w:rsidRPr="00A73501">
        <w:rPr>
          <w:rFonts w:ascii="Arial" w:hAnsi="Arial" w:cs="Arial"/>
          <w:sz w:val="14"/>
          <w:szCs w:val="14"/>
        </w:rPr>
        <w:t>, en inglés).</w:t>
      </w:r>
    </w:p>
  </w:footnote>
  <w:footnote w:id="228">
    <w:p w14:paraId="7A752B5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(2017). Acuerdo P/IFT/060917/545. p. 167. Disponible en: </w:t>
      </w:r>
      <w:hyperlink r:id="rId100" w:history="1">
        <w:r w:rsidRPr="00A73501">
          <w:rPr>
            <w:rStyle w:val="Hipervnculo"/>
            <w:rFonts w:ascii="Arial" w:hAnsi="Arial" w:cs="Arial"/>
            <w:sz w:val="14"/>
            <w:szCs w:val="14"/>
          </w:rPr>
          <w:t>http://www.ift.org.mx/sites/default/files/conocenos/pleno/sesiones/acuerdoliga/vppift060917545.pdf</w:t>
        </w:r>
      </w:hyperlink>
    </w:p>
  </w:footnote>
  <w:footnote w:id="229">
    <w:p w14:paraId="206AC492" w14:textId="77777777" w:rsidR="007E0735" w:rsidRPr="00B91419" w:rsidRDefault="007E0735" w:rsidP="00393B0E">
      <w:pPr>
        <w:pStyle w:val="Textonotapie"/>
        <w:rPr>
          <w:rFonts w:ascii="Arial" w:hAnsi="Arial" w:cs="Arial"/>
          <w:sz w:val="14"/>
          <w:szCs w:val="14"/>
          <w:lang w:val="en-US"/>
        </w:rPr>
      </w:pPr>
      <w:r w:rsidRPr="00170BD5">
        <w:rPr>
          <w:rStyle w:val="Refdenotaalpie"/>
          <w:rFonts w:ascii="Arial" w:hAnsi="Arial" w:cs="Arial"/>
          <w:sz w:val="14"/>
          <w:szCs w:val="14"/>
        </w:rPr>
        <w:footnoteRef/>
      </w:r>
      <w:r w:rsidRPr="00170BD5">
        <w:rPr>
          <w:rFonts w:ascii="Arial" w:hAnsi="Arial" w:cs="Arial"/>
          <w:sz w:val="14"/>
          <w:szCs w:val="14"/>
        </w:rPr>
        <w:t xml:space="preserve"> Instituto (2020). </w:t>
      </w:r>
      <w:r w:rsidRPr="00170B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170BD5">
        <w:rPr>
          <w:rFonts w:ascii="Arial" w:hAnsi="Arial" w:cs="Arial"/>
          <w:sz w:val="14"/>
          <w:szCs w:val="14"/>
        </w:rPr>
        <w:t xml:space="preserve">. </w:t>
      </w:r>
      <w:r w:rsidRPr="00B91419">
        <w:rPr>
          <w:rFonts w:ascii="Arial" w:hAnsi="Arial" w:cs="Arial"/>
          <w:sz w:val="14"/>
          <w:szCs w:val="14"/>
          <w:lang w:val="en-US"/>
        </w:rPr>
        <w:t xml:space="preserve">Acuerdo P/IFT/181120/436. </w:t>
      </w:r>
    </w:p>
  </w:footnote>
  <w:footnote w:id="230">
    <w:p w14:paraId="7C0BFC18"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(2011). </w:t>
      </w:r>
      <w:r w:rsidRPr="00A73501">
        <w:rPr>
          <w:rFonts w:ascii="Arial" w:hAnsi="Arial" w:cs="Arial"/>
          <w:i/>
          <w:sz w:val="14"/>
          <w:szCs w:val="14"/>
          <w:lang w:val="en-US"/>
        </w:rPr>
        <w:t>Berec Report on Impact of Fixed-Mobile Substitution in Market Definition</w:t>
      </w:r>
      <w:r w:rsidRPr="00A73501">
        <w:rPr>
          <w:rFonts w:ascii="Arial" w:hAnsi="Arial" w:cs="Arial"/>
          <w:sz w:val="14"/>
          <w:szCs w:val="14"/>
          <w:lang w:val="en-US"/>
        </w:rPr>
        <w:t xml:space="preserve">. p. 12. </w:t>
      </w:r>
    </w:p>
  </w:footnote>
  <w:footnote w:id="231">
    <w:p w14:paraId="72D3291D"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CE (2003). </w:t>
      </w:r>
      <w:r w:rsidRPr="00A73501">
        <w:rPr>
          <w:rFonts w:ascii="Arial" w:hAnsi="Arial" w:cs="Arial"/>
          <w:i/>
          <w:sz w:val="14"/>
          <w:szCs w:val="14"/>
          <w:lang w:val="en-US"/>
        </w:rPr>
        <w:t>Case COMP/38.233 – Wanadoo Interactive</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01" w:history="1">
        <w:r w:rsidRPr="00A73501">
          <w:rPr>
            <w:rStyle w:val="Hipervnculo"/>
            <w:rFonts w:ascii="Arial" w:hAnsi="Arial" w:cs="Arial"/>
            <w:sz w:val="14"/>
            <w:szCs w:val="14"/>
          </w:rPr>
          <w:t>https://ec.europa.eu/competition/antitrust/cases/dec_docs/38233/38233_87_1.pdf</w:t>
        </w:r>
      </w:hyperlink>
      <w:r w:rsidRPr="00A73501">
        <w:rPr>
          <w:rStyle w:val="Hipervnculo"/>
          <w:rFonts w:ascii="Arial" w:hAnsi="Arial" w:cs="Arial"/>
          <w:sz w:val="14"/>
          <w:szCs w:val="14"/>
        </w:rPr>
        <w:t>.</w:t>
      </w:r>
    </w:p>
  </w:footnote>
  <w:footnote w:id="232">
    <w:p w14:paraId="29DD3C3E"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(2011). </w:t>
      </w:r>
      <w:r w:rsidRPr="00A73501">
        <w:rPr>
          <w:rFonts w:ascii="Arial" w:hAnsi="Arial" w:cs="Arial"/>
          <w:i/>
          <w:sz w:val="14"/>
          <w:szCs w:val="14"/>
          <w:lang w:val="en-US"/>
        </w:rPr>
        <w:t>Berec Report on Impact of Fixed-Mobile Substitution in Market Definition</w:t>
      </w:r>
      <w:r w:rsidRPr="00A73501">
        <w:rPr>
          <w:rFonts w:ascii="Arial" w:hAnsi="Arial" w:cs="Arial"/>
          <w:sz w:val="14"/>
          <w:szCs w:val="14"/>
          <w:lang w:val="en-US"/>
        </w:rPr>
        <w:t xml:space="preserve">. </w:t>
      </w:r>
    </w:p>
  </w:footnote>
  <w:footnote w:id="233">
    <w:p w14:paraId="275CCFFF"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Tribunal General (2012). </w:t>
      </w:r>
      <w:r w:rsidRPr="00A73501">
        <w:rPr>
          <w:rFonts w:ascii="Arial" w:hAnsi="Arial" w:cs="Arial"/>
          <w:i/>
          <w:sz w:val="14"/>
          <w:szCs w:val="14"/>
        </w:rPr>
        <w:t xml:space="preserve">SENTENCIA DEL TRIBUNAL GENERAL (Sala Octava) de 29 de marzo de 2012. Párrafo 140. </w:t>
      </w:r>
      <w:r w:rsidRPr="00A73501">
        <w:rPr>
          <w:rFonts w:ascii="Arial" w:hAnsi="Arial" w:cs="Arial"/>
          <w:sz w:val="14"/>
          <w:szCs w:val="14"/>
        </w:rPr>
        <w:t xml:space="preserve">Disponible en: </w:t>
      </w:r>
      <w:hyperlink r:id="rId102" w:history="1">
        <w:r w:rsidRPr="00A73501">
          <w:rPr>
            <w:rStyle w:val="Hipervnculo"/>
            <w:rFonts w:ascii="Arial" w:hAnsi="Arial" w:cs="Arial"/>
            <w:sz w:val="14"/>
            <w:szCs w:val="14"/>
          </w:rPr>
          <w:t>http://curia.europa.eu/juris/document/document.jsf;jsessionid=CDC36C791B5A503C86A5B8A543E2E569?text=&amp;docid=121143&amp;pageIndex=0&amp;doclang=ES&amp;mode=lst&amp;dir=&amp;occ=first&amp;part=1&amp;cid=4131947</w:t>
        </w:r>
      </w:hyperlink>
      <w:r w:rsidRPr="00A73501">
        <w:rPr>
          <w:rFonts w:ascii="Arial" w:hAnsi="Arial" w:cs="Arial"/>
          <w:sz w:val="14"/>
          <w:szCs w:val="14"/>
        </w:rPr>
        <w:t xml:space="preserve"> </w:t>
      </w:r>
    </w:p>
  </w:footnote>
  <w:footnote w:id="234">
    <w:p w14:paraId="2EA42954" w14:textId="7F65EF56"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DOJ (2011). </w:t>
      </w:r>
      <w:r w:rsidRPr="00A73501">
        <w:rPr>
          <w:rFonts w:ascii="Arial" w:hAnsi="Arial" w:cs="Arial"/>
          <w:i/>
          <w:sz w:val="14"/>
          <w:szCs w:val="14"/>
          <w:lang w:val="en-US"/>
        </w:rPr>
        <w:t>Complaint. United States of America v AT&amp;T Inc., T-Mobile USA, Inc. and Deutsche Telekom, AG.</w:t>
      </w:r>
      <w:r w:rsidRPr="00A73501">
        <w:rPr>
          <w:rFonts w:ascii="Arial" w:hAnsi="Arial" w:cs="Arial"/>
          <w:sz w:val="14"/>
          <w:szCs w:val="14"/>
          <w:lang w:val="en-US"/>
        </w:rPr>
        <w:t xml:space="preserve"> Disponible en:</w:t>
      </w:r>
      <w:r w:rsidR="00181E30">
        <w:rPr>
          <w:rFonts w:ascii="Arial" w:hAnsi="Arial" w:cs="Arial"/>
          <w:sz w:val="14"/>
          <w:szCs w:val="14"/>
          <w:lang w:val="en-US"/>
        </w:rPr>
        <w:t xml:space="preserve"> </w:t>
      </w:r>
      <w:hyperlink r:id="rId103" w:history="1">
        <w:r w:rsidR="00181E30" w:rsidRPr="00181E30">
          <w:rPr>
            <w:rStyle w:val="Hipervnculo"/>
            <w:rFonts w:ascii="Arial" w:hAnsi="Arial" w:cs="Arial"/>
            <w:sz w:val="14"/>
            <w:szCs w:val="14"/>
            <w:lang w:val="en-US"/>
          </w:rPr>
          <w:t>https://www.justice.gov/sites/default/files/opa/legacy/2011/08/31/Justice-ATT-TMobile-Complaint.pdf</w:t>
        </w:r>
      </w:hyperlink>
      <w:r w:rsidR="00181E30">
        <w:rPr>
          <w:rFonts w:ascii="Arial" w:hAnsi="Arial" w:cs="Arial"/>
          <w:sz w:val="14"/>
          <w:szCs w:val="14"/>
          <w:lang w:val="en-US"/>
        </w:rPr>
        <w:t xml:space="preserve"> </w:t>
      </w:r>
      <w:r w:rsidRPr="00A73501">
        <w:rPr>
          <w:rFonts w:ascii="Arial" w:hAnsi="Arial" w:cs="Arial"/>
          <w:sz w:val="14"/>
          <w:szCs w:val="14"/>
          <w:lang w:val="en-US"/>
        </w:rPr>
        <w:t xml:space="preserve"> </w:t>
      </w:r>
      <w:r w:rsidR="00181E30">
        <w:rPr>
          <w:rFonts w:ascii="Arial" w:hAnsi="Arial" w:cs="Arial"/>
          <w:sz w:val="14"/>
          <w:szCs w:val="14"/>
          <w:lang w:val="en-US"/>
        </w:rPr>
        <w:t xml:space="preserve"> </w:t>
      </w:r>
    </w:p>
  </w:footnote>
  <w:footnote w:id="235">
    <w:p w14:paraId="6AD23E20"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FCC (2004). </w:t>
      </w:r>
      <w:r w:rsidRPr="00A73501">
        <w:rPr>
          <w:rFonts w:ascii="Arial" w:hAnsi="Arial" w:cs="Arial"/>
          <w:i/>
          <w:sz w:val="14"/>
          <w:szCs w:val="14"/>
          <w:lang w:val="en-US"/>
        </w:rPr>
        <w:t>In the matter of Applications of AT&amp;T Wireless Services, Inc. and Cingular Wireless Corporation, et al.</w:t>
      </w:r>
      <w:r w:rsidRPr="00A73501">
        <w:rPr>
          <w:rFonts w:ascii="Arial" w:hAnsi="Arial" w:cs="Arial"/>
          <w:sz w:val="14"/>
          <w:szCs w:val="14"/>
          <w:lang w:val="en-US"/>
        </w:rPr>
        <w:t xml:space="preserve"> </w:t>
      </w:r>
      <w:r w:rsidRPr="00A73501">
        <w:rPr>
          <w:rFonts w:ascii="Arial" w:hAnsi="Arial" w:cs="Arial"/>
          <w:sz w:val="14"/>
          <w:szCs w:val="14"/>
        </w:rPr>
        <w:t xml:space="preserve">Nota al pie 267. Disponible en: </w:t>
      </w:r>
      <w:hyperlink r:id="rId104" w:history="1">
        <w:r w:rsidRPr="00A73501">
          <w:rPr>
            <w:rStyle w:val="Hipervnculo"/>
            <w:rFonts w:ascii="Arial" w:hAnsi="Arial" w:cs="Arial"/>
            <w:sz w:val="14"/>
            <w:szCs w:val="14"/>
          </w:rPr>
          <w:t>https://www.fcc.gov/document/matter-applications-att-wireless-services-inc-and-cingular</w:t>
        </w:r>
      </w:hyperlink>
    </w:p>
  </w:footnote>
  <w:footnote w:id="236">
    <w:p w14:paraId="1EA63DD3"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FCC (2019). </w:t>
      </w:r>
      <w:r w:rsidRPr="00A73501">
        <w:rPr>
          <w:rFonts w:ascii="Arial" w:hAnsi="Arial" w:cs="Arial"/>
          <w:i/>
          <w:sz w:val="14"/>
          <w:szCs w:val="14"/>
          <w:lang w:val="en-US"/>
        </w:rPr>
        <w:t>MEMORANDUM OPINION AND ORDER, DECLARATORY RULING, AND ORDER OF PROPOSED MODIFICATION. In the matter of Applications of T-Mobile US, Inc., and Sprint Corporation For Consent To Transfer Control of Licenses and Authorizations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05" w:history="1">
        <w:r w:rsidRPr="00A73501">
          <w:rPr>
            <w:rStyle w:val="Hipervnculo"/>
            <w:rFonts w:ascii="Arial" w:hAnsi="Arial" w:cs="Arial"/>
            <w:sz w:val="14"/>
            <w:szCs w:val="14"/>
          </w:rPr>
          <w:t>https://docs.fcc.gov/public/attachments/FCC-19-103A1.pdf</w:t>
        </w:r>
      </w:hyperlink>
    </w:p>
  </w:footnote>
  <w:footnote w:id="237">
    <w:p w14:paraId="6A9E863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Jerarquía Digital Plesiócrona (</w:t>
      </w:r>
      <w:r w:rsidRPr="00A73501">
        <w:rPr>
          <w:rFonts w:ascii="Arial" w:hAnsi="Arial" w:cs="Arial"/>
          <w:i/>
          <w:sz w:val="14"/>
          <w:szCs w:val="14"/>
        </w:rPr>
        <w:t>Plesiochronous Digital Hierarchy</w:t>
      </w:r>
      <w:r w:rsidRPr="00A73501">
        <w:rPr>
          <w:rFonts w:ascii="Arial" w:hAnsi="Arial" w:cs="Arial"/>
          <w:sz w:val="14"/>
          <w:szCs w:val="14"/>
        </w:rPr>
        <w:t>, en inglés) y Jerarquía Digital Sincrona (</w:t>
      </w:r>
      <w:r w:rsidRPr="00A73501">
        <w:rPr>
          <w:rFonts w:ascii="Arial" w:hAnsi="Arial" w:cs="Arial"/>
          <w:i/>
          <w:sz w:val="14"/>
          <w:szCs w:val="14"/>
        </w:rPr>
        <w:t>Synchronous Digital Hierarchy</w:t>
      </w:r>
      <w:r w:rsidRPr="00A73501">
        <w:rPr>
          <w:rFonts w:ascii="Arial" w:hAnsi="Arial" w:cs="Arial"/>
          <w:sz w:val="14"/>
          <w:szCs w:val="14"/>
        </w:rPr>
        <w:t>, en inglés), tecnologías utilizadas para la multiplexación de señales.</w:t>
      </w:r>
    </w:p>
  </w:footnote>
  <w:footnote w:id="238">
    <w:p w14:paraId="5E8FDF85"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ANACOM (2009). </w:t>
      </w:r>
      <w:r w:rsidRPr="00A73501">
        <w:rPr>
          <w:rFonts w:ascii="Arial" w:hAnsi="Arial" w:cs="Arial"/>
          <w:i/>
          <w:sz w:val="14"/>
          <w:szCs w:val="14"/>
          <w:lang w:val="en-US"/>
        </w:rPr>
        <w:t>RETAIL MARKET AND WHOLESALE MARKETS OF TERMINATING AND TRUNK SEGMENTS OF LEASED LINES.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06" w:history="1">
        <w:r w:rsidRPr="00A73501">
          <w:rPr>
            <w:rStyle w:val="Hipervnculo"/>
            <w:rFonts w:ascii="Arial" w:hAnsi="Arial" w:cs="Arial"/>
            <w:sz w:val="14"/>
            <w:szCs w:val="14"/>
          </w:rPr>
          <w:t>https://www.anacom.pt/streaming/Determination28september2010_final_decision.pdf?contentId=1061287&amp;field=ATTACHED_FILE</w:t>
        </w:r>
      </w:hyperlink>
    </w:p>
  </w:footnote>
  <w:footnote w:id="239">
    <w:p w14:paraId="507ECE9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(2013). </w:t>
      </w:r>
      <w:r w:rsidRPr="00A73501">
        <w:rPr>
          <w:rFonts w:ascii="Arial" w:hAnsi="Arial" w:cs="Arial"/>
          <w:i/>
          <w:sz w:val="14"/>
          <w:szCs w:val="14"/>
        </w:rPr>
        <w:t xml:space="preserve">Ccent. 5/2013 Kento*Unitel*Sonaecom/ZON*Optimus. </w:t>
      </w:r>
    </w:p>
  </w:footnote>
  <w:footnote w:id="240">
    <w:p w14:paraId="2BC8C941"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 autoridad encontró que el precio de equilibrio </w:t>
      </w:r>
      <w:r w:rsidRPr="00A73501">
        <w:rPr>
          <w:rFonts w:ascii="Arial" w:hAnsi="Arial" w:cs="Arial"/>
          <w:color w:val="000000" w:themeColor="text1"/>
          <w:sz w:val="14"/>
          <w:szCs w:val="14"/>
        </w:rPr>
        <w:t xml:space="preserve">aplicable a las ofertas </w:t>
      </w:r>
      <w:r w:rsidRPr="00A73501">
        <w:rPr>
          <w:rFonts w:ascii="Arial" w:hAnsi="Arial" w:cs="Arial"/>
          <w:i/>
          <w:color w:val="000000" w:themeColor="text1"/>
          <w:sz w:val="14"/>
          <w:szCs w:val="14"/>
        </w:rPr>
        <w:t>triple play</w:t>
      </w:r>
      <w:r w:rsidRPr="00A73501">
        <w:rPr>
          <w:rFonts w:ascii="Arial" w:hAnsi="Arial" w:cs="Arial"/>
          <w:color w:val="000000" w:themeColor="text1"/>
          <w:sz w:val="14"/>
          <w:szCs w:val="14"/>
        </w:rPr>
        <w:t xml:space="preserve"> sería 12.8% más alto que el precio de los servicios contratados de manera individual.</w:t>
      </w:r>
    </w:p>
  </w:footnote>
  <w:footnote w:id="241">
    <w:p w14:paraId="50DD9E40" w14:textId="6287EE9B"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Ofcom (201</w:t>
      </w:r>
      <w:r>
        <w:rPr>
          <w:rFonts w:ascii="Arial" w:hAnsi="Arial" w:cs="Arial"/>
          <w:sz w:val="14"/>
          <w:szCs w:val="14"/>
          <w:lang w:val="en-US"/>
        </w:rPr>
        <w:t>8</w:t>
      </w:r>
      <w:r w:rsidRPr="00A73501">
        <w:rPr>
          <w:rFonts w:ascii="Arial" w:hAnsi="Arial" w:cs="Arial"/>
          <w:sz w:val="14"/>
          <w:szCs w:val="14"/>
          <w:lang w:val="en-US"/>
        </w:rPr>
        <w:t xml:space="preserve">). </w:t>
      </w:r>
      <w:r w:rsidRPr="00A73501">
        <w:rPr>
          <w:rFonts w:ascii="Arial" w:hAnsi="Arial" w:cs="Arial"/>
          <w:i/>
          <w:sz w:val="14"/>
          <w:szCs w:val="14"/>
          <w:lang w:val="en-US"/>
        </w:rPr>
        <w:t>Wholesale Broadband Access Market Review 2018.</w:t>
      </w:r>
      <w:r>
        <w:rPr>
          <w:rFonts w:ascii="Arial" w:hAnsi="Arial" w:cs="Arial"/>
          <w:i/>
          <w:sz w:val="14"/>
          <w:szCs w:val="14"/>
          <w:lang w:val="en-US"/>
        </w:rPr>
        <w:t xml:space="preserve"> </w:t>
      </w:r>
      <w:r w:rsidRPr="00391629">
        <w:rPr>
          <w:rFonts w:ascii="Arial" w:hAnsi="Arial" w:cs="Arial"/>
          <w:sz w:val="14"/>
          <w:szCs w:val="14"/>
        </w:rPr>
        <w:t xml:space="preserve">Disponible en: </w:t>
      </w:r>
      <w:hyperlink r:id="rId107" w:history="1">
        <w:r w:rsidRPr="00A244D6">
          <w:rPr>
            <w:rStyle w:val="Hipervnculo"/>
            <w:rFonts w:ascii="Arial" w:hAnsi="Arial" w:cs="Arial"/>
            <w:sz w:val="14"/>
            <w:szCs w:val="14"/>
          </w:rPr>
          <w:t>https://www.ofcom.org.uk/__data/assets/pdf_file/0019/115138/Draft-statement-annexes-2-8-Wholesale-broadband-access-market-review-2018.pdf</w:t>
        </w:r>
      </w:hyperlink>
      <w:r>
        <w:rPr>
          <w:rFonts w:ascii="Arial" w:hAnsi="Arial" w:cs="Arial"/>
          <w:sz w:val="14"/>
          <w:szCs w:val="14"/>
        </w:rPr>
        <w:t xml:space="preserve">   </w:t>
      </w:r>
    </w:p>
  </w:footnote>
  <w:footnote w:id="242">
    <w:p w14:paraId="610CDCB5"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Ver, por ejemplo, CE (2012).</w:t>
      </w:r>
      <w:r w:rsidRPr="00A73501">
        <w:rPr>
          <w:rFonts w:ascii="Arial" w:hAnsi="Arial" w:cs="Arial"/>
          <w:i/>
          <w:sz w:val="14"/>
          <w:szCs w:val="14"/>
          <w:lang w:val="en-US"/>
        </w:rPr>
        <w:t xml:space="preserve">Roundtable on market definition. Note by the delegation of the European Union. </w:t>
      </w:r>
      <w:r w:rsidRPr="00A73501">
        <w:rPr>
          <w:rFonts w:ascii="Arial" w:hAnsi="Arial" w:cs="Arial"/>
          <w:sz w:val="14"/>
          <w:szCs w:val="14"/>
          <w:lang w:val="en-US"/>
        </w:rPr>
        <w:t xml:space="preserve"> p. 6. </w:t>
      </w:r>
    </w:p>
  </w:footnote>
  <w:footnote w:id="243">
    <w:p w14:paraId="457BF554" w14:textId="77777777" w:rsidR="007E0735" w:rsidRPr="00A73501" w:rsidRDefault="007E0735" w:rsidP="00A73501">
      <w:pPr>
        <w:pStyle w:val="Textonotapie"/>
        <w:rPr>
          <w:rFonts w:ascii="Arial" w:hAnsi="Arial" w:cs="Arial"/>
          <w:sz w:val="14"/>
          <w:szCs w:val="14"/>
          <w:lang w:val="fr-FR"/>
        </w:rPr>
      </w:pPr>
      <w:r w:rsidRPr="00A73501">
        <w:rPr>
          <w:rStyle w:val="Refdenotaalpie"/>
          <w:rFonts w:ascii="Arial" w:hAnsi="Arial" w:cs="Arial"/>
          <w:sz w:val="14"/>
          <w:szCs w:val="14"/>
        </w:rPr>
        <w:footnoteRef/>
      </w:r>
      <w:r w:rsidRPr="00A73501">
        <w:rPr>
          <w:rFonts w:ascii="Arial" w:hAnsi="Arial" w:cs="Arial"/>
          <w:sz w:val="14"/>
          <w:szCs w:val="14"/>
          <w:lang w:val="en-GB"/>
        </w:rPr>
        <w:t xml:space="preserve"> </w:t>
      </w:r>
      <w:r w:rsidRPr="00A73501">
        <w:rPr>
          <w:rFonts w:ascii="Arial" w:hAnsi="Arial" w:cs="Arial"/>
          <w:sz w:val="14"/>
          <w:szCs w:val="14"/>
          <w:lang w:val="en-US"/>
        </w:rPr>
        <w:t xml:space="preserve">OCDE (2017). </w:t>
      </w:r>
      <w:r w:rsidRPr="00A73501">
        <w:rPr>
          <w:rFonts w:ascii="Arial" w:hAnsi="Arial" w:cs="Arial"/>
          <w:i/>
          <w:sz w:val="14"/>
          <w:szCs w:val="14"/>
          <w:lang w:val="en-US"/>
        </w:rPr>
        <w:t>Market Definition in Multi-Sided Markets - Note by Dr Lapo Filistrucchi</w:t>
      </w:r>
      <w:r w:rsidRPr="00A73501">
        <w:rPr>
          <w:rFonts w:ascii="Arial" w:hAnsi="Arial" w:cs="Arial"/>
          <w:sz w:val="14"/>
          <w:szCs w:val="14"/>
          <w:lang w:val="en-US"/>
        </w:rPr>
        <w:t xml:space="preserve">. p. 10. </w:t>
      </w:r>
      <w:r w:rsidRPr="00A73501">
        <w:rPr>
          <w:rFonts w:ascii="Arial" w:hAnsi="Arial" w:cs="Arial"/>
          <w:sz w:val="14"/>
          <w:szCs w:val="14"/>
          <w:lang w:val="fr-FR"/>
        </w:rPr>
        <w:t xml:space="preserve">Disponible en: </w:t>
      </w:r>
      <w:hyperlink r:id="rId108" w:history="1">
        <w:r w:rsidRPr="00A73501">
          <w:rPr>
            <w:rStyle w:val="Hipervnculo"/>
            <w:rFonts w:ascii="Arial" w:hAnsi="Arial" w:cs="Arial"/>
            <w:sz w:val="14"/>
            <w:szCs w:val="14"/>
            <w:lang w:val="fr-FR"/>
          </w:rPr>
          <w:t>https://one.oecd.org/document/DAF/COMP/WD(2017)27/FINAL/en/pdf</w:t>
        </w:r>
      </w:hyperlink>
    </w:p>
  </w:footnote>
  <w:footnote w:id="244">
    <w:p w14:paraId="3F7F6EBC"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fr-FR"/>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w:t>
      </w:r>
    </w:p>
  </w:footnote>
  <w:footnote w:id="245">
    <w:p w14:paraId="16C7E642"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Instituto (2019). </w:t>
      </w:r>
      <w:r w:rsidRPr="00A73501">
        <w:rPr>
          <w:rFonts w:ascii="Arial" w:hAnsi="Arial" w:cs="Arial"/>
          <w:i/>
          <w:sz w:val="14"/>
          <w:szCs w:val="14"/>
        </w:rPr>
        <w:t>RESOLUCIÓN MEDIANTE LA CUAL EL PLENO DEL INSTITUTO FEDERAL DE TELECOMUNICACIONES AUTORIZA LLEVAR A CABO LA CONCENTRACIÓN RADICADA BAJO EL EXPEDIENTE NO. UCE/CNC-001-2018, NOTIFICADA POR THE WALT DISNEY COMPANY Y TWENTY-FIRST CENTURY FOX, INC SUJETA AL CUMPLIMIENTO DE CONDICIONES.</w:t>
      </w:r>
      <w:r w:rsidRPr="00A73501">
        <w:rPr>
          <w:rFonts w:ascii="Arial" w:hAnsi="Arial" w:cs="Arial"/>
          <w:sz w:val="14"/>
          <w:szCs w:val="14"/>
        </w:rPr>
        <w:t xml:space="preserve"> Acuerdo </w:t>
      </w:r>
      <w:r w:rsidRPr="00A73501">
        <w:rPr>
          <w:rFonts w:ascii="Arial" w:hAnsi="Arial" w:cs="Arial"/>
          <w:bCs/>
          <w:sz w:val="14"/>
          <w:szCs w:val="14"/>
        </w:rPr>
        <w:t>P/IFT/110319/122</w:t>
      </w:r>
      <w:r w:rsidRPr="00A73501">
        <w:rPr>
          <w:rFonts w:ascii="Arial" w:hAnsi="Arial" w:cs="Arial"/>
          <w:sz w:val="14"/>
          <w:szCs w:val="14"/>
        </w:rPr>
        <w:t xml:space="preserve"> </w:t>
      </w:r>
    </w:p>
  </w:footnote>
  <w:footnote w:id="246">
    <w:p w14:paraId="0DD94227"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(i) Entretenimiento, (ii) Infantil, (iii) Películas y Series, (iv) Fácticos (Cultural, documental y </w:t>
      </w:r>
      <w:r w:rsidRPr="00A73501">
        <w:rPr>
          <w:rFonts w:ascii="Arial" w:hAnsi="Arial" w:cs="Arial"/>
          <w:i/>
          <w:sz w:val="14"/>
          <w:szCs w:val="14"/>
        </w:rPr>
        <w:t>reality</w:t>
      </w:r>
      <w:r w:rsidRPr="00A73501">
        <w:rPr>
          <w:rFonts w:ascii="Arial" w:hAnsi="Arial" w:cs="Arial"/>
          <w:sz w:val="14"/>
          <w:szCs w:val="14"/>
        </w:rPr>
        <w:t>), (v) Música, (vi) Noticias, (vii) Deportes y (viii) TV Abierta. Ver Acuerdo P/IFT/110319/122, p. 73.</w:t>
      </w:r>
    </w:p>
  </w:footnote>
  <w:footnote w:id="247">
    <w:p w14:paraId="62CB9347"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Instituto (2015). </w:t>
      </w:r>
      <w:r w:rsidRPr="00A73501">
        <w:rPr>
          <w:rFonts w:ascii="Arial" w:hAnsi="Arial" w:cs="Arial"/>
          <w:i/>
          <w:sz w:val="14"/>
          <w:szCs w:val="14"/>
        </w:rPr>
        <w:t xml:space="preserve">RESOLUCIÓN MEDIANTE LA CUAL EL PLENO DEL INSTITUTO FEDERAL DE TELECOMUNICACIONES AUTORIZA QUE SE REALICE LA CONCENTRACIÓN RADICADA BAJO EL EXPEDIENTE NO. </w:t>
      </w:r>
      <w:r w:rsidRPr="00A73501">
        <w:rPr>
          <w:rFonts w:ascii="Arial" w:hAnsi="Arial" w:cs="Arial"/>
          <w:i/>
          <w:sz w:val="14"/>
          <w:szCs w:val="14"/>
          <w:lang w:val="en-US"/>
        </w:rPr>
        <w:t xml:space="preserve">UCE/CNC-001-2015, NOTIFICADA POR AT&amp;T, INC. Y NII HOLDINGS, INC. </w:t>
      </w:r>
      <w:r w:rsidRPr="00A73501">
        <w:rPr>
          <w:rFonts w:ascii="Arial" w:hAnsi="Arial" w:cs="Arial"/>
          <w:sz w:val="14"/>
          <w:szCs w:val="14"/>
          <w:lang w:val="en-US"/>
        </w:rPr>
        <w:t xml:space="preserve">Acuerdo P/IFT/EXT/290415/86. </w:t>
      </w:r>
    </w:p>
  </w:footnote>
  <w:footnote w:id="248">
    <w:p w14:paraId="36DE0514" w14:textId="77777777" w:rsidR="007E0735" w:rsidRPr="00A73501" w:rsidDel="00673A3A" w:rsidRDefault="007E0735" w:rsidP="00A73501">
      <w:pPr>
        <w:pStyle w:val="Textonotapie"/>
        <w:rPr>
          <w:rFonts w:ascii="Arial" w:hAnsi="Arial" w:cs="Arial"/>
          <w:sz w:val="14"/>
          <w:szCs w:val="14"/>
          <w:lang w:val="en-US"/>
        </w:rPr>
      </w:pPr>
      <w:r w:rsidRPr="00A73501" w:rsidDel="00673A3A">
        <w:rPr>
          <w:rStyle w:val="Refdenotaalpie"/>
          <w:rFonts w:ascii="Arial" w:hAnsi="Arial" w:cs="Arial"/>
          <w:sz w:val="14"/>
          <w:szCs w:val="14"/>
        </w:rPr>
        <w:footnoteRef/>
      </w:r>
      <w:r w:rsidRPr="00A73501">
        <w:rPr>
          <w:rFonts w:ascii="Arial" w:hAnsi="Arial" w:cs="Arial"/>
          <w:sz w:val="14"/>
          <w:szCs w:val="14"/>
          <w:lang w:val="en-US"/>
        </w:rPr>
        <w:t xml:space="preserve"> OCDE (2014).</w:t>
      </w:r>
      <w:r w:rsidRPr="00A73501" w:rsidDel="00673A3A">
        <w:rPr>
          <w:rFonts w:ascii="Arial" w:hAnsi="Arial" w:cs="Arial"/>
          <w:sz w:val="14"/>
          <w:szCs w:val="14"/>
          <w:lang w:val="en-US"/>
        </w:rPr>
        <w:t xml:space="preserve"> </w:t>
      </w:r>
      <w:r w:rsidRPr="00A73501" w:rsidDel="00673A3A">
        <w:rPr>
          <w:rFonts w:ascii="Arial" w:hAnsi="Arial" w:cs="Arial"/>
          <w:i/>
          <w:sz w:val="14"/>
          <w:szCs w:val="14"/>
          <w:lang w:val="en-US"/>
        </w:rPr>
        <w:t xml:space="preserve">Defining </w:t>
      </w:r>
      <w:r w:rsidRPr="00A73501">
        <w:rPr>
          <w:rFonts w:ascii="Arial" w:hAnsi="Arial" w:cs="Arial"/>
          <w:i/>
          <w:sz w:val="14"/>
          <w:szCs w:val="14"/>
          <w:lang w:val="en-US"/>
        </w:rPr>
        <w:t xml:space="preserve">the </w:t>
      </w:r>
      <w:r w:rsidRPr="00A73501" w:rsidDel="00673A3A">
        <w:rPr>
          <w:rFonts w:ascii="Arial" w:hAnsi="Arial" w:cs="Arial"/>
          <w:i/>
          <w:sz w:val="14"/>
          <w:szCs w:val="14"/>
          <w:lang w:val="en-US"/>
        </w:rPr>
        <w:t>Relevant Market in Telecommunications</w:t>
      </w:r>
      <w:r w:rsidRPr="00A73501">
        <w:rPr>
          <w:rFonts w:ascii="Arial" w:hAnsi="Arial" w:cs="Arial"/>
          <w:sz w:val="14"/>
          <w:szCs w:val="14"/>
          <w:lang w:val="en-US"/>
        </w:rPr>
        <w:t>.</w:t>
      </w:r>
      <w:r w:rsidRPr="00A73501" w:rsidDel="00673A3A">
        <w:rPr>
          <w:rFonts w:ascii="Arial" w:hAnsi="Arial" w:cs="Arial"/>
          <w:sz w:val="14"/>
          <w:szCs w:val="14"/>
          <w:lang w:val="en-US"/>
        </w:rPr>
        <w:t xml:space="preserve"> p. </w:t>
      </w:r>
      <w:r w:rsidRPr="00A73501">
        <w:rPr>
          <w:rFonts w:ascii="Arial" w:hAnsi="Arial" w:cs="Arial"/>
          <w:sz w:val="14"/>
          <w:szCs w:val="14"/>
          <w:lang w:val="en-US"/>
        </w:rPr>
        <w:t>19</w:t>
      </w:r>
      <w:r w:rsidRPr="00A73501" w:rsidDel="00673A3A">
        <w:rPr>
          <w:rFonts w:ascii="Arial" w:hAnsi="Arial" w:cs="Arial"/>
          <w:sz w:val="14"/>
          <w:szCs w:val="14"/>
          <w:lang w:val="en-US"/>
        </w:rPr>
        <w:t xml:space="preserve">. </w:t>
      </w:r>
    </w:p>
  </w:footnote>
  <w:footnote w:id="249">
    <w:p w14:paraId="7E759486"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GB"/>
        </w:rPr>
        <w:t xml:space="preserve"> OCDE (2018). </w:t>
      </w:r>
      <w:r w:rsidRPr="00A73501">
        <w:rPr>
          <w:rFonts w:ascii="Arial" w:hAnsi="Arial" w:cs="Arial"/>
          <w:i/>
          <w:sz w:val="14"/>
          <w:szCs w:val="14"/>
          <w:lang w:val="en-GB"/>
        </w:rPr>
        <w:t>Rethinking Antitrust Tools for Multi-Sided Platforms</w:t>
      </w:r>
      <w:r w:rsidRPr="00A73501">
        <w:rPr>
          <w:rFonts w:ascii="Arial" w:hAnsi="Arial" w:cs="Arial"/>
          <w:sz w:val="14"/>
          <w:szCs w:val="14"/>
          <w:lang w:val="en-GB"/>
        </w:rPr>
        <w:t xml:space="preserve">. pp. 223 y 224. </w:t>
      </w:r>
    </w:p>
  </w:footnote>
  <w:footnote w:id="250">
    <w:p w14:paraId="7FCFC4B9"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GB"/>
        </w:rPr>
        <w:t xml:space="preserve"> OCDE (2018). </w:t>
      </w:r>
      <w:r w:rsidRPr="00A73501">
        <w:rPr>
          <w:rFonts w:ascii="Arial" w:hAnsi="Arial" w:cs="Arial"/>
          <w:i/>
          <w:sz w:val="14"/>
          <w:szCs w:val="14"/>
          <w:lang w:val="en-GB"/>
        </w:rPr>
        <w:t>Rethinking Antitrust Tools for Multi-Sided Platforms</w:t>
      </w:r>
      <w:r w:rsidRPr="00A73501">
        <w:rPr>
          <w:rFonts w:ascii="Arial" w:hAnsi="Arial" w:cs="Arial"/>
          <w:sz w:val="14"/>
          <w:szCs w:val="14"/>
          <w:lang w:val="en-GB"/>
        </w:rPr>
        <w:t xml:space="preserve">. </w:t>
      </w:r>
      <w:r w:rsidRPr="00A73501">
        <w:rPr>
          <w:rFonts w:ascii="Arial" w:hAnsi="Arial" w:cs="Arial"/>
          <w:sz w:val="14"/>
          <w:szCs w:val="14"/>
          <w:lang w:val="en-US"/>
        </w:rPr>
        <w:t>pp. 43 y 44.</w:t>
      </w:r>
    </w:p>
  </w:footnote>
  <w:footnote w:id="251">
    <w:p w14:paraId="60BAEAB6" w14:textId="77777777" w:rsidR="007E0735" w:rsidRPr="00A73501" w:rsidRDefault="007E0735" w:rsidP="00A73501">
      <w:pPr>
        <w:pStyle w:val="Textonotapie"/>
        <w:rPr>
          <w:rFonts w:ascii="Arial" w:hAnsi="Arial" w:cs="Arial"/>
          <w:sz w:val="14"/>
          <w:szCs w:val="14"/>
          <w:lang w:val="es-ES"/>
        </w:rPr>
      </w:pPr>
      <w:r w:rsidRPr="00A73501">
        <w:rPr>
          <w:rStyle w:val="Refdenotaalpie"/>
          <w:rFonts w:ascii="Arial" w:hAnsi="Arial" w:cs="Arial"/>
          <w:sz w:val="14"/>
          <w:szCs w:val="14"/>
        </w:rPr>
        <w:footnoteRef/>
      </w:r>
      <w:r w:rsidRPr="00A73501">
        <w:rPr>
          <w:rFonts w:ascii="Arial" w:hAnsi="Arial" w:cs="Arial"/>
          <w:sz w:val="14"/>
          <w:szCs w:val="14"/>
        </w:rPr>
        <w:t xml:space="preserve"> CE (1997). </w:t>
      </w:r>
      <w:r w:rsidRPr="00A73501">
        <w:rPr>
          <w:rFonts w:ascii="Arial" w:hAnsi="Arial" w:cs="Arial"/>
          <w:i/>
          <w:sz w:val="14"/>
          <w:szCs w:val="14"/>
        </w:rPr>
        <w:t xml:space="preserve">Comunicación de la Comisión relativa a la definición de mercado de referencia a efectos de la normativa comunitaria en materia de competencia. </w:t>
      </w:r>
    </w:p>
  </w:footnote>
  <w:footnote w:id="252">
    <w:p w14:paraId="7DCB2B8B"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(2018). </w:t>
      </w:r>
      <w:r w:rsidRPr="00A73501">
        <w:rPr>
          <w:rFonts w:ascii="Arial" w:hAnsi="Arial" w:cs="Arial"/>
          <w:i/>
          <w:sz w:val="14"/>
          <w:szCs w:val="14"/>
        </w:rPr>
        <w:t>Directrices sobre análisis del mercado y evaluación del peso significativo en el mercado dentro del marco regulador de las redes y los servicios de comunicaciones electrónicas de la UE.</w:t>
      </w:r>
      <w:r w:rsidRPr="00A73501">
        <w:rPr>
          <w:rFonts w:ascii="Arial" w:hAnsi="Arial" w:cs="Arial"/>
          <w:sz w:val="14"/>
          <w:szCs w:val="14"/>
        </w:rPr>
        <w:t xml:space="preserve"> p. 7. </w:t>
      </w:r>
    </w:p>
  </w:footnote>
  <w:footnote w:id="253">
    <w:p w14:paraId="7652751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CE (2007). </w:t>
      </w:r>
      <w:r w:rsidRPr="00A73501">
        <w:rPr>
          <w:rFonts w:ascii="Arial" w:hAnsi="Arial" w:cs="Arial"/>
          <w:i/>
          <w:sz w:val="14"/>
          <w:szCs w:val="14"/>
        </w:rPr>
        <w:t>Caso COMP/38.784. Wanadoo España contra Telefónica</w:t>
      </w:r>
      <w:r w:rsidRPr="00A73501">
        <w:rPr>
          <w:rFonts w:ascii="Arial" w:hAnsi="Arial" w:cs="Arial"/>
          <w:sz w:val="14"/>
          <w:szCs w:val="14"/>
        </w:rPr>
        <w:t xml:space="preserve">. Disponible en: </w:t>
      </w:r>
      <w:hyperlink r:id="rId109" w:history="1">
        <w:r w:rsidRPr="00A73501">
          <w:rPr>
            <w:rStyle w:val="Hipervnculo"/>
            <w:rFonts w:ascii="Arial" w:hAnsi="Arial" w:cs="Arial"/>
            <w:sz w:val="14"/>
            <w:szCs w:val="14"/>
          </w:rPr>
          <w:t>https://ec.europa.eu/competition/antitrust/cases/dec_docs/38784/38784_437_4.pdf</w:t>
        </w:r>
      </w:hyperlink>
    </w:p>
  </w:footnote>
  <w:footnote w:id="254">
    <w:p w14:paraId="54640964"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Línea de Abonado Digital Asimétrica (</w:t>
      </w:r>
      <w:r w:rsidRPr="00A73501">
        <w:rPr>
          <w:rFonts w:ascii="Arial" w:hAnsi="Arial" w:cs="Arial"/>
          <w:i/>
          <w:sz w:val="14"/>
          <w:szCs w:val="14"/>
        </w:rPr>
        <w:t>Asymmetric Digital Subscriber Line</w:t>
      </w:r>
      <w:r w:rsidRPr="00A73501">
        <w:rPr>
          <w:rFonts w:ascii="Arial" w:hAnsi="Arial" w:cs="Arial"/>
          <w:sz w:val="14"/>
          <w:szCs w:val="14"/>
        </w:rPr>
        <w:t xml:space="preserve">, en inglés), tecnología que proporciona acceso de alta velocidad a Internet utilizando una línea telefónica. </w:t>
      </w:r>
    </w:p>
  </w:footnote>
  <w:footnote w:id="255">
    <w:p w14:paraId="1CC92728"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CC (2005). </w:t>
      </w:r>
      <w:r w:rsidRPr="00A73501">
        <w:rPr>
          <w:rFonts w:ascii="Arial" w:hAnsi="Arial" w:cs="Arial"/>
          <w:i/>
          <w:sz w:val="14"/>
          <w:szCs w:val="14"/>
          <w:lang w:val="en-US"/>
        </w:rPr>
        <w:t>Opinion No. 05-A-05 of 16 February 2005 concerning market analysis of retail and wholesale fixed-line telephony.</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10" w:history="1">
        <w:r w:rsidRPr="00A73501">
          <w:rPr>
            <w:rStyle w:val="Hipervnculo"/>
            <w:rFonts w:ascii="Arial" w:hAnsi="Arial" w:cs="Arial"/>
            <w:sz w:val="14"/>
            <w:szCs w:val="14"/>
          </w:rPr>
          <w:t>https://www.autoritedelaconcurrence.fr/sites/default/files/commitments//05a05.pdf</w:t>
        </w:r>
      </w:hyperlink>
    </w:p>
  </w:footnote>
  <w:footnote w:id="256">
    <w:p w14:paraId="6BEFFD99"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GB"/>
        </w:rPr>
        <w:t xml:space="preserve"> </w:t>
      </w:r>
      <w:r w:rsidRPr="00A73501">
        <w:rPr>
          <w:rFonts w:ascii="Arial" w:hAnsi="Arial" w:cs="Arial"/>
          <w:sz w:val="14"/>
          <w:szCs w:val="14"/>
          <w:lang w:val="en-US"/>
        </w:rPr>
        <w:t xml:space="preserve">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p. 28. </w:t>
      </w:r>
    </w:p>
  </w:footnote>
  <w:footnote w:id="257">
    <w:p w14:paraId="70E0CF24"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La CE respaldó la decisión de ARCEP y señaló que, desde la perspectiva de la ley de competencia europea, los servicios de voz sobre banda ancha se consideran sustitutos de los servicios tradicionales de telefonía fija. </w:t>
      </w:r>
      <w:r w:rsidRPr="00A73501">
        <w:rPr>
          <w:rFonts w:ascii="Arial" w:hAnsi="Arial" w:cs="Arial"/>
          <w:sz w:val="14"/>
          <w:szCs w:val="14"/>
          <w:lang w:val="en-GB"/>
        </w:rPr>
        <w:t xml:space="preserve">CE (2005). </w:t>
      </w:r>
      <w:r w:rsidRPr="00A73501">
        <w:rPr>
          <w:rFonts w:ascii="Arial" w:hAnsi="Arial" w:cs="Arial"/>
          <w:i/>
          <w:sz w:val="14"/>
          <w:szCs w:val="14"/>
          <w:lang w:val="en-GB"/>
        </w:rPr>
        <w:t>Voice over broadband in France: no regulation on internet telephony required.</w:t>
      </w:r>
      <w:r w:rsidRPr="00A73501">
        <w:rPr>
          <w:rFonts w:ascii="Arial" w:hAnsi="Arial" w:cs="Arial"/>
          <w:sz w:val="14"/>
          <w:szCs w:val="14"/>
          <w:lang w:val="en-GB"/>
        </w:rPr>
        <w:t xml:space="preserve"> </w:t>
      </w:r>
      <w:r w:rsidRPr="00A73501">
        <w:rPr>
          <w:rFonts w:ascii="Arial" w:hAnsi="Arial" w:cs="Arial"/>
          <w:sz w:val="14"/>
          <w:szCs w:val="14"/>
        </w:rPr>
        <w:t xml:space="preserve">Disponible en: </w:t>
      </w:r>
      <w:hyperlink r:id="rId111" w:history="1">
        <w:r w:rsidRPr="00A73501">
          <w:rPr>
            <w:rStyle w:val="Hipervnculo"/>
            <w:rFonts w:ascii="Arial" w:hAnsi="Arial" w:cs="Arial"/>
            <w:sz w:val="14"/>
            <w:szCs w:val="14"/>
          </w:rPr>
          <w:t>https://ec.europa.eu/commission/presscorner/detail/en/IP_05_1146</w:t>
        </w:r>
      </w:hyperlink>
    </w:p>
  </w:footnote>
  <w:footnote w:id="258">
    <w:p w14:paraId="7B777BF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CMA/OFT (2004). </w:t>
      </w:r>
      <w:r w:rsidRPr="00A73501">
        <w:rPr>
          <w:rFonts w:ascii="Arial" w:hAnsi="Arial" w:cs="Arial"/>
          <w:i/>
          <w:sz w:val="14"/>
          <w:szCs w:val="14"/>
          <w:lang w:val="en-US"/>
        </w:rPr>
        <w:t>Market definition, Understanding competition law</w:t>
      </w:r>
      <w:r w:rsidRPr="00A73501">
        <w:rPr>
          <w:rFonts w:ascii="Arial" w:hAnsi="Arial" w:cs="Arial"/>
          <w:sz w:val="14"/>
          <w:szCs w:val="14"/>
          <w:lang w:val="en-US"/>
        </w:rPr>
        <w:t xml:space="preserve">. </w:t>
      </w:r>
    </w:p>
  </w:footnote>
  <w:footnote w:id="259">
    <w:p w14:paraId="31DB44CA" w14:textId="77777777" w:rsidR="007E0735" w:rsidRPr="00A73501" w:rsidRDefault="007E0735" w:rsidP="00A73501">
      <w:pPr>
        <w:pStyle w:val="Textonotapie"/>
        <w:rPr>
          <w:rFonts w:ascii="Arial" w:hAnsi="Arial" w:cs="Arial"/>
          <w:bCs/>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CBC (2014). </w:t>
      </w:r>
      <w:r w:rsidRPr="00A73501">
        <w:rPr>
          <w:rFonts w:ascii="Arial" w:hAnsi="Arial" w:cs="Arial"/>
          <w:bCs/>
          <w:i/>
          <w:sz w:val="14"/>
          <w:szCs w:val="14"/>
          <w:lang w:val="en-US"/>
        </w:rPr>
        <w:t>Economic analysis of retail mergers at the Competition Bureau.</w:t>
      </w:r>
      <w:r w:rsidRPr="00A73501">
        <w:rPr>
          <w:rFonts w:ascii="Arial" w:hAnsi="Arial" w:cs="Arial"/>
          <w:bCs/>
          <w:sz w:val="14"/>
          <w:szCs w:val="14"/>
          <w:lang w:val="en-US"/>
        </w:rPr>
        <w:t xml:space="preserve"> </w:t>
      </w:r>
      <w:r w:rsidRPr="00A73501">
        <w:rPr>
          <w:rFonts w:ascii="Arial" w:hAnsi="Arial" w:cs="Arial"/>
          <w:bCs/>
          <w:sz w:val="14"/>
          <w:szCs w:val="14"/>
        </w:rPr>
        <w:t xml:space="preserve">Disponible en: </w:t>
      </w:r>
      <w:hyperlink r:id="rId112" w:history="1">
        <w:r w:rsidRPr="00A73501">
          <w:rPr>
            <w:rStyle w:val="Hipervnculo"/>
            <w:rFonts w:ascii="Arial" w:hAnsi="Arial" w:cs="Arial"/>
            <w:bCs/>
            <w:sz w:val="14"/>
            <w:szCs w:val="14"/>
          </w:rPr>
          <w:t>https://www.competitionbureau.gc.ca/eic/site/cb-bc.nsf/eng/03796.html</w:t>
        </w:r>
      </w:hyperlink>
    </w:p>
  </w:footnote>
  <w:footnote w:id="260">
    <w:p w14:paraId="43EACAAE"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CRTC (2011). </w:t>
      </w:r>
      <w:r w:rsidRPr="00A73501">
        <w:rPr>
          <w:rFonts w:ascii="Arial" w:hAnsi="Arial" w:cs="Arial"/>
          <w:i/>
          <w:sz w:val="14"/>
          <w:szCs w:val="14"/>
          <w:lang w:val="en-US"/>
        </w:rPr>
        <w:t>Market Definition Issues for Audio and Audio-Visual Distribution Products and Services in a Digital Environment</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13" w:history="1">
        <w:r w:rsidRPr="00A73501">
          <w:rPr>
            <w:rStyle w:val="Hipervnculo"/>
            <w:rFonts w:ascii="Arial" w:hAnsi="Arial" w:cs="Arial"/>
            <w:sz w:val="14"/>
            <w:szCs w:val="14"/>
          </w:rPr>
          <w:t>https://crtc.gc.ca/eng/publications/reports/rp110215.htm</w:t>
        </w:r>
      </w:hyperlink>
    </w:p>
  </w:footnote>
  <w:footnote w:id="261">
    <w:p w14:paraId="216E5220" w14:textId="21DA1AB2"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Ídem.</w:t>
      </w:r>
    </w:p>
  </w:footnote>
  <w:footnote w:id="262">
    <w:p w14:paraId="20515218"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(2015). </w:t>
      </w:r>
      <w:r w:rsidRPr="00A73501">
        <w:rPr>
          <w:rFonts w:ascii="Arial" w:hAnsi="Arial" w:cs="Arial"/>
          <w:i/>
          <w:sz w:val="14"/>
          <w:szCs w:val="14"/>
          <w:lang w:val="en-US"/>
        </w:rPr>
        <w:t>Triple and Quadruple Play Bundles of Communication Services</w:t>
      </w:r>
      <w:r w:rsidRPr="00A73501">
        <w:rPr>
          <w:rFonts w:ascii="Arial" w:hAnsi="Arial" w:cs="Arial"/>
          <w:sz w:val="14"/>
          <w:szCs w:val="14"/>
          <w:lang w:val="en-US"/>
        </w:rPr>
        <w:t xml:space="preserve">. </w:t>
      </w:r>
      <w:r w:rsidRPr="00A73501">
        <w:rPr>
          <w:rFonts w:ascii="Arial" w:hAnsi="Arial" w:cs="Arial"/>
          <w:sz w:val="14"/>
          <w:szCs w:val="14"/>
        </w:rPr>
        <w:t xml:space="preserve">Disponible en: </w:t>
      </w:r>
      <w:hyperlink r:id="rId114" w:history="1">
        <w:r w:rsidRPr="00A73501">
          <w:rPr>
            <w:rStyle w:val="Hipervnculo"/>
            <w:rFonts w:ascii="Arial" w:hAnsi="Arial" w:cs="Arial"/>
            <w:sz w:val="14"/>
            <w:szCs w:val="14"/>
          </w:rPr>
          <w:t>https://www.oecd-ilibrary.org/docserver/5js04dp2q1jc-en.pdf?expires=1597095718&amp;id=id&amp;accname=guest&amp;checksum=A818045C7EED02B383CB10724AD048D9</w:t>
        </w:r>
      </w:hyperlink>
    </w:p>
  </w:footnote>
  <w:footnote w:id="263">
    <w:p w14:paraId="6C31E3BA" w14:textId="77777777" w:rsidR="007E0735" w:rsidRPr="00B91419" w:rsidRDefault="007E0735" w:rsidP="00FB3093">
      <w:pPr>
        <w:pStyle w:val="Textonotapie"/>
        <w:rPr>
          <w:rFonts w:ascii="Arial" w:hAnsi="Arial" w:cs="Arial"/>
          <w:sz w:val="14"/>
          <w:szCs w:val="14"/>
          <w:lang w:val="en-US"/>
        </w:rPr>
      </w:pPr>
      <w:r w:rsidRPr="00170BD5">
        <w:rPr>
          <w:rStyle w:val="Refdenotaalpie"/>
          <w:rFonts w:ascii="Arial" w:hAnsi="Arial" w:cs="Arial"/>
          <w:sz w:val="14"/>
          <w:szCs w:val="14"/>
        </w:rPr>
        <w:footnoteRef/>
      </w:r>
      <w:r w:rsidRPr="00170BD5">
        <w:rPr>
          <w:rFonts w:ascii="Arial" w:hAnsi="Arial" w:cs="Arial"/>
          <w:sz w:val="14"/>
          <w:szCs w:val="14"/>
        </w:rPr>
        <w:t xml:space="preserve"> Instituto (2020). </w:t>
      </w:r>
      <w:r w:rsidRPr="00170BD5">
        <w:rPr>
          <w:rFonts w:ascii="Arial" w:hAnsi="Arial" w:cs="Arial"/>
          <w:i/>
          <w:sz w:val="14"/>
          <w:szCs w:val="14"/>
        </w:rPr>
        <w:t>Resolución mediante la cual el Instituto Federal de Telecomunicaciones resuelve sobre el Dictamen Preliminar emitido por la Autoridad Investigadora en el Expediente AI/DC-002-2019 que declaró la existencia de un grupo de interés económico con poder sustancial en treinta y cinco mercados relevantes correspondientes a la provisión del servicio de televisión y audio restringido a través de la tecnología satelital, cable e IPTV, ofrecido de manera individual o empaquetada con otros servicios de telecomunicaciones fijos</w:t>
      </w:r>
      <w:r w:rsidRPr="00170BD5">
        <w:rPr>
          <w:rFonts w:ascii="Arial" w:hAnsi="Arial" w:cs="Arial"/>
          <w:sz w:val="14"/>
          <w:szCs w:val="14"/>
        </w:rPr>
        <w:t xml:space="preserve">. </w:t>
      </w:r>
      <w:r w:rsidRPr="00B91419">
        <w:rPr>
          <w:rFonts w:ascii="Arial" w:hAnsi="Arial" w:cs="Arial"/>
          <w:sz w:val="14"/>
          <w:szCs w:val="14"/>
          <w:lang w:val="en-US"/>
        </w:rPr>
        <w:t xml:space="preserve">Acuerdo P/IFT/181120/436. </w:t>
      </w:r>
    </w:p>
  </w:footnote>
  <w:footnote w:id="264">
    <w:p w14:paraId="6AC72C99" w14:textId="77777777" w:rsidR="007E0735" w:rsidRPr="00B91419"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B91419">
        <w:rPr>
          <w:rFonts w:ascii="Arial" w:hAnsi="Arial" w:cs="Arial"/>
          <w:sz w:val="14"/>
          <w:szCs w:val="14"/>
          <w:lang w:val="en-US"/>
        </w:rPr>
        <w:t xml:space="preserve"> Instituto (2017). Acuerdo P/IFT/060917/545</w:t>
      </w:r>
      <w:r w:rsidRPr="00B91419">
        <w:rPr>
          <w:rFonts w:ascii="Arial" w:hAnsi="Arial" w:cs="Arial"/>
          <w:i/>
          <w:sz w:val="14"/>
          <w:szCs w:val="14"/>
          <w:lang w:val="en-US"/>
        </w:rPr>
        <w:t>.</w:t>
      </w:r>
      <w:r w:rsidRPr="00B91419">
        <w:rPr>
          <w:rFonts w:ascii="Arial" w:hAnsi="Arial" w:cs="Arial"/>
          <w:sz w:val="14"/>
          <w:szCs w:val="14"/>
          <w:lang w:val="en-US"/>
        </w:rPr>
        <w:t xml:space="preserve"> </w:t>
      </w:r>
    </w:p>
  </w:footnote>
  <w:footnote w:id="265">
    <w:p w14:paraId="7606C72A"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B91419">
        <w:rPr>
          <w:rFonts w:ascii="Arial" w:hAnsi="Arial" w:cs="Arial"/>
          <w:sz w:val="14"/>
          <w:szCs w:val="14"/>
          <w:lang w:val="en-US"/>
        </w:rPr>
        <w:t xml:space="preserve"> OCDE (2015). </w:t>
      </w:r>
      <w:r w:rsidRPr="00A73501">
        <w:rPr>
          <w:rFonts w:ascii="Arial" w:hAnsi="Arial" w:cs="Arial"/>
          <w:i/>
          <w:sz w:val="14"/>
          <w:szCs w:val="14"/>
          <w:lang w:val="en-US"/>
        </w:rPr>
        <w:t>Triple and Quadruple Play Bundles of Communication Services</w:t>
      </w:r>
      <w:r w:rsidRPr="00A73501">
        <w:rPr>
          <w:rFonts w:ascii="Arial" w:hAnsi="Arial" w:cs="Arial"/>
          <w:sz w:val="14"/>
          <w:szCs w:val="14"/>
          <w:lang w:val="en-US"/>
        </w:rPr>
        <w:t xml:space="preserve">. pp. 5-13. </w:t>
      </w:r>
    </w:p>
  </w:footnote>
  <w:footnote w:id="266">
    <w:p w14:paraId="7D139183"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OCDE (2014). </w:t>
      </w:r>
      <w:r w:rsidRPr="00A73501">
        <w:rPr>
          <w:rFonts w:ascii="Arial" w:hAnsi="Arial" w:cs="Arial"/>
          <w:i/>
          <w:sz w:val="14"/>
          <w:szCs w:val="14"/>
          <w:lang w:val="en-US"/>
        </w:rPr>
        <w:t>Defining the Relevant Market in Telecommunications</w:t>
      </w:r>
      <w:r w:rsidRPr="00A73501">
        <w:rPr>
          <w:rFonts w:ascii="Arial" w:hAnsi="Arial" w:cs="Arial"/>
          <w:sz w:val="14"/>
          <w:szCs w:val="14"/>
          <w:lang w:val="en-US"/>
        </w:rPr>
        <w:t xml:space="preserve">. </w:t>
      </w:r>
    </w:p>
  </w:footnote>
  <w:footnote w:id="267">
    <w:p w14:paraId="72C2472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CE (2018). </w:t>
      </w:r>
      <w:r w:rsidRPr="00A73501">
        <w:rPr>
          <w:rFonts w:ascii="Arial" w:hAnsi="Arial" w:cs="Arial"/>
          <w:i/>
          <w:sz w:val="14"/>
          <w:szCs w:val="14"/>
          <w:lang w:val="en-US"/>
        </w:rPr>
        <w:t>Comission Staff working document</w:t>
      </w:r>
      <w:r w:rsidRPr="00A73501">
        <w:rPr>
          <w:rFonts w:ascii="Arial" w:hAnsi="Arial" w:cs="Arial"/>
          <w:sz w:val="14"/>
          <w:szCs w:val="14"/>
          <w:lang w:val="en-US"/>
        </w:rPr>
        <w:t xml:space="preserve"> </w:t>
      </w:r>
      <w:r w:rsidRPr="00A73501">
        <w:rPr>
          <w:rFonts w:ascii="Arial" w:hAnsi="Arial" w:cs="Arial"/>
          <w:i/>
          <w:sz w:val="14"/>
          <w:szCs w:val="14"/>
          <w:lang w:val="en-US"/>
        </w:rPr>
        <w:t>accompanying the</w:t>
      </w:r>
      <w:r w:rsidRPr="00A73501">
        <w:rPr>
          <w:rFonts w:ascii="Arial" w:hAnsi="Arial" w:cs="Arial"/>
          <w:sz w:val="14"/>
          <w:szCs w:val="14"/>
          <w:lang w:val="en-US"/>
        </w:rPr>
        <w:t xml:space="preserve"> </w:t>
      </w:r>
      <w:r w:rsidRPr="00A73501">
        <w:rPr>
          <w:rFonts w:ascii="Arial" w:hAnsi="Arial" w:cs="Arial"/>
          <w:i/>
          <w:sz w:val="14"/>
          <w:szCs w:val="14"/>
          <w:lang w:val="en-US"/>
        </w:rPr>
        <w:t>Guidelines on market analysis and the assessment of significant market power under the EU regulatory framework for electronic communications networks and services</w:t>
      </w:r>
      <w:r w:rsidRPr="00A73501">
        <w:rPr>
          <w:rFonts w:ascii="Arial" w:hAnsi="Arial" w:cs="Arial"/>
          <w:sz w:val="14"/>
          <w:szCs w:val="14"/>
          <w:lang w:val="en-US"/>
        </w:rPr>
        <w:t xml:space="preserve">. pp. 12-13. </w:t>
      </w:r>
      <w:r w:rsidRPr="00A73501">
        <w:rPr>
          <w:rFonts w:ascii="Arial" w:hAnsi="Arial" w:cs="Arial"/>
          <w:sz w:val="14"/>
          <w:szCs w:val="14"/>
        </w:rPr>
        <w:t xml:space="preserve">Disponible en: </w:t>
      </w:r>
      <w:hyperlink r:id="rId115" w:history="1">
        <w:r w:rsidRPr="00A73501">
          <w:rPr>
            <w:rStyle w:val="Hipervnculo"/>
            <w:rFonts w:ascii="Arial" w:hAnsi="Arial" w:cs="Arial"/>
            <w:sz w:val="14"/>
            <w:szCs w:val="14"/>
          </w:rPr>
          <w:t>https://ec.europa.eu/digital-single-market/en/news/staff-working-document-guidelines-market-analysis-and-assessment-smp-under-eu-regulatory</w:t>
        </w:r>
      </w:hyperlink>
    </w:p>
  </w:footnote>
  <w:footnote w:id="268">
    <w:p w14:paraId="223060B0"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lang w:val="en-US"/>
        </w:rPr>
        <w:t xml:space="preserve"> BEREC (2010). </w:t>
      </w:r>
      <w:r w:rsidRPr="00A73501">
        <w:rPr>
          <w:rFonts w:ascii="Arial" w:hAnsi="Arial" w:cs="Arial"/>
          <w:i/>
          <w:sz w:val="14"/>
          <w:szCs w:val="14"/>
          <w:lang w:val="en-US"/>
        </w:rPr>
        <w:t>BEREC report on impact of bundled offers in retail and wholesale market definition</w:t>
      </w:r>
      <w:r w:rsidRPr="00A73501">
        <w:rPr>
          <w:rFonts w:ascii="Arial" w:hAnsi="Arial" w:cs="Arial"/>
          <w:sz w:val="14"/>
          <w:szCs w:val="14"/>
          <w:lang w:val="en-US"/>
        </w:rPr>
        <w:t xml:space="preserve">. pp. 13-14 y 17. </w:t>
      </w:r>
    </w:p>
  </w:footnote>
  <w:footnote w:id="269">
    <w:p w14:paraId="74B9B2A4" w14:textId="77777777" w:rsidR="007E0735" w:rsidRPr="00A73501" w:rsidRDefault="007E0735" w:rsidP="00A73501">
      <w:pPr>
        <w:pStyle w:val="Textonotapie"/>
        <w:rPr>
          <w:rFonts w:ascii="Arial" w:hAnsi="Arial" w:cs="Arial"/>
          <w:sz w:val="14"/>
          <w:szCs w:val="14"/>
          <w:lang w:val="en-US"/>
        </w:rPr>
      </w:pPr>
      <w:r w:rsidRPr="00A73501">
        <w:rPr>
          <w:rStyle w:val="Refdenotaalpie"/>
          <w:rFonts w:ascii="Arial" w:hAnsi="Arial" w:cs="Arial"/>
          <w:sz w:val="14"/>
          <w:szCs w:val="14"/>
        </w:rPr>
        <w:footnoteRef/>
      </w:r>
      <w:r w:rsidRPr="00A73501">
        <w:rPr>
          <w:rFonts w:ascii="Arial" w:hAnsi="Arial" w:cs="Arial"/>
          <w:sz w:val="14"/>
          <w:szCs w:val="14"/>
        </w:rPr>
        <w:t xml:space="preserve"> Se refiere a economías de alcance que se obtienen como resultado de vender un paquete de productos a un determinado cliente.  Por ejemplo, las empresas que ofrecen más de un servicio de telecomunicaciones a un hogar determinado pueden enfrentar menores costos de facturación y de plataforma que si los servicios se brindaran a dos hogares separados. </w:t>
      </w:r>
      <w:r w:rsidRPr="00A73501">
        <w:rPr>
          <w:rFonts w:ascii="Arial" w:hAnsi="Arial" w:cs="Arial"/>
          <w:sz w:val="14"/>
          <w:szCs w:val="14"/>
          <w:lang w:val="en-US"/>
        </w:rPr>
        <w:t xml:space="preserve">BEREC (2010). </w:t>
      </w:r>
      <w:r w:rsidRPr="00A73501">
        <w:rPr>
          <w:rFonts w:ascii="Arial" w:hAnsi="Arial" w:cs="Arial"/>
          <w:i/>
          <w:sz w:val="14"/>
          <w:szCs w:val="14"/>
          <w:lang w:val="en-US"/>
        </w:rPr>
        <w:t>BEREC report on impact of bundled offers in retail and wholesale market definition</w:t>
      </w:r>
      <w:r w:rsidRPr="00A73501">
        <w:rPr>
          <w:rFonts w:ascii="Arial" w:hAnsi="Arial" w:cs="Arial"/>
          <w:sz w:val="14"/>
          <w:szCs w:val="14"/>
          <w:lang w:val="en-US"/>
        </w:rPr>
        <w:t>. pp. 10 y 13.</w:t>
      </w:r>
    </w:p>
  </w:footnote>
  <w:footnote w:id="270">
    <w:p w14:paraId="130739E3" w14:textId="77777777" w:rsidR="007E0735" w:rsidRPr="00A73501" w:rsidRDefault="007E0735" w:rsidP="00A73501">
      <w:pPr>
        <w:spacing w:before="0" w:after="0" w:line="240" w:lineRule="auto"/>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w:t>
      </w:r>
      <w:r w:rsidRPr="00A73501">
        <w:rPr>
          <w:rFonts w:ascii="Arial" w:hAnsi="Arial" w:cs="Arial"/>
          <w:i/>
          <w:sz w:val="14"/>
          <w:szCs w:val="14"/>
        </w:rPr>
        <w:t>Linhas de Orientação para a Análise Económica de Operações de Concentração Horizontais</w:t>
      </w:r>
      <w:r w:rsidRPr="00A73501">
        <w:rPr>
          <w:rFonts w:ascii="Arial" w:hAnsi="Arial" w:cs="Arial"/>
          <w:sz w:val="14"/>
          <w:szCs w:val="14"/>
        </w:rPr>
        <w:t xml:space="preserve">. pp. 36 y 37. Disponible en: </w:t>
      </w:r>
    </w:p>
    <w:p w14:paraId="17447A21" w14:textId="77777777" w:rsidR="007E0735" w:rsidRPr="00A73501" w:rsidRDefault="0040239C" w:rsidP="00A73501">
      <w:pPr>
        <w:spacing w:before="0" w:after="0" w:line="240" w:lineRule="auto"/>
        <w:rPr>
          <w:rFonts w:ascii="Arial" w:hAnsi="Arial" w:cs="Arial"/>
          <w:sz w:val="14"/>
          <w:szCs w:val="14"/>
        </w:rPr>
      </w:pPr>
      <w:hyperlink r:id="rId116" w:history="1">
        <w:r w:rsidR="007E0735" w:rsidRPr="00A73501">
          <w:rPr>
            <w:rStyle w:val="Hipervnculo"/>
            <w:rFonts w:ascii="Arial" w:hAnsi="Arial" w:cs="Arial"/>
            <w:sz w:val="14"/>
            <w:szCs w:val="14"/>
          </w:rPr>
          <w:t>http://www.concorrencia.pt/vPT/Noticias_Eventos/ConsultasPublicas/Documents/Linhas%20de%20Orienta%C3%A7%C3%A3o%20para%20a%20An%C3%A1lise%20Econ%C3%B3mica%20de%20Opera%C3%A7%C3%B5es%20de%20Concentra%C3%A7%C3%A3o%20Horizontais.pdf</w:t>
        </w:r>
      </w:hyperlink>
      <w:r w:rsidR="007E0735" w:rsidRPr="00A73501">
        <w:rPr>
          <w:rFonts w:ascii="Arial" w:hAnsi="Arial" w:cs="Arial"/>
          <w:sz w:val="14"/>
          <w:szCs w:val="14"/>
        </w:rPr>
        <w:t xml:space="preserve"> </w:t>
      </w:r>
    </w:p>
  </w:footnote>
  <w:footnote w:id="271">
    <w:p w14:paraId="390E1476"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rPr>
        <w:t xml:space="preserve"> Autoridad de Competencia (2013). </w:t>
      </w:r>
      <w:r w:rsidRPr="00A73501">
        <w:rPr>
          <w:rFonts w:ascii="Arial" w:hAnsi="Arial" w:cs="Arial"/>
          <w:i/>
          <w:sz w:val="14"/>
          <w:szCs w:val="14"/>
        </w:rPr>
        <w:t xml:space="preserve">Ccent. 5/2013 Kento*Unitel*Sonaecom/ZON*Optimus. </w:t>
      </w:r>
    </w:p>
  </w:footnote>
  <w:footnote w:id="272">
    <w:p w14:paraId="6C33CFDA" w14:textId="77777777" w:rsidR="007E0735" w:rsidRPr="00A73501" w:rsidRDefault="007E0735" w:rsidP="00A73501">
      <w:pPr>
        <w:pStyle w:val="Textonotapie"/>
        <w:rPr>
          <w:rFonts w:ascii="Arial" w:hAnsi="Arial" w:cs="Arial"/>
          <w:sz w:val="14"/>
          <w:szCs w:val="14"/>
        </w:rPr>
      </w:pPr>
      <w:r w:rsidRPr="00A73501">
        <w:rPr>
          <w:rStyle w:val="Refdenotaalpie"/>
          <w:rFonts w:ascii="Arial" w:hAnsi="Arial" w:cs="Arial"/>
          <w:sz w:val="14"/>
          <w:szCs w:val="14"/>
        </w:rPr>
        <w:footnoteRef/>
      </w:r>
      <w:r w:rsidRPr="00A73501">
        <w:rPr>
          <w:rFonts w:ascii="Arial" w:hAnsi="Arial" w:cs="Arial"/>
          <w:sz w:val="14"/>
          <w:szCs w:val="14"/>
          <w:lang w:val="en-US"/>
        </w:rPr>
        <w:t xml:space="preserve"> CMA (2016). </w:t>
      </w:r>
      <w:r w:rsidRPr="00A73501">
        <w:rPr>
          <w:rFonts w:ascii="Arial" w:hAnsi="Arial" w:cs="Arial"/>
          <w:i/>
          <w:sz w:val="14"/>
          <w:szCs w:val="14"/>
          <w:lang w:val="en-US"/>
        </w:rPr>
        <w:t>A report on the anticipated acquisition by BT Grouo plc of EE Limited</w:t>
      </w:r>
      <w:r w:rsidRPr="00A73501">
        <w:rPr>
          <w:rFonts w:ascii="Arial" w:hAnsi="Arial" w:cs="Arial"/>
          <w:sz w:val="14"/>
          <w:szCs w:val="14"/>
          <w:lang w:val="en-US"/>
        </w:rPr>
        <w:t xml:space="preserve">. pp. 138-140. </w:t>
      </w:r>
      <w:r w:rsidRPr="00A73501">
        <w:rPr>
          <w:rFonts w:ascii="Arial" w:hAnsi="Arial" w:cs="Arial"/>
          <w:sz w:val="14"/>
          <w:szCs w:val="14"/>
        </w:rPr>
        <w:t xml:space="preserve">Disponible en: </w:t>
      </w:r>
      <w:hyperlink r:id="rId117" w:history="1">
        <w:r w:rsidRPr="00A73501">
          <w:rPr>
            <w:rStyle w:val="Hipervnculo"/>
            <w:rFonts w:ascii="Arial" w:hAnsi="Arial" w:cs="Arial"/>
            <w:sz w:val="14"/>
            <w:szCs w:val="14"/>
          </w:rPr>
          <w:t>https://assets.publishing.service.gov.uk/media/56992242ed915d4747000026/BT_EE_final_report.pdf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4DD6" w14:textId="1D7F1B59" w:rsidR="007E0735" w:rsidRDefault="007E07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FDE1" w14:textId="3048F92E" w:rsidR="007E0735" w:rsidRPr="00A70D7D" w:rsidRDefault="007E0735">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E7D4" w14:textId="2EE8367D" w:rsidR="007E0735" w:rsidRDefault="007E07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516"/>
    <w:multiLevelType w:val="hybridMultilevel"/>
    <w:tmpl w:val="5B94B774"/>
    <w:lvl w:ilvl="0" w:tplc="FF16AC2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B32F5"/>
    <w:multiLevelType w:val="hybridMultilevel"/>
    <w:tmpl w:val="FE1061D2"/>
    <w:lvl w:ilvl="0" w:tplc="23327974">
      <w:start w:val="99"/>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8F274A"/>
    <w:multiLevelType w:val="hybridMultilevel"/>
    <w:tmpl w:val="E7CAE614"/>
    <w:lvl w:ilvl="0" w:tplc="2966B9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8063AE"/>
    <w:multiLevelType w:val="hybridMultilevel"/>
    <w:tmpl w:val="C6461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8B7464"/>
    <w:multiLevelType w:val="hybridMultilevel"/>
    <w:tmpl w:val="D6422C4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087E01BA"/>
    <w:multiLevelType w:val="hybridMultilevel"/>
    <w:tmpl w:val="C53C2D6A"/>
    <w:lvl w:ilvl="0" w:tplc="F4528786">
      <w:start w:val="1"/>
      <w:numFmt w:val="low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D8672B"/>
    <w:multiLevelType w:val="hybridMultilevel"/>
    <w:tmpl w:val="341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82617"/>
    <w:multiLevelType w:val="hybridMultilevel"/>
    <w:tmpl w:val="E9A05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254067"/>
    <w:multiLevelType w:val="hybridMultilevel"/>
    <w:tmpl w:val="056AF86E"/>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316976"/>
    <w:multiLevelType w:val="hybridMultilevel"/>
    <w:tmpl w:val="26DC1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9A1DA3"/>
    <w:multiLevelType w:val="hybridMultilevel"/>
    <w:tmpl w:val="6B865AC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DB7749"/>
    <w:multiLevelType w:val="hybridMultilevel"/>
    <w:tmpl w:val="84D43EA8"/>
    <w:lvl w:ilvl="0" w:tplc="40EAA5A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31694A"/>
    <w:multiLevelType w:val="multilevel"/>
    <w:tmpl w:val="06706274"/>
    <w:lvl w:ilvl="0">
      <w:start w:val="1"/>
      <w:numFmt w:val="decimal"/>
      <w:lvlText w:val="%1."/>
      <w:lvlJc w:val="left"/>
      <w:pPr>
        <w:ind w:left="567" w:hanging="360"/>
      </w:pPr>
      <w:rPr>
        <w:rFonts w:hint="default"/>
        <w:sz w:val="26"/>
        <w:szCs w:val="26"/>
      </w:rPr>
    </w:lvl>
    <w:lvl w:ilvl="1">
      <w:start w:val="1"/>
      <w:numFmt w:val="decimal"/>
      <w:isLgl/>
      <w:lvlText w:val="%1.%2."/>
      <w:lvlJc w:val="left"/>
      <w:pPr>
        <w:ind w:left="1134" w:hanging="720"/>
      </w:pPr>
      <w:rPr>
        <w:rFonts w:hint="default"/>
      </w:rPr>
    </w:lvl>
    <w:lvl w:ilvl="2">
      <w:start w:val="1"/>
      <w:numFmt w:val="decimal"/>
      <w:isLgl/>
      <w:lvlText w:val="%1.%2.%3."/>
      <w:lvlJc w:val="left"/>
      <w:pPr>
        <w:ind w:left="1341" w:hanging="720"/>
      </w:pPr>
      <w:rPr>
        <w:rFonts w:hint="default"/>
      </w:rPr>
    </w:lvl>
    <w:lvl w:ilvl="3">
      <w:start w:val="1"/>
      <w:numFmt w:val="decimal"/>
      <w:isLgl/>
      <w:lvlText w:val="%1.%2.%3.%4."/>
      <w:lvlJc w:val="left"/>
      <w:pPr>
        <w:ind w:left="1908" w:hanging="1080"/>
      </w:pPr>
      <w:rPr>
        <w:rFonts w:hint="default"/>
        <w:lang w:val="es-MX"/>
      </w:rPr>
    </w:lvl>
    <w:lvl w:ilvl="4">
      <w:start w:val="1"/>
      <w:numFmt w:val="decimal"/>
      <w:isLgl/>
      <w:lvlText w:val="%1.%2.%3.%4.%5."/>
      <w:lvlJc w:val="left"/>
      <w:pPr>
        <w:ind w:left="2115"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663" w:hanging="1800"/>
      </w:pPr>
      <w:rPr>
        <w:rFonts w:hint="default"/>
      </w:rPr>
    </w:lvl>
  </w:abstractNum>
  <w:abstractNum w:abstractNumId="13" w15:restartNumberingAfterBreak="0">
    <w:nsid w:val="1929718B"/>
    <w:multiLevelType w:val="hybridMultilevel"/>
    <w:tmpl w:val="792E34E0"/>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FF10CA"/>
    <w:multiLevelType w:val="hybridMultilevel"/>
    <w:tmpl w:val="7C8EBDA4"/>
    <w:lvl w:ilvl="0" w:tplc="080A0001">
      <w:start w:val="1"/>
      <w:numFmt w:val="bullet"/>
      <w:lvlText w:val=""/>
      <w:lvlJc w:val="left"/>
      <w:pPr>
        <w:ind w:left="1658" w:hanging="360"/>
      </w:pPr>
      <w:rPr>
        <w:rFonts w:ascii="Symbol" w:hAnsi="Symbol" w:hint="default"/>
      </w:rPr>
    </w:lvl>
    <w:lvl w:ilvl="1" w:tplc="080A0003" w:tentative="1">
      <w:start w:val="1"/>
      <w:numFmt w:val="bullet"/>
      <w:lvlText w:val="o"/>
      <w:lvlJc w:val="left"/>
      <w:pPr>
        <w:ind w:left="2378" w:hanging="360"/>
      </w:pPr>
      <w:rPr>
        <w:rFonts w:ascii="Courier New" w:hAnsi="Courier New" w:cs="Courier New" w:hint="default"/>
      </w:rPr>
    </w:lvl>
    <w:lvl w:ilvl="2" w:tplc="080A0005" w:tentative="1">
      <w:start w:val="1"/>
      <w:numFmt w:val="bullet"/>
      <w:lvlText w:val=""/>
      <w:lvlJc w:val="left"/>
      <w:pPr>
        <w:ind w:left="3098" w:hanging="360"/>
      </w:pPr>
      <w:rPr>
        <w:rFonts w:ascii="Wingdings" w:hAnsi="Wingdings" w:hint="default"/>
      </w:rPr>
    </w:lvl>
    <w:lvl w:ilvl="3" w:tplc="080A0001" w:tentative="1">
      <w:start w:val="1"/>
      <w:numFmt w:val="bullet"/>
      <w:lvlText w:val=""/>
      <w:lvlJc w:val="left"/>
      <w:pPr>
        <w:ind w:left="3818" w:hanging="360"/>
      </w:pPr>
      <w:rPr>
        <w:rFonts w:ascii="Symbol" w:hAnsi="Symbol" w:hint="default"/>
      </w:rPr>
    </w:lvl>
    <w:lvl w:ilvl="4" w:tplc="080A0003" w:tentative="1">
      <w:start w:val="1"/>
      <w:numFmt w:val="bullet"/>
      <w:lvlText w:val="o"/>
      <w:lvlJc w:val="left"/>
      <w:pPr>
        <w:ind w:left="4538" w:hanging="360"/>
      </w:pPr>
      <w:rPr>
        <w:rFonts w:ascii="Courier New" w:hAnsi="Courier New" w:cs="Courier New" w:hint="default"/>
      </w:rPr>
    </w:lvl>
    <w:lvl w:ilvl="5" w:tplc="080A0005" w:tentative="1">
      <w:start w:val="1"/>
      <w:numFmt w:val="bullet"/>
      <w:lvlText w:val=""/>
      <w:lvlJc w:val="left"/>
      <w:pPr>
        <w:ind w:left="5258" w:hanging="360"/>
      </w:pPr>
      <w:rPr>
        <w:rFonts w:ascii="Wingdings" w:hAnsi="Wingdings" w:hint="default"/>
      </w:rPr>
    </w:lvl>
    <w:lvl w:ilvl="6" w:tplc="080A0001" w:tentative="1">
      <w:start w:val="1"/>
      <w:numFmt w:val="bullet"/>
      <w:lvlText w:val=""/>
      <w:lvlJc w:val="left"/>
      <w:pPr>
        <w:ind w:left="5978" w:hanging="360"/>
      </w:pPr>
      <w:rPr>
        <w:rFonts w:ascii="Symbol" w:hAnsi="Symbol" w:hint="default"/>
      </w:rPr>
    </w:lvl>
    <w:lvl w:ilvl="7" w:tplc="080A0003" w:tentative="1">
      <w:start w:val="1"/>
      <w:numFmt w:val="bullet"/>
      <w:lvlText w:val="o"/>
      <w:lvlJc w:val="left"/>
      <w:pPr>
        <w:ind w:left="6698" w:hanging="360"/>
      </w:pPr>
      <w:rPr>
        <w:rFonts w:ascii="Courier New" w:hAnsi="Courier New" w:cs="Courier New" w:hint="default"/>
      </w:rPr>
    </w:lvl>
    <w:lvl w:ilvl="8" w:tplc="080A0005" w:tentative="1">
      <w:start w:val="1"/>
      <w:numFmt w:val="bullet"/>
      <w:lvlText w:val=""/>
      <w:lvlJc w:val="left"/>
      <w:pPr>
        <w:ind w:left="7418" w:hanging="360"/>
      </w:pPr>
      <w:rPr>
        <w:rFonts w:ascii="Wingdings" w:hAnsi="Wingdings" w:hint="default"/>
      </w:rPr>
    </w:lvl>
  </w:abstractNum>
  <w:abstractNum w:abstractNumId="15" w15:restartNumberingAfterBreak="0">
    <w:nsid w:val="1DE165BD"/>
    <w:multiLevelType w:val="hybridMultilevel"/>
    <w:tmpl w:val="A7A60D36"/>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1FA65B07"/>
    <w:multiLevelType w:val="hybridMultilevel"/>
    <w:tmpl w:val="4EF8054C"/>
    <w:lvl w:ilvl="0" w:tplc="A956E7EE">
      <w:start w:val="1"/>
      <w:numFmt w:val="lowerRoman"/>
      <w:lvlText w:val="%1)"/>
      <w:lvlJc w:val="left"/>
      <w:pPr>
        <w:ind w:left="1211" w:hanging="360"/>
      </w:pPr>
      <w:rPr>
        <w:rFonts w:ascii="ITC Avant Garde" w:eastAsia="Calibri" w:hAnsi="ITC Avant Garde" w:cs="Times New Roman"/>
        <w:i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1FBD40A5"/>
    <w:multiLevelType w:val="hybridMultilevel"/>
    <w:tmpl w:val="9A42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B5326D"/>
    <w:multiLevelType w:val="hybridMultilevel"/>
    <w:tmpl w:val="69F45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7D3D4A"/>
    <w:multiLevelType w:val="hybridMultilevel"/>
    <w:tmpl w:val="122A1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AC3864"/>
    <w:multiLevelType w:val="hybridMultilevel"/>
    <w:tmpl w:val="2E8AC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1B2DB3"/>
    <w:multiLevelType w:val="hybridMultilevel"/>
    <w:tmpl w:val="2BACE008"/>
    <w:lvl w:ilvl="0" w:tplc="080A0001">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250F29"/>
    <w:multiLevelType w:val="hybridMultilevel"/>
    <w:tmpl w:val="A0D0C80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264E3A2F"/>
    <w:multiLevelType w:val="hybridMultilevel"/>
    <w:tmpl w:val="9D266B9E"/>
    <w:lvl w:ilvl="0" w:tplc="E44263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141D96"/>
    <w:multiLevelType w:val="hybridMultilevel"/>
    <w:tmpl w:val="5FD6F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116B0E"/>
    <w:multiLevelType w:val="hybridMultilevel"/>
    <w:tmpl w:val="A3B87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BB87C6F"/>
    <w:multiLevelType w:val="hybridMultilevel"/>
    <w:tmpl w:val="E44A9A9C"/>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D572400"/>
    <w:multiLevelType w:val="hybridMultilevel"/>
    <w:tmpl w:val="9E84A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D8D246F"/>
    <w:multiLevelType w:val="hybridMultilevel"/>
    <w:tmpl w:val="031A6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E4D6FF6"/>
    <w:multiLevelType w:val="hybridMultilevel"/>
    <w:tmpl w:val="E246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F33067D"/>
    <w:multiLevelType w:val="hybridMultilevel"/>
    <w:tmpl w:val="40C2CA2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FA2072D"/>
    <w:multiLevelType w:val="hybridMultilevel"/>
    <w:tmpl w:val="B5D2C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0CD63CD"/>
    <w:multiLevelType w:val="hybridMultilevel"/>
    <w:tmpl w:val="FCF842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657C3D"/>
    <w:multiLevelType w:val="hybridMultilevel"/>
    <w:tmpl w:val="10A4D846"/>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4" w15:restartNumberingAfterBreak="0">
    <w:nsid w:val="36D241E5"/>
    <w:multiLevelType w:val="hybridMultilevel"/>
    <w:tmpl w:val="4A0409EE"/>
    <w:lvl w:ilvl="0" w:tplc="40E62A2C">
      <w:start w:val="1"/>
      <w:numFmt w:val="decimal"/>
      <w:lvlText w:val="Figura %1."/>
      <w:lvlJc w:val="left"/>
      <w:pPr>
        <w:ind w:left="2160" w:hanging="360"/>
      </w:pPr>
      <w:rPr>
        <w:rFonts w:ascii="Arial" w:hAnsi="Arial" w:cs="Arial" w:hint="default"/>
        <w:b/>
        <w:i w:val="0"/>
        <w:color w:val="auto"/>
        <w:sz w:val="22"/>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5" w15:restartNumberingAfterBreak="0">
    <w:nsid w:val="38CB7C6A"/>
    <w:multiLevelType w:val="hybridMultilevel"/>
    <w:tmpl w:val="CBF62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812F03"/>
    <w:multiLevelType w:val="hybridMultilevel"/>
    <w:tmpl w:val="6B34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C82FA6"/>
    <w:multiLevelType w:val="hybridMultilevel"/>
    <w:tmpl w:val="9D1E0E4E"/>
    <w:lvl w:ilvl="0" w:tplc="2DEE50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EE769D3"/>
    <w:multiLevelType w:val="hybridMultilevel"/>
    <w:tmpl w:val="43ACA96E"/>
    <w:lvl w:ilvl="0" w:tplc="86B445CC">
      <w:start w:val="1"/>
      <w:numFmt w:val="lowerRoman"/>
      <w:lvlText w:val="%1)"/>
      <w:lvlJc w:val="left"/>
      <w:pPr>
        <w:ind w:left="1080" w:hanging="720"/>
      </w:pPr>
      <w:rPr>
        <w:rFonts w:hint="default"/>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EF623D3"/>
    <w:multiLevelType w:val="hybridMultilevel"/>
    <w:tmpl w:val="697C589A"/>
    <w:lvl w:ilvl="0" w:tplc="87CC1ADA">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1506351"/>
    <w:multiLevelType w:val="hybridMultilevel"/>
    <w:tmpl w:val="CF36C684"/>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1" w15:restartNumberingAfterBreak="0">
    <w:nsid w:val="419071AF"/>
    <w:multiLevelType w:val="hybridMultilevel"/>
    <w:tmpl w:val="DEFE542A"/>
    <w:lvl w:ilvl="0" w:tplc="47669926">
      <w:start w:val="1"/>
      <w:numFmt w:val="decimal"/>
      <w:lvlText w:val="%1."/>
      <w:lvlJc w:val="left"/>
      <w:pPr>
        <w:ind w:left="720" w:hanging="360"/>
      </w:pPr>
      <w:rPr>
        <w:rFonts w:cs="TimesNewRomanPSMT-Identity-H"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94150A"/>
    <w:multiLevelType w:val="hybridMultilevel"/>
    <w:tmpl w:val="C4186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22C56FE"/>
    <w:multiLevelType w:val="hybridMultilevel"/>
    <w:tmpl w:val="1C94C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5046E99"/>
    <w:multiLevelType w:val="hybridMultilevel"/>
    <w:tmpl w:val="02C227B0"/>
    <w:lvl w:ilvl="0" w:tplc="A56463DA">
      <w:start w:val="1"/>
      <w:numFmt w:val="decimal"/>
      <w:pStyle w:val="Subtema"/>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47A71632"/>
    <w:multiLevelType w:val="hybridMultilevel"/>
    <w:tmpl w:val="34BEC6C6"/>
    <w:lvl w:ilvl="0" w:tplc="2DEE50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A2825E0"/>
    <w:multiLevelType w:val="hybridMultilevel"/>
    <w:tmpl w:val="68EC8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E804D33"/>
    <w:multiLevelType w:val="hybridMultilevel"/>
    <w:tmpl w:val="8F60D116"/>
    <w:lvl w:ilvl="0" w:tplc="9740E2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0AC1590"/>
    <w:multiLevelType w:val="hybridMultilevel"/>
    <w:tmpl w:val="D2743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3E11E53"/>
    <w:multiLevelType w:val="hybridMultilevel"/>
    <w:tmpl w:val="22CC6990"/>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40228E9"/>
    <w:multiLevelType w:val="hybridMultilevel"/>
    <w:tmpl w:val="3C282AC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4D41254"/>
    <w:multiLevelType w:val="hybridMultilevel"/>
    <w:tmpl w:val="959E44E8"/>
    <w:lvl w:ilvl="0" w:tplc="080A0001">
      <w:start w:val="1"/>
      <w:numFmt w:val="bullet"/>
      <w:lvlText w:val=""/>
      <w:lvlJc w:val="left"/>
      <w:pPr>
        <w:ind w:left="1080" w:hanging="720"/>
      </w:pPr>
      <w:rPr>
        <w:rFonts w:ascii="Symbol" w:hAnsi="Symbol"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79662B8"/>
    <w:multiLevelType w:val="hybridMultilevel"/>
    <w:tmpl w:val="10DAC880"/>
    <w:lvl w:ilvl="0" w:tplc="2C2AAD1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7BD2313"/>
    <w:multiLevelType w:val="hybridMultilevel"/>
    <w:tmpl w:val="B0A43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7F2181D"/>
    <w:multiLevelType w:val="hybridMultilevel"/>
    <w:tmpl w:val="BCB29DF8"/>
    <w:lvl w:ilvl="0" w:tplc="A5DA19B8">
      <w:start w:val="1"/>
      <w:numFmt w:val="lowerRoman"/>
      <w:lvlText w:val="%1)"/>
      <w:lvlJc w:val="left"/>
      <w:pPr>
        <w:ind w:left="1211" w:hanging="360"/>
      </w:pPr>
      <w:rPr>
        <w:rFonts w:ascii="ITC Avant Garde" w:eastAsia="Calibri" w:hAnsi="ITC Avant Garde" w:cs="Times New Roman"/>
        <w:i w:val="0"/>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5" w15:restartNumberingAfterBreak="0">
    <w:nsid w:val="58D36A0A"/>
    <w:multiLevelType w:val="hybridMultilevel"/>
    <w:tmpl w:val="4D02AC36"/>
    <w:lvl w:ilvl="0" w:tplc="8A02FF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AE505E"/>
    <w:multiLevelType w:val="hybridMultilevel"/>
    <w:tmpl w:val="CBDEB01C"/>
    <w:lvl w:ilvl="0" w:tplc="7834F5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05F772D"/>
    <w:multiLevelType w:val="hybridMultilevel"/>
    <w:tmpl w:val="9B8CB57C"/>
    <w:lvl w:ilvl="0" w:tplc="080A0001">
      <w:start w:val="1"/>
      <w:numFmt w:val="bullet"/>
      <w:lvlText w:val=""/>
      <w:lvlJc w:val="left"/>
      <w:pPr>
        <w:ind w:left="1080" w:hanging="72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0DE5FE1"/>
    <w:multiLevelType w:val="hybridMultilevel"/>
    <w:tmpl w:val="C7129778"/>
    <w:lvl w:ilvl="0" w:tplc="A74ED1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105578E"/>
    <w:multiLevelType w:val="hybridMultilevel"/>
    <w:tmpl w:val="49CA4AD0"/>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10E2E03"/>
    <w:multiLevelType w:val="hybridMultilevel"/>
    <w:tmpl w:val="C4A8E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5DC7140"/>
    <w:multiLevelType w:val="hybridMultilevel"/>
    <w:tmpl w:val="F52AF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DCE389A"/>
    <w:multiLevelType w:val="hybridMultilevel"/>
    <w:tmpl w:val="4878AB3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255743F"/>
    <w:multiLevelType w:val="hybridMultilevel"/>
    <w:tmpl w:val="B2A28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6AE35B5"/>
    <w:multiLevelType w:val="hybridMultilevel"/>
    <w:tmpl w:val="511E5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7124BEB"/>
    <w:multiLevelType w:val="hybridMultilevel"/>
    <w:tmpl w:val="84925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98366D1"/>
    <w:multiLevelType w:val="hybridMultilevel"/>
    <w:tmpl w:val="6E1E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9D71064"/>
    <w:multiLevelType w:val="hybridMultilevel"/>
    <w:tmpl w:val="FF8A1DB2"/>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A097C73"/>
    <w:multiLevelType w:val="hybridMultilevel"/>
    <w:tmpl w:val="3A1A8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A927D4B"/>
    <w:multiLevelType w:val="hybridMultilevel"/>
    <w:tmpl w:val="D214D64A"/>
    <w:lvl w:ilvl="0" w:tplc="080A0001">
      <w:start w:val="1"/>
      <w:numFmt w:val="bullet"/>
      <w:lvlText w:val=""/>
      <w:lvlJc w:val="left"/>
      <w:pPr>
        <w:ind w:left="720" w:hanging="360"/>
      </w:pPr>
      <w:rPr>
        <w:rFonts w:ascii="Symbol" w:hAnsi="Symbol" w:hint="default"/>
      </w:rPr>
    </w:lvl>
    <w:lvl w:ilvl="1" w:tplc="ADB44B2C">
      <w:start w:val="1"/>
      <w:numFmt w:val="lowerRoman"/>
      <w:lvlText w:val="%2)"/>
      <w:lvlJc w:val="left"/>
      <w:pPr>
        <w:ind w:left="1440" w:hanging="360"/>
      </w:pPr>
      <w:rPr>
        <w:rFonts w:hint="default"/>
        <w:i w:val="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12"/>
  </w:num>
  <w:num w:numId="4">
    <w:abstractNumId w:val="39"/>
  </w:num>
  <w:num w:numId="5">
    <w:abstractNumId w:val="52"/>
  </w:num>
  <w:num w:numId="6">
    <w:abstractNumId w:val="37"/>
  </w:num>
  <w:num w:numId="7">
    <w:abstractNumId w:val="69"/>
  </w:num>
  <w:num w:numId="8">
    <w:abstractNumId w:val="13"/>
  </w:num>
  <w:num w:numId="9">
    <w:abstractNumId w:val="16"/>
  </w:num>
  <w:num w:numId="10">
    <w:abstractNumId w:val="54"/>
  </w:num>
  <w:num w:numId="11">
    <w:abstractNumId w:val="32"/>
  </w:num>
  <w:num w:numId="12">
    <w:abstractNumId w:val="6"/>
  </w:num>
  <w:num w:numId="13">
    <w:abstractNumId w:val="1"/>
  </w:num>
  <w:num w:numId="14">
    <w:abstractNumId w:val="22"/>
  </w:num>
  <w:num w:numId="15">
    <w:abstractNumId w:val="41"/>
  </w:num>
  <w:num w:numId="16">
    <w:abstractNumId w:val="38"/>
  </w:num>
  <w:num w:numId="17">
    <w:abstractNumId w:val="57"/>
  </w:num>
  <w:num w:numId="18">
    <w:abstractNumId w:val="28"/>
  </w:num>
  <w:num w:numId="19">
    <w:abstractNumId w:val="30"/>
  </w:num>
  <w:num w:numId="20">
    <w:abstractNumId w:val="51"/>
  </w:num>
  <w:num w:numId="21">
    <w:abstractNumId w:val="50"/>
  </w:num>
  <w:num w:numId="22">
    <w:abstractNumId w:val="8"/>
  </w:num>
  <w:num w:numId="23">
    <w:abstractNumId w:val="62"/>
  </w:num>
  <w:num w:numId="24">
    <w:abstractNumId w:val="49"/>
  </w:num>
  <w:num w:numId="25">
    <w:abstractNumId w:val="61"/>
  </w:num>
  <w:num w:numId="26">
    <w:abstractNumId w:val="65"/>
  </w:num>
  <w:num w:numId="27">
    <w:abstractNumId w:val="35"/>
  </w:num>
  <w:num w:numId="28">
    <w:abstractNumId w:val="26"/>
  </w:num>
  <w:num w:numId="29">
    <w:abstractNumId w:val="2"/>
  </w:num>
  <w:num w:numId="30">
    <w:abstractNumId w:val="47"/>
  </w:num>
  <w:num w:numId="31">
    <w:abstractNumId w:val="60"/>
  </w:num>
  <w:num w:numId="32">
    <w:abstractNumId w:val="24"/>
  </w:num>
  <w:num w:numId="33">
    <w:abstractNumId w:val="36"/>
  </w:num>
  <w:num w:numId="34">
    <w:abstractNumId w:val="59"/>
  </w:num>
  <w:num w:numId="35">
    <w:abstractNumId w:val="67"/>
  </w:num>
  <w:num w:numId="36">
    <w:abstractNumId w:val="42"/>
  </w:num>
  <w:num w:numId="37">
    <w:abstractNumId w:val="25"/>
  </w:num>
  <w:num w:numId="38">
    <w:abstractNumId w:val="68"/>
  </w:num>
  <w:num w:numId="39">
    <w:abstractNumId w:val="46"/>
  </w:num>
  <w:num w:numId="40">
    <w:abstractNumId w:val="0"/>
  </w:num>
  <w:num w:numId="41">
    <w:abstractNumId w:val="45"/>
  </w:num>
  <w:num w:numId="42">
    <w:abstractNumId w:val="34"/>
  </w:num>
  <w:num w:numId="43">
    <w:abstractNumId w:val="31"/>
  </w:num>
  <w:num w:numId="44">
    <w:abstractNumId w:val="14"/>
  </w:num>
  <w:num w:numId="45">
    <w:abstractNumId w:val="66"/>
  </w:num>
  <w:num w:numId="46">
    <w:abstractNumId w:val="53"/>
  </w:num>
  <w:num w:numId="47">
    <w:abstractNumId w:val="9"/>
  </w:num>
  <w:num w:numId="48">
    <w:abstractNumId w:val="20"/>
  </w:num>
  <w:num w:numId="49">
    <w:abstractNumId w:val="27"/>
  </w:num>
  <w:num w:numId="50">
    <w:abstractNumId w:val="17"/>
  </w:num>
  <w:num w:numId="51">
    <w:abstractNumId w:val="29"/>
  </w:num>
  <w:num w:numId="52">
    <w:abstractNumId w:val="33"/>
  </w:num>
  <w:num w:numId="53">
    <w:abstractNumId w:val="3"/>
  </w:num>
  <w:num w:numId="54">
    <w:abstractNumId w:val="7"/>
  </w:num>
  <w:num w:numId="55">
    <w:abstractNumId w:val="56"/>
  </w:num>
  <w:num w:numId="56">
    <w:abstractNumId w:val="55"/>
  </w:num>
  <w:num w:numId="57">
    <w:abstractNumId w:val="23"/>
  </w:num>
  <w:num w:numId="58">
    <w:abstractNumId w:val="21"/>
  </w:num>
  <w:num w:numId="59">
    <w:abstractNumId w:val="48"/>
  </w:num>
  <w:num w:numId="60">
    <w:abstractNumId w:val="4"/>
  </w:num>
  <w:num w:numId="61">
    <w:abstractNumId w:val="43"/>
  </w:num>
  <w:num w:numId="62">
    <w:abstractNumId w:val="19"/>
  </w:num>
  <w:num w:numId="63">
    <w:abstractNumId w:val="18"/>
  </w:num>
  <w:num w:numId="64">
    <w:abstractNumId w:val="63"/>
  </w:num>
  <w:num w:numId="65">
    <w:abstractNumId w:val="15"/>
  </w:num>
  <w:num w:numId="66">
    <w:abstractNumId w:val="58"/>
  </w:num>
  <w:num w:numId="67">
    <w:abstractNumId w:val="11"/>
  </w:num>
  <w:num w:numId="68">
    <w:abstractNumId w:val="64"/>
  </w:num>
  <w:num w:numId="69">
    <w:abstractNumId w:val="40"/>
  </w:num>
  <w:num w:numId="7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1E"/>
    <w:rsid w:val="0000008C"/>
    <w:rsid w:val="000003B8"/>
    <w:rsid w:val="0000059E"/>
    <w:rsid w:val="000005E0"/>
    <w:rsid w:val="0000084A"/>
    <w:rsid w:val="00000C4E"/>
    <w:rsid w:val="000011D8"/>
    <w:rsid w:val="00001DAD"/>
    <w:rsid w:val="00001E6D"/>
    <w:rsid w:val="00001F2B"/>
    <w:rsid w:val="000020E3"/>
    <w:rsid w:val="0000283A"/>
    <w:rsid w:val="000033FD"/>
    <w:rsid w:val="0000405E"/>
    <w:rsid w:val="00004068"/>
    <w:rsid w:val="00004516"/>
    <w:rsid w:val="0000504F"/>
    <w:rsid w:val="000051B7"/>
    <w:rsid w:val="00005F17"/>
    <w:rsid w:val="00006038"/>
    <w:rsid w:val="000060AA"/>
    <w:rsid w:val="0000643C"/>
    <w:rsid w:val="00007493"/>
    <w:rsid w:val="00007519"/>
    <w:rsid w:val="000100B6"/>
    <w:rsid w:val="000102F8"/>
    <w:rsid w:val="000105A9"/>
    <w:rsid w:val="000105DF"/>
    <w:rsid w:val="00011BB5"/>
    <w:rsid w:val="00011D50"/>
    <w:rsid w:val="00012429"/>
    <w:rsid w:val="00012DE4"/>
    <w:rsid w:val="0001390B"/>
    <w:rsid w:val="00013B68"/>
    <w:rsid w:val="00013B97"/>
    <w:rsid w:val="00013C3D"/>
    <w:rsid w:val="00013DA6"/>
    <w:rsid w:val="00014E15"/>
    <w:rsid w:val="0001534D"/>
    <w:rsid w:val="00015BB9"/>
    <w:rsid w:val="00015C6E"/>
    <w:rsid w:val="000161DF"/>
    <w:rsid w:val="00016485"/>
    <w:rsid w:val="00016498"/>
    <w:rsid w:val="00020398"/>
    <w:rsid w:val="000208DB"/>
    <w:rsid w:val="000209DA"/>
    <w:rsid w:val="00020F2A"/>
    <w:rsid w:val="0002119E"/>
    <w:rsid w:val="00021C8E"/>
    <w:rsid w:val="00023045"/>
    <w:rsid w:val="00023520"/>
    <w:rsid w:val="00023864"/>
    <w:rsid w:val="00023B7A"/>
    <w:rsid w:val="00023D8C"/>
    <w:rsid w:val="0002400F"/>
    <w:rsid w:val="00024043"/>
    <w:rsid w:val="000242A8"/>
    <w:rsid w:val="00024744"/>
    <w:rsid w:val="000249F9"/>
    <w:rsid w:val="00024DF3"/>
    <w:rsid w:val="000257BE"/>
    <w:rsid w:val="000257CD"/>
    <w:rsid w:val="00025CEC"/>
    <w:rsid w:val="00025D90"/>
    <w:rsid w:val="00026306"/>
    <w:rsid w:val="000265CE"/>
    <w:rsid w:val="00026FAB"/>
    <w:rsid w:val="000271D0"/>
    <w:rsid w:val="000276AF"/>
    <w:rsid w:val="0002793A"/>
    <w:rsid w:val="00027AA9"/>
    <w:rsid w:val="000300A2"/>
    <w:rsid w:val="00030273"/>
    <w:rsid w:val="0003048F"/>
    <w:rsid w:val="000306A2"/>
    <w:rsid w:val="000306DF"/>
    <w:rsid w:val="00030AE1"/>
    <w:rsid w:val="00030E22"/>
    <w:rsid w:val="00030F6E"/>
    <w:rsid w:val="000313CE"/>
    <w:rsid w:val="0003172F"/>
    <w:rsid w:val="00032C32"/>
    <w:rsid w:val="000336D8"/>
    <w:rsid w:val="000336DD"/>
    <w:rsid w:val="00033B2E"/>
    <w:rsid w:val="00033B57"/>
    <w:rsid w:val="00033CFF"/>
    <w:rsid w:val="00033E53"/>
    <w:rsid w:val="0003401A"/>
    <w:rsid w:val="000341CB"/>
    <w:rsid w:val="000341ED"/>
    <w:rsid w:val="00034939"/>
    <w:rsid w:val="00034CF4"/>
    <w:rsid w:val="00034E73"/>
    <w:rsid w:val="00034F75"/>
    <w:rsid w:val="00035066"/>
    <w:rsid w:val="000353DC"/>
    <w:rsid w:val="0003560E"/>
    <w:rsid w:val="0003595F"/>
    <w:rsid w:val="00036051"/>
    <w:rsid w:val="00036210"/>
    <w:rsid w:val="00036A30"/>
    <w:rsid w:val="00036E63"/>
    <w:rsid w:val="00036FD5"/>
    <w:rsid w:val="000370DC"/>
    <w:rsid w:val="00037149"/>
    <w:rsid w:val="000378D5"/>
    <w:rsid w:val="00037A79"/>
    <w:rsid w:val="00040328"/>
    <w:rsid w:val="000403D4"/>
    <w:rsid w:val="000404B3"/>
    <w:rsid w:val="000407C6"/>
    <w:rsid w:val="00041508"/>
    <w:rsid w:val="00041BD0"/>
    <w:rsid w:val="000422E4"/>
    <w:rsid w:val="000425E8"/>
    <w:rsid w:val="000429FA"/>
    <w:rsid w:val="00042E50"/>
    <w:rsid w:val="00042F96"/>
    <w:rsid w:val="000437A7"/>
    <w:rsid w:val="000438EF"/>
    <w:rsid w:val="00043EE1"/>
    <w:rsid w:val="00043F49"/>
    <w:rsid w:val="00043F59"/>
    <w:rsid w:val="0004401D"/>
    <w:rsid w:val="00044031"/>
    <w:rsid w:val="0004445C"/>
    <w:rsid w:val="0004454B"/>
    <w:rsid w:val="0004459A"/>
    <w:rsid w:val="0004468D"/>
    <w:rsid w:val="00044D35"/>
    <w:rsid w:val="0004526E"/>
    <w:rsid w:val="00045396"/>
    <w:rsid w:val="00046562"/>
    <w:rsid w:val="00046BC5"/>
    <w:rsid w:val="00047315"/>
    <w:rsid w:val="00047600"/>
    <w:rsid w:val="000477A3"/>
    <w:rsid w:val="00047A1A"/>
    <w:rsid w:val="000505DA"/>
    <w:rsid w:val="000506C8"/>
    <w:rsid w:val="000509AF"/>
    <w:rsid w:val="00050C64"/>
    <w:rsid w:val="00050CF5"/>
    <w:rsid w:val="00050EC9"/>
    <w:rsid w:val="00051937"/>
    <w:rsid w:val="00052162"/>
    <w:rsid w:val="00052254"/>
    <w:rsid w:val="00052395"/>
    <w:rsid w:val="00052BA2"/>
    <w:rsid w:val="00053196"/>
    <w:rsid w:val="000539ED"/>
    <w:rsid w:val="000546A2"/>
    <w:rsid w:val="00054985"/>
    <w:rsid w:val="00054EC9"/>
    <w:rsid w:val="00055A25"/>
    <w:rsid w:val="00055D8E"/>
    <w:rsid w:val="00056922"/>
    <w:rsid w:val="000569A5"/>
    <w:rsid w:val="00056B59"/>
    <w:rsid w:val="00057B46"/>
    <w:rsid w:val="0006008F"/>
    <w:rsid w:val="00060E54"/>
    <w:rsid w:val="00061AD8"/>
    <w:rsid w:val="0006242F"/>
    <w:rsid w:val="0006244E"/>
    <w:rsid w:val="0006266F"/>
    <w:rsid w:val="00062738"/>
    <w:rsid w:val="0006290A"/>
    <w:rsid w:val="00063027"/>
    <w:rsid w:val="00063253"/>
    <w:rsid w:val="00063AAE"/>
    <w:rsid w:val="00063EDF"/>
    <w:rsid w:val="0006454F"/>
    <w:rsid w:val="00064C6F"/>
    <w:rsid w:val="000653B5"/>
    <w:rsid w:val="00065D84"/>
    <w:rsid w:val="00066092"/>
    <w:rsid w:val="000660BF"/>
    <w:rsid w:val="000664F1"/>
    <w:rsid w:val="00066902"/>
    <w:rsid w:val="00066EA8"/>
    <w:rsid w:val="00067078"/>
    <w:rsid w:val="000676A6"/>
    <w:rsid w:val="0006778B"/>
    <w:rsid w:val="000700AF"/>
    <w:rsid w:val="0007020D"/>
    <w:rsid w:val="00070A3F"/>
    <w:rsid w:val="00070CA8"/>
    <w:rsid w:val="00070DFB"/>
    <w:rsid w:val="000710F4"/>
    <w:rsid w:val="000712EC"/>
    <w:rsid w:val="0007146A"/>
    <w:rsid w:val="00071BEB"/>
    <w:rsid w:val="00071F87"/>
    <w:rsid w:val="000724D5"/>
    <w:rsid w:val="00072605"/>
    <w:rsid w:val="00072BE3"/>
    <w:rsid w:val="00073443"/>
    <w:rsid w:val="00073598"/>
    <w:rsid w:val="00073789"/>
    <w:rsid w:val="0007384C"/>
    <w:rsid w:val="00074972"/>
    <w:rsid w:val="00074974"/>
    <w:rsid w:val="00074B18"/>
    <w:rsid w:val="0007551E"/>
    <w:rsid w:val="00075E85"/>
    <w:rsid w:val="00075EF4"/>
    <w:rsid w:val="000760C8"/>
    <w:rsid w:val="000760D4"/>
    <w:rsid w:val="000767AA"/>
    <w:rsid w:val="00076E07"/>
    <w:rsid w:val="0007705D"/>
    <w:rsid w:val="00077FD9"/>
    <w:rsid w:val="00080A8C"/>
    <w:rsid w:val="00080B59"/>
    <w:rsid w:val="00080F25"/>
    <w:rsid w:val="0008121D"/>
    <w:rsid w:val="00081E09"/>
    <w:rsid w:val="000820C9"/>
    <w:rsid w:val="00082524"/>
    <w:rsid w:val="00082CA3"/>
    <w:rsid w:val="00083575"/>
    <w:rsid w:val="00084A61"/>
    <w:rsid w:val="00084EAB"/>
    <w:rsid w:val="00084F91"/>
    <w:rsid w:val="000855E8"/>
    <w:rsid w:val="00085605"/>
    <w:rsid w:val="000856FE"/>
    <w:rsid w:val="00085CF9"/>
    <w:rsid w:val="00085D21"/>
    <w:rsid w:val="00085F59"/>
    <w:rsid w:val="0008608E"/>
    <w:rsid w:val="0008657B"/>
    <w:rsid w:val="0008687F"/>
    <w:rsid w:val="00086930"/>
    <w:rsid w:val="000874F8"/>
    <w:rsid w:val="000876A1"/>
    <w:rsid w:val="00087CCB"/>
    <w:rsid w:val="00087D1A"/>
    <w:rsid w:val="00090C6B"/>
    <w:rsid w:val="00090E30"/>
    <w:rsid w:val="00091B48"/>
    <w:rsid w:val="00091DA8"/>
    <w:rsid w:val="00092CA9"/>
    <w:rsid w:val="000932A0"/>
    <w:rsid w:val="000932A8"/>
    <w:rsid w:val="00093AD3"/>
    <w:rsid w:val="0009443F"/>
    <w:rsid w:val="000946DC"/>
    <w:rsid w:val="00094C25"/>
    <w:rsid w:val="00094D79"/>
    <w:rsid w:val="00095A0A"/>
    <w:rsid w:val="00095CE7"/>
    <w:rsid w:val="00095D6B"/>
    <w:rsid w:val="00095DCD"/>
    <w:rsid w:val="00096A4F"/>
    <w:rsid w:val="00096B20"/>
    <w:rsid w:val="00096F77"/>
    <w:rsid w:val="00097012"/>
    <w:rsid w:val="0009724B"/>
    <w:rsid w:val="0009733A"/>
    <w:rsid w:val="00097CE7"/>
    <w:rsid w:val="000A01E5"/>
    <w:rsid w:val="000A0398"/>
    <w:rsid w:val="000A0579"/>
    <w:rsid w:val="000A06A8"/>
    <w:rsid w:val="000A0ECB"/>
    <w:rsid w:val="000A1359"/>
    <w:rsid w:val="000A13BB"/>
    <w:rsid w:val="000A13DB"/>
    <w:rsid w:val="000A1A56"/>
    <w:rsid w:val="000A315C"/>
    <w:rsid w:val="000A3C55"/>
    <w:rsid w:val="000A3E49"/>
    <w:rsid w:val="000A415C"/>
    <w:rsid w:val="000A4416"/>
    <w:rsid w:val="000A4631"/>
    <w:rsid w:val="000A4C4C"/>
    <w:rsid w:val="000A53E1"/>
    <w:rsid w:val="000A5B7B"/>
    <w:rsid w:val="000A5BF3"/>
    <w:rsid w:val="000A5E54"/>
    <w:rsid w:val="000A6094"/>
    <w:rsid w:val="000A63E7"/>
    <w:rsid w:val="000A6460"/>
    <w:rsid w:val="000A65D4"/>
    <w:rsid w:val="000A6D2F"/>
    <w:rsid w:val="000A70E3"/>
    <w:rsid w:val="000A74E0"/>
    <w:rsid w:val="000A77AD"/>
    <w:rsid w:val="000A785D"/>
    <w:rsid w:val="000A7B5D"/>
    <w:rsid w:val="000A7E32"/>
    <w:rsid w:val="000A7E4B"/>
    <w:rsid w:val="000B04B2"/>
    <w:rsid w:val="000B0BFF"/>
    <w:rsid w:val="000B0D0C"/>
    <w:rsid w:val="000B13BE"/>
    <w:rsid w:val="000B17AA"/>
    <w:rsid w:val="000B1932"/>
    <w:rsid w:val="000B194C"/>
    <w:rsid w:val="000B2278"/>
    <w:rsid w:val="000B2489"/>
    <w:rsid w:val="000B24AB"/>
    <w:rsid w:val="000B3985"/>
    <w:rsid w:val="000B3A32"/>
    <w:rsid w:val="000B4077"/>
    <w:rsid w:val="000B429D"/>
    <w:rsid w:val="000B482A"/>
    <w:rsid w:val="000B51BB"/>
    <w:rsid w:val="000B5F5F"/>
    <w:rsid w:val="000B63DB"/>
    <w:rsid w:val="000B7702"/>
    <w:rsid w:val="000C0367"/>
    <w:rsid w:val="000C0580"/>
    <w:rsid w:val="000C0726"/>
    <w:rsid w:val="000C0810"/>
    <w:rsid w:val="000C0A72"/>
    <w:rsid w:val="000C1123"/>
    <w:rsid w:val="000C12C9"/>
    <w:rsid w:val="000C14F7"/>
    <w:rsid w:val="000C1F58"/>
    <w:rsid w:val="000C2423"/>
    <w:rsid w:val="000C24A7"/>
    <w:rsid w:val="000C24EF"/>
    <w:rsid w:val="000C250D"/>
    <w:rsid w:val="000C26EA"/>
    <w:rsid w:val="000C2997"/>
    <w:rsid w:val="000C2A37"/>
    <w:rsid w:val="000C2D15"/>
    <w:rsid w:val="000C2E17"/>
    <w:rsid w:val="000C31A7"/>
    <w:rsid w:val="000C31EE"/>
    <w:rsid w:val="000C348E"/>
    <w:rsid w:val="000C35A3"/>
    <w:rsid w:val="000C39CB"/>
    <w:rsid w:val="000C3BBB"/>
    <w:rsid w:val="000C3C27"/>
    <w:rsid w:val="000C3E78"/>
    <w:rsid w:val="000C4681"/>
    <w:rsid w:val="000C4710"/>
    <w:rsid w:val="000C4725"/>
    <w:rsid w:val="000C480A"/>
    <w:rsid w:val="000C506B"/>
    <w:rsid w:val="000C541B"/>
    <w:rsid w:val="000C5D15"/>
    <w:rsid w:val="000C5DD7"/>
    <w:rsid w:val="000C6B88"/>
    <w:rsid w:val="000C6D67"/>
    <w:rsid w:val="000C7CFC"/>
    <w:rsid w:val="000D0003"/>
    <w:rsid w:val="000D0366"/>
    <w:rsid w:val="000D1278"/>
    <w:rsid w:val="000D18DE"/>
    <w:rsid w:val="000D245B"/>
    <w:rsid w:val="000D2960"/>
    <w:rsid w:val="000D321A"/>
    <w:rsid w:val="000D33FE"/>
    <w:rsid w:val="000D412E"/>
    <w:rsid w:val="000D427B"/>
    <w:rsid w:val="000D446E"/>
    <w:rsid w:val="000D4512"/>
    <w:rsid w:val="000D4831"/>
    <w:rsid w:val="000D4B64"/>
    <w:rsid w:val="000D4D84"/>
    <w:rsid w:val="000D5149"/>
    <w:rsid w:val="000D5167"/>
    <w:rsid w:val="000D5319"/>
    <w:rsid w:val="000D59FD"/>
    <w:rsid w:val="000D5AEF"/>
    <w:rsid w:val="000D5B5C"/>
    <w:rsid w:val="000D5BD5"/>
    <w:rsid w:val="000D5E2A"/>
    <w:rsid w:val="000D5F53"/>
    <w:rsid w:val="000D6756"/>
    <w:rsid w:val="000D681D"/>
    <w:rsid w:val="000D6C46"/>
    <w:rsid w:val="000D6E59"/>
    <w:rsid w:val="000D721B"/>
    <w:rsid w:val="000D7709"/>
    <w:rsid w:val="000D7DC1"/>
    <w:rsid w:val="000E00F7"/>
    <w:rsid w:val="000E01BE"/>
    <w:rsid w:val="000E05A7"/>
    <w:rsid w:val="000E09A3"/>
    <w:rsid w:val="000E0DE0"/>
    <w:rsid w:val="000E0F7A"/>
    <w:rsid w:val="000E14B7"/>
    <w:rsid w:val="000E1B4E"/>
    <w:rsid w:val="000E2146"/>
    <w:rsid w:val="000E2455"/>
    <w:rsid w:val="000E27A5"/>
    <w:rsid w:val="000E28EB"/>
    <w:rsid w:val="000E2B45"/>
    <w:rsid w:val="000E2F21"/>
    <w:rsid w:val="000E3251"/>
    <w:rsid w:val="000E330C"/>
    <w:rsid w:val="000E39C1"/>
    <w:rsid w:val="000E3D00"/>
    <w:rsid w:val="000E403E"/>
    <w:rsid w:val="000E44C0"/>
    <w:rsid w:val="000E4861"/>
    <w:rsid w:val="000E4A5D"/>
    <w:rsid w:val="000E5059"/>
    <w:rsid w:val="000E55CA"/>
    <w:rsid w:val="000E5654"/>
    <w:rsid w:val="000E5FBE"/>
    <w:rsid w:val="000E605D"/>
    <w:rsid w:val="000E660E"/>
    <w:rsid w:val="000E6697"/>
    <w:rsid w:val="000E6B0C"/>
    <w:rsid w:val="000E76FF"/>
    <w:rsid w:val="000F0206"/>
    <w:rsid w:val="000F043A"/>
    <w:rsid w:val="000F16DA"/>
    <w:rsid w:val="000F253B"/>
    <w:rsid w:val="000F29DF"/>
    <w:rsid w:val="000F3177"/>
    <w:rsid w:val="000F32C2"/>
    <w:rsid w:val="000F3ACA"/>
    <w:rsid w:val="000F3BB2"/>
    <w:rsid w:val="000F3EA2"/>
    <w:rsid w:val="000F3EA6"/>
    <w:rsid w:val="000F5308"/>
    <w:rsid w:val="000F600B"/>
    <w:rsid w:val="000F66F4"/>
    <w:rsid w:val="000F6C83"/>
    <w:rsid w:val="000F7432"/>
    <w:rsid w:val="000F745F"/>
    <w:rsid w:val="000F766A"/>
    <w:rsid w:val="000F7769"/>
    <w:rsid w:val="000F79CA"/>
    <w:rsid w:val="000F7AF9"/>
    <w:rsid w:val="000F7C7F"/>
    <w:rsid w:val="00100D07"/>
    <w:rsid w:val="00100F78"/>
    <w:rsid w:val="00101D4A"/>
    <w:rsid w:val="00102A23"/>
    <w:rsid w:val="00103767"/>
    <w:rsid w:val="001038F9"/>
    <w:rsid w:val="0010478A"/>
    <w:rsid w:val="00104C38"/>
    <w:rsid w:val="00104F60"/>
    <w:rsid w:val="001052B7"/>
    <w:rsid w:val="0010532A"/>
    <w:rsid w:val="00105791"/>
    <w:rsid w:val="001063C0"/>
    <w:rsid w:val="0010705F"/>
    <w:rsid w:val="0011084D"/>
    <w:rsid w:val="0011110E"/>
    <w:rsid w:val="00111898"/>
    <w:rsid w:val="00112A88"/>
    <w:rsid w:val="00112D6A"/>
    <w:rsid w:val="00112F31"/>
    <w:rsid w:val="0011312B"/>
    <w:rsid w:val="00113F84"/>
    <w:rsid w:val="001144FB"/>
    <w:rsid w:val="00114A7C"/>
    <w:rsid w:val="00114C82"/>
    <w:rsid w:val="00115005"/>
    <w:rsid w:val="0011578F"/>
    <w:rsid w:val="001157D6"/>
    <w:rsid w:val="00115D72"/>
    <w:rsid w:val="00116906"/>
    <w:rsid w:val="001169A5"/>
    <w:rsid w:val="00116A0B"/>
    <w:rsid w:val="00116A2A"/>
    <w:rsid w:val="00116F1A"/>
    <w:rsid w:val="00116FC9"/>
    <w:rsid w:val="0011712C"/>
    <w:rsid w:val="0011741B"/>
    <w:rsid w:val="00117A88"/>
    <w:rsid w:val="00117AB7"/>
    <w:rsid w:val="00117D84"/>
    <w:rsid w:val="00120280"/>
    <w:rsid w:val="00120366"/>
    <w:rsid w:val="0012036F"/>
    <w:rsid w:val="00120E3B"/>
    <w:rsid w:val="00120EA0"/>
    <w:rsid w:val="00121847"/>
    <w:rsid w:val="00121957"/>
    <w:rsid w:val="00121A24"/>
    <w:rsid w:val="001225E5"/>
    <w:rsid w:val="001226E5"/>
    <w:rsid w:val="00122CAF"/>
    <w:rsid w:val="00122EFB"/>
    <w:rsid w:val="00123966"/>
    <w:rsid w:val="00123B98"/>
    <w:rsid w:val="00124502"/>
    <w:rsid w:val="00124E70"/>
    <w:rsid w:val="00124FB3"/>
    <w:rsid w:val="001250F7"/>
    <w:rsid w:val="001251C9"/>
    <w:rsid w:val="00125571"/>
    <w:rsid w:val="00125721"/>
    <w:rsid w:val="0012576D"/>
    <w:rsid w:val="00125895"/>
    <w:rsid w:val="00125D4D"/>
    <w:rsid w:val="00125DD1"/>
    <w:rsid w:val="00125E5C"/>
    <w:rsid w:val="001261C7"/>
    <w:rsid w:val="001263C5"/>
    <w:rsid w:val="001264C4"/>
    <w:rsid w:val="00126622"/>
    <w:rsid w:val="00126BFB"/>
    <w:rsid w:val="0012707C"/>
    <w:rsid w:val="00127329"/>
    <w:rsid w:val="00127619"/>
    <w:rsid w:val="00127D2E"/>
    <w:rsid w:val="0013033D"/>
    <w:rsid w:val="00130461"/>
    <w:rsid w:val="0013060F"/>
    <w:rsid w:val="00130B89"/>
    <w:rsid w:val="00131268"/>
    <w:rsid w:val="001314CA"/>
    <w:rsid w:val="001314DD"/>
    <w:rsid w:val="00131EF2"/>
    <w:rsid w:val="00132322"/>
    <w:rsid w:val="001325F5"/>
    <w:rsid w:val="001328C3"/>
    <w:rsid w:val="00132E81"/>
    <w:rsid w:val="00133B10"/>
    <w:rsid w:val="00134458"/>
    <w:rsid w:val="00134599"/>
    <w:rsid w:val="001346B6"/>
    <w:rsid w:val="00134C62"/>
    <w:rsid w:val="00134D27"/>
    <w:rsid w:val="001350CB"/>
    <w:rsid w:val="00135630"/>
    <w:rsid w:val="001356A5"/>
    <w:rsid w:val="00136177"/>
    <w:rsid w:val="00136538"/>
    <w:rsid w:val="001372F1"/>
    <w:rsid w:val="0013787F"/>
    <w:rsid w:val="00140169"/>
    <w:rsid w:val="001406C0"/>
    <w:rsid w:val="001406F7"/>
    <w:rsid w:val="00140742"/>
    <w:rsid w:val="001414FD"/>
    <w:rsid w:val="00141B7F"/>
    <w:rsid w:val="00141C06"/>
    <w:rsid w:val="00141C4F"/>
    <w:rsid w:val="00141C9F"/>
    <w:rsid w:val="00141F4D"/>
    <w:rsid w:val="00142414"/>
    <w:rsid w:val="00142E84"/>
    <w:rsid w:val="00142E95"/>
    <w:rsid w:val="00142FE7"/>
    <w:rsid w:val="00142FF5"/>
    <w:rsid w:val="00144013"/>
    <w:rsid w:val="001440B1"/>
    <w:rsid w:val="001445DD"/>
    <w:rsid w:val="00144694"/>
    <w:rsid w:val="00145263"/>
    <w:rsid w:val="0014540D"/>
    <w:rsid w:val="0014588A"/>
    <w:rsid w:val="0014611C"/>
    <w:rsid w:val="00146348"/>
    <w:rsid w:val="001463A0"/>
    <w:rsid w:val="00146455"/>
    <w:rsid w:val="0014696C"/>
    <w:rsid w:val="0014713C"/>
    <w:rsid w:val="0014718A"/>
    <w:rsid w:val="00147BAA"/>
    <w:rsid w:val="00147D39"/>
    <w:rsid w:val="00147D55"/>
    <w:rsid w:val="00147E8F"/>
    <w:rsid w:val="0015001C"/>
    <w:rsid w:val="001503E6"/>
    <w:rsid w:val="00150512"/>
    <w:rsid w:val="001512D2"/>
    <w:rsid w:val="0015161D"/>
    <w:rsid w:val="00151845"/>
    <w:rsid w:val="001521DF"/>
    <w:rsid w:val="0015319E"/>
    <w:rsid w:val="00153D66"/>
    <w:rsid w:val="00154147"/>
    <w:rsid w:val="0015431A"/>
    <w:rsid w:val="0015448C"/>
    <w:rsid w:val="001544DB"/>
    <w:rsid w:val="00154DDC"/>
    <w:rsid w:val="00154E5C"/>
    <w:rsid w:val="0015505F"/>
    <w:rsid w:val="00155533"/>
    <w:rsid w:val="00155D15"/>
    <w:rsid w:val="00156184"/>
    <w:rsid w:val="001563DE"/>
    <w:rsid w:val="00156930"/>
    <w:rsid w:val="001572EF"/>
    <w:rsid w:val="00157577"/>
    <w:rsid w:val="0015778C"/>
    <w:rsid w:val="00157952"/>
    <w:rsid w:val="00157AA6"/>
    <w:rsid w:val="00157C1C"/>
    <w:rsid w:val="00157F15"/>
    <w:rsid w:val="001600DD"/>
    <w:rsid w:val="0016015B"/>
    <w:rsid w:val="00160AF5"/>
    <w:rsid w:val="00160D04"/>
    <w:rsid w:val="00160D1E"/>
    <w:rsid w:val="00161009"/>
    <w:rsid w:val="00161580"/>
    <w:rsid w:val="001619D2"/>
    <w:rsid w:val="00161D3F"/>
    <w:rsid w:val="00161ED5"/>
    <w:rsid w:val="00162728"/>
    <w:rsid w:val="00162A90"/>
    <w:rsid w:val="00162AB5"/>
    <w:rsid w:val="00162DD3"/>
    <w:rsid w:val="0016300C"/>
    <w:rsid w:val="001634E2"/>
    <w:rsid w:val="0016358E"/>
    <w:rsid w:val="00163665"/>
    <w:rsid w:val="0016404C"/>
    <w:rsid w:val="001640FE"/>
    <w:rsid w:val="0016438C"/>
    <w:rsid w:val="001649B6"/>
    <w:rsid w:val="001650B4"/>
    <w:rsid w:val="0016549F"/>
    <w:rsid w:val="00165B78"/>
    <w:rsid w:val="00165CA5"/>
    <w:rsid w:val="00165DAA"/>
    <w:rsid w:val="00165E56"/>
    <w:rsid w:val="00166538"/>
    <w:rsid w:val="001669AD"/>
    <w:rsid w:val="00166D15"/>
    <w:rsid w:val="00167D71"/>
    <w:rsid w:val="00170AA4"/>
    <w:rsid w:val="00170BD5"/>
    <w:rsid w:val="00170D4B"/>
    <w:rsid w:val="00171399"/>
    <w:rsid w:val="0017157B"/>
    <w:rsid w:val="00172297"/>
    <w:rsid w:val="00172590"/>
    <w:rsid w:val="001725D6"/>
    <w:rsid w:val="00172F88"/>
    <w:rsid w:val="00173BDB"/>
    <w:rsid w:val="00173EE1"/>
    <w:rsid w:val="00173F32"/>
    <w:rsid w:val="00174715"/>
    <w:rsid w:val="001750A0"/>
    <w:rsid w:val="0017529C"/>
    <w:rsid w:val="00175700"/>
    <w:rsid w:val="00175726"/>
    <w:rsid w:val="00175856"/>
    <w:rsid w:val="00176767"/>
    <w:rsid w:val="0017780F"/>
    <w:rsid w:val="0017785F"/>
    <w:rsid w:val="0017791A"/>
    <w:rsid w:val="00177A01"/>
    <w:rsid w:val="00177F11"/>
    <w:rsid w:val="0018001B"/>
    <w:rsid w:val="00180389"/>
    <w:rsid w:val="00180A04"/>
    <w:rsid w:val="00180E60"/>
    <w:rsid w:val="00180FA5"/>
    <w:rsid w:val="00181776"/>
    <w:rsid w:val="00181E30"/>
    <w:rsid w:val="00182326"/>
    <w:rsid w:val="0018237A"/>
    <w:rsid w:val="00182500"/>
    <w:rsid w:val="00182932"/>
    <w:rsid w:val="00182A3D"/>
    <w:rsid w:val="00182D67"/>
    <w:rsid w:val="001831D6"/>
    <w:rsid w:val="00183470"/>
    <w:rsid w:val="00183FA1"/>
    <w:rsid w:val="00184295"/>
    <w:rsid w:val="0018486C"/>
    <w:rsid w:val="001848E2"/>
    <w:rsid w:val="00184D19"/>
    <w:rsid w:val="00184DD1"/>
    <w:rsid w:val="00185122"/>
    <w:rsid w:val="00185573"/>
    <w:rsid w:val="00185C0D"/>
    <w:rsid w:val="00185D36"/>
    <w:rsid w:val="00186960"/>
    <w:rsid w:val="001877AE"/>
    <w:rsid w:val="001879BB"/>
    <w:rsid w:val="00187A1C"/>
    <w:rsid w:val="00187EC1"/>
    <w:rsid w:val="0019036A"/>
    <w:rsid w:val="00190C2E"/>
    <w:rsid w:val="001910A3"/>
    <w:rsid w:val="001911E5"/>
    <w:rsid w:val="00191FD6"/>
    <w:rsid w:val="00192B16"/>
    <w:rsid w:val="001930BF"/>
    <w:rsid w:val="001932A5"/>
    <w:rsid w:val="001932FE"/>
    <w:rsid w:val="00193408"/>
    <w:rsid w:val="001937D0"/>
    <w:rsid w:val="001937EE"/>
    <w:rsid w:val="00193AA2"/>
    <w:rsid w:val="00194024"/>
    <w:rsid w:val="001940CC"/>
    <w:rsid w:val="00194B45"/>
    <w:rsid w:val="00194C9D"/>
    <w:rsid w:val="001959BF"/>
    <w:rsid w:val="00195A52"/>
    <w:rsid w:val="00196232"/>
    <w:rsid w:val="001962B8"/>
    <w:rsid w:val="0019633E"/>
    <w:rsid w:val="00196468"/>
    <w:rsid w:val="001969D6"/>
    <w:rsid w:val="0019783A"/>
    <w:rsid w:val="0019795F"/>
    <w:rsid w:val="00197979"/>
    <w:rsid w:val="001979D0"/>
    <w:rsid w:val="00197A36"/>
    <w:rsid w:val="001A0661"/>
    <w:rsid w:val="001A0814"/>
    <w:rsid w:val="001A0A96"/>
    <w:rsid w:val="001A0ABF"/>
    <w:rsid w:val="001A0E88"/>
    <w:rsid w:val="001A1FE7"/>
    <w:rsid w:val="001A241B"/>
    <w:rsid w:val="001A2660"/>
    <w:rsid w:val="001A29E9"/>
    <w:rsid w:val="001A30A0"/>
    <w:rsid w:val="001A37E5"/>
    <w:rsid w:val="001A539C"/>
    <w:rsid w:val="001A5412"/>
    <w:rsid w:val="001A54FC"/>
    <w:rsid w:val="001A5638"/>
    <w:rsid w:val="001A5AB4"/>
    <w:rsid w:val="001A67BD"/>
    <w:rsid w:val="001A6AA1"/>
    <w:rsid w:val="001A6AC8"/>
    <w:rsid w:val="001A7070"/>
    <w:rsid w:val="001A746A"/>
    <w:rsid w:val="001B0C11"/>
    <w:rsid w:val="001B0C6E"/>
    <w:rsid w:val="001B0EE6"/>
    <w:rsid w:val="001B10D9"/>
    <w:rsid w:val="001B162B"/>
    <w:rsid w:val="001B1656"/>
    <w:rsid w:val="001B1787"/>
    <w:rsid w:val="001B1BEB"/>
    <w:rsid w:val="001B2378"/>
    <w:rsid w:val="001B30ED"/>
    <w:rsid w:val="001B3E9B"/>
    <w:rsid w:val="001B409C"/>
    <w:rsid w:val="001B4515"/>
    <w:rsid w:val="001B46B9"/>
    <w:rsid w:val="001B4AB0"/>
    <w:rsid w:val="001B5582"/>
    <w:rsid w:val="001B57B6"/>
    <w:rsid w:val="001B5F1A"/>
    <w:rsid w:val="001B5F7C"/>
    <w:rsid w:val="001B628D"/>
    <w:rsid w:val="001B6727"/>
    <w:rsid w:val="001B70B6"/>
    <w:rsid w:val="001B719D"/>
    <w:rsid w:val="001B7690"/>
    <w:rsid w:val="001B7865"/>
    <w:rsid w:val="001C0210"/>
    <w:rsid w:val="001C04B1"/>
    <w:rsid w:val="001C0673"/>
    <w:rsid w:val="001C0774"/>
    <w:rsid w:val="001C0FA8"/>
    <w:rsid w:val="001C16E7"/>
    <w:rsid w:val="001C1C47"/>
    <w:rsid w:val="001C1FDD"/>
    <w:rsid w:val="001C20E1"/>
    <w:rsid w:val="001C20FC"/>
    <w:rsid w:val="001C268B"/>
    <w:rsid w:val="001C282D"/>
    <w:rsid w:val="001C2EDC"/>
    <w:rsid w:val="001C2F93"/>
    <w:rsid w:val="001C306A"/>
    <w:rsid w:val="001C4322"/>
    <w:rsid w:val="001C486F"/>
    <w:rsid w:val="001C4887"/>
    <w:rsid w:val="001C55A5"/>
    <w:rsid w:val="001C579A"/>
    <w:rsid w:val="001C58C3"/>
    <w:rsid w:val="001C5FDA"/>
    <w:rsid w:val="001C62D3"/>
    <w:rsid w:val="001C66D8"/>
    <w:rsid w:val="001C676C"/>
    <w:rsid w:val="001C6829"/>
    <w:rsid w:val="001C6A6A"/>
    <w:rsid w:val="001C6B42"/>
    <w:rsid w:val="001C6BC0"/>
    <w:rsid w:val="001C6D33"/>
    <w:rsid w:val="001C6D96"/>
    <w:rsid w:val="001C777C"/>
    <w:rsid w:val="001D00E2"/>
    <w:rsid w:val="001D074A"/>
    <w:rsid w:val="001D077E"/>
    <w:rsid w:val="001D0939"/>
    <w:rsid w:val="001D0BB6"/>
    <w:rsid w:val="001D0C2B"/>
    <w:rsid w:val="001D0E4A"/>
    <w:rsid w:val="001D1A31"/>
    <w:rsid w:val="001D2474"/>
    <w:rsid w:val="001D257C"/>
    <w:rsid w:val="001D25C9"/>
    <w:rsid w:val="001D2776"/>
    <w:rsid w:val="001D2871"/>
    <w:rsid w:val="001D2ABB"/>
    <w:rsid w:val="001D2C0A"/>
    <w:rsid w:val="001D334B"/>
    <w:rsid w:val="001D3513"/>
    <w:rsid w:val="001D37FE"/>
    <w:rsid w:val="001D3DDF"/>
    <w:rsid w:val="001D4069"/>
    <w:rsid w:val="001D40C2"/>
    <w:rsid w:val="001D424C"/>
    <w:rsid w:val="001D559D"/>
    <w:rsid w:val="001D5797"/>
    <w:rsid w:val="001D5EBD"/>
    <w:rsid w:val="001D6BB6"/>
    <w:rsid w:val="001D70D3"/>
    <w:rsid w:val="001D7148"/>
    <w:rsid w:val="001D7255"/>
    <w:rsid w:val="001D7D68"/>
    <w:rsid w:val="001D7E53"/>
    <w:rsid w:val="001E06F7"/>
    <w:rsid w:val="001E075A"/>
    <w:rsid w:val="001E0E7C"/>
    <w:rsid w:val="001E0F2C"/>
    <w:rsid w:val="001E130C"/>
    <w:rsid w:val="001E178B"/>
    <w:rsid w:val="001E20BA"/>
    <w:rsid w:val="001E24F6"/>
    <w:rsid w:val="001E279B"/>
    <w:rsid w:val="001E2BE2"/>
    <w:rsid w:val="001E2D9F"/>
    <w:rsid w:val="001E2E31"/>
    <w:rsid w:val="001E3655"/>
    <w:rsid w:val="001E3C22"/>
    <w:rsid w:val="001E3CE2"/>
    <w:rsid w:val="001E47FE"/>
    <w:rsid w:val="001E5129"/>
    <w:rsid w:val="001E54CC"/>
    <w:rsid w:val="001E5507"/>
    <w:rsid w:val="001E5960"/>
    <w:rsid w:val="001E6998"/>
    <w:rsid w:val="001E6B93"/>
    <w:rsid w:val="001E6C9F"/>
    <w:rsid w:val="001E7A9A"/>
    <w:rsid w:val="001E7C40"/>
    <w:rsid w:val="001F00EB"/>
    <w:rsid w:val="001F0154"/>
    <w:rsid w:val="001F063E"/>
    <w:rsid w:val="001F07FB"/>
    <w:rsid w:val="001F0932"/>
    <w:rsid w:val="001F09BB"/>
    <w:rsid w:val="001F0C12"/>
    <w:rsid w:val="001F10E7"/>
    <w:rsid w:val="001F18DF"/>
    <w:rsid w:val="001F197D"/>
    <w:rsid w:val="001F2488"/>
    <w:rsid w:val="001F2F22"/>
    <w:rsid w:val="001F31E1"/>
    <w:rsid w:val="001F3347"/>
    <w:rsid w:val="001F4367"/>
    <w:rsid w:val="001F4836"/>
    <w:rsid w:val="001F4D84"/>
    <w:rsid w:val="001F524C"/>
    <w:rsid w:val="001F53B0"/>
    <w:rsid w:val="001F5C74"/>
    <w:rsid w:val="001F6A10"/>
    <w:rsid w:val="001F729A"/>
    <w:rsid w:val="001F7818"/>
    <w:rsid w:val="00200183"/>
    <w:rsid w:val="00200192"/>
    <w:rsid w:val="0020086D"/>
    <w:rsid w:val="00200CAE"/>
    <w:rsid w:val="002012CF"/>
    <w:rsid w:val="00201701"/>
    <w:rsid w:val="00201763"/>
    <w:rsid w:val="0020198D"/>
    <w:rsid w:val="002025E7"/>
    <w:rsid w:val="002027EA"/>
    <w:rsid w:val="00202AA5"/>
    <w:rsid w:val="00202B41"/>
    <w:rsid w:val="00202B6A"/>
    <w:rsid w:val="00202C53"/>
    <w:rsid w:val="00202CC2"/>
    <w:rsid w:val="00203542"/>
    <w:rsid w:val="002035BB"/>
    <w:rsid w:val="002037A8"/>
    <w:rsid w:val="00203CA5"/>
    <w:rsid w:val="00203D7A"/>
    <w:rsid w:val="00203F54"/>
    <w:rsid w:val="0020402D"/>
    <w:rsid w:val="002044FA"/>
    <w:rsid w:val="00204A56"/>
    <w:rsid w:val="0020530E"/>
    <w:rsid w:val="002063BE"/>
    <w:rsid w:val="00206B2A"/>
    <w:rsid w:val="00206D24"/>
    <w:rsid w:val="00206E7C"/>
    <w:rsid w:val="00206FDD"/>
    <w:rsid w:val="00207332"/>
    <w:rsid w:val="00207497"/>
    <w:rsid w:val="00207D19"/>
    <w:rsid w:val="00207E50"/>
    <w:rsid w:val="002104FC"/>
    <w:rsid w:val="002105EB"/>
    <w:rsid w:val="00210E5E"/>
    <w:rsid w:val="00210FB4"/>
    <w:rsid w:val="0021102D"/>
    <w:rsid w:val="002110DF"/>
    <w:rsid w:val="00211EA9"/>
    <w:rsid w:val="00211F00"/>
    <w:rsid w:val="00211FE1"/>
    <w:rsid w:val="002121AA"/>
    <w:rsid w:val="002124A7"/>
    <w:rsid w:val="0021251A"/>
    <w:rsid w:val="0021285C"/>
    <w:rsid w:val="002128DD"/>
    <w:rsid w:val="00212B9B"/>
    <w:rsid w:val="00213086"/>
    <w:rsid w:val="00213185"/>
    <w:rsid w:val="002138F0"/>
    <w:rsid w:val="00214085"/>
    <w:rsid w:val="002143BD"/>
    <w:rsid w:val="00214A26"/>
    <w:rsid w:val="00214A2C"/>
    <w:rsid w:val="00214C2C"/>
    <w:rsid w:val="00214DFB"/>
    <w:rsid w:val="00214E41"/>
    <w:rsid w:val="0021533B"/>
    <w:rsid w:val="00215575"/>
    <w:rsid w:val="00215E1A"/>
    <w:rsid w:val="002162E5"/>
    <w:rsid w:val="00217286"/>
    <w:rsid w:val="00217BFF"/>
    <w:rsid w:val="00217CA7"/>
    <w:rsid w:val="00220680"/>
    <w:rsid w:val="00220958"/>
    <w:rsid w:val="00220B3F"/>
    <w:rsid w:val="002210ED"/>
    <w:rsid w:val="00221C83"/>
    <w:rsid w:val="00221F16"/>
    <w:rsid w:val="0022229A"/>
    <w:rsid w:val="002222BC"/>
    <w:rsid w:val="00222379"/>
    <w:rsid w:val="002223C8"/>
    <w:rsid w:val="002223E6"/>
    <w:rsid w:val="00222B04"/>
    <w:rsid w:val="002232D3"/>
    <w:rsid w:val="002233A0"/>
    <w:rsid w:val="002235CD"/>
    <w:rsid w:val="002237B0"/>
    <w:rsid w:val="00223B32"/>
    <w:rsid w:val="00223D80"/>
    <w:rsid w:val="00223DE5"/>
    <w:rsid w:val="00223E48"/>
    <w:rsid w:val="00223EA6"/>
    <w:rsid w:val="002244C0"/>
    <w:rsid w:val="002245F4"/>
    <w:rsid w:val="0022460B"/>
    <w:rsid w:val="00224853"/>
    <w:rsid w:val="0022498C"/>
    <w:rsid w:val="00224BB9"/>
    <w:rsid w:val="00224CCB"/>
    <w:rsid w:val="002263A9"/>
    <w:rsid w:val="0022685B"/>
    <w:rsid w:val="00226D62"/>
    <w:rsid w:val="002270D7"/>
    <w:rsid w:val="002278F7"/>
    <w:rsid w:val="00227F5A"/>
    <w:rsid w:val="0023016E"/>
    <w:rsid w:val="0023018E"/>
    <w:rsid w:val="00230252"/>
    <w:rsid w:val="002303B9"/>
    <w:rsid w:val="00230457"/>
    <w:rsid w:val="0023098B"/>
    <w:rsid w:val="00230EE5"/>
    <w:rsid w:val="00230F90"/>
    <w:rsid w:val="002310F7"/>
    <w:rsid w:val="002323A5"/>
    <w:rsid w:val="00232914"/>
    <w:rsid w:val="00232989"/>
    <w:rsid w:val="00232CCB"/>
    <w:rsid w:val="00232DB4"/>
    <w:rsid w:val="00232E17"/>
    <w:rsid w:val="002330A7"/>
    <w:rsid w:val="002333EC"/>
    <w:rsid w:val="0023353F"/>
    <w:rsid w:val="002337F9"/>
    <w:rsid w:val="002339E2"/>
    <w:rsid w:val="00233A21"/>
    <w:rsid w:val="00233DAD"/>
    <w:rsid w:val="0023466B"/>
    <w:rsid w:val="00234762"/>
    <w:rsid w:val="002347C0"/>
    <w:rsid w:val="00235450"/>
    <w:rsid w:val="0023547F"/>
    <w:rsid w:val="002354FB"/>
    <w:rsid w:val="00235C99"/>
    <w:rsid w:val="00235DB9"/>
    <w:rsid w:val="00236038"/>
    <w:rsid w:val="00236997"/>
    <w:rsid w:val="00236E68"/>
    <w:rsid w:val="00236F1F"/>
    <w:rsid w:val="0023706D"/>
    <w:rsid w:val="002371D2"/>
    <w:rsid w:val="002378B9"/>
    <w:rsid w:val="0023791D"/>
    <w:rsid w:val="00237B14"/>
    <w:rsid w:val="002400ED"/>
    <w:rsid w:val="002404B0"/>
    <w:rsid w:val="002412F4"/>
    <w:rsid w:val="00241F31"/>
    <w:rsid w:val="0024250C"/>
    <w:rsid w:val="002425CB"/>
    <w:rsid w:val="0024295B"/>
    <w:rsid w:val="00242AA0"/>
    <w:rsid w:val="00242BD5"/>
    <w:rsid w:val="00243278"/>
    <w:rsid w:val="00243521"/>
    <w:rsid w:val="00243699"/>
    <w:rsid w:val="00243CBE"/>
    <w:rsid w:val="0024403A"/>
    <w:rsid w:val="00244A26"/>
    <w:rsid w:val="0024553F"/>
    <w:rsid w:val="002455A3"/>
    <w:rsid w:val="002458F3"/>
    <w:rsid w:val="00245B5E"/>
    <w:rsid w:val="00245C9C"/>
    <w:rsid w:val="00245D88"/>
    <w:rsid w:val="00246143"/>
    <w:rsid w:val="00246D48"/>
    <w:rsid w:val="002471BE"/>
    <w:rsid w:val="0024756E"/>
    <w:rsid w:val="00247BDF"/>
    <w:rsid w:val="00247CCC"/>
    <w:rsid w:val="002501A7"/>
    <w:rsid w:val="00250384"/>
    <w:rsid w:val="002507E4"/>
    <w:rsid w:val="002508AC"/>
    <w:rsid w:val="00250B2A"/>
    <w:rsid w:val="00251442"/>
    <w:rsid w:val="0025147F"/>
    <w:rsid w:val="002517F8"/>
    <w:rsid w:val="0025181B"/>
    <w:rsid w:val="00252360"/>
    <w:rsid w:val="0025253F"/>
    <w:rsid w:val="00252AC2"/>
    <w:rsid w:val="00252AE4"/>
    <w:rsid w:val="0025352E"/>
    <w:rsid w:val="00253B21"/>
    <w:rsid w:val="00253DF2"/>
    <w:rsid w:val="002545FD"/>
    <w:rsid w:val="002546AB"/>
    <w:rsid w:val="0025493E"/>
    <w:rsid w:val="00254CE7"/>
    <w:rsid w:val="002555B1"/>
    <w:rsid w:val="00255CCF"/>
    <w:rsid w:val="00256BC0"/>
    <w:rsid w:val="00256C1C"/>
    <w:rsid w:val="00256FED"/>
    <w:rsid w:val="002571F5"/>
    <w:rsid w:val="0025726F"/>
    <w:rsid w:val="0025745E"/>
    <w:rsid w:val="0025762B"/>
    <w:rsid w:val="002576C6"/>
    <w:rsid w:val="00257C89"/>
    <w:rsid w:val="00257F3F"/>
    <w:rsid w:val="00260169"/>
    <w:rsid w:val="00260563"/>
    <w:rsid w:val="00260A99"/>
    <w:rsid w:val="00260DF2"/>
    <w:rsid w:val="0026113B"/>
    <w:rsid w:val="00261429"/>
    <w:rsid w:val="002617AF"/>
    <w:rsid w:val="00261D2A"/>
    <w:rsid w:val="00261E0C"/>
    <w:rsid w:val="002620B0"/>
    <w:rsid w:val="002634C8"/>
    <w:rsid w:val="00264454"/>
    <w:rsid w:val="00264A5F"/>
    <w:rsid w:val="0026515A"/>
    <w:rsid w:val="0026521F"/>
    <w:rsid w:val="002656D9"/>
    <w:rsid w:val="0026575B"/>
    <w:rsid w:val="00265CFE"/>
    <w:rsid w:val="00265E48"/>
    <w:rsid w:val="0026656D"/>
    <w:rsid w:val="00266585"/>
    <w:rsid w:val="00266E7B"/>
    <w:rsid w:val="002670FD"/>
    <w:rsid w:val="0026777B"/>
    <w:rsid w:val="00267BB9"/>
    <w:rsid w:val="00267CB6"/>
    <w:rsid w:val="00270180"/>
    <w:rsid w:val="00270394"/>
    <w:rsid w:val="0027083F"/>
    <w:rsid w:val="00270EC6"/>
    <w:rsid w:val="00271017"/>
    <w:rsid w:val="0027184C"/>
    <w:rsid w:val="00271E11"/>
    <w:rsid w:val="00271E6D"/>
    <w:rsid w:val="002722B1"/>
    <w:rsid w:val="002729C2"/>
    <w:rsid w:val="002729E7"/>
    <w:rsid w:val="00272F05"/>
    <w:rsid w:val="002735C6"/>
    <w:rsid w:val="00273AEA"/>
    <w:rsid w:val="00273E52"/>
    <w:rsid w:val="002742DF"/>
    <w:rsid w:val="00274D02"/>
    <w:rsid w:val="002750F9"/>
    <w:rsid w:val="0027538D"/>
    <w:rsid w:val="00275602"/>
    <w:rsid w:val="00276429"/>
    <w:rsid w:val="002768E2"/>
    <w:rsid w:val="00276934"/>
    <w:rsid w:val="00276CBE"/>
    <w:rsid w:val="002772F9"/>
    <w:rsid w:val="00277794"/>
    <w:rsid w:val="00277888"/>
    <w:rsid w:val="00277AC3"/>
    <w:rsid w:val="00277F86"/>
    <w:rsid w:val="00280212"/>
    <w:rsid w:val="00280543"/>
    <w:rsid w:val="002807C4"/>
    <w:rsid w:val="0028114E"/>
    <w:rsid w:val="00281329"/>
    <w:rsid w:val="00281E36"/>
    <w:rsid w:val="00282515"/>
    <w:rsid w:val="0028251D"/>
    <w:rsid w:val="00282592"/>
    <w:rsid w:val="00282A22"/>
    <w:rsid w:val="00282E7B"/>
    <w:rsid w:val="00282F2B"/>
    <w:rsid w:val="0028335C"/>
    <w:rsid w:val="002836A7"/>
    <w:rsid w:val="0028398E"/>
    <w:rsid w:val="00283B70"/>
    <w:rsid w:val="00283BB1"/>
    <w:rsid w:val="00283CEC"/>
    <w:rsid w:val="00283F63"/>
    <w:rsid w:val="00284167"/>
    <w:rsid w:val="00284399"/>
    <w:rsid w:val="002846E8"/>
    <w:rsid w:val="00284BFC"/>
    <w:rsid w:val="00284D96"/>
    <w:rsid w:val="00285395"/>
    <w:rsid w:val="0028589D"/>
    <w:rsid w:val="0028602B"/>
    <w:rsid w:val="002863D1"/>
    <w:rsid w:val="002875E7"/>
    <w:rsid w:val="00290113"/>
    <w:rsid w:val="002904B8"/>
    <w:rsid w:val="0029052C"/>
    <w:rsid w:val="00290CEB"/>
    <w:rsid w:val="002910F8"/>
    <w:rsid w:val="002914BB"/>
    <w:rsid w:val="00291DAE"/>
    <w:rsid w:val="00292354"/>
    <w:rsid w:val="00292464"/>
    <w:rsid w:val="002925E8"/>
    <w:rsid w:val="00292914"/>
    <w:rsid w:val="00293801"/>
    <w:rsid w:val="00293941"/>
    <w:rsid w:val="00294AF7"/>
    <w:rsid w:val="0029552B"/>
    <w:rsid w:val="002956D8"/>
    <w:rsid w:val="00295922"/>
    <w:rsid w:val="0029670A"/>
    <w:rsid w:val="002968EB"/>
    <w:rsid w:val="00297721"/>
    <w:rsid w:val="00297833"/>
    <w:rsid w:val="002978D8"/>
    <w:rsid w:val="00297905"/>
    <w:rsid w:val="00297AD0"/>
    <w:rsid w:val="00297B22"/>
    <w:rsid w:val="00297BF3"/>
    <w:rsid w:val="002A0150"/>
    <w:rsid w:val="002A0970"/>
    <w:rsid w:val="002A105A"/>
    <w:rsid w:val="002A200D"/>
    <w:rsid w:val="002A21A2"/>
    <w:rsid w:val="002A21FD"/>
    <w:rsid w:val="002A2754"/>
    <w:rsid w:val="002A2D21"/>
    <w:rsid w:val="002A37A3"/>
    <w:rsid w:val="002A3B99"/>
    <w:rsid w:val="002A3C3C"/>
    <w:rsid w:val="002A4213"/>
    <w:rsid w:val="002A44B5"/>
    <w:rsid w:val="002A465F"/>
    <w:rsid w:val="002A490A"/>
    <w:rsid w:val="002A54AD"/>
    <w:rsid w:val="002A5911"/>
    <w:rsid w:val="002A5DBB"/>
    <w:rsid w:val="002A63BC"/>
    <w:rsid w:val="002A6403"/>
    <w:rsid w:val="002A6529"/>
    <w:rsid w:val="002A68C1"/>
    <w:rsid w:val="002A6971"/>
    <w:rsid w:val="002A6B65"/>
    <w:rsid w:val="002A6BCC"/>
    <w:rsid w:val="002A6D43"/>
    <w:rsid w:val="002A73CF"/>
    <w:rsid w:val="002A75E8"/>
    <w:rsid w:val="002A765B"/>
    <w:rsid w:val="002A78B0"/>
    <w:rsid w:val="002A7976"/>
    <w:rsid w:val="002B04BB"/>
    <w:rsid w:val="002B051C"/>
    <w:rsid w:val="002B1038"/>
    <w:rsid w:val="002B12D1"/>
    <w:rsid w:val="002B163F"/>
    <w:rsid w:val="002B169F"/>
    <w:rsid w:val="002B1D55"/>
    <w:rsid w:val="002B1FB7"/>
    <w:rsid w:val="002B2ADB"/>
    <w:rsid w:val="002B2D0B"/>
    <w:rsid w:val="002B3206"/>
    <w:rsid w:val="002B3316"/>
    <w:rsid w:val="002B3944"/>
    <w:rsid w:val="002B3C24"/>
    <w:rsid w:val="002B409C"/>
    <w:rsid w:val="002B4479"/>
    <w:rsid w:val="002B48DB"/>
    <w:rsid w:val="002B4B2A"/>
    <w:rsid w:val="002B5389"/>
    <w:rsid w:val="002B5447"/>
    <w:rsid w:val="002B5714"/>
    <w:rsid w:val="002B5D0B"/>
    <w:rsid w:val="002B5EBE"/>
    <w:rsid w:val="002B5FBB"/>
    <w:rsid w:val="002B648B"/>
    <w:rsid w:val="002B65A8"/>
    <w:rsid w:val="002B6609"/>
    <w:rsid w:val="002B6A2B"/>
    <w:rsid w:val="002B72C6"/>
    <w:rsid w:val="002B7705"/>
    <w:rsid w:val="002B7725"/>
    <w:rsid w:val="002C0076"/>
    <w:rsid w:val="002C0DD4"/>
    <w:rsid w:val="002C14AF"/>
    <w:rsid w:val="002C160E"/>
    <w:rsid w:val="002C1E24"/>
    <w:rsid w:val="002C204E"/>
    <w:rsid w:val="002C27D8"/>
    <w:rsid w:val="002C2AF7"/>
    <w:rsid w:val="002C2ECA"/>
    <w:rsid w:val="002C309A"/>
    <w:rsid w:val="002C33D3"/>
    <w:rsid w:val="002C33FF"/>
    <w:rsid w:val="002C391B"/>
    <w:rsid w:val="002C39F8"/>
    <w:rsid w:val="002C3B85"/>
    <w:rsid w:val="002C47ED"/>
    <w:rsid w:val="002C4E6C"/>
    <w:rsid w:val="002C4F9C"/>
    <w:rsid w:val="002C5106"/>
    <w:rsid w:val="002C52D2"/>
    <w:rsid w:val="002C5CD6"/>
    <w:rsid w:val="002C61E8"/>
    <w:rsid w:val="002C620F"/>
    <w:rsid w:val="002C62C6"/>
    <w:rsid w:val="002C692A"/>
    <w:rsid w:val="002C6B2A"/>
    <w:rsid w:val="002C6CC3"/>
    <w:rsid w:val="002C7A42"/>
    <w:rsid w:val="002C7AEC"/>
    <w:rsid w:val="002C7BA3"/>
    <w:rsid w:val="002C7ED0"/>
    <w:rsid w:val="002C7FC4"/>
    <w:rsid w:val="002D05CC"/>
    <w:rsid w:val="002D05D3"/>
    <w:rsid w:val="002D0830"/>
    <w:rsid w:val="002D0DB5"/>
    <w:rsid w:val="002D154D"/>
    <w:rsid w:val="002D15F4"/>
    <w:rsid w:val="002D1606"/>
    <w:rsid w:val="002D2095"/>
    <w:rsid w:val="002D20A5"/>
    <w:rsid w:val="002D2609"/>
    <w:rsid w:val="002D3019"/>
    <w:rsid w:val="002D3244"/>
    <w:rsid w:val="002D34EA"/>
    <w:rsid w:val="002D359A"/>
    <w:rsid w:val="002D369E"/>
    <w:rsid w:val="002D36E2"/>
    <w:rsid w:val="002D39DB"/>
    <w:rsid w:val="002D3A56"/>
    <w:rsid w:val="002D4826"/>
    <w:rsid w:val="002D4DDC"/>
    <w:rsid w:val="002D53EC"/>
    <w:rsid w:val="002D5704"/>
    <w:rsid w:val="002D5D60"/>
    <w:rsid w:val="002D5DBB"/>
    <w:rsid w:val="002D6262"/>
    <w:rsid w:val="002D6576"/>
    <w:rsid w:val="002D6910"/>
    <w:rsid w:val="002D6D6D"/>
    <w:rsid w:val="002D6F43"/>
    <w:rsid w:val="002D7459"/>
    <w:rsid w:val="002D76DA"/>
    <w:rsid w:val="002D7BEF"/>
    <w:rsid w:val="002E0620"/>
    <w:rsid w:val="002E09ED"/>
    <w:rsid w:val="002E0BA5"/>
    <w:rsid w:val="002E2691"/>
    <w:rsid w:val="002E2949"/>
    <w:rsid w:val="002E2AB3"/>
    <w:rsid w:val="002E319D"/>
    <w:rsid w:val="002E355A"/>
    <w:rsid w:val="002E41D8"/>
    <w:rsid w:val="002E42D3"/>
    <w:rsid w:val="002E43C8"/>
    <w:rsid w:val="002E4420"/>
    <w:rsid w:val="002E4544"/>
    <w:rsid w:val="002E491C"/>
    <w:rsid w:val="002E4B22"/>
    <w:rsid w:val="002E4C77"/>
    <w:rsid w:val="002E4EC8"/>
    <w:rsid w:val="002E4F88"/>
    <w:rsid w:val="002E5436"/>
    <w:rsid w:val="002E625F"/>
    <w:rsid w:val="002E6476"/>
    <w:rsid w:val="002E6680"/>
    <w:rsid w:val="002E7612"/>
    <w:rsid w:val="002E7DDD"/>
    <w:rsid w:val="002F1462"/>
    <w:rsid w:val="002F26CB"/>
    <w:rsid w:val="002F26EA"/>
    <w:rsid w:val="002F29E6"/>
    <w:rsid w:val="002F2B15"/>
    <w:rsid w:val="002F2B2B"/>
    <w:rsid w:val="002F2E5C"/>
    <w:rsid w:val="002F310D"/>
    <w:rsid w:val="002F34BF"/>
    <w:rsid w:val="002F3734"/>
    <w:rsid w:val="002F3754"/>
    <w:rsid w:val="002F3B50"/>
    <w:rsid w:val="002F3BD0"/>
    <w:rsid w:val="002F503C"/>
    <w:rsid w:val="002F51F3"/>
    <w:rsid w:val="002F541E"/>
    <w:rsid w:val="002F56BA"/>
    <w:rsid w:val="002F58CD"/>
    <w:rsid w:val="002F5EEE"/>
    <w:rsid w:val="002F6145"/>
    <w:rsid w:val="002F61A3"/>
    <w:rsid w:val="002F6886"/>
    <w:rsid w:val="002F72DE"/>
    <w:rsid w:val="002F7359"/>
    <w:rsid w:val="002F76B4"/>
    <w:rsid w:val="002F788A"/>
    <w:rsid w:val="002F7951"/>
    <w:rsid w:val="00300217"/>
    <w:rsid w:val="003004D4"/>
    <w:rsid w:val="0030074B"/>
    <w:rsid w:val="003008DA"/>
    <w:rsid w:val="0030107F"/>
    <w:rsid w:val="003013F6"/>
    <w:rsid w:val="00301835"/>
    <w:rsid w:val="00302042"/>
    <w:rsid w:val="003026B1"/>
    <w:rsid w:val="00302D73"/>
    <w:rsid w:val="00303429"/>
    <w:rsid w:val="0030349F"/>
    <w:rsid w:val="0030356B"/>
    <w:rsid w:val="00304BB0"/>
    <w:rsid w:val="00304FA8"/>
    <w:rsid w:val="00304FB7"/>
    <w:rsid w:val="0030500A"/>
    <w:rsid w:val="003053C9"/>
    <w:rsid w:val="003054A3"/>
    <w:rsid w:val="0030565E"/>
    <w:rsid w:val="00305E0D"/>
    <w:rsid w:val="003060C1"/>
    <w:rsid w:val="00306451"/>
    <w:rsid w:val="003064AC"/>
    <w:rsid w:val="0030739E"/>
    <w:rsid w:val="00307548"/>
    <w:rsid w:val="0030773D"/>
    <w:rsid w:val="0030777E"/>
    <w:rsid w:val="00307D5D"/>
    <w:rsid w:val="003102B5"/>
    <w:rsid w:val="003105F0"/>
    <w:rsid w:val="00310F7C"/>
    <w:rsid w:val="00311269"/>
    <w:rsid w:val="00311F06"/>
    <w:rsid w:val="0031232D"/>
    <w:rsid w:val="00312F08"/>
    <w:rsid w:val="003130D6"/>
    <w:rsid w:val="00313278"/>
    <w:rsid w:val="00313B57"/>
    <w:rsid w:val="00313CC2"/>
    <w:rsid w:val="0031431F"/>
    <w:rsid w:val="00314595"/>
    <w:rsid w:val="00314BD4"/>
    <w:rsid w:val="00314CF5"/>
    <w:rsid w:val="003152D7"/>
    <w:rsid w:val="00315311"/>
    <w:rsid w:val="00315532"/>
    <w:rsid w:val="00316052"/>
    <w:rsid w:val="0031649E"/>
    <w:rsid w:val="00316D8A"/>
    <w:rsid w:val="00316E49"/>
    <w:rsid w:val="00316E8B"/>
    <w:rsid w:val="00316EAB"/>
    <w:rsid w:val="00317014"/>
    <w:rsid w:val="00321107"/>
    <w:rsid w:val="003213EE"/>
    <w:rsid w:val="003222F7"/>
    <w:rsid w:val="0032232C"/>
    <w:rsid w:val="00322372"/>
    <w:rsid w:val="00322389"/>
    <w:rsid w:val="00322396"/>
    <w:rsid w:val="00322518"/>
    <w:rsid w:val="00322593"/>
    <w:rsid w:val="00322BBF"/>
    <w:rsid w:val="00322EDA"/>
    <w:rsid w:val="00323A39"/>
    <w:rsid w:val="0032500F"/>
    <w:rsid w:val="00325279"/>
    <w:rsid w:val="003257FE"/>
    <w:rsid w:val="003261FD"/>
    <w:rsid w:val="00326538"/>
    <w:rsid w:val="00326833"/>
    <w:rsid w:val="00326C32"/>
    <w:rsid w:val="00326CC5"/>
    <w:rsid w:val="00326EEA"/>
    <w:rsid w:val="00327199"/>
    <w:rsid w:val="00327312"/>
    <w:rsid w:val="003274E7"/>
    <w:rsid w:val="00327538"/>
    <w:rsid w:val="003276E8"/>
    <w:rsid w:val="003279A2"/>
    <w:rsid w:val="00327FE2"/>
    <w:rsid w:val="00330167"/>
    <w:rsid w:val="00330363"/>
    <w:rsid w:val="0033048D"/>
    <w:rsid w:val="0033070B"/>
    <w:rsid w:val="003312BC"/>
    <w:rsid w:val="003319FD"/>
    <w:rsid w:val="00331B44"/>
    <w:rsid w:val="003321BB"/>
    <w:rsid w:val="0033251A"/>
    <w:rsid w:val="0033265B"/>
    <w:rsid w:val="00333761"/>
    <w:rsid w:val="003337EC"/>
    <w:rsid w:val="0033381E"/>
    <w:rsid w:val="00333B85"/>
    <w:rsid w:val="003345FE"/>
    <w:rsid w:val="0033463A"/>
    <w:rsid w:val="003347A5"/>
    <w:rsid w:val="003347D4"/>
    <w:rsid w:val="003368CF"/>
    <w:rsid w:val="00336BB4"/>
    <w:rsid w:val="00336ED2"/>
    <w:rsid w:val="00337966"/>
    <w:rsid w:val="00337B52"/>
    <w:rsid w:val="00337BBA"/>
    <w:rsid w:val="00337EAF"/>
    <w:rsid w:val="003400EC"/>
    <w:rsid w:val="00340F80"/>
    <w:rsid w:val="00340FE8"/>
    <w:rsid w:val="00341AEC"/>
    <w:rsid w:val="00341B97"/>
    <w:rsid w:val="00341DBE"/>
    <w:rsid w:val="00341F99"/>
    <w:rsid w:val="0034237B"/>
    <w:rsid w:val="003431A0"/>
    <w:rsid w:val="00343699"/>
    <w:rsid w:val="003442E5"/>
    <w:rsid w:val="003443E8"/>
    <w:rsid w:val="00345100"/>
    <w:rsid w:val="003451C4"/>
    <w:rsid w:val="00345312"/>
    <w:rsid w:val="00345ACB"/>
    <w:rsid w:val="00346082"/>
    <w:rsid w:val="00346976"/>
    <w:rsid w:val="00346C4F"/>
    <w:rsid w:val="00346CA8"/>
    <w:rsid w:val="0034721F"/>
    <w:rsid w:val="0034796A"/>
    <w:rsid w:val="00350852"/>
    <w:rsid w:val="00350C63"/>
    <w:rsid w:val="00350D96"/>
    <w:rsid w:val="0035103E"/>
    <w:rsid w:val="003510B6"/>
    <w:rsid w:val="0035148E"/>
    <w:rsid w:val="00351498"/>
    <w:rsid w:val="00352235"/>
    <w:rsid w:val="003528C6"/>
    <w:rsid w:val="00353971"/>
    <w:rsid w:val="00353BCC"/>
    <w:rsid w:val="00354105"/>
    <w:rsid w:val="00354133"/>
    <w:rsid w:val="0035439C"/>
    <w:rsid w:val="00355403"/>
    <w:rsid w:val="0035557E"/>
    <w:rsid w:val="00355EE1"/>
    <w:rsid w:val="003562AD"/>
    <w:rsid w:val="00356420"/>
    <w:rsid w:val="003568DA"/>
    <w:rsid w:val="003569D6"/>
    <w:rsid w:val="00357081"/>
    <w:rsid w:val="00357417"/>
    <w:rsid w:val="00357733"/>
    <w:rsid w:val="0035775D"/>
    <w:rsid w:val="003577B5"/>
    <w:rsid w:val="00357F80"/>
    <w:rsid w:val="00357FCB"/>
    <w:rsid w:val="003607D4"/>
    <w:rsid w:val="00360807"/>
    <w:rsid w:val="00360DAA"/>
    <w:rsid w:val="00361346"/>
    <w:rsid w:val="00361941"/>
    <w:rsid w:val="00361AC3"/>
    <w:rsid w:val="0036275B"/>
    <w:rsid w:val="00362F36"/>
    <w:rsid w:val="00362FA4"/>
    <w:rsid w:val="00363127"/>
    <w:rsid w:val="00363171"/>
    <w:rsid w:val="0036327F"/>
    <w:rsid w:val="003633F6"/>
    <w:rsid w:val="00363BCD"/>
    <w:rsid w:val="00363C13"/>
    <w:rsid w:val="00364028"/>
    <w:rsid w:val="003642B5"/>
    <w:rsid w:val="0036434B"/>
    <w:rsid w:val="00364359"/>
    <w:rsid w:val="003654C5"/>
    <w:rsid w:val="0036577A"/>
    <w:rsid w:val="00365EEC"/>
    <w:rsid w:val="0036659A"/>
    <w:rsid w:val="00366ED0"/>
    <w:rsid w:val="00367057"/>
    <w:rsid w:val="0036795E"/>
    <w:rsid w:val="003702D7"/>
    <w:rsid w:val="003715F3"/>
    <w:rsid w:val="00371733"/>
    <w:rsid w:val="0037206B"/>
    <w:rsid w:val="0037241A"/>
    <w:rsid w:val="00372804"/>
    <w:rsid w:val="003734A1"/>
    <w:rsid w:val="0037353F"/>
    <w:rsid w:val="00373970"/>
    <w:rsid w:val="00373A49"/>
    <w:rsid w:val="00373C4F"/>
    <w:rsid w:val="00373D07"/>
    <w:rsid w:val="0037467B"/>
    <w:rsid w:val="003754EE"/>
    <w:rsid w:val="00375754"/>
    <w:rsid w:val="00375B3B"/>
    <w:rsid w:val="00375FB4"/>
    <w:rsid w:val="0037610A"/>
    <w:rsid w:val="00376123"/>
    <w:rsid w:val="00376151"/>
    <w:rsid w:val="003765D4"/>
    <w:rsid w:val="00376E90"/>
    <w:rsid w:val="00376EE9"/>
    <w:rsid w:val="003775BF"/>
    <w:rsid w:val="003775E7"/>
    <w:rsid w:val="00377EBB"/>
    <w:rsid w:val="00380412"/>
    <w:rsid w:val="0038057B"/>
    <w:rsid w:val="0038081C"/>
    <w:rsid w:val="003811F9"/>
    <w:rsid w:val="00381463"/>
    <w:rsid w:val="003817EC"/>
    <w:rsid w:val="0038238C"/>
    <w:rsid w:val="003824F4"/>
    <w:rsid w:val="0038257D"/>
    <w:rsid w:val="00382A02"/>
    <w:rsid w:val="0038324D"/>
    <w:rsid w:val="0038379B"/>
    <w:rsid w:val="00383DE6"/>
    <w:rsid w:val="003844A1"/>
    <w:rsid w:val="0038482E"/>
    <w:rsid w:val="0038486B"/>
    <w:rsid w:val="003848C4"/>
    <w:rsid w:val="00384E58"/>
    <w:rsid w:val="003850B3"/>
    <w:rsid w:val="00385708"/>
    <w:rsid w:val="003858F2"/>
    <w:rsid w:val="00385947"/>
    <w:rsid w:val="00385BAD"/>
    <w:rsid w:val="00385CDB"/>
    <w:rsid w:val="00385EAD"/>
    <w:rsid w:val="00386A27"/>
    <w:rsid w:val="00386EF3"/>
    <w:rsid w:val="0038705D"/>
    <w:rsid w:val="003877A9"/>
    <w:rsid w:val="0038784A"/>
    <w:rsid w:val="00387CE1"/>
    <w:rsid w:val="00387CFC"/>
    <w:rsid w:val="00387E1C"/>
    <w:rsid w:val="00387F4D"/>
    <w:rsid w:val="00390160"/>
    <w:rsid w:val="00390321"/>
    <w:rsid w:val="00390D31"/>
    <w:rsid w:val="00391629"/>
    <w:rsid w:val="00391645"/>
    <w:rsid w:val="003916E6"/>
    <w:rsid w:val="003919C7"/>
    <w:rsid w:val="00391B29"/>
    <w:rsid w:val="00391D78"/>
    <w:rsid w:val="00391F21"/>
    <w:rsid w:val="0039232C"/>
    <w:rsid w:val="00392417"/>
    <w:rsid w:val="003928C3"/>
    <w:rsid w:val="00393641"/>
    <w:rsid w:val="00393B0E"/>
    <w:rsid w:val="00394027"/>
    <w:rsid w:val="003952CE"/>
    <w:rsid w:val="0039572D"/>
    <w:rsid w:val="00395730"/>
    <w:rsid w:val="00395958"/>
    <w:rsid w:val="0039650B"/>
    <w:rsid w:val="00396783"/>
    <w:rsid w:val="00396E2B"/>
    <w:rsid w:val="00396F61"/>
    <w:rsid w:val="00397164"/>
    <w:rsid w:val="003974D0"/>
    <w:rsid w:val="00397742"/>
    <w:rsid w:val="00397A48"/>
    <w:rsid w:val="003A003E"/>
    <w:rsid w:val="003A102E"/>
    <w:rsid w:val="003A1591"/>
    <w:rsid w:val="003A19DD"/>
    <w:rsid w:val="003A19E7"/>
    <w:rsid w:val="003A286C"/>
    <w:rsid w:val="003A2885"/>
    <w:rsid w:val="003A3696"/>
    <w:rsid w:val="003A36A9"/>
    <w:rsid w:val="003A3837"/>
    <w:rsid w:val="003A405E"/>
    <w:rsid w:val="003A43AE"/>
    <w:rsid w:val="003A45E0"/>
    <w:rsid w:val="003A47A2"/>
    <w:rsid w:val="003A51C4"/>
    <w:rsid w:val="003A532A"/>
    <w:rsid w:val="003A567A"/>
    <w:rsid w:val="003A5897"/>
    <w:rsid w:val="003A5C01"/>
    <w:rsid w:val="003A6069"/>
    <w:rsid w:val="003A63FE"/>
    <w:rsid w:val="003A6428"/>
    <w:rsid w:val="003A6BDA"/>
    <w:rsid w:val="003A6C0C"/>
    <w:rsid w:val="003A70EB"/>
    <w:rsid w:val="003A7117"/>
    <w:rsid w:val="003A7BB7"/>
    <w:rsid w:val="003A7FAA"/>
    <w:rsid w:val="003B0049"/>
    <w:rsid w:val="003B008D"/>
    <w:rsid w:val="003B04D2"/>
    <w:rsid w:val="003B0863"/>
    <w:rsid w:val="003B1009"/>
    <w:rsid w:val="003B11F5"/>
    <w:rsid w:val="003B160C"/>
    <w:rsid w:val="003B1ABD"/>
    <w:rsid w:val="003B1B55"/>
    <w:rsid w:val="003B1DBC"/>
    <w:rsid w:val="003B23B9"/>
    <w:rsid w:val="003B26DA"/>
    <w:rsid w:val="003B2C70"/>
    <w:rsid w:val="003B2E14"/>
    <w:rsid w:val="003B3006"/>
    <w:rsid w:val="003B307C"/>
    <w:rsid w:val="003B3DBE"/>
    <w:rsid w:val="003B4034"/>
    <w:rsid w:val="003B42FA"/>
    <w:rsid w:val="003B438D"/>
    <w:rsid w:val="003B4988"/>
    <w:rsid w:val="003B4BE4"/>
    <w:rsid w:val="003B5A9F"/>
    <w:rsid w:val="003B5DE6"/>
    <w:rsid w:val="003B604A"/>
    <w:rsid w:val="003B6110"/>
    <w:rsid w:val="003B63AB"/>
    <w:rsid w:val="003B6BFF"/>
    <w:rsid w:val="003B71F9"/>
    <w:rsid w:val="003B7C49"/>
    <w:rsid w:val="003B7E8E"/>
    <w:rsid w:val="003C0101"/>
    <w:rsid w:val="003C0826"/>
    <w:rsid w:val="003C0871"/>
    <w:rsid w:val="003C09F1"/>
    <w:rsid w:val="003C0E11"/>
    <w:rsid w:val="003C15DB"/>
    <w:rsid w:val="003C1775"/>
    <w:rsid w:val="003C1949"/>
    <w:rsid w:val="003C1ACD"/>
    <w:rsid w:val="003C1F13"/>
    <w:rsid w:val="003C23C5"/>
    <w:rsid w:val="003C27E0"/>
    <w:rsid w:val="003C3202"/>
    <w:rsid w:val="003C3870"/>
    <w:rsid w:val="003C40EC"/>
    <w:rsid w:val="003C48F2"/>
    <w:rsid w:val="003C490D"/>
    <w:rsid w:val="003C4A47"/>
    <w:rsid w:val="003C4B2A"/>
    <w:rsid w:val="003C4BAE"/>
    <w:rsid w:val="003C4C2C"/>
    <w:rsid w:val="003C4CDC"/>
    <w:rsid w:val="003C56F9"/>
    <w:rsid w:val="003C5C92"/>
    <w:rsid w:val="003C5D0D"/>
    <w:rsid w:val="003C6B6C"/>
    <w:rsid w:val="003C6F21"/>
    <w:rsid w:val="003C6FC1"/>
    <w:rsid w:val="003C7189"/>
    <w:rsid w:val="003C722E"/>
    <w:rsid w:val="003C77B4"/>
    <w:rsid w:val="003C7933"/>
    <w:rsid w:val="003C7B6B"/>
    <w:rsid w:val="003C7EC6"/>
    <w:rsid w:val="003D0A25"/>
    <w:rsid w:val="003D0C42"/>
    <w:rsid w:val="003D0C48"/>
    <w:rsid w:val="003D0FFB"/>
    <w:rsid w:val="003D1500"/>
    <w:rsid w:val="003D178A"/>
    <w:rsid w:val="003D18DD"/>
    <w:rsid w:val="003D272E"/>
    <w:rsid w:val="003D28DE"/>
    <w:rsid w:val="003D2B6D"/>
    <w:rsid w:val="003D2B94"/>
    <w:rsid w:val="003D34CC"/>
    <w:rsid w:val="003D4160"/>
    <w:rsid w:val="003D4521"/>
    <w:rsid w:val="003D4840"/>
    <w:rsid w:val="003D4DB1"/>
    <w:rsid w:val="003D5080"/>
    <w:rsid w:val="003D51F7"/>
    <w:rsid w:val="003D52CD"/>
    <w:rsid w:val="003D52EE"/>
    <w:rsid w:val="003D5342"/>
    <w:rsid w:val="003D5B6B"/>
    <w:rsid w:val="003D5FC1"/>
    <w:rsid w:val="003D6349"/>
    <w:rsid w:val="003D6BD7"/>
    <w:rsid w:val="003D6FD3"/>
    <w:rsid w:val="003D7193"/>
    <w:rsid w:val="003D7444"/>
    <w:rsid w:val="003D7530"/>
    <w:rsid w:val="003D7636"/>
    <w:rsid w:val="003D7925"/>
    <w:rsid w:val="003D7C4C"/>
    <w:rsid w:val="003D7EAD"/>
    <w:rsid w:val="003D7FEA"/>
    <w:rsid w:val="003E0105"/>
    <w:rsid w:val="003E03BE"/>
    <w:rsid w:val="003E071A"/>
    <w:rsid w:val="003E08A6"/>
    <w:rsid w:val="003E0D1B"/>
    <w:rsid w:val="003E12B8"/>
    <w:rsid w:val="003E133E"/>
    <w:rsid w:val="003E1AA9"/>
    <w:rsid w:val="003E1C46"/>
    <w:rsid w:val="003E1D58"/>
    <w:rsid w:val="003E2389"/>
    <w:rsid w:val="003E256E"/>
    <w:rsid w:val="003E2B85"/>
    <w:rsid w:val="003E3143"/>
    <w:rsid w:val="003E3EF3"/>
    <w:rsid w:val="003E4000"/>
    <w:rsid w:val="003E43D0"/>
    <w:rsid w:val="003E4CEF"/>
    <w:rsid w:val="003E4EA6"/>
    <w:rsid w:val="003E50B3"/>
    <w:rsid w:val="003E53B8"/>
    <w:rsid w:val="003E55EE"/>
    <w:rsid w:val="003E5671"/>
    <w:rsid w:val="003E5764"/>
    <w:rsid w:val="003E624F"/>
    <w:rsid w:val="003E6EAD"/>
    <w:rsid w:val="003E7245"/>
    <w:rsid w:val="003E7663"/>
    <w:rsid w:val="003F08BF"/>
    <w:rsid w:val="003F0D25"/>
    <w:rsid w:val="003F0DE6"/>
    <w:rsid w:val="003F1A49"/>
    <w:rsid w:val="003F1C80"/>
    <w:rsid w:val="003F1DC3"/>
    <w:rsid w:val="003F1F58"/>
    <w:rsid w:val="003F2105"/>
    <w:rsid w:val="003F2354"/>
    <w:rsid w:val="003F3440"/>
    <w:rsid w:val="003F3E26"/>
    <w:rsid w:val="003F41BD"/>
    <w:rsid w:val="003F43AC"/>
    <w:rsid w:val="003F466A"/>
    <w:rsid w:val="003F4831"/>
    <w:rsid w:val="003F492C"/>
    <w:rsid w:val="003F528D"/>
    <w:rsid w:val="003F574D"/>
    <w:rsid w:val="003F66B8"/>
    <w:rsid w:val="003F6A80"/>
    <w:rsid w:val="003F748F"/>
    <w:rsid w:val="003F77F7"/>
    <w:rsid w:val="003F77FD"/>
    <w:rsid w:val="003F79DC"/>
    <w:rsid w:val="004001BF"/>
    <w:rsid w:val="0040069A"/>
    <w:rsid w:val="00400827"/>
    <w:rsid w:val="004014F7"/>
    <w:rsid w:val="00401DC7"/>
    <w:rsid w:val="0040239C"/>
    <w:rsid w:val="0040283A"/>
    <w:rsid w:val="00402AED"/>
    <w:rsid w:val="00402FA8"/>
    <w:rsid w:val="004037FB"/>
    <w:rsid w:val="00403CE4"/>
    <w:rsid w:val="004045E1"/>
    <w:rsid w:val="004046E4"/>
    <w:rsid w:val="00404AFA"/>
    <w:rsid w:val="00404D94"/>
    <w:rsid w:val="00404EB9"/>
    <w:rsid w:val="00404EDB"/>
    <w:rsid w:val="00405444"/>
    <w:rsid w:val="00406344"/>
    <w:rsid w:val="00406A5C"/>
    <w:rsid w:val="0040745F"/>
    <w:rsid w:val="0040752F"/>
    <w:rsid w:val="00407824"/>
    <w:rsid w:val="00407C35"/>
    <w:rsid w:val="004100C0"/>
    <w:rsid w:val="00410A7B"/>
    <w:rsid w:val="00410C8B"/>
    <w:rsid w:val="00410DFB"/>
    <w:rsid w:val="00411065"/>
    <w:rsid w:val="004110DE"/>
    <w:rsid w:val="00411202"/>
    <w:rsid w:val="00411913"/>
    <w:rsid w:val="004127DB"/>
    <w:rsid w:val="00412B6B"/>
    <w:rsid w:val="00412C62"/>
    <w:rsid w:val="00412DB7"/>
    <w:rsid w:val="0041383A"/>
    <w:rsid w:val="00413C0A"/>
    <w:rsid w:val="004140B9"/>
    <w:rsid w:val="0041434A"/>
    <w:rsid w:val="00414810"/>
    <w:rsid w:val="00415474"/>
    <w:rsid w:val="00415680"/>
    <w:rsid w:val="00416466"/>
    <w:rsid w:val="0041689F"/>
    <w:rsid w:val="00416C3A"/>
    <w:rsid w:val="004170AC"/>
    <w:rsid w:val="0041722F"/>
    <w:rsid w:val="00417BDD"/>
    <w:rsid w:val="00420073"/>
    <w:rsid w:val="004204C7"/>
    <w:rsid w:val="00420FD8"/>
    <w:rsid w:val="00421DDB"/>
    <w:rsid w:val="00421EED"/>
    <w:rsid w:val="00422330"/>
    <w:rsid w:val="0042246A"/>
    <w:rsid w:val="004224D6"/>
    <w:rsid w:val="004224F4"/>
    <w:rsid w:val="004226DB"/>
    <w:rsid w:val="004227E6"/>
    <w:rsid w:val="0042282C"/>
    <w:rsid w:val="00422CC9"/>
    <w:rsid w:val="00423D17"/>
    <w:rsid w:val="0042477B"/>
    <w:rsid w:val="00424963"/>
    <w:rsid w:val="0042497B"/>
    <w:rsid w:val="00424BEF"/>
    <w:rsid w:val="0042550B"/>
    <w:rsid w:val="00426431"/>
    <w:rsid w:val="00427650"/>
    <w:rsid w:val="00430064"/>
    <w:rsid w:val="004307D4"/>
    <w:rsid w:val="0043090F"/>
    <w:rsid w:val="00430B36"/>
    <w:rsid w:val="00430BFC"/>
    <w:rsid w:val="00430E34"/>
    <w:rsid w:val="004314F2"/>
    <w:rsid w:val="0043197C"/>
    <w:rsid w:val="00431BE2"/>
    <w:rsid w:val="00431C6C"/>
    <w:rsid w:val="0043211B"/>
    <w:rsid w:val="004322C9"/>
    <w:rsid w:val="0043298D"/>
    <w:rsid w:val="00432AAD"/>
    <w:rsid w:val="00432B92"/>
    <w:rsid w:val="00432F27"/>
    <w:rsid w:val="00433442"/>
    <w:rsid w:val="00433AAF"/>
    <w:rsid w:val="00433F2D"/>
    <w:rsid w:val="00434089"/>
    <w:rsid w:val="004342D6"/>
    <w:rsid w:val="004345F4"/>
    <w:rsid w:val="00434A64"/>
    <w:rsid w:val="00434E2F"/>
    <w:rsid w:val="004352E9"/>
    <w:rsid w:val="00435608"/>
    <w:rsid w:val="00435D04"/>
    <w:rsid w:val="00435E3E"/>
    <w:rsid w:val="00435E72"/>
    <w:rsid w:val="00436197"/>
    <w:rsid w:val="004362CF"/>
    <w:rsid w:val="00436597"/>
    <w:rsid w:val="0043690E"/>
    <w:rsid w:val="00436B10"/>
    <w:rsid w:val="00437251"/>
    <w:rsid w:val="0043742A"/>
    <w:rsid w:val="00437ABC"/>
    <w:rsid w:val="004401CA"/>
    <w:rsid w:val="00440420"/>
    <w:rsid w:val="0044048A"/>
    <w:rsid w:val="00440924"/>
    <w:rsid w:val="00441848"/>
    <w:rsid w:val="004421B3"/>
    <w:rsid w:val="00442204"/>
    <w:rsid w:val="004427F9"/>
    <w:rsid w:val="00442F1E"/>
    <w:rsid w:val="00443F16"/>
    <w:rsid w:val="004440A0"/>
    <w:rsid w:val="00444E91"/>
    <w:rsid w:val="004450FC"/>
    <w:rsid w:val="00445166"/>
    <w:rsid w:val="0044526B"/>
    <w:rsid w:val="004458D5"/>
    <w:rsid w:val="00445BC9"/>
    <w:rsid w:val="00446D30"/>
    <w:rsid w:val="00447104"/>
    <w:rsid w:val="0044721C"/>
    <w:rsid w:val="004472C1"/>
    <w:rsid w:val="00447AEC"/>
    <w:rsid w:val="00447EAF"/>
    <w:rsid w:val="0045009B"/>
    <w:rsid w:val="004500ED"/>
    <w:rsid w:val="0045029B"/>
    <w:rsid w:val="0045045C"/>
    <w:rsid w:val="00450CC4"/>
    <w:rsid w:val="00450E19"/>
    <w:rsid w:val="00451256"/>
    <w:rsid w:val="004513A8"/>
    <w:rsid w:val="0045151D"/>
    <w:rsid w:val="00451907"/>
    <w:rsid w:val="00452132"/>
    <w:rsid w:val="00452202"/>
    <w:rsid w:val="00452AC7"/>
    <w:rsid w:val="00452F50"/>
    <w:rsid w:val="00453487"/>
    <w:rsid w:val="00453876"/>
    <w:rsid w:val="00454161"/>
    <w:rsid w:val="00454476"/>
    <w:rsid w:val="0045478B"/>
    <w:rsid w:val="004548C0"/>
    <w:rsid w:val="00454A26"/>
    <w:rsid w:val="0045516C"/>
    <w:rsid w:val="00455276"/>
    <w:rsid w:val="0045534B"/>
    <w:rsid w:val="00455AA9"/>
    <w:rsid w:val="00455CAA"/>
    <w:rsid w:val="00456745"/>
    <w:rsid w:val="004567A3"/>
    <w:rsid w:val="00457347"/>
    <w:rsid w:val="0045734D"/>
    <w:rsid w:val="00457A6F"/>
    <w:rsid w:val="00457E00"/>
    <w:rsid w:val="004604A2"/>
    <w:rsid w:val="004605BF"/>
    <w:rsid w:val="00460792"/>
    <w:rsid w:val="0046084D"/>
    <w:rsid w:val="00460915"/>
    <w:rsid w:val="00460B3D"/>
    <w:rsid w:val="00460E73"/>
    <w:rsid w:val="00460F0D"/>
    <w:rsid w:val="00461631"/>
    <w:rsid w:val="00461A12"/>
    <w:rsid w:val="00461B7C"/>
    <w:rsid w:val="00461C1A"/>
    <w:rsid w:val="00461F1A"/>
    <w:rsid w:val="00462059"/>
    <w:rsid w:val="00462D76"/>
    <w:rsid w:val="0046312B"/>
    <w:rsid w:val="00463208"/>
    <w:rsid w:val="00463849"/>
    <w:rsid w:val="004642A0"/>
    <w:rsid w:val="004643E1"/>
    <w:rsid w:val="00464798"/>
    <w:rsid w:val="00464962"/>
    <w:rsid w:val="00464BD9"/>
    <w:rsid w:val="00465227"/>
    <w:rsid w:val="004663E5"/>
    <w:rsid w:val="0046688F"/>
    <w:rsid w:val="00466C0F"/>
    <w:rsid w:val="00466DF6"/>
    <w:rsid w:val="004674C5"/>
    <w:rsid w:val="00467805"/>
    <w:rsid w:val="00467810"/>
    <w:rsid w:val="00467CAA"/>
    <w:rsid w:val="004702C7"/>
    <w:rsid w:val="004703C4"/>
    <w:rsid w:val="004707C4"/>
    <w:rsid w:val="004708D3"/>
    <w:rsid w:val="004708EB"/>
    <w:rsid w:val="00470B7A"/>
    <w:rsid w:val="00471244"/>
    <w:rsid w:val="004712F1"/>
    <w:rsid w:val="00471747"/>
    <w:rsid w:val="0047185C"/>
    <w:rsid w:val="0047189E"/>
    <w:rsid w:val="00471DE0"/>
    <w:rsid w:val="00471FCD"/>
    <w:rsid w:val="004728D3"/>
    <w:rsid w:val="004728E8"/>
    <w:rsid w:val="00472A88"/>
    <w:rsid w:val="00472B3A"/>
    <w:rsid w:val="00473595"/>
    <w:rsid w:val="004735D8"/>
    <w:rsid w:val="00473BCD"/>
    <w:rsid w:val="00473CDD"/>
    <w:rsid w:val="004740D8"/>
    <w:rsid w:val="00475664"/>
    <w:rsid w:val="0047569A"/>
    <w:rsid w:val="00475F0B"/>
    <w:rsid w:val="00475F37"/>
    <w:rsid w:val="00475F89"/>
    <w:rsid w:val="00476084"/>
    <w:rsid w:val="00476297"/>
    <w:rsid w:val="004762A6"/>
    <w:rsid w:val="004764F4"/>
    <w:rsid w:val="00476650"/>
    <w:rsid w:val="00477AE9"/>
    <w:rsid w:val="0048004A"/>
    <w:rsid w:val="00480118"/>
    <w:rsid w:val="00480280"/>
    <w:rsid w:val="0048053F"/>
    <w:rsid w:val="00480595"/>
    <w:rsid w:val="00480A13"/>
    <w:rsid w:val="00481182"/>
    <w:rsid w:val="004815E8"/>
    <w:rsid w:val="0048165C"/>
    <w:rsid w:val="004817BB"/>
    <w:rsid w:val="00482405"/>
    <w:rsid w:val="00482AFB"/>
    <w:rsid w:val="00482E30"/>
    <w:rsid w:val="00482ECA"/>
    <w:rsid w:val="004831EC"/>
    <w:rsid w:val="00483210"/>
    <w:rsid w:val="004833D7"/>
    <w:rsid w:val="004837A8"/>
    <w:rsid w:val="00483E0D"/>
    <w:rsid w:val="00483EF9"/>
    <w:rsid w:val="0048472B"/>
    <w:rsid w:val="004849E4"/>
    <w:rsid w:val="00485403"/>
    <w:rsid w:val="00486DDF"/>
    <w:rsid w:val="00486DFB"/>
    <w:rsid w:val="00486EBF"/>
    <w:rsid w:val="0048723C"/>
    <w:rsid w:val="00487249"/>
    <w:rsid w:val="0049013E"/>
    <w:rsid w:val="004901E3"/>
    <w:rsid w:val="004902C7"/>
    <w:rsid w:val="00490AE4"/>
    <w:rsid w:val="00490E45"/>
    <w:rsid w:val="00490E71"/>
    <w:rsid w:val="00491015"/>
    <w:rsid w:val="00491EBA"/>
    <w:rsid w:val="00491F29"/>
    <w:rsid w:val="00492ADC"/>
    <w:rsid w:val="00492D51"/>
    <w:rsid w:val="00492E6F"/>
    <w:rsid w:val="004934A8"/>
    <w:rsid w:val="00493BB6"/>
    <w:rsid w:val="00494581"/>
    <w:rsid w:val="00494613"/>
    <w:rsid w:val="00494B82"/>
    <w:rsid w:val="00494F2D"/>
    <w:rsid w:val="00495630"/>
    <w:rsid w:val="00495694"/>
    <w:rsid w:val="0049588E"/>
    <w:rsid w:val="00496205"/>
    <w:rsid w:val="00496285"/>
    <w:rsid w:val="00496548"/>
    <w:rsid w:val="00496715"/>
    <w:rsid w:val="004968DA"/>
    <w:rsid w:val="004969F7"/>
    <w:rsid w:val="00496BAB"/>
    <w:rsid w:val="00496C86"/>
    <w:rsid w:val="004972B8"/>
    <w:rsid w:val="004978E9"/>
    <w:rsid w:val="00497A08"/>
    <w:rsid w:val="00497CF8"/>
    <w:rsid w:val="004A0EED"/>
    <w:rsid w:val="004A10BC"/>
    <w:rsid w:val="004A131F"/>
    <w:rsid w:val="004A173A"/>
    <w:rsid w:val="004A17F9"/>
    <w:rsid w:val="004A295A"/>
    <w:rsid w:val="004A33BE"/>
    <w:rsid w:val="004A3499"/>
    <w:rsid w:val="004A42CC"/>
    <w:rsid w:val="004A488E"/>
    <w:rsid w:val="004A4A8F"/>
    <w:rsid w:val="004A4ADA"/>
    <w:rsid w:val="004A4BA5"/>
    <w:rsid w:val="004A4D4E"/>
    <w:rsid w:val="004A560A"/>
    <w:rsid w:val="004A564B"/>
    <w:rsid w:val="004A5D8A"/>
    <w:rsid w:val="004A5ECA"/>
    <w:rsid w:val="004A607D"/>
    <w:rsid w:val="004A6590"/>
    <w:rsid w:val="004A6A11"/>
    <w:rsid w:val="004A6DCC"/>
    <w:rsid w:val="004A7125"/>
    <w:rsid w:val="004A76FC"/>
    <w:rsid w:val="004A79FF"/>
    <w:rsid w:val="004A7E5D"/>
    <w:rsid w:val="004B0BC5"/>
    <w:rsid w:val="004B1081"/>
    <w:rsid w:val="004B1923"/>
    <w:rsid w:val="004B1E03"/>
    <w:rsid w:val="004B2331"/>
    <w:rsid w:val="004B25E8"/>
    <w:rsid w:val="004B2EAE"/>
    <w:rsid w:val="004B30F1"/>
    <w:rsid w:val="004B3499"/>
    <w:rsid w:val="004B37AB"/>
    <w:rsid w:val="004B3B02"/>
    <w:rsid w:val="004B3FB5"/>
    <w:rsid w:val="004B44A4"/>
    <w:rsid w:val="004B50D1"/>
    <w:rsid w:val="004B5896"/>
    <w:rsid w:val="004B58DF"/>
    <w:rsid w:val="004B5FA3"/>
    <w:rsid w:val="004B66B7"/>
    <w:rsid w:val="004B68D6"/>
    <w:rsid w:val="004B6A81"/>
    <w:rsid w:val="004B6E02"/>
    <w:rsid w:val="004B70D0"/>
    <w:rsid w:val="004B7127"/>
    <w:rsid w:val="004C014B"/>
    <w:rsid w:val="004C03C9"/>
    <w:rsid w:val="004C0C64"/>
    <w:rsid w:val="004C0FC4"/>
    <w:rsid w:val="004C10BD"/>
    <w:rsid w:val="004C10DC"/>
    <w:rsid w:val="004C1C7B"/>
    <w:rsid w:val="004C2708"/>
    <w:rsid w:val="004C2AB1"/>
    <w:rsid w:val="004C2AE9"/>
    <w:rsid w:val="004C2B55"/>
    <w:rsid w:val="004C32EA"/>
    <w:rsid w:val="004C34D5"/>
    <w:rsid w:val="004C3A27"/>
    <w:rsid w:val="004C3EDD"/>
    <w:rsid w:val="004C42F8"/>
    <w:rsid w:val="004C456E"/>
    <w:rsid w:val="004C4904"/>
    <w:rsid w:val="004C4DD7"/>
    <w:rsid w:val="004C4F11"/>
    <w:rsid w:val="004C5316"/>
    <w:rsid w:val="004C55EE"/>
    <w:rsid w:val="004C6957"/>
    <w:rsid w:val="004C6AF9"/>
    <w:rsid w:val="004C6C31"/>
    <w:rsid w:val="004C727E"/>
    <w:rsid w:val="004C740D"/>
    <w:rsid w:val="004C7654"/>
    <w:rsid w:val="004C771F"/>
    <w:rsid w:val="004C790A"/>
    <w:rsid w:val="004D02F8"/>
    <w:rsid w:val="004D074D"/>
    <w:rsid w:val="004D0CEC"/>
    <w:rsid w:val="004D10A3"/>
    <w:rsid w:val="004D14AB"/>
    <w:rsid w:val="004D297F"/>
    <w:rsid w:val="004D2FC4"/>
    <w:rsid w:val="004D303E"/>
    <w:rsid w:val="004D3056"/>
    <w:rsid w:val="004D3EE4"/>
    <w:rsid w:val="004D5307"/>
    <w:rsid w:val="004D575B"/>
    <w:rsid w:val="004D5D33"/>
    <w:rsid w:val="004D5F33"/>
    <w:rsid w:val="004D6087"/>
    <w:rsid w:val="004D69D8"/>
    <w:rsid w:val="004D6D26"/>
    <w:rsid w:val="004D744F"/>
    <w:rsid w:val="004D755D"/>
    <w:rsid w:val="004D75E8"/>
    <w:rsid w:val="004D767D"/>
    <w:rsid w:val="004D7C96"/>
    <w:rsid w:val="004D7E5A"/>
    <w:rsid w:val="004E003D"/>
    <w:rsid w:val="004E070E"/>
    <w:rsid w:val="004E1C16"/>
    <w:rsid w:val="004E1CEC"/>
    <w:rsid w:val="004E208C"/>
    <w:rsid w:val="004E21BC"/>
    <w:rsid w:val="004E245E"/>
    <w:rsid w:val="004E2DBB"/>
    <w:rsid w:val="004E31B7"/>
    <w:rsid w:val="004E31CF"/>
    <w:rsid w:val="004E3D6E"/>
    <w:rsid w:val="004E4261"/>
    <w:rsid w:val="004E4A5C"/>
    <w:rsid w:val="004E4D1B"/>
    <w:rsid w:val="004E4D61"/>
    <w:rsid w:val="004E641D"/>
    <w:rsid w:val="004E64FF"/>
    <w:rsid w:val="004E6D5C"/>
    <w:rsid w:val="004E72BD"/>
    <w:rsid w:val="004F010B"/>
    <w:rsid w:val="004F037B"/>
    <w:rsid w:val="004F0430"/>
    <w:rsid w:val="004F0780"/>
    <w:rsid w:val="004F0AFF"/>
    <w:rsid w:val="004F0DA7"/>
    <w:rsid w:val="004F0FA5"/>
    <w:rsid w:val="004F1014"/>
    <w:rsid w:val="004F1076"/>
    <w:rsid w:val="004F13CF"/>
    <w:rsid w:val="004F169A"/>
    <w:rsid w:val="004F1A83"/>
    <w:rsid w:val="004F1C8E"/>
    <w:rsid w:val="004F2061"/>
    <w:rsid w:val="004F2374"/>
    <w:rsid w:val="004F3145"/>
    <w:rsid w:val="004F3288"/>
    <w:rsid w:val="004F34EF"/>
    <w:rsid w:val="004F384F"/>
    <w:rsid w:val="004F395A"/>
    <w:rsid w:val="004F39D6"/>
    <w:rsid w:val="004F3B94"/>
    <w:rsid w:val="004F3F5B"/>
    <w:rsid w:val="004F3FA4"/>
    <w:rsid w:val="004F4198"/>
    <w:rsid w:val="004F436C"/>
    <w:rsid w:val="004F446C"/>
    <w:rsid w:val="004F4549"/>
    <w:rsid w:val="004F4711"/>
    <w:rsid w:val="004F4AB9"/>
    <w:rsid w:val="004F4CD8"/>
    <w:rsid w:val="004F513A"/>
    <w:rsid w:val="004F5264"/>
    <w:rsid w:val="004F609C"/>
    <w:rsid w:val="004F6F7D"/>
    <w:rsid w:val="004F7E5A"/>
    <w:rsid w:val="00500747"/>
    <w:rsid w:val="00500DDA"/>
    <w:rsid w:val="00500F12"/>
    <w:rsid w:val="00501C73"/>
    <w:rsid w:val="00502040"/>
    <w:rsid w:val="00502CEB"/>
    <w:rsid w:val="00502E75"/>
    <w:rsid w:val="00503099"/>
    <w:rsid w:val="005030E4"/>
    <w:rsid w:val="00503706"/>
    <w:rsid w:val="00503891"/>
    <w:rsid w:val="00503B73"/>
    <w:rsid w:val="00504052"/>
    <w:rsid w:val="00504377"/>
    <w:rsid w:val="00504524"/>
    <w:rsid w:val="0050453B"/>
    <w:rsid w:val="005045AA"/>
    <w:rsid w:val="005046D0"/>
    <w:rsid w:val="00504D47"/>
    <w:rsid w:val="00504D5A"/>
    <w:rsid w:val="00504F67"/>
    <w:rsid w:val="00505055"/>
    <w:rsid w:val="005055A0"/>
    <w:rsid w:val="00505630"/>
    <w:rsid w:val="005058B8"/>
    <w:rsid w:val="005058E0"/>
    <w:rsid w:val="00505FB6"/>
    <w:rsid w:val="00506659"/>
    <w:rsid w:val="0050672E"/>
    <w:rsid w:val="00506823"/>
    <w:rsid w:val="00506D94"/>
    <w:rsid w:val="00507003"/>
    <w:rsid w:val="0050741E"/>
    <w:rsid w:val="005074DE"/>
    <w:rsid w:val="00507AD4"/>
    <w:rsid w:val="00507FE7"/>
    <w:rsid w:val="00510319"/>
    <w:rsid w:val="00510ECE"/>
    <w:rsid w:val="005110DC"/>
    <w:rsid w:val="00511CDE"/>
    <w:rsid w:val="00511D3C"/>
    <w:rsid w:val="00511E13"/>
    <w:rsid w:val="005120BF"/>
    <w:rsid w:val="005120DA"/>
    <w:rsid w:val="0051236F"/>
    <w:rsid w:val="00512C1F"/>
    <w:rsid w:val="00512F66"/>
    <w:rsid w:val="00513005"/>
    <w:rsid w:val="00513DDC"/>
    <w:rsid w:val="005140D9"/>
    <w:rsid w:val="005141FE"/>
    <w:rsid w:val="005142D7"/>
    <w:rsid w:val="005143A2"/>
    <w:rsid w:val="0051461A"/>
    <w:rsid w:val="00514F66"/>
    <w:rsid w:val="0051508F"/>
    <w:rsid w:val="005151D8"/>
    <w:rsid w:val="005151E6"/>
    <w:rsid w:val="005153D2"/>
    <w:rsid w:val="0051546C"/>
    <w:rsid w:val="005154C6"/>
    <w:rsid w:val="00515553"/>
    <w:rsid w:val="005155DE"/>
    <w:rsid w:val="00515A6A"/>
    <w:rsid w:val="00515B03"/>
    <w:rsid w:val="00516350"/>
    <w:rsid w:val="00516586"/>
    <w:rsid w:val="00516C8E"/>
    <w:rsid w:val="00516CC6"/>
    <w:rsid w:val="00516CEB"/>
    <w:rsid w:val="005171B6"/>
    <w:rsid w:val="00517278"/>
    <w:rsid w:val="005174FE"/>
    <w:rsid w:val="00517770"/>
    <w:rsid w:val="00517A2C"/>
    <w:rsid w:val="00517BA7"/>
    <w:rsid w:val="00517DA9"/>
    <w:rsid w:val="005202C2"/>
    <w:rsid w:val="00520915"/>
    <w:rsid w:val="00520FC7"/>
    <w:rsid w:val="00520FFA"/>
    <w:rsid w:val="00520FFE"/>
    <w:rsid w:val="0052152A"/>
    <w:rsid w:val="00521E61"/>
    <w:rsid w:val="005229AA"/>
    <w:rsid w:val="00522E40"/>
    <w:rsid w:val="0052309D"/>
    <w:rsid w:val="00523A6B"/>
    <w:rsid w:val="00523AF2"/>
    <w:rsid w:val="00524040"/>
    <w:rsid w:val="00524CFA"/>
    <w:rsid w:val="00526182"/>
    <w:rsid w:val="00526771"/>
    <w:rsid w:val="005268BF"/>
    <w:rsid w:val="00527375"/>
    <w:rsid w:val="0052762E"/>
    <w:rsid w:val="0052765F"/>
    <w:rsid w:val="00527C44"/>
    <w:rsid w:val="00530D9F"/>
    <w:rsid w:val="0053111F"/>
    <w:rsid w:val="00531F9B"/>
    <w:rsid w:val="00532407"/>
    <w:rsid w:val="00532412"/>
    <w:rsid w:val="00532456"/>
    <w:rsid w:val="005324A1"/>
    <w:rsid w:val="00532518"/>
    <w:rsid w:val="005325B1"/>
    <w:rsid w:val="00532716"/>
    <w:rsid w:val="00532B5F"/>
    <w:rsid w:val="00532C6D"/>
    <w:rsid w:val="00532E54"/>
    <w:rsid w:val="005332A3"/>
    <w:rsid w:val="00533342"/>
    <w:rsid w:val="005333A2"/>
    <w:rsid w:val="00533592"/>
    <w:rsid w:val="00533C49"/>
    <w:rsid w:val="00533CC5"/>
    <w:rsid w:val="00533F7C"/>
    <w:rsid w:val="005341BE"/>
    <w:rsid w:val="00534336"/>
    <w:rsid w:val="00534603"/>
    <w:rsid w:val="0053460E"/>
    <w:rsid w:val="005346AC"/>
    <w:rsid w:val="00534A34"/>
    <w:rsid w:val="00534B60"/>
    <w:rsid w:val="00535298"/>
    <w:rsid w:val="00535A62"/>
    <w:rsid w:val="00535BC8"/>
    <w:rsid w:val="00535E28"/>
    <w:rsid w:val="005362B6"/>
    <w:rsid w:val="00536697"/>
    <w:rsid w:val="005367D4"/>
    <w:rsid w:val="00536A5B"/>
    <w:rsid w:val="00536D36"/>
    <w:rsid w:val="00536F67"/>
    <w:rsid w:val="005370A2"/>
    <w:rsid w:val="00537572"/>
    <w:rsid w:val="00537576"/>
    <w:rsid w:val="00537CCE"/>
    <w:rsid w:val="00537CD9"/>
    <w:rsid w:val="005401DB"/>
    <w:rsid w:val="0054134B"/>
    <w:rsid w:val="0054182B"/>
    <w:rsid w:val="00541C0B"/>
    <w:rsid w:val="00541E96"/>
    <w:rsid w:val="005423A3"/>
    <w:rsid w:val="00542466"/>
    <w:rsid w:val="00542C27"/>
    <w:rsid w:val="00542C6F"/>
    <w:rsid w:val="0054322B"/>
    <w:rsid w:val="0054339F"/>
    <w:rsid w:val="00543B70"/>
    <w:rsid w:val="005449B6"/>
    <w:rsid w:val="00545445"/>
    <w:rsid w:val="00545B90"/>
    <w:rsid w:val="00545DF4"/>
    <w:rsid w:val="005461EF"/>
    <w:rsid w:val="005462A9"/>
    <w:rsid w:val="00546995"/>
    <w:rsid w:val="005502CE"/>
    <w:rsid w:val="005505EC"/>
    <w:rsid w:val="00550A95"/>
    <w:rsid w:val="00550B08"/>
    <w:rsid w:val="00551518"/>
    <w:rsid w:val="0055192B"/>
    <w:rsid w:val="00551A80"/>
    <w:rsid w:val="0055244A"/>
    <w:rsid w:val="00552666"/>
    <w:rsid w:val="0055293C"/>
    <w:rsid w:val="00553073"/>
    <w:rsid w:val="00553084"/>
    <w:rsid w:val="0055314D"/>
    <w:rsid w:val="005541D4"/>
    <w:rsid w:val="00554406"/>
    <w:rsid w:val="00554AE2"/>
    <w:rsid w:val="005550FA"/>
    <w:rsid w:val="005551A3"/>
    <w:rsid w:val="005552F3"/>
    <w:rsid w:val="0055532A"/>
    <w:rsid w:val="005553B2"/>
    <w:rsid w:val="00555968"/>
    <w:rsid w:val="00555B4E"/>
    <w:rsid w:val="00555D0D"/>
    <w:rsid w:val="00556555"/>
    <w:rsid w:val="00557192"/>
    <w:rsid w:val="005575F0"/>
    <w:rsid w:val="005576E9"/>
    <w:rsid w:val="00557B2A"/>
    <w:rsid w:val="00560095"/>
    <w:rsid w:val="00560390"/>
    <w:rsid w:val="00561177"/>
    <w:rsid w:val="00562E50"/>
    <w:rsid w:val="00562FAC"/>
    <w:rsid w:val="00563208"/>
    <w:rsid w:val="0056355A"/>
    <w:rsid w:val="00563B30"/>
    <w:rsid w:val="00563B39"/>
    <w:rsid w:val="00563BD4"/>
    <w:rsid w:val="00563FC9"/>
    <w:rsid w:val="0056426D"/>
    <w:rsid w:val="00564582"/>
    <w:rsid w:val="005649B6"/>
    <w:rsid w:val="00564C64"/>
    <w:rsid w:val="00564DDB"/>
    <w:rsid w:val="00564E48"/>
    <w:rsid w:val="00564F72"/>
    <w:rsid w:val="00565DED"/>
    <w:rsid w:val="00565EF6"/>
    <w:rsid w:val="0056642E"/>
    <w:rsid w:val="005665C1"/>
    <w:rsid w:val="005668B1"/>
    <w:rsid w:val="00566E01"/>
    <w:rsid w:val="00566E19"/>
    <w:rsid w:val="005675F7"/>
    <w:rsid w:val="005675FC"/>
    <w:rsid w:val="00567DFC"/>
    <w:rsid w:val="00567EF3"/>
    <w:rsid w:val="005702FE"/>
    <w:rsid w:val="0057088D"/>
    <w:rsid w:val="00571816"/>
    <w:rsid w:val="00571836"/>
    <w:rsid w:val="00573AA7"/>
    <w:rsid w:val="00573AED"/>
    <w:rsid w:val="00573B88"/>
    <w:rsid w:val="00573DF5"/>
    <w:rsid w:val="0057526F"/>
    <w:rsid w:val="0057566A"/>
    <w:rsid w:val="00575846"/>
    <w:rsid w:val="005758C7"/>
    <w:rsid w:val="00576014"/>
    <w:rsid w:val="005763CF"/>
    <w:rsid w:val="00576B23"/>
    <w:rsid w:val="00576E5C"/>
    <w:rsid w:val="00576EF4"/>
    <w:rsid w:val="00577408"/>
    <w:rsid w:val="00577B35"/>
    <w:rsid w:val="00577C1B"/>
    <w:rsid w:val="0058070B"/>
    <w:rsid w:val="005807A9"/>
    <w:rsid w:val="00580AD4"/>
    <w:rsid w:val="00580AE2"/>
    <w:rsid w:val="00580BF8"/>
    <w:rsid w:val="00580DC9"/>
    <w:rsid w:val="00581150"/>
    <w:rsid w:val="00581456"/>
    <w:rsid w:val="0058148F"/>
    <w:rsid w:val="00581808"/>
    <w:rsid w:val="00581C2A"/>
    <w:rsid w:val="00582198"/>
    <w:rsid w:val="00582360"/>
    <w:rsid w:val="005824EA"/>
    <w:rsid w:val="00582A17"/>
    <w:rsid w:val="00582B3F"/>
    <w:rsid w:val="00582B5E"/>
    <w:rsid w:val="00582C18"/>
    <w:rsid w:val="00582CCB"/>
    <w:rsid w:val="00583099"/>
    <w:rsid w:val="00583223"/>
    <w:rsid w:val="005835E5"/>
    <w:rsid w:val="00583675"/>
    <w:rsid w:val="005837E5"/>
    <w:rsid w:val="00583858"/>
    <w:rsid w:val="00583DF3"/>
    <w:rsid w:val="00583E28"/>
    <w:rsid w:val="00584CEB"/>
    <w:rsid w:val="00584D72"/>
    <w:rsid w:val="00585446"/>
    <w:rsid w:val="00585779"/>
    <w:rsid w:val="00585A09"/>
    <w:rsid w:val="00586426"/>
    <w:rsid w:val="00586494"/>
    <w:rsid w:val="0058730C"/>
    <w:rsid w:val="0058753D"/>
    <w:rsid w:val="00587994"/>
    <w:rsid w:val="00587A15"/>
    <w:rsid w:val="00587B11"/>
    <w:rsid w:val="005902DF"/>
    <w:rsid w:val="0059082C"/>
    <w:rsid w:val="005908E0"/>
    <w:rsid w:val="00590928"/>
    <w:rsid w:val="00590E34"/>
    <w:rsid w:val="00591C90"/>
    <w:rsid w:val="00592110"/>
    <w:rsid w:val="005922D4"/>
    <w:rsid w:val="005925D4"/>
    <w:rsid w:val="00592EB0"/>
    <w:rsid w:val="005934B1"/>
    <w:rsid w:val="0059381F"/>
    <w:rsid w:val="0059382E"/>
    <w:rsid w:val="00593E68"/>
    <w:rsid w:val="00595262"/>
    <w:rsid w:val="005955A8"/>
    <w:rsid w:val="00595C41"/>
    <w:rsid w:val="00596680"/>
    <w:rsid w:val="00596A54"/>
    <w:rsid w:val="00596F92"/>
    <w:rsid w:val="00597110"/>
    <w:rsid w:val="005974E2"/>
    <w:rsid w:val="00597B26"/>
    <w:rsid w:val="005A0B0A"/>
    <w:rsid w:val="005A0B5A"/>
    <w:rsid w:val="005A12EE"/>
    <w:rsid w:val="005A170B"/>
    <w:rsid w:val="005A1A86"/>
    <w:rsid w:val="005A1E75"/>
    <w:rsid w:val="005A229B"/>
    <w:rsid w:val="005A29C6"/>
    <w:rsid w:val="005A3131"/>
    <w:rsid w:val="005A32EF"/>
    <w:rsid w:val="005A34EC"/>
    <w:rsid w:val="005A3520"/>
    <w:rsid w:val="005A374A"/>
    <w:rsid w:val="005A3964"/>
    <w:rsid w:val="005A3BEE"/>
    <w:rsid w:val="005A3BF7"/>
    <w:rsid w:val="005A45FE"/>
    <w:rsid w:val="005A46FE"/>
    <w:rsid w:val="005A4DE7"/>
    <w:rsid w:val="005A4F0F"/>
    <w:rsid w:val="005A5450"/>
    <w:rsid w:val="005A5468"/>
    <w:rsid w:val="005A5711"/>
    <w:rsid w:val="005A577C"/>
    <w:rsid w:val="005A59D0"/>
    <w:rsid w:val="005A5AE9"/>
    <w:rsid w:val="005A5CDA"/>
    <w:rsid w:val="005A5D3D"/>
    <w:rsid w:val="005A5FDF"/>
    <w:rsid w:val="005A6375"/>
    <w:rsid w:val="005A64C4"/>
    <w:rsid w:val="005A69B2"/>
    <w:rsid w:val="005A69C7"/>
    <w:rsid w:val="005A7475"/>
    <w:rsid w:val="005A752B"/>
    <w:rsid w:val="005A77DB"/>
    <w:rsid w:val="005A77E7"/>
    <w:rsid w:val="005A78BA"/>
    <w:rsid w:val="005A7B6D"/>
    <w:rsid w:val="005A7C4B"/>
    <w:rsid w:val="005A7FC7"/>
    <w:rsid w:val="005A7FD3"/>
    <w:rsid w:val="005B05BF"/>
    <w:rsid w:val="005B079F"/>
    <w:rsid w:val="005B1F73"/>
    <w:rsid w:val="005B20F2"/>
    <w:rsid w:val="005B22D5"/>
    <w:rsid w:val="005B2A1E"/>
    <w:rsid w:val="005B2AC2"/>
    <w:rsid w:val="005B2B64"/>
    <w:rsid w:val="005B2C64"/>
    <w:rsid w:val="005B2DED"/>
    <w:rsid w:val="005B2FFF"/>
    <w:rsid w:val="005B38DB"/>
    <w:rsid w:val="005B4321"/>
    <w:rsid w:val="005B433F"/>
    <w:rsid w:val="005B43F8"/>
    <w:rsid w:val="005B4447"/>
    <w:rsid w:val="005B45D2"/>
    <w:rsid w:val="005B47BE"/>
    <w:rsid w:val="005B4A77"/>
    <w:rsid w:val="005B4CC4"/>
    <w:rsid w:val="005B4EB9"/>
    <w:rsid w:val="005B53CD"/>
    <w:rsid w:val="005B54D9"/>
    <w:rsid w:val="005B59E5"/>
    <w:rsid w:val="005B66AE"/>
    <w:rsid w:val="005B66FC"/>
    <w:rsid w:val="005B693B"/>
    <w:rsid w:val="005B729E"/>
    <w:rsid w:val="005B72BC"/>
    <w:rsid w:val="005B73D0"/>
    <w:rsid w:val="005B7AD6"/>
    <w:rsid w:val="005C084B"/>
    <w:rsid w:val="005C0A9B"/>
    <w:rsid w:val="005C0E8D"/>
    <w:rsid w:val="005C1135"/>
    <w:rsid w:val="005C13E2"/>
    <w:rsid w:val="005C1824"/>
    <w:rsid w:val="005C1D37"/>
    <w:rsid w:val="005C2219"/>
    <w:rsid w:val="005C275A"/>
    <w:rsid w:val="005C2F33"/>
    <w:rsid w:val="005C3309"/>
    <w:rsid w:val="005C361B"/>
    <w:rsid w:val="005C3633"/>
    <w:rsid w:val="005C366D"/>
    <w:rsid w:val="005C3AB1"/>
    <w:rsid w:val="005C3C36"/>
    <w:rsid w:val="005C3CF9"/>
    <w:rsid w:val="005C3D03"/>
    <w:rsid w:val="005C4150"/>
    <w:rsid w:val="005C45C8"/>
    <w:rsid w:val="005C4826"/>
    <w:rsid w:val="005C4AB1"/>
    <w:rsid w:val="005C4D90"/>
    <w:rsid w:val="005C5479"/>
    <w:rsid w:val="005C67C8"/>
    <w:rsid w:val="005C7AC1"/>
    <w:rsid w:val="005C7F08"/>
    <w:rsid w:val="005D0314"/>
    <w:rsid w:val="005D0401"/>
    <w:rsid w:val="005D0A83"/>
    <w:rsid w:val="005D1535"/>
    <w:rsid w:val="005D180D"/>
    <w:rsid w:val="005D1C92"/>
    <w:rsid w:val="005D1DF9"/>
    <w:rsid w:val="005D1F4A"/>
    <w:rsid w:val="005D2577"/>
    <w:rsid w:val="005D2F57"/>
    <w:rsid w:val="005D30D4"/>
    <w:rsid w:val="005D37C7"/>
    <w:rsid w:val="005D3D6F"/>
    <w:rsid w:val="005D3D97"/>
    <w:rsid w:val="005D3F2B"/>
    <w:rsid w:val="005D3FFA"/>
    <w:rsid w:val="005D4630"/>
    <w:rsid w:val="005D490F"/>
    <w:rsid w:val="005D497A"/>
    <w:rsid w:val="005D4B65"/>
    <w:rsid w:val="005D4FE8"/>
    <w:rsid w:val="005D55C5"/>
    <w:rsid w:val="005D5918"/>
    <w:rsid w:val="005D6524"/>
    <w:rsid w:val="005D667A"/>
    <w:rsid w:val="005D708F"/>
    <w:rsid w:val="005D77CC"/>
    <w:rsid w:val="005D77F1"/>
    <w:rsid w:val="005D7908"/>
    <w:rsid w:val="005E008A"/>
    <w:rsid w:val="005E0267"/>
    <w:rsid w:val="005E07EE"/>
    <w:rsid w:val="005E0916"/>
    <w:rsid w:val="005E0A8C"/>
    <w:rsid w:val="005E1107"/>
    <w:rsid w:val="005E1232"/>
    <w:rsid w:val="005E1687"/>
    <w:rsid w:val="005E1B45"/>
    <w:rsid w:val="005E1EFD"/>
    <w:rsid w:val="005E27DA"/>
    <w:rsid w:val="005E27E2"/>
    <w:rsid w:val="005E2AB5"/>
    <w:rsid w:val="005E2AEE"/>
    <w:rsid w:val="005E2D67"/>
    <w:rsid w:val="005E2F98"/>
    <w:rsid w:val="005E3594"/>
    <w:rsid w:val="005E367D"/>
    <w:rsid w:val="005E3993"/>
    <w:rsid w:val="005E3BAD"/>
    <w:rsid w:val="005E3C33"/>
    <w:rsid w:val="005E3C52"/>
    <w:rsid w:val="005E3C99"/>
    <w:rsid w:val="005E4008"/>
    <w:rsid w:val="005E434A"/>
    <w:rsid w:val="005E4671"/>
    <w:rsid w:val="005E49DB"/>
    <w:rsid w:val="005E4ACC"/>
    <w:rsid w:val="005E4AD0"/>
    <w:rsid w:val="005E4D66"/>
    <w:rsid w:val="005E5BF8"/>
    <w:rsid w:val="005E6006"/>
    <w:rsid w:val="005E73D5"/>
    <w:rsid w:val="005E7583"/>
    <w:rsid w:val="005E7C46"/>
    <w:rsid w:val="005E7C57"/>
    <w:rsid w:val="005E7F5D"/>
    <w:rsid w:val="005F0398"/>
    <w:rsid w:val="005F04A8"/>
    <w:rsid w:val="005F0689"/>
    <w:rsid w:val="005F0FF2"/>
    <w:rsid w:val="005F1A50"/>
    <w:rsid w:val="005F1AD6"/>
    <w:rsid w:val="005F23D1"/>
    <w:rsid w:val="005F2582"/>
    <w:rsid w:val="005F2B9D"/>
    <w:rsid w:val="005F2D9D"/>
    <w:rsid w:val="005F329C"/>
    <w:rsid w:val="005F389D"/>
    <w:rsid w:val="005F38AF"/>
    <w:rsid w:val="005F3D52"/>
    <w:rsid w:val="005F3EF8"/>
    <w:rsid w:val="005F41AC"/>
    <w:rsid w:val="005F4B65"/>
    <w:rsid w:val="005F4C67"/>
    <w:rsid w:val="005F4E91"/>
    <w:rsid w:val="005F4F2D"/>
    <w:rsid w:val="005F55B0"/>
    <w:rsid w:val="005F5CD4"/>
    <w:rsid w:val="005F60CC"/>
    <w:rsid w:val="005F6342"/>
    <w:rsid w:val="005F65AC"/>
    <w:rsid w:val="005F6C79"/>
    <w:rsid w:val="005F72F1"/>
    <w:rsid w:val="005F7416"/>
    <w:rsid w:val="005F7800"/>
    <w:rsid w:val="005F7851"/>
    <w:rsid w:val="005F787E"/>
    <w:rsid w:val="005F78CC"/>
    <w:rsid w:val="005F7BA4"/>
    <w:rsid w:val="005F7FCF"/>
    <w:rsid w:val="006004B6"/>
    <w:rsid w:val="006018F0"/>
    <w:rsid w:val="00601B8F"/>
    <w:rsid w:val="00601B94"/>
    <w:rsid w:val="0060247C"/>
    <w:rsid w:val="006026DB"/>
    <w:rsid w:val="006027E9"/>
    <w:rsid w:val="00603D05"/>
    <w:rsid w:val="00603E86"/>
    <w:rsid w:val="00604035"/>
    <w:rsid w:val="006044E1"/>
    <w:rsid w:val="00604624"/>
    <w:rsid w:val="00604725"/>
    <w:rsid w:val="00604EA0"/>
    <w:rsid w:val="006054D9"/>
    <w:rsid w:val="0060592E"/>
    <w:rsid w:val="00605B4F"/>
    <w:rsid w:val="00605C5A"/>
    <w:rsid w:val="00605D03"/>
    <w:rsid w:val="00606147"/>
    <w:rsid w:val="00606E79"/>
    <w:rsid w:val="006079B5"/>
    <w:rsid w:val="00607AF8"/>
    <w:rsid w:val="006102EF"/>
    <w:rsid w:val="006103EC"/>
    <w:rsid w:val="00610493"/>
    <w:rsid w:val="00610805"/>
    <w:rsid w:val="0061081D"/>
    <w:rsid w:val="00610D61"/>
    <w:rsid w:val="00611226"/>
    <w:rsid w:val="006113FD"/>
    <w:rsid w:val="006117CE"/>
    <w:rsid w:val="00611A92"/>
    <w:rsid w:val="00611AB3"/>
    <w:rsid w:val="00612169"/>
    <w:rsid w:val="00612442"/>
    <w:rsid w:val="00612722"/>
    <w:rsid w:val="00612A7C"/>
    <w:rsid w:val="0061451E"/>
    <w:rsid w:val="00614DA8"/>
    <w:rsid w:val="00615058"/>
    <w:rsid w:val="006152C7"/>
    <w:rsid w:val="006154CD"/>
    <w:rsid w:val="006158BA"/>
    <w:rsid w:val="006165B5"/>
    <w:rsid w:val="006168AC"/>
    <w:rsid w:val="00616D57"/>
    <w:rsid w:val="00616DC1"/>
    <w:rsid w:val="00616DCB"/>
    <w:rsid w:val="00617642"/>
    <w:rsid w:val="00617D02"/>
    <w:rsid w:val="00617EF0"/>
    <w:rsid w:val="00620803"/>
    <w:rsid w:val="006208A4"/>
    <w:rsid w:val="00620B70"/>
    <w:rsid w:val="00620DC6"/>
    <w:rsid w:val="00621973"/>
    <w:rsid w:val="00622072"/>
    <w:rsid w:val="006224C3"/>
    <w:rsid w:val="006224D7"/>
    <w:rsid w:val="006225F1"/>
    <w:rsid w:val="0062268C"/>
    <w:rsid w:val="0062307C"/>
    <w:rsid w:val="006237C3"/>
    <w:rsid w:val="0062443D"/>
    <w:rsid w:val="006245CB"/>
    <w:rsid w:val="006247A6"/>
    <w:rsid w:val="00624B3F"/>
    <w:rsid w:val="00625406"/>
    <w:rsid w:val="00625948"/>
    <w:rsid w:val="006259D9"/>
    <w:rsid w:val="00625C15"/>
    <w:rsid w:val="00625C17"/>
    <w:rsid w:val="00626214"/>
    <w:rsid w:val="00626664"/>
    <w:rsid w:val="006269C6"/>
    <w:rsid w:val="00626E7E"/>
    <w:rsid w:val="00626F3E"/>
    <w:rsid w:val="0062742B"/>
    <w:rsid w:val="006276AB"/>
    <w:rsid w:val="00627B05"/>
    <w:rsid w:val="00627C8C"/>
    <w:rsid w:val="00627DF6"/>
    <w:rsid w:val="00630294"/>
    <w:rsid w:val="0063063D"/>
    <w:rsid w:val="00630B31"/>
    <w:rsid w:val="00630EE8"/>
    <w:rsid w:val="00631792"/>
    <w:rsid w:val="006320F5"/>
    <w:rsid w:val="0063239D"/>
    <w:rsid w:val="00633033"/>
    <w:rsid w:val="00633410"/>
    <w:rsid w:val="00633CBC"/>
    <w:rsid w:val="006342C9"/>
    <w:rsid w:val="00634393"/>
    <w:rsid w:val="006345E7"/>
    <w:rsid w:val="00634EBF"/>
    <w:rsid w:val="00635151"/>
    <w:rsid w:val="00635405"/>
    <w:rsid w:val="006354C7"/>
    <w:rsid w:val="006354F6"/>
    <w:rsid w:val="00635B3B"/>
    <w:rsid w:val="00635F0B"/>
    <w:rsid w:val="00636E23"/>
    <w:rsid w:val="00636F30"/>
    <w:rsid w:val="00636F41"/>
    <w:rsid w:val="00636F89"/>
    <w:rsid w:val="006372B7"/>
    <w:rsid w:val="00637816"/>
    <w:rsid w:val="006378DB"/>
    <w:rsid w:val="00637A64"/>
    <w:rsid w:val="00637AD4"/>
    <w:rsid w:val="006403E1"/>
    <w:rsid w:val="0064072C"/>
    <w:rsid w:val="0064073C"/>
    <w:rsid w:val="00641C35"/>
    <w:rsid w:val="0064224D"/>
    <w:rsid w:val="0064258A"/>
    <w:rsid w:val="006428D7"/>
    <w:rsid w:val="00642D76"/>
    <w:rsid w:val="00642E44"/>
    <w:rsid w:val="00642EDE"/>
    <w:rsid w:val="006430DB"/>
    <w:rsid w:val="006430EA"/>
    <w:rsid w:val="00643389"/>
    <w:rsid w:val="00643484"/>
    <w:rsid w:val="00643A81"/>
    <w:rsid w:val="0064415A"/>
    <w:rsid w:val="006441C3"/>
    <w:rsid w:val="0064424A"/>
    <w:rsid w:val="006444AB"/>
    <w:rsid w:val="00644BCB"/>
    <w:rsid w:val="0064552C"/>
    <w:rsid w:val="006468C7"/>
    <w:rsid w:val="00647133"/>
    <w:rsid w:val="00647219"/>
    <w:rsid w:val="0064747F"/>
    <w:rsid w:val="00647EAD"/>
    <w:rsid w:val="00647F2D"/>
    <w:rsid w:val="006502D4"/>
    <w:rsid w:val="00650317"/>
    <w:rsid w:val="0065084D"/>
    <w:rsid w:val="00650AAC"/>
    <w:rsid w:val="00650FC1"/>
    <w:rsid w:val="006525D8"/>
    <w:rsid w:val="006526C0"/>
    <w:rsid w:val="00652727"/>
    <w:rsid w:val="006527A3"/>
    <w:rsid w:val="006528B6"/>
    <w:rsid w:val="00652907"/>
    <w:rsid w:val="00652D61"/>
    <w:rsid w:val="006539AA"/>
    <w:rsid w:val="00653D8B"/>
    <w:rsid w:val="00654623"/>
    <w:rsid w:val="00654704"/>
    <w:rsid w:val="006548A6"/>
    <w:rsid w:val="006548A7"/>
    <w:rsid w:val="006550D3"/>
    <w:rsid w:val="0065557C"/>
    <w:rsid w:val="0065571D"/>
    <w:rsid w:val="00655B34"/>
    <w:rsid w:val="00655F0D"/>
    <w:rsid w:val="0065648D"/>
    <w:rsid w:val="0065657F"/>
    <w:rsid w:val="006567A8"/>
    <w:rsid w:val="00656B59"/>
    <w:rsid w:val="00656D1F"/>
    <w:rsid w:val="00657164"/>
    <w:rsid w:val="006576F3"/>
    <w:rsid w:val="00657E56"/>
    <w:rsid w:val="00657E9E"/>
    <w:rsid w:val="006611F0"/>
    <w:rsid w:val="006613A2"/>
    <w:rsid w:val="00661C1C"/>
    <w:rsid w:val="00662093"/>
    <w:rsid w:val="006628C5"/>
    <w:rsid w:val="00662B00"/>
    <w:rsid w:val="00663256"/>
    <w:rsid w:val="00663799"/>
    <w:rsid w:val="0066479D"/>
    <w:rsid w:val="00664839"/>
    <w:rsid w:val="00664BBB"/>
    <w:rsid w:val="00665125"/>
    <w:rsid w:val="00665681"/>
    <w:rsid w:val="00665721"/>
    <w:rsid w:val="006659F5"/>
    <w:rsid w:val="006662A9"/>
    <w:rsid w:val="00666873"/>
    <w:rsid w:val="00666C0F"/>
    <w:rsid w:val="00666E54"/>
    <w:rsid w:val="00666F63"/>
    <w:rsid w:val="0066787F"/>
    <w:rsid w:val="00667B6D"/>
    <w:rsid w:val="00667B70"/>
    <w:rsid w:val="0067022B"/>
    <w:rsid w:val="00670248"/>
    <w:rsid w:val="006708F4"/>
    <w:rsid w:val="00670AAC"/>
    <w:rsid w:val="006712DB"/>
    <w:rsid w:val="006721A9"/>
    <w:rsid w:val="006731A5"/>
    <w:rsid w:val="006731DE"/>
    <w:rsid w:val="00673579"/>
    <w:rsid w:val="006737CA"/>
    <w:rsid w:val="00673EF0"/>
    <w:rsid w:val="00673F39"/>
    <w:rsid w:val="0067410A"/>
    <w:rsid w:val="0067415D"/>
    <w:rsid w:val="0067478C"/>
    <w:rsid w:val="0067501F"/>
    <w:rsid w:val="00675C29"/>
    <w:rsid w:val="00675E57"/>
    <w:rsid w:val="00675F86"/>
    <w:rsid w:val="0067633E"/>
    <w:rsid w:val="00676FC7"/>
    <w:rsid w:val="0067721A"/>
    <w:rsid w:val="00680195"/>
    <w:rsid w:val="0068055C"/>
    <w:rsid w:val="0068064D"/>
    <w:rsid w:val="006807A4"/>
    <w:rsid w:val="00680843"/>
    <w:rsid w:val="00680872"/>
    <w:rsid w:val="00680D67"/>
    <w:rsid w:val="00680DC4"/>
    <w:rsid w:val="00680E53"/>
    <w:rsid w:val="00680E90"/>
    <w:rsid w:val="00680EC7"/>
    <w:rsid w:val="00680F02"/>
    <w:rsid w:val="00681333"/>
    <w:rsid w:val="006815FB"/>
    <w:rsid w:val="00681672"/>
    <w:rsid w:val="006824A2"/>
    <w:rsid w:val="006825BF"/>
    <w:rsid w:val="0068261B"/>
    <w:rsid w:val="0068275A"/>
    <w:rsid w:val="006827CA"/>
    <w:rsid w:val="00682807"/>
    <w:rsid w:val="00682AAF"/>
    <w:rsid w:val="00682C7E"/>
    <w:rsid w:val="00682C8D"/>
    <w:rsid w:val="00683887"/>
    <w:rsid w:val="006839AA"/>
    <w:rsid w:val="00683C9A"/>
    <w:rsid w:val="00684164"/>
    <w:rsid w:val="006845DE"/>
    <w:rsid w:val="0068460A"/>
    <w:rsid w:val="00684C92"/>
    <w:rsid w:val="00684F61"/>
    <w:rsid w:val="006851B6"/>
    <w:rsid w:val="006852F6"/>
    <w:rsid w:val="00685782"/>
    <w:rsid w:val="00686578"/>
    <w:rsid w:val="0068672D"/>
    <w:rsid w:val="006867C2"/>
    <w:rsid w:val="00686AE7"/>
    <w:rsid w:val="006870B8"/>
    <w:rsid w:val="00687A18"/>
    <w:rsid w:val="00687BC7"/>
    <w:rsid w:val="00687F91"/>
    <w:rsid w:val="00690167"/>
    <w:rsid w:val="00690206"/>
    <w:rsid w:val="00690C24"/>
    <w:rsid w:val="00690C6A"/>
    <w:rsid w:val="00690E29"/>
    <w:rsid w:val="0069151D"/>
    <w:rsid w:val="0069184B"/>
    <w:rsid w:val="0069190B"/>
    <w:rsid w:val="00691BC6"/>
    <w:rsid w:val="00691FFA"/>
    <w:rsid w:val="0069204E"/>
    <w:rsid w:val="0069283D"/>
    <w:rsid w:val="00692870"/>
    <w:rsid w:val="00692ABF"/>
    <w:rsid w:val="00692B04"/>
    <w:rsid w:val="00692BFA"/>
    <w:rsid w:val="00692C3F"/>
    <w:rsid w:val="00693E73"/>
    <w:rsid w:val="00693EB8"/>
    <w:rsid w:val="00694371"/>
    <w:rsid w:val="006949E6"/>
    <w:rsid w:val="00695066"/>
    <w:rsid w:val="0069517B"/>
    <w:rsid w:val="006953BC"/>
    <w:rsid w:val="006953D2"/>
    <w:rsid w:val="006954E3"/>
    <w:rsid w:val="0069640C"/>
    <w:rsid w:val="00696473"/>
    <w:rsid w:val="0069693E"/>
    <w:rsid w:val="00696CC9"/>
    <w:rsid w:val="00696E0D"/>
    <w:rsid w:val="00696EEB"/>
    <w:rsid w:val="006975A4"/>
    <w:rsid w:val="006977F0"/>
    <w:rsid w:val="00697800"/>
    <w:rsid w:val="00697D1C"/>
    <w:rsid w:val="00697D7D"/>
    <w:rsid w:val="00697E73"/>
    <w:rsid w:val="00697FD8"/>
    <w:rsid w:val="006A00C4"/>
    <w:rsid w:val="006A0235"/>
    <w:rsid w:val="006A03D1"/>
    <w:rsid w:val="006A072C"/>
    <w:rsid w:val="006A0BD6"/>
    <w:rsid w:val="006A0C5F"/>
    <w:rsid w:val="006A0DF5"/>
    <w:rsid w:val="006A10C8"/>
    <w:rsid w:val="006A1357"/>
    <w:rsid w:val="006A1938"/>
    <w:rsid w:val="006A1C0C"/>
    <w:rsid w:val="006A202D"/>
    <w:rsid w:val="006A234E"/>
    <w:rsid w:val="006A238C"/>
    <w:rsid w:val="006A2A16"/>
    <w:rsid w:val="006A3225"/>
    <w:rsid w:val="006A3235"/>
    <w:rsid w:val="006A3495"/>
    <w:rsid w:val="006A3BE3"/>
    <w:rsid w:val="006A3EF3"/>
    <w:rsid w:val="006A412C"/>
    <w:rsid w:val="006A428D"/>
    <w:rsid w:val="006A4847"/>
    <w:rsid w:val="006A4E02"/>
    <w:rsid w:val="006A514F"/>
    <w:rsid w:val="006A5191"/>
    <w:rsid w:val="006A520A"/>
    <w:rsid w:val="006A54FE"/>
    <w:rsid w:val="006A570C"/>
    <w:rsid w:val="006A57C6"/>
    <w:rsid w:val="006A584D"/>
    <w:rsid w:val="006A5BA6"/>
    <w:rsid w:val="006A604A"/>
    <w:rsid w:val="006A6811"/>
    <w:rsid w:val="006A699B"/>
    <w:rsid w:val="006A707A"/>
    <w:rsid w:val="006A70F2"/>
    <w:rsid w:val="006A7416"/>
    <w:rsid w:val="006A7DA0"/>
    <w:rsid w:val="006B028D"/>
    <w:rsid w:val="006B061E"/>
    <w:rsid w:val="006B0A07"/>
    <w:rsid w:val="006B0DCA"/>
    <w:rsid w:val="006B0F1D"/>
    <w:rsid w:val="006B10AF"/>
    <w:rsid w:val="006B1A74"/>
    <w:rsid w:val="006B1FFD"/>
    <w:rsid w:val="006B2DE8"/>
    <w:rsid w:val="006B2EB4"/>
    <w:rsid w:val="006B2F4B"/>
    <w:rsid w:val="006B2FED"/>
    <w:rsid w:val="006B39F7"/>
    <w:rsid w:val="006B3A38"/>
    <w:rsid w:val="006B40BE"/>
    <w:rsid w:val="006B437F"/>
    <w:rsid w:val="006B4637"/>
    <w:rsid w:val="006B47CF"/>
    <w:rsid w:val="006B53B5"/>
    <w:rsid w:val="006B548E"/>
    <w:rsid w:val="006B5571"/>
    <w:rsid w:val="006B5F7B"/>
    <w:rsid w:val="006B6064"/>
    <w:rsid w:val="006B6472"/>
    <w:rsid w:val="006B732B"/>
    <w:rsid w:val="006B76A7"/>
    <w:rsid w:val="006C0246"/>
    <w:rsid w:val="006C0256"/>
    <w:rsid w:val="006C12C5"/>
    <w:rsid w:val="006C15F1"/>
    <w:rsid w:val="006C17CC"/>
    <w:rsid w:val="006C24BE"/>
    <w:rsid w:val="006C2A03"/>
    <w:rsid w:val="006C2ADE"/>
    <w:rsid w:val="006C2ECD"/>
    <w:rsid w:val="006C3869"/>
    <w:rsid w:val="006C3DD2"/>
    <w:rsid w:val="006C4BDE"/>
    <w:rsid w:val="006C4F16"/>
    <w:rsid w:val="006C4FE0"/>
    <w:rsid w:val="006C56EE"/>
    <w:rsid w:val="006C5DD4"/>
    <w:rsid w:val="006C6401"/>
    <w:rsid w:val="006C7005"/>
    <w:rsid w:val="006C7F66"/>
    <w:rsid w:val="006D004D"/>
    <w:rsid w:val="006D08FB"/>
    <w:rsid w:val="006D0A81"/>
    <w:rsid w:val="006D0E6B"/>
    <w:rsid w:val="006D1295"/>
    <w:rsid w:val="006D12D6"/>
    <w:rsid w:val="006D1A66"/>
    <w:rsid w:val="006D1AFE"/>
    <w:rsid w:val="006D1BA2"/>
    <w:rsid w:val="006D1D17"/>
    <w:rsid w:val="006D234B"/>
    <w:rsid w:val="006D2795"/>
    <w:rsid w:val="006D28B5"/>
    <w:rsid w:val="006D2D56"/>
    <w:rsid w:val="006D33BB"/>
    <w:rsid w:val="006D34F6"/>
    <w:rsid w:val="006D3E55"/>
    <w:rsid w:val="006D40F1"/>
    <w:rsid w:val="006D4F0E"/>
    <w:rsid w:val="006D53C0"/>
    <w:rsid w:val="006D5AE1"/>
    <w:rsid w:val="006D61DF"/>
    <w:rsid w:val="006D677B"/>
    <w:rsid w:val="006D6D0D"/>
    <w:rsid w:val="006D713A"/>
    <w:rsid w:val="006D75AE"/>
    <w:rsid w:val="006D7B6C"/>
    <w:rsid w:val="006E0113"/>
    <w:rsid w:val="006E03CE"/>
    <w:rsid w:val="006E04ED"/>
    <w:rsid w:val="006E0DD7"/>
    <w:rsid w:val="006E13AA"/>
    <w:rsid w:val="006E36BE"/>
    <w:rsid w:val="006E3904"/>
    <w:rsid w:val="006E3A22"/>
    <w:rsid w:val="006E3B65"/>
    <w:rsid w:val="006E3E48"/>
    <w:rsid w:val="006E3E97"/>
    <w:rsid w:val="006E432B"/>
    <w:rsid w:val="006E46BF"/>
    <w:rsid w:val="006E4943"/>
    <w:rsid w:val="006E4A36"/>
    <w:rsid w:val="006E4D9D"/>
    <w:rsid w:val="006E4F18"/>
    <w:rsid w:val="006E4F51"/>
    <w:rsid w:val="006E50D0"/>
    <w:rsid w:val="006E5965"/>
    <w:rsid w:val="006E63C2"/>
    <w:rsid w:val="006E6414"/>
    <w:rsid w:val="006E68A4"/>
    <w:rsid w:val="006E6D12"/>
    <w:rsid w:val="006E72C8"/>
    <w:rsid w:val="006E736C"/>
    <w:rsid w:val="006E77BE"/>
    <w:rsid w:val="006E7E51"/>
    <w:rsid w:val="006F059C"/>
    <w:rsid w:val="006F0665"/>
    <w:rsid w:val="006F06C8"/>
    <w:rsid w:val="006F0842"/>
    <w:rsid w:val="006F0BC9"/>
    <w:rsid w:val="006F1125"/>
    <w:rsid w:val="006F13EE"/>
    <w:rsid w:val="006F1489"/>
    <w:rsid w:val="006F164A"/>
    <w:rsid w:val="006F17A1"/>
    <w:rsid w:val="006F1A75"/>
    <w:rsid w:val="006F1C62"/>
    <w:rsid w:val="006F1C72"/>
    <w:rsid w:val="006F23D7"/>
    <w:rsid w:val="006F24AC"/>
    <w:rsid w:val="006F25FC"/>
    <w:rsid w:val="006F2699"/>
    <w:rsid w:val="006F2737"/>
    <w:rsid w:val="006F2ED9"/>
    <w:rsid w:val="006F2F6B"/>
    <w:rsid w:val="006F30FB"/>
    <w:rsid w:val="006F383B"/>
    <w:rsid w:val="006F42B4"/>
    <w:rsid w:val="006F4707"/>
    <w:rsid w:val="006F486A"/>
    <w:rsid w:val="006F5026"/>
    <w:rsid w:val="006F50DA"/>
    <w:rsid w:val="006F51B6"/>
    <w:rsid w:val="006F53A3"/>
    <w:rsid w:val="006F572A"/>
    <w:rsid w:val="006F582A"/>
    <w:rsid w:val="006F5FC8"/>
    <w:rsid w:val="006F62B4"/>
    <w:rsid w:val="006F6C82"/>
    <w:rsid w:val="006F6F67"/>
    <w:rsid w:val="006F71C4"/>
    <w:rsid w:val="006F7234"/>
    <w:rsid w:val="006F773D"/>
    <w:rsid w:val="006F7CD6"/>
    <w:rsid w:val="006F7E3F"/>
    <w:rsid w:val="006F7F74"/>
    <w:rsid w:val="00700000"/>
    <w:rsid w:val="00700190"/>
    <w:rsid w:val="007002DE"/>
    <w:rsid w:val="00700FE2"/>
    <w:rsid w:val="007011EA"/>
    <w:rsid w:val="0070125D"/>
    <w:rsid w:val="00701A0B"/>
    <w:rsid w:val="00701A5F"/>
    <w:rsid w:val="00701D64"/>
    <w:rsid w:val="00702082"/>
    <w:rsid w:val="00702260"/>
    <w:rsid w:val="007022E4"/>
    <w:rsid w:val="00702988"/>
    <w:rsid w:val="00702AF2"/>
    <w:rsid w:val="00702B74"/>
    <w:rsid w:val="00702E08"/>
    <w:rsid w:val="00703687"/>
    <w:rsid w:val="007040D0"/>
    <w:rsid w:val="007042D6"/>
    <w:rsid w:val="00704915"/>
    <w:rsid w:val="00704A63"/>
    <w:rsid w:val="00704B25"/>
    <w:rsid w:val="00705C84"/>
    <w:rsid w:val="00705F41"/>
    <w:rsid w:val="007061FD"/>
    <w:rsid w:val="00706999"/>
    <w:rsid w:val="00706A73"/>
    <w:rsid w:val="00706E1A"/>
    <w:rsid w:val="00706FF6"/>
    <w:rsid w:val="0070713C"/>
    <w:rsid w:val="007072ED"/>
    <w:rsid w:val="007078F8"/>
    <w:rsid w:val="00707C74"/>
    <w:rsid w:val="00707E35"/>
    <w:rsid w:val="00707F1C"/>
    <w:rsid w:val="00707F4D"/>
    <w:rsid w:val="007102E3"/>
    <w:rsid w:val="007103CF"/>
    <w:rsid w:val="00710847"/>
    <w:rsid w:val="00710957"/>
    <w:rsid w:val="00710AEA"/>
    <w:rsid w:val="00710B1A"/>
    <w:rsid w:val="00710DB4"/>
    <w:rsid w:val="007117DC"/>
    <w:rsid w:val="00711CF7"/>
    <w:rsid w:val="0071214A"/>
    <w:rsid w:val="00712324"/>
    <w:rsid w:val="007123D1"/>
    <w:rsid w:val="00712D4E"/>
    <w:rsid w:val="007131B5"/>
    <w:rsid w:val="00713BD1"/>
    <w:rsid w:val="00713EFA"/>
    <w:rsid w:val="0071421A"/>
    <w:rsid w:val="00714C2D"/>
    <w:rsid w:val="00715478"/>
    <w:rsid w:val="007158B3"/>
    <w:rsid w:val="00715E8B"/>
    <w:rsid w:val="00716491"/>
    <w:rsid w:val="00716649"/>
    <w:rsid w:val="00716DE6"/>
    <w:rsid w:val="00716EDF"/>
    <w:rsid w:val="00717BD8"/>
    <w:rsid w:val="00717C69"/>
    <w:rsid w:val="00717F9C"/>
    <w:rsid w:val="007202EA"/>
    <w:rsid w:val="00720518"/>
    <w:rsid w:val="00720B11"/>
    <w:rsid w:val="007210A7"/>
    <w:rsid w:val="0072213A"/>
    <w:rsid w:val="0072310F"/>
    <w:rsid w:val="007232AC"/>
    <w:rsid w:val="007232BE"/>
    <w:rsid w:val="00723BA3"/>
    <w:rsid w:val="00724524"/>
    <w:rsid w:val="007246A6"/>
    <w:rsid w:val="007246B1"/>
    <w:rsid w:val="00724D27"/>
    <w:rsid w:val="00724FE0"/>
    <w:rsid w:val="00725954"/>
    <w:rsid w:val="007267BC"/>
    <w:rsid w:val="007269BE"/>
    <w:rsid w:val="00726C8F"/>
    <w:rsid w:val="00726E26"/>
    <w:rsid w:val="007277A6"/>
    <w:rsid w:val="00727DCA"/>
    <w:rsid w:val="007308AB"/>
    <w:rsid w:val="00731116"/>
    <w:rsid w:val="00731157"/>
    <w:rsid w:val="0073123F"/>
    <w:rsid w:val="007312FD"/>
    <w:rsid w:val="0073270A"/>
    <w:rsid w:val="00732EB3"/>
    <w:rsid w:val="007331BD"/>
    <w:rsid w:val="0073324A"/>
    <w:rsid w:val="007334D9"/>
    <w:rsid w:val="0073365B"/>
    <w:rsid w:val="00733C68"/>
    <w:rsid w:val="007344D0"/>
    <w:rsid w:val="00734740"/>
    <w:rsid w:val="007347A0"/>
    <w:rsid w:val="00734AD4"/>
    <w:rsid w:val="00734CBC"/>
    <w:rsid w:val="007350BB"/>
    <w:rsid w:val="00735918"/>
    <w:rsid w:val="00735B71"/>
    <w:rsid w:val="00735EB3"/>
    <w:rsid w:val="00736144"/>
    <w:rsid w:val="007362DB"/>
    <w:rsid w:val="007363AE"/>
    <w:rsid w:val="00736526"/>
    <w:rsid w:val="00736A2F"/>
    <w:rsid w:val="00736B0D"/>
    <w:rsid w:val="00737681"/>
    <w:rsid w:val="00737E39"/>
    <w:rsid w:val="007406B9"/>
    <w:rsid w:val="00740FF8"/>
    <w:rsid w:val="0074144B"/>
    <w:rsid w:val="0074154D"/>
    <w:rsid w:val="00741733"/>
    <w:rsid w:val="0074244B"/>
    <w:rsid w:val="007429F4"/>
    <w:rsid w:val="00742C13"/>
    <w:rsid w:val="00742C8E"/>
    <w:rsid w:val="0074338A"/>
    <w:rsid w:val="00743987"/>
    <w:rsid w:val="00743A3E"/>
    <w:rsid w:val="00743E72"/>
    <w:rsid w:val="00743F56"/>
    <w:rsid w:val="00744F0F"/>
    <w:rsid w:val="00745A13"/>
    <w:rsid w:val="00745F67"/>
    <w:rsid w:val="00746051"/>
    <w:rsid w:val="0074686D"/>
    <w:rsid w:val="00746876"/>
    <w:rsid w:val="007469E6"/>
    <w:rsid w:val="00746B39"/>
    <w:rsid w:val="00746B45"/>
    <w:rsid w:val="0074731D"/>
    <w:rsid w:val="007476BE"/>
    <w:rsid w:val="00747955"/>
    <w:rsid w:val="007479B0"/>
    <w:rsid w:val="00750332"/>
    <w:rsid w:val="007504B8"/>
    <w:rsid w:val="00751FE6"/>
    <w:rsid w:val="0075209C"/>
    <w:rsid w:val="007520E1"/>
    <w:rsid w:val="0075221C"/>
    <w:rsid w:val="00752313"/>
    <w:rsid w:val="00752882"/>
    <w:rsid w:val="007529DC"/>
    <w:rsid w:val="00752FE5"/>
    <w:rsid w:val="007539C7"/>
    <w:rsid w:val="00753A79"/>
    <w:rsid w:val="00753EB0"/>
    <w:rsid w:val="007548B4"/>
    <w:rsid w:val="00754B06"/>
    <w:rsid w:val="00754BE0"/>
    <w:rsid w:val="007551B2"/>
    <w:rsid w:val="0075578A"/>
    <w:rsid w:val="00755877"/>
    <w:rsid w:val="00755BCC"/>
    <w:rsid w:val="00756306"/>
    <w:rsid w:val="007564E9"/>
    <w:rsid w:val="007566B4"/>
    <w:rsid w:val="007572C4"/>
    <w:rsid w:val="007573BB"/>
    <w:rsid w:val="00757F66"/>
    <w:rsid w:val="00760460"/>
    <w:rsid w:val="0076050D"/>
    <w:rsid w:val="00760B71"/>
    <w:rsid w:val="00760C4A"/>
    <w:rsid w:val="00760EBC"/>
    <w:rsid w:val="0076161C"/>
    <w:rsid w:val="00762536"/>
    <w:rsid w:val="007626C4"/>
    <w:rsid w:val="00762C84"/>
    <w:rsid w:val="00762E8C"/>
    <w:rsid w:val="00763CCC"/>
    <w:rsid w:val="00763ED0"/>
    <w:rsid w:val="00764346"/>
    <w:rsid w:val="00764472"/>
    <w:rsid w:val="00764B57"/>
    <w:rsid w:val="00765281"/>
    <w:rsid w:val="0076565E"/>
    <w:rsid w:val="007656AE"/>
    <w:rsid w:val="007658F1"/>
    <w:rsid w:val="007661E7"/>
    <w:rsid w:val="0076660B"/>
    <w:rsid w:val="00766639"/>
    <w:rsid w:val="0076666B"/>
    <w:rsid w:val="007666DB"/>
    <w:rsid w:val="0076717B"/>
    <w:rsid w:val="007671B4"/>
    <w:rsid w:val="00767A5F"/>
    <w:rsid w:val="00770475"/>
    <w:rsid w:val="00770FE3"/>
    <w:rsid w:val="007710EA"/>
    <w:rsid w:val="007712C9"/>
    <w:rsid w:val="0077146F"/>
    <w:rsid w:val="00771C60"/>
    <w:rsid w:val="00771DCB"/>
    <w:rsid w:val="00771EC0"/>
    <w:rsid w:val="0077217C"/>
    <w:rsid w:val="00772B2E"/>
    <w:rsid w:val="007730FB"/>
    <w:rsid w:val="007731F1"/>
    <w:rsid w:val="00773DF3"/>
    <w:rsid w:val="00774053"/>
    <w:rsid w:val="00774569"/>
    <w:rsid w:val="007746E7"/>
    <w:rsid w:val="007748D7"/>
    <w:rsid w:val="007749D3"/>
    <w:rsid w:val="00774C12"/>
    <w:rsid w:val="00775210"/>
    <w:rsid w:val="0077669A"/>
    <w:rsid w:val="00777A24"/>
    <w:rsid w:val="00777E8E"/>
    <w:rsid w:val="00777FCB"/>
    <w:rsid w:val="007806F4"/>
    <w:rsid w:val="00780802"/>
    <w:rsid w:val="00780987"/>
    <w:rsid w:val="00780C47"/>
    <w:rsid w:val="0078141F"/>
    <w:rsid w:val="007827F7"/>
    <w:rsid w:val="00782C54"/>
    <w:rsid w:val="00783049"/>
    <w:rsid w:val="007832F9"/>
    <w:rsid w:val="007833EA"/>
    <w:rsid w:val="00783567"/>
    <w:rsid w:val="007835B1"/>
    <w:rsid w:val="0078361B"/>
    <w:rsid w:val="00783946"/>
    <w:rsid w:val="007844A1"/>
    <w:rsid w:val="00784EC3"/>
    <w:rsid w:val="00785228"/>
    <w:rsid w:val="0078530F"/>
    <w:rsid w:val="007859AC"/>
    <w:rsid w:val="00785EE7"/>
    <w:rsid w:val="007867A2"/>
    <w:rsid w:val="0078710B"/>
    <w:rsid w:val="00787290"/>
    <w:rsid w:val="00787392"/>
    <w:rsid w:val="00787482"/>
    <w:rsid w:val="00787CEC"/>
    <w:rsid w:val="007900D8"/>
    <w:rsid w:val="0079028C"/>
    <w:rsid w:val="00790412"/>
    <w:rsid w:val="00790555"/>
    <w:rsid w:val="00790A50"/>
    <w:rsid w:val="00790B96"/>
    <w:rsid w:val="00791477"/>
    <w:rsid w:val="00791E4B"/>
    <w:rsid w:val="007921DA"/>
    <w:rsid w:val="00792285"/>
    <w:rsid w:val="00792411"/>
    <w:rsid w:val="00792AE4"/>
    <w:rsid w:val="00792E0F"/>
    <w:rsid w:val="00792E89"/>
    <w:rsid w:val="00793128"/>
    <w:rsid w:val="00793183"/>
    <w:rsid w:val="00793371"/>
    <w:rsid w:val="007933F3"/>
    <w:rsid w:val="0079367A"/>
    <w:rsid w:val="00793BB9"/>
    <w:rsid w:val="00793D5F"/>
    <w:rsid w:val="00793DE2"/>
    <w:rsid w:val="00793E69"/>
    <w:rsid w:val="007941E8"/>
    <w:rsid w:val="00794AD8"/>
    <w:rsid w:val="00795013"/>
    <w:rsid w:val="007957B5"/>
    <w:rsid w:val="00795832"/>
    <w:rsid w:val="00795973"/>
    <w:rsid w:val="00795AA5"/>
    <w:rsid w:val="007967C5"/>
    <w:rsid w:val="00796FE3"/>
    <w:rsid w:val="007973B6"/>
    <w:rsid w:val="00797950"/>
    <w:rsid w:val="007A0052"/>
    <w:rsid w:val="007A01E9"/>
    <w:rsid w:val="007A0980"/>
    <w:rsid w:val="007A0E04"/>
    <w:rsid w:val="007A1087"/>
    <w:rsid w:val="007A1657"/>
    <w:rsid w:val="007A1AAE"/>
    <w:rsid w:val="007A1BB3"/>
    <w:rsid w:val="007A1F36"/>
    <w:rsid w:val="007A2052"/>
    <w:rsid w:val="007A20A2"/>
    <w:rsid w:val="007A2251"/>
    <w:rsid w:val="007A26D6"/>
    <w:rsid w:val="007A2C69"/>
    <w:rsid w:val="007A2F48"/>
    <w:rsid w:val="007A2F91"/>
    <w:rsid w:val="007A306F"/>
    <w:rsid w:val="007A31E3"/>
    <w:rsid w:val="007A3F2A"/>
    <w:rsid w:val="007A47D6"/>
    <w:rsid w:val="007A4EBA"/>
    <w:rsid w:val="007A518C"/>
    <w:rsid w:val="007A51DE"/>
    <w:rsid w:val="007A59C0"/>
    <w:rsid w:val="007A5A2B"/>
    <w:rsid w:val="007A5A52"/>
    <w:rsid w:val="007A606A"/>
    <w:rsid w:val="007A6205"/>
    <w:rsid w:val="007A6609"/>
    <w:rsid w:val="007A66D1"/>
    <w:rsid w:val="007A6736"/>
    <w:rsid w:val="007A677F"/>
    <w:rsid w:val="007A69A0"/>
    <w:rsid w:val="007A6C8F"/>
    <w:rsid w:val="007A6FCD"/>
    <w:rsid w:val="007A705F"/>
    <w:rsid w:val="007A70ED"/>
    <w:rsid w:val="007B05C7"/>
    <w:rsid w:val="007B0A85"/>
    <w:rsid w:val="007B0FCE"/>
    <w:rsid w:val="007B1862"/>
    <w:rsid w:val="007B2395"/>
    <w:rsid w:val="007B31BF"/>
    <w:rsid w:val="007B35E4"/>
    <w:rsid w:val="007B36E3"/>
    <w:rsid w:val="007B3DD3"/>
    <w:rsid w:val="007B48EC"/>
    <w:rsid w:val="007B4A11"/>
    <w:rsid w:val="007B4FA3"/>
    <w:rsid w:val="007B52D0"/>
    <w:rsid w:val="007B59CF"/>
    <w:rsid w:val="007B625F"/>
    <w:rsid w:val="007B62EA"/>
    <w:rsid w:val="007B6590"/>
    <w:rsid w:val="007B68B1"/>
    <w:rsid w:val="007B6B0E"/>
    <w:rsid w:val="007B6C48"/>
    <w:rsid w:val="007B6DF4"/>
    <w:rsid w:val="007B70FE"/>
    <w:rsid w:val="007B769A"/>
    <w:rsid w:val="007B77C2"/>
    <w:rsid w:val="007B7B0B"/>
    <w:rsid w:val="007C0656"/>
    <w:rsid w:val="007C21BE"/>
    <w:rsid w:val="007C2CF1"/>
    <w:rsid w:val="007C3AA7"/>
    <w:rsid w:val="007C403D"/>
    <w:rsid w:val="007C40B5"/>
    <w:rsid w:val="007C4236"/>
    <w:rsid w:val="007C5066"/>
    <w:rsid w:val="007C54D3"/>
    <w:rsid w:val="007C56A9"/>
    <w:rsid w:val="007C570B"/>
    <w:rsid w:val="007C58A5"/>
    <w:rsid w:val="007C5981"/>
    <w:rsid w:val="007C5E2D"/>
    <w:rsid w:val="007C604B"/>
    <w:rsid w:val="007C66FC"/>
    <w:rsid w:val="007C6B5B"/>
    <w:rsid w:val="007C717C"/>
    <w:rsid w:val="007C7B41"/>
    <w:rsid w:val="007C7C01"/>
    <w:rsid w:val="007C7CA5"/>
    <w:rsid w:val="007D0072"/>
    <w:rsid w:val="007D0100"/>
    <w:rsid w:val="007D0611"/>
    <w:rsid w:val="007D11B0"/>
    <w:rsid w:val="007D1444"/>
    <w:rsid w:val="007D1B58"/>
    <w:rsid w:val="007D1C4B"/>
    <w:rsid w:val="007D1CEC"/>
    <w:rsid w:val="007D1F91"/>
    <w:rsid w:val="007D2494"/>
    <w:rsid w:val="007D293B"/>
    <w:rsid w:val="007D3451"/>
    <w:rsid w:val="007D3D9B"/>
    <w:rsid w:val="007D41A2"/>
    <w:rsid w:val="007D41F4"/>
    <w:rsid w:val="007D486D"/>
    <w:rsid w:val="007D4AC9"/>
    <w:rsid w:val="007D5149"/>
    <w:rsid w:val="007D56CA"/>
    <w:rsid w:val="007D5E1F"/>
    <w:rsid w:val="007D62FC"/>
    <w:rsid w:val="007D6594"/>
    <w:rsid w:val="007D665F"/>
    <w:rsid w:val="007D70B8"/>
    <w:rsid w:val="007D7380"/>
    <w:rsid w:val="007E0735"/>
    <w:rsid w:val="007E1129"/>
    <w:rsid w:val="007E13F0"/>
    <w:rsid w:val="007E25DA"/>
    <w:rsid w:val="007E26D7"/>
    <w:rsid w:val="007E364A"/>
    <w:rsid w:val="007E3CAF"/>
    <w:rsid w:val="007E3DA9"/>
    <w:rsid w:val="007E4489"/>
    <w:rsid w:val="007E56D1"/>
    <w:rsid w:val="007E591D"/>
    <w:rsid w:val="007E5E40"/>
    <w:rsid w:val="007E6061"/>
    <w:rsid w:val="007E637D"/>
    <w:rsid w:val="007E656A"/>
    <w:rsid w:val="007E6A30"/>
    <w:rsid w:val="007E6EA5"/>
    <w:rsid w:val="007E6FFA"/>
    <w:rsid w:val="007E732F"/>
    <w:rsid w:val="007E76BE"/>
    <w:rsid w:val="007E7805"/>
    <w:rsid w:val="007F014B"/>
    <w:rsid w:val="007F034C"/>
    <w:rsid w:val="007F043B"/>
    <w:rsid w:val="007F091A"/>
    <w:rsid w:val="007F09F5"/>
    <w:rsid w:val="007F1DB6"/>
    <w:rsid w:val="007F2164"/>
    <w:rsid w:val="007F29E4"/>
    <w:rsid w:val="007F3313"/>
    <w:rsid w:val="007F3315"/>
    <w:rsid w:val="007F34D1"/>
    <w:rsid w:val="007F360E"/>
    <w:rsid w:val="007F4743"/>
    <w:rsid w:val="007F501C"/>
    <w:rsid w:val="007F5CBD"/>
    <w:rsid w:val="007F6088"/>
    <w:rsid w:val="007F6377"/>
    <w:rsid w:val="007F63D2"/>
    <w:rsid w:val="007F63ED"/>
    <w:rsid w:val="007F64CB"/>
    <w:rsid w:val="007F6C3A"/>
    <w:rsid w:val="007F7013"/>
    <w:rsid w:val="007F7332"/>
    <w:rsid w:val="007F77F1"/>
    <w:rsid w:val="007F7D52"/>
    <w:rsid w:val="00800479"/>
    <w:rsid w:val="00800526"/>
    <w:rsid w:val="00800710"/>
    <w:rsid w:val="008008FB"/>
    <w:rsid w:val="00800E42"/>
    <w:rsid w:val="008011E9"/>
    <w:rsid w:val="008012FE"/>
    <w:rsid w:val="00801738"/>
    <w:rsid w:val="00801986"/>
    <w:rsid w:val="00801A6C"/>
    <w:rsid w:val="00801E94"/>
    <w:rsid w:val="00802112"/>
    <w:rsid w:val="00802249"/>
    <w:rsid w:val="00802C80"/>
    <w:rsid w:val="00802C90"/>
    <w:rsid w:val="00802CC6"/>
    <w:rsid w:val="00802F84"/>
    <w:rsid w:val="008031A1"/>
    <w:rsid w:val="00803707"/>
    <w:rsid w:val="00803EFD"/>
    <w:rsid w:val="0080429C"/>
    <w:rsid w:val="00804C4B"/>
    <w:rsid w:val="00805080"/>
    <w:rsid w:val="008052FA"/>
    <w:rsid w:val="00806444"/>
    <w:rsid w:val="0080662B"/>
    <w:rsid w:val="008067E7"/>
    <w:rsid w:val="00806DD0"/>
    <w:rsid w:val="0080731E"/>
    <w:rsid w:val="00807369"/>
    <w:rsid w:val="0080755C"/>
    <w:rsid w:val="008075E9"/>
    <w:rsid w:val="008079F1"/>
    <w:rsid w:val="00807A4B"/>
    <w:rsid w:val="00807CA9"/>
    <w:rsid w:val="008100AE"/>
    <w:rsid w:val="008103DF"/>
    <w:rsid w:val="00810963"/>
    <w:rsid w:val="00810A61"/>
    <w:rsid w:val="00810C9A"/>
    <w:rsid w:val="00810EAF"/>
    <w:rsid w:val="0081163D"/>
    <w:rsid w:val="008117CE"/>
    <w:rsid w:val="00811A62"/>
    <w:rsid w:val="0081207A"/>
    <w:rsid w:val="008124D2"/>
    <w:rsid w:val="008127A6"/>
    <w:rsid w:val="00812AD3"/>
    <w:rsid w:val="00812EB9"/>
    <w:rsid w:val="008132DB"/>
    <w:rsid w:val="008133A8"/>
    <w:rsid w:val="0081360D"/>
    <w:rsid w:val="00813741"/>
    <w:rsid w:val="00813AFB"/>
    <w:rsid w:val="00813BFD"/>
    <w:rsid w:val="00813E36"/>
    <w:rsid w:val="008143AD"/>
    <w:rsid w:val="008147E7"/>
    <w:rsid w:val="008149FC"/>
    <w:rsid w:val="00814AED"/>
    <w:rsid w:val="00814F83"/>
    <w:rsid w:val="008151DB"/>
    <w:rsid w:val="008155D0"/>
    <w:rsid w:val="0081629C"/>
    <w:rsid w:val="008162FF"/>
    <w:rsid w:val="0081649B"/>
    <w:rsid w:val="008168BA"/>
    <w:rsid w:val="00816DC9"/>
    <w:rsid w:val="00816FE7"/>
    <w:rsid w:val="00817529"/>
    <w:rsid w:val="00817635"/>
    <w:rsid w:val="00817881"/>
    <w:rsid w:val="00817944"/>
    <w:rsid w:val="00817EEB"/>
    <w:rsid w:val="008202C0"/>
    <w:rsid w:val="00821332"/>
    <w:rsid w:val="00821E04"/>
    <w:rsid w:val="00822253"/>
    <w:rsid w:val="008224C0"/>
    <w:rsid w:val="00822ACD"/>
    <w:rsid w:val="00822B23"/>
    <w:rsid w:val="00822C60"/>
    <w:rsid w:val="0082332B"/>
    <w:rsid w:val="00823488"/>
    <w:rsid w:val="00823540"/>
    <w:rsid w:val="008237E3"/>
    <w:rsid w:val="00823A05"/>
    <w:rsid w:val="00823EA3"/>
    <w:rsid w:val="00824011"/>
    <w:rsid w:val="008242E5"/>
    <w:rsid w:val="00824424"/>
    <w:rsid w:val="00824630"/>
    <w:rsid w:val="008246A4"/>
    <w:rsid w:val="00824C04"/>
    <w:rsid w:val="00824DDB"/>
    <w:rsid w:val="00825347"/>
    <w:rsid w:val="00825370"/>
    <w:rsid w:val="00825F39"/>
    <w:rsid w:val="00826234"/>
    <w:rsid w:val="00826380"/>
    <w:rsid w:val="008263D5"/>
    <w:rsid w:val="00826911"/>
    <w:rsid w:val="00826C13"/>
    <w:rsid w:val="008276CE"/>
    <w:rsid w:val="00831397"/>
    <w:rsid w:val="00831644"/>
    <w:rsid w:val="008316FF"/>
    <w:rsid w:val="00831FC2"/>
    <w:rsid w:val="00832683"/>
    <w:rsid w:val="008327CF"/>
    <w:rsid w:val="0083446D"/>
    <w:rsid w:val="008345F9"/>
    <w:rsid w:val="008348C2"/>
    <w:rsid w:val="008349E7"/>
    <w:rsid w:val="00834B25"/>
    <w:rsid w:val="00834BE3"/>
    <w:rsid w:val="008350CA"/>
    <w:rsid w:val="0083569E"/>
    <w:rsid w:val="00835BE7"/>
    <w:rsid w:val="008366D3"/>
    <w:rsid w:val="00836A43"/>
    <w:rsid w:val="00836D6B"/>
    <w:rsid w:val="0083750C"/>
    <w:rsid w:val="00837637"/>
    <w:rsid w:val="0083782C"/>
    <w:rsid w:val="00837A30"/>
    <w:rsid w:val="00840846"/>
    <w:rsid w:val="008408BD"/>
    <w:rsid w:val="00840AD0"/>
    <w:rsid w:val="00840DFE"/>
    <w:rsid w:val="00840E26"/>
    <w:rsid w:val="00840EE7"/>
    <w:rsid w:val="008418C0"/>
    <w:rsid w:val="00841960"/>
    <w:rsid w:val="008436F6"/>
    <w:rsid w:val="00843837"/>
    <w:rsid w:val="008443E7"/>
    <w:rsid w:val="008444BA"/>
    <w:rsid w:val="00844558"/>
    <w:rsid w:val="008455D1"/>
    <w:rsid w:val="00845D02"/>
    <w:rsid w:val="008467C6"/>
    <w:rsid w:val="00846A8D"/>
    <w:rsid w:val="00850181"/>
    <w:rsid w:val="0085024B"/>
    <w:rsid w:val="00850947"/>
    <w:rsid w:val="00850DAA"/>
    <w:rsid w:val="00851116"/>
    <w:rsid w:val="00851B77"/>
    <w:rsid w:val="0085246C"/>
    <w:rsid w:val="0085255C"/>
    <w:rsid w:val="008525ED"/>
    <w:rsid w:val="00852818"/>
    <w:rsid w:val="008530A8"/>
    <w:rsid w:val="00853C51"/>
    <w:rsid w:val="00854A64"/>
    <w:rsid w:val="00854B2C"/>
    <w:rsid w:val="00854E1E"/>
    <w:rsid w:val="00854F3D"/>
    <w:rsid w:val="00855280"/>
    <w:rsid w:val="008552EA"/>
    <w:rsid w:val="008553DE"/>
    <w:rsid w:val="0085596B"/>
    <w:rsid w:val="00856348"/>
    <w:rsid w:val="00856492"/>
    <w:rsid w:val="00856B69"/>
    <w:rsid w:val="00857680"/>
    <w:rsid w:val="00857808"/>
    <w:rsid w:val="00857996"/>
    <w:rsid w:val="00857B31"/>
    <w:rsid w:val="00857B34"/>
    <w:rsid w:val="00860853"/>
    <w:rsid w:val="00860D5E"/>
    <w:rsid w:val="0086103F"/>
    <w:rsid w:val="008612F5"/>
    <w:rsid w:val="008616D1"/>
    <w:rsid w:val="00861E4A"/>
    <w:rsid w:val="008620C7"/>
    <w:rsid w:val="008620D5"/>
    <w:rsid w:val="008620E0"/>
    <w:rsid w:val="0086263B"/>
    <w:rsid w:val="00862E36"/>
    <w:rsid w:val="008630E7"/>
    <w:rsid w:val="008632D6"/>
    <w:rsid w:val="00863370"/>
    <w:rsid w:val="008634F5"/>
    <w:rsid w:val="0086351F"/>
    <w:rsid w:val="00864170"/>
    <w:rsid w:val="00864261"/>
    <w:rsid w:val="00864EF6"/>
    <w:rsid w:val="00864F01"/>
    <w:rsid w:val="00864F14"/>
    <w:rsid w:val="0086529B"/>
    <w:rsid w:val="00865364"/>
    <w:rsid w:val="008655A4"/>
    <w:rsid w:val="00865F20"/>
    <w:rsid w:val="00866687"/>
    <w:rsid w:val="008666D2"/>
    <w:rsid w:val="0086675E"/>
    <w:rsid w:val="00866957"/>
    <w:rsid w:val="008669AF"/>
    <w:rsid w:val="00866CBE"/>
    <w:rsid w:val="00866D0B"/>
    <w:rsid w:val="00866E71"/>
    <w:rsid w:val="0086715F"/>
    <w:rsid w:val="00867965"/>
    <w:rsid w:val="00870407"/>
    <w:rsid w:val="008705FE"/>
    <w:rsid w:val="00870CB9"/>
    <w:rsid w:val="00871FC2"/>
    <w:rsid w:val="008721D4"/>
    <w:rsid w:val="008724C8"/>
    <w:rsid w:val="0087253E"/>
    <w:rsid w:val="0087327F"/>
    <w:rsid w:val="00873386"/>
    <w:rsid w:val="00874320"/>
    <w:rsid w:val="00874483"/>
    <w:rsid w:val="00874759"/>
    <w:rsid w:val="008749DF"/>
    <w:rsid w:val="00874C6E"/>
    <w:rsid w:val="00875658"/>
    <w:rsid w:val="008756A8"/>
    <w:rsid w:val="0087598F"/>
    <w:rsid w:val="00875D40"/>
    <w:rsid w:val="008761BC"/>
    <w:rsid w:val="0087647A"/>
    <w:rsid w:val="0087677A"/>
    <w:rsid w:val="00876AEC"/>
    <w:rsid w:val="008778BD"/>
    <w:rsid w:val="00877F0B"/>
    <w:rsid w:val="00877FCA"/>
    <w:rsid w:val="00880124"/>
    <w:rsid w:val="008809D8"/>
    <w:rsid w:val="0088106A"/>
    <w:rsid w:val="008810E4"/>
    <w:rsid w:val="008814C8"/>
    <w:rsid w:val="008814CF"/>
    <w:rsid w:val="00881594"/>
    <w:rsid w:val="00881708"/>
    <w:rsid w:val="00882664"/>
    <w:rsid w:val="00882726"/>
    <w:rsid w:val="00882762"/>
    <w:rsid w:val="0088289B"/>
    <w:rsid w:val="008828C2"/>
    <w:rsid w:val="00882CE3"/>
    <w:rsid w:val="0088327B"/>
    <w:rsid w:val="008833B8"/>
    <w:rsid w:val="008835CD"/>
    <w:rsid w:val="00884471"/>
    <w:rsid w:val="00884699"/>
    <w:rsid w:val="00884873"/>
    <w:rsid w:val="0088496F"/>
    <w:rsid w:val="00884E3E"/>
    <w:rsid w:val="0088505D"/>
    <w:rsid w:val="00885481"/>
    <w:rsid w:val="00886BD4"/>
    <w:rsid w:val="00886F42"/>
    <w:rsid w:val="00887207"/>
    <w:rsid w:val="00887FA0"/>
    <w:rsid w:val="00890099"/>
    <w:rsid w:val="00890BC7"/>
    <w:rsid w:val="008912E4"/>
    <w:rsid w:val="0089173A"/>
    <w:rsid w:val="00891863"/>
    <w:rsid w:val="00891870"/>
    <w:rsid w:val="00892613"/>
    <w:rsid w:val="0089279D"/>
    <w:rsid w:val="008928DF"/>
    <w:rsid w:val="00892C7F"/>
    <w:rsid w:val="00892E1A"/>
    <w:rsid w:val="00893A05"/>
    <w:rsid w:val="00893F5C"/>
    <w:rsid w:val="0089404E"/>
    <w:rsid w:val="00894241"/>
    <w:rsid w:val="00894E4F"/>
    <w:rsid w:val="008956BA"/>
    <w:rsid w:val="00895793"/>
    <w:rsid w:val="008958E5"/>
    <w:rsid w:val="00895992"/>
    <w:rsid w:val="0089602F"/>
    <w:rsid w:val="008966A8"/>
    <w:rsid w:val="00896E39"/>
    <w:rsid w:val="0089759F"/>
    <w:rsid w:val="0089769D"/>
    <w:rsid w:val="00897A81"/>
    <w:rsid w:val="00897D65"/>
    <w:rsid w:val="00897EA6"/>
    <w:rsid w:val="00897F5E"/>
    <w:rsid w:val="008A0022"/>
    <w:rsid w:val="008A04A7"/>
    <w:rsid w:val="008A0E7F"/>
    <w:rsid w:val="008A152B"/>
    <w:rsid w:val="008A21C0"/>
    <w:rsid w:val="008A2219"/>
    <w:rsid w:val="008A2C34"/>
    <w:rsid w:val="008A2DE1"/>
    <w:rsid w:val="008A3228"/>
    <w:rsid w:val="008A32E3"/>
    <w:rsid w:val="008A362C"/>
    <w:rsid w:val="008A36B7"/>
    <w:rsid w:val="008A446A"/>
    <w:rsid w:val="008A450F"/>
    <w:rsid w:val="008A4AC5"/>
    <w:rsid w:val="008A4BBE"/>
    <w:rsid w:val="008A5593"/>
    <w:rsid w:val="008A5C76"/>
    <w:rsid w:val="008A600D"/>
    <w:rsid w:val="008A63B4"/>
    <w:rsid w:val="008A64E1"/>
    <w:rsid w:val="008A659C"/>
    <w:rsid w:val="008A6BD8"/>
    <w:rsid w:val="008A73BB"/>
    <w:rsid w:val="008A7533"/>
    <w:rsid w:val="008A76CF"/>
    <w:rsid w:val="008A78EE"/>
    <w:rsid w:val="008A7C60"/>
    <w:rsid w:val="008B0546"/>
    <w:rsid w:val="008B0A07"/>
    <w:rsid w:val="008B0E0F"/>
    <w:rsid w:val="008B0FFF"/>
    <w:rsid w:val="008B12B2"/>
    <w:rsid w:val="008B1439"/>
    <w:rsid w:val="008B16D0"/>
    <w:rsid w:val="008B2108"/>
    <w:rsid w:val="008B22EC"/>
    <w:rsid w:val="008B2493"/>
    <w:rsid w:val="008B27ED"/>
    <w:rsid w:val="008B2DAD"/>
    <w:rsid w:val="008B34C2"/>
    <w:rsid w:val="008B3879"/>
    <w:rsid w:val="008B3998"/>
    <w:rsid w:val="008B3E81"/>
    <w:rsid w:val="008B3F0F"/>
    <w:rsid w:val="008B469E"/>
    <w:rsid w:val="008B4833"/>
    <w:rsid w:val="008B484E"/>
    <w:rsid w:val="008B595C"/>
    <w:rsid w:val="008B5F36"/>
    <w:rsid w:val="008B61A4"/>
    <w:rsid w:val="008B6B4F"/>
    <w:rsid w:val="008B6B6A"/>
    <w:rsid w:val="008B7097"/>
    <w:rsid w:val="008B7471"/>
    <w:rsid w:val="008B74B7"/>
    <w:rsid w:val="008B763A"/>
    <w:rsid w:val="008B7895"/>
    <w:rsid w:val="008B7AAB"/>
    <w:rsid w:val="008B7B46"/>
    <w:rsid w:val="008C00BD"/>
    <w:rsid w:val="008C05DA"/>
    <w:rsid w:val="008C080D"/>
    <w:rsid w:val="008C14ED"/>
    <w:rsid w:val="008C16B0"/>
    <w:rsid w:val="008C187A"/>
    <w:rsid w:val="008C19C0"/>
    <w:rsid w:val="008C1CAC"/>
    <w:rsid w:val="008C1F81"/>
    <w:rsid w:val="008C2071"/>
    <w:rsid w:val="008C217B"/>
    <w:rsid w:val="008C2831"/>
    <w:rsid w:val="008C2E41"/>
    <w:rsid w:val="008C30FE"/>
    <w:rsid w:val="008C333A"/>
    <w:rsid w:val="008C3491"/>
    <w:rsid w:val="008C3528"/>
    <w:rsid w:val="008C36D4"/>
    <w:rsid w:val="008C3939"/>
    <w:rsid w:val="008C42F5"/>
    <w:rsid w:val="008C4357"/>
    <w:rsid w:val="008C46B7"/>
    <w:rsid w:val="008C4A25"/>
    <w:rsid w:val="008C4B15"/>
    <w:rsid w:val="008C4D27"/>
    <w:rsid w:val="008C58AE"/>
    <w:rsid w:val="008C5FA2"/>
    <w:rsid w:val="008C6144"/>
    <w:rsid w:val="008C61F6"/>
    <w:rsid w:val="008C69D5"/>
    <w:rsid w:val="008C6A7C"/>
    <w:rsid w:val="008C6AFC"/>
    <w:rsid w:val="008C712B"/>
    <w:rsid w:val="008D040E"/>
    <w:rsid w:val="008D0613"/>
    <w:rsid w:val="008D0DDD"/>
    <w:rsid w:val="008D0F61"/>
    <w:rsid w:val="008D2104"/>
    <w:rsid w:val="008D25A1"/>
    <w:rsid w:val="008D29FE"/>
    <w:rsid w:val="008D2FF9"/>
    <w:rsid w:val="008D30FE"/>
    <w:rsid w:val="008D3396"/>
    <w:rsid w:val="008D34E7"/>
    <w:rsid w:val="008D3C10"/>
    <w:rsid w:val="008D483D"/>
    <w:rsid w:val="008D51CB"/>
    <w:rsid w:val="008D526A"/>
    <w:rsid w:val="008D5351"/>
    <w:rsid w:val="008D5727"/>
    <w:rsid w:val="008D5964"/>
    <w:rsid w:val="008D5B91"/>
    <w:rsid w:val="008D5E4A"/>
    <w:rsid w:val="008D5E51"/>
    <w:rsid w:val="008D6005"/>
    <w:rsid w:val="008D6323"/>
    <w:rsid w:val="008D6540"/>
    <w:rsid w:val="008D6E09"/>
    <w:rsid w:val="008D6EC4"/>
    <w:rsid w:val="008D7413"/>
    <w:rsid w:val="008D7436"/>
    <w:rsid w:val="008D77E5"/>
    <w:rsid w:val="008D7BF0"/>
    <w:rsid w:val="008D7C08"/>
    <w:rsid w:val="008D7EDB"/>
    <w:rsid w:val="008E0065"/>
    <w:rsid w:val="008E023C"/>
    <w:rsid w:val="008E0BDD"/>
    <w:rsid w:val="008E0D17"/>
    <w:rsid w:val="008E139F"/>
    <w:rsid w:val="008E2120"/>
    <w:rsid w:val="008E2746"/>
    <w:rsid w:val="008E2872"/>
    <w:rsid w:val="008E2906"/>
    <w:rsid w:val="008E2C74"/>
    <w:rsid w:val="008E30A9"/>
    <w:rsid w:val="008E4035"/>
    <w:rsid w:val="008E4695"/>
    <w:rsid w:val="008E4A69"/>
    <w:rsid w:val="008E4C94"/>
    <w:rsid w:val="008E4EAC"/>
    <w:rsid w:val="008E5F75"/>
    <w:rsid w:val="008E6433"/>
    <w:rsid w:val="008E658F"/>
    <w:rsid w:val="008E70DB"/>
    <w:rsid w:val="008E73D6"/>
    <w:rsid w:val="008E761B"/>
    <w:rsid w:val="008E76E1"/>
    <w:rsid w:val="008E78E6"/>
    <w:rsid w:val="008E7940"/>
    <w:rsid w:val="008F06D9"/>
    <w:rsid w:val="008F141B"/>
    <w:rsid w:val="008F1BB6"/>
    <w:rsid w:val="008F1C84"/>
    <w:rsid w:val="008F1FAD"/>
    <w:rsid w:val="008F2433"/>
    <w:rsid w:val="008F2746"/>
    <w:rsid w:val="008F29ED"/>
    <w:rsid w:val="008F2A22"/>
    <w:rsid w:val="008F2C1B"/>
    <w:rsid w:val="008F2C20"/>
    <w:rsid w:val="008F2D2C"/>
    <w:rsid w:val="008F3381"/>
    <w:rsid w:val="008F3486"/>
    <w:rsid w:val="008F3675"/>
    <w:rsid w:val="008F38AF"/>
    <w:rsid w:val="008F3BBF"/>
    <w:rsid w:val="008F40ED"/>
    <w:rsid w:val="008F4197"/>
    <w:rsid w:val="008F4C86"/>
    <w:rsid w:val="008F4D16"/>
    <w:rsid w:val="008F4FBC"/>
    <w:rsid w:val="008F4FE8"/>
    <w:rsid w:val="008F509B"/>
    <w:rsid w:val="008F5159"/>
    <w:rsid w:val="008F59EB"/>
    <w:rsid w:val="008F60A7"/>
    <w:rsid w:val="008F616C"/>
    <w:rsid w:val="008F620A"/>
    <w:rsid w:val="008F6CA1"/>
    <w:rsid w:val="008F7170"/>
    <w:rsid w:val="008F7B73"/>
    <w:rsid w:val="00900004"/>
    <w:rsid w:val="009002B0"/>
    <w:rsid w:val="0090086A"/>
    <w:rsid w:val="00900972"/>
    <w:rsid w:val="00900B04"/>
    <w:rsid w:val="009010F2"/>
    <w:rsid w:val="0090113E"/>
    <w:rsid w:val="009017E6"/>
    <w:rsid w:val="00902093"/>
    <w:rsid w:val="009021F2"/>
    <w:rsid w:val="00902B3B"/>
    <w:rsid w:val="00902B65"/>
    <w:rsid w:val="00902DC1"/>
    <w:rsid w:val="00902E8E"/>
    <w:rsid w:val="0090325F"/>
    <w:rsid w:val="009033E7"/>
    <w:rsid w:val="009035B3"/>
    <w:rsid w:val="00903D91"/>
    <w:rsid w:val="00904390"/>
    <w:rsid w:val="0090530E"/>
    <w:rsid w:val="009054EB"/>
    <w:rsid w:val="00905540"/>
    <w:rsid w:val="00905AA2"/>
    <w:rsid w:val="00905C0A"/>
    <w:rsid w:val="00906199"/>
    <w:rsid w:val="0090733C"/>
    <w:rsid w:val="00907389"/>
    <w:rsid w:val="00907734"/>
    <w:rsid w:val="00907970"/>
    <w:rsid w:val="00907D50"/>
    <w:rsid w:val="00910673"/>
    <w:rsid w:val="00911009"/>
    <w:rsid w:val="009114BA"/>
    <w:rsid w:val="00911ADC"/>
    <w:rsid w:val="00911BD1"/>
    <w:rsid w:val="00912050"/>
    <w:rsid w:val="00912366"/>
    <w:rsid w:val="00912C16"/>
    <w:rsid w:val="00912E5A"/>
    <w:rsid w:val="00913266"/>
    <w:rsid w:val="0091344E"/>
    <w:rsid w:val="0091373E"/>
    <w:rsid w:val="00913A25"/>
    <w:rsid w:val="00913D2E"/>
    <w:rsid w:val="00913F8B"/>
    <w:rsid w:val="00913FC7"/>
    <w:rsid w:val="009142CA"/>
    <w:rsid w:val="009143D2"/>
    <w:rsid w:val="0091448B"/>
    <w:rsid w:val="00914E4F"/>
    <w:rsid w:val="009154BC"/>
    <w:rsid w:val="00915E6F"/>
    <w:rsid w:val="00917618"/>
    <w:rsid w:val="00920768"/>
    <w:rsid w:val="00920A06"/>
    <w:rsid w:val="00920DAC"/>
    <w:rsid w:val="009212A3"/>
    <w:rsid w:val="00921A49"/>
    <w:rsid w:val="009225D3"/>
    <w:rsid w:val="00922855"/>
    <w:rsid w:val="0092299D"/>
    <w:rsid w:val="00922BBE"/>
    <w:rsid w:val="00923579"/>
    <w:rsid w:val="0092379E"/>
    <w:rsid w:val="009237B5"/>
    <w:rsid w:val="00923CC9"/>
    <w:rsid w:val="00923DF8"/>
    <w:rsid w:val="00923F2C"/>
    <w:rsid w:val="00924497"/>
    <w:rsid w:val="00924695"/>
    <w:rsid w:val="00925637"/>
    <w:rsid w:val="00925AC1"/>
    <w:rsid w:val="00925B65"/>
    <w:rsid w:val="009263AC"/>
    <w:rsid w:val="00926648"/>
    <w:rsid w:val="00926949"/>
    <w:rsid w:val="00926B8F"/>
    <w:rsid w:val="00926C8B"/>
    <w:rsid w:val="00927CE9"/>
    <w:rsid w:val="009302C5"/>
    <w:rsid w:val="009307CF"/>
    <w:rsid w:val="00930F18"/>
    <w:rsid w:val="009311C8"/>
    <w:rsid w:val="009311DA"/>
    <w:rsid w:val="00931352"/>
    <w:rsid w:val="00931763"/>
    <w:rsid w:val="00931A59"/>
    <w:rsid w:val="00931D46"/>
    <w:rsid w:val="00932319"/>
    <w:rsid w:val="00932C63"/>
    <w:rsid w:val="00932CC9"/>
    <w:rsid w:val="009330DE"/>
    <w:rsid w:val="0093329E"/>
    <w:rsid w:val="00933887"/>
    <w:rsid w:val="00933B61"/>
    <w:rsid w:val="00933F52"/>
    <w:rsid w:val="00934524"/>
    <w:rsid w:val="009346D8"/>
    <w:rsid w:val="00934A44"/>
    <w:rsid w:val="00934D7C"/>
    <w:rsid w:val="00934FBB"/>
    <w:rsid w:val="00935473"/>
    <w:rsid w:val="00935961"/>
    <w:rsid w:val="009359CC"/>
    <w:rsid w:val="00935B5F"/>
    <w:rsid w:val="00935D83"/>
    <w:rsid w:val="0093614D"/>
    <w:rsid w:val="00936282"/>
    <w:rsid w:val="009364CE"/>
    <w:rsid w:val="00936765"/>
    <w:rsid w:val="00936846"/>
    <w:rsid w:val="00936D39"/>
    <w:rsid w:val="00936DE9"/>
    <w:rsid w:val="00936F9F"/>
    <w:rsid w:val="00937948"/>
    <w:rsid w:val="00940317"/>
    <w:rsid w:val="0094035B"/>
    <w:rsid w:val="00940ADB"/>
    <w:rsid w:val="009410AC"/>
    <w:rsid w:val="0094176E"/>
    <w:rsid w:val="009417C5"/>
    <w:rsid w:val="009426B9"/>
    <w:rsid w:val="00942924"/>
    <w:rsid w:val="00942AB0"/>
    <w:rsid w:val="00942BD7"/>
    <w:rsid w:val="00943011"/>
    <w:rsid w:val="00943425"/>
    <w:rsid w:val="00943A2F"/>
    <w:rsid w:val="00943EA3"/>
    <w:rsid w:val="00943FE7"/>
    <w:rsid w:val="009442A4"/>
    <w:rsid w:val="009444DB"/>
    <w:rsid w:val="00944CCB"/>
    <w:rsid w:val="00944E29"/>
    <w:rsid w:val="009450D2"/>
    <w:rsid w:val="00945119"/>
    <w:rsid w:val="009454EF"/>
    <w:rsid w:val="00945671"/>
    <w:rsid w:val="00945923"/>
    <w:rsid w:val="00945C78"/>
    <w:rsid w:val="0094633C"/>
    <w:rsid w:val="0094659F"/>
    <w:rsid w:val="0094661B"/>
    <w:rsid w:val="009466B8"/>
    <w:rsid w:val="00947969"/>
    <w:rsid w:val="00947E2B"/>
    <w:rsid w:val="00947E4C"/>
    <w:rsid w:val="009500A0"/>
    <w:rsid w:val="00950179"/>
    <w:rsid w:val="00950503"/>
    <w:rsid w:val="00950AEE"/>
    <w:rsid w:val="00950CF7"/>
    <w:rsid w:val="00950D8F"/>
    <w:rsid w:val="00951452"/>
    <w:rsid w:val="009514BE"/>
    <w:rsid w:val="00951E30"/>
    <w:rsid w:val="0095227E"/>
    <w:rsid w:val="00952AC5"/>
    <w:rsid w:val="00952EBC"/>
    <w:rsid w:val="009535E4"/>
    <w:rsid w:val="0095388D"/>
    <w:rsid w:val="00953950"/>
    <w:rsid w:val="0095410C"/>
    <w:rsid w:val="00954464"/>
    <w:rsid w:val="0095470C"/>
    <w:rsid w:val="009556F9"/>
    <w:rsid w:val="00955D0A"/>
    <w:rsid w:val="009567F5"/>
    <w:rsid w:val="00956C54"/>
    <w:rsid w:val="00956CC8"/>
    <w:rsid w:val="00956D1A"/>
    <w:rsid w:val="0095703C"/>
    <w:rsid w:val="009571D6"/>
    <w:rsid w:val="00957B0C"/>
    <w:rsid w:val="00957EB6"/>
    <w:rsid w:val="0096029B"/>
    <w:rsid w:val="009603EE"/>
    <w:rsid w:val="00960929"/>
    <w:rsid w:val="009613E5"/>
    <w:rsid w:val="0096174A"/>
    <w:rsid w:val="00961C77"/>
    <w:rsid w:val="009620C2"/>
    <w:rsid w:val="00962173"/>
    <w:rsid w:val="00962834"/>
    <w:rsid w:val="00962F0C"/>
    <w:rsid w:val="00963040"/>
    <w:rsid w:val="009632A0"/>
    <w:rsid w:val="009638EA"/>
    <w:rsid w:val="009643F3"/>
    <w:rsid w:val="009646EE"/>
    <w:rsid w:val="00964860"/>
    <w:rsid w:val="0096493E"/>
    <w:rsid w:val="0096560A"/>
    <w:rsid w:val="00965BE9"/>
    <w:rsid w:val="0097036D"/>
    <w:rsid w:val="00970C9E"/>
    <w:rsid w:val="00970DAF"/>
    <w:rsid w:val="009719F4"/>
    <w:rsid w:val="00971AED"/>
    <w:rsid w:val="00971C58"/>
    <w:rsid w:val="00971DE3"/>
    <w:rsid w:val="00971F8C"/>
    <w:rsid w:val="00972194"/>
    <w:rsid w:val="009722D3"/>
    <w:rsid w:val="00972C25"/>
    <w:rsid w:val="00973B17"/>
    <w:rsid w:val="00973BD2"/>
    <w:rsid w:val="009743DE"/>
    <w:rsid w:val="00974667"/>
    <w:rsid w:val="00975200"/>
    <w:rsid w:val="00975496"/>
    <w:rsid w:val="009759DC"/>
    <w:rsid w:val="009763D8"/>
    <w:rsid w:val="0097669B"/>
    <w:rsid w:val="00976BAB"/>
    <w:rsid w:val="00977886"/>
    <w:rsid w:val="00977A55"/>
    <w:rsid w:val="009804A8"/>
    <w:rsid w:val="009807E3"/>
    <w:rsid w:val="009809E3"/>
    <w:rsid w:val="00980F1E"/>
    <w:rsid w:val="0098130F"/>
    <w:rsid w:val="009813EA"/>
    <w:rsid w:val="009820C6"/>
    <w:rsid w:val="009821DE"/>
    <w:rsid w:val="009822E1"/>
    <w:rsid w:val="00982466"/>
    <w:rsid w:val="00982570"/>
    <w:rsid w:val="00983377"/>
    <w:rsid w:val="00983985"/>
    <w:rsid w:val="00983E89"/>
    <w:rsid w:val="00983F66"/>
    <w:rsid w:val="00984141"/>
    <w:rsid w:val="00984214"/>
    <w:rsid w:val="00984A3B"/>
    <w:rsid w:val="00984B6A"/>
    <w:rsid w:val="00985489"/>
    <w:rsid w:val="009854C6"/>
    <w:rsid w:val="00985772"/>
    <w:rsid w:val="00985784"/>
    <w:rsid w:val="00985A17"/>
    <w:rsid w:val="00985FDC"/>
    <w:rsid w:val="00986035"/>
    <w:rsid w:val="00987244"/>
    <w:rsid w:val="00987C89"/>
    <w:rsid w:val="00987FB9"/>
    <w:rsid w:val="00990302"/>
    <w:rsid w:val="009905C8"/>
    <w:rsid w:val="00990EFE"/>
    <w:rsid w:val="009911A7"/>
    <w:rsid w:val="0099195F"/>
    <w:rsid w:val="009921B8"/>
    <w:rsid w:val="00992855"/>
    <w:rsid w:val="009929BA"/>
    <w:rsid w:val="0099314B"/>
    <w:rsid w:val="00993370"/>
    <w:rsid w:val="009936A2"/>
    <w:rsid w:val="00993B86"/>
    <w:rsid w:val="00994F8D"/>
    <w:rsid w:val="009953C7"/>
    <w:rsid w:val="00995702"/>
    <w:rsid w:val="0099618A"/>
    <w:rsid w:val="00996508"/>
    <w:rsid w:val="00996547"/>
    <w:rsid w:val="00996668"/>
    <w:rsid w:val="00996F6C"/>
    <w:rsid w:val="00997B43"/>
    <w:rsid w:val="00997CB8"/>
    <w:rsid w:val="00997D34"/>
    <w:rsid w:val="00997D61"/>
    <w:rsid w:val="00997F9C"/>
    <w:rsid w:val="009A0769"/>
    <w:rsid w:val="009A0D03"/>
    <w:rsid w:val="009A0F25"/>
    <w:rsid w:val="009A1186"/>
    <w:rsid w:val="009A13E8"/>
    <w:rsid w:val="009A1E75"/>
    <w:rsid w:val="009A22E1"/>
    <w:rsid w:val="009A2EAD"/>
    <w:rsid w:val="009A328A"/>
    <w:rsid w:val="009A3350"/>
    <w:rsid w:val="009A3713"/>
    <w:rsid w:val="009A3BD6"/>
    <w:rsid w:val="009A4493"/>
    <w:rsid w:val="009A4524"/>
    <w:rsid w:val="009A4622"/>
    <w:rsid w:val="009A4697"/>
    <w:rsid w:val="009A4D2D"/>
    <w:rsid w:val="009A5074"/>
    <w:rsid w:val="009A52F1"/>
    <w:rsid w:val="009A5409"/>
    <w:rsid w:val="009A5DC5"/>
    <w:rsid w:val="009A5F50"/>
    <w:rsid w:val="009A6720"/>
    <w:rsid w:val="009A6AA8"/>
    <w:rsid w:val="009A6ED5"/>
    <w:rsid w:val="009A7568"/>
    <w:rsid w:val="009A769D"/>
    <w:rsid w:val="009B0297"/>
    <w:rsid w:val="009B0318"/>
    <w:rsid w:val="009B0E6A"/>
    <w:rsid w:val="009B1A16"/>
    <w:rsid w:val="009B2A42"/>
    <w:rsid w:val="009B3A73"/>
    <w:rsid w:val="009B3CBE"/>
    <w:rsid w:val="009B3F97"/>
    <w:rsid w:val="009B4233"/>
    <w:rsid w:val="009B511C"/>
    <w:rsid w:val="009B531B"/>
    <w:rsid w:val="009B5E3F"/>
    <w:rsid w:val="009B68F0"/>
    <w:rsid w:val="009B6A1C"/>
    <w:rsid w:val="009B6E9F"/>
    <w:rsid w:val="009B718B"/>
    <w:rsid w:val="009B725F"/>
    <w:rsid w:val="009B7461"/>
    <w:rsid w:val="009B7537"/>
    <w:rsid w:val="009B77A3"/>
    <w:rsid w:val="009B78D1"/>
    <w:rsid w:val="009B7A59"/>
    <w:rsid w:val="009C0767"/>
    <w:rsid w:val="009C0EFE"/>
    <w:rsid w:val="009C14F3"/>
    <w:rsid w:val="009C1692"/>
    <w:rsid w:val="009C1785"/>
    <w:rsid w:val="009C180F"/>
    <w:rsid w:val="009C19F9"/>
    <w:rsid w:val="009C2131"/>
    <w:rsid w:val="009C25C1"/>
    <w:rsid w:val="009C25E3"/>
    <w:rsid w:val="009C26D9"/>
    <w:rsid w:val="009C2796"/>
    <w:rsid w:val="009C2B1F"/>
    <w:rsid w:val="009C3E8C"/>
    <w:rsid w:val="009C4150"/>
    <w:rsid w:val="009C4199"/>
    <w:rsid w:val="009C4270"/>
    <w:rsid w:val="009C4E2B"/>
    <w:rsid w:val="009C4E5F"/>
    <w:rsid w:val="009C548D"/>
    <w:rsid w:val="009C58C4"/>
    <w:rsid w:val="009C5EAE"/>
    <w:rsid w:val="009C6240"/>
    <w:rsid w:val="009C645D"/>
    <w:rsid w:val="009C6891"/>
    <w:rsid w:val="009C7845"/>
    <w:rsid w:val="009D2140"/>
    <w:rsid w:val="009D258C"/>
    <w:rsid w:val="009D269D"/>
    <w:rsid w:val="009D28A5"/>
    <w:rsid w:val="009D2C58"/>
    <w:rsid w:val="009D3808"/>
    <w:rsid w:val="009D3E6E"/>
    <w:rsid w:val="009D4342"/>
    <w:rsid w:val="009D48BB"/>
    <w:rsid w:val="009D48C3"/>
    <w:rsid w:val="009D4C8B"/>
    <w:rsid w:val="009D5A7B"/>
    <w:rsid w:val="009D5AA1"/>
    <w:rsid w:val="009D5DBA"/>
    <w:rsid w:val="009D65BF"/>
    <w:rsid w:val="009D6634"/>
    <w:rsid w:val="009D6C24"/>
    <w:rsid w:val="009D6F8D"/>
    <w:rsid w:val="009D75B9"/>
    <w:rsid w:val="009D7DAA"/>
    <w:rsid w:val="009E014C"/>
    <w:rsid w:val="009E0532"/>
    <w:rsid w:val="009E0764"/>
    <w:rsid w:val="009E0C92"/>
    <w:rsid w:val="009E0FD2"/>
    <w:rsid w:val="009E165E"/>
    <w:rsid w:val="009E19D5"/>
    <w:rsid w:val="009E1C99"/>
    <w:rsid w:val="009E1FCA"/>
    <w:rsid w:val="009E2739"/>
    <w:rsid w:val="009E293F"/>
    <w:rsid w:val="009E2A1F"/>
    <w:rsid w:val="009E34BE"/>
    <w:rsid w:val="009E357F"/>
    <w:rsid w:val="009E393C"/>
    <w:rsid w:val="009E3D9C"/>
    <w:rsid w:val="009E3F33"/>
    <w:rsid w:val="009E43B4"/>
    <w:rsid w:val="009E43DF"/>
    <w:rsid w:val="009E504A"/>
    <w:rsid w:val="009E55B3"/>
    <w:rsid w:val="009E58D4"/>
    <w:rsid w:val="009E5CD5"/>
    <w:rsid w:val="009E5EFF"/>
    <w:rsid w:val="009E66F8"/>
    <w:rsid w:val="009E6707"/>
    <w:rsid w:val="009E6B90"/>
    <w:rsid w:val="009E7933"/>
    <w:rsid w:val="009F00FF"/>
    <w:rsid w:val="009F020C"/>
    <w:rsid w:val="009F039F"/>
    <w:rsid w:val="009F0B70"/>
    <w:rsid w:val="009F0D64"/>
    <w:rsid w:val="009F157E"/>
    <w:rsid w:val="009F16F5"/>
    <w:rsid w:val="009F1D53"/>
    <w:rsid w:val="009F2211"/>
    <w:rsid w:val="009F2C21"/>
    <w:rsid w:val="009F3339"/>
    <w:rsid w:val="009F3811"/>
    <w:rsid w:val="009F3A11"/>
    <w:rsid w:val="009F3E74"/>
    <w:rsid w:val="009F4100"/>
    <w:rsid w:val="009F4AA4"/>
    <w:rsid w:val="009F4C7B"/>
    <w:rsid w:val="009F56D7"/>
    <w:rsid w:val="009F5DD1"/>
    <w:rsid w:val="009F6875"/>
    <w:rsid w:val="009F6ACC"/>
    <w:rsid w:val="009F6B8B"/>
    <w:rsid w:val="009F6D12"/>
    <w:rsid w:val="009F6D9E"/>
    <w:rsid w:val="009F7094"/>
    <w:rsid w:val="009F7415"/>
    <w:rsid w:val="009F786D"/>
    <w:rsid w:val="009F79F1"/>
    <w:rsid w:val="00A00223"/>
    <w:rsid w:val="00A00717"/>
    <w:rsid w:val="00A007CF"/>
    <w:rsid w:val="00A009A9"/>
    <w:rsid w:val="00A00AC0"/>
    <w:rsid w:val="00A00EAF"/>
    <w:rsid w:val="00A0106E"/>
    <w:rsid w:val="00A015F8"/>
    <w:rsid w:val="00A01D48"/>
    <w:rsid w:val="00A01EE1"/>
    <w:rsid w:val="00A02727"/>
    <w:rsid w:val="00A03580"/>
    <w:rsid w:val="00A039E3"/>
    <w:rsid w:val="00A04279"/>
    <w:rsid w:val="00A043B6"/>
    <w:rsid w:val="00A04565"/>
    <w:rsid w:val="00A047A0"/>
    <w:rsid w:val="00A04934"/>
    <w:rsid w:val="00A050C0"/>
    <w:rsid w:val="00A05E2A"/>
    <w:rsid w:val="00A05E45"/>
    <w:rsid w:val="00A06824"/>
    <w:rsid w:val="00A069DA"/>
    <w:rsid w:val="00A06DC6"/>
    <w:rsid w:val="00A06E7E"/>
    <w:rsid w:val="00A07343"/>
    <w:rsid w:val="00A07628"/>
    <w:rsid w:val="00A102EA"/>
    <w:rsid w:val="00A103A0"/>
    <w:rsid w:val="00A108E9"/>
    <w:rsid w:val="00A10BE5"/>
    <w:rsid w:val="00A1122B"/>
    <w:rsid w:val="00A113C9"/>
    <w:rsid w:val="00A116DC"/>
    <w:rsid w:val="00A118B5"/>
    <w:rsid w:val="00A11C7E"/>
    <w:rsid w:val="00A11DEF"/>
    <w:rsid w:val="00A12474"/>
    <w:rsid w:val="00A13151"/>
    <w:rsid w:val="00A13654"/>
    <w:rsid w:val="00A1458F"/>
    <w:rsid w:val="00A14784"/>
    <w:rsid w:val="00A1481C"/>
    <w:rsid w:val="00A1490A"/>
    <w:rsid w:val="00A14FD3"/>
    <w:rsid w:val="00A1579A"/>
    <w:rsid w:val="00A1583F"/>
    <w:rsid w:val="00A15AD8"/>
    <w:rsid w:val="00A15BA6"/>
    <w:rsid w:val="00A16316"/>
    <w:rsid w:val="00A16684"/>
    <w:rsid w:val="00A168CB"/>
    <w:rsid w:val="00A16C16"/>
    <w:rsid w:val="00A16DDE"/>
    <w:rsid w:val="00A1716C"/>
    <w:rsid w:val="00A1790D"/>
    <w:rsid w:val="00A179AE"/>
    <w:rsid w:val="00A17B89"/>
    <w:rsid w:val="00A17BAE"/>
    <w:rsid w:val="00A17CA3"/>
    <w:rsid w:val="00A20313"/>
    <w:rsid w:val="00A20E59"/>
    <w:rsid w:val="00A210E6"/>
    <w:rsid w:val="00A21205"/>
    <w:rsid w:val="00A21224"/>
    <w:rsid w:val="00A2185B"/>
    <w:rsid w:val="00A21DBB"/>
    <w:rsid w:val="00A22581"/>
    <w:rsid w:val="00A228D3"/>
    <w:rsid w:val="00A22947"/>
    <w:rsid w:val="00A22DC5"/>
    <w:rsid w:val="00A23B23"/>
    <w:rsid w:val="00A244C6"/>
    <w:rsid w:val="00A25203"/>
    <w:rsid w:val="00A25226"/>
    <w:rsid w:val="00A254D2"/>
    <w:rsid w:val="00A26598"/>
    <w:rsid w:val="00A26E4B"/>
    <w:rsid w:val="00A277F2"/>
    <w:rsid w:val="00A27D59"/>
    <w:rsid w:val="00A27E65"/>
    <w:rsid w:val="00A302D3"/>
    <w:rsid w:val="00A306E9"/>
    <w:rsid w:val="00A30CCA"/>
    <w:rsid w:val="00A30FCE"/>
    <w:rsid w:val="00A31678"/>
    <w:rsid w:val="00A31A07"/>
    <w:rsid w:val="00A31C4A"/>
    <w:rsid w:val="00A31E23"/>
    <w:rsid w:val="00A32198"/>
    <w:rsid w:val="00A338DC"/>
    <w:rsid w:val="00A34200"/>
    <w:rsid w:val="00A34545"/>
    <w:rsid w:val="00A35E2B"/>
    <w:rsid w:val="00A36010"/>
    <w:rsid w:val="00A363CE"/>
    <w:rsid w:val="00A363D7"/>
    <w:rsid w:val="00A36A66"/>
    <w:rsid w:val="00A36D87"/>
    <w:rsid w:val="00A37A37"/>
    <w:rsid w:val="00A37C74"/>
    <w:rsid w:val="00A37E24"/>
    <w:rsid w:val="00A40033"/>
    <w:rsid w:val="00A4071C"/>
    <w:rsid w:val="00A40BC6"/>
    <w:rsid w:val="00A40DE6"/>
    <w:rsid w:val="00A40F06"/>
    <w:rsid w:val="00A417F7"/>
    <w:rsid w:val="00A422E3"/>
    <w:rsid w:val="00A427B0"/>
    <w:rsid w:val="00A427C2"/>
    <w:rsid w:val="00A42A04"/>
    <w:rsid w:val="00A4304A"/>
    <w:rsid w:val="00A43323"/>
    <w:rsid w:val="00A43506"/>
    <w:rsid w:val="00A445A7"/>
    <w:rsid w:val="00A4508A"/>
    <w:rsid w:val="00A458BE"/>
    <w:rsid w:val="00A45E96"/>
    <w:rsid w:val="00A46135"/>
    <w:rsid w:val="00A462C4"/>
    <w:rsid w:val="00A467A4"/>
    <w:rsid w:val="00A47263"/>
    <w:rsid w:val="00A4768A"/>
    <w:rsid w:val="00A47914"/>
    <w:rsid w:val="00A479A0"/>
    <w:rsid w:val="00A508D7"/>
    <w:rsid w:val="00A508E6"/>
    <w:rsid w:val="00A51298"/>
    <w:rsid w:val="00A518F3"/>
    <w:rsid w:val="00A51954"/>
    <w:rsid w:val="00A522B8"/>
    <w:rsid w:val="00A52531"/>
    <w:rsid w:val="00A5319C"/>
    <w:rsid w:val="00A531F9"/>
    <w:rsid w:val="00A53203"/>
    <w:rsid w:val="00A532DF"/>
    <w:rsid w:val="00A53937"/>
    <w:rsid w:val="00A53D0F"/>
    <w:rsid w:val="00A5427F"/>
    <w:rsid w:val="00A54CB9"/>
    <w:rsid w:val="00A5518C"/>
    <w:rsid w:val="00A5547D"/>
    <w:rsid w:val="00A554C3"/>
    <w:rsid w:val="00A555FB"/>
    <w:rsid w:val="00A5570D"/>
    <w:rsid w:val="00A55804"/>
    <w:rsid w:val="00A559C7"/>
    <w:rsid w:val="00A569F0"/>
    <w:rsid w:val="00A57322"/>
    <w:rsid w:val="00A57459"/>
    <w:rsid w:val="00A57A01"/>
    <w:rsid w:val="00A608FC"/>
    <w:rsid w:val="00A60A6C"/>
    <w:rsid w:val="00A60B02"/>
    <w:rsid w:val="00A60ECB"/>
    <w:rsid w:val="00A6149B"/>
    <w:rsid w:val="00A6149D"/>
    <w:rsid w:val="00A61EB9"/>
    <w:rsid w:val="00A62353"/>
    <w:rsid w:val="00A62D50"/>
    <w:rsid w:val="00A63A2C"/>
    <w:rsid w:val="00A63A8D"/>
    <w:rsid w:val="00A64630"/>
    <w:rsid w:val="00A649D2"/>
    <w:rsid w:val="00A64AA5"/>
    <w:rsid w:val="00A64D8A"/>
    <w:rsid w:val="00A64FE3"/>
    <w:rsid w:val="00A6530E"/>
    <w:rsid w:val="00A6591F"/>
    <w:rsid w:val="00A65CDA"/>
    <w:rsid w:val="00A65DF2"/>
    <w:rsid w:val="00A65E7A"/>
    <w:rsid w:val="00A660F3"/>
    <w:rsid w:val="00A665D1"/>
    <w:rsid w:val="00A66606"/>
    <w:rsid w:val="00A6665F"/>
    <w:rsid w:val="00A66AFB"/>
    <w:rsid w:val="00A66F2B"/>
    <w:rsid w:val="00A66FCF"/>
    <w:rsid w:val="00A675E7"/>
    <w:rsid w:val="00A67B24"/>
    <w:rsid w:val="00A700C7"/>
    <w:rsid w:val="00A701C2"/>
    <w:rsid w:val="00A702AA"/>
    <w:rsid w:val="00A704EF"/>
    <w:rsid w:val="00A7069B"/>
    <w:rsid w:val="00A70BD2"/>
    <w:rsid w:val="00A70C10"/>
    <w:rsid w:val="00A70D7D"/>
    <w:rsid w:val="00A70F16"/>
    <w:rsid w:val="00A7122B"/>
    <w:rsid w:val="00A71D2A"/>
    <w:rsid w:val="00A720FE"/>
    <w:rsid w:val="00A722B3"/>
    <w:rsid w:val="00A724E5"/>
    <w:rsid w:val="00A727AD"/>
    <w:rsid w:val="00A73247"/>
    <w:rsid w:val="00A73501"/>
    <w:rsid w:val="00A7354B"/>
    <w:rsid w:val="00A739FA"/>
    <w:rsid w:val="00A745A4"/>
    <w:rsid w:val="00A74972"/>
    <w:rsid w:val="00A74BDC"/>
    <w:rsid w:val="00A759B7"/>
    <w:rsid w:val="00A75C80"/>
    <w:rsid w:val="00A75F6D"/>
    <w:rsid w:val="00A7634F"/>
    <w:rsid w:val="00A76F41"/>
    <w:rsid w:val="00A777BA"/>
    <w:rsid w:val="00A77A84"/>
    <w:rsid w:val="00A77AA4"/>
    <w:rsid w:val="00A805A2"/>
    <w:rsid w:val="00A805B9"/>
    <w:rsid w:val="00A8062C"/>
    <w:rsid w:val="00A80A32"/>
    <w:rsid w:val="00A80CFD"/>
    <w:rsid w:val="00A81C15"/>
    <w:rsid w:val="00A82330"/>
    <w:rsid w:val="00A824CF"/>
    <w:rsid w:val="00A826A4"/>
    <w:rsid w:val="00A82B47"/>
    <w:rsid w:val="00A838C0"/>
    <w:rsid w:val="00A848E5"/>
    <w:rsid w:val="00A84EED"/>
    <w:rsid w:val="00A853E5"/>
    <w:rsid w:val="00A854F6"/>
    <w:rsid w:val="00A8609F"/>
    <w:rsid w:val="00A86375"/>
    <w:rsid w:val="00A866D5"/>
    <w:rsid w:val="00A866F6"/>
    <w:rsid w:val="00A86E27"/>
    <w:rsid w:val="00A86FA6"/>
    <w:rsid w:val="00A86FCB"/>
    <w:rsid w:val="00A87466"/>
    <w:rsid w:val="00A874C4"/>
    <w:rsid w:val="00A8769D"/>
    <w:rsid w:val="00A90007"/>
    <w:rsid w:val="00A901D0"/>
    <w:rsid w:val="00A9064A"/>
    <w:rsid w:val="00A90995"/>
    <w:rsid w:val="00A90ACC"/>
    <w:rsid w:val="00A9129B"/>
    <w:rsid w:val="00A914F9"/>
    <w:rsid w:val="00A91931"/>
    <w:rsid w:val="00A91BA8"/>
    <w:rsid w:val="00A9237D"/>
    <w:rsid w:val="00A92E7A"/>
    <w:rsid w:val="00A932AF"/>
    <w:rsid w:val="00A93A0A"/>
    <w:rsid w:val="00A93CF9"/>
    <w:rsid w:val="00A94043"/>
    <w:rsid w:val="00A9455A"/>
    <w:rsid w:val="00A9480E"/>
    <w:rsid w:val="00A94C27"/>
    <w:rsid w:val="00A94E9C"/>
    <w:rsid w:val="00A95706"/>
    <w:rsid w:val="00A95BB6"/>
    <w:rsid w:val="00A96466"/>
    <w:rsid w:val="00A96B07"/>
    <w:rsid w:val="00A96D06"/>
    <w:rsid w:val="00A971CE"/>
    <w:rsid w:val="00A972BA"/>
    <w:rsid w:val="00A97BBC"/>
    <w:rsid w:val="00AA08E5"/>
    <w:rsid w:val="00AA1A73"/>
    <w:rsid w:val="00AA2349"/>
    <w:rsid w:val="00AA2520"/>
    <w:rsid w:val="00AA28EA"/>
    <w:rsid w:val="00AA2AD9"/>
    <w:rsid w:val="00AA2CCA"/>
    <w:rsid w:val="00AA2FAD"/>
    <w:rsid w:val="00AA36B6"/>
    <w:rsid w:val="00AA3A86"/>
    <w:rsid w:val="00AA488F"/>
    <w:rsid w:val="00AA4B2B"/>
    <w:rsid w:val="00AA4D2D"/>
    <w:rsid w:val="00AA50B3"/>
    <w:rsid w:val="00AA5727"/>
    <w:rsid w:val="00AA5A75"/>
    <w:rsid w:val="00AA6189"/>
    <w:rsid w:val="00AA6787"/>
    <w:rsid w:val="00AA6CE3"/>
    <w:rsid w:val="00AA6F7C"/>
    <w:rsid w:val="00AA7420"/>
    <w:rsid w:val="00AB0C10"/>
    <w:rsid w:val="00AB0E7F"/>
    <w:rsid w:val="00AB0F34"/>
    <w:rsid w:val="00AB1491"/>
    <w:rsid w:val="00AB1A60"/>
    <w:rsid w:val="00AB1BAE"/>
    <w:rsid w:val="00AB1C6D"/>
    <w:rsid w:val="00AB239A"/>
    <w:rsid w:val="00AB2965"/>
    <w:rsid w:val="00AB2B8D"/>
    <w:rsid w:val="00AB2D80"/>
    <w:rsid w:val="00AB30F4"/>
    <w:rsid w:val="00AB33A7"/>
    <w:rsid w:val="00AB399A"/>
    <w:rsid w:val="00AB3C1A"/>
    <w:rsid w:val="00AB4E0B"/>
    <w:rsid w:val="00AB4EC6"/>
    <w:rsid w:val="00AB5192"/>
    <w:rsid w:val="00AB5682"/>
    <w:rsid w:val="00AB56D0"/>
    <w:rsid w:val="00AB584F"/>
    <w:rsid w:val="00AB5A30"/>
    <w:rsid w:val="00AB683C"/>
    <w:rsid w:val="00AB6933"/>
    <w:rsid w:val="00AC0355"/>
    <w:rsid w:val="00AC0D62"/>
    <w:rsid w:val="00AC0FE5"/>
    <w:rsid w:val="00AC198D"/>
    <w:rsid w:val="00AC1B07"/>
    <w:rsid w:val="00AC1D0E"/>
    <w:rsid w:val="00AC1E65"/>
    <w:rsid w:val="00AC229D"/>
    <w:rsid w:val="00AC23D7"/>
    <w:rsid w:val="00AC27ED"/>
    <w:rsid w:val="00AC2E7C"/>
    <w:rsid w:val="00AC3187"/>
    <w:rsid w:val="00AC3707"/>
    <w:rsid w:val="00AC3EC3"/>
    <w:rsid w:val="00AC4357"/>
    <w:rsid w:val="00AC446A"/>
    <w:rsid w:val="00AC4A1F"/>
    <w:rsid w:val="00AC4FE8"/>
    <w:rsid w:val="00AC562E"/>
    <w:rsid w:val="00AC634E"/>
    <w:rsid w:val="00AC639A"/>
    <w:rsid w:val="00AC6A95"/>
    <w:rsid w:val="00AC73C4"/>
    <w:rsid w:val="00AC7449"/>
    <w:rsid w:val="00AC7A93"/>
    <w:rsid w:val="00AC7D7C"/>
    <w:rsid w:val="00AD00AE"/>
    <w:rsid w:val="00AD01E9"/>
    <w:rsid w:val="00AD0BA1"/>
    <w:rsid w:val="00AD1270"/>
    <w:rsid w:val="00AD12AD"/>
    <w:rsid w:val="00AD1984"/>
    <w:rsid w:val="00AD19B5"/>
    <w:rsid w:val="00AD1A9D"/>
    <w:rsid w:val="00AD2066"/>
    <w:rsid w:val="00AD28D7"/>
    <w:rsid w:val="00AD2B18"/>
    <w:rsid w:val="00AD2D27"/>
    <w:rsid w:val="00AD302A"/>
    <w:rsid w:val="00AD30D2"/>
    <w:rsid w:val="00AD3265"/>
    <w:rsid w:val="00AD33F9"/>
    <w:rsid w:val="00AD34C6"/>
    <w:rsid w:val="00AD35C3"/>
    <w:rsid w:val="00AD381B"/>
    <w:rsid w:val="00AD3A5A"/>
    <w:rsid w:val="00AD3AB0"/>
    <w:rsid w:val="00AD3CF8"/>
    <w:rsid w:val="00AD49FE"/>
    <w:rsid w:val="00AD4ABF"/>
    <w:rsid w:val="00AD51E5"/>
    <w:rsid w:val="00AD5244"/>
    <w:rsid w:val="00AD5576"/>
    <w:rsid w:val="00AD652C"/>
    <w:rsid w:val="00AD6BB5"/>
    <w:rsid w:val="00AD7503"/>
    <w:rsid w:val="00AD7C1E"/>
    <w:rsid w:val="00AD7CA1"/>
    <w:rsid w:val="00AD7E90"/>
    <w:rsid w:val="00AE0627"/>
    <w:rsid w:val="00AE0790"/>
    <w:rsid w:val="00AE0AB6"/>
    <w:rsid w:val="00AE0CAD"/>
    <w:rsid w:val="00AE1047"/>
    <w:rsid w:val="00AE1E3B"/>
    <w:rsid w:val="00AE1E43"/>
    <w:rsid w:val="00AE2427"/>
    <w:rsid w:val="00AE2816"/>
    <w:rsid w:val="00AE321E"/>
    <w:rsid w:val="00AE3864"/>
    <w:rsid w:val="00AE3884"/>
    <w:rsid w:val="00AE3AC5"/>
    <w:rsid w:val="00AE3F56"/>
    <w:rsid w:val="00AE4371"/>
    <w:rsid w:val="00AE4AC7"/>
    <w:rsid w:val="00AE5160"/>
    <w:rsid w:val="00AE55EA"/>
    <w:rsid w:val="00AE562C"/>
    <w:rsid w:val="00AE571F"/>
    <w:rsid w:val="00AE68CA"/>
    <w:rsid w:val="00AE6962"/>
    <w:rsid w:val="00AE6FA2"/>
    <w:rsid w:val="00AE728B"/>
    <w:rsid w:val="00AE745D"/>
    <w:rsid w:val="00AE7818"/>
    <w:rsid w:val="00AE7855"/>
    <w:rsid w:val="00AE7B0D"/>
    <w:rsid w:val="00AE7EB8"/>
    <w:rsid w:val="00AF0670"/>
    <w:rsid w:val="00AF0971"/>
    <w:rsid w:val="00AF15D7"/>
    <w:rsid w:val="00AF1B22"/>
    <w:rsid w:val="00AF1E3F"/>
    <w:rsid w:val="00AF2639"/>
    <w:rsid w:val="00AF2DE1"/>
    <w:rsid w:val="00AF2F0F"/>
    <w:rsid w:val="00AF3185"/>
    <w:rsid w:val="00AF3255"/>
    <w:rsid w:val="00AF35A0"/>
    <w:rsid w:val="00AF3643"/>
    <w:rsid w:val="00AF3D8B"/>
    <w:rsid w:val="00AF420D"/>
    <w:rsid w:val="00AF425F"/>
    <w:rsid w:val="00AF436C"/>
    <w:rsid w:val="00AF4748"/>
    <w:rsid w:val="00AF4790"/>
    <w:rsid w:val="00AF4B7D"/>
    <w:rsid w:val="00AF4BEC"/>
    <w:rsid w:val="00AF4D88"/>
    <w:rsid w:val="00AF5055"/>
    <w:rsid w:val="00AF5B5A"/>
    <w:rsid w:val="00AF67BF"/>
    <w:rsid w:val="00AF6850"/>
    <w:rsid w:val="00AF70FA"/>
    <w:rsid w:val="00AF71A4"/>
    <w:rsid w:val="00AF7683"/>
    <w:rsid w:val="00AF7A45"/>
    <w:rsid w:val="00AF7EDA"/>
    <w:rsid w:val="00AF7F11"/>
    <w:rsid w:val="00B0024B"/>
    <w:rsid w:val="00B00416"/>
    <w:rsid w:val="00B004F2"/>
    <w:rsid w:val="00B01F61"/>
    <w:rsid w:val="00B029C1"/>
    <w:rsid w:val="00B02AF7"/>
    <w:rsid w:val="00B02ED8"/>
    <w:rsid w:val="00B02FCE"/>
    <w:rsid w:val="00B034DB"/>
    <w:rsid w:val="00B03BEB"/>
    <w:rsid w:val="00B040A2"/>
    <w:rsid w:val="00B0419D"/>
    <w:rsid w:val="00B048FC"/>
    <w:rsid w:val="00B04F55"/>
    <w:rsid w:val="00B04FEC"/>
    <w:rsid w:val="00B055D6"/>
    <w:rsid w:val="00B05626"/>
    <w:rsid w:val="00B05E3B"/>
    <w:rsid w:val="00B05F22"/>
    <w:rsid w:val="00B0602E"/>
    <w:rsid w:val="00B060DA"/>
    <w:rsid w:val="00B06243"/>
    <w:rsid w:val="00B06393"/>
    <w:rsid w:val="00B0641E"/>
    <w:rsid w:val="00B06739"/>
    <w:rsid w:val="00B068A9"/>
    <w:rsid w:val="00B07815"/>
    <w:rsid w:val="00B07991"/>
    <w:rsid w:val="00B07EBF"/>
    <w:rsid w:val="00B07EF4"/>
    <w:rsid w:val="00B10154"/>
    <w:rsid w:val="00B107C1"/>
    <w:rsid w:val="00B1088D"/>
    <w:rsid w:val="00B10D4A"/>
    <w:rsid w:val="00B11018"/>
    <w:rsid w:val="00B115F7"/>
    <w:rsid w:val="00B11662"/>
    <w:rsid w:val="00B118F3"/>
    <w:rsid w:val="00B11B97"/>
    <w:rsid w:val="00B11BF1"/>
    <w:rsid w:val="00B11EB8"/>
    <w:rsid w:val="00B12213"/>
    <w:rsid w:val="00B128B9"/>
    <w:rsid w:val="00B12ECC"/>
    <w:rsid w:val="00B13163"/>
    <w:rsid w:val="00B131C8"/>
    <w:rsid w:val="00B13651"/>
    <w:rsid w:val="00B13A77"/>
    <w:rsid w:val="00B13F8E"/>
    <w:rsid w:val="00B14D2B"/>
    <w:rsid w:val="00B151FE"/>
    <w:rsid w:val="00B15E79"/>
    <w:rsid w:val="00B15F42"/>
    <w:rsid w:val="00B15F7D"/>
    <w:rsid w:val="00B17073"/>
    <w:rsid w:val="00B1757F"/>
    <w:rsid w:val="00B17626"/>
    <w:rsid w:val="00B17792"/>
    <w:rsid w:val="00B17D4B"/>
    <w:rsid w:val="00B201FE"/>
    <w:rsid w:val="00B21307"/>
    <w:rsid w:val="00B213A5"/>
    <w:rsid w:val="00B219E9"/>
    <w:rsid w:val="00B2292D"/>
    <w:rsid w:val="00B22A9F"/>
    <w:rsid w:val="00B22C3C"/>
    <w:rsid w:val="00B22C6B"/>
    <w:rsid w:val="00B22F39"/>
    <w:rsid w:val="00B2322B"/>
    <w:rsid w:val="00B23429"/>
    <w:rsid w:val="00B23574"/>
    <w:rsid w:val="00B23997"/>
    <w:rsid w:val="00B2402C"/>
    <w:rsid w:val="00B24FA2"/>
    <w:rsid w:val="00B25448"/>
    <w:rsid w:val="00B2557E"/>
    <w:rsid w:val="00B256DC"/>
    <w:rsid w:val="00B25800"/>
    <w:rsid w:val="00B25A7D"/>
    <w:rsid w:val="00B25DC1"/>
    <w:rsid w:val="00B25EC5"/>
    <w:rsid w:val="00B26513"/>
    <w:rsid w:val="00B2699C"/>
    <w:rsid w:val="00B26B23"/>
    <w:rsid w:val="00B26E19"/>
    <w:rsid w:val="00B26EEB"/>
    <w:rsid w:val="00B275F5"/>
    <w:rsid w:val="00B27CE0"/>
    <w:rsid w:val="00B27D69"/>
    <w:rsid w:val="00B30280"/>
    <w:rsid w:val="00B306F2"/>
    <w:rsid w:val="00B30760"/>
    <w:rsid w:val="00B310ED"/>
    <w:rsid w:val="00B313F0"/>
    <w:rsid w:val="00B313F3"/>
    <w:rsid w:val="00B31520"/>
    <w:rsid w:val="00B31681"/>
    <w:rsid w:val="00B319E4"/>
    <w:rsid w:val="00B31B0B"/>
    <w:rsid w:val="00B32460"/>
    <w:rsid w:val="00B32A74"/>
    <w:rsid w:val="00B32CEE"/>
    <w:rsid w:val="00B3354D"/>
    <w:rsid w:val="00B33ACE"/>
    <w:rsid w:val="00B33BAC"/>
    <w:rsid w:val="00B33D23"/>
    <w:rsid w:val="00B33E87"/>
    <w:rsid w:val="00B3415F"/>
    <w:rsid w:val="00B34307"/>
    <w:rsid w:val="00B34755"/>
    <w:rsid w:val="00B34C4B"/>
    <w:rsid w:val="00B34EE7"/>
    <w:rsid w:val="00B35364"/>
    <w:rsid w:val="00B356C0"/>
    <w:rsid w:val="00B35DD5"/>
    <w:rsid w:val="00B3610F"/>
    <w:rsid w:val="00B36968"/>
    <w:rsid w:val="00B36AA1"/>
    <w:rsid w:val="00B36DEF"/>
    <w:rsid w:val="00B37871"/>
    <w:rsid w:val="00B37977"/>
    <w:rsid w:val="00B37ADE"/>
    <w:rsid w:val="00B40175"/>
    <w:rsid w:val="00B405A7"/>
    <w:rsid w:val="00B410CE"/>
    <w:rsid w:val="00B415DE"/>
    <w:rsid w:val="00B41B10"/>
    <w:rsid w:val="00B42AFC"/>
    <w:rsid w:val="00B43019"/>
    <w:rsid w:val="00B4325D"/>
    <w:rsid w:val="00B4378E"/>
    <w:rsid w:val="00B43CD2"/>
    <w:rsid w:val="00B4471C"/>
    <w:rsid w:val="00B44EA6"/>
    <w:rsid w:val="00B4512C"/>
    <w:rsid w:val="00B451E2"/>
    <w:rsid w:val="00B45AEE"/>
    <w:rsid w:val="00B45C97"/>
    <w:rsid w:val="00B45FAA"/>
    <w:rsid w:val="00B465DF"/>
    <w:rsid w:val="00B4691D"/>
    <w:rsid w:val="00B46A48"/>
    <w:rsid w:val="00B500DA"/>
    <w:rsid w:val="00B502B8"/>
    <w:rsid w:val="00B5084F"/>
    <w:rsid w:val="00B50ED0"/>
    <w:rsid w:val="00B5146C"/>
    <w:rsid w:val="00B514E7"/>
    <w:rsid w:val="00B51810"/>
    <w:rsid w:val="00B51B28"/>
    <w:rsid w:val="00B51B31"/>
    <w:rsid w:val="00B51B95"/>
    <w:rsid w:val="00B51F64"/>
    <w:rsid w:val="00B52158"/>
    <w:rsid w:val="00B52CDA"/>
    <w:rsid w:val="00B52D4A"/>
    <w:rsid w:val="00B52FB0"/>
    <w:rsid w:val="00B5414C"/>
    <w:rsid w:val="00B54574"/>
    <w:rsid w:val="00B54606"/>
    <w:rsid w:val="00B54B78"/>
    <w:rsid w:val="00B54E5D"/>
    <w:rsid w:val="00B555FF"/>
    <w:rsid w:val="00B55F04"/>
    <w:rsid w:val="00B56AD8"/>
    <w:rsid w:val="00B56D20"/>
    <w:rsid w:val="00B56F18"/>
    <w:rsid w:val="00B56FBE"/>
    <w:rsid w:val="00B57313"/>
    <w:rsid w:val="00B575B6"/>
    <w:rsid w:val="00B577AE"/>
    <w:rsid w:val="00B57B76"/>
    <w:rsid w:val="00B57C5E"/>
    <w:rsid w:val="00B603C9"/>
    <w:rsid w:val="00B61D15"/>
    <w:rsid w:val="00B61F5E"/>
    <w:rsid w:val="00B6233C"/>
    <w:rsid w:val="00B628D7"/>
    <w:rsid w:val="00B62B53"/>
    <w:rsid w:val="00B62C7B"/>
    <w:rsid w:val="00B630DD"/>
    <w:rsid w:val="00B6384F"/>
    <w:rsid w:val="00B64250"/>
    <w:rsid w:val="00B64BCB"/>
    <w:rsid w:val="00B64F3F"/>
    <w:rsid w:val="00B650B9"/>
    <w:rsid w:val="00B6523F"/>
    <w:rsid w:val="00B65282"/>
    <w:rsid w:val="00B656F7"/>
    <w:rsid w:val="00B657B0"/>
    <w:rsid w:val="00B65892"/>
    <w:rsid w:val="00B65A15"/>
    <w:rsid w:val="00B65E6C"/>
    <w:rsid w:val="00B66125"/>
    <w:rsid w:val="00B666D6"/>
    <w:rsid w:val="00B66E56"/>
    <w:rsid w:val="00B67068"/>
    <w:rsid w:val="00B671D3"/>
    <w:rsid w:val="00B671EF"/>
    <w:rsid w:val="00B67CE4"/>
    <w:rsid w:val="00B701A7"/>
    <w:rsid w:val="00B70395"/>
    <w:rsid w:val="00B71064"/>
    <w:rsid w:val="00B71174"/>
    <w:rsid w:val="00B717E3"/>
    <w:rsid w:val="00B72019"/>
    <w:rsid w:val="00B72251"/>
    <w:rsid w:val="00B72293"/>
    <w:rsid w:val="00B722AB"/>
    <w:rsid w:val="00B72A2C"/>
    <w:rsid w:val="00B72E13"/>
    <w:rsid w:val="00B73040"/>
    <w:rsid w:val="00B73043"/>
    <w:rsid w:val="00B73344"/>
    <w:rsid w:val="00B73C60"/>
    <w:rsid w:val="00B73F2D"/>
    <w:rsid w:val="00B74483"/>
    <w:rsid w:val="00B7592B"/>
    <w:rsid w:val="00B75ADD"/>
    <w:rsid w:val="00B75D50"/>
    <w:rsid w:val="00B75F47"/>
    <w:rsid w:val="00B760DC"/>
    <w:rsid w:val="00B76235"/>
    <w:rsid w:val="00B76301"/>
    <w:rsid w:val="00B764CE"/>
    <w:rsid w:val="00B765F3"/>
    <w:rsid w:val="00B76907"/>
    <w:rsid w:val="00B7770F"/>
    <w:rsid w:val="00B778AA"/>
    <w:rsid w:val="00B77F3A"/>
    <w:rsid w:val="00B8094C"/>
    <w:rsid w:val="00B80C5B"/>
    <w:rsid w:val="00B8191F"/>
    <w:rsid w:val="00B81AB3"/>
    <w:rsid w:val="00B81B26"/>
    <w:rsid w:val="00B81B78"/>
    <w:rsid w:val="00B824F9"/>
    <w:rsid w:val="00B8273F"/>
    <w:rsid w:val="00B8275A"/>
    <w:rsid w:val="00B83149"/>
    <w:rsid w:val="00B83290"/>
    <w:rsid w:val="00B837AF"/>
    <w:rsid w:val="00B845A3"/>
    <w:rsid w:val="00B84C36"/>
    <w:rsid w:val="00B866E5"/>
    <w:rsid w:val="00B86AEB"/>
    <w:rsid w:val="00B873B0"/>
    <w:rsid w:val="00B901F4"/>
    <w:rsid w:val="00B90446"/>
    <w:rsid w:val="00B9049D"/>
    <w:rsid w:val="00B904C8"/>
    <w:rsid w:val="00B90549"/>
    <w:rsid w:val="00B90966"/>
    <w:rsid w:val="00B90A3A"/>
    <w:rsid w:val="00B90D73"/>
    <w:rsid w:val="00B90F7F"/>
    <w:rsid w:val="00B91419"/>
    <w:rsid w:val="00B91769"/>
    <w:rsid w:val="00B91942"/>
    <w:rsid w:val="00B91959"/>
    <w:rsid w:val="00B91BFB"/>
    <w:rsid w:val="00B91CBD"/>
    <w:rsid w:val="00B92159"/>
    <w:rsid w:val="00B926D3"/>
    <w:rsid w:val="00B92DA0"/>
    <w:rsid w:val="00B930FE"/>
    <w:rsid w:val="00B932EB"/>
    <w:rsid w:val="00B93332"/>
    <w:rsid w:val="00B9358D"/>
    <w:rsid w:val="00B94755"/>
    <w:rsid w:val="00B94B44"/>
    <w:rsid w:val="00B94DA4"/>
    <w:rsid w:val="00B94FE9"/>
    <w:rsid w:val="00B95058"/>
    <w:rsid w:val="00B953ED"/>
    <w:rsid w:val="00B95A03"/>
    <w:rsid w:val="00B95CEE"/>
    <w:rsid w:val="00B95D5D"/>
    <w:rsid w:val="00B96223"/>
    <w:rsid w:val="00B96978"/>
    <w:rsid w:val="00B96DDA"/>
    <w:rsid w:val="00B96F22"/>
    <w:rsid w:val="00B971D5"/>
    <w:rsid w:val="00B97328"/>
    <w:rsid w:val="00B978B1"/>
    <w:rsid w:val="00B97F56"/>
    <w:rsid w:val="00BA081B"/>
    <w:rsid w:val="00BA1D42"/>
    <w:rsid w:val="00BA2599"/>
    <w:rsid w:val="00BA288F"/>
    <w:rsid w:val="00BA339D"/>
    <w:rsid w:val="00BA3963"/>
    <w:rsid w:val="00BA4426"/>
    <w:rsid w:val="00BA5033"/>
    <w:rsid w:val="00BA50A2"/>
    <w:rsid w:val="00BA56EE"/>
    <w:rsid w:val="00BA5DB6"/>
    <w:rsid w:val="00BA5F9A"/>
    <w:rsid w:val="00BA5FB7"/>
    <w:rsid w:val="00BA620D"/>
    <w:rsid w:val="00BA6462"/>
    <w:rsid w:val="00BA6907"/>
    <w:rsid w:val="00BA6EC3"/>
    <w:rsid w:val="00BA7849"/>
    <w:rsid w:val="00BB00FA"/>
    <w:rsid w:val="00BB0268"/>
    <w:rsid w:val="00BB0A39"/>
    <w:rsid w:val="00BB1522"/>
    <w:rsid w:val="00BB1604"/>
    <w:rsid w:val="00BB1684"/>
    <w:rsid w:val="00BB1812"/>
    <w:rsid w:val="00BB21A5"/>
    <w:rsid w:val="00BB252D"/>
    <w:rsid w:val="00BB2629"/>
    <w:rsid w:val="00BB318F"/>
    <w:rsid w:val="00BB398F"/>
    <w:rsid w:val="00BB3A44"/>
    <w:rsid w:val="00BB3A71"/>
    <w:rsid w:val="00BB3C33"/>
    <w:rsid w:val="00BB3CAD"/>
    <w:rsid w:val="00BB3D14"/>
    <w:rsid w:val="00BB4917"/>
    <w:rsid w:val="00BB567C"/>
    <w:rsid w:val="00BB572B"/>
    <w:rsid w:val="00BB5EE6"/>
    <w:rsid w:val="00BB5FFB"/>
    <w:rsid w:val="00BB6468"/>
    <w:rsid w:val="00BB6472"/>
    <w:rsid w:val="00BB68F2"/>
    <w:rsid w:val="00BB6989"/>
    <w:rsid w:val="00BB6B20"/>
    <w:rsid w:val="00BB765B"/>
    <w:rsid w:val="00BB77A3"/>
    <w:rsid w:val="00BB7820"/>
    <w:rsid w:val="00BB7BEF"/>
    <w:rsid w:val="00BB7ED8"/>
    <w:rsid w:val="00BB7FAC"/>
    <w:rsid w:val="00BC05C8"/>
    <w:rsid w:val="00BC0C54"/>
    <w:rsid w:val="00BC0D9C"/>
    <w:rsid w:val="00BC0EC6"/>
    <w:rsid w:val="00BC17ED"/>
    <w:rsid w:val="00BC2016"/>
    <w:rsid w:val="00BC2189"/>
    <w:rsid w:val="00BC2377"/>
    <w:rsid w:val="00BC24E0"/>
    <w:rsid w:val="00BC258D"/>
    <w:rsid w:val="00BC2612"/>
    <w:rsid w:val="00BC2FF7"/>
    <w:rsid w:val="00BC34F3"/>
    <w:rsid w:val="00BC3ACA"/>
    <w:rsid w:val="00BC3E76"/>
    <w:rsid w:val="00BC41EA"/>
    <w:rsid w:val="00BC55C0"/>
    <w:rsid w:val="00BC568A"/>
    <w:rsid w:val="00BC5B5C"/>
    <w:rsid w:val="00BC60F0"/>
    <w:rsid w:val="00BC621A"/>
    <w:rsid w:val="00BC64AC"/>
    <w:rsid w:val="00BC64D4"/>
    <w:rsid w:val="00BC6565"/>
    <w:rsid w:val="00BC6AFD"/>
    <w:rsid w:val="00BC7116"/>
    <w:rsid w:val="00BC77D8"/>
    <w:rsid w:val="00BD03C9"/>
    <w:rsid w:val="00BD0433"/>
    <w:rsid w:val="00BD0D08"/>
    <w:rsid w:val="00BD182F"/>
    <w:rsid w:val="00BD1C70"/>
    <w:rsid w:val="00BD1DBF"/>
    <w:rsid w:val="00BD1E16"/>
    <w:rsid w:val="00BD20BD"/>
    <w:rsid w:val="00BD2709"/>
    <w:rsid w:val="00BD279B"/>
    <w:rsid w:val="00BD2B56"/>
    <w:rsid w:val="00BD2D37"/>
    <w:rsid w:val="00BD2D7D"/>
    <w:rsid w:val="00BD3A62"/>
    <w:rsid w:val="00BD3DF1"/>
    <w:rsid w:val="00BD488E"/>
    <w:rsid w:val="00BD4932"/>
    <w:rsid w:val="00BD51E5"/>
    <w:rsid w:val="00BD524C"/>
    <w:rsid w:val="00BD56C4"/>
    <w:rsid w:val="00BD5715"/>
    <w:rsid w:val="00BD593E"/>
    <w:rsid w:val="00BD5E85"/>
    <w:rsid w:val="00BD6BBF"/>
    <w:rsid w:val="00BD733F"/>
    <w:rsid w:val="00BD73CF"/>
    <w:rsid w:val="00BD7A2C"/>
    <w:rsid w:val="00BD7CFA"/>
    <w:rsid w:val="00BE0108"/>
    <w:rsid w:val="00BE0318"/>
    <w:rsid w:val="00BE06AF"/>
    <w:rsid w:val="00BE13EA"/>
    <w:rsid w:val="00BE13F9"/>
    <w:rsid w:val="00BE2007"/>
    <w:rsid w:val="00BE2406"/>
    <w:rsid w:val="00BE27B0"/>
    <w:rsid w:val="00BE2A55"/>
    <w:rsid w:val="00BE3884"/>
    <w:rsid w:val="00BE4103"/>
    <w:rsid w:val="00BE4423"/>
    <w:rsid w:val="00BE4A52"/>
    <w:rsid w:val="00BE4DC2"/>
    <w:rsid w:val="00BE4E52"/>
    <w:rsid w:val="00BE503D"/>
    <w:rsid w:val="00BE582A"/>
    <w:rsid w:val="00BE5BA9"/>
    <w:rsid w:val="00BE5F64"/>
    <w:rsid w:val="00BE610F"/>
    <w:rsid w:val="00BE62B1"/>
    <w:rsid w:val="00BE6786"/>
    <w:rsid w:val="00BE67AD"/>
    <w:rsid w:val="00BE7289"/>
    <w:rsid w:val="00BE7499"/>
    <w:rsid w:val="00BE7CCA"/>
    <w:rsid w:val="00BE7F82"/>
    <w:rsid w:val="00BE7FAA"/>
    <w:rsid w:val="00BF03E1"/>
    <w:rsid w:val="00BF0590"/>
    <w:rsid w:val="00BF05B4"/>
    <w:rsid w:val="00BF05CA"/>
    <w:rsid w:val="00BF086D"/>
    <w:rsid w:val="00BF1566"/>
    <w:rsid w:val="00BF15D6"/>
    <w:rsid w:val="00BF1DDE"/>
    <w:rsid w:val="00BF1E35"/>
    <w:rsid w:val="00BF220A"/>
    <w:rsid w:val="00BF35CB"/>
    <w:rsid w:val="00BF3623"/>
    <w:rsid w:val="00BF37AE"/>
    <w:rsid w:val="00BF389F"/>
    <w:rsid w:val="00BF3D09"/>
    <w:rsid w:val="00BF41B8"/>
    <w:rsid w:val="00BF42E1"/>
    <w:rsid w:val="00BF43DC"/>
    <w:rsid w:val="00BF4463"/>
    <w:rsid w:val="00BF598C"/>
    <w:rsid w:val="00BF5C0E"/>
    <w:rsid w:val="00BF5C20"/>
    <w:rsid w:val="00BF78D5"/>
    <w:rsid w:val="00C001B0"/>
    <w:rsid w:val="00C0027F"/>
    <w:rsid w:val="00C005D7"/>
    <w:rsid w:val="00C00627"/>
    <w:rsid w:val="00C00657"/>
    <w:rsid w:val="00C01309"/>
    <w:rsid w:val="00C01975"/>
    <w:rsid w:val="00C01A8F"/>
    <w:rsid w:val="00C01CF5"/>
    <w:rsid w:val="00C01E58"/>
    <w:rsid w:val="00C02177"/>
    <w:rsid w:val="00C02B6B"/>
    <w:rsid w:val="00C03612"/>
    <w:rsid w:val="00C036C4"/>
    <w:rsid w:val="00C03932"/>
    <w:rsid w:val="00C03D17"/>
    <w:rsid w:val="00C03DC0"/>
    <w:rsid w:val="00C03EF2"/>
    <w:rsid w:val="00C03F3E"/>
    <w:rsid w:val="00C044C4"/>
    <w:rsid w:val="00C048C4"/>
    <w:rsid w:val="00C04CF1"/>
    <w:rsid w:val="00C050B7"/>
    <w:rsid w:val="00C059D0"/>
    <w:rsid w:val="00C061AA"/>
    <w:rsid w:val="00C06440"/>
    <w:rsid w:val="00C069BE"/>
    <w:rsid w:val="00C06F3B"/>
    <w:rsid w:val="00C07287"/>
    <w:rsid w:val="00C0745F"/>
    <w:rsid w:val="00C07978"/>
    <w:rsid w:val="00C07C54"/>
    <w:rsid w:val="00C07E01"/>
    <w:rsid w:val="00C1040A"/>
    <w:rsid w:val="00C109D6"/>
    <w:rsid w:val="00C10AE8"/>
    <w:rsid w:val="00C10B3D"/>
    <w:rsid w:val="00C10BE8"/>
    <w:rsid w:val="00C110A7"/>
    <w:rsid w:val="00C11EC9"/>
    <w:rsid w:val="00C11FB5"/>
    <w:rsid w:val="00C1210A"/>
    <w:rsid w:val="00C12157"/>
    <w:rsid w:val="00C127EC"/>
    <w:rsid w:val="00C131F4"/>
    <w:rsid w:val="00C133E3"/>
    <w:rsid w:val="00C1348B"/>
    <w:rsid w:val="00C13B83"/>
    <w:rsid w:val="00C140E3"/>
    <w:rsid w:val="00C1509C"/>
    <w:rsid w:val="00C15BDE"/>
    <w:rsid w:val="00C15E5F"/>
    <w:rsid w:val="00C15E90"/>
    <w:rsid w:val="00C15FAC"/>
    <w:rsid w:val="00C16078"/>
    <w:rsid w:val="00C1612F"/>
    <w:rsid w:val="00C16815"/>
    <w:rsid w:val="00C16BE1"/>
    <w:rsid w:val="00C17D90"/>
    <w:rsid w:val="00C20286"/>
    <w:rsid w:val="00C204E9"/>
    <w:rsid w:val="00C21478"/>
    <w:rsid w:val="00C21920"/>
    <w:rsid w:val="00C21F99"/>
    <w:rsid w:val="00C21FE9"/>
    <w:rsid w:val="00C22779"/>
    <w:rsid w:val="00C22A4C"/>
    <w:rsid w:val="00C233A8"/>
    <w:rsid w:val="00C2356A"/>
    <w:rsid w:val="00C23622"/>
    <w:rsid w:val="00C23B43"/>
    <w:rsid w:val="00C23BCB"/>
    <w:rsid w:val="00C23DD2"/>
    <w:rsid w:val="00C242BA"/>
    <w:rsid w:val="00C24770"/>
    <w:rsid w:val="00C24932"/>
    <w:rsid w:val="00C24A33"/>
    <w:rsid w:val="00C25423"/>
    <w:rsid w:val="00C25DB7"/>
    <w:rsid w:val="00C26121"/>
    <w:rsid w:val="00C2667E"/>
    <w:rsid w:val="00C26EEC"/>
    <w:rsid w:val="00C27166"/>
    <w:rsid w:val="00C271A3"/>
    <w:rsid w:val="00C27266"/>
    <w:rsid w:val="00C2756B"/>
    <w:rsid w:val="00C30005"/>
    <w:rsid w:val="00C30945"/>
    <w:rsid w:val="00C30C95"/>
    <w:rsid w:val="00C31007"/>
    <w:rsid w:val="00C3106B"/>
    <w:rsid w:val="00C3115B"/>
    <w:rsid w:val="00C314E5"/>
    <w:rsid w:val="00C317ED"/>
    <w:rsid w:val="00C31AEC"/>
    <w:rsid w:val="00C31B91"/>
    <w:rsid w:val="00C3248D"/>
    <w:rsid w:val="00C32611"/>
    <w:rsid w:val="00C32721"/>
    <w:rsid w:val="00C328C8"/>
    <w:rsid w:val="00C32ECC"/>
    <w:rsid w:val="00C33430"/>
    <w:rsid w:val="00C334AF"/>
    <w:rsid w:val="00C334EB"/>
    <w:rsid w:val="00C337B2"/>
    <w:rsid w:val="00C3382A"/>
    <w:rsid w:val="00C33C0C"/>
    <w:rsid w:val="00C33E51"/>
    <w:rsid w:val="00C340B3"/>
    <w:rsid w:val="00C342B4"/>
    <w:rsid w:val="00C344D5"/>
    <w:rsid w:val="00C344E2"/>
    <w:rsid w:val="00C347AF"/>
    <w:rsid w:val="00C3481D"/>
    <w:rsid w:val="00C34BEB"/>
    <w:rsid w:val="00C35044"/>
    <w:rsid w:val="00C35A07"/>
    <w:rsid w:val="00C35C17"/>
    <w:rsid w:val="00C35E4A"/>
    <w:rsid w:val="00C36226"/>
    <w:rsid w:val="00C36276"/>
    <w:rsid w:val="00C3734E"/>
    <w:rsid w:val="00C37CF9"/>
    <w:rsid w:val="00C37F9B"/>
    <w:rsid w:val="00C37FC4"/>
    <w:rsid w:val="00C410CA"/>
    <w:rsid w:val="00C41766"/>
    <w:rsid w:val="00C41781"/>
    <w:rsid w:val="00C4187C"/>
    <w:rsid w:val="00C41C57"/>
    <w:rsid w:val="00C42173"/>
    <w:rsid w:val="00C4384B"/>
    <w:rsid w:val="00C438EC"/>
    <w:rsid w:val="00C4395B"/>
    <w:rsid w:val="00C43974"/>
    <w:rsid w:val="00C449B9"/>
    <w:rsid w:val="00C45507"/>
    <w:rsid w:val="00C4589C"/>
    <w:rsid w:val="00C45B32"/>
    <w:rsid w:val="00C45B61"/>
    <w:rsid w:val="00C45E7E"/>
    <w:rsid w:val="00C45F07"/>
    <w:rsid w:val="00C45F68"/>
    <w:rsid w:val="00C46B05"/>
    <w:rsid w:val="00C47017"/>
    <w:rsid w:val="00C47049"/>
    <w:rsid w:val="00C471D6"/>
    <w:rsid w:val="00C471EC"/>
    <w:rsid w:val="00C47248"/>
    <w:rsid w:val="00C4736C"/>
    <w:rsid w:val="00C47462"/>
    <w:rsid w:val="00C4769E"/>
    <w:rsid w:val="00C47787"/>
    <w:rsid w:val="00C478E5"/>
    <w:rsid w:val="00C47B13"/>
    <w:rsid w:val="00C47B54"/>
    <w:rsid w:val="00C47F86"/>
    <w:rsid w:val="00C50860"/>
    <w:rsid w:val="00C50990"/>
    <w:rsid w:val="00C50AE7"/>
    <w:rsid w:val="00C51119"/>
    <w:rsid w:val="00C51511"/>
    <w:rsid w:val="00C518F4"/>
    <w:rsid w:val="00C51AA9"/>
    <w:rsid w:val="00C526B2"/>
    <w:rsid w:val="00C52A23"/>
    <w:rsid w:val="00C531FB"/>
    <w:rsid w:val="00C5321C"/>
    <w:rsid w:val="00C53239"/>
    <w:rsid w:val="00C532F1"/>
    <w:rsid w:val="00C534B7"/>
    <w:rsid w:val="00C53DE7"/>
    <w:rsid w:val="00C53EFF"/>
    <w:rsid w:val="00C54384"/>
    <w:rsid w:val="00C54900"/>
    <w:rsid w:val="00C54BE3"/>
    <w:rsid w:val="00C54D80"/>
    <w:rsid w:val="00C550A2"/>
    <w:rsid w:val="00C55303"/>
    <w:rsid w:val="00C55559"/>
    <w:rsid w:val="00C55A16"/>
    <w:rsid w:val="00C56400"/>
    <w:rsid w:val="00C566EB"/>
    <w:rsid w:val="00C56FAC"/>
    <w:rsid w:val="00C57303"/>
    <w:rsid w:val="00C573E2"/>
    <w:rsid w:val="00C57649"/>
    <w:rsid w:val="00C57840"/>
    <w:rsid w:val="00C57A4C"/>
    <w:rsid w:val="00C60527"/>
    <w:rsid w:val="00C6079B"/>
    <w:rsid w:val="00C619DD"/>
    <w:rsid w:val="00C637DE"/>
    <w:rsid w:val="00C63E54"/>
    <w:rsid w:val="00C64EAB"/>
    <w:rsid w:val="00C658BD"/>
    <w:rsid w:val="00C65D06"/>
    <w:rsid w:val="00C65DE4"/>
    <w:rsid w:val="00C65E80"/>
    <w:rsid w:val="00C667C9"/>
    <w:rsid w:val="00C66A52"/>
    <w:rsid w:val="00C66FDB"/>
    <w:rsid w:val="00C67647"/>
    <w:rsid w:val="00C6781C"/>
    <w:rsid w:val="00C67CD6"/>
    <w:rsid w:val="00C703DA"/>
    <w:rsid w:val="00C7187B"/>
    <w:rsid w:val="00C71B77"/>
    <w:rsid w:val="00C71BD8"/>
    <w:rsid w:val="00C71C8F"/>
    <w:rsid w:val="00C71CCE"/>
    <w:rsid w:val="00C71EEE"/>
    <w:rsid w:val="00C724C6"/>
    <w:rsid w:val="00C72808"/>
    <w:rsid w:val="00C729DC"/>
    <w:rsid w:val="00C72BC5"/>
    <w:rsid w:val="00C7372B"/>
    <w:rsid w:val="00C73BF7"/>
    <w:rsid w:val="00C7439E"/>
    <w:rsid w:val="00C74605"/>
    <w:rsid w:val="00C74DD8"/>
    <w:rsid w:val="00C754CA"/>
    <w:rsid w:val="00C75C9C"/>
    <w:rsid w:val="00C76360"/>
    <w:rsid w:val="00C7671A"/>
    <w:rsid w:val="00C769E0"/>
    <w:rsid w:val="00C7770F"/>
    <w:rsid w:val="00C802B0"/>
    <w:rsid w:val="00C80668"/>
    <w:rsid w:val="00C8089A"/>
    <w:rsid w:val="00C80EF4"/>
    <w:rsid w:val="00C8155B"/>
    <w:rsid w:val="00C8188C"/>
    <w:rsid w:val="00C8191A"/>
    <w:rsid w:val="00C819D8"/>
    <w:rsid w:val="00C8251C"/>
    <w:rsid w:val="00C82789"/>
    <w:rsid w:val="00C8283C"/>
    <w:rsid w:val="00C82A58"/>
    <w:rsid w:val="00C82BB6"/>
    <w:rsid w:val="00C8303A"/>
    <w:rsid w:val="00C8362D"/>
    <w:rsid w:val="00C83742"/>
    <w:rsid w:val="00C83874"/>
    <w:rsid w:val="00C83B7F"/>
    <w:rsid w:val="00C84200"/>
    <w:rsid w:val="00C8484F"/>
    <w:rsid w:val="00C8493B"/>
    <w:rsid w:val="00C849A3"/>
    <w:rsid w:val="00C8555E"/>
    <w:rsid w:val="00C85F86"/>
    <w:rsid w:val="00C866F4"/>
    <w:rsid w:val="00C86866"/>
    <w:rsid w:val="00C86AB0"/>
    <w:rsid w:val="00C86B59"/>
    <w:rsid w:val="00C870A7"/>
    <w:rsid w:val="00C873C8"/>
    <w:rsid w:val="00C87A4F"/>
    <w:rsid w:val="00C87D6D"/>
    <w:rsid w:val="00C87F08"/>
    <w:rsid w:val="00C90D31"/>
    <w:rsid w:val="00C90E82"/>
    <w:rsid w:val="00C9155B"/>
    <w:rsid w:val="00C91582"/>
    <w:rsid w:val="00C91B51"/>
    <w:rsid w:val="00C92106"/>
    <w:rsid w:val="00C93B6A"/>
    <w:rsid w:val="00C93FA2"/>
    <w:rsid w:val="00C941F2"/>
    <w:rsid w:val="00C94649"/>
    <w:rsid w:val="00C949CC"/>
    <w:rsid w:val="00C94FC0"/>
    <w:rsid w:val="00C95751"/>
    <w:rsid w:val="00C964F1"/>
    <w:rsid w:val="00C966C7"/>
    <w:rsid w:val="00C974DF"/>
    <w:rsid w:val="00C97A07"/>
    <w:rsid w:val="00C97A2A"/>
    <w:rsid w:val="00C97ACD"/>
    <w:rsid w:val="00C97C28"/>
    <w:rsid w:val="00C97D0A"/>
    <w:rsid w:val="00CA053D"/>
    <w:rsid w:val="00CA05F5"/>
    <w:rsid w:val="00CA1637"/>
    <w:rsid w:val="00CA1C0E"/>
    <w:rsid w:val="00CA1F20"/>
    <w:rsid w:val="00CA21D8"/>
    <w:rsid w:val="00CA2639"/>
    <w:rsid w:val="00CA282F"/>
    <w:rsid w:val="00CA28A3"/>
    <w:rsid w:val="00CA3006"/>
    <w:rsid w:val="00CA36C8"/>
    <w:rsid w:val="00CA3A59"/>
    <w:rsid w:val="00CA3F6C"/>
    <w:rsid w:val="00CA4795"/>
    <w:rsid w:val="00CA4B53"/>
    <w:rsid w:val="00CA5148"/>
    <w:rsid w:val="00CA53AE"/>
    <w:rsid w:val="00CA5F8C"/>
    <w:rsid w:val="00CA5FE7"/>
    <w:rsid w:val="00CA65F1"/>
    <w:rsid w:val="00CA6E25"/>
    <w:rsid w:val="00CA72D1"/>
    <w:rsid w:val="00CA76C7"/>
    <w:rsid w:val="00CA7CE2"/>
    <w:rsid w:val="00CB0915"/>
    <w:rsid w:val="00CB0B0A"/>
    <w:rsid w:val="00CB0F64"/>
    <w:rsid w:val="00CB1321"/>
    <w:rsid w:val="00CB13CB"/>
    <w:rsid w:val="00CB1554"/>
    <w:rsid w:val="00CB1AA3"/>
    <w:rsid w:val="00CB1D9B"/>
    <w:rsid w:val="00CB2357"/>
    <w:rsid w:val="00CB28ED"/>
    <w:rsid w:val="00CB304E"/>
    <w:rsid w:val="00CB3387"/>
    <w:rsid w:val="00CB343A"/>
    <w:rsid w:val="00CB3517"/>
    <w:rsid w:val="00CB3957"/>
    <w:rsid w:val="00CB3B19"/>
    <w:rsid w:val="00CB3C49"/>
    <w:rsid w:val="00CB3E9A"/>
    <w:rsid w:val="00CB4185"/>
    <w:rsid w:val="00CB443A"/>
    <w:rsid w:val="00CB4C62"/>
    <w:rsid w:val="00CB59DC"/>
    <w:rsid w:val="00CB5E57"/>
    <w:rsid w:val="00CB67A3"/>
    <w:rsid w:val="00CB68F0"/>
    <w:rsid w:val="00CB6D88"/>
    <w:rsid w:val="00CB6FA4"/>
    <w:rsid w:val="00CB73C3"/>
    <w:rsid w:val="00CB7478"/>
    <w:rsid w:val="00CB75DB"/>
    <w:rsid w:val="00CB788A"/>
    <w:rsid w:val="00CB7A04"/>
    <w:rsid w:val="00CB7EBD"/>
    <w:rsid w:val="00CC0738"/>
    <w:rsid w:val="00CC0C6B"/>
    <w:rsid w:val="00CC1DFB"/>
    <w:rsid w:val="00CC2020"/>
    <w:rsid w:val="00CC28B1"/>
    <w:rsid w:val="00CC34EA"/>
    <w:rsid w:val="00CC3986"/>
    <w:rsid w:val="00CC3CA8"/>
    <w:rsid w:val="00CC4139"/>
    <w:rsid w:val="00CC432F"/>
    <w:rsid w:val="00CC464F"/>
    <w:rsid w:val="00CC48BB"/>
    <w:rsid w:val="00CC4F99"/>
    <w:rsid w:val="00CC50BC"/>
    <w:rsid w:val="00CC5BCE"/>
    <w:rsid w:val="00CC6269"/>
    <w:rsid w:val="00CC65AA"/>
    <w:rsid w:val="00CC6620"/>
    <w:rsid w:val="00CC6702"/>
    <w:rsid w:val="00CC683F"/>
    <w:rsid w:val="00CC6AD1"/>
    <w:rsid w:val="00CC6C36"/>
    <w:rsid w:val="00CC7EB3"/>
    <w:rsid w:val="00CD072E"/>
    <w:rsid w:val="00CD07A4"/>
    <w:rsid w:val="00CD1A5C"/>
    <w:rsid w:val="00CD1DFA"/>
    <w:rsid w:val="00CD1E54"/>
    <w:rsid w:val="00CD2FE2"/>
    <w:rsid w:val="00CD33C2"/>
    <w:rsid w:val="00CD3574"/>
    <w:rsid w:val="00CD37CF"/>
    <w:rsid w:val="00CD37EC"/>
    <w:rsid w:val="00CD3F4E"/>
    <w:rsid w:val="00CD4952"/>
    <w:rsid w:val="00CD4A18"/>
    <w:rsid w:val="00CD4F1E"/>
    <w:rsid w:val="00CD5F34"/>
    <w:rsid w:val="00CD60C4"/>
    <w:rsid w:val="00CD670A"/>
    <w:rsid w:val="00CD69FB"/>
    <w:rsid w:val="00CD6A3C"/>
    <w:rsid w:val="00CD6DEE"/>
    <w:rsid w:val="00CD74B9"/>
    <w:rsid w:val="00CD761D"/>
    <w:rsid w:val="00CD79DF"/>
    <w:rsid w:val="00CE0DFB"/>
    <w:rsid w:val="00CE10C5"/>
    <w:rsid w:val="00CE14B9"/>
    <w:rsid w:val="00CE1AA7"/>
    <w:rsid w:val="00CE29CB"/>
    <w:rsid w:val="00CE3272"/>
    <w:rsid w:val="00CE3E87"/>
    <w:rsid w:val="00CE41BE"/>
    <w:rsid w:val="00CE5313"/>
    <w:rsid w:val="00CE5B4B"/>
    <w:rsid w:val="00CE5E6F"/>
    <w:rsid w:val="00CE60BC"/>
    <w:rsid w:val="00CE69D0"/>
    <w:rsid w:val="00CE6DC8"/>
    <w:rsid w:val="00CE6E99"/>
    <w:rsid w:val="00CE749E"/>
    <w:rsid w:val="00CE763E"/>
    <w:rsid w:val="00CE7D1D"/>
    <w:rsid w:val="00CE7EE3"/>
    <w:rsid w:val="00CF0109"/>
    <w:rsid w:val="00CF01CE"/>
    <w:rsid w:val="00CF045C"/>
    <w:rsid w:val="00CF0EE6"/>
    <w:rsid w:val="00CF1843"/>
    <w:rsid w:val="00CF1923"/>
    <w:rsid w:val="00CF1BFA"/>
    <w:rsid w:val="00CF2442"/>
    <w:rsid w:val="00CF2FDD"/>
    <w:rsid w:val="00CF326B"/>
    <w:rsid w:val="00CF3473"/>
    <w:rsid w:val="00CF3967"/>
    <w:rsid w:val="00CF42D2"/>
    <w:rsid w:val="00CF4B33"/>
    <w:rsid w:val="00CF4D06"/>
    <w:rsid w:val="00CF5C8E"/>
    <w:rsid w:val="00CF606F"/>
    <w:rsid w:val="00CF753A"/>
    <w:rsid w:val="00CF764D"/>
    <w:rsid w:val="00CF776A"/>
    <w:rsid w:val="00CF7E8B"/>
    <w:rsid w:val="00D006E7"/>
    <w:rsid w:val="00D00A04"/>
    <w:rsid w:val="00D00CC2"/>
    <w:rsid w:val="00D01294"/>
    <w:rsid w:val="00D013C2"/>
    <w:rsid w:val="00D0184D"/>
    <w:rsid w:val="00D01BA8"/>
    <w:rsid w:val="00D022C3"/>
    <w:rsid w:val="00D023A9"/>
    <w:rsid w:val="00D024BE"/>
    <w:rsid w:val="00D02AC0"/>
    <w:rsid w:val="00D02FC5"/>
    <w:rsid w:val="00D035B2"/>
    <w:rsid w:val="00D03746"/>
    <w:rsid w:val="00D0452B"/>
    <w:rsid w:val="00D045A7"/>
    <w:rsid w:val="00D04CB5"/>
    <w:rsid w:val="00D051D6"/>
    <w:rsid w:val="00D05825"/>
    <w:rsid w:val="00D05980"/>
    <w:rsid w:val="00D05E88"/>
    <w:rsid w:val="00D06AC7"/>
    <w:rsid w:val="00D06F40"/>
    <w:rsid w:val="00D074D5"/>
    <w:rsid w:val="00D076DA"/>
    <w:rsid w:val="00D103E3"/>
    <w:rsid w:val="00D109F4"/>
    <w:rsid w:val="00D11008"/>
    <w:rsid w:val="00D11DAF"/>
    <w:rsid w:val="00D123C7"/>
    <w:rsid w:val="00D1240D"/>
    <w:rsid w:val="00D126FA"/>
    <w:rsid w:val="00D12724"/>
    <w:rsid w:val="00D129CA"/>
    <w:rsid w:val="00D12DCC"/>
    <w:rsid w:val="00D12FFE"/>
    <w:rsid w:val="00D1384A"/>
    <w:rsid w:val="00D13FAA"/>
    <w:rsid w:val="00D14937"/>
    <w:rsid w:val="00D14A5E"/>
    <w:rsid w:val="00D14D9E"/>
    <w:rsid w:val="00D1524A"/>
    <w:rsid w:val="00D1619C"/>
    <w:rsid w:val="00D1671B"/>
    <w:rsid w:val="00D16EEE"/>
    <w:rsid w:val="00D171E1"/>
    <w:rsid w:val="00D17291"/>
    <w:rsid w:val="00D176A3"/>
    <w:rsid w:val="00D177CB"/>
    <w:rsid w:val="00D17849"/>
    <w:rsid w:val="00D20292"/>
    <w:rsid w:val="00D203A4"/>
    <w:rsid w:val="00D203A8"/>
    <w:rsid w:val="00D20510"/>
    <w:rsid w:val="00D20A35"/>
    <w:rsid w:val="00D20EDA"/>
    <w:rsid w:val="00D20F31"/>
    <w:rsid w:val="00D213AE"/>
    <w:rsid w:val="00D21459"/>
    <w:rsid w:val="00D2186B"/>
    <w:rsid w:val="00D220BD"/>
    <w:rsid w:val="00D2258F"/>
    <w:rsid w:val="00D22F44"/>
    <w:rsid w:val="00D233F5"/>
    <w:rsid w:val="00D237E0"/>
    <w:rsid w:val="00D23C41"/>
    <w:rsid w:val="00D258D4"/>
    <w:rsid w:val="00D25985"/>
    <w:rsid w:val="00D26066"/>
    <w:rsid w:val="00D26852"/>
    <w:rsid w:val="00D26B57"/>
    <w:rsid w:val="00D26C22"/>
    <w:rsid w:val="00D271E6"/>
    <w:rsid w:val="00D27A33"/>
    <w:rsid w:val="00D30205"/>
    <w:rsid w:val="00D309B4"/>
    <w:rsid w:val="00D30CA2"/>
    <w:rsid w:val="00D30FD4"/>
    <w:rsid w:val="00D31052"/>
    <w:rsid w:val="00D318B4"/>
    <w:rsid w:val="00D31999"/>
    <w:rsid w:val="00D31FF4"/>
    <w:rsid w:val="00D32C45"/>
    <w:rsid w:val="00D32E1A"/>
    <w:rsid w:val="00D32E69"/>
    <w:rsid w:val="00D335A7"/>
    <w:rsid w:val="00D33650"/>
    <w:rsid w:val="00D33B3D"/>
    <w:rsid w:val="00D33EAD"/>
    <w:rsid w:val="00D3407E"/>
    <w:rsid w:val="00D34229"/>
    <w:rsid w:val="00D342B7"/>
    <w:rsid w:val="00D34A6F"/>
    <w:rsid w:val="00D34E45"/>
    <w:rsid w:val="00D350A3"/>
    <w:rsid w:val="00D35426"/>
    <w:rsid w:val="00D36498"/>
    <w:rsid w:val="00D371B3"/>
    <w:rsid w:val="00D372E1"/>
    <w:rsid w:val="00D3761C"/>
    <w:rsid w:val="00D3773C"/>
    <w:rsid w:val="00D37778"/>
    <w:rsid w:val="00D37EBA"/>
    <w:rsid w:val="00D40009"/>
    <w:rsid w:val="00D4002A"/>
    <w:rsid w:val="00D40877"/>
    <w:rsid w:val="00D40AB7"/>
    <w:rsid w:val="00D40AC5"/>
    <w:rsid w:val="00D413AD"/>
    <w:rsid w:val="00D41520"/>
    <w:rsid w:val="00D41C80"/>
    <w:rsid w:val="00D41F72"/>
    <w:rsid w:val="00D42114"/>
    <w:rsid w:val="00D4226E"/>
    <w:rsid w:val="00D43234"/>
    <w:rsid w:val="00D43B01"/>
    <w:rsid w:val="00D4443F"/>
    <w:rsid w:val="00D44563"/>
    <w:rsid w:val="00D448D1"/>
    <w:rsid w:val="00D44BC6"/>
    <w:rsid w:val="00D44C2D"/>
    <w:rsid w:val="00D464B1"/>
    <w:rsid w:val="00D4680B"/>
    <w:rsid w:val="00D46946"/>
    <w:rsid w:val="00D46EBB"/>
    <w:rsid w:val="00D4799E"/>
    <w:rsid w:val="00D47FDA"/>
    <w:rsid w:val="00D500AE"/>
    <w:rsid w:val="00D504F3"/>
    <w:rsid w:val="00D50584"/>
    <w:rsid w:val="00D5062F"/>
    <w:rsid w:val="00D50B55"/>
    <w:rsid w:val="00D50B62"/>
    <w:rsid w:val="00D50BC2"/>
    <w:rsid w:val="00D51111"/>
    <w:rsid w:val="00D51FD8"/>
    <w:rsid w:val="00D522F9"/>
    <w:rsid w:val="00D5234B"/>
    <w:rsid w:val="00D524A8"/>
    <w:rsid w:val="00D530EE"/>
    <w:rsid w:val="00D533F9"/>
    <w:rsid w:val="00D536C4"/>
    <w:rsid w:val="00D54174"/>
    <w:rsid w:val="00D54203"/>
    <w:rsid w:val="00D54834"/>
    <w:rsid w:val="00D54850"/>
    <w:rsid w:val="00D54901"/>
    <w:rsid w:val="00D55164"/>
    <w:rsid w:val="00D551A7"/>
    <w:rsid w:val="00D5527F"/>
    <w:rsid w:val="00D55426"/>
    <w:rsid w:val="00D5570E"/>
    <w:rsid w:val="00D55798"/>
    <w:rsid w:val="00D559CF"/>
    <w:rsid w:val="00D55AE5"/>
    <w:rsid w:val="00D56285"/>
    <w:rsid w:val="00D563A5"/>
    <w:rsid w:val="00D5694E"/>
    <w:rsid w:val="00D56B80"/>
    <w:rsid w:val="00D56EFD"/>
    <w:rsid w:val="00D572C5"/>
    <w:rsid w:val="00D5769E"/>
    <w:rsid w:val="00D578F6"/>
    <w:rsid w:val="00D57EE5"/>
    <w:rsid w:val="00D606B6"/>
    <w:rsid w:val="00D60CA3"/>
    <w:rsid w:val="00D616FE"/>
    <w:rsid w:val="00D61944"/>
    <w:rsid w:val="00D6305C"/>
    <w:rsid w:val="00D630E6"/>
    <w:rsid w:val="00D63240"/>
    <w:rsid w:val="00D632D7"/>
    <w:rsid w:val="00D6379B"/>
    <w:rsid w:val="00D63839"/>
    <w:rsid w:val="00D63C9B"/>
    <w:rsid w:val="00D641AB"/>
    <w:rsid w:val="00D64361"/>
    <w:rsid w:val="00D64A15"/>
    <w:rsid w:val="00D64B5E"/>
    <w:rsid w:val="00D64CDA"/>
    <w:rsid w:val="00D655F1"/>
    <w:rsid w:val="00D65BB6"/>
    <w:rsid w:val="00D65D1B"/>
    <w:rsid w:val="00D664EF"/>
    <w:rsid w:val="00D66AE2"/>
    <w:rsid w:val="00D6742B"/>
    <w:rsid w:val="00D67AE3"/>
    <w:rsid w:val="00D67D32"/>
    <w:rsid w:val="00D67FFD"/>
    <w:rsid w:val="00D703EC"/>
    <w:rsid w:val="00D70400"/>
    <w:rsid w:val="00D70957"/>
    <w:rsid w:val="00D70F22"/>
    <w:rsid w:val="00D71088"/>
    <w:rsid w:val="00D719EE"/>
    <w:rsid w:val="00D71B32"/>
    <w:rsid w:val="00D720A9"/>
    <w:rsid w:val="00D72E6F"/>
    <w:rsid w:val="00D72E9F"/>
    <w:rsid w:val="00D735DD"/>
    <w:rsid w:val="00D73B4B"/>
    <w:rsid w:val="00D73F53"/>
    <w:rsid w:val="00D74FDA"/>
    <w:rsid w:val="00D75924"/>
    <w:rsid w:val="00D75F94"/>
    <w:rsid w:val="00D763CE"/>
    <w:rsid w:val="00D76913"/>
    <w:rsid w:val="00D76AC7"/>
    <w:rsid w:val="00D77982"/>
    <w:rsid w:val="00D77DAB"/>
    <w:rsid w:val="00D77F82"/>
    <w:rsid w:val="00D803B3"/>
    <w:rsid w:val="00D80A34"/>
    <w:rsid w:val="00D80B8D"/>
    <w:rsid w:val="00D81638"/>
    <w:rsid w:val="00D81737"/>
    <w:rsid w:val="00D81BB4"/>
    <w:rsid w:val="00D81C4E"/>
    <w:rsid w:val="00D82895"/>
    <w:rsid w:val="00D828C6"/>
    <w:rsid w:val="00D82ACA"/>
    <w:rsid w:val="00D838DA"/>
    <w:rsid w:val="00D83D51"/>
    <w:rsid w:val="00D842CE"/>
    <w:rsid w:val="00D84AFE"/>
    <w:rsid w:val="00D84ECC"/>
    <w:rsid w:val="00D855DD"/>
    <w:rsid w:val="00D8598F"/>
    <w:rsid w:val="00D859E7"/>
    <w:rsid w:val="00D85B62"/>
    <w:rsid w:val="00D86058"/>
    <w:rsid w:val="00D860A1"/>
    <w:rsid w:val="00D863DC"/>
    <w:rsid w:val="00D86B7B"/>
    <w:rsid w:val="00D8712B"/>
    <w:rsid w:val="00D87200"/>
    <w:rsid w:val="00D87B30"/>
    <w:rsid w:val="00D903BD"/>
    <w:rsid w:val="00D904A1"/>
    <w:rsid w:val="00D9081B"/>
    <w:rsid w:val="00D918F9"/>
    <w:rsid w:val="00D9192E"/>
    <w:rsid w:val="00D91C16"/>
    <w:rsid w:val="00D91C34"/>
    <w:rsid w:val="00D9230A"/>
    <w:rsid w:val="00D923D5"/>
    <w:rsid w:val="00D92464"/>
    <w:rsid w:val="00D92505"/>
    <w:rsid w:val="00D92518"/>
    <w:rsid w:val="00D92CE6"/>
    <w:rsid w:val="00D93658"/>
    <w:rsid w:val="00D93765"/>
    <w:rsid w:val="00D937C2"/>
    <w:rsid w:val="00D939EB"/>
    <w:rsid w:val="00D93C07"/>
    <w:rsid w:val="00D93F69"/>
    <w:rsid w:val="00D94195"/>
    <w:rsid w:val="00D942E6"/>
    <w:rsid w:val="00D94747"/>
    <w:rsid w:val="00D94759"/>
    <w:rsid w:val="00D954A2"/>
    <w:rsid w:val="00D95540"/>
    <w:rsid w:val="00D9596D"/>
    <w:rsid w:val="00D959C4"/>
    <w:rsid w:val="00D95CA0"/>
    <w:rsid w:val="00D96026"/>
    <w:rsid w:val="00D961AE"/>
    <w:rsid w:val="00D967E9"/>
    <w:rsid w:val="00D96B33"/>
    <w:rsid w:val="00D96C2F"/>
    <w:rsid w:val="00D9766E"/>
    <w:rsid w:val="00DA046C"/>
    <w:rsid w:val="00DA0874"/>
    <w:rsid w:val="00DA0FEE"/>
    <w:rsid w:val="00DA11C9"/>
    <w:rsid w:val="00DA1822"/>
    <w:rsid w:val="00DA1C93"/>
    <w:rsid w:val="00DA1FDB"/>
    <w:rsid w:val="00DA2298"/>
    <w:rsid w:val="00DA2D67"/>
    <w:rsid w:val="00DA318F"/>
    <w:rsid w:val="00DA34BE"/>
    <w:rsid w:val="00DA4267"/>
    <w:rsid w:val="00DA445C"/>
    <w:rsid w:val="00DA5118"/>
    <w:rsid w:val="00DA51BF"/>
    <w:rsid w:val="00DA5219"/>
    <w:rsid w:val="00DA55E4"/>
    <w:rsid w:val="00DA5743"/>
    <w:rsid w:val="00DA5AA6"/>
    <w:rsid w:val="00DA62FC"/>
    <w:rsid w:val="00DA640A"/>
    <w:rsid w:val="00DA664D"/>
    <w:rsid w:val="00DA70BA"/>
    <w:rsid w:val="00DA73DA"/>
    <w:rsid w:val="00DA75FC"/>
    <w:rsid w:val="00DA7BD7"/>
    <w:rsid w:val="00DA7C2A"/>
    <w:rsid w:val="00DA7FF0"/>
    <w:rsid w:val="00DB00CC"/>
    <w:rsid w:val="00DB0F24"/>
    <w:rsid w:val="00DB0FA2"/>
    <w:rsid w:val="00DB1061"/>
    <w:rsid w:val="00DB10C0"/>
    <w:rsid w:val="00DB12FD"/>
    <w:rsid w:val="00DB14B3"/>
    <w:rsid w:val="00DB162D"/>
    <w:rsid w:val="00DB17EE"/>
    <w:rsid w:val="00DB182F"/>
    <w:rsid w:val="00DB18BC"/>
    <w:rsid w:val="00DB1DD9"/>
    <w:rsid w:val="00DB35D4"/>
    <w:rsid w:val="00DB3F65"/>
    <w:rsid w:val="00DB4085"/>
    <w:rsid w:val="00DB4123"/>
    <w:rsid w:val="00DB46F3"/>
    <w:rsid w:val="00DB4A66"/>
    <w:rsid w:val="00DB4B2D"/>
    <w:rsid w:val="00DB56C2"/>
    <w:rsid w:val="00DB65F1"/>
    <w:rsid w:val="00DB696F"/>
    <w:rsid w:val="00DB6D53"/>
    <w:rsid w:val="00DB71AE"/>
    <w:rsid w:val="00DB7638"/>
    <w:rsid w:val="00DC0A9F"/>
    <w:rsid w:val="00DC0CE9"/>
    <w:rsid w:val="00DC0E0A"/>
    <w:rsid w:val="00DC0F50"/>
    <w:rsid w:val="00DC1A6D"/>
    <w:rsid w:val="00DC1B8F"/>
    <w:rsid w:val="00DC21CC"/>
    <w:rsid w:val="00DC255A"/>
    <w:rsid w:val="00DC295D"/>
    <w:rsid w:val="00DC2CAF"/>
    <w:rsid w:val="00DC30AF"/>
    <w:rsid w:val="00DC3205"/>
    <w:rsid w:val="00DC325F"/>
    <w:rsid w:val="00DC3548"/>
    <w:rsid w:val="00DC379E"/>
    <w:rsid w:val="00DC46B0"/>
    <w:rsid w:val="00DC4856"/>
    <w:rsid w:val="00DC50EF"/>
    <w:rsid w:val="00DC5326"/>
    <w:rsid w:val="00DC5329"/>
    <w:rsid w:val="00DC5434"/>
    <w:rsid w:val="00DC5612"/>
    <w:rsid w:val="00DC600C"/>
    <w:rsid w:val="00DC60AE"/>
    <w:rsid w:val="00DC62B4"/>
    <w:rsid w:val="00DC6672"/>
    <w:rsid w:val="00DC69B5"/>
    <w:rsid w:val="00DC7100"/>
    <w:rsid w:val="00DC72A8"/>
    <w:rsid w:val="00DC731B"/>
    <w:rsid w:val="00DC739F"/>
    <w:rsid w:val="00DC7B80"/>
    <w:rsid w:val="00DC7DFA"/>
    <w:rsid w:val="00DC7F48"/>
    <w:rsid w:val="00DC7F97"/>
    <w:rsid w:val="00DD019D"/>
    <w:rsid w:val="00DD01B7"/>
    <w:rsid w:val="00DD01C9"/>
    <w:rsid w:val="00DD0444"/>
    <w:rsid w:val="00DD0816"/>
    <w:rsid w:val="00DD0D86"/>
    <w:rsid w:val="00DD0E09"/>
    <w:rsid w:val="00DD0EB1"/>
    <w:rsid w:val="00DD10D8"/>
    <w:rsid w:val="00DD130A"/>
    <w:rsid w:val="00DD1742"/>
    <w:rsid w:val="00DD184F"/>
    <w:rsid w:val="00DD2278"/>
    <w:rsid w:val="00DD2578"/>
    <w:rsid w:val="00DD2BED"/>
    <w:rsid w:val="00DD2BF7"/>
    <w:rsid w:val="00DD31CF"/>
    <w:rsid w:val="00DD3F62"/>
    <w:rsid w:val="00DD4061"/>
    <w:rsid w:val="00DD4267"/>
    <w:rsid w:val="00DD474E"/>
    <w:rsid w:val="00DD48B3"/>
    <w:rsid w:val="00DD4D49"/>
    <w:rsid w:val="00DD4F50"/>
    <w:rsid w:val="00DD4F92"/>
    <w:rsid w:val="00DD5A4F"/>
    <w:rsid w:val="00DD5A6D"/>
    <w:rsid w:val="00DD625D"/>
    <w:rsid w:val="00DD65F6"/>
    <w:rsid w:val="00DD7633"/>
    <w:rsid w:val="00DD7706"/>
    <w:rsid w:val="00DD7721"/>
    <w:rsid w:val="00DD7939"/>
    <w:rsid w:val="00DD7A92"/>
    <w:rsid w:val="00DD7F43"/>
    <w:rsid w:val="00DE0627"/>
    <w:rsid w:val="00DE096B"/>
    <w:rsid w:val="00DE0B7E"/>
    <w:rsid w:val="00DE0BBB"/>
    <w:rsid w:val="00DE0BEC"/>
    <w:rsid w:val="00DE0CE5"/>
    <w:rsid w:val="00DE10CB"/>
    <w:rsid w:val="00DE175B"/>
    <w:rsid w:val="00DE175D"/>
    <w:rsid w:val="00DE1795"/>
    <w:rsid w:val="00DE1B5D"/>
    <w:rsid w:val="00DE1CD0"/>
    <w:rsid w:val="00DE1E5D"/>
    <w:rsid w:val="00DE245E"/>
    <w:rsid w:val="00DE2750"/>
    <w:rsid w:val="00DE278A"/>
    <w:rsid w:val="00DE2AA9"/>
    <w:rsid w:val="00DE2AFC"/>
    <w:rsid w:val="00DE2E37"/>
    <w:rsid w:val="00DE2F90"/>
    <w:rsid w:val="00DE30EF"/>
    <w:rsid w:val="00DE34ED"/>
    <w:rsid w:val="00DE3546"/>
    <w:rsid w:val="00DE360B"/>
    <w:rsid w:val="00DE372D"/>
    <w:rsid w:val="00DE3778"/>
    <w:rsid w:val="00DE3C37"/>
    <w:rsid w:val="00DE47BF"/>
    <w:rsid w:val="00DE6202"/>
    <w:rsid w:val="00DE64CD"/>
    <w:rsid w:val="00DE6604"/>
    <w:rsid w:val="00DE6935"/>
    <w:rsid w:val="00DE718E"/>
    <w:rsid w:val="00DE7A74"/>
    <w:rsid w:val="00DF009A"/>
    <w:rsid w:val="00DF039E"/>
    <w:rsid w:val="00DF05AF"/>
    <w:rsid w:val="00DF076C"/>
    <w:rsid w:val="00DF0A05"/>
    <w:rsid w:val="00DF0D6A"/>
    <w:rsid w:val="00DF160B"/>
    <w:rsid w:val="00DF1654"/>
    <w:rsid w:val="00DF1A8B"/>
    <w:rsid w:val="00DF2049"/>
    <w:rsid w:val="00DF23DC"/>
    <w:rsid w:val="00DF2FD3"/>
    <w:rsid w:val="00DF3163"/>
    <w:rsid w:val="00DF3CA3"/>
    <w:rsid w:val="00DF441E"/>
    <w:rsid w:val="00DF4CF2"/>
    <w:rsid w:val="00DF4F43"/>
    <w:rsid w:val="00DF50A8"/>
    <w:rsid w:val="00DF568D"/>
    <w:rsid w:val="00DF590F"/>
    <w:rsid w:val="00DF5EA2"/>
    <w:rsid w:val="00DF62F1"/>
    <w:rsid w:val="00DF664F"/>
    <w:rsid w:val="00DF66EA"/>
    <w:rsid w:val="00DF6AEB"/>
    <w:rsid w:val="00DF6DC2"/>
    <w:rsid w:val="00DF7660"/>
    <w:rsid w:val="00DF78CB"/>
    <w:rsid w:val="00E0037D"/>
    <w:rsid w:val="00E00664"/>
    <w:rsid w:val="00E00AA0"/>
    <w:rsid w:val="00E00E49"/>
    <w:rsid w:val="00E00F60"/>
    <w:rsid w:val="00E010E4"/>
    <w:rsid w:val="00E0195C"/>
    <w:rsid w:val="00E01993"/>
    <w:rsid w:val="00E02918"/>
    <w:rsid w:val="00E02C70"/>
    <w:rsid w:val="00E02FB8"/>
    <w:rsid w:val="00E03296"/>
    <w:rsid w:val="00E0372D"/>
    <w:rsid w:val="00E03848"/>
    <w:rsid w:val="00E0453B"/>
    <w:rsid w:val="00E04A87"/>
    <w:rsid w:val="00E04B7E"/>
    <w:rsid w:val="00E05C6F"/>
    <w:rsid w:val="00E05DC3"/>
    <w:rsid w:val="00E06337"/>
    <w:rsid w:val="00E06430"/>
    <w:rsid w:val="00E06A72"/>
    <w:rsid w:val="00E06C93"/>
    <w:rsid w:val="00E06D6C"/>
    <w:rsid w:val="00E07461"/>
    <w:rsid w:val="00E075C6"/>
    <w:rsid w:val="00E10A4F"/>
    <w:rsid w:val="00E10E7B"/>
    <w:rsid w:val="00E11E1F"/>
    <w:rsid w:val="00E11F16"/>
    <w:rsid w:val="00E1224D"/>
    <w:rsid w:val="00E122A1"/>
    <w:rsid w:val="00E129BA"/>
    <w:rsid w:val="00E12EB2"/>
    <w:rsid w:val="00E139D3"/>
    <w:rsid w:val="00E13D40"/>
    <w:rsid w:val="00E14266"/>
    <w:rsid w:val="00E145DE"/>
    <w:rsid w:val="00E15014"/>
    <w:rsid w:val="00E1519C"/>
    <w:rsid w:val="00E152A4"/>
    <w:rsid w:val="00E153CF"/>
    <w:rsid w:val="00E15964"/>
    <w:rsid w:val="00E15CA8"/>
    <w:rsid w:val="00E1614D"/>
    <w:rsid w:val="00E162A8"/>
    <w:rsid w:val="00E163F9"/>
    <w:rsid w:val="00E168E4"/>
    <w:rsid w:val="00E16A50"/>
    <w:rsid w:val="00E16F3E"/>
    <w:rsid w:val="00E17307"/>
    <w:rsid w:val="00E17434"/>
    <w:rsid w:val="00E176D5"/>
    <w:rsid w:val="00E177A6"/>
    <w:rsid w:val="00E1782C"/>
    <w:rsid w:val="00E17D3C"/>
    <w:rsid w:val="00E200B4"/>
    <w:rsid w:val="00E20996"/>
    <w:rsid w:val="00E20FF7"/>
    <w:rsid w:val="00E21044"/>
    <w:rsid w:val="00E2107E"/>
    <w:rsid w:val="00E21B49"/>
    <w:rsid w:val="00E22356"/>
    <w:rsid w:val="00E22428"/>
    <w:rsid w:val="00E22851"/>
    <w:rsid w:val="00E22A36"/>
    <w:rsid w:val="00E22B70"/>
    <w:rsid w:val="00E231FA"/>
    <w:rsid w:val="00E2322B"/>
    <w:rsid w:val="00E23377"/>
    <w:rsid w:val="00E235B4"/>
    <w:rsid w:val="00E23738"/>
    <w:rsid w:val="00E237AA"/>
    <w:rsid w:val="00E23B7D"/>
    <w:rsid w:val="00E23CC2"/>
    <w:rsid w:val="00E241F2"/>
    <w:rsid w:val="00E2466B"/>
    <w:rsid w:val="00E24C54"/>
    <w:rsid w:val="00E258C8"/>
    <w:rsid w:val="00E2627C"/>
    <w:rsid w:val="00E26D4C"/>
    <w:rsid w:val="00E27BA3"/>
    <w:rsid w:val="00E27DBB"/>
    <w:rsid w:val="00E27DF9"/>
    <w:rsid w:val="00E306AF"/>
    <w:rsid w:val="00E30A0E"/>
    <w:rsid w:val="00E31557"/>
    <w:rsid w:val="00E31CD7"/>
    <w:rsid w:val="00E3274F"/>
    <w:rsid w:val="00E32BCA"/>
    <w:rsid w:val="00E32F9D"/>
    <w:rsid w:val="00E338F7"/>
    <w:rsid w:val="00E33AEB"/>
    <w:rsid w:val="00E33C5C"/>
    <w:rsid w:val="00E3419B"/>
    <w:rsid w:val="00E34B31"/>
    <w:rsid w:val="00E34EC8"/>
    <w:rsid w:val="00E34FA6"/>
    <w:rsid w:val="00E35053"/>
    <w:rsid w:val="00E357C8"/>
    <w:rsid w:val="00E35A26"/>
    <w:rsid w:val="00E35DA5"/>
    <w:rsid w:val="00E3625E"/>
    <w:rsid w:val="00E362C0"/>
    <w:rsid w:val="00E36437"/>
    <w:rsid w:val="00E365BF"/>
    <w:rsid w:val="00E36851"/>
    <w:rsid w:val="00E36F8E"/>
    <w:rsid w:val="00E37751"/>
    <w:rsid w:val="00E40032"/>
    <w:rsid w:val="00E4020E"/>
    <w:rsid w:val="00E408FB"/>
    <w:rsid w:val="00E40AB9"/>
    <w:rsid w:val="00E4114E"/>
    <w:rsid w:val="00E41396"/>
    <w:rsid w:val="00E41505"/>
    <w:rsid w:val="00E41692"/>
    <w:rsid w:val="00E419FE"/>
    <w:rsid w:val="00E41B58"/>
    <w:rsid w:val="00E41CA0"/>
    <w:rsid w:val="00E41D47"/>
    <w:rsid w:val="00E41E7A"/>
    <w:rsid w:val="00E41F03"/>
    <w:rsid w:val="00E423D7"/>
    <w:rsid w:val="00E4258E"/>
    <w:rsid w:val="00E425C5"/>
    <w:rsid w:val="00E427F5"/>
    <w:rsid w:val="00E43527"/>
    <w:rsid w:val="00E43737"/>
    <w:rsid w:val="00E437A3"/>
    <w:rsid w:val="00E437B2"/>
    <w:rsid w:val="00E437DA"/>
    <w:rsid w:val="00E437EA"/>
    <w:rsid w:val="00E43A6C"/>
    <w:rsid w:val="00E43A98"/>
    <w:rsid w:val="00E43FE9"/>
    <w:rsid w:val="00E442DE"/>
    <w:rsid w:val="00E443EE"/>
    <w:rsid w:val="00E446D8"/>
    <w:rsid w:val="00E45594"/>
    <w:rsid w:val="00E45FDE"/>
    <w:rsid w:val="00E46251"/>
    <w:rsid w:val="00E467C3"/>
    <w:rsid w:val="00E471C3"/>
    <w:rsid w:val="00E47442"/>
    <w:rsid w:val="00E4779B"/>
    <w:rsid w:val="00E4798F"/>
    <w:rsid w:val="00E47CDA"/>
    <w:rsid w:val="00E47ED6"/>
    <w:rsid w:val="00E50194"/>
    <w:rsid w:val="00E501D4"/>
    <w:rsid w:val="00E50257"/>
    <w:rsid w:val="00E50950"/>
    <w:rsid w:val="00E50A5E"/>
    <w:rsid w:val="00E50ECF"/>
    <w:rsid w:val="00E510B8"/>
    <w:rsid w:val="00E511A4"/>
    <w:rsid w:val="00E51A69"/>
    <w:rsid w:val="00E51C6C"/>
    <w:rsid w:val="00E51DAC"/>
    <w:rsid w:val="00E52112"/>
    <w:rsid w:val="00E52712"/>
    <w:rsid w:val="00E529F4"/>
    <w:rsid w:val="00E52ED7"/>
    <w:rsid w:val="00E53669"/>
    <w:rsid w:val="00E53730"/>
    <w:rsid w:val="00E53C01"/>
    <w:rsid w:val="00E53C7B"/>
    <w:rsid w:val="00E541D7"/>
    <w:rsid w:val="00E5434D"/>
    <w:rsid w:val="00E545F7"/>
    <w:rsid w:val="00E5460F"/>
    <w:rsid w:val="00E54626"/>
    <w:rsid w:val="00E54C2E"/>
    <w:rsid w:val="00E54C44"/>
    <w:rsid w:val="00E54DA2"/>
    <w:rsid w:val="00E5528C"/>
    <w:rsid w:val="00E553F8"/>
    <w:rsid w:val="00E5582C"/>
    <w:rsid w:val="00E55878"/>
    <w:rsid w:val="00E55B6E"/>
    <w:rsid w:val="00E55B8F"/>
    <w:rsid w:val="00E560A7"/>
    <w:rsid w:val="00E5611C"/>
    <w:rsid w:val="00E5620C"/>
    <w:rsid w:val="00E56568"/>
    <w:rsid w:val="00E56C5D"/>
    <w:rsid w:val="00E56CFC"/>
    <w:rsid w:val="00E5795C"/>
    <w:rsid w:val="00E579A8"/>
    <w:rsid w:val="00E57EFC"/>
    <w:rsid w:val="00E60295"/>
    <w:rsid w:val="00E603AA"/>
    <w:rsid w:val="00E606F6"/>
    <w:rsid w:val="00E60D2A"/>
    <w:rsid w:val="00E60E11"/>
    <w:rsid w:val="00E614BD"/>
    <w:rsid w:val="00E61603"/>
    <w:rsid w:val="00E618B4"/>
    <w:rsid w:val="00E618EA"/>
    <w:rsid w:val="00E61A46"/>
    <w:rsid w:val="00E61B99"/>
    <w:rsid w:val="00E61D59"/>
    <w:rsid w:val="00E6208E"/>
    <w:rsid w:val="00E62092"/>
    <w:rsid w:val="00E621AA"/>
    <w:rsid w:val="00E62416"/>
    <w:rsid w:val="00E62B56"/>
    <w:rsid w:val="00E63136"/>
    <w:rsid w:val="00E63569"/>
    <w:rsid w:val="00E6391C"/>
    <w:rsid w:val="00E64EB3"/>
    <w:rsid w:val="00E65032"/>
    <w:rsid w:val="00E6534F"/>
    <w:rsid w:val="00E6587E"/>
    <w:rsid w:val="00E666B4"/>
    <w:rsid w:val="00E66CB8"/>
    <w:rsid w:val="00E66F1A"/>
    <w:rsid w:val="00E6769A"/>
    <w:rsid w:val="00E679BA"/>
    <w:rsid w:val="00E67DE8"/>
    <w:rsid w:val="00E70030"/>
    <w:rsid w:val="00E70393"/>
    <w:rsid w:val="00E704C0"/>
    <w:rsid w:val="00E70BF1"/>
    <w:rsid w:val="00E70C94"/>
    <w:rsid w:val="00E7112B"/>
    <w:rsid w:val="00E71640"/>
    <w:rsid w:val="00E71751"/>
    <w:rsid w:val="00E718E8"/>
    <w:rsid w:val="00E7270F"/>
    <w:rsid w:val="00E72A8C"/>
    <w:rsid w:val="00E73265"/>
    <w:rsid w:val="00E734DE"/>
    <w:rsid w:val="00E7381A"/>
    <w:rsid w:val="00E73A7B"/>
    <w:rsid w:val="00E73B44"/>
    <w:rsid w:val="00E74C84"/>
    <w:rsid w:val="00E75004"/>
    <w:rsid w:val="00E75033"/>
    <w:rsid w:val="00E75150"/>
    <w:rsid w:val="00E754FD"/>
    <w:rsid w:val="00E75907"/>
    <w:rsid w:val="00E75ACC"/>
    <w:rsid w:val="00E75BD3"/>
    <w:rsid w:val="00E75D2A"/>
    <w:rsid w:val="00E76412"/>
    <w:rsid w:val="00E76548"/>
    <w:rsid w:val="00E76608"/>
    <w:rsid w:val="00E76935"/>
    <w:rsid w:val="00E77543"/>
    <w:rsid w:val="00E775C1"/>
    <w:rsid w:val="00E77CFF"/>
    <w:rsid w:val="00E77EA6"/>
    <w:rsid w:val="00E80657"/>
    <w:rsid w:val="00E81475"/>
    <w:rsid w:val="00E81CE9"/>
    <w:rsid w:val="00E822E1"/>
    <w:rsid w:val="00E82481"/>
    <w:rsid w:val="00E82A9A"/>
    <w:rsid w:val="00E83A64"/>
    <w:rsid w:val="00E83CD0"/>
    <w:rsid w:val="00E83D73"/>
    <w:rsid w:val="00E84520"/>
    <w:rsid w:val="00E84780"/>
    <w:rsid w:val="00E84B02"/>
    <w:rsid w:val="00E84BC6"/>
    <w:rsid w:val="00E85165"/>
    <w:rsid w:val="00E8524A"/>
    <w:rsid w:val="00E8524D"/>
    <w:rsid w:val="00E85647"/>
    <w:rsid w:val="00E85A09"/>
    <w:rsid w:val="00E86166"/>
    <w:rsid w:val="00E86191"/>
    <w:rsid w:val="00E861A1"/>
    <w:rsid w:val="00E8683B"/>
    <w:rsid w:val="00E8697C"/>
    <w:rsid w:val="00E87458"/>
    <w:rsid w:val="00E87706"/>
    <w:rsid w:val="00E90122"/>
    <w:rsid w:val="00E90634"/>
    <w:rsid w:val="00E908DB"/>
    <w:rsid w:val="00E90D04"/>
    <w:rsid w:val="00E92B38"/>
    <w:rsid w:val="00E93E7B"/>
    <w:rsid w:val="00E93FE5"/>
    <w:rsid w:val="00E94003"/>
    <w:rsid w:val="00E9475B"/>
    <w:rsid w:val="00E9478A"/>
    <w:rsid w:val="00E9534C"/>
    <w:rsid w:val="00E95654"/>
    <w:rsid w:val="00E95977"/>
    <w:rsid w:val="00E95CE7"/>
    <w:rsid w:val="00E967CC"/>
    <w:rsid w:val="00E971CA"/>
    <w:rsid w:val="00E973C4"/>
    <w:rsid w:val="00E975FE"/>
    <w:rsid w:val="00E97C68"/>
    <w:rsid w:val="00E97F29"/>
    <w:rsid w:val="00EA06B1"/>
    <w:rsid w:val="00EA12D6"/>
    <w:rsid w:val="00EA1C21"/>
    <w:rsid w:val="00EA2810"/>
    <w:rsid w:val="00EA2DE4"/>
    <w:rsid w:val="00EA33A6"/>
    <w:rsid w:val="00EA3561"/>
    <w:rsid w:val="00EA3854"/>
    <w:rsid w:val="00EA39E2"/>
    <w:rsid w:val="00EA3B48"/>
    <w:rsid w:val="00EA3C51"/>
    <w:rsid w:val="00EA3DC4"/>
    <w:rsid w:val="00EA3E30"/>
    <w:rsid w:val="00EA3E73"/>
    <w:rsid w:val="00EA4EA9"/>
    <w:rsid w:val="00EA5117"/>
    <w:rsid w:val="00EA51DE"/>
    <w:rsid w:val="00EA61C7"/>
    <w:rsid w:val="00EA6E57"/>
    <w:rsid w:val="00EA6E93"/>
    <w:rsid w:val="00EA730B"/>
    <w:rsid w:val="00EA750A"/>
    <w:rsid w:val="00EA7684"/>
    <w:rsid w:val="00EA7C4B"/>
    <w:rsid w:val="00EA7CE5"/>
    <w:rsid w:val="00EB054E"/>
    <w:rsid w:val="00EB0A95"/>
    <w:rsid w:val="00EB110E"/>
    <w:rsid w:val="00EB13BA"/>
    <w:rsid w:val="00EB174A"/>
    <w:rsid w:val="00EB179B"/>
    <w:rsid w:val="00EB17C7"/>
    <w:rsid w:val="00EB1B40"/>
    <w:rsid w:val="00EB1CC8"/>
    <w:rsid w:val="00EB1D9F"/>
    <w:rsid w:val="00EB2072"/>
    <w:rsid w:val="00EB25EF"/>
    <w:rsid w:val="00EB27A7"/>
    <w:rsid w:val="00EB36CC"/>
    <w:rsid w:val="00EB392B"/>
    <w:rsid w:val="00EB3AE1"/>
    <w:rsid w:val="00EB3BCF"/>
    <w:rsid w:val="00EB3D37"/>
    <w:rsid w:val="00EB3EDD"/>
    <w:rsid w:val="00EB40EB"/>
    <w:rsid w:val="00EB4E4A"/>
    <w:rsid w:val="00EB5019"/>
    <w:rsid w:val="00EB52E2"/>
    <w:rsid w:val="00EB5783"/>
    <w:rsid w:val="00EB6043"/>
    <w:rsid w:val="00EB61E6"/>
    <w:rsid w:val="00EB6482"/>
    <w:rsid w:val="00EB65A9"/>
    <w:rsid w:val="00EB7144"/>
    <w:rsid w:val="00EB7200"/>
    <w:rsid w:val="00EB728F"/>
    <w:rsid w:val="00EB7EC6"/>
    <w:rsid w:val="00EC07B2"/>
    <w:rsid w:val="00EC09D0"/>
    <w:rsid w:val="00EC0DC0"/>
    <w:rsid w:val="00EC14A8"/>
    <w:rsid w:val="00EC16D2"/>
    <w:rsid w:val="00EC1A5C"/>
    <w:rsid w:val="00EC1BD8"/>
    <w:rsid w:val="00EC1E9E"/>
    <w:rsid w:val="00EC2698"/>
    <w:rsid w:val="00EC271C"/>
    <w:rsid w:val="00EC3086"/>
    <w:rsid w:val="00EC32A7"/>
    <w:rsid w:val="00EC3370"/>
    <w:rsid w:val="00EC350E"/>
    <w:rsid w:val="00EC3F9A"/>
    <w:rsid w:val="00EC4228"/>
    <w:rsid w:val="00EC426E"/>
    <w:rsid w:val="00EC45B0"/>
    <w:rsid w:val="00EC4C3D"/>
    <w:rsid w:val="00EC4D88"/>
    <w:rsid w:val="00EC5572"/>
    <w:rsid w:val="00EC5793"/>
    <w:rsid w:val="00EC5AE5"/>
    <w:rsid w:val="00EC62CF"/>
    <w:rsid w:val="00EC6460"/>
    <w:rsid w:val="00EC64FD"/>
    <w:rsid w:val="00EC6634"/>
    <w:rsid w:val="00EC6D60"/>
    <w:rsid w:val="00EC7728"/>
    <w:rsid w:val="00EC7DBA"/>
    <w:rsid w:val="00EC7E27"/>
    <w:rsid w:val="00EC7E75"/>
    <w:rsid w:val="00ED018F"/>
    <w:rsid w:val="00ED075C"/>
    <w:rsid w:val="00ED0841"/>
    <w:rsid w:val="00ED160E"/>
    <w:rsid w:val="00ED178F"/>
    <w:rsid w:val="00ED2080"/>
    <w:rsid w:val="00ED29D1"/>
    <w:rsid w:val="00ED2DAB"/>
    <w:rsid w:val="00ED35E2"/>
    <w:rsid w:val="00ED375D"/>
    <w:rsid w:val="00ED37C9"/>
    <w:rsid w:val="00ED37DC"/>
    <w:rsid w:val="00ED3970"/>
    <w:rsid w:val="00ED3996"/>
    <w:rsid w:val="00ED3A38"/>
    <w:rsid w:val="00ED3AE2"/>
    <w:rsid w:val="00ED407E"/>
    <w:rsid w:val="00ED5458"/>
    <w:rsid w:val="00ED579A"/>
    <w:rsid w:val="00ED61BC"/>
    <w:rsid w:val="00ED643B"/>
    <w:rsid w:val="00ED6505"/>
    <w:rsid w:val="00ED657D"/>
    <w:rsid w:val="00ED69B0"/>
    <w:rsid w:val="00ED6FFA"/>
    <w:rsid w:val="00ED7292"/>
    <w:rsid w:val="00ED7A02"/>
    <w:rsid w:val="00ED7A4C"/>
    <w:rsid w:val="00ED7E5C"/>
    <w:rsid w:val="00EE1098"/>
    <w:rsid w:val="00EE1134"/>
    <w:rsid w:val="00EE16BB"/>
    <w:rsid w:val="00EE17C2"/>
    <w:rsid w:val="00EE189D"/>
    <w:rsid w:val="00EE1B36"/>
    <w:rsid w:val="00EE1B62"/>
    <w:rsid w:val="00EE24B7"/>
    <w:rsid w:val="00EE2CB6"/>
    <w:rsid w:val="00EE3309"/>
    <w:rsid w:val="00EE3EA3"/>
    <w:rsid w:val="00EE5738"/>
    <w:rsid w:val="00EE574A"/>
    <w:rsid w:val="00EE5B5F"/>
    <w:rsid w:val="00EE5E1C"/>
    <w:rsid w:val="00EE624B"/>
    <w:rsid w:val="00EE67CF"/>
    <w:rsid w:val="00EE6BCC"/>
    <w:rsid w:val="00EE71BF"/>
    <w:rsid w:val="00EE7492"/>
    <w:rsid w:val="00EE75C8"/>
    <w:rsid w:val="00EE7654"/>
    <w:rsid w:val="00EE7CBA"/>
    <w:rsid w:val="00EE7E7A"/>
    <w:rsid w:val="00EF011F"/>
    <w:rsid w:val="00EF045F"/>
    <w:rsid w:val="00EF047E"/>
    <w:rsid w:val="00EF0508"/>
    <w:rsid w:val="00EF0A58"/>
    <w:rsid w:val="00EF0C43"/>
    <w:rsid w:val="00EF0F5D"/>
    <w:rsid w:val="00EF0F70"/>
    <w:rsid w:val="00EF10BA"/>
    <w:rsid w:val="00EF123C"/>
    <w:rsid w:val="00EF14C8"/>
    <w:rsid w:val="00EF2251"/>
    <w:rsid w:val="00EF2388"/>
    <w:rsid w:val="00EF241B"/>
    <w:rsid w:val="00EF25B1"/>
    <w:rsid w:val="00EF2ACF"/>
    <w:rsid w:val="00EF2CDF"/>
    <w:rsid w:val="00EF38BD"/>
    <w:rsid w:val="00EF3C82"/>
    <w:rsid w:val="00EF4416"/>
    <w:rsid w:val="00EF48B1"/>
    <w:rsid w:val="00EF4CDA"/>
    <w:rsid w:val="00EF4D88"/>
    <w:rsid w:val="00EF50B5"/>
    <w:rsid w:val="00EF55C0"/>
    <w:rsid w:val="00EF55FE"/>
    <w:rsid w:val="00EF58DC"/>
    <w:rsid w:val="00EF5A2D"/>
    <w:rsid w:val="00EF5A89"/>
    <w:rsid w:val="00EF5E04"/>
    <w:rsid w:val="00EF64B3"/>
    <w:rsid w:val="00EF65FF"/>
    <w:rsid w:val="00EF6A04"/>
    <w:rsid w:val="00EF6DB2"/>
    <w:rsid w:val="00EF6E96"/>
    <w:rsid w:val="00EF78E6"/>
    <w:rsid w:val="00EF7B58"/>
    <w:rsid w:val="00EF7BBD"/>
    <w:rsid w:val="00EF7E6E"/>
    <w:rsid w:val="00F0024D"/>
    <w:rsid w:val="00F00C5D"/>
    <w:rsid w:val="00F00C5E"/>
    <w:rsid w:val="00F00D04"/>
    <w:rsid w:val="00F01064"/>
    <w:rsid w:val="00F01E1D"/>
    <w:rsid w:val="00F01FFA"/>
    <w:rsid w:val="00F02159"/>
    <w:rsid w:val="00F026F5"/>
    <w:rsid w:val="00F02D08"/>
    <w:rsid w:val="00F02DD6"/>
    <w:rsid w:val="00F0306A"/>
    <w:rsid w:val="00F030AA"/>
    <w:rsid w:val="00F030E5"/>
    <w:rsid w:val="00F04030"/>
    <w:rsid w:val="00F0470E"/>
    <w:rsid w:val="00F04C44"/>
    <w:rsid w:val="00F04E0C"/>
    <w:rsid w:val="00F05488"/>
    <w:rsid w:val="00F05882"/>
    <w:rsid w:val="00F05907"/>
    <w:rsid w:val="00F063C8"/>
    <w:rsid w:val="00F0650F"/>
    <w:rsid w:val="00F06DCD"/>
    <w:rsid w:val="00F07D64"/>
    <w:rsid w:val="00F104D7"/>
    <w:rsid w:val="00F10642"/>
    <w:rsid w:val="00F109A6"/>
    <w:rsid w:val="00F10AE3"/>
    <w:rsid w:val="00F10F31"/>
    <w:rsid w:val="00F112D0"/>
    <w:rsid w:val="00F11678"/>
    <w:rsid w:val="00F12045"/>
    <w:rsid w:val="00F12DC6"/>
    <w:rsid w:val="00F13309"/>
    <w:rsid w:val="00F135F3"/>
    <w:rsid w:val="00F136E5"/>
    <w:rsid w:val="00F13CEE"/>
    <w:rsid w:val="00F13D39"/>
    <w:rsid w:val="00F13E2A"/>
    <w:rsid w:val="00F141D0"/>
    <w:rsid w:val="00F1464C"/>
    <w:rsid w:val="00F152A9"/>
    <w:rsid w:val="00F15641"/>
    <w:rsid w:val="00F15AF1"/>
    <w:rsid w:val="00F160DF"/>
    <w:rsid w:val="00F16E86"/>
    <w:rsid w:val="00F1733D"/>
    <w:rsid w:val="00F20305"/>
    <w:rsid w:val="00F20564"/>
    <w:rsid w:val="00F20AB8"/>
    <w:rsid w:val="00F21876"/>
    <w:rsid w:val="00F225BE"/>
    <w:rsid w:val="00F225E7"/>
    <w:rsid w:val="00F23004"/>
    <w:rsid w:val="00F23022"/>
    <w:rsid w:val="00F2357A"/>
    <w:rsid w:val="00F23702"/>
    <w:rsid w:val="00F23DE3"/>
    <w:rsid w:val="00F247DA"/>
    <w:rsid w:val="00F24A48"/>
    <w:rsid w:val="00F24FFF"/>
    <w:rsid w:val="00F25058"/>
    <w:rsid w:val="00F2553F"/>
    <w:rsid w:val="00F25979"/>
    <w:rsid w:val="00F25A1D"/>
    <w:rsid w:val="00F25BCE"/>
    <w:rsid w:val="00F25F99"/>
    <w:rsid w:val="00F26314"/>
    <w:rsid w:val="00F26CB2"/>
    <w:rsid w:val="00F27105"/>
    <w:rsid w:val="00F278F4"/>
    <w:rsid w:val="00F27982"/>
    <w:rsid w:val="00F27C41"/>
    <w:rsid w:val="00F300FD"/>
    <w:rsid w:val="00F30239"/>
    <w:rsid w:val="00F30370"/>
    <w:rsid w:val="00F312CC"/>
    <w:rsid w:val="00F3196F"/>
    <w:rsid w:val="00F31F9B"/>
    <w:rsid w:val="00F32228"/>
    <w:rsid w:val="00F325AF"/>
    <w:rsid w:val="00F32AB1"/>
    <w:rsid w:val="00F32F4D"/>
    <w:rsid w:val="00F33209"/>
    <w:rsid w:val="00F3355C"/>
    <w:rsid w:val="00F344BF"/>
    <w:rsid w:val="00F345B8"/>
    <w:rsid w:val="00F353B3"/>
    <w:rsid w:val="00F35606"/>
    <w:rsid w:val="00F36111"/>
    <w:rsid w:val="00F36275"/>
    <w:rsid w:val="00F36577"/>
    <w:rsid w:val="00F369A2"/>
    <w:rsid w:val="00F36AD6"/>
    <w:rsid w:val="00F37248"/>
    <w:rsid w:val="00F3765E"/>
    <w:rsid w:val="00F378B3"/>
    <w:rsid w:val="00F379AD"/>
    <w:rsid w:val="00F40037"/>
    <w:rsid w:val="00F4030B"/>
    <w:rsid w:val="00F40311"/>
    <w:rsid w:val="00F407E9"/>
    <w:rsid w:val="00F41293"/>
    <w:rsid w:val="00F422F7"/>
    <w:rsid w:val="00F42333"/>
    <w:rsid w:val="00F42672"/>
    <w:rsid w:val="00F428DB"/>
    <w:rsid w:val="00F42D80"/>
    <w:rsid w:val="00F434A5"/>
    <w:rsid w:val="00F4377A"/>
    <w:rsid w:val="00F43BA6"/>
    <w:rsid w:val="00F43C88"/>
    <w:rsid w:val="00F43F49"/>
    <w:rsid w:val="00F442DF"/>
    <w:rsid w:val="00F444BA"/>
    <w:rsid w:val="00F44527"/>
    <w:rsid w:val="00F44880"/>
    <w:rsid w:val="00F45481"/>
    <w:rsid w:val="00F454D6"/>
    <w:rsid w:val="00F461C9"/>
    <w:rsid w:val="00F4629C"/>
    <w:rsid w:val="00F4665B"/>
    <w:rsid w:val="00F46974"/>
    <w:rsid w:val="00F46AF7"/>
    <w:rsid w:val="00F46B03"/>
    <w:rsid w:val="00F46F41"/>
    <w:rsid w:val="00F473E0"/>
    <w:rsid w:val="00F47862"/>
    <w:rsid w:val="00F50BC6"/>
    <w:rsid w:val="00F5100E"/>
    <w:rsid w:val="00F5114A"/>
    <w:rsid w:val="00F51633"/>
    <w:rsid w:val="00F519EC"/>
    <w:rsid w:val="00F52267"/>
    <w:rsid w:val="00F52469"/>
    <w:rsid w:val="00F527DC"/>
    <w:rsid w:val="00F52B66"/>
    <w:rsid w:val="00F52E64"/>
    <w:rsid w:val="00F532B2"/>
    <w:rsid w:val="00F5471C"/>
    <w:rsid w:val="00F54C4B"/>
    <w:rsid w:val="00F5565F"/>
    <w:rsid w:val="00F56254"/>
    <w:rsid w:val="00F5626B"/>
    <w:rsid w:val="00F56847"/>
    <w:rsid w:val="00F56F46"/>
    <w:rsid w:val="00F571C6"/>
    <w:rsid w:val="00F574A3"/>
    <w:rsid w:val="00F577AD"/>
    <w:rsid w:val="00F577D4"/>
    <w:rsid w:val="00F57FF7"/>
    <w:rsid w:val="00F60056"/>
    <w:rsid w:val="00F60260"/>
    <w:rsid w:val="00F60363"/>
    <w:rsid w:val="00F603E6"/>
    <w:rsid w:val="00F604DB"/>
    <w:rsid w:val="00F6089F"/>
    <w:rsid w:val="00F612B8"/>
    <w:rsid w:val="00F61CBB"/>
    <w:rsid w:val="00F620DA"/>
    <w:rsid w:val="00F62181"/>
    <w:rsid w:val="00F625E6"/>
    <w:rsid w:val="00F62A41"/>
    <w:rsid w:val="00F63639"/>
    <w:rsid w:val="00F63CDF"/>
    <w:rsid w:val="00F6426C"/>
    <w:rsid w:val="00F644EA"/>
    <w:rsid w:val="00F653F4"/>
    <w:rsid w:val="00F65BA6"/>
    <w:rsid w:val="00F65DAF"/>
    <w:rsid w:val="00F66491"/>
    <w:rsid w:val="00F6691E"/>
    <w:rsid w:val="00F66CF9"/>
    <w:rsid w:val="00F67016"/>
    <w:rsid w:val="00F67856"/>
    <w:rsid w:val="00F67A7C"/>
    <w:rsid w:val="00F70D13"/>
    <w:rsid w:val="00F724DC"/>
    <w:rsid w:val="00F7268B"/>
    <w:rsid w:val="00F7408E"/>
    <w:rsid w:val="00F74EE9"/>
    <w:rsid w:val="00F7505C"/>
    <w:rsid w:val="00F75134"/>
    <w:rsid w:val="00F753F4"/>
    <w:rsid w:val="00F75C42"/>
    <w:rsid w:val="00F768ED"/>
    <w:rsid w:val="00F76ABF"/>
    <w:rsid w:val="00F77578"/>
    <w:rsid w:val="00F77D72"/>
    <w:rsid w:val="00F803B6"/>
    <w:rsid w:val="00F81384"/>
    <w:rsid w:val="00F814F0"/>
    <w:rsid w:val="00F81942"/>
    <w:rsid w:val="00F82417"/>
    <w:rsid w:val="00F82465"/>
    <w:rsid w:val="00F824F4"/>
    <w:rsid w:val="00F827E3"/>
    <w:rsid w:val="00F836BA"/>
    <w:rsid w:val="00F83711"/>
    <w:rsid w:val="00F84782"/>
    <w:rsid w:val="00F847DD"/>
    <w:rsid w:val="00F84905"/>
    <w:rsid w:val="00F84D5E"/>
    <w:rsid w:val="00F854BC"/>
    <w:rsid w:val="00F859CD"/>
    <w:rsid w:val="00F85BCC"/>
    <w:rsid w:val="00F85BF1"/>
    <w:rsid w:val="00F85D53"/>
    <w:rsid w:val="00F85DDF"/>
    <w:rsid w:val="00F85E8F"/>
    <w:rsid w:val="00F86089"/>
    <w:rsid w:val="00F8664F"/>
    <w:rsid w:val="00F8686B"/>
    <w:rsid w:val="00F86D3A"/>
    <w:rsid w:val="00F8721A"/>
    <w:rsid w:val="00F87297"/>
    <w:rsid w:val="00F90083"/>
    <w:rsid w:val="00F904A0"/>
    <w:rsid w:val="00F90FE7"/>
    <w:rsid w:val="00F911DA"/>
    <w:rsid w:val="00F91339"/>
    <w:rsid w:val="00F915F1"/>
    <w:rsid w:val="00F91642"/>
    <w:rsid w:val="00F91D1D"/>
    <w:rsid w:val="00F91F86"/>
    <w:rsid w:val="00F9212D"/>
    <w:rsid w:val="00F922A8"/>
    <w:rsid w:val="00F925E9"/>
    <w:rsid w:val="00F92A75"/>
    <w:rsid w:val="00F92A80"/>
    <w:rsid w:val="00F92D4B"/>
    <w:rsid w:val="00F93722"/>
    <w:rsid w:val="00F93766"/>
    <w:rsid w:val="00F943A5"/>
    <w:rsid w:val="00F95313"/>
    <w:rsid w:val="00F957BB"/>
    <w:rsid w:val="00F957CC"/>
    <w:rsid w:val="00F95BA1"/>
    <w:rsid w:val="00F96833"/>
    <w:rsid w:val="00F96C25"/>
    <w:rsid w:val="00F96CB6"/>
    <w:rsid w:val="00F96F4C"/>
    <w:rsid w:val="00F971BD"/>
    <w:rsid w:val="00F971E3"/>
    <w:rsid w:val="00F97367"/>
    <w:rsid w:val="00F97946"/>
    <w:rsid w:val="00FA03FD"/>
    <w:rsid w:val="00FA0806"/>
    <w:rsid w:val="00FA09E0"/>
    <w:rsid w:val="00FA0BF6"/>
    <w:rsid w:val="00FA0CE9"/>
    <w:rsid w:val="00FA0EA8"/>
    <w:rsid w:val="00FA19E2"/>
    <w:rsid w:val="00FA2157"/>
    <w:rsid w:val="00FA266D"/>
    <w:rsid w:val="00FA32B6"/>
    <w:rsid w:val="00FA3566"/>
    <w:rsid w:val="00FA3BAE"/>
    <w:rsid w:val="00FA3C2A"/>
    <w:rsid w:val="00FA3D69"/>
    <w:rsid w:val="00FA41D9"/>
    <w:rsid w:val="00FA45EC"/>
    <w:rsid w:val="00FA4B3B"/>
    <w:rsid w:val="00FA5AE4"/>
    <w:rsid w:val="00FA5E9D"/>
    <w:rsid w:val="00FA60CB"/>
    <w:rsid w:val="00FA740D"/>
    <w:rsid w:val="00FB045C"/>
    <w:rsid w:val="00FB0463"/>
    <w:rsid w:val="00FB06AD"/>
    <w:rsid w:val="00FB09F2"/>
    <w:rsid w:val="00FB0B03"/>
    <w:rsid w:val="00FB0D06"/>
    <w:rsid w:val="00FB1456"/>
    <w:rsid w:val="00FB1676"/>
    <w:rsid w:val="00FB16C2"/>
    <w:rsid w:val="00FB1E9F"/>
    <w:rsid w:val="00FB209E"/>
    <w:rsid w:val="00FB2310"/>
    <w:rsid w:val="00FB2998"/>
    <w:rsid w:val="00FB3030"/>
    <w:rsid w:val="00FB3093"/>
    <w:rsid w:val="00FB3395"/>
    <w:rsid w:val="00FB34CB"/>
    <w:rsid w:val="00FB37DE"/>
    <w:rsid w:val="00FB3B2F"/>
    <w:rsid w:val="00FB3E7E"/>
    <w:rsid w:val="00FB481E"/>
    <w:rsid w:val="00FB4B91"/>
    <w:rsid w:val="00FB4C9F"/>
    <w:rsid w:val="00FB535E"/>
    <w:rsid w:val="00FB53A1"/>
    <w:rsid w:val="00FB5691"/>
    <w:rsid w:val="00FB576E"/>
    <w:rsid w:val="00FB5C30"/>
    <w:rsid w:val="00FB6621"/>
    <w:rsid w:val="00FB6FB3"/>
    <w:rsid w:val="00FB771E"/>
    <w:rsid w:val="00FB7946"/>
    <w:rsid w:val="00FB7B1D"/>
    <w:rsid w:val="00FC0218"/>
    <w:rsid w:val="00FC04FB"/>
    <w:rsid w:val="00FC05B0"/>
    <w:rsid w:val="00FC0946"/>
    <w:rsid w:val="00FC0981"/>
    <w:rsid w:val="00FC09D4"/>
    <w:rsid w:val="00FC0A19"/>
    <w:rsid w:val="00FC1338"/>
    <w:rsid w:val="00FC13EC"/>
    <w:rsid w:val="00FC1667"/>
    <w:rsid w:val="00FC2559"/>
    <w:rsid w:val="00FC2607"/>
    <w:rsid w:val="00FC3305"/>
    <w:rsid w:val="00FC347A"/>
    <w:rsid w:val="00FC3F3D"/>
    <w:rsid w:val="00FC40AE"/>
    <w:rsid w:val="00FC4318"/>
    <w:rsid w:val="00FC4421"/>
    <w:rsid w:val="00FC4831"/>
    <w:rsid w:val="00FC5A84"/>
    <w:rsid w:val="00FC6116"/>
    <w:rsid w:val="00FC6A4E"/>
    <w:rsid w:val="00FC6C73"/>
    <w:rsid w:val="00FC6E98"/>
    <w:rsid w:val="00FC72EF"/>
    <w:rsid w:val="00FD03D7"/>
    <w:rsid w:val="00FD09D7"/>
    <w:rsid w:val="00FD09F6"/>
    <w:rsid w:val="00FD1399"/>
    <w:rsid w:val="00FD1C58"/>
    <w:rsid w:val="00FD2A43"/>
    <w:rsid w:val="00FD384F"/>
    <w:rsid w:val="00FD3F8E"/>
    <w:rsid w:val="00FD46DC"/>
    <w:rsid w:val="00FD4839"/>
    <w:rsid w:val="00FD6831"/>
    <w:rsid w:val="00FD753D"/>
    <w:rsid w:val="00FD7876"/>
    <w:rsid w:val="00FE03C9"/>
    <w:rsid w:val="00FE054C"/>
    <w:rsid w:val="00FE0F03"/>
    <w:rsid w:val="00FE12B6"/>
    <w:rsid w:val="00FE12E8"/>
    <w:rsid w:val="00FE1916"/>
    <w:rsid w:val="00FE1A0C"/>
    <w:rsid w:val="00FE285A"/>
    <w:rsid w:val="00FE2A3D"/>
    <w:rsid w:val="00FE2DF8"/>
    <w:rsid w:val="00FE303B"/>
    <w:rsid w:val="00FE3319"/>
    <w:rsid w:val="00FE3AD6"/>
    <w:rsid w:val="00FE3D36"/>
    <w:rsid w:val="00FE4494"/>
    <w:rsid w:val="00FE44C9"/>
    <w:rsid w:val="00FE47B1"/>
    <w:rsid w:val="00FE47E8"/>
    <w:rsid w:val="00FE4876"/>
    <w:rsid w:val="00FE487D"/>
    <w:rsid w:val="00FE5106"/>
    <w:rsid w:val="00FE5787"/>
    <w:rsid w:val="00FE586F"/>
    <w:rsid w:val="00FE6307"/>
    <w:rsid w:val="00FE6543"/>
    <w:rsid w:val="00FE6C19"/>
    <w:rsid w:val="00FE6F09"/>
    <w:rsid w:val="00FE750A"/>
    <w:rsid w:val="00FE763D"/>
    <w:rsid w:val="00FE7B51"/>
    <w:rsid w:val="00FE7C48"/>
    <w:rsid w:val="00FF0A79"/>
    <w:rsid w:val="00FF0B13"/>
    <w:rsid w:val="00FF0C30"/>
    <w:rsid w:val="00FF0F99"/>
    <w:rsid w:val="00FF1061"/>
    <w:rsid w:val="00FF1431"/>
    <w:rsid w:val="00FF1B10"/>
    <w:rsid w:val="00FF2425"/>
    <w:rsid w:val="00FF2B7A"/>
    <w:rsid w:val="00FF36E0"/>
    <w:rsid w:val="00FF378E"/>
    <w:rsid w:val="00FF4294"/>
    <w:rsid w:val="00FF46E2"/>
    <w:rsid w:val="00FF46E9"/>
    <w:rsid w:val="00FF47FD"/>
    <w:rsid w:val="00FF4C3A"/>
    <w:rsid w:val="00FF5631"/>
    <w:rsid w:val="00FF574B"/>
    <w:rsid w:val="00FF5A84"/>
    <w:rsid w:val="00FF6383"/>
    <w:rsid w:val="00FF6572"/>
    <w:rsid w:val="00FF69E1"/>
    <w:rsid w:val="00FF7340"/>
    <w:rsid w:val="00FF7B0E"/>
    <w:rsid w:val="00FF7B6B"/>
    <w:rsid w:val="00FF7D2A"/>
    <w:rsid w:val="00FF7DA8"/>
    <w:rsid w:val="00FF7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FE6D"/>
  <w15:chartTrackingRefBased/>
  <w15:docId w15:val="{666E4489-BAD4-4C89-A253-F2ADEE89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w:eastAsiaTheme="minorHAnsi" w:hAnsi="ITC Avant Garde" w:cstheme="minorBidi"/>
        <w:sz w:val="22"/>
        <w:szCs w:val="22"/>
        <w:lang w:val="es-MX"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C64"/>
  </w:style>
  <w:style w:type="paragraph" w:styleId="Ttulo1">
    <w:name w:val="heading 1"/>
    <w:basedOn w:val="Normal"/>
    <w:next w:val="Normal"/>
    <w:link w:val="Ttulo1Car"/>
    <w:uiPriority w:val="9"/>
    <w:qFormat/>
    <w:rsid w:val="00C67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ítulo Tema"/>
    <w:basedOn w:val="Normal"/>
    <w:next w:val="Normal"/>
    <w:link w:val="Ttulo2Car"/>
    <w:uiPriority w:val="9"/>
    <w:unhideWhenUsed/>
    <w:qFormat/>
    <w:rsid w:val="0095410C"/>
    <w:pPr>
      <w:keepNext/>
      <w:keepLines/>
      <w:spacing w:before="360" w:after="240"/>
      <w:ind w:left="567" w:hanging="357"/>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541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41508"/>
    <w:pPr>
      <w:keepNext/>
      <w:keepLines/>
      <w:spacing w:before="40" w:after="0" w:line="259" w:lineRule="auto"/>
      <w:jc w:val="left"/>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3D48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aliases w:val="Cita_DGCE,Nota_Pie_DGCE"/>
    <w:basedOn w:val="Normal"/>
    <w:next w:val="Normal"/>
    <w:link w:val="CitaCar"/>
    <w:autoRedefine/>
    <w:uiPriority w:val="29"/>
    <w:qFormat/>
    <w:rsid w:val="001572EF"/>
    <w:pPr>
      <w:spacing w:before="0" w:after="0"/>
      <w:ind w:left="567"/>
    </w:pPr>
    <w:rPr>
      <w:rFonts w:ascii="Arial" w:hAnsi="Arial" w:cs="Arial"/>
      <w:i/>
      <w:iCs/>
      <w:sz w:val="20"/>
    </w:rPr>
  </w:style>
  <w:style w:type="character" w:customStyle="1" w:styleId="CitaCar">
    <w:name w:val="Cita Car"/>
    <w:aliases w:val="Cita_DGCE Car,Nota_Pie_DGCE Car"/>
    <w:basedOn w:val="Fuentedeprrafopredeter"/>
    <w:link w:val="Cita"/>
    <w:uiPriority w:val="29"/>
    <w:rsid w:val="001572EF"/>
    <w:rPr>
      <w:rFonts w:ascii="Arial" w:hAnsi="Arial" w:cs="Arial"/>
      <w:i/>
      <w:iCs/>
      <w:sz w:val="20"/>
    </w:rPr>
  </w:style>
  <w:style w:type="character" w:customStyle="1" w:styleId="Ttulo2Car">
    <w:name w:val="Título 2 Car"/>
    <w:aliases w:val="Título Tema Car"/>
    <w:basedOn w:val="Fuentedeprrafopredeter"/>
    <w:link w:val="Ttulo2"/>
    <w:uiPriority w:val="9"/>
    <w:rsid w:val="0095410C"/>
    <w:rPr>
      <w:rFonts w:eastAsiaTheme="majorEastAsia" w:cstheme="majorBidi"/>
      <w:b/>
      <w:szCs w:val="26"/>
    </w:rPr>
  </w:style>
  <w:style w:type="paragraph" w:customStyle="1" w:styleId="Subtema">
    <w:name w:val="Subtema"/>
    <w:basedOn w:val="Ttulo2"/>
    <w:link w:val="SubtemaCar"/>
    <w:qFormat/>
    <w:rsid w:val="009F3A11"/>
    <w:pPr>
      <w:numPr>
        <w:numId w:val="1"/>
      </w:numPr>
      <w:spacing w:after="0"/>
    </w:pPr>
  </w:style>
  <w:style w:type="character" w:customStyle="1" w:styleId="SubtemaCar">
    <w:name w:val="Subtema Car"/>
    <w:basedOn w:val="Ttulo2Car"/>
    <w:link w:val="Subtema"/>
    <w:rsid w:val="0095410C"/>
    <w:rPr>
      <w:rFonts w:eastAsiaTheme="majorEastAsia" w:cstheme="majorBidi"/>
      <w:b/>
      <w:szCs w:val="26"/>
    </w:rPr>
  </w:style>
  <w:style w:type="paragraph" w:customStyle="1" w:styleId="subsubtema">
    <w:name w:val="sub subtema"/>
    <w:basedOn w:val="Ttulo3"/>
    <w:link w:val="subsubtemaCar"/>
    <w:rsid w:val="00264454"/>
    <w:pPr>
      <w:spacing w:before="240" w:after="120"/>
      <w:ind w:left="1701" w:hanging="360"/>
    </w:pPr>
    <w:rPr>
      <w:rFonts w:ascii="ITC Avant Garde" w:hAnsi="ITC Avant Garde"/>
      <w:b/>
      <w:color w:val="auto"/>
      <w:sz w:val="22"/>
    </w:rPr>
  </w:style>
  <w:style w:type="character" w:customStyle="1" w:styleId="subsubtemaCar">
    <w:name w:val="sub subtema Car"/>
    <w:basedOn w:val="Ttulo3Car"/>
    <w:link w:val="subsubtema"/>
    <w:rsid w:val="00264454"/>
    <w:rPr>
      <w:rFonts w:asciiTheme="majorHAnsi" w:eastAsiaTheme="majorEastAsia" w:hAnsiTheme="majorHAnsi" w:cstheme="majorBidi"/>
      <w:b/>
      <w:color w:val="1F4D78" w:themeColor="accent1" w:themeShade="7F"/>
      <w:sz w:val="24"/>
      <w:szCs w:val="24"/>
    </w:rPr>
  </w:style>
  <w:style w:type="character" w:customStyle="1" w:styleId="Ttulo3Car">
    <w:name w:val="Título 3 Car"/>
    <w:basedOn w:val="Fuentedeprrafopredeter"/>
    <w:link w:val="Ttulo3"/>
    <w:uiPriority w:val="9"/>
    <w:rsid w:val="0095410C"/>
    <w:rPr>
      <w:rFonts w:asciiTheme="majorHAnsi" w:eastAsiaTheme="majorEastAsia" w:hAnsiTheme="majorHAnsi" w:cstheme="majorBidi"/>
      <w:color w:val="1F4D78" w:themeColor="accent1" w:themeShade="7F"/>
      <w:sz w:val="24"/>
      <w:szCs w:val="24"/>
    </w:rPr>
  </w:style>
  <w:style w:type="character" w:styleId="Refdenotaalpie">
    <w:name w:val="footnote reference"/>
    <w:aliases w:val="Ref,de nota al pie,(NECG) Footnote Reference,o,fr,Style 3,Appel note de bas de p,Style 12,Style 124,Ref. de nota al pie 2,Footnotes refss,Texto de nota al pie,Appel note de bas de page,referencia nota al pie,BVI fnr,Footnote number,f"/>
    <w:basedOn w:val="Fuentedeprrafopredeter"/>
    <w:uiPriority w:val="99"/>
    <w:unhideWhenUsed/>
    <w:qFormat/>
    <w:rsid w:val="00442F1E"/>
    <w:rPr>
      <w:vertAlign w:val="superscript"/>
    </w:rPr>
  </w:style>
  <w:style w:type="character" w:styleId="Hipervnculo">
    <w:name w:val="Hyperlink"/>
    <w:basedOn w:val="Fuentedeprrafopredeter"/>
    <w:uiPriority w:val="99"/>
    <w:unhideWhenUsed/>
    <w:rsid w:val="00442F1E"/>
    <w:rPr>
      <w:color w:val="0563C1" w:themeColor="hyperlink"/>
      <w:u w:val="single"/>
    </w:rPr>
  </w:style>
  <w:style w:type="character" w:customStyle="1" w:styleId="Ttulo1Car">
    <w:name w:val="Título 1 Car"/>
    <w:basedOn w:val="Fuentedeprrafopredeter"/>
    <w:link w:val="Ttulo1"/>
    <w:uiPriority w:val="9"/>
    <w:rsid w:val="00C6781C"/>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9C5EAE"/>
    <w:pPr>
      <w:spacing w:after="100"/>
    </w:pPr>
    <w:rPr>
      <w:rFonts w:ascii="Arial" w:hAnsi="Arial"/>
    </w:rPr>
  </w:style>
  <w:style w:type="paragraph" w:styleId="TDC2">
    <w:name w:val="toc 2"/>
    <w:basedOn w:val="Normal"/>
    <w:next w:val="Normal"/>
    <w:autoRedefine/>
    <w:uiPriority w:val="39"/>
    <w:unhideWhenUsed/>
    <w:rsid w:val="009C5EAE"/>
    <w:pPr>
      <w:spacing w:after="100"/>
      <w:ind w:left="220"/>
    </w:pPr>
    <w:rPr>
      <w:rFonts w:ascii="Arial" w:hAnsi="Arial"/>
    </w:rPr>
  </w:style>
  <w:style w:type="table" w:styleId="Tablaconcuadrcula">
    <w:name w:val="Table Grid"/>
    <w:basedOn w:val="Tablanormal"/>
    <w:uiPriority w:val="39"/>
    <w:rsid w:val="00C6781C"/>
    <w:pPr>
      <w:spacing w:before="0" w:after="0" w:line="240" w:lineRule="auto"/>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Texto">
    <w:name w:val="TablaTexto"/>
    <w:link w:val="TablaTextoCar"/>
    <w:qFormat/>
    <w:rsid w:val="00C6781C"/>
    <w:pPr>
      <w:spacing w:before="0" w:after="0" w:line="240" w:lineRule="auto"/>
    </w:pPr>
  </w:style>
  <w:style w:type="character" w:customStyle="1" w:styleId="TablaTextoCar">
    <w:name w:val="TablaTexto Car"/>
    <w:basedOn w:val="Fuentedeprrafopredeter"/>
    <w:link w:val="TablaTexto"/>
    <w:rsid w:val="00C6781C"/>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234762"/>
    <w:pPr>
      <w:ind w:left="720"/>
      <w:contextualSpacing/>
    </w:p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234762"/>
  </w:style>
  <w:style w:type="paragraph" w:styleId="Textodeglobo">
    <w:name w:val="Balloon Text"/>
    <w:basedOn w:val="Normal"/>
    <w:link w:val="TextodegloboCar"/>
    <w:uiPriority w:val="99"/>
    <w:semiHidden/>
    <w:unhideWhenUsed/>
    <w:rsid w:val="00AE6962"/>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962"/>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925B65"/>
    <w:pPr>
      <w:spacing w:before="0"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25B65"/>
    <w:rPr>
      <w:sz w:val="20"/>
      <w:szCs w:val="20"/>
    </w:rPr>
  </w:style>
  <w:style w:type="paragraph" w:customStyle="1" w:styleId="NotaPie">
    <w:name w:val="Nota_Pie"/>
    <w:autoRedefine/>
    <w:rsid w:val="00FC05B0"/>
    <w:pPr>
      <w:spacing w:before="0" w:after="0" w:line="240" w:lineRule="auto"/>
    </w:pPr>
    <w:rPr>
      <w:rFonts w:ascii="Arial" w:hAnsi="Arial" w:cs="Arial"/>
      <w:sz w:val="14"/>
      <w:szCs w:val="14"/>
    </w:rPr>
  </w:style>
  <w:style w:type="character" w:styleId="Refdecomentario">
    <w:name w:val="annotation reference"/>
    <w:basedOn w:val="Fuentedeprrafopredeter"/>
    <w:uiPriority w:val="99"/>
    <w:semiHidden/>
    <w:unhideWhenUsed/>
    <w:rsid w:val="00264454"/>
    <w:rPr>
      <w:sz w:val="16"/>
      <w:szCs w:val="16"/>
    </w:rPr>
  </w:style>
  <w:style w:type="paragraph" w:styleId="Textocomentario">
    <w:name w:val="annotation text"/>
    <w:basedOn w:val="Normal"/>
    <w:link w:val="TextocomentarioCar"/>
    <w:uiPriority w:val="99"/>
    <w:unhideWhenUsed/>
    <w:rsid w:val="00264454"/>
    <w:pPr>
      <w:spacing w:line="240" w:lineRule="auto"/>
    </w:pPr>
    <w:rPr>
      <w:sz w:val="20"/>
      <w:szCs w:val="20"/>
    </w:rPr>
  </w:style>
  <w:style w:type="character" w:customStyle="1" w:styleId="TextocomentarioCar">
    <w:name w:val="Texto comentario Car"/>
    <w:basedOn w:val="Fuentedeprrafopredeter"/>
    <w:link w:val="Textocomentario"/>
    <w:uiPriority w:val="99"/>
    <w:rsid w:val="00264454"/>
    <w:rPr>
      <w:sz w:val="20"/>
      <w:szCs w:val="20"/>
    </w:rPr>
  </w:style>
  <w:style w:type="paragraph" w:styleId="Asuntodelcomentario">
    <w:name w:val="annotation subject"/>
    <w:basedOn w:val="Textocomentario"/>
    <w:next w:val="Textocomentario"/>
    <w:link w:val="AsuntodelcomentarioCar"/>
    <w:uiPriority w:val="99"/>
    <w:semiHidden/>
    <w:unhideWhenUsed/>
    <w:rsid w:val="00264454"/>
    <w:rPr>
      <w:b/>
      <w:bCs/>
    </w:rPr>
  </w:style>
  <w:style w:type="character" w:customStyle="1" w:styleId="AsuntodelcomentarioCar">
    <w:name w:val="Asunto del comentario Car"/>
    <w:basedOn w:val="TextocomentarioCar"/>
    <w:link w:val="Asuntodelcomentario"/>
    <w:uiPriority w:val="99"/>
    <w:semiHidden/>
    <w:rsid w:val="00264454"/>
    <w:rPr>
      <w:b/>
      <w:bCs/>
      <w:sz w:val="20"/>
      <w:szCs w:val="20"/>
    </w:rPr>
  </w:style>
  <w:style w:type="paragraph" w:styleId="Encabezado">
    <w:name w:val="header"/>
    <w:basedOn w:val="Normal"/>
    <w:link w:val="EncabezadoCar"/>
    <w:uiPriority w:val="99"/>
    <w:unhideWhenUsed/>
    <w:rsid w:val="00801A6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01A6C"/>
  </w:style>
  <w:style w:type="paragraph" w:styleId="Piedepgina">
    <w:name w:val="footer"/>
    <w:basedOn w:val="Normal"/>
    <w:link w:val="PiedepginaCar"/>
    <w:uiPriority w:val="99"/>
    <w:unhideWhenUsed/>
    <w:rsid w:val="00801A6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01A6C"/>
  </w:style>
  <w:style w:type="character" w:styleId="Hipervnculovisitado">
    <w:name w:val="FollowedHyperlink"/>
    <w:basedOn w:val="Fuentedeprrafopredeter"/>
    <w:uiPriority w:val="99"/>
    <w:semiHidden/>
    <w:unhideWhenUsed/>
    <w:rsid w:val="00E55B8F"/>
    <w:rPr>
      <w:color w:val="954F72" w:themeColor="followedHyperlink"/>
      <w:u w:val="single"/>
    </w:rPr>
  </w:style>
  <w:style w:type="paragraph" w:styleId="Revisin">
    <w:name w:val="Revision"/>
    <w:hidden/>
    <w:uiPriority w:val="99"/>
    <w:semiHidden/>
    <w:rsid w:val="00541E96"/>
    <w:pPr>
      <w:spacing w:before="0" w:after="0" w:line="240" w:lineRule="auto"/>
      <w:jc w:val="left"/>
    </w:pPr>
  </w:style>
  <w:style w:type="table" w:customStyle="1" w:styleId="Tablaconcuadrcula1">
    <w:name w:val="Tabla con cuadrícula1"/>
    <w:basedOn w:val="Tablanormal"/>
    <w:next w:val="Tablaconcuadrcula"/>
    <w:uiPriority w:val="39"/>
    <w:rsid w:val="004C0C64"/>
    <w:pPr>
      <w:spacing w:before="0" w:after="0" w:line="240" w:lineRule="auto"/>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7219"/>
    <w:pPr>
      <w:spacing w:before="0" w:after="100" w:line="256" w:lineRule="auto"/>
      <w:ind w:left="440"/>
      <w:jc w:val="left"/>
    </w:pPr>
    <w:rPr>
      <w:rFonts w:ascii="Arial" w:hAnsi="Arial"/>
    </w:rPr>
  </w:style>
  <w:style w:type="character" w:customStyle="1" w:styleId="Ttulo4Car">
    <w:name w:val="Título 4 Car"/>
    <w:basedOn w:val="Fuentedeprrafopredeter"/>
    <w:link w:val="Ttulo4"/>
    <w:uiPriority w:val="9"/>
    <w:rsid w:val="00041508"/>
    <w:rPr>
      <w:rFonts w:asciiTheme="majorHAnsi" w:eastAsiaTheme="majorEastAsia" w:hAnsiTheme="majorHAnsi" w:cstheme="majorBidi"/>
      <w:i/>
      <w:iCs/>
      <w:color w:val="2E74B5" w:themeColor="accent1" w:themeShade="BF"/>
    </w:rPr>
  </w:style>
  <w:style w:type="paragraph" w:styleId="TDC4">
    <w:name w:val="toc 4"/>
    <w:basedOn w:val="Normal"/>
    <w:next w:val="Normal"/>
    <w:autoRedefine/>
    <w:uiPriority w:val="39"/>
    <w:unhideWhenUsed/>
    <w:rsid w:val="007B68B1"/>
    <w:pPr>
      <w:spacing w:after="100"/>
      <w:ind w:left="660"/>
    </w:pPr>
    <w:rPr>
      <w:rFonts w:ascii="Arial" w:hAnsi="Arial"/>
    </w:rPr>
  </w:style>
  <w:style w:type="paragraph" w:customStyle="1" w:styleId="subSubtema0">
    <w:name w:val="sub_Subtema"/>
    <w:basedOn w:val="Ttulo3"/>
    <w:link w:val="subSubtemaCar0"/>
    <w:qFormat/>
    <w:rsid w:val="00357081"/>
    <w:pPr>
      <w:spacing w:before="240" w:after="120"/>
      <w:ind w:left="1701" w:hanging="720"/>
    </w:pPr>
    <w:rPr>
      <w:b/>
    </w:rPr>
  </w:style>
  <w:style w:type="character" w:customStyle="1" w:styleId="subSubtemaCar0">
    <w:name w:val="sub_Subtema Car"/>
    <w:basedOn w:val="Ttulo3Car"/>
    <w:link w:val="subSubtema0"/>
    <w:rsid w:val="00357081"/>
    <w:rPr>
      <w:rFonts w:asciiTheme="majorHAnsi" w:eastAsiaTheme="majorEastAsia" w:hAnsiTheme="majorHAnsi" w:cstheme="majorBidi"/>
      <w:b/>
      <w:color w:val="1F4D78" w:themeColor="accent1" w:themeShade="7F"/>
      <w:sz w:val="24"/>
      <w:szCs w:val="24"/>
    </w:rPr>
  </w:style>
  <w:style w:type="paragraph" w:styleId="TtuloTDC">
    <w:name w:val="TOC Heading"/>
    <w:basedOn w:val="Ttulo1"/>
    <w:next w:val="Normal"/>
    <w:uiPriority w:val="39"/>
    <w:unhideWhenUsed/>
    <w:qFormat/>
    <w:rsid w:val="00357081"/>
    <w:pPr>
      <w:spacing w:line="259" w:lineRule="auto"/>
      <w:jc w:val="left"/>
      <w:outlineLvl w:val="9"/>
    </w:pPr>
    <w:rPr>
      <w:rFonts w:ascii="ITC Avant Garde" w:hAnsi="ITC Avant Garde"/>
      <w:b/>
      <w:color w:val="auto"/>
      <w:sz w:val="22"/>
      <w:lang w:eastAsia="es-MX"/>
    </w:rPr>
  </w:style>
  <w:style w:type="paragraph" w:styleId="Descripcin">
    <w:name w:val="caption"/>
    <w:basedOn w:val="Normal"/>
    <w:next w:val="Normal"/>
    <w:uiPriority w:val="35"/>
    <w:unhideWhenUsed/>
    <w:qFormat/>
    <w:rsid w:val="00357081"/>
    <w:pPr>
      <w:spacing w:before="0" w:after="200" w:line="240" w:lineRule="auto"/>
    </w:pPr>
    <w:rPr>
      <w:i/>
      <w:iCs/>
      <w:color w:val="44546A" w:themeColor="text2"/>
      <w:sz w:val="18"/>
      <w:szCs w:val="18"/>
    </w:rPr>
  </w:style>
  <w:style w:type="paragraph" w:styleId="NormalWeb">
    <w:name w:val="Normal (Web)"/>
    <w:basedOn w:val="Normal"/>
    <w:uiPriority w:val="99"/>
    <w:unhideWhenUsed/>
    <w:rsid w:val="00357081"/>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Default">
    <w:name w:val="Default"/>
    <w:rsid w:val="00357081"/>
    <w:pPr>
      <w:autoSpaceDE w:val="0"/>
      <w:autoSpaceDN w:val="0"/>
      <w:adjustRightInd w:val="0"/>
      <w:spacing w:before="0" w:after="0" w:line="240" w:lineRule="auto"/>
      <w:jc w:val="left"/>
    </w:pPr>
    <w:rPr>
      <w:rFonts w:ascii="Arial" w:hAnsi="Arial" w:cs="Arial"/>
      <w:color w:val="000000"/>
      <w:sz w:val="24"/>
      <w:szCs w:val="24"/>
    </w:rPr>
  </w:style>
  <w:style w:type="paragraph" w:customStyle="1" w:styleId="Pa8">
    <w:name w:val="Pa8"/>
    <w:basedOn w:val="Default"/>
    <w:next w:val="Default"/>
    <w:uiPriority w:val="99"/>
    <w:rsid w:val="00357081"/>
    <w:pPr>
      <w:spacing w:line="241" w:lineRule="atLeast"/>
    </w:pPr>
    <w:rPr>
      <w:rFonts w:ascii="Humanst521 BT" w:hAnsi="Humanst521 BT" w:cstheme="minorBidi"/>
      <w:color w:val="auto"/>
    </w:rPr>
  </w:style>
  <w:style w:type="paragraph" w:customStyle="1" w:styleId="Pa10">
    <w:name w:val="Pa10"/>
    <w:basedOn w:val="Default"/>
    <w:next w:val="Default"/>
    <w:uiPriority w:val="99"/>
    <w:rsid w:val="00357081"/>
    <w:pPr>
      <w:spacing w:line="241" w:lineRule="atLeast"/>
    </w:pPr>
    <w:rPr>
      <w:rFonts w:ascii="Humanst521 BT" w:hAnsi="Humanst521 BT" w:cstheme="minorBidi"/>
      <w:color w:val="auto"/>
    </w:rPr>
  </w:style>
  <w:style w:type="character" w:customStyle="1" w:styleId="A6">
    <w:name w:val="A6"/>
    <w:uiPriority w:val="99"/>
    <w:rsid w:val="00357081"/>
    <w:rPr>
      <w:rFonts w:cs="Humanst521 BT"/>
      <w:color w:val="211D1E"/>
    </w:rPr>
  </w:style>
  <w:style w:type="character" w:customStyle="1" w:styleId="A1">
    <w:name w:val="A1"/>
    <w:uiPriority w:val="99"/>
    <w:rsid w:val="00357081"/>
    <w:rPr>
      <w:rFonts w:cs="Humanst521 BT"/>
      <w:color w:val="0000FF"/>
      <w:u w:val="single"/>
    </w:rPr>
  </w:style>
  <w:style w:type="paragraph" w:customStyle="1" w:styleId="Notaalpie">
    <w:name w:val="Nota al pie"/>
    <w:basedOn w:val="Textonotapie"/>
    <w:link w:val="NotaalpieCar"/>
    <w:autoRedefine/>
    <w:qFormat/>
    <w:rsid w:val="00162DD3"/>
    <w:rPr>
      <w:rFonts w:ascii="Arial" w:hAnsi="Arial" w:cs="Arial"/>
      <w:sz w:val="14"/>
      <w:szCs w:val="14"/>
    </w:rPr>
  </w:style>
  <w:style w:type="character" w:customStyle="1" w:styleId="NotaalpieCar">
    <w:name w:val="Nota al pie Car"/>
    <w:basedOn w:val="TextonotapieCar"/>
    <w:link w:val="Notaalpie"/>
    <w:rsid w:val="00E73B44"/>
    <w:rPr>
      <w:rFonts w:ascii="Arial" w:hAnsi="Arial" w:cs="Arial"/>
      <w:sz w:val="14"/>
      <w:szCs w:val="14"/>
    </w:rPr>
  </w:style>
  <w:style w:type="character" w:customStyle="1" w:styleId="Cuerpodeltexto">
    <w:name w:val="Cuerpo del texto_"/>
    <w:basedOn w:val="Fuentedeprrafopredeter"/>
    <w:link w:val="Cuerpodeltexto0"/>
    <w:rsid w:val="002A21FD"/>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2A21FD"/>
    <w:pPr>
      <w:widowControl w:val="0"/>
      <w:shd w:val="clear" w:color="auto" w:fill="FFFFFF"/>
      <w:spacing w:before="240" w:after="240" w:line="277" w:lineRule="exact"/>
    </w:pPr>
    <w:rPr>
      <w:rFonts w:ascii="Arial" w:eastAsia="Arial" w:hAnsi="Arial" w:cs="Arial"/>
      <w:sz w:val="23"/>
      <w:szCs w:val="23"/>
    </w:rPr>
  </w:style>
  <w:style w:type="character" w:customStyle="1" w:styleId="Ttulo5Car">
    <w:name w:val="Título 5 Car"/>
    <w:basedOn w:val="Fuentedeprrafopredeter"/>
    <w:link w:val="Ttulo5"/>
    <w:uiPriority w:val="9"/>
    <w:rsid w:val="003D4840"/>
    <w:rPr>
      <w:rFonts w:asciiTheme="majorHAnsi" w:eastAsiaTheme="majorEastAsia" w:hAnsiTheme="majorHAnsi" w:cstheme="majorBidi"/>
      <w:color w:val="2E74B5" w:themeColor="accent1" w:themeShade="BF"/>
    </w:rPr>
  </w:style>
  <w:style w:type="character" w:customStyle="1" w:styleId="pintarlink">
    <w:name w:val="pintarlink"/>
    <w:basedOn w:val="Fuentedeprrafopredeter"/>
    <w:rsid w:val="003A19DD"/>
  </w:style>
  <w:style w:type="paragraph" w:styleId="HTMLconformatoprevio">
    <w:name w:val="HTML Preformatted"/>
    <w:basedOn w:val="Normal"/>
    <w:link w:val="HTMLconformatoprevioCar"/>
    <w:uiPriority w:val="99"/>
    <w:semiHidden/>
    <w:unhideWhenUsed/>
    <w:rsid w:val="00010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105A9"/>
    <w:rPr>
      <w:rFonts w:ascii="Courier New" w:eastAsia="Times New Roman" w:hAnsi="Courier New" w:cs="Courier New"/>
      <w:sz w:val="20"/>
      <w:szCs w:val="20"/>
      <w:lang w:eastAsia="es-MX"/>
    </w:rPr>
  </w:style>
  <w:style w:type="character" w:styleId="nfasis">
    <w:name w:val="Emphasis"/>
    <w:basedOn w:val="Fuentedeprrafopredeter"/>
    <w:uiPriority w:val="20"/>
    <w:qFormat/>
    <w:rsid w:val="00BE2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3196">
      <w:bodyDiv w:val="1"/>
      <w:marLeft w:val="0"/>
      <w:marRight w:val="0"/>
      <w:marTop w:val="0"/>
      <w:marBottom w:val="0"/>
      <w:divBdr>
        <w:top w:val="none" w:sz="0" w:space="0" w:color="auto"/>
        <w:left w:val="none" w:sz="0" w:space="0" w:color="auto"/>
        <w:bottom w:val="none" w:sz="0" w:space="0" w:color="auto"/>
        <w:right w:val="none" w:sz="0" w:space="0" w:color="auto"/>
      </w:divBdr>
    </w:div>
    <w:div w:id="401483790">
      <w:bodyDiv w:val="1"/>
      <w:marLeft w:val="0"/>
      <w:marRight w:val="0"/>
      <w:marTop w:val="0"/>
      <w:marBottom w:val="0"/>
      <w:divBdr>
        <w:top w:val="none" w:sz="0" w:space="0" w:color="auto"/>
        <w:left w:val="none" w:sz="0" w:space="0" w:color="auto"/>
        <w:bottom w:val="none" w:sz="0" w:space="0" w:color="auto"/>
        <w:right w:val="none" w:sz="0" w:space="0" w:color="auto"/>
      </w:divBdr>
    </w:div>
    <w:div w:id="443159621">
      <w:bodyDiv w:val="1"/>
      <w:marLeft w:val="0"/>
      <w:marRight w:val="0"/>
      <w:marTop w:val="0"/>
      <w:marBottom w:val="0"/>
      <w:divBdr>
        <w:top w:val="none" w:sz="0" w:space="0" w:color="auto"/>
        <w:left w:val="none" w:sz="0" w:space="0" w:color="auto"/>
        <w:bottom w:val="none" w:sz="0" w:space="0" w:color="auto"/>
        <w:right w:val="none" w:sz="0" w:space="0" w:color="auto"/>
      </w:divBdr>
    </w:div>
    <w:div w:id="971980702">
      <w:bodyDiv w:val="1"/>
      <w:marLeft w:val="0"/>
      <w:marRight w:val="0"/>
      <w:marTop w:val="0"/>
      <w:marBottom w:val="0"/>
      <w:divBdr>
        <w:top w:val="none" w:sz="0" w:space="0" w:color="auto"/>
        <w:left w:val="none" w:sz="0" w:space="0" w:color="auto"/>
        <w:bottom w:val="none" w:sz="0" w:space="0" w:color="auto"/>
        <w:right w:val="none" w:sz="0" w:space="0" w:color="auto"/>
      </w:divBdr>
      <w:divsChild>
        <w:div w:id="1319385885">
          <w:marLeft w:val="0"/>
          <w:marRight w:val="0"/>
          <w:marTop w:val="45"/>
          <w:marBottom w:val="0"/>
          <w:divBdr>
            <w:top w:val="none" w:sz="0" w:space="0" w:color="auto"/>
            <w:left w:val="none" w:sz="0" w:space="0" w:color="auto"/>
            <w:bottom w:val="none" w:sz="0" w:space="0" w:color="auto"/>
            <w:right w:val="none" w:sz="0" w:space="0" w:color="auto"/>
          </w:divBdr>
          <w:divsChild>
            <w:div w:id="514731697">
              <w:marLeft w:val="0"/>
              <w:marRight w:val="0"/>
              <w:marTop w:val="0"/>
              <w:marBottom w:val="0"/>
              <w:divBdr>
                <w:top w:val="none" w:sz="0" w:space="0" w:color="auto"/>
                <w:left w:val="none" w:sz="0" w:space="0" w:color="auto"/>
                <w:bottom w:val="none" w:sz="0" w:space="0" w:color="auto"/>
                <w:right w:val="none" w:sz="0" w:space="0" w:color="auto"/>
              </w:divBdr>
              <w:divsChild>
                <w:div w:id="8315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0270">
          <w:marLeft w:val="0"/>
          <w:marRight w:val="0"/>
          <w:marTop w:val="0"/>
          <w:marBottom w:val="0"/>
          <w:divBdr>
            <w:top w:val="none" w:sz="0" w:space="0" w:color="auto"/>
            <w:left w:val="none" w:sz="0" w:space="0" w:color="auto"/>
            <w:bottom w:val="none" w:sz="0" w:space="0" w:color="auto"/>
            <w:right w:val="none" w:sz="0" w:space="0" w:color="auto"/>
          </w:divBdr>
          <w:divsChild>
            <w:div w:id="193731413">
              <w:marLeft w:val="0"/>
              <w:marRight w:val="0"/>
              <w:marTop w:val="0"/>
              <w:marBottom w:val="0"/>
              <w:divBdr>
                <w:top w:val="none" w:sz="0" w:space="0" w:color="auto"/>
                <w:left w:val="none" w:sz="0" w:space="0" w:color="auto"/>
                <w:bottom w:val="none" w:sz="0" w:space="0" w:color="auto"/>
                <w:right w:val="none" w:sz="0" w:space="0" w:color="auto"/>
              </w:divBdr>
              <w:divsChild>
                <w:div w:id="18187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0278">
      <w:bodyDiv w:val="1"/>
      <w:marLeft w:val="0"/>
      <w:marRight w:val="0"/>
      <w:marTop w:val="0"/>
      <w:marBottom w:val="0"/>
      <w:divBdr>
        <w:top w:val="none" w:sz="0" w:space="0" w:color="auto"/>
        <w:left w:val="none" w:sz="0" w:space="0" w:color="auto"/>
        <w:bottom w:val="none" w:sz="0" w:space="0" w:color="auto"/>
        <w:right w:val="none" w:sz="0" w:space="0" w:color="auto"/>
      </w:divBdr>
    </w:div>
    <w:div w:id="1167552427">
      <w:bodyDiv w:val="1"/>
      <w:marLeft w:val="0"/>
      <w:marRight w:val="0"/>
      <w:marTop w:val="0"/>
      <w:marBottom w:val="0"/>
      <w:divBdr>
        <w:top w:val="none" w:sz="0" w:space="0" w:color="auto"/>
        <w:left w:val="none" w:sz="0" w:space="0" w:color="auto"/>
        <w:bottom w:val="none" w:sz="0" w:space="0" w:color="auto"/>
        <w:right w:val="none" w:sz="0" w:space="0" w:color="auto"/>
      </w:divBdr>
    </w:div>
    <w:div w:id="1240822754">
      <w:bodyDiv w:val="1"/>
      <w:marLeft w:val="0"/>
      <w:marRight w:val="0"/>
      <w:marTop w:val="0"/>
      <w:marBottom w:val="0"/>
      <w:divBdr>
        <w:top w:val="none" w:sz="0" w:space="0" w:color="auto"/>
        <w:left w:val="none" w:sz="0" w:space="0" w:color="auto"/>
        <w:bottom w:val="none" w:sz="0" w:space="0" w:color="auto"/>
        <w:right w:val="none" w:sz="0" w:space="0" w:color="auto"/>
      </w:divBdr>
    </w:div>
    <w:div w:id="1395615397">
      <w:bodyDiv w:val="1"/>
      <w:marLeft w:val="0"/>
      <w:marRight w:val="0"/>
      <w:marTop w:val="0"/>
      <w:marBottom w:val="0"/>
      <w:divBdr>
        <w:top w:val="none" w:sz="0" w:space="0" w:color="auto"/>
        <w:left w:val="none" w:sz="0" w:space="0" w:color="auto"/>
        <w:bottom w:val="none" w:sz="0" w:space="0" w:color="auto"/>
        <w:right w:val="none" w:sz="0" w:space="0" w:color="auto"/>
      </w:divBdr>
    </w:div>
    <w:div w:id="1749889372">
      <w:bodyDiv w:val="1"/>
      <w:marLeft w:val="0"/>
      <w:marRight w:val="0"/>
      <w:marTop w:val="0"/>
      <w:marBottom w:val="0"/>
      <w:divBdr>
        <w:top w:val="none" w:sz="0" w:space="0" w:color="auto"/>
        <w:left w:val="none" w:sz="0" w:space="0" w:color="auto"/>
        <w:bottom w:val="none" w:sz="0" w:space="0" w:color="auto"/>
        <w:right w:val="none" w:sz="0" w:space="0" w:color="auto"/>
      </w:divBdr>
    </w:div>
    <w:div w:id="1967198591">
      <w:bodyDiv w:val="1"/>
      <w:marLeft w:val="0"/>
      <w:marRight w:val="0"/>
      <w:marTop w:val="0"/>
      <w:marBottom w:val="0"/>
      <w:divBdr>
        <w:top w:val="none" w:sz="0" w:space="0" w:color="auto"/>
        <w:left w:val="none" w:sz="0" w:space="0" w:color="auto"/>
        <w:bottom w:val="none" w:sz="0" w:space="0" w:color="auto"/>
        <w:right w:val="none" w:sz="0" w:space="0" w:color="auto"/>
      </w:divBdr>
    </w:div>
    <w:div w:id="20861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s://www.oecd.org/competition/abuse/2379408.pdf" TargetMode="External"/><Relationship Id="rId117" Type="http://schemas.openxmlformats.org/officeDocument/2006/relationships/hyperlink" Target="https://assets.publishing.service.gov.uk/media/56992242ed915d4747000026/BT_EE_final_report.pdf" TargetMode="External"/><Relationship Id="rId21" Type="http://schemas.openxmlformats.org/officeDocument/2006/relationships/hyperlink" Target="https://apps.fcc.gov/edocs_public/attachmatch/FCC-15-94A1.pdf" TargetMode="External"/><Relationship Id="rId42" Type="http://schemas.openxmlformats.org/officeDocument/2006/relationships/hyperlink" Target="https://www.cofece.mx/cfcresoluciones/docs/Asuntos%20Juridicos/V67/4/1723150.pdf" TargetMode="External"/><Relationship Id="rId47" Type="http://schemas.openxmlformats.org/officeDocument/2006/relationships/hyperlink" Target="http://www.ift.org.mx/industria/espectro-radioelectrico/television/2016/licitacion-no-ift-6-television-radiodifundida-digital" TargetMode="External"/><Relationship Id="rId63" Type="http://schemas.openxmlformats.org/officeDocument/2006/relationships/hyperlink" Target="https://reader.elsevier.com/reader/sd/pii/S0167718713000490?token=22717E8131547BA555726A33F1F8E326FEE1BAC184B0726FFFCFD1D2AF1217A730B5F5B576DF97120848C77FF08730E2" TargetMode="External"/><Relationship Id="rId68" Type="http://schemas.openxmlformats.org/officeDocument/2006/relationships/hyperlink" Target="http://www.ift.org.mx/pagina-de-inicio/opiniones-en-materia-de-competencia-economica" TargetMode="External"/><Relationship Id="rId84" Type="http://schemas.openxmlformats.org/officeDocument/2006/relationships/hyperlink" Target="https://www.bundeskartellamt.de/SharedDocs/Publikation/EN/Leitlinien/Guidance%20-%20Substantive%20Merger%20Control.pdf?__blob=publicationFile&amp;v=6" TargetMode="External"/><Relationship Id="rId89" Type="http://schemas.openxmlformats.org/officeDocument/2006/relationships/hyperlink" Target="https://www.internationalcompetitionnetwork.org/wp-content/uploads/2019/05/MWG-Vertical-Mergers-Comparison-Study.pdf" TargetMode="External"/><Relationship Id="rId112" Type="http://schemas.openxmlformats.org/officeDocument/2006/relationships/hyperlink" Target="https://www.competitionbureau.gc.ca/eic/site/cb-bc.nsf/eng/03796.html" TargetMode="External"/><Relationship Id="rId16" Type="http://schemas.openxmlformats.org/officeDocument/2006/relationships/hyperlink" Target="https://apps.fcc.gov/edocs_public/attachmatch/FCC-15-94A1.pdf" TargetMode="External"/><Relationship Id="rId107" Type="http://schemas.openxmlformats.org/officeDocument/2006/relationships/hyperlink" Target="https://www.ofcom.org.uk/__data/assets/pdf_file/0019/115138/Draft-statement-annexes-2-8-Wholesale-broadband-access-market-review-2018.pdf" TargetMode="External"/><Relationship Id="rId11" Type="http://schemas.openxmlformats.org/officeDocument/2006/relationships/hyperlink" Target="https://assets.publishing.service.gov.uk/government/uploads/system/uploads/attachment_data/file/284423/oft403.pdf" TargetMode="External"/><Relationship Id="rId32" Type="http://schemas.openxmlformats.org/officeDocument/2006/relationships/hyperlink" Target="https://www.oecd.org/daf/competition/esp-plataformas-digitales-y-competencia-en-mexico.pdf" TargetMode="External"/><Relationship Id="rId37" Type="http://schemas.openxmlformats.org/officeDocument/2006/relationships/hyperlink" Target="http://apps.ift.org.mx/publicdata/P_IFT_271113_20_Version_Publica_Hoja.pdf" TargetMode="External"/><Relationship Id="rId53" Type="http://schemas.openxmlformats.org/officeDocument/2006/relationships/hyperlink" Target="https://assets.publishing.service.gov.uk/government/uploads/system/uploads/attachment_data/file/284423/oft403.pdf" TargetMode="External"/><Relationship Id="rId58" Type="http://schemas.openxmlformats.org/officeDocument/2006/relationships/hyperlink" Target="https://www.accc.gov.au/system/files/public-registers/documents/MER15%2B13662.pdf" TargetMode="External"/><Relationship Id="rId74" Type="http://schemas.openxmlformats.org/officeDocument/2006/relationships/hyperlink" Target="https://www.crai.com/sites/default/files/publications/China-Highlights-Qihoo-360-v-Tencent-0215_0.pdf" TargetMode="External"/><Relationship Id="rId79" Type="http://schemas.openxmlformats.org/officeDocument/2006/relationships/hyperlink" Target="https://apps.fcc.gov/edocs_public/attachmatch/FCC-15-94A1.pdf" TargetMode="External"/><Relationship Id="rId102" Type="http://schemas.openxmlformats.org/officeDocument/2006/relationships/hyperlink" Target="http://curia.europa.eu/juris/document/document.jsf;jsessionid=CDC36C791B5A503C86A5B8A543E2E569?text=&amp;docid=121143&amp;pageIndex=0&amp;doclang=ES&amp;mode=lst&amp;dir=&amp;occ=first&amp;part=1&amp;cid=4131947" TargetMode="External"/><Relationship Id="rId5" Type="http://schemas.openxmlformats.org/officeDocument/2006/relationships/hyperlink" Target="https://apps.fcc.gov/edocs_public/attachmatch/FCC-15-94A1.pdf" TargetMode="External"/><Relationship Id="rId90" Type="http://schemas.openxmlformats.org/officeDocument/2006/relationships/hyperlink" Target="https://one.oecd.org/document/DAF/COMP(2019)5/en/pdf" TargetMode="External"/><Relationship Id="rId95" Type="http://schemas.openxmlformats.org/officeDocument/2006/relationships/hyperlink" Target="https://berec.europa.eu/eng/document_register/subject_matter/berec/download/0/118-berec-draft-report-on-the-impact-of-fixed-mobile-substitution-in-market-definition_0.pdf" TargetMode="External"/><Relationship Id="rId22" Type="http://schemas.openxmlformats.org/officeDocument/2006/relationships/hyperlink" Target="https://one.oecd.org/document/DAF/COMP(2018)14/en/pdf" TargetMode="External"/><Relationship Id="rId27" Type="http://schemas.openxmlformats.org/officeDocument/2006/relationships/hyperlink" Target="https://academic.oup.com/jcle/article/6/4/973/825175" TargetMode="External"/><Relationship Id="rId43" Type="http://schemas.openxmlformats.org/officeDocument/2006/relationships/hyperlink" Target="http://apps.ift.org.mx/publicdata/P_IFT_EXT_181214_282_Version_Publica.pdf" TargetMode="External"/><Relationship Id="rId48" Type="http://schemas.openxmlformats.org/officeDocument/2006/relationships/hyperlink" Target="http://apps.ift.org.mx/publicdata/Version_Publica_P_IFT_EXT_190216_7.pdf" TargetMode="External"/><Relationship Id="rId64" Type="http://schemas.openxmlformats.org/officeDocument/2006/relationships/hyperlink" Target="http://apps.ift.org.mx/publicdata/VP_P_IFT_160414_92.pdf" TargetMode="External"/><Relationship Id="rId69" Type="http://schemas.openxmlformats.org/officeDocument/2006/relationships/hyperlink" Target="http://www.ift.org.mx/industria/espectro-radioelectrico/television/2016/licitacion-no-ift-6-television-radiodifundida-digital" TargetMode="External"/><Relationship Id="rId113" Type="http://schemas.openxmlformats.org/officeDocument/2006/relationships/hyperlink" Target="https://crtc.gc.ca/eng/publications/reports/rp110215.htm" TargetMode="External"/><Relationship Id="rId80" Type="http://schemas.openxmlformats.org/officeDocument/2006/relationships/hyperlink" Target="https://www.accc.gov.au/system/files/Media%20Merger%20Guidelines%202017_0.pdf" TargetMode="External"/><Relationship Id="rId85" Type="http://schemas.openxmlformats.org/officeDocument/2006/relationships/hyperlink" Target="https://ec.europa.eu/competition/mergers/cases/decisions/M5748_20100311_201220_254185_ES.pdf" TargetMode="External"/><Relationship Id="rId12" Type="http://schemas.openxmlformats.org/officeDocument/2006/relationships/hyperlink" Target="https://apps.fcc.gov/edocs_public/attachmatch/FCC-15-94A1.pdf" TargetMode="External"/><Relationship Id="rId17" Type="http://schemas.openxmlformats.org/officeDocument/2006/relationships/hyperlink" Target="https://www.accc.gov.au/system/files/Updated%20Guidelines%20on%20Misuse%20of%20Market%20Power.pdf" TargetMode="External"/><Relationship Id="rId33" Type="http://schemas.openxmlformats.org/officeDocument/2006/relationships/hyperlink" Target="http://apps.ift.org.mx/publicdata/Version_Publica_UCE_P_IFT_EXT_201015_152.pdf" TargetMode="External"/><Relationship Id="rId38" Type="http://schemas.openxmlformats.org/officeDocument/2006/relationships/hyperlink" Target="http://apps.ift.org.mx/publicdata/VP_P_IFT_150817_487.pdf" TargetMode="External"/><Relationship Id="rId59" Type="http://schemas.openxmlformats.org/officeDocument/2006/relationships/hyperlink" Target="https://www.rtr.at/en/tk/TKMV_2008" TargetMode="External"/><Relationship Id="rId103" Type="http://schemas.openxmlformats.org/officeDocument/2006/relationships/hyperlink" Target="https://www.justice.gov/sites/default/files/opa/legacy/2011/08/31/Justice-ATT-TMobile-Complaint.pdf" TargetMode="External"/><Relationship Id="rId108" Type="http://schemas.openxmlformats.org/officeDocument/2006/relationships/hyperlink" Target="https://one.oecd.org/document/DAF/COMP/WD(2017)27/FINAL/en/pdf" TargetMode="External"/><Relationship Id="rId54" Type="http://schemas.openxmlformats.org/officeDocument/2006/relationships/hyperlink" Target="https://www.gov.uk/cma-cases/bauer-media-group-merger-inquiry" TargetMode="External"/><Relationship Id="rId70" Type="http://schemas.openxmlformats.org/officeDocument/2006/relationships/hyperlink" Target="http://www.ift.org.mx/sites/default/files/industria/espectro-radioelectrico/radiodifusion/2016/4/basesift-4_1.pdf" TargetMode="External"/><Relationship Id="rId75" Type="http://schemas.openxmlformats.org/officeDocument/2006/relationships/hyperlink" Target="http://apps.ift.org.mx/publicdata/P_IFT_011014_332_Version_Publica_UCE.pdf" TargetMode="External"/><Relationship Id="rId91" Type="http://schemas.openxmlformats.org/officeDocument/2006/relationships/hyperlink" Target="https://eur-lex.europa.eu/legal-content/ES/TXT/PDF/?uri=CELEX:52010XC0519(04)&amp;from=ES" TargetMode="External"/><Relationship Id="rId96" Type="http://schemas.openxmlformats.org/officeDocument/2006/relationships/hyperlink" Target="https://www.fne.gob.cl/wp-content/uploads/2011/03/estu_0003_2010.pdf" TargetMode="External"/><Relationship Id="rId1" Type="http://schemas.openxmlformats.org/officeDocument/2006/relationships/hyperlink" Target="http://www.dof.gob.mx/nota_detalle.php?codigo=5432595&amp;fecha=11/04/2016" TargetMode="External"/><Relationship Id="rId6" Type="http://schemas.openxmlformats.org/officeDocument/2006/relationships/hyperlink" Target="https://assets.publishing.service.gov.uk/government/uploads/system/uploads/attachment_data/file/284449/OFT1254.pdf" TargetMode="External"/><Relationship Id="rId23" Type="http://schemas.openxmlformats.org/officeDocument/2006/relationships/hyperlink" Target="http://www.ift.org.mx/sites/default/files/conocenos/pleno/sesiones/acuerdoliga/vp181120436.pdf" TargetMode="External"/><Relationship Id="rId28" Type="http://schemas.openxmlformats.org/officeDocument/2006/relationships/hyperlink" Target="http://assets.cambridge.org/052179/031X/excerpt/052179031X_excerpt.pdf" TargetMode="External"/><Relationship Id="rId49" Type="http://schemas.openxmlformats.org/officeDocument/2006/relationships/hyperlink" Target="http://www.ift.org.mx/sites/default/files/conocenos/pleno/sesiones/acuerdoliga/pift121218948.pdf" TargetMode="External"/><Relationship Id="rId114" Type="http://schemas.openxmlformats.org/officeDocument/2006/relationships/hyperlink" Target="https://www.oecd-ilibrary.org/docserver/5js04dp2q1jc-en.pdf?expires=1597095718&amp;id=id&amp;accname=guest&amp;checksum=A818045C7EED02B383CB10724AD048D9" TargetMode="External"/><Relationship Id="rId10" Type="http://schemas.openxmlformats.org/officeDocument/2006/relationships/hyperlink" Target="http://www.oecd.org/daf/competition/Marketdefinition2012.pdf" TargetMode="External"/><Relationship Id="rId31" Type="http://schemas.openxmlformats.org/officeDocument/2006/relationships/hyperlink" Target="https://www.oecd.org/daf/competition/Rethinking-antitrust-tools-for-multi-sided-platforms-2018.pdf" TargetMode="External"/><Relationship Id="rId44" Type="http://schemas.openxmlformats.org/officeDocument/2006/relationships/hyperlink" Target="http://apps.ift.org.mx/publicdata/Version_Publica_AI_P_IFT_230117_8.pdf" TargetMode="External"/><Relationship Id="rId52" Type="http://schemas.openxmlformats.org/officeDocument/2006/relationships/hyperlink" Target="https://ec.europa.eu/competition/mergers/cases/decisions/m8864_7363_3.pdf" TargetMode="External"/><Relationship Id="rId60" Type="http://schemas.openxmlformats.org/officeDocument/2006/relationships/hyperlink" Target="https://ec.europa.eu/commission/presscorner/detail/en/IP_09_1888" TargetMode="External"/><Relationship Id="rId65" Type="http://schemas.openxmlformats.org/officeDocument/2006/relationships/hyperlink" Target="http://apps.ift.org.mx/publicdata/VP_P_IFT_181017_651.pdf" TargetMode="External"/><Relationship Id="rId73" Type="http://schemas.openxmlformats.org/officeDocument/2006/relationships/hyperlink" Target="https://apps.fcc.gov/edocs_public/attachmatch/FCC-15-94A1.pdf" TargetMode="External"/><Relationship Id="rId78" Type="http://schemas.openxmlformats.org/officeDocument/2006/relationships/hyperlink" Target="http://apps.ift.org.mx/publicdata/VP_P_IFT_210819_432.pdf" TargetMode="External"/><Relationship Id="rId81"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 Id="rId86" Type="http://schemas.openxmlformats.org/officeDocument/2006/relationships/hyperlink" Target="https://ec.europa.eu/competition/mergers/cases/decisions/m6956_235_2.pdf" TargetMode="External"/><Relationship Id="rId94" Type="http://schemas.openxmlformats.org/officeDocument/2006/relationships/hyperlink" Target="https://www.competitionbureau.gc.ca/eic/site/cb-bc.nsf/eng/03544.html" TargetMode="External"/><Relationship Id="rId99" Type="http://schemas.openxmlformats.org/officeDocument/2006/relationships/hyperlink" Target="http://www.ift.org.mx/sites/default/files/conocenos/pleno/sesiones/acuerdoliga/versionpublicaucepift240217104_1.pdf" TargetMode="External"/><Relationship Id="rId101" Type="http://schemas.openxmlformats.org/officeDocument/2006/relationships/hyperlink" Target="https://ec.europa.eu/competition/antitrust/cases/dec_docs/38233/38233_87_1.pdf" TargetMode="External"/><Relationship Id="rId4" Type="http://schemas.openxmlformats.org/officeDocument/2006/relationships/hyperlink" Target="https://www.ftc.gov/sites/default/files/attachments/merger-review/100819hmg.pdf" TargetMode="External"/><Relationship Id="rId9" Type="http://schemas.openxmlformats.org/officeDocument/2006/relationships/hyperlink" Target="https://ec.europa.eu/competition/international/multilateral/2012_jun_market_definition_en.pdf" TargetMode="External"/><Relationship Id="rId13" Type="http://schemas.openxmlformats.org/officeDocument/2006/relationships/hyperlink" Target="https://apps.fcc.gov/edocs_public/attachmatch/FCC-15-94A1.pdf" TargetMode="External"/><Relationship Id="rId18" Type="http://schemas.openxmlformats.org/officeDocument/2006/relationships/hyperlink" Target="https://www.oecd.org/daf/competition/Defining_Relevant_Market_in_Telecommunications_web.pdf" TargetMode="External"/><Relationship Id="rId39" Type="http://schemas.openxmlformats.org/officeDocument/2006/relationships/hyperlink" Target="http://www.ift.org.mx/sites/default/files/conocenos/pleno/sesiones/acuerdoliga/verpubpift110319122canxuce.pdf" TargetMode="External"/><Relationship Id="rId109" Type="http://schemas.openxmlformats.org/officeDocument/2006/relationships/hyperlink" Target="https://ec.europa.eu/competition/antitrust/cases/dec_docs/38784/38784_437_4.pdf" TargetMode="External"/><Relationship Id="rId34" Type="http://schemas.openxmlformats.org/officeDocument/2006/relationships/hyperlink" Target="http://apps.ift.org.mx/publicdata/VP_P_IFT_260617_356.pdf" TargetMode="External"/><Relationship Id="rId50" Type="http://schemas.openxmlformats.org/officeDocument/2006/relationships/hyperlink" Target="http://www.ift.org.mx/sites/default/files/contenidogeneral/autoridad-investigadora/vpai-dc-004-2018.pdf" TargetMode="External"/><Relationship Id="rId55" Type="http://schemas.openxmlformats.org/officeDocument/2006/relationships/hyperlink" Target="https://www.justice.gov/atr/11-product-market-definition" TargetMode="External"/><Relationship Id="rId76" Type="http://schemas.openxmlformats.org/officeDocument/2006/relationships/hyperlink" Target="http://apps.ift.org.mx/publicdata/vppift18031593.pdf" TargetMode="External"/><Relationship Id="rId97" Type="http://schemas.openxmlformats.org/officeDocument/2006/relationships/hyperlink" Target="https://berec.europa.eu/eng/document_register/subject_matter/berec/reports/209-berec-report-on-impact-of-bundled-offers-in-retail-and-wholesale-market-definition" TargetMode="External"/><Relationship Id="rId104" Type="http://schemas.openxmlformats.org/officeDocument/2006/relationships/hyperlink" Target="https://www.fcc.gov/document/matter-applications-att-wireless-services-inc-and-cingular" TargetMode="External"/><Relationship Id="rId7" Type="http://schemas.openxmlformats.org/officeDocument/2006/relationships/hyperlink" Target="https://www.competitionbureau.gc.ca/eic/site/cb-bc.nsf/vwapj/cb-meg-2011-e.pdf/$FILE/cb-meg-2011-e.pdf" TargetMode="External"/><Relationship Id="rId71" Type="http://schemas.openxmlformats.org/officeDocument/2006/relationships/hyperlink" Target="https://ec.europa.eu/competition/mergers/cases/decisions/m4439_20070627_20610_en.pdf" TargetMode="External"/><Relationship Id="rId92" Type="http://schemas.openxmlformats.org/officeDocument/2006/relationships/hyperlink" Target="https://berec.europa.eu/eng/document_register/subject_matter/berec/reports/171-berec-report-on-self-supply" TargetMode="External"/><Relationship Id="rId2" Type="http://schemas.openxmlformats.org/officeDocument/2006/relationships/hyperlink" Target="http://www.ift.org.mx/sites/default/files/industria/temasrelevantes/9195/documentos/pift280617368.pdf" TargetMode="External"/><Relationship Id="rId29" Type="http://schemas.openxmlformats.org/officeDocument/2006/relationships/hyperlink" Target="https://eur-lex.europa.eu/legal-content/EN/TXT/?uri=CELEX%3A61976CJ0027" TargetMode="External"/><Relationship Id="rId24" Type="http://schemas.openxmlformats.org/officeDocument/2006/relationships/hyperlink" Target="https://one.oecd.org/document/DAF/COMP/WP3(2016)5/en/pdf" TargetMode="External"/><Relationship Id="rId40" Type="http://schemas.openxmlformats.org/officeDocument/2006/relationships/hyperlink" Target="http://apps.ift.org.mx/publicdata/Version_Publica_UCE_270417_221.pdf" TargetMode="External"/><Relationship Id="rId45" Type="http://schemas.openxmlformats.org/officeDocument/2006/relationships/hyperlink" Target="http://www.ift.org.mx/industria/espectro-radioelectrico/radiodifusion/2014/ift-1-licitacion-de-dos-cadenas-de-television-radiodifundida-digital" TargetMode="External"/><Relationship Id="rId66" Type="http://schemas.openxmlformats.org/officeDocument/2006/relationships/hyperlink" Target="http://apps.ift.org.mx/publicdata/VP_P_IFT_131119_737_Acc.pdf" TargetMode="External"/><Relationship Id="rId87" Type="http://schemas.openxmlformats.org/officeDocument/2006/relationships/hyperlink" Target="https://www.ftc.gov/sites/default/files/documents/public_events/joint-venture-hearings-antitrust-guidelines-collaboration-among-competitors/ftcdojguidelines-2.pdf" TargetMode="External"/><Relationship Id="rId110" Type="http://schemas.openxmlformats.org/officeDocument/2006/relationships/hyperlink" Target="https://www.autoritedelaconcurrence.fr/sites/default/files/commitments/05a05.pdf" TargetMode="External"/><Relationship Id="rId115" Type="http://schemas.openxmlformats.org/officeDocument/2006/relationships/hyperlink" Target="https://ec.europa.eu/digital-single-market/en/news/staff-working-document-guidelines-market-analysis-and-assessment-smp-under-eu-regulatory" TargetMode="External"/><Relationship Id="rId61" Type="http://schemas.openxmlformats.org/officeDocument/2006/relationships/hyperlink" Target="https://ec.europa.eu/competition/mergers/cases/decisions/m8808_792_3.pdf" TargetMode="External"/><Relationship Id="rId82" Type="http://schemas.openxmlformats.org/officeDocument/2006/relationships/hyperlink" Target="http://www.ift.org.mx/sites/default/files/conocenos/pleno/sesiones/acuerdoliga/vppift120418293noct.pdf" TargetMode="External"/><Relationship Id="rId19" Type="http://schemas.openxmlformats.org/officeDocument/2006/relationships/hyperlink" Target="https://ec.europa.eu/competition/mergers/cases/decisions/m166_en.pdf" TargetMode="External"/><Relationship Id="rId14" Type="http://schemas.openxmlformats.org/officeDocument/2006/relationships/hyperlink" Target="https://eur-lex.europa.eu/legal-content/ES/TXT/PDF/?uri=CELEX:52018XC0507(01)&amp;from=HU" TargetMode="External"/><Relationship Id="rId30" Type="http://schemas.openxmlformats.org/officeDocument/2006/relationships/hyperlink" Target="https://www.ofcom.org.uk/__data/assets/pdf_file/0028/78166/everything_everywhere.pdf" TargetMode="External"/><Relationship Id="rId35" Type="http://schemas.openxmlformats.org/officeDocument/2006/relationships/hyperlink" Target="https://www.cofece.mx/cfcresoluciones/DOCS/Procesos%20de%20Privatizacion%20y%20Licitaciones/V136/2/1548475.pdf" TargetMode="External"/><Relationship Id="rId56" Type="http://schemas.openxmlformats.org/officeDocument/2006/relationships/hyperlink" Target="https://crtc.gc.ca/eng/publications/reports/rp110215.htm?_ga=2.166625598.140085912.1596486262-181080644.1596486262" TargetMode="External"/><Relationship Id="rId77" Type="http://schemas.openxmlformats.org/officeDocument/2006/relationships/hyperlink" Target="http://www.ift.org.mx/sites/default/files/conocenos/pleno/sesiones/acuerdoliga/vppift030419169noct.pdf" TargetMode="External"/><Relationship Id="rId100" Type="http://schemas.openxmlformats.org/officeDocument/2006/relationships/hyperlink" Target="http://www.ift.org.mx/sites/default/files/conocenos/pleno/sesiones/acuerdoliga/vppift060917545.pdf" TargetMode="External"/><Relationship Id="rId105" Type="http://schemas.openxmlformats.org/officeDocument/2006/relationships/hyperlink" Target="https://docs.fcc.gov/public/attachments/FCC-19-103A1.pdf" TargetMode="External"/><Relationship Id="rId8" Type="http://schemas.openxmlformats.org/officeDocument/2006/relationships/hyperlink" Target="https://www.accc.gov.au/system/files/Merger%20guidelines%20-%20Final.PDF" TargetMode="External"/><Relationship Id="rId51" Type="http://schemas.openxmlformats.org/officeDocument/2006/relationships/hyperlink" Target="https://ec.europa.eu/competition/mergers/cases/decisions/m6880_410_2.pdf" TargetMode="External"/><Relationship Id="rId72" Type="http://schemas.openxmlformats.org/officeDocument/2006/relationships/hyperlink" Target="https://www.ofcom.org.uk/__data/assets/pdf_file/0025/154591/volume-2-bcmr-final-statement.pdf" TargetMode="External"/><Relationship Id="rId93" Type="http://schemas.openxmlformats.org/officeDocument/2006/relationships/hyperlink" Target="https://www.justice.gov/atr/page/file/1175141/download?mkwid=c" TargetMode="External"/><Relationship Id="rId98" Type="http://schemas.openxmlformats.org/officeDocument/2006/relationships/hyperlink" Target="https://www.itu.int/ITU-D/treg/publications/SMP-S.pdf" TargetMode="External"/><Relationship Id="rId3" Type="http://schemas.openxmlformats.org/officeDocument/2006/relationships/hyperlink" Target="https://eur-lex.europa.eu/legal-content/ES/TXT/PDF/?uri=CELEX:31997Y1209(01)&amp;from=EN" TargetMode="External"/><Relationship Id="rId25" Type="http://schemas.openxmlformats.org/officeDocument/2006/relationships/hyperlink" Target="https://unctadcompal.org/wp-content/uploads/2017/11/Lectura-3-DT-Hatzitaskos-Card-Howell.pdf" TargetMode="External"/><Relationship Id="rId46" Type="http://schemas.openxmlformats.org/officeDocument/2006/relationships/hyperlink" Target="http://www.ift.org.mx/pagina-de-inicio/opiniones-en-materia-de-competencia-economica" TargetMode="External"/><Relationship Id="rId67" Type="http://schemas.openxmlformats.org/officeDocument/2006/relationships/hyperlink" Target="http://www.ift.org.mx/pagina-de-inicio/licitacion-ift-1-cadenas-de-television" TargetMode="External"/><Relationship Id="rId116"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 Id="rId20" Type="http://schemas.openxmlformats.org/officeDocument/2006/relationships/hyperlink" Target="http://www.oecd.org/daf/competition/Examenes-de-mercado-en-Mexico-Manual-2016.pdf" TargetMode="External"/><Relationship Id="rId41" Type="http://schemas.openxmlformats.org/officeDocument/2006/relationships/hyperlink" Target="http://www.ift.org.mx/sites/default/files/conocenos/pleno/sesiones/acuerdoliga/vppift220818511noct_1.pdf" TargetMode="External"/><Relationship Id="rId62" Type="http://schemas.openxmlformats.org/officeDocument/2006/relationships/hyperlink" Target="http://www.concorrencia.pt/FILES_TMP/2013_05_final_net.pdf" TargetMode="External"/><Relationship Id="rId83" Type="http://schemas.openxmlformats.org/officeDocument/2006/relationships/hyperlink" Target="https://eur-lex.europa.eu/legal-content/EN/TXT/PDF/?uri=CELEX:52008XC1018(03)&amp;from=EN" TargetMode="External"/><Relationship Id="rId88" Type="http://schemas.openxmlformats.org/officeDocument/2006/relationships/hyperlink" Target="https://www.internationalcompetitionnetwork.org/wp-content/uploads/2018/10/MWG_SurveyreportVerticalMergers2018.pdf" TargetMode="External"/><Relationship Id="rId111" Type="http://schemas.openxmlformats.org/officeDocument/2006/relationships/hyperlink" Target="https://ec.europa.eu/commission/presscorner/detail/en/IP_05_1146" TargetMode="External"/><Relationship Id="rId15" Type="http://schemas.openxmlformats.org/officeDocument/2006/relationships/hyperlink" Target="https://apps.fcc.gov/edocs_public/attachmatch/FCC-15-94A1.pdf" TargetMode="External"/><Relationship Id="rId36" Type="http://schemas.openxmlformats.org/officeDocument/2006/relationships/hyperlink" Target="http://apps.ift.org.mx/publicdata/VP2_P_IFT_EXT_290415_86.pdf" TargetMode="External"/><Relationship Id="rId57" Type="http://schemas.openxmlformats.org/officeDocument/2006/relationships/hyperlink" Target="https://www.competitionbureau.gc.ca/eic/site/cb-bc.nsf/eng/04200.html" TargetMode="External"/><Relationship Id="rId106" Type="http://schemas.openxmlformats.org/officeDocument/2006/relationships/hyperlink" Target="https://www.anacom.pt/streaming/Determination28september2010_final_decision.pdf?contentId=1061287&amp;field=ATTACHED_F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6A68-CFA7-42F0-A51A-EE83FAAB46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2A44F-AE5C-4CB6-9919-8B008671C4DB}">
  <ds:schemaRefs>
    <ds:schemaRef ds:uri="http://schemas.microsoft.com/sharepoint/v3/contenttype/forms"/>
  </ds:schemaRefs>
</ds:datastoreItem>
</file>

<file path=customXml/itemProps3.xml><?xml version="1.0" encoding="utf-8"?>
<ds:datastoreItem xmlns:ds="http://schemas.openxmlformats.org/officeDocument/2006/customXml" ds:itemID="{1E57FFDB-EE29-4A53-A8A9-6F2E4B866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C6C114-45CD-4D9C-9286-D7D4605E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28844</Words>
  <Characters>158648</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Marina Ramirez Javier</dc:creator>
  <cp:keywords/>
  <dc:description/>
  <cp:lastModifiedBy>Josue Teoyotl Calderon</cp:lastModifiedBy>
  <cp:revision>5</cp:revision>
  <cp:lastPrinted>2021-07-08T16:04:00Z</cp:lastPrinted>
  <dcterms:created xsi:type="dcterms:W3CDTF">2021-06-15T20:41:00Z</dcterms:created>
  <dcterms:modified xsi:type="dcterms:W3CDTF">2021-07-08T16:04:00Z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