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E7C82" w14:textId="77777777" w:rsidR="003545C8" w:rsidRPr="00931D46" w:rsidRDefault="003545C8" w:rsidP="003545C8">
      <w:pPr>
        <w:spacing w:after="0"/>
        <w:jc w:val="center"/>
        <w:rPr>
          <w:rFonts w:ascii="Arial" w:hAnsi="Arial" w:cs="Arial"/>
          <w:b/>
          <w:sz w:val="26"/>
          <w:szCs w:val="26"/>
        </w:rPr>
      </w:pPr>
      <w:bookmarkStart w:id="0" w:name="_Toc510634319"/>
      <w:bookmarkStart w:id="1" w:name="_Toc510639355"/>
      <w:bookmarkStart w:id="2" w:name="_Toc510640265"/>
      <w:bookmarkStart w:id="3" w:name="_Toc510698209"/>
      <w:bookmarkStart w:id="4" w:name="_Toc510701066"/>
      <w:bookmarkStart w:id="5" w:name="_Toc510710869"/>
      <w:bookmarkStart w:id="6" w:name="_Toc510710907"/>
      <w:bookmarkStart w:id="7" w:name="_Toc17716675"/>
      <w:r w:rsidRPr="00931D46">
        <w:rPr>
          <w:rFonts w:ascii="Arial" w:hAnsi="Arial" w:cs="Arial"/>
          <w:b/>
          <w:sz w:val="26"/>
          <w:szCs w:val="26"/>
        </w:rPr>
        <w:t>Anteproyecto de Guía para determinar Mercados Relevantes en los Sectores de Telecomunicaciones y Radiodifusión</w:t>
      </w:r>
    </w:p>
    <w:p w14:paraId="068B6B2F" w14:textId="77777777" w:rsidR="003545C8" w:rsidRPr="00931D46" w:rsidRDefault="003545C8" w:rsidP="003545C8">
      <w:pPr>
        <w:spacing w:after="0"/>
        <w:rPr>
          <w:rFonts w:ascii="Arial" w:hAnsi="Arial" w:cs="Arial"/>
        </w:rPr>
      </w:pPr>
    </w:p>
    <w:p w14:paraId="2D9BA964" w14:textId="77777777" w:rsidR="003545C8" w:rsidRPr="00931D46" w:rsidRDefault="003545C8" w:rsidP="003545C8">
      <w:pPr>
        <w:spacing w:after="0"/>
        <w:jc w:val="center"/>
        <w:rPr>
          <w:rFonts w:ascii="Arial" w:hAnsi="Arial" w:cs="Arial"/>
          <w:b/>
          <w:sz w:val="26"/>
          <w:szCs w:val="26"/>
          <w:u w:val="single"/>
        </w:rPr>
      </w:pPr>
      <w:r w:rsidRPr="00931D46">
        <w:rPr>
          <w:rFonts w:ascii="Arial" w:hAnsi="Arial" w:cs="Arial"/>
          <w:b/>
          <w:sz w:val="26"/>
          <w:szCs w:val="26"/>
          <w:u w:val="single"/>
        </w:rPr>
        <w:t>Contenido</w:t>
      </w:r>
    </w:p>
    <w:bookmarkStart w:id="8" w:name="_Toc35943807"/>
    <w:bookmarkStart w:id="9" w:name="_Toc38377300"/>
    <w:bookmarkStart w:id="10" w:name="_Toc41649746"/>
    <w:bookmarkStart w:id="11" w:name="_Toc41649887"/>
    <w:p w14:paraId="47BE2776" w14:textId="472A6C10" w:rsidR="003545C8" w:rsidRDefault="003545C8" w:rsidP="003545C8">
      <w:pPr>
        <w:pStyle w:val="TDC1"/>
        <w:tabs>
          <w:tab w:val="right" w:leader="dot" w:pos="9394"/>
        </w:tabs>
        <w:spacing w:before="0" w:after="0"/>
        <w:rPr>
          <w:rFonts w:asciiTheme="minorHAnsi" w:eastAsiaTheme="minorEastAsia" w:hAnsiTheme="minorHAnsi"/>
          <w:noProof/>
          <w:lang w:eastAsia="es-MX"/>
        </w:rPr>
      </w:pPr>
      <w:r w:rsidRPr="00931D46">
        <w:rPr>
          <w:rFonts w:cs="Arial"/>
          <w:b/>
        </w:rPr>
        <w:fldChar w:fldCharType="begin"/>
      </w:r>
      <w:r w:rsidRPr="00931D46">
        <w:rPr>
          <w:rFonts w:cs="Arial"/>
          <w:b/>
        </w:rPr>
        <w:instrText xml:space="preserve"> TOC \o "1-2" \h \z \u </w:instrText>
      </w:r>
      <w:r w:rsidRPr="00931D46">
        <w:rPr>
          <w:rFonts w:cs="Arial"/>
          <w:b/>
        </w:rPr>
        <w:fldChar w:fldCharType="separate"/>
      </w:r>
      <w:hyperlink w:anchor="_Toc71717626" w:history="1">
        <w:r w:rsidRPr="00443F2E">
          <w:rPr>
            <w:rStyle w:val="Hipervnculo"/>
            <w:rFonts w:cs="Arial"/>
            <w:b/>
            <w:noProof/>
          </w:rPr>
          <w:t>Glosario</w:t>
        </w:r>
        <w:r>
          <w:rPr>
            <w:noProof/>
            <w:webHidden/>
          </w:rPr>
          <w:tab/>
        </w:r>
        <w:r>
          <w:rPr>
            <w:noProof/>
            <w:webHidden/>
          </w:rPr>
          <w:fldChar w:fldCharType="begin"/>
        </w:r>
        <w:r>
          <w:rPr>
            <w:noProof/>
            <w:webHidden/>
          </w:rPr>
          <w:instrText xml:space="preserve"> PAGEREF _Toc71717626 \h </w:instrText>
        </w:r>
        <w:r>
          <w:rPr>
            <w:noProof/>
            <w:webHidden/>
          </w:rPr>
        </w:r>
        <w:r>
          <w:rPr>
            <w:noProof/>
            <w:webHidden/>
          </w:rPr>
          <w:fldChar w:fldCharType="separate"/>
        </w:r>
        <w:r w:rsidR="005C490B">
          <w:rPr>
            <w:noProof/>
            <w:webHidden/>
          </w:rPr>
          <w:t>7</w:t>
        </w:r>
        <w:r>
          <w:rPr>
            <w:noProof/>
            <w:webHidden/>
          </w:rPr>
          <w:fldChar w:fldCharType="end"/>
        </w:r>
      </w:hyperlink>
    </w:p>
    <w:p w14:paraId="64FCB44E" w14:textId="6A8B028B"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27" w:history="1">
        <w:r w:rsidR="003545C8" w:rsidRPr="00443F2E">
          <w:rPr>
            <w:rStyle w:val="Hipervnculo"/>
            <w:rFonts w:cs="Arial"/>
            <w:b/>
            <w:noProof/>
          </w:rPr>
          <w:t>1.</w:t>
        </w:r>
        <w:r w:rsidR="003545C8">
          <w:rPr>
            <w:rFonts w:asciiTheme="minorHAnsi" w:eastAsiaTheme="minorEastAsia" w:hAnsiTheme="minorHAnsi"/>
            <w:noProof/>
            <w:lang w:eastAsia="es-MX"/>
          </w:rPr>
          <w:tab/>
        </w:r>
        <w:r w:rsidR="003545C8" w:rsidRPr="00443F2E">
          <w:rPr>
            <w:rStyle w:val="Hipervnculo"/>
            <w:rFonts w:cs="Arial"/>
            <w:b/>
            <w:noProof/>
          </w:rPr>
          <w:t>Presentación</w:t>
        </w:r>
        <w:r w:rsidR="003545C8">
          <w:rPr>
            <w:noProof/>
            <w:webHidden/>
          </w:rPr>
          <w:tab/>
        </w:r>
        <w:r w:rsidR="003545C8">
          <w:rPr>
            <w:noProof/>
            <w:webHidden/>
          </w:rPr>
          <w:fldChar w:fldCharType="begin"/>
        </w:r>
        <w:r w:rsidR="003545C8">
          <w:rPr>
            <w:noProof/>
            <w:webHidden/>
          </w:rPr>
          <w:instrText xml:space="preserve"> PAGEREF _Toc71717627 \h </w:instrText>
        </w:r>
        <w:r w:rsidR="003545C8">
          <w:rPr>
            <w:noProof/>
            <w:webHidden/>
          </w:rPr>
        </w:r>
        <w:r w:rsidR="003545C8">
          <w:rPr>
            <w:noProof/>
            <w:webHidden/>
          </w:rPr>
          <w:fldChar w:fldCharType="separate"/>
        </w:r>
        <w:r w:rsidR="005C490B">
          <w:rPr>
            <w:noProof/>
            <w:webHidden/>
          </w:rPr>
          <w:t>9</w:t>
        </w:r>
        <w:r w:rsidR="003545C8">
          <w:rPr>
            <w:noProof/>
            <w:webHidden/>
          </w:rPr>
          <w:fldChar w:fldCharType="end"/>
        </w:r>
      </w:hyperlink>
    </w:p>
    <w:p w14:paraId="4D9DF764" w14:textId="417FB217"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28" w:history="1">
        <w:r w:rsidR="003545C8" w:rsidRPr="00443F2E">
          <w:rPr>
            <w:rStyle w:val="Hipervnculo"/>
            <w:rFonts w:cs="Arial"/>
            <w:b/>
            <w:noProof/>
          </w:rPr>
          <w:t>2.</w:t>
        </w:r>
        <w:r w:rsidR="003545C8">
          <w:rPr>
            <w:rFonts w:asciiTheme="minorHAnsi" w:eastAsiaTheme="minorEastAsia" w:hAnsiTheme="minorHAnsi"/>
            <w:noProof/>
            <w:lang w:eastAsia="es-MX"/>
          </w:rPr>
          <w:tab/>
        </w:r>
        <w:r w:rsidR="003545C8" w:rsidRPr="00443F2E">
          <w:rPr>
            <w:rStyle w:val="Hipervnculo"/>
            <w:rFonts w:cs="Arial"/>
            <w:b/>
            <w:noProof/>
          </w:rPr>
          <w:t>Concepto de MR y su utilidad</w:t>
        </w:r>
        <w:r w:rsidR="003545C8">
          <w:rPr>
            <w:noProof/>
            <w:webHidden/>
          </w:rPr>
          <w:tab/>
        </w:r>
        <w:r w:rsidR="003545C8">
          <w:rPr>
            <w:noProof/>
            <w:webHidden/>
          </w:rPr>
          <w:fldChar w:fldCharType="begin"/>
        </w:r>
        <w:r w:rsidR="003545C8">
          <w:rPr>
            <w:noProof/>
            <w:webHidden/>
          </w:rPr>
          <w:instrText xml:space="preserve"> PAGEREF _Toc71717628 \h </w:instrText>
        </w:r>
        <w:r w:rsidR="003545C8">
          <w:rPr>
            <w:noProof/>
            <w:webHidden/>
          </w:rPr>
        </w:r>
        <w:r w:rsidR="003545C8">
          <w:rPr>
            <w:noProof/>
            <w:webHidden/>
          </w:rPr>
          <w:fldChar w:fldCharType="separate"/>
        </w:r>
        <w:r w:rsidR="005C490B">
          <w:rPr>
            <w:noProof/>
            <w:webHidden/>
          </w:rPr>
          <w:t>9</w:t>
        </w:r>
        <w:r w:rsidR="003545C8">
          <w:rPr>
            <w:noProof/>
            <w:webHidden/>
          </w:rPr>
          <w:fldChar w:fldCharType="end"/>
        </w:r>
      </w:hyperlink>
    </w:p>
    <w:p w14:paraId="4028961D" w14:textId="5D67A8A9"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29" w:history="1">
        <w:r w:rsidR="003545C8" w:rsidRPr="00443F2E">
          <w:rPr>
            <w:rStyle w:val="Hipervnculo"/>
            <w:rFonts w:eastAsia="Times New Roman" w:cs="Arial"/>
            <w:noProof/>
            <w:lang w:eastAsia="es-MX"/>
          </w:rPr>
          <w:t>2.1.</w:t>
        </w:r>
        <w:r w:rsidR="003545C8">
          <w:rPr>
            <w:rFonts w:asciiTheme="minorHAnsi" w:eastAsiaTheme="minorEastAsia" w:hAnsiTheme="minorHAnsi"/>
            <w:noProof/>
            <w:lang w:eastAsia="es-MX"/>
          </w:rPr>
          <w:tab/>
        </w:r>
        <w:r w:rsidR="00A13D50">
          <w:rPr>
            <w:rStyle w:val="Hipervnculo"/>
            <w:rFonts w:eastAsia="Times New Roman" w:cs="Arial"/>
            <w:noProof/>
            <w:lang w:eastAsia="es-MX"/>
          </w:rPr>
          <w:t>D</w:t>
        </w:r>
        <w:r w:rsidR="003545C8" w:rsidRPr="00443F2E">
          <w:rPr>
            <w:rStyle w:val="Hipervnculo"/>
            <w:rFonts w:eastAsia="Times New Roman" w:cs="Arial"/>
            <w:noProof/>
            <w:lang w:eastAsia="es-MX"/>
          </w:rPr>
          <w:t>efinición conceptual de MR y su determinación</w:t>
        </w:r>
        <w:r w:rsidR="003545C8">
          <w:rPr>
            <w:noProof/>
            <w:webHidden/>
          </w:rPr>
          <w:tab/>
        </w:r>
        <w:r w:rsidR="003545C8">
          <w:rPr>
            <w:noProof/>
            <w:webHidden/>
          </w:rPr>
          <w:fldChar w:fldCharType="begin"/>
        </w:r>
        <w:r w:rsidR="003545C8">
          <w:rPr>
            <w:noProof/>
            <w:webHidden/>
          </w:rPr>
          <w:instrText xml:space="preserve"> PAGEREF _Toc71717629 \h </w:instrText>
        </w:r>
        <w:r w:rsidR="003545C8">
          <w:rPr>
            <w:noProof/>
            <w:webHidden/>
          </w:rPr>
        </w:r>
        <w:r w:rsidR="003545C8">
          <w:rPr>
            <w:noProof/>
            <w:webHidden/>
          </w:rPr>
          <w:fldChar w:fldCharType="separate"/>
        </w:r>
        <w:r w:rsidR="005C490B">
          <w:rPr>
            <w:noProof/>
            <w:webHidden/>
          </w:rPr>
          <w:t>12</w:t>
        </w:r>
        <w:r w:rsidR="003545C8">
          <w:rPr>
            <w:noProof/>
            <w:webHidden/>
          </w:rPr>
          <w:fldChar w:fldCharType="end"/>
        </w:r>
      </w:hyperlink>
    </w:p>
    <w:p w14:paraId="7013A7C1" w14:textId="5C06A2B0"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30" w:history="1">
        <w:r w:rsidR="003545C8" w:rsidRPr="00443F2E">
          <w:rPr>
            <w:rStyle w:val="Hipervnculo"/>
            <w:rFonts w:cs="Arial"/>
            <w:b/>
            <w:noProof/>
          </w:rPr>
          <w:t>3.</w:t>
        </w:r>
        <w:r w:rsidR="003545C8">
          <w:rPr>
            <w:rFonts w:asciiTheme="minorHAnsi" w:eastAsiaTheme="minorEastAsia" w:hAnsiTheme="minorHAnsi"/>
            <w:noProof/>
            <w:lang w:eastAsia="es-MX"/>
          </w:rPr>
          <w:tab/>
        </w:r>
        <w:r w:rsidR="003545C8" w:rsidRPr="00443F2E">
          <w:rPr>
            <w:rStyle w:val="Hipervnculo"/>
            <w:rFonts w:cs="Arial"/>
            <w:b/>
            <w:noProof/>
          </w:rPr>
          <w:t>Enfoques para el análisis de sustitución</w:t>
        </w:r>
        <w:r w:rsidR="003545C8">
          <w:rPr>
            <w:noProof/>
            <w:webHidden/>
          </w:rPr>
          <w:tab/>
        </w:r>
        <w:r w:rsidR="003545C8">
          <w:rPr>
            <w:noProof/>
            <w:webHidden/>
          </w:rPr>
          <w:fldChar w:fldCharType="begin"/>
        </w:r>
        <w:r w:rsidR="003545C8">
          <w:rPr>
            <w:noProof/>
            <w:webHidden/>
          </w:rPr>
          <w:instrText xml:space="preserve"> PAGEREF _Toc71717630 \h </w:instrText>
        </w:r>
        <w:r w:rsidR="003545C8">
          <w:rPr>
            <w:noProof/>
            <w:webHidden/>
          </w:rPr>
        </w:r>
        <w:r w:rsidR="003545C8">
          <w:rPr>
            <w:noProof/>
            <w:webHidden/>
          </w:rPr>
          <w:fldChar w:fldCharType="separate"/>
        </w:r>
        <w:r w:rsidR="005C490B">
          <w:rPr>
            <w:noProof/>
            <w:webHidden/>
          </w:rPr>
          <w:t>12</w:t>
        </w:r>
        <w:r w:rsidR="003545C8">
          <w:rPr>
            <w:noProof/>
            <w:webHidden/>
          </w:rPr>
          <w:fldChar w:fldCharType="end"/>
        </w:r>
      </w:hyperlink>
    </w:p>
    <w:p w14:paraId="3D17936B" w14:textId="4F760D8D"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31" w:history="1">
        <w:r w:rsidR="003545C8" w:rsidRPr="00443F2E">
          <w:rPr>
            <w:rStyle w:val="Hipervnculo"/>
            <w:rFonts w:eastAsia="Times New Roman" w:cs="Arial"/>
            <w:noProof/>
            <w:lang w:eastAsia="es-MX"/>
          </w:rPr>
          <w:t>3.1.</w:t>
        </w:r>
        <w:r w:rsidR="003545C8">
          <w:rPr>
            <w:rFonts w:asciiTheme="minorHAnsi" w:eastAsiaTheme="minorEastAsia" w:hAnsiTheme="minorHAnsi"/>
            <w:noProof/>
            <w:lang w:eastAsia="es-MX"/>
          </w:rPr>
          <w:tab/>
        </w:r>
        <w:r w:rsidR="00A13D50">
          <w:rPr>
            <w:rStyle w:val="Hipervnculo"/>
            <w:rFonts w:eastAsia="Times New Roman" w:cs="Arial"/>
            <w:noProof/>
            <w:lang w:eastAsia="es-MX"/>
          </w:rPr>
          <w:t>E</w:t>
        </w:r>
        <w:r w:rsidR="003545C8" w:rsidRPr="00443F2E">
          <w:rPr>
            <w:rStyle w:val="Hipervnculo"/>
            <w:rFonts w:eastAsia="Times New Roman" w:cs="Arial"/>
            <w:noProof/>
            <w:lang w:eastAsia="es-MX"/>
          </w:rPr>
          <w:t>nfoque del análisis de sustitución</w:t>
        </w:r>
        <w:r w:rsidR="003545C8">
          <w:rPr>
            <w:noProof/>
            <w:webHidden/>
          </w:rPr>
          <w:tab/>
        </w:r>
        <w:r w:rsidR="003545C8">
          <w:rPr>
            <w:noProof/>
            <w:webHidden/>
          </w:rPr>
          <w:fldChar w:fldCharType="begin"/>
        </w:r>
        <w:r w:rsidR="003545C8">
          <w:rPr>
            <w:noProof/>
            <w:webHidden/>
          </w:rPr>
          <w:instrText xml:space="preserve"> PAGEREF _Toc71717631 \h </w:instrText>
        </w:r>
        <w:r w:rsidR="003545C8">
          <w:rPr>
            <w:noProof/>
            <w:webHidden/>
          </w:rPr>
        </w:r>
        <w:r w:rsidR="003545C8">
          <w:rPr>
            <w:noProof/>
            <w:webHidden/>
          </w:rPr>
          <w:fldChar w:fldCharType="separate"/>
        </w:r>
        <w:r w:rsidR="005C490B">
          <w:rPr>
            <w:noProof/>
            <w:webHidden/>
          </w:rPr>
          <w:t>15</w:t>
        </w:r>
        <w:r w:rsidR="003545C8">
          <w:rPr>
            <w:noProof/>
            <w:webHidden/>
          </w:rPr>
          <w:fldChar w:fldCharType="end"/>
        </w:r>
      </w:hyperlink>
    </w:p>
    <w:p w14:paraId="4C7F56E6" w14:textId="40BBD26F"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32" w:history="1">
        <w:r w:rsidR="003545C8" w:rsidRPr="00443F2E">
          <w:rPr>
            <w:rStyle w:val="Hipervnculo"/>
            <w:rFonts w:cs="Arial"/>
            <w:b/>
            <w:noProof/>
          </w:rPr>
          <w:t>4.</w:t>
        </w:r>
        <w:r w:rsidR="003545C8">
          <w:rPr>
            <w:rFonts w:asciiTheme="minorHAnsi" w:eastAsiaTheme="minorEastAsia" w:hAnsiTheme="minorHAnsi"/>
            <w:noProof/>
            <w:lang w:eastAsia="es-MX"/>
          </w:rPr>
          <w:tab/>
        </w:r>
        <w:r w:rsidR="003545C8" w:rsidRPr="00443F2E">
          <w:rPr>
            <w:rStyle w:val="Hipervnculo"/>
            <w:rFonts w:cs="Arial"/>
            <w:b/>
            <w:noProof/>
          </w:rPr>
          <w:t>Herramientas y elementos para el análisis de sustitución</w:t>
        </w:r>
        <w:r w:rsidR="003545C8">
          <w:rPr>
            <w:noProof/>
            <w:webHidden/>
          </w:rPr>
          <w:tab/>
        </w:r>
        <w:r w:rsidR="003545C8">
          <w:rPr>
            <w:noProof/>
            <w:webHidden/>
          </w:rPr>
          <w:fldChar w:fldCharType="begin"/>
        </w:r>
        <w:r w:rsidR="003545C8">
          <w:rPr>
            <w:noProof/>
            <w:webHidden/>
          </w:rPr>
          <w:instrText xml:space="preserve"> PAGEREF _Toc71717632 \h </w:instrText>
        </w:r>
        <w:r w:rsidR="003545C8">
          <w:rPr>
            <w:noProof/>
            <w:webHidden/>
          </w:rPr>
        </w:r>
        <w:r w:rsidR="003545C8">
          <w:rPr>
            <w:noProof/>
            <w:webHidden/>
          </w:rPr>
          <w:fldChar w:fldCharType="separate"/>
        </w:r>
        <w:r w:rsidR="005C490B">
          <w:rPr>
            <w:noProof/>
            <w:webHidden/>
          </w:rPr>
          <w:t>15</w:t>
        </w:r>
        <w:r w:rsidR="003545C8">
          <w:rPr>
            <w:noProof/>
            <w:webHidden/>
          </w:rPr>
          <w:fldChar w:fldCharType="end"/>
        </w:r>
      </w:hyperlink>
    </w:p>
    <w:p w14:paraId="4C358607" w14:textId="7DA52E1A"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33" w:history="1">
        <w:r w:rsidR="003545C8" w:rsidRPr="00443F2E">
          <w:rPr>
            <w:rStyle w:val="Hipervnculo"/>
            <w:rFonts w:cs="Arial"/>
            <w:b/>
            <w:noProof/>
          </w:rPr>
          <w:t>5.</w:t>
        </w:r>
        <w:r w:rsidR="003545C8">
          <w:rPr>
            <w:rFonts w:asciiTheme="minorHAnsi" w:eastAsiaTheme="minorEastAsia" w:hAnsiTheme="minorHAnsi"/>
            <w:noProof/>
            <w:lang w:eastAsia="es-MX"/>
          </w:rPr>
          <w:tab/>
        </w:r>
        <w:r w:rsidR="003545C8" w:rsidRPr="00443F2E">
          <w:rPr>
            <w:rStyle w:val="Hipervnculo"/>
            <w:rFonts w:cs="Arial"/>
            <w:b/>
            <w:noProof/>
          </w:rPr>
          <w:t>Determinación de la dimensión producto</w:t>
        </w:r>
        <w:r w:rsidR="003545C8">
          <w:rPr>
            <w:noProof/>
            <w:webHidden/>
          </w:rPr>
          <w:tab/>
        </w:r>
        <w:r w:rsidR="003545C8">
          <w:rPr>
            <w:noProof/>
            <w:webHidden/>
          </w:rPr>
          <w:fldChar w:fldCharType="begin"/>
        </w:r>
        <w:r w:rsidR="003545C8">
          <w:rPr>
            <w:noProof/>
            <w:webHidden/>
          </w:rPr>
          <w:instrText xml:space="preserve"> PAGEREF _Toc71717633 \h </w:instrText>
        </w:r>
        <w:r w:rsidR="003545C8">
          <w:rPr>
            <w:noProof/>
            <w:webHidden/>
          </w:rPr>
        </w:r>
        <w:r w:rsidR="003545C8">
          <w:rPr>
            <w:noProof/>
            <w:webHidden/>
          </w:rPr>
          <w:fldChar w:fldCharType="separate"/>
        </w:r>
        <w:r w:rsidR="005C490B">
          <w:rPr>
            <w:noProof/>
            <w:webHidden/>
          </w:rPr>
          <w:t>16</w:t>
        </w:r>
        <w:r w:rsidR="003545C8">
          <w:rPr>
            <w:noProof/>
            <w:webHidden/>
          </w:rPr>
          <w:fldChar w:fldCharType="end"/>
        </w:r>
      </w:hyperlink>
    </w:p>
    <w:p w14:paraId="3C639788" w14:textId="5F1EBEE1"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34" w:history="1">
        <w:r w:rsidR="003545C8" w:rsidRPr="00443F2E">
          <w:rPr>
            <w:rStyle w:val="Hipervnculo"/>
            <w:rFonts w:eastAsia="Times New Roman" w:cs="Arial"/>
            <w:noProof/>
            <w:lang w:eastAsia="es-MX"/>
          </w:rPr>
          <w:t>5.1.</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Precedentes decisorios del Instituto</w:t>
        </w:r>
        <w:r w:rsidR="003545C8">
          <w:rPr>
            <w:noProof/>
            <w:webHidden/>
          </w:rPr>
          <w:tab/>
        </w:r>
        <w:r w:rsidR="003545C8">
          <w:rPr>
            <w:noProof/>
            <w:webHidden/>
          </w:rPr>
          <w:fldChar w:fldCharType="begin"/>
        </w:r>
        <w:r w:rsidR="003545C8">
          <w:rPr>
            <w:noProof/>
            <w:webHidden/>
          </w:rPr>
          <w:instrText xml:space="preserve"> PAGEREF _Toc71717634 \h </w:instrText>
        </w:r>
        <w:r w:rsidR="003545C8">
          <w:rPr>
            <w:noProof/>
            <w:webHidden/>
          </w:rPr>
        </w:r>
        <w:r w:rsidR="003545C8">
          <w:rPr>
            <w:noProof/>
            <w:webHidden/>
          </w:rPr>
          <w:fldChar w:fldCharType="separate"/>
        </w:r>
        <w:r w:rsidR="005C490B">
          <w:rPr>
            <w:noProof/>
            <w:webHidden/>
          </w:rPr>
          <w:t>16</w:t>
        </w:r>
        <w:r w:rsidR="003545C8">
          <w:rPr>
            <w:noProof/>
            <w:webHidden/>
          </w:rPr>
          <w:fldChar w:fldCharType="end"/>
        </w:r>
      </w:hyperlink>
    </w:p>
    <w:p w14:paraId="53B8FFD7" w14:textId="0C554864"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35" w:history="1">
        <w:r w:rsidR="003545C8" w:rsidRPr="00443F2E">
          <w:rPr>
            <w:rStyle w:val="Hipervnculo"/>
            <w:rFonts w:eastAsia="Times New Roman" w:cs="Arial"/>
            <w:noProof/>
            <w:lang w:eastAsia="es-MX"/>
          </w:rPr>
          <w:t>5.2.</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Experiencia internacional</w:t>
        </w:r>
        <w:r w:rsidR="003545C8">
          <w:rPr>
            <w:noProof/>
            <w:webHidden/>
          </w:rPr>
          <w:tab/>
        </w:r>
        <w:r w:rsidR="003545C8">
          <w:rPr>
            <w:noProof/>
            <w:webHidden/>
          </w:rPr>
          <w:fldChar w:fldCharType="begin"/>
        </w:r>
        <w:r w:rsidR="003545C8">
          <w:rPr>
            <w:noProof/>
            <w:webHidden/>
          </w:rPr>
          <w:instrText xml:space="preserve"> PAGEREF _Toc71717635 \h </w:instrText>
        </w:r>
        <w:r w:rsidR="003545C8">
          <w:rPr>
            <w:noProof/>
            <w:webHidden/>
          </w:rPr>
        </w:r>
        <w:r w:rsidR="003545C8">
          <w:rPr>
            <w:noProof/>
            <w:webHidden/>
          </w:rPr>
          <w:fldChar w:fldCharType="separate"/>
        </w:r>
        <w:r w:rsidR="005C490B">
          <w:rPr>
            <w:noProof/>
            <w:webHidden/>
          </w:rPr>
          <w:t>18</w:t>
        </w:r>
        <w:r w:rsidR="003545C8">
          <w:rPr>
            <w:noProof/>
            <w:webHidden/>
          </w:rPr>
          <w:fldChar w:fldCharType="end"/>
        </w:r>
      </w:hyperlink>
    </w:p>
    <w:p w14:paraId="7B3BC739" w14:textId="6FB60FF5"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36" w:history="1">
        <w:r w:rsidR="003545C8" w:rsidRPr="00443F2E">
          <w:rPr>
            <w:rStyle w:val="Hipervnculo"/>
            <w:rFonts w:eastAsia="Times New Roman" w:cs="Arial"/>
            <w:noProof/>
            <w:lang w:eastAsia="es-MX"/>
          </w:rPr>
          <w:t>5.3.</w:t>
        </w:r>
        <w:r w:rsidR="003545C8">
          <w:rPr>
            <w:rFonts w:asciiTheme="minorHAnsi" w:eastAsiaTheme="minorEastAsia" w:hAnsiTheme="minorHAnsi"/>
            <w:noProof/>
            <w:lang w:eastAsia="es-MX"/>
          </w:rPr>
          <w:tab/>
        </w:r>
        <w:r w:rsidR="00A13D50">
          <w:rPr>
            <w:rStyle w:val="Hipervnculo"/>
            <w:rFonts w:eastAsia="Times New Roman" w:cs="Arial"/>
            <w:noProof/>
            <w:lang w:eastAsia="es-MX"/>
          </w:rPr>
          <w:t>E</w:t>
        </w:r>
        <w:r w:rsidR="003545C8" w:rsidRPr="00443F2E">
          <w:rPr>
            <w:rStyle w:val="Hipervnculo"/>
            <w:rFonts w:eastAsia="Times New Roman" w:cs="Arial"/>
            <w:noProof/>
            <w:lang w:eastAsia="es-MX"/>
          </w:rPr>
          <w:t>lementos para determinar la dimensión producto</w:t>
        </w:r>
        <w:r w:rsidR="003545C8">
          <w:rPr>
            <w:noProof/>
            <w:webHidden/>
          </w:rPr>
          <w:tab/>
        </w:r>
        <w:r w:rsidR="003545C8">
          <w:rPr>
            <w:noProof/>
            <w:webHidden/>
          </w:rPr>
          <w:fldChar w:fldCharType="begin"/>
        </w:r>
        <w:r w:rsidR="003545C8">
          <w:rPr>
            <w:noProof/>
            <w:webHidden/>
          </w:rPr>
          <w:instrText xml:space="preserve"> PAGEREF _Toc71717636 \h </w:instrText>
        </w:r>
        <w:r w:rsidR="003545C8">
          <w:rPr>
            <w:noProof/>
            <w:webHidden/>
          </w:rPr>
        </w:r>
        <w:r w:rsidR="003545C8">
          <w:rPr>
            <w:noProof/>
            <w:webHidden/>
          </w:rPr>
          <w:fldChar w:fldCharType="separate"/>
        </w:r>
        <w:r w:rsidR="005C490B">
          <w:rPr>
            <w:noProof/>
            <w:webHidden/>
          </w:rPr>
          <w:t>20</w:t>
        </w:r>
        <w:r w:rsidR="003545C8">
          <w:rPr>
            <w:noProof/>
            <w:webHidden/>
          </w:rPr>
          <w:fldChar w:fldCharType="end"/>
        </w:r>
      </w:hyperlink>
    </w:p>
    <w:p w14:paraId="3F56DA08" w14:textId="2DF11DF7"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37" w:history="1">
        <w:r w:rsidR="003545C8" w:rsidRPr="00443F2E">
          <w:rPr>
            <w:rStyle w:val="Hipervnculo"/>
            <w:rFonts w:cs="Arial"/>
            <w:b/>
            <w:noProof/>
          </w:rPr>
          <w:t>6.</w:t>
        </w:r>
        <w:r w:rsidR="003545C8">
          <w:rPr>
            <w:rFonts w:asciiTheme="minorHAnsi" w:eastAsiaTheme="minorEastAsia" w:hAnsiTheme="minorHAnsi"/>
            <w:noProof/>
            <w:lang w:eastAsia="es-MX"/>
          </w:rPr>
          <w:tab/>
        </w:r>
        <w:r w:rsidR="003545C8" w:rsidRPr="00443F2E">
          <w:rPr>
            <w:rStyle w:val="Hipervnculo"/>
            <w:rFonts w:cs="Arial"/>
            <w:b/>
            <w:noProof/>
          </w:rPr>
          <w:t>Determinación de la dimensión geográfica</w:t>
        </w:r>
        <w:r w:rsidR="003545C8">
          <w:rPr>
            <w:noProof/>
            <w:webHidden/>
          </w:rPr>
          <w:tab/>
        </w:r>
        <w:r w:rsidR="003545C8">
          <w:rPr>
            <w:noProof/>
            <w:webHidden/>
          </w:rPr>
          <w:fldChar w:fldCharType="begin"/>
        </w:r>
        <w:r w:rsidR="003545C8">
          <w:rPr>
            <w:noProof/>
            <w:webHidden/>
          </w:rPr>
          <w:instrText xml:space="preserve"> PAGEREF _Toc71717637 \h </w:instrText>
        </w:r>
        <w:r w:rsidR="003545C8">
          <w:rPr>
            <w:noProof/>
            <w:webHidden/>
          </w:rPr>
        </w:r>
        <w:r w:rsidR="003545C8">
          <w:rPr>
            <w:noProof/>
            <w:webHidden/>
          </w:rPr>
          <w:fldChar w:fldCharType="separate"/>
        </w:r>
        <w:r w:rsidR="005C490B">
          <w:rPr>
            <w:noProof/>
            <w:webHidden/>
          </w:rPr>
          <w:t>32</w:t>
        </w:r>
        <w:r w:rsidR="003545C8">
          <w:rPr>
            <w:noProof/>
            <w:webHidden/>
          </w:rPr>
          <w:fldChar w:fldCharType="end"/>
        </w:r>
      </w:hyperlink>
    </w:p>
    <w:p w14:paraId="01F7365B" w14:textId="17938592"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38" w:history="1">
        <w:r w:rsidR="003545C8" w:rsidRPr="00443F2E">
          <w:rPr>
            <w:rStyle w:val="Hipervnculo"/>
            <w:rFonts w:eastAsia="Times New Roman" w:cs="Arial"/>
            <w:noProof/>
            <w:lang w:eastAsia="es-MX"/>
          </w:rPr>
          <w:t>6.1.</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Precedentes decisorios del Instituto</w:t>
        </w:r>
        <w:r w:rsidR="003545C8">
          <w:rPr>
            <w:noProof/>
            <w:webHidden/>
          </w:rPr>
          <w:tab/>
        </w:r>
        <w:r w:rsidR="003545C8">
          <w:rPr>
            <w:noProof/>
            <w:webHidden/>
          </w:rPr>
          <w:fldChar w:fldCharType="begin"/>
        </w:r>
        <w:r w:rsidR="003545C8">
          <w:rPr>
            <w:noProof/>
            <w:webHidden/>
          </w:rPr>
          <w:instrText xml:space="preserve"> PAGEREF _Toc71717638 \h </w:instrText>
        </w:r>
        <w:r w:rsidR="003545C8">
          <w:rPr>
            <w:noProof/>
            <w:webHidden/>
          </w:rPr>
        </w:r>
        <w:r w:rsidR="003545C8">
          <w:rPr>
            <w:noProof/>
            <w:webHidden/>
          </w:rPr>
          <w:fldChar w:fldCharType="separate"/>
        </w:r>
        <w:r w:rsidR="005C490B">
          <w:rPr>
            <w:noProof/>
            <w:webHidden/>
          </w:rPr>
          <w:t>32</w:t>
        </w:r>
        <w:r w:rsidR="003545C8">
          <w:rPr>
            <w:noProof/>
            <w:webHidden/>
          </w:rPr>
          <w:fldChar w:fldCharType="end"/>
        </w:r>
      </w:hyperlink>
    </w:p>
    <w:p w14:paraId="03ED058C" w14:textId="432502AA"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39" w:history="1">
        <w:r w:rsidR="003545C8" w:rsidRPr="00443F2E">
          <w:rPr>
            <w:rStyle w:val="Hipervnculo"/>
            <w:rFonts w:eastAsia="Times New Roman" w:cs="Arial"/>
            <w:noProof/>
            <w:lang w:eastAsia="es-MX"/>
          </w:rPr>
          <w:t>6.2.</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Experiencia internacional</w:t>
        </w:r>
        <w:r w:rsidR="003545C8">
          <w:rPr>
            <w:noProof/>
            <w:webHidden/>
          </w:rPr>
          <w:tab/>
        </w:r>
        <w:r w:rsidR="003545C8">
          <w:rPr>
            <w:noProof/>
            <w:webHidden/>
          </w:rPr>
          <w:fldChar w:fldCharType="begin"/>
        </w:r>
        <w:r w:rsidR="003545C8">
          <w:rPr>
            <w:noProof/>
            <w:webHidden/>
          </w:rPr>
          <w:instrText xml:space="preserve"> PAGEREF _Toc71717639 \h </w:instrText>
        </w:r>
        <w:r w:rsidR="003545C8">
          <w:rPr>
            <w:noProof/>
            <w:webHidden/>
          </w:rPr>
        </w:r>
        <w:r w:rsidR="003545C8">
          <w:rPr>
            <w:noProof/>
            <w:webHidden/>
          </w:rPr>
          <w:fldChar w:fldCharType="separate"/>
        </w:r>
        <w:r w:rsidR="005C490B">
          <w:rPr>
            <w:noProof/>
            <w:webHidden/>
          </w:rPr>
          <w:t>33</w:t>
        </w:r>
        <w:r w:rsidR="003545C8">
          <w:rPr>
            <w:noProof/>
            <w:webHidden/>
          </w:rPr>
          <w:fldChar w:fldCharType="end"/>
        </w:r>
      </w:hyperlink>
    </w:p>
    <w:p w14:paraId="36FA8016" w14:textId="2FBCA5D6"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0" w:history="1">
        <w:r w:rsidR="003545C8" w:rsidRPr="00443F2E">
          <w:rPr>
            <w:rStyle w:val="Hipervnculo"/>
            <w:rFonts w:eastAsia="Times New Roman" w:cs="Arial"/>
            <w:noProof/>
            <w:lang w:eastAsia="es-MX"/>
          </w:rPr>
          <w:t>6.3.</w:t>
        </w:r>
        <w:r w:rsidR="003545C8">
          <w:rPr>
            <w:rFonts w:asciiTheme="minorHAnsi" w:eastAsiaTheme="minorEastAsia" w:hAnsiTheme="minorHAnsi"/>
            <w:noProof/>
            <w:lang w:eastAsia="es-MX"/>
          </w:rPr>
          <w:tab/>
        </w:r>
        <w:r w:rsidR="00A13D50">
          <w:rPr>
            <w:rStyle w:val="Hipervnculo"/>
            <w:rFonts w:eastAsia="Times New Roman" w:cs="Arial"/>
            <w:noProof/>
            <w:lang w:eastAsia="es-MX"/>
          </w:rPr>
          <w:t>E</w:t>
        </w:r>
        <w:r w:rsidR="003545C8" w:rsidRPr="00443F2E">
          <w:rPr>
            <w:rStyle w:val="Hipervnculo"/>
            <w:rFonts w:eastAsia="Times New Roman" w:cs="Arial"/>
            <w:noProof/>
            <w:lang w:eastAsia="es-MX"/>
          </w:rPr>
          <w:t>lementos para determinar la dimensión geográfica</w:t>
        </w:r>
        <w:r w:rsidR="003545C8">
          <w:rPr>
            <w:noProof/>
            <w:webHidden/>
          </w:rPr>
          <w:tab/>
        </w:r>
        <w:r w:rsidR="003545C8">
          <w:rPr>
            <w:noProof/>
            <w:webHidden/>
          </w:rPr>
          <w:fldChar w:fldCharType="begin"/>
        </w:r>
        <w:r w:rsidR="003545C8">
          <w:rPr>
            <w:noProof/>
            <w:webHidden/>
          </w:rPr>
          <w:instrText xml:space="preserve"> PAGEREF _Toc71717640 \h </w:instrText>
        </w:r>
        <w:r w:rsidR="003545C8">
          <w:rPr>
            <w:noProof/>
            <w:webHidden/>
          </w:rPr>
        </w:r>
        <w:r w:rsidR="003545C8">
          <w:rPr>
            <w:noProof/>
            <w:webHidden/>
          </w:rPr>
          <w:fldChar w:fldCharType="separate"/>
        </w:r>
        <w:r w:rsidR="005C490B">
          <w:rPr>
            <w:noProof/>
            <w:webHidden/>
          </w:rPr>
          <w:t>35</w:t>
        </w:r>
        <w:r w:rsidR="003545C8">
          <w:rPr>
            <w:noProof/>
            <w:webHidden/>
          </w:rPr>
          <w:fldChar w:fldCharType="end"/>
        </w:r>
      </w:hyperlink>
    </w:p>
    <w:p w14:paraId="4310AD9D" w14:textId="7D12022A"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41" w:history="1">
        <w:r w:rsidR="003545C8" w:rsidRPr="00443F2E">
          <w:rPr>
            <w:rStyle w:val="Hipervnculo"/>
            <w:rFonts w:cs="Arial"/>
            <w:b/>
            <w:noProof/>
          </w:rPr>
          <w:t>7.</w:t>
        </w:r>
        <w:r w:rsidR="003545C8">
          <w:rPr>
            <w:rFonts w:asciiTheme="minorHAnsi" w:eastAsiaTheme="minorEastAsia" w:hAnsiTheme="minorHAnsi"/>
            <w:noProof/>
            <w:lang w:eastAsia="es-MX"/>
          </w:rPr>
          <w:tab/>
        </w:r>
        <w:r w:rsidR="003545C8" w:rsidRPr="00443F2E">
          <w:rPr>
            <w:rStyle w:val="Hipervnculo"/>
            <w:rFonts w:cs="Arial"/>
            <w:b/>
            <w:noProof/>
          </w:rPr>
          <w:t>Exhaustividad en la delimitación del MR</w:t>
        </w:r>
        <w:r w:rsidR="003545C8">
          <w:rPr>
            <w:noProof/>
            <w:webHidden/>
          </w:rPr>
          <w:tab/>
        </w:r>
        <w:r w:rsidR="003545C8">
          <w:rPr>
            <w:noProof/>
            <w:webHidden/>
          </w:rPr>
          <w:fldChar w:fldCharType="begin"/>
        </w:r>
        <w:r w:rsidR="003545C8">
          <w:rPr>
            <w:noProof/>
            <w:webHidden/>
          </w:rPr>
          <w:instrText xml:space="preserve"> PAGEREF _Toc71717641 \h </w:instrText>
        </w:r>
        <w:r w:rsidR="003545C8">
          <w:rPr>
            <w:noProof/>
            <w:webHidden/>
          </w:rPr>
        </w:r>
        <w:r w:rsidR="003545C8">
          <w:rPr>
            <w:noProof/>
            <w:webHidden/>
          </w:rPr>
          <w:fldChar w:fldCharType="separate"/>
        </w:r>
        <w:r w:rsidR="005C490B">
          <w:rPr>
            <w:noProof/>
            <w:webHidden/>
          </w:rPr>
          <w:t>41</w:t>
        </w:r>
        <w:r w:rsidR="003545C8">
          <w:rPr>
            <w:noProof/>
            <w:webHidden/>
          </w:rPr>
          <w:fldChar w:fldCharType="end"/>
        </w:r>
      </w:hyperlink>
    </w:p>
    <w:p w14:paraId="71E14496" w14:textId="4BD1C6C0"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2" w:history="1">
        <w:r w:rsidR="003545C8" w:rsidRPr="00443F2E">
          <w:rPr>
            <w:rStyle w:val="Hipervnculo"/>
            <w:rFonts w:eastAsia="Times New Roman" w:cs="Arial"/>
            <w:noProof/>
            <w:lang w:eastAsia="es-MX"/>
          </w:rPr>
          <w:t>7.1.</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Precedentes decisorios del Instituto</w:t>
        </w:r>
        <w:r w:rsidR="003545C8">
          <w:rPr>
            <w:noProof/>
            <w:webHidden/>
          </w:rPr>
          <w:tab/>
        </w:r>
        <w:r w:rsidR="003545C8">
          <w:rPr>
            <w:noProof/>
            <w:webHidden/>
          </w:rPr>
          <w:fldChar w:fldCharType="begin"/>
        </w:r>
        <w:r w:rsidR="003545C8">
          <w:rPr>
            <w:noProof/>
            <w:webHidden/>
          </w:rPr>
          <w:instrText xml:space="preserve"> PAGEREF _Toc71717642 \h </w:instrText>
        </w:r>
        <w:r w:rsidR="003545C8">
          <w:rPr>
            <w:noProof/>
            <w:webHidden/>
          </w:rPr>
        </w:r>
        <w:r w:rsidR="003545C8">
          <w:rPr>
            <w:noProof/>
            <w:webHidden/>
          </w:rPr>
          <w:fldChar w:fldCharType="separate"/>
        </w:r>
        <w:r w:rsidR="005C490B">
          <w:rPr>
            <w:noProof/>
            <w:webHidden/>
          </w:rPr>
          <w:t>43</w:t>
        </w:r>
        <w:r w:rsidR="003545C8">
          <w:rPr>
            <w:noProof/>
            <w:webHidden/>
          </w:rPr>
          <w:fldChar w:fldCharType="end"/>
        </w:r>
      </w:hyperlink>
    </w:p>
    <w:p w14:paraId="6A11258D" w14:textId="489641D4"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3" w:history="1">
        <w:r w:rsidR="003545C8" w:rsidRPr="00443F2E">
          <w:rPr>
            <w:rStyle w:val="Hipervnculo"/>
            <w:rFonts w:eastAsia="Times New Roman" w:cs="Arial"/>
            <w:noProof/>
            <w:lang w:eastAsia="es-MX"/>
          </w:rPr>
          <w:t>7.2.</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Experiencia internacional</w:t>
        </w:r>
        <w:r w:rsidR="003545C8">
          <w:rPr>
            <w:noProof/>
            <w:webHidden/>
          </w:rPr>
          <w:tab/>
        </w:r>
        <w:r w:rsidR="003545C8">
          <w:rPr>
            <w:noProof/>
            <w:webHidden/>
          </w:rPr>
          <w:fldChar w:fldCharType="begin"/>
        </w:r>
        <w:r w:rsidR="003545C8">
          <w:rPr>
            <w:noProof/>
            <w:webHidden/>
          </w:rPr>
          <w:instrText xml:space="preserve"> PAGEREF _Toc71717643 \h </w:instrText>
        </w:r>
        <w:r w:rsidR="003545C8">
          <w:rPr>
            <w:noProof/>
            <w:webHidden/>
          </w:rPr>
        </w:r>
        <w:r w:rsidR="003545C8">
          <w:rPr>
            <w:noProof/>
            <w:webHidden/>
          </w:rPr>
          <w:fldChar w:fldCharType="separate"/>
        </w:r>
        <w:r w:rsidR="005C490B">
          <w:rPr>
            <w:noProof/>
            <w:webHidden/>
          </w:rPr>
          <w:t>44</w:t>
        </w:r>
        <w:r w:rsidR="003545C8">
          <w:rPr>
            <w:noProof/>
            <w:webHidden/>
          </w:rPr>
          <w:fldChar w:fldCharType="end"/>
        </w:r>
      </w:hyperlink>
    </w:p>
    <w:p w14:paraId="2EDA8431" w14:textId="046876C3"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4" w:history="1">
        <w:r w:rsidR="003545C8" w:rsidRPr="00443F2E">
          <w:rPr>
            <w:rStyle w:val="Hipervnculo"/>
            <w:rFonts w:eastAsia="Times New Roman" w:cs="Arial"/>
            <w:noProof/>
            <w:lang w:eastAsia="es-MX"/>
          </w:rPr>
          <w:t>7.3.</w:t>
        </w:r>
        <w:r w:rsidR="003545C8">
          <w:rPr>
            <w:rFonts w:asciiTheme="minorHAnsi" w:eastAsiaTheme="minorEastAsia" w:hAnsiTheme="minorHAnsi"/>
            <w:noProof/>
            <w:lang w:eastAsia="es-MX"/>
          </w:rPr>
          <w:tab/>
        </w:r>
        <w:r w:rsidR="00A13D50">
          <w:rPr>
            <w:rStyle w:val="Hipervnculo"/>
            <w:rFonts w:eastAsia="Times New Roman" w:cs="Arial"/>
            <w:noProof/>
            <w:lang w:eastAsia="es-MX"/>
          </w:rPr>
          <w:t>A</w:t>
        </w:r>
        <w:r w:rsidR="003545C8" w:rsidRPr="00443F2E">
          <w:rPr>
            <w:rStyle w:val="Hipervnculo"/>
            <w:rFonts w:eastAsia="Times New Roman" w:cs="Arial"/>
            <w:noProof/>
            <w:lang w:eastAsia="es-MX"/>
          </w:rPr>
          <w:t>plicación de criterios</w:t>
        </w:r>
        <w:r w:rsidR="003545C8">
          <w:rPr>
            <w:noProof/>
            <w:webHidden/>
          </w:rPr>
          <w:tab/>
        </w:r>
        <w:r w:rsidR="003545C8">
          <w:rPr>
            <w:noProof/>
            <w:webHidden/>
          </w:rPr>
          <w:fldChar w:fldCharType="begin"/>
        </w:r>
        <w:r w:rsidR="003545C8">
          <w:rPr>
            <w:noProof/>
            <w:webHidden/>
          </w:rPr>
          <w:instrText xml:space="preserve"> PAGEREF _Toc71717644 \h </w:instrText>
        </w:r>
        <w:r w:rsidR="003545C8">
          <w:rPr>
            <w:noProof/>
            <w:webHidden/>
          </w:rPr>
        </w:r>
        <w:r w:rsidR="003545C8">
          <w:rPr>
            <w:noProof/>
            <w:webHidden/>
          </w:rPr>
          <w:fldChar w:fldCharType="separate"/>
        </w:r>
        <w:r w:rsidR="005C490B">
          <w:rPr>
            <w:noProof/>
            <w:webHidden/>
          </w:rPr>
          <w:t>44</w:t>
        </w:r>
        <w:r w:rsidR="003545C8">
          <w:rPr>
            <w:noProof/>
            <w:webHidden/>
          </w:rPr>
          <w:fldChar w:fldCharType="end"/>
        </w:r>
      </w:hyperlink>
    </w:p>
    <w:p w14:paraId="100E09D8" w14:textId="500B87C8"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45" w:history="1">
        <w:r w:rsidR="003545C8" w:rsidRPr="00443F2E">
          <w:rPr>
            <w:rStyle w:val="Hipervnculo"/>
            <w:rFonts w:cs="Arial"/>
            <w:b/>
            <w:noProof/>
          </w:rPr>
          <w:t>8.</w:t>
        </w:r>
        <w:r w:rsidR="003545C8">
          <w:rPr>
            <w:rFonts w:asciiTheme="minorHAnsi" w:eastAsiaTheme="minorEastAsia" w:hAnsiTheme="minorHAnsi"/>
            <w:noProof/>
            <w:lang w:eastAsia="es-MX"/>
          </w:rPr>
          <w:tab/>
        </w:r>
        <w:r w:rsidR="003545C8" w:rsidRPr="00443F2E">
          <w:rPr>
            <w:rStyle w:val="Hipervnculo"/>
            <w:rFonts w:cs="Arial"/>
            <w:b/>
            <w:noProof/>
          </w:rPr>
          <w:t>Mercados relacionados</w:t>
        </w:r>
        <w:r w:rsidR="003545C8">
          <w:rPr>
            <w:noProof/>
            <w:webHidden/>
          </w:rPr>
          <w:tab/>
        </w:r>
        <w:r w:rsidR="003545C8">
          <w:rPr>
            <w:noProof/>
            <w:webHidden/>
          </w:rPr>
          <w:fldChar w:fldCharType="begin"/>
        </w:r>
        <w:r w:rsidR="003545C8">
          <w:rPr>
            <w:noProof/>
            <w:webHidden/>
          </w:rPr>
          <w:instrText xml:space="preserve"> PAGEREF _Toc71717645 \h </w:instrText>
        </w:r>
        <w:r w:rsidR="003545C8">
          <w:rPr>
            <w:noProof/>
            <w:webHidden/>
          </w:rPr>
        </w:r>
        <w:r w:rsidR="003545C8">
          <w:rPr>
            <w:noProof/>
            <w:webHidden/>
          </w:rPr>
          <w:fldChar w:fldCharType="separate"/>
        </w:r>
        <w:r w:rsidR="005C490B">
          <w:rPr>
            <w:noProof/>
            <w:webHidden/>
          </w:rPr>
          <w:t>45</w:t>
        </w:r>
        <w:r w:rsidR="003545C8">
          <w:rPr>
            <w:noProof/>
            <w:webHidden/>
          </w:rPr>
          <w:fldChar w:fldCharType="end"/>
        </w:r>
      </w:hyperlink>
    </w:p>
    <w:p w14:paraId="059C663C" w14:textId="68AF0D06"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6" w:history="1">
        <w:r w:rsidR="003545C8" w:rsidRPr="00443F2E">
          <w:rPr>
            <w:rStyle w:val="Hipervnculo"/>
            <w:rFonts w:eastAsia="Times New Roman" w:cs="Arial"/>
            <w:noProof/>
            <w:lang w:eastAsia="es-MX"/>
          </w:rPr>
          <w:t>8.1.</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Precedentes decisorios del Instituto</w:t>
        </w:r>
        <w:r w:rsidR="003545C8">
          <w:rPr>
            <w:noProof/>
            <w:webHidden/>
          </w:rPr>
          <w:tab/>
        </w:r>
        <w:r w:rsidR="003545C8">
          <w:rPr>
            <w:noProof/>
            <w:webHidden/>
          </w:rPr>
          <w:fldChar w:fldCharType="begin"/>
        </w:r>
        <w:r w:rsidR="003545C8">
          <w:rPr>
            <w:noProof/>
            <w:webHidden/>
          </w:rPr>
          <w:instrText xml:space="preserve"> PAGEREF _Toc71717646 \h </w:instrText>
        </w:r>
        <w:r w:rsidR="003545C8">
          <w:rPr>
            <w:noProof/>
            <w:webHidden/>
          </w:rPr>
        </w:r>
        <w:r w:rsidR="003545C8">
          <w:rPr>
            <w:noProof/>
            <w:webHidden/>
          </w:rPr>
          <w:fldChar w:fldCharType="separate"/>
        </w:r>
        <w:r w:rsidR="005C490B">
          <w:rPr>
            <w:noProof/>
            <w:webHidden/>
          </w:rPr>
          <w:t>46</w:t>
        </w:r>
        <w:r w:rsidR="003545C8">
          <w:rPr>
            <w:noProof/>
            <w:webHidden/>
          </w:rPr>
          <w:fldChar w:fldCharType="end"/>
        </w:r>
      </w:hyperlink>
    </w:p>
    <w:p w14:paraId="5C0AB934" w14:textId="1D510711"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7" w:history="1">
        <w:r w:rsidR="003545C8" w:rsidRPr="00443F2E">
          <w:rPr>
            <w:rStyle w:val="Hipervnculo"/>
            <w:rFonts w:eastAsia="Times New Roman" w:cs="Arial"/>
            <w:noProof/>
            <w:lang w:eastAsia="es-MX"/>
          </w:rPr>
          <w:t>8.2.</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Experiencia internacional</w:t>
        </w:r>
        <w:r w:rsidR="003545C8">
          <w:rPr>
            <w:noProof/>
            <w:webHidden/>
          </w:rPr>
          <w:tab/>
        </w:r>
        <w:r w:rsidR="003545C8">
          <w:rPr>
            <w:noProof/>
            <w:webHidden/>
          </w:rPr>
          <w:fldChar w:fldCharType="begin"/>
        </w:r>
        <w:r w:rsidR="003545C8">
          <w:rPr>
            <w:noProof/>
            <w:webHidden/>
          </w:rPr>
          <w:instrText xml:space="preserve"> PAGEREF _Toc71717647 \h </w:instrText>
        </w:r>
        <w:r w:rsidR="003545C8">
          <w:rPr>
            <w:noProof/>
            <w:webHidden/>
          </w:rPr>
        </w:r>
        <w:r w:rsidR="003545C8">
          <w:rPr>
            <w:noProof/>
            <w:webHidden/>
          </w:rPr>
          <w:fldChar w:fldCharType="separate"/>
        </w:r>
        <w:r w:rsidR="005C490B">
          <w:rPr>
            <w:noProof/>
            <w:webHidden/>
          </w:rPr>
          <w:t>46</w:t>
        </w:r>
        <w:r w:rsidR="003545C8">
          <w:rPr>
            <w:noProof/>
            <w:webHidden/>
          </w:rPr>
          <w:fldChar w:fldCharType="end"/>
        </w:r>
      </w:hyperlink>
    </w:p>
    <w:p w14:paraId="226FDC94" w14:textId="4229A1F8"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48" w:history="1">
        <w:r w:rsidR="003545C8" w:rsidRPr="00443F2E">
          <w:rPr>
            <w:rStyle w:val="Hipervnculo"/>
            <w:rFonts w:eastAsia="Times New Roman" w:cs="Arial"/>
            <w:noProof/>
            <w:lang w:eastAsia="es-MX"/>
          </w:rPr>
          <w:t>8.3.</w:t>
        </w:r>
        <w:r w:rsidR="003545C8">
          <w:rPr>
            <w:rFonts w:asciiTheme="minorHAnsi" w:eastAsiaTheme="minorEastAsia" w:hAnsiTheme="minorHAnsi"/>
            <w:noProof/>
            <w:lang w:eastAsia="es-MX"/>
          </w:rPr>
          <w:tab/>
        </w:r>
        <w:r w:rsidR="00A13D50">
          <w:rPr>
            <w:rStyle w:val="Hipervnculo"/>
            <w:rFonts w:eastAsia="Times New Roman" w:cs="Arial"/>
            <w:noProof/>
            <w:lang w:eastAsia="es-MX"/>
          </w:rPr>
          <w:t>E</w:t>
        </w:r>
        <w:r w:rsidR="003545C8" w:rsidRPr="00443F2E">
          <w:rPr>
            <w:rStyle w:val="Hipervnculo"/>
            <w:rFonts w:eastAsia="Times New Roman" w:cs="Arial"/>
            <w:noProof/>
            <w:lang w:eastAsia="es-MX"/>
          </w:rPr>
          <w:t>lementos para determinar mercados relacionados</w:t>
        </w:r>
        <w:r w:rsidR="003545C8">
          <w:rPr>
            <w:noProof/>
            <w:webHidden/>
          </w:rPr>
          <w:tab/>
        </w:r>
        <w:r w:rsidR="003545C8">
          <w:rPr>
            <w:noProof/>
            <w:webHidden/>
          </w:rPr>
          <w:fldChar w:fldCharType="begin"/>
        </w:r>
        <w:r w:rsidR="003545C8">
          <w:rPr>
            <w:noProof/>
            <w:webHidden/>
          </w:rPr>
          <w:instrText xml:space="preserve"> PAGEREF _Toc71717648 \h </w:instrText>
        </w:r>
        <w:r w:rsidR="003545C8">
          <w:rPr>
            <w:noProof/>
            <w:webHidden/>
          </w:rPr>
        </w:r>
        <w:r w:rsidR="003545C8">
          <w:rPr>
            <w:noProof/>
            <w:webHidden/>
          </w:rPr>
          <w:fldChar w:fldCharType="separate"/>
        </w:r>
        <w:r w:rsidR="005C490B">
          <w:rPr>
            <w:noProof/>
            <w:webHidden/>
          </w:rPr>
          <w:t>47</w:t>
        </w:r>
        <w:r w:rsidR="003545C8">
          <w:rPr>
            <w:noProof/>
            <w:webHidden/>
          </w:rPr>
          <w:fldChar w:fldCharType="end"/>
        </w:r>
      </w:hyperlink>
    </w:p>
    <w:p w14:paraId="386DE7B1" w14:textId="383A2CE6" w:rsidR="003545C8" w:rsidRDefault="00FD6552" w:rsidP="003545C8">
      <w:pPr>
        <w:pStyle w:val="TDC1"/>
        <w:tabs>
          <w:tab w:val="left" w:pos="440"/>
          <w:tab w:val="right" w:leader="dot" w:pos="9394"/>
        </w:tabs>
        <w:spacing w:before="0" w:after="0"/>
        <w:rPr>
          <w:rFonts w:asciiTheme="minorHAnsi" w:eastAsiaTheme="minorEastAsia" w:hAnsiTheme="minorHAnsi"/>
          <w:noProof/>
          <w:lang w:eastAsia="es-MX"/>
        </w:rPr>
      </w:pPr>
      <w:hyperlink w:anchor="_Toc71717649" w:history="1">
        <w:r w:rsidR="003545C8" w:rsidRPr="00443F2E">
          <w:rPr>
            <w:rStyle w:val="Hipervnculo"/>
            <w:rFonts w:cs="Arial"/>
            <w:b/>
            <w:noProof/>
          </w:rPr>
          <w:t>9.</w:t>
        </w:r>
        <w:r w:rsidR="003545C8">
          <w:rPr>
            <w:rFonts w:asciiTheme="minorHAnsi" w:eastAsiaTheme="minorEastAsia" w:hAnsiTheme="minorHAnsi"/>
            <w:noProof/>
            <w:lang w:eastAsia="es-MX"/>
          </w:rPr>
          <w:tab/>
        </w:r>
        <w:r w:rsidR="003545C8" w:rsidRPr="00443F2E">
          <w:rPr>
            <w:rStyle w:val="Hipervnculo"/>
            <w:rFonts w:cs="Arial"/>
            <w:b/>
            <w:noProof/>
          </w:rPr>
          <w:t>Temas específicos de los sectores de TyR</w:t>
        </w:r>
        <w:r w:rsidR="003545C8">
          <w:rPr>
            <w:noProof/>
            <w:webHidden/>
          </w:rPr>
          <w:tab/>
        </w:r>
        <w:r w:rsidR="003545C8">
          <w:rPr>
            <w:noProof/>
            <w:webHidden/>
          </w:rPr>
          <w:fldChar w:fldCharType="begin"/>
        </w:r>
        <w:r w:rsidR="003545C8">
          <w:rPr>
            <w:noProof/>
            <w:webHidden/>
          </w:rPr>
          <w:instrText xml:space="preserve"> PAGEREF _Toc71717649 \h </w:instrText>
        </w:r>
        <w:r w:rsidR="003545C8">
          <w:rPr>
            <w:noProof/>
            <w:webHidden/>
          </w:rPr>
        </w:r>
        <w:r w:rsidR="003545C8">
          <w:rPr>
            <w:noProof/>
            <w:webHidden/>
          </w:rPr>
          <w:fldChar w:fldCharType="separate"/>
        </w:r>
        <w:r w:rsidR="005C490B">
          <w:rPr>
            <w:noProof/>
            <w:webHidden/>
          </w:rPr>
          <w:t>47</w:t>
        </w:r>
        <w:r w:rsidR="003545C8">
          <w:rPr>
            <w:noProof/>
            <w:webHidden/>
          </w:rPr>
          <w:fldChar w:fldCharType="end"/>
        </w:r>
      </w:hyperlink>
    </w:p>
    <w:p w14:paraId="6B5E478A" w14:textId="6DC2CA21"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51" w:history="1">
        <w:r w:rsidR="003545C8" w:rsidRPr="00443F2E">
          <w:rPr>
            <w:rStyle w:val="Hipervnculo"/>
            <w:rFonts w:eastAsia="Times New Roman" w:cs="Arial"/>
            <w:noProof/>
            <w:lang w:eastAsia="es-MX"/>
          </w:rPr>
          <w:t>9.1.</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Integración vertical</w:t>
        </w:r>
        <w:r w:rsidR="003545C8">
          <w:rPr>
            <w:noProof/>
            <w:webHidden/>
          </w:rPr>
          <w:tab/>
        </w:r>
        <w:r w:rsidR="003545C8">
          <w:rPr>
            <w:noProof/>
            <w:webHidden/>
          </w:rPr>
          <w:fldChar w:fldCharType="begin"/>
        </w:r>
        <w:r w:rsidR="003545C8">
          <w:rPr>
            <w:noProof/>
            <w:webHidden/>
          </w:rPr>
          <w:instrText xml:space="preserve"> PAGEREF _Toc71717651 \h </w:instrText>
        </w:r>
        <w:r w:rsidR="003545C8">
          <w:rPr>
            <w:noProof/>
            <w:webHidden/>
          </w:rPr>
        </w:r>
        <w:r w:rsidR="003545C8">
          <w:rPr>
            <w:noProof/>
            <w:webHidden/>
          </w:rPr>
          <w:fldChar w:fldCharType="separate"/>
        </w:r>
        <w:r w:rsidR="005C490B">
          <w:rPr>
            <w:noProof/>
            <w:webHidden/>
          </w:rPr>
          <w:t>47</w:t>
        </w:r>
        <w:r w:rsidR="003545C8">
          <w:rPr>
            <w:noProof/>
            <w:webHidden/>
          </w:rPr>
          <w:fldChar w:fldCharType="end"/>
        </w:r>
      </w:hyperlink>
    </w:p>
    <w:p w14:paraId="1AEB7BF6" w14:textId="49957BCB"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52" w:history="1">
        <w:r w:rsidR="003545C8" w:rsidRPr="00443F2E">
          <w:rPr>
            <w:rStyle w:val="Hipervnculo"/>
            <w:rFonts w:eastAsia="Times New Roman" w:cs="Arial"/>
            <w:noProof/>
            <w:lang w:eastAsia="es-MX"/>
          </w:rPr>
          <w:t>9.2.</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Sustitución asimétrica</w:t>
        </w:r>
        <w:r w:rsidR="003545C8">
          <w:rPr>
            <w:noProof/>
            <w:webHidden/>
          </w:rPr>
          <w:tab/>
        </w:r>
        <w:r w:rsidR="003545C8">
          <w:rPr>
            <w:noProof/>
            <w:webHidden/>
          </w:rPr>
          <w:fldChar w:fldCharType="begin"/>
        </w:r>
        <w:r w:rsidR="003545C8">
          <w:rPr>
            <w:noProof/>
            <w:webHidden/>
          </w:rPr>
          <w:instrText xml:space="preserve"> PAGEREF _Toc71717652 \h </w:instrText>
        </w:r>
        <w:r w:rsidR="003545C8">
          <w:rPr>
            <w:noProof/>
            <w:webHidden/>
          </w:rPr>
        </w:r>
        <w:r w:rsidR="003545C8">
          <w:rPr>
            <w:noProof/>
            <w:webHidden/>
          </w:rPr>
          <w:fldChar w:fldCharType="separate"/>
        </w:r>
        <w:r w:rsidR="005C490B">
          <w:rPr>
            <w:noProof/>
            <w:webHidden/>
          </w:rPr>
          <w:t>50</w:t>
        </w:r>
        <w:r w:rsidR="003545C8">
          <w:rPr>
            <w:noProof/>
            <w:webHidden/>
          </w:rPr>
          <w:fldChar w:fldCharType="end"/>
        </w:r>
      </w:hyperlink>
    </w:p>
    <w:p w14:paraId="56FF4589" w14:textId="4B8E23F3"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53" w:history="1">
        <w:r w:rsidR="003545C8" w:rsidRPr="00443F2E">
          <w:rPr>
            <w:rStyle w:val="Hipervnculo"/>
            <w:rFonts w:eastAsia="Times New Roman" w:cs="Arial"/>
            <w:noProof/>
            <w:lang w:eastAsia="es-MX"/>
          </w:rPr>
          <w:t>9.3.</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Diferenciación de productos</w:t>
        </w:r>
        <w:r w:rsidR="003545C8">
          <w:rPr>
            <w:noProof/>
            <w:webHidden/>
          </w:rPr>
          <w:tab/>
        </w:r>
        <w:r w:rsidR="003545C8">
          <w:rPr>
            <w:noProof/>
            <w:webHidden/>
          </w:rPr>
          <w:fldChar w:fldCharType="begin"/>
        </w:r>
        <w:r w:rsidR="003545C8">
          <w:rPr>
            <w:noProof/>
            <w:webHidden/>
          </w:rPr>
          <w:instrText xml:space="preserve"> PAGEREF _Toc71717653 \h </w:instrText>
        </w:r>
        <w:r w:rsidR="003545C8">
          <w:rPr>
            <w:noProof/>
            <w:webHidden/>
          </w:rPr>
        </w:r>
        <w:r w:rsidR="003545C8">
          <w:rPr>
            <w:noProof/>
            <w:webHidden/>
          </w:rPr>
          <w:fldChar w:fldCharType="separate"/>
        </w:r>
        <w:r w:rsidR="005C490B">
          <w:rPr>
            <w:noProof/>
            <w:webHidden/>
          </w:rPr>
          <w:t>52</w:t>
        </w:r>
        <w:r w:rsidR="003545C8">
          <w:rPr>
            <w:noProof/>
            <w:webHidden/>
          </w:rPr>
          <w:fldChar w:fldCharType="end"/>
        </w:r>
      </w:hyperlink>
    </w:p>
    <w:p w14:paraId="1A1B8951" w14:textId="2DEF4382" w:rsidR="003545C8" w:rsidRDefault="00FD6552" w:rsidP="003545C8">
      <w:pPr>
        <w:pStyle w:val="TDC2"/>
        <w:tabs>
          <w:tab w:val="left" w:pos="880"/>
          <w:tab w:val="right" w:leader="dot" w:pos="9394"/>
        </w:tabs>
        <w:spacing w:before="0" w:after="0"/>
        <w:rPr>
          <w:rFonts w:asciiTheme="minorHAnsi" w:eastAsiaTheme="minorEastAsia" w:hAnsiTheme="minorHAnsi"/>
          <w:noProof/>
          <w:lang w:eastAsia="es-MX"/>
        </w:rPr>
      </w:pPr>
      <w:hyperlink w:anchor="_Toc71717654" w:history="1">
        <w:r w:rsidR="003545C8" w:rsidRPr="00443F2E">
          <w:rPr>
            <w:rStyle w:val="Hipervnculo"/>
            <w:rFonts w:eastAsia="Times New Roman" w:cs="Arial"/>
            <w:noProof/>
            <w:lang w:eastAsia="es-MX"/>
          </w:rPr>
          <w:t>9.4.</w:t>
        </w:r>
        <w:r w:rsidR="003545C8">
          <w:rPr>
            <w:rFonts w:asciiTheme="minorHAnsi" w:eastAsiaTheme="minorEastAsia" w:hAnsiTheme="minorHAnsi"/>
            <w:noProof/>
            <w:lang w:eastAsia="es-MX"/>
          </w:rPr>
          <w:tab/>
        </w:r>
        <w:r w:rsidR="003545C8" w:rsidRPr="00443F2E">
          <w:rPr>
            <w:rStyle w:val="Hipervnculo"/>
            <w:rFonts w:eastAsia="Times New Roman" w:cs="Arial"/>
            <w:noProof/>
            <w:lang w:eastAsia="es-MX"/>
          </w:rPr>
          <w:t>Empaquetamiento de servicios</w:t>
        </w:r>
        <w:r w:rsidR="003545C8">
          <w:rPr>
            <w:noProof/>
            <w:webHidden/>
          </w:rPr>
          <w:tab/>
        </w:r>
        <w:r w:rsidR="003545C8">
          <w:rPr>
            <w:noProof/>
            <w:webHidden/>
          </w:rPr>
          <w:fldChar w:fldCharType="begin"/>
        </w:r>
        <w:r w:rsidR="003545C8">
          <w:rPr>
            <w:noProof/>
            <w:webHidden/>
          </w:rPr>
          <w:instrText xml:space="preserve"> PAGEREF _Toc71717654 \h </w:instrText>
        </w:r>
        <w:r w:rsidR="003545C8">
          <w:rPr>
            <w:noProof/>
            <w:webHidden/>
          </w:rPr>
        </w:r>
        <w:r w:rsidR="003545C8">
          <w:rPr>
            <w:noProof/>
            <w:webHidden/>
          </w:rPr>
          <w:fldChar w:fldCharType="separate"/>
        </w:r>
        <w:r w:rsidR="005C490B">
          <w:rPr>
            <w:noProof/>
            <w:webHidden/>
          </w:rPr>
          <w:t>55</w:t>
        </w:r>
        <w:r w:rsidR="003545C8">
          <w:rPr>
            <w:noProof/>
            <w:webHidden/>
          </w:rPr>
          <w:fldChar w:fldCharType="end"/>
        </w:r>
      </w:hyperlink>
    </w:p>
    <w:p w14:paraId="2D6F9529" w14:textId="0799CAC0" w:rsidR="003545C8" w:rsidRDefault="003545C8" w:rsidP="003545C8">
      <w:pPr>
        <w:spacing w:after="0"/>
        <w:rPr>
          <w:rFonts w:ascii="Arial" w:hAnsi="Arial" w:cs="Arial"/>
          <w:b/>
        </w:rPr>
      </w:pPr>
      <w:r w:rsidRPr="00931D46">
        <w:rPr>
          <w:rFonts w:ascii="Arial" w:hAnsi="Arial" w:cs="Arial"/>
          <w:b/>
        </w:rPr>
        <w:fldChar w:fldCharType="end"/>
      </w:r>
    </w:p>
    <w:p w14:paraId="2CBA0A3B" w14:textId="77777777" w:rsidR="003545C8" w:rsidRDefault="003545C8" w:rsidP="003545C8">
      <w:pPr>
        <w:spacing w:after="0"/>
        <w:rPr>
          <w:rFonts w:ascii="Arial" w:hAnsi="Arial" w:cs="Arial"/>
          <w:b/>
        </w:rPr>
      </w:pPr>
    </w:p>
    <w:p w14:paraId="78274615" w14:textId="77777777" w:rsidR="003545C8" w:rsidRDefault="003545C8" w:rsidP="003545C8">
      <w:pPr>
        <w:spacing w:after="0"/>
        <w:rPr>
          <w:rFonts w:ascii="Arial" w:hAnsi="Arial" w:cs="Arial"/>
          <w:b/>
        </w:rPr>
      </w:pPr>
    </w:p>
    <w:p w14:paraId="15B88CDE" w14:textId="77777777" w:rsidR="003545C8" w:rsidRDefault="003545C8" w:rsidP="003545C8">
      <w:pPr>
        <w:spacing w:after="0"/>
        <w:rPr>
          <w:rFonts w:ascii="Arial" w:hAnsi="Arial" w:cs="Arial"/>
          <w:b/>
        </w:rPr>
      </w:pPr>
    </w:p>
    <w:p w14:paraId="6400D03A" w14:textId="77777777" w:rsidR="003545C8" w:rsidRDefault="003545C8" w:rsidP="003545C8">
      <w:pPr>
        <w:spacing w:after="0"/>
        <w:rPr>
          <w:rFonts w:ascii="Arial" w:hAnsi="Arial" w:cs="Arial"/>
          <w:b/>
        </w:rPr>
      </w:pPr>
    </w:p>
    <w:p w14:paraId="0E412806" w14:textId="77777777" w:rsidR="003545C8" w:rsidRDefault="003545C8" w:rsidP="003545C8">
      <w:pPr>
        <w:spacing w:after="0"/>
        <w:rPr>
          <w:rFonts w:ascii="Arial" w:hAnsi="Arial" w:cs="Arial"/>
          <w:b/>
        </w:rPr>
      </w:pPr>
    </w:p>
    <w:p w14:paraId="74A937AE" w14:textId="77777777" w:rsidR="003545C8" w:rsidRDefault="003545C8" w:rsidP="003545C8">
      <w:pPr>
        <w:spacing w:after="0"/>
        <w:rPr>
          <w:rFonts w:ascii="Arial" w:hAnsi="Arial" w:cs="Arial"/>
          <w:b/>
        </w:rPr>
      </w:pPr>
    </w:p>
    <w:p w14:paraId="1ACA15AF" w14:textId="77777777" w:rsidR="003545C8" w:rsidRPr="00931D46" w:rsidRDefault="003545C8" w:rsidP="003545C8">
      <w:pPr>
        <w:spacing w:after="0"/>
        <w:rPr>
          <w:rFonts w:ascii="Arial" w:eastAsiaTheme="majorEastAsia" w:hAnsi="Arial" w:cs="Arial"/>
          <w:b/>
          <w:szCs w:val="32"/>
        </w:rPr>
      </w:pPr>
    </w:p>
    <w:p w14:paraId="55AE9DA2" w14:textId="77777777" w:rsidR="003545C8" w:rsidRPr="00931D46" w:rsidRDefault="003545C8" w:rsidP="003545C8">
      <w:pPr>
        <w:pStyle w:val="Ttulo1"/>
        <w:ind w:left="567"/>
        <w:jc w:val="both"/>
        <w:rPr>
          <w:rFonts w:ascii="Arial" w:hAnsi="Arial" w:cs="Arial"/>
          <w:b w:val="0"/>
          <w:sz w:val="26"/>
          <w:szCs w:val="26"/>
        </w:rPr>
      </w:pPr>
      <w:bookmarkStart w:id="12" w:name="_Toc45216566"/>
      <w:bookmarkStart w:id="13" w:name="_Toc45628311"/>
      <w:bookmarkStart w:id="14" w:name="_Toc71717626"/>
      <w:r w:rsidRPr="00931D46">
        <w:rPr>
          <w:rFonts w:ascii="Arial" w:hAnsi="Arial" w:cs="Arial"/>
          <w:sz w:val="26"/>
          <w:szCs w:val="26"/>
        </w:rPr>
        <w:lastRenderedPageBreak/>
        <w:t>Glosario</w:t>
      </w:r>
      <w:bookmarkEnd w:id="8"/>
      <w:bookmarkEnd w:id="9"/>
      <w:bookmarkEnd w:id="10"/>
      <w:bookmarkEnd w:id="11"/>
      <w:r w:rsidRPr="00931D46">
        <w:rPr>
          <w:rFonts w:ascii="Arial" w:hAnsi="Arial" w:cs="Arial"/>
          <w:sz w:val="26"/>
          <w:szCs w:val="26"/>
          <w:vertAlign w:val="superscript"/>
        </w:rPr>
        <w:footnoteReference w:id="2"/>
      </w:r>
      <w:bookmarkEnd w:id="12"/>
      <w:bookmarkEnd w:id="13"/>
      <w:bookmarkEnd w:id="14"/>
    </w:p>
    <w:p w14:paraId="26E23F7F" w14:textId="77777777" w:rsidR="003545C8" w:rsidRPr="00931D46" w:rsidRDefault="003545C8" w:rsidP="003545C8">
      <w:pPr>
        <w:spacing w:after="0"/>
        <w:rPr>
          <w:rFonts w:ascii="Arial" w:hAnsi="Arial" w:cs="Arial"/>
        </w:rPr>
      </w:pPr>
    </w:p>
    <w:p w14:paraId="50AAB757" w14:textId="77777777" w:rsidR="003545C8" w:rsidRPr="00931D46" w:rsidRDefault="003545C8" w:rsidP="003545C8">
      <w:pPr>
        <w:spacing w:after="0"/>
        <w:rPr>
          <w:rFonts w:ascii="Arial" w:hAnsi="Arial" w:cs="Arial"/>
        </w:rPr>
      </w:pPr>
      <w:r w:rsidRPr="00931D46">
        <w:rPr>
          <w:rFonts w:ascii="Arial" w:hAnsi="Arial" w:cs="Arial"/>
        </w:rPr>
        <w:t>En el presente documento se utilizarán, además de los establecidos en la Ley Federal de Competencia Económica, los siguientes acrónimos y términos.</w:t>
      </w:r>
    </w:p>
    <w:p w14:paraId="40485408" w14:textId="77777777" w:rsidR="003545C8" w:rsidRPr="00931D46" w:rsidRDefault="003545C8" w:rsidP="003545C8">
      <w:pPr>
        <w:spacing w:after="0"/>
        <w:rPr>
          <w:rFonts w:ascii="Arial" w:hAnsi="Arial" w:cs="Arial"/>
        </w:rPr>
      </w:pPr>
    </w:p>
    <w:tbl>
      <w:tblPr>
        <w:tblStyle w:val="Tablaconcuadrcula"/>
        <w:tblW w:w="9498" w:type="dxa"/>
        <w:tblInd w:w="-5" w:type="dxa"/>
        <w:tblLayout w:type="fixed"/>
        <w:tblLook w:val="04A0" w:firstRow="1" w:lastRow="0" w:firstColumn="1" w:lastColumn="0" w:noHBand="0" w:noVBand="1"/>
      </w:tblPr>
      <w:tblGrid>
        <w:gridCol w:w="2410"/>
        <w:gridCol w:w="7088"/>
      </w:tblGrid>
      <w:tr w:rsidR="003545C8" w:rsidRPr="00931D46" w14:paraId="06E697A5" w14:textId="77777777" w:rsidTr="00594C79">
        <w:trPr>
          <w:trHeight w:val="301"/>
          <w:tblHeader/>
        </w:trPr>
        <w:tc>
          <w:tcPr>
            <w:tcW w:w="2410" w:type="dxa"/>
            <w:shd w:val="clear" w:color="auto" w:fill="92D050"/>
            <w:vAlign w:val="center"/>
          </w:tcPr>
          <w:p w14:paraId="31CC7F10" w14:textId="77777777" w:rsidR="003545C8" w:rsidRPr="00931D46" w:rsidRDefault="003545C8" w:rsidP="00594C79">
            <w:pPr>
              <w:pStyle w:val="TablaTexto"/>
              <w:spacing w:line="276" w:lineRule="auto"/>
              <w:rPr>
                <w:rFonts w:ascii="Arial" w:hAnsi="Arial" w:cs="Arial"/>
                <w:b/>
              </w:rPr>
            </w:pPr>
            <w:r w:rsidRPr="00931D46">
              <w:rPr>
                <w:rFonts w:ascii="Arial" w:hAnsi="Arial" w:cs="Arial"/>
                <w:b/>
              </w:rPr>
              <w:t>Término o acrónimo</w:t>
            </w:r>
          </w:p>
        </w:tc>
        <w:tc>
          <w:tcPr>
            <w:tcW w:w="7088" w:type="dxa"/>
            <w:shd w:val="clear" w:color="auto" w:fill="92D050"/>
            <w:vAlign w:val="center"/>
          </w:tcPr>
          <w:p w14:paraId="0D335F95" w14:textId="77777777" w:rsidR="003545C8" w:rsidRPr="00931D46" w:rsidRDefault="003545C8" w:rsidP="00594C79">
            <w:pPr>
              <w:pStyle w:val="TablaTexto"/>
              <w:spacing w:line="276" w:lineRule="auto"/>
              <w:rPr>
                <w:rFonts w:ascii="Arial" w:hAnsi="Arial" w:cs="Arial"/>
                <w:b/>
              </w:rPr>
            </w:pPr>
            <w:r w:rsidRPr="00931D46">
              <w:rPr>
                <w:rFonts w:ascii="Arial" w:hAnsi="Arial" w:cs="Arial"/>
                <w:b/>
              </w:rPr>
              <w:t>Definición</w:t>
            </w:r>
          </w:p>
        </w:tc>
      </w:tr>
      <w:tr w:rsidR="003545C8" w:rsidRPr="00931D46" w14:paraId="54968BE8" w14:textId="77777777" w:rsidTr="00594C79">
        <w:trPr>
          <w:trHeight w:val="301"/>
        </w:trPr>
        <w:tc>
          <w:tcPr>
            <w:tcW w:w="2410" w:type="dxa"/>
            <w:vAlign w:val="center"/>
          </w:tcPr>
          <w:p w14:paraId="5754577A" w14:textId="77777777" w:rsidR="003545C8" w:rsidRPr="00931D46" w:rsidRDefault="003545C8" w:rsidP="00594C79">
            <w:pPr>
              <w:pStyle w:val="TablaTexto"/>
              <w:spacing w:line="276" w:lineRule="auto"/>
              <w:rPr>
                <w:rFonts w:ascii="Arial" w:hAnsi="Arial" w:cs="Arial"/>
              </w:rPr>
            </w:pPr>
            <w:r w:rsidRPr="00931D46">
              <w:rPr>
                <w:rFonts w:ascii="Arial" w:hAnsi="Arial" w:cs="Arial"/>
              </w:rPr>
              <w:t>ACCC</w:t>
            </w:r>
          </w:p>
        </w:tc>
        <w:tc>
          <w:tcPr>
            <w:tcW w:w="7088" w:type="dxa"/>
            <w:vAlign w:val="center"/>
          </w:tcPr>
          <w:p w14:paraId="59ACC88C" w14:textId="77777777" w:rsidR="003545C8" w:rsidRPr="00931D46" w:rsidRDefault="003545C8" w:rsidP="00594C79">
            <w:pPr>
              <w:pStyle w:val="TablaTexto"/>
              <w:spacing w:line="276" w:lineRule="auto"/>
              <w:rPr>
                <w:rFonts w:ascii="Arial" w:hAnsi="Arial" w:cs="Arial"/>
              </w:rPr>
            </w:pPr>
            <w:r w:rsidRPr="00931D46">
              <w:rPr>
                <w:rFonts w:ascii="Arial" w:hAnsi="Arial" w:cs="Arial"/>
              </w:rPr>
              <w:t>Comisión Australiana de la Competencia y del Consumidor (</w:t>
            </w:r>
            <w:proofErr w:type="spellStart"/>
            <w:r w:rsidRPr="00931D46">
              <w:rPr>
                <w:rFonts w:ascii="Arial" w:hAnsi="Arial" w:cs="Arial"/>
                <w:i/>
              </w:rPr>
              <w:t>Australian</w:t>
            </w:r>
            <w:proofErr w:type="spellEnd"/>
            <w:r w:rsidRPr="00931D46">
              <w:rPr>
                <w:rFonts w:ascii="Arial" w:hAnsi="Arial" w:cs="Arial"/>
                <w:i/>
              </w:rPr>
              <w:t xml:space="preserve"> </w:t>
            </w:r>
            <w:proofErr w:type="spellStart"/>
            <w:r w:rsidRPr="00931D46">
              <w:rPr>
                <w:rFonts w:ascii="Arial" w:hAnsi="Arial" w:cs="Arial"/>
                <w:i/>
              </w:rPr>
              <w:t>Competition</w:t>
            </w:r>
            <w:proofErr w:type="spellEnd"/>
            <w:r w:rsidRPr="00931D46">
              <w:rPr>
                <w:rFonts w:ascii="Arial" w:hAnsi="Arial" w:cs="Arial"/>
                <w:i/>
              </w:rPr>
              <w:t xml:space="preserve"> &amp; </w:t>
            </w:r>
            <w:proofErr w:type="spellStart"/>
            <w:r w:rsidRPr="00931D46">
              <w:rPr>
                <w:rFonts w:ascii="Arial" w:hAnsi="Arial" w:cs="Arial"/>
                <w:i/>
              </w:rPr>
              <w:t>Consumer</w:t>
            </w:r>
            <w:proofErr w:type="spellEnd"/>
            <w:r w:rsidRPr="00931D46">
              <w:rPr>
                <w:rFonts w:ascii="Arial" w:hAnsi="Arial" w:cs="Arial"/>
                <w:i/>
              </w:rPr>
              <w:t xml:space="preserve"> </w:t>
            </w:r>
            <w:proofErr w:type="spellStart"/>
            <w:r w:rsidRPr="00931D46">
              <w:rPr>
                <w:rFonts w:ascii="Arial" w:hAnsi="Arial" w:cs="Arial"/>
                <w:i/>
              </w:rPr>
              <w:t>Commision</w:t>
            </w:r>
            <w:proofErr w:type="spellEnd"/>
            <w:r w:rsidRPr="00931D46">
              <w:rPr>
                <w:rFonts w:ascii="Arial" w:hAnsi="Arial" w:cs="Arial"/>
              </w:rPr>
              <w:t>, en inglés).</w:t>
            </w:r>
          </w:p>
        </w:tc>
      </w:tr>
      <w:tr w:rsidR="003545C8" w:rsidRPr="00931D46" w14:paraId="57961C42" w14:textId="77777777" w:rsidTr="00594C79">
        <w:trPr>
          <w:trHeight w:val="301"/>
        </w:trPr>
        <w:tc>
          <w:tcPr>
            <w:tcW w:w="2410" w:type="dxa"/>
            <w:vAlign w:val="center"/>
          </w:tcPr>
          <w:p w14:paraId="2E823673" w14:textId="77777777" w:rsidR="003545C8" w:rsidRPr="00931D46" w:rsidRDefault="003545C8" w:rsidP="00594C79">
            <w:pPr>
              <w:pStyle w:val="TablaTexto"/>
              <w:spacing w:line="276" w:lineRule="auto"/>
              <w:rPr>
                <w:rFonts w:ascii="Arial" w:hAnsi="Arial" w:cs="Arial"/>
              </w:rPr>
            </w:pPr>
            <w:r w:rsidRPr="00931D46">
              <w:rPr>
                <w:rFonts w:ascii="Arial" w:hAnsi="Arial" w:cs="Arial"/>
              </w:rPr>
              <w:t>AE / Agente Económico</w:t>
            </w:r>
          </w:p>
        </w:tc>
        <w:tc>
          <w:tcPr>
            <w:tcW w:w="7088" w:type="dxa"/>
            <w:vAlign w:val="center"/>
          </w:tcPr>
          <w:p w14:paraId="546F9438" w14:textId="77777777" w:rsidR="003545C8" w:rsidRPr="00931D46" w:rsidRDefault="003545C8" w:rsidP="00594C79">
            <w:pPr>
              <w:pStyle w:val="TablaTexto"/>
              <w:spacing w:line="276" w:lineRule="auto"/>
              <w:rPr>
                <w:rFonts w:ascii="Arial" w:hAnsi="Arial" w:cs="Arial"/>
              </w:rPr>
            </w:pPr>
            <w:r w:rsidRPr="00931D46">
              <w:rPr>
                <w:rFonts w:ascii="Arial" w:hAnsi="Arial" w:cs="Arial"/>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3545C8" w:rsidRPr="00931D46" w14:paraId="3A4A0515" w14:textId="77777777" w:rsidTr="00594C79">
        <w:trPr>
          <w:trHeight w:val="301"/>
        </w:trPr>
        <w:tc>
          <w:tcPr>
            <w:tcW w:w="2410" w:type="dxa"/>
            <w:vAlign w:val="center"/>
          </w:tcPr>
          <w:p w14:paraId="34C6E9BE" w14:textId="77777777" w:rsidR="003545C8" w:rsidRPr="00931D46" w:rsidRDefault="003545C8" w:rsidP="00594C79">
            <w:pPr>
              <w:rPr>
                <w:rFonts w:ascii="Arial" w:hAnsi="Arial" w:cs="Arial"/>
              </w:rPr>
            </w:pPr>
            <w:r w:rsidRPr="00931D46">
              <w:rPr>
                <w:rFonts w:ascii="Arial" w:hAnsi="Arial" w:cs="Arial"/>
              </w:rPr>
              <w:t>ANACOM</w:t>
            </w:r>
          </w:p>
        </w:tc>
        <w:tc>
          <w:tcPr>
            <w:tcW w:w="7088" w:type="dxa"/>
            <w:vAlign w:val="center"/>
          </w:tcPr>
          <w:p w14:paraId="4E01E8BA" w14:textId="77777777" w:rsidR="003545C8" w:rsidRPr="00931D46" w:rsidRDefault="003545C8" w:rsidP="00594C79">
            <w:pPr>
              <w:jc w:val="both"/>
              <w:rPr>
                <w:rFonts w:ascii="Arial" w:hAnsi="Arial" w:cs="Arial"/>
              </w:rPr>
            </w:pPr>
            <w:r w:rsidRPr="00931D46">
              <w:rPr>
                <w:rFonts w:ascii="Arial" w:hAnsi="Arial" w:cs="Arial"/>
              </w:rPr>
              <w:t>Autoridad Nacional de Comunicaciones de Portugal (</w:t>
            </w:r>
            <w:proofErr w:type="spellStart"/>
            <w:r w:rsidRPr="00931D46">
              <w:rPr>
                <w:rFonts w:ascii="Arial" w:hAnsi="Arial" w:cs="Arial"/>
                <w:i/>
              </w:rPr>
              <w:t>Autoridade</w:t>
            </w:r>
            <w:proofErr w:type="spellEnd"/>
            <w:r w:rsidRPr="00931D46">
              <w:rPr>
                <w:rFonts w:ascii="Arial" w:hAnsi="Arial" w:cs="Arial"/>
                <w:i/>
              </w:rPr>
              <w:t xml:space="preserve"> Nacional de </w:t>
            </w:r>
            <w:proofErr w:type="spellStart"/>
            <w:r w:rsidRPr="00931D46">
              <w:rPr>
                <w:rFonts w:ascii="Arial" w:hAnsi="Arial" w:cs="Arial"/>
                <w:i/>
              </w:rPr>
              <w:t>Comunicações</w:t>
            </w:r>
            <w:proofErr w:type="spellEnd"/>
            <w:r w:rsidRPr="00931D46">
              <w:rPr>
                <w:rFonts w:ascii="Arial" w:hAnsi="Arial" w:cs="Arial"/>
              </w:rPr>
              <w:t>, en portugués).</w:t>
            </w:r>
          </w:p>
        </w:tc>
      </w:tr>
      <w:tr w:rsidR="003545C8" w:rsidRPr="00931D46" w14:paraId="01DFA497" w14:textId="77777777" w:rsidTr="00594C79">
        <w:trPr>
          <w:trHeight w:val="301"/>
        </w:trPr>
        <w:tc>
          <w:tcPr>
            <w:tcW w:w="2410" w:type="dxa"/>
            <w:vAlign w:val="center"/>
          </w:tcPr>
          <w:p w14:paraId="44B1C47B" w14:textId="77777777" w:rsidR="003545C8" w:rsidRPr="00931D46" w:rsidRDefault="003545C8" w:rsidP="00594C79">
            <w:pPr>
              <w:rPr>
                <w:rFonts w:ascii="Arial" w:hAnsi="Arial" w:cs="Arial"/>
              </w:rPr>
            </w:pPr>
            <w:r w:rsidRPr="00931D46">
              <w:rPr>
                <w:rFonts w:ascii="Arial" w:hAnsi="Arial" w:cs="Arial"/>
              </w:rPr>
              <w:t>BEREC</w:t>
            </w:r>
          </w:p>
        </w:tc>
        <w:tc>
          <w:tcPr>
            <w:tcW w:w="7088" w:type="dxa"/>
            <w:vAlign w:val="center"/>
          </w:tcPr>
          <w:p w14:paraId="72CB71F4" w14:textId="77777777" w:rsidR="003545C8" w:rsidRPr="00931D46" w:rsidRDefault="003545C8" w:rsidP="00594C79">
            <w:pPr>
              <w:jc w:val="both"/>
              <w:rPr>
                <w:rFonts w:ascii="Arial" w:hAnsi="Arial" w:cs="Arial"/>
              </w:rPr>
            </w:pPr>
            <w:r w:rsidRPr="00931D46">
              <w:rPr>
                <w:rFonts w:ascii="Arial" w:hAnsi="Arial" w:cs="Arial"/>
              </w:rPr>
              <w:t>Cuerpo de Reguladores Europeos de Comunicaciones Electrónicas (</w:t>
            </w:r>
            <w:proofErr w:type="spellStart"/>
            <w:r w:rsidRPr="00931D46">
              <w:rPr>
                <w:rFonts w:ascii="Arial" w:hAnsi="Arial" w:cs="Arial"/>
                <w:i/>
              </w:rPr>
              <w:t>Body</w:t>
            </w:r>
            <w:proofErr w:type="spellEnd"/>
            <w:r w:rsidRPr="00931D46">
              <w:rPr>
                <w:rFonts w:ascii="Arial" w:hAnsi="Arial" w:cs="Arial"/>
                <w:i/>
              </w:rPr>
              <w:t xml:space="preserve"> </w:t>
            </w:r>
            <w:proofErr w:type="spellStart"/>
            <w:r w:rsidRPr="00931D46">
              <w:rPr>
                <w:rFonts w:ascii="Arial" w:hAnsi="Arial" w:cs="Arial"/>
                <w:i/>
              </w:rPr>
              <w:t>of</w:t>
            </w:r>
            <w:proofErr w:type="spellEnd"/>
            <w:r w:rsidRPr="00931D46">
              <w:rPr>
                <w:rFonts w:ascii="Arial" w:hAnsi="Arial" w:cs="Arial"/>
                <w:i/>
              </w:rPr>
              <w:t xml:space="preserve"> </w:t>
            </w:r>
            <w:proofErr w:type="spellStart"/>
            <w:r w:rsidRPr="00931D46">
              <w:rPr>
                <w:rFonts w:ascii="Arial" w:hAnsi="Arial" w:cs="Arial"/>
                <w:i/>
              </w:rPr>
              <w:t>European</w:t>
            </w:r>
            <w:proofErr w:type="spellEnd"/>
            <w:r w:rsidRPr="00931D46">
              <w:rPr>
                <w:rFonts w:ascii="Arial" w:hAnsi="Arial" w:cs="Arial"/>
                <w:i/>
              </w:rPr>
              <w:t xml:space="preserve"> </w:t>
            </w:r>
            <w:proofErr w:type="spellStart"/>
            <w:r w:rsidRPr="00931D46">
              <w:rPr>
                <w:rFonts w:ascii="Arial" w:hAnsi="Arial" w:cs="Arial"/>
                <w:i/>
              </w:rPr>
              <w:t>Regulators</w:t>
            </w:r>
            <w:proofErr w:type="spellEnd"/>
            <w:r w:rsidRPr="00931D46">
              <w:rPr>
                <w:rFonts w:ascii="Arial" w:hAnsi="Arial" w:cs="Arial"/>
                <w:i/>
              </w:rPr>
              <w:t xml:space="preserve"> </w:t>
            </w:r>
            <w:proofErr w:type="spellStart"/>
            <w:r w:rsidRPr="00931D46">
              <w:rPr>
                <w:rFonts w:ascii="Arial" w:hAnsi="Arial" w:cs="Arial"/>
                <w:i/>
              </w:rPr>
              <w:t>for</w:t>
            </w:r>
            <w:proofErr w:type="spellEnd"/>
            <w:r w:rsidRPr="00931D46">
              <w:rPr>
                <w:rFonts w:ascii="Arial" w:hAnsi="Arial" w:cs="Arial"/>
                <w:i/>
              </w:rPr>
              <w:t xml:space="preserve"> Electronic </w:t>
            </w:r>
            <w:proofErr w:type="spellStart"/>
            <w:r w:rsidRPr="00931D46">
              <w:rPr>
                <w:rFonts w:ascii="Arial" w:hAnsi="Arial" w:cs="Arial"/>
                <w:i/>
              </w:rPr>
              <w:t>Communications</w:t>
            </w:r>
            <w:proofErr w:type="spellEnd"/>
            <w:r w:rsidRPr="00931D46">
              <w:rPr>
                <w:rFonts w:ascii="Arial" w:hAnsi="Arial" w:cs="Arial"/>
              </w:rPr>
              <w:t>, en inglés).</w:t>
            </w:r>
          </w:p>
        </w:tc>
      </w:tr>
      <w:tr w:rsidR="003545C8" w:rsidRPr="00931D46" w14:paraId="62FEC409" w14:textId="77777777" w:rsidTr="00594C79">
        <w:trPr>
          <w:trHeight w:val="301"/>
        </w:trPr>
        <w:tc>
          <w:tcPr>
            <w:tcW w:w="2410" w:type="dxa"/>
            <w:vAlign w:val="center"/>
          </w:tcPr>
          <w:p w14:paraId="7BB9ED93" w14:textId="77777777" w:rsidR="003545C8" w:rsidRPr="00931D46" w:rsidRDefault="003545C8" w:rsidP="00594C79">
            <w:pPr>
              <w:rPr>
                <w:rFonts w:ascii="Arial" w:hAnsi="Arial" w:cs="Arial"/>
              </w:rPr>
            </w:pPr>
            <w:proofErr w:type="spellStart"/>
            <w:r w:rsidRPr="00931D46">
              <w:rPr>
                <w:rFonts w:ascii="Arial" w:hAnsi="Arial" w:cs="Arial"/>
              </w:rPr>
              <w:t>B</w:t>
            </w:r>
            <w:r>
              <w:rPr>
                <w:rFonts w:ascii="Arial" w:hAnsi="Arial" w:cs="Arial"/>
              </w:rPr>
              <w:t>undeskartellamt</w:t>
            </w:r>
            <w:proofErr w:type="spellEnd"/>
          </w:p>
        </w:tc>
        <w:tc>
          <w:tcPr>
            <w:tcW w:w="7088" w:type="dxa"/>
            <w:vAlign w:val="center"/>
          </w:tcPr>
          <w:p w14:paraId="26DC0D81" w14:textId="77777777" w:rsidR="003545C8" w:rsidRPr="00931D46" w:rsidRDefault="003545C8" w:rsidP="00594C79">
            <w:pPr>
              <w:jc w:val="both"/>
              <w:rPr>
                <w:rFonts w:ascii="Arial" w:hAnsi="Arial" w:cs="Arial"/>
              </w:rPr>
            </w:pPr>
            <w:r w:rsidRPr="00931D46">
              <w:rPr>
                <w:rFonts w:ascii="Arial" w:hAnsi="Arial" w:cs="Arial"/>
              </w:rPr>
              <w:t>Autoridad de regulación de competencia y derechos de los consumidores de Alemania.</w:t>
            </w:r>
          </w:p>
        </w:tc>
      </w:tr>
      <w:tr w:rsidR="003545C8" w:rsidRPr="00931D46" w14:paraId="31A3419A" w14:textId="77777777" w:rsidTr="00594C79">
        <w:trPr>
          <w:trHeight w:val="301"/>
        </w:trPr>
        <w:tc>
          <w:tcPr>
            <w:tcW w:w="2410" w:type="dxa"/>
            <w:vAlign w:val="center"/>
          </w:tcPr>
          <w:p w14:paraId="62B3739F" w14:textId="77777777" w:rsidR="003545C8" w:rsidRPr="005776C2" w:rsidRDefault="003545C8" w:rsidP="00594C79">
            <w:pPr>
              <w:pStyle w:val="TablaTexto"/>
              <w:spacing w:line="276" w:lineRule="auto"/>
              <w:rPr>
                <w:rFonts w:ascii="Arial" w:hAnsi="Arial" w:cs="Arial"/>
              </w:rPr>
            </w:pPr>
            <w:r w:rsidRPr="005776C2">
              <w:rPr>
                <w:rFonts w:ascii="Arial" w:hAnsi="Arial" w:cs="Arial"/>
              </w:rPr>
              <w:t>CA</w:t>
            </w:r>
          </w:p>
        </w:tc>
        <w:tc>
          <w:tcPr>
            <w:tcW w:w="7088" w:type="dxa"/>
            <w:vAlign w:val="center"/>
          </w:tcPr>
          <w:p w14:paraId="19677940" w14:textId="77777777" w:rsidR="003545C8" w:rsidRPr="005776C2" w:rsidRDefault="003545C8" w:rsidP="00594C79">
            <w:pPr>
              <w:pStyle w:val="TablaTexto"/>
              <w:spacing w:line="276" w:lineRule="auto"/>
              <w:rPr>
                <w:rFonts w:ascii="Arial" w:hAnsi="Arial" w:cs="Arial"/>
              </w:rPr>
            </w:pPr>
            <w:r w:rsidRPr="005776C2">
              <w:rPr>
                <w:rFonts w:ascii="Arial" w:hAnsi="Arial" w:cs="Arial"/>
              </w:rPr>
              <w:t>Contenidos Audiovisuales.</w:t>
            </w:r>
          </w:p>
        </w:tc>
      </w:tr>
      <w:tr w:rsidR="003545C8" w:rsidRPr="00931D46" w14:paraId="68E89F4D" w14:textId="77777777" w:rsidTr="00594C79">
        <w:trPr>
          <w:trHeight w:val="301"/>
        </w:trPr>
        <w:tc>
          <w:tcPr>
            <w:tcW w:w="2410" w:type="dxa"/>
            <w:vAlign w:val="center"/>
          </w:tcPr>
          <w:p w14:paraId="5F187102" w14:textId="77777777" w:rsidR="003545C8" w:rsidRPr="00931D46" w:rsidRDefault="003545C8" w:rsidP="00594C79">
            <w:pPr>
              <w:pStyle w:val="TablaTexto"/>
              <w:spacing w:line="276" w:lineRule="auto"/>
              <w:rPr>
                <w:rFonts w:ascii="Arial" w:hAnsi="Arial" w:cs="Arial"/>
              </w:rPr>
            </w:pPr>
            <w:r w:rsidRPr="00931D46">
              <w:rPr>
                <w:rFonts w:ascii="Arial" w:hAnsi="Arial" w:cs="Arial"/>
              </w:rPr>
              <w:t>CBC</w:t>
            </w:r>
          </w:p>
        </w:tc>
        <w:tc>
          <w:tcPr>
            <w:tcW w:w="7088" w:type="dxa"/>
            <w:vAlign w:val="center"/>
          </w:tcPr>
          <w:p w14:paraId="47B43F2E" w14:textId="77777777" w:rsidR="003545C8" w:rsidRPr="00931D46" w:rsidRDefault="003545C8" w:rsidP="00594C79">
            <w:pPr>
              <w:pStyle w:val="TablaTexto"/>
              <w:spacing w:line="276" w:lineRule="auto"/>
              <w:rPr>
                <w:rFonts w:ascii="Arial" w:hAnsi="Arial" w:cs="Arial"/>
              </w:rPr>
            </w:pPr>
            <w:r w:rsidRPr="00931D46">
              <w:rPr>
                <w:rFonts w:ascii="Arial" w:hAnsi="Arial" w:cs="Arial"/>
              </w:rPr>
              <w:t>Oficina de Competencia de Canadá (</w:t>
            </w:r>
            <w:proofErr w:type="spellStart"/>
            <w:r w:rsidRPr="00931D46">
              <w:rPr>
                <w:rFonts w:ascii="Arial" w:hAnsi="Arial" w:cs="Arial"/>
                <w:i/>
              </w:rPr>
              <w:t>Competition</w:t>
            </w:r>
            <w:proofErr w:type="spellEnd"/>
            <w:r w:rsidRPr="00931D46">
              <w:rPr>
                <w:rFonts w:ascii="Arial" w:hAnsi="Arial" w:cs="Arial"/>
                <w:i/>
              </w:rPr>
              <w:t xml:space="preserve"> Bureau </w:t>
            </w:r>
            <w:proofErr w:type="spellStart"/>
            <w:r w:rsidRPr="00931D46">
              <w:rPr>
                <w:rFonts w:ascii="Arial" w:hAnsi="Arial" w:cs="Arial"/>
                <w:i/>
              </w:rPr>
              <w:t>Canada</w:t>
            </w:r>
            <w:proofErr w:type="spellEnd"/>
            <w:r w:rsidRPr="00931D46">
              <w:rPr>
                <w:rFonts w:ascii="Arial" w:hAnsi="Arial" w:cs="Arial"/>
              </w:rPr>
              <w:t>, en inglés).</w:t>
            </w:r>
          </w:p>
        </w:tc>
      </w:tr>
      <w:tr w:rsidR="003545C8" w:rsidRPr="00931D46" w14:paraId="01342546" w14:textId="77777777" w:rsidTr="00594C79">
        <w:trPr>
          <w:trHeight w:val="301"/>
        </w:trPr>
        <w:tc>
          <w:tcPr>
            <w:tcW w:w="2410" w:type="dxa"/>
            <w:vAlign w:val="center"/>
          </w:tcPr>
          <w:p w14:paraId="3F3433C6" w14:textId="77777777" w:rsidR="003545C8" w:rsidRPr="00931D46" w:rsidRDefault="003545C8" w:rsidP="00594C79">
            <w:pPr>
              <w:pStyle w:val="TablaTexto"/>
              <w:spacing w:line="276" w:lineRule="auto"/>
              <w:rPr>
                <w:rFonts w:ascii="Arial" w:hAnsi="Arial" w:cs="Arial"/>
              </w:rPr>
            </w:pPr>
            <w:r w:rsidRPr="00931D46">
              <w:rPr>
                <w:rFonts w:ascii="Arial" w:hAnsi="Arial" w:cs="Arial"/>
              </w:rPr>
              <w:t>CE</w:t>
            </w:r>
          </w:p>
        </w:tc>
        <w:tc>
          <w:tcPr>
            <w:tcW w:w="7088" w:type="dxa"/>
            <w:vAlign w:val="center"/>
          </w:tcPr>
          <w:p w14:paraId="50B314DC" w14:textId="77777777" w:rsidR="003545C8" w:rsidRPr="00931D46" w:rsidRDefault="003545C8" w:rsidP="00594C79">
            <w:pPr>
              <w:pStyle w:val="TablaTexto"/>
              <w:spacing w:line="276" w:lineRule="auto"/>
              <w:rPr>
                <w:rFonts w:ascii="Arial" w:hAnsi="Arial" w:cs="Arial"/>
              </w:rPr>
            </w:pPr>
            <w:r w:rsidRPr="00931D46">
              <w:rPr>
                <w:rFonts w:ascii="Arial" w:hAnsi="Arial" w:cs="Arial"/>
              </w:rPr>
              <w:t>Comisión Europea.</w:t>
            </w:r>
          </w:p>
        </w:tc>
      </w:tr>
      <w:tr w:rsidR="003545C8" w:rsidRPr="00931D46" w14:paraId="4B9FE5D8" w14:textId="77777777" w:rsidTr="00594C79">
        <w:trPr>
          <w:trHeight w:val="301"/>
        </w:trPr>
        <w:tc>
          <w:tcPr>
            <w:tcW w:w="2410" w:type="dxa"/>
            <w:vAlign w:val="center"/>
          </w:tcPr>
          <w:p w14:paraId="4886B0BE" w14:textId="77777777" w:rsidR="003545C8" w:rsidRPr="00931D46" w:rsidRDefault="003545C8" w:rsidP="00594C79">
            <w:pPr>
              <w:pStyle w:val="TablaTexto"/>
              <w:spacing w:line="276" w:lineRule="auto"/>
              <w:rPr>
                <w:rFonts w:ascii="Arial" w:hAnsi="Arial" w:cs="Arial"/>
              </w:rPr>
            </w:pPr>
            <w:r w:rsidRPr="00931D46">
              <w:rPr>
                <w:rFonts w:ascii="Arial" w:hAnsi="Arial" w:cs="Arial"/>
              </w:rPr>
              <w:t>CMA</w:t>
            </w:r>
          </w:p>
        </w:tc>
        <w:tc>
          <w:tcPr>
            <w:tcW w:w="7088" w:type="dxa"/>
            <w:vAlign w:val="center"/>
          </w:tcPr>
          <w:p w14:paraId="72373958" w14:textId="77777777" w:rsidR="003545C8" w:rsidRPr="00931D46" w:rsidRDefault="003545C8" w:rsidP="00594C79">
            <w:pPr>
              <w:pStyle w:val="TablaTexto"/>
              <w:spacing w:line="276" w:lineRule="auto"/>
              <w:rPr>
                <w:rFonts w:ascii="Arial" w:hAnsi="Arial" w:cs="Arial"/>
              </w:rPr>
            </w:pPr>
            <w:r w:rsidRPr="00931D46">
              <w:rPr>
                <w:rFonts w:ascii="Arial" w:hAnsi="Arial" w:cs="Arial"/>
              </w:rPr>
              <w:t>Autoridad de Competencia y Mercados de Reino Unido (</w:t>
            </w:r>
            <w:proofErr w:type="spellStart"/>
            <w:r w:rsidRPr="00931D46">
              <w:rPr>
                <w:rFonts w:ascii="Arial" w:hAnsi="Arial" w:cs="Arial"/>
                <w:i/>
              </w:rPr>
              <w:t>Competition</w:t>
            </w:r>
            <w:proofErr w:type="spellEnd"/>
            <w:r w:rsidRPr="00931D46">
              <w:rPr>
                <w:rFonts w:ascii="Arial" w:hAnsi="Arial" w:cs="Arial"/>
                <w:i/>
              </w:rPr>
              <w:t xml:space="preserve"> and </w:t>
            </w:r>
            <w:proofErr w:type="spellStart"/>
            <w:r w:rsidRPr="00931D46">
              <w:rPr>
                <w:rFonts w:ascii="Arial" w:hAnsi="Arial" w:cs="Arial"/>
                <w:i/>
              </w:rPr>
              <w:t>Markets</w:t>
            </w:r>
            <w:proofErr w:type="spellEnd"/>
            <w:r w:rsidRPr="00931D46">
              <w:rPr>
                <w:rFonts w:ascii="Arial" w:hAnsi="Arial" w:cs="Arial"/>
                <w:i/>
              </w:rPr>
              <w:t xml:space="preserve"> </w:t>
            </w:r>
            <w:proofErr w:type="spellStart"/>
            <w:r w:rsidRPr="00931D46">
              <w:rPr>
                <w:rFonts w:ascii="Arial" w:hAnsi="Arial" w:cs="Arial"/>
                <w:i/>
              </w:rPr>
              <w:t>Authority</w:t>
            </w:r>
            <w:proofErr w:type="spellEnd"/>
            <w:r w:rsidRPr="00931D46">
              <w:rPr>
                <w:rFonts w:ascii="Arial" w:hAnsi="Arial" w:cs="Arial"/>
              </w:rPr>
              <w:t xml:space="preserve">, en inglés), la cual sustituyó a la OFT y a la </w:t>
            </w:r>
            <w:r>
              <w:rPr>
                <w:rFonts w:ascii="Arial" w:hAnsi="Arial" w:cs="Arial"/>
              </w:rPr>
              <w:t>Comisión de Competencia (</w:t>
            </w:r>
            <w:proofErr w:type="spellStart"/>
            <w:r w:rsidRPr="00E90210">
              <w:rPr>
                <w:rFonts w:ascii="Arial" w:hAnsi="Arial" w:cs="Arial"/>
                <w:i/>
              </w:rPr>
              <w:t>Competition</w:t>
            </w:r>
            <w:proofErr w:type="spellEnd"/>
            <w:r w:rsidRPr="00E90210">
              <w:rPr>
                <w:rFonts w:ascii="Arial" w:hAnsi="Arial" w:cs="Arial"/>
                <w:i/>
              </w:rPr>
              <w:t xml:space="preserve"> </w:t>
            </w:r>
            <w:proofErr w:type="spellStart"/>
            <w:r w:rsidRPr="00E90210">
              <w:rPr>
                <w:rFonts w:ascii="Arial" w:hAnsi="Arial" w:cs="Arial"/>
                <w:i/>
              </w:rPr>
              <w:t>Commission</w:t>
            </w:r>
            <w:proofErr w:type="spellEnd"/>
            <w:r>
              <w:rPr>
                <w:rFonts w:ascii="Arial" w:hAnsi="Arial" w:cs="Arial"/>
                <w:bCs/>
              </w:rPr>
              <w:t>, en inglés)</w:t>
            </w:r>
            <w:r w:rsidRPr="00931D46">
              <w:rPr>
                <w:rFonts w:ascii="Arial" w:hAnsi="Arial" w:cs="Arial"/>
              </w:rPr>
              <w:t xml:space="preserve"> en 2013.</w:t>
            </w:r>
          </w:p>
        </w:tc>
      </w:tr>
      <w:tr w:rsidR="003545C8" w:rsidRPr="00931D46" w14:paraId="4C49E749" w14:textId="77777777" w:rsidTr="00594C79">
        <w:trPr>
          <w:trHeight w:val="301"/>
        </w:trPr>
        <w:tc>
          <w:tcPr>
            <w:tcW w:w="2410" w:type="dxa"/>
            <w:vAlign w:val="center"/>
          </w:tcPr>
          <w:p w14:paraId="5041797E" w14:textId="77777777" w:rsidR="003545C8" w:rsidRPr="00931D46" w:rsidRDefault="003545C8" w:rsidP="00594C79">
            <w:pPr>
              <w:pStyle w:val="TablaTexto"/>
              <w:spacing w:line="276" w:lineRule="auto"/>
              <w:rPr>
                <w:rFonts w:ascii="Arial" w:hAnsi="Arial" w:cs="Arial"/>
              </w:rPr>
            </w:pPr>
            <w:r w:rsidRPr="00931D46">
              <w:rPr>
                <w:rFonts w:ascii="Arial" w:hAnsi="Arial" w:cs="Arial"/>
              </w:rPr>
              <w:t>CPEUM</w:t>
            </w:r>
          </w:p>
        </w:tc>
        <w:tc>
          <w:tcPr>
            <w:tcW w:w="7088" w:type="dxa"/>
            <w:vAlign w:val="center"/>
          </w:tcPr>
          <w:p w14:paraId="7ADEB16F" w14:textId="77777777" w:rsidR="003545C8" w:rsidRPr="00931D46" w:rsidRDefault="003545C8" w:rsidP="00594C79">
            <w:pPr>
              <w:pStyle w:val="TablaTexto"/>
              <w:spacing w:line="276" w:lineRule="auto"/>
              <w:rPr>
                <w:rFonts w:ascii="Arial" w:hAnsi="Arial" w:cs="Arial"/>
              </w:rPr>
            </w:pPr>
            <w:r w:rsidRPr="00931D46">
              <w:rPr>
                <w:rFonts w:ascii="Arial" w:hAnsi="Arial" w:cs="Arial"/>
              </w:rPr>
              <w:t>Constitución Política de los Estados Unidos Mexicanos.</w:t>
            </w:r>
          </w:p>
        </w:tc>
      </w:tr>
      <w:tr w:rsidR="003545C8" w:rsidRPr="00931D46" w14:paraId="5A8154D2" w14:textId="77777777" w:rsidTr="00594C79">
        <w:trPr>
          <w:trHeight w:val="301"/>
        </w:trPr>
        <w:tc>
          <w:tcPr>
            <w:tcW w:w="2410" w:type="dxa"/>
            <w:vAlign w:val="center"/>
          </w:tcPr>
          <w:p w14:paraId="4A3AAE04" w14:textId="77777777" w:rsidR="003545C8" w:rsidRPr="00931D46" w:rsidRDefault="003545C8" w:rsidP="00594C79">
            <w:pPr>
              <w:pStyle w:val="TablaTexto"/>
              <w:spacing w:line="276" w:lineRule="auto"/>
              <w:rPr>
                <w:rFonts w:ascii="Arial" w:hAnsi="Arial" w:cs="Arial"/>
              </w:rPr>
            </w:pPr>
            <w:r w:rsidRPr="00931D46">
              <w:rPr>
                <w:rFonts w:ascii="Arial" w:hAnsi="Arial" w:cs="Arial"/>
              </w:rPr>
              <w:t>Criterio Técnico</w:t>
            </w:r>
          </w:p>
        </w:tc>
        <w:tc>
          <w:tcPr>
            <w:tcW w:w="7088" w:type="dxa"/>
            <w:vAlign w:val="center"/>
          </w:tcPr>
          <w:p w14:paraId="4832A8C4" w14:textId="77777777" w:rsidR="003545C8" w:rsidRPr="00931D46" w:rsidRDefault="003545C8" w:rsidP="00594C79">
            <w:pPr>
              <w:pStyle w:val="TablaTexto"/>
              <w:spacing w:line="276" w:lineRule="auto"/>
              <w:rPr>
                <w:rFonts w:ascii="Arial" w:hAnsi="Arial" w:cs="Arial"/>
              </w:rPr>
            </w:pPr>
            <w:r w:rsidRPr="00931D46">
              <w:rPr>
                <w:rFonts w:ascii="Arial" w:hAnsi="Arial" w:cs="Arial"/>
                <w:i/>
              </w:rPr>
              <w:t>Criterio técnico para el cálculo y aplicación de un índice cuantitativo a fin de determinar el grado de concentración en los mercados y servicios correspondientes a los sectores de telecomunicaciones y radiodifusión</w:t>
            </w:r>
            <w:r w:rsidRPr="00931D46">
              <w:rPr>
                <w:rFonts w:ascii="Arial" w:hAnsi="Arial" w:cs="Arial"/>
              </w:rPr>
              <w:t>.</w:t>
            </w:r>
            <w:r w:rsidRPr="00931D46">
              <w:rPr>
                <w:rStyle w:val="Refdenotaalpie"/>
                <w:rFonts w:ascii="Arial" w:hAnsi="Arial" w:cs="Arial"/>
              </w:rPr>
              <w:t xml:space="preserve"> </w:t>
            </w:r>
            <w:r w:rsidRPr="00931D46">
              <w:rPr>
                <w:rStyle w:val="Refdenotaalpie"/>
                <w:rFonts w:ascii="Arial" w:hAnsi="Arial" w:cs="Arial"/>
              </w:rPr>
              <w:footnoteReference w:id="3"/>
            </w:r>
          </w:p>
        </w:tc>
      </w:tr>
      <w:tr w:rsidR="003545C8" w:rsidRPr="00931D46" w14:paraId="1C47CE59" w14:textId="77777777" w:rsidTr="00594C79">
        <w:trPr>
          <w:trHeight w:val="301"/>
        </w:trPr>
        <w:tc>
          <w:tcPr>
            <w:tcW w:w="2410" w:type="dxa"/>
            <w:vAlign w:val="center"/>
          </w:tcPr>
          <w:p w14:paraId="2E9FF287" w14:textId="77777777" w:rsidR="003545C8" w:rsidRPr="00931D46" w:rsidRDefault="003545C8" w:rsidP="00594C79">
            <w:pPr>
              <w:pStyle w:val="TablaTexto"/>
              <w:spacing w:line="276" w:lineRule="auto"/>
              <w:rPr>
                <w:rFonts w:ascii="Arial" w:hAnsi="Arial" w:cs="Arial"/>
              </w:rPr>
            </w:pPr>
            <w:r w:rsidRPr="00931D46">
              <w:rPr>
                <w:rFonts w:ascii="Arial" w:hAnsi="Arial" w:cs="Arial"/>
              </w:rPr>
              <w:t>CRTC</w:t>
            </w:r>
          </w:p>
        </w:tc>
        <w:tc>
          <w:tcPr>
            <w:tcW w:w="7088" w:type="dxa"/>
            <w:vAlign w:val="center"/>
          </w:tcPr>
          <w:p w14:paraId="4927F0A5" w14:textId="77777777" w:rsidR="003545C8" w:rsidRPr="00931D46" w:rsidRDefault="003545C8" w:rsidP="00594C79">
            <w:pPr>
              <w:pStyle w:val="TablaTexto"/>
              <w:spacing w:line="276" w:lineRule="auto"/>
              <w:rPr>
                <w:rFonts w:ascii="Arial" w:hAnsi="Arial" w:cs="Arial"/>
              </w:rPr>
            </w:pPr>
            <w:r w:rsidRPr="00931D46">
              <w:rPr>
                <w:rFonts w:ascii="Arial" w:hAnsi="Arial" w:cs="Arial"/>
              </w:rPr>
              <w:t xml:space="preserve">Comisión </w:t>
            </w:r>
            <w:r>
              <w:rPr>
                <w:rFonts w:ascii="Arial" w:hAnsi="Arial" w:cs="Arial"/>
              </w:rPr>
              <w:t xml:space="preserve">Canadiense </w:t>
            </w:r>
            <w:r w:rsidRPr="00931D46">
              <w:rPr>
                <w:rFonts w:ascii="Arial" w:hAnsi="Arial" w:cs="Arial"/>
              </w:rPr>
              <w:t>de Radio y Telecomunicaciones</w:t>
            </w:r>
            <w:r>
              <w:rPr>
                <w:rFonts w:ascii="Arial" w:hAnsi="Arial" w:cs="Arial"/>
              </w:rPr>
              <w:t xml:space="preserve"> </w:t>
            </w:r>
            <w:r w:rsidRPr="00931D46">
              <w:rPr>
                <w:rFonts w:ascii="Arial" w:hAnsi="Arial" w:cs="Arial"/>
              </w:rPr>
              <w:t>(</w:t>
            </w:r>
            <w:r w:rsidRPr="00931D46">
              <w:rPr>
                <w:rFonts w:ascii="Arial" w:hAnsi="Arial" w:cs="Arial"/>
                <w:i/>
              </w:rPr>
              <w:t>Canadian Radio-</w:t>
            </w:r>
            <w:proofErr w:type="spellStart"/>
            <w:r w:rsidRPr="00931D46">
              <w:rPr>
                <w:rFonts w:ascii="Arial" w:hAnsi="Arial" w:cs="Arial"/>
                <w:i/>
              </w:rPr>
              <w:t>television</w:t>
            </w:r>
            <w:proofErr w:type="spellEnd"/>
            <w:r w:rsidRPr="00931D46">
              <w:rPr>
                <w:rFonts w:ascii="Arial" w:hAnsi="Arial" w:cs="Arial"/>
                <w:i/>
              </w:rPr>
              <w:t xml:space="preserve"> and </w:t>
            </w:r>
            <w:proofErr w:type="spellStart"/>
            <w:r w:rsidRPr="00931D46">
              <w:rPr>
                <w:rFonts w:ascii="Arial" w:hAnsi="Arial" w:cs="Arial"/>
                <w:i/>
              </w:rPr>
              <w:t>Telecommunications</w:t>
            </w:r>
            <w:proofErr w:type="spellEnd"/>
            <w:r w:rsidRPr="00931D46">
              <w:rPr>
                <w:rFonts w:ascii="Arial" w:hAnsi="Arial" w:cs="Arial"/>
                <w:i/>
              </w:rPr>
              <w:t xml:space="preserve"> </w:t>
            </w:r>
            <w:proofErr w:type="spellStart"/>
            <w:r w:rsidRPr="00931D46">
              <w:rPr>
                <w:rFonts w:ascii="Arial" w:hAnsi="Arial" w:cs="Arial"/>
                <w:i/>
              </w:rPr>
              <w:t>Commission</w:t>
            </w:r>
            <w:proofErr w:type="spellEnd"/>
            <w:r w:rsidRPr="00931D46">
              <w:rPr>
                <w:rFonts w:ascii="Arial" w:hAnsi="Arial" w:cs="Arial"/>
              </w:rPr>
              <w:t>, en inglés).</w:t>
            </w:r>
          </w:p>
        </w:tc>
      </w:tr>
      <w:tr w:rsidR="003545C8" w:rsidRPr="00931D46" w14:paraId="03687B1A" w14:textId="77777777" w:rsidTr="00594C79">
        <w:trPr>
          <w:trHeight w:val="301"/>
        </w:trPr>
        <w:tc>
          <w:tcPr>
            <w:tcW w:w="2410" w:type="dxa"/>
            <w:vAlign w:val="center"/>
          </w:tcPr>
          <w:p w14:paraId="09C3EF19" w14:textId="77777777" w:rsidR="003545C8" w:rsidRPr="00931D46" w:rsidRDefault="003545C8" w:rsidP="00594C79">
            <w:pPr>
              <w:pStyle w:val="TablaTexto"/>
              <w:spacing w:line="276" w:lineRule="auto"/>
              <w:rPr>
                <w:rFonts w:ascii="Arial" w:hAnsi="Arial" w:cs="Arial"/>
              </w:rPr>
            </w:pPr>
            <w:r w:rsidRPr="00931D46">
              <w:rPr>
                <w:rFonts w:ascii="Arial" w:hAnsi="Arial" w:cs="Arial"/>
              </w:rPr>
              <w:t>DOJ</w:t>
            </w:r>
          </w:p>
        </w:tc>
        <w:tc>
          <w:tcPr>
            <w:tcW w:w="7088" w:type="dxa"/>
            <w:vAlign w:val="center"/>
          </w:tcPr>
          <w:p w14:paraId="3CB83F7D" w14:textId="77777777" w:rsidR="003545C8" w:rsidRPr="00931D46" w:rsidRDefault="003545C8" w:rsidP="00594C79">
            <w:pPr>
              <w:pStyle w:val="TablaTexto"/>
              <w:spacing w:line="276" w:lineRule="auto"/>
              <w:rPr>
                <w:rFonts w:ascii="Arial" w:hAnsi="Arial" w:cs="Arial"/>
              </w:rPr>
            </w:pPr>
            <w:r w:rsidRPr="00931D46">
              <w:rPr>
                <w:rFonts w:ascii="Arial" w:hAnsi="Arial" w:cs="Arial"/>
              </w:rPr>
              <w:t>Departamento de Justicia de Estados Unidos de América (</w:t>
            </w:r>
            <w:proofErr w:type="spellStart"/>
            <w:r w:rsidRPr="00931D46">
              <w:rPr>
                <w:rFonts w:ascii="Arial" w:hAnsi="Arial" w:cs="Arial"/>
                <w:i/>
              </w:rPr>
              <w:t>Department</w:t>
            </w:r>
            <w:proofErr w:type="spellEnd"/>
            <w:r w:rsidRPr="00931D46">
              <w:rPr>
                <w:rFonts w:ascii="Arial" w:hAnsi="Arial" w:cs="Arial"/>
                <w:i/>
              </w:rPr>
              <w:t xml:space="preserve"> </w:t>
            </w:r>
            <w:proofErr w:type="spellStart"/>
            <w:r w:rsidRPr="00931D46">
              <w:rPr>
                <w:rFonts w:ascii="Arial" w:hAnsi="Arial" w:cs="Arial"/>
                <w:i/>
              </w:rPr>
              <w:t>of</w:t>
            </w:r>
            <w:proofErr w:type="spellEnd"/>
            <w:r w:rsidRPr="00931D46">
              <w:rPr>
                <w:rFonts w:ascii="Arial" w:hAnsi="Arial" w:cs="Arial"/>
                <w:i/>
              </w:rPr>
              <w:t xml:space="preserve"> </w:t>
            </w:r>
            <w:proofErr w:type="spellStart"/>
            <w:r w:rsidRPr="00931D46">
              <w:rPr>
                <w:rFonts w:ascii="Arial" w:hAnsi="Arial" w:cs="Arial"/>
                <w:i/>
              </w:rPr>
              <w:t>Justice</w:t>
            </w:r>
            <w:proofErr w:type="spellEnd"/>
            <w:r w:rsidRPr="00931D46">
              <w:rPr>
                <w:rFonts w:ascii="Arial" w:hAnsi="Arial" w:cs="Arial"/>
                <w:i/>
              </w:rPr>
              <w:t xml:space="preserve">, </w:t>
            </w:r>
            <w:r w:rsidRPr="00931D46">
              <w:rPr>
                <w:rFonts w:ascii="Arial" w:hAnsi="Arial" w:cs="Arial"/>
              </w:rPr>
              <w:t>en inglés).</w:t>
            </w:r>
          </w:p>
        </w:tc>
      </w:tr>
      <w:tr w:rsidR="003545C8" w:rsidRPr="00931D46" w14:paraId="1F3D7C8F" w14:textId="77777777" w:rsidTr="00594C79">
        <w:trPr>
          <w:trHeight w:val="301"/>
        </w:trPr>
        <w:tc>
          <w:tcPr>
            <w:tcW w:w="2410" w:type="dxa"/>
            <w:vAlign w:val="center"/>
          </w:tcPr>
          <w:p w14:paraId="5A473C02" w14:textId="77777777" w:rsidR="003545C8" w:rsidRPr="00931D46" w:rsidRDefault="003545C8" w:rsidP="00594C79">
            <w:pPr>
              <w:pStyle w:val="TablaTexto"/>
              <w:spacing w:line="276" w:lineRule="auto"/>
              <w:rPr>
                <w:rFonts w:ascii="Arial" w:hAnsi="Arial" w:cs="Arial"/>
              </w:rPr>
            </w:pPr>
            <w:r w:rsidRPr="00931D46">
              <w:rPr>
                <w:rFonts w:ascii="Arial" w:hAnsi="Arial" w:cs="Arial"/>
              </w:rPr>
              <w:t>DRLFCE</w:t>
            </w:r>
          </w:p>
        </w:tc>
        <w:tc>
          <w:tcPr>
            <w:tcW w:w="7088" w:type="dxa"/>
            <w:vAlign w:val="center"/>
          </w:tcPr>
          <w:p w14:paraId="79D5EEF7" w14:textId="77777777" w:rsidR="003545C8" w:rsidRPr="00931D46" w:rsidRDefault="003545C8" w:rsidP="00594C79">
            <w:pPr>
              <w:pStyle w:val="TablaTexto"/>
              <w:spacing w:line="276" w:lineRule="auto"/>
              <w:rPr>
                <w:rFonts w:ascii="Arial" w:hAnsi="Arial" w:cs="Arial"/>
              </w:rPr>
            </w:pPr>
            <w:r w:rsidRPr="00931D46">
              <w:rPr>
                <w:rFonts w:ascii="Arial" w:hAnsi="Arial" w:cs="Arial"/>
              </w:rPr>
              <w:t>Disposiciones Regulatorias de la Ley Federal de Competencia Económica para los sectores de telecomunicaciones y radiodifusión.</w:t>
            </w:r>
          </w:p>
        </w:tc>
      </w:tr>
      <w:tr w:rsidR="003545C8" w:rsidRPr="00931D46" w14:paraId="7D9C2025" w14:textId="77777777" w:rsidTr="00594C79">
        <w:trPr>
          <w:trHeight w:val="301"/>
        </w:trPr>
        <w:tc>
          <w:tcPr>
            <w:tcW w:w="2410" w:type="dxa"/>
            <w:vAlign w:val="center"/>
          </w:tcPr>
          <w:p w14:paraId="14E0331F" w14:textId="77777777" w:rsidR="003545C8" w:rsidRPr="00931D46" w:rsidRDefault="003545C8" w:rsidP="00594C79">
            <w:pPr>
              <w:pStyle w:val="TablaTexto"/>
              <w:spacing w:line="276" w:lineRule="auto"/>
              <w:rPr>
                <w:rFonts w:ascii="Arial" w:hAnsi="Arial" w:cs="Arial"/>
              </w:rPr>
            </w:pPr>
            <w:r w:rsidRPr="00931D46">
              <w:rPr>
                <w:rFonts w:ascii="Arial" w:hAnsi="Arial" w:cs="Arial"/>
              </w:rPr>
              <w:t>FCC</w:t>
            </w:r>
          </w:p>
        </w:tc>
        <w:tc>
          <w:tcPr>
            <w:tcW w:w="7088" w:type="dxa"/>
            <w:vAlign w:val="center"/>
          </w:tcPr>
          <w:p w14:paraId="7815F670" w14:textId="77777777" w:rsidR="003545C8" w:rsidRPr="00931D46" w:rsidRDefault="003545C8" w:rsidP="00594C79">
            <w:pPr>
              <w:pStyle w:val="TablaTexto"/>
              <w:spacing w:line="276" w:lineRule="auto"/>
              <w:rPr>
                <w:rFonts w:ascii="Arial" w:hAnsi="Arial" w:cs="Arial"/>
              </w:rPr>
            </w:pPr>
            <w:r w:rsidRPr="00931D46">
              <w:rPr>
                <w:rFonts w:ascii="Arial" w:hAnsi="Arial" w:cs="Arial"/>
              </w:rPr>
              <w:t>Comisión Federal de Comunicaciones de Estados Unidos de América (</w:t>
            </w:r>
            <w:r w:rsidRPr="00931D46">
              <w:rPr>
                <w:rFonts w:ascii="Arial" w:hAnsi="Arial" w:cs="Arial"/>
                <w:i/>
              </w:rPr>
              <w:t xml:space="preserve">Federal </w:t>
            </w:r>
            <w:proofErr w:type="spellStart"/>
            <w:r w:rsidRPr="00931D46">
              <w:rPr>
                <w:rFonts w:ascii="Arial" w:hAnsi="Arial" w:cs="Arial"/>
                <w:i/>
              </w:rPr>
              <w:t>Communications</w:t>
            </w:r>
            <w:proofErr w:type="spellEnd"/>
            <w:r w:rsidRPr="00931D46">
              <w:rPr>
                <w:rFonts w:ascii="Arial" w:hAnsi="Arial" w:cs="Arial"/>
                <w:i/>
              </w:rPr>
              <w:t xml:space="preserve"> </w:t>
            </w:r>
            <w:proofErr w:type="spellStart"/>
            <w:r w:rsidRPr="00931D46">
              <w:rPr>
                <w:rFonts w:ascii="Arial" w:hAnsi="Arial" w:cs="Arial"/>
                <w:i/>
              </w:rPr>
              <w:t>Commission</w:t>
            </w:r>
            <w:proofErr w:type="spellEnd"/>
            <w:r w:rsidRPr="00931D46">
              <w:rPr>
                <w:rFonts w:ascii="Arial" w:hAnsi="Arial" w:cs="Arial"/>
              </w:rPr>
              <w:t>, en inglés).</w:t>
            </w:r>
          </w:p>
        </w:tc>
      </w:tr>
      <w:tr w:rsidR="003545C8" w:rsidRPr="00931D46" w14:paraId="4BFD3591" w14:textId="77777777" w:rsidTr="00594C79">
        <w:trPr>
          <w:trHeight w:val="301"/>
        </w:trPr>
        <w:tc>
          <w:tcPr>
            <w:tcW w:w="2410" w:type="dxa"/>
            <w:vAlign w:val="center"/>
          </w:tcPr>
          <w:p w14:paraId="698A1636" w14:textId="77777777" w:rsidR="003545C8" w:rsidRPr="00931D46" w:rsidRDefault="003545C8" w:rsidP="00594C79">
            <w:pPr>
              <w:pStyle w:val="TablaTexto"/>
              <w:spacing w:line="276" w:lineRule="auto"/>
              <w:rPr>
                <w:rFonts w:ascii="Arial" w:hAnsi="Arial" w:cs="Arial"/>
              </w:rPr>
            </w:pPr>
            <w:r w:rsidRPr="00931D46">
              <w:rPr>
                <w:rFonts w:ascii="Arial" w:hAnsi="Arial" w:cs="Arial"/>
              </w:rPr>
              <w:lastRenderedPageBreak/>
              <w:t>FTC</w:t>
            </w:r>
          </w:p>
        </w:tc>
        <w:tc>
          <w:tcPr>
            <w:tcW w:w="7088" w:type="dxa"/>
            <w:vAlign w:val="center"/>
          </w:tcPr>
          <w:p w14:paraId="71830FAC" w14:textId="77777777" w:rsidR="003545C8" w:rsidRPr="00931D46" w:rsidRDefault="003545C8" w:rsidP="00594C79">
            <w:pPr>
              <w:pStyle w:val="TablaTexto"/>
              <w:spacing w:line="276" w:lineRule="auto"/>
              <w:rPr>
                <w:rFonts w:ascii="Arial" w:hAnsi="Arial" w:cs="Arial"/>
              </w:rPr>
            </w:pPr>
            <w:r w:rsidRPr="00931D46">
              <w:rPr>
                <w:rFonts w:ascii="Arial" w:hAnsi="Arial" w:cs="Arial"/>
              </w:rPr>
              <w:t>Comisión Federal de Comercio de Estados Unidos de América (</w:t>
            </w:r>
            <w:r w:rsidRPr="00931D46">
              <w:rPr>
                <w:rFonts w:ascii="Arial" w:hAnsi="Arial" w:cs="Arial"/>
                <w:i/>
              </w:rPr>
              <w:t xml:space="preserve">Federal </w:t>
            </w:r>
            <w:proofErr w:type="spellStart"/>
            <w:r w:rsidRPr="00931D46">
              <w:rPr>
                <w:rFonts w:ascii="Arial" w:hAnsi="Arial" w:cs="Arial"/>
                <w:i/>
              </w:rPr>
              <w:t>Trade</w:t>
            </w:r>
            <w:proofErr w:type="spellEnd"/>
            <w:r w:rsidRPr="00931D46">
              <w:rPr>
                <w:rFonts w:ascii="Arial" w:hAnsi="Arial" w:cs="Arial"/>
                <w:i/>
              </w:rPr>
              <w:t xml:space="preserve"> </w:t>
            </w:r>
            <w:proofErr w:type="spellStart"/>
            <w:r w:rsidRPr="00931D46">
              <w:rPr>
                <w:rFonts w:ascii="Arial" w:hAnsi="Arial" w:cs="Arial"/>
                <w:i/>
              </w:rPr>
              <w:t>Commission</w:t>
            </w:r>
            <w:proofErr w:type="spellEnd"/>
            <w:r w:rsidRPr="00931D46">
              <w:rPr>
                <w:rFonts w:ascii="Arial" w:hAnsi="Arial" w:cs="Arial"/>
              </w:rPr>
              <w:t>, en inglés).</w:t>
            </w:r>
          </w:p>
        </w:tc>
      </w:tr>
      <w:tr w:rsidR="003545C8" w:rsidRPr="00931D46" w14:paraId="3DDBA0E3" w14:textId="77777777" w:rsidTr="00594C79">
        <w:trPr>
          <w:trHeight w:val="301"/>
        </w:trPr>
        <w:tc>
          <w:tcPr>
            <w:tcW w:w="2410" w:type="dxa"/>
            <w:vAlign w:val="center"/>
          </w:tcPr>
          <w:p w14:paraId="4BFCCDB9" w14:textId="77777777" w:rsidR="003545C8" w:rsidRPr="00931D46" w:rsidRDefault="003545C8" w:rsidP="00594C79">
            <w:pPr>
              <w:pStyle w:val="TablaTexto"/>
              <w:spacing w:line="276" w:lineRule="auto"/>
              <w:rPr>
                <w:rFonts w:ascii="Arial" w:hAnsi="Arial" w:cs="Arial"/>
              </w:rPr>
            </w:pPr>
            <w:r w:rsidRPr="00931D46">
              <w:rPr>
                <w:rFonts w:ascii="Arial" w:hAnsi="Arial" w:cs="Arial"/>
              </w:rPr>
              <w:t>Guía de Concentraciones</w:t>
            </w:r>
          </w:p>
        </w:tc>
        <w:tc>
          <w:tcPr>
            <w:tcW w:w="7088" w:type="dxa"/>
            <w:vAlign w:val="center"/>
          </w:tcPr>
          <w:p w14:paraId="3C6D0813" w14:textId="77777777" w:rsidR="003545C8" w:rsidRPr="00931D46" w:rsidRDefault="003545C8" w:rsidP="00594C79">
            <w:pPr>
              <w:pStyle w:val="TablaTexto"/>
              <w:spacing w:line="276" w:lineRule="auto"/>
              <w:rPr>
                <w:rFonts w:ascii="Arial" w:hAnsi="Arial" w:cs="Arial"/>
              </w:rPr>
            </w:pPr>
            <w:r w:rsidRPr="00931D46">
              <w:rPr>
                <w:rFonts w:ascii="Arial" w:hAnsi="Arial" w:cs="Arial"/>
              </w:rPr>
              <w:t>Guía para el control de concentraciones en los sectores de Telecomunicaciones y Radiodifusión, publicada por el Instituto en 2017.</w:t>
            </w:r>
            <w:r w:rsidRPr="00931D46">
              <w:rPr>
                <w:rStyle w:val="Refdenotaalpie"/>
                <w:rFonts w:ascii="Arial" w:hAnsi="Arial" w:cs="Arial"/>
              </w:rPr>
              <w:footnoteReference w:id="4"/>
            </w:r>
          </w:p>
        </w:tc>
      </w:tr>
      <w:tr w:rsidR="003545C8" w:rsidRPr="00931D46" w14:paraId="1D6761F1" w14:textId="77777777" w:rsidTr="00594C79">
        <w:trPr>
          <w:trHeight w:val="301"/>
        </w:trPr>
        <w:tc>
          <w:tcPr>
            <w:tcW w:w="2410" w:type="dxa"/>
            <w:vAlign w:val="center"/>
          </w:tcPr>
          <w:p w14:paraId="2DB7F218" w14:textId="77777777" w:rsidR="003545C8" w:rsidRPr="00931D46" w:rsidRDefault="003545C8" w:rsidP="00594C79">
            <w:pPr>
              <w:pStyle w:val="TablaTexto"/>
              <w:spacing w:line="276" w:lineRule="auto"/>
              <w:rPr>
                <w:rFonts w:ascii="Arial" w:hAnsi="Arial" w:cs="Arial"/>
              </w:rPr>
            </w:pPr>
            <w:r w:rsidRPr="00931D46">
              <w:rPr>
                <w:rFonts w:ascii="Arial" w:hAnsi="Arial" w:cs="Arial"/>
              </w:rPr>
              <w:t>ICN</w:t>
            </w:r>
          </w:p>
        </w:tc>
        <w:tc>
          <w:tcPr>
            <w:tcW w:w="7088" w:type="dxa"/>
            <w:vAlign w:val="center"/>
          </w:tcPr>
          <w:p w14:paraId="04CF3D18" w14:textId="77777777" w:rsidR="003545C8" w:rsidRPr="00931D46" w:rsidRDefault="003545C8" w:rsidP="00594C79">
            <w:pPr>
              <w:pStyle w:val="TablaTexto"/>
              <w:spacing w:line="276" w:lineRule="auto"/>
              <w:rPr>
                <w:rFonts w:ascii="Arial" w:hAnsi="Arial" w:cs="Arial"/>
              </w:rPr>
            </w:pPr>
            <w:r w:rsidRPr="00931D46">
              <w:rPr>
                <w:rFonts w:ascii="Arial" w:hAnsi="Arial" w:cs="Arial"/>
              </w:rPr>
              <w:t>Red Internacional de Competencia (</w:t>
            </w:r>
            <w:r w:rsidRPr="00931D46">
              <w:rPr>
                <w:rFonts w:ascii="Arial" w:hAnsi="Arial" w:cs="Arial"/>
                <w:i/>
              </w:rPr>
              <w:t xml:space="preserve">International </w:t>
            </w:r>
            <w:proofErr w:type="spellStart"/>
            <w:r w:rsidRPr="00931D46">
              <w:rPr>
                <w:rFonts w:ascii="Arial" w:hAnsi="Arial" w:cs="Arial"/>
                <w:i/>
              </w:rPr>
              <w:t>Competition</w:t>
            </w:r>
            <w:proofErr w:type="spellEnd"/>
            <w:r w:rsidRPr="00931D46">
              <w:rPr>
                <w:rFonts w:ascii="Arial" w:hAnsi="Arial" w:cs="Arial"/>
                <w:i/>
              </w:rPr>
              <w:t xml:space="preserve"> Network</w:t>
            </w:r>
            <w:r w:rsidRPr="00931D46">
              <w:rPr>
                <w:rFonts w:ascii="Arial" w:hAnsi="Arial" w:cs="Arial"/>
              </w:rPr>
              <w:t>, en inglés).</w:t>
            </w:r>
          </w:p>
        </w:tc>
      </w:tr>
      <w:tr w:rsidR="003545C8" w:rsidRPr="00931D46" w14:paraId="5D5B1177" w14:textId="77777777" w:rsidTr="00594C79">
        <w:trPr>
          <w:trHeight w:val="301"/>
        </w:trPr>
        <w:tc>
          <w:tcPr>
            <w:tcW w:w="2410" w:type="dxa"/>
            <w:vAlign w:val="center"/>
          </w:tcPr>
          <w:p w14:paraId="22251213" w14:textId="77777777" w:rsidR="003545C8" w:rsidRPr="00931D46" w:rsidRDefault="003545C8" w:rsidP="00594C79">
            <w:pPr>
              <w:pStyle w:val="TablaTexto"/>
              <w:spacing w:line="276" w:lineRule="auto"/>
              <w:rPr>
                <w:rFonts w:ascii="Arial" w:hAnsi="Arial" w:cs="Arial"/>
              </w:rPr>
            </w:pPr>
            <w:r w:rsidRPr="00931D46">
              <w:rPr>
                <w:rFonts w:ascii="Arial" w:hAnsi="Arial" w:cs="Arial"/>
              </w:rPr>
              <w:t>Instituto / IFT</w:t>
            </w:r>
          </w:p>
        </w:tc>
        <w:tc>
          <w:tcPr>
            <w:tcW w:w="7088" w:type="dxa"/>
            <w:vAlign w:val="center"/>
          </w:tcPr>
          <w:p w14:paraId="03332D3C" w14:textId="77777777" w:rsidR="003545C8" w:rsidRPr="00931D46" w:rsidRDefault="003545C8" w:rsidP="00594C79">
            <w:pPr>
              <w:pStyle w:val="TablaTexto"/>
              <w:spacing w:line="276" w:lineRule="auto"/>
              <w:rPr>
                <w:rFonts w:ascii="Arial" w:hAnsi="Arial" w:cs="Arial"/>
              </w:rPr>
            </w:pPr>
            <w:r w:rsidRPr="00931D46">
              <w:rPr>
                <w:rFonts w:ascii="Arial" w:hAnsi="Arial" w:cs="Arial"/>
              </w:rPr>
              <w:t>Instituto Federal de Telecomunicaciones.</w:t>
            </w:r>
          </w:p>
        </w:tc>
      </w:tr>
      <w:tr w:rsidR="003545C8" w:rsidRPr="00931D46" w14:paraId="48BDAABB" w14:textId="77777777" w:rsidTr="00594C79">
        <w:trPr>
          <w:trHeight w:val="301"/>
        </w:trPr>
        <w:tc>
          <w:tcPr>
            <w:tcW w:w="2410" w:type="dxa"/>
            <w:vAlign w:val="center"/>
          </w:tcPr>
          <w:p w14:paraId="09B9E4B1" w14:textId="77777777" w:rsidR="003545C8" w:rsidRPr="00931D46" w:rsidRDefault="003545C8" w:rsidP="00594C79">
            <w:pPr>
              <w:rPr>
                <w:rFonts w:ascii="Arial" w:hAnsi="Arial" w:cs="Arial"/>
                <w:lang w:val="en-US"/>
              </w:rPr>
            </w:pPr>
            <w:r w:rsidRPr="00931D46">
              <w:rPr>
                <w:rFonts w:ascii="Arial" w:hAnsi="Arial" w:cs="Arial"/>
                <w:lang w:val="en-US"/>
              </w:rPr>
              <w:t>LFCE</w:t>
            </w:r>
          </w:p>
        </w:tc>
        <w:tc>
          <w:tcPr>
            <w:tcW w:w="7088" w:type="dxa"/>
            <w:vAlign w:val="center"/>
          </w:tcPr>
          <w:p w14:paraId="3B871858" w14:textId="77777777" w:rsidR="003545C8" w:rsidRPr="00931D46" w:rsidRDefault="003545C8" w:rsidP="00594C79">
            <w:pPr>
              <w:jc w:val="both"/>
              <w:rPr>
                <w:rFonts w:ascii="Arial" w:hAnsi="Arial" w:cs="Arial"/>
              </w:rPr>
            </w:pPr>
            <w:r w:rsidRPr="00931D46">
              <w:rPr>
                <w:rFonts w:ascii="Arial" w:hAnsi="Arial" w:cs="Arial"/>
              </w:rPr>
              <w:t>Ley Federal de Competencia Económica.</w:t>
            </w:r>
          </w:p>
        </w:tc>
      </w:tr>
      <w:tr w:rsidR="003545C8" w:rsidRPr="00931D46" w14:paraId="7B183E30" w14:textId="77777777" w:rsidTr="00594C79">
        <w:trPr>
          <w:trHeight w:val="301"/>
        </w:trPr>
        <w:tc>
          <w:tcPr>
            <w:tcW w:w="2410" w:type="dxa"/>
            <w:vAlign w:val="center"/>
          </w:tcPr>
          <w:p w14:paraId="2F4B9BB4" w14:textId="77777777" w:rsidR="003545C8" w:rsidRPr="00931D46" w:rsidRDefault="003545C8" w:rsidP="00594C79">
            <w:pPr>
              <w:rPr>
                <w:rFonts w:ascii="Arial" w:hAnsi="Arial" w:cs="Arial"/>
                <w:lang w:val="en-US"/>
              </w:rPr>
            </w:pPr>
            <w:r w:rsidRPr="00931D46">
              <w:rPr>
                <w:rFonts w:ascii="Arial" w:hAnsi="Arial" w:cs="Arial"/>
                <w:lang w:val="en-US"/>
              </w:rPr>
              <w:t>LFTR</w:t>
            </w:r>
          </w:p>
        </w:tc>
        <w:tc>
          <w:tcPr>
            <w:tcW w:w="7088" w:type="dxa"/>
            <w:vAlign w:val="center"/>
          </w:tcPr>
          <w:p w14:paraId="02A12515" w14:textId="77777777" w:rsidR="003545C8" w:rsidRPr="00931D46" w:rsidRDefault="003545C8" w:rsidP="00594C79">
            <w:pPr>
              <w:jc w:val="both"/>
              <w:rPr>
                <w:rFonts w:ascii="Arial" w:hAnsi="Arial" w:cs="Arial"/>
              </w:rPr>
            </w:pPr>
            <w:r w:rsidRPr="00931D46">
              <w:rPr>
                <w:rFonts w:ascii="Arial" w:hAnsi="Arial" w:cs="Arial"/>
              </w:rPr>
              <w:t>Ley Federal de Telecomunicaciones y Radiodifusión.</w:t>
            </w:r>
          </w:p>
        </w:tc>
      </w:tr>
      <w:tr w:rsidR="003545C8" w:rsidRPr="00931D46" w14:paraId="06D96E43" w14:textId="77777777" w:rsidTr="00594C79">
        <w:trPr>
          <w:trHeight w:val="301"/>
        </w:trPr>
        <w:tc>
          <w:tcPr>
            <w:tcW w:w="2410" w:type="dxa"/>
            <w:vAlign w:val="center"/>
          </w:tcPr>
          <w:p w14:paraId="6C16B40B" w14:textId="77777777" w:rsidR="003545C8" w:rsidRPr="00931D46" w:rsidRDefault="003545C8" w:rsidP="00594C79">
            <w:pPr>
              <w:pStyle w:val="TablaTexto"/>
              <w:spacing w:line="276" w:lineRule="auto"/>
              <w:rPr>
                <w:rFonts w:ascii="Arial" w:hAnsi="Arial" w:cs="Arial"/>
              </w:rPr>
            </w:pPr>
            <w:r w:rsidRPr="00931D46">
              <w:rPr>
                <w:rFonts w:ascii="Arial" w:hAnsi="Arial" w:cs="Arial"/>
              </w:rPr>
              <w:t>MR</w:t>
            </w:r>
          </w:p>
        </w:tc>
        <w:tc>
          <w:tcPr>
            <w:tcW w:w="7088" w:type="dxa"/>
            <w:vAlign w:val="center"/>
          </w:tcPr>
          <w:p w14:paraId="3E05FD76" w14:textId="77777777" w:rsidR="003545C8" w:rsidRPr="00931D46" w:rsidRDefault="003545C8" w:rsidP="00594C79">
            <w:pPr>
              <w:pStyle w:val="TablaTexto"/>
              <w:spacing w:line="276" w:lineRule="auto"/>
              <w:rPr>
                <w:rFonts w:ascii="Arial" w:hAnsi="Arial" w:cs="Arial"/>
              </w:rPr>
            </w:pPr>
            <w:r w:rsidRPr="00931D46">
              <w:rPr>
                <w:rFonts w:ascii="Arial" w:hAnsi="Arial" w:cs="Arial"/>
              </w:rPr>
              <w:t>Mercado Relevante.</w:t>
            </w:r>
          </w:p>
        </w:tc>
      </w:tr>
      <w:tr w:rsidR="003545C8" w:rsidRPr="00931D46" w14:paraId="75BA72CE" w14:textId="77777777" w:rsidTr="00594C79">
        <w:trPr>
          <w:trHeight w:val="301"/>
        </w:trPr>
        <w:tc>
          <w:tcPr>
            <w:tcW w:w="2410" w:type="dxa"/>
            <w:vAlign w:val="center"/>
          </w:tcPr>
          <w:p w14:paraId="5E67C460" w14:textId="77777777" w:rsidR="003545C8" w:rsidRPr="00931D46" w:rsidRDefault="003545C8" w:rsidP="00594C79">
            <w:pPr>
              <w:pStyle w:val="TablaTexto"/>
              <w:spacing w:line="276" w:lineRule="auto"/>
              <w:rPr>
                <w:rFonts w:ascii="Arial" w:hAnsi="Arial" w:cs="Arial"/>
              </w:rPr>
            </w:pPr>
            <w:r w:rsidRPr="00931D46">
              <w:rPr>
                <w:rFonts w:ascii="Arial" w:hAnsi="Arial" w:cs="Arial"/>
              </w:rPr>
              <w:t>OCDE</w:t>
            </w:r>
          </w:p>
        </w:tc>
        <w:tc>
          <w:tcPr>
            <w:tcW w:w="7088" w:type="dxa"/>
            <w:vAlign w:val="center"/>
          </w:tcPr>
          <w:p w14:paraId="4DE56E04" w14:textId="77777777" w:rsidR="003545C8" w:rsidRPr="00931D46" w:rsidRDefault="003545C8" w:rsidP="00594C79">
            <w:pPr>
              <w:pStyle w:val="TablaTexto"/>
              <w:spacing w:line="276" w:lineRule="auto"/>
              <w:rPr>
                <w:rFonts w:ascii="Arial" w:hAnsi="Arial" w:cs="Arial"/>
              </w:rPr>
            </w:pPr>
            <w:r w:rsidRPr="00931D46">
              <w:rPr>
                <w:rFonts w:ascii="Arial" w:hAnsi="Arial" w:cs="Arial"/>
              </w:rPr>
              <w:t>Organización para la Cooperación y el Desarrollo Económicos.</w:t>
            </w:r>
          </w:p>
        </w:tc>
      </w:tr>
      <w:tr w:rsidR="003545C8" w:rsidRPr="00931D46" w14:paraId="34C38BB0" w14:textId="77777777" w:rsidTr="00594C79">
        <w:trPr>
          <w:trHeight w:val="301"/>
        </w:trPr>
        <w:tc>
          <w:tcPr>
            <w:tcW w:w="2410" w:type="dxa"/>
            <w:vAlign w:val="center"/>
          </w:tcPr>
          <w:p w14:paraId="0CD3437F" w14:textId="77777777" w:rsidR="003545C8" w:rsidRPr="00931D46" w:rsidRDefault="003545C8" w:rsidP="00594C79">
            <w:pPr>
              <w:pStyle w:val="TablaTexto"/>
              <w:spacing w:line="276" w:lineRule="auto"/>
              <w:rPr>
                <w:rFonts w:ascii="Arial" w:hAnsi="Arial" w:cs="Arial"/>
              </w:rPr>
            </w:pPr>
            <w:proofErr w:type="spellStart"/>
            <w:r w:rsidRPr="00931D46">
              <w:rPr>
                <w:rFonts w:ascii="Arial" w:hAnsi="Arial" w:cs="Arial"/>
              </w:rPr>
              <w:t>Ofcom</w:t>
            </w:r>
            <w:proofErr w:type="spellEnd"/>
          </w:p>
        </w:tc>
        <w:tc>
          <w:tcPr>
            <w:tcW w:w="7088" w:type="dxa"/>
            <w:vAlign w:val="center"/>
          </w:tcPr>
          <w:p w14:paraId="1FD11FF4" w14:textId="77777777" w:rsidR="003545C8" w:rsidRPr="00931D46" w:rsidRDefault="003545C8" w:rsidP="00594C79">
            <w:pPr>
              <w:pStyle w:val="TablaTexto"/>
              <w:spacing w:line="276" w:lineRule="auto"/>
              <w:rPr>
                <w:rFonts w:ascii="Arial" w:hAnsi="Arial" w:cs="Arial"/>
              </w:rPr>
            </w:pPr>
            <w:r>
              <w:rPr>
                <w:rFonts w:ascii="Arial" w:hAnsi="Arial" w:cs="Arial"/>
              </w:rPr>
              <w:t xml:space="preserve">Oficina de Comunicaciones </w:t>
            </w:r>
            <w:r w:rsidRPr="00931D46">
              <w:rPr>
                <w:rFonts w:ascii="Arial" w:hAnsi="Arial" w:cs="Arial"/>
              </w:rPr>
              <w:t>(</w:t>
            </w:r>
            <w:r w:rsidRPr="00931D46">
              <w:rPr>
                <w:rFonts w:ascii="Arial" w:hAnsi="Arial" w:cs="Arial"/>
                <w:i/>
              </w:rPr>
              <w:t xml:space="preserve">Office </w:t>
            </w:r>
            <w:proofErr w:type="spellStart"/>
            <w:r w:rsidRPr="00931D46">
              <w:rPr>
                <w:rFonts w:ascii="Arial" w:hAnsi="Arial" w:cs="Arial"/>
                <w:i/>
              </w:rPr>
              <w:t>of</w:t>
            </w:r>
            <w:proofErr w:type="spellEnd"/>
            <w:r w:rsidRPr="00931D46">
              <w:rPr>
                <w:rFonts w:ascii="Arial" w:hAnsi="Arial" w:cs="Arial"/>
                <w:i/>
              </w:rPr>
              <w:t xml:space="preserve"> </w:t>
            </w:r>
            <w:proofErr w:type="spellStart"/>
            <w:r w:rsidRPr="00931D46">
              <w:rPr>
                <w:rFonts w:ascii="Arial" w:hAnsi="Arial" w:cs="Arial"/>
                <w:i/>
              </w:rPr>
              <w:t>Communications</w:t>
            </w:r>
            <w:proofErr w:type="spellEnd"/>
            <w:r w:rsidRPr="00931D46">
              <w:rPr>
                <w:rFonts w:ascii="Arial" w:hAnsi="Arial" w:cs="Arial"/>
              </w:rPr>
              <w:t>, en inglés). Regulador de telecomunicaciones de Reino Unido</w:t>
            </w:r>
            <w:r>
              <w:rPr>
                <w:rFonts w:ascii="Arial" w:hAnsi="Arial" w:cs="Arial"/>
              </w:rPr>
              <w:t>.</w:t>
            </w:r>
            <w:r w:rsidRPr="00931D46">
              <w:rPr>
                <w:rFonts w:ascii="Arial" w:hAnsi="Arial" w:cs="Arial"/>
              </w:rPr>
              <w:t xml:space="preserve"> </w:t>
            </w:r>
          </w:p>
        </w:tc>
      </w:tr>
      <w:tr w:rsidR="003545C8" w:rsidRPr="00931D46" w14:paraId="2E776B8E" w14:textId="77777777" w:rsidTr="00594C79">
        <w:trPr>
          <w:trHeight w:val="301"/>
        </w:trPr>
        <w:tc>
          <w:tcPr>
            <w:tcW w:w="2410" w:type="dxa"/>
            <w:vAlign w:val="center"/>
          </w:tcPr>
          <w:p w14:paraId="4CD2B3AE" w14:textId="77777777" w:rsidR="003545C8" w:rsidRPr="00931D46" w:rsidRDefault="003545C8" w:rsidP="00594C79">
            <w:pPr>
              <w:rPr>
                <w:rFonts w:ascii="Arial" w:hAnsi="Arial" w:cs="Arial"/>
              </w:rPr>
            </w:pPr>
            <w:r w:rsidRPr="00931D46">
              <w:rPr>
                <w:rFonts w:ascii="Arial" w:hAnsi="Arial" w:cs="Arial"/>
              </w:rPr>
              <w:t>OFT</w:t>
            </w:r>
          </w:p>
        </w:tc>
        <w:tc>
          <w:tcPr>
            <w:tcW w:w="7088" w:type="dxa"/>
            <w:vAlign w:val="center"/>
          </w:tcPr>
          <w:p w14:paraId="4A4404C2" w14:textId="77777777" w:rsidR="003545C8" w:rsidRPr="00931D46" w:rsidRDefault="003545C8" w:rsidP="00594C79">
            <w:pPr>
              <w:pStyle w:val="TablaTexto"/>
              <w:spacing w:line="276" w:lineRule="auto"/>
              <w:rPr>
                <w:rFonts w:ascii="Arial" w:hAnsi="Arial" w:cs="Arial"/>
              </w:rPr>
            </w:pPr>
            <w:r w:rsidRPr="00931D46">
              <w:rPr>
                <w:rFonts w:ascii="Arial" w:hAnsi="Arial" w:cs="Arial"/>
              </w:rPr>
              <w:t>Extinta Oficina de Comercio Justo de Reino Unido (</w:t>
            </w:r>
            <w:r w:rsidRPr="00931D46">
              <w:rPr>
                <w:rFonts w:ascii="Arial" w:hAnsi="Arial" w:cs="Arial"/>
                <w:i/>
              </w:rPr>
              <w:t xml:space="preserve">Office </w:t>
            </w:r>
            <w:proofErr w:type="spellStart"/>
            <w:r w:rsidRPr="00931D46">
              <w:rPr>
                <w:rFonts w:ascii="Arial" w:hAnsi="Arial" w:cs="Arial"/>
                <w:i/>
              </w:rPr>
              <w:t>of</w:t>
            </w:r>
            <w:proofErr w:type="spellEnd"/>
            <w:r w:rsidRPr="00931D46">
              <w:rPr>
                <w:rFonts w:ascii="Arial" w:hAnsi="Arial" w:cs="Arial"/>
                <w:i/>
              </w:rPr>
              <w:t xml:space="preserve"> </w:t>
            </w:r>
            <w:proofErr w:type="spellStart"/>
            <w:r w:rsidRPr="00931D46">
              <w:rPr>
                <w:rFonts w:ascii="Arial" w:hAnsi="Arial" w:cs="Arial"/>
                <w:i/>
              </w:rPr>
              <w:t>Fair</w:t>
            </w:r>
            <w:proofErr w:type="spellEnd"/>
            <w:r w:rsidRPr="00931D46">
              <w:rPr>
                <w:rFonts w:ascii="Arial" w:hAnsi="Arial" w:cs="Arial"/>
                <w:i/>
              </w:rPr>
              <w:t xml:space="preserve"> Trading</w:t>
            </w:r>
            <w:r w:rsidRPr="00931D46">
              <w:rPr>
                <w:rFonts w:ascii="Arial" w:hAnsi="Arial" w:cs="Arial"/>
              </w:rPr>
              <w:t>, en inglés), ahora CMA.</w:t>
            </w:r>
          </w:p>
        </w:tc>
      </w:tr>
      <w:tr w:rsidR="003545C8" w:rsidRPr="00931D46" w14:paraId="1F3B6399" w14:textId="77777777" w:rsidTr="00594C79">
        <w:trPr>
          <w:trHeight w:val="301"/>
        </w:trPr>
        <w:tc>
          <w:tcPr>
            <w:tcW w:w="2410" w:type="dxa"/>
            <w:vAlign w:val="center"/>
          </w:tcPr>
          <w:p w14:paraId="366601B3" w14:textId="77777777" w:rsidR="003545C8" w:rsidRPr="00931D46" w:rsidRDefault="003545C8" w:rsidP="00594C79">
            <w:pPr>
              <w:pStyle w:val="TablaTexto"/>
              <w:spacing w:line="276" w:lineRule="auto"/>
              <w:rPr>
                <w:rFonts w:ascii="Arial" w:hAnsi="Arial" w:cs="Arial"/>
              </w:rPr>
            </w:pPr>
            <w:r w:rsidRPr="00931D46">
              <w:rPr>
                <w:rFonts w:ascii="Arial" w:hAnsi="Arial" w:cs="Arial"/>
              </w:rPr>
              <w:t>OTT</w:t>
            </w:r>
          </w:p>
        </w:tc>
        <w:tc>
          <w:tcPr>
            <w:tcW w:w="7088" w:type="dxa"/>
            <w:vAlign w:val="center"/>
          </w:tcPr>
          <w:p w14:paraId="025C0513" w14:textId="77777777" w:rsidR="003545C8" w:rsidRPr="00931D46" w:rsidRDefault="003545C8" w:rsidP="00594C79">
            <w:pPr>
              <w:pStyle w:val="TablaTexto"/>
              <w:spacing w:line="276" w:lineRule="auto"/>
              <w:rPr>
                <w:rFonts w:ascii="Arial" w:hAnsi="Arial" w:cs="Arial"/>
              </w:rPr>
            </w:pPr>
            <w:r w:rsidRPr="00931D46">
              <w:rPr>
                <w:rFonts w:ascii="Arial" w:hAnsi="Arial" w:cs="Arial"/>
              </w:rPr>
              <w:t>Servicios a través de internet (</w:t>
            </w:r>
            <w:proofErr w:type="spellStart"/>
            <w:r w:rsidRPr="00931D46">
              <w:rPr>
                <w:rFonts w:ascii="Arial" w:hAnsi="Arial" w:cs="Arial"/>
                <w:i/>
              </w:rPr>
              <w:t>Over</w:t>
            </w:r>
            <w:proofErr w:type="spellEnd"/>
            <w:r w:rsidRPr="00931D46">
              <w:rPr>
                <w:rFonts w:ascii="Arial" w:hAnsi="Arial" w:cs="Arial"/>
                <w:i/>
              </w:rPr>
              <w:t xml:space="preserve"> </w:t>
            </w:r>
            <w:proofErr w:type="spellStart"/>
            <w:r w:rsidRPr="00931D46">
              <w:rPr>
                <w:rFonts w:ascii="Arial" w:hAnsi="Arial" w:cs="Arial"/>
                <w:i/>
              </w:rPr>
              <w:t>The</w:t>
            </w:r>
            <w:proofErr w:type="spellEnd"/>
            <w:r w:rsidRPr="00931D46">
              <w:rPr>
                <w:rFonts w:ascii="Arial" w:hAnsi="Arial" w:cs="Arial"/>
                <w:i/>
              </w:rPr>
              <w:t xml:space="preserve"> Top</w:t>
            </w:r>
            <w:r w:rsidRPr="00931D46">
              <w:rPr>
                <w:rFonts w:ascii="Arial" w:hAnsi="Arial" w:cs="Arial"/>
              </w:rPr>
              <w:t>, en inglés).</w:t>
            </w:r>
          </w:p>
        </w:tc>
      </w:tr>
      <w:tr w:rsidR="003545C8" w:rsidRPr="00931D46" w14:paraId="6B6D4F9E" w14:textId="77777777" w:rsidTr="00594C79">
        <w:trPr>
          <w:trHeight w:val="301"/>
        </w:trPr>
        <w:tc>
          <w:tcPr>
            <w:tcW w:w="2410" w:type="dxa"/>
            <w:vAlign w:val="center"/>
          </w:tcPr>
          <w:p w14:paraId="4468B92E" w14:textId="77777777" w:rsidR="003545C8" w:rsidRPr="00931D46" w:rsidRDefault="003545C8" w:rsidP="00594C79">
            <w:pPr>
              <w:pStyle w:val="TablaTexto"/>
              <w:spacing w:line="276" w:lineRule="auto"/>
              <w:rPr>
                <w:rFonts w:ascii="Arial" w:hAnsi="Arial" w:cs="Arial"/>
              </w:rPr>
            </w:pPr>
            <w:r w:rsidRPr="00931D46">
              <w:rPr>
                <w:rFonts w:ascii="Arial" w:hAnsi="Arial" w:cs="Arial"/>
              </w:rPr>
              <w:t>PJF</w:t>
            </w:r>
          </w:p>
        </w:tc>
        <w:tc>
          <w:tcPr>
            <w:tcW w:w="7088" w:type="dxa"/>
            <w:vAlign w:val="center"/>
          </w:tcPr>
          <w:p w14:paraId="0094E6F7" w14:textId="77777777" w:rsidR="003545C8" w:rsidRPr="00931D46" w:rsidRDefault="003545C8" w:rsidP="00594C79">
            <w:pPr>
              <w:pStyle w:val="TablaTexto"/>
              <w:spacing w:line="276" w:lineRule="auto"/>
              <w:rPr>
                <w:rFonts w:ascii="Arial" w:hAnsi="Arial" w:cs="Arial"/>
              </w:rPr>
            </w:pPr>
            <w:r w:rsidRPr="00931D46">
              <w:rPr>
                <w:rFonts w:ascii="Arial" w:hAnsi="Arial" w:cs="Arial"/>
              </w:rPr>
              <w:t>Poder Judicial de la Federación.</w:t>
            </w:r>
          </w:p>
        </w:tc>
      </w:tr>
      <w:tr w:rsidR="003545C8" w:rsidRPr="00931D46" w14:paraId="203D15C7" w14:textId="77777777" w:rsidTr="00594C79">
        <w:trPr>
          <w:trHeight w:val="301"/>
        </w:trPr>
        <w:tc>
          <w:tcPr>
            <w:tcW w:w="2410" w:type="dxa"/>
            <w:vAlign w:val="center"/>
          </w:tcPr>
          <w:p w14:paraId="5B9461F3" w14:textId="77777777" w:rsidR="003545C8" w:rsidRPr="00931D46" w:rsidRDefault="003545C8" w:rsidP="00594C79">
            <w:pPr>
              <w:pStyle w:val="TablaTexto"/>
              <w:spacing w:line="276" w:lineRule="auto"/>
              <w:rPr>
                <w:rFonts w:ascii="Arial" w:hAnsi="Arial" w:cs="Arial"/>
              </w:rPr>
            </w:pPr>
            <w:r w:rsidRPr="00931D46">
              <w:rPr>
                <w:rFonts w:ascii="Arial" w:hAnsi="Arial" w:cs="Arial"/>
              </w:rPr>
              <w:t>PMR</w:t>
            </w:r>
          </w:p>
        </w:tc>
        <w:tc>
          <w:tcPr>
            <w:tcW w:w="7088" w:type="dxa"/>
            <w:vAlign w:val="center"/>
          </w:tcPr>
          <w:p w14:paraId="667E8EE7" w14:textId="77777777" w:rsidR="003545C8" w:rsidRPr="00931D46" w:rsidRDefault="003545C8" w:rsidP="00594C79">
            <w:pPr>
              <w:pStyle w:val="TablaTexto"/>
              <w:spacing w:line="276" w:lineRule="auto"/>
              <w:rPr>
                <w:rFonts w:ascii="Arial" w:hAnsi="Arial" w:cs="Arial"/>
              </w:rPr>
            </w:pPr>
            <w:r w:rsidRPr="00931D46">
              <w:rPr>
                <w:rFonts w:ascii="Arial" w:hAnsi="Arial" w:cs="Arial"/>
              </w:rPr>
              <w:t>Práctica monopólica relativa.</w:t>
            </w:r>
          </w:p>
        </w:tc>
      </w:tr>
      <w:tr w:rsidR="003545C8" w:rsidRPr="00931D46" w14:paraId="79E99615" w14:textId="77777777" w:rsidTr="00594C79">
        <w:trPr>
          <w:trHeight w:val="301"/>
        </w:trPr>
        <w:tc>
          <w:tcPr>
            <w:tcW w:w="2410" w:type="dxa"/>
            <w:vAlign w:val="center"/>
          </w:tcPr>
          <w:p w14:paraId="62792F4F" w14:textId="77777777" w:rsidR="003545C8" w:rsidRPr="00931D46" w:rsidRDefault="003545C8" w:rsidP="00594C79">
            <w:pPr>
              <w:pStyle w:val="TablaTexto"/>
              <w:spacing w:line="276" w:lineRule="auto"/>
              <w:rPr>
                <w:rFonts w:ascii="Arial" w:hAnsi="Arial" w:cs="Arial"/>
              </w:rPr>
            </w:pPr>
            <w:r>
              <w:rPr>
                <w:rFonts w:ascii="Arial" w:hAnsi="Arial" w:cs="Arial"/>
              </w:rPr>
              <w:t>Producto</w:t>
            </w:r>
          </w:p>
        </w:tc>
        <w:tc>
          <w:tcPr>
            <w:tcW w:w="7088" w:type="dxa"/>
            <w:vAlign w:val="center"/>
          </w:tcPr>
          <w:p w14:paraId="5E18D67E" w14:textId="77777777" w:rsidR="003545C8" w:rsidRPr="00931D46" w:rsidRDefault="003545C8" w:rsidP="00594C79">
            <w:pPr>
              <w:pStyle w:val="TablaTexto"/>
              <w:spacing w:line="276" w:lineRule="auto"/>
              <w:rPr>
                <w:rFonts w:ascii="Arial" w:hAnsi="Arial" w:cs="Arial"/>
              </w:rPr>
            </w:pPr>
            <w:r w:rsidRPr="00D03166">
              <w:rPr>
                <w:rFonts w:ascii="Arial" w:hAnsi="Arial" w:cs="Arial"/>
              </w:rPr>
              <w:t>Se refiere</w:t>
            </w:r>
            <w:r>
              <w:rPr>
                <w:rFonts w:ascii="Arial" w:hAnsi="Arial" w:cs="Arial"/>
              </w:rPr>
              <w:t>, indistintamente,</w:t>
            </w:r>
            <w:r w:rsidRPr="00D03166">
              <w:rPr>
                <w:rFonts w:ascii="Arial" w:hAnsi="Arial" w:cs="Arial"/>
              </w:rPr>
              <w:t xml:space="preserve"> a bien</w:t>
            </w:r>
            <w:r>
              <w:rPr>
                <w:rFonts w:ascii="Arial" w:hAnsi="Arial" w:cs="Arial"/>
              </w:rPr>
              <w:t>(</w:t>
            </w:r>
            <w:r w:rsidRPr="00D03166">
              <w:rPr>
                <w:rFonts w:ascii="Arial" w:hAnsi="Arial" w:cs="Arial"/>
              </w:rPr>
              <w:t>es</w:t>
            </w:r>
            <w:r>
              <w:rPr>
                <w:rFonts w:ascii="Arial" w:hAnsi="Arial" w:cs="Arial"/>
              </w:rPr>
              <w:t>)</w:t>
            </w:r>
            <w:r w:rsidRPr="00D03166">
              <w:rPr>
                <w:rFonts w:ascii="Arial" w:hAnsi="Arial" w:cs="Arial"/>
              </w:rPr>
              <w:t xml:space="preserve"> o servicio</w:t>
            </w:r>
            <w:r>
              <w:rPr>
                <w:rFonts w:ascii="Arial" w:hAnsi="Arial" w:cs="Arial"/>
              </w:rPr>
              <w:t>(</w:t>
            </w:r>
            <w:r w:rsidRPr="00D03166">
              <w:rPr>
                <w:rFonts w:ascii="Arial" w:hAnsi="Arial" w:cs="Arial"/>
              </w:rPr>
              <w:t>s</w:t>
            </w:r>
            <w:r>
              <w:rPr>
                <w:rFonts w:ascii="Arial" w:hAnsi="Arial" w:cs="Arial"/>
              </w:rPr>
              <w:t>)</w:t>
            </w:r>
            <w:r w:rsidRPr="00D03166">
              <w:rPr>
                <w:rFonts w:ascii="Arial" w:hAnsi="Arial" w:cs="Arial"/>
              </w:rPr>
              <w:t>.</w:t>
            </w:r>
          </w:p>
        </w:tc>
      </w:tr>
      <w:tr w:rsidR="003545C8" w:rsidRPr="00FD6552" w14:paraId="1C731076" w14:textId="77777777" w:rsidTr="00594C79">
        <w:trPr>
          <w:trHeight w:val="301"/>
        </w:trPr>
        <w:tc>
          <w:tcPr>
            <w:tcW w:w="2410" w:type="dxa"/>
            <w:vAlign w:val="center"/>
          </w:tcPr>
          <w:p w14:paraId="112F9C91" w14:textId="77777777" w:rsidR="003545C8" w:rsidRPr="00931D46" w:rsidRDefault="003545C8" w:rsidP="00594C79">
            <w:pPr>
              <w:pStyle w:val="TablaTexto"/>
              <w:spacing w:line="276" w:lineRule="auto"/>
              <w:rPr>
                <w:rFonts w:ascii="Arial" w:hAnsi="Arial" w:cs="Arial"/>
              </w:rPr>
            </w:pPr>
            <w:r w:rsidRPr="00931D46">
              <w:rPr>
                <w:rFonts w:ascii="Arial" w:hAnsi="Arial" w:cs="Arial"/>
              </w:rPr>
              <w:t>Prueba SSNIP</w:t>
            </w:r>
          </w:p>
        </w:tc>
        <w:tc>
          <w:tcPr>
            <w:tcW w:w="7088" w:type="dxa"/>
            <w:vAlign w:val="center"/>
          </w:tcPr>
          <w:p w14:paraId="6A9620BE" w14:textId="77777777" w:rsidR="003545C8" w:rsidRPr="00931D46" w:rsidRDefault="003545C8" w:rsidP="00594C79">
            <w:pPr>
              <w:pStyle w:val="TablaTexto"/>
              <w:spacing w:line="276" w:lineRule="auto"/>
              <w:rPr>
                <w:rFonts w:ascii="Arial" w:hAnsi="Arial" w:cs="Arial"/>
                <w:lang w:val="en-US"/>
              </w:rPr>
            </w:pPr>
            <w:proofErr w:type="spellStart"/>
            <w:r w:rsidRPr="00931D46">
              <w:rPr>
                <w:rFonts w:ascii="Arial" w:hAnsi="Arial" w:cs="Arial"/>
                <w:lang w:val="en-US"/>
              </w:rPr>
              <w:t>Prueba</w:t>
            </w:r>
            <w:proofErr w:type="spellEnd"/>
            <w:r w:rsidRPr="00931D46">
              <w:rPr>
                <w:rFonts w:ascii="Arial" w:hAnsi="Arial" w:cs="Arial"/>
                <w:lang w:val="en-US"/>
              </w:rPr>
              <w:t xml:space="preserve"> del </w:t>
            </w:r>
            <w:proofErr w:type="spellStart"/>
            <w:r w:rsidRPr="00931D46">
              <w:rPr>
                <w:rFonts w:ascii="Arial" w:hAnsi="Arial" w:cs="Arial"/>
                <w:lang w:val="en-US"/>
              </w:rPr>
              <w:t>monopolista</w:t>
            </w:r>
            <w:proofErr w:type="spellEnd"/>
            <w:r w:rsidRPr="00931D46">
              <w:rPr>
                <w:rFonts w:ascii="Arial" w:hAnsi="Arial" w:cs="Arial"/>
                <w:lang w:val="en-US"/>
              </w:rPr>
              <w:t xml:space="preserve"> </w:t>
            </w:r>
            <w:proofErr w:type="spellStart"/>
            <w:r w:rsidRPr="00931D46">
              <w:rPr>
                <w:rFonts w:ascii="Arial" w:hAnsi="Arial" w:cs="Arial"/>
                <w:lang w:val="en-US"/>
              </w:rPr>
              <w:t>hipotético</w:t>
            </w:r>
            <w:proofErr w:type="spellEnd"/>
            <w:r w:rsidRPr="00931D46">
              <w:rPr>
                <w:rFonts w:ascii="Arial" w:hAnsi="Arial" w:cs="Arial"/>
                <w:lang w:val="en-US"/>
              </w:rPr>
              <w:t xml:space="preserve"> (</w:t>
            </w:r>
            <w:r w:rsidRPr="00931D46">
              <w:rPr>
                <w:rFonts w:ascii="Arial" w:hAnsi="Arial" w:cs="Arial"/>
                <w:i/>
                <w:lang w:val="en-US"/>
              </w:rPr>
              <w:t>Small but Significant Non-Transitory Increase in Price Test</w:t>
            </w:r>
            <w:r w:rsidRPr="00931D46">
              <w:rPr>
                <w:rFonts w:ascii="Arial" w:hAnsi="Arial" w:cs="Arial"/>
                <w:lang w:val="en-US"/>
              </w:rPr>
              <w:t xml:space="preserve">, </w:t>
            </w:r>
            <w:proofErr w:type="spellStart"/>
            <w:r w:rsidRPr="00931D46">
              <w:rPr>
                <w:rFonts w:ascii="Arial" w:hAnsi="Arial" w:cs="Arial"/>
                <w:lang w:val="en-US"/>
              </w:rPr>
              <w:t>en</w:t>
            </w:r>
            <w:proofErr w:type="spellEnd"/>
            <w:r w:rsidRPr="00931D46">
              <w:rPr>
                <w:rFonts w:ascii="Arial" w:hAnsi="Arial" w:cs="Arial"/>
                <w:lang w:val="en-US"/>
              </w:rPr>
              <w:t xml:space="preserve"> </w:t>
            </w:r>
            <w:proofErr w:type="spellStart"/>
            <w:r w:rsidRPr="00931D46">
              <w:rPr>
                <w:rFonts w:ascii="Arial" w:hAnsi="Arial" w:cs="Arial"/>
                <w:lang w:val="en-US"/>
              </w:rPr>
              <w:t>inglés</w:t>
            </w:r>
            <w:proofErr w:type="spellEnd"/>
            <w:r w:rsidRPr="00931D46">
              <w:rPr>
                <w:rFonts w:ascii="Arial" w:hAnsi="Arial" w:cs="Arial"/>
                <w:lang w:val="en-US"/>
              </w:rPr>
              <w:t>).</w:t>
            </w:r>
          </w:p>
        </w:tc>
      </w:tr>
      <w:tr w:rsidR="003545C8" w:rsidRPr="00931D46" w14:paraId="510F6202" w14:textId="77777777" w:rsidTr="00594C79">
        <w:trPr>
          <w:trHeight w:val="301"/>
        </w:trPr>
        <w:tc>
          <w:tcPr>
            <w:tcW w:w="2410" w:type="dxa"/>
            <w:vAlign w:val="center"/>
          </w:tcPr>
          <w:p w14:paraId="054B46E1" w14:textId="77777777" w:rsidR="003545C8" w:rsidRPr="00931D46" w:rsidRDefault="003545C8" w:rsidP="00594C79">
            <w:pPr>
              <w:pStyle w:val="TablaTexto"/>
              <w:spacing w:line="276" w:lineRule="auto"/>
              <w:rPr>
                <w:rFonts w:ascii="Arial" w:hAnsi="Arial" w:cs="Arial"/>
              </w:rPr>
            </w:pPr>
            <w:r w:rsidRPr="00931D46">
              <w:rPr>
                <w:rFonts w:ascii="Arial" w:hAnsi="Arial" w:cs="Arial"/>
              </w:rPr>
              <w:t>PSM</w:t>
            </w:r>
          </w:p>
        </w:tc>
        <w:tc>
          <w:tcPr>
            <w:tcW w:w="7088" w:type="dxa"/>
            <w:vAlign w:val="center"/>
          </w:tcPr>
          <w:p w14:paraId="33EAC835" w14:textId="77777777" w:rsidR="003545C8" w:rsidRPr="00931D46" w:rsidRDefault="003545C8" w:rsidP="00594C79">
            <w:pPr>
              <w:pStyle w:val="TablaTexto"/>
              <w:spacing w:line="276" w:lineRule="auto"/>
              <w:rPr>
                <w:rFonts w:ascii="Arial" w:hAnsi="Arial" w:cs="Arial"/>
              </w:rPr>
            </w:pPr>
            <w:r w:rsidRPr="00931D46">
              <w:rPr>
                <w:rFonts w:ascii="Arial" w:hAnsi="Arial" w:cs="Arial"/>
              </w:rPr>
              <w:t>Poder sustancial de mercado.</w:t>
            </w:r>
          </w:p>
        </w:tc>
      </w:tr>
      <w:tr w:rsidR="003545C8" w:rsidRPr="00931D46" w14:paraId="0A35CCD7" w14:textId="77777777" w:rsidTr="00594C79">
        <w:trPr>
          <w:trHeight w:val="301"/>
        </w:trPr>
        <w:tc>
          <w:tcPr>
            <w:tcW w:w="2410" w:type="dxa"/>
            <w:vAlign w:val="center"/>
          </w:tcPr>
          <w:p w14:paraId="562FCEE0" w14:textId="77777777" w:rsidR="003545C8" w:rsidRPr="00931D46" w:rsidRDefault="003545C8" w:rsidP="00594C79">
            <w:pPr>
              <w:pStyle w:val="TablaTexto"/>
              <w:spacing w:line="276" w:lineRule="auto"/>
              <w:rPr>
                <w:rFonts w:ascii="Arial" w:hAnsi="Arial" w:cs="Arial"/>
              </w:rPr>
            </w:pPr>
            <w:r w:rsidRPr="00931D46">
              <w:rPr>
                <w:rFonts w:ascii="Arial" w:hAnsi="Arial" w:cs="Arial"/>
              </w:rPr>
              <w:t>Radio Sonora</w:t>
            </w:r>
          </w:p>
        </w:tc>
        <w:tc>
          <w:tcPr>
            <w:tcW w:w="7088" w:type="dxa"/>
            <w:vAlign w:val="center"/>
          </w:tcPr>
          <w:p w14:paraId="032053A7" w14:textId="77777777" w:rsidR="003545C8" w:rsidRPr="00931D46" w:rsidRDefault="003545C8" w:rsidP="00594C79">
            <w:pPr>
              <w:autoSpaceDE w:val="0"/>
              <w:autoSpaceDN w:val="0"/>
              <w:adjustRightInd w:val="0"/>
              <w:jc w:val="both"/>
              <w:rPr>
                <w:rFonts w:ascii="Arial" w:hAnsi="Arial" w:cs="Arial"/>
              </w:rPr>
            </w:pPr>
            <w:r w:rsidRPr="00931D46">
              <w:rPr>
                <w:rFonts w:ascii="Arial" w:hAnsi="Arial" w:cs="Arial"/>
              </w:rPr>
              <w:t>Servicio de radiodifusión sonora.</w:t>
            </w:r>
          </w:p>
        </w:tc>
      </w:tr>
      <w:tr w:rsidR="003545C8" w:rsidRPr="00931D46" w14:paraId="7447BEA8" w14:textId="77777777" w:rsidTr="00594C79">
        <w:trPr>
          <w:trHeight w:val="301"/>
        </w:trPr>
        <w:tc>
          <w:tcPr>
            <w:tcW w:w="2410" w:type="dxa"/>
            <w:vAlign w:val="center"/>
          </w:tcPr>
          <w:p w14:paraId="4D001D2A" w14:textId="77777777" w:rsidR="003545C8" w:rsidRPr="00931D46" w:rsidRDefault="003545C8" w:rsidP="00594C79">
            <w:pPr>
              <w:pStyle w:val="TablaTexto"/>
              <w:spacing w:line="276" w:lineRule="auto"/>
              <w:rPr>
                <w:rFonts w:ascii="Arial" w:hAnsi="Arial" w:cs="Arial"/>
              </w:rPr>
            </w:pPr>
            <w:r w:rsidRPr="00931D46">
              <w:rPr>
                <w:rFonts w:ascii="Arial" w:hAnsi="Arial" w:cs="Arial"/>
              </w:rPr>
              <w:t>RPT</w:t>
            </w:r>
          </w:p>
        </w:tc>
        <w:tc>
          <w:tcPr>
            <w:tcW w:w="7088" w:type="dxa"/>
            <w:vAlign w:val="center"/>
          </w:tcPr>
          <w:p w14:paraId="186BA28D" w14:textId="77777777" w:rsidR="003545C8" w:rsidRPr="00931D46" w:rsidRDefault="003545C8" w:rsidP="00594C79">
            <w:pPr>
              <w:autoSpaceDE w:val="0"/>
              <w:autoSpaceDN w:val="0"/>
              <w:adjustRightInd w:val="0"/>
              <w:jc w:val="both"/>
              <w:rPr>
                <w:rFonts w:ascii="Arial" w:hAnsi="Arial" w:cs="Arial"/>
              </w:rPr>
            </w:pPr>
            <w:r w:rsidRPr="00931D46">
              <w:rPr>
                <w:rFonts w:ascii="Arial" w:hAnsi="Arial" w:cs="Arial"/>
              </w:rPr>
              <w:t>Red Pública de Telecomunicaciones.</w:t>
            </w:r>
          </w:p>
        </w:tc>
      </w:tr>
      <w:tr w:rsidR="003545C8" w:rsidRPr="00931D46" w14:paraId="3C1A183B" w14:textId="77777777" w:rsidTr="00594C79">
        <w:trPr>
          <w:trHeight w:val="301"/>
        </w:trPr>
        <w:tc>
          <w:tcPr>
            <w:tcW w:w="2410" w:type="dxa"/>
            <w:vAlign w:val="center"/>
          </w:tcPr>
          <w:p w14:paraId="7F6A1F26" w14:textId="77777777" w:rsidR="003545C8" w:rsidRPr="00931D46" w:rsidRDefault="003545C8" w:rsidP="00594C79">
            <w:pPr>
              <w:pStyle w:val="TablaTexto"/>
              <w:spacing w:line="276" w:lineRule="auto"/>
              <w:rPr>
                <w:rFonts w:ascii="Arial" w:hAnsi="Arial" w:cs="Arial"/>
              </w:rPr>
            </w:pPr>
            <w:r w:rsidRPr="00931D46">
              <w:rPr>
                <w:rFonts w:ascii="Arial" w:hAnsi="Arial" w:cs="Arial"/>
              </w:rPr>
              <w:t>RTR</w:t>
            </w:r>
          </w:p>
        </w:tc>
        <w:tc>
          <w:tcPr>
            <w:tcW w:w="7088" w:type="dxa"/>
            <w:vAlign w:val="center"/>
          </w:tcPr>
          <w:p w14:paraId="2539F934" w14:textId="77777777" w:rsidR="003545C8" w:rsidRPr="00931D46" w:rsidRDefault="003545C8" w:rsidP="00594C79">
            <w:pPr>
              <w:autoSpaceDE w:val="0"/>
              <w:autoSpaceDN w:val="0"/>
              <w:adjustRightInd w:val="0"/>
              <w:jc w:val="both"/>
              <w:rPr>
                <w:rFonts w:ascii="Arial" w:hAnsi="Arial" w:cs="Arial"/>
              </w:rPr>
            </w:pPr>
            <w:r w:rsidRPr="00931D46">
              <w:rPr>
                <w:rFonts w:ascii="Arial" w:hAnsi="Arial" w:cs="Arial"/>
              </w:rPr>
              <w:t>Autoridad Reguladora Austriaca de Radiodifusión y Telecomunicaciones (</w:t>
            </w:r>
            <w:proofErr w:type="spellStart"/>
            <w:r w:rsidRPr="00931D46">
              <w:rPr>
                <w:rFonts w:ascii="Arial" w:hAnsi="Arial" w:cs="Arial"/>
                <w:i/>
              </w:rPr>
              <w:t>Austrian</w:t>
            </w:r>
            <w:proofErr w:type="spellEnd"/>
            <w:r w:rsidRPr="00931D46">
              <w:rPr>
                <w:rFonts w:ascii="Arial" w:hAnsi="Arial" w:cs="Arial"/>
                <w:i/>
              </w:rPr>
              <w:t xml:space="preserve"> </w:t>
            </w:r>
            <w:proofErr w:type="spellStart"/>
            <w:r w:rsidRPr="00931D46">
              <w:rPr>
                <w:rFonts w:ascii="Arial" w:hAnsi="Arial" w:cs="Arial"/>
                <w:i/>
              </w:rPr>
              <w:t>Regulatory</w:t>
            </w:r>
            <w:proofErr w:type="spellEnd"/>
            <w:r w:rsidRPr="00931D46">
              <w:rPr>
                <w:rFonts w:ascii="Arial" w:hAnsi="Arial" w:cs="Arial"/>
                <w:i/>
              </w:rPr>
              <w:t xml:space="preserve"> </w:t>
            </w:r>
            <w:proofErr w:type="spellStart"/>
            <w:r w:rsidRPr="00931D46">
              <w:rPr>
                <w:rFonts w:ascii="Arial" w:hAnsi="Arial" w:cs="Arial"/>
                <w:i/>
              </w:rPr>
              <w:t>Authority</w:t>
            </w:r>
            <w:proofErr w:type="spellEnd"/>
            <w:r w:rsidRPr="00931D46">
              <w:rPr>
                <w:rFonts w:ascii="Arial" w:hAnsi="Arial" w:cs="Arial"/>
                <w:i/>
              </w:rPr>
              <w:t xml:space="preserve"> </w:t>
            </w:r>
            <w:proofErr w:type="spellStart"/>
            <w:r w:rsidRPr="00931D46">
              <w:rPr>
                <w:rFonts w:ascii="Arial" w:hAnsi="Arial" w:cs="Arial"/>
                <w:i/>
              </w:rPr>
              <w:t>for</w:t>
            </w:r>
            <w:proofErr w:type="spellEnd"/>
            <w:r w:rsidRPr="00931D46">
              <w:rPr>
                <w:rFonts w:ascii="Arial" w:hAnsi="Arial" w:cs="Arial"/>
                <w:i/>
              </w:rPr>
              <w:t xml:space="preserve"> </w:t>
            </w:r>
            <w:proofErr w:type="spellStart"/>
            <w:r w:rsidRPr="00931D46">
              <w:rPr>
                <w:rFonts w:ascii="Arial" w:hAnsi="Arial" w:cs="Arial"/>
                <w:i/>
              </w:rPr>
              <w:t>Broadcasting</w:t>
            </w:r>
            <w:proofErr w:type="spellEnd"/>
            <w:r w:rsidRPr="00931D46">
              <w:rPr>
                <w:rFonts w:ascii="Arial" w:hAnsi="Arial" w:cs="Arial"/>
                <w:i/>
              </w:rPr>
              <w:t xml:space="preserve"> and </w:t>
            </w:r>
            <w:proofErr w:type="spellStart"/>
            <w:r w:rsidRPr="00931D46">
              <w:rPr>
                <w:rFonts w:ascii="Arial" w:hAnsi="Arial" w:cs="Arial"/>
                <w:i/>
              </w:rPr>
              <w:t>Telecommunications</w:t>
            </w:r>
            <w:proofErr w:type="spellEnd"/>
            <w:r w:rsidRPr="00931D46">
              <w:rPr>
                <w:rFonts w:ascii="Arial" w:hAnsi="Arial" w:cs="Arial"/>
              </w:rPr>
              <w:t>, en inglés).</w:t>
            </w:r>
          </w:p>
        </w:tc>
      </w:tr>
      <w:tr w:rsidR="003545C8" w:rsidRPr="00931D46" w14:paraId="1DF49033" w14:textId="77777777" w:rsidTr="00594C79">
        <w:trPr>
          <w:trHeight w:val="301"/>
        </w:trPr>
        <w:tc>
          <w:tcPr>
            <w:tcW w:w="2410" w:type="dxa"/>
            <w:vAlign w:val="center"/>
          </w:tcPr>
          <w:p w14:paraId="50206F31" w14:textId="77777777" w:rsidR="003545C8" w:rsidRPr="00931D46" w:rsidRDefault="003545C8" w:rsidP="00594C79">
            <w:pPr>
              <w:pStyle w:val="TablaTexto"/>
              <w:spacing w:line="276" w:lineRule="auto"/>
              <w:rPr>
                <w:rFonts w:ascii="Arial" w:hAnsi="Arial" w:cs="Arial"/>
              </w:rPr>
            </w:pPr>
            <w:r w:rsidRPr="00931D46">
              <w:rPr>
                <w:rFonts w:ascii="Arial" w:hAnsi="Arial" w:cs="Arial"/>
              </w:rPr>
              <w:t>SBAF</w:t>
            </w:r>
          </w:p>
        </w:tc>
        <w:tc>
          <w:tcPr>
            <w:tcW w:w="7088" w:type="dxa"/>
            <w:vAlign w:val="center"/>
          </w:tcPr>
          <w:p w14:paraId="075689E3" w14:textId="77777777" w:rsidR="003545C8" w:rsidRPr="00931D46" w:rsidRDefault="003545C8" w:rsidP="00594C79">
            <w:pPr>
              <w:autoSpaceDE w:val="0"/>
              <w:autoSpaceDN w:val="0"/>
              <w:adjustRightInd w:val="0"/>
              <w:jc w:val="both"/>
              <w:rPr>
                <w:rFonts w:ascii="Arial" w:hAnsi="Arial" w:cs="Arial"/>
              </w:rPr>
            </w:pPr>
            <w:r w:rsidRPr="00931D46">
              <w:rPr>
                <w:rFonts w:ascii="Arial" w:hAnsi="Arial" w:cs="Arial"/>
              </w:rPr>
              <w:t>Servicio de acceso a Internet de Banda Ancha Fija.</w:t>
            </w:r>
          </w:p>
        </w:tc>
      </w:tr>
      <w:tr w:rsidR="003545C8" w:rsidRPr="00931D46" w14:paraId="03CF786C" w14:textId="77777777" w:rsidTr="00594C79">
        <w:trPr>
          <w:trHeight w:val="301"/>
        </w:trPr>
        <w:tc>
          <w:tcPr>
            <w:tcW w:w="2410" w:type="dxa"/>
            <w:vAlign w:val="center"/>
          </w:tcPr>
          <w:p w14:paraId="4A4CB9FC" w14:textId="77777777" w:rsidR="003545C8" w:rsidRPr="00931D46" w:rsidRDefault="003545C8" w:rsidP="00594C79">
            <w:pPr>
              <w:rPr>
                <w:rFonts w:ascii="Arial" w:hAnsi="Arial" w:cs="Arial"/>
              </w:rPr>
            </w:pPr>
            <w:r w:rsidRPr="00931D46">
              <w:rPr>
                <w:rFonts w:ascii="Arial" w:hAnsi="Arial" w:cs="Arial"/>
              </w:rPr>
              <w:t>SCJN</w:t>
            </w:r>
          </w:p>
        </w:tc>
        <w:tc>
          <w:tcPr>
            <w:tcW w:w="7088" w:type="dxa"/>
            <w:vAlign w:val="center"/>
          </w:tcPr>
          <w:p w14:paraId="7C87E0FE" w14:textId="77777777" w:rsidR="003545C8" w:rsidRPr="00931D46" w:rsidRDefault="003545C8" w:rsidP="00594C79">
            <w:pPr>
              <w:jc w:val="both"/>
              <w:rPr>
                <w:rFonts w:ascii="Arial" w:hAnsi="Arial" w:cs="Arial"/>
              </w:rPr>
            </w:pPr>
            <w:r w:rsidRPr="00931D46">
              <w:rPr>
                <w:rFonts w:ascii="Arial" w:hAnsi="Arial" w:cs="Arial"/>
              </w:rPr>
              <w:t>Suprema Corte de Justicia de la Nación.</w:t>
            </w:r>
          </w:p>
        </w:tc>
      </w:tr>
      <w:tr w:rsidR="003545C8" w:rsidRPr="00931D46" w14:paraId="31875D5E" w14:textId="77777777" w:rsidTr="00594C79">
        <w:trPr>
          <w:trHeight w:val="301"/>
        </w:trPr>
        <w:tc>
          <w:tcPr>
            <w:tcW w:w="2410" w:type="dxa"/>
            <w:vAlign w:val="center"/>
          </w:tcPr>
          <w:p w14:paraId="494B7C5C" w14:textId="77777777" w:rsidR="003545C8" w:rsidRPr="00931D46" w:rsidRDefault="003545C8" w:rsidP="00594C79">
            <w:pPr>
              <w:pStyle w:val="TablaTexto"/>
              <w:spacing w:line="276" w:lineRule="auto"/>
              <w:rPr>
                <w:rFonts w:ascii="Arial" w:hAnsi="Arial" w:cs="Arial"/>
              </w:rPr>
            </w:pPr>
            <w:r w:rsidRPr="00931D46">
              <w:rPr>
                <w:rFonts w:ascii="Arial" w:hAnsi="Arial" w:cs="Arial"/>
              </w:rPr>
              <w:t>STAR</w:t>
            </w:r>
          </w:p>
        </w:tc>
        <w:tc>
          <w:tcPr>
            <w:tcW w:w="7088" w:type="dxa"/>
            <w:vAlign w:val="center"/>
          </w:tcPr>
          <w:p w14:paraId="6FEEA6F1" w14:textId="77777777" w:rsidR="003545C8" w:rsidRPr="00931D46" w:rsidRDefault="003545C8" w:rsidP="00594C79">
            <w:pPr>
              <w:pStyle w:val="TablaTexto"/>
              <w:spacing w:line="276" w:lineRule="auto"/>
              <w:rPr>
                <w:rFonts w:ascii="Arial" w:hAnsi="Arial" w:cs="Arial"/>
              </w:rPr>
            </w:pPr>
            <w:r w:rsidRPr="00931D46">
              <w:rPr>
                <w:rFonts w:ascii="Arial" w:hAnsi="Arial" w:cs="Arial"/>
              </w:rPr>
              <w:t>Servicio de Televisión y Audio Restringidos.</w:t>
            </w:r>
          </w:p>
        </w:tc>
      </w:tr>
      <w:tr w:rsidR="003545C8" w:rsidRPr="00931D46" w14:paraId="6B1E6154" w14:textId="77777777" w:rsidTr="00594C79">
        <w:trPr>
          <w:trHeight w:val="301"/>
        </w:trPr>
        <w:tc>
          <w:tcPr>
            <w:tcW w:w="2410" w:type="dxa"/>
            <w:vAlign w:val="center"/>
          </w:tcPr>
          <w:p w14:paraId="3115B5B1" w14:textId="77777777" w:rsidR="003545C8" w:rsidRPr="00931D46" w:rsidRDefault="003545C8" w:rsidP="00594C79">
            <w:pPr>
              <w:pStyle w:val="TablaTexto"/>
              <w:spacing w:line="276" w:lineRule="auto"/>
              <w:rPr>
                <w:rFonts w:ascii="Arial" w:hAnsi="Arial" w:cs="Arial"/>
              </w:rPr>
            </w:pPr>
            <w:r w:rsidRPr="00931D46">
              <w:rPr>
                <w:rFonts w:ascii="Arial" w:hAnsi="Arial" w:cs="Arial"/>
              </w:rPr>
              <w:t>STF</w:t>
            </w:r>
          </w:p>
        </w:tc>
        <w:tc>
          <w:tcPr>
            <w:tcW w:w="7088" w:type="dxa"/>
            <w:vAlign w:val="center"/>
          </w:tcPr>
          <w:p w14:paraId="28E81946" w14:textId="77777777" w:rsidR="003545C8" w:rsidRPr="00931D46" w:rsidRDefault="003545C8" w:rsidP="00594C79">
            <w:pPr>
              <w:pStyle w:val="TablaTexto"/>
              <w:spacing w:line="276" w:lineRule="auto"/>
              <w:rPr>
                <w:rFonts w:ascii="Arial" w:hAnsi="Arial" w:cs="Arial"/>
              </w:rPr>
            </w:pPr>
            <w:r w:rsidRPr="00931D46">
              <w:rPr>
                <w:rFonts w:ascii="Arial" w:hAnsi="Arial" w:cs="Arial"/>
              </w:rPr>
              <w:t>Servicio de Telefonía Fija.</w:t>
            </w:r>
          </w:p>
        </w:tc>
      </w:tr>
      <w:tr w:rsidR="003545C8" w:rsidRPr="00931D46" w14:paraId="49B48358" w14:textId="77777777" w:rsidTr="00594C79">
        <w:trPr>
          <w:trHeight w:val="301"/>
        </w:trPr>
        <w:tc>
          <w:tcPr>
            <w:tcW w:w="2410" w:type="dxa"/>
            <w:vAlign w:val="center"/>
          </w:tcPr>
          <w:p w14:paraId="0788B7A0" w14:textId="77777777" w:rsidR="003545C8" w:rsidRPr="00931D46" w:rsidRDefault="003545C8" w:rsidP="00594C79">
            <w:pPr>
              <w:pStyle w:val="TablaTexto"/>
              <w:spacing w:line="276" w:lineRule="auto"/>
              <w:rPr>
                <w:rFonts w:ascii="Arial" w:hAnsi="Arial" w:cs="Arial"/>
              </w:rPr>
            </w:pPr>
            <w:r w:rsidRPr="00931D46">
              <w:rPr>
                <w:rFonts w:ascii="Arial" w:hAnsi="Arial" w:cs="Arial"/>
              </w:rPr>
              <w:t>TV Abierta</w:t>
            </w:r>
          </w:p>
        </w:tc>
        <w:tc>
          <w:tcPr>
            <w:tcW w:w="7088" w:type="dxa"/>
            <w:vAlign w:val="center"/>
          </w:tcPr>
          <w:p w14:paraId="22F91C04" w14:textId="77777777" w:rsidR="003545C8" w:rsidRPr="00931D46" w:rsidRDefault="003545C8" w:rsidP="00594C79">
            <w:pPr>
              <w:pStyle w:val="TablaTexto"/>
              <w:rPr>
                <w:rFonts w:ascii="Arial" w:hAnsi="Arial" w:cs="Arial"/>
              </w:rPr>
            </w:pPr>
            <w:r w:rsidRPr="00931D46">
              <w:rPr>
                <w:rFonts w:ascii="Arial" w:hAnsi="Arial" w:cs="Arial"/>
              </w:rPr>
              <w:t>Servicio de televisión radiodifundida.</w:t>
            </w:r>
          </w:p>
        </w:tc>
      </w:tr>
      <w:tr w:rsidR="003545C8" w:rsidRPr="00931D46" w14:paraId="63C7146E" w14:textId="77777777" w:rsidTr="00594C79">
        <w:trPr>
          <w:trHeight w:val="301"/>
        </w:trPr>
        <w:tc>
          <w:tcPr>
            <w:tcW w:w="2410" w:type="dxa"/>
            <w:vAlign w:val="center"/>
          </w:tcPr>
          <w:p w14:paraId="2D1FA228" w14:textId="77777777" w:rsidR="003545C8" w:rsidRPr="00931D46" w:rsidRDefault="003545C8" w:rsidP="00594C79">
            <w:pPr>
              <w:pStyle w:val="TablaTexto"/>
              <w:spacing w:line="276" w:lineRule="auto"/>
              <w:rPr>
                <w:rFonts w:ascii="Arial" w:hAnsi="Arial" w:cs="Arial"/>
              </w:rPr>
            </w:pPr>
            <w:proofErr w:type="spellStart"/>
            <w:r w:rsidRPr="00931D46">
              <w:rPr>
                <w:rFonts w:ascii="Arial" w:hAnsi="Arial" w:cs="Arial"/>
              </w:rPr>
              <w:t>TyR</w:t>
            </w:r>
            <w:proofErr w:type="spellEnd"/>
          </w:p>
        </w:tc>
        <w:tc>
          <w:tcPr>
            <w:tcW w:w="7088" w:type="dxa"/>
            <w:vAlign w:val="center"/>
          </w:tcPr>
          <w:p w14:paraId="319CB48B" w14:textId="77777777" w:rsidR="003545C8" w:rsidRPr="00931D46" w:rsidRDefault="003545C8" w:rsidP="00594C79">
            <w:pPr>
              <w:pStyle w:val="TablaTexto"/>
              <w:spacing w:line="276" w:lineRule="auto"/>
              <w:rPr>
                <w:rFonts w:ascii="Arial" w:hAnsi="Arial" w:cs="Arial"/>
              </w:rPr>
            </w:pPr>
            <w:r w:rsidRPr="00931D46">
              <w:rPr>
                <w:rFonts w:ascii="Arial" w:hAnsi="Arial" w:cs="Arial"/>
              </w:rPr>
              <w:t>Telecomunicaciones y Radiodifusión.</w:t>
            </w:r>
          </w:p>
        </w:tc>
      </w:tr>
      <w:tr w:rsidR="003545C8" w:rsidRPr="00931D46" w14:paraId="509E8CF5" w14:textId="77777777" w:rsidTr="00594C79">
        <w:trPr>
          <w:trHeight w:val="301"/>
        </w:trPr>
        <w:tc>
          <w:tcPr>
            <w:tcW w:w="2410" w:type="dxa"/>
            <w:vAlign w:val="center"/>
          </w:tcPr>
          <w:p w14:paraId="6767BB4A" w14:textId="77777777" w:rsidR="003545C8" w:rsidRPr="00931D46" w:rsidRDefault="003545C8" w:rsidP="00594C79">
            <w:pPr>
              <w:pStyle w:val="TablaTexto"/>
              <w:spacing w:line="276" w:lineRule="auto"/>
              <w:rPr>
                <w:rFonts w:ascii="Arial" w:hAnsi="Arial" w:cs="Arial"/>
              </w:rPr>
            </w:pPr>
            <w:r w:rsidRPr="00931D46">
              <w:rPr>
                <w:rFonts w:ascii="Arial" w:hAnsi="Arial" w:cs="Arial"/>
              </w:rPr>
              <w:t>UIT</w:t>
            </w:r>
          </w:p>
        </w:tc>
        <w:tc>
          <w:tcPr>
            <w:tcW w:w="7088" w:type="dxa"/>
            <w:vAlign w:val="center"/>
          </w:tcPr>
          <w:p w14:paraId="11890557" w14:textId="77777777" w:rsidR="003545C8" w:rsidRPr="00931D46" w:rsidRDefault="003545C8" w:rsidP="00594C79">
            <w:pPr>
              <w:pStyle w:val="TablaTexto"/>
              <w:spacing w:line="276" w:lineRule="auto"/>
              <w:rPr>
                <w:rFonts w:ascii="Arial" w:hAnsi="Arial" w:cs="Arial"/>
              </w:rPr>
            </w:pPr>
            <w:r w:rsidRPr="00931D46">
              <w:rPr>
                <w:rFonts w:ascii="Arial" w:hAnsi="Arial" w:cs="Arial"/>
              </w:rPr>
              <w:t>Unión Internacional de Telecomunicaciones (</w:t>
            </w:r>
            <w:r w:rsidRPr="00931D46">
              <w:rPr>
                <w:rFonts w:ascii="Arial" w:hAnsi="Arial" w:cs="Arial"/>
                <w:i/>
              </w:rPr>
              <w:t xml:space="preserve">International </w:t>
            </w:r>
            <w:proofErr w:type="spellStart"/>
            <w:r w:rsidRPr="00931D46">
              <w:rPr>
                <w:rFonts w:ascii="Arial" w:hAnsi="Arial" w:cs="Arial"/>
                <w:i/>
              </w:rPr>
              <w:t>Telecommunications</w:t>
            </w:r>
            <w:proofErr w:type="spellEnd"/>
            <w:r w:rsidRPr="00931D46">
              <w:rPr>
                <w:rFonts w:ascii="Arial" w:hAnsi="Arial" w:cs="Arial"/>
                <w:i/>
              </w:rPr>
              <w:t xml:space="preserve"> </w:t>
            </w:r>
            <w:proofErr w:type="spellStart"/>
            <w:r w:rsidRPr="00931D46">
              <w:rPr>
                <w:rFonts w:ascii="Arial" w:hAnsi="Arial" w:cs="Arial"/>
                <w:i/>
              </w:rPr>
              <w:t>Union</w:t>
            </w:r>
            <w:proofErr w:type="spellEnd"/>
            <w:r w:rsidRPr="00931D46">
              <w:rPr>
                <w:rFonts w:ascii="Arial" w:hAnsi="Arial" w:cs="Arial"/>
              </w:rPr>
              <w:t>, en inglés).</w:t>
            </w:r>
          </w:p>
        </w:tc>
      </w:tr>
    </w:tbl>
    <w:p w14:paraId="6D926F3D" w14:textId="77777777" w:rsidR="003545C8" w:rsidRDefault="003545C8" w:rsidP="003545C8">
      <w:pPr>
        <w:spacing w:after="0"/>
        <w:rPr>
          <w:rFonts w:ascii="Arial" w:eastAsia="Times New Roman" w:hAnsi="Arial" w:cs="Arial"/>
          <w:bCs/>
          <w:kern w:val="1"/>
          <w:lang w:eastAsia="ar-SA"/>
        </w:rPr>
      </w:pPr>
    </w:p>
    <w:p w14:paraId="25C26801" w14:textId="77777777" w:rsidR="003545C8" w:rsidRDefault="003545C8" w:rsidP="003545C8">
      <w:pPr>
        <w:spacing w:after="0"/>
        <w:rPr>
          <w:rFonts w:ascii="Arial" w:eastAsia="Times New Roman" w:hAnsi="Arial" w:cs="Arial"/>
          <w:bCs/>
          <w:kern w:val="1"/>
          <w:lang w:eastAsia="ar-SA"/>
        </w:rPr>
      </w:pPr>
    </w:p>
    <w:p w14:paraId="2363E3F9" w14:textId="7777777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15" w:name="_Toc71717627"/>
      <w:r>
        <w:rPr>
          <w:rFonts w:ascii="Arial" w:hAnsi="Arial" w:cs="Arial"/>
          <w:sz w:val="26"/>
          <w:szCs w:val="26"/>
        </w:rPr>
        <w:t>Presentación</w:t>
      </w:r>
      <w:bookmarkEnd w:id="15"/>
    </w:p>
    <w:p w14:paraId="4A2D7DB4" w14:textId="77777777" w:rsidR="003545C8" w:rsidRDefault="003545C8" w:rsidP="003545C8">
      <w:pPr>
        <w:spacing w:after="0"/>
        <w:rPr>
          <w:rFonts w:ascii="Arial" w:eastAsia="Times New Roman" w:hAnsi="Arial" w:cs="Arial"/>
          <w:bCs/>
          <w:kern w:val="1"/>
          <w:lang w:eastAsia="ar-SA"/>
        </w:rPr>
      </w:pPr>
    </w:p>
    <w:p w14:paraId="58511D2F" w14:textId="589C3BA9" w:rsidR="00E81C4B" w:rsidRPr="00D06A50" w:rsidRDefault="003545C8" w:rsidP="003545C8">
      <w:pPr>
        <w:spacing w:after="0"/>
        <w:jc w:val="both"/>
        <w:rPr>
          <w:rFonts w:ascii="Arial" w:hAnsi="Arial" w:cs="Arial"/>
          <w:color w:val="000000"/>
          <w:shd w:val="clear" w:color="auto" w:fill="FFFFFF"/>
        </w:rPr>
      </w:pPr>
      <w:r>
        <w:rPr>
          <w:rFonts w:ascii="Arial" w:eastAsia="Times New Roman" w:hAnsi="Arial" w:cs="Arial"/>
          <w:bCs/>
          <w:kern w:val="1"/>
          <w:lang w:eastAsia="ar-SA"/>
        </w:rPr>
        <w:t>La presente</w:t>
      </w:r>
      <w:r w:rsidRPr="00931D46">
        <w:rPr>
          <w:rFonts w:ascii="Arial" w:eastAsia="Times New Roman" w:hAnsi="Arial" w:cs="Arial"/>
          <w:bCs/>
          <w:kern w:val="1"/>
          <w:lang w:eastAsia="ar-SA"/>
        </w:rPr>
        <w:t xml:space="preserve"> Guía </w:t>
      </w:r>
      <w:r>
        <w:rPr>
          <w:rFonts w:ascii="Arial" w:eastAsia="Times New Roman" w:hAnsi="Arial" w:cs="Arial"/>
          <w:bCs/>
          <w:kern w:val="1"/>
          <w:lang w:eastAsia="ar-SA"/>
        </w:rPr>
        <w:t xml:space="preserve">se publica con </w:t>
      </w:r>
      <w:r w:rsidRPr="00837EF6">
        <w:rPr>
          <w:rFonts w:ascii="Arial" w:hAnsi="Arial" w:cs="Arial"/>
        </w:rPr>
        <w:t xml:space="preserve">fundamento en los artículos 28, </w:t>
      </w:r>
      <w:proofErr w:type="gramStart"/>
      <w:r w:rsidRPr="00837EF6">
        <w:rPr>
          <w:rFonts w:ascii="Arial" w:hAnsi="Arial" w:cs="Arial"/>
        </w:rPr>
        <w:t xml:space="preserve">párrafos décimo </w:t>
      </w:r>
      <w:r w:rsidR="00E81C4B">
        <w:rPr>
          <w:rFonts w:ascii="Arial" w:hAnsi="Arial" w:cs="Arial"/>
        </w:rPr>
        <w:t>quinto</w:t>
      </w:r>
      <w:proofErr w:type="gramEnd"/>
      <w:r w:rsidRPr="00837EF6">
        <w:rPr>
          <w:rFonts w:ascii="Arial" w:hAnsi="Arial" w:cs="Arial"/>
        </w:rPr>
        <w:t xml:space="preserve"> </w:t>
      </w:r>
      <w:r w:rsidR="00E81C4B">
        <w:rPr>
          <w:rFonts w:ascii="Arial" w:hAnsi="Arial" w:cs="Arial"/>
        </w:rPr>
        <w:t>y</w:t>
      </w:r>
      <w:r w:rsidRPr="00837EF6">
        <w:rPr>
          <w:rFonts w:ascii="Arial" w:hAnsi="Arial" w:cs="Arial"/>
        </w:rPr>
        <w:t xml:space="preserve"> décimo sexto, de la </w:t>
      </w:r>
      <w:r>
        <w:rPr>
          <w:rFonts w:ascii="Arial" w:hAnsi="Arial" w:cs="Arial"/>
        </w:rPr>
        <w:t>CPEUM</w:t>
      </w:r>
      <w:r w:rsidRPr="00837EF6">
        <w:rPr>
          <w:rFonts w:ascii="Arial" w:hAnsi="Arial" w:cs="Arial"/>
        </w:rPr>
        <w:t>;</w:t>
      </w:r>
      <w:r w:rsidRPr="00837EF6">
        <w:rPr>
          <w:rFonts w:ascii="Arial" w:hAnsi="Arial" w:cs="Arial"/>
          <w:bCs/>
          <w:color w:val="000000"/>
          <w:lang w:eastAsia="es-MX"/>
        </w:rPr>
        <w:t xml:space="preserve"> 7, párrafo</w:t>
      </w:r>
      <w:r w:rsidR="00D06A50">
        <w:rPr>
          <w:rFonts w:ascii="Arial" w:hAnsi="Arial" w:cs="Arial"/>
          <w:bCs/>
          <w:color w:val="000000"/>
          <w:lang w:eastAsia="es-MX"/>
        </w:rPr>
        <w:t>s primero y</w:t>
      </w:r>
      <w:r w:rsidRPr="00837EF6">
        <w:rPr>
          <w:rFonts w:ascii="Arial" w:hAnsi="Arial" w:cs="Arial"/>
          <w:bCs/>
          <w:color w:val="000000"/>
          <w:lang w:eastAsia="es-MX"/>
        </w:rPr>
        <w:t xml:space="preserve"> tercero, </w:t>
      </w:r>
      <w:r w:rsidR="00D06A50">
        <w:rPr>
          <w:rFonts w:ascii="Arial" w:hAnsi="Arial" w:cs="Arial"/>
          <w:bCs/>
          <w:color w:val="000000"/>
          <w:lang w:eastAsia="es-MX"/>
        </w:rPr>
        <w:t xml:space="preserve">y 15, fracción XVIII </w:t>
      </w:r>
      <w:r w:rsidRPr="00837EF6">
        <w:rPr>
          <w:rFonts w:ascii="Arial" w:hAnsi="Arial" w:cs="Arial"/>
          <w:bCs/>
          <w:color w:val="000000"/>
          <w:lang w:eastAsia="es-MX"/>
        </w:rPr>
        <w:t xml:space="preserve">de la </w:t>
      </w:r>
      <w:r>
        <w:rPr>
          <w:rFonts w:ascii="Arial" w:hAnsi="Arial" w:cs="Arial"/>
          <w:bCs/>
          <w:color w:val="000000"/>
          <w:lang w:eastAsia="es-MX"/>
        </w:rPr>
        <w:t>LFTR</w:t>
      </w:r>
      <w:r w:rsidRPr="00837EF6">
        <w:rPr>
          <w:rFonts w:ascii="Arial" w:hAnsi="Arial" w:cs="Arial"/>
        </w:rPr>
        <w:t xml:space="preserve">; 1, 2, 5, párrafo primero, 12, fracción XXII, párrafo </w:t>
      </w:r>
      <w:r>
        <w:rPr>
          <w:rFonts w:ascii="Arial" w:hAnsi="Arial" w:cs="Arial"/>
        </w:rPr>
        <w:t>terc</w:t>
      </w:r>
      <w:r w:rsidRPr="00837EF6">
        <w:rPr>
          <w:rFonts w:ascii="Arial" w:hAnsi="Arial" w:cs="Arial"/>
        </w:rPr>
        <w:t xml:space="preserve">ero, inciso </w:t>
      </w:r>
      <w:r>
        <w:rPr>
          <w:rFonts w:ascii="Arial" w:hAnsi="Arial" w:cs="Arial"/>
        </w:rPr>
        <w:t>g</w:t>
      </w:r>
      <w:r w:rsidRPr="00837EF6">
        <w:rPr>
          <w:rFonts w:ascii="Arial" w:hAnsi="Arial" w:cs="Arial"/>
        </w:rPr>
        <w:t xml:space="preserve">), 18, párrafo séptimo, y 138, fracciones I y II, de la </w:t>
      </w:r>
      <w:r>
        <w:rPr>
          <w:rFonts w:ascii="Arial" w:hAnsi="Arial" w:cs="Arial"/>
        </w:rPr>
        <w:t>LFCE</w:t>
      </w:r>
      <w:r w:rsidRPr="00837EF6">
        <w:rPr>
          <w:rFonts w:ascii="Arial" w:hAnsi="Arial" w:cs="Arial"/>
          <w:color w:val="000000"/>
          <w:shd w:val="clear" w:color="auto" w:fill="FFFFFF"/>
        </w:rPr>
        <w:t xml:space="preserve">; y 187 de las </w:t>
      </w:r>
      <w:r>
        <w:rPr>
          <w:rFonts w:ascii="Arial" w:hAnsi="Arial" w:cs="Arial"/>
          <w:color w:val="000000"/>
          <w:shd w:val="clear" w:color="auto" w:fill="FFFFFF"/>
        </w:rPr>
        <w:t>DRLFCE.</w:t>
      </w:r>
    </w:p>
    <w:p w14:paraId="7ACAD37A" w14:textId="77777777" w:rsidR="003545C8" w:rsidRDefault="003545C8" w:rsidP="003545C8">
      <w:pPr>
        <w:spacing w:after="0"/>
        <w:jc w:val="both"/>
        <w:rPr>
          <w:rFonts w:ascii="Arial" w:eastAsia="Times New Roman" w:hAnsi="Arial" w:cs="Arial"/>
          <w:bCs/>
          <w:kern w:val="1"/>
          <w:lang w:eastAsia="ar-SA"/>
        </w:rPr>
      </w:pPr>
    </w:p>
    <w:p w14:paraId="521FF1C5" w14:textId="77777777" w:rsidR="003545C8" w:rsidRDefault="003545C8" w:rsidP="003545C8">
      <w:pPr>
        <w:spacing w:after="0"/>
        <w:jc w:val="both"/>
        <w:rPr>
          <w:rFonts w:ascii="Arial" w:eastAsia="Times New Roman" w:hAnsi="Arial" w:cs="Arial"/>
          <w:bCs/>
          <w:kern w:val="1"/>
          <w:lang w:eastAsia="ar-SA"/>
        </w:rPr>
      </w:pPr>
      <w:r>
        <w:rPr>
          <w:rFonts w:ascii="Arial" w:eastAsia="Times New Roman" w:hAnsi="Arial" w:cs="Arial"/>
          <w:bCs/>
          <w:kern w:val="1"/>
          <w:lang w:eastAsia="ar-SA"/>
        </w:rPr>
        <w:t>La</w:t>
      </w:r>
      <w:r w:rsidRPr="00931D46">
        <w:rPr>
          <w:rFonts w:ascii="Arial" w:eastAsia="Times New Roman" w:hAnsi="Arial" w:cs="Arial"/>
          <w:bCs/>
          <w:kern w:val="1"/>
          <w:lang w:eastAsia="ar-SA"/>
        </w:rPr>
        <w:t xml:space="preserve"> Guía </w:t>
      </w:r>
      <w:r>
        <w:rPr>
          <w:rFonts w:ascii="Arial" w:eastAsia="Times New Roman" w:hAnsi="Arial" w:cs="Arial"/>
          <w:bCs/>
          <w:kern w:val="1"/>
          <w:lang w:eastAsia="ar-SA"/>
        </w:rPr>
        <w:t>tiene los propósitos de i)</w:t>
      </w:r>
      <w:r w:rsidRPr="00A76C2D">
        <w:rPr>
          <w:rFonts w:ascii="Arial" w:eastAsia="Times New Roman" w:hAnsi="Arial" w:cs="Arial"/>
          <w:bCs/>
          <w:kern w:val="1"/>
          <w:lang w:eastAsia="ar-SA"/>
        </w:rPr>
        <w:t xml:space="preserve"> </w:t>
      </w:r>
      <w:r w:rsidRPr="0033564A">
        <w:rPr>
          <w:rFonts w:ascii="Arial" w:eastAsia="Times New Roman" w:hAnsi="Arial" w:cs="Arial"/>
          <w:bCs/>
          <w:kern w:val="1"/>
          <w:lang w:eastAsia="ar-SA"/>
        </w:rPr>
        <w:t>orient</w:t>
      </w:r>
      <w:r>
        <w:rPr>
          <w:rFonts w:ascii="Arial" w:eastAsia="Times New Roman" w:hAnsi="Arial" w:cs="Arial"/>
          <w:bCs/>
          <w:kern w:val="1"/>
          <w:lang w:eastAsia="ar-SA"/>
        </w:rPr>
        <w:t>ar</w:t>
      </w:r>
      <w:r w:rsidRPr="0033564A">
        <w:rPr>
          <w:rFonts w:ascii="Arial" w:eastAsia="Times New Roman" w:hAnsi="Arial" w:cs="Arial"/>
          <w:bCs/>
          <w:kern w:val="1"/>
          <w:lang w:eastAsia="ar-SA"/>
        </w:rPr>
        <w:t xml:space="preserve"> a los </w:t>
      </w:r>
      <w:r>
        <w:rPr>
          <w:rFonts w:ascii="Arial" w:eastAsia="Times New Roman" w:hAnsi="Arial" w:cs="Arial"/>
          <w:bCs/>
          <w:kern w:val="1"/>
          <w:lang w:eastAsia="ar-SA"/>
        </w:rPr>
        <w:t xml:space="preserve">AE, </w:t>
      </w:r>
      <w:r w:rsidRPr="0033564A">
        <w:rPr>
          <w:rFonts w:ascii="Arial" w:eastAsia="Times New Roman" w:hAnsi="Arial" w:cs="Arial"/>
          <w:bCs/>
          <w:kern w:val="1"/>
          <w:lang w:eastAsia="ar-SA"/>
        </w:rPr>
        <w:t>a los interesados</w:t>
      </w:r>
      <w:r>
        <w:rPr>
          <w:rFonts w:ascii="Arial" w:eastAsia="Times New Roman" w:hAnsi="Arial" w:cs="Arial"/>
          <w:bCs/>
          <w:kern w:val="1"/>
          <w:lang w:eastAsia="ar-SA"/>
        </w:rPr>
        <w:t xml:space="preserve"> </w:t>
      </w:r>
      <w:r w:rsidRPr="0033564A">
        <w:rPr>
          <w:rFonts w:ascii="Arial" w:eastAsia="Times New Roman" w:hAnsi="Arial" w:cs="Arial"/>
          <w:bCs/>
          <w:kern w:val="1"/>
          <w:lang w:eastAsia="ar-SA"/>
        </w:rPr>
        <w:t>y a la sociedad en general</w:t>
      </w:r>
      <w:r>
        <w:rPr>
          <w:rFonts w:ascii="Arial" w:eastAsia="Times New Roman" w:hAnsi="Arial" w:cs="Arial"/>
          <w:bCs/>
          <w:kern w:val="1"/>
          <w:lang w:eastAsia="ar-SA"/>
        </w:rPr>
        <w:t xml:space="preserve">, </w:t>
      </w:r>
      <w:r w:rsidRPr="0033564A">
        <w:rPr>
          <w:rFonts w:ascii="Arial" w:eastAsia="Times New Roman" w:hAnsi="Arial" w:cs="Arial"/>
          <w:bCs/>
          <w:kern w:val="1"/>
          <w:lang w:eastAsia="ar-SA"/>
        </w:rPr>
        <w:t xml:space="preserve">respecto </w:t>
      </w:r>
      <w:r>
        <w:rPr>
          <w:rFonts w:ascii="Arial" w:eastAsia="Times New Roman" w:hAnsi="Arial" w:cs="Arial"/>
          <w:bCs/>
          <w:kern w:val="1"/>
          <w:lang w:eastAsia="ar-SA"/>
        </w:rPr>
        <w:t>a los criterios, elementos y herramientas que podrá considerar el Instituto en la determinación de MR</w:t>
      </w:r>
      <w:r w:rsidRPr="00BF0620">
        <w:rPr>
          <w:rFonts w:ascii="Arial" w:eastAsia="Times New Roman" w:hAnsi="Arial" w:cs="Arial"/>
          <w:bCs/>
          <w:kern w:val="1"/>
          <w:lang w:eastAsia="ar-SA"/>
        </w:rPr>
        <w:t xml:space="preserve"> </w:t>
      </w:r>
      <w:r>
        <w:rPr>
          <w:rFonts w:ascii="Arial" w:eastAsia="Times New Roman" w:hAnsi="Arial" w:cs="Arial"/>
          <w:bCs/>
          <w:kern w:val="1"/>
          <w:lang w:eastAsia="ar-SA"/>
        </w:rPr>
        <w:t>en análisis de competencia económica</w:t>
      </w:r>
      <w:r w:rsidRPr="0033564A">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en los sectores de </w:t>
      </w:r>
      <w:proofErr w:type="spellStart"/>
      <w:r w:rsidRPr="00931D46">
        <w:rPr>
          <w:rFonts w:ascii="Arial" w:eastAsia="Times New Roman" w:hAnsi="Arial" w:cs="Arial"/>
          <w:bCs/>
          <w:kern w:val="1"/>
          <w:lang w:eastAsia="ar-SA"/>
        </w:rPr>
        <w:t>TyR</w:t>
      </w:r>
      <w:proofErr w:type="spellEnd"/>
      <w:r>
        <w:rPr>
          <w:rFonts w:ascii="Arial" w:eastAsia="Times New Roman" w:hAnsi="Arial" w:cs="Arial"/>
          <w:bCs/>
          <w:kern w:val="1"/>
          <w:lang w:eastAsia="ar-SA"/>
        </w:rPr>
        <w:t xml:space="preserve">, </w:t>
      </w:r>
      <w:proofErr w:type="spellStart"/>
      <w:r>
        <w:rPr>
          <w:rFonts w:ascii="Arial" w:eastAsia="Times New Roman" w:hAnsi="Arial" w:cs="Arial"/>
          <w:bCs/>
          <w:kern w:val="1"/>
          <w:lang w:eastAsia="ar-SA"/>
        </w:rPr>
        <w:t>ii</w:t>
      </w:r>
      <w:proofErr w:type="spellEnd"/>
      <w:r>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contribuir a que los criterios que utilice el Instituto para determinar MR sean transparentes y consistentes, y </w:t>
      </w:r>
      <w:proofErr w:type="spellStart"/>
      <w:r>
        <w:rPr>
          <w:rFonts w:ascii="Arial" w:eastAsia="Times New Roman" w:hAnsi="Arial" w:cs="Arial"/>
          <w:bCs/>
          <w:kern w:val="1"/>
          <w:lang w:eastAsia="ar-SA"/>
        </w:rPr>
        <w:t>iii</w:t>
      </w:r>
      <w:proofErr w:type="spellEnd"/>
      <w:r>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dar certidumbre a los AE sobre el ejercicio de las atribuciones del Instituto como autoridad en materia de competencia económica y como órgano regulador en los sectores de </w:t>
      </w:r>
      <w:proofErr w:type="spellStart"/>
      <w:r w:rsidRPr="00931D46">
        <w:rPr>
          <w:rFonts w:ascii="Arial" w:eastAsia="Times New Roman" w:hAnsi="Arial" w:cs="Arial"/>
          <w:bCs/>
          <w:kern w:val="1"/>
          <w:lang w:eastAsia="ar-SA"/>
        </w:rPr>
        <w:t>TyR</w:t>
      </w:r>
      <w:proofErr w:type="spellEnd"/>
      <w:r w:rsidRPr="00931D46">
        <w:rPr>
          <w:rFonts w:ascii="Arial" w:eastAsia="Times New Roman" w:hAnsi="Arial" w:cs="Arial"/>
          <w:bCs/>
          <w:kern w:val="1"/>
          <w:lang w:eastAsia="ar-SA"/>
        </w:rPr>
        <w:t>.</w:t>
      </w:r>
    </w:p>
    <w:p w14:paraId="2E8AF58C" w14:textId="77777777" w:rsidR="003545C8" w:rsidRDefault="003545C8" w:rsidP="003545C8">
      <w:pPr>
        <w:spacing w:after="0"/>
        <w:jc w:val="both"/>
        <w:rPr>
          <w:rFonts w:ascii="Arial" w:eastAsia="Times New Roman" w:hAnsi="Arial" w:cs="Arial"/>
          <w:bCs/>
          <w:kern w:val="1"/>
          <w:lang w:eastAsia="ar-SA"/>
        </w:rPr>
      </w:pPr>
    </w:p>
    <w:p w14:paraId="23FAD3AD" w14:textId="77777777" w:rsidR="003545C8" w:rsidRPr="00931D46" w:rsidRDefault="003545C8" w:rsidP="003545C8">
      <w:pPr>
        <w:spacing w:after="0"/>
        <w:jc w:val="both"/>
        <w:rPr>
          <w:rFonts w:ascii="Arial" w:eastAsia="Times New Roman" w:hAnsi="Arial" w:cs="Arial"/>
          <w:bCs/>
          <w:kern w:val="1"/>
          <w:lang w:eastAsia="ar-SA"/>
        </w:rPr>
      </w:pPr>
      <w:r>
        <w:rPr>
          <w:rFonts w:ascii="Arial" w:eastAsia="Times New Roman" w:hAnsi="Arial" w:cs="Arial"/>
          <w:bCs/>
          <w:kern w:val="1"/>
          <w:lang w:eastAsia="ar-SA"/>
        </w:rPr>
        <w:t>L</w:t>
      </w:r>
      <w:r w:rsidRPr="00931D46">
        <w:rPr>
          <w:rFonts w:ascii="Arial" w:eastAsia="Times New Roman" w:hAnsi="Arial" w:cs="Arial"/>
          <w:bCs/>
          <w:kern w:val="1"/>
          <w:lang w:eastAsia="ar-SA"/>
        </w:rPr>
        <w:t xml:space="preserve">a Guía </w:t>
      </w:r>
      <w:r>
        <w:rPr>
          <w:rFonts w:ascii="Arial" w:eastAsia="Times New Roman" w:hAnsi="Arial" w:cs="Arial"/>
          <w:bCs/>
          <w:kern w:val="1"/>
          <w:lang w:eastAsia="ar-SA"/>
        </w:rPr>
        <w:t>constituye</w:t>
      </w:r>
      <w:r w:rsidRPr="00931D46">
        <w:rPr>
          <w:rFonts w:ascii="Arial" w:eastAsia="Times New Roman" w:hAnsi="Arial" w:cs="Arial"/>
          <w:bCs/>
          <w:kern w:val="1"/>
          <w:lang w:eastAsia="ar-SA"/>
        </w:rPr>
        <w:t xml:space="preserve"> un marco de referencia que podrá seguir el Instituto para la determinación de MR en los sectores de </w:t>
      </w:r>
      <w:proofErr w:type="spellStart"/>
      <w:r w:rsidRPr="00931D46">
        <w:rPr>
          <w:rFonts w:ascii="Arial" w:eastAsia="Times New Roman" w:hAnsi="Arial" w:cs="Arial"/>
          <w:bCs/>
          <w:kern w:val="1"/>
          <w:lang w:eastAsia="ar-SA"/>
        </w:rPr>
        <w:t>TyR</w:t>
      </w:r>
      <w:proofErr w:type="spellEnd"/>
      <w:r w:rsidRPr="00931D46">
        <w:rPr>
          <w:rFonts w:ascii="Arial" w:eastAsia="Times New Roman" w:hAnsi="Arial" w:cs="Arial"/>
          <w:bCs/>
          <w:kern w:val="1"/>
          <w:lang w:eastAsia="ar-SA"/>
        </w:rPr>
        <w:t xml:space="preserve"> en asuntos que se tramiten en términos de la LFCE o de la LFTR, </w:t>
      </w:r>
      <w:r>
        <w:rPr>
          <w:rFonts w:ascii="Arial" w:eastAsia="Times New Roman" w:hAnsi="Arial" w:cs="Arial"/>
          <w:bCs/>
          <w:kern w:val="1"/>
          <w:lang w:eastAsia="ar-SA"/>
        </w:rPr>
        <w:t xml:space="preserve">mas no tiene </w:t>
      </w:r>
      <w:r w:rsidRPr="00931D46">
        <w:rPr>
          <w:rFonts w:ascii="Arial" w:eastAsia="Times New Roman" w:hAnsi="Arial" w:cs="Arial"/>
          <w:bCs/>
          <w:kern w:val="1"/>
          <w:lang w:eastAsia="ar-SA"/>
        </w:rPr>
        <w:t>el carácter de vinculante</w:t>
      </w:r>
      <w:r>
        <w:rPr>
          <w:rFonts w:ascii="Arial" w:eastAsia="Times New Roman" w:hAnsi="Arial" w:cs="Arial"/>
          <w:bCs/>
          <w:kern w:val="1"/>
          <w:lang w:eastAsia="ar-SA"/>
        </w:rPr>
        <w:t xml:space="preserve"> para el Pleno del Instituto</w:t>
      </w:r>
      <w:r w:rsidRPr="00931D46">
        <w:rPr>
          <w:rFonts w:ascii="Arial" w:eastAsia="Times New Roman" w:hAnsi="Arial" w:cs="Arial"/>
          <w:bCs/>
          <w:kern w:val="1"/>
          <w:lang w:eastAsia="ar-SA"/>
        </w:rPr>
        <w:t xml:space="preserve">. </w:t>
      </w:r>
      <w:r>
        <w:rPr>
          <w:rFonts w:ascii="Arial" w:eastAsia="Times New Roman" w:hAnsi="Arial" w:cs="Arial"/>
          <w:bCs/>
          <w:kern w:val="1"/>
          <w:lang w:eastAsia="ar-SA"/>
        </w:rPr>
        <w:t>L</w:t>
      </w:r>
      <w:r w:rsidRPr="00931D46">
        <w:rPr>
          <w:rFonts w:ascii="Arial" w:eastAsia="Times New Roman" w:hAnsi="Arial" w:cs="Arial"/>
          <w:bCs/>
          <w:kern w:val="1"/>
          <w:lang w:eastAsia="ar-SA"/>
        </w:rPr>
        <w:t>a determinación específica de</w:t>
      </w:r>
      <w:r w:rsidRPr="00931D46" w:rsidDel="00710B1A">
        <w:rPr>
          <w:rFonts w:ascii="Arial" w:eastAsia="Times New Roman" w:hAnsi="Arial" w:cs="Arial"/>
          <w:bCs/>
          <w:kern w:val="1"/>
          <w:lang w:eastAsia="ar-SA"/>
        </w:rPr>
        <w:t>l</w:t>
      </w:r>
      <w:r w:rsidRPr="00931D46">
        <w:rPr>
          <w:rFonts w:ascii="Arial" w:eastAsia="Times New Roman" w:hAnsi="Arial" w:cs="Arial"/>
          <w:bCs/>
          <w:kern w:val="1"/>
          <w:lang w:eastAsia="ar-SA"/>
        </w:rPr>
        <w:t xml:space="preserve"> MR que adopte el Pleno del Instituto dependerá de los objetivos del procedimiento en el que se encuentre el análisis y de las condiciones particulares del caso, tales como</w:t>
      </w:r>
      <w:r>
        <w:rPr>
          <w:rFonts w:ascii="Arial" w:eastAsia="Times New Roman" w:hAnsi="Arial" w:cs="Arial"/>
          <w:bCs/>
          <w:kern w:val="1"/>
          <w:lang w:eastAsia="ar-SA"/>
        </w:rPr>
        <w:t>: i)</w:t>
      </w:r>
      <w:r w:rsidRPr="00931D46">
        <w:rPr>
          <w:rFonts w:ascii="Arial" w:eastAsia="Times New Roman" w:hAnsi="Arial" w:cs="Arial"/>
          <w:bCs/>
          <w:kern w:val="1"/>
          <w:lang w:eastAsia="ar-SA"/>
        </w:rPr>
        <w:t xml:space="preserve"> el tipo de enfoque (retrospectivo en las investigaciones de </w:t>
      </w:r>
      <w:r>
        <w:rPr>
          <w:rFonts w:ascii="Arial" w:eastAsia="Times New Roman" w:hAnsi="Arial" w:cs="Arial"/>
          <w:bCs/>
          <w:kern w:val="1"/>
          <w:lang w:eastAsia="ar-SA"/>
        </w:rPr>
        <w:t>PMR</w:t>
      </w:r>
      <w:r w:rsidRPr="00931D46">
        <w:rPr>
          <w:rFonts w:ascii="Arial" w:eastAsia="Times New Roman" w:hAnsi="Arial" w:cs="Arial"/>
          <w:bCs/>
          <w:kern w:val="1"/>
          <w:lang w:eastAsia="ar-SA"/>
        </w:rPr>
        <w:t xml:space="preserve"> y prospectivo en casos de concentraciones)</w:t>
      </w:r>
      <w:r>
        <w:rPr>
          <w:rFonts w:ascii="Arial" w:eastAsia="Times New Roman" w:hAnsi="Arial" w:cs="Arial"/>
          <w:bCs/>
          <w:kern w:val="1"/>
          <w:lang w:eastAsia="ar-SA"/>
        </w:rPr>
        <w:t xml:space="preserve">, </w:t>
      </w:r>
      <w:proofErr w:type="spellStart"/>
      <w:r>
        <w:rPr>
          <w:rFonts w:ascii="Arial" w:eastAsia="Times New Roman" w:hAnsi="Arial" w:cs="Arial"/>
          <w:bCs/>
          <w:kern w:val="1"/>
          <w:lang w:eastAsia="ar-SA"/>
        </w:rPr>
        <w:t>ii</w:t>
      </w:r>
      <w:proofErr w:type="spellEnd"/>
      <w:r>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la temporalidad (en la determinación del MR es posible que las condiciones varíen en el tiempo, por lo que la delimitación del MR para un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en el tiempo </w:t>
      </w:r>
      <w:r w:rsidRPr="00F973A6">
        <w:rPr>
          <w:rFonts w:ascii="Arial" w:eastAsia="Times New Roman" w:hAnsi="Arial" w:cs="Arial"/>
          <w:i/>
          <w:kern w:val="1"/>
          <w:lang w:eastAsia="ar-SA"/>
        </w:rPr>
        <w:t>t</w:t>
      </w:r>
      <w:r w:rsidRPr="00931D46">
        <w:rPr>
          <w:rFonts w:ascii="Arial" w:eastAsia="Times New Roman" w:hAnsi="Arial" w:cs="Arial"/>
          <w:bCs/>
          <w:kern w:val="1"/>
          <w:lang w:eastAsia="ar-SA"/>
        </w:rPr>
        <w:t xml:space="preserve"> puede ser distinta a la que se defina en el tiempo </w:t>
      </w:r>
      <w:r w:rsidRPr="00F973A6">
        <w:rPr>
          <w:rFonts w:ascii="Arial" w:eastAsia="Times New Roman" w:hAnsi="Arial" w:cs="Arial"/>
          <w:i/>
          <w:kern w:val="1"/>
          <w:lang w:eastAsia="ar-SA"/>
        </w:rPr>
        <w:t>t+1</w:t>
      </w:r>
      <w:r w:rsidRPr="00931D46">
        <w:rPr>
          <w:rFonts w:ascii="Arial" w:eastAsia="Times New Roman" w:hAnsi="Arial" w:cs="Arial"/>
          <w:bCs/>
          <w:kern w:val="1"/>
          <w:lang w:eastAsia="ar-SA"/>
        </w:rPr>
        <w:t>; esas variaciones pueden deberse a factores como la innovación, estrategias de los proveedores, cambios regulatorios, entre otros),</w:t>
      </w:r>
      <w:r w:rsidRPr="00931D46" w:rsidDel="00030E22">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y </w:t>
      </w:r>
      <w:proofErr w:type="spellStart"/>
      <w:r>
        <w:rPr>
          <w:rFonts w:ascii="Arial" w:eastAsia="Times New Roman" w:hAnsi="Arial" w:cs="Arial"/>
          <w:bCs/>
          <w:kern w:val="1"/>
          <w:lang w:eastAsia="ar-SA"/>
        </w:rPr>
        <w:t>iii</w:t>
      </w:r>
      <w:proofErr w:type="spellEnd"/>
      <w:r>
        <w:rPr>
          <w:rFonts w:ascii="Arial" w:eastAsia="Times New Roman" w:hAnsi="Arial" w:cs="Arial"/>
          <w:bCs/>
          <w:kern w:val="1"/>
          <w:lang w:eastAsia="ar-SA"/>
        </w:rPr>
        <w:t xml:space="preserve">) </w:t>
      </w:r>
      <w:r w:rsidRPr="00931D46">
        <w:rPr>
          <w:rFonts w:ascii="Arial" w:eastAsia="Times New Roman" w:hAnsi="Arial" w:cs="Arial"/>
          <w:bCs/>
          <w:kern w:val="1"/>
          <w:lang w:eastAsia="ar-SA"/>
        </w:rPr>
        <w:t>la información y evidencia disponibles.</w:t>
      </w:r>
    </w:p>
    <w:p w14:paraId="68976930" w14:textId="77777777" w:rsidR="003545C8" w:rsidRPr="00931D46" w:rsidRDefault="003545C8" w:rsidP="003545C8">
      <w:pPr>
        <w:spacing w:after="0"/>
        <w:jc w:val="both"/>
        <w:rPr>
          <w:rFonts w:ascii="Arial" w:eastAsia="Times New Roman" w:hAnsi="Arial" w:cs="Arial"/>
          <w:bCs/>
          <w:kern w:val="1"/>
          <w:lang w:eastAsia="ar-SA"/>
        </w:rPr>
      </w:pPr>
    </w:p>
    <w:p w14:paraId="13AB525F" w14:textId="0202A3B3" w:rsidR="003545C8" w:rsidRDefault="003545C8" w:rsidP="003545C8">
      <w:pPr>
        <w:spacing w:after="0"/>
        <w:jc w:val="both"/>
        <w:rPr>
          <w:rFonts w:ascii="Arial" w:eastAsia="Times New Roman" w:hAnsi="Arial" w:cs="Arial"/>
          <w:kern w:val="1"/>
          <w:lang w:eastAsia="ar-SA"/>
        </w:rPr>
      </w:pPr>
      <w:r w:rsidRPr="00B56F77">
        <w:rPr>
          <w:rFonts w:ascii="Arial" w:eastAsia="Times New Roman" w:hAnsi="Arial" w:cs="Arial"/>
          <w:bCs/>
          <w:kern w:val="1"/>
          <w:lang w:eastAsia="ar-SA"/>
        </w:rPr>
        <w:t xml:space="preserve">Los criterios que contiene la presente Guía están basados en lo establecido en la CPEUM, la LFCE y las DRLFCE en relación con la determinación de MR, y guardan consistencia con la teoría económica, la práctica internacional y los precedentes decisorios del Pleno del Instituto y del </w:t>
      </w:r>
      <w:r w:rsidRPr="00B56F77">
        <w:rPr>
          <w:rFonts w:ascii="Arial" w:eastAsia="Times New Roman" w:hAnsi="Arial" w:cs="Arial"/>
          <w:kern w:val="1"/>
          <w:lang w:eastAsia="ar-SA"/>
        </w:rPr>
        <w:t xml:space="preserve">PJF. </w:t>
      </w:r>
    </w:p>
    <w:p w14:paraId="2E83CA9F" w14:textId="77777777" w:rsidR="003545C8" w:rsidRDefault="003545C8" w:rsidP="003545C8">
      <w:pPr>
        <w:spacing w:after="0"/>
        <w:jc w:val="both"/>
        <w:rPr>
          <w:rFonts w:ascii="Arial" w:eastAsia="Times New Roman" w:hAnsi="Arial" w:cs="Arial"/>
          <w:kern w:val="1"/>
          <w:lang w:eastAsia="ar-SA"/>
        </w:rPr>
      </w:pPr>
    </w:p>
    <w:p w14:paraId="110113E0" w14:textId="77777777" w:rsidR="003545C8" w:rsidRDefault="003545C8" w:rsidP="003545C8">
      <w:pPr>
        <w:spacing w:after="0"/>
        <w:jc w:val="both"/>
        <w:rPr>
          <w:rFonts w:ascii="Arial" w:eastAsia="Times New Roman" w:hAnsi="Arial" w:cs="Arial"/>
          <w:bCs/>
          <w:kern w:val="1"/>
          <w:lang w:eastAsia="ar-SA"/>
        </w:rPr>
      </w:pPr>
      <w:r w:rsidRPr="001B3020">
        <w:rPr>
          <w:rFonts w:ascii="Arial" w:eastAsia="Times New Roman" w:hAnsi="Arial" w:cs="Arial"/>
          <w:bCs/>
          <w:kern w:val="1"/>
          <w:lang w:eastAsia="ar-SA"/>
        </w:rPr>
        <w:t>Este documento es susceptible de modi</w:t>
      </w:r>
      <w:r>
        <w:rPr>
          <w:rFonts w:ascii="Arial" w:eastAsia="Times New Roman" w:hAnsi="Arial" w:cs="Arial"/>
          <w:bCs/>
          <w:kern w:val="1"/>
          <w:lang w:eastAsia="ar-SA"/>
        </w:rPr>
        <w:t xml:space="preserve">ficaciones futuras en la medida en </w:t>
      </w:r>
      <w:r w:rsidRPr="001B3020">
        <w:rPr>
          <w:rFonts w:ascii="Arial" w:eastAsia="Times New Roman" w:hAnsi="Arial" w:cs="Arial"/>
          <w:bCs/>
          <w:kern w:val="1"/>
          <w:lang w:eastAsia="ar-SA"/>
        </w:rPr>
        <w:t>que la</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 xml:space="preserve">legislación y los criterios que </w:t>
      </w:r>
      <w:r>
        <w:rPr>
          <w:rFonts w:ascii="Arial" w:eastAsia="Times New Roman" w:hAnsi="Arial" w:cs="Arial"/>
          <w:bCs/>
          <w:kern w:val="1"/>
          <w:lang w:eastAsia="ar-SA"/>
        </w:rPr>
        <w:t>la sustentan</w:t>
      </w:r>
      <w:r w:rsidRPr="001B3020">
        <w:rPr>
          <w:rFonts w:ascii="Arial" w:eastAsia="Times New Roman" w:hAnsi="Arial" w:cs="Arial"/>
          <w:bCs/>
          <w:kern w:val="1"/>
          <w:lang w:eastAsia="ar-SA"/>
        </w:rPr>
        <w:t xml:space="preserve"> cambien y en atención a las</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interpretaciones y los criterios que emitan las autoridades competentes</w:t>
      </w:r>
      <w:r>
        <w:rPr>
          <w:rFonts w:ascii="Arial" w:eastAsia="Times New Roman" w:hAnsi="Arial" w:cs="Arial"/>
          <w:bCs/>
          <w:kern w:val="1"/>
          <w:lang w:eastAsia="ar-SA"/>
        </w:rPr>
        <w:t xml:space="preserve">, incluido </w:t>
      </w:r>
      <w:r w:rsidRPr="001B3020">
        <w:rPr>
          <w:rFonts w:ascii="Arial" w:eastAsia="Times New Roman" w:hAnsi="Arial" w:cs="Arial"/>
          <w:bCs/>
          <w:kern w:val="1"/>
          <w:lang w:eastAsia="ar-SA"/>
        </w:rPr>
        <w:t>el PJF. Asimismo, esta Guía será revisada por el Instituto por lo</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 xml:space="preserve">menos cada </w:t>
      </w:r>
      <w:r>
        <w:rPr>
          <w:rFonts w:ascii="Arial" w:eastAsia="Times New Roman" w:hAnsi="Arial" w:cs="Arial"/>
          <w:bCs/>
          <w:kern w:val="1"/>
          <w:lang w:eastAsia="ar-SA"/>
        </w:rPr>
        <w:t>5 (</w:t>
      </w:r>
      <w:r w:rsidRPr="001B3020">
        <w:rPr>
          <w:rFonts w:ascii="Arial" w:eastAsia="Times New Roman" w:hAnsi="Arial" w:cs="Arial"/>
          <w:bCs/>
          <w:kern w:val="1"/>
          <w:lang w:eastAsia="ar-SA"/>
        </w:rPr>
        <w:t>cinco</w:t>
      </w:r>
      <w:r>
        <w:rPr>
          <w:rFonts w:ascii="Arial" w:eastAsia="Times New Roman" w:hAnsi="Arial" w:cs="Arial"/>
          <w:bCs/>
          <w:kern w:val="1"/>
          <w:lang w:eastAsia="ar-SA"/>
        </w:rPr>
        <w:t>)</w:t>
      </w:r>
      <w:r w:rsidRPr="001B3020">
        <w:rPr>
          <w:rFonts w:ascii="Arial" w:eastAsia="Times New Roman" w:hAnsi="Arial" w:cs="Arial"/>
          <w:bCs/>
          <w:kern w:val="1"/>
          <w:lang w:eastAsia="ar-SA"/>
        </w:rPr>
        <w:t xml:space="preserve"> años, de conformidad con lo señalado en el artículo 138 </w:t>
      </w:r>
      <w:r w:rsidRPr="0058608F">
        <w:rPr>
          <w:rFonts w:ascii="Arial" w:eastAsia="Times New Roman" w:hAnsi="Arial" w:cs="Arial"/>
          <w:bCs/>
          <w:i/>
          <w:kern w:val="1"/>
          <w:lang w:eastAsia="ar-SA"/>
        </w:rPr>
        <w:t>in fine</w:t>
      </w:r>
      <w:r w:rsidRPr="001B3020">
        <w:rPr>
          <w:rFonts w:ascii="Arial" w:eastAsia="Times New Roman" w:hAnsi="Arial" w:cs="Arial"/>
          <w:bCs/>
          <w:kern w:val="1"/>
          <w:lang w:eastAsia="ar-SA"/>
        </w:rPr>
        <w:t>,</w:t>
      </w:r>
      <w:r>
        <w:rPr>
          <w:rFonts w:ascii="Arial" w:eastAsia="Times New Roman" w:hAnsi="Arial" w:cs="Arial"/>
          <w:bCs/>
          <w:kern w:val="1"/>
          <w:lang w:eastAsia="ar-SA"/>
        </w:rPr>
        <w:t xml:space="preserve"> </w:t>
      </w:r>
      <w:r w:rsidRPr="001B3020">
        <w:rPr>
          <w:rFonts w:ascii="Arial" w:eastAsia="Times New Roman" w:hAnsi="Arial" w:cs="Arial"/>
          <w:bCs/>
          <w:kern w:val="1"/>
          <w:lang w:eastAsia="ar-SA"/>
        </w:rPr>
        <w:t>de la LFCE.</w:t>
      </w:r>
    </w:p>
    <w:p w14:paraId="7164313E" w14:textId="77777777" w:rsidR="003545C8" w:rsidRPr="00931D46" w:rsidRDefault="003545C8" w:rsidP="003545C8">
      <w:pPr>
        <w:spacing w:after="0"/>
        <w:jc w:val="both"/>
        <w:rPr>
          <w:rFonts w:ascii="Arial" w:eastAsia="Times New Roman" w:hAnsi="Arial" w:cs="Arial"/>
          <w:bCs/>
          <w:kern w:val="1"/>
          <w:lang w:eastAsia="ar-SA"/>
        </w:rPr>
      </w:pPr>
    </w:p>
    <w:p w14:paraId="2BC2128F" w14:textId="77777777" w:rsidR="003545C8" w:rsidRPr="00931D46" w:rsidRDefault="003545C8" w:rsidP="003545C8">
      <w:pPr>
        <w:spacing w:after="0"/>
        <w:jc w:val="both"/>
        <w:rPr>
          <w:rFonts w:ascii="Arial" w:hAnsi="Arial" w:cs="Arial"/>
        </w:rPr>
      </w:pPr>
    </w:p>
    <w:p w14:paraId="4F4EB551" w14:textId="7777777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16" w:name="_Toc41649748"/>
      <w:bookmarkStart w:id="17" w:name="_Toc41649889"/>
      <w:bookmarkStart w:id="18" w:name="_Toc45216568"/>
      <w:bookmarkStart w:id="19" w:name="_Toc45628313"/>
      <w:bookmarkStart w:id="20" w:name="_Toc71717628"/>
      <w:r w:rsidRPr="00931D46">
        <w:rPr>
          <w:rFonts w:ascii="Arial" w:hAnsi="Arial" w:cs="Arial"/>
          <w:sz w:val="26"/>
          <w:szCs w:val="26"/>
        </w:rPr>
        <w:t xml:space="preserve">Concepto de </w:t>
      </w:r>
      <w:bookmarkEnd w:id="16"/>
      <w:r w:rsidRPr="00931D46">
        <w:rPr>
          <w:rFonts w:ascii="Arial" w:hAnsi="Arial" w:cs="Arial"/>
          <w:sz w:val="26"/>
          <w:szCs w:val="26"/>
        </w:rPr>
        <w:t>MR</w:t>
      </w:r>
      <w:bookmarkEnd w:id="17"/>
      <w:bookmarkEnd w:id="18"/>
      <w:r w:rsidRPr="00931D46">
        <w:rPr>
          <w:rFonts w:ascii="Arial" w:hAnsi="Arial" w:cs="Arial"/>
          <w:sz w:val="26"/>
          <w:szCs w:val="26"/>
        </w:rPr>
        <w:t xml:space="preserve"> y su utilidad</w:t>
      </w:r>
      <w:bookmarkEnd w:id="19"/>
      <w:bookmarkEnd w:id="20"/>
      <w:r w:rsidRPr="00931D46">
        <w:rPr>
          <w:rFonts w:ascii="Arial" w:hAnsi="Arial" w:cs="Arial"/>
          <w:sz w:val="26"/>
          <w:szCs w:val="26"/>
        </w:rPr>
        <w:t xml:space="preserve"> </w:t>
      </w:r>
    </w:p>
    <w:p w14:paraId="198EB533" w14:textId="77777777" w:rsidR="003545C8" w:rsidRPr="00931D46" w:rsidRDefault="003545C8" w:rsidP="003545C8">
      <w:pPr>
        <w:keepNext/>
        <w:spacing w:after="0"/>
        <w:jc w:val="both"/>
        <w:rPr>
          <w:rFonts w:ascii="Arial" w:hAnsi="Arial" w:cs="Arial"/>
        </w:rPr>
      </w:pPr>
    </w:p>
    <w:p w14:paraId="12CA3807" w14:textId="77777777" w:rsidR="003545C8" w:rsidRPr="00931D46" w:rsidRDefault="003545C8" w:rsidP="003545C8">
      <w:pPr>
        <w:spacing w:after="0"/>
        <w:jc w:val="both"/>
        <w:rPr>
          <w:rFonts w:ascii="Arial" w:eastAsia="Times New Roman" w:hAnsi="Arial" w:cs="Arial"/>
          <w:bCs/>
          <w:kern w:val="1"/>
          <w:vertAlign w:val="superscript"/>
          <w:lang w:eastAsia="ar-SA"/>
        </w:rPr>
      </w:pPr>
      <w:r w:rsidRPr="00931D46">
        <w:rPr>
          <w:rFonts w:ascii="Arial" w:eastAsia="Times New Roman" w:hAnsi="Arial" w:cs="Arial"/>
          <w:bCs/>
          <w:kern w:val="1"/>
          <w:lang w:eastAsia="ar-SA"/>
        </w:rPr>
        <w:t xml:space="preserve">En la literatura especializada, el concepto de MR se define como </w:t>
      </w:r>
      <w:r w:rsidRPr="00931D46">
        <w:rPr>
          <w:rFonts w:ascii="Arial" w:eastAsia="Times New Roman" w:hAnsi="Arial" w:cs="Arial"/>
          <w:bCs/>
          <w:i/>
          <w:kern w:val="1"/>
          <w:lang w:eastAsia="ar-SA"/>
        </w:rPr>
        <w:t xml:space="preserve">“el conjunto de productos (y zonas geográficas) que podrían crear presiones competitivas para las empresas analizadas [p.ej. </w:t>
      </w:r>
      <w:r w:rsidRPr="00931D46">
        <w:rPr>
          <w:rFonts w:ascii="Arial" w:eastAsia="Times New Roman" w:hAnsi="Arial" w:cs="Arial"/>
          <w:bCs/>
          <w:i/>
          <w:kern w:val="1"/>
          <w:lang w:eastAsia="ar-SA"/>
        </w:rPr>
        <w:lastRenderedPageBreak/>
        <w:t>las empresas resultantes de una concentración]”</w:t>
      </w:r>
      <w:r w:rsidRPr="00931D46" w:rsidDel="00633E17">
        <w:rPr>
          <w:rFonts w:ascii="Arial" w:eastAsia="Times New Roman" w:hAnsi="Arial" w:cs="Arial"/>
          <w:bCs/>
          <w:kern w:val="1"/>
          <w:vertAlign w:val="superscript"/>
          <w:lang w:eastAsia="ar-SA"/>
        </w:rPr>
        <w:t xml:space="preserve"> </w:t>
      </w:r>
      <w:r w:rsidRPr="00931D46">
        <w:rPr>
          <w:rFonts w:ascii="Arial" w:eastAsia="Times New Roman" w:hAnsi="Arial" w:cs="Arial"/>
          <w:bCs/>
          <w:i/>
          <w:kern w:val="1"/>
          <w:lang w:eastAsia="ar-SA"/>
        </w:rPr>
        <w:t>o “el conjunto de productos (y zonas geográficas) que ejercen alguna presión competitiva entre sí”.</w:t>
      </w:r>
      <w:r w:rsidRPr="00931D46">
        <w:rPr>
          <w:rFonts w:ascii="Arial" w:eastAsia="Times New Roman" w:hAnsi="Arial" w:cs="Arial"/>
          <w:bCs/>
          <w:kern w:val="1"/>
          <w:vertAlign w:val="superscript"/>
          <w:lang w:eastAsia="ar-SA"/>
        </w:rPr>
        <w:t xml:space="preserve"> </w:t>
      </w:r>
      <w:r w:rsidRPr="00931D46">
        <w:rPr>
          <w:rFonts w:ascii="Arial" w:eastAsia="Times New Roman" w:hAnsi="Arial" w:cs="Arial"/>
          <w:bCs/>
          <w:kern w:val="1"/>
          <w:vertAlign w:val="superscript"/>
          <w:lang w:eastAsia="ar-SA"/>
        </w:rPr>
        <w:footnoteReference w:id="5"/>
      </w:r>
    </w:p>
    <w:p w14:paraId="72D4177E" w14:textId="77777777" w:rsidR="003545C8" w:rsidRPr="00931D46" w:rsidRDefault="003545C8" w:rsidP="003545C8">
      <w:pPr>
        <w:spacing w:after="0"/>
        <w:jc w:val="both"/>
        <w:rPr>
          <w:rFonts w:ascii="Arial" w:eastAsia="Times New Roman" w:hAnsi="Arial" w:cs="Arial"/>
          <w:bCs/>
          <w:kern w:val="1"/>
          <w:lang w:eastAsia="ar-SA"/>
        </w:rPr>
      </w:pPr>
    </w:p>
    <w:p w14:paraId="4D962A65"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Por su parte, el PJF ha señalado que el MR se refiere al conjunto de “</w:t>
      </w:r>
      <w:r w:rsidRPr="00931D46">
        <w:rPr>
          <w:rFonts w:ascii="Arial" w:eastAsia="Times New Roman" w:hAnsi="Arial" w:cs="Arial"/>
          <w:bCs/>
          <w:i/>
          <w:kern w:val="1"/>
          <w:lang w:eastAsia="ar-SA"/>
        </w:rPr>
        <w:t>todos los productos que son razonablemente intercambiables o sustituibles, según los fines para los que fueron hechos, considerando las características de precio, uso y calidad. En forma más simple, el mercado relevante es el espacio geográfico en el que se ofrecen o demandan productos o servicios similares, lo que le otorga una doble dimensión: De productos o servicios y geográfica o territorial. En esa tesitura, para que exista mercado relevante es necesario que un conjunto de bienes o servicios iguales o similares estén al alcance del consumidor en un territorio lo suficientemente extenso como para que el consumidor esté dispuesto a obtener la mercancía o servicio en algún punto de ese espacio geográfico, en el tiempo en que aquél esté dispuesto a esperar para satisfacer su necesidad. En ese orden de ideas, se advierte que este concepto, (…) tiene una triple delimitación: objetiva, geográfica y temporal (…).</w:t>
      </w:r>
      <w:r w:rsidRPr="00931D46">
        <w:rPr>
          <w:rFonts w:ascii="Arial" w:eastAsia="Times New Roman" w:hAnsi="Arial" w:cs="Arial"/>
          <w:bCs/>
          <w:kern w:val="1"/>
          <w:lang w:eastAsia="ar-SA"/>
        </w:rPr>
        <w:t>”</w:t>
      </w:r>
      <w:r w:rsidRPr="00931D46">
        <w:rPr>
          <w:rStyle w:val="Refdenotaalpie"/>
          <w:rFonts w:ascii="Arial" w:hAnsi="Arial" w:cs="Arial"/>
        </w:rPr>
        <w:footnoteReference w:id="6"/>
      </w:r>
    </w:p>
    <w:p w14:paraId="14E534A5" w14:textId="77777777" w:rsidR="003545C8" w:rsidRPr="00931D46" w:rsidRDefault="003545C8" w:rsidP="003545C8">
      <w:pPr>
        <w:spacing w:after="0"/>
        <w:jc w:val="both"/>
        <w:rPr>
          <w:rFonts w:ascii="Arial" w:eastAsia="Times New Roman" w:hAnsi="Arial" w:cs="Arial"/>
          <w:bCs/>
          <w:kern w:val="1"/>
          <w:lang w:eastAsia="ar-SA"/>
        </w:rPr>
      </w:pPr>
    </w:p>
    <w:p w14:paraId="38214A26"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En el ámbito internacional,</w:t>
      </w:r>
      <w:r w:rsidRPr="00931D46">
        <w:rPr>
          <w:rStyle w:val="Refdenotaalpie"/>
          <w:rFonts w:ascii="Arial" w:eastAsia="Times New Roman" w:hAnsi="Arial" w:cs="Arial"/>
          <w:bCs/>
          <w:kern w:val="1"/>
          <w:lang w:eastAsia="ar-SA"/>
        </w:rPr>
        <w:footnoteReference w:id="7"/>
      </w:r>
      <w:r w:rsidRPr="00931D46">
        <w:rPr>
          <w:rFonts w:ascii="Arial" w:eastAsia="Times New Roman" w:hAnsi="Arial" w:cs="Arial"/>
          <w:bCs/>
          <w:kern w:val="1"/>
          <w:lang w:eastAsia="ar-SA"/>
        </w:rPr>
        <w:t xml:space="preserve"> las autoridades de competencia económica </w:t>
      </w:r>
      <w:r>
        <w:rPr>
          <w:rFonts w:ascii="Arial" w:eastAsia="Times New Roman" w:hAnsi="Arial" w:cs="Arial"/>
          <w:bCs/>
          <w:kern w:val="1"/>
          <w:lang w:eastAsia="ar-SA"/>
        </w:rPr>
        <w:t xml:space="preserve">y organismos internacionales, como la OCDE, </w:t>
      </w:r>
      <w:r w:rsidRPr="00931D46">
        <w:rPr>
          <w:rFonts w:ascii="Arial" w:eastAsia="Times New Roman" w:hAnsi="Arial" w:cs="Arial"/>
          <w:bCs/>
          <w:kern w:val="1"/>
          <w:lang w:eastAsia="ar-SA"/>
        </w:rPr>
        <w:t>definen el concepto de MR de manera similar, con base en dos dimensiones</w:t>
      </w:r>
      <w:r>
        <w:rPr>
          <w:rFonts w:ascii="Arial" w:eastAsia="Times New Roman" w:hAnsi="Arial" w:cs="Arial"/>
          <w:bCs/>
          <w:kern w:val="1"/>
          <w:lang w:eastAsia="ar-SA"/>
        </w:rPr>
        <w:t>:</w:t>
      </w:r>
      <w:r w:rsidRPr="00931D46">
        <w:rPr>
          <w:rFonts w:ascii="Arial" w:eastAsia="Times New Roman" w:hAnsi="Arial" w:cs="Arial"/>
          <w:bCs/>
          <w:kern w:val="1"/>
          <w:lang w:eastAsia="ar-SA"/>
        </w:rPr>
        <w:t xml:space="preserve">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geográfica</w:t>
      </w:r>
      <w:r>
        <w:rPr>
          <w:rFonts w:ascii="Arial" w:eastAsia="Times New Roman" w:hAnsi="Arial" w:cs="Arial"/>
          <w:bCs/>
          <w:kern w:val="1"/>
          <w:lang w:eastAsia="ar-SA"/>
        </w:rPr>
        <w:t>.</w:t>
      </w:r>
      <w:r>
        <w:rPr>
          <w:rStyle w:val="Refdenotaalpie"/>
          <w:rFonts w:ascii="Arial" w:eastAsia="Times New Roman" w:hAnsi="Arial" w:cs="Arial"/>
          <w:bCs/>
          <w:kern w:val="1"/>
          <w:lang w:eastAsia="ar-SA"/>
        </w:rPr>
        <w:footnoteReference w:id="8"/>
      </w:r>
    </w:p>
    <w:p w14:paraId="70267416" w14:textId="77777777" w:rsidR="003545C8" w:rsidRPr="00931D46" w:rsidRDefault="003545C8" w:rsidP="003545C8">
      <w:pPr>
        <w:spacing w:after="0"/>
        <w:jc w:val="both"/>
        <w:rPr>
          <w:rFonts w:ascii="Arial" w:eastAsia="Times New Roman" w:hAnsi="Arial" w:cs="Arial"/>
          <w:bCs/>
          <w:kern w:val="1"/>
          <w:lang w:eastAsia="ar-SA"/>
        </w:rPr>
      </w:pPr>
    </w:p>
    <w:p w14:paraId="0E40597F" w14:textId="77777777" w:rsidR="003545C8" w:rsidRPr="00931D46" w:rsidRDefault="003545C8" w:rsidP="003545C8">
      <w:pPr>
        <w:spacing w:after="0"/>
        <w:jc w:val="both"/>
        <w:rPr>
          <w:rFonts w:ascii="Arial" w:eastAsia="Times New Roman" w:hAnsi="Arial" w:cs="Arial"/>
          <w:bCs/>
          <w:kern w:val="1"/>
          <w:lang w:eastAsia="ar-SA"/>
        </w:rPr>
      </w:pPr>
      <w:r>
        <w:rPr>
          <w:rFonts w:ascii="Arial" w:eastAsia="Times New Roman" w:hAnsi="Arial" w:cs="Arial"/>
          <w:bCs/>
          <w:kern w:val="1"/>
          <w:lang w:eastAsia="ar-SA"/>
        </w:rPr>
        <w:t>E</w:t>
      </w:r>
      <w:r w:rsidRPr="00931D46">
        <w:rPr>
          <w:rFonts w:ascii="Arial" w:eastAsia="Times New Roman" w:hAnsi="Arial" w:cs="Arial"/>
          <w:bCs/>
          <w:kern w:val="1"/>
          <w:lang w:eastAsia="ar-SA"/>
        </w:rPr>
        <w:t>l concepto de MR que se utiliza para analizar cuestiones de competencia económica es distinto al concepto llano de “mercado” que se utiliza en otros contextos, pues el MR debe delimitarse “</w:t>
      </w:r>
      <w:r w:rsidRPr="00931D46">
        <w:rPr>
          <w:rFonts w:ascii="Arial" w:eastAsia="Times New Roman" w:hAnsi="Arial" w:cs="Arial"/>
          <w:bCs/>
          <w:i/>
          <w:kern w:val="1"/>
          <w:lang w:eastAsia="ar-SA"/>
        </w:rPr>
        <w:t>de manera que las restricciones [presiones] competitivas a las que se enfrenta una empresa, es decir, la sustitución por el lado de la demanda y de la oferta, sean capturadas con la mayor precisión posible</w:t>
      </w:r>
      <w:r w:rsidRPr="00931D46">
        <w:rPr>
          <w:rFonts w:ascii="Arial" w:eastAsia="Times New Roman" w:hAnsi="Arial" w:cs="Arial"/>
          <w:bCs/>
          <w:kern w:val="1"/>
          <w:lang w:eastAsia="ar-SA"/>
        </w:rPr>
        <w:t>”.</w:t>
      </w:r>
      <w:r w:rsidRPr="00931D46">
        <w:rPr>
          <w:rStyle w:val="Refdenotaalpie"/>
          <w:rFonts w:ascii="Arial" w:eastAsia="Times New Roman" w:hAnsi="Arial" w:cs="Arial"/>
          <w:bCs/>
          <w:kern w:val="1"/>
          <w:lang w:eastAsia="ar-SA"/>
        </w:rPr>
        <w:footnoteReference w:id="9"/>
      </w:r>
    </w:p>
    <w:p w14:paraId="55B60705" w14:textId="77777777" w:rsidR="003545C8" w:rsidRPr="00931D46" w:rsidRDefault="003545C8" w:rsidP="003545C8">
      <w:pPr>
        <w:spacing w:after="0"/>
        <w:jc w:val="both"/>
        <w:rPr>
          <w:rFonts w:ascii="Arial" w:eastAsia="Times New Roman" w:hAnsi="Arial" w:cs="Arial"/>
          <w:bCs/>
          <w:kern w:val="1"/>
          <w:lang w:eastAsia="ar-SA"/>
        </w:rPr>
      </w:pPr>
    </w:p>
    <w:p w14:paraId="43383943" w14:textId="77777777" w:rsidR="003545C8" w:rsidRPr="00931D46" w:rsidRDefault="003545C8" w:rsidP="003545C8">
      <w:pPr>
        <w:spacing w:after="0"/>
        <w:jc w:val="both"/>
        <w:rPr>
          <w:rFonts w:ascii="Arial" w:eastAsia="Times New Roman" w:hAnsi="Arial" w:cs="Arial"/>
          <w:bCs/>
          <w:kern w:val="1"/>
          <w:lang w:eastAsia="ar-SA"/>
        </w:rPr>
      </w:pPr>
      <w:r>
        <w:rPr>
          <w:rFonts w:ascii="Arial" w:eastAsia="Times New Roman" w:hAnsi="Arial" w:cs="Arial"/>
          <w:bCs/>
          <w:kern w:val="1"/>
          <w:lang w:eastAsia="ar-SA"/>
        </w:rPr>
        <w:t>D</w:t>
      </w:r>
      <w:r w:rsidRPr="00931D46">
        <w:rPr>
          <w:rFonts w:ascii="Arial" w:eastAsia="Times New Roman" w:hAnsi="Arial" w:cs="Arial"/>
          <w:bCs/>
          <w:kern w:val="1"/>
          <w:lang w:eastAsia="ar-SA"/>
        </w:rPr>
        <w:t>eterminar el MR</w:t>
      </w:r>
      <w:r w:rsidRPr="00931D46">
        <w:rPr>
          <w:rFonts w:ascii="Arial" w:hAnsi="Arial" w:cs="Arial"/>
        </w:rPr>
        <w:t xml:space="preserve"> </w:t>
      </w:r>
      <w:r w:rsidRPr="00931D46">
        <w:rPr>
          <w:rFonts w:ascii="Arial" w:eastAsia="Times New Roman" w:hAnsi="Arial" w:cs="Arial"/>
          <w:bCs/>
          <w:kern w:val="1"/>
          <w:lang w:eastAsia="ar-SA"/>
        </w:rPr>
        <w:t xml:space="preserve">es fundamental para </w:t>
      </w:r>
      <w:r>
        <w:rPr>
          <w:rFonts w:ascii="Arial" w:eastAsia="Times New Roman" w:hAnsi="Arial" w:cs="Arial"/>
          <w:bCs/>
          <w:kern w:val="1"/>
          <w:lang w:eastAsia="ar-SA"/>
        </w:rPr>
        <w:t>delimitar</w:t>
      </w:r>
      <w:r w:rsidRPr="00931D46">
        <w:rPr>
          <w:rFonts w:ascii="Arial" w:eastAsia="Times New Roman" w:hAnsi="Arial" w:cs="Arial"/>
          <w:bCs/>
          <w:kern w:val="1"/>
          <w:lang w:eastAsia="ar-SA"/>
        </w:rPr>
        <w:t xml:space="preserve"> el entorno en el que ocurre una conducta,</w:t>
      </w:r>
      <w:r>
        <w:rPr>
          <w:rFonts w:ascii="Arial" w:eastAsia="Times New Roman" w:hAnsi="Arial" w:cs="Arial"/>
          <w:bCs/>
          <w:kern w:val="1"/>
          <w:lang w:eastAsia="ar-SA"/>
        </w:rPr>
        <w:t xml:space="preserve"> </w:t>
      </w:r>
      <w:r w:rsidRPr="00931D46">
        <w:rPr>
          <w:rFonts w:ascii="Arial" w:eastAsia="Times New Roman" w:hAnsi="Arial" w:cs="Arial"/>
          <w:bCs/>
          <w:kern w:val="1"/>
          <w:lang w:eastAsia="ar-SA"/>
        </w:rPr>
        <w:t>identificar los efectos de una concentración y</w:t>
      </w:r>
      <w:r>
        <w:rPr>
          <w:rFonts w:ascii="Arial" w:eastAsia="Times New Roman" w:hAnsi="Arial" w:cs="Arial"/>
          <w:bCs/>
          <w:kern w:val="1"/>
          <w:lang w:eastAsia="ar-SA"/>
        </w:rPr>
        <w:t xml:space="preserve"> caracterizar</w:t>
      </w:r>
      <w:r w:rsidRPr="00931D46">
        <w:rPr>
          <w:rFonts w:ascii="Arial" w:eastAsia="Times New Roman" w:hAnsi="Arial" w:cs="Arial"/>
          <w:bCs/>
          <w:kern w:val="1"/>
          <w:lang w:eastAsia="ar-SA"/>
        </w:rPr>
        <w:t xml:space="preserve"> las condiciones de competencia y libre concurrencia. No obstante, dicha determinación no es un fin en sí mismo, sino una herramienta para establecer </w:t>
      </w:r>
      <w:r>
        <w:rPr>
          <w:rFonts w:ascii="Arial" w:eastAsia="Times New Roman" w:hAnsi="Arial" w:cs="Arial"/>
          <w:bCs/>
          <w:kern w:val="1"/>
          <w:lang w:eastAsia="ar-SA"/>
        </w:rPr>
        <w:t>el</w:t>
      </w:r>
      <w:r w:rsidRPr="00931D46">
        <w:rPr>
          <w:rFonts w:ascii="Arial" w:eastAsia="Times New Roman" w:hAnsi="Arial" w:cs="Arial"/>
          <w:bCs/>
          <w:kern w:val="1"/>
          <w:lang w:eastAsia="ar-SA"/>
        </w:rPr>
        <w:t xml:space="preserve"> marco de referencia </w:t>
      </w:r>
      <w:r>
        <w:rPr>
          <w:rFonts w:ascii="Arial" w:eastAsia="Times New Roman" w:hAnsi="Arial" w:cs="Arial"/>
          <w:bCs/>
          <w:kern w:val="1"/>
          <w:lang w:eastAsia="ar-SA"/>
        </w:rPr>
        <w:t>para</w:t>
      </w:r>
      <w:r w:rsidRPr="00931D46">
        <w:rPr>
          <w:rFonts w:ascii="Arial" w:eastAsia="Times New Roman" w:hAnsi="Arial" w:cs="Arial"/>
          <w:bCs/>
          <w:kern w:val="1"/>
          <w:lang w:eastAsia="ar-SA"/>
        </w:rPr>
        <w:t xml:space="preserve"> la evaluación de efectos o condiciones de </w:t>
      </w:r>
      <w:r w:rsidRPr="00931D46">
        <w:rPr>
          <w:rFonts w:ascii="Arial" w:eastAsia="Times New Roman" w:hAnsi="Arial" w:cs="Arial"/>
          <w:bCs/>
          <w:kern w:val="1"/>
          <w:lang w:eastAsia="ar-SA"/>
        </w:rPr>
        <w:lastRenderedPageBreak/>
        <w:t>competencia; la SCJN</w:t>
      </w:r>
      <w:r w:rsidRPr="00931D46">
        <w:rPr>
          <w:rStyle w:val="Refdenotaalpie"/>
          <w:rFonts w:ascii="Arial" w:hAnsi="Arial" w:cs="Arial"/>
        </w:rPr>
        <w:footnoteReference w:id="10"/>
      </w:r>
      <w:r w:rsidRPr="00931D46">
        <w:rPr>
          <w:rFonts w:ascii="Arial" w:eastAsia="Times New Roman" w:hAnsi="Arial" w:cs="Arial"/>
          <w:bCs/>
          <w:kern w:val="1"/>
          <w:lang w:eastAsia="ar-SA"/>
        </w:rPr>
        <w:t xml:space="preserve"> </w:t>
      </w:r>
      <w:r>
        <w:rPr>
          <w:rFonts w:ascii="Arial" w:eastAsia="Times New Roman" w:hAnsi="Arial" w:cs="Arial"/>
          <w:bCs/>
          <w:kern w:val="1"/>
          <w:lang w:eastAsia="ar-SA"/>
        </w:rPr>
        <w:t>y la práctica internacional</w:t>
      </w:r>
      <w:r w:rsidRPr="00931D46">
        <w:rPr>
          <w:rStyle w:val="Refdenotaalpie"/>
          <w:rFonts w:ascii="Arial" w:hAnsi="Arial" w:cs="Arial"/>
        </w:rPr>
        <w:footnoteReference w:id="11"/>
      </w:r>
      <w:r>
        <w:rPr>
          <w:rFonts w:ascii="Arial" w:eastAsia="Times New Roman" w:hAnsi="Arial" w:cs="Arial"/>
          <w:bCs/>
          <w:kern w:val="1"/>
          <w:lang w:eastAsia="ar-SA"/>
        </w:rPr>
        <w:t xml:space="preserve"> indican </w:t>
      </w:r>
      <w:r w:rsidRPr="00931D46">
        <w:rPr>
          <w:rFonts w:ascii="Arial" w:eastAsia="Times New Roman" w:hAnsi="Arial" w:cs="Arial"/>
          <w:bCs/>
          <w:kern w:val="1"/>
          <w:lang w:eastAsia="ar-SA"/>
        </w:rPr>
        <w:t xml:space="preserve">que la determinación del MR cobra importancia sólo en un contexto de análisis de competencia, convirtiéndose así en un medio para determinar la presencia o ausencia de poder </w:t>
      </w:r>
      <w:r>
        <w:rPr>
          <w:rFonts w:ascii="Arial" w:eastAsia="Times New Roman" w:hAnsi="Arial" w:cs="Arial"/>
          <w:bCs/>
          <w:kern w:val="1"/>
          <w:lang w:eastAsia="ar-SA"/>
        </w:rPr>
        <w:t>d</w:t>
      </w:r>
      <w:r w:rsidRPr="00931D46">
        <w:rPr>
          <w:rFonts w:ascii="Arial" w:eastAsia="Times New Roman" w:hAnsi="Arial" w:cs="Arial"/>
          <w:bCs/>
          <w:kern w:val="1"/>
          <w:lang w:eastAsia="ar-SA"/>
        </w:rPr>
        <w:t>e mercado.</w:t>
      </w:r>
    </w:p>
    <w:p w14:paraId="5EF98F23" w14:textId="77777777" w:rsidR="003545C8" w:rsidRDefault="003545C8" w:rsidP="003545C8">
      <w:pPr>
        <w:spacing w:after="0"/>
        <w:jc w:val="both"/>
        <w:rPr>
          <w:rFonts w:ascii="Arial" w:eastAsia="Times New Roman" w:hAnsi="Arial" w:cs="Arial"/>
          <w:bCs/>
          <w:kern w:val="1"/>
          <w:lang w:eastAsia="ar-SA"/>
        </w:rPr>
      </w:pPr>
    </w:p>
    <w:p w14:paraId="26F51CB7" w14:textId="77777777" w:rsidR="003545C8" w:rsidRDefault="003545C8" w:rsidP="003545C8">
      <w:pPr>
        <w:jc w:val="both"/>
        <w:rPr>
          <w:rFonts w:ascii="Arial" w:eastAsia="Times New Roman" w:hAnsi="Arial" w:cs="Arial"/>
          <w:bCs/>
          <w:kern w:val="1"/>
          <w:lang w:eastAsia="ar-SA"/>
        </w:rPr>
      </w:pPr>
      <w:r>
        <w:rPr>
          <w:rFonts w:ascii="Arial" w:eastAsia="Times New Roman" w:hAnsi="Arial" w:cs="Arial"/>
          <w:bCs/>
          <w:kern w:val="1"/>
          <w:lang w:eastAsia="ar-SA"/>
        </w:rPr>
        <w:t xml:space="preserve">Por lo tanto, los errores en la determinación del MR pueden implicar una apreciación incorrecta sobre las condiciones de competencia que existen en el mercado. En particular, se pueden cometer dos tipos de errores al determinar el MR: </w:t>
      </w:r>
    </w:p>
    <w:p w14:paraId="245B5AA5" w14:textId="77777777" w:rsidR="003545C8" w:rsidRPr="00EA2839" w:rsidRDefault="003545C8" w:rsidP="005E23E0">
      <w:pPr>
        <w:pStyle w:val="Prrafodelista"/>
        <w:numPr>
          <w:ilvl w:val="0"/>
          <w:numId w:val="36"/>
        </w:numPr>
        <w:spacing w:after="120"/>
        <w:ind w:left="709" w:hanging="567"/>
        <w:contextualSpacing w:val="0"/>
        <w:jc w:val="both"/>
        <w:rPr>
          <w:rFonts w:ascii="Arial" w:eastAsia="Times New Roman" w:hAnsi="Arial" w:cs="Arial"/>
          <w:bCs/>
          <w:kern w:val="1"/>
          <w:lang w:eastAsia="ar-SA"/>
        </w:rPr>
      </w:pPr>
      <w:r w:rsidRPr="00EA2839">
        <w:rPr>
          <w:rFonts w:ascii="Arial" w:eastAsia="Times New Roman" w:hAnsi="Arial" w:cs="Arial"/>
          <w:bCs/>
          <w:kern w:val="1"/>
          <w:lang w:eastAsia="ar-SA"/>
        </w:rPr>
        <w:t>Determinación demasiado amplia, que implica considerar una gran cantidad de productos o zonas geográficas como sustitutos</w:t>
      </w:r>
      <w:r>
        <w:rPr>
          <w:rFonts w:ascii="Arial" w:eastAsia="Times New Roman" w:hAnsi="Arial" w:cs="Arial"/>
          <w:bCs/>
          <w:kern w:val="1"/>
          <w:lang w:eastAsia="ar-SA"/>
        </w:rPr>
        <w:t>, cuando en realidad no lo son</w:t>
      </w:r>
      <w:r w:rsidRPr="00EA2839">
        <w:rPr>
          <w:rFonts w:ascii="Arial" w:eastAsia="Times New Roman" w:hAnsi="Arial" w:cs="Arial"/>
          <w:bCs/>
          <w:kern w:val="1"/>
          <w:lang w:eastAsia="ar-SA"/>
        </w:rPr>
        <w:t>, lo que a su vez lleva a observar una mayor cantidad de participantes en el mercado y una mayor competencia</w:t>
      </w:r>
      <w:r>
        <w:rPr>
          <w:rFonts w:ascii="Arial" w:eastAsia="Times New Roman" w:hAnsi="Arial" w:cs="Arial"/>
          <w:bCs/>
          <w:kern w:val="1"/>
          <w:lang w:eastAsia="ar-SA"/>
        </w:rPr>
        <w:t>, cuando no la hay</w:t>
      </w:r>
      <w:r w:rsidRPr="00EA2839">
        <w:rPr>
          <w:rFonts w:ascii="Arial" w:eastAsia="Times New Roman" w:hAnsi="Arial" w:cs="Arial"/>
          <w:bCs/>
          <w:kern w:val="1"/>
          <w:lang w:eastAsia="ar-SA"/>
        </w:rPr>
        <w:t xml:space="preserve">, y </w:t>
      </w:r>
    </w:p>
    <w:p w14:paraId="5FB12E54" w14:textId="77777777" w:rsidR="003545C8" w:rsidRPr="00EA2839" w:rsidRDefault="003545C8" w:rsidP="005E23E0">
      <w:pPr>
        <w:pStyle w:val="Prrafodelista"/>
        <w:numPr>
          <w:ilvl w:val="0"/>
          <w:numId w:val="36"/>
        </w:numPr>
        <w:spacing w:after="0"/>
        <w:ind w:left="709" w:hanging="567"/>
        <w:jc w:val="both"/>
        <w:rPr>
          <w:rFonts w:ascii="Arial" w:eastAsia="Times New Roman" w:hAnsi="Arial" w:cs="Arial"/>
          <w:bCs/>
          <w:kern w:val="1"/>
          <w:lang w:eastAsia="ar-SA"/>
        </w:rPr>
      </w:pPr>
      <w:r>
        <w:rPr>
          <w:rFonts w:ascii="Arial" w:eastAsia="Times New Roman" w:hAnsi="Arial" w:cs="Arial"/>
          <w:bCs/>
          <w:kern w:val="1"/>
          <w:lang w:eastAsia="ar-SA"/>
        </w:rPr>
        <w:t>D</w:t>
      </w:r>
      <w:r w:rsidRPr="00EA2839">
        <w:rPr>
          <w:rFonts w:ascii="Arial" w:eastAsia="Times New Roman" w:hAnsi="Arial" w:cs="Arial"/>
          <w:bCs/>
          <w:kern w:val="1"/>
          <w:lang w:eastAsia="ar-SA"/>
        </w:rPr>
        <w:t xml:space="preserve">eterminación demasiado estrecha, que </w:t>
      </w:r>
      <w:r>
        <w:rPr>
          <w:rFonts w:ascii="Arial" w:eastAsia="Times New Roman" w:hAnsi="Arial" w:cs="Arial"/>
          <w:bCs/>
          <w:kern w:val="1"/>
          <w:lang w:eastAsia="ar-SA"/>
        </w:rPr>
        <w:t xml:space="preserve">implica considerar muy pocos productos o zonas geográficas como sustitutos, cuando en realidad hay otros </w:t>
      </w:r>
      <w:r w:rsidRPr="00EA2839">
        <w:rPr>
          <w:rFonts w:ascii="Arial" w:eastAsia="Times New Roman" w:hAnsi="Arial" w:cs="Arial"/>
          <w:bCs/>
          <w:kern w:val="1"/>
          <w:lang w:eastAsia="ar-SA"/>
        </w:rPr>
        <w:t xml:space="preserve">productos y zonas geográficas que representan fuertes presiones competitivas para los participantes y evitan la existencia de poder de mercado. </w:t>
      </w:r>
      <w:r>
        <w:rPr>
          <w:rFonts w:ascii="Arial" w:eastAsia="Times New Roman" w:hAnsi="Arial" w:cs="Arial"/>
          <w:bCs/>
          <w:kern w:val="1"/>
          <w:lang w:eastAsia="ar-SA"/>
        </w:rPr>
        <w:t>Con base en este análisis, se pueden llegar a prohibir situaciones que no son anticompetitivas.</w:t>
      </w:r>
    </w:p>
    <w:p w14:paraId="2B4B23CF" w14:textId="77777777" w:rsidR="003545C8" w:rsidRPr="00931D46" w:rsidRDefault="003545C8" w:rsidP="003545C8">
      <w:pPr>
        <w:spacing w:after="0"/>
        <w:jc w:val="both"/>
        <w:rPr>
          <w:rFonts w:ascii="Arial" w:hAnsi="Arial" w:cs="Arial"/>
        </w:rPr>
      </w:pPr>
      <w:r w:rsidRPr="00931D46">
        <w:rPr>
          <w:rFonts w:ascii="Arial" w:eastAsia="Times New Roman" w:hAnsi="Arial" w:cs="Arial"/>
          <w:bCs/>
          <w:kern w:val="1"/>
          <w:lang w:eastAsia="ar-SA"/>
        </w:rPr>
        <w:t xml:space="preserve">Respecto a los elementos a considerar para la determinación de MR, la SCJN </w:t>
      </w:r>
      <w:r w:rsidRPr="00931D46">
        <w:rPr>
          <w:rFonts w:ascii="Arial" w:hAnsi="Arial" w:cs="Arial"/>
        </w:rPr>
        <w:t>ha señalado que el MR es un concepto jurídico indeterminado cuya determinación implica una valoración económica compleja de carácter discrecional que sólo la autoridad de competencia puede construir a partir de la evidencia de que dispone</w:t>
      </w:r>
      <w:r>
        <w:rPr>
          <w:rFonts w:ascii="Arial" w:hAnsi="Arial" w:cs="Arial"/>
        </w:rPr>
        <w:t>,</w:t>
      </w:r>
      <w:r w:rsidRPr="00931D46">
        <w:rPr>
          <w:rStyle w:val="Refdenotaalpie"/>
          <w:rFonts w:ascii="Arial" w:hAnsi="Arial" w:cs="Arial"/>
        </w:rPr>
        <w:footnoteReference w:id="12"/>
      </w:r>
      <w:r>
        <w:rPr>
          <w:rFonts w:ascii="Arial" w:hAnsi="Arial" w:cs="Arial"/>
        </w:rPr>
        <w:t xml:space="preserve"> l</w:t>
      </w:r>
      <w:r w:rsidRPr="00931D46">
        <w:rPr>
          <w:rFonts w:ascii="Arial" w:hAnsi="Arial" w:cs="Arial"/>
        </w:rPr>
        <w:t xml:space="preserve">o </w:t>
      </w:r>
      <w:r>
        <w:rPr>
          <w:rFonts w:ascii="Arial" w:hAnsi="Arial" w:cs="Arial"/>
        </w:rPr>
        <w:t xml:space="preserve">cual </w:t>
      </w:r>
      <w:r w:rsidRPr="00931D46">
        <w:rPr>
          <w:rFonts w:ascii="Arial" w:hAnsi="Arial" w:cs="Arial"/>
        </w:rPr>
        <w:t>es consistente con lo señalado por diversas autoridades de otras jurisdicciones y organismos internacionales</w:t>
      </w:r>
      <w:r>
        <w:rPr>
          <w:rFonts w:ascii="Arial" w:hAnsi="Arial" w:cs="Arial"/>
        </w:rPr>
        <w:t>.</w:t>
      </w:r>
      <w:r w:rsidRPr="00931D46">
        <w:rPr>
          <w:rStyle w:val="Refdenotaalpie"/>
          <w:rFonts w:ascii="Arial" w:hAnsi="Arial" w:cs="Arial"/>
        </w:rPr>
        <w:footnoteReference w:id="13"/>
      </w:r>
    </w:p>
    <w:p w14:paraId="7CA98720" w14:textId="77777777" w:rsidR="003545C8" w:rsidRPr="00931D46" w:rsidRDefault="003545C8" w:rsidP="003545C8">
      <w:pPr>
        <w:spacing w:after="0"/>
        <w:jc w:val="both"/>
        <w:rPr>
          <w:rFonts w:ascii="Arial" w:hAnsi="Arial" w:cs="Arial"/>
        </w:rPr>
      </w:pPr>
    </w:p>
    <w:p w14:paraId="0EB1C90B" w14:textId="501EF1BA" w:rsidR="003545C8" w:rsidRPr="00931D46" w:rsidRDefault="00F23AF4"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21" w:name="_Toc45216569"/>
      <w:bookmarkStart w:id="22" w:name="_Toc45628314"/>
      <w:bookmarkStart w:id="23" w:name="_Toc71717629"/>
      <w:r>
        <w:rPr>
          <w:rFonts w:ascii="Arial" w:eastAsia="Times New Roman" w:hAnsi="Arial" w:cs="Arial"/>
          <w:sz w:val="26"/>
          <w:lang w:eastAsia="es-MX"/>
        </w:rPr>
        <w:lastRenderedPageBreak/>
        <w:t>D</w:t>
      </w:r>
      <w:r w:rsidRPr="00931D46">
        <w:rPr>
          <w:rFonts w:ascii="Arial" w:eastAsia="Times New Roman" w:hAnsi="Arial" w:cs="Arial"/>
          <w:sz w:val="26"/>
          <w:lang w:eastAsia="es-MX"/>
        </w:rPr>
        <w:t xml:space="preserve">efinición </w:t>
      </w:r>
      <w:r w:rsidR="003545C8" w:rsidRPr="00931D46">
        <w:rPr>
          <w:rFonts w:ascii="Arial" w:eastAsia="Times New Roman" w:hAnsi="Arial" w:cs="Arial"/>
          <w:sz w:val="26"/>
          <w:lang w:eastAsia="es-MX"/>
        </w:rPr>
        <w:t>conceptual de MR</w:t>
      </w:r>
      <w:bookmarkEnd w:id="21"/>
      <w:r w:rsidR="003545C8" w:rsidRPr="00931D46">
        <w:rPr>
          <w:rFonts w:ascii="Arial" w:eastAsia="Times New Roman" w:hAnsi="Arial" w:cs="Arial"/>
          <w:sz w:val="26"/>
          <w:lang w:eastAsia="es-MX"/>
        </w:rPr>
        <w:t xml:space="preserve"> y su determinación</w:t>
      </w:r>
      <w:bookmarkEnd w:id="22"/>
      <w:bookmarkEnd w:id="23"/>
    </w:p>
    <w:p w14:paraId="557A6C8F" w14:textId="77777777" w:rsidR="003545C8" w:rsidRPr="00931D46" w:rsidRDefault="003545C8" w:rsidP="003545C8">
      <w:pPr>
        <w:keepNext/>
        <w:spacing w:after="0"/>
        <w:jc w:val="both"/>
        <w:rPr>
          <w:rFonts w:ascii="Arial" w:hAnsi="Arial" w:cs="Arial"/>
        </w:rPr>
      </w:pPr>
    </w:p>
    <w:p w14:paraId="54A38151"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hAnsi="Arial" w:cs="Arial"/>
        </w:rPr>
        <w:t xml:space="preserve">Se entenderá como MR </w:t>
      </w:r>
      <w:r w:rsidRPr="00931D46">
        <w:rPr>
          <w:rFonts w:ascii="Arial" w:eastAsia="Times New Roman" w:hAnsi="Arial" w:cs="Arial"/>
          <w:bCs/>
          <w:kern w:val="1"/>
          <w:lang w:eastAsia="ar-SA"/>
        </w:rPr>
        <w:t xml:space="preserve">el espacio geográfico en el que se ofrecen o demandan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sustitutos, el cual tiene dos dimensiones: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geográfica. </w:t>
      </w:r>
    </w:p>
    <w:p w14:paraId="1FA4D253" w14:textId="77777777" w:rsidR="003545C8" w:rsidRPr="00931D46" w:rsidRDefault="003545C8" w:rsidP="003545C8">
      <w:pPr>
        <w:spacing w:after="0"/>
        <w:jc w:val="both"/>
        <w:rPr>
          <w:rFonts w:ascii="Arial" w:eastAsia="Times New Roman" w:hAnsi="Arial" w:cs="Arial"/>
          <w:bCs/>
          <w:kern w:val="1"/>
          <w:lang w:eastAsia="ar-SA"/>
        </w:rPr>
      </w:pPr>
    </w:p>
    <w:p w14:paraId="11258216"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La dimensión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del MR es el </w:t>
      </w:r>
      <w:r w:rsidRPr="00931D46">
        <w:rPr>
          <w:rFonts w:ascii="Arial" w:hAnsi="Arial" w:cs="Arial"/>
        </w:rPr>
        <w:t xml:space="preserve">conjunto de </w:t>
      </w:r>
      <w:r>
        <w:rPr>
          <w:rFonts w:ascii="Arial" w:hAnsi="Arial" w:cs="Arial"/>
        </w:rPr>
        <w:t>productos</w:t>
      </w:r>
      <w:r w:rsidRPr="00931D46">
        <w:rPr>
          <w:rFonts w:ascii="Arial" w:hAnsi="Arial" w:cs="Arial"/>
        </w:rPr>
        <w:t xml:space="preserve"> </w:t>
      </w:r>
      <w:r w:rsidRPr="00931D46">
        <w:rPr>
          <w:rFonts w:ascii="Arial" w:eastAsia="Times New Roman" w:hAnsi="Arial" w:cs="Arial"/>
          <w:bCs/>
          <w:kern w:val="1"/>
          <w:lang w:eastAsia="ar-SA"/>
        </w:rPr>
        <w:t>que son razonablemente intercambiables</w:t>
      </w:r>
      <w:r>
        <w:rPr>
          <w:rFonts w:ascii="Arial" w:eastAsia="Times New Roman" w:hAnsi="Arial" w:cs="Arial"/>
          <w:bCs/>
          <w:kern w:val="1"/>
          <w:lang w:eastAsia="ar-SA"/>
        </w:rPr>
        <w:t>,</w:t>
      </w:r>
      <w:r w:rsidRPr="00931D46">
        <w:rPr>
          <w:rFonts w:ascii="Arial" w:eastAsia="Times New Roman" w:hAnsi="Arial" w:cs="Arial"/>
          <w:bCs/>
          <w:kern w:val="1"/>
          <w:lang w:eastAsia="ar-SA"/>
        </w:rPr>
        <w:t xml:space="preserve"> o sustituibles</w:t>
      </w:r>
      <w:r w:rsidRPr="00931D46">
        <w:rPr>
          <w:rFonts w:ascii="Arial" w:hAnsi="Arial" w:cs="Arial"/>
        </w:rPr>
        <w:t xml:space="preserve"> oportunamente</w:t>
      </w:r>
      <w:r>
        <w:rPr>
          <w:rFonts w:ascii="Arial" w:hAnsi="Arial" w:cs="Arial"/>
        </w:rPr>
        <w:t>,</w:t>
      </w:r>
      <w:r w:rsidRPr="00931D46">
        <w:rPr>
          <w:rFonts w:ascii="Arial" w:hAnsi="Arial" w:cs="Arial"/>
        </w:rPr>
        <w:t xml:space="preserve"> </w:t>
      </w:r>
      <w:r w:rsidRPr="00931D46">
        <w:rPr>
          <w:rFonts w:ascii="Arial" w:eastAsia="Times New Roman" w:hAnsi="Arial" w:cs="Arial"/>
          <w:bCs/>
          <w:kern w:val="1"/>
          <w:lang w:eastAsia="ar-SA"/>
        </w:rPr>
        <w:t>en razón de sus características y los fines para los que fueron hechos, considerando cuestiones de precio, uso y calidad, por lo que ejercen una presión competitiva entre sí.</w:t>
      </w:r>
    </w:p>
    <w:p w14:paraId="66FC47DA" w14:textId="77777777" w:rsidR="003545C8" w:rsidRPr="00931D46" w:rsidRDefault="003545C8" w:rsidP="003545C8">
      <w:pPr>
        <w:spacing w:after="0"/>
        <w:jc w:val="both"/>
        <w:rPr>
          <w:rFonts w:ascii="Arial" w:eastAsia="Times New Roman" w:hAnsi="Arial" w:cs="Arial"/>
          <w:bCs/>
          <w:kern w:val="1"/>
          <w:lang w:eastAsia="ar-SA"/>
        </w:rPr>
      </w:pPr>
    </w:p>
    <w:p w14:paraId="775D696F"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La dimensión geográfica del MR es el espacio geográfico donde: i)</w:t>
      </w:r>
      <w:r w:rsidRPr="00931D46">
        <w:rPr>
          <w:rFonts w:ascii="Arial" w:hAnsi="Arial" w:cs="Arial"/>
        </w:rPr>
        <w:t xml:space="preserve"> se ofrecen o demandan los </w:t>
      </w:r>
      <w:r>
        <w:rPr>
          <w:rFonts w:ascii="Arial" w:hAnsi="Arial" w:cs="Arial"/>
        </w:rPr>
        <w:t>productos</w:t>
      </w:r>
      <w:r w:rsidRPr="00931D46">
        <w:rPr>
          <w:rFonts w:ascii="Arial" w:hAnsi="Arial" w:cs="Arial"/>
        </w:rPr>
        <w:t xml:space="preserve"> </w:t>
      </w:r>
      <w:r>
        <w:rPr>
          <w:rFonts w:ascii="Arial" w:hAnsi="Arial" w:cs="Arial"/>
        </w:rPr>
        <w:t>que forman parte del MR en su dimensión producto</w:t>
      </w:r>
      <w:r w:rsidRPr="00931D46">
        <w:rPr>
          <w:rFonts w:ascii="Arial" w:hAnsi="Arial" w:cs="Arial"/>
        </w:rPr>
        <w:t xml:space="preserve">, </w:t>
      </w:r>
      <w:proofErr w:type="spellStart"/>
      <w:r w:rsidRPr="00931D46">
        <w:rPr>
          <w:rFonts w:ascii="Arial" w:hAnsi="Arial" w:cs="Arial"/>
        </w:rPr>
        <w:t>ii</w:t>
      </w:r>
      <w:proofErr w:type="spellEnd"/>
      <w:r w:rsidRPr="00931D46">
        <w:rPr>
          <w:rFonts w:ascii="Arial" w:hAnsi="Arial" w:cs="Arial"/>
        </w:rPr>
        <w:t xml:space="preserve">) los usuarios o consumidores pueden acudir indistintamente a los proveedores y éstos a los primeros sin incurrir en costos significativos, y </w:t>
      </w:r>
      <w:proofErr w:type="spellStart"/>
      <w:r w:rsidRPr="00931D46">
        <w:rPr>
          <w:rFonts w:ascii="Arial" w:hAnsi="Arial" w:cs="Arial"/>
        </w:rPr>
        <w:t>iii</w:t>
      </w:r>
      <w:proofErr w:type="spellEnd"/>
      <w:r w:rsidRPr="00931D46">
        <w:rPr>
          <w:rFonts w:ascii="Arial" w:hAnsi="Arial" w:cs="Arial"/>
        </w:rPr>
        <w:t xml:space="preserve">) </w:t>
      </w:r>
      <w:r w:rsidRPr="00931D46">
        <w:rPr>
          <w:rFonts w:ascii="Arial" w:eastAsia="Times New Roman" w:hAnsi="Arial" w:cs="Arial"/>
          <w:bCs/>
          <w:kern w:val="1"/>
          <w:lang w:eastAsia="ar-SA"/>
        </w:rPr>
        <w:t>las condiciones de competencia son suficientemente homogéneas y puede distinguirse de otros espacios geográficos colindantes en razón de que las condiciones de competencia que en él prevalecen son apreciablemente distintas a las de aquéllos.</w:t>
      </w:r>
    </w:p>
    <w:p w14:paraId="55A2AF19" w14:textId="77777777" w:rsidR="003545C8" w:rsidRPr="00931D46" w:rsidRDefault="003545C8" w:rsidP="003545C8">
      <w:pPr>
        <w:spacing w:after="0"/>
        <w:jc w:val="both"/>
        <w:rPr>
          <w:rFonts w:ascii="Arial" w:hAnsi="Arial" w:cs="Arial"/>
        </w:rPr>
      </w:pPr>
    </w:p>
    <w:p w14:paraId="5D2441F3" w14:textId="77777777" w:rsidR="003545C8" w:rsidRPr="00931D46" w:rsidRDefault="003545C8" w:rsidP="003545C8">
      <w:pPr>
        <w:spacing w:after="0"/>
        <w:jc w:val="both"/>
        <w:rPr>
          <w:rFonts w:ascii="Arial" w:hAnsi="Arial" w:cs="Arial"/>
        </w:rPr>
      </w:pPr>
      <w:r w:rsidRPr="00931D46">
        <w:rPr>
          <w:rFonts w:ascii="Arial" w:hAnsi="Arial" w:cs="Arial"/>
        </w:rPr>
        <w:t>L</w:t>
      </w:r>
      <w:r w:rsidRPr="00931D46">
        <w:rPr>
          <w:rFonts w:ascii="Arial" w:eastAsia="Times New Roman" w:hAnsi="Arial" w:cs="Arial"/>
          <w:bCs/>
          <w:kern w:val="1"/>
          <w:lang w:eastAsia="ar-SA"/>
        </w:rPr>
        <w:t xml:space="preserve">a determinación del MR no es un fin en sí misma, sino que cobra importancia en un contexto de análisis de competencia e </w:t>
      </w:r>
      <w:r w:rsidRPr="00931D46">
        <w:rPr>
          <w:rFonts w:ascii="Arial" w:hAnsi="Arial" w:cs="Arial"/>
        </w:rPr>
        <w:t>implica una valoración económica compleja de carácter discrecional que</w:t>
      </w:r>
      <w:r>
        <w:rPr>
          <w:rFonts w:ascii="Arial" w:hAnsi="Arial" w:cs="Arial"/>
        </w:rPr>
        <w:t xml:space="preserve">, en los sectores de </w:t>
      </w:r>
      <w:proofErr w:type="spellStart"/>
      <w:r>
        <w:rPr>
          <w:rFonts w:ascii="Arial" w:hAnsi="Arial" w:cs="Arial"/>
        </w:rPr>
        <w:t>TyR</w:t>
      </w:r>
      <w:proofErr w:type="spellEnd"/>
      <w:r w:rsidRPr="00931D46">
        <w:rPr>
          <w:rFonts w:ascii="Arial" w:hAnsi="Arial" w:cs="Arial"/>
        </w:rPr>
        <w:t xml:space="preserve"> sólo </w:t>
      </w:r>
      <w:r>
        <w:rPr>
          <w:rFonts w:ascii="Arial" w:hAnsi="Arial" w:cs="Arial"/>
        </w:rPr>
        <w:t>el Instituto</w:t>
      </w:r>
      <w:r w:rsidRPr="0060173E">
        <w:rPr>
          <w:rFonts w:ascii="Arial" w:hAnsi="Arial" w:cs="Arial"/>
          <w:color w:val="FF0000"/>
        </w:rPr>
        <w:t xml:space="preserve"> </w:t>
      </w:r>
      <w:r w:rsidRPr="00931D46">
        <w:rPr>
          <w:rFonts w:ascii="Arial" w:hAnsi="Arial" w:cs="Arial"/>
        </w:rPr>
        <w:t>puede construir a partir de la evidencia de que dispone en cada caso y de la aplicación de sus propios criterios metodológicos.</w:t>
      </w:r>
    </w:p>
    <w:p w14:paraId="5302E862" w14:textId="77777777" w:rsidR="003545C8" w:rsidRPr="00931D46" w:rsidRDefault="003545C8" w:rsidP="003545C8">
      <w:pPr>
        <w:spacing w:after="0"/>
        <w:jc w:val="both"/>
        <w:rPr>
          <w:rFonts w:ascii="Arial" w:hAnsi="Arial" w:cs="Arial"/>
        </w:rPr>
      </w:pPr>
    </w:p>
    <w:p w14:paraId="3199E107" w14:textId="77777777" w:rsidR="003545C8" w:rsidRPr="00931D46" w:rsidRDefault="003545C8" w:rsidP="003545C8">
      <w:pPr>
        <w:spacing w:after="0"/>
        <w:jc w:val="both"/>
        <w:rPr>
          <w:rFonts w:ascii="Arial" w:hAnsi="Arial" w:cs="Arial"/>
        </w:rPr>
      </w:pPr>
      <w:r w:rsidRPr="00931D46">
        <w:rPr>
          <w:rFonts w:ascii="Arial" w:hAnsi="Arial" w:cs="Arial"/>
        </w:rPr>
        <w:t xml:space="preserve">Por lo tanto, la determinación </w:t>
      </w:r>
      <w:r w:rsidRPr="00EA2839">
        <w:rPr>
          <w:rFonts w:ascii="Arial" w:eastAsia="Times New Roman" w:hAnsi="Arial" w:cs="Arial"/>
          <w:bCs/>
          <w:kern w:val="1"/>
          <w:lang w:eastAsia="ar-SA"/>
        </w:rPr>
        <w:t>específica del MR que adopte el Pleno del Instituto en un caso particular dependerá de los objetivos del procedimiento en el que se lleve a cabo el análisis y de las condiciones particulares del caso, tales como: i) el tipo de enfoque (retrospectivo en las investigaciones de PMR y prospectivo en casos de concentraciones)</w:t>
      </w:r>
      <w:r>
        <w:rPr>
          <w:rFonts w:ascii="Arial" w:eastAsia="Times New Roman" w:hAnsi="Arial" w:cs="Arial"/>
          <w:bCs/>
          <w:kern w:val="1"/>
          <w:lang w:eastAsia="ar-SA"/>
        </w:rPr>
        <w:t xml:space="preserve">, </w:t>
      </w:r>
      <w:proofErr w:type="spellStart"/>
      <w:r>
        <w:rPr>
          <w:rFonts w:ascii="Arial" w:eastAsia="Times New Roman" w:hAnsi="Arial" w:cs="Arial"/>
          <w:bCs/>
          <w:kern w:val="1"/>
          <w:lang w:eastAsia="ar-SA"/>
        </w:rPr>
        <w:t>ii</w:t>
      </w:r>
      <w:proofErr w:type="spellEnd"/>
      <w:r>
        <w:rPr>
          <w:rFonts w:ascii="Arial" w:eastAsia="Times New Roman" w:hAnsi="Arial" w:cs="Arial"/>
          <w:bCs/>
          <w:kern w:val="1"/>
          <w:lang w:eastAsia="ar-SA"/>
        </w:rPr>
        <w:t xml:space="preserve">) </w:t>
      </w:r>
      <w:r w:rsidRPr="00EA2839">
        <w:rPr>
          <w:rFonts w:ascii="Arial" w:eastAsia="Times New Roman" w:hAnsi="Arial" w:cs="Arial"/>
          <w:bCs/>
          <w:kern w:val="1"/>
          <w:lang w:eastAsia="ar-SA"/>
        </w:rPr>
        <w:t xml:space="preserve">la temporalidad (en la determinación del MR es posible que las condiciones varíen en el tiempo, por lo que la delimitación del MR para un producto en el tiempo </w:t>
      </w:r>
      <w:r w:rsidRPr="00EA2839">
        <w:rPr>
          <w:rFonts w:ascii="Arial" w:eastAsia="Times New Roman" w:hAnsi="Arial" w:cs="Arial"/>
          <w:bCs/>
          <w:i/>
          <w:kern w:val="1"/>
          <w:lang w:eastAsia="ar-SA"/>
        </w:rPr>
        <w:t>t</w:t>
      </w:r>
      <w:r w:rsidRPr="00EA2839">
        <w:rPr>
          <w:rFonts w:ascii="Arial" w:eastAsia="Times New Roman" w:hAnsi="Arial" w:cs="Arial"/>
          <w:bCs/>
          <w:kern w:val="1"/>
          <w:lang w:eastAsia="ar-SA"/>
        </w:rPr>
        <w:t xml:space="preserve"> puede ser distinta a la que se defina en el tiempo </w:t>
      </w:r>
      <w:r w:rsidRPr="00EA2839">
        <w:rPr>
          <w:rFonts w:ascii="Arial" w:eastAsia="Times New Roman" w:hAnsi="Arial" w:cs="Arial"/>
          <w:bCs/>
          <w:i/>
          <w:kern w:val="1"/>
          <w:lang w:eastAsia="ar-SA"/>
        </w:rPr>
        <w:t>t+1</w:t>
      </w:r>
      <w:r w:rsidRPr="00EA2839">
        <w:rPr>
          <w:rFonts w:ascii="Arial" w:eastAsia="Times New Roman" w:hAnsi="Arial" w:cs="Arial"/>
          <w:bCs/>
          <w:kern w:val="1"/>
          <w:lang w:eastAsia="ar-SA"/>
        </w:rPr>
        <w:t>; esas variaciones pueden deberse a factores como la innovación, estrategias de los proveedores, cambios regulatorios, entre otros),</w:t>
      </w:r>
      <w:r w:rsidRPr="00EA2839" w:rsidDel="00030E22">
        <w:rPr>
          <w:rFonts w:ascii="Arial" w:eastAsia="Times New Roman" w:hAnsi="Arial" w:cs="Arial"/>
          <w:bCs/>
          <w:kern w:val="1"/>
          <w:lang w:eastAsia="ar-SA"/>
        </w:rPr>
        <w:t xml:space="preserve"> </w:t>
      </w:r>
      <w:r w:rsidRPr="00EA2839">
        <w:rPr>
          <w:rFonts w:ascii="Arial" w:eastAsia="Times New Roman" w:hAnsi="Arial" w:cs="Arial"/>
          <w:bCs/>
          <w:kern w:val="1"/>
          <w:lang w:eastAsia="ar-SA"/>
        </w:rPr>
        <w:t xml:space="preserve">y </w:t>
      </w:r>
      <w:proofErr w:type="spellStart"/>
      <w:r w:rsidRPr="00EA2839">
        <w:rPr>
          <w:rFonts w:ascii="Arial" w:eastAsia="Times New Roman" w:hAnsi="Arial" w:cs="Arial"/>
          <w:bCs/>
          <w:kern w:val="1"/>
          <w:lang w:eastAsia="ar-SA"/>
        </w:rPr>
        <w:t>iii</w:t>
      </w:r>
      <w:proofErr w:type="spellEnd"/>
      <w:r w:rsidRPr="00EA2839">
        <w:rPr>
          <w:rFonts w:ascii="Arial" w:eastAsia="Times New Roman" w:hAnsi="Arial" w:cs="Arial"/>
          <w:bCs/>
          <w:kern w:val="1"/>
          <w:lang w:eastAsia="ar-SA"/>
        </w:rPr>
        <w:t>) la información y evidencia disponibles.</w:t>
      </w:r>
      <w:r w:rsidRPr="00931D46">
        <w:rPr>
          <w:rFonts w:ascii="Arial" w:eastAsia="Times New Roman" w:hAnsi="Arial" w:cs="Arial"/>
          <w:bCs/>
          <w:kern w:val="1"/>
          <w:lang w:eastAsia="ar-SA"/>
        </w:rPr>
        <w:t xml:space="preserve"> </w:t>
      </w:r>
    </w:p>
    <w:p w14:paraId="775A92D2" w14:textId="77777777" w:rsidR="003545C8" w:rsidRPr="00931D46" w:rsidRDefault="003545C8" w:rsidP="003545C8">
      <w:pPr>
        <w:spacing w:after="0"/>
        <w:jc w:val="both"/>
        <w:rPr>
          <w:rFonts w:ascii="Arial" w:hAnsi="Arial" w:cs="Arial"/>
        </w:rPr>
      </w:pPr>
    </w:p>
    <w:p w14:paraId="68BF74DA" w14:textId="7777777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24" w:name="_Toc41649763"/>
      <w:bookmarkStart w:id="25" w:name="_Toc41649904"/>
      <w:bookmarkStart w:id="26" w:name="_Toc45216570"/>
      <w:bookmarkStart w:id="27" w:name="_Toc45628315"/>
      <w:bookmarkStart w:id="28" w:name="_Toc71717630"/>
      <w:r w:rsidRPr="00931D46">
        <w:rPr>
          <w:rFonts w:ascii="Arial" w:hAnsi="Arial" w:cs="Arial"/>
          <w:sz w:val="26"/>
          <w:szCs w:val="26"/>
        </w:rPr>
        <w:t>Enfoques para el análisis de sustitución</w:t>
      </w:r>
      <w:bookmarkEnd w:id="24"/>
      <w:bookmarkEnd w:id="25"/>
      <w:bookmarkEnd w:id="26"/>
      <w:bookmarkEnd w:id="27"/>
      <w:bookmarkEnd w:id="28"/>
      <w:r w:rsidRPr="00931D46">
        <w:rPr>
          <w:rFonts w:ascii="Arial" w:hAnsi="Arial" w:cs="Arial"/>
          <w:sz w:val="26"/>
          <w:szCs w:val="26"/>
        </w:rPr>
        <w:t xml:space="preserve"> </w:t>
      </w:r>
    </w:p>
    <w:p w14:paraId="13F2C50F" w14:textId="77777777" w:rsidR="003545C8" w:rsidRPr="00931D46" w:rsidRDefault="003545C8" w:rsidP="003545C8">
      <w:pPr>
        <w:keepNext/>
        <w:spacing w:after="0"/>
        <w:jc w:val="both"/>
        <w:rPr>
          <w:rFonts w:ascii="Arial" w:hAnsi="Arial" w:cs="Arial"/>
        </w:rPr>
      </w:pPr>
    </w:p>
    <w:p w14:paraId="637E9F92"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La determinación del MR, en su dimensión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en su dimensión geográfica, se lleva a cabo a través de un análisis de sustitución, a efecto de identificar los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y </w:t>
      </w:r>
      <w:r>
        <w:rPr>
          <w:rFonts w:ascii="Arial" w:eastAsia="Times New Roman" w:hAnsi="Arial" w:cs="Arial"/>
          <w:bCs/>
          <w:kern w:val="1"/>
          <w:lang w:eastAsia="ar-SA"/>
        </w:rPr>
        <w:t xml:space="preserve">las </w:t>
      </w:r>
      <w:r w:rsidRPr="00931D46">
        <w:rPr>
          <w:rFonts w:ascii="Arial" w:eastAsia="Times New Roman" w:hAnsi="Arial" w:cs="Arial"/>
          <w:bCs/>
          <w:kern w:val="1"/>
          <w:lang w:eastAsia="ar-SA"/>
        </w:rPr>
        <w:t>zonas geográficas donde éstos se ofrecen, que constituy</w:t>
      </w:r>
      <w:r>
        <w:rPr>
          <w:rFonts w:ascii="Arial" w:eastAsia="Times New Roman" w:hAnsi="Arial" w:cs="Arial"/>
          <w:bCs/>
          <w:kern w:val="1"/>
          <w:lang w:eastAsia="ar-SA"/>
        </w:rPr>
        <w:t>e</w:t>
      </w:r>
      <w:r w:rsidRPr="00931D46">
        <w:rPr>
          <w:rFonts w:ascii="Arial" w:eastAsia="Times New Roman" w:hAnsi="Arial" w:cs="Arial"/>
          <w:bCs/>
          <w:kern w:val="1"/>
          <w:lang w:eastAsia="ar-SA"/>
        </w:rPr>
        <w:t xml:space="preserve">n restricciones competitivas significativas para los AE que proveen los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de referencia.</w:t>
      </w:r>
    </w:p>
    <w:p w14:paraId="0BBC9D0D" w14:textId="77777777" w:rsidR="003545C8" w:rsidRPr="00931D46" w:rsidRDefault="003545C8" w:rsidP="003545C8">
      <w:pPr>
        <w:spacing w:after="0"/>
        <w:jc w:val="both"/>
        <w:rPr>
          <w:rFonts w:ascii="Arial" w:hAnsi="Arial" w:cs="Arial"/>
        </w:rPr>
      </w:pPr>
    </w:p>
    <w:p w14:paraId="5DE1BC9C" w14:textId="77777777" w:rsidR="003545C8"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En general, el análisis de sustitución consiste en seleccionar un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o grupo de </w:t>
      </w:r>
      <w:r>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que se proveen en una zona geográfica determinada, el cual se amplía gradualmente hasta incluir todos los sustitutos cercanos del </w:t>
      </w:r>
      <w:r>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la zona geográfica </w:t>
      </w:r>
      <w:r>
        <w:rPr>
          <w:rFonts w:ascii="Arial" w:eastAsia="Times New Roman" w:hAnsi="Arial" w:cs="Arial"/>
          <w:bCs/>
          <w:kern w:val="1"/>
          <w:lang w:eastAsia="ar-SA"/>
        </w:rPr>
        <w:t>focales</w:t>
      </w:r>
      <w:r w:rsidRPr="00931D46">
        <w:rPr>
          <w:rFonts w:ascii="Arial" w:eastAsia="Times New Roman" w:hAnsi="Arial" w:cs="Arial"/>
          <w:bCs/>
          <w:kern w:val="1"/>
          <w:lang w:eastAsia="ar-SA"/>
        </w:rPr>
        <w:t xml:space="preserve">. </w:t>
      </w:r>
    </w:p>
    <w:p w14:paraId="380D920D" w14:textId="77777777" w:rsidR="003545C8" w:rsidRPr="00931D46" w:rsidRDefault="003545C8" w:rsidP="003545C8">
      <w:pPr>
        <w:spacing w:after="0"/>
        <w:jc w:val="both"/>
        <w:rPr>
          <w:rFonts w:ascii="Arial" w:eastAsia="Times New Roman" w:hAnsi="Arial" w:cs="Arial"/>
          <w:bCs/>
          <w:kern w:val="1"/>
          <w:lang w:eastAsia="ar-SA"/>
        </w:rPr>
      </w:pPr>
    </w:p>
    <w:p w14:paraId="7BA8CD58" w14:textId="153C88CF" w:rsidR="003545C8" w:rsidRDefault="003545C8" w:rsidP="003545C8">
      <w:pPr>
        <w:spacing w:after="0"/>
        <w:jc w:val="both"/>
        <w:rPr>
          <w:rFonts w:ascii="Arial" w:hAnsi="Arial" w:cs="Arial"/>
        </w:rPr>
      </w:pPr>
      <w:r w:rsidRPr="00931D46">
        <w:rPr>
          <w:rFonts w:ascii="Arial" w:eastAsia="Times New Roman" w:hAnsi="Arial" w:cs="Arial"/>
          <w:bCs/>
          <w:kern w:val="1"/>
          <w:lang w:eastAsia="ar-SA"/>
        </w:rPr>
        <w:lastRenderedPageBreak/>
        <w:t>Existen básicamente dos enfoques sobre el análisis de sustitución</w:t>
      </w:r>
      <w:r w:rsidR="00F23AF4">
        <w:rPr>
          <w:rFonts w:ascii="Arial" w:eastAsia="Times New Roman" w:hAnsi="Arial" w:cs="Arial"/>
          <w:bCs/>
          <w:kern w:val="1"/>
          <w:lang w:eastAsia="ar-SA"/>
        </w:rPr>
        <w:t xml:space="preserve"> </w:t>
      </w:r>
      <w:r w:rsidRPr="00931D46">
        <w:rPr>
          <w:rFonts w:ascii="Arial" w:eastAsia="Times New Roman" w:hAnsi="Arial" w:cs="Arial"/>
          <w:bCs/>
          <w:kern w:val="1"/>
          <w:lang w:eastAsia="ar-SA"/>
        </w:rPr>
        <w:t>utilizados en la U</w:t>
      </w:r>
      <w:r>
        <w:rPr>
          <w:rFonts w:ascii="Arial" w:eastAsia="Times New Roman" w:hAnsi="Arial" w:cs="Arial"/>
          <w:bCs/>
          <w:kern w:val="1"/>
          <w:lang w:eastAsia="ar-SA"/>
        </w:rPr>
        <w:t xml:space="preserve">nión </w:t>
      </w:r>
      <w:r w:rsidRPr="00931D46">
        <w:rPr>
          <w:rFonts w:ascii="Arial" w:eastAsia="Times New Roman" w:hAnsi="Arial" w:cs="Arial"/>
          <w:bCs/>
          <w:kern w:val="1"/>
          <w:lang w:eastAsia="ar-SA"/>
        </w:rPr>
        <w:t>E</w:t>
      </w:r>
      <w:r>
        <w:rPr>
          <w:rFonts w:ascii="Arial" w:eastAsia="Times New Roman" w:hAnsi="Arial" w:cs="Arial"/>
          <w:bCs/>
          <w:kern w:val="1"/>
          <w:lang w:eastAsia="ar-SA"/>
        </w:rPr>
        <w:t>uropea</w:t>
      </w:r>
      <w:r w:rsidRPr="00931D46">
        <w:rPr>
          <w:rFonts w:ascii="Arial" w:eastAsia="Times New Roman" w:hAnsi="Arial" w:cs="Arial"/>
          <w:bCs/>
          <w:kern w:val="1"/>
          <w:lang w:eastAsia="ar-SA"/>
        </w:rPr>
        <w:t>, por un lado, y en Estados Unidos de América, por otro. A</w:t>
      </w:r>
      <w:r w:rsidRPr="00931D46">
        <w:rPr>
          <w:rFonts w:ascii="Arial" w:hAnsi="Arial" w:cs="Arial"/>
        </w:rPr>
        <w:t xml:space="preserve">mbos enfoques analizan la sustitución por el lado de la demanda para delimitar el MR </w:t>
      </w:r>
      <w:r>
        <w:rPr>
          <w:rFonts w:ascii="Arial" w:hAnsi="Arial" w:cs="Arial"/>
        </w:rPr>
        <w:t>(considerado</w:t>
      </w:r>
      <w:r w:rsidRPr="00931D46">
        <w:rPr>
          <w:rFonts w:ascii="Arial" w:eastAsia="Times New Roman" w:hAnsi="Arial" w:cs="Arial"/>
          <w:bCs/>
          <w:kern w:val="1"/>
          <w:lang w:eastAsia="ar-SA"/>
        </w:rPr>
        <w:t xml:space="preserve"> el medio más inmediato y eficaz para restringir el comportamiento de los proveedores de un determinado </w:t>
      </w:r>
      <w:r>
        <w:rPr>
          <w:rFonts w:ascii="Arial" w:eastAsia="Times New Roman" w:hAnsi="Arial" w:cs="Arial"/>
          <w:bCs/>
          <w:kern w:val="1"/>
          <w:lang w:eastAsia="ar-SA"/>
        </w:rPr>
        <w:t>producto</w:t>
      </w:r>
      <w:r>
        <w:rPr>
          <w:rFonts w:ascii="Arial" w:hAnsi="Arial" w:cs="Arial"/>
        </w:rPr>
        <w:t xml:space="preserve">) </w:t>
      </w:r>
      <w:r w:rsidRPr="00931D46">
        <w:rPr>
          <w:rFonts w:ascii="Arial" w:hAnsi="Arial" w:cs="Arial"/>
        </w:rPr>
        <w:t>y reconocen la importancia de incorporar en el análisis de competencia las presiones competitivas por el lado de la oferta</w:t>
      </w:r>
      <w:r>
        <w:rPr>
          <w:rFonts w:ascii="Arial" w:hAnsi="Arial" w:cs="Arial"/>
        </w:rPr>
        <w:t xml:space="preserve"> y la competencia potencial</w:t>
      </w:r>
      <w:r w:rsidRPr="00931D46">
        <w:rPr>
          <w:rFonts w:ascii="Arial" w:hAnsi="Arial" w:cs="Arial"/>
        </w:rPr>
        <w:t xml:space="preserve">, pero difieren en la </w:t>
      </w:r>
      <w:r w:rsidRPr="00931D46">
        <w:rPr>
          <w:rFonts w:ascii="Arial" w:eastAsia="Times New Roman" w:hAnsi="Arial" w:cs="Arial"/>
          <w:bCs/>
          <w:kern w:val="1"/>
          <w:lang w:eastAsia="ar-SA"/>
        </w:rPr>
        <w:t xml:space="preserve">etapa en que se evalúan dichas presiones. </w:t>
      </w:r>
      <w:r>
        <w:rPr>
          <w:rFonts w:ascii="Arial" w:eastAsia="Times New Roman" w:hAnsi="Arial" w:cs="Arial"/>
          <w:bCs/>
          <w:kern w:val="1"/>
          <w:lang w:eastAsia="ar-SA"/>
        </w:rPr>
        <w:t>No obstante</w:t>
      </w:r>
      <w:r w:rsidRPr="00931D46">
        <w:rPr>
          <w:rFonts w:ascii="Arial" w:hAnsi="Arial" w:cs="Arial"/>
        </w:rPr>
        <w:t>, si el análisis es aplicado correctamente, ambos enfoques deberían conducir a resultados similares</w:t>
      </w:r>
      <w:r>
        <w:rPr>
          <w:rFonts w:ascii="Arial" w:hAnsi="Arial" w:cs="Arial"/>
        </w:rPr>
        <w:t xml:space="preserve"> en cuanto a la identificación de participantes en </w:t>
      </w:r>
      <w:proofErr w:type="gramStart"/>
      <w:r>
        <w:rPr>
          <w:rFonts w:ascii="Arial" w:hAnsi="Arial" w:cs="Arial"/>
        </w:rPr>
        <w:t>el  mercado</w:t>
      </w:r>
      <w:proofErr w:type="gramEnd"/>
      <w:r>
        <w:rPr>
          <w:rFonts w:ascii="Arial" w:hAnsi="Arial" w:cs="Arial"/>
        </w:rPr>
        <w:t>, el cálculo de participaciones e índices de concentración y el análisis de efectos de una práctica u operación</w:t>
      </w:r>
      <w:r w:rsidRPr="00931D46">
        <w:rPr>
          <w:rFonts w:ascii="Arial" w:hAnsi="Arial" w:cs="Arial"/>
        </w:rPr>
        <w:t>.</w:t>
      </w:r>
      <w:r w:rsidRPr="00931D46">
        <w:rPr>
          <w:rFonts w:ascii="Arial" w:eastAsia="Times New Roman" w:hAnsi="Arial" w:cs="Arial"/>
          <w:vertAlign w:val="superscript"/>
        </w:rPr>
        <w:footnoteReference w:id="14"/>
      </w:r>
    </w:p>
    <w:p w14:paraId="15DA93E5" w14:textId="77777777" w:rsidR="003545C8" w:rsidRDefault="003545C8" w:rsidP="003545C8">
      <w:pPr>
        <w:spacing w:after="0"/>
        <w:jc w:val="both"/>
        <w:rPr>
          <w:rFonts w:ascii="Arial" w:hAnsi="Arial" w:cs="Arial"/>
        </w:rPr>
      </w:pPr>
    </w:p>
    <w:p w14:paraId="7D687375" w14:textId="77777777" w:rsidR="003545C8" w:rsidRDefault="003545C8" w:rsidP="003545C8">
      <w:pPr>
        <w:spacing w:after="0"/>
        <w:jc w:val="both"/>
        <w:rPr>
          <w:rFonts w:ascii="Arial" w:hAnsi="Arial" w:cs="Arial"/>
        </w:rPr>
      </w:pPr>
      <w:r w:rsidRPr="00931D46">
        <w:rPr>
          <w:rFonts w:ascii="Arial" w:eastAsia="Times New Roman" w:hAnsi="Arial" w:cs="Arial"/>
          <w:bCs/>
          <w:kern w:val="1"/>
          <w:lang w:eastAsia="ar-SA"/>
        </w:rPr>
        <w:t>En el enfoque de la Unión Europea</w:t>
      </w:r>
      <w:r>
        <w:rPr>
          <w:rFonts w:ascii="Arial" w:eastAsia="Times New Roman" w:hAnsi="Arial" w:cs="Arial"/>
          <w:bCs/>
          <w:kern w:val="1"/>
          <w:lang w:eastAsia="ar-SA"/>
        </w:rPr>
        <w:t xml:space="preserve"> se consideran la sustitución por el lado de la demanda y por el lado de la oferta,</w:t>
      </w:r>
      <w:r>
        <w:rPr>
          <w:rStyle w:val="Refdenotaalpie"/>
          <w:rFonts w:ascii="Arial" w:eastAsia="Times New Roman" w:hAnsi="Arial" w:cs="Arial"/>
          <w:bCs/>
          <w:kern w:val="1"/>
          <w:lang w:eastAsia="ar-SA"/>
        </w:rPr>
        <w:footnoteReference w:id="15"/>
      </w:r>
      <w:r>
        <w:rPr>
          <w:rFonts w:ascii="Arial" w:eastAsia="Times New Roman" w:hAnsi="Arial" w:cs="Arial"/>
          <w:bCs/>
          <w:kern w:val="1"/>
          <w:lang w:eastAsia="ar-SA"/>
        </w:rPr>
        <w:t xml:space="preserve"> mientras que la </w:t>
      </w:r>
      <w:r w:rsidRPr="00931D46">
        <w:rPr>
          <w:rFonts w:ascii="Arial" w:eastAsia="Times New Roman" w:hAnsi="Arial" w:cs="Arial"/>
          <w:b/>
          <w:bCs/>
          <w:kern w:val="1"/>
          <w:lang w:eastAsia="ar-SA"/>
        </w:rPr>
        <w:t>competencia potencial</w:t>
      </w:r>
      <w:r w:rsidRPr="00931D46">
        <w:rPr>
          <w:rFonts w:ascii="Arial" w:eastAsia="Times New Roman" w:hAnsi="Arial" w:cs="Arial"/>
          <w:bCs/>
          <w:kern w:val="1"/>
          <w:lang w:eastAsia="ar-SA"/>
        </w:rPr>
        <w:t xml:space="preserve">, en caso necesario, </w:t>
      </w:r>
      <w:r>
        <w:rPr>
          <w:rFonts w:ascii="Arial" w:eastAsia="Times New Roman" w:hAnsi="Arial" w:cs="Arial"/>
          <w:bCs/>
          <w:kern w:val="1"/>
          <w:lang w:eastAsia="ar-SA"/>
        </w:rPr>
        <w:t xml:space="preserve">se considera </w:t>
      </w:r>
      <w:r w:rsidRPr="00931D46">
        <w:rPr>
          <w:rFonts w:ascii="Arial" w:eastAsia="Times New Roman" w:hAnsi="Arial" w:cs="Arial"/>
          <w:bCs/>
          <w:kern w:val="1"/>
          <w:lang w:eastAsia="ar-SA"/>
        </w:rPr>
        <w:t>en etapas posteriores</w:t>
      </w:r>
      <w:r>
        <w:rPr>
          <w:rFonts w:ascii="Arial" w:eastAsia="Times New Roman" w:hAnsi="Arial" w:cs="Arial"/>
          <w:bCs/>
          <w:kern w:val="1"/>
          <w:lang w:eastAsia="ar-SA"/>
        </w:rPr>
        <w:t xml:space="preserve"> a la determinación del MR.</w:t>
      </w:r>
      <w:r w:rsidRPr="00953605">
        <w:rPr>
          <w:rFonts w:ascii="Arial" w:hAnsi="Arial" w:cs="Arial"/>
          <w:vertAlign w:val="superscript"/>
          <w:lang w:eastAsia="es-MX"/>
        </w:rPr>
        <w:footnoteReference w:id="16"/>
      </w:r>
      <w:r>
        <w:rPr>
          <w:rFonts w:ascii="Arial" w:eastAsia="Times New Roman" w:hAnsi="Arial" w:cs="Arial"/>
          <w:bCs/>
          <w:kern w:val="1"/>
          <w:lang w:eastAsia="ar-SA"/>
        </w:rPr>
        <w:t xml:space="preserve"> En el enfoque de Estados Unidos de América, el análisis </w:t>
      </w:r>
      <w:r w:rsidRPr="00931D46">
        <w:rPr>
          <w:rFonts w:ascii="Arial" w:hAnsi="Arial" w:cs="Arial"/>
        </w:rPr>
        <w:t>se centra únicamente en la sustitución por el lado de la demanda, mientras que las restricciones por el lado de la oferta y la competencia potencial se consideran en etapas posteriores del análisis.</w:t>
      </w:r>
      <w:r w:rsidRPr="00953605">
        <w:rPr>
          <w:rFonts w:ascii="Arial" w:eastAsia="Times New Roman" w:hAnsi="Arial" w:cs="Arial"/>
          <w:vertAlign w:val="superscript"/>
          <w:lang w:eastAsia="es-MX"/>
        </w:rPr>
        <w:footnoteReference w:id="17"/>
      </w:r>
    </w:p>
    <w:p w14:paraId="2B224358" w14:textId="77777777" w:rsidR="003545C8" w:rsidRPr="00931D46" w:rsidRDefault="003545C8" w:rsidP="003545C8">
      <w:pPr>
        <w:spacing w:after="0"/>
        <w:jc w:val="both"/>
        <w:rPr>
          <w:rFonts w:ascii="Arial" w:hAnsi="Arial" w:cs="Arial"/>
          <w:highlight w:val="yellow"/>
        </w:rPr>
      </w:pPr>
    </w:p>
    <w:p w14:paraId="5C7E59EA" w14:textId="77777777" w:rsidR="003545C8" w:rsidRPr="00931D46" w:rsidRDefault="003545C8" w:rsidP="003545C8">
      <w:pPr>
        <w:jc w:val="both"/>
        <w:rPr>
          <w:rFonts w:ascii="Arial" w:hAnsi="Arial" w:cs="Arial"/>
        </w:rPr>
      </w:pPr>
      <w:r w:rsidRPr="00931D46">
        <w:rPr>
          <w:rFonts w:ascii="Arial" w:hAnsi="Arial" w:cs="Arial"/>
        </w:rPr>
        <w:t>En México, la LFCE en su artículo 58 proporciona una lista de criterios que deberán considerarse para la determinación de un MR, entre los que se encuentran:</w:t>
      </w:r>
    </w:p>
    <w:p w14:paraId="764C42C4" w14:textId="77777777" w:rsidR="003545C8" w:rsidRPr="00931D46" w:rsidRDefault="003545C8" w:rsidP="005E23E0">
      <w:pPr>
        <w:pStyle w:val="Prrafodelista"/>
        <w:numPr>
          <w:ilvl w:val="0"/>
          <w:numId w:val="7"/>
        </w:numPr>
        <w:tabs>
          <w:tab w:val="left" w:pos="2480"/>
        </w:tabs>
        <w:spacing w:after="0"/>
        <w:ind w:left="1134" w:hanging="567"/>
        <w:contextualSpacing w:val="0"/>
        <w:jc w:val="both"/>
        <w:rPr>
          <w:rFonts w:ascii="Arial" w:eastAsia="Calibri" w:hAnsi="Arial" w:cs="Arial"/>
        </w:rPr>
      </w:pPr>
      <w:r w:rsidRPr="00931D46">
        <w:rPr>
          <w:rFonts w:ascii="Arial" w:eastAsia="Calibri" w:hAnsi="Arial" w:cs="Arial"/>
        </w:rPr>
        <w:t xml:space="preserve">Las posibilidades de sustituir el </w:t>
      </w:r>
      <w:r>
        <w:rPr>
          <w:rFonts w:ascii="Arial" w:eastAsia="Calibri" w:hAnsi="Arial" w:cs="Arial"/>
        </w:rPr>
        <w:t>producto</w:t>
      </w:r>
      <w:r w:rsidRPr="00931D46">
        <w:rPr>
          <w:rFonts w:ascii="Arial" w:eastAsia="Calibri" w:hAnsi="Arial" w:cs="Arial"/>
        </w:rPr>
        <w:t xml:space="preserve"> de que se trate por otros</w:t>
      </w:r>
      <w:r w:rsidRPr="00931D46">
        <w:rPr>
          <w:rFonts w:ascii="Arial" w:hAnsi="Arial" w:cs="Arial"/>
        </w:rPr>
        <w:t>, tanto de origen nacional como extranjero, considerando posibilidades tecnológicas, en qué medida los consumidores cuentan con sustitutos</w:t>
      </w:r>
      <w:r w:rsidRPr="00931D46">
        <w:rPr>
          <w:rFonts w:ascii="Arial" w:eastAsia="Calibri" w:hAnsi="Arial" w:cs="Arial"/>
        </w:rPr>
        <w:t xml:space="preserve"> y el tiempo</w:t>
      </w:r>
      <w:r w:rsidRPr="00931D46">
        <w:rPr>
          <w:rFonts w:ascii="Arial" w:hAnsi="Arial" w:cs="Arial"/>
        </w:rPr>
        <w:t xml:space="preserve"> requerido para tal</w:t>
      </w:r>
      <w:r w:rsidRPr="00931D46">
        <w:rPr>
          <w:rFonts w:ascii="Arial" w:eastAsia="Calibri" w:hAnsi="Arial" w:cs="Arial"/>
        </w:rPr>
        <w:t xml:space="preserve"> sustitución,</w:t>
      </w:r>
    </w:p>
    <w:p w14:paraId="66AA5475" w14:textId="77777777" w:rsidR="003545C8" w:rsidRDefault="003545C8" w:rsidP="003545C8">
      <w:pPr>
        <w:pStyle w:val="Prrafodelista"/>
        <w:tabs>
          <w:tab w:val="left" w:pos="2480"/>
        </w:tabs>
        <w:spacing w:after="0"/>
        <w:ind w:left="1134"/>
        <w:contextualSpacing w:val="0"/>
        <w:jc w:val="both"/>
        <w:rPr>
          <w:rFonts w:ascii="Arial" w:eastAsia="Calibri" w:hAnsi="Arial" w:cs="Arial"/>
        </w:rPr>
      </w:pPr>
    </w:p>
    <w:p w14:paraId="2F770511" w14:textId="77777777" w:rsidR="003545C8" w:rsidRPr="00931D46" w:rsidRDefault="003545C8" w:rsidP="005E23E0">
      <w:pPr>
        <w:pStyle w:val="Prrafodelista"/>
        <w:numPr>
          <w:ilvl w:val="0"/>
          <w:numId w:val="7"/>
        </w:numPr>
        <w:tabs>
          <w:tab w:val="left" w:pos="2480"/>
        </w:tabs>
        <w:spacing w:after="0"/>
        <w:ind w:left="1134" w:hanging="567"/>
        <w:contextualSpacing w:val="0"/>
        <w:jc w:val="both"/>
        <w:rPr>
          <w:rFonts w:ascii="Arial" w:eastAsia="Calibri" w:hAnsi="Arial" w:cs="Arial"/>
        </w:rPr>
      </w:pPr>
      <w:r w:rsidRPr="00931D46">
        <w:rPr>
          <w:rFonts w:ascii="Arial" w:eastAsia="Calibri" w:hAnsi="Arial" w:cs="Arial"/>
        </w:rPr>
        <w:t xml:space="preserve">Los costos de distribución del bien mismo; de sus insumos relevantes; de sus complementos y de sustitutos desde otras regiones y del extranjero, teniendo en cuenta fletes, seguros, aranceles y restricciones no arancelarias, las restricciones </w:t>
      </w:r>
      <w:r w:rsidRPr="00931D46">
        <w:rPr>
          <w:rFonts w:ascii="Arial" w:hAnsi="Arial" w:cs="Arial"/>
        </w:rPr>
        <w:t xml:space="preserve">impuestas por los agentes económicos o por sus asociaciones y </w:t>
      </w:r>
      <w:r w:rsidRPr="00931D46">
        <w:rPr>
          <w:rFonts w:ascii="Arial" w:eastAsia="Calibri" w:hAnsi="Arial" w:cs="Arial"/>
        </w:rPr>
        <w:t>el tiempo requerido para abastecer el mercado desde esas regiones,</w:t>
      </w:r>
    </w:p>
    <w:p w14:paraId="040A1A9F" w14:textId="77777777" w:rsidR="003545C8" w:rsidRDefault="003545C8" w:rsidP="003545C8">
      <w:pPr>
        <w:pStyle w:val="Prrafodelista"/>
        <w:tabs>
          <w:tab w:val="left" w:pos="2480"/>
        </w:tabs>
        <w:spacing w:after="0"/>
        <w:ind w:left="1134"/>
        <w:contextualSpacing w:val="0"/>
        <w:jc w:val="both"/>
        <w:rPr>
          <w:rFonts w:ascii="Arial" w:eastAsia="Calibri" w:hAnsi="Arial" w:cs="Arial"/>
        </w:rPr>
      </w:pPr>
    </w:p>
    <w:p w14:paraId="12ABF724" w14:textId="77777777" w:rsidR="003545C8" w:rsidRPr="00931D46" w:rsidRDefault="003545C8" w:rsidP="005E23E0">
      <w:pPr>
        <w:pStyle w:val="Prrafodelista"/>
        <w:numPr>
          <w:ilvl w:val="0"/>
          <w:numId w:val="7"/>
        </w:numPr>
        <w:tabs>
          <w:tab w:val="left" w:pos="2480"/>
        </w:tabs>
        <w:spacing w:after="0"/>
        <w:ind w:left="1134" w:hanging="567"/>
        <w:contextualSpacing w:val="0"/>
        <w:jc w:val="both"/>
        <w:rPr>
          <w:rFonts w:ascii="Arial" w:eastAsia="Calibri" w:hAnsi="Arial" w:cs="Arial"/>
        </w:rPr>
      </w:pPr>
      <w:r w:rsidRPr="00931D46">
        <w:rPr>
          <w:rFonts w:ascii="Arial" w:eastAsia="Calibri" w:hAnsi="Arial" w:cs="Arial"/>
        </w:rPr>
        <w:t xml:space="preserve">Los costos y las probabilidades que tienen los usuarios o consumidores para acudir a otros mercados, y </w:t>
      </w:r>
    </w:p>
    <w:p w14:paraId="6A34EE73" w14:textId="77777777" w:rsidR="003545C8" w:rsidRDefault="003545C8" w:rsidP="003545C8">
      <w:pPr>
        <w:pStyle w:val="Prrafodelista"/>
        <w:tabs>
          <w:tab w:val="left" w:pos="2480"/>
        </w:tabs>
        <w:spacing w:after="0"/>
        <w:ind w:left="1134"/>
        <w:contextualSpacing w:val="0"/>
        <w:jc w:val="both"/>
        <w:rPr>
          <w:rFonts w:ascii="Arial" w:eastAsia="Calibri" w:hAnsi="Arial" w:cs="Arial"/>
        </w:rPr>
      </w:pPr>
    </w:p>
    <w:p w14:paraId="0BACB1D5" w14:textId="77777777" w:rsidR="003545C8" w:rsidRPr="00931D46" w:rsidRDefault="003545C8" w:rsidP="005E23E0">
      <w:pPr>
        <w:pStyle w:val="Prrafodelista"/>
        <w:numPr>
          <w:ilvl w:val="0"/>
          <w:numId w:val="7"/>
        </w:numPr>
        <w:tabs>
          <w:tab w:val="left" w:pos="2480"/>
        </w:tabs>
        <w:spacing w:after="0"/>
        <w:ind w:left="1134" w:hanging="567"/>
        <w:contextualSpacing w:val="0"/>
        <w:jc w:val="both"/>
        <w:rPr>
          <w:rFonts w:ascii="Arial" w:eastAsia="Calibri" w:hAnsi="Arial" w:cs="Arial"/>
        </w:rPr>
      </w:pPr>
      <w:r w:rsidRPr="00931D46">
        <w:rPr>
          <w:rFonts w:ascii="Arial" w:eastAsia="Calibri" w:hAnsi="Arial" w:cs="Arial"/>
        </w:rPr>
        <w:lastRenderedPageBreak/>
        <w:t>Las restricciones normativas de carácter federal, local o internacional que limiten el acceso de usuarios o consumidores a fuentes alternativas, o el acceso de los proveedores a clientes alternativos.</w:t>
      </w:r>
    </w:p>
    <w:p w14:paraId="7B2EFC1C" w14:textId="77777777" w:rsidR="003545C8" w:rsidRPr="00931D46" w:rsidRDefault="003545C8" w:rsidP="003545C8">
      <w:pPr>
        <w:spacing w:after="0"/>
        <w:jc w:val="both"/>
        <w:rPr>
          <w:rFonts w:ascii="Arial" w:hAnsi="Arial" w:cs="Arial"/>
        </w:rPr>
      </w:pPr>
    </w:p>
    <w:p w14:paraId="548AC62A" w14:textId="77777777" w:rsidR="003545C8" w:rsidRPr="00931D46" w:rsidRDefault="003545C8" w:rsidP="003545C8">
      <w:pPr>
        <w:spacing w:after="0"/>
        <w:jc w:val="both"/>
        <w:rPr>
          <w:rFonts w:ascii="Arial" w:hAnsi="Arial" w:cs="Arial"/>
        </w:rPr>
      </w:pPr>
      <w:r w:rsidRPr="00931D46">
        <w:rPr>
          <w:rFonts w:ascii="Arial" w:hAnsi="Arial" w:cs="Arial"/>
        </w:rPr>
        <w:t xml:space="preserve">Asimismo, el artículo 5 de las DRLFCE establece que para la determinación del MR se deben analizar las circunstancias particulares de cada caso, identificar los </w:t>
      </w:r>
      <w:r>
        <w:rPr>
          <w:rFonts w:ascii="Arial" w:hAnsi="Arial" w:cs="Arial"/>
        </w:rPr>
        <w:t>productos</w:t>
      </w:r>
      <w:r w:rsidRPr="00931D46">
        <w:rPr>
          <w:rFonts w:ascii="Arial" w:hAnsi="Arial" w:cs="Arial"/>
        </w:rPr>
        <w:t xml:space="preserve"> producidos, distribuidos, adquiridos, comercializados u ofrecidos y aquellos que los sustituyan o puedan sustituirlos oportunamente, así como delimitar </w:t>
      </w:r>
      <w:r>
        <w:rPr>
          <w:rFonts w:ascii="Arial" w:hAnsi="Arial" w:cs="Arial"/>
        </w:rPr>
        <w:t>la zona</w:t>
      </w:r>
      <w:r w:rsidRPr="00931D46">
        <w:rPr>
          <w:rFonts w:ascii="Arial" w:hAnsi="Arial" w:cs="Arial"/>
        </w:rPr>
        <w:t xml:space="preserve"> geográfica en la que se ofrecen o demandan dichos </w:t>
      </w:r>
      <w:r>
        <w:rPr>
          <w:rFonts w:ascii="Arial" w:hAnsi="Arial" w:cs="Arial"/>
        </w:rPr>
        <w:t>productos</w:t>
      </w:r>
      <w:r w:rsidRPr="00931D46">
        <w:rPr>
          <w:rFonts w:ascii="Arial" w:hAnsi="Arial" w:cs="Arial"/>
        </w:rPr>
        <w:t xml:space="preserve"> y si en la misma existe la opción de acudir indistintamente a los proveedores o clientes sin incurrir en costos significativos.</w:t>
      </w:r>
    </w:p>
    <w:p w14:paraId="6AE12D2B" w14:textId="77777777" w:rsidR="003545C8" w:rsidRPr="00931D46" w:rsidRDefault="003545C8" w:rsidP="003545C8">
      <w:pPr>
        <w:spacing w:after="0"/>
        <w:rPr>
          <w:rFonts w:ascii="Arial" w:hAnsi="Arial" w:cs="Arial"/>
        </w:rPr>
      </w:pPr>
    </w:p>
    <w:p w14:paraId="5B8ECABF" w14:textId="77777777" w:rsidR="003545C8" w:rsidRPr="00931D46" w:rsidRDefault="003545C8" w:rsidP="005E23E0">
      <w:pPr>
        <w:keepNext/>
        <w:numPr>
          <w:ilvl w:val="0"/>
          <w:numId w:val="19"/>
        </w:numPr>
        <w:spacing w:after="0"/>
        <w:ind w:left="1843" w:hanging="1134"/>
        <w:jc w:val="both"/>
        <w:rPr>
          <w:rFonts w:ascii="Arial" w:hAnsi="Arial" w:cs="Arial"/>
          <w:b/>
          <w:iCs/>
          <w:color w:val="000000" w:themeColor="text1"/>
        </w:rPr>
      </w:pPr>
      <w:r w:rsidRPr="00931D46">
        <w:rPr>
          <w:rFonts w:ascii="Arial" w:hAnsi="Arial" w:cs="Arial"/>
          <w:b/>
        </w:rPr>
        <w:t>Disposiciones legales en México para la determinación del MR</w:t>
      </w:r>
    </w:p>
    <w:tbl>
      <w:tblPr>
        <w:tblStyle w:val="Tablaconcuadrcula"/>
        <w:tblW w:w="0" w:type="auto"/>
        <w:tblLayout w:type="fixed"/>
        <w:tblLook w:val="04A0" w:firstRow="1" w:lastRow="0" w:firstColumn="1" w:lastColumn="0" w:noHBand="0" w:noVBand="1"/>
      </w:tblPr>
      <w:tblGrid>
        <w:gridCol w:w="5098"/>
        <w:gridCol w:w="1134"/>
        <w:gridCol w:w="1276"/>
        <w:gridCol w:w="1080"/>
        <w:gridCol w:w="806"/>
      </w:tblGrid>
      <w:tr w:rsidR="003545C8" w:rsidRPr="00931D46" w14:paraId="5F5A92FF" w14:textId="77777777" w:rsidTr="00594C79">
        <w:trPr>
          <w:trHeight w:val="170"/>
          <w:tblHeader/>
        </w:trPr>
        <w:tc>
          <w:tcPr>
            <w:tcW w:w="5098" w:type="dxa"/>
            <w:vMerge w:val="restart"/>
            <w:shd w:val="clear" w:color="auto" w:fill="92D050"/>
            <w:vAlign w:val="center"/>
          </w:tcPr>
          <w:p w14:paraId="1004F29B"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sz w:val="18"/>
                <w:szCs w:val="18"/>
              </w:rPr>
              <w:t>Artículo 58 de la LFCE</w:t>
            </w:r>
          </w:p>
        </w:tc>
        <w:tc>
          <w:tcPr>
            <w:tcW w:w="2410" w:type="dxa"/>
            <w:gridSpan w:val="2"/>
            <w:shd w:val="clear" w:color="auto" w:fill="92D050"/>
            <w:vAlign w:val="center"/>
          </w:tcPr>
          <w:p w14:paraId="28DBE965"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sz w:val="18"/>
                <w:szCs w:val="18"/>
              </w:rPr>
              <w:t>Dimensión</w:t>
            </w:r>
          </w:p>
        </w:tc>
        <w:tc>
          <w:tcPr>
            <w:tcW w:w="1886" w:type="dxa"/>
            <w:gridSpan w:val="2"/>
            <w:shd w:val="clear" w:color="auto" w:fill="92D050"/>
            <w:vAlign w:val="center"/>
          </w:tcPr>
          <w:p w14:paraId="17958D4D"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sz w:val="18"/>
                <w:szCs w:val="18"/>
              </w:rPr>
              <w:t>Sustitución</w:t>
            </w:r>
          </w:p>
        </w:tc>
      </w:tr>
      <w:tr w:rsidR="003545C8" w:rsidRPr="00931D46" w14:paraId="57870453" w14:textId="77777777" w:rsidTr="00594C79">
        <w:trPr>
          <w:trHeight w:val="170"/>
          <w:tblHeader/>
        </w:trPr>
        <w:tc>
          <w:tcPr>
            <w:tcW w:w="5098" w:type="dxa"/>
            <w:vMerge/>
            <w:shd w:val="clear" w:color="auto" w:fill="92D050"/>
            <w:vAlign w:val="center"/>
          </w:tcPr>
          <w:p w14:paraId="30C61A2D" w14:textId="77777777" w:rsidR="003545C8" w:rsidRPr="00931D46" w:rsidRDefault="003545C8" w:rsidP="00594C79">
            <w:pPr>
              <w:tabs>
                <w:tab w:val="left" w:pos="2480"/>
              </w:tabs>
              <w:jc w:val="both"/>
              <w:rPr>
                <w:rFonts w:ascii="Arial" w:hAnsi="Arial" w:cs="Arial"/>
                <w:b/>
                <w:sz w:val="18"/>
                <w:szCs w:val="18"/>
              </w:rPr>
            </w:pPr>
          </w:p>
        </w:tc>
        <w:tc>
          <w:tcPr>
            <w:tcW w:w="1134" w:type="dxa"/>
            <w:shd w:val="clear" w:color="auto" w:fill="92D050"/>
            <w:vAlign w:val="center"/>
          </w:tcPr>
          <w:p w14:paraId="3AE70C83" w14:textId="77777777" w:rsidR="003545C8" w:rsidRPr="00931D46" w:rsidRDefault="003545C8" w:rsidP="00594C79">
            <w:pPr>
              <w:tabs>
                <w:tab w:val="left" w:pos="2480"/>
              </w:tabs>
              <w:jc w:val="center"/>
              <w:rPr>
                <w:rFonts w:ascii="Arial" w:hAnsi="Arial" w:cs="Arial"/>
                <w:b/>
                <w:sz w:val="18"/>
                <w:szCs w:val="18"/>
              </w:rPr>
            </w:pPr>
            <w:r>
              <w:rPr>
                <w:rFonts w:ascii="Arial" w:hAnsi="Arial" w:cs="Arial"/>
                <w:b/>
                <w:sz w:val="18"/>
                <w:szCs w:val="18"/>
              </w:rPr>
              <w:t>Producto</w:t>
            </w:r>
          </w:p>
        </w:tc>
        <w:tc>
          <w:tcPr>
            <w:tcW w:w="1276" w:type="dxa"/>
            <w:shd w:val="clear" w:color="auto" w:fill="92D050"/>
            <w:vAlign w:val="center"/>
          </w:tcPr>
          <w:p w14:paraId="4CD7C11A"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sz w:val="18"/>
                <w:szCs w:val="18"/>
              </w:rPr>
              <w:t>Geográfica</w:t>
            </w:r>
          </w:p>
        </w:tc>
        <w:tc>
          <w:tcPr>
            <w:tcW w:w="1080" w:type="dxa"/>
            <w:shd w:val="clear" w:color="auto" w:fill="92D050"/>
            <w:vAlign w:val="center"/>
          </w:tcPr>
          <w:p w14:paraId="0C17CF2D"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sz w:val="18"/>
                <w:szCs w:val="18"/>
              </w:rPr>
              <w:t>Demanda</w:t>
            </w:r>
          </w:p>
        </w:tc>
        <w:tc>
          <w:tcPr>
            <w:tcW w:w="806" w:type="dxa"/>
            <w:shd w:val="clear" w:color="auto" w:fill="92D050"/>
            <w:vAlign w:val="center"/>
          </w:tcPr>
          <w:p w14:paraId="0873A4D4"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sz w:val="18"/>
                <w:szCs w:val="18"/>
              </w:rPr>
              <w:t>Oferta</w:t>
            </w:r>
          </w:p>
        </w:tc>
      </w:tr>
      <w:tr w:rsidR="003545C8" w:rsidRPr="00931D46" w14:paraId="6FC9CFB6" w14:textId="77777777" w:rsidTr="00594C79">
        <w:trPr>
          <w:trHeight w:val="170"/>
        </w:trPr>
        <w:tc>
          <w:tcPr>
            <w:tcW w:w="5098" w:type="dxa"/>
            <w:shd w:val="clear" w:color="auto" w:fill="auto"/>
          </w:tcPr>
          <w:p w14:paraId="71BDBD8A" w14:textId="77777777" w:rsidR="003545C8" w:rsidRPr="00931D46" w:rsidRDefault="003545C8" w:rsidP="005E23E0">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Las posibilidades de sustituir el bien o servicio de que se trate por otros, tanto de origen nacional como extranjero, considerando las posibilidades tecnológicas, en qué medida los consumidores cuentan con sustitutos y el tiempo requerido para tal sustitución.</w:t>
            </w:r>
          </w:p>
        </w:tc>
        <w:tc>
          <w:tcPr>
            <w:tcW w:w="1134" w:type="dxa"/>
            <w:shd w:val="clear" w:color="auto" w:fill="auto"/>
            <w:vAlign w:val="center"/>
          </w:tcPr>
          <w:p w14:paraId="171D4BB9"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59EEC3F5"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37E08058"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3AA890DA"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3545C8" w:rsidRPr="00931D46" w14:paraId="512CB287" w14:textId="77777777" w:rsidTr="00594C79">
        <w:trPr>
          <w:trHeight w:val="170"/>
        </w:trPr>
        <w:tc>
          <w:tcPr>
            <w:tcW w:w="5098" w:type="dxa"/>
            <w:shd w:val="clear" w:color="auto" w:fill="auto"/>
          </w:tcPr>
          <w:p w14:paraId="2C327520" w14:textId="77777777" w:rsidR="003545C8" w:rsidRPr="00931D46" w:rsidRDefault="003545C8" w:rsidP="005E23E0">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tc>
        <w:tc>
          <w:tcPr>
            <w:tcW w:w="1134" w:type="dxa"/>
            <w:shd w:val="clear" w:color="auto" w:fill="auto"/>
            <w:vAlign w:val="center"/>
          </w:tcPr>
          <w:p w14:paraId="26C417C8" w14:textId="77777777" w:rsidR="003545C8" w:rsidRPr="00931D46" w:rsidRDefault="003545C8" w:rsidP="00594C79">
            <w:pPr>
              <w:tabs>
                <w:tab w:val="left" w:pos="2480"/>
              </w:tabs>
              <w:jc w:val="center"/>
              <w:rPr>
                <w:rFonts w:ascii="Arial" w:hAnsi="Arial" w:cs="Arial"/>
                <w:sz w:val="18"/>
                <w:szCs w:val="18"/>
              </w:rPr>
            </w:pPr>
          </w:p>
        </w:tc>
        <w:tc>
          <w:tcPr>
            <w:tcW w:w="1276" w:type="dxa"/>
            <w:shd w:val="clear" w:color="auto" w:fill="auto"/>
            <w:vAlign w:val="center"/>
          </w:tcPr>
          <w:p w14:paraId="4BD10E40"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2E1C88BD" w14:textId="77777777" w:rsidR="003545C8" w:rsidRPr="00931D46" w:rsidRDefault="003545C8" w:rsidP="00594C79">
            <w:pPr>
              <w:tabs>
                <w:tab w:val="left" w:pos="2480"/>
              </w:tabs>
              <w:jc w:val="center"/>
              <w:rPr>
                <w:rFonts w:ascii="Arial" w:hAnsi="Arial" w:cs="Arial"/>
                <w:b/>
                <w:color w:val="70AD47" w:themeColor="accent6"/>
                <w:sz w:val="18"/>
                <w:szCs w:val="18"/>
              </w:rPr>
            </w:pPr>
          </w:p>
        </w:tc>
        <w:tc>
          <w:tcPr>
            <w:tcW w:w="806" w:type="dxa"/>
            <w:shd w:val="clear" w:color="auto" w:fill="auto"/>
            <w:vAlign w:val="center"/>
          </w:tcPr>
          <w:p w14:paraId="17B68C2F"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3545C8" w:rsidRPr="00931D46" w14:paraId="57F1E197" w14:textId="77777777" w:rsidTr="00594C79">
        <w:trPr>
          <w:trHeight w:val="170"/>
        </w:trPr>
        <w:tc>
          <w:tcPr>
            <w:tcW w:w="5098" w:type="dxa"/>
            <w:shd w:val="clear" w:color="auto" w:fill="auto"/>
          </w:tcPr>
          <w:p w14:paraId="3AC9BB83" w14:textId="77777777" w:rsidR="003545C8" w:rsidRPr="00931D46" w:rsidRDefault="003545C8" w:rsidP="005E23E0">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Los costos y probabilidades que tienen los usuarios o consumidores para acudir a otros mercados.</w:t>
            </w:r>
          </w:p>
        </w:tc>
        <w:tc>
          <w:tcPr>
            <w:tcW w:w="1134" w:type="dxa"/>
            <w:shd w:val="clear" w:color="auto" w:fill="auto"/>
            <w:vAlign w:val="center"/>
          </w:tcPr>
          <w:p w14:paraId="682B5B97" w14:textId="77777777" w:rsidR="003545C8" w:rsidRPr="00931D46" w:rsidRDefault="003545C8" w:rsidP="00594C79">
            <w:pPr>
              <w:tabs>
                <w:tab w:val="left" w:pos="2480"/>
              </w:tabs>
              <w:jc w:val="center"/>
              <w:rPr>
                <w:rFonts w:ascii="Arial" w:hAnsi="Arial" w:cs="Arial"/>
                <w:sz w:val="18"/>
                <w:szCs w:val="18"/>
              </w:rPr>
            </w:pPr>
          </w:p>
        </w:tc>
        <w:tc>
          <w:tcPr>
            <w:tcW w:w="1276" w:type="dxa"/>
            <w:shd w:val="clear" w:color="auto" w:fill="auto"/>
            <w:vAlign w:val="center"/>
          </w:tcPr>
          <w:p w14:paraId="6265A93D"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711A6CE3"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1DD0379A" w14:textId="77777777" w:rsidR="003545C8" w:rsidRPr="00931D46" w:rsidRDefault="003545C8" w:rsidP="00594C79">
            <w:pPr>
              <w:tabs>
                <w:tab w:val="left" w:pos="2480"/>
              </w:tabs>
              <w:jc w:val="center"/>
              <w:rPr>
                <w:rFonts w:ascii="Arial" w:hAnsi="Arial" w:cs="Arial"/>
                <w:b/>
                <w:color w:val="70AD47" w:themeColor="accent6"/>
                <w:sz w:val="18"/>
                <w:szCs w:val="18"/>
              </w:rPr>
            </w:pPr>
          </w:p>
        </w:tc>
      </w:tr>
      <w:tr w:rsidR="003545C8" w:rsidRPr="00931D46" w14:paraId="47875540" w14:textId="77777777" w:rsidTr="00594C79">
        <w:trPr>
          <w:trHeight w:val="170"/>
        </w:trPr>
        <w:tc>
          <w:tcPr>
            <w:tcW w:w="5098" w:type="dxa"/>
            <w:shd w:val="clear" w:color="auto" w:fill="auto"/>
          </w:tcPr>
          <w:p w14:paraId="7568451B" w14:textId="77777777" w:rsidR="003545C8" w:rsidRPr="00931D46" w:rsidRDefault="003545C8" w:rsidP="005E23E0">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Las restricciones normativas de carácter federal, local o internacional que limiten el acceso de usuarios o consumidores a fuentes de abasto alternativas, o el acceso de los proveedores a clientes alternativos.</w:t>
            </w:r>
          </w:p>
        </w:tc>
        <w:tc>
          <w:tcPr>
            <w:tcW w:w="1134" w:type="dxa"/>
            <w:shd w:val="clear" w:color="auto" w:fill="auto"/>
            <w:vAlign w:val="center"/>
          </w:tcPr>
          <w:p w14:paraId="3C300230" w14:textId="77777777" w:rsidR="003545C8" w:rsidRPr="00931D46" w:rsidRDefault="003545C8" w:rsidP="00594C79">
            <w:pPr>
              <w:tabs>
                <w:tab w:val="left" w:pos="2480"/>
              </w:tabs>
              <w:jc w:val="center"/>
              <w:rPr>
                <w:rFonts w:ascii="Arial" w:hAnsi="Arial" w:cs="Arial"/>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18D0BC23"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1ACE563F"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78CF65F5"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3545C8" w:rsidRPr="00931D46" w14:paraId="798AE427" w14:textId="77777777" w:rsidTr="00594C79">
        <w:trPr>
          <w:trHeight w:val="170"/>
        </w:trPr>
        <w:tc>
          <w:tcPr>
            <w:tcW w:w="5098" w:type="dxa"/>
            <w:shd w:val="clear" w:color="auto" w:fill="auto"/>
          </w:tcPr>
          <w:p w14:paraId="2DDE4BCC" w14:textId="77777777" w:rsidR="003545C8" w:rsidRPr="00931D46" w:rsidRDefault="003545C8" w:rsidP="005E23E0">
            <w:pPr>
              <w:pStyle w:val="Prrafodelista"/>
              <w:numPr>
                <w:ilvl w:val="0"/>
                <w:numId w:val="18"/>
              </w:numPr>
              <w:tabs>
                <w:tab w:val="left" w:pos="2480"/>
              </w:tabs>
              <w:spacing w:after="0"/>
              <w:ind w:left="743" w:hanging="567"/>
              <w:contextualSpacing w:val="0"/>
              <w:jc w:val="both"/>
              <w:rPr>
                <w:rFonts w:ascii="Arial" w:hAnsi="Arial" w:cs="Arial"/>
                <w:sz w:val="18"/>
                <w:szCs w:val="18"/>
              </w:rPr>
            </w:pPr>
            <w:r w:rsidRPr="00931D46">
              <w:rPr>
                <w:rFonts w:ascii="Arial" w:hAnsi="Arial" w:cs="Arial"/>
                <w:sz w:val="18"/>
                <w:szCs w:val="18"/>
              </w:rPr>
              <w:t>(art 5 de las DRLFCE) Las circunstancias particulares de cada caso, identificar los bienes o servicios producidos, distribuidos, adquiridos, comercializados u ofrecidos y aquellos que los sustituyan o puedan sustituirlos oportunamente, así como delimitar el área geográfica en la que se ofrecen o demandan dichos bienes o servicios y si en la misma existe la opción de acudir indistintamente a los proveedores o clientes sin incurrir en costos significativos.</w:t>
            </w:r>
          </w:p>
        </w:tc>
        <w:tc>
          <w:tcPr>
            <w:tcW w:w="1134" w:type="dxa"/>
            <w:shd w:val="clear" w:color="auto" w:fill="auto"/>
            <w:vAlign w:val="center"/>
          </w:tcPr>
          <w:p w14:paraId="440E98E4" w14:textId="77777777" w:rsidR="003545C8" w:rsidRPr="00931D46" w:rsidRDefault="003545C8" w:rsidP="00594C79">
            <w:pPr>
              <w:tabs>
                <w:tab w:val="left" w:pos="2480"/>
              </w:tabs>
              <w:jc w:val="center"/>
              <w:rPr>
                <w:rFonts w:ascii="Arial" w:hAnsi="Arial" w:cs="Arial"/>
                <w:b/>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7F0C3D1D"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13917D05"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4F75E97B" w14:textId="77777777" w:rsidR="003545C8" w:rsidRPr="00931D46" w:rsidRDefault="003545C8" w:rsidP="00594C79">
            <w:pPr>
              <w:tabs>
                <w:tab w:val="left" w:pos="2480"/>
              </w:tabs>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bl>
    <w:p w14:paraId="605FAF84" w14:textId="77777777" w:rsidR="003545C8" w:rsidRPr="00931D46" w:rsidRDefault="003545C8" w:rsidP="003545C8">
      <w:pPr>
        <w:tabs>
          <w:tab w:val="left" w:pos="2480"/>
        </w:tabs>
        <w:spacing w:after="0"/>
        <w:rPr>
          <w:rFonts w:ascii="Arial" w:hAnsi="Arial" w:cs="Arial"/>
          <w:highlight w:val="yellow"/>
        </w:rPr>
      </w:pPr>
      <w:r w:rsidRPr="00931D46">
        <w:rPr>
          <w:rFonts w:ascii="Arial" w:hAnsi="Arial" w:cs="Arial"/>
          <w:sz w:val="14"/>
        </w:rPr>
        <w:t>Fuente: Elaboración propia.</w:t>
      </w:r>
    </w:p>
    <w:p w14:paraId="51DD44D3" w14:textId="77777777" w:rsidR="003545C8" w:rsidRPr="00931D46" w:rsidRDefault="003545C8" w:rsidP="003545C8">
      <w:pPr>
        <w:tabs>
          <w:tab w:val="left" w:pos="2480"/>
        </w:tabs>
        <w:spacing w:after="0"/>
        <w:rPr>
          <w:rFonts w:ascii="Arial" w:hAnsi="Arial" w:cs="Arial"/>
          <w:highlight w:val="yellow"/>
        </w:rPr>
      </w:pPr>
    </w:p>
    <w:p w14:paraId="30A645BE" w14:textId="77777777" w:rsidR="003545C8" w:rsidRPr="00931D46" w:rsidRDefault="003545C8" w:rsidP="003545C8">
      <w:pPr>
        <w:tabs>
          <w:tab w:val="left" w:pos="2480"/>
        </w:tabs>
        <w:spacing w:after="0"/>
        <w:jc w:val="both"/>
        <w:rPr>
          <w:rFonts w:ascii="Arial" w:hAnsi="Arial" w:cs="Arial"/>
          <w:highlight w:val="yellow"/>
        </w:rPr>
      </w:pPr>
      <w:r w:rsidRPr="00931D46">
        <w:rPr>
          <w:rFonts w:ascii="Arial" w:hAnsi="Arial" w:cs="Arial"/>
        </w:rPr>
        <w:lastRenderedPageBreak/>
        <w:t>Como se observa, el marco legal mexicano establece consideraciones para la determinación del MR en sus dos dimensiones (</w:t>
      </w:r>
      <w:r>
        <w:rPr>
          <w:rFonts w:ascii="Arial" w:hAnsi="Arial" w:cs="Arial"/>
        </w:rPr>
        <w:t>producto</w:t>
      </w:r>
      <w:r w:rsidRPr="00931D46">
        <w:rPr>
          <w:rFonts w:ascii="Arial" w:hAnsi="Arial" w:cs="Arial"/>
        </w:rPr>
        <w:t xml:space="preserve"> y geográfica), que incluyen elementos asociados a la sustitución por el lado de la demanda y de la oferta.</w:t>
      </w:r>
    </w:p>
    <w:p w14:paraId="75CE63DC" w14:textId="77777777" w:rsidR="003545C8" w:rsidRPr="00931D46" w:rsidRDefault="003545C8" w:rsidP="003545C8">
      <w:pPr>
        <w:tabs>
          <w:tab w:val="left" w:pos="2480"/>
        </w:tabs>
        <w:spacing w:after="0"/>
        <w:jc w:val="both"/>
        <w:rPr>
          <w:rFonts w:ascii="Arial" w:hAnsi="Arial" w:cs="Arial"/>
          <w:highlight w:val="yellow"/>
        </w:rPr>
      </w:pPr>
    </w:p>
    <w:p w14:paraId="09D9E6F6" w14:textId="4E59283E" w:rsidR="003545C8" w:rsidRPr="00931D46" w:rsidRDefault="0003578B"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29" w:name="_Toc45628320"/>
      <w:bookmarkStart w:id="30" w:name="_Toc71717631"/>
      <w:r>
        <w:rPr>
          <w:rFonts w:ascii="Arial" w:eastAsia="Times New Roman" w:hAnsi="Arial" w:cs="Arial"/>
          <w:sz w:val="26"/>
          <w:lang w:eastAsia="es-MX"/>
        </w:rPr>
        <w:t>E</w:t>
      </w:r>
      <w:r w:rsidR="003545C8" w:rsidRPr="00931D46">
        <w:rPr>
          <w:rFonts w:ascii="Arial" w:eastAsia="Times New Roman" w:hAnsi="Arial" w:cs="Arial"/>
          <w:sz w:val="26"/>
          <w:lang w:eastAsia="es-MX"/>
        </w:rPr>
        <w:t>nfoque del análisis de sustitución</w:t>
      </w:r>
      <w:bookmarkEnd w:id="29"/>
      <w:bookmarkEnd w:id="30"/>
    </w:p>
    <w:p w14:paraId="077E1E8C" w14:textId="77777777" w:rsidR="003545C8" w:rsidRPr="00931D46" w:rsidRDefault="003545C8" w:rsidP="003545C8">
      <w:pPr>
        <w:spacing w:after="0"/>
        <w:jc w:val="both"/>
        <w:rPr>
          <w:rFonts w:ascii="Arial" w:hAnsi="Arial" w:cs="Arial"/>
        </w:rPr>
      </w:pPr>
    </w:p>
    <w:p w14:paraId="0C6696A9" w14:textId="77777777" w:rsidR="003545C8" w:rsidRDefault="003545C8" w:rsidP="003545C8">
      <w:pPr>
        <w:spacing w:after="0"/>
        <w:jc w:val="both"/>
        <w:rPr>
          <w:rFonts w:ascii="Arial" w:eastAsia="Times New Roman" w:hAnsi="Arial" w:cs="Arial"/>
          <w:bCs/>
          <w:kern w:val="1"/>
          <w:lang w:eastAsia="ar-SA"/>
        </w:rPr>
      </w:pPr>
      <w:r w:rsidRPr="00931D46">
        <w:rPr>
          <w:rFonts w:ascii="Arial" w:hAnsi="Arial" w:cs="Arial"/>
        </w:rPr>
        <w:t>En la determinación de las dos dimensiones (</w:t>
      </w:r>
      <w:r>
        <w:rPr>
          <w:rFonts w:ascii="Arial" w:hAnsi="Arial" w:cs="Arial"/>
        </w:rPr>
        <w:t>producto</w:t>
      </w:r>
      <w:r w:rsidRPr="00931D46">
        <w:rPr>
          <w:rFonts w:ascii="Arial" w:hAnsi="Arial" w:cs="Arial"/>
        </w:rPr>
        <w:t xml:space="preserve"> y geográfica) del MR, el Instituto considerará las restricciones (presiones) </w:t>
      </w:r>
      <w:r w:rsidRPr="00931D46">
        <w:rPr>
          <w:rFonts w:ascii="Arial" w:eastAsia="Times New Roman" w:hAnsi="Arial" w:cs="Arial"/>
          <w:bCs/>
          <w:kern w:val="1"/>
          <w:lang w:eastAsia="ar-SA"/>
        </w:rPr>
        <w:t xml:space="preserve">competitivas </w:t>
      </w:r>
      <w:r w:rsidRPr="00931D46">
        <w:rPr>
          <w:rFonts w:ascii="Arial" w:hAnsi="Arial" w:cs="Arial"/>
        </w:rPr>
        <w:t>por el lado de la demanda (</w:t>
      </w:r>
      <w:r w:rsidRPr="00EA2839">
        <w:rPr>
          <w:rFonts w:ascii="Arial" w:hAnsi="Arial" w:cs="Arial"/>
        </w:rPr>
        <w:t xml:space="preserve">sustitución por el lado de la demanda) y por el lado de la oferta (sustitución por el lado de la oferta). </w:t>
      </w:r>
      <w:r w:rsidRPr="00EA2839">
        <w:rPr>
          <w:rFonts w:ascii="Arial" w:eastAsia="Times New Roman" w:hAnsi="Arial" w:cs="Arial"/>
          <w:bCs/>
          <w:kern w:val="1"/>
          <w:lang w:eastAsia="ar-SA"/>
        </w:rPr>
        <w:t>En particular, se considerará que la sustitución por el lado de la demanda es el medio más inmediato y eficaz para restringir el comportamiento de los proveedores de un determinado producto.</w:t>
      </w:r>
      <w:r>
        <w:rPr>
          <w:rFonts w:ascii="Arial" w:eastAsia="Times New Roman" w:hAnsi="Arial" w:cs="Arial"/>
          <w:bCs/>
          <w:kern w:val="1"/>
          <w:lang w:eastAsia="ar-SA"/>
        </w:rPr>
        <w:t xml:space="preserve"> </w:t>
      </w:r>
    </w:p>
    <w:p w14:paraId="56AE94E7" w14:textId="77777777" w:rsidR="003545C8" w:rsidRDefault="003545C8" w:rsidP="003545C8">
      <w:pPr>
        <w:spacing w:after="0"/>
        <w:jc w:val="both"/>
        <w:rPr>
          <w:rFonts w:ascii="Arial" w:eastAsia="Times New Roman" w:hAnsi="Arial" w:cs="Arial"/>
          <w:bCs/>
          <w:kern w:val="1"/>
          <w:lang w:eastAsia="ar-SA"/>
        </w:rPr>
      </w:pPr>
    </w:p>
    <w:p w14:paraId="02935503" w14:textId="77777777" w:rsidR="003545C8" w:rsidRDefault="003545C8" w:rsidP="003545C8">
      <w:pPr>
        <w:spacing w:after="0"/>
        <w:jc w:val="both"/>
        <w:rPr>
          <w:rFonts w:ascii="Arial" w:hAnsi="Arial" w:cs="Arial"/>
        </w:rPr>
      </w:pPr>
      <w:r w:rsidRPr="00952747">
        <w:rPr>
          <w:rFonts w:ascii="Arial" w:eastAsia="Times New Roman" w:hAnsi="Arial" w:cs="Arial"/>
          <w:bCs/>
          <w:kern w:val="1"/>
          <w:lang w:eastAsia="ar-SA"/>
        </w:rPr>
        <w:t>En cuanto a</w:t>
      </w:r>
      <w:r w:rsidRPr="00EA2839">
        <w:rPr>
          <w:rFonts w:ascii="Arial" w:hAnsi="Arial" w:cs="Arial"/>
        </w:rPr>
        <w:t xml:space="preserve"> la sustitución por el lado de la oferta, se considerará que esta debe ser inmediata y sin incurrir en costos apreciables, de tal manera que pueda restringir el comportamiento de los competidores y tener efectos equivalentes a los de la sustitución por el lado de la demanda, en términos de eficacia y respuesta inmediata.</w:t>
      </w:r>
    </w:p>
    <w:p w14:paraId="69310790" w14:textId="77777777" w:rsidR="003545C8" w:rsidRPr="00931D46" w:rsidRDefault="003545C8" w:rsidP="003545C8">
      <w:pPr>
        <w:spacing w:after="0"/>
        <w:jc w:val="both"/>
        <w:rPr>
          <w:rFonts w:ascii="Arial" w:hAnsi="Arial" w:cs="Arial"/>
        </w:rPr>
      </w:pPr>
    </w:p>
    <w:p w14:paraId="18FC175A" w14:textId="77777777" w:rsidR="003545C8" w:rsidRPr="00931D46" w:rsidRDefault="003545C8" w:rsidP="003545C8">
      <w:pPr>
        <w:spacing w:after="0"/>
        <w:jc w:val="both"/>
        <w:rPr>
          <w:rFonts w:ascii="Arial" w:eastAsia="Times New Roman" w:hAnsi="Arial" w:cs="Arial"/>
          <w:bCs/>
          <w:kern w:val="1"/>
          <w:lang w:eastAsia="ar-SA"/>
        </w:rPr>
      </w:pPr>
      <w:r w:rsidRPr="00931D46">
        <w:rPr>
          <w:rFonts w:ascii="Arial" w:eastAsia="Times New Roman" w:hAnsi="Arial" w:cs="Arial"/>
          <w:bCs/>
          <w:kern w:val="1"/>
          <w:lang w:eastAsia="ar-SA"/>
        </w:rPr>
        <w:t xml:space="preserve">Cuando se identifique la existencia de competencia potencial, su evaluación no se considerará en la etapa de determinación del MR sino, en caso necesario, podrá llevarse a cabo </w:t>
      </w:r>
      <w:r>
        <w:rPr>
          <w:rFonts w:ascii="Arial" w:eastAsia="Times New Roman" w:hAnsi="Arial" w:cs="Arial"/>
          <w:bCs/>
          <w:kern w:val="1"/>
          <w:lang w:eastAsia="ar-SA"/>
        </w:rPr>
        <w:t>al analizar</w:t>
      </w:r>
      <w:r w:rsidRPr="00D55107">
        <w:rPr>
          <w:rFonts w:ascii="Arial" w:eastAsia="Times New Roman" w:hAnsi="Arial" w:cs="Arial"/>
          <w:bCs/>
          <w:kern w:val="1"/>
          <w:lang w:eastAsia="ar-SA"/>
        </w:rPr>
        <w:t xml:space="preserve"> la existencia de poder </w:t>
      </w:r>
      <w:r>
        <w:rPr>
          <w:rFonts w:ascii="Arial" w:eastAsia="Times New Roman" w:hAnsi="Arial" w:cs="Arial"/>
          <w:bCs/>
          <w:kern w:val="1"/>
          <w:lang w:eastAsia="ar-SA"/>
        </w:rPr>
        <w:t>sustancial de mercado</w:t>
      </w:r>
      <w:r w:rsidRPr="00D55107">
        <w:rPr>
          <w:rFonts w:ascii="Arial" w:eastAsia="Times New Roman" w:hAnsi="Arial" w:cs="Arial"/>
          <w:bCs/>
          <w:kern w:val="1"/>
          <w:lang w:eastAsia="ar-SA"/>
        </w:rPr>
        <w:t xml:space="preserve"> o </w:t>
      </w:r>
      <w:r>
        <w:rPr>
          <w:rFonts w:ascii="Arial" w:eastAsia="Times New Roman" w:hAnsi="Arial" w:cs="Arial"/>
          <w:bCs/>
          <w:kern w:val="1"/>
          <w:lang w:eastAsia="ar-SA"/>
        </w:rPr>
        <w:t xml:space="preserve">en la evaluación de </w:t>
      </w:r>
      <w:r w:rsidRPr="00D55107">
        <w:rPr>
          <w:rFonts w:ascii="Arial" w:eastAsia="Times New Roman" w:hAnsi="Arial" w:cs="Arial"/>
          <w:bCs/>
          <w:kern w:val="1"/>
          <w:lang w:eastAsia="ar-SA"/>
        </w:rPr>
        <w:t>condiciones de competencia</w:t>
      </w:r>
      <w:r>
        <w:rPr>
          <w:rFonts w:ascii="Arial" w:eastAsia="Times New Roman" w:hAnsi="Arial" w:cs="Arial"/>
          <w:bCs/>
          <w:kern w:val="1"/>
          <w:lang w:eastAsia="ar-SA"/>
        </w:rPr>
        <w:t xml:space="preserve"> o competencia efectiva</w:t>
      </w:r>
      <w:r w:rsidRPr="00931D46">
        <w:rPr>
          <w:rFonts w:ascii="Arial" w:eastAsia="Times New Roman" w:hAnsi="Arial" w:cs="Arial"/>
          <w:bCs/>
          <w:kern w:val="1"/>
          <w:lang w:eastAsia="ar-SA"/>
        </w:rPr>
        <w:t>.</w:t>
      </w:r>
    </w:p>
    <w:p w14:paraId="1A18A1BA" w14:textId="77777777" w:rsidR="003545C8" w:rsidRPr="00931D46" w:rsidRDefault="003545C8" w:rsidP="003545C8">
      <w:pPr>
        <w:spacing w:after="0"/>
        <w:jc w:val="both"/>
        <w:rPr>
          <w:rFonts w:ascii="Arial" w:hAnsi="Arial" w:cs="Arial"/>
        </w:rPr>
      </w:pPr>
    </w:p>
    <w:p w14:paraId="3E0121BB" w14:textId="7777777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31" w:name="_Toc71717632"/>
      <w:r w:rsidRPr="00931D46">
        <w:rPr>
          <w:rFonts w:ascii="Arial" w:hAnsi="Arial" w:cs="Arial"/>
          <w:sz w:val="26"/>
          <w:szCs w:val="26"/>
        </w:rPr>
        <w:t>Herramientas y elementos para el análisis de sustitución</w:t>
      </w:r>
      <w:bookmarkEnd w:id="31"/>
    </w:p>
    <w:p w14:paraId="4C77CF83" w14:textId="77777777" w:rsidR="003545C8" w:rsidRPr="00931D46" w:rsidRDefault="003545C8" w:rsidP="003545C8">
      <w:pPr>
        <w:keepNext/>
        <w:spacing w:after="0"/>
        <w:jc w:val="both"/>
        <w:rPr>
          <w:rFonts w:ascii="Arial" w:eastAsia="Times New Roman" w:hAnsi="Arial" w:cs="Arial"/>
          <w:lang w:eastAsia="es-MX"/>
        </w:rPr>
      </w:pPr>
    </w:p>
    <w:p w14:paraId="2B60A07E" w14:textId="77777777" w:rsidR="003545C8" w:rsidRDefault="003545C8" w:rsidP="003545C8">
      <w:pPr>
        <w:spacing w:after="0"/>
        <w:jc w:val="both"/>
        <w:rPr>
          <w:rFonts w:ascii="Arial" w:hAnsi="Arial" w:cs="Arial"/>
          <w:lang w:eastAsia="es-MX"/>
        </w:rPr>
      </w:pPr>
      <w:r w:rsidRPr="00931D46">
        <w:rPr>
          <w:rFonts w:ascii="Arial" w:hAnsi="Arial" w:cs="Arial"/>
          <w:lang w:eastAsia="es-MX"/>
        </w:rPr>
        <w:t>Existen distintas herramientas para llevar a cabo el análisis de sustitución</w:t>
      </w:r>
      <w:r>
        <w:rPr>
          <w:rFonts w:ascii="Arial" w:hAnsi="Arial" w:cs="Arial"/>
          <w:lang w:eastAsia="es-MX"/>
        </w:rPr>
        <w:t>, las cuales</w:t>
      </w:r>
      <w:r w:rsidRPr="00931D46">
        <w:rPr>
          <w:rFonts w:ascii="Arial" w:hAnsi="Arial" w:cs="Arial"/>
          <w:lang w:eastAsia="es-MX"/>
        </w:rPr>
        <w:t xml:space="preserve"> proporcionan evidencia tanto cuantitativa como cualitativa sobre los patrones de sustitución que existen entre distintos </w:t>
      </w:r>
      <w:r>
        <w:rPr>
          <w:rFonts w:ascii="Arial" w:hAnsi="Arial" w:cs="Arial"/>
          <w:lang w:eastAsia="es-MX"/>
        </w:rPr>
        <w:t>productos</w:t>
      </w:r>
      <w:r w:rsidRPr="00931D46">
        <w:rPr>
          <w:rFonts w:ascii="Arial" w:hAnsi="Arial" w:cs="Arial"/>
          <w:lang w:eastAsia="es-MX"/>
        </w:rPr>
        <w:t xml:space="preserve"> y zonas geográficas, tales como: la </w:t>
      </w:r>
      <w:r w:rsidRPr="00EA2839">
        <w:rPr>
          <w:rFonts w:ascii="Arial" w:hAnsi="Arial" w:cs="Arial"/>
        </w:rPr>
        <w:t xml:space="preserve">Prueba del monopolista hipotético </w:t>
      </w:r>
      <w:r>
        <w:rPr>
          <w:rFonts w:ascii="Arial" w:hAnsi="Arial" w:cs="Arial"/>
        </w:rPr>
        <w:t xml:space="preserve">o Prueba SSNIP </w:t>
      </w:r>
      <w:r w:rsidRPr="00EA2839">
        <w:rPr>
          <w:rFonts w:ascii="Arial" w:hAnsi="Arial" w:cs="Arial"/>
        </w:rPr>
        <w:t>(</w:t>
      </w:r>
      <w:r w:rsidRPr="00EA2839">
        <w:rPr>
          <w:rFonts w:ascii="Arial" w:hAnsi="Arial" w:cs="Arial"/>
          <w:i/>
        </w:rPr>
        <w:t xml:space="preserve">Small </w:t>
      </w:r>
      <w:proofErr w:type="spellStart"/>
      <w:r w:rsidRPr="00EA2839">
        <w:rPr>
          <w:rFonts w:ascii="Arial" w:hAnsi="Arial" w:cs="Arial"/>
          <w:i/>
        </w:rPr>
        <w:t>but</w:t>
      </w:r>
      <w:proofErr w:type="spellEnd"/>
      <w:r w:rsidRPr="00EA2839">
        <w:rPr>
          <w:rFonts w:ascii="Arial" w:hAnsi="Arial" w:cs="Arial"/>
          <w:i/>
        </w:rPr>
        <w:t xml:space="preserve"> </w:t>
      </w:r>
      <w:proofErr w:type="spellStart"/>
      <w:r w:rsidRPr="00EA2839">
        <w:rPr>
          <w:rFonts w:ascii="Arial" w:hAnsi="Arial" w:cs="Arial"/>
          <w:i/>
        </w:rPr>
        <w:t>Significant</w:t>
      </w:r>
      <w:proofErr w:type="spellEnd"/>
      <w:r w:rsidRPr="00EA2839">
        <w:rPr>
          <w:rFonts w:ascii="Arial" w:hAnsi="Arial" w:cs="Arial"/>
          <w:i/>
        </w:rPr>
        <w:t xml:space="preserve"> Non-</w:t>
      </w:r>
      <w:proofErr w:type="spellStart"/>
      <w:r w:rsidRPr="00EA2839">
        <w:rPr>
          <w:rFonts w:ascii="Arial" w:hAnsi="Arial" w:cs="Arial"/>
          <w:i/>
        </w:rPr>
        <w:t>Transitory</w:t>
      </w:r>
      <w:proofErr w:type="spellEnd"/>
      <w:r w:rsidRPr="00EA2839">
        <w:rPr>
          <w:rFonts w:ascii="Arial" w:hAnsi="Arial" w:cs="Arial"/>
          <w:i/>
        </w:rPr>
        <w:t xml:space="preserve"> </w:t>
      </w:r>
      <w:proofErr w:type="spellStart"/>
      <w:r w:rsidRPr="00EA2839">
        <w:rPr>
          <w:rFonts w:ascii="Arial" w:hAnsi="Arial" w:cs="Arial"/>
          <w:i/>
        </w:rPr>
        <w:t>Increase</w:t>
      </w:r>
      <w:proofErr w:type="spellEnd"/>
      <w:r w:rsidRPr="00EA2839">
        <w:rPr>
          <w:rFonts w:ascii="Arial" w:hAnsi="Arial" w:cs="Arial"/>
          <w:i/>
        </w:rPr>
        <w:t xml:space="preserve"> in Price Test</w:t>
      </w:r>
      <w:r w:rsidRPr="00EA2839">
        <w:rPr>
          <w:rFonts w:ascii="Arial" w:hAnsi="Arial" w:cs="Arial"/>
        </w:rPr>
        <w:t>, en inglés)</w:t>
      </w:r>
      <w:r>
        <w:rPr>
          <w:rFonts w:ascii="Arial" w:hAnsi="Arial" w:cs="Arial"/>
          <w:lang w:eastAsia="es-MX"/>
        </w:rPr>
        <w:t xml:space="preserve"> y el análisis de pérdida crítica</w:t>
      </w:r>
      <w:r w:rsidRPr="00DC4B55">
        <w:rPr>
          <w:rFonts w:ascii="Arial" w:hAnsi="Arial" w:cs="Arial"/>
          <w:lang w:eastAsia="es-MX"/>
        </w:rPr>
        <w:t>,</w:t>
      </w:r>
      <w:r w:rsidRPr="00DC4B55">
        <w:rPr>
          <w:rFonts w:ascii="Arial" w:hAnsi="Arial" w:cs="Arial"/>
          <w:vertAlign w:val="superscript"/>
        </w:rPr>
        <w:footnoteReference w:id="18"/>
      </w:r>
      <w:r w:rsidRPr="00DC4B55">
        <w:rPr>
          <w:rFonts w:ascii="Arial" w:hAnsi="Arial" w:cs="Arial"/>
          <w:lang w:eastAsia="es-MX"/>
        </w:rPr>
        <w:t xml:space="preserve"> análisis</w:t>
      </w:r>
      <w:r w:rsidRPr="00931D46">
        <w:rPr>
          <w:rFonts w:ascii="Arial" w:hAnsi="Arial" w:cs="Arial"/>
          <w:lang w:eastAsia="es-MX"/>
        </w:rPr>
        <w:t xml:space="preserve"> de características y funcionalidades, estudios de consumo (que pueden ser derivados de encuestas), herramientas econométricas (por ejemplo, análisis de correlación de precios, estimación de elasticidades y experimentos naturales), entre otras.</w:t>
      </w:r>
      <w:r w:rsidRPr="00931D46">
        <w:rPr>
          <w:rStyle w:val="Refdenotaalpie"/>
          <w:rFonts w:ascii="Arial" w:hAnsi="Arial" w:cs="Arial"/>
          <w:lang w:eastAsia="es-MX"/>
        </w:rPr>
        <w:footnoteReference w:id="19"/>
      </w:r>
    </w:p>
    <w:p w14:paraId="706DC793" w14:textId="77777777" w:rsidR="003545C8" w:rsidRPr="00931D46" w:rsidRDefault="003545C8" w:rsidP="003545C8">
      <w:pPr>
        <w:spacing w:after="0"/>
        <w:jc w:val="both"/>
        <w:rPr>
          <w:rFonts w:ascii="Arial" w:hAnsi="Arial" w:cs="Arial"/>
          <w:lang w:eastAsia="es-MX"/>
        </w:rPr>
      </w:pPr>
      <w:r w:rsidRPr="00931D46">
        <w:rPr>
          <w:rFonts w:ascii="Arial" w:hAnsi="Arial" w:cs="Arial"/>
          <w:lang w:eastAsia="es-MX"/>
        </w:rPr>
        <w:t xml:space="preserve">Sin embargo, </w:t>
      </w:r>
      <w:r>
        <w:rPr>
          <w:rFonts w:ascii="Arial" w:hAnsi="Arial" w:cs="Arial"/>
          <w:lang w:eastAsia="es-MX"/>
        </w:rPr>
        <w:t xml:space="preserve">la práctica internacional indica que </w:t>
      </w:r>
      <w:r w:rsidRPr="00931D46">
        <w:rPr>
          <w:rFonts w:ascii="Arial" w:hAnsi="Arial" w:cs="Arial"/>
          <w:lang w:eastAsia="es-MX"/>
        </w:rPr>
        <w:t xml:space="preserve">la aplicación de esas herramientas es totalmente casuística, pues depende de las particularidades y características del </w:t>
      </w:r>
      <w:r>
        <w:rPr>
          <w:rFonts w:ascii="Arial" w:hAnsi="Arial" w:cs="Arial"/>
          <w:lang w:eastAsia="es-MX"/>
        </w:rPr>
        <w:t>producto</w:t>
      </w:r>
      <w:r w:rsidRPr="00931D46">
        <w:rPr>
          <w:rFonts w:ascii="Arial" w:hAnsi="Arial" w:cs="Arial"/>
          <w:lang w:eastAsia="es-MX"/>
        </w:rPr>
        <w:t xml:space="preserve"> y la </w:t>
      </w:r>
      <w:r>
        <w:rPr>
          <w:rFonts w:ascii="Arial" w:hAnsi="Arial" w:cs="Arial"/>
          <w:lang w:eastAsia="es-MX"/>
        </w:rPr>
        <w:t>zona</w:t>
      </w:r>
      <w:r w:rsidRPr="00931D46">
        <w:rPr>
          <w:rFonts w:ascii="Arial" w:hAnsi="Arial" w:cs="Arial"/>
          <w:lang w:eastAsia="es-MX"/>
        </w:rPr>
        <w:t xml:space="preserve"> geográfica bajo análisis, y de la información y evidencia disponibles.</w:t>
      </w:r>
    </w:p>
    <w:p w14:paraId="74547E04" w14:textId="77777777" w:rsidR="003545C8" w:rsidRPr="00931D46" w:rsidRDefault="003545C8" w:rsidP="003545C8">
      <w:pPr>
        <w:jc w:val="both"/>
        <w:rPr>
          <w:rFonts w:ascii="Arial" w:hAnsi="Arial" w:cs="Arial"/>
        </w:rPr>
      </w:pPr>
      <w:r w:rsidRPr="00931D46">
        <w:rPr>
          <w:rFonts w:ascii="Arial" w:hAnsi="Arial" w:cs="Arial"/>
          <w:lang w:eastAsia="es-MX"/>
        </w:rPr>
        <w:lastRenderedPageBreak/>
        <w:t>R</w:t>
      </w:r>
      <w:r w:rsidRPr="00931D46">
        <w:rPr>
          <w:rFonts w:ascii="Arial" w:hAnsi="Arial" w:cs="Arial"/>
        </w:rPr>
        <w:t>especto a la utilidad de la Prueba SSNIP, el PJF ha señalado que:</w:t>
      </w:r>
      <w:r w:rsidRPr="00931D46">
        <w:rPr>
          <w:rStyle w:val="Refdenotaalpie"/>
          <w:rFonts w:ascii="Arial" w:hAnsi="Arial" w:cs="Arial"/>
        </w:rPr>
        <w:t xml:space="preserve"> </w:t>
      </w:r>
      <w:r w:rsidRPr="00931D46">
        <w:rPr>
          <w:rStyle w:val="Refdenotaalpie"/>
          <w:rFonts w:ascii="Arial" w:hAnsi="Arial" w:cs="Arial"/>
        </w:rPr>
        <w:footnoteReference w:id="20"/>
      </w:r>
    </w:p>
    <w:p w14:paraId="68735BFB" w14:textId="77777777" w:rsidR="003545C8" w:rsidRPr="00931D46" w:rsidRDefault="003545C8" w:rsidP="005E23E0">
      <w:pPr>
        <w:pStyle w:val="Prrafodelista"/>
        <w:numPr>
          <w:ilvl w:val="0"/>
          <w:numId w:val="24"/>
        </w:numPr>
        <w:autoSpaceDE w:val="0"/>
        <w:autoSpaceDN w:val="0"/>
        <w:adjustRightInd w:val="0"/>
        <w:spacing w:after="0"/>
        <w:ind w:left="714" w:hanging="573"/>
        <w:contextualSpacing w:val="0"/>
        <w:jc w:val="both"/>
        <w:rPr>
          <w:rFonts w:ascii="Arial" w:hAnsi="Arial" w:cs="Arial"/>
          <w:color w:val="000000"/>
          <w:szCs w:val="26"/>
        </w:rPr>
      </w:pPr>
      <w:r w:rsidRPr="00931D46">
        <w:rPr>
          <w:rFonts w:ascii="Arial" w:hAnsi="Arial" w:cs="Arial"/>
          <w:color w:val="000000"/>
          <w:szCs w:val="26"/>
        </w:rPr>
        <w:t xml:space="preserve">Si se desarrolla de manera adecuada, dicha prueba ayudará a entender la presión competitiva que la oferta de otros </w:t>
      </w:r>
      <w:r>
        <w:rPr>
          <w:rFonts w:ascii="Arial" w:hAnsi="Arial" w:cs="Arial"/>
          <w:color w:val="000000"/>
          <w:szCs w:val="26"/>
        </w:rPr>
        <w:t>productos</w:t>
      </w:r>
      <w:r w:rsidRPr="00931D46">
        <w:rPr>
          <w:rFonts w:ascii="Arial" w:hAnsi="Arial" w:cs="Arial"/>
          <w:color w:val="000000"/>
          <w:szCs w:val="26"/>
        </w:rPr>
        <w:t xml:space="preserve"> distintos de los que son materia de estudio genera sobre éstos.</w:t>
      </w:r>
    </w:p>
    <w:p w14:paraId="2C9CA831" w14:textId="77777777" w:rsidR="003545C8" w:rsidRPr="00A92633" w:rsidRDefault="003545C8" w:rsidP="003545C8">
      <w:pPr>
        <w:pStyle w:val="Prrafodelista"/>
        <w:autoSpaceDE w:val="0"/>
        <w:autoSpaceDN w:val="0"/>
        <w:adjustRightInd w:val="0"/>
        <w:spacing w:after="0"/>
        <w:contextualSpacing w:val="0"/>
        <w:jc w:val="both"/>
        <w:rPr>
          <w:rFonts w:ascii="Arial" w:hAnsi="Arial" w:cs="Arial"/>
          <w:sz w:val="18"/>
        </w:rPr>
      </w:pPr>
    </w:p>
    <w:p w14:paraId="10ED2AE2" w14:textId="77777777" w:rsidR="003545C8" w:rsidRPr="00931D46" w:rsidRDefault="003545C8" w:rsidP="005E23E0">
      <w:pPr>
        <w:pStyle w:val="Prrafodelista"/>
        <w:numPr>
          <w:ilvl w:val="0"/>
          <w:numId w:val="24"/>
        </w:numPr>
        <w:autoSpaceDE w:val="0"/>
        <w:autoSpaceDN w:val="0"/>
        <w:adjustRightInd w:val="0"/>
        <w:spacing w:after="0"/>
        <w:ind w:hanging="573"/>
        <w:contextualSpacing w:val="0"/>
        <w:jc w:val="both"/>
        <w:rPr>
          <w:rFonts w:ascii="Arial" w:hAnsi="Arial" w:cs="Arial"/>
          <w:sz w:val="18"/>
        </w:rPr>
      </w:pPr>
      <w:r w:rsidRPr="00931D46">
        <w:rPr>
          <w:rFonts w:ascii="Arial" w:hAnsi="Arial" w:cs="Arial"/>
          <w:color w:val="000000"/>
          <w:szCs w:val="26"/>
        </w:rPr>
        <w:t xml:space="preserve">Permitirá clasificar los sustitutos más cercanos, los cuales conformarán junto con los </w:t>
      </w:r>
      <w:r>
        <w:rPr>
          <w:rFonts w:ascii="Arial" w:hAnsi="Arial" w:cs="Arial"/>
          <w:color w:val="000000"/>
          <w:szCs w:val="26"/>
        </w:rPr>
        <w:t>productos</w:t>
      </w:r>
      <w:r w:rsidRPr="00931D46">
        <w:rPr>
          <w:rFonts w:ascii="Arial" w:hAnsi="Arial" w:cs="Arial"/>
          <w:color w:val="000000"/>
          <w:szCs w:val="26"/>
        </w:rPr>
        <w:t xml:space="preserve"> analizados, el MR, bajo la premisa de que un factor bajo de elasticidad cruzada entre los </w:t>
      </w:r>
      <w:r>
        <w:rPr>
          <w:rFonts w:ascii="Arial" w:hAnsi="Arial" w:cs="Arial"/>
          <w:color w:val="000000"/>
          <w:szCs w:val="26"/>
        </w:rPr>
        <w:t>productos</w:t>
      </w:r>
      <w:r w:rsidRPr="00931D46">
        <w:rPr>
          <w:rFonts w:ascii="Arial" w:hAnsi="Arial" w:cs="Arial"/>
          <w:color w:val="000000"/>
          <w:szCs w:val="26"/>
        </w:rPr>
        <w:t xml:space="preserve"> comparados es indicativo de que los consumidores no los perciben como sustitutos, lo que a su vez sugiere que ambos conforman mercados independientes o separados.</w:t>
      </w:r>
    </w:p>
    <w:p w14:paraId="7592D3B9" w14:textId="77777777" w:rsidR="003545C8" w:rsidRPr="00931D46" w:rsidRDefault="003545C8" w:rsidP="003545C8">
      <w:pPr>
        <w:spacing w:after="0"/>
        <w:jc w:val="both"/>
        <w:rPr>
          <w:rFonts w:ascii="Arial" w:eastAsia="Times New Roman" w:hAnsi="Arial" w:cs="Arial"/>
          <w:bCs/>
          <w:kern w:val="1"/>
          <w:lang w:eastAsia="ar-SA"/>
        </w:rPr>
      </w:pPr>
    </w:p>
    <w:p w14:paraId="1CD1662E" w14:textId="77777777" w:rsidR="003545C8" w:rsidRDefault="003545C8" w:rsidP="003545C8">
      <w:pPr>
        <w:spacing w:after="0"/>
        <w:jc w:val="both"/>
        <w:rPr>
          <w:rFonts w:ascii="Arial" w:hAnsi="Arial" w:cs="Arial"/>
          <w:lang w:eastAsia="es-MX"/>
        </w:rPr>
      </w:pPr>
      <w:r w:rsidRPr="00EA6D59">
        <w:rPr>
          <w:rFonts w:ascii="Arial" w:hAnsi="Arial" w:cs="Arial"/>
          <w:lang w:eastAsia="es-MX"/>
        </w:rPr>
        <w:t xml:space="preserve">En </w:t>
      </w:r>
      <w:r w:rsidRPr="009B6F6C">
        <w:rPr>
          <w:rFonts w:ascii="Arial" w:hAnsi="Arial" w:cs="Arial"/>
          <w:lang w:eastAsia="es-MX"/>
        </w:rPr>
        <w:t xml:space="preserve">la práctica, la </w:t>
      </w:r>
      <w:r>
        <w:rPr>
          <w:rFonts w:ascii="Arial" w:hAnsi="Arial" w:cs="Arial"/>
          <w:lang w:eastAsia="es-MX"/>
        </w:rPr>
        <w:t>P</w:t>
      </w:r>
      <w:r w:rsidRPr="009B6F6C">
        <w:rPr>
          <w:rFonts w:ascii="Arial" w:hAnsi="Arial" w:cs="Arial"/>
          <w:lang w:eastAsia="es-MX"/>
        </w:rPr>
        <w:t xml:space="preserve">rueba </w:t>
      </w:r>
      <w:r>
        <w:rPr>
          <w:rFonts w:ascii="Arial" w:hAnsi="Arial" w:cs="Arial"/>
          <w:lang w:eastAsia="es-MX"/>
        </w:rPr>
        <w:t xml:space="preserve">SSNIP </w:t>
      </w:r>
      <w:r w:rsidRPr="009B6F6C">
        <w:rPr>
          <w:rFonts w:ascii="Arial" w:hAnsi="Arial" w:cs="Arial"/>
          <w:lang w:eastAsia="es-MX"/>
        </w:rPr>
        <w:t>establece un marco conceptual para realizar el análisis de sustitución, el cual se complementa con otras herramientas, y cuya aplicación o valoración dependen del caso específico de análisis y de la información disponible.</w:t>
      </w:r>
      <w:r w:rsidRPr="009B6F6C">
        <w:rPr>
          <w:rFonts w:ascii="Arial" w:hAnsi="Arial" w:cs="Arial"/>
          <w:vertAlign w:val="superscript"/>
          <w:lang w:eastAsia="es-MX"/>
        </w:rPr>
        <w:footnoteReference w:id="21"/>
      </w:r>
    </w:p>
    <w:p w14:paraId="2849C3DC" w14:textId="77777777" w:rsidR="003545C8" w:rsidRPr="00931D46" w:rsidRDefault="003545C8" w:rsidP="003545C8">
      <w:pPr>
        <w:spacing w:after="0"/>
        <w:jc w:val="both"/>
        <w:rPr>
          <w:rFonts w:ascii="Arial" w:hAnsi="Arial" w:cs="Arial"/>
          <w:lang w:eastAsia="es-MX"/>
        </w:rPr>
      </w:pPr>
      <w:r w:rsidRPr="00EA6D59">
        <w:rPr>
          <w:rFonts w:ascii="Arial" w:hAnsi="Arial" w:cs="Arial"/>
          <w:lang w:eastAsia="es-MX"/>
        </w:rPr>
        <w:t xml:space="preserve"> </w:t>
      </w:r>
    </w:p>
    <w:p w14:paraId="30EB9DE6" w14:textId="7777777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32" w:name="_Toc41649766"/>
      <w:bookmarkStart w:id="33" w:name="_Toc41649907"/>
      <w:bookmarkStart w:id="34" w:name="_Toc45216574"/>
      <w:bookmarkStart w:id="35" w:name="_Toc45628324"/>
      <w:bookmarkStart w:id="36" w:name="_Toc71717633"/>
      <w:r w:rsidRPr="00931D46">
        <w:rPr>
          <w:rFonts w:ascii="Arial" w:hAnsi="Arial" w:cs="Arial"/>
          <w:sz w:val="26"/>
          <w:szCs w:val="26"/>
        </w:rPr>
        <w:t xml:space="preserve">Determinación de la dimensión </w:t>
      </w:r>
      <w:bookmarkEnd w:id="32"/>
      <w:bookmarkEnd w:id="33"/>
      <w:bookmarkEnd w:id="34"/>
      <w:bookmarkEnd w:id="35"/>
      <w:r>
        <w:rPr>
          <w:rFonts w:ascii="Arial" w:hAnsi="Arial" w:cs="Arial"/>
          <w:sz w:val="26"/>
          <w:szCs w:val="26"/>
        </w:rPr>
        <w:t>producto</w:t>
      </w:r>
      <w:bookmarkEnd w:id="36"/>
    </w:p>
    <w:p w14:paraId="5A154543" w14:textId="77777777" w:rsidR="003545C8" w:rsidRPr="00931D46" w:rsidRDefault="003545C8" w:rsidP="003545C8">
      <w:pPr>
        <w:keepNext/>
        <w:spacing w:after="0"/>
        <w:jc w:val="both"/>
        <w:rPr>
          <w:rFonts w:ascii="Arial" w:hAnsi="Arial" w:cs="Arial"/>
        </w:rPr>
      </w:pPr>
      <w:bookmarkStart w:id="37" w:name="_Toc41649750"/>
      <w:bookmarkStart w:id="38" w:name="_Toc41649891"/>
    </w:p>
    <w:p w14:paraId="7D0F0AD4" w14:textId="77777777" w:rsidR="003545C8" w:rsidRPr="00931D46"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39" w:name="_Toc71717634"/>
      <w:r w:rsidRPr="00931D46">
        <w:rPr>
          <w:rFonts w:ascii="Arial" w:eastAsia="Times New Roman" w:hAnsi="Arial" w:cs="Arial"/>
          <w:sz w:val="26"/>
          <w:lang w:eastAsia="es-MX"/>
        </w:rPr>
        <w:t>Precedentes decisorios del Instituto</w:t>
      </w:r>
      <w:bookmarkEnd w:id="39"/>
    </w:p>
    <w:p w14:paraId="451F7202" w14:textId="77777777" w:rsidR="003545C8" w:rsidRPr="00931D46" w:rsidRDefault="003545C8" w:rsidP="003545C8">
      <w:pPr>
        <w:spacing w:after="0"/>
        <w:jc w:val="both"/>
        <w:rPr>
          <w:rFonts w:ascii="Arial" w:eastAsiaTheme="majorEastAsia" w:hAnsi="Arial" w:cs="Arial"/>
          <w:b/>
          <w:szCs w:val="32"/>
          <w:highlight w:val="yellow"/>
        </w:rPr>
      </w:pPr>
    </w:p>
    <w:p w14:paraId="62658E77" w14:textId="77777777" w:rsidR="003545C8" w:rsidRPr="00931D46" w:rsidRDefault="003545C8" w:rsidP="003545C8">
      <w:pPr>
        <w:spacing w:after="0"/>
        <w:jc w:val="both"/>
        <w:rPr>
          <w:rFonts w:ascii="Arial" w:hAnsi="Arial" w:cs="Arial"/>
        </w:rPr>
      </w:pPr>
      <w:r w:rsidRPr="00931D46">
        <w:rPr>
          <w:rFonts w:ascii="Arial" w:hAnsi="Arial" w:cs="Arial"/>
        </w:rPr>
        <w:t>Conforme a precedentes decisorios del Instituto,</w:t>
      </w:r>
      <w:r w:rsidRPr="00D20B68">
        <w:rPr>
          <w:rFonts w:ascii="Arial" w:eastAsia="Times New Roman" w:hAnsi="Arial" w:cs="Arial"/>
          <w:vertAlign w:val="superscript"/>
          <w:lang w:eastAsia="es-MX"/>
        </w:rPr>
        <w:footnoteReference w:id="22"/>
      </w:r>
      <w:r w:rsidRPr="00931D46">
        <w:rPr>
          <w:rFonts w:ascii="Arial" w:hAnsi="Arial" w:cs="Arial"/>
        </w:rPr>
        <w:t xml:space="preserve"> se observa que la dimensión </w:t>
      </w:r>
      <w:r>
        <w:rPr>
          <w:rFonts w:ascii="Arial" w:hAnsi="Arial" w:cs="Arial"/>
        </w:rPr>
        <w:t>producto</w:t>
      </w:r>
      <w:r w:rsidRPr="00931D46">
        <w:rPr>
          <w:rFonts w:ascii="Arial" w:hAnsi="Arial" w:cs="Arial"/>
        </w:rPr>
        <w:t xml:space="preserve"> del MR se ha determinado considerando distintos elementos indicativos de sustitución, tales como: </w:t>
      </w:r>
    </w:p>
    <w:p w14:paraId="6D175FF7" w14:textId="77777777" w:rsidR="003545C8" w:rsidRPr="00931D46" w:rsidRDefault="003545C8" w:rsidP="003545C8">
      <w:pPr>
        <w:spacing w:after="0"/>
        <w:jc w:val="both"/>
        <w:rPr>
          <w:rFonts w:ascii="Arial" w:hAnsi="Arial" w:cs="Arial"/>
        </w:rPr>
      </w:pPr>
    </w:p>
    <w:p w14:paraId="34C986C9" w14:textId="77777777" w:rsidR="003545C8" w:rsidRDefault="003545C8" w:rsidP="005E23E0">
      <w:pPr>
        <w:pStyle w:val="Prrafodelista"/>
        <w:numPr>
          <w:ilvl w:val="0"/>
          <w:numId w:val="20"/>
        </w:numPr>
        <w:spacing w:after="0"/>
        <w:ind w:hanging="578"/>
        <w:contextualSpacing w:val="0"/>
        <w:jc w:val="both"/>
        <w:rPr>
          <w:rFonts w:ascii="Arial" w:hAnsi="Arial" w:cs="Arial"/>
        </w:rPr>
      </w:pPr>
      <w:r w:rsidRPr="00931D46">
        <w:rPr>
          <w:rFonts w:ascii="Arial" w:hAnsi="Arial" w:cs="Arial"/>
        </w:rPr>
        <w:t xml:space="preserve">Por el lado de la demanda: </w:t>
      </w:r>
      <w:r>
        <w:rPr>
          <w:rFonts w:ascii="Arial" w:hAnsi="Arial" w:cs="Arial"/>
        </w:rPr>
        <w:t>a</w:t>
      </w:r>
      <w:r w:rsidRPr="00931D46">
        <w:rPr>
          <w:rFonts w:ascii="Arial" w:hAnsi="Arial" w:cs="Arial"/>
        </w:rPr>
        <w:t>nálisis de equivalencia funcional, de las características</w:t>
      </w:r>
      <w:r>
        <w:rPr>
          <w:rFonts w:ascii="Arial" w:hAnsi="Arial" w:cs="Arial"/>
        </w:rPr>
        <w:t>,</w:t>
      </w:r>
      <w:r w:rsidRPr="00931D46">
        <w:rPr>
          <w:rFonts w:ascii="Arial" w:hAnsi="Arial" w:cs="Arial"/>
        </w:rPr>
        <w:t xml:space="preserve"> atributos </w:t>
      </w:r>
      <w:r>
        <w:rPr>
          <w:rFonts w:ascii="Arial" w:hAnsi="Arial" w:cs="Arial"/>
        </w:rPr>
        <w:t xml:space="preserve">y usos </w:t>
      </w:r>
      <w:r w:rsidRPr="00931D46">
        <w:rPr>
          <w:rFonts w:ascii="Arial" w:hAnsi="Arial" w:cs="Arial"/>
        </w:rPr>
        <w:t xml:space="preserve">de los </w:t>
      </w:r>
      <w:r>
        <w:rPr>
          <w:rFonts w:ascii="Arial" w:hAnsi="Arial" w:cs="Arial"/>
        </w:rPr>
        <w:t xml:space="preserve">productos, tales como </w:t>
      </w:r>
      <w:r w:rsidRPr="00931D46">
        <w:rPr>
          <w:rFonts w:ascii="Arial" w:hAnsi="Arial" w:cs="Arial"/>
        </w:rPr>
        <w:t>variedad, calidad, posibilidad de personaliza</w:t>
      </w:r>
      <w:r>
        <w:rPr>
          <w:rFonts w:ascii="Arial" w:hAnsi="Arial" w:cs="Arial"/>
        </w:rPr>
        <w:t>ción</w:t>
      </w:r>
      <w:r w:rsidRPr="00931D46">
        <w:rPr>
          <w:rFonts w:ascii="Arial" w:hAnsi="Arial" w:cs="Arial"/>
        </w:rPr>
        <w:t xml:space="preserve">, precios, cobertura, experiencia de los usuarios, forma de comercialización, requerimientos para acceder al </w:t>
      </w:r>
      <w:r>
        <w:rPr>
          <w:rFonts w:ascii="Arial" w:hAnsi="Arial" w:cs="Arial"/>
        </w:rPr>
        <w:t>producto</w:t>
      </w:r>
      <w:r w:rsidRPr="00931D46">
        <w:rPr>
          <w:rFonts w:ascii="Arial" w:hAnsi="Arial" w:cs="Arial"/>
        </w:rPr>
        <w:t xml:space="preserve"> y patrones de adquisición y consumo. </w:t>
      </w:r>
    </w:p>
    <w:p w14:paraId="324490D5" w14:textId="77777777" w:rsidR="003545C8" w:rsidRPr="00931D46" w:rsidRDefault="003545C8" w:rsidP="003545C8">
      <w:pPr>
        <w:pStyle w:val="Prrafodelista"/>
        <w:spacing w:after="0"/>
        <w:contextualSpacing w:val="0"/>
        <w:jc w:val="both"/>
        <w:rPr>
          <w:rFonts w:ascii="Arial" w:hAnsi="Arial" w:cs="Arial"/>
        </w:rPr>
      </w:pPr>
    </w:p>
    <w:p w14:paraId="0B74FD9E" w14:textId="77777777" w:rsidR="003545C8" w:rsidRPr="00931D46" w:rsidRDefault="003545C8" w:rsidP="005E23E0">
      <w:pPr>
        <w:pStyle w:val="Prrafodelista"/>
        <w:numPr>
          <w:ilvl w:val="0"/>
          <w:numId w:val="21"/>
        </w:numPr>
        <w:spacing w:after="0"/>
        <w:ind w:hanging="578"/>
        <w:contextualSpacing w:val="0"/>
        <w:jc w:val="both"/>
        <w:rPr>
          <w:rFonts w:ascii="Arial" w:hAnsi="Arial" w:cs="Arial"/>
        </w:rPr>
      </w:pPr>
      <w:r w:rsidRPr="00931D46">
        <w:rPr>
          <w:rFonts w:ascii="Arial" w:hAnsi="Arial" w:cs="Arial"/>
        </w:rPr>
        <w:t xml:space="preserve">Por el lado de la oferta: restricciones normativas, </w:t>
      </w:r>
      <w:r>
        <w:rPr>
          <w:rFonts w:ascii="Arial" w:hAnsi="Arial" w:cs="Arial"/>
        </w:rPr>
        <w:t>características</w:t>
      </w:r>
      <w:r w:rsidRPr="00931D46">
        <w:rPr>
          <w:rFonts w:ascii="Arial" w:hAnsi="Arial" w:cs="Arial"/>
        </w:rPr>
        <w:t xml:space="preserve"> técnicas, posibilidades de acceder a insumos, costos, cadena</w:t>
      </w:r>
      <w:r>
        <w:rPr>
          <w:rFonts w:ascii="Arial" w:hAnsi="Arial" w:cs="Arial"/>
        </w:rPr>
        <w:t>s</w:t>
      </w:r>
      <w:r w:rsidRPr="00931D46">
        <w:rPr>
          <w:rFonts w:ascii="Arial" w:hAnsi="Arial" w:cs="Arial"/>
        </w:rPr>
        <w:t xml:space="preserve"> de valor y modelos de negocio.</w:t>
      </w:r>
    </w:p>
    <w:p w14:paraId="22325FC1" w14:textId="77777777" w:rsidR="003545C8" w:rsidRPr="00931D46" w:rsidRDefault="003545C8" w:rsidP="003545C8">
      <w:pPr>
        <w:spacing w:after="0"/>
        <w:ind w:left="360"/>
        <w:jc w:val="both"/>
        <w:rPr>
          <w:rFonts w:ascii="Arial" w:hAnsi="Arial" w:cs="Arial"/>
        </w:rPr>
      </w:pPr>
    </w:p>
    <w:p w14:paraId="0190424A" w14:textId="77777777" w:rsidR="003545C8" w:rsidRPr="00931D46" w:rsidRDefault="003545C8" w:rsidP="003545C8">
      <w:pPr>
        <w:keepNext/>
        <w:spacing w:after="0"/>
        <w:jc w:val="both"/>
        <w:rPr>
          <w:rFonts w:ascii="Arial" w:hAnsi="Arial" w:cs="Arial"/>
        </w:rPr>
      </w:pPr>
      <w:r w:rsidRPr="00931D46">
        <w:rPr>
          <w:rFonts w:ascii="Arial" w:hAnsi="Arial" w:cs="Arial"/>
        </w:rPr>
        <w:lastRenderedPageBreak/>
        <w:t xml:space="preserve">La Guía de Concentraciones señala que, para determinar el MR en su dimensión </w:t>
      </w:r>
      <w:r>
        <w:rPr>
          <w:rFonts w:ascii="Arial" w:hAnsi="Arial" w:cs="Arial"/>
        </w:rPr>
        <w:t>producto</w:t>
      </w:r>
      <w:r w:rsidRPr="00931D46">
        <w:rPr>
          <w:rFonts w:ascii="Arial" w:hAnsi="Arial" w:cs="Arial"/>
        </w:rPr>
        <w:t>, se analiza la cadena de valor</w:t>
      </w:r>
      <w:r>
        <w:rPr>
          <w:rFonts w:ascii="Arial" w:hAnsi="Arial" w:cs="Arial"/>
        </w:rPr>
        <w:t xml:space="preserve">, </w:t>
      </w:r>
      <w:r w:rsidRPr="00931D46">
        <w:rPr>
          <w:rFonts w:ascii="Arial" w:hAnsi="Arial" w:cs="Arial"/>
        </w:rPr>
        <w:t xml:space="preserve">los precios y </w:t>
      </w:r>
      <w:r>
        <w:rPr>
          <w:rFonts w:ascii="Arial" w:hAnsi="Arial" w:cs="Arial"/>
        </w:rPr>
        <w:t xml:space="preserve">las </w:t>
      </w:r>
      <w:r w:rsidRPr="00931D46">
        <w:rPr>
          <w:rFonts w:ascii="Arial" w:hAnsi="Arial" w:cs="Arial"/>
        </w:rPr>
        <w:t xml:space="preserve">características de los </w:t>
      </w:r>
      <w:r>
        <w:rPr>
          <w:rFonts w:ascii="Arial" w:hAnsi="Arial" w:cs="Arial"/>
        </w:rPr>
        <w:t>productos</w:t>
      </w:r>
      <w:r w:rsidRPr="00931D46">
        <w:rPr>
          <w:rFonts w:ascii="Arial" w:hAnsi="Arial" w:cs="Arial"/>
        </w:rPr>
        <w:t xml:space="preserve"> ofrecidos por los AE involucrados, así como de los </w:t>
      </w:r>
      <w:r>
        <w:rPr>
          <w:rFonts w:ascii="Arial" w:hAnsi="Arial" w:cs="Arial"/>
        </w:rPr>
        <w:t>productos</w:t>
      </w:r>
      <w:r w:rsidRPr="00931D46">
        <w:rPr>
          <w:rFonts w:ascii="Arial" w:hAnsi="Arial" w:cs="Arial"/>
        </w:rPr>
        <w:t xml:space="preserve"> sustitutos.</w:t>
      </w:r>
      <w:r w:rsidRPr="00931D46">
        <w:rPr>
          <w:rStyle w:val="Refdenotaalpie"/>
          <w:rFonts w:ascii="Arial" w:hAnsi="Arial" w:cs="Arial"/>
        </w:rPr>
        <w:footnoteReference w:id="23"/>
      </w:r>
    </w:p>
    <w:p w14:paraId="164BB5D3" w14:textId="77777777" w:rsidR="003545C8" w:rsidRPr="00931D46" w:rsidRDefault="003545C8" w:rsidP="003545C8">
      <w:pPr>
        <w:spacing w:after="0"/>
        <w:jc w:val="both"/>
        <w:rPr>
          <w:rFonts w:ascii="Arial" w:eastAsiaTheme="majorEastAsia" w:hAnsi="Arial" w:cs="Arial"/>
          <w:b/>
          <w:szCs w:val="32"/>
          <w:highlight w:val="yellow"/>
        </w:rPr>
      </w:pPr>
    </w:p>
    <w:p w14:paraId="718B282E" w14:textId="77777777" w:rsidR="003545C8" w:rsidRPr="00931D46"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40" w:name="_Toc71717635"/>
      <w:r w:rsidRPr="00931D46">
        <w:rPr>
          <w:rFonts w:ascii="Arial" w:eastAsia="Times New Roman" w:hAnsi="Arial" w:cs="Arial"/>
          <w:sz w:val="26"/>
          <w:lang w:eastAsia="es-MX"/>
        </w:rPr>
        <w:t>Experiencia internacional</w:t>
      </w:r>
      <w:bookmarkEnd w:id="40"/>
    </w:p>
    <w:p w14:paraId="029171D3" w14:textId="77777777" w:rsidR="003545C8" w:rsidRPr="00931D46" w:rsidRDefault="003545C8" w:rsidP="003545C8">
      <w:pPr>
        <w:keepNext/>
        <w:spacing w:after="0"/>
        <w:jc w:val="both"/>
        <w:rPr>
          <w:rFonts w:ascii="Arial" w:eastAsiaTheme="majorEastAsia" w:hAnsi="Arial" w:cs="Arial"/>
          <w:b/>
          <w:szCs w:val="32"/>
          <w:highlight w:val="yellow"/>
        </w:rPr>
      </w:pPr>
    </w:p>
    <w:p w14:paraId="20C86653" w14:textId="77777777" w:rsidR="003545C8" w:rsidRPr="00AA53CF" w:rsidRDefault="003545C8" w:rsidP="003545C8">
      <w:pPr>
        <w:spacing w:after="0"/>
        <w:jc w:val="both"/>
        <w:rPr>
          <w:rFonts w:ascii="Arial" w:hAnsi="Arial" w:cs="Arial"/>
        </w:rPr>
      </w:pPr>
      <w:r w:rsidRPr="00AA53CF">
        <w:rPr>
          <w:rFonts w:ascii="Arial" w:hAnsi="Arial" w:cs="Arial"/>
        </w:rPr>
        <w:t xml:space="preserve">A continuación, se resumen los principales criterios </w:t>
      </w:r>
      <w:r>
        <w:rPr>
          <w:rFonts w:ascii="Arial" w:hAnsi="Arial" w:cs="Arial"/>
        </w:rPr>
        <w:t>considerados</w:t>
      </w:r>
      <w:r w:rsidRPr="00AA53CF">
        <w:rPr>
          <w:rFonts w:ascii="Arial" w:hAnsi="Arial" w:cs="Arial"/>
        </w:rPr>
        <w:t xml:space="preserve"> por las autoridades de competencia de la Unión Europea,</w:t>
      </w:r>
      <w:r w:rsidRPr="00AA53CF">
        <w:rPr>
          <w:rStyle w:val="Refdenotaalpie"/>
          <w:rFonts w:ascii="Arial" w:hAnsi="Arial" w:cs="Arial"/>
          <w:lang w:eastAsia="es-MX"/>
        </w:rPr>
        <w:footnoteReference w:id="24"/>
      </w:r>
      <w:r w:rsidRPr="00AA53CF">
        <w:rPr>
          <w:rFonts w:ascii="Arial" w:hAnsi="Arial" w:cs="Arial"/>
        </w:rPr>
        <w:t xml:space="preserve"> el Reino Unido,</w:t>
      </w:r>
      <w:r w:rsidRPr="00AA53CF">
        <w:rPr>
          <w:rStyle w:val="Refdenotaalpie"/>
          <w:rFonts w:ascii="Arial" w:hAnsi="Arial" w:cs="Arial"/>
        </w:rPr>
        <w:footnoteReference w:id="25"/>
      </w:r>
      <w:r w:rsidRPr="00AA53CF">
        <w:rPr>
          <w:rFonts w:ascii="Arial" w:hAnsi="Arial" w:cs="Arial"/>
        </w:rPr>
        <w:t xml:space="preserve"> Estados Unidos de América,</w:t>
      </w:r>
      <w:r w:rsidRPr="00AA53CF">
        <w:rPr>
          <w:rFonts w:ascii="Arial" w:eastAsia="Times New Roman" w:hAnsi="Arial" w:cs="Arial"/>
          <w:vertAlign w:val="superscript"/>
          <w:lang w:eastAsia="es-MX"/>
        </w:rPr>
        <w:footnoteReference w:id="26"/>
      </w:r>
      <w:r w:rsidRPr="00AA53CF">
        <w:rPr>
          <w:rFonts w:ascii="Arial" w:hAnsi="Arial" w:cs="Arial"/>
        </w:rPr>
        <w:t xml:space="preserve"> Canadá,</w:t>
      </w:r>
      <w:r w:rsidRPr="00AA53CF">
        <w:rPr>
          <w:rFonts w:ascii="Arial" w:eastAsia="Times New Roman" w:hAnsi="Arial" w:cs="Arial"/>
          <w:vertAlign w:val="superscript"/>
          <w:lang w:eastAsia="es-MX"/>
        </w:rPr>
        <w:footnoteReference w:id="27"/>
      </w:r>
      <w:r w:rsidRPr="00AA53CF">
        <w:rPr>
          <w:rFonts w:ascii="Arial" w:hAnsi="Arial" w:cs="Arial"/>
        </w:rPr>
        <w:t xml:space="preserve"> Australia,</w:t>
      </w:r>
      <w:r w:rsidRPr="00AA53CF">
        <w:rPr>
          <w:rFonts w:ascii="Arial" w:eastAsia="Times New Roman" w:hAnsi="Arial" w:cs="Arial"/>
          <w:vertAlign w:val="superscript"/>
          <w:lang w:eastAsia="es-MX"/>
        </w:rPr>
        <w:footnoteReference w:id="28"/>
      </w:r>
      <w:r w:rsidRPr="00AA53CF">
        <w:rPr>
          <w:rFonts w:ascii="Arial" w:hAnsi="Arial" w:cs="Arial"/>
        </w:rPr>
        <w:t xml:space="preserve"> Austria</w:t>
      </w:r>
      <w:r w:rsidRPr="00AA53CF">
        <w:rPr>
          <w:rStyle w:val="Refdenotaalpie"/>
          <w:rFonts w:ascii="Arial" w:hAnsi="Arial" w:cs="Arial"/>
          <w:lang w:val="es-ES"/>
        </w:rPr>
        <w:footnoteReference w:id="29"/>
      </w:r>
      <w:r w:rsidRPr="00AA53CF">
        <w:rPr>
          <w:rFonts w:ascii="Arial" w:hAnsi="Arial" w:cs="Arial"/>
        </w:rPr>
        <w:t xml:space="preserve"> y Portugal</w:t>
      </w:r>
      <w:r w:rsidRPr="00AA53CF">
        <w:rPr>
          <w:rFonts w:ascii="Arial" w:eastAsia="Times New Roman" w:hAnsi="Arial" w:cs="Arial"/>
          <w:vertAlign w:val="superscript"/>
          <w:lang w:eastAsia="es-MX"/>
        </w:rPr>
        <w:footnoteReference w:id="30"/>
      </w:r>
      <w:r w:rsidRPr="00AA53CF">
        <w:rPr>
          <w:rFonts w:ascii="Arial" w:hAnsi="Arial" w:cs="Arial"/>
        </w:rPr>
        <w:t>, así como criterios y recomendaciones de la OCDE</w:t>
      </w:r>
      <w:r>
        <w:rPr>
          <w:rFonts w:ascii="Arial" w:hAnsi="Arial" w:cs="Arial"/>
        </w:rPr>
        <w:t>,</w:t>
      </w:r>
      <w:r w:rsidRPr="00AA53CF">
        <w:rPr>
          <w:rFonts w:ascii="Arial" w:eastAsia="Times New Roman" w:hAnsi="Arial" w:cs="Arial"/>
          <w:vertAlign w:val="superscript"/>
          <w:lang w:eastAsia="es-MX"/>
        </w:rPr>
        <w:footnoteReference w:id="31"/>
      </w:r>
      <w:r w:rsidRPr="00AA53CF">
        <w:rPr>
          <w:rFonts w:ascii="Arial" w:hAnsi="Arial" w:cs="Arial"/>
        </w:rPr>
        <w:t xml:space="preserve"> para delimitar la dimensión </w:t>
      </w:r>
      <w:r>
        <w:rPr>
          <w:rFonts w:ascii="Arial" w:hAnsi="Arial" w:cs="Arial"/>
        </w:rPr>
        <w:t>producto</w:t>
      </w:r>
      <w:r w:rsidRPr="00AA53CF">
        <w:rPr>
          <w:rFonts w:ascii="Arial" w:hAnsi="Arial" w:cs="Arial"/>
        </w:rPr>
        <w:t xml:space="preserve"> del MR:</w:t>
      </w:r>
    </w:p>
    <w:p w14:paraId="430A3A3F" w14:textId="77777777" w:rsidR="003545C8" w:rsidRPr="00931D46" w:rsidRDefault="003545C8" w:rsidP="003545C8">
      <w:pPr>
        <w:spacing w:after="0"/>
        <w:jc w:val="both"/>
        <w:rPr>
          <w:rFonts w:ascii="Arial" w:hAnsi="Arial" w:cs="Arial"/>
        </w:rPr>
      </w:pPr>
    </w:p>
    <w:p w14:paraId="7A69674A" w14:textId="77777777" w:rsidR="003545C8" w:rsidRPr="00931D46" w:rsidRDefault="003545C8" w:rsidP="003545C8">
      <w:pPr>
        <w:keepNext/>
        <w:jc w:val="both"/>
        <w:rPr>
          <w:rFonts w:ascii="Arial" w:hAnsi="Arial" w:cs="Arial"/>
          <w:b/>
        </w:rPr>
      </w:pPr>
      <w:r w:rsidRPr="00931D46">
        <w:rPr>
          <w:rFonts w:ascii="Arial" w:hAnsi="Arial" w:cs="Arial"/>
          <w:b/>
        </w:rPr>
        <w:t>Por el lado de la demanda:</w:t>
      </w:r>
    </w:p>
    <w:p w14:paraId="38AC6B02" w14:textId="77777777" w:rsidR="003545C8" w:rsidRPr="00931D46" w:rsidRDefault="003545C8" w:rsidP="005E23E0">
      <w:pPr>
        <w:pStyle w:val="Prrafodelista"/>
        <w:numPr>
          <w:ilvl w:val="0"/>
          <w:numId w:val="22"/>
        </w:numPr>
        <w:spacing w:after="0"/>
        <w:ind w:hanging="578"/>
        <w:contextualSpacing w:val="0"/>
        <w:jc w:val="both"/>
        <w:rPr>
          <w:rFonts w:ascii="Arial" w:hAnsi="Arial" w:cs="Arial"/>
          <w:szCs w:val="20"/>
        </w:rPr>
      </w:pPr>
      <w:r w:rsidRPr="00931D46">
        <w:rPr>
          <w:rFonts w:ascii="Arial" w:hAnsi="Arial" w:cs="Arial"/>
        </w:rPr>
        <w:t xml:space="preserve">Las características y usos de los </w:t>
      </w:r>
      <w:r>
        <w:rPr>
          <w:rFonts w:ascii="Arial" w:hAnsi="Arial" w:cs="Arial"/>
        </w:rPr>
        <w:t>productos</w:t>
      </w:r>
      <w:r w:rsidRPr="00931D46">
        <w:rPr>
          <w:rFonts w:ascii="Arial" w:hAnsi="Arial" w:cs="Arial"/>
        </w:rPr>
        <w:t xml:space="preserve">. </w:t>
      </w:r>
    </w:p>
    <w:p w14:paraId="4991FF92" w14:textId="77777777" w:rsidR="003545C8" w:rsidRDefault="003545C8" w:rsidP="003545C8">
      <w:pPr>
        <w:pStyle w:val="Prrafodelista"/>
        <w:spacing w:after="0"/>
        <w:ind w:right="49"/>
        <w:contextualSpacing w:val="0"/>
        <w:jc w:val="both"/>
        <w:rPr>
          <w:rFonts w:ascii="Arial" w:hAnsi="Arial" w:cs="Arial"/>
          <w:szCs w:val="20"/>
        </w:rPr>
      </w:pPr>
    </w:p>
    <w:p w14:paraId="010667B3" w14:textId="77777777" w:rsidR="003545C8" w:rsidRPr="00931D46" w:rsidRDefault="003545C8" w:rsidP="005E23E0">
      <w:pPr>
        <w:pStyle w:val="Prrafodelista"/>
        <w:numPr>
          <w:ilvl w:val="0"/>
          <w:numId w:val="22"/>
        </w:numPr>
        <w:spacing w:after="0"/>
        <w:ind w:right="49" w:hanging="578"/>
        <w:contextualSpacing w:val="0"/>
        <w:jc w:val="both"/>
        <w:rPr>
          <w:rFonts w:ascii="Arial" w:hAnsi="Arial" w:cs="Arial"/>
          <w:szCs w:val="20"/>
        </w:rPr>
      </w:pPr>
      <w:r w:rsidRPr="00931D46">
        <w:rPr>
          <w:rFonts w:ascii="Arial" w:hAnsi="Arial" w:cs="Arial"/>
          <w:szCs w:val="20"/>
        </w:rPr>
        <w:t>Evidencia de sustitución en el pasado reciente en respuesta a cambios en precios u otras variables de competencia</w:t>
      </w:r>
      <w:r>
        <w:rPr>
          <w:rFonts w:ascii="Arial" w:hAnsi="Arial" w:cs="Arial"/>
          <w:szCs w:val="20"/>
        </w:rPr>
        <w:t xml:space="preserve"> </w:t>
      </w:r>
      <w:r w:rsidRPr="00931D46">
        <w:rPr>
          <w:rFonts w:ascii="Arial" w:hAnsi="Arial" w:cs="Arial"/>
        </w:rPr>
        <w:t xml:space="preserve">(por ejemplo, la calidad, aspectos relacionados con el </w:t>
      </w:r>
      <w:r>
        <w:rPr>
          <w:rFonts w:ascii="Arial" w:hAnsi="Arial" w:cs="Arial"/>
        </w:rPr>
        <w:t>producto</w:t>
      </w:r>
      <w:r w:rsidRPr="00931D46">
        <w:rPr>
          <w:rFonts w:ascii="Arial" w:hAnsi="Arial" w:cs="Arial"/>
        </w:rPr>
        <w:t xml:space="preserve">, los términos y condiciones de venta, entre otras), o ante cambios en la estructura del mercado (por ejemplo, la entrada de nuevos participantes, entrada de nuevos </w:t>
      </w:r>
      <w:r>
        <w:rPr>
          <w:rFonts w:ascii="Arial" w:hAnsi="Arial" w:cs="Arial"/>
        </w:rPr>
        <w:t>productos</w:t>
      </w:r>
      <w:r w:rsidRPr="00931D46">
        <w:rPr>
          <w:rFonts w:ascii="Arial" w:hAnsi="Arial" w:cs="Arial"/>
        </w:rPr>
        <w:t xml:space="preserve"> y otros experimentos naturales)</w:t>
      </w:r>
      <w:r w:rsidRPr="00931D46">
        <w:rPr>
          <w:rFonts w:ascii="Arial" w:hAnsi="Arial" w:cs="Arial"/>
          <w:szCs w:val="20"/>
        </w:rPr>
        <w:t>.</w:t>
      </w:r>
    </w:p>
    <w:p w14:paraId="6DC4E177" w14:textId="77777777" w:rsidR="003545C8" w:rsidRPr="00A92633" w:rsidRDefault="003545C8" w:rsidP="003545C8">
      <w:pPr>
        <w:pStyle w:val="Prrafodelista"/>
        <w:spacing w:after="0"/>
        <w:ind w:right="49"/>
        <w:contextualSpacing w:val="0"/>
        <w:jc w:val="both"/>
        <w:rPr>
          <w:rFonts w:ascii="Arial" w:hAnsi="Arial" w:cs="Arial"/>
        </w:rPr>
      </w:pPr>
    </w:p>
    <w:p w14:paraId="350A8F37" w14:textId="77777777" w:rsidR="003545C8" w:rsidRPr="00AC63C7" w:rsidRDefault="003545C8" w:rsidP="005E23E0">
      <w:pPr>
        <w:pStyle w:val="Prrafodelista"/>
        <w:numPr>
          <w:ilvl w:val="0"/>
          <w:numId w:val="22"/>
        </w:numPr>
        <w:spacing w:after="0"/>
        <w:ind w:right="49" w:hanging="578"/>
        <w:contextualSpacing w:val="0"/>
        <w:jc w:val="both"/>
        <w:rPr>
          <w:rFonts w:ascii="Arial" w:hAnsi="Arial" w:cs="Arial"/>
        </w:rPr>
      </w:pPr>
      <w:r w:rsidRPr="00AC63C7">
        <w:rPr>
          <w:rFonts w:ascii="Arial" w:hAnsi="Arial" w:cs="Arial"/>
          <w:szCs w:val="20"/>
        </w:rPr>
        <w:t xml:space="preserve">Preferencias de los consumidores e información que aportan al respecto estudios de mercado o encuestas, </w:t>
      </w:r>
      <w:r w:rsidRPr="00AC63C7">
        <w:rPr>
          <w:rFonts w:ascii="Arial" w:hAnsi="Arial" w:cs="Arial"/>
        </w:rPr>
        <w:t xml:space="preserve">que reflejen si una proporción de consumidores significativa </w:t>
      </w:r>
      <w:r>
        <w:rPr>
          <w:rFonts w:ascii="Arial" w:hAnsi="Arial" w:cs="Arial"/>
        </w:rPr>
        <w:t>considera</w:t>
      </w:r>
      <w:r w:rsidRPr="00AC63C7">
        <w:rPr>
          <w:rFonts w:ascii="Arial" w:hAnsi="Arial" w:cs="Arial"/>
        </w:rPr>
        <w:t xml:space="preserve"> que ciertos </w:t>
      </w:r>
      <w:r>
        <w:rPr>
          <w:rFonts w:ascii="Arial" w:hAnsi="Arial" w:cs="Arial"/>
        </w:rPr>
        <w:t>productos</w:t>
      </w:r>
      <w:r w:rsidRPr="00AC63C7">
        <w:rPr>
          <w:rFonts w:ascii="Arial" w:hAnsi="Arial" w:cs="Arial"/>
        </w:rPr>
        <w:t xml:space="preserve"> son sustitutos</w:t>
      </w:r>
      <w:r w:rsidRPr="00AC63C7">
        <w:rPr>
          <w:rFonts w:ascii="Arial" w:hAnsi="Arial" w:cs="Arial"/>
          <w:szCs w:val="20"/>
        </w:rPr>
        <w:t>.</w:t>
      </w:r>
    </w:p>
    <w:p w14:paraId="7124EF18" w14:textId="77777777" w:rsidR="003545C8" w:rsidRDefault="003545C8" w:rsidP="003545C8">
      <w:pPr>
        <w:pStyle w:val="Prrafodelista"/>
        <w:spacing w:after="0"/>
        <w:ind w:right="49"/>
        <w:contextualSpacing w:val="0"/>
        <w:jc w:val="both"/>
        <w:rPr>
          <w:rFonts w:ascii="Arial" w:hAnsi="Arial" w:cs="Arial"/>
        </w:rPr>
      </w:pPr>
    </w:p>
    <w:p w14:paraId="30F55BD0" w14:textId="77777777" w:rsidR="003545C8" w:rsidRPr="00AC63C7" w:rsidRDefault="003545C8" w:rsidP="005E23E0">
      <w:pPr>
        <w:pStyle w:val="Prrafodelista"/>
        <w:numPr>
          <w:ilvl w:val="0"/>
          <w:numId w:val="22"/>
        </w:numPr>
        <w:spacing w:after="0"/>
        <w:ind w:right="49" w:hanging="578"/>
        <w:contextualSpacing w:val="0"/>
        <w:jc w:val="both"/>
        <w:rPr>
          <w:rFonts w:ascii="Arial" w:hAnsi="Arial" w:cs="Arial"/>
        </w:rPr>
      </w:pPr>
      <w:r w:rsidRPr="00AC63C7">
        <w:rPr>
          <w:rFonts w:ascii="Arial" w:hAnsi="Arial" w:cs="Arial"/>
        </w:rPr>
        <w:t xml:space="preserve">Información de los consumidores, incluyendo encuestas y estudios realizados por los oferentes, sobre cómo podrían responder a </w:t>
      </w:r>
      <w:r>
        <w:rPr>
          <w:rFonts w:ascii="Arial" w:hAnsi="Arial" w:cs="Arial"/>
        </w:rPr>
        <w:t>un incremento</w:t>
      </w:r>
      <w:r w:rsidRPr="00AC63C7">
        <w:rPr>
          <w:rFonts w:ascii="Arial" w:hAnsi="Arial" w:cs="Arial"/>
        </w:rPr>
        <w:t xml:space="preserve"> </w:t>
      </w:r>
      <w:r w:rsidRPr="00931D46">
        <w:rPr>
          <w:rFonts w:ascii="Arial" w:hAnsi="Arial" w:cs="Arial"/>
        </w:rPr>
        <w:t>(5%-10%) de los</w:t>
      </w:r>
      <w:r w:rsidRPr="00AC63C7">
        <w:rPr>
          <w:rFonts w:ascii="Arial" w:hAnsi="Arial" w:cs="Arial"/>
        </w:rPr>
        <w:t xml:space="preserve"> precios</w:t>
      </w:r>
      <w:r>
        <w:rPr>
          <w:rFonts w:ascii="Arial" w:hAnsi="Arial" w:cs="Arial"/>
        </w:rPr>
        <w:t xml:space="preserve"> </w:t>
      </w:r>
      <w:r w:rsidRPr="00931D46">
        <w:rPr>
          <w:rFonts w:ascii="Arial" w:hAnsi="Arial" w:cs="Arial"/>
        </w:rPr>
        <w:t xml:space="preserve">relativos de los </w:t>
      </w:r>
      <w:r>
        <w:rPr>
          <w:rFonts w:ascii="Arial" w:hAnsi="Arial" w:cs="Arial"/>
        </w:rPr>
        <w:t>productos</w:t>
      </w:r>
      <w:r w:rsidRPr="00931D46">
        <w:rPr>
          <w:rFonts w:ascii="Arial" w:hAnsi="Arial" w:cs="Arial"/>
        </w:rPr>
        <w:t xml:space="preserve"> </w:t>
      </w:r>
      <w:r>
        <w:rPr>
          <w:rFonts w:ascii="Arial" w:hAnsi="Arial" w:cs="Arial"/>
        </w:rPr>
        <w:t>analizados</w:t>
      </w:r>
      <w:r w:rsidRPr="00931D46">
        <w:rPr>
          <w:rFonts w:ascii="Arial" w:hAnsi="Arial" w:cs="Arial"/>
        </w:rPr>
        <w:t xml:space="preserve"> en la zona geográfica estudiada</w:t>
      </w:r>
      <w:r w:rsidRPr="00AC63C7">
        <w:rPr>
          <w:rFonts w:ascii="Arial" w:hAnsi="Arial" w:cs="Arial"/>
        </w:rPr>
        <w:t xml:space="preserve">. </w:t>
      </w:r>
    </w:p>
    <w:p w14:paraId="4FD00A36" w14:textId="77777777" w:rsidR="003545C8" w:rsidRPr="00A92633" w:rsidRDefault="003545C8" w:rsidP="003545C8">
      <w:pPr>
        <w:pStyle w:val="Prrafodelista"/>
        <w:spacing w:after="0"/>
        <w:ind w:right="49"/>
        <w:contextualSpacing w:val="0"/>
        <w:jc w:val="both"/>
        <w:rPr>
          <w:rFonts w:ascii="Arial" w:hAnsi="Arial" w:cs="Arial"/>
          <w:szCs w:val="20"/>
        </w:rPr>
      </w:pPr>
    </w:p>
    <w:p w14:paraId="7B2496AD" w14:textId="77777777" w:rsidR="003545C8" w:rsidRPr="00931D46" w:rsidRDefault="003545C8" w:rsidP="005E23E0">
      <w:pPr>
        <w:pStyle w:val="Prrafodelista"/>
        <w:numPr>
          <w:ilvl w:val="0"/>
          <w:numId w:val="22"/>
        </w:numPr>
        <w:spacing w:after="0"/>
        <w:ind w:right="49" w:hanging="578"/>
        <w:contextualSpacing w:val="0"/>
        <w:jc w:val="both"/>
        <w:rPr>
          <w:rFonts w:ascii="Arial" w:hAnsi="Arial" w:cs="Arial"/>
          <w:szCs w:val="20"/>
        </w:rPr>
      </w:pPr>
      <w:r w:rsidRPr="00931D46">
        <w:rPr>
          <w:rFonts w:ascii="Arial" w:hAnsi="Arial" w:cs="Arial"/>
        </w:rPr>
        <w:t xml:space="preserve">Información sobre obstáculos y </w:t>
      </w:r>
      <w:r>
        <w:rPr>
          <w:rFonts w:ascii="Arial" w:hAnsi="Arial" w:cs="Arial"/>
          <w:szCs w:val="20"/>
        </w:rPr>
        <w:t>c</w:t>
      </w:r>
      <w:r w:rsidRPr="00931D46">
        <w:rPr>
          <w:rFonts w:ascii="Arial" w:hAnsi="Arial" w:cs="Arial"/>
          <w:szCs w:val="20"/>
        </w:rPr>
        <w:t>ostos de cambio</w:t>
      </w:r>
      <w:r w:rsidRPr="00AC63C7">
        <w:rPr>
          <w:rFonts w:ascii="Arial" w:hAnsi="Arial" w:cs="Arial"/>
        </w:rPr>
        <w:t xml:space="preserve"> </w:t>
      </w:r>
      <w:r w:rsidRPr="00931D46">
        <w:rPr>
          <w:rFonts w:ascii="Arial" w:hAnsi="Arial" w:cs="Arial"/>
        </w:rPr>
        <w:t xml:space="preserve">de los clientes hacia </w:t>
      </w:r>
      <w:r>
        <w:rPr>
          <w:rFonts w:ascii="Arial" w:hAnsi="Arial" w:cs="Arial"/>
        </w:rPr>
        <w:t>productos</w:t>
      </w:r>
      <w:r w:rsidRPr="00931D46">
        <w:rPr>
          <w:rFonts w:ascii="Arial" w:hAnsi="Arial" w:cs="Arial"/>
        </w:rPr>
        <w:t xml:space="preserve"> sustitutos (por ejemplo, la posibilidad de hacer portabilidad o </w:t>
      </w:r>
      <w:proofErr w:type="spellStart"/>
      <w:r w:rsidRPr="00931D46">
        <w:rPr>
          <w:rFonts w:ascii="Arial" w:hAnsi="Arial" w:cs="Arial"/>
          <w:i/>
        </w:rPr>
        <w:t>multi-homing</w:t>
      </w:r>
      <w:proofErr w:type="spellEnd"/>
      <w:r w:rsidRPr="00931D46">
        <w:rPr>
          <w:rStyle w:val="Refdenotaalpie"/>
          <w:rFonts w:ascii="Arial" w:hAnsi="Arial" w:cs="Arial"/>
        </w:rPr>
        <w:footnoteReference w:id="32"/>
      </w:r>
      <w:r w:rsidRPr="00931D46">
        <w:rPr>
          <w:rFonts w:ascii="Arial" w:hAnsi="Arial" w:cs="Arial"/>
        </w:rPr>
        <w:t>)</w:t>
      </w:r>
      <w:r w:rsidRPr="00931D46">
        <w:rPr>
          <w:rFonts w:ascii="Arial" w:hAnsi="Arial" w:cs="Arial"/>
          <w:szCs w:val="20"/>
        </w:rPr>
        <w:t>, así como barreras a la entrada y el tiempo requerido para cambiar a sustitutos potenciales.</w:t>
      </w:r>
    </w:p>
    <w:p w14:paraId="45B55B9D" w14:textId="77777777" w:rsidR="003545C8" w:rsidRPr="00A92633" w:rsidRDefault="003545C8" w:rsidP="003545C8">
      <w:pPr>
        <w:pStyle w:val="Prrafodelista"/>
        <w:spacing w:after="0"/>
        <w:ind w:right="49"/>
        <w:contextualSpacing w:val="0"/>
        <w:jc w:val="both"/>
        <w:rPr>
          <w:rFonts w:ascii="Arial" w:hAnsi="Arial" w:cs="Arial"/>
          <w:szCs w:val="20"/>
        </w:rPr>
      </w:pPr>
    </w:p>
    <w:p w14:paraId="59887E1C" w14:textId="77777777" w:rsidR="003545C8" w:rsidRPr="00931D46" w:rsidRDefault="003545C8" w:rsidP="005E23E0">
      <w:pPr>
        <w:pStyle w:val="Prrafodelista"/>
        <w:numPr>
          <w:ilvl w:val="0"/>
          <w:numId w:val="22"/>
        </w:numPr>
        <w:spacing w:after="0"/>
        <w:ind w:right="49" w:hanging="578"/>
        <w:contextualSpacing w:val="0"/>
        <w:jc w:val="both"/>
        <w:rPr>
          <w:rFonts w:ascii="Arial" w:hAnsi="Arial" w:cs="Arial"/>
          <w:szCs w:val="20"/>
        </w:rPr>
      </w:pPr>
      <w:r w:rsidRPr="00931D46">
        <w:rPr>
          <w:rFonts w:ascii="Arial" w:hAnsi="Arial" w:cs="Arial"/>
        </w:rPr>
        <w:t>Herramientas econométricas y estadísticas, tales como la estimación de la elasticidad precio y de la elasticidad cruzada de la demanda, análisis basados en la similitud de los niveles de precios y su evolución o convergencia (por ejemplo, análisis de correlación, pruebas de causalidad y/o pruebas de cointegración)</w:t>
      </w:r>
      <w:r w:rsidRPr="00931D46">
        <w:rPr>
          <w:rFonts w:ascii="Arial" w:hAnsi="Arial" w:cs="Arial"/>
          <w:szCs w:val="20"/>
        </w:rPr>
        <w:t>.</w:t>
      </w:r>
    </w:p>
    <w:p w14:paraId="645ADD79" w14:textId="77777777" w:rsidR="003545C8" w:rsidRDefault="003545C8" w:rsidP="003545C8">
      <w:pPr>
        <w:pStyle w:val="Prrafodelista"/>
        <w:spacing w:after="0"/>
        <w:contextualSpacing w:val="0"/>
        <w:jc w:val="both"/>
        <w:rPr>
          <w:rFonts w:ascii="Arial" w:hAnsi="Arial" w:cs="Arial"/>
        </w:rPr>
      </w:pPr>
    </w:p>
    <w:p w14:paraId="0CEF5AFA"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Información provista por expertos de la industria, consultores, </w:t>
      </w:r>
      <w:proofErr w:type="spellStart"/>
      <w:r w:rsidRPr="00931D46">
        <w:rPr>
          <w:rFonts w:ascii="Arial" w:hAnsi="Arial" w:cs="Arial"/>
        </w:rPr>
        <w:t>ex</w:t>
      </w:r>
      <w:r>
        <w:rPr>
          <w:rFonts w:ascii="Arial" w:hAnsi="Arial" w:cs="Arial"/>
        </w:rPr>
        <w:t>-</w:t>
      </w:r>
      <w:r w:rsidRPr="00931D46">
        <w:rPr>
          <w:rFonts w:ascii="Arial" w:hAnsi="Arial" w:cs="Arial"/>
        </w:rPr>
        <w:t>ejecutivos</w:t>
      </w:r>
      <w:proofErr w:type="spellEnd"/>
      <w:r w:rsidRPr="00931D46">
        <w:rPr>
          <w:rFonts w:ascii="Arial" w:hAnsi="Arial" w:cs="Arial"/>
        </w:rPr>
        <w:t>, proveedores de complementos o distribuidores.</w:t>
      </w:r>
    </w:p>
    <w:p w14:paraId="5581F180" w14:textId="77777777" w:rsidR="003545C8" w:rsidRPr="00A92633" w:rsidRDefault="003545C8" w:rsidP="003545C8">
      <w:pPr>
        <w:pStyle w:val="Prrafodelista"/>
        <w:spacing w:after="0"/>
        <w:contextualSpacing w:val="0"/>
        <w:jc w:val="both"/>
        <w:rPr>
          <w:rFonts w:ascii="Arial" w:hAnsi="Arial" w:cs="Arial"/>
        </w:rPr>
      </w:pPr>
    </w:p>
    <w:p w14:paraId="751A9CAE"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szCs w:val="20"/>
        </w:rPr>
        <w:t>Existencia de distintas categorías de consumidores y discriminación de precios.</w:t>
      </w:r>
      <w:r w:rsidRPr="00931D46">
        <w:rPr>
          <w:rFonts w:ascii="Arial" w:hAnsi="Arial" w:cs="Arial"/>
        </w:rPr>
        <w:t xml:space="preserve"> En particular, cuando exist</w:t>
      </w:r>
      <w:r>
        <w:rPr>
          <w:rFonts w:ascii="Arial" w:hAnsi="Arial" w:cs="Arial"/>
        </w:rPr>
        <w:t>e</w:t>
      </w:r>
      <w:r w:rsidRPr="00931D46">
        <w:rPr>
          <w:rFonts w:ascii="Arial" w:hAnsi="Arial" w:cs="Arial"/>
        </w:rPr>
        <w:t xml:space="preserve"> evidencia de discriminación de precios, las autoridades de competencia pueden determinar MR para cada uno de los diversos grupos de consumidores delimitados por las condiciones de discriminación.</w:t>
      </w:r>
    </w:p>
    <w:p w14:paraId="18F9AF9B" w14:textId="77777777" w:rsidR="003545C8" w:rsidRDefault="003545C8" w:rsidP="003545C8">
      <w:pPr>
        <w:pStyle w:val="Prrafodelista"/>
        <w:spacing w:after="0"/>
        <w:contextualSpacing w:val="0"/>
        <w:jc w:val="both"/>
        <w:rPr>
          <w:rFonts w:ascii="Arial" w:hAnsi="Arial" w:cs="Arial"/>
        </w:rPr>
      </w:pPr>
    </w:p>
    <w:p w14:paraId="3DD29278" w14:textId="77777777" w:rsidR="003545C8" w:rsidRPr="00AC63C7"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La existencia de cadenas de sustitución, las cuales ocurren cuando, a pesar de que los </w:t>
      </w:r>
      <w:r>
        <w:rPr>
          <w:rFonts w:ascii="Arial" w:hAnsi="Arial" w:cs="Arial"/>
        </w:rPr>
        <w:t>productos</w:t>
      </w:r>
      <w:r w:rsidRPr="00931D46">
        <w:rPr>
          <w:rFonts w:ascii="Arial" w:hAnsi="Arial" w:cs="Arial"/>
        </w:rPr>
        <w:t xml:space="preserve"> </w:t>
      </w:r>
      <w:r w:rsidRPr="00E574FC">
        <w:rPr>
          <w:rFonts w:ascii="Arial" w:hAnsi="Arial" w:cs="Arial"/>
          <w:i/>
        </w:rPr>
        <w:t>A</w:t>
      </w:r>
      <w:r w:rsidRPr="00931D46">
        <w:rPr>
          <w:rFonts w:ascii="Arial" w:hAnsi="Arial" w:cs="Arial"/>
        </w:rPr>
        <w:t xml:space="preserve"> y </w:t>
      </w:r>
      <w:r w:rsidRPr="00E574FC">
        <w:rPr>
          <w:rFonts w:ascii="Arial" w:hAnsi="Arial" w:cs="Arial"/>
          <w:i/>
        </w:rPr>
        <w:t>C</w:t>
      </w:r>
      <w:r w:rsidRPr="00931D46">
        <w:rPr>
          <w:rFonts w:ascii="Arial" w:hAnsi="Arial" w:cs="Arial"/>
        </w:rPr>
        <w:t xml:space="preserve"> no son directamente sustitutos, el </w:t>
      </w:r>
      <w:r>
        <w:rPr>
          <w:rFonts w:ascii="Arial" w:hAnsi="Arial" w:cs="Arial"/>
        </w:rPr>
        <w:t>producto</w:t>
      </w:r>
      <w:r w:rsidRPr="00931D46">
        <w:rPr>
          <w:rFonts w:ascii="Arial" w:hAnsi="Arial" w:cs="Arial"/>
        </w:rPr>
        <w:t xml:space="preserve"> </w:t>
      </w:r>
      <w:r w:rsidRPr="00E574FC">
        <w:rPr>
          <w:rFonts w:ascii="Arial" w:hAnsi="Arial" w:cs="Arial"/>
          <w:i/>
        </w:rPr>
        <w:t>B</w:t>
      </w:r>
      <w:r w:rsidRPr="00931D46">
        <w:rPr>
          <w:rFonts w:ascii="Arial" w:hAnsi="Arial" w:cs="Arial"/>
        </w:rPr>
        <w:t xml:space="preserve"> es un </w:t>
      </w:r>
      <w:r>
        <w:rPr>
          <w:rFonts w:ascii="Arial" w:hAnsi="Arial" w:cs="Arial"/>
        </w:rPr>
        <w:t>producto</w:t>
      </w:r>
      <w:r w:rsidRPr="00931D46">
        <w:rPr>
          <w:rFonts w:ascii="Arial" w:hAnsi="Arial" w:cs="Arial"/>
        </w:rPr>
        <w:t xml:space="preserve"> sustituto tanto del </w:t>
      </w:r>
      <w:r>
        <w:rPr>
          <w:rFonts w:ascii="Arial" w:hAnsi="Arial" w:cs="Arial"/>
        </w:rPr>
        <w:t>producto</w:t>
      </w:r>
      <w:r w:rsidRPr="00931D46">
        <w:rPr>
          <w:rFonts w:ascii="Arial" w:hAnsi="Arial" w:cs="Arial"/>
        </w:rPr>
        <w:t xml:space="preserve"> </w:t>
      </w:r>
      <w:r w:rsidRPr="00E574FC">
        <w:rPr>
          <w:rFonts w:ascii="Arial" w:hAnsi="Arial" w:cs="Arial"/>
          <w:i/>
        </w:rPr>
        <w:t>A</w:t>
      </w:r>
      <w:r w:rsidRPr="00931D46">
        <w:rPr>
          <w:rFonts w:ascii="Arial" w:hAnsi="Arial" w:cs="Arial"/>
        </w:rPr>
        <w:t xml:space="preserve"> como del </w:t>
      </w:r>
      <w:r>
        <w:rPr>
          <w:rFonts w:ascii="Arial" w:hAnsi="Arial" w:cs="Arial"/>
        </w:rPr>
        <w:t>producto</w:t>
      </w:r>
      <w:r w:rsidRPr="00931D46">
        <w:rPr>
          <w:rFonts w:ascii="Arial" w:hAnsi="Arial" w:cs="Arial"/>
        </w:rPr>
        <w:t xml:space="preserve"> </w:t>
      </w:r>
      <w:r w:rsidRPr="00E574FC">
        <w:rPr>
          <w:rFonts w:ascii="Arial" w:hAnsi="Arial" w:cs="Arial"/>
          <w:i/>
        </w:rPr>
        <w:t>C</w:t>
      </w:r>
      <w:r w:rsidRPr="00931D46">
        <w:rPr>
          <w:rFonts w:ascii="Arial" w:hAnsi="Arial" w:cs="Arial"/>
        </w:rPr>
        <w:t xml:space="preserve">, de tal modo que los </w:t>
      </w:r>
      <w:r>
        <w:rPr>
          <w:rFonts w:ascii="Arial" w:hAnsi="Arial" w:cs="Arial"/>
        </w:rPr>
        <w:t>productos</w:t>
      </w:r>
      <w:r w:rsidRPr="00931D46">
        <w:rPr>
          <w:rFonts w:ascii="Arial" w:hAnsi="Arial" w:cs="Arial"/>
        </w:rPr>
        <w:t xml:space="preserve"> </w:t>
      </w:r>
      <w:r w:rsidRPr="00E574FC">
        <w:rPr>
          <w:rFonts w:ascii="Arial" w:hAnsi="Arial" w:cs="Arial"/>
          <w:i/>
        </w:rPr>
        <w:t>A</w:t>
      </w:r>
      <w:r w:rsidRPr="00931D46">
        <w:rPr>
          <w:rFonts w:ascii="Arial" w:hAnsi="Arial" w:cs="Arial"/>
        </w:rPr>
        <w:t xml:space="preserve">, </w:t>
      </w:r>
      <w:r w:rsidRPr="00E574FC">
        <w:rPr>
          <w:rFonts w:ascii="Arial" w:hAnsi="Arial" w:cs="Arial"/>
          <w:i/>
        </w:rPr>
        <w:t>B</w:t>
      </w:r>
      <w:r w:rsidRPr="00931D46">
        <w:rPr>
          <w:rFonts w:ascii="Arial" w:hAnsi="Arial" w:cs="Arial"/>
        </w:rPr>
        <w:t xml:space="preserve"> y </w:t>
      </w:r>
      <w:r w:rsidRPr="00E574FC">
        <w:rPr>
          <w:rFonts w:ascii="Arial" w:hAnsi="Arial" w:cs="Arial"/>
          <w:i/>
        </w:rPr>
        <w:t>C</w:t>
      </w:r>
      <w:r w:rsidRPr="00931D46">
        <w:rPr>
          <w:rFonts w:ascii="Arial" w:hAnsi="Arial" w:cs="Arial"/>
        </w:rPr>
        <w:t xml:space="preserve"> pueden pertenecer al mismo MR si sus precios respectivos ejercen presiones entre sí.</w:t>
      </w:r>
      <w:r>
        <w:rPr>
          <w:rFonts w:ascii="Arial" w:hAnsi="Arial" w:cs="Arial"/>
        </w:rPr>
        <w:t xml:space="preserve"> </w:t>
      </w:r>
      <w:r w:rsidRPr="00AC63C7">
        <w:rPr>
          <w:rFonts w:ascii="Arial" w:hAnsi="Arial" w:cs="Arial"/>
        </w:rPr>
        <w:t>Para corroborar la existencia de cadenas de sustitución puede utilizarse evidencia "</w:t>
      </w:r>
      <w:r w:rsidRPr="00AC63C7">
        <w:rPr>
          <w:rFonts w:ascii="Arial" w:hAnsi="Arial" w:cs="Arial"/>
          <w:i/>
        </w:rPr>
        <w:t>por ejemplo, relacionada con la interdependencia de precios en los extremos de las cadenas de sustitución</w:t>
      </w:r>
      <w:r w:rsidRPr="00AC63C7">
        <w:rPr>
          <w:rFonts w:ascii="Arial" w:hAnsi="Arial" w:cs="Arial"/>
        </w:rPr>
        <w:t>",</w:t>
      </w:r>
      <w:r w:rsidRPr="00AC63C7">
        <w:rPr>
          <w:rFonts w:ascii="Arial" w:hAnsi="Arial" w:cs="Arial"/>
          <w:vertAlign w:val="superscript"/>
        </w:rPr>
        <w:footnoteReference w:id="33"/>
      </w:r>
      <w:r w:rsidRPr="00AC63C7">
        <w:rPr>
          <w:rFonts w:ascii="Arial" w:hAnsi="Arial" w:cs="Arial"/>
        </w:rPr>
        <w:t xml:space="preserve"> el traslape o coincidencia de precios entre los </w:t>
      </w:r>
      <w:r>
        <w:rPr>
          <w:rFonts w:ascii="Arial" w:hAnsi="Arial" w:cs="Arial"/>
        </w:rPr>
        <w:t>productos</w:t>
      </w:r>
      <w:r w:rsidRPr="00AC63C7">
        <w:rPr>
          <w:rFonts w:ascii="Arial" w:hAnsi="Arial" w:cs="Arial"/>
        </w:rPr>
        <w:t xml:space="preserve">, las diferencias en los costos incrementales de cada </w:t>
      </w:r>
      <w:r>
        <w:rPr>
          <w:rFonts w:ascii="Arial" w:hAnsi="Arial" w:cs="Arial"/>
        </w:rPr>
        <w:t>producto</w:t>
      </w:r>
      <w:r w:rsidRPr="00AC63C7">
        <w:rPr>
          <w:rFonts w:ascii="Arial" w:hAnsi="Arial" w:cs="Arial"/>
        </w:rPr>
        <w:t xml:space="preserve"> y la sustitución entre los </w:t>
      </w:r>
      <w:r>
        <w:rPr>
          <w:rFonts w:ascii="Arial" w:hAnsi="Arial" w:cs="Arial"/>
        </w:rPr>
        <w:t>productos</w:t>
      </w:r>
      <w:r w:rsidRPr="00AC63C7">
        <w:rPr>
          <w:rFonts w:ascii="Arial" w:hAnsi="Arial" w:cs="Arial"/>
        </w:rPr>
        <w:t xml:space="preserve"> adyacentes en la cadena.</w:t>
      </w:r>
    </w:p>
    <w:p w14:paraId="5249D22B" w14:textId="77777777" w:rsidR="003545C8" w:rsidRDefault="003545C8" w:rsidP="003545C8">
      <w:pPr>
        <w:pStyle w:val="Prrafodelista"/>
        <w:spacing w:after="0"/>
        <w:contextualSpacing w:val="0"/>
        <w:rPr>
          <w:rFonts w:ascii="Arial" w:hAnsi="Arial" w:cs="Arial"/>
          <w:szCs w:val="20"/>
        </w:rPr>
      </w:pPr>
    </w:p>
    <w:p w14:paraId="7510ADE2" w14:textId="77777777" w:rsidR="003545C8" w:rsidRPr="00931D46" w:rsidRDefault="003545C8" w:rsidP="005E23E0">
      <w:pPr>
        <w:pStyle w:val="Prrafodelista"/>
        <w:numPr>
          <w:ilvl w:val="0"/>
          <w:numId w:val="22"/>
        </w:numPr>
        <w:spacing w:after="0"/>
        <w:ind w:hanging="578"/>
        <w:contextualSpacing w:val="0"/>
        <w:jc w:val="both"/>
        <w:rPr>
          <w:rFonts w:ascii="Arial" w:hAnsi="Arial" w:cs="Arial"/>
          <w:szCs w:val="20"/>
        </w:rPr>
      </w:pPr>
      <w:r w:rsidRPr="00931D46">
        <w:rPr>
          <w:rFonts w:ascii="Arial" w:hAnsi="Arial" w:cs="Arial"/>
          <w:szCs w:val="20"/>
        </w:rPr>
        <w:t>Cocientes de desvío</w:t>
      </w:r>
      <w:r>
        <w:rPr>
          <w:rFonts w:ascii="Arial" w:hAnsi="Arial" w:cs="Arial"/>
          <w:szCs w:val="20"/>
        </w:rPr>
        <w:t xml:space="preserve">, </w:t>
      </w:r>
      <w:r w:rsidRPr="00931D46">
        <w:rPr>
          <w:rFonts w:ascii="Arial" w:hAnsi="Arial" w:cs="Arial"/>
        </w:rPr>
        <w:t xml:space="preserve">que miden la proporción de ventas que se desviaría de un </w:t>
      </w:r>
      <w:r>
        <w:rPr>
          <w:rFonts w:ascii="Arial" w:hAnsi="Arial" w:cs="Arial"/>
        </w:rPr>
        <w:t>producto</w:t>
      </w:r>
      <w:r w:rsidRPr="00931D46">
        <w:rPr>
          <w:rFonts w:ascii="Arial" w:hAnsi="Arial" w:cs="Arial"/>
        </w:rPr>
        <w:t xml:space="preserve"> a otro, en caso de un aumento en el precio del primero</w:t>
      </w:r>
      <w:r w:rsidRPr="00931D46">
        <w:rPr>
          <w:rFonts w:ascii="Arial" w:hAnsi="Arial" w:cs="Arial"/>
          <w:szCs w:val="20"/>
        </w:rPr>
        <w:t>.</w:t>
      </w:r>
    </w:p>
    <w:p w14:paraId="3CE6DCE1" w14:textId="77777777" w:rsidR="003545C8" w:rsidRPr="00931D46" w:rsidRDefault="003545C8" w:rsidP="003545C8">
      <w:pPr>
        <w:keepNext/>
        <w:spacing w:after="0"/>
        <w:rPr>
          <w:rFonts w:ascii="Arial" w:hAnsi="Arial" w:cs="Arial"/>
          <w:b/>
        </w:rPr>
      </w:pPr>
      <w:r w:rsidRPr="00931D46">
        <w:rPr>
          <w:rFonts w:ascii="Arial" w:hAnsi="Arial" w:cs="Arial"/>
          <w:b/>
        </w:rPr>
        <w:lastRenderedPageBreak/>
        <w:t>Por el lado de la oferta:</w:t>
      </w:r>
    </w:p>
    <w:p w14:paraId="7FB47901" w14:textId="77777777" w:rsidR="003545C8" w:rsidRPr="00A92633" w:rsidRDefault="003545C8" w:rsidP="003545C8">
      <w:pPr>
        <w:pStyle w:val="Prrafodelista"/>
        <w:spacing w:after="0"/>
        <w:contextualSpacing w:val="0"/>
        <w:rPr>
          <w:rFonts w:ascii="Arial" w:hAnsi="Arial" w:cs="Arial"/>
        </w:rPr>
      </w:pPr>
    </w:p>
    <w:p w14:paraId="49931053"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eastAsiaTheme="majorEastAsia" w:hAnsi="Arial" w:cs="Arial"/>
        </w:rPr>
        <w:t xml:space="preserve">Existencia de instrumentos comerciales, </w:t>
      </w:r>
      <w:r w:rsidRPr="00931D46">
        <w:rPr>
          <w:rFonts w:ascii="Arial" w:hAnsi="Arial" w:cs="Arial"/>
        </w:rPr>
        <w:t>legales o regulatorios</w:t>
      </w:r>
      <w:r>
        <w:rPr>
          <w:rFonts w:ascii="Arial" w:hAnsi="Arial" w:cs="Arial"/>
        </w:rPr>
        <w:t xml:space="preserve"> </w:t>
      </w:r>
      <w:r w:rsidRPr="00931D46">
        <w:rPr>
          <w:rFonts w:ascii="Arial" w:eastAsiaTheme="majorEastAsia" w:hAnsi="Arial" w:cs="Arial"/>
        </w:rPr>
        <w:t>que limiten la entrada</w:t>
      </w:r>
      <w:r>
        <w:rPr>
          <w:rFonts w:ascii="Arial" w:eastAsiaTheme="majorEastAsia" w:hAnsi="Arial" w:cs="Arial"/>
        </w:rPr>
        <w:t xml:space="preserve"> de competidores</w:t>
      </w:r>
      <w:r w:rsidRPr="00931D46">
        <w:rPr>
          <w:rFonts w:ascii="Arial" w:hAnsi="Arial" w:cs="Arial"/>
        </w:rPr>
        <w:t>.</w:t>
      </w:r>
    </w:p>
    <w:p w14:paraId="29E62ED3" w14:textId="77777777" w:rsidR="003545C8" w:rsidRDefault="003545C8" w:rsidP="003545C8">
      <w:pPr>
        <w:pStyle w:val="Prrafodelista"/>
        <w:spacing w:after="0"/>
        <w:contextualSpacing w:val="0"/>
        <w:rPr>
          <w:rFonts w:ascii="Arial" w:hAnsi="Arial" w:cs="Arial"/>
        </w:rPr>
      </w:pPr>
    </w:p>
    <w:p w14:paraId="7E9F12FD"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Niveles de precios relativos y variaciones en los precios del </w:t>
      </w:r>
      <w:r>
        <w:rPr>
          <w:rFonts w:ascii="Arial" w:hAnsi="Arial" w:cs="Arial"/>
        </w:rPr>
        <w:t>producto</w:t>
      </w:r>
      <w:r w:rsidRPr="00931D46">
        <w:rPr>
          <w:rFonts w:ascii="Arial" w:hAnsi="Arial" w:cs="Arial"/>
        </w:rPr>
        <w:t xml:space="preserve"> en comparación con potenciales sustitutos.</w:t>
      </w:r>
    </w:p>
    <w:p w14:paraId="37A878E9" w14:textId="77777777" w:rsidR="003545C8" w:rsidRDefault="003545C8" w:rsidP="003545C8">
      <w:pPr>
        <w:pStyle w:val="Prrafodelista"/>
        <w:spacing w:after="0"/>
        <w:contextualSpacing w:val="0"/>
        <w:rPr>
          <w:rFonts w:ascii="Arial" w:hAnsi="Arial" w:cs="Arial"/>
        </w:rPr>
      </w:pPr>
    </w:p>
    <w:p w14:paraId="55334601"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Evidencia de que los productores hayan redireccionado su capacidad productiva ante cambios en los precios </w:t>
      </w:r>
      <w:r>
        <w:rPr>
          <w:rFonts w:ascii="Arial" w:hAnsi="Arial" w:cs="Arial"/>
        </w:rPr>
        <w:t xml:space="preserve">de otros productos </w:t>
      </w:r>
      <w:r w:rsidRPr="00931D46">
        <w:rPr>
          <w:rFonts w:ascii="Arial" w:hAnsi="Arial" w:cs="Arial"/>
        </w:rPr>
        <w:t>en el pasado reciente.</w:t>
      </w:r>
    </w:p>
    <w:p w14:paraId="2B117985" w14:textId="77777777" w:rsidR="003545C8" w:rsidRDefault="003545C8" w:rsidP="003545C8">
      <w:pPr>
        <w:pStyle w:val="Prrafodelista"/>
        <w:spacing w:after="0"/>
        <w:contextualSpacing w:val="0"/>
        <w:rPr>
          <w:rFonts w:ascii="Arial" w:hAnsi="Arial" w:cs="Arial"/>
        </w:rPr>
      </w:pPr>
    </w:p>
    <w:p w14:paraId="586F9F08"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Pr>
          <w:rFonts w:ascii="Arial" w:hAnsi="Arial" w:cs="Arial"/>
        </w:rPr>
        <w:t>Información sobre la posibilidad y los c</w:t>
      </w:r>
      <w:r w:rsidRPr="00931D46">
        <w:rPr>
          <w:rFonts w:ascii="Arial" w:hAnsi="Arial" w:cs="Arial"/>
        </w:rPr>
        <w:t>ostos de cambiar los sistemas de producción y distribución</w:t>
      </w:r>
      <w:r>
        <w:rPr>
          <w:rFonts w:ascii="Arial" w:hAnsi="Arial" w:cs="Arial"/>
        </w:rPr>
        <w:t>, incluyendo aspectos técnicos, capacidad excedente y disposición por parte de los AE</w:t>
      </w:r>
      <w:r w:rsidRPr="00931D46">
        <w:rPr>
          <w:rFonts w:ascii="Arial" w:hAnsi="Arial" w:cs="Arial"/>
        </w:rPr>
        <w:t>.</w:t>
      </w:r>
    </w:p>
    <w:p w14:paraId="4D34ED31" w14:textId="77777777" w:rsidR="003545C8" w:rsidRDefault="003545C8" w:rsidP="003545C8">
      <w:pPr>
        <w:pStyle w:val="Prrafodelista"/>
        <w:spacing w:after="0"/>
        <w:contextualSpacing w:val="0"/>
        <w:rPr>
          <w:rFonts w:ascii="Arial" w:hAnsi="Arial" w:cs="Arial"/>
        </w:rPr>
      </w:pPr>
    </w:p>
    <w:p w14:paraId="027C513D" w14:textId="77777777" w:rsidR="003545C8"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Comportamiento pasado de los </w:t>
      </w:r>
      <w:r>
        <w:rPr>
          <w:rFonts w:ascii="Arial" w:hAnsi="Arial" w:cs="Arial"/>
        </w:rPr>
        <w:t xml:space="preserve">AE </w:t>
      </w:r>
      <w:r w:rsidRPr="00931D46">
        <w:rPr>
          <w:rFonts w:ascii="Arial" w:hAnsi="Arial" w:cs="Arial"/>
        </w:rPr>
        <w:t>participantes en el mercado ante cambios estructurales del mercado.</w:t>
      </w:r>
    </w:p>
    <w:p w14:paraId="76453BDE" w14:textId="77777777" w:rsidR="003545C8" w:rsidRDefault="003545C8" w:rsidP="003545C8">
      <w:pPr>
        <w:pStyle w:val="Prrafodelista"/>
        <w:spacing w:after="0"/>
        <w:contextualSpacing w:val="0"/>
        <w:rPr>
          <w:rFonts w:ascii="Arial" w:hAnsi="Arial" w:cs="Arial"/>
        </w:rPr>
      </w:pPr>
    </w:p>
    <w:p w14:paraId="5916A205"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Encuestas y opiniones de proveedores sobre lo que ocurriría ante un incremento (5%-10%) de los precios relativos de los </w:t>
      </w:r>
      <w:r>
        <w:rPr>
          <w:rFonts w:ascii="Arial" w:hAnsi="Arial" w:cs="Arial"/>
        </w:rPr>
        <w:t>productos</w:t>
      </w:r>
      <w:r w:rsidRPr="00931D46">
        <w:rPr>
          <w:rFonts w:ascii="Arial" w:hAnsi="Arial" w:cs="Arial"/>
        </w:rPr>
        <w:t xml:space="preserve"> </w:t>
      </w:r>
      <w:r>
        <w:rPr>
          <w:rFonts w:ascii="Arial" w:hAnsi="Arial" w:cs="Arial"/>
        </w:rPr>
        <w:t>analizados</w:t>
      </w:r>
      <w:r w:rsidRPr="00931D46">
        <w:rPr>
          <w:rFonts w:ascii="Arial" w:hAnsi="Arial" w:cs="Arial"/>
        </w:rPr>
        <w:t xml:space="preserve"> en la zona geográfica estudiada</w:t>
      </w:r>
      <w:r>
        <w:rPr>
          <w:rFonts w:ascii="Arial" w:hAnsi="Arial" w:cs="Arial"/>
        </w:rPr>
        <w:t>.</w:t>
      </w:r>
    </w:p>
    <w:p w14:paraId="545279A6" w14:textId="77777777" w:rsidR="003545C8" w:rsidRDefault="003545C8" w:rsidP="003545C8">
      <w:pPr>
        <w:pStyle w:val="Prrafodelista"/>
        <w:spacing w:after="0"/>
        <w:contextualSpacing w:val="0"/>
        <w:rPr>
          <w:rFonts w:ascii="Arial" w:hAnsi="Arial" w:cs="Arial"/>
        </w:rPr>
      </w:pPr>
    </w:p>
    <w:p w14:paraId="7B11BB5B"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Respuestas de los </w:t>
      </w:r>
      <w:r>
        <w:rPr>
          <w:rFonts w:ascii="Arial" w:hAnsi="Arial" w:cs="Arial"/>
        </w:rPr>
        <w:t>AE</w:t>
      </w:r>
      <w:r w:rsidRPr="00931D46">
        <w:rPr>
          <w:rFonts w:ascii="Arial" w:hAnsi="Arial" w:cs="Arial"/>
        </w:rPr>
        <w:t xml:space="preserve"> participantes en el mercado ante el comportamiento de competidores.</w:t>
      </w:r>
    </w:p>
    <w:p w14:paraId="724D7B08" w14:textId="77777777" w:rsidR="003545C8" w:rsidRDefault="003545C8" w:rsidP="003545C8">
      <w:pPr>
        <w:pStyle w:val="Prrafodelista"/>
        <w:spacing w:after="0"/>
        <w:contextualSpacing w:val="0"/>
        <w:rPr>
          <w:rFonts w:ascii="Arial" w:hAnsi="Arial" w:cs="Arial"/>
        </w:rPr>
      </w:pPr>
    </w:p>
    <w:p w14:paraId="2175CE2E"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Puntos de vista de los consumidores sobre si existen razones para no elegir los </w:t>
      </w:r>
      <w:r>
        <w:rPr>
          <w:rFonts w:ascii="Arial" w:hAnsi="Arial" w:cs="Arial"/>
        </w:rPr>
        <w:t>productos de posible</w:t>
      </w:r>
      <w:r w:rsidRPr="00931D46">
        <w:rPr>
          <w:rFonts w:ascii="Arial" w:hAnsi="Arial" w:cs="Arial"/>
        </w:rPr>
        <w:t>s oferentes.</w:t>
      </w:r>
    </w:p>
    <w:p w14:paraId="3F738052" w14:textId="77777777" w:rsidR="003545C8" w:rsidRDefault="003545C8" w:rsidP="003545C8">
      <w:pPr>
        <w:pStyle w:val="Prrafodelista"/>
        <w:spacing w:after="0"/>
        <w:contextualSpacing w:val="0"/>
        <w:rPr>
          <w:rFonts w:ascii="Arial" w:hAnsi="Arial" w:cs="Arial"/>
        </w:rPr>
      </w:pPr>
    </w:p>
    <w:p w14:paraId="4D0E99D0" w14:textId="77777777" w:rsidR="003545C8" w:rsidRPr="00931D46"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Información de los c</w:t>
      </w:r>
      <w:r>
        <w:rPr>
          <w:rFonts w:ascii="Arial" w:hAnsi="Arial" w:cs="Arial"/>
        </w:rPr>
        <w:t>onsumidores sobre los posible</w:t>
      </w:r>
      <w:r w:rsidRPr="00931D46">
        <w:rPr>
          <w:rFonts w:ascii="Arial" w:hAnsi="Arial" w:cs="Arial"/>
        </w:rPr>
        <w:t>s oferentes.</w:t>
      </w:r>
    </w:p>
    <w:p w14:paraId="442F9A1A" w14:textId="77777777" w:rsidR="003545C8" w:rsidRDefault="003545C8" w:rsidP="003545C8">
      <w:pPr>
        <w:pStyle w:val="Prrafodelista"/>
        <w:spacing w:after="0"/>
        <w:contextualSpacing w:val="0"/>
        <w:rPr>
          <w:rFonts w:ascii="Arial" w:hAnsi="Arial" w:cs="Arial"/>
        </w:rPr>
      </w:pPr>
    </w:p>
    <w:p w14:paraId="7137B39B" w14:textId="57F23E56" w:rsidR="003545C8" w:rsidRDefault="003545C8" w:rsidP="005E23E0">
      <w:pPr>
        <w:pStyle w:val="Prrafodelista"/>
        <w:numPr>
          <w:ilvl w:val="0"/>
          <w:numId w:val="22"/>
        </w:numPr>
        <w:spacing w:after="0"/>
        <w:ind w:hanging="578"/>
        <w:contextualSpacing w:val="0"/>
        <w:jc w:val="both"/>
        <w:rPr>
          <w:rFonts w:ascii="Arial" w:hAnsi="Arial" w:cs="Arial"/>
        </w:rPr>
      </w:pPr>
      <w:r w:rsidRPr="00931D46">
        <w:rPr>
          <w:rFonts w:ascii="Arial" w:hAnsi="Arial" w:cs="Arial"/>
        </w:rPr>
        <w:t xml:space="preserve">Opiniones de expertos en la industria y en la tecnología </w:t>
      </w:r>
      <w:r w:rsidRPr="00B6693F">
        <w:rPr>
          <w:rFonts w:ascii="Arial" w:hAnsi="Arial" w:cs="Arial"/>
        </w:rPr>
        <w:t xml:space="preserve">específica de los </w:t>
      </w:r>
      <w:r>
        <w:rPr>
          <w:rFonts w:ascii="Arial" w:hAnsi="Arial" w:cs="Arial"/>
        </w:rPr>
        <w:t>productos</w:t>
      </w:r>
      <w:r w:rsidRPr="00B6693F">
        <w:rPr>
          <w:rFonts w:ascii="Arial" w:hAnsi="Arial" w:cs="Arial"/>
        </w:rPr>
        <w:t xml:space="preserve"> analizados.</w:t>
      </w:r>
    </w:p>
    <w:p w14:paraId="034E4003" w14:textId="77777777" w:rsidR="003545C8" w:rsidRPr="003545C8" w:rsidRDefault="003545C8" w:rsidP="003545C8">
      <w:pPr>
        <w:spacing w:after="0"/>
        <w:jc w:val="both"/>
        <w:rPr>
          <w:rFonts w:ascii="Arial" w:hAnsi="Arial" w:cs="Arial"/>
        </w:rPr>
      </w:pPr>
    </w:p>
    <w:p w14:paraId="00F22B30" w14:textId="4D69B175" w:rsidR="003545C8" w:rsidRPr="00931D46" w:rsidRDefault="0003578B"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41" w:name="_Toc71717636"/>
      <w:r>
        <w:rPr>
          <w:rFonts w:ascii="Arial" w:eastAsia="Times New Roman" w:hAnsi="Arial" w:cs="Arial"/>
          <w:sz w:val="26"/>
          <w:lang w:eastAsia="es-MX"/>
        </w:rPr>
        <w:t>E</w:t>
      </w:r>
      <w:r w:rsidR="003545C8" w:rsidRPr="00931D46">
        <w:rPr>
          <w:rFonts w:ascii="Arial" w:eastAsia="Times New Roman" w:hAnsi="Arial" w:cs="Arial"/>
          <w:sz w:val="26"/>
          <w:lang w:eastAsia="es-MX"/>
        </w:rPr>
        <w:t xml:space="preserve">lementos para determinar la dimensión </w:t>
      </w:r>
      <w:r w:rsidR="003545C8">
        <w:rPr>
          <w:rFonts w:ascii="Arial" w:eastAsia="Times New Roman" w:hAnsi="Arial" w:cs="Arial"/>
          <w:sz w:val="26"/>
          <w:lang w:eastAsia="es-MX"/>
        </w:rPr>
        <w:t>producto</w:t>
      </w:r>
      <w:bookmarkEnd w:id="41"/>
    </w:p>
    <w:p w14:paraId="656F76E0" w14:textId="77777777" w:rsidR="003545C8" w:rsidRPr="009B6F6C" w:rsidRDefault="003545C8" w:rsidP="003545C8">
      <w:pPr>
        <w:keepNext/>
        <w:spacing w:after="0"/>
        <w:jc w:val="both"/>
        <w:rPr>
          <w:rFonts w:ascii="Arial" w:eastAsiaTheme="majorEastAsia" w:hAnsi="Arial" w:cs="Arial"/>
          <w:b/>
          <w:szCs w:val="32"/>
        </w:rPr>
      </w:pPr>
    </w:p>
    <w:p w14:paraId="00305030" w14:textId="77777777" w:rsidR="003545C8" w:rsidRPr="009B6F6C"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r w:rsidRPr="009B6F6C">
        <w:rPr>
          <w:rFonts w:ascii="Arial" w:eastAsia="Times New Roman" w:hAnsi="Arial" w:cs="Arial"/>
          <w:sz w:val="26"/>
          <w:szCs w:val="26"/>
          <w:lang w:eastAsia="es-MX"/>
        </w:rPr>
        <w:t>Producto focal</w:t>
      </w:r>
    </w:p>
    <w:p w14:paraId="5880F416" w14:textId="77777777" w:rsidR="003545C8" w:rsidRPr="009B6F6C" w:rsidRDefault="003545C8" w:rsidP="003545C8">
      <w:pPr>
        <w:keepNext/>
        <w:spacing w:after="0"/>
        <w:jc w:val="both"/>
        <w:rPr>
          <w:rFonts w:ascii="Arial" w:hAnsi="Arial" w:cs="Arial"/>
        </w:rPr>
      </w:pPr>
    </w:p>
    <w:p w14:paraId="6620E81A" w14:textId="77777777" w:rsidR="003545C8" w:rsidRPr="009B6F6C" w:rsidRDefault="003545C8" w:rsidP="003545C8">
      <w:pPr>
        <w:jc w:val="both"/>
        <w:rPr>
          <w:rFonts w:ascii="Arial" w:hAnsi="Arial" w:cs="Arial"/>
          <w:lang w:eastAsia="es-MX"/>
        </w:rPr>
      </w:pPr>
      <w:r w:rsidRPr="009B6F6C">
        <w:rPr>
          <w:rFonts w:ascii="Arial" w:hAnsi="Arial" w:cs="Arial"/>
        </w:rPr>
        <w:t xml:space="preserve">Para delimitar el MR en su dimensión producto, el Instituto iniciará con la identificación del </w:t>
      </w:r>
      <w:r w:rsidRPr="009B6F6C">
        <w:rPr>
          <w:rFonts w:ascii="Arial" w:hAnsi="Arial" w:cs="Arial"/>
          <w:b/>
        </w:rPr>
        <w:t>producto de interés</w:t>
      </w:r>
      <w:r w:rsidRPr="009B6F6C">
        <w:rPr>
          <w:rFonts w:ascii="Arial" w:hAnsi="Arial" w:cs="Arial"/>
        </w:rPr>
        <w:t xml:space="preserve"> (producto focal), para lo cual </w:t>
      </w:r>
      <w:r w:rsidRPr="009B6F6C">
        <w:rPr>
          <w:rFonts w:ascii="Arial" w:hAnsi="Arial" w:cs="Arial"/>
          <w:lang w:eastAsia="es-MX"/>
        </w:rPr>
        <w:t>podrá considerar, conforme al caso de que se trate, lo siguiente:</w:t>
      </w:r>
    </w:p>
    <w:p w14:paraId="17751C31" w14:textId="77777777" w:rsidR="003545C8" w:rsidRPr="009B6F6C" w:rsidRDefault="003545C8" w:rsidP="005E23E0">
      <w:pPr>
        <w:pStyle w:val="Prrafodelista"/>
        <w:numPr>
          <w:ilvl w:val="0"/>
          <w:numId w:val="31"/>
        </w:numPr>
        <w:spacing w:after="0"/>
        <w:ind w:left="709" w:hanging="567"/>
        <w:contextualSpacing w:val="0"/>
        <w:jc w:val="both"/>
        <w:rPr>
          <w:rFonts w:ascii="Arial" w:hAnsi="Arial" w:cs="Arial"/>
          <w:lang w:eastAsia="es-MX"/>
        </w:rPr>
      </w:pPr>
      <w:r w:rsidRPr="009B6F6C">
        <w:rPr>
          <w:rFonts w:ascii="Arial" w:hAnsi="Arial" w:cs="Arial"/>
        </w:rPr>
        <w:t>Las coincidencias en la provisión de los productos de los AE involucrados en una concentración o cesión de derechos de concesiones,</w:t>
      </w:r>
    </w:p>
    <w:p w14:paraId="02C7491D" w14:textId="77777777" w:rsidR="003545C8" w:rsidRDefault="003545C8" w:rsidP="003545C8">
      <w:pPr>
        <w:pStyle w:val="Prrafodelista"/>
        <w:spacing w:after="0"/>
        <w:ind w:left="709"/>
        <w:contextualSpacing w:val="0"/>
        <w:jc w:val="both"/>
        <w:rPr>
          <w:rFonts w:ascii="Arial" w:hAnsi="Arial" w:cs="Arial"/>
          <w:lang w:eastAsia="es-MX"/>
        </w:rPr>
      </w:pPr>
    </w:p>
    <w:p w14:paraId="324C91B0" w14:textId="77777777" w:rsidR="003545C8" w:rsidRPr="009B6F6C" w:rsidRDefault="003545C8" w:rsidP="005E23E0">
      <w:pPr>
        <w:pStyle w:val="Prrafodelista"/>
        <w:numPr>
          <w:ilvl w:val="0"/>
          <w:numId w:val="31"/>
        </w:numPr>
        <w:spacing w:after="0"/>
        <w:ind w:left="709" w:hanging="567"/>
        <w:contextualSpacing w:val="0"/>
        <w:jc w:val="both"/>
        <w:rPr>
          <w:rFonts w:ascii="Arial" w:hAnsi="Arial" w:cs="Arial"/>
          <w:lang w:eastAsia="es-MX"/>
        </w:rPr>
      </w:pPr>
      <w:r w:rsidRPr="009B6F6C">
        <w:rPr>
          <w:rFonts w:ascii="Arial" w:hAnsi="Arial" w:cs="Arial"/>
        </w:rPr>
        <w:t>El producto donde se investiga una PMR, la existencia de un insumo esencial, barreras a la competencia o PSM, y</w:t>
      </w:r>
    </w:p>
    <w:p w14:paraId="3E7DD09A" w14:textId="77777777" w:rsidR="003545C8" w:rsidRDefault="003545C8" w:rsidP="003545C8">
      <w:pPr>
        <w:pStyle w:val="Prrafodelista"/>
        <w:spacing w:after="0"/>
        <w:ind w:left="709"/>
        <w:contextualSpacing w:val="0"/>
        <w:jc w:val="both"/>
        <w:rPr>
          <w:rFonts w:ascii="Arial" w:hAnsi="Arial" w:cs="Arial"/>
          <w:lang w:eastAsia="es-MX"/>
        </w:rPr>
      </w:pPr>
    </w:p>
    <w:p w14:paraId="7BB86F3F" w14:textId="77777777" w:rsidR="003545C8" w:rsidRPr="009B6F6C" w:rsidRDefault="003545C8" w:rsidP="005E23E0">
      <w:pPr>
        <w:pStyle w:val="Prrafodelista"/>
        <w:numPr>
          <w:ilvl w:val="0"/>
          <w:numId w:val="31"/>
        </w:numPr>
        <w:spacing w:after="0"/>
        <w:ind w:left="709" w:hanging="567"/>
        <w:contextualSpacing w:val="0"/>
        <w:jc w:val="both"/>
        <w:rPr>
          <w:rFonts w:ascii="Arial" w:hAnsi="Arial" w:cs="Arial"/>
          <w:lang w:eastAsia="es-MX"/>
        </w:rPr>
      </w:pPr>
      <w:r w:rsidRPr="009B6F6C">
        <w:rPr>
          <w:rFonts w:ascii="Arial" w:hAnsi="Arial" w:cs="Arial"/>
          <w:lang w:eastAsia="es-MX"/>
        </w:rPr>
        <w:t>Las condiciones de mercado (por ejemplo, el producto con mayor volumen de</w:t>
      </w:r>
      <w:r>
        <w:rPr>
          <w:rFonts w:ascii="Arial" w:hAnsi="Arial" w:cs="Arial"/>
          <w:lang w:eastAsia="es-MX"/>
        </w:rPr>
        <w:t xml:space="preserve"> consumo entre los consumidores o </w:t>
      </w:r>
      <w:r w:rsidRPr="009B6F6C">
        <w:rPr>
          <w:rFonts w:ascii="Arial" w:hAnsi="Arial" w:cs="Arial"/>
          <w:lang w:eastAsia="es-MX"/>
        </w:rPr>
        <w:t>usuarios).</w:t>
      </w:r>
    </w:p>
    <w:p w14:paraId="6D90B2C7" w14:textId="77777777" w:rsidR="003545C8" w:rsidRPr="009B6F6C" w:rsidRDefault="003545C8" w:rsidP="003545C8">
      <w:pPr>
        <w:spacing w:after="0"/>
        <w:jc w:val="both"/>
        <w:rPr>
          <w:rFonts w:ascii="Arial" w:hAnsi="Arial" w:cs="Arial"/>
        </w:rPr>
      </w:pPr>
    </w:p>
    <w:p w14:paraId="632775E6" w14:textId="77777777" w:rsidR="003545C8" w:rsidRPr="009B6F6C"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r w:rsidRPr="009B6F6C">
        <w:rPr>
          <w:rFonts w:ascii="Arial" w:eastAsia="Times New Roman" w:hAnsi="Arial" w:cs="Arial"/>
          <w:sz w:val="26"/>
          <w:szCs w:val="26"/>
          <w:lang w:eastAsia="es-MX"/>
        </w:rPr>
        <w:t>Productos candidatos a sustitutos</w:t>
      </w:r>
    </w:p>
    <w:p w14:paraId="7BE2F143" w14:textId="77777777" w:rsidR="003545C8" w:rsidRPr="009B6F6C" w:rsidRDefault="003545C8" w:rsidP="003545C8">
      <w:pPr>
        <w:keepNext/>
        <w:spacing w:after="0"/>
        <w:jc w:val="both"/>
        <w:rPr>
          <w:rFonts w:ascii="Arial" w:hAnsi="Arial" w:cs="Arial"/>
        </w:rPr>
      </w:pPr>
    </w:p>
    <w:p w14:paraId="4C4E8915" w14:textId="77777777" w:rsidR="003545C8" w:rsidRPr="009B6F6C" w:rsidRDefault="003545C8" w:rsidP="003545C8">
      <w:pPr>
        <w:spacing w:after="0"/>
        <w:jc w:val="both"/>
        <w:rPr>
          <w:rFonts w:ascii="Arial" w:hAnsi="Arial" w:cs="Arial"/>
        </w:rPr>
      </w:pPr>
      <w:r w:rsidRPr="009B6F6C">
        <w:rPr>
          <w:rFonts w:ascii="Arial" w:hAnsi="Arial" w:cs="Arial"/>
        </w:rPr>
        <w:t xml:space="preserve">A partir de un análisis de equivalencia funcional e intercambiabilidad con base en las características, atributos y usos del producto focal, incluyendo precios, modelos de negocio, condiciones de comercialización, calidad y requerimientos (incluyendo el tiempo) para tener acceso a él, se </w:t>
      </w:r>
      <w:r>
        <w:rPr>
          <w:rFonts w:ascii="Arial" w:hAnsi="Arial" w:cs="Arial"/>
        </w:rPr>
        <w:t xml:space="preserve">podrán </w:t>
      </w:r>
      <w:r w:rsidRPr="009B6F6C">
        <w:rPr>
          <w:rFonts w:ascii="Arial" w:hAnsi="Arial" w:cs="Arial"/>
        </w:rPr>
        <w:t xml:space="preserve">identificar, de manera preliminar, los </w:t>
      </w:r>
      <w:r w:rsidRPr="009B6F6C">
        <w:rPr>
          <w:rFonts w:ascii="Arial" w:hAnsi="Arial" w:cs="Arial"/>
          <w:b/>
        </w:rPr>
        <w:t xml:space="preserve">productos candidatos a sustitutos </w:t>
      </w:r>
      <w:r w:rsidRPr="009B6F6C">
        <w:rPr>
          <w:rFonts w:ascii="Arial" w:hAnsi="Arial" w:cs="Arial"/>
        </w:rPr>
        <w:t>o que podrían ejercer presión competitiva sobre el producto focal.</w:t>
      </w:r>
    </w:p>
    <w:p w14:paraId="7BEDBA46" w14:textId="77777777" w:rsidR="003545C8" w:rsidRPr="009B6F6C" w:rsidRDefault="003545C8" w:rsidP="003545C8">
      <w:pPr>
        <w:spacing w:after="0"/>
        <w:jc w:val="both"/>
        <w:rPr>
          <w:rFonts w:ascii="Arial" w:hAnsi="Arial" w:cs="Arial"/>
        </w:rPr>
      </w:pPr>
    </w:p>
    <w:p w14:paraId="6A1012DA" w14:textId="77777777" w:rsidR="003545C8" w:rsidRPr="009B6F6C" w:rsidRDefault="003545C8" w:rsidP="003545C8">
      <w:pPr>
        <w:spacing w:after="0"/>
        <w:jc w:val="both"/>
        <w:rPr>
          <w:rFonts w:ascii="Arial" w:hAnsi="Arial" w:cs="Arial"/>
        </w:rPr>
      </w:pPr>
      <w:r w:rsidRPr="009B6F6C">
        <w:rPr>
          <w:rFonts w:ascii="Arial" w:hAnsi="Arial" w:cs="Arial"/>
        </w:rPr>
        <w:t xml:space="preserve">El análisis de las características y funcionalidades de distintos productos permite identificar aquéllos que pueden ser usados para los mismos fines y que podrían satisfacer necesidades similares. Sin embargo, es importante tomar en consideración que la similitud de atributos y funcionalidades entre dos productos no implica por sí misma que sean sustitutos, pues existen diversos factores adicionales que inciden en la disposición o posibilidades de los consumidores para intercambiarlos. </w:t>
      </w:r>
    </w:p>
    <w:p w14:paraId="05B0261E" w14:textId="77777777" w:rsidR="003545C8" w:rsidRPr="009B6F6C" w:rsidRDefault="003545C8" w:rsidP="003545C8">
      <w:pPr>
        <w:spacing w:after="0"/>
        <w:jc w:val="both"/>
        <w:rPr>
          <w:rFonts w:ascii="Arial" w:hAnsi="Arial" w:cs="Arial"/>
        </w:rPr>
      </w:pPr>
    </w:p>
    <w:p w14:paraId="51B2F61C" w14:textId="77777777" w:rsidR="003545C8" w:rsidRPr="009B6F6C" w:rsidRDefault="003545C8" w:rsidP="003545C8">
      <w:pPr>
        <w:spacing w:after="0"/>
        <w:jc w:val="both"/>
        <w:rPr>
          <w:rFonts w:ascii="Arial" w:hAnsi="Arial" w:cs="Arial"/>
        </w:rPr>
      </w:pPr>
      <w:r w:rsidRPr="009B6F6C">
        <w:rPr>
          <w:rFonts w:ascii="Arial" w:hAnsi="Arial" w:cs="Arial"/>
        </w:rPr>
        <w:t>En ese sentido, además de las características intrínsecas de los productos, deben tenerse en cuenta otros aspectos antes de concluir que dos productos son sustitutos, tales como la utilización que hacen los consumidores, la intercambiabilidad de funciones, la forma en que los consumidores valoran las diferentes características, la existencia de obstáculos y costos relacionados con el desplazamiento de la demanda hacia productos sustitutos, restricciones regulatorias, necesidad de inversiones de capital específicas, reducciones de la producción cuando se utilizan insumos alternativos, entre otros.</w:t>
      </w:r>
      <w:r w:rsidRPr="009B6F6C">
        <w:rPr>
          <w:rStyle w:val="Refdenotaalpie"/>
          <w:rFonts w:ascii="Arial" w:hAnsi="Arial" w:cs="Arial"/>
        </w:rPr>
        <w:footnoteReference w:id="34"/>
      </w:r>
    </w:p>
    <w:p w14:paraId="59986643" w14:textId="77777777" w:rsidR="003545C8" w:rsidRPr="009B6F6C" w:rsidRDefault="003545C8" w:rsidP="003545C8">
      <w:pPr>
        <w:spacing w:after="0"/>
        <w:jc w:val="both"/>
        <w:rPr>
          <w:rFonts w:ascii="Arial" w:hAnsi="Arial" w:cs="Arial"/>
        </w:rPr>
      </w:pPr>
    </w:p>
    <w:p w14:paraId="46980D3A" w14:textId="132BC722" w:rsidR="003545C8" w:rsidRDefault="003545C8" w:rsidP="003545C8">
      <w:pPr>
        <w:spacing w:after="0"/>
        <w:jc w:val="both"/>
        <w:rPr>
          <w:rFonts w:ascii="Arial" w:hAnsi="Arial" w:cs="Arial"/>
        </w:rPr>
      </w:pPr>
      <w:r w:rsidRPr="009B6F6C">
        <w:rPr>
          <w:rFonts w:ascii="Arial" w:hAnsi="Arial" w:cs="Arial"/>
        </w:rPr>
        <w:t xml:space="preserve">Así, el análisis de las características y funcionalidades de los </w:t>
      </w:r>
      <w:r>
        <w:rPr>
          <w:rFonts w:ascii="Arial" w:hAnsi="Arial" w:cs="Arial"/>
        </w:rPr>
        <w:t>productos</w:t>
      </w:r>
      <w:r w:rsidRPr="009B6F6C">
        <w:rPr>
          <w:rFonts w:ascii="Arial" w:hAnsi="Arial" w:cs="Arial"/>
        </w:rPr>
        <w:t xml:space="preserve"> permite delimitar el rango de posibles sustitutos e identificar sus diferencias. Además, en ciertos casos, el análisis de equivalencia funcional permite identificar que no existen sustitutos de los </w:t>
      </w:r>
      <w:r>
        <w:rPr>
          <w:rFonts w:ascii="Arial" w:hAnsi="Arial" w:cs="Arial"/>
        </w:rPr>
        <w:t>productos</w:t>
      </w:r>
      <w:r w:rsidRPr="009B6F6C">
        <w:rPr>
          <w:rFonts w:ascii="Arial" w:hAnsi="Arial" w:cs="Arial"/>
        </w:rPr>
        <w:t xml:space="preserve"> focales debido a que estos tienen usos específicos o altamente especializados y es evidente que no pueden ser reemplazados por otros productos; por ejemplo, esto ocurre en el caso de </w:t>
      </w:r>
      <w:r>
        <w:rPr>
          <w:rFonts w:ascii="Arial" w:hAnsi="Arial" w:cs="Arial"/>
        </w:rPr>
        <w:t>la</w:t>
      </w:r>
      <w:r w:rsidRPr="009B6F6C">
        <w:rPr>
          <w:rFonts w:ascii="Arial" w:hAnsi="Arial" w:cs="Arial"/>
        </w:rPr>
        <w:t xml:space="preserve"> provisión de equipos de infraestructura activa y de interconexión.</w:t>
      </w:r>
    </w:p>
    <w:p w14:paraId="11832A3D" w14:textId="6FF81331" w:rsidR="00FD6552" w:rsidRDefault="00FD6552" w:rsidP="003545C8">
      <w:pPr>
        <w:spacing w:after="0"/>
        <w:jc w:val="both"/>
        <w:rPr>
          <w:rFonts w:ascii="Arial" w:hAnsi="Arial" w:cs="Arial"/>
        </w:rPr>
      </w:pPr>
    </w:p>
    <w:p w14:paraId="1B051F03" w14:textId="77777777" w:rsidR="00FD6552" w:rsidRPr="009B6F6C" w:rsidRDefault="00FD6552" w:rsidP="003545C8">
      <w:pPr>
        <w:spacing w:after="0"/>
        <w:jc w:val="both"/>
        <w:rPr>
          <w:rFonts w:ascii="Arial" w:hAnsi="Arial" w:cs="Arial"/>
        </w:rPr>
      </w:pPr>
    </w:p>
    <w:p w14:paraId="524051B2" w14:textId="77777777" w:rsidR="003545C8" w:rsidRPr="009B6F6C" w:rsidRDefault="003545C8" w:rsidP="003545C8">
      <w:pPr>
        <w:spacing w:after="0"/>
        <w:jc w:val="both"/>
        <w:rPr>
          <w:rFonts w:ascii="Arial" w:hAnsi="Arial" w:cs="Arial"/>
        </w:rPr>
      </w:pPr>
    </w:p>
    <w:p w14:paraId="088AFB86" w14:textId="77777777" w:rsidR="003545C8" w:rsidRPr="009B6F6C"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r w:rsidRPr="009B6F6C">
        <w:rPr>
          <w:rFonts w:ascii="Arial" w:eastAsia="Times New Roman" w:hAnsi="Arial" w:cs="Arial"/>
          <w:sz w:val="26"/>
          <w:szCs w:val="26"/>
          <w:lang w:eastAsia="es-MX"/>
        </w:rPr>
        <w:lastRenderedPageBreak/>
        <w:t>Análisis de sustitución</w:t>
      </w:r>
    </w:p>
    <w:p w14:paraId="56DFFFB2" w14:textId="77777777" w:rsidR="003545C8" w:rsidRPr="009B6F6C" w:rsidRDefault="003545C8" w:rsidP="003545C8">
      <w:pPr>
        <w:spacing w:after="0"/>
        <w:jc w:val="both"/>
        <w:rPr>
          <w:rFonts w:ascii="Arial" w:hAnsi="Arial" w:cs="Arial"/>
        </w:rPr>
      </w:pPr>
    </w:p>
    <w:p w14:paraId="6A613C75" w14:textId="77777777" w:rsidR="003545C8" w:rsidRPr="00931D46" w:rsidRDefault="003545C8" w:rsidP="003545C8">
      <w:pPr>
        <w:spacing w:after="0"/>
        <w:jc w:val="both"/>
        <w:rPr>
          <w:rFonts w:ascii="Arial" w:hAnsi="Arial" w:cs="Arial"/>
        </w:rPr>
      </w:pPr>
      <w:r w:rsidRPr="009B6F6C">
        <w:rPr>
          <w:rFonts w:ascii="Arial" w:hAnsi="Arial" w:cs="Arial"/>
        </w:rPr>
        <w:t xml:space="preserve">Para cada uno de los productos candidatos identificados, se </w:t>
      </w:r>
      <w:r>
        <w:rPr>
          <w:rFonts w:ascii="Arial" w:hAnsi="Arial" w:cs="Arial"/>
        </w:rPr>
        <w:t xml:space="preserve">podrá </w:t>
      </w:r>
      <w:r w:rsidRPr="009B6F6C">
        <w:rPr>
          <w:rFonts w:ascii="Arial" w:hAnsi="Arial" w:cs="Arial"/>
        </w:rPr>
        <w:t xml:space="preserve">realizar un análisis de sustitución por el lado de la demanda y por el lado de la oferta de acuerdo con los criterios establecidos en el artículo 58 de la LFCE, para lo cual se podrán considerar, entre otros, los </w:t>
      </w:r>
      <w:r w:rsidRPr="009B6F6C" w:rsidDel="00FD1C58">
        <w:rPr>
          <w:rFonts w:ascii="Arial" w:hAnsi="Arial" w:cs="Arial"/>
        </w:rPr>
        <w:t xml:space="preserve">elementos </w:t>
      </w:r>
      <w:r w:rsidRPr="009B6F6C">
        <w:rPr>
          <w:rFonts w:ascii="Arial" w:hAnsi="Arial" w:cs="Arial"/>
        </w:rPr>
        <w:t>y las herramientas de análisis que se presentan a continuación, sin orden de importancia o prelación en su aplicación y conforme la información disponible lo permita.</w:t>
      </w:r>
    </w:p>
    <w:p w14:paraId="2F594AD1" w14:textId="77777777" w:rsidR="003545C8" w:rsidRPr="00931D46" w:rsidRDefault="003545C8" w:rsidP="003545C8">
      <w:pPr>
        <w:spacing w:after="0"/>
        <w:jc w:val="both"/>
        <w:rPr>
          <w:rFonts w:ascii="Arial" w:hAnsi="Arial" w:cs="Arial"/>
        </w:rPr>
      </w:pPr>
    </w:p>
    <w:p w14:paraId="0F980680" w14:textId="77777777" w:rsidR="003545C8" w:rsidRPr="00B451E2" w:rsidRDefault="003545C8" w:rsidP="005E23E0">
      <w:pPr>
        <w:pStyle w:val="Ttulo4"/>
        <w:keepLines w:val="0"/>
        <w:numPr>
          <w:ilvl w:val="3"/>
          <w:numId w:val="5"/>
        </w:numPr>
        <w:spacing w:before="0" w:after="0" w:line="276" w:lineRule="auto"/>
        <w:ind w:left="2268"/>
        <w:rPr>
          <w:rFonts w:ascii="Arial" w:eastAsia="Times New Roman" w:hAnsi="Arial" w:cs="Arial"/>
          <w:b w:val="0"/>
          <w:i/>
          <w:lang w:eastAsia="es-MX"/>
        </w:rPr>
      </w:pPr>
      <w:r>
        <w:rPr>
          <w:rFonts w:ascii="Arial" w:eastAsia="Times New Roman" w:hAnsi="Arial" w:cs="Arial"/>
          <w:lang w:eastAsia="es-MX"/>
        </w:rPr>
        <w:t>Sustitución p</w:t>
      </w:r>
      <w:r w:rsidRPr="00B451E2">
        <w:rPr>
          <w:rFonts w:ascii="Arial" w:eastAsia="Times New Roman" w:hAnsi="Arial" w:cs="Arial"/>
          <w:lang w:eastAsia="es-MX"/>
        </w:rPr>
        <w:t>or el lado de la demanda</w:t>
      </w:r>
    </w:p>
    <w:p w14:paraId="563E166B" w14:textId="77777777" w:rsidR="003545C8" w:rsidRDefault="003545C8" w:rsidP="003545C8">
      <w:pPr>
        <w:spacing w:after="0"/>
        <w:jc w:val="both"/>
        <w:rPr>
          <w:rFonts w:ascii="Arial" w:hAnsi="Arial" w:cs="Arial"/>
        </w:rPr>
      </w:pPr>
    </w:p>
    <w:p w14:paraId="26EEF05F" w14:textId="77777777" w:rsidR="003545C8" w:rsidRPr="009B6F6C" w:rsidRDefault="003545C8" w:rsidP="003545C8">
      <w:pPr>
        <w:spacing w:after="0"/>
        <w:jc w:val="both"/>
        <w:rPr>
          <w:rFonts w:ascii="Arial" w:hAnsi="Arial" w:cs="Arial"/>
        </w:rPr>
      </w:pPr>
      <w:r w:rsidRPr="00A732BD">
        <w:rPr>
          <w:rFonts w:ascii="Arial" w:hAnsi="Arial" w:cs="Arial"/>
        </w:rPr>
        <w:t>El análisis de sustitución por el lado de la demanda consiste en identificar aquellos productos que son vistos como sustitutos por los consumidores. Es decir, implica evaluar la capacidad que tienen los demandantes de migrar hacia productos alternativos al producto analizado en respuesta a pequeñas variaciones no transitorias en los precios relativos</w:t>
      </w:r>
      <w:r w:rsidRPr="009B6F6C">
        <w:rPr>
          <w:rFonts w:ascii="Arial" w:hAnsi="Arial" w:cs="Arial"/>
        </w:rPr>
        <w:t xml:space="preserve"> u otras variables relevantes. Para llevarlo a cabo el Instituto </w:t>
      </w:r>
      <w:r>
        <w:rPr>
          <w:rFonts w:ascii="Arial" w:hAnsi="Arial" w:cs="Arial"/>
        </w:rPr>
        <w:t>podrá</w:t>
      </w:r>
      <w:r w:rsidRPr="009B6F6C">
        <w:rPr>
          <w:rFonts w:ascii="Arial" w:hAnsi="Arial" w:cs="Arial"/>
        </w:rPr>
        <w:t xml:space="preserve"> considerar los siguientes elementos.</w:t>
      </w:r>
    </w:p>
    <w:p w14:paraId="37883CC3" w14:textId="77777777" w:rsidR="003545C8" w:rsidRPr="00725954" w:rsidRDefault="003545C8" w:rsidP="003545C8">
      <w:pPr>
        <w:keepNext/>
        <w:spacing w:after="0"/>
        <w:jc w:val="both"/>
        <w:rPr>
          <w:lang w:eastAsia="es-MX"/>
        </w:rPr>
      </w:pPr>
    </w:p>
    <w:p w14:paraId="008FCCED" w14:textId="77777777" w:rsidR="003545C8" w:rsidRPr="009B6F6C" w:rsidRDefault="003545C8" w:rsidP="005E23E0">
      <w:pPr>
        <w:pStyle w:val="Prrafodelista"/>
        <w:keepNext/>
        <w:numPr>
          <w:ilvl w:val="0"/>
          <w:numId w:val="23"/>
        </w:numPr>
        <w:spacing w:after="0"/>
        <w:ind w:hanging="578"/>
        <w:contextualSpacing w:val="0"/>
        <w:jc w:val="both"/>
        <w:rPr>
          <w:rFonts w:ascii="Arial" w:hAnsi="Arial" w:cs="Arial"/>
          <w:b/>
        </w:rPr>
      </w:pPr>
      <w:r w:rsidRPr="009B6F6C">
        <w:rPr>
          <w:rFonts w:ascii="Arial" w:hAnsi="Arial" w:cs="Arial"/>
          <w:b/>
        </w:rPr>
        <w:t>La Prueba SSNIP, incluyendo análisis de pérdida crítica</w:t>
      </w:r>
    </w:p>
    <w:p w14:paraId="27B54989" w14:textId="77777777" w:rsidR="003545C8" w:rsidRPr="009B6F6C" w:rsidRDefault="003545C8" w:rsidP="003545C8">
      <w:pPr>
        <w:keepNext/>
        <w:spacing w:after="0"/>
        <w:jc w:val="both"/>
        <w:rPr>
          <w:rFonts w:ascii="Arial" w:hAnsi="Arial" w:cs="Arial"/>
        </w:rPr>
      </w:pPr>
    </w:p>
    <w:p w14:paraId="70D2D167" w14:textId="77777777" w:rsidR="003545C8" w:rsidRPr="009B6F6C" w:rsidRDefault="003545C8" w:rsidP="003545C8">
      <w:pPr>
        <w:jc w:val="both"/>
        <w:rPr>
          <w:rFonts w:ascii="Arial" w:hAnsi="Arial" w:cs="Arial"/>
          <w:lang w:eastAsia="es-MX"/>
        </w:rPr>
      </w:pPr>
      <w:r w:rsidRPr="009B6F6C">
        <w:rPr>
          <w:rFonts w:ascii="Arial" w:hAnsi="Arial" w:cs="Arial"/>
          <w:lang w:eastAsia="es-MX"/>
        </w:rPr>
        <w:t>La Prueba SSNIP consiste en analizar si para un monopolista hipotético sería rentable hacer pequeños pero significativos incrementos en los precios de manera no transitoria,</w:t>
      </w:r>
      <w:r w:rsidRPr="009B6F6C">
        <w:rPr>
          <w:rStyle w:val="Refdenotaalpie"/>
          <w:rFonts w:ascii="Arial" w:hAnsi="Arial" w:cs="Arial"/>
          <w:lang w:eastAsia="es-MX"/>
        </w:rPr>
        <w:footnoteReference w:id="35"/>
      </w:r>
      <w:r w:rsidRPr="009B6F6C">
        <w:rPr>
          <w:rFonts w:ascii="Arial" w:hAnsi="Arial" w:cs="Arial"/>
          <w:lang w:eastAsia="es-MX"/>
        </w:rPr>
        <w:t xml:space="preserve"> considerando: </w:t>
      </w:r>
    </w:p>
    <w:p w14:paraId="62B85071" w14:textId="77777777" w:rsidR="003545C8" w:rsidRPr="009B6F6C" w:rsidRDefault="003545C8" w:rsidP="005E23E0">
      <w:pPr>
        <w:pStyle w:val="Prrafodelista"/>
        <w:numPr>
          <w:ilvl w:val="0"/>
          <w:numId w:val="27"/>
        </w:numPr>
        <w:spacing w:after="0"/>
        <w:ind w:left="709" w:hanging="567"/>
        <w:contextualSpacing w:val="0"/>
        <w:jc w:val="both"/>
        <w:rPr>
          <w:rFonts w:ascii="Arial" w:hAnsi="Arial" w:cs="Arial"/>
          <w:lang w:eastAsia="es-MX"/>
        </w:rPr>
      </w:pPr>
      <w:r w:rsidRPr="009B6F6C">
        <w:rPr>
          <w:rFonts w:ascii="Arial" w:hAnsi="Arial" w:cs="Arial"/>
          <w:lang w:eastAsia="es-MX"/>
        </w:rPr>
        <w:t xml:space="preserve">La magnitud de la transferencia de demanda hacia productos sustitutos en respuesta al incremento en el precio, y </w:t>
      </w:r>
    </w:p>
    <w:p w14:paraId="53F2F68F" w14:textId="77777777" w:rsidR="003545C8" w:rsidRDefault="003545C8" w:rsidP="003545C8">
      <w:pPr>
        <w:pStyle w:val="Prrafodelista"/>
        <w:spacing w:after="0"/>
        <w:ind w:left="709"/>
        <w:contextualSpacing w:val="0"/>
        <w:jc w:val="both"/>
        <w:rPr>
          <w:rFonts w:ascii="Arial" w:hAnsi="Arial" w:cs="Arial"/>
          <w:lang w:eastAsia="es-MX"/>
        </w:rPr>
      </w:pPr>
    </w:p>
    <w:p w14:paraId="2AE9C14A" w14:textId="77777777" w:rsidR="003545C8" w:rsidRDefault="003545C8" w:rsidP="005E23E0">
      <w:pPr>
        <w:pStyle w:val="Prrafodelista"/>
        <w:numPr>
          <w:ilvl w:val="0"/>
          <w:numId w:val="27"/>
        </w:numPr>
        <w:spacing w:after="0"/>
        <w:ind w:left="709" w:hanging="567"/>
        <w:contextualSpacing w:val="0"/>
        <w:jc w:val="both"/>
        <w:rPr>
          <w:rFonts w:ascii="Arial" w:hAnsi="Arial" w:cs="Arial"/>
          <w:lang w:eastAsia="es-MX"/>
        </w:rPr>
      </w:pPr>
      <w:r w:rsidRPr="009B6F6C">
        <w:rPr>
          <w:rFonts w:ascii="Arial" w:hAnsi="Arial" w:cs="Arial"/>
          <w:lang w:eastAsia="es-MX"/>
        </w:rPr>
        <w:t xml:space="preserve">El cambio en el margen de utilidad, dado el incremento en el precio de los productos que comercializa. </w:t>
      </w:r>
    </w:p>
    <w:p w14:paraId="64A8F897" w14:textId="77777777" w:rsidR="003545C8" w:rsidRPr="00FD6552" w:rsidRDefault="003545C8" w:rsidP="00FD6552">
      <w:pPr>
        <w:spacing w:after="0"/>
        <w:jc w:val="both"/>
        <w:rPr>
          <w:rFonts w:ascii="Arial" w:hAnsi="Arial" w:cs="Arial"/>
          <w:lang w:eastAsia="es-MX"/>
        </w:rPr>
      </w:pPr>
    </w:p>
    <w:p w14:paraId="4155A859" w14:textId="77777777" w:rsidR="003545C8" w:rsidRPr="009B6F6C" w:rsidRDefault="003545C8" w:rsidP="003545C8">
      <w:pPr>
        <w:spacing w:after="0"/>
        <w:jc w:val="both"/>
        <w:rPr>
          <w:rFonts w:ascii="Arial" w:hAnsi="Arial" w:cs="Arial"/>
        </w:rPr>
      </w:pPr>
      <w:r w:rsidRPr="009B6F6C">
        <w:rPr>
          <w:rFonts w:ascii="Arial" w:hAnsi="Arial" w:cs="Arial"/>
        </w:rPr>
        <w:t xml:space="preserve">De esta manera, bajo el marco conceptual de la Prueba SSNIP, el MR generalmente es el conjunto de productos y </w:t>
      </w:r>
      <w:r>
        <w:rPr>
          <w:rFonts w:ascii="Arial" w:hAnsi="Arial" w:cs="Arial"/>
        </w:rPr>
        <w:t>la zona</w:t>
      </w:r>
      <w:r w:rsidRPr="009B6F6C">
        <w:rPr>
          <w:rFonts w:ascii="Arial" w:hAnsi="Arial" w:cs="Arial"/>
        </w:rPr>
        <w:t xml:space="preserve"> geográfica más pequeña en los cuales un monopolista hipotético podría imponer y mantener un incremento en precios significativo.</w:t>
      </w:r>
    </w:p>
    <w:p w14:paraId="0E2842F7" w14:textId="77777777" w:rsidR="003545C8" w:rsidRPr="009B6F6C" w:rsidRDefault="003545C8" w:rsidP="003545C8">
      <w:pPr>
        <w:spacing w:after="0"/>
        <w:jc w:val="both"/>
        <w:rPr>
          <w:rFonts w:ascii="Arial" w:eastAsia="Times New Roman" w:hAnsi="Arial" w:cs="Arial"/>
          <w:bCs/>
          <w:kern w:val="1"/>
          <w:lang w:eastAsia="ar-SA"/>
        </w:rPr>
      </w:pPr>
    </w:p>
    <w:p w14:paraId="399DAF09" w14:textId="77777777" w:rsidR="003545C8" w:rsidRPr="009B6F6C" w:rsidRDefault="003545C8" w:rsidP="003545C8">
      <w:pPr>
        <w:spacing w:after="0"/>
        <w:jc w:val="both"/>
        <w:rPr>
          <w:rFonts w:ascii="Arial" w:hAnsi="Arial" w:cs="Arial"/>
        </w:rPr>
      </w:pPr>
      <w:r w:rsidRPr="009B6F6C">
        <w:rPr>
          <w:rFonts w:ascii="Arial" w:eastAsia="Times New Roman" w:hAnsi="Arial" w:cs="Arial"/>
          <w:bCs/>
          <w:kern w:val="1"/>
          <w:lang w:eastAsia="ar-SA"/>
        </w:rPr>
        <w:t>El Instituto podrá utilizar la Prueba SSNIP, ya sea de manera cualitativa o cuantitativa, dependiendo de la información con la que cuente</w:t>
      </w:r>
      <w:r w:rsidRPr="009B6F6C">
        <w:rPr>
          <w:rFonts w:ascii="Arial" w:hAnsi="Arial" w:cs="Arial"/>
        </w:rPr>
        <w:t>.</w:t>
      </w:r>
    </w:p>
    <w:p w14:paraId="4009D1A8" w14:textId="77777777" w:rsidR="003545C8" w:rsidRPr="009B6F6C" w:rsidRDefault="003545C8" w:rsidP="003545C8">
      <w:pPr>
        <w:spacing w:after="0"/>
        <w:jc w:val="both"/>
        <w:rPr>
          <w:rFonts w:ascii="Arial" w:hAnsi="Arial" w:cs="Arial"/>
          <w:lang w:eastAsia="es-MX"/>
        </w:rPr>
      </w:pPr>
      <w:r w:rsidRPr="009B6F6C">
        <w:rPr>
          <w:rFonts w:ascii="Arial" w:hAnsi="Arial" w:cs="Arial"/>
        </w:rPr>
        <w:t xml:space="preserve">La implementación de la prueba, </w:t>
      </w:r>
      <w:r w:rsidRPr="009B6F6C">
        <w:rPr>
          <w:rFonts w:ascii="Arial" w:hAnsi="Arial" w:cs="Arial"/>
          <w:lang w:eastAsia="es-MX"/>
        </w:rPr>
        <w:t>en cuanto a la dimensión producto</w:t>
      </w:r>
      <w:r w:rsidRPr="009B6F6C">
        <w:rPr>
          <w:rFonts w:ascii="Arial" w:hAnsi="Arial" w:cs="Arial"/>
        </w:rPr>
        <w:t xml:space="preserve"> </w:t>
      </w:r>
      <w:r w:rsidRPr="009B6F6C">
        <w:rPr>
          <w:rFonts w:ascii="Arial" w:hAnsi="Arial" w:cs="Arial"/>
          <w:lang w:eastAsia="es-MX"/>
        </w:rPr>
        <w:t>del MR, com</w:t>
      </w:r>
      <w:r>
        <w:rPr>
          <w:rFonts w:ascii="Arial" w:hAnsi="Arial" w:cs="Arial"/>
          <w:lang w:eastAsia="es-MX"/>
        </w:rPr>
        <w:t>ienza</w:t>
      </w:r>
      <w:r w:rsidRPr="009B6F6C">
        <w:rPr>
          <w:rFonts w:ascii="Arial" w:hAnsi="Arial" w:cs="Arial"/>
          <w:lang w:eastAsia="es-MX"/>
        </w:rPr>
        <w:t xml:space="preserve"> con el producto focal. Si un monopolista hipotético de este producto no puede aplicar un SSNIP (por ejemplo, </w:t>
      </w:r>
      <w:r w:rsidRPr="009B6F6C">
        <w:rPr>
          <w:rFonts w:ascii="Arial" w:hAnsi="Arial" w:cs="Arial"/>
        </w:rPr>
        <w:t>un aumento estándar de entre 5% y 10% en el precio</w:t>
      </w:r>
      <w:r w:rsidRPr="009B6F6C">
        <w:rPr>
          <w:rFonts w:ascii="Arial" w:hAnsi="Arial" w:cs="Arial"/>
          <w:lang w:eastAsia="es-MX"/>
        </w:rPr>
        <w:t>) de manera rentable porque los clientes encuentran otro producto en cantidad suficiente, entonces ese producto se agrega al MR. El análisis anterior se rep</w:t>
      </w:r>
      <w:r>
        <w:rPr>
          <w:rFonts w:ascii="Arial" w:hAnsi="Arial" w:cs="Arial"/>
          <w:lang w:eastAsia="es-MX"/>
        </w:rPr>
        <w:t>ite</w:t>
      </w:r>
      <w:r w:rsidRPr="009B6F6C">
        <w:rPr>
          <w:rFonts w:ascii="Arial" w:hAnsi="Arial" w:cs="Arial"/>
          <w:lang w:eastAsia="es-MX"/>
        </w:rPr>
        <w:t xml:space="preserve"> para otros productos</w:t>
      </w:r>
      <w:r w:rsidRPr="009B6F6C">
        <w:rPr>
          <w:rFonts w:ascii="Arial" w:hAnsi="Arial" w:cs="Arial"/>
        </w:rPr>
        <w:t xml:space="preserve"> candidatos, los cuales se agregan al MR si </w:t>
      </w:r>
      <w:r w:rsidRPr="009B6F6C">
        <w:rPr>
          <w:rFonts w:ascii="Arial" w:hAnsi="Arial" w:cs="Arial"/>
          <w:lang w:eastAsia="es-MX"/>
        </w:rPr>
        <w:t xml:space="preserve">la </w:t>
      </w:r>
      <w:r w:rsidRPr="009B6F6C">
        <w:rPr>
          <w:rFonts w:ascii="Arial" w:hAnsi="Arial" w:cs="Arial"/>
          <w:lang w:eastAsia="es-MX"/>
        </w:rPr>
        <w:lastRenderedPageBreak/>
        <w:t xml:space="preserve">imposición del SSNIP por parte del monopolista hipotético no es rentable y no se agregan si el aumento es rentable. </w:t>
      </w:r>
    </w:p>
    <w:p w14:paraId="53BD03C1" w14:textId="77777777" w:rsidR="003545C8" w:rsidRPr="009B6F6C" w:rsidRDefault="003545C8" w:rsidP="003545C8">
      <w:pPr>
        <w:spacing w:after="0"/>
        <w:jc w:val="both"/>
        <w:rPr>
          <w:rFonts w:ascii="Arial" w:hAnsi="Arial" w:cs="Arial"/>
          <w:lang w:eastAsia="es-MX"/>
        </w:rPr>
      </w:pPr>
    </w:p>
    <w:p w14:paraId="1545E845" w14:textId="77777777" w:rsidR="003545C8" w:rsidRPr="009B6F6C" w:rsidRDefault="003545C8" w:rsidP="003545C8">
      <w:pPr>
        <w:spacing w:after="0"/>
        <w:jc w:val="both"/>
        <w:rPr>
          <w:rFonts w:ascii="Arial" w:eastAsia="Times New Roman" w:hAnsi="Arial" w:cs="Arial"/>
          <w:kern w:val="1"/>
          <w:lang w:eastAsia="ar-SA"/>
        </w:rPr>
      </w:pPr>
      <w:r w:rsidRPr="009B6F6C">
        <w:rPr>
          <w:rFonts w:ascii="Arial" w:hAnsi="Arial" w:cs="Arial"/>
          <w:lang w:eastAsia="es-MX"/>
        </w:rPr>
        <w:t>En caso de que</w:t>
      </w:r>
      <w:r>
        <w:rPr>
          <w:rFonts w:ascii="Arial" w:hAnsi="Arial" w:cs="Arial"/>
          <w:lang w:eastAsia="es-MX"/>
        </w:rPr>
        <w:t xml:space="preserve"> la información existente</w:t>
      </w:r>
      <w:r w:rsidRPr="009B6F6C">
        <w:rPr>
          <w:rFonts w:ascii="Arial" w:hAnsi="Arial" w:cs="Arial"/>
          <w:lang w:eastAsia="es-MX"/>
        </w:rPr>
        <w:t xml:space="preserve"> no</w:t>
      </w:r>
      <w:r>
        <w:rPr>
          <w:rFonts w:ascii="Arial" w:hAnsi="Arial" w:cs="Arial"/>
          <w:lang w:eastAsia="es-MX"/>
        </w:rPr>
        <w:t xml:space="preserve"> permita llevar a cabo </w:t>
      </w:r>
      <w:r w:rsidRPr="009B6F6C">
        <w:rPr>
          <w:rFonts w:ascii="Arial" w:hAnsi="Arial" w:cs="Arial"/>
          <w:lang w:eastAsia="es-MX"/>
        </w:rPr>
        <w:t xml:space="preserve">la prueba de manera cuantitativa, esta se </w:t>
      </w:r>
      <w:r>
        <w:rPr>
          <w:rFonts w:ascii="Arial" w:hAnsi="Arial" w:cs="Arial"/>
          <w:lang w:eastAsia="es-MX"/>
        </w:rPr>
        <w:t xml:space="preserve">podrá </w:t>
      </w:r>
      <w:r w:rsidRPr="009B6F6C">
        <w:rPr>
          <w:rFonts w:ascii="Arial" w:hAnsi="Arial" w:cs="Arial"/>
          <w:lang w:eastAsia="es-MX"/>
        </w:rPr>
        <w:t xml:space="preserve">realizar de forma cualitativa y funcionar como </w:t>
      </w:r>
      <w:r w:rsidRPr="009B6F6C">
        <w:rPr>
          <w:rFonts w:ascii="Arial" w:eastAsia="Times New Roman" w:hAnsi="Arial" w:cs="Arial"/>
          <w:kern w:val="1"/>
          <w:lang w:eastAsia="ar-SA"/>
        </w:rPr>
        <w:t xml:space="preserve">un marco conceptual para realizar el análisis de sustitución y se </w:t>
      </w:r>
      <w:r>
        <w:rPr>
          <w:rFonts w:ascii="Arial" w:eastAsia="Times New Roman" w:hAnsi="Arial" w:cs="Arial"/>
          <w:kern w:val="1"/>
          <w:lang w:eastAsia="ar-SA"/>
        </w:rPr>
        <w:t xml:space="preserve">podrá </w:t>
      </w:r>
      <w:r w:rsidRPr="009B6F6C">
        <w:rPr>
          <w:rFonts w:ascii="Arial" w:eastAsia="Times New Roman" w:hAnsi="Arial" w:cs="Arial"/>
          <w:kern w:val="1"/>
          <w:lang w:eastAsia="ar-SA"/>
        </w:rPr>
        <w:t>complementar con otras herramientas como las que se describen más adelante.</w:t>
      </w:r>
    </w:p>
    <w:p w14:paraId="35EC5AC9" w14:textId="77777777" w:rsidR="003545C8" w:rsidRPr="009B6F6C" w:rsidRDefault="003545C8" w:rsidP="003545C8">
      <w:pPr>
        <w:spacing w:after="0"/>
        <w:jc w:val="both"/>
        <w:rPr>
          <w:rFonts w:ascii="Arial" w:hAnsi="Arial" w:cs="Arial"/>
        </w:rPr>
      </w:pPr>
    </w:p>
    <w:p w14:paraId="4763A1F1" w14:textId="77777777" w:rsidR="003545C8" w:rsidRPr="009B6F6C" w:rsidRDefault="003545C8" w:rsidP="003545C8">
      <w:pPr>
        <w:spacing w:after="0"/>
        <w:jc w:val="both"/>
        <w:rPr>
          <w:rFonts w:ascii="Arial" w:hAnsi="Arial" w:cs="Arial"/>
        </w:rPr>
      </w:pPr>
      <w:r w:rsidRPr="009B6F6C">
        <w:rPr>
          <w:rFonts w:ascii="Arial" w:eastAsia="Times New Roman" w:hAnsi="Arial" w:cs="Arial"/>
          <w:bCs/>
          <w:kern w:val="1"/>
          <w:lang w:eastAsia="ar-SA"/>
        </w:rPr>
        <w:t>P</w:t>
      </w:r>
      <w:r w:rsidRPr="009B6F6C">
        <w:rPr>
          <w:rFonts w:ascii="Arial" w:hAnsi="Arial" w:cs="Arial"/>
        </w:rPr>
        <w:t>ara desarrollar cuantitativamente la prueba cuando los datos necesarios, incluyendo precios, cantidades y márgenes de ganancia, se encuentren disponibles, el Instituto podrá aplicar el análisis de pérdida crítica, que consiste en comparar la pérdida crítica y la pérdida real esperada en la que incurriría una empresa por un aumento de precio, a través de los siguientes pasos:</w:t>
      </w:r>
    </w:p>
    <w:p w14:paraId="54487AFC" w14:textId="77777777" w:rsidR="003545C8" w:rsidRPr="009B6F6C" w:rsidRDefault="003545C8" w:rsidP="003545C8">
      <w:pPr>
        <w:spacing w:after="0"/>
        <w:jc w:val="both"/>
        <w:rPr>
          <w:rFonts w:ascii="Arial" w:hAnsi="Arial" w:cs="Arial"/>
        </w:rPr>
      </w:pPr>
    </w:p>
    <w:p w14:paraId="7BA2E69E" w14:textId="77777777" w:rsidR="003545C8" w:rsidRPr="009B6F6C" w:rsidRDefault="003545C8" w:rsidP="003545C8">
      <w:pPr>
        <w:spacing w:after="0"/>
        <w:jc w:val="both"/>
        <w:rPr>
          <w:rFonts w:ascii="Arial" w:hAnsi="Arial" w:cs="Arial"/>
        </w:rPr>
      </w:pPr>
      <w:r w:rsidRPr="009B6F6C">
        <w:rPr>
          <w:rFonts w:ascii="Arial" w:hAnsi="Arial" w:cs="Arial"/>
        </w:rPr>
        <w:t>Paso 1. Se calcula la pérdida crítica asociada al producto focal (pérdida mínima en el volumen de ventas necesaria para que un SSNIP no sea rentable), a partir de la siguiente fórmula.</w:t>
      </w:r>
    </w:p>
    <w:p w14:paraId="337629C5" w14:textId="77777777" w:rsidR="003545C8" w:rsidRPr="009B6F6C" w:rsidRDefault="003545C8" w:rsidP="003545C8">
      <w:pPr>
        <w:spacing w:after="0"/>
        <w:jc w:val="both"/>
        <w:rPr>
          <w:rFonts w:ascii="Arial" w:hAnsi="Arial" w:cs="Arial"/>
        </w:rPr>
      </w:pPr>
    </w:p>
    <w:p w14:paraId="572D3378" w14:textId="77777777" w:rsidR="003545C8" w:rsidRPr="009B6F6C" w:rsidRDefault="003545C8" w:rsidP="003545C8">
      <w:pPr>
        <w:pStyle w:val="Textonotapie"/>
        <w:spacing w:line="276" w:lineRule="auto"/>
        <w:jc w:val="both"/>
        <w:rPr>
          <w:rFonts w:ascii="Arial" w:eastAsiaTheme="minorEastAsia" w:hAnsi="Arial" w:cs="Arial"/>
          <w:sz w:val="22"/>
          <w:szCs w:val="22"/>
        </w:rPr>
      </w:pPr>
      <m:oMathPara>
        <m:oMath>
          <m:r>
            <w:rPr>
              <w:rFonts w:ascii="Cambria Math" w:hAnsi="Cambria Math" w:cs="Arial"/>
              <w:sz w:val="22"/>
              <w:szCs w:val="22"/>
            </w:rPr>
            <m:t xml:space="preserve">Pérdida Critica= </m:t>
          </m:r>
          <m:f>
            <m:fPr>
              <m:ctrlPr>
                <w:rPr>
                  <w:rFonts w:ascii="Cambria Math" w:hAnsi="Cambria Math" w:cs="Arial"/>
                  <w:i/>
                  <w:sz w:val="22"/>
                  <w:szCs w:val="22"/>
                </w:rPr>
              </m:ctrlPr>
            </m:fPr>
            <m:num>
              <m:r>
                <w:rPr>
                  <w:rFonts w:ascii="Cambria Math" w:hAnsi="Cambria Math" w:cs="Arial"/>
                  <w:sz w:val="22"/>
                  <w:szCs w:val="22"/>
                </w:rPr>
                <m:t>100(∆%Precio)</m:t>
              </m:r>
            </m:num>
            <m:den>
              <m:r>
                <w:rPr>
                  <w:rFonts w:ascii="Cambria Math" w:hAnsi="Cambria Math" w:cs="Arial"/>
                  <w:sz w:val="22"/>
                  <w:szCs w:val="22"/>
                </w:rPr>
                <m:t>∆%Precio+%Margen inicial</m:t>
              </m:r>
            </m:den>
          </m:f>
        </m:oMath>
      </m:oMathPara>
    </w:p>
    <w:p w14:paraId="7C1C78AD" w14:textId="77777777" w:rsidR="003545C8" w:rsidRPr="009B6F6C" w:rsidRDefault="003545C8" w:rsidP="003545C8">
      <w:pPr>
        <w:pStyle w:val="Textonotapie"/>
        <w:spacing w:line="276" w:lineRule="auto"/>
        <w:ind w:left="708" w:firstLine="708"/>
        <w:jc w:val="both"/>
        <w:rPr>
          <w:rFonts w:ascii="Arial" w:hAnsi="Arial" w:cs="Arial"/>
          <w:sz w:val="22"/>
          <w:szCs w:val="22"/>
        </w:rPr>
      </w:pPr>
      <w:r w:rsidRPr="009B6F6C">
        <w:rPr>
          <w:rFonts w:ascii="Arial" w:hAnsi="Arial" w:cs="Arial"/>
          <w:sz w:val="22"/>
          <w:szCs w:val="22"/>
        </w:rPr>
        <w:t xml:space="preserve">Donde: </w:t>
      </w:r>
    </w:p>
    <w:p w14:paraId="6B4E8F3D" w14:textId="77777777" w:rsidR="003545C8" w:rsidRPr="009B6F6C" w:rsidRDefault="003545C8" w:rsidP="003545C8">
      <w:pPr>
        <w:pStyle w:val="Textonotapie"/>
        <w:spacing w:line="276" w:lineRule="auto"/>
        <w:ind w:left="708" w:firstLine="708"/>
        <w:jc w:val="both"/>
        <w:rPr>
          <w:rFonts w:ascii="Arial" w:hAnsi="Arial" w:cs="Arial"/>
          <w:sz w:val="22"/>
          <w:szCs w:val="22"/>
        </w:rPr>
      </w:pPr>
      <w:r w:rsidRPr="009B6F6C">
        <w:rPr>
          <w:rFonts w:ascii="Arial" w:hAnsi="Arial" w:cs="Arial"/>
          <w:sz w:val="22"/>
          <w:szCs w:val="22"/>
        </w:rPr>
        <w:t>∆%Precio: es el incremento porcentual que se aplicaría al precio.</w:t>
      </w:r>
    </w:p>
    <w:p w14:paraId="3FDA03E2" w14:textId="77777777" w:rsidR="003545C8" w:rsidRPr="009B6F6C" w:rsidRDefault="003545C8" w:rsidP="003545C8">
      <w:pPr>
        <w:pStyle w:val="Textonotapie"/>
        <w:spacing w:line="276" w:lineRule="auto"/>
        <w:ind w:left="708" w:firstLine="708"/>
        <w:jc w:val="both"/>
        <w:rPr>
          <w:rFonts w:ascii="Arial" w:hAnsi="Arial" w:cs="Arial"/>
          <w:sz w:val="22"/>
          <w:szCs w:val="22"/>
        </w:rPr>
      </w:pPr>
      <w:r w:rsidRPr="009B6F6C">
        <w:rPr>
          <w:rFonts w:ascii="Arial" w:hAnsi="Arial" w:cs="Arial"/>
          <w:sz w:val="22"/>
          <w:szCs w:val="22"/>
        </w:rPr>
        <w:t>% Margen inicial: es el margen de ganancia implícito en el precio inicial.</w:t>
      </w:r>
    </w:p>
    <w:p w14:paraId="29D3BE29" w14:textId="77777777" w:rsidR="003545C8" w:rsidRPr="009B6F6C" w:rsidRDefault="003545C8" w:rsidP="003545C8">
      <w:pPr>
        <w:spacing w:after="0"/>
        <w:jc w:val="both"/>
        <w:rPr>
          <w:rFonts w:ascii="Arial" w:hAnsi="Arial" w:cs="Arial"/>
        </w:rPr>
      </w:pPr>
    </w:p>
    <w:p w14:paraId="3B32E231" w14:textId="77777777" w:rsidR="003545C8" w:rsidRPr="009B6F6C" w:rsidRDefault="003545C8" w:rsidP="003545C8">
      <w:pPr>
        <w:spacing w:after="0"/>
        <w:jc w:val="both"/>
        <w:rPr>
          <w:rFonts w:ascii="Arial" w:hAnsi="Arial" w:cs="Arial"/>
        </w:rPr>
      </w:pPr>
      <w:r w:rsidRPr="009B6F6C">
        <w:rPr>
          <w:rFonts w:ascii="Arial" w:hAnsi="Arial" w:cs="Arial"/>
        </w:rPr>
        <w:t xml:space="preserve">Paso 2. Se estima la pérdida real esperada en la que incurriría un monopolista hipotético que impusiera un SSNIP, tomando en cuenta, entre otros factores, la elasticidad precio propio del producto focal, es decir, ¿qué proporción de las ventas se perdería ante un incremento en el precio? En este caso, una mayor elasticidad precio de la demanda (una mayor reacción por parte de los consumidores), implicaría una mayor pérdida de ventas ante un incremento en el precio y, por lo tanto, una mayor pérdida real. </w:t>
      </w:r>
    </w:p>
    <w:p w14:paraId="2A1C4D97" w14:textId="77777777" w:rsidR="003545C8" w:rsidRPr="009B6F6C" w:rsidRDefault="003545C8" w:rsidP="003545C8">
      <w:pPr>
        <w:spacing w:after="0"/>
        <w:jc w:val="both"/>
        <w:rPr>
          <w:rFonts w:ascii="Arial" w:hAnsi="Arial" w:cs="Arial"/>
        </w:rPr>
      </w:pPr>
    </w:p>
    <w:p w14:paraId="1AD960E4" w14:textId="77777777" w:rsidR="003545C8" w:rsidRPr="009B6F6C" w:rsidRDefault="003545C8" w:rsidP="003545C8">
      <w:pPr>
        <w:spacing w:after="0"/>
        <w:jc w:val="both"/>
        <w:rPr>
          <w:rFonts w:ascii="Arial" w:hAnsi="Arial" w:cs="Arial"/>
        </w:rPr>
      </w:pPr>
      <w:r w:rsidRPr="009B6F6C">
        <w:rPr>
          <w:rFonts w:ascii="Arial" w:hAnsi="Arial" w:cs="Arial"/>
        </w:rPr>
        <w:t xml:space="preserve">Paso 3. Se compara la pérdida real esperada con la pérdida crítica. Si la pérdida real esperada es mayor que la pérdida crítica, el SSNIP no sería rentable, lo que implica que el conjunto de productos analizado debe expandirse para incluir más productos candidatos. </w:t>
      </w:r>
    </w:p>
    <w:p w14:paraId="2066C5CD" w14:textId="77777777" w:rsidR="003545C8" w:rsidRPr="009B6F6C" w:rsidRDefault="003545C8" w:rsidP="003545C8">
      <w:pPr>
        <w:spacing w:after="0"/>
        <w:jc w:val="both"/>
        <w:rPr>
          <w:rFonts w:ascii="Arial" w:hAnsi="Arial" w:cs="Arial"/>
        </w:rPr>
      </w:pPr>
    </w:p>
    <w:p w14:paraId="21BEFB14" w14:textId="77777777" w:rsidR="003545C8" w:rsidRPr="009B6F6C" w:rsidRDefault="003545C8" w:rsidP="003545C8">
      <w:pPr>
        <w:spacing w:after="0"/>
        <w:jc w:val="both"/>
        <w:rPr>
          <w:rFonts w:ascii="Arial" w:hAnsi="Arial" w:cs="Arial"/>
        </w:rPr>
      </w:pPr>
      <w:r w:rsidRPr="009B6F6C">
        <w:rPr>
          <w:rFonts w:ascii="Arial" w:hAnsi="Arial" w:cs="Arial"/>
        </w:rPr>
        <w:t>Este ejercicio se repite hasta que la pérdida real esperada se encuentre por debajo de la pérdida crítica.</w:t>
      </w:r>
    </w:p>
    <w:p w14:paraId="36B2EB2F" w14:textId="77777777" w:rsidR="003545C8" w:rsidRPr="009B6F6C" w:rsidRDefault="003545C8" w:rsidP="003545C8">
      <w:pPr>
        <w:tabs>
          <w:tab w:val="left" w:pos="5929"/>
        </w:tabs>
        <w:spacing w:after="0"/>
        <w:jc w:val="both"/>
        <w:rPr>
          <w:rFonts w:ascii="Arial" w:hAnsi="Arial" w:cs="Arial"/>
        </w:rPr>
      </w:pPr>
    </w:p>
    <w:p w14:paraId="08F53767" w14:textId="2F4B5166" w:rsidR="003545C8" w:rsidRPr="009B6F6C" w:rsidRDefault="003545C8" w:rsidP="003545C8">
      <w:pPr>
        <w:tabs>
          <w:tab w:val="left" w:pos="5929"/>
        </w:tabs>
        <w:spacing w:after="0"/>
        <w:jc w:val="both"/>
        <w:rPr>
          <w:rFonts w:ascii="Arial" w:hAnsi="Arial" w:cs="Arial"/>
        </w:rPr>
      </w:pPr>
      <w:r w:rsidRPr="009B6F6C">
        <w:rPr>
          <w:rFonts w:ascii="Arial" w:hAnsi="Arial" w:cs="Arial"/>
        </w:rPr>
        <w:t xml:space="preserve">Por otra parte, en la aplicación de la Prueba SSNIP, tanto de manera cualitativa como cuantitativa, se </w:t>
      </w:r>
      <w:r>
        <w:rPr>
          <w:rFonts w:ascii="Arial" w:hAnsi="Arial" w:cs="Arial"/>
        </w:rPr>
        <w:t xml:space="preserve">podrá </w:t>
      </w:r>
      <w:r w:rsidRPr="009B6F6C">
        <w:rPr>
          <w:rFonts w:ascii="Arial" w:hAnsi="Arial" w:cs="Arial"/>
        </w:rPr>
        <w:t xml:space="preserve">tomar en consideración, como parte de la evaluación integral para determinar el MR, que hay casos en los que es posible que </w:t>
      </w:r>
      <w:r>
        <w:rPr>
          <w:rFonts w:ascii="Arial" w:hAnsi="Arial" w:cs="Arial"/>
        </w:rPr>
        <w:t xml:space="preserve">los precios u otras condiciones de mercado hayan sido determinados en ausencia de un grado suficiente de competencia o en presencia de </w:t>
      </w:r>
      <w:r w:rsidRPr="009B6F6C">
        <w:rPr>
          <w:rFonts w:ascii="Arial" w:hAnsi="Arial" w:cs="Arial"/>
        </w:rPr>
        <w:t xml:space="preserve">prácticas anticompetitivas </w:t>
      </w:r>
      <w:r>
        <w:rPr>
          <w:rFonts w:ascii="Arial" w:hAnsi="Arial" w:cs="Arial"/>
        </w:rPr>
        <w:t xml:space="preserve">u </w:t>
      </w:r>
      <w:r w:rsidRPr="009B6F6C">
        <w:rPr>
          <w:rFonts w:ascii="Arial" w:hAnsi="Arial" w:cs="Arial"/>
        </w:rPr>
        <w:t>otro</w:t>
      </w:r>
      <w:r>
        <w:rPr>
          <w:rFonts w:ascii="Arial" w:hAnsi="Arial" w:cs="Arial"/>
        </w:rPr>
        <w:t>s</w:t>
      </w:r>
      <w:r w:rsidRPr="009B6F6C">
        <w:rPr>
          <w:rFonts w:ascii="Arial" w:hAnsi="Arial" w:cs="Arial"/>
        </w:rPr>
        <w:t xml:space="preserve"> factor</w:t>
      </w:r>
      <w:r>
        <w:rPr>
          <w:rFonts w:ascii="Arial" w:hAnsi="Arial" w:cs="Arial"/>
        </w:rPr>
        <w:t>es que, al</w:t>
      </w:r>
      <w:r w:rsidRPr="009B6F6C">
        <w:rPr>
          <w:rFonts w:ascii="Arial" w:hAnsi="Arial" w:cs="Arial"/>
        </w:rPr>
        <w:t xml:space="preserve"> distorsion</w:t>
      </w:r>
      <w:r>
        <w:rPr>
          <w:rFonts w:ascii="Arial" w:hAnsi="Arial" w:cs="Arial"/>
        </w:rPr>
        <w:t>ar</w:t>
      </w:r>
      <w:r w:rsidRPr="009B6F6C">
        <w:rPr>
          <w:rFonts w:ascii="Arial" w:hAnsi="Arial" w:cs="Arial"/>
        </w:rPr>
        <w:t xml:space="preserve"> los patrones de sustitución </w:t>
      </w:r>
      <w:r>
        <w:rPr>
          <w:rFonts w:ascii="Arial" w:hAnsi="Arial" w:cs="Arial"/>
        </w:rPr>
        <w:t xml:space="preserve">observados, </w:t>
      </w:r>
      <w:r>
        <w:rPr>
          <w:rFonts w:ascii="Arial" w:hAnsi="Arial" w:cs="Arial"/>
        </w:rPr>
        <w:lastRenderedPageBreak/>
        <w:t xml:space="preserve">implican que estos </w:t>
      </w:r>
      <w:r w:rsidRPr="009B6F6C">
        <w:rPr>
          <w:rFonts w:ascii="Arial" w:hAnsi="Arial" w:cs="Arial"/>
        </w:rPr>
        <w:t>podrían no ser una buena aproximación de lo que ocurriría en un mercado competitivo.</w:t>
      </w:r>
      <w:r w:rsidR="00B11C01">
        <w:rPr>
          <w:rStyle w:val="Refdenotaalpie"/>
          <w:rFonts w:ascii="Arial" w:hAnsi="Arial" w:cs="Arial"/>
        </w:rPr>
        <w:footnoteReference w:id="36"/>
      </w:r>
    </w:p>
    <w:p w14:paraId="425B2F47" w14:textId="77777777" w:rsidR="003545C8" w:rsidRPr="009B6F6C" w:rsidRDefault="003545C8" w:rsidP="003545C8">
      <w:pPr>
        <w:tabs>
          <w:tab w:val="left" w:pos="5929"/>
        </w:tabs>
        <w:spacing w:after="0"/>
        <w:jc w:val="both"/>
        <w:rPr>
          <w:rFonts w:ascii="Arial" w:hAnsi="Arial" w:cs="Arial"/>
        </w:rPr>
      </w:pPr>
    </w:p>
    <w:p w14:paraId="3F318DDC" w14:textId="77777777" w:rsidR="003545C8" w:rsidRPr="009B6F6C" w:rsidRDefault="003545C8" w:rsidP="003545C8">
      <w:pPr>
        <w:spacing w:after="0"/>
        <w:jc w:val="both"/>
        <w:rPr>
          <w:rFonts w:ascii="Arial" w:hAnsi="Arial" w:cs="Arial"/>
        </w:rPr>
      </w:pPr>
      <w:r w:rsidRPr="009B6F6C">
        <w:rPr>
          <w:rFonts w:ascii="Arial" w:hAnsi="Arial" w:cs="Arial"/>
          <w:lang w:eastAsia="es-MX"/>
        </w:rPr>
        <w:t>En esos casos</w:t>
      </w:r>
      <w:r w:rsidRPr="009B6F6C">
        <w:rPr>
          <w:rFonts w:ascii="Arial" w:hAnsi="Arial" w:cs="Arial"/>
        </w:rPr>
        <w:t xml:space="preserve">, se </w:t>
      </w:r>
      <w:r>
        <w:rPr>
          <w:rFonts w:ascii="Arial" w:hAnsi="Arial" w:cs="Arial"/>
        </w:rPr>
        <w:t xml:space="preserve">podrá </w:t>
      </w:r>
      <w:r w:rsidRPr="009B6F6C">
        <w:rPr>
          <w:rFonts w:ascii="Arial" w:hAnsi="Arial" w:cs="Arial"/>
        </w:rPr>
        <w:t>consider</w:t>
      </w:r>
      <w:r>
        <w:rPr>
          <w:rFonts w:ascii="Arial" w:hAnsi="Arial" w:cs="Arial"/>
        </w:rPr>
        <w:t>ar</w:t>
      </w:r>
      <w:r w:rsidRPr="009B6F6C">
        <w:rPr>
          <w:rFonts w:ascii="Arial" w:hAnsi="Arial" w:cs="Arial"/>
        </w:rPr>
        <w:t xml:space="preserve"> la posibilidad de que los precios de referencia se ubiquen por encima del nivel de precios de un mercado en competencia, por lo que existe el riesgo de </w:t>
      </w:r>
      <w:r w:rsidRPr="009B6F6C">
        <w:rPr>
          <w:rFonts w:ascii="Arial" w:hAnsi="Arial" w:cs="Arial"/>
          <w:lang w:eastAsia="es-MX"/>
        </w:rPr>
        <w:t>definir mercados demasiado amplios (es decir, se podrían</w:t>
      </w:r>
      <w:r w:rsidRPr="009B6F6C">
        <w:rPr>
          <w:rFonts w:ascii="Arial" w:hAnsi="Arial" w:cs="Arial"/>
        </w:rPr>
        <w:t xml:space="preserve"> encontrar indicios de sustitución hacia productos que los consumidores no considerarían sustitutos cercanos en un entorno más competitivo).</w:t>
      </w:r>
      <w:r w:rsidRPr="009B6F6C">
        <w:rPr>
          <w:rStyle w:val="Refdenotaalpie"/>
          <w:rFonts w:ascii="Arial" w:hAnsi="Arial" w:cs="Arial"/>
          <w:lang w:eastAsia="es-MX"/>
        </w:rPr>
        <w:t xml:space="preserve"> </w:t>
      </w:r>
      <w:r w:rsidRPr="009B6F6C">
        <w:rPr>
          <w:rFonts w:ascii="Arial" w:hAnsi="Arial" w:cs="Arial"/>
          <w:lang w:eastAsia="es-MX"/>
        </w:rPr>
        <w:t xml:space="preserve"> Por el contrario, cuando el caso involucre</w:t>
      </w:r>
      <w:r w:rsidRPr="009B6F6C">
        <w:rPr>
          <w:rFonts w:ascii="Arial" w:hAnsi="Arial" w:cs="Arial"/>
        </w:rPr>
        <w:t xml:space="preserve"> precios de referencia que se ubican por debajo de costos (por ejemplo, cuando los productos analizados están subsidiados), existe el riesgo de definir un MR demasiado estrecho. </w:t>
      </w:r>
    </w:p>
    <w:p w14:paraId="6B1C0D4E" w14:textId="77777777" w:rsidR="003545C8" w:rsidRPr="00965BE9" w:rsidRDefault="003545C8" w:rsidP="003545C8">
      <w:pPr>
        <w:tabs>
          <w:tab w:val="left" w:pos="5929"/>
        </w:tabs>
        <w:spacing w:after="0"/>
        <w:jc w:val="both"/>
        <w:rPr>
          <w:rFonts w:ascii="Arial" w:hAnsi="Arial" w:cs="Arial"/>
          <w:highlight w:val="cyan"/>
        </w:rPr>
      </w:pPr>
    </w:p>
    <w:p w14:paraId="2E37681E" w14:textId="111F5AB9" w:rsidR="003545C8" w:rsidRPr="009B6F6C" w:rsidRDefault="003545C8" w:rsidP="003545C8">
      <w:pPr>
        <w:spacing w:after="0"/>
        <w:jc w:val="both"/>
        <w:rPr>
          <w:rFonts w:ascii="Arial" w:hAnsi="Arial" w:cs="Arial"/>
        </w:rPr>
      </w:pPr>
      <w:r w:rsidRPr="009B6F6C">
        <w:rPr>
          <w:rFonts w:ascii="Arial" w:hAnsi="Arial" w:cs="Arial"/>
        </w:rPr>
        <w:t xml:space="preserve">Finalmente, con el objetivo de no dejar fuera del MR a productos que son sustitutos, la </w:t>
      </w:r>
      <w:r w:rsidR="00880218">
        <w:rPr>
          <w:rFonts w:ascii="Arial" w:hAnsi="Arial" w:cs="Arial"/>
        </w:rPr>
        <w:t>P</w:t>
      </w:r>
      <w:r w:rsidRPr="009B6F6C">
        <w:rPr>
          <w:rFonts w:ascii="Arial" w:hAnsi="Arial" w:cs="Arial"/>
        </w:rPr>
        <w:t>rueba SSNIP se centrará en el análisis de los consumidores marginales</w:t>
      </w:r>
      <w:r w:rsidRPr="009B6F6C">
        <w:rPr>
          <w:rStyle w:val="Refdenotaalpie"/>
          <w:rFonts w:ascii="Arial" w:hAnsi="Arial" w:cs="Arial"/>
        </w:rPr>
        <w:footnoteReference w:id="37"/>
      </w:r>
      <w:r w:rsidRPr="009B6F6C">
        <w:rPr>
          <w:rFonts w:ascii="Arial" w:hAnsi="Arial" w:cs="Arial"/>
        </w:rPr>
        <w:t>, ya que para evitar que un SSNIP sea rentable no es necesario que todos o incluso la mayoría de los consumidores estén dispuestos a cambiarse; basta con que esté dispuesto a hacerlo un grupo suficientemente grande de ellos.</w:t>
      </w:r>
    </w:p>
    <w:p w14:paraId="1EA20744" w14:textId="77777777" w:rsidR="003545C8" w:rsidRPr="009B6F6C" w:rsidRDefault="003545C8" w:rsidP="003545C8">
      <w:pPr>
        <w:spacing w:after="0"/>
        <w:jc w:val="both"/>
        <w:rPr>
          <w:rFonts w:ascii="Arial" w:hAnsi="Arial" w:cs="Arial"/>
        </w:rPr>
      </w:pPr>
    </w:p>
    <w:p w14:paraId="48FD704D" w14:textId="77777777" w:rsidR="003545C8" w:rsidRPr="009B6F6C" w:rsidRDefault="003545C8" w:rsidP="005E23E0">
      <w:pPr>
        <w:numPr>
          <w:ilvl w:val="0"/>
          <w:numId w:val="23"/>
        </w:numPr>
        <w:spacing w:after="0"/>
        <w:ind w:hanging="578"/>
        <w:jc w:val="both"/>
        <w:rPr>
          <w:rFonts w:ascii="Arial" w:hAnsi="Arial" w:cs="Arial"/>
          <w:b/>
        </w:rPr>
      </w:pPr>
      <w:r w:rsidRPr="009B6F6C">
        <w:rPr>
          <w:rFonts w:ascii="Arial" w:hAnsi="Arial" w:cs="Arial"/>
          <w:b/>
        </w:rPr>
        <w:t>Información de encuestas o estudios sobre las preferencias de los consumidores y su disposición a sustituir los productos</w:t>
      </w:r>
      <w:r>
        <w:rPr>
          <w:rFonts w:ascii="Arial" w:hAnsi="Arial" w:cs="Arial"/>
          <w:b/>
        </w:rPr>
        <w:t xml:space="preserve"> analizados</w:t>
      </w:r>
    </w:p>
    <w:p w14:paraId="3DCA2771" w14:textId="77777777" w:rsidR="003545C8" w:rsidRPr="009B6F6C" w:rsidRDefault="003545C8" w:rsidP="003545C8">
      <w:pPr>
        <w:spacing w:after="0"/>
        <w:jc w:val="both"/>
        <w:rPr>
          <w:rFonts w:ascii="Arial" w:hAnsi="Arial" w:cs="Arial"/>
        </w:rPr>
      </w:pPr>
    </w:p>
    <w:p w14:paraId="0F58025B" w14:textId="77777777" w:rsidR="003545C8" w:rsidRPr="009B6F6C" w:rsidRDefault="003545C8" w:rsidP="003545C8">
      <w:pPr>
        <w:spacing w:after="0"/>
        <w:jc w:val="both"/>
        <w:rPr>
          <w:rFonts w:ascii="Arial" w:hAnsi="Arial" w:cs="Arial"/>
        </w:rPr>
      </w:pPr>
      <w:r w:rsidRPr="009B6F6C">
        <w:rPr>
          <w:rFonts w:ascii="Arial" w:hAnsi="Arial" w:cs="Arial"/>
        </w:rPr>
        <w:t>El Instituto podrá usar encuestas y estudios para obtener información sobre los hábitos de consumo y preferencias de los consumidores, así como encuestas y estudios diseñados específicamente para evaluar la disposición de los consumidores para sustituir distintos productos ante un SSNIP.</w:t>
      </w:r>
    </w:p>
    <w:p w14:paraId="3E5F0A8A" w14:textId="77777777" w:rsidR="003545C8" w:rsidRPr="009B6F6C" w:rsidRDefault="003545C8" w:rsidP="003545C8">
      <w:pPr>
        <w:spacing w:after="0"/>
        <w:jc w:val="both"/>
        <w:rPr>
          <w:rFonts w:ascii="Arial" w:hAnsi="Arial" w:cs="Arial"/>
        </w:rPr>
      </w:pPr>
      <w:r w:rsidRPr="009B6F6C">
        <w:rPr>
          <w:rFonts w:ascii="Arial" w:hAnsi="Arial" w:cs="Arial"/>
        </w:rPr>
        <w:t xml:space="preserve"> </w:t>
      </w:r>
    </w:p>
    <w:p w14:paraId="5F2433C9" w14:textId="1D22C695" w:rsidR="003545C8" w:rsidRPr="009B6F6C" w:rsidRDefault="003545C8" w:rsidP="003545C8">
      <w:pPr>
        <w:spacing w:after="0"/>
        <w:jc w:val="both"/>
        <w:rPr>
          <w:rFonts w:ascii="Arial" w:hAnsi="Arial" w:cs="Arial"/>
        </w:rPr>
      </w:pPr>
      <w:r w:rsidRPr="009B6F6C">
        <w:rPr>
          <w:rFonts w:ascii="Arial" w:hAnsi="Arial" w:cs="Arial"/>
        </w:rPr>
        <w:t>La información de estas encuestas y estudios es útil para conocer el comportamiento y las preferencias ante las alternativas que tienen disponibles los consumidores. Por ejemplo, al delimitar el MR en su dimensión producto, en el expediente AI/DC-002-2019,</w:t>
      </w:r>
      <w:r w:rsidRPr="009B6F6C">
        <w:rPr>
          <w:rStyle w:val="Refdenotaalpie"/>
          <w:rFonts w:ascii="Arial" w:hAnsi="Arial" w:cs="Arial"/>
        </w:rPr>
        <w:footnoteReference w:id="38"/>
      </w:r>
      <w:r w:rsidRPr="009B6F6C">
        <w:rPr>
          <w:rFonts w:ascii="Arial" w:hAnsi="Arial" w:cs="Arial"/>
        </w:rPr>
        <w:t xml:space="preserve"> el Instituto consideró, entre otros elementos, encuestas que revelaban los patrones de consumo de los usuarios del STAR, de donde se observó que: i) 60.4% de los usuarios de Servicios OTT de contenido audiovisual también tienen contratado el STAR y </w:t>
      </w:r>
      <w:proofErr w:type="spellStart"/>
      <w:r w:rsidRPr="009B6F6C">
        <w:rPr>
          <w:rFonts w:ascii="Arial" w:hAnsi="Arial" w:cs="Arial"/>
        </w:rPr>
        <w:t>ii</w:t>
      </w:r>
      <w:proofErr w:type="spellEnd"/>
      <w:r w:rsidRPr="009B6F6C">
        <w:rPr>
          <w:rFonts w:ascii="Arial" w:hAnsi="Arial" w:cs="Arial"/>
        </w:rPr>
        <w:t xml:space="preserve">) los usuarios adquieren el STAR en distintas modalidades de empaquetamiento sin que exista un patrón </w:t>
      </w:r>
      <w:r w:rsidR="00AC7155" w:rsidRPr="009B6F6C">
        <w:rPr>
          <w:rFonts w:ascii="Arial" w:hAnsi="Arial" w:cs="Arial"/>
        </w:rPr>
        <w:t>específico</w:t>
      </w:r>
      <w:r w:rsidRPr="009B6F6C">
        <w:rPr>
          <w:rFonts w:ascii="Arial" w:hAnsi="Arial" w:cs="Arial"/>
        </w:rPr>
        <w:t xml:space="preserve"> de contratación, además de que una proporción importante de usuarios contratan los servicios de manera individual y construyen paquetes sintéticos.</w:t>
      </w:r>
    </w:p>
    <w:p w14:paraId="0AE39631" w14:textId="77777777" w:rsidR="003545C8" w:rsidRPr="009B6F6C" w:rsidRDefault="003545C8" w:rsidP="003545C8">
      <w:pPr>
        <w:spacing w:after="0"/>
        <w:jc w:val="both"/>
        <w:rPr>
          <w:rFonts w:ascii="Arial" w:hAnsi="Arial" w:cs="Arial"/>
        </w:rPr>
      </w:pPr>
    </w:p>
    <w:p w14:paraId="5805860E" w14:textId="77777777" w:rsidR="003545C8" w:rsidRPr="009B6F6C" w:rsidRDefault="003545C8" w:rsidP="003545C8">
      <w:pPr>
        <w:spacing w:after="0"/>
        <w:jc w:val="both"/>
        <w:rPr>
          <w:rFonts w:ascii="Arial" w:hAnsi="Arial" w:cs="Arial"/>
        </w:rPr>
      </w:pPr>
      <w:r w:rsidRPr="009B6F6C">
        <w:rPr>
          <w:rFonts w:ascii="Arial" w:hAnsi="Arial" w:cs="Arial"/>
        </w:rPr>
        <w:t xml:space="preserve">De acuerdo a lo anterior, la información de encuestas o estudios </w:t>
      </w:r>
      <w:r>
        <w:rPr>
          <w:rFonts w:ascii="Arial" w:hAnsi="Arial" w:cs="Arial"/>
        </w:rPr>
        <w:t>es</w:t>
      </w:r>
      <w:r w:rsidRPr="009B6F6C">
        <w:rPr>
          <w:rFonts w:ascii="Arial" w:hAnsi="Arial" w:cs="Arial"/>
        </w:rPr>
        <w:t xml:space="preserve"> </w:t>
      </w:r>
      <w:r>
        <w:rPr>
          <w:rFonts w:ascii="Arial" w:hAnsi="Arial" w:cs="Arial"/>
        </w:rPr>
        <w:t>ú</w:t>
      </w:r>
      <w:r w:rsidRPr="009B6F6C">
        <w:rPr>
          <w:rFonts w:ascii="Arial" w:hAnsi="Arial" w:cs="Arial"/>
        </w:rPr>
        <w:t>til para evaluar la sensibilidad y reacciones probables de los usuarios ante cambios en los precios u otras variables de competencia como la calidad.</w:t>
      </w:r>
    </w:p>
    <w:p w14:paraId="66F4A006" w14:textId="77777777" w:rsidR="003545C8" w:rsidRPr="009B6F6C" w:rsidRDefault="003545C8" w:rsidP="003545C8">
      <w:pPr>
        <w:spacing w:after="0"/>
        <w:jc w:val="both"/>
        <w:rPr>
          <w:rFonts w:ascii="Arial" w:hAnsi="Arial" w:cs="Arial"/>
        </w:rPr>
      </w:pPr>
    </w:p>
    <w:p w14:paraId="51ABF752" w14:textId="77777777" w:rsidR="003545C8" w:rsidRPr="009B6F6C" w:rsidRDefault="003545C8" w:rsidP="005E23E0">
      <w:pPr>
        <w:keepNext/>
        <w:numPr>
          <w:ilvl w:val="0"/>
          <w:numId w:val="23"/>
        </w:numPr>
        <w:spacing w:after="0"/>
        <w:ind w:hanging="578"/>
        <w:jc w:val="both"/>
        <w:rPr>
          <w:rFonts w:ascii="Arial" w:hAnsi="Arial" w:cs="Arial"/>
          <w:b/>
        </w:rPr>
      </w:pPr>
      <w:r w:rsidRPr="009B6F6C">
        <w:rPr>
          <w:rFonts w:ascii="Arial" w:hAnsi="Arial" w:cs="Arial"/>
          <w:b/>
        </w:rPr>
        <w:t>Pruebas cuantitativas, por ejemplo, pruebas sobre la elasticidad de la demanda, evolución de pre</w:t>
      </w:r>
      <w:r>
        <w:rPr>
          <w:rFonts w:ascii="Arial" w:hAnsi="Arial" w:cs="Arial"/>
          <w:b/>
        </w:rPr>
        <w:t>cios y relaciones de causalidad</w:t>
      </w:r>
    </w:p>
    <w:p w14:paraId="4D3BE944" w14:textId="77777777" w:rsidR="003545C8" w:rsidRPr="009B6F6C" w:rsidRDefault="003545C8" w:rsidP="003545C8">
      <w:pPr>
        <w:keepNext/>
        <w:spacing w:after="0"/>
        <w:jc w:val="both"/>
        <w:rPr>
          <w:rFonts w:ascii="Arial" w:hAnsi="Arial" w:cs="Arial"/>
        </w:rPr>
      </w:pPr>
    </w:p>
    <w:p w14:paraId="0E70C5CD" w14:textId="77777777" w:rsidR="003545C8" w:rsidRPr="009B6F6C" w:rsidRDefault="003545C8" w:rsidP="003545C8">
      <w:pPr>
        <w:spacing w:after="0"/>
        <w:jc w:val="both"/>
        <w:rPr>
          <w:rFonts w:ascii="Arial" w:hAnsi="Arial" w:cs="Arial"/>
        </w:rPr>
      </w:pPr>
      <w:r w:rsidRPr="009B6F6C">
        <w:rPr>
          <w:rFonts w:ascii="Arial" w:hAnsi="Arial" w:cs="Arial"/>
        </w:rPr>
        <w:t>Cuando el Instituto cuente con los datos suficientes para la aplicación de técnicas estadísticas o econométricas para estimar elasticidades de demanda, realizar análisis de correlación o causalidad, o evaluar los resultados de experimentos naturales, entre otros, el Instituto podrá utilizar estas herramientas como parte del análisis integral para determinar el MR, para apoyar la evidencia cualitativa de la que disponga.</w:t>
      </w:r>
    </w:p>
    <w:p w14:paraId="1760F2C3" w14:textId="77777777" w:rsidR="003545C8" w:rsidRPr="009B6F6C" w:rsidRDefault="003545C8" w:rsidP="003545C8">
      <w:pPr>
        <w:spacing w:after="0"/>
        <w:jc w:val="both"/>
        <w:rPr>
          <w:rFonts w:ascii="Arial" w:hAnsi="Arial" w:cs="Arial"/>
        </w:rPr>
      </w:pPr>
    </w:p>
    <w:p w14:paraId="7D4DD989" w14:textId="77777777" w:rsidR="003545C8" w:rsidRPr="009B6F6C" w:rsidRDefault="003545C8" w:rsidP="003545C8">
      <w:pPr>
        <w:spacing w:after="0"/>
        <w:jc w:val="both"/>
        <w:rPr>
          <w:rFonts w:ascii="Arial" w:hAnsi="Arial" w:cs="Arial"/>
        </w:rPr>
      </w:pPr>
      <w:r w:rsidRPr="009B6F6C">
        <w:rPr>
          <w:rFonts w:ascii="Arial" w:hAnsi="Arial" w:cs="Arial"/>
        </w:rPr>
        <w:t xml:space="preserve">Por ejemplo, las elasticidades de la demanda son medidas cuantitativas del grado de sensibilidad o respuesta de la cantidad que se demanda de un producto ante un cambio en su propio precio (elasticidad precio de la demanda) o ante un cambio en el precio de otro </w:t>
      </w:r>
      <w:r>
        <w:rPr>
          <w:rFonts w:ascii="Arial" w:hAnsi="Arial" w:cs="Arial"/>
        </w:rPr>
        <w:t>producto</w:t>
      </w:r>
      <w:r w:rsidRPr="009B6F6C">
        <w:rPr>
          <w:rFonts w:ascii="Arial" w:hAnsi="Arial" w:cs="Arial"/>
        </w:rPr>
        <w:t xml:space="preserve"> (elasticidad precio cruzada); cuando se observa un valor absoluto alto en la elasticidad precio de la demanda, significa que pequeños incrementos en el precio implican una caída importante de la cantidad demandada, lo cual puede deberse a la existencia de  productos sustitutos. Asimismo, una alta y positiva elasticidad precio cruzada con algún otro producto específico representa un indicio de que ese producto es un sustituto del </w:t>
      </w:r>
      <w:r>
        <w:rPr>
          <w:rFonts w:ascii="Arial" w:hAnsi="Arial" w:cs="Arial"/>
        </w:rPr>
        <w:t>producto</w:t>
      </w:r>
      <w:r w:rsidRPr="009B6F6C">
        <w:rPr>
          <w:rFonts w:ascii="Arial" w:hAnsi="Arial" w:cs="Arial"/>
        </w:rPr>
        <w:t xml:space="preserve"> cuyo precio cambió y, por lo tanto, debería incluirse en el MR. </w:t>
      </w:r>
    </w:p>
    <w:p w14:paraId="2E9F4D8A" w14:textId="77777777" w:rsidR="003545C8" w:rsidRPr="009B6F6C" w:rsidRDefault="003545C8" w:rsidP="003545C8">
      <w:pPr>
        <w:spacing w:after="0"/>
        <w:jc w:val="both"/>
        <w:rPr>
          <w:rFonts w:ascii="Arial" w:hAnsi="Arial" w:cs="Arial"/>
        </w:rPr>
      </w:pPr>
    </w:p>
    <w:p w14:paraId="306E68D9" w14:textId="77777777" w:rsidR="003545C8" w:rsidRPr="009B6F6C" w:rsidRDefault="003545C8" w:rsidP="003545C8">
      <w:pPr>
        <w:spacing w:after="0"/>
        <w:jc w:val="both"/>
        <w:rPr>
          <w:rFonts w:ascii="Arial" w:hAnsi="Arial" w:cs="Arial"/>
        </w:rPr>
      </w:pPr>
      <w:r w:rsidRPr="009B6F6C">
        <w:rPr>
          <w:rFonts w:ascii="Arial" w:hAnsi="Arial" w:cs="Arial"/>
        </w:rPr>
        <w:t>Los análisis basados en la similitud de los niveles de precios y de su evolución o convergencia (análisis de correlación, pruebas de causalidad y/o pruebas de cointegración) se sustentan en la premisa de que, cuando dos productos son sustitutos, sus precios se encuentran altamente relacionados.</w:t>
      </w:r>
      <w:r w:rsidRPr="009B6F6C">
        <w:rPr>
          <w:rStyle w:val="Refdenotaalpie"/>
          <w:rFonts w:ascii="Arial" w:hAnsi="Arial" w:cs="Arial"/>
        </w:rPr>
        <w:t xml:space="preserve"> </w:t>
      </w:r>
      <w:r w:rsidRPr="009B6F6C">
        <w:rPr>
          <w:rStyle w:val="Refdenotaalpie"/>
          <w:rFonts w:ascii="Arial" w:hAnsi="Arial" w:cs="Arial"/>
        </w:rPr>
        <w:footnoteReference w:id="39"/>
      </w:r>
      <w:r w:rsidRPr="009B6F6C">
        <w:rPr>
          <w:rFonts w:ascii="Arial" w:hAnsi="Arial" w:cs="Arial"/>
        </w:rPr>
        <w:t xml:space="preserve"> </w:t>
      </w:r>
    </w:p>
    <w:p w14:paraId="54057495" w14:textId="77777777" w:rsidR="003545C8" w:rsidRPr="009B6F6C" w:rsidRDefault="003545C8" w:rsidP="003545C8">
      <w:pPr>
        <w:spacing w:after="0"/>
        <w:jc w:val="both"/>
        <w:rPr>
          <w:rFonts w:ascii="Arial" w:hAnsi="Arial" w:cs="Arial"/>
        </w:rPr>
      </w:pPr>
      <w:r w:rsidRPr="009B6F6C">
        <w:rPr>
          <w:rFonts w:ascii="Arial" w:hAnsi="Arial" w:cs="Arial"/>
        </w:rPr>
        <w:t xml:space="preserve">Se reitera que este tipo de evidencia cuantitativa </w:t>
      </w:r>
      <w:r>
        <w:rPr>
          <w:rFonts w:ascii="Arial" w:hAnsi="Arial" w:cs="Arial"/>
        </w:rPr>
        <w:t xml:space="preserve">podrá </w:t>
      </w:r>
      <w:r w:rsidRPr="009B6F6C">
        <w:rPr>
          <w:rFonts w:ascii="Arial" w:hAnsi="Arial" w:cs="Arial"/>
        </w:rPr>
        <w:t>forma</w:t>
      </w:r>
      <w:r>
        <w:rPr>
          <w:rFonts w:ascii="Arial" w:hAnsi="Arial" w:cs="Arial"/>
        </w:rPr>
        <w:t>r</w:t>
      </w:r>
      <w:r w:rsidRPr="009B6F6C">
        <w:rPr>
          <w:rFonts w:ascii="Arial" w:hAnsi="Arial" w:cs="Arial"/>
        </w:rPr>
        <w:t xml:space="preserve"> parte del análisis integral para determinar el MR</w:t>
      </w:r>
      <w:r>
        <w:rPr>
          <w:rFonts w:ascii="Arial" w:hAnsi="Arial" w:cs="Arial"/>
        </w:rPr>
        <w:t xml:space="preserve"> y</w:t>
      </w:r>
      <w:r w:rsidRPr="009B6F6C">
        <w:rPr>
          <w:rFonts w:ascii="Arial" w:hAnsi="Arial" w:cs="Arial"/>
        </w:rPr>
        <w:t xml:space="preserve"> apoyar la evidencia cualitativa de la que se disponga, y no podrá ser considerada como definitiva, ya que estas pruebas pueden dar lugar a apreciaciones erróneas cuando, por ejemplo, la evolución de los precios que se analizan se encuentra fuertemente influenciada por algún factor externo común. </w:t>
      </w:r>
    </w:p>
    <w:p w14:paraId="7056672C" w14:textId="77777777" w:rsidR="003545C8" w:rsidRPr="009B6F6C" w:rsidRDefault="003545C8" w:rsidP="003545C8">
      <w:pPr>
        <w:spacing w:after="0"/>
        <w:jc w:val="both"/>
        <w:rPr>
          <w:rFonts w:ascii="Arial" w:hAnsi="Arial" w:cs="Arial"/>
        </w:rPr>
      </w:pPr>
    </w:p>
    <w:p w14:paraId="3DC0E42B" w14:textId="77777777" w:rsidR="003545C8" w:rsidRPr="009B6F6C" w:rsidRDefault="003545C8" w:rsidP="005E23E0">
      <w:pPr>
        <w:numPr>
          <w:ilvl w:val="0"/>
          <w:numId w:val="23"/>
        </w:numPr>
        <w:spacing w:after="0"/>
        <w:ind w:hanging="578"/>
        <w:jc w:val="both"/>
        <w:rPr>
          <w:rFonts w:ascii="Arial" w:hAnsi="Arial" w:cs="Arial"/>
          <w:b/>
        </w:rPr>
      </w:pPr>
      <w:r w:rsidRPr="009B6F6C">
        <w:rPr>
          <w:rFonts w:ascii="Arial" w:hAnsi="Arial" w:cs="Arial"/>
          <w:b/>
        </w:rPr>
        <w:t>Evidencia del pasado reciente (a través de registros de los AE, estudios de mercado o encuestas) respecto a la sustitución, de los consumidores, en respuesta a cambios en precios u otras variables de competencia</w:t>
      </w:r>
    </w:p>
    <w:p w14:paraId="2BFE0FBA" w14:textId="77777777" w:rsidR="003545C8" w:rsidRPr="009B6F6C" w:rsidRDefault="003545C8" w:rsidP="003545C8">
      <w:pPr>
        <w:spacing w:after="0"/>
        <w:jc w:val="both"/>
        <w:rPr>
          <w:rFonts w:ascii="Arial" w:hAnsi="Arial" w:cs="Arial"/>
        </w:rPr>
      </w:pPr>
    </w:p>
    <w:p w14:paraId="4CAE1EB2" w14:textId="77777777" w:rsidR="003545C8" w:rsidRPr="009B6F6C" w:rsidRDefault="003545C8" w:rsidP="003545C8">
      <w:pPr>
        <w:spacing w:after="0"/>
        <w:jc w:val="both"/>
        <w:rPr>
          <w:rFonts w:ascii="Arial" w:hAnsi="Arial" w:cs="Arial"/>
        </w:rPr>
      </w:pPr>
      <w:r w:rsidRPr="009B6F6C">
        <w:rPr>
          <w:rFonts w:ascii="Arial" w:hAnsi="Arial" w:cs="Arial"/>
        </w:rPr>
        <w:t xml:space="preserve">El Instituto podrá emplear información contenida en documentos o registros internos que proporcionen los propios AE, estudios de mercado, encuestas u otros documentos sobre el comportamiento reciente de los consumidores ante cambios en los precios u otras variables de competencia, para identificar: i) los productos que son vistos como sustitutos por los consumidores y </w:t>
      </w:r>
      <w:proofErr w:type="spellStart"/>
      <w:r w:rsidRPr="009B6F6C">
        <w:rPr>
          <w:rFonts w:ascii="Arial" w:hAnsi="Arial" w:cs="Arial"/>
        </w:rPr>
        <w:t>ii</w:t>
      </w:r>
      <w:proofErr w:type="spellEnd"/>
      <w:r w:rsidRPr="009B6F6C">
        <w:rPr>
          <w:rFonts w:ascii="Arial" w:hAnsi="Arial" w:cs="Arial"/>
        </w:rPr>
        <w:t>) la variación de las demandas de los productos ante cambios relativos en el precio u otras variables.</w:t>
      </w:r>
    </w:p>
    <w:p w14:paraId="4EDC817C" w14:textId="77777777" w:rsidR="003545C8" w:rsidRPr="009B6F6C" w:rsidRDefault="003545C8" w:rsidP="003545C8">
      <w:pPr>
        <w:spacing w:after="0"/>
        <w:jc w:val="both"/>
        <w:rPr>
          <w:rFonts w:ascii="Arial" w:hAnsi="Arial" w:cs="Arial"/>
        </w:rPr>
      </w:pPr>
    </w:p>
    <w:p w14:paraId="7C603E52" w14:textId="77777777" w:rsidR="003545C8" w:rsidRPr="009B6F6C" w:rsidRDefault="003545C8" w:rsidP="003545C8">
      <w:pPr>
        <w:spacing w:after="0"/>
        <w:jc w:val="both"/>
        <w:rPr>
          <w:rFonts w:ascii="Arial" w:hAnsi="Arial" w:cs="Arial"/>
        </w:rPr>
      </w:pPr>
      <w:r w:rsidRPr="009B6F6C">
        <w:rPr>
          <w:rFonts w:ascii="Arial" w:hAnsi="Arial" w:cs="Arial"/>
        </w:rPr>
        <w:t xml:space="preserve">En particular, la evidencia de que una proporción significativa de usuarios ha cambiado </w:t>
      </w:r>
      <w:r>
        <w:rPr>
          <w:rFonts w:ascii="Arial" w:hAnsi="Arial" w:cs="Arial"/>
        </w:rPr>
        <w:t xml:space="preserve">del producto analizado </w:t>
      </w:r>
      <w:r w:rsidRPr="009B6F6C">
        <w:rPr>
          <w:rFonts w:ascii="Arial" w:hAnsi="Arial" w:cs="Arial"/>
        </w:rPr>
        <w:t>a otro producto ante una variación en el precio u otras variables de competencia del producto analizado, es un indicio de que ambos productos son sustitutos.</w:t>
      </w:r>
    </w:p>
    <w:p w14:paraId="1343CC8C" w14:textId="77777777" w:rsidR="003545C8" w:rsidRPr="009B6F6C" w:rsidRDefault="003545C8" w:rsidP="003545C8">
      <w:pPr>
        <w:spacing w:after="0"/>
        <w:jc w:val="both"/>
        <w:rPr>
          <w:rFonts w:ascii="Arial" w:hAnsi="Arial" w:cs="Arial"/>
        </w:rPr>
      </w:pPr>
    </w:p>
    <w:p w14:paraId="2B0ADAF9" w14:textId="77777777" w:rsidR="003545C8" w:rsidRPr="00725954" w:rsidRDefault="003545C8" w:rsidP="003545C8">
      <w:pPr>
        <w:spacing w:after="0"/>
        <w:jc w:val="both"/>
        <w:rPr>
          <w:rFonts w:ascii="Arial" w:hAnsi="Arial" w:cs="Arial"/>
        </w:rPr>
      </w:pPr>
      <w:r w:rsidRPr="009B6F6C">
        <w:rPr>
          <w:rFonts w:ascii="Arial" w:hAnsi="Arial" w:cs="Arial"/>
        </w:rPr>
        <w:t xml:space="preserve">Se advierte que, al analizar la evidencia sobre el comportamiento de los consumidores en el pasado reciente, el Instituto </w:t>
      </w:r>
      <w:r>
        <w:rPr>
          <w:rFonts w:ascii="Arial" w:hAnsi="Arial" w:cs="Arial"/>
        </w:rPr>
        <w:t xml:space="preserve">podrá </w:t>
      </w:r>
      <w:r w:rsidRPr="009B6F6C">
        <w:rPr>
          <w:rFonts w:ascii="Arial" w:hAnsi="Arial" w:cs="Arial"/>
        </w:rPr>
        <w:t>ten</w:t>
      </w:r>
      <w:r>
        <w:rPr>
          <w:rFonts w:ascii="Arial" w:hAnsi="Arial" w:cs="Arial"/>
        </w:rPr>
        <w:t>er</w:t>
      </w:r>
      <w:r w:rsidRPr="009B6F6C">
        <w:rPr>
          <w:rFonts w:ascii="Arial" w:hAnsi="Arial" w:cs="Arial"/>
        </w:rPr>
        <w:t xml:space="preserve"> en cuenta que dicho comportamiento ocurrió con los precios y condiciones vigentes en ese momento, mismos que no necesariamente reflejan niveles competitivos y pueden cambiar en el tiempo, sobre todo considerando el continuo desarrollo en los sectores de </w:t>
      </w:r>
      <w:proofErr w:type="spellStart"/>
      <w:r w:rsidRPr="009B6F6C">
        <w:rPr>
          <w:rFonts w:ascii="Arial" w:hAnsi="Arial" w:cs="Arial"/>
        </w:rPr>
        <w:t>TyR</w:t>
      </w:r>
      <w:proofErr w:type="spellEnd"/>
      <w:r w:rsidRPr="009B6F6C">
        <w:rPr>
          <w:rFonts w:ascii="Arial" w:hAnsi="Arial" w:cs="Arial"/>
        </w:rPr>
        <w:t>.</w:t>
      </w:r>
    </w:p>
    <w:p w14:paraId="5A7F3A34" w14:textId="77777777" w:rsidR="003545C8" w:rsidRPr="00725954" w:rsidRDefault="003545C8" w:rsidP="003545C8">
      <w:pPr>
        <w:spacing w:after="0"/>
        <w:jc w:val="both"/>
        <w:rPr>
          <w:rFonts w:ascii="Arial" w:hAnsi="Arial" w:cs="Arial"/>
        </w:rPr>
      </w:pPr>
    </w:p>
    <w:p w14:paraId="5DE8BC1F" w14:textId="77777777" w:rsidR="003545C8" w:rsidRPr="00725954" w:rsidRDefault="003545C8" w:rsidP="005E23E0">
      <w:pPr>
        <w:pStyle w:val="Prrafodelista"/>
        <w:numPr>
          <w:ilvl w:val="0"/>
          <w:numId w:val="23"/>
        </w:numPr>
        <w:spacing w:after="0"/>
        <w:ind w:hanging="578"/>
        <w:contextualSpacing w:val="0"/>
        <w:jc w:val="both"/>
        <w:rPr>
          <w:rFonts w:ascii="Arial" w:hAnsi="Arial" w:cs="Arial"/>
          <w:b/>
        </w:rPr>
      </w:pPr>
      <w:r w:rsidRPr="00725954">
        <w:rPr>
          <w:rFonts w:ascii="Arial" w:hAnsi="Arial" w:cs="Arial"/>
          <w:b/>
        </w:rPr>
        <w:t>Estrategias comerciales de los oferentes (incluyendo costos de cambio</w:t>
      </w:r>
      <w:r>
        <w:rPr>
          <w:rFonts w:ascii="Arial" w:hAnsi="Arial" w:cs="Arial"/>
          <w:b/>
        </w:rPr>
        <w:t>,</w:t>
      </w:r>
      <w:r w:rsidRPr="00725954">
        <w:rPr>
          <w:rFonts w:ascii="Arial" w:hAnsi="Arial" w:cs="Arial"/>
          <w:b/>
        </w:rPr>
        <w:t xml:space="preserve"> posibilidad de hacer portabilidad</w:t>
      </w:r>
      <w:r>
        <w:rPr>
          <w:rFonts w:ascii="Arial" w:hAnsi="Arial" w:cs="Arial"/>
          <w:b/>
        </w:rPr>
        <w:t>,</w:t>
      </w:r>
      <w:r w:rsidRPr="00725954">
        <w:rPr>
          <w:rFonts w:ascii="Arial" w:hAnsi="Arial" w:cs="Arial"/>
          <w:b/>
        </w:rPr>
        <w:t xml:space="preserve"> o </w:t>
      </w:r>
      <w:proofErr w:type="spellStart"/>
      <w:r w:rsidRPr="00725954">
        <w:rPr>
          <w:rFonts w:ascii="Arial" w:hAnsi="Arial" w:cs="Arial"/>
          <w:b/>
          <w:i/>
        </w:rPr>
        <w:t>multi-homing</w:t>
      </w:r>
      <w:proofErr w:type="spellEnd"/>
      <w:r>
        <w:rPr>
          <w:rFonts w:ascii="Arial" w:hAnsi="Arial" w:cs="Arial"/>
          <w:b/>
          <w:i/>
        </w:rPr>
        <w:t>,</w:t>
      </w:r>
      <w:r w:rsidRPr="00B115F7">
        <w:rPr>
          <w:rFonts w:ascii="Arial" w:hAnsi="Arial" w:cs="Arial"/>
          <w:b/>
        </w:rPr>
        <w:t xml:space="preserve"> y </w:t>
      </w:r>
      <w:r w:rsidRPr="00725954">
        <w:rPr>
          <w:rFonts w:ascii="Arial" w:hAnsi="Arial" w:cs="Arial"/>
          <w:b/>
        </w:rPr>
        <w:t xml:space="preserve">discriminación </w:t>
      </w:r>
      <w:r>
        <w:rPr>
          <w:rFonts w:ascii="Arial" w:hAnsi="Arial" w:cs="Arial"/>
          <w:b/>
        </w:rPr>
        <w:t>de</w:t>
      </w:r>
      <w:r w:rsidRPr="00725954">
        <w:rPr>
          <w:rFonts w:ascii="Arial" w:hAnsi="Arial" w:cs="Arial"/>
          <w:b/>
        </w:rPr>
        <w:t xml:space="preserve"> precios u otras condiciones de comercialización enfocada</w:t>
      </w:r>
      <w:r>
        <w:rPr>
          <w:rFonts w:ascii="Arial" w:hAnsi="Arial" w:cs="Arial"/>
          <w:b/>
        </w:rPr>
        <w:t>s</w:t>
      </w:r>
      <w:r w:rsidRPr="00725954">
        <w:rPr>
          <w:rFonts w:ascii="Arial" w:hAnsi="Arial" w:cs="Arial"/>
          <w:b/>
        </w:rPr>
        <w:t xml:space="preserve"> en grupos de usuarios</w:t>
      </w:r>
      <w:r>
        <w:rPr>
          <w:rFonts w:ascii="Arial" w:hAnsi="Arial" w:cs="Arial"/>
          <w:b/>
        </w:rPr>
        <w:t>)</w:t>
      </w:r>
    </w:p>
    <w:p w14:paraId="4485EC4B" w14:textId="77777777" w:rsidR="003545C8" w:rsidRPr="00725954" w:rsidRDefault="003545C8" w:rsidP="003545C8">
      <w:pPr>
        <w:spacing w:after="0"/>
        <w:jc w:val="both"/>
        <w:rPr>
          <w:rFonts w:ascii="Arial" w:hAnsi="Arial" w:cs="Arial"/>
          <w:i/>
        </w:rPr>
      </w:pPr>
    </w:p>
    <w:p w14:paraId="60C6DCD3" w14:textId="77777777" w:rsidR="003545C8" w:rsidRPr="003C04FC" w:rsidRDefault="003545C8" w:rsidP="003545C8">
      <w:pPr>
        <w:spacing w:after="0"/>
        <w:jc w:val="both"/>
        <w:rPr>
          <w:rFonts w:ascii="Arial" w:hAnsi="Arial" w:cs="Arial"/>
        </w:rPr>
      </w:pPr>
      <w:r w:rsidRPr="003C04FC">
        <w:rPr>
          <w:rFonts w:ascii="Arial" w:hAnsi="Arial" w:cs="Arial"/>
        </w:rPr>
        <w:t xml:space="preserve">El Instituto </w:t>
      </w:r>
      <w:r>
        <w:rPr>
          <w:rFonts w:ascii="Arial" w:hAnsi="Arial" w:cs="Arial"/>
        </w:rPr>
        <w:t>podrá</w:t>
      </w:r>
      <w:r w:rsidRPr="003C04FC">
        <w:rPr>
          <w:rFonts w:ascii="Arial" w:hAnsi="Arial" w:cs="Arial"/>
        </w:rPr>
        <w:t xml:space="preserve"> tomar en cuenta la existencia de estrategias, por parte de los oferentes, que disminuyan la posibilidad de que los consumidores efectivamente sustituyan un producto por otro. Entre dichas estrategias se encuentran aquellas que elevan los costos explícitos e implícitos que enfrenta un consumidor al cambiar de un proveedor a otro, por ejemplo, debido al establecimiento de plazos contractuales muy extensos (“</w:t>
      </w:r>
      <w:r w:rsidRPr="003C04FC">
        <w:rPr>
          <w:rFonts w:ascii="Arial" w:hAnsi="Arial" w:cs="Arial"/>
          <w:i/>
        </w:rPr>
        <w:t>plazos forzosos</w:t>
      </w:r>
      <w:r w:rsidRPr="003C04FC">
        <w:rPr>
          <w:rFonts w:ascii="Arial" w:hAnsi="Arial" w:cs="Arial"/>
        </w:rPr>
        <w:t xml:space="preserve">”) y penalizaciones por terminación anticipada de contratos, obstáculos a la portabilidad, falta de información sobre proveedores alternativos o incluso, el empaquetamiento de servicios. </w:t>
      </w:r>
    </w:p>
    <w:p w14:paraId="06F34CF0" w14:textId="77777777" w:rsidR="003545C8" w:rsidRPr="003C04FC" w:rsidRDefault="003545C8" w:rsidP="003545C8">
      <w:pPr>
        <w:spacing w:after="0"/>
        <w:jc w:val="both"/>
        <w:rPr>
          <w:rFonts w:ascii="Arial" w:hAnsi="Arial" w:cs="Arial"/>
        </w:rPr>
      </w:pPr>
      <w:r w:rsidRPr="003C04FC">
        <w:rPr>
          <w:rFonts w:ascii="Arial" w:hAnsi="Arial" w:cs="Arial"/>
        </w:rPr>
        <w:t xml:space="preserve">Asimismo, el Instituto </w:t>
      </w:r>
      <w:r>
        <w:rPr>
          <w:rFonts w:ascii="Arial" w:hAnsi="Arial" w:cs="Arial"/>
        </w:rPr>
        <w:t xml:space="preserve">podrá </w:t>
      </w:r>
      <w:r w:rsidRPr="003C04FC">
        <w:rPr>
          <w:rFonts w:ascii="Arial" w:hAnsi="Arial" w:cs="Arial"/>
        </w:rPr>
        <w:t>considerar que la imposibilidad o el costo elevado de que los consumidores utilicen varios productos que compiten entre sí (</w:t>
      </w:r>
      <w:proofErr w:type="spellStart"/>
      <w:r w:rsidRPr="003C04FC">
        <w:rPr>
          <w:rFonts w:ascii="Arial" w:hAnsi="Arial" w:cs="Arial"/>
          <w:i/>
        </w:rPr>
        <w:t>multi-homing</w:t>
      </w:r>
      <w:proofErr w:type="spellEnd"/>
      <w:r w:rsidRPr="003C04FC">
        <w:rPr>
          <w:rFonts w:ascii="Arial" w:hAnsi="Arial" w:cs="Arial"/>
        </w:rPr>
        <w:t xml:space="preserve">), como es el caso de las plataformas que conectan distintos tipos de usuarios, puede dificultar la sustitución de un </w:t>
      </w:r>
      <w:r>
        <w:rPr>
          <w:rFonts w:ascii="Arial" w:hAnsi="Arial" w:cs="Arial"/>
        </w:rPr>
        <w:t>producto</w:t>
      </w:r>
      <w:r w:rsidRPr="003C04FC">
        <w:rPr>
          <w:rFonts w:ascii="Arial" w:hAnsi="Arial" w:cs="Arial"/>
        </w:rPr>
        <w:t xml:space="preserve"> por otro, lo que apuntaría a una definición de mercado más estrecha.</w:t>
      </w:r>
    </w:p>
    <w:p w14:paraId="7D01DBA0" w14:textId="77777777" w:rsidR="003545C8" w:rsidRPr="003C04FC" w:rsidRDefault="003545C8" w:rsidP="003545C8">
      <w:pPr>
        <w:spacing w:after="0"/>
        <w:jc w:val="both"/>
        <w:rPr>
          <w:rFonts w:ascii="Arial" w:hAnsi="Arial" w:cs="Arial"/>
        </w:rPr>
      </w:pPr>
      <w:r w:rsidRPr="003C04FC">
        <w:rPr>
          <w:rFonts w:ascii="Arial" w:hAnsi="Arial" w:cs="Arial"/>
        </w:rPr>
        <w:t>En cuanto a la capacidad de los oferentes para discriminar en precios u otras condiciones de comercialización entre grupos de usuarios, ésta puede implicar una dinámica de competencia distinta para cada grupo de usuarios, pues si un grupo tiene pocas posibilidades de acceder a precios más bajos o a mejores condiciones que se ofrecen a otros grupos (en particular, si no existe la posibilidad de arbitraje), entonces los productos que se ofrecen a los distintos grupos no representarán presiones competitivas entre sí.</w:t>
      </w:r>
    </w:p>
    <w:p w14:paraId="4B538235" w14:textId="77777777" w:rsidR="003545C8" w:rsidRPr="003C04FC" w:rsidRDefault="003545C8" w:rsidP="003545C8">
      <w:pPr>
        <w:spacing w:after="0"/>
        <w:jc w:val="both"/>
        <w:rPr>
          <w:rFonts w:ascii="Arial" w:hAnsi="Arial" w:cs="Arial"/>
        </w:rPr>
      </w:pPr>
    </w:p>
    <w:p w14:paraId="5DB71979" w14:textId="77777777" w:rsidR="003545C8" w:rsidRPr="003C04FC" w:rsidRDefault="003545C8" w:rsidP="003545C8">
      <w:pPr>
        <w:spacing w:after="0"/>
        <w:jc w:val="both"/>
        <w:rPr>
          <w:rFonts w:ascii="Arial" w:hAnsi="Arial" w:cs="Arial"/>
        </w:rPr>
      </w:pPr>
      <w:r w:rsidRPr="003C04FC">
        <w:rPr>
          <w:rFonts w:ascii="Arial" w:hAnsi="Arial" w:cs="Arial"/>
        </w:rPr>
        <w:t xml:space="preserve">En esos casos, una delimitación del MR que incluya todos los productos que se ofrecen a los distintos grupos de usuarios no capturará de forma adecuada las presiones competitivas </w:t>
      </w:r>
      <w:r w:rsidRPr="003C04FC">
        <w:rPr>
          <w:rFonts w:ascii="Arial" w:hAnsi="Arial" w:cs="Arial"/>
        </w:rPr>
        <w:lastRenderedPageBreak/>
        <w:t>derivadas de la sustitución por el lado de la demanda e implicará una delimitación demasiado amplia del MR. Por lo tanto, cuando exista evidencia de discriminación de precios u ofertas y se tengan indicios de que la dinámica o condiciones de competencia difieren entre los distintos grupos, el Instituto podrá determinar MR para cada uno de los diversos grupos de consumidores delimitados por las condiciones de discriminación.</w:t>
      </w:r>
    </w:p>
    <w:p w14:paraId="54591837" w14:textId="77777777" w:rsidR="003545C8" w:rsidRPr="003C04FC" w:rsidRDefault="003545C8" w:rsidP="003545C8">
      <w:pPr>
        <w:spacing w:after="0"/>
        <w:jc w:val="both"/>
        <w:rPr>
          <w:rFonts w:ascii="Arial" w:hAnsi="Arial" w:cs="Arial"/>
        </w:rPr>
      </w:pPr>
    </w:p>
    <w:p w14:paraId="7902C6FA" w14:textId="77777777" w:rsidR="003545C8" w:rsidRPr="003C04FC" w:rsidRDefault="003545C8" w:rsidP="005E23E0">
      <w:pPr>
        <w:pStyle w:val="Prrafodelista"/>
        <w:keepNext/>
        <w:numPr>
          <w:ilvl w:val="0"/>
          <w:numId w:val="23"/>
        </w:numPr>
        <w:spacing w:after="0"/>
        <w:ind w:hanging="578"/>
        <w:contextualSpacing w:val="0"/>
        <w:jc w:val="both"/>
        <w:rPr>
          <w:rFonts w:ascii="Arial" w:hAnsi="Arial" w:cs="Arial"/>
          <w:b/>
          <w:i/>
        </w:rPr>
      </w:pPr>
      <w:r w:rsidRPr="003C04FC">
        <w:rPr>
          <w:rFonts w:ascii="Arial" w:hAnsi="Arial" w:cs="Arial"/>
          <w:b/>
        </w:rPr>
        <w:t>Requisitos normativos de carácter federal, local o internacional</w:t>
      </w:r>
      <w:r w:rsidRPr="003C04FC">
        <w:rPr>
          <w:rFonts w:ascii="Arial" w:eastAsia="Calibri" w:hAnsi="Arial" w:cs="Arial"/>
          <w:b/>
        </w:rPr>
        <w:t xml:space="preserve"> que limiten el acceso de consumidores a fuentes de abasto alternativas</w:t>
      </w:r>
    </w:p>
    <w:p w14:paraId="7A984C38" w14:textId="77777777" w:rsidR="003545C8" w:rsidRPr="003C04FC" w:rsidRDefault="003545C8" w:rsidP="003545C8">
      <w:pPr>
        <w:keepNext/>
        <w:spacing w:after="0"/>
        <w:jc w:val="both"/>
        <w:rPr>
          <w:rFonts w:ascii="Arial" w:hAnsi="Arial" w:cs="Arial"/>
          <w:i/>
        </w:rPr>
      </w:pPr>
    </w:p>
    <w:p w14:paraId="3FB0F3A9" w14:textId="77777777" w:rsidR="003545C8" w:rsidRPr="003C04FC" w:rsidRDefault="003545C8" w:rsidP="003545C8">
      <w:pPr>
        <w:spacing w:after="0"/>
        <w:jc w:val="both"/>
        <w:rPr>
          <w:rFonts w:ascii="Arial" w:hAnsi="Arial" w:cs="Arial"/>
        </w:rPr>
      </w:pPr>
      <w:r w:rsidRPr="003C04FC">
        <w:rPr>
          <w:rFonts w:ascii="Arial" w:hAnsi="Arial" w:cs="Arial"/>
        </w:rPr>
        <w:t xml:space="preserve">El Instituto podrá analizar la existencia de disposiciones normativas que disminuyan las posibilidades de los consumidores para sustituir el producto analizado por otros. </w:t>
      </w:r>
    </w:p>
    <w:p w14:paraId="125D117A" w14:textId="77777777" w:rsidR="003545C8" w:rsidRPr="003C04FC" w:rsidRDefault="003545C8" w:rsidP="003545C8">
      <w:pPr>
        <w:spacing w:after="0"/>
        <w:jc w:val="both"/>
        <w:rPr>
          <w:rFonts w:ascii="Arial" w:hAnsi="Arial" w:cs="Arial"/>
        </w:rPr>
      </w:pPr>
      <w:r w:rsidRPr="003C04FC">
        <w:rPr>
          <w:rFonts w:ascii="Arial" w:hAnsi="Arial" w:cs="Arial"/>
        </w:rPr>
        <w:t>Por ejemplo, se podrán analizar las disposiciones legales que establecen requerimientos para obtener autorizaciones, cumplir con estándares específicos, obtener certificaciones, o pagar impuestos para acceder o usar determinados productos, ya que podrían incrementar los costos de cambio de los consumidores y limitar el acceso a fuentes de abasto alternativas.</w:t>
      </w:r>
    </w:p>
    <w:p w14:paraId="1774255B" w14:textId="77777777" w:rsidR="003545C8" w:rsidRPr="003C04FC" w:rsidRDefault="003545C8" w:rsidP="003545C8">
      <w:pPr>
        <w:spacing w:after="0"/>
        <w:jc w:val="both"/>
        <w:rPr>
          <w:rFonts w:ascii="Arial" w:hAnsi="Arial" w:cs="Arial"/>
        </w:rPr>
      </w:pPr>
    </w:p>
    <w:p w14:paraId="5DC9C8BB" w14:textId="77777777" w:rsidR="003545C8" w:rsidRPr="003C04FC" w:rsidRDefault="003545C8" w:rsidP="005E23E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Evidencia, opiniones, estrategias y comportamiento de los consumidores respecto a sus posibilidades y disposición (en términos de tiempo y costos) para adquirir otros productos ante incrementos en el precio del producto analizado (por ejemplo, del 5%-10%) o variaciones en otras variables de competencia, por ejemplo, la calidad</w:t>
      </w:r>
    </w:p>
    <w:p w14:paraId="2126A260" w14:textId="77777777" w:rsidR="003545C8" w:rsidRPr="003C04FC" w:rsidRDefault="003545C8" w:rsidP="003545C8">
      <w:pPr>
        <w:spacing w:after="0"/>
        <w:jc w:val="both"/>
        <w:rPr>
          <w:rFonts w:ascii="Arial" w:hAnsi="Arial" w:cs="Arial"/>
        </w:rPr>
      </w:pPr>
    </w:p>
    <w:p w14:paraId="622FFAB0" w14:textId="77777777" w:rsidR="003545C8" w:rsidRPr="003C04FC" w:rsidRDefault="003545C8" w:rsidP="003545C8">
      <w:pPr>
        <w:spacing w:after="0"/>
        <w:jc w:val="both"/>
        <w:rPr>
          <w:rFonts w:ascii="Arial" w:hAnsi="Arial" w:cs="Arial"/>
        </w:rPr>
      </w:pPr>
      <w:r w:rsidRPr="003C04FC">
        <w:rPr>
          <w:rFonts w:ascii="Arial" w:hAnsi="Arial" w:cs="Arial"/>
        </w:rPr>
        <w:t xml:space="preserve">El Instituto podrá tomar en consideración evidencia sobre el comportamiento y las preferencias de los consumidores para sustituir un producto por otro, así como sobre la asequibilidad de los productos en cuestión. En particular, aspectos como la falta de disponibilidad de dispositivos idóneos para hacer uso de ciertos servicios, el nivel de precios, la existencia de ciertos requisitos por parte de los proveedores, o la preferencia de los consumidores en razón de aspectos como la marca, podrían limitar las posibilidades o los incentivos para que un número suficiente de consumidores elijan un producto alternativo al analizado. </w:t>
      </w:r>
    </w:p>
    <w:p w14:paraId="65B12C85" w14:textId="77777777" w:rsidR="003545C8" w:rsidRPr="003C04FC" w:rsidRDefault="003545C8" w:rsidP="003545C8">
      <w:pPr>
        <w:spacing w:after="0"/>
        <w:jc w:val="both"/>
        <w:rPr>
          <w:rFonts w:ascii="Arial" w:hAnsi="Arial" w:cs="Arial"/>
        </w:rPr>
      </w:pPr>
    </w:p>
    <w:p w14:paraId="5905CA73" w14:textId="77777777" w:rsidR="003545C8" w:rsidRPr="003C04FC" w:rsidRDefault="003545C8" w:rsidP="005E23E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La existencia de cadenas de sustitución y diferenciación de productos</w:t>
      </w:r>
    </w:p>
    <w:p w14:paraId="4E347957" w14:textId="77777777" w:rsidR="003545C8" w:rsidRPr="003C04FC" w:rsidRDefault="003545C8" w:rsidP="003545C8">
      <w:pPr>
        <w:spacing w:after="0"/>
        <w:jc w:val="both"/>
        <w:rPr>
          <w:rFonts w:ascii="Arial" w:hAnsi="Arial" w:cs="Arial"/>
        </w:rPr>
      </w:pPr>
    </w:p>
    <w:p w14:paraId="4E1FD718" w14:textId="77777777" w:rsidR="003545C8" w:rsidRPr="003C04FC" w:rsidRDefault="003545C8" w:rsidP="003545C8">
      <w:pPr>
        <w:spacing w:after="0"/>
        <w:jc w:val="both"/>
        <w:rPr>
          <w:rFonts w:ascii="Arial" w:hAnsi="Arial" w:cs="Arial"/>
        </w:rPr>
      </w:pPr>
      <w:r w:rsidRPr="003C04FC">
        <w:rPr>
          <w:rFonts w:ascii="Arial" w:hAnsi="Arial" w:cs="Arial"/>
        </w:rPr>
        <w:t xml:space="preserve">El Instituto podrá considerar que, en algunos casos, a pesar de que ciertos productos no son directamente sustitutos (por ejemplo, </w:t>
      </w:r>
      <w:r w:rsidRPr="003C04FC">
        <w:rPr>
          <w:rFonts w:ascii="Arial" w:hAnsi="Arial" w:cs="Arial"/>
          <w:i/>
        </w:rPr>
        <w:t>A</w:t>
      </w:r>
      <w:r w:rsidRPr="003C04FC">
        <w:rPr>
          <w:rFonts w:ascii="Arial" w:hAnsi="Arial" w:cs="Arial"/>
        </w:rPr>
        <w:t xml:space="preserve"> y </w:t>
      </w:r>
      <w:r w:rsidRPr="003C04FC">
        <w:rPr>
          <w:rFonts w:ascii="Arial" w:hAnsi="Arial" w:cs="Arial"/>
          <w:i/>
        </w:rPr>
        <w:t>C</w:t>
      </w:r>
      <w:r w:rsidRPr="003C04FC">
        <w:rPr>
          <w:rFonts w:ascii="Arial" w:hAnsi="Arial" w:cs="Arial"/>
        </w:rPr>
        <w:t xml:space="preserve">), otro producto (por ejemplo, </w:t>
      </w:r>
      <w:r w:rsidRPr="003C04FC">
        <w:rPr>
          <w:rFonts w:ascii="Arial" w:hAnsi="Arial" w:cs="Arial"/>
          <w:i/>
        </w:rPr>
        <w:t>B</w:t>
      </w:r>
      <w:r w:rsidRPr="003C04FC">
        <w:rPr>
          <w:rFonts w:ascii="Arial" w:hAnsi="Arial" w:cs="Arial"/>
        </w:rPr>
        <w:t>) es un producto sustituto de ambos productos (</w:t>
      </w:r>
      <w:r w:rsidRPr="003C04FC">
        <w:rPr>
          <w:rFonts w:ascii="Arial" w:hAnsi="Arial" w:cs="Arial"/>
          <w:i/>
        </w:rPr>
        <w:t>B</w:t>
      </w:r>
      <w:r w:rsidRPr="003C04FC">
        <w:rPr>
          <w:rFonts w:ascii="Arial" w:hAnsi="Arial" w:cs="Arial"/>
        </w:rPr>
        <w:t xml:space="preserve"> sustituye a </w:t>
      </w:r>
      <w:proofErr w:type="spellStart"/>
      <w:r w:rsidRPr="003C04FC">
        <w:rPr>
          <w:rFonts w:ascii="Arial" w:hAnsi="Arial" w:cs="Arial"/>
          <w:i/>
        </w:rPr>
        <w:t>A</w:t>
      </w:r>
      <w:proofErr w:type="spellEnd"/>
      <w:r w:rsidRPr="003C04FC">
        <w:rPr>
          <w:rFonts w:ascii="Arial" w:hAnsi="Arial" w:cs="Arial"/>
        </w:rPr>
        <w:t xml:space="preserve"> y a C), de tal modo que existe una cadena de sustitución, tal que los productos (</w:t>
      </w:r>
      <w:r w:rsidRPr="003C04FC">
        <w:rPr>
          <w:rFonts w:ascii="Arial" w:hAnsi="Arial" w:cs="Arial"/>
          <w:i/>
        </w:rPr>
        <w:t>A</w:t>
      </w:r>
      <w:r w:rsidRPr="003C04FC">
        <w:rPr>
          <w:rFonts w:ascii="Arial" w:hAnsi="Arial" w:cs="Arial"/>
        </w:rPr>
        <w:t xml:space="preserve">, </w:t>
      </w:r>
      <w:r w:rsidRPr="003C04FC">
        <w:rPr>
          <w:rFonts w:ascii="Arial" w:hAnsi="Arial" w:cs="Arial"/>
          <w:i/>
        </w:rPr>
        <w:t>B</w:t>
      </w:r>
      <w:r w:rsidRPr="003C04FC">
        <w:rPr>
          <w:rFonts w:ascii="Arial" w:hAnsi="Arial" w:cs="Arial"/>
        </w:rPr>
        <w:t xml:space="preserve"> y </w:t>
      </w:r>
      <w:r w:rsidRPr="003C04FC">
        <w:rPr>
          <w:rFonts w:ascii="Arial" w:hAnsi="Arial" w:cs="Arial"/>
          <w:i/>
        </w:rPr>
        <w:t>C</w:t>
      </w:r>
      <w:r w:rsidRPr="003C04FC">
        <w:rPr>
          <w:rFonts w:ascii="Arial" w:hAnsi="Arial" w:cs="Arial"/>
        </w:rPr>
        <w:t xml:space="preserve">) pueden pertenecer al mismo MR si sus precios respectivos ejercen presiones entre sí. </w:t>
      </w:r>
    </w:p>
    <w:p w14:paraId="368BA16A" w14:textId="77777777" w:rsidR="003545C8" w:rsidRPr="003C04FC" w:rsidRDefault="003545C8" w:rsidP="003545C8">
      <w:pPr>
        <w:spacing w:after="0"/>
        <w:jc w:val="both"/>
        <w:rPr>
          <w:rFonts w:ascii="Arial" w:hAnsi="Arial" w:cs="Arial"/>
        </w:rPr>
      </w:pPr>
    </w:p>
    <w:p w14:paraId="25BC365A" w14:textId="77777777" w:rsidR="003545C8" w:rsidRPr="00725954" w:rsidRDefault="003545C8" w:rsidP="003545C8">
      <w:pPr>
        <w:spacing w:after="0"/>
        <w:jc w:val="both"/>
        <w:rPr>
          <w:rStyle w:val="Refdecomentario"/>
          <w:rFonts w:ascii="Arial" w:hAnsi="Arial" w:cs="Arial"/>
        </w:rPr>
      </w:pPr>
      <w:r w:rsidRPr="003C04FC">
        <w:rPr>
          <w:rFonts w:ascii="Arial" w:hAnsi="Arial" w:cs="Arial"/>
        </w:rPr>
        <w:t>Para corroborar la existencia de cadenas de sustitución, el Instituto podrá utilizar evidencia “</w:t>
      </w:r>
      <w:r w:rsidRPr="003C04FC">
        <w:rPr>
          <w:rFonts w:ascii="Arial" w:hAnsi="Arial" w:cs="Arial"/>
          <w:i/>
        </w:rPr>
        <w:t>relacionada con la interdependencia de precios en los extremos de las cadenas de sustitución</w:t>
      </w:r>
      <w:r w:rsidRPr="003C04FC">
        <w:rPr>
          <w:rFonts w:ascii="Arial" w:hAnsi="Arial" w:cs="Arial"/>
        </w:rPr>
        <w:t>",</w:t>
      </w:r>
      <w:r w:rsidRPr="003C04FC">
        <w:rPr>
          <w:rFonts w:ascii="Arial" w:hAnsi="Arial" w:cs="Arial"/>
          <w:vertAlign w:val="superscript"/>
        </w:rPr>
        <w:footnoteReference w:id="40"/>
      </w:r>
      <w:r w:rsidRPr="003C04FC">
        <w:rPr>
          <w:rFonts w:ascii="Arial" w:hAnsi="Arial" w:cs="Arial"/>
        </w:rPr>
        <w:t xml:space="preserve"> </w:t>
      </w:r>
      <w:r w:rsidRPr="003C04FC">
        <w:rPr>
          <w:rFonts w:ascii="Arial" w:hAnsi="Arial" w:cs="Arial"/>
        </w:rPr>
        <w:lastRenderedPageBreak/>
        <w:t>el traslape o coincidencia de precios entre los productos, las diferencias en los costos incrementales de cada producto y la sustitución entre los productos adyacentes en la cadena</w:t>
      </w:r>
      <w:r w:rsidRPr="003C04FC">
        <w:rPr>
          <w:rStyle w:val="Refdecomentario"/>
          <w:rFonts w:ascii="Arial" w:hAnsi="Arial" w:cs="Arial"/>
        </w:rPr>
        <w:t>.</w:t>
      </w:r>
    </w:p>
    <w:p w14:paraId="407DE22D" w14:textId="77777777" w:rsidR="003545C8" w:rsidRDefault="003545C8" w:rsidP="003545C8">
      <w:pPr>
        <w:spacing w:after="0"/>
        <w:jc w:val="both"/>
        <w:rPr>
          <w:rFonts w:ascii="Arial" w:hAnsi="Arial" w:cs="Arial"/>
        </w:rPr>
      </w:pPr>
    </w:p>
    <w:p w14:paraId="385ABD21" w14:textId="77777777" w:rsidR="003545C8" w:rsidRPr="003C04FC" w:rsidRDefault="003545C8" w:rsidP="003545C8">
      <w:pPr>
        <w:spacing w:after="0"/>
        <w:jc w:val="both"/>
        <w:rPr>
          <w:rFonts w:ascii="Arial" w:hAnsi="Arial" w:cs="Arial"/>
        </w:rPr>
      </w:pPr>
      <w:r w:rsidRPr="003C04FC">
        <w:rPr>
          <w:rFonts w:ascii="Arial" w:hAnsi="Arial" w:cs="Arial"/>
        </w:rPr>
        <w:t>Respecto a la diferenciación de productos, en la sección 9.4 se hace una explicación detallada</w:t>
      </w:r>
      <w:r>
        <w:rPr>
          <w:rFonts w:ascii="Arial" w:hAnsi="Arial" w:cs="Arial"/>
        </w:rPr>
        <w:t xml:space="preserve"> y se presentan</w:t>
      </w:r>
      <w:r w:rsidRPr="003C04FC">
        <w:rPr>
          <w:rFonts w:ascii="Arial" w:hAnsi="Arial" w:cs="Arial"/>
        </w:rPr>
        <w:t xml:space="preserve"> los criterios que el Instituto podrá considerar para determinar el MR en presencia de productos diferenciados.</w:t>
      </w:r>
    </w:p>
    <w:p w14:paraId="0C165A3B" w14:textId="77777777" w:rsidR="003545C8" w:rsidRPr="003C04FC" w:rsidRDefault="003545C8" w:rsidP="003545C8">
      <w:pPr>
        <w:spacing w:after="0"/>
        <w:jc w:val="both"/>
        <w:rPr>
          <w:rFonts w:ascii="Arial" w:hAnsi="Arial" w:cs="Arial"/>
        </w:rPr>
      </w:pPr>
    </w:p>
    <w:p w14:paraId="50904899" w14:textId="77777777" w:rsidR="003545C8" w:rsidRPr="003C04FC" w:rsidRDefault="003545C8" w:rsidP="005E23E0">
      <w:pPr>
        <w:pStyle w:val="Prrafodelista"/>
        <w:keepNext/>
        <w:numPr>
          <w:ilvl w:val="0"/>
          <w:numId w:val="23"/>
        </w:numPr>
        <w:spacing w:after="0"/>
        <w:ind w:hanging="578"/>
        <w:contextualSpacing w:val="0"/>
        <w:jc w:val="both"/>
        <w:rPr>
          <w:rFonts w:ascii="Arial" w:hAnsi="Arial" w:cs="Arial"/>
          <w:b/>
        </w:rPr>
      </w:pPr>
      <w:r w:rsidRPr="003C04FC">
        <w:rPr>
          <w:rFonts w:ascii="Arial" w:hAnsi="Arial" w:cs="Arial"/>
          <w:b/>
        </w:rPr>
        <w:t>Cocientes de desvío, que miden la proporción de ventas que se desviaría de un producto a otro(s), en caso de un aumento en el precio del primero</w:t>
      </w:r>
    </w:p>
    <w:p w14:paraId="4A3DF424" w14:textId="77777777" w:rsidR="003545C8" w:rsidRPr="003C04FC" w:rsidRDefault="003545C8" w:rsidP="003545C8">
      <w:pPr>
        <w:keepNext/>
        <w:spacing w:after="0"/>
        <w:jc w:val="both"/>
        <w:rPr>
          <w:rFonts w:ascii="Arial" w:hAnsi="Arial" w:cs="Arial"/>
        </w:rPr>
      </w:pPr>
    </w:p>
    <w:p w14:paraId="45CBEBC2" w14:textId="77777777" w:rsidR="003545C8" w:rsidRPr="003C04FC" w:rsidRDefault="003545C8" w:rsidP="003545C8">
      <w:pPr>
        <w:spacing w:after="0"/>
        <w:jc w:val="both"/>
        <w:rPr>
          <w:rFonts w:ascii="Arial" w:hAnsi="Arial" w:cs="Arial"/>
        </w:rPr>
      </w:pPr>
      <w:r w:rsidRPr="003C04FC">
        <w:rPr>
          <w:rFonts w:ascii="Arial" w:hAnsi="Arial" w:cs="Arial"/>
        </w:rPr>
        <w:t>El Instituto podrá utilizar información sobre cocientes de desvío para identificar y ordenar sustitutos del producto analizado, en términos de su importancia, cuando dicha información se encuentre disponible.</w:t>
      </w:r>
    </w:p>
    <w:p w14:paraId="3B2053C8" w14:textId="77777777" w:rsidR="003545C8" w:rsidRPr="003C04FC" w:rsidRDefault="003545C8" w:rsidP="003545C8">
      <w:pPr>
        <w:spacing w:after="0"/>
        <w:jc w:val="both"/>
        <w:rPr>
          <w:rFonts w:ascii="Arial" w:hAnsi="Arial" w:cs="Arial"/>
        </w:rPr>
      </w:pPr>
    </w:p>
    <w:p w14:paraId="623B057B" w14:textId="77777777" w:rsidR="003545C8" w:rsidRPr="003C04FC" w:rsidRDefault="003545C8" w:rsidP="003545C8">
      <w:pPr>
        <w:spacing w:after="0"/>
        <w:jc w:val="both"/>
        <w:rPr>
          <w:rFonts w:ascii="Arial" w:hAnsi="Arial" w:cs="Arial"/>
        </w:rPr>
      </w:pPr>
      <w:r w:rsidRPr="003C04FC">
        <w:rPr>
          <w:rFonts w:ascii="Arial" w:hAnsi="Arial" w:cs="Arial"/>
        </w:rPr>
        <w:t xml:space="preserve">Por ejemplo, si los datos indican que ante un SSNIP del producto </w:t>
      </w:r>
      <w:r w:rsidRPr="003C04FC">
        <w:rPr>
          <w:rFonts w:ascii="Arial" w:hAnsi="Arial" w:cs="Arial"/>
          <w:i/>
        </w:rPr>
        <w:t>A</w:t>
      </w:r>
      <w:r w:rsidRPr="003C04FC">
        <w:rPr>
          <w:rFonts w:ascii="Arial" w:hAnsi="Arial" w:cs="Arial"/>
        </w:rPr>
        <w:t xml:space="preserve">, se pierden ventas por 100 unidades, y 20 de éstas son capturadas por el producto </w:t>
      </w:r>
      <w:r w:rsidRPr="003C04FC">
        <w:rPr>
          <w:rFonts w:ascii="Arial" w:hAnsi="Arial" w:cs="Arial"/>
          <w:i/>
        </w:rPr>
        <w:t>B</w:t>
      </w:r>
      <w:r w:rsidRPr="003C04FC">
        <w:rPr>
          <w:rFonts w:ascii="Arial" w:hAnsi="Arial" w:cs="Arial"/>
        </w:rPr>
        <w:t xml:space="preserve"> y 80 por el producto </w:t>
      </w:r>
      <w:r w:rsidRPr="003C04FC">
        <w:rPr>
          <w:rFonts w:ascii="Arial" w:hAnsi="Arial" w:cs="Arial"/>
          <w:i/>
        </w:rPr>
        <w:t>C</w:t>
      </w:r>
      <w:r w:rsidRPr="003C04FC">
        <w:rPr>
          <w:rFonts w:ascii="Arial" w:hAnsi="Arial" w:cs="Arial"/>
        </w:rPr>
        <w:t xml:space="preserve">, el cociente de desvío de </w:t>
      </w:r>
      <w:r w:rsidRPr="003C04FC">
        <w:rPr>
          <w:rFonts w:ascii="Arial" w:hAnsi="Arial" w:cs="Arial"/>
          <w:i/>
        </w:rPr>
        <w:t>A</w:t>
      </w:r>
      <w:r w:rsidRPr="003C04FC">
        <w:rPr>
          <w:rFonts w:ascii="Arial" w:hAnsi="Arial" w:cs="Arial"/>
        </w:rPr>
        <w:t xml:space="preserve"> </w:t>
      </w:r>
      <w:proofErr w:type="spellStart"/>
      <w:r w:rsidRPr="003C04FC">
        <w:rPr>
          <w:rFonts w:ascii="Arial" w:hAnsi="Arial" w:cs="Arial"/>
        </w:rPr>
        <w:t>a</w:t>
      </w:r>
      <w:proofErr w:type="spellEnd"/>
      <w:r w:rsidRPr="003C04FC">
        <w:rPr>
          <w:rFonts w:ascii="Arial" w:hAnsi="Arial" w:cs="Arial"/>
        </w:rPr>
        <w:t xml:space="preserve"> </w:t>
      </w:r>
      <w:r w:rsidRPr="003C04FC">
        <w:rPr>
          <w:rFonts w:ascii="Arial" w:hAnsi="Arial" w:cs="Arial"/>
          <w:i/>
        </w:rPr>
        <w:t>B</w:t>
      </w:r>
      <w:r w:rsidRPr="003C04FC">
        <w:rPr>
          <w:rFonts w:ascii="Arial" w:hAnsi="Arial" w:cs="Arial"/>
        </w:rPr>
        <w:t xml:space="preserve"> es 20% y el cociente de desvío de </w:t>
      </w:r>
      <w:r w:rsidRPr="003C04FC">
        <w:rPr>
          <w:rFonts w:ascii="Arial" w:hAnsi="Arial" w:cs="Arial"/>
          <w:i/>
        </w:rPr>
        <w:t>A</w:t>
      </w:r>
      <w:r w:rsidRPr="003C04FC">
        <w:rPr>
          <w:rFonts w:ascii="Arial" w:hAnsi="Arial" w:cs="Arial"/>
        </w:rPr>
        <w:t xml:space="preserve"> </w:t>
      </w:r>
      <w:proofErr w:type="spellStart"/>
      <w:r w:rsidRPr="003C04FC">
        <w:rPr>
          <w:rFonts w:ascii="Arial" w:hAnsi="Arial" w:cs="Arial"/>
        </w:rPr>
        <w:t>a</w:t>
      </w:r>
      <w:proofErr w:type="spellEnd"/>
      <w:r w:rsidRPr="003C04FC">
        <w:rPr>
          <w:rFonts w:ascii="Arial" w:hAnsi="Arial" w:cs="Arial"/>
        </w:rPr>
        <w:t xml:space="preserve"> </w:t>
      </w:r>
      <w:r w:rsidRPr="003C04FC">
        <w:rPr>
          <w:rFonts w:ascii="Arial" w:hAnsi="Arial" w:cs="Arial"/>
          <w:i/>
        </w:rPr>
        <w:t>C</w:t>
      </w:r>
      <w:r w:rsidRPr="003C04FC">
        <w:rPr>
          <w:rFonts w:ascii="Arial" w:hAnsi="Arial" w:cs="Arial"/>
        </w:rPr>
        <w:t xml:space="preserve"> es 80%. Estos cocientes indican que </w:t>
      </w:r>
      <w:r w:rsidRPr="003C04FC">
        <w:rPr>
          <w:rFonts w:ascii="Arial" w:hAnsi="Arial" w:cs="Arial"/>
          <w:i/>
        </w:rPr>
        <w:t>C</w:t>
      </w:r>
      <w:r w:rsidRPr="003C04FC">
        <w:rPr>
          <w:rFonts w:ascii="Arial" w:hAnsi="Arial" w:cs="Arial"/>
        </w:rPr>
        <w:t xml:space="preserve"> es un sustituto más cercano de </w:t>
      </w:r>
      <w:r w:rsidRPr="003C04FC">
        <w:rPr>
          <w:rFonts w:ascii="Arial" w:hAnsi="Arial" w:cs="Arial"/>
          <w:i/>
        </w:rPr>
        <w:t>A</w:t>
      </w:r>
      <w:r w:rsidRPr="003C04FC">
        <w:rPr>
          <w:rFonts w:ascii="Arial" w:hAnsi="Arial" w:cs="Arial"/>
        </w:rPr>
        <w:t xml:space="preserve"> que </w:t>
      </w:r>
      <w:r w:rsidRPr="003C04FC">
        <w:rPr>
          <w:rFonts w:ascii="Arial" w:hAnsi="Arial" w:cs="Arial"/>
          <w:i/>
        </w:rPr>
        <w:t>B</w:t>
      </w:r>
      <w:r w:rsidRPr="003C04FC">
        <w:rPr>
          <w:rFonts w:ascii="Arial" w:hAnsi="Arial" w:cs="Arial"/>
        </w:rPr>
        <w:t>. Es decir, entre más alto sea el cociente de desvío entre productos, indica un mayor grado de sustitución entre ellos. La estimación de cocientes de desvío puede realizarse directamente si se cuenta con información sobre la elasticidad precio de la demanda y la elasticidad cruzada de la demanda, o a partir de encuestas o estudios de demanda.</w:t>
      </w:r>
    </w:p>
    <w:p w14:paraId="0D4E3A1F" w14:textId="77777777" w:rsidR="003545C8" w:rsidRPr="003C04FC" w:rsidRDefault="003545C8" w:rsidP="003545C8">
      <w:pPr>
        <w:spacing w:after="0"/>
        <w:jc w:val="both"/>
        <w:rPr>
          <w:rFonts w:ascii="Arial" w:hAnsi="Arial" w:cs="Arial"/>
        </w:rPr>
      </w:pPr>
    </w:p>
    <w:p w14:paraId="0D186319" w14:textId="77777777" w:rsidR="003545C8" w:rsidRPr="003C04FC" w:rsidRDefault="003545C8" w:rsidP="005E23E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En el contexto de una integración vertical, la influencia de la competencia en mercados aguas abajo y aguas arriba</w:t>
      </w:r>
    </w:p>
    <w:p w14:paraId="7B9E7385" w14:textId="77777777" w:rsidR="003545C8" w:rsidRPr="003C04FC" w:rsidRDefault="003545C8" w:rsidP="003545C8">
      <w:pPr>
        <w:spacing w:after="0"/>
        <w:jc w:val="both"/>
        <w:rPr>
          <w:rFonts w:ascii="Arial" w:hAnsi="Arial" w:cs="Arial"/>
        </w:rPr>
      </w:pPr>
    </w:p>
    <w:p w14:paraId="08C2B36D" w14:textId="4DF773E0" w:rsidR="003545C8" w:rsidRDefault="003545C8" w:rsidP="003545C8">
      <w:pPr>
        <w:spacing w:after="0"/>
        <w:jc w:val="both"/>
        <w:rPr>
          <w:rFonts w:ascii="Arial" w:hAnsi="Arial" w:cs="Arial"/>
        </w:rPr>
      </w:pPr>
      <w:r w:rsidRPr="003C04FC">
        <w:rPr>
          <w:rFonts w:ascii="Arial" w:hAnsi="Arial" w:cs="Arial"/>
        </w:rPr>
        <w:t>En la sección 9.</w:t>
      </w:r>
      <w:r w:rsidR="0076411D">
        <w:rPr>
          <w:rFonts w:ascii="Arial" w:hAnsi="Arial" w:cs="Arial"/>
        </w:rPr>
        <w:t>1</w:t>
      </w:r>
      <w:r w:rsidR="0076411D" w:rsidRPr="003C04FC">
        <w:rPr>
          <w:rFonts w:ascii="Arial" w:hAnsi="Arial" w:cs="Arial"/>
        </w:rPr>
        <w:t xml:space="preserve"> </w:t>
      </w:r>
      <w:r w:rsidRPr="003C04FC">
        <w:rPr>
          <w:rFonts w:ascii="Arial" w:hAnsi="Arial" w:cs="Arial"/>
        </w:rPr>
        <w:t>se presentan los criterios que el Instituto podrá considerar para determinar el MR en presencia de integraciones verticales.</w:t>
      </w:r>
    </w:p>
    <w:p w14:paraId="306A04B0" w14:textId="77777777" w:rsidR="003545C8" w:rsidRPr="00725954" w:rsidRDefault="003545C8" w:rsidP="003545C8">
      <w:pPr>
        <w:spacing w:after="0"/>
        <w:jc w:val="both"/>
        <w:rPr>
          <w:rFonts w:ascii="Arial" w:hAnsi="Arial" w:cs="Arial"/>
        </w:rPr>
      </w:pPr>
    </w:p>
    <w:p w14:paraId="6E428E3B" w14:textId="77777777" w:rsidR="003545C8" w:rsidRPr="00B451E2" w:rsidRDefault="003545C8" w:rsidP="005E23E0">
      <w:pPr>
        <w:pStyle w:val="Ttulo4"/>
        <w:keepLines w:val="0"/>
        <w:numPr>
          <w:ilvl w:val="3"/>
          <w:numId w:val="5"/>
        </w:numPr>
        <w:spacing w:before="0" w:after="0" w:line="276" w:lineRule="auto"/>
        <w:ind w:left="2268"/>
        <w:rPr>
          <w:rFonts w:ascii="Arial" w:eastAsia="Times New Roman" w:hAnsi="Arial" w:cs="Arial"/>
          <w:b w:val="0"/>
          <w:i/>
          <w:lang w:eastAsia="es-MX"/>
        </w:rPr>
      </w:pPr>
      <w:r>
        <w:rPr>
          <w:rFonts w:ascii="Arial" w:eastAsia="Times New Roman" w:hAnsi="Arial" w:cs="Arial"/>
          <w:lang w:eastAsia="es-MX"/>
        </w:rPr>
        <w:t>Sustitución p</w:t>
      </w:r>
      <w:r w:rsidRPr="00B451E2">
        <w:rPr>
          <w:rFonts w:ascii="Arial" w:eastAsia="Times New Roman" w:hAnsi="Arial" w:cs="Arial"/>
          <w:lang w:eastAsia="es-MX"/>
        </w:rPr>
        <w:t>or el lado de la oferta</w:t>
      </w:r>
    </w:p>
    <w:p w14:paraId="0A57536A" w14:textId="77777777" w:rsidR="003545C8" w:rsidRDefault="003545C8" w:rsidP="003545C8">
      <w:pPr>
        <w:keepNext/>
        <w:spacing w:after="0"/>
        <w:jc w:val="both"/>
        <w:rPr>
          <w:rFonts w:ascii="Arial" w:hAnsi="Arial" w:cs="Arial"/>
        </w:rPr>
      </w:pPr>
    </w:p>
    <w:p w14:paraId="5327C53A" w14:textId="77777777" w:rsidR="003545C8" w:rsidRDefault="003545C8" w:rsidP="003545C8">
      <w:pPr>
        <w:spacing w:after="0"/>
        <w:jc w:val="both"/>
        <w:rPr>
          <w:rFonts w:ascii="Arial" w:hAnsi="Arial" w:cs="Arial"/>
        </w:rPr>
      </w:pPr>
      <w:r w:rsidRPr="00A732BD">
        <w:rPr>
          <w:rFonts w:ascii="Arial" w:hAnsi="Arial" w:cs="Arial"/>
        </w:rPr>
        <w:t>El análisis de sustitución por el lado de la oferta consiste en evaluar la capacidad que tienen los oferentes que pudieran tener incentivos para proveer el producto analizado</w:t>
      </w:r>
      <w:r>
        <w:rPr>
          <w:rFonts w:ascii="Arial" w:hAnsi="Arial" w:cs="Arial"/>
        </w:rPr>
        <w:t xml:space="preserve">, para hacerlo </w:t>
      </w:r>
      <w:r w:rsidRPr="00A732BD">
        <w:rPr>
          <w:rFonts w:ascii="Arial" w:hAnsi="Arial" w:cs="Arial"/>
        </w:rPr>
        <w:t>de manera eficaz e inmediata</w:t>
      </w:r>
      <w:r>
        <w:rPr>
          <w:rFonts w:ascii="Arial" w:hAnsi="Arial" w:cs="Arial"/>
        </w:rPr>
        <w:t xml:space="preserve">, </w:t>
      </w:r>
      <w:r w:rsidRPr="00A732BD">
        <w:rPr>
          <w:rFonts w:ascii="Arial" w:hAnsi="Arial" w:cs="Arial"/>
        </w:rPr>
        <w:t xml:space="preserve">en respuesta a pequeñas variaciones </w:t>
      </w:r>
      <w:r>
        <w:rPr>
          <w:rFonts w:ascii="Arial" w:hAnsi="Arial" w:cs="Arial"/>
        </w:rPr>
        <w:t>no transitorias</w:t>
      </w:r>
      <w:r w:rsidRPr="00A732BD">
        <w:rPr>
          <w:rFonts w:ascii="Arial" w:hAnsi="Arial" w:cs="Arial"/>
        </w:rPr>
        <w:t xml:space="preserve"> en los precios relativos</w:t>
      </w:r>
      <w:r>
        <w:rPr>
          <w:rFonts w:ascii="Arial" w:hAnsi="Arial" w:cs="Arial"/>
        </w:rPr>
        <w:t xml:space="preserve"> u otras variables relevantes</w:t>
      </w:r>
      <w:r w:rsidRPr="00A732BD">
        <w:rPr>
          <w:rFonts w:ascii="Arial" w:hAnsi="Arial" w:cs="Arial"/>
        </w:rPr>
        <w:t>.</w:t>
      </w:r>
    </w:p>
    <w:p w14:paraId="44D37AB5" w14:textId="77777777" w:rsidR="003545C8" w:rsidRDefault="003545C8" w:rsidP="003545C8">
      <w:pPr>
        <w:spacing w:after="0"/>
        <w:jc w:val="both"/>
        <w:rPr>
          <w:rFonts w:ascii="Arial" w:hAnsi="Arial" w:cs="Arial"/>
        </w:rPr>
      </w:pPr>
      <w:r w:rsidRPr="003C04FC">
        <w:rPr>
          <w:rFonts w:ascii="Arial" w:hAnsi="Arial" w:cs="Arial"/>
        </w:rPr>
        <w:t xml:space="preserve">Cuando esto ocurre, esta oferta adicional puede restringir el comportamiento de los competidores y tener efectos equivalentes a los de la sustitución por el lado de la demanda. De esta manera, el análisis de sustitución por el lado de la oferta puede ampliar la dimensión </w:t>
      </w:r>
      <w:r>
        <w:rPr>
          <w:rFonts w:ascii="Arial" w:hAnsi="Arial" w:cs="Arial"/>
        </w:rPr>
        <w:t>producto</w:t>
      </w:r>
      <w:r w:rsidRPr="003C04FC">
        <w:rPr>
          <w:rFonts w:ascii="Arial" w:hAnsi="Arial" w:cs="Arial"/>
        </w:rPr>
        <w:t xml:space="preserve"> del MR. </w:t>
      </w:r>
    </w:p>
    <w:p w14:paraId="001742D5" w14:textId="77777777" w:rsidR="003545C8" w:rsidRPr="003C04FC" w:rsidRDefault="003545C8" w:rsidP="003545C8">
      <w:pPr>
        <w:spacing w:after="0"/>
        <w:jc w:val="both"/>
        <w:rPr>
          <w:rFonts w:ascii="Arial" w:hAnsi="Arial" w:cs="Arial"/>
        </w:rPr>
      </w:pPr>
    </w:p>
    <w:p w14:paraId="176B8706" w14:textId="77777777" w:rsidR="003545C8" w:rsidRDefault="003545C8" w:rsidP="003545C8">
      <w:pPr>
        <w:spacing w:after="0"/>
        <w:jc w:val="both"/>
        <w:rPr>
          <w:rFonts w:ascii="Arial" w:hAnsi="Arial" w:cs="Arial"/>
        </w:rPr>
      </w:pPr>
      <w:r w:rsidRPr="003C04FC">
        <w:rPr>
          <w:rFonts w:ascii="Arial" w:hAnsi="Arial" w:cs="Arial"/>
        </w:rPr>
        <w:t>Conforme la sustitución por el lado de la oferta implique que los proveedores de bienes y servicios deban ajustar de manera significativa los activos materiales e inmateriales existentes, las inversiones, las decisiones estratégicas o los plazos, el análisis de sustitución po</w:t>
      </w:r>
      <w:r>
        <w:rPr>
          <w:rFonts w:ascii="Arial" w:hAnsi="Arial" w:cs="Arial"/>
        </w:rPr>
        <w:t>r el lado de la oferta no tiene</w:t>
      </w:r>
      <w:r w:rsidRPr="003C04FC">
        <w:rPr>
          <w:rFonts w:ascii="Arial" w:hAnsi="Arial" w:cs="Arial"/>
        </w:rPr>
        <w:t xml:space="preserve"> incidencia en la delimitación del MR.</w:t>
      </w:r>
    </w:p>
    <w:p w14:paraId="7617DB7F" w14:textId="77777777" w:rsidR="003545C8" w:rsidRPr="003C04FC" w:rsidRDefault="003545C8" w:rsidP="003545C8">
      <w:pPr>
        <w:spacing w:after="0"/>
        <w:jc w:val="both"/>
        <w:rPr>
          <w:rFonts w:ascii="Arial" w:hAnsi="Arial" w:cs="Arial"/>
        </w:rPr>
      </w:pPr>
      <w:r w:rsidRPr="003C04FC">
        <w:rPr>
          <w:rFonts w:ascii="Arial" w:hAnsi="Arial" w:cs="Arial"/>
        </w:rPr>
        <w:lastRenderedPageBreak/>
        <w:t xml:space="preserve">Para llevar a cabo el análisis de sustitución por el lado de la oferta, el Instituto </w:t>
      </w:r>
      <w:r>
        <w:rPr>
          <w:rFonts w:ascii="Arial" w:hAnsi="Arial" w:cs="Arial"/>
        </w:rPr>
        <w:t xml:space="preserve">podrá </w:t>
      </w:r>
      <w:r w:rsidRPr="003C04FC">
        <w:rPr>
          <w:rFonts w:ascii="Arial" w:hAnsi="Arial" w:cs="Arial"/>
        </w:rPr>
        <w:t>considerar los siguientes elementos.</w:t>
      </w:r>
    </w:p>
    <w:p w14:paraId="0C4CA00E" w14:textId="77777777" w:rsidR="003545C8" w:rsidRPr="00725954" w:rsidRDefault="003545C8" w:rsidP="003545C8">
      <w:pPr>
        <w:keepNext/>
        <w:spacing w:after="0"/>
        <w:jc w:val="both"/>
        <w:rPr>
          <w:rFonts w:ascii="Arial" w:hAnsi="Arial" w:cs="Arial"/>
        </w:rPr>
      </w:pPr>
    </w:p>
    <w:p w14:paraId="72A4DF5F" w14:textId="77777777" w:rsidR="003545C8" w:rsidRPr="003C04FC" w:rsidRDefault="003545C8" w:rsidP="005E23E0">
      <w:pPr>
        <w:pStyle w:val="Prrafodelista"/>
        <w:numPr>
          <w:ilvl w:val="0"/>
          <w:numId w:val="12"/>
        </w:numPr>
        <w:spacing w:after="0"/>
        <w:ind w:hanging="578"/>
        <w:contextualSpacing w:val="0"/>
        <w:jc w:val="both"/>
        <w:rPr>
          <w:rFonts w:ascii="Arial" w:hAnsi="Arial" w:cs="Arial"/>
          <w:b/>
          <w:i/>
        </w:rPr>
      </w:pPr>
      <w:r w:rsidRPr="00EB3009">
        <w:rPr>
          <w:rFonts w:ascii="Arial" w:hAnsi="Arial" w:cs="Arial"/>
          <w:b/>
        </w:rPr>
        <w:t xml:space="preserve">Requisitos </w:t>
      </w:r>
      <w:r w:rsidRPr="003C04FC">
        <w:rPr>
          <w:rFonts w:ascii="Arial" w:hAnsi="Arial" w:cs="Arial"/>
          <w:b/>
        </w:rPr>
        <w:t xml:space="preserve">normativos de carácter federal, local o internacional, como concesiones, permisos o autorizaciones, </w:t>
      </w:r>
      <w:r w:rsidRPr="003C04FC">
        <w:rPr>
          <w:rFonts w:ascii="Arial" w:eastAsia="Calibri" w:hAnsi="Arial" w:cs="Arial"/>
          <w:b/>
        </w:rPr>
        <w:t>que limiten el acceso de prov</w:t>
      </w:r>
      <w:r>
        <w:rPr>
          <w:rFonts w:ascii="Arial" w:eastAsia="Calibri" w:hAnsi="Arial" w:cs="Arial"/>
          <w:b/>
        </w:rPr>
        <w:t>eedores a clientes alternativos</w:t>
      </w:r>
    </w:p>
    <w:p w14:paraId="3A1A38BF" w14:textId="77777777" w:rsidR="003545C8" w:rsidRPr="003C04FC" w:rsidRDefault="003545C8" w:rsidP="003545C8">
      <w:pPr>
        <w:spacing w:after="0"/>
        <w:jc w:val="both"/>
        <w:rPr>
          <w:rFonts w:ascii="Arial" w:hAnsi="Arial" w:cs="Arial"/>
        </w:rPr>
      </w:pPr>
    </w:p>
    <w:p w14:paraId="1AFFCD55" w14:textId="77777777" w:rsidR="003545C8" w:rsidRPr="003C04FC" w:rsidRDefault="003545C8" w:rsidP="003545C8">
      <w:pPr>
        <w:tabs>
          <w:tab w:val="left" w:pos="3828"/>
        </w:tabs>
        <w:spacing w:after="0"/>
        <w:jc w:val="both"/>
        <w:rPr>
          <w:rFonts w:ascii="Arial" w:hAnsi="Arial" w:cs="Arial"/>
        </w:rPr>
      </w:pPr>
      <w:r w:rsidRPr="003C04FC">
        <w:rPr>
          <w:rFonts w:ascii="Arial" w:hAnsi="Arial" w:cs="Arial"/>
        </w:rPr>
        <w:t>El Instituto podrá analizar la existencia de requisitos normativos de carácter federal, local o internacional que limiten la capacidad o disposición de proveedores para adecuar sus sistemas productivos, o modelos de negocio, y ofrecer el producto analizado.</w:t>
      </w:r>
    </w:p>
    <w:p w14:paraId="6274F677" w14:textId="77777777" w:rsidR="003545C8" w:rsidRPr="003C04FC" w:rsidRDefault="003545C8" w:rsidP="003545C8">
      <w:pPr>
        <w:tabs>
          <w:tab w:val="left" w:pos="3828"/>
        </w:tabs>
        <w:spacing w:after="0"/>
        <w:jc w:val="both"/>
        <w:rPr>
          <w:rFonts w:ascii="Arial" w:hAnsi="Arial" w:cs="Arial"/>
        </w:rPr>
      </w:pPr>
    </w:p>
    <w:p w14:paraId="3C202319" w14:textId="77777777" w:rsidR="003545C8" w:rsidRPr="003C04FC" w:rsidRDefault="003545C8" w:rsidP="003545C8">
      <w:pPr>
        <w:tabs>
          <w:tab w:val="left" w:pos="3828"/>
        </w:tabs>
        <w:spacing w:after="0"/>
        <w:jc w:val="both"/>
        <w:rPr>
          <w:rFonts w:ascii="Arial" w:hAnsi="Arial" w:cs="Arial"/>
        </w:rPr>
      </w:pPr>
      <w:r w:rsidRPr="003C04FC">
        <w:rPr>
          <w:rFonts w:ascii="Arial" w:hAnsi="Arial" w:cs="Arial"/>
        </w:rPr>
        <w:t xml:space="preserve">Por ejemplo, el Instituto </w:t>
      </w:r>
      <w:r>
        <w:rPr>
          <w:rFonts w:ascii="Arial" w:hAnsi="Arial" w:cs="Arial"/>
        </w:rPr>
        <w:t xml:space="preserve">podrá </w:t>
      </w:r>
      <w:r w:rsidRPr="003C04FC">
        <w:rPr>
          <w:rFonts w:ascii="Arial" w:hAnsi="Arial" w:cs="Arial"/>
        </w:rPr>
        <w:t xml:space="preserve">considerar requisitos como: i) la necesidad de obtener concesiones, permisos o autorizaciones, </w:t>
      </w:r>
      <w:proofErr w:type="spellStart"/>
      <w:r w:rsidRPr="003C04FC">
        <w:rPr>
          <w:rFonts w:ascii="Arial" w:hAnsi="Arial" w:cs="Arial"/>
        </w:rPr>
        <w:t>ii</w:t>
      </w:r>
      <w:proofErr w:type="spellEnd"/>
      <w:r w:rsidRPr="003C04FC">
        <w:rPr>
          <w:rFonts w:ascii="Arial" w:hAnsi="Arial" w:cs="Arial"/>
        </w:rPr>
        <w:t xml:space="preserve">) la existencia de derechos exclusivos a algunos proveedores para prestar servicios u ofrecer bienes, </w:t>
      </w:r>
      <w:proofErr w:type="spellStart"/>
      <w:r w:rsidRPr="003C04FC">
        <w:rPr>
          <w:rFonts w:ascii="Arial" w:hAnsi="Arial" w:cs="Arial"/>
        </w:rPr>
        <w:t>iii</w:t>
      </w:r>
      <w:proofErr w:type="spellEnd"/>
      <w:r w:rsidRPr="003C04FC">
        <w:rPr>
          <w:rFonts w:ascii="Arial" w:hAnsi="Arial" w:cs="Arial"/>
        </w:rPr>
        <w:t xml:space="preserve">) las restricciones regulatorias que impidan que ciertos agentes ofrezcan determinados productos o </w:t>
      </w:r>
      <w:proofErr w:type="spellStart"/>
      <w:r w:rsidRPr="003C04FC">
        <w:rPr>
          <w:rFonts w:ascii="Arial" w:hAnsi="Arial" w:cs="Arial"/>
        </w:rPr>
        <w:t>iv</w:t>
      </w:r>
      <w:proofErr w:type="spellEnd"/>
      <w:r w:rsidRPr="003C04FC">
        <w:rPr>
          <w:rFonts w:ascii="Arial" w:hAnsi="Arial" w:cs="Arial"/>
        </w:rPr>
        <w:t xml:space="preserve">) la necesidad de cumplir con estándares específicos. </w:t>
      </w:r>
    </w:p>
    <w:p w14:paraId="37EF5731" w14:textId="77777777" w:rsidR="003545C8" w:rsidRPr="003C04FC" w:rsidRDefault="003545C8" w:rsidP="003545C8">
      <w:pPr>
        <w:spacing w:after="0"/>
        <w:jc w:val="both"/>
        <w:rPr>
          <w:rFonts w:ascii="Arial" w:hAnsi="Arial" w:cs="Arial"/>
        </w:rPr>
      </w:pPr>
    </w:p>
    <w:p w14:paraId="73F0B5DC" w14:textId="77777777" w:rsidR="003545C8" w:rsidRPr="00EB3009" w:rsidRDefault="003545C8" w:rsidP="003545C8">
      <w:pPr>
        <w:spacing w:after="0"/>
        <w:jc w:val="both"/>
        <w:rPr>
          <w:rFonts w:ascii="Arial" w:hAnsi="Arial" w:cs="Arial"/>
        </w:rPr>
      </w:pPr>
      <w:r w:rsidRPr="003C04FC">
        <w:rPr>
          <w:rFonts w:ascii="Arial" w:hAnsi="Arial" w:cs="Arial"/>
        </w:rPr>
        <w:t xml:space="preserve">Algunas limitaciones relacionadas con aspectos normativos pueden ser implícitas, es decir, restringir la entrada de las empresas de manera indirecta. Por </w:t>
      </w:r>
      <w:proofErr w:type="gramStart"/>
      <w:r w:rsidRPr="003C04FC">
        <w:rPr>
          <w:rFonts w:ascii="Arial" w:hAnsi="Arial" w:cs="Arial"/>
        </w:rPr>
        <w:t>ejemplo</w:t>
      </w:r>
      <w:proofErr w:type="gramEnd"/>
      <w:r w:rsidRPr="003C04FC">
        <w:rPr>
          <w:rFonts w:ascii="Arial" w:hAnsi="Arial" w:cs="Arial"/>
        </w:rPr>
        <w:t xml:space="preserve"> cuando, en ciertas circunstancias, la ausencia de regulación a las empresas establecidas para compartir su red con las entrantes podría implicar una perspectiva de negocios más incierta para un AE entrante y rival potencial.</w:t>
      </w:r>
      <w:r w:rsidRPr="003C04FC">
        <w:rPr>
          <w:rStyle w:val="Refdenotaalpie"/>
          <w:rFonts w:ascii="Arial" w:hAnsi="Arial" w:cs="Arial"/>
        </w:rPr>
        <w:footnoteReference w:id="41"/>
      </w:r>
    </w:p>
    <w:p w14:paraId="747DA890" w14:textId="77777777" w:rsidR="003545C8" w:rsidRPr="00EB3009" w:rsidRDefault="003545C8" w:rsidP="003545C8">
      <w:pPr>
        <w:spacing w:after="0"/>
        <w:jc w:val="both"/>
        <w:rPr>
          <w:rFonts w:ascii="Arial" w:hAnsi="Arial" w:cs="Arial"/>
        </w:rPr>
      </w:pPr>
    </w:p>
    <w:p w14:paraId="13B88F08" w14:textId="77777777" w:rsidR="003545C8" w:rsidRPr="00EB3009" w:rsidRDefault="003545C8" w:rsidP="005E23E0">
      <w:pPr>
        <w:pStyle w:val="Prrafodelista"/>
        <w:keepNext/>
        <w:numPr>
          <w:ilvl w:val="0"/>
          <w:numId w:val="23"/>
        </w:numPr>
        <w:spacing w:after="0"/>
        <w:ind w:hanging="578"/>
        <w:contextualSpacing w:val="0"/>
        <w:jc w:val="both"/>
        <w:rPr>
          <w:rFonts w:ascii="Arial" w:hAnsi="Arial" w:cs="Arial"/>
          <w:b/>
        </w:rPr>
      </w:pPr>
      <w:r w:rsidRPr="00EB3009">
        <w:rPr>
          <w:rFonts w:ascii="Arial" w:hAnsi="Arial" w:cs="Arial"/>
          <w:b/>
        </w:rPr>
        <w:t xml:space="preserve">Evidencia, opiniones, estrategias y comportamiento de proveedores respecto a sus posibilidades y disposición (en términos de tiempo, costos e incentivos) para </w:t>
      </w:r>
      <w:r>
        <w:rPr>
          <w:rFonts w:ascii="Arial" w:hAnsi="Arial" w:cs="Arial"/>
          <w:b/>
        </w:rPr>
        <w:t>proveer el producto analizado</w:t>
      </w:r>
      <w:r w:rsidRPr="00EB3009">
        <w:rPr>
          <w:rFonts w:ascii="Arial" w:hAnsi="Arial" w:cs="Arial"/>
          <w:b/>
        </w:rPr>
        <w:t xml:space="preserve"> ante incrementos en el precio (por ejemplo, del 5%-10%) </w:t>
      </w:r>
      <w:r>
        <w:rPr>
          <w:rFonts w:ascii="Arial" w:hAnsi="Arial" w:cs="Arial"/>
          <w:b/>
        </w:rPr>
        <w:t>o</w:t>
      </w:r>
      <w:r w:rsidRPr="00EB3009">
        <w:rPr>
          <w:rFonts w:ascii="Arial" w:hAnsi="Arial" w:cs="Arial"/>
          <w:b/>
        </w:rPr>
        <w:t xml:space="preserve"> </w:t>
      </w:r>
      <w:r>
        <w:rPr>
          <w:rFonts w:ascii="Arial" w:hAnsi="Arial" w:cs="Arial"/>
          <w:b/>
        </w:rPr>
        <w:t>variaciones en</w:t>
      </w:r>
      <w:r w:rsidRPr="00EB3009">
        <w:rPr>
          <w:rFonts w:ascii="Arial" w:hAnsi="Arial" w:cs="Arial"/>
          <w:b/>
        </w:rPr>
        <w:t xml:space="preserve"> otras variables de competencia</w:t>
      </w:r>
      <w:r>
        <w:rPr>
          <w:rFonts w:ascii="Arial" w:hAnsi="Arial" w:cs="Arial"/>
          <w:b/>
        </w:rPr>
        <w:t xml:space="preserve"> (</w:t>
      </w:r>
      <w:r w:rsidRPr="00725954">
        <w:rPr>
          <w:rFonts w:ascii="Arial" w:hAnsi="Arial" w:cs="Arial"/>
          <w:b/>
        </w:rPr>
        <w:t xml:space="preserve">por ejemplo, </w:t>
      </w:r>
      <w:r>
        <w:rPr>
          <w:rFonts w:ascii="Arial" w:hAnsi="Arial" w:cs="Arial"/>
          <w:b/>
        </w:rPr>
        <w:t xml:space="preserve">disminuciones en </w:t>
      </w:r>
      <w:r w:rsidRPr="00725954">
        <w:rPr>
          <w:rFonts w:ascii="Arial" w:hAnsi="Arial" w:cs="Arial"/>
          <w:b/>
        </w:rPr>
        <w:t>la calidad</w:t>
      </w:r>
      <w:r>
        <w:rPr>
          <w:rFonts w:ascii="Arial" w:hAnsi="Arial" w:cs="Arial"/>
          <w:b/>
        </w:rPr>
        <w:t>)</w:t>
      </w:r>
    </w:p>
    <w:p w14:paraId="2A53DCFB" w14:textId="77777777" w:rsidR="003545C8" w:rsidRPr="00EB3009" w:rsidRDefault="003545C8" w:rsidP="003545C8">
      <w:pPr>
        <w:keepNext/>
        <w:spacing w:after="0"/>
        <w:jc w:val="both"/>
        <w:rPr>
          <w:rFonts w:ascii="Arial" w:hAnsi="Arial" w:cs="Arial"/>
          <w:b/>
        </w:rPr>
      </w:pPr>
    </w:p>
    <w:p w14:paraId="6E515010" w14:textId="77777777" w:rsidR="003545C8" w:rsidRPr="003C04FC" w:rsidRDefault="003545C8" w:rsidP="003545C8">
      <w:pPr>
        <w:spacing w:after="0"/>
        <w:jc w:val="both"/>
        <w:rPr>
          <w:rFonts w:ascii="Arial" w:hAnsi="Arial" w:cs="Arial"/>
        </w:rPr>
      </w:pPr>
      <w:r w:rsidRPr="003C04FC">
        <w:rPr>
          <w:rFonts w:ascii="Arial" w:hAnsi="Arial" w:cs="Arial"/>
        </w:rPr>
        <w:t xml:space="preserve">El Instituto podrá evaluar la evidencia histórica sobre proveedores que hayan ajustado sus procesos productivos para proveer el producto analizado, incluyendo información sobre los incentivos, costos y el tiempo requeridos. Entre menor sea el costo y tiempo que se requiere para </w:t>
      </w:r>
      <w:r>
        <w:rPr>
          <w:rFonts w:ascii="Arial" w:hAnsi="Arial" w:cs="Arial"/>
        </w:rPr>
        <w:t>comenzar a proveer el producto analizado</w:t>
      </w:r>
      <w:r w:rsidRPr="003C04FC">
        <w:rPr>
          <w:rFonts w:ascii="Arial" w:hAnsi="Arial" w:cs="Arial"/>
        </w:rPr>
        <w:t xml:space="preserve"> ante incrementos </w:t>
      </w:r>
      <w:r>
        <w:rPr>
          <w:rFonts w:ascii="Arial" w:hAnsi="Arial" w:cs="Arial"/>
        </w:rPr>
        <w:t>su</w:t>
      </w:r>
      <w:r w:rsidRPr="003C04FC">
        <w:rPr>
          <w:rFonts w:ascii="Arial" w:hAnsi="Arial" w:cs="Arial"/>
        </w:rPr>
        <w:t xml:space="preserve"> precio o </w:t>
      </w:r>
      <w:r>
        <w:rPr>
          <w:rFonts w:ascii="Arial" w:hAnsi="Arial" w:cs="Arial"/>
        </w:rPr>
        <w:t>ante el cambio en otras variables de competencia</w:t>
      </w:r>
      <w:r w:rsidRPr="003C04FC">
        <w:rPr>
          <w:rFonts w:ascii="Arial" w:hAnsi="Arial" w:cs="Arial"/>
        </w:rPr>
        <w:t>, las restricciones competitivas para los proveedores de dicho producto</w:t>
      </w:r>
      <w:r>
        <w:rPr>
          <w:rFonts w:ascii="Arial" w:hAnsi="Arial" w:cs="Arial"/>
        </w:rPr>
        <w:t xml:space="preserve"> son mayores</w:t>
      </w:r>
      <w:r w:rsidRPr="003C04FC">
        <w:rPr>
          <w:rFonts w:ascii="Arial" w:hAnsi="Arial" w:cs="Arial"/>
        </w:rPr>
        <w:t>, lo que sugeriría la necesidad de ampliar el MR.</w:t>
      </w:r>
    </w:p>
    <w:p w14:paraId="40796F92" w14:textId="77777777" w:rsidR="003545C8" w:rsidRPr="003C04FC" w:rsidRDefault="003545C8" w:rsidP="003545C8">
      <w:pPr>
        <w:spacing w:after="0"/>
        <w:jc w:val="both"/>
        <w:rPr>
          <w:rFonts w:ascii="Arial" w:hAnsi="Arial" w:cs="Arial"/>
        </w:rPr>
      </w:pPr>
    </w:p>
    <w:p w14:paraId="0DBA1453" w14:textId="77777777" w:rsidR="003545C8" w:rsidRPr="003C04FC" w:rsidRDefault="003545C8" w:rsidP="003545C8">
      <w:pPr>
        <w:spacing w:after="0"/>
        <w:jc w:val="both"/>
        <w:rPr>
          <w:rFonts w:ascii="Arial" w:hAnsi="Arial" w:cs="Arial"/>
        </w:rPr>
      </w:pPr>
      <w:r w:rsidRPr="003C04FC">
        <w:rPr>
          <w:rFonts w:ascii="Arial" w:hAnsi="Arial" w:cs="Arial"/>
        </w:rPr>
        <w:t>Además, se podrá</w:t>
      </w:r>
      <w:r>
        <w:rPr>
          <w:rFonts w:ascii="Arial" w:hAnsi="Arial" w:cs="Arial"/>
        </w:rPr>
        <w:t>n</w:t>
      </w:r>
      <w:r w:rsidRPr="003C04FC">
        <w:rPr>
          <w:rFonts w:ascii="Arial" w:hAnsi="Arial" w:cs="Arial"/>
        </w:rPr>
        <w:t xml:space="preserve"> tomar en consideración la opinión, las estrategias de expansión o el comportamiento de oferentes que pudieran tener incentivos para proveer el producto analizado</w:t>
      </w:r>
      <w:r>
        <w:rPr>
          <w:rFonts w:ascii="Arial" w:hAnsi="Arial" w:cs="Arial"/>
        </w:rPr>
        <w:t>. Esto, con el objetivo de obtener información</w:t>
      </w:r>
      <w:r w:rsidRPr="003C04FC">
        <w:rPr>
          <w:rFonts w:ascii="Arial" w:hAnsi="Arial" w:cs="Arial"/>
        </w:rPr>
        <w:t xml:space="preserve"> respecto a si existe una posibilidad real de que </w:t>
      </w:r>
      <w:r>
        <w:rPr>
          <w:rFonts w:ascii="Arial" w:hAnsi="Arial" w:cs="Arial"/>
        </w:rPr>
        <w:t xml:space="preserve">dichos proveedores </w:t>
      </w:r>
      <w:r w:rsidRPr="003C04FC">
        <w:rPr>
          <w:rFonts w:ascii="Arial" w:hAnsi="Arial" w:cs="Arial"/>
        </w:rPr>
        <w:t xml:space="preserve">comiencen a ofrecer el producto analizado de manera eficaz e inmediata ante </w:t>
      </w:r>
      <w:r w:rsidRPr="003C04FC">
        <w:rPr>
          <w:rFonts w:ascii="Arial" w:hAnsi="Arial" w:cs="Arial"/>
        </w:rPr>
        <w:lastRenderedPageBreak/>
        <w:t>incrementos en el precio de dicho producto (por ejemplo, del 5%-10%) o modificaciones en otras variables de competencia (por ejemplo, disminuciones en la calidad).</w:t>
      </w:r>
    </w:p>
    <w:p w14:paraId="36AA774A" w14:textId="77777777" w:rsidR="003545C8" w:rsidRPr="003C04FC" w:rsidRDefault="003545C8" w:rsidP="003545C8">
      <w:pPr>
        <w:spacing w:after="0"/>
        <w:jc w:val="both"/>
        <w:rPr>
          <w:rFonts w:ascii="Arial" w:hAnsi="Arial" w:cs="Arial"/>
        </w:rPr>
      </w:pPr>
    </w:p>
    <w:p w14:paraId="44AF2222" w14:textId="77777777" w:rsidR="003545C8" w:rsidRPr="003C04FC" w:rsidRDefault="003545C8" w:rsidP="005E23E0">
      <w:pPr>
        <w:pStyle w:val="Prrafodelista"/>
        <w:numPr>
          <w:ilvl w:val="0"/>
          <w:numId w:val="23"/>
        </w:numPr>
        <w:spacing w:after="0"/>
        <w:ind w:hanging="578"/>
        <w:contextualSpacing w:val="0"/>
        <w:jc w:val="both"/>
        <w:rPr>
          <w:rFonts w:ascii="Arial" w:hAnsi="Arial" w:cs="Arial"/>
          <w:b/>
        </w:rPr>
      </w:pPr>
      <w:r w:rsidRPr="003C04FC">
        <w:rPr>
          <w:rFonts w:ascii="Arial" w:hAnsi="Arial" w:cs="Arial"/>
          <w:b/>
        </w:rPr>
        <w:t xml:space="preserve">La posibilidad, incentivos y costos de acceder a insumos y de extender o cambiar los sistemas de producción y distribución; la capacidad excedente y los contratos de largo plazo que puedan limitar la capacidad de </w:t>
      </w:r>
      <w:proofErr w:type="spellStart"/>
      <w:r w:rsidRPr="003C04FC">
        <w:rPr>
          <w:rFonts w:ascii="Arial" w:hAnsi="Arial" w:cs="Arial"/>
          <w:b/>
        </w:rPr>
        <w:t>re-direccionar</w:t>
      </w:r>
      <w:proofErr w:type="spellEnd"/>
      <w:r w:rsidRPr="003C04FC">
        <w:rPr>
          <w:rFonts w:ascii="Arial" w:hAnsi="Arial" w:cs="Arial"/>
          <w:b/>
        </w:rPr>
        <w:t xml:space="preserve"> la producción hacia el producto analizado</w:t>
      </w:r>
    </w:p>
    <w:p w14:paraId="0DBD3A70" w14:textId="77777777" w:rsidR="003545C8" w:rsidRPr="003C04FC" w:rsidRDefault="003545C8" w:rsidP="003545C8">
      <w:pPr>
        <w:spacing w:after="0"/>
        <w:jc w:val="both"/>
        <w:rPr>
          <w:rFonts w:ascii="Arial" w:hAnsi="Arial" w:cs="Arial"/>
        </w:rPr>
      </w:pPr>
    </w:p>
    <w:p w14:paraId="2F778420" w14:textId="77777777" w:rsidR="003545C8" w:rsidRPr="003C04FC" w:rsidRDefault="003545C8" w:rsidP="003545C8">
      <w:pPr>
        <w:spacing w:after="0"/>
        <w:jc w:val="both"/>
        <w:rPr>
          <w:rFonts w:ascii="Arial" w:hAnsi="Arial" w:cs="Arial"/>
        </w:rPr>
      </w:pPr>
      <w:r w:rsidRPr="003C04FC">
        <w:rPr>
          <w:rFonts w:ascii="Arial" w:hAnsi="Arial" w:cs="Arial"/>
        </w:rPr>
        <w:t>El Instituto podrá analizar la posibilidad y los costos en que incurrirían oferentes que pudieran tener incentivos para proveer el producto analizado, ya sea para acceder a los insumos necesarios, o para modificar sus sistemas de producción y distribución; la sustitución por el lado de la oferta es más probable cuando los costos hundidos y el tiempo son reducidos, y los incentivos son altos.</w:t>
      </w:r>
    </w:p>
    <w:p w14:paraId="17148443" w14:textId="77777777" w:rsidR="003545C8" w:rsidRPr="003C04FC" w:rsidRDefault="003545C8" w:rsidP="003545C8">
      <w:pPr>
        <w:spacing w:after="0"/>
        <w:jc w:val="both"/>
        <w:rPr>
          <w:rFonts w:ascii="Arial" w:hAnsi="Arial" w:cs="Arial"/>
        </w:rPr>
      </w:pPr>
    </w:p>
    <w:p w14:paraId="0922C081" w14:textId="77777777" w:rsidR="003545C8" w:rsidRPr="003C04FC" w:rsidRDefault="003545C8" w:rsidP="003545C8">
      <w:pPr>
        <w:spacing w:after="0"/>
        <w:jc w:val="both"/>
        <w:rPr>
          <w:rFonts w:ascii="Arial" w:hAnsi="Arial" w:cs="Arial"/>
        </w:rPr>
      </w:pPr>
      <w:r w:rsidRPr="003C04FC">
        <w:rPr>
          <w:rFonts w:ascii="Arial" w:hAnsi="Arial" w:cs="Arial"/>
        </w:rPr>
        <w:t xml:space="preserve">Uno de los elementos a tomar en cuenta es si el cambio en los sistemas de producción y distribución es factible con la tecnología actual o si se requiere llevar a cabo un cambio tecnológico. Por ejemplo, la convergencia tecnológica y la digitalización podrían permitir a nuevos proveedores ofrecer servicios similares haciendo uso de una plataforma diferente o comenzar a proveer el producto analizado a partir de su infraestructura y capacidad instalada, lo que reduciría el tiempo y los costos necesarios para tal efecto, especialmente cuando existen economías de alcance. </w:t>
      </w:r>
    </w:p>
    <w:p w14:paraId="153FD741" w14:textId="77777777" w:rsidR="003545C8" w:rsidRPr="00E26FF0" w:rsidRDefault="003545C8" w:rsidP="003545C8">
      <w:pPr>
        <w:spacing w:after="0"/>
        <w:jc w:val="both"/>
        <w:rPr>
          <w:rFonts w:ascii="Arial" w:hAnsi="Arial" w:cs="Arial"/>
          <w:highlight w:val="cyan"/>
        </w:rPr>
      </w:pPr>
    </w:p>
    <w:p w14:paraId="4D31898A" w14:textId="77777777" w:rsidR="003545C8" w:rsidRPr="003C04FC" w:rsidRDefault="003545C8" w:rsidP="003545C8">
      <w:pPr>
        <w:spacing w:after="0"/>
        <w:jc w:val="both"/>
        <w:rPr>
          <w:rFonts w:ascii="Arial" w:hAnsi="Arial" w:cs="Arial"/>
        </w:rPr>
      </w:pPr>
      <w:r w:rsidRPr="003C04FC">
        <w:rPr>
          <w:rFonts w:ascii="Arial" w:hAnsi="Arial" w:cs="Arial"/>
        </w:rPr>
        <w:t xml:space="preserve">Las posibilidades de los oferentes que pudieran tener incentivos para proveer el producto analizado también dependen de que puedan destinar, de manera eficaz e inmediata, capacidad de producción hacia el producto en cuestión. Es posible que algunos oferentes tengan suficiente capacidad instalada, pero tengan pocas posibilidades de destinar dicha capacidad para producir el producto analizado en el corto plazo. Por ejemplo, los oferentes pueden enfrentar altos costos asociados al </w:t>
      </w:r>
      <w:proofErr w:type="spellStart"/>
      <w:r w:rsidRPr="003C04FC">
        <w:rPr>
          <w:rFonts w:ascii="Arial" w:hAnsi="Arial" w:cs="Arial"/>
        </w:rPr>
        <w:t>re-direccionamiento</w:t>
      </w:r>
      <w:proofErr w:type="spellEnd"/>
      <w:r w:rsidRPr="003C04FC">
        <w:rPr>
          <w:rFonts w:ascii="Arial" w:hAnsi="Arial" w:cs="Arial"/>
        </w:rPr>
        <w:t xml:space="preserve"> de su producción o estar sujetos a contratos de suministro de largo plazo. Es decir, aunque para dichos proveedores es viable modificar sus procesos productivos para proveer el producto analizado, podrían enfrentar restricciones que les impidan hacerlo de manera inmediata y sin incurrir en costos hundidos apreciables. </w:t>
      </w:r>
    </w:p>
    <w:p w14:paraId="0076646E" w14:textId="77777777" w:rsidR="003545C8" w:rsidRPr="003C04FC" w:rsidRDefault="003545C8" w:rsidP="003545C8">
      <w:pPr>
        <w:spacing w:after="0"/>
        <w:jc w:val="both"/>
        <w:rPr>
          <w:rFonts w:ascii="Arial" w:hAnsi="Arial" w:cs="Arial"/>
        </w:rPr>
      </w:pPr>
    </w:p>
    <w:p w14:paraId="58F775A6" w14:textId="77777777" w:rsidR="003545C8" w:rsidRPr="003C04FC" w:rsidRDefault="003545C8" w:rsidP="003545C8">
      <w:pPr>
        <w:spacing w:after="0"/>
        <w:jc w:val="both"/>
        <w:rPr>
          <w:rFonts w:ascii="Arial" w:hAnsi="Arial" w:cs="Arial"/>
        </w:rPr>
      </w:pPr>
      <w:r w:rsidRPr="003C04FC">
        <w:rPr>
          <w:rFonts w:ascii="Arial" w:hAnsi="Arial" w:cs="Arial"/>
        </w:rPr>
        <w:t xml:space="preserve">En este sentido, el Instituto podrá considerar elementos indicativos de las posibilidades y disposición de proveedores </w:t>
      </w:r>
      <w:r>
        <w:rPr>
          <w:rFonts w:ascii="Arial" w:hAnsi="Arial" w:cs="Arial"/>
        </w:rPr>
        <w:t>alternativo</w:t>
      </w:r>
      <w:r w:rsidRPr="003C04FC">
        <w:rPr>
          <w:rFonts w:ascii="Arial" w:hAnsi="Arial" w:cs="Arial"/>
        </w:rPr>
        <w:t xml:space="preserve">s para destinar su capacidad instalada excedente o en uso a la producción del producto analizado, incluyendo: i) la existencia de contratos de largo plazo que limiten sus posibilidades de </w:t>
      </w:r>
      <w:proofErr w:type="spellStart"/>
      <w:r w:rsidRPr="003C04FC">
        <w:rPr>
          <w:rFonts w:ascii="Arial" w:hAnsi="Arial" w:cs="Arial"/>
        </w:rPr>
        <w:t>re-direccionar</w:t>
      </w:r>
      <w:proofErr w:type="spellEnd"/>
      <w:r w:rsidRPr="003C04FC">
        <w:rPr>
          <w:rFonts w:ascii="Arial" w:hAnsi="Arial" w:cs="Arial"/>
        </w:rPr>
        <w:t xml:space="preserve"> su capacidad en uso y </w:t>
      </w:r>
      <w:proofErr w:type="spellStart"/>
      <w:r w:rsidRPr="003C04FC">
        <w:rPr>
          <w:rFonts w:ascii="Arial" w:hAnsi="Arial" w:cs="Arial"/>
        </w:rPr>
        <w:t>ii</w:t>
      </w:r>
      <w:proofErr w:type="spellEnd"/>
      <w:r w:rsidRPr="003C04FC">
        <w:rPr>
          <w:rFonts w:ascii="Arial" w:hAnsi="Arial" w:cs="Arial"/>
        </w:rPr>
        <w:t>) las posibilidades para acceder a insumos o canales de distribución.</w:t>
      </w:r>
    </w:p>
    <w:p w14:paraId="28694929" w14:textId="77777777" w:rsidR="003545C8" w:rsidRPr="003C04FC" w:rsidRDefault="003545C8" w:rsidP="003545C8">
      <w:pPr>
        <w:spacing w:after="0"/>
        <w:jc w:val="both"/>
        <w:rPr>
          <w:rFonts w:ascii="Arial" w:hAnsi="Arial" w:cs="Arial"/>
        </w:rPr>
      </w:pPr>
    </w:p>
    <w:p w14:paraId="6A285F64" w14:textId="77777777" w:rsidR="003545C8" w:rsidRPr="00EB3009" w:rsidRDefault="003545C8" w:rsidP="003545C8">
      <w:pPr>
        <w:spacing w:after="0"/>
        <w:jc w:val="both"/>
        <w:rPr>
          <w:rFonts w:ascii="Arial" w:hAnsi="Arial" w:cs="Arial"/>
        </w:rPr>
      </w:pPr>
      <w:r w:rsidRPr="003C04FC">
        <w:rPr>
          <w:rFonts w:ascii="Arial" w:hAnsi="Arial" w:cs="Arial"/>
        </w:rPr>
        <w:t xml:space="preserve">También cabe señalar que, en los sectores de </w:t>
      </w:r>
      <w:proofErr w:type="spellStart"/>
      <w:r w:rsidRPr="003C04FC">
        <w:rPr>
          <w:rFonts w:ascii="Arial" w:hAnsi="Arial" w:cs="Arial"/>
        </w:rPr>
        <w:t>TyR</w:t>
      </w:r>
      <w:proofErr w:type="spellEnd"/>
      <w:r w:rsidRPr="003C04FC">
        <w:rPr>
          <w:rFonts w:ascii="Arial" w:hAnsi="Arial" w:cs="Arial"/>
        </w:rPr>
        <w:t xml:space="preserve">, la necesidad de acceder a RPT, contenidos o frecuencias del espectro radioeléctrico específicas, puede elevar los costos y el tiempo de acceso a insumos necesarios para proveer el producto analizado. </w:t>
      </w:r>
    </w:p>
    <w:p w14:paraId="29E073B2" w14:textId="77777777" w:rsidR="003545C8" w:rsidRPr="00EB3009" w:rsidRDefault="003545C8" w:rsidP="003545C8">
      <w:pPr>
        <w:spacing w:after="0"/>
        <w:jc w:val="both"/>
        <w:rPr>
          <w:rFonts w:ascii="Arial" w:hAnsi="Arial" w:cs="Arial"/>
          <w:highlight w:val="cyan"/>
        </w:rPr>
      </w:pPr>
    </w:p>
    <w:p w14:paraId="22C32A84" w14:textId="77777777" w:rsidR="003545C8" w:rsidRPr="00EB3009" w:rsidRDefault="003545C8" w:rsidP="005E23E0">
      <w:pPr>
        <w:keepNext/>
        <w:numPr>
          <w:ilvl w:val="0"/>
          <w:numId w:val="23"/>
        </w:numPr>
        <w:spacing w:after="0"/>
        <w:jc w:val="both"/>
        <w:rPr>
          <w:rFonts w:ascii="Arial" w:hAnsi="Arial" w:cs="Arial"/>
          <w:b/>
        </w:rPr>
      </w:pPr>
      <w:r w:rsidRPr="00EB3009">
        <w:rPr>
          <w:rFonts w:ascii="Arial" w:hAnsi="Arial" w:cs="Arial"/>
          <w:b/>
        </w:rPr>
        <w:lastRenderedPageBreak/>
        <w:t>La escala de operación de oferentes</w:t>
      </w:r>
      <w:r>
        <w:rPr>
          <w:rFonts w:ascii="Arial" w:hAnsi="Arial" w:cs="Arial"/>
          <w:b/>
        </w:rPr>
        <w:t xml:space="preserve"> </w:t>
      </w:r>
      <w:r w:rsidRPr="007B2840">
        <w:rPr>
          <w:rFonts w:ascii="Arial" w:hAnsi="Arial" w:cs="Arial"/>
          <w:b/>
        </w:rPr>
        <w:t>que pudieran tener incentivos para proveer el producto analizado</w:t>
      </w:r>
    </w:p>
    <w:p w14:paraId="3442BBEE" w14:textId="77777777" w:rsidR="003545C8" w:rsidRPr="00EB3009" w:rsidRDefault="003545C8" w:rsidP="003545C8">
      <w:pPr>
        <w:keepNext/>
        <w:spacing w:after="0"/>
        <w:jc w:val="both"/>
        <w:rPr>
          <w:rFonts w:ascii="Arial" w:hAnsi="Arial" w:cs="Arial"/>
        </w:rPr>
      </w:pPr>
    </w:p>
    <w:p w14:paraId="7F307937" w14:textId="77777777" w:rsidR="003545C8" w:rsidRPr="00A01E15" w:rsidRDefault="003545C8" w:rsidP="003545C8">
      <w:pPr>
        <w:spacing w:after="0"/>
        <w:jc w:val="both"/>
        <w:rPr>
          <w:rFonts w:ascii="Arial" w:hAnsi="Arial" w:cs="Arial"/>
        </w:rPr>
      </w:pPr>
      <w:r w:rsidRPr="00A01E15">
        <w:rPr>
          <w:rFonts w:ascii="Arial" w:hAnsi="Arial" w:cs="Arial"/>
        </w:rPr>
        <w:t xml:space="preserve">La escala de operación necesaria puede representar limitaciones para competir en la provisión del producto analizado, por ejemplo, debido a: i) la presencia efectos de red que benefician a los operadores con mayor escala, </w:t>
      </w:r>
      <w:proofErr w:type="spellStart"/>
      <w:r w:rsidRPr="00A01E15">
        <w:rPr>
          <w:rFonts w:ascii="Arial" w:hAnsi="Arial" w:cs="Arial"/>
        </w:rPr>
        <w:t>ii</w:t>
      </w:r>
      <w:proofErr w:type="spellEnd"/>
      <w:r w:rsidRPr="00A01E15">
        <w:rPr>
          <w:rFonts w:ascii="Arial" w:hAnsi="Arial" w:cs="Arial"/>
        </w:rPr>
        <w:t xml:space="preserve">) la capacidad económica que podría limitar las posibilidades de acceso a fuentes de financiamiento y mercados de capitales, o la capacidad para formular ofertas competitivas. </w:t>
      </w:r>
    </w:p>
    <w:p w14:paraId="01A7386F" w14:textId="77777777" w:rsidR="003545C8" w:rsidRPr="00A01E15" w:rsidRDefault="003545C8" w:rsidP="003545C8">
      <w:pPr>
        <w:spacing w:after="0"/>
        <w:jc w:val="both"/>
        <w:rPr>
          <w:rFonts w:ascii="Arial" w:hAnsi="Arial" w:cs="Arial"/>
        </w:rPr>
      </w:pPr>
    </w:p>
    <w:p w14:paraId="072C9AC6" w14:textId="77777777" w:rsidR="003545C8" w:rsidRPr="00A01E15" w:rsidRDefault="003545C8" w:rsidP="003545C8">
      <w:pPr>
        <w:spacing w:after="0"/>
        <w:jc w:val="both"/>
        <w:rPr>
          <w:rFonts w:ascii="Arial" w:hAnsi="Arial" w:cs="Arial"/>
        </w:rPr>
      </w:pPr>
      <w:r w:rsidRPr="00A01E15">
        <w:rPr>
          <w:rFonts w:ascii="Arial" w:hAnsi="Arial" w:cs="Arial"/>
        </w:rPr>
        <w:t xml:space="preserve">El Instituto podrá </w:t>
      </w:r>
      <w:r>
        <w:rPr>
          <w:rFonts w:ascii="Arial" w:hAnsi="Arial" w:cs="Arial"/>
        </w:rPr>
        <w:t>evaluar</w:t>
      </w:r>
      <w:r w:rsidRPr="00A01E15">
        <w:rPr>
          <w:rFonts w:ascii="Arial" w:hAnsi="Arial" w:cs="Arial"/>
        </w:rPr>
        <w:t xml:space="preserve"> si la escala de operación necesaria restringe las posibilidades para responder oportunamente a cambios relativos en los precios y competir en la provisión del producto analizado. Por ejemplo, se podrá considerar que la pertenencia a grupos económicos de mayor tamaño o la participación en distintos eslabones de la cadena de valor, aumentan las posibilidades de los oferentes que pudieran tener incentivos para proveer el producto analizado, para efectivamente comenzar su provisión.</w:t>
      </w:r>
    </w:p>
    <w:p w14:paraId="553A43FE" w14:textId="77777777" w:rsidR="003545C8" w:rsidRPr="00A01E15" w:rsidRDefault="003545C8" w:rsidP="003545C8">
      <w:pPr>
        <w:spacing w:after="0"/>
        <w:jc w:val="both"/>
        <w:rPr>
          <w:rFonts w:ascii="Arial" w:hAnsi="Arial" w:cs="Arial"/>
        </w:rPr>
      </w:pPr>
    </w:p>
    <w:p w14:paraId="374F571B" w14:textId="77777777" w:rsidR="003545C8" w:rsidRPr="00A01E15" w:rsidRDefault="003545C8" w:rsidP="005E23E0">
      <w:pPr>
        <w:keepNext/>
        <w:numPr>
          <w:ilvl w:val="0"/>
          <w:numId w:val="23"/>
        </w:numPr>
        <w:spacing w:after="0"/>
        <w:ind w:hanging="578"/>
        <w:jc w:val="both"/>
        <w:rPr>
          <w:rFonts w:ascii="Arial" w:hAnsi="Arial" w:cs="Arial"/>
          <w:b/>
        </w:rPr>
      </w:pPr>
      <w:r w:rsidRPr="00A01E15">
        <w:rPr>
          <w:rFonts w:ascii="Arial" w:hAnsi="Arial" w:cs="Arial"/>
          <w:b/>
        </w:rPr>
        <w:t>Características técnicas de la infraestructura neces</w:t>
      </w:r>
      <w:r>
        <w:rPr>
          <w:rFonts w:ascii="Arial" w:hAnsi="Arial" w:cs="Arial"/>
          <w:b/>
        </w:rPr>
        <w:t xml:space="preserve">aria para ofrecer los productos </w:t>
      </w:r>
    </w:p>
    <w:p w14:paraId="79CD7149" w14:textId="77777777" w:rsidR="003545C8" w:rsidRPr="00A01E15" w:rsidRDefault="003545C8" w:rsidP="003545C8">
      <w:pPr>
        <w:keepNext/>
        <w:spacing w:after="0"/>
        <w:jc w:val="both"/>
        <w:rPr>
          <w:rFonts w:ascii="Arial" w:hAnsi="Arial" w:cs="Arial"/>
        </w:rPr>
      </w:pPr>
    </w:p>
    <w:p w14:paraId="597FEC7D" w14:textId="77777777" w:rsidR="003545C8" w:rsidRPr="00A01E15" w:rsidRDefault="003545C8" w:rsidP="003545C8">
      <w:pPr>
        <w:spacing w:after="0"/>
        <w:jc w:val="both"/>
        <w:rPr>
          <w:rFonts w:ascii="Arial" w:hAnsi="Arial" w:cs="Arial"/>
        </w:rPr>
      </w:pPr>
      <w:r w:rsidRPr="00A01E15">
        <w:rPr>
          <w:rFonts w:ascii="Arial" w:hAnsi="Arial" w:cs="Arial"/>
        </w:rPr>
        <w:t>El Instituto podrá tomar en cuenta las características técnicas de la infraestructura necesaria para ofrecer el producto analizado, a fin de determinar si los oferentes que pudieran tener incentivos para proveerlo, cuentan con los medios para acceder a dicha tecnología, o bien para replicarla oportunamente y sin incurrir en costos significativos.</w:t>
      </w:r>
    </w:p>
    <w:p w14:paraId="1BA051B4" w14:textId="77777777" w:rsidR="003545C8" w:rsidRPr="00A01E15" w:rsidRDefault="003545C8" w:rsidP="003545C8">
      <w:pPr>
        <w:spacing w:after="0"/>
        <w:jc w:val="both"/>
        <w:rPr>
          <w:rFonts w:ascii="Arial" w:hAnsi="Arial" w:cs="Arial"/>
        </w:rPr>
      </w:pPr>
    </w:p>
    <w:p w14:paraId="706B1525" w14:textId="77777777" w:rsidR="003545C8" w:rsidRPr="00A01E15" w:rsidRDefault="003545C8" w:rsidP="005E23E0">
      <w:pPr>
        <w:numPr>
          <w:ilvl w:val="0"/>
          <w:numId w:val="23"/>
        </w:numPr>
        <w:spacing w:after="0"/>
        <w:jc w:val="both"/>
        <w:rPr>
          <w:rFonts w:ascii="Arial" w:hAnsi="Arial" w:cs="Arial"/>
          <w:b/>
        </w:rPr>
      </w:pPr>
      <w:r w:rsidRPr="00A01E15">
        <w:rPr>
          <w:rFonts w:ascii="Arial" w:hAnsi="Arial" w:cs="Arial"/>
          <w:b/>
        </w:rPr>
        <w:t>Opiniones de los usuarios sobre si existen razones para no elegir los productos de oferentes que pudieran tener incentivos para proveer el producto analizado</w:t>
      </w:r>
    </w:p>
    <w:p w14:paraId="57171377" w14:textId="77777777" w:rsidR="003545C8" w:rsidRPr="00A01E15" w:rsidRDefault="003545C8" w:rsidP="003545C8">
      <w:pPr>
        <w:spacing w:after="0"/>
        <w:jc w:val="both"/>
        <w:rPr>
          <w:rFonts w:ascii="Arial" w:hAnsi="Arial" w:cs="Arial"/>
        </w:rPr>
      </w:pPr>
    </w:p>
    <w:p w14:paraId="2B52B325" w14:textId="77777777" w:rsidR="003545C8" w:rsidRPr="00A01E15" w:rsidRDefault="003545C8" w:rsidP="003545C8">
      <w:pPr>
        <w:spacing w:after="0"/>
        <w:jc w:val="both"/>
        <w:rPr>
          <w:rFonts w:ascii="Arial" w:hAnsi="Arial" w:cs="Arial"/>
        </w:rPr>
      </w:pPr>
      <w:r w:rsidRPr="00A01E15">
        <w:rPr>
          <w:rFonts w:ascii="Arial" w:hAnsi="Arial" w:cs="Arial"/>
        </w:rPr>
        <w:t>El Instituto podrá analizar información disponible sobre las opiniones y puntos de vista de los usuarios respecto a su disposición para sustituir el producto analizado por productos provistos por oferentes que pudieran tener incentivos para proveer el producto analizado.</w:t>
      </w:r>
    </w:p>
    <w:p w14:paraId="1EAF5009" w14:textId="77777777" w:rsidR="003545C8" w:rsidRPr="00A01E15" w:rsidRDefault="003545C8" w:rsidP="003545C8">
      <w:pPr>
        <w:spacing w:after="0"/>
        <w:jc w:val="both"/>
        <w:rPr>
          <w:rFonts w:ascii="Arial" w:hAnsi="Arial" w:cs="Arial"/>
        </w:rPr>
      </w:pPr>
    </w:p>
    <w:p w14:paraId="469E2895" w14:textId="77777777" w:rsidR="003545C8" w:rsidRPr="00A01E15" w:rsidRDefault="003545C8" w:rsidP="003545C8">
      <w:pPr>
        <w:spacing w:after="0"/>
        <w:jc w:val="both"/>
        <w:rPr>
          <w:rFonts w:ascii="Arial" w:hAnsi="Arial" w:cs="Arial"/>
        </w:rPr>
      </w:pPr>
      <w:r w:rsidRPr="00A01E15">
        <w:rPr>
          <w:rFonts w:ascii="Arial" w:hAnsi="Arial" w:cs="Arial"/>
        </w:rPr>
        <w:t>Por ejemplo, el Instituto podrá analizar si existen factores por los que los usuarios no elegirían los productos de oferentes alternativos, tales como lealtad hacia ciertas marcas establecidas o conocimiento y reputación de los productos y sus proveedores.</w:t>
      </w:r>
    </w:p>
    <w:p w14:paraId="3C87C8A0" w14:textId="77777777" w:rsidR="003545C8" w:rsidRPr="00A01E15" w:rsidRDefault="003545C8" w:rsidP="003545C8">
      <w:pPr>
        <w:spacing w:after="0"/>
        <w:jc w:val="both"/>
        <w:rPr>
          <w:rFonts w:ascii="Arial" w:hAnsi="Arial" w:cs="Arial"/>
        </w:rPr>
      </w:pPr>
    </w:p>
    <w:p w14:paraId="40287C90" w14:textId="77777777" w:rsidR="003545C8" w:rsidRPr="00A01E15" w:rsidRDefault="003545C8" w:rsidP="003545C8">
      <w:pPr>
        <w:spacing w:after="0"/>
        <w:jc w:val="both"/>
        <w:rPr>
          <w:rFonts w:ascii="Arial" w:hAnsi="Arial" w:cs="Arial"/>
        </w:rPr>
      </w:pPr>
      <w:r w:rsidRPr="00A01E15">
        <w:rPr>
          <w:rFonts w:ascii="Arial" w:hAnsi="Arial" w:cs="Arial"/>
        </w:rPr>
        <w:t>Este análisis permit</w:t>
      </w:r>
      <w:r>
        <w:rPr>
          <w:rFonts w:ascii="Arial" w:hAnsi="Arial" w:cs="Arial"/>
        </w:rPr>
        <w:t>e</w:t>
      </w:r>
      <w:r w:rsidRPr="00A01E15">
        <w:rPr>
          <w:rFonts w:ascii="Arial" w:hAnsi="Arial" w:cs="Arial"/>
        </w:rPr>
        <w:t xml:space="preserve"> </w:t>
      </w:r>
      <w:r>
        <w:rPr>
          <w:rFonts w:ascii="Arial" w:hAnsi="Arial" w:cs="Arial"/>
        </w:rPr>
        <w:t xml:space="preserve">la </w:t>
      </w:r>
      <w:r w:rsidRPr="00A01E15">
        <w:rPr>
          <w:rFonts w:ascii="Arial" w:hAnsi="Arial" w:cs="Arial"/>
        </w:rPr>
        <w:t>identifica</w:t>
      </w:r>
      <w:r>
        <w:rPr>
          <w:rFonts w:ascii="Arial" w:hAnsi="Arial" w:cs="Arial"/>
        </w:rPr>
        <w:t>ción de</w:t>
      </w:r>
      <w:r w:rsidRPr="00A01E15">
        <w:rPr>
          <w:rFonts w:ascii="Arial" w:hAnsi="Arial" w:cs="Arial"/>
        </w:rPr>
        <w:t xml:space="preserve"> productos y oferentes que, </w:t>
      </w:r>
      <w:r w:rsidRPr="00A01E15">
        <w:rPr>
          <w:rFonts w:ascii="Arial" w:hAnsi="Arial" w:cs="Arial"/>
          <w:i/>
        </w:rPr>
        <w:t>a priori,</w:t>
      </w:r>
      <w:r w:rsidRPr="00A01E15">
        <w:rPr>
          <w:rFonts w:ascii="Arial" w:hAnsi="Arial" w:cs="Arial"/>
        </w:rPr>
        <w:t xml:space="preserve"> podrían constituir sustitutos por el lado de la oferta, pero que no serían adquiridos por los consumidores. Por lo cual, en tales casos, en función de la evidencia obtenida, el Instituto podría descartarlos como sustitutos del producto analizado. </w:t>
      </w:r>
    </w:p>
    <w:p w14:paraId="6C3F835E" w14:textId="77777777" w:rsidR="003545C8" w:rsidRPr="00A01E15" w:rsidRDefault="003545C8" w:rsidP="003545C8">
      <w:pPr>
        <w:spacing w:after="0"/>
        <w:jc w:val="both"/>
        <w:rPr>
          <w:rFonts w:ascii="Arial" w:hAnsi="Arial" w:cs="Arial"/>
        </w:rPr>
      </w:pPr>
    </w:p>
    <w:p w14:paraId="5B9F8BEE" w14:textId="77777777" w:rsidR="003545C8" w:rsidRPr="00A01E15" w:rsidRDefault="003545C8" w:rsidP="005E23E0">
      <w:pPr>
        <w:numPr>
          <w:ilvl w:val="0"/>
          <w:numId w:val="23"/>
        </w:numPr>
        <w:spacing w:after="0"/>
        <w:ind w:hanging="578"/>
        <w:jc w:val="both"/>
        <w:rPr>
          <w:rFonts w:ascii="Arial" w:hAnsi="Arial" w:cs="Arial"/>
          <w:b/>
        </w:rPr>
      </w:pPr>
      <w:r w:rsidRPr="00A01E15">
        <w:rPr>
          <w:rFonts w:ascii="Arial" w:hAnsi="Arial" w:cs="Arial"/>
          <w:b/>
        </w:rPr>
        <w:t>Opiniones de expertos en la industria y en la tecnología</w:t>
      </w:r>
      <w:r w:rsidRPr="00A01E15">
        <w:rPr>
          <w:rFonts w:ascii="Arial" w:hAnsi="Arial" w:cs="Arial"/>
          <w:b/>
          <w:u w:val="single"/>
        </w:rPr>
        <w:t xml:space="preserve"> específica de los productos</w:t>
      </w:r>
      <w:r>
        <w:rPr>
          <w:rFonts w:ascii="Arial" w:hAnsi="Arial" w:cs="Arial"/>
          <w:b/>
          <w:u w:val="single"/>
        </w:rPr>
        <w:t xml:space="preserve"> analizados</w:t>
      </w:r>
    </w:p>
    <w:p w14:paraId="12C82120" w14:textId="77777777" w:rsidR="003545C8" w:rsidRPr="00A01E15" w:rsidRDefault="003545C8" w:rsidP="003545C8">
      <w:pPr>
        <w:spacing w:after="0"/>
        <w:jc w:val="both"/>
        <w:rPr>
          <w:rFonts w:ascii="Arial" w:eastAsiaTheme="majorEastAsia" w:hAnsi="Arial" w:cs="Arial"/>
          <w:b/>
        </w:rPr>
      </w:pPr>
    </w:p>
    <w:p w14:paraId="22AB7F2D" w14:textId="77777777" w:rsidR="003545C8" w:rsidRPr="00A01E15" w:rsidRDefault="003545C8" w:rsidP="003545C8">
      <w:pPr>
        <w:spacing w:after="0"/>
        <w:jc w:val="both"/>
        <w:rPr>
          <w:rFonts w:ascii="Arial" w:eastAsiaTheme="majorEastAsia" w:hAnsi="Arial" w:cs="Arial"/>
          <w:b/>
        </w:rPr>
      </w:pPr>
      <w:r w:rsidRPr="00A01E15">
        <w:rPr>
          <w:rFonts w:ascii="Arial" w:hAnsi="Arial" w:cs="Arial"/>
        </w:rPr>
        <w:lastRenderedPageBreak/>
        <w:t>El Instituto podrá consultar a expertos en la industria y en la tecnología específica del producto analizado para obtener información y evidencia sobre la capacidad de ciertos oferentes para comenzar a proveer el producto analizado en el corto plazo y sin incurrir en costos significativos. En particular, la opinión de expertos puede ser necesaria cuando se analice un producto con una alta especificidad, con un alto grado de innovación tecnológica, o de reciente entrada al mercado.</w:t>
      </w:r>
    </w:p>
    <w:p w14:paraId="283A9DD1" w14:textId="77777777" w:rsidR="003545C8" w:rsidRPr="00A01E15" w:rsidRDefault="003545C8" w:rsidP="003545C8">
      <w:pPr>
        <w:spacing w:after="0"/>
        <w:jc w:val="both"/>
        <w:rPr>
          <w:rFonts w:ascii="Arial" w:eastAsiaTheme="majorEastAsia" w:hAnsi="Arial" w:cs="Arial"/>
          <w:b/>
          <w:szCs w:val="32"/>
        </w:rPr>
      </w:pPr>
    </w:p>
    <w:p w14:paraId="6BC524CD" w14:textId="7777777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42" w:name="_Toc71717637"/>
      <w:r w:rsidRPr="00931D46">
        <w:rPr>
          <w:rFonts w:ascii="Arial" w:hAnsi="Arial" w:cs="Arial"/>
          <w:sz w:val="26"/>
          <w:szCs w:val="26"/>
        </w:rPr>
        <w:t>Determinación de la dimensión geográfica</w:t>
      </w:r>
      <w:bookmarkEnd w:id="42"/>
    </w:p>
    <w:p w14:paraId="0521D06D" w14:textId="77777777" w:rsidR="003545C8" w:rsidRPr="00931D46" w:rsidRDefault="003545C8" w:rsidP="003545C8">
      <w:pPr>
        <w:keepNext/>
        <w:spacing w:after="0"/>
        <w:jc w:val="both"/>
        <w:rPr>
          <w:rFonts w:ascii="Arial" w:eastAsiaTheme="majorEastAsia" w:hAnsi="Arial" w:cs="Arial"/>
          <w:b/>
          <w:szCs w:val="32"/>
        </w:rPr>
      </w:pPr>
    </w:p>
    <w:p w14:paraId="7D459420" w14:textId="77777777" w:rsidR="003545C8" w:rsidRPr="00931D46"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43" w:name="_Toc45628325"/>
      <w:bookmarkStart w:id="44" w:name="_Toc71717638"/>
      <w:r w:rsidRPr="00931D46">
        <w:rPr>
          <w:rFonts w:ascii="Arial" w:eastAsia="Times New Roman" w:hAnsi="Arial" w:cs="Arial"/>
          <w:sz w:val="26"/>
          <w:lang w:eastAsia="es-MX"/>
        </w:rPr>
        <w:t>Precedentes decisorios del Instituto</w:t>
      </w:r>
      <w:bookmarkEnd w:id="43"/>
      <w:bookmarkEnd w:id="44"/>
    </w:p>
    <w:p w14:paraId="39827702" w14:textId="77777777" w:rsidR="003545C8" w:rsidRDefault="003545C8" w:rsidP="003545C8">
      <w:pPr>
        <w:jc w:val="both"/>
        <w:rPr>
          <w:rFonts w:ascii="Arial" w:hAnsi="Arial" w:cs="Arial"/>
        </w:rPr>
      </w:pPr>
      <w:r w:rsidRPr="00931D46">
        <w:rPr>
          <w:rFonts w:ascii="Arial" w:hAnsi="Arial" w:cs="Arial"/>
        </w:rPr>
        <w:t xml:space="preserve">Conforme a precedentes decisorios del Instituto, se identifica que la dimensión geográfica se ha determinado considerando elementos por el lado de la demanda y </w:t>
      </w:r>
      <w:r>
        <w:rPr>
          <w:rFonts w:ascii="Arial" w:hAnsi="Arial" w:cs="Arial"/>
        </w:rPr>
        <w:t>por el lado de la oferta, como:</w:t>
      </w:r>
      <w:r w:rsidRPr="00D20B68">
        <w:rPr>
          <w:rFonts w:ascii="Arial" w:eastAsia="Times New Roman" w:hAnsi="Arial" w:cs="Arial"/>
          <w:vertAlign w:val="superscript"/>
          <w:lang w:eastAsia="es-MX"/>
        </w:rPr>
        <w:footnoteReference w:id="42"/>
      </w:r>
    </w:p>
    <w:p w14:paraId="5D1C63AA" w14:textId="77777777" w:rsidR="003545C8" w:rsidRDefault="003545C8" w:rsidP="005E23E0">
      <w:pPr>
        <w:pStyle w:val="Prrafodelista"/>
        <w:numPr>
          <w:ilvl w:val="0"/>
          <w:numId w:val="30"/>
        </w:numPr>
        <w:spacing w:after="0"/>
        <w:ind w:left="709" w:hanging="567"/>
        <w:contextualSpacing w:val="0"/>
        <w:jc w:val="both"/>
        <w:rPr>
          <w:rFonts w:ascii="Arial" w:hAnsi="Arial" w:cs="Arial"/>
        </w:rPr>
      </w:pPr>
      <w:r>
        <w:rPr>
          <w:rFonts w:ascii="Arial" w:hAnsi="Arial" w:cs="Arial"/>
        </w:rPr>
        <w:t>Por el lado de la demanda, a</w:t>
      </w:r>
      <w:r w:rsidRPr="00931D46">
        <w:rPr>
          <w:rFonts w:ascii="Arial" w:hAnsi="Arial" w:cs="Arial"/>
        </w:rPr>
        <w:t>nálisis de equivalencia funcional, de las características</w:t>
      </w:r>
      <w:r>
        <w:rPr>
          <w:rFonts w:ascii="Arial" w:hAnsi="Arial" w:cs="Arial"/>
        </w:rPr>
        <w:t xml:space="preserve">, </w:t>
      </w:r>
      <w:r w:rsidRPr="00931D46">
        <w:rPr>
          <w:rFonts w:ascii="Arial" w:hAnsi="Arial" w:cs="Arial"/>
        </w:rPr>
        <w:t xml:space="preserve">atributos </w:t>
      </w:r>
      <w:r>
        <w:rPr>
          <w:rFonts w:ascii="Arial" w:hAnsi="Arial" w:cs="Arial"/>
        </w:rPr>
        <w:t xml:space="preserve">y usos de los productos que se proveen en diferentes zonas geográficas; patrones de adquisición y consumo; la </w:t>
      </w:r>
      <w:r w:rsidRPr="000D44AA">
        <w:rPr>
          <w:rFonts w:ascii="Arial" w:hAnsi="Arial" w:cs="Arial"/>
        </w:rPr>
        <w:t xml:space="preserve">capacidad de los oferentes para diferenciar sus </w:t>
      </w:r>
      <w:r>
        <w:rPr>
          <w:rFonts w:ascii="Arial" w:hAnsi="Arial" w:cs="Arial"/>
        </w:rPr>
        <w:t>productos</w:t>
      </w:r>
      <w:r w:rsidRPr="000D44AA">
        <w:rPr>
          <w:rFonts w:ascii="Arial" w:hAnsi="Arial" w:cs="Arial"/>
        </w:rPr>
        <w:t xml:space="preserve"> entre zonas geográficas</w:t>
      </w:r>
      <w:r>
        <w:rPr>
          <w:rFonts w:ascii="Arial" w:hAnsi="Arial" w:cs="Arial"/>
        </w:rPr>
        <w:t xml:space="preserve">, así como la </w:t>
      </w:r>
      <w:r w:rsidRPr="000D44AA">
        <w:rPr>
          <w:rFonts w:ascii="Arial" w:hAnsi="Arial" w:cs="Arial"/>
        </w:rPr>
        <w:t>posibilidad y los costos que enfrentarían los consumidores para acudir a otros mercados</w:t>
      </w:r>
      <w:r>
        <w:rPr>
          <w:rFonts w:ascii="Arial" w:eastAsiaTheme="majorEastAsia" w:hAnsi="Arial" w:cs="Arial"/>
        </w:rPr>
        <w:t>.</w:t>
      </w:r>
    </w:p>
    <w:p w14:paraId="252845BA" w14:textId="77777777" w:rsidR="003545C8" w:rsidRDefault="003545C8" w:rsidP="003545C8">
      <w:pPr>
        <w:pStyle w:val="Prrafodelista"/>
        <w:spacing w:after="0"/>
        <w:ind w:left="709"/>
        <w:contextualSpacing w:val="0"/>
        <w:jc w:val="both"/>
        <w:rPr>
          <w:rFonts w:ascii="Arial" w:hAnsi="Arial" w:cs="Arial"/>
        </w:rPr>
      </w:pPr>
    </w:p>
    <w:p w14:paraId="1507C9AA" w14:textId="7534F2D0" w:rsidR="003545C8" w:rsidRDefault="003545C8" w:rsidP="005E23E0">
      <w:pPr>
        <w:pStyle w:val="Prrafodelista"/>
        <w:numPr>
          <w:ilvl w:val="0"/>
          <w:numId w:val="30"/>
        </w:numPr>
        <w:spacing w:after="0"/>
        <w:ind w:left="709" w:hanging="567"/>
        <w:contextualSpacing w:val="0"/>
        <w:jc w:val="both"/>
        <w:rPr>
          <w:rFonts w:ascii="Arial" w:hAnsi="Arial" w:cs="Arial"/>
        </w:rPr>
      </w:pPr>
      <w:r w:rsidRPr="00F725B9">
        <w:rPr>
          <w:rFonts w:ascii="Arial" w:hAnsi="Arial" w:cs="Arial"/>
        </w:rPr>
        <w:t xml:space="preserve">Por el lado de la oferta, </w:t>
      </w:r>
      <w:r>
        <w:rPr>
          <w:rFonts w:ascii="Arial" w:hAnsi="Arial" w:cs="Arial"/>
        </w:rPr>
        <w:t>la zona</w:t>
      </w:r>
      <w:r w:rsidRPr="00F725B9">
        <w:rPr>
          <w:rFonts w:ascii="Arial" w:hAnsi="Arial" w:cs="Arial"/>
        </w:rPr>
        <w:t xml:space="preserve"> de cobertura autorizada en los títulos de concesión, l</w:t>
      </w:r>
      <w:r w:rsidRPr="005E349F">
        <w:rPr>
          <w:rFonts w:ascii="Arial" w:hAnsi="Arial" w:cs="Arial"/>
        </w:rPr>
        <w:t xml:space="preserve">a </w:t>
      </w:r>
      <w:r w:rsidR="005412D8">
        <w:rPr>
          <w:rFonts w:ascii="Arial" w:hAnsi="Arial" w:cs="Arial"/>
        </w:rPr>
        <w:t xml:space="preserve">zona de </w:t>
      </w:r>
      <w:r w:rsidRPr="005E349F">
        <w:rPr>
          <w:rFonts w:ascii="Arial" w:hAnsi="Arial" w:cs="Arial"/>
        </w:rPr>
        <w:t xml:space="preserve">cobertura </w:t>
      </w:r>
      <w:r w:rsidR="005412D8">
        <w:rPr>
          <w:rFonts w:ascii="Arial" w:hAnsi="Arial" w:cs="Arial"/>
        </w:rPr>
        <w:t>real</w:t>
      </w:r>
      <w:r w:rsidRPr="005E349F">
        <w:rPr>
          <w:rFonts w:ascii="Arial" w:hAnsi="Arial" w:cs="Arial"/>
        </w:rPr>
        <w:t xml:space="preserve"> de los servicios, </w:t>
      </w:r>
      <w:r>
        <w:rPr>
          <w:rFonts w:ascii="Arial" w:hAnsi="Arial" w:cs="Arial"/>
        </w:rPr>
        <w:t xml:space="preserve">así como </w:t>
      </w:r>
      <w:r w:rsidRPr="000D44AA">
        <w:rPr>
          <w:rFonts w:ascii="Arial" w:hAnsi="Arial" w:cs="Arial"/>
        </w:rPr>
        <w:t>restricciones normativas</w:t>
      </w:r>
      <w:r>
        <w:rPr>
          <w:rFonts w:ascii="Arial" w:hAnsi="Arial" w:cs="Arial"/>
        </w:rPr>
        <w:t>.</w:t>
      </w:r>
    </w:p>
    <w:p w14:paraId="66D0311C" w14:textId="77777777" w:rsidR="003545C8" w:rsidRPr="005E349F" w:rsidRDefault="003545C8" w:rsidP="003545C8">
      <w:pPr>
        <w:pStyle w:val="Prrafodelista"/>
        <w:spacing w:after="0"/>
        <w:ind w:left="709"/>
        <w:jc w:val="both"/>
        <w:rPr>
          <w:rFonts w:ascii="Arial" w:hAnsi="Arial" w:cs="Arial"/>
        </w:rPr>
      </w:pPr>
    </w:p>
    <w:p w14:paraId="5BF8DB68" w14:textId="77777777" w:rsidR="003545C8" w:rsidRDefault="003545C8" w:rsidP="003545C8">
      <w:pPr>
        <w:spacing w:after="0"/>
        <w:jc w:val="both"/>
        <w:rPr>
          <w:rFonts w:ascii="Arial" w:hAnsi="Arial" w:cs="Arial"/>
        </w:rPr>
      </w:pPr>
      <w:r w:rsidRPr="00931D46">
        <w:rPr>
          <w:rFonts w:ascii="Arial" w:hAnsi="Arial" w:cs="Arial"/>
        </w:rPr>
        <w:t>En el mismo sentido, la Guía de Concentraciones señala que, para determinar el MR en su dimensión geográfica, se analiza la ubicación y las coberturas territoriales de las concesiones de radiodifusión y/o de telecomunicaciones que detenten los AE involucrados.</w:t>
      </w:r>
      <w:r w:rsidRPr="00931D46">
        <w:rPr>
          <w:rStyle w:val="Refdenotaalpie"/>
          <w:rFonts w:ascii="Arial" w:hAnsi="Arial" w:cs="Arial"/>
        </w:rPr>
        <w:footnoteReference w:id="43"/>
      </w:r>
    </w:p>
    <w:p w14:paraId="7506159F" w14:textId="77777777" w:rsidR="003545C8" w:rsidRPr="00931D46" w:rsidRDefault="003545C8" w:rsidP="003545C8">
      <w:pPr>
        <w:spacing w:after="0"/>
        <w:jc w:val="both"/>
        <w:rPr>
          <w:rFonts w:ascii="Arial" w:hAnsi="Arial" w:cs="Arial"/>
        </w:rPr>
      </w:pPr>
    </w:p>
    <w:p w14:paraId="057863BC" w14:textId="77777777" w:rsidR="003545C8"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45" w:name="_Toc45628326"/>
      <w:bookmarkStart w:id="46" w:name="_Toc71717639"/>
      <w:r w:rsidRPr="00931D46">
        <w:rPr>
          <w:rFonts w:ascii="Arial" w:eastAsia="Times New Roman" w:hAnsi="Arial" w:cs="Arial"/>
          <w:sz w:val="26"/>
          <w:lang w:eastAsia="es-MX"/>
        </w:rPr>
        <w:t>Experiencia internacional</w:t>
      </w:r>
      <w:bookmarkEnd w:id="45"/>
      <w:bookmarkEnd w:id="46"/>
    </w:p>
    <w:p w14:paraId="7696D738" w14:textId="77777777" w:rsidR="003545C8" w:rsidRDefault="003545C8" w:rsidP="003545C8">
      <w:pPr>
        <w:spacing w:after="0"/>
        <w:jc w:val="both"/>
        <w:rPr>
          <w:lang w:eastAsia="es-MX"/>
        </w:rPr>
      </w:pPr>
    </w:p>
    <w:p w14:paraId="13CB7AD4" w14:textId="77777777" w:rsidR="003545C8" w:rsidRPr="00931D46" w:rsidRDefault="003545C8" w:rsidP="003545C8">
      <w:pPr>
        <w:spacing w:after="0"/>
        <w:jc w:val="both"/>
        <w:rPr>
          <w:rFonts w:ascii="Arial" w:hAnsi="Arial" w:cs="Arial"/>
          <w:color w:val="000000"/>
        </w:rPr>
      </w:pPr>
      <w:r>
        <w:rPr>
          <w:rFonts w:ascii="Arial" w:hAnsi="Arial" w:cs="Arial"/>
        </w:rPr>
        <w:t>L</w:t>
      </w:r>
      <w:r w:rsidRPr="00931D46">
        <w:rPr>
          <w:rFonts w:ascii="Arial" w:hAnsi="Arial" w:cs="Arial"/>
        </w:rPr>
        <w:t xml:space="preserve">os </w:t>
      </w:r>
      <w:r w:rsidRPr="005E0282">
        <w:rPr>
          <w:rFonts w:ascii="Arial" w:hAnsi="Arial" w:cs="Arial"/>
        </w:rPr>
        <w:t xml:space="preserve">principales elementos que </w:t>
      </w:r>
      <w:r>
        <w:rPr>
          <w:rFonts w:ascii="Arial" w:hAnsi="Arial" w:cs="Arial"/>
        </w:rPr>
        <w:t>consideran</w:t>
      </w:r>
      <w:r w:rsidRPr="005E0282">
        <w:rPr>
          <w:rFonts w:ascii="Arial" w:hAnsi="Arial" w:cs="Arial"/>
        </w:rPr>
        <w:t xml:space="preserve"> las autoridades de competencia de la Unión Europea,</w:t>
      </w:r>
      <w:r w:rsidRPr="005E0282">
        <w:rPr>
          <w:rStyle w:val="Refdenotaalpie"/>
          <w:rFonts w:ascii="Arial" w:hAnsi="Arial" w:cs="Arial"/>
          <w:lang w:eastAsia="es-MX"/>
        </w:rPr>
        <w:footnoteReference w:id="44"/>
      </w:r>
      <w:r w:rsidRPr="005E0282">
        <w:rPr>
          <w:rFonts w:ascii="Arial" w:hAnsi="Arial" w:cs="Arial"/>
        </w:rPr>
        <w:t xml:space="preserve"> Reino Unido,</w:t>
      </w:r>
      <w:r w:rsidRPr="005E0282">
        <w:rPr>
          <w:rStyle w:val="Refdenotaalpie"/>
          <w:rFonts w:ascii="Arial" w:hAnsi="Arial" w:cs="Arial"/>
        </w:rPr>
        <w:footnoteReference w:id="45"/>
      </w:r>
      <w:r w:rsidRPr="005E0282">
        <w:rPr>
          <w:rFonts w:ascii="Arial" w:hAnsi="Arial" w:cs="Arial"/>
        </w:rPr>
        <w:t xml:space="preserve"> Canadá,</w:t>
      </w:r>
      <w:r w:rsidRPr="005E0282">
        <w:rPr>
          <w:rFonts w:ascii="Arial" w:eastAsia="Times New Roman" w:hAnsi="Arial" w:cs="Arial"/>
          <w:vertAlign w:val="superscript"/>
          <w:lang w:eastAsia="es-MX"/>
        </w:rPr>
        <w:footnoteReference w:id="46"/>
      </w:r>
      <w:r w:rsidRPr="005E0282">
        <w:rPr>
          <w:rFonts w:ascii="Arial" w:hAnsi="Arial" w:cs="Arial"/>
        </w:rPr>
        <w:t xml:space="preserve"> Australia,</w:t>
      </w:r>
      <w:r w:rsidRPr="005E0282">
        <w:rPr>
          <w:rFonts w:ascii="Arial" w:eastAsia="Times New Roman" w:hAnsi="Arial" w:cs="Arial"/>
          <w:vertAlign w:val="superscript"/>
          <w:lang w:eastAsia="es-MX"/>
        </w:rPr>
        <w:footnoteReference w:id="47"/>
      </w:r>
      <w:r w:rsidRPr="005E0282">
        <w:rPr>
          <w:rFonts w:ascii="Arial" w:hAnsi="Arial" w:cs="Arial"/>
        </w:rPr>
        <w:t xml:space="preserve"> Portugal,</w:t>
      </w:r>
      <w:r w:rsidRPr="005E0282">
        <w:rPr>
          <w:rFonts w:ascii="Arial" w:eastAsia="Times New Roman" w:hAnsi="Arial" w:cs="Arial"/>
          <w:vertAlign w:val="superscript"/>
          <w:lang w:eastAsia="es-MX"/>
        </w:rPr>
        <w:footnoteReference w:id="48"/>
      </w:r>
      <w:r w:rsidRPr="005E0282">
        <w:rPr>
          <w:rFonts w:ascii="Arial" w:hAnsi="Arial" w:cs="Arial"/>
        </w:rPr>
        <w:t xml:space="preserve"> Estados Unidos de América</w:t>
      </w:r>
      <w:r w:rsidRPr="005E0282">
        <w:rPr>
          <w:rFonts w:ascii="Arial" w:eastAsia="Times New Roman" w:hAnsi="Arial" w:cs="Arial"/>
          <w:vertAlign w:val="superscript"/>
          <w:lang w:eastAsia="es-MX"/>
        </w:rPr>
        <w:footnoteReference w:id="49"/>
      </w:r>
      <w:r w:rsidRPr="005E0282">
        <w:rPr>
          <w:rFonts w:ascii="Arial" w:hAnsi="Arial" w:cs="Arial"/>
        </w:rPr>
        <w:t xml:space="preserve"> y China</w:t>
      </w:r>
      <w:r w:rsidRPr="005E0282">
        <w:rPr>
          <w:rFonts w:ascii="Arial" w:eastAsia="Times New Roman" w:hAnsi="Arial" w:cs="Arial"/>
          <w:vertAlign w:val="superscript"/>
          <w:lang w:eastAsia="es-MX"/>
        </w:rPr>
        <w:footnoteReference w:id="50"/>
      </w:r>
      <w:r w:rsidRPr="005E0282">
        <w:rPr>
          <w:rFonts w:ascii="Arial" w:hAnsi="Arial" w:cs="Arial"/>
        </w:rPr>
        <w:t>, así como</w:t>
      </w:r>
      <w:r w:rsidRPr="00931D46">
        <w:rPr>
          <w:rFonts w:ascii="Arial" w:hAnsi="Arial" w:cs="Arial"/>
        </w:rPr>
        <w:t xml:space="preserve"> los señalados por la OCDE,</w:t>
      </w:r>
      <w:r w:rsidRPr="00931D46">
        <w:rPr>
          <w:rFonts w:ascii="Arial" w:eastAsia="Times New Roman" w:hAnsi="Arial" w:cs="Arial"/>
          <w:vertAlign w:val="superscript"/>
          <w:lang w:eastAsia="es-MX"/>
        </w:rPr>
        <w:footnoteReference w:id="51"/>
      </w:r>
      <w:r w:rsidRPr="00931D46">
        <w:rPr>
          <w:rFonts w:ascii="Arial" w:hAnsi="Arial" w:cs="Arial"/>
        </w:rPr>
        <w:t xml:space="preserve"> para la </w:t>
      </w:r>
      <w:r w:rsidRPr="00931D46">
        <w:rPr>
          <w:rFonts w:ascii="Arial" w:hAnsi="Arial" w:cs="Arial"/>
          <w:color w:val="000000"/>
        </w:rPr>
        <w:t xml:space="preserve">delimitación geográfica del MR, </w:t>
      </w:r>
      <w:r>
        <w:rPr>
          <w:rFonts w:ascii="Arial" w:hAnsi="Arial" w:cs="Arial"/>
          <w:color w:val="000000"/>
        </w:rPr>
        <w:t>son</w:t>
      </w:r>
      <w:r w:rsidRPr="00931D46">
        <w:rPr>
          <w:rFonts w:ascii="Arial" w:hAnsi="Arial" w:cs="Arial"/>
          <w:color w:val="000000"/>
        </w:rPr>
        <w:t xml:space="preserve"> básicamente los mismos principios del análisis de sustitución que se </w:t>
      </w:r>
      <w:r>
        <w:rPr>
          <w:rFonts w:ascii="Arial" w:hAnsi="Arial" w:cs="Arial"/>
          <w:color w:val="000000"/>
        </w:rPr>
        <w:t>consideran</w:t>
      </w:r>
      <w:r w:rsidRPr="00931D46">
        <w:rPr>
          <w:rFonts w:ascii="Arial" w:hAnsi="Arial" w:cs="Arial"/>
          <w:color w:val="000000"/>
        </w:rPr>
        <w:t xml:space="preserve"> en la delimitación de </w:t>
      </w:r>
      <w:r>
        <w:rPr>
          <w:rFonts w:ascii="Arial" w:hAnsi="Arial" w:cs="Arial"/>
          <w:color w:val="000000"/>
        </w:rPr>
        <w:t>la dimensión producto</w:t>
      </w:r>
      <w:r w:rsidRPr="00931D46">
        <w:rPr>
          <w:rFonts w:ascii="Arial" w:hAnsi="Arial" w:cs="Arial"/>
          <w:color w:val="000000"/>
        </w:rPr>
        <w:t>, además de elementos como los siguientes:</w:t>
      </w:r>
    </w:p>
    <w:p w14:paraId="0033D7AF" w14:textId="77777777" w:rsidR="003545C8" w:rsidRPr="00931D46" w:rsidRDefault="003545C8" w:rsidP="003545C8">
      <w:pPr>
        <w:spacing w:after="0"/>
        <w:jc w:val="both"/>
        <w:rPr>
          <w:rFonts w:ascii="Arial" w:hAnsi="Arial" w:cs="Arial"/>
          <w:color w:val="000000"/>
        </w:rPr>
      </w:pPr>
    </w:p>
    <w:p w14:paraId="5FE5FEAF" w14:textId="77777777" w:rsidR="003545C8" w:rsidRPr="00931D46" w:rsidRDefault="003545C8" w:rsidP="003545C8">
      <w:pPr>
        <w:keepNext/>
        <w:spacing w:after="0"/>
        <w:jc w:val="both"/>
        <w:rPr>
          <w:rFonts w:ascii="Arial" w:hAnsi="Arial" w:cs="Arial"/>
        </w:rPr>
      </w:pPr>
      <w:r w:rsidRPr="00931D46">
        <w:rPr>
          <w:rFonts w:ascii="Arial" w:hAnsi="Arial" w:cs="Arial"/>
          <w:b/>
          <w:color w:val="000000"/>
        </w:rPr>
        <w:t>Por el lado de la demanda</w:t>
      </w:r>
      <w:r w:rsidRPr="00931D46">
        <w:rPr>
          <w:rFonts w:ascii="Arial" w:hAnsi="Arial" w:cs="Arial"/>
          <w:color w:val="000000"/>
        </w:rPr>
        <w:t>:</w:t>
      </w:r>
    </w:p>
    <w:p w14:paraId="15685C91" w14:textId="77777777" w:rsidR="003545C8" w:rsidRDefault="003545C8" w:rsidP="003545C8">
      <w:pPr>
        <w:pStyle w:val="Prrafodelista"/>
        <w:spacing w:after="0"/>
        <w:ind w:left="709"/>
        <w:contextualSpacing w:val="0"/>
        <w:jc w:val="both"/>
        <w:rPr>
          <w:rFonts w:ascii="Arial" w:hAnsi="Arial" w:cs="Arial"/>
        </w:rPr>
      </w:pPr>
    </w:p>
    <w:p w14:paraId="5FB3D222" w14:textId="77777777" w:rsidR="003545C8"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La posibilidad de importar el </w:t>
      </w:r>
      <w:r>
        <w:rPr>
          <w:rFonts w:ascii="Arial" w:hAnsi="Arial" w:cs="Arial"/>
        </w:rPr>
        <w:t>producto</w:t>
      </w:r>
      <w:r w:rsidRPr="00931D46">
        <w:rPr>
          <w:rFonts w:ascii="Arial" w:hAnsi="Arial" w:cs="Arial"/>
        </w:rPr>
        <w:t xml:space="preserve"> desde otras regiones, considerando costos de búsqueda y transporte, barreras comerciales y preferencias de los consumidores</w:t>
      </w:r>
      <w:r>
        <w:rPr>
          <w:rFonts w:ascii="Arial" w:hAnsi="Arial" w:cs="Arial"/>
        </w:rPr>
        <w:t xml:space="preserve">, </w:t>
      </w:r>
      <w:r w:rsidRPr="00931D46">
        <w:rPr>
          <w:rFonts w:ascii="Arial" w:hAnsi="Arial" w:cs="Arial"/>
        </w:rPr>
        <w:t>para abastecerse en otras zonas geográficas;</w:t>
      </w:r>
    </w:p>
    <w:p w14:paraId="109149AE" w14:textId="77777777" w:rsidR="003545C8" w:rsidRDefault="003545C8" w:rsidP="003545C8">
      <w:pPr>
        <w:pStyle w:val="Prrafodelista"/>
        <w:spacing w:after="0"/>
        <w:ind w:left="709"/>
        <w:contextualSpacing w:val="0"/>
        <w:jc w:val="both"/>
        <w:rPr>
          <w:rFonts w:ascii="Arial" w:hAnsi="Arial" w:cs="Arial"/>
        </w:rPr>
      </w:pPr>
    </w:p>
    <w:p w14:paraId="30C45E32" w14:textId="77777777" w:rsidR="003545C8" w:rsidRPr="00E55BD9" w:rsidRDefault="003545C8" w:rsidP="005E23E0">
      <w:pPr>
        <w:pStyle w:val="Prrafodelista"/>
        <w:numPr>
          <w:ilvl w:val="0"/>
          <w:numId w:val="11"/>
        </w:numPr>
        <w:spacing w:after="0"/>
        <w:ind w:left="709" w:hanging="567"/>
        <w:contextualSpacing w:val="0"/>
        <w:jc w:val="both"/>
        <w:rPr>
          <w:rFonts w:ascii="Arial" w:hAnsi="Arial" w:cs="Arial"/>
        </w:rPr>
      </w:pPr>
      <w:r w:rsidRPr="00E55BD9">
        <w:rPr>
          <w:rFonts w:ascii="Arial" w:hAnsi="Arial" w:cs="Arial"/>
        </w:rPr>
        <w:t xml:space="preserve">Localización geográfica de las compras y flujos comerciales entre zonas (porcentaje de ventas hechas por empresas ubicadas dentro de la zona </w:t>
      </w:r>
      <w:r>
        <w:rPr>
          <w:rFonts w:ascii="Arial" w:hAnsi="Arial" w:cs="Arial"/>
        </w:rPr>
        <w:t>analizada</w:t>
      </w:r>
      <w:r w:rsidRPr="00E55BD9">
        <w:rPr>
          <w:rFonts w:ascii="Arial" w:hAnsi="Arial" w:cs="Arial"/>
        </w:rPr>
        <w:t xml:space="preserve"> y a consumidores ubicados en la zona </w:t>
      </w:r>
      <w:r>
        <w:rPr>
          <w:rFonts w:ascii="Arial" w:hAnsi="Arial" w:cs="Arial"/>
        </w:rPr>
        <w:t>analizada</w:t>
      </w:r>
      <w:r w:rsidRPr="00E55BD9">
        <w:rPr>
          <w:rFonts w:ascii="Arial" w:hAnsi="Arial" w:cs="Arial"/>
        </w:rPr>
        <w:t>);</w:t>
      </w:r>
      <w:r w:rsidRPr="00931D46">
        <w:rPr>
          <w:rStyle w:val="Refdenotaalpie"/>
          <w:rFonts w:ascii="Arial" w:hAnsi="Arial" w:cs="Arial"/>
        </w:rPr>
        <w:footnoteReference w:id="52"/>
      </w:r>
    </w:p>
    <w:p w14:paraId="5A15150E"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lastRenderedPageBreak/>
        <w:t xml:space="preserve">La posibilidad de los operadores de discriminar precios con base en la ubicación de los consumidores; </w:t>
      </w:r>
    </w:p>
    <w:p w14:paraId="75D5981E" w14:textId="77777777" w:rsidR="003545C8" w:rsidRDefault="003545C8" w:rsidP="003545C8">
      <w:pPr>
        <w:pStyle w:val="Prrafodelista"/>
        <w:spacing w:after="0"/>
        <w:ind w:left="709"/>
        <w:contextualSpacing w:val="0"/>
        <w:jc w:val="both"/>
        <w:rPr>
          <w:rFonts w:ascii="Arial" w:hAnsi="Arial" w:cs="Arial"/>
        </w:rPr>
      </w:pPr>
    </w:p>
    <w:p w14:paraId="1E39B588" w14:textId="77777777" w:rsidR="003545C8" w:rsidRPr="000D44AA" w:rsidRDefault="003545C8" w:rsidP="005E23E0">
      <w:pPr>
        <w:pStyle w:val="Prrafodelista"/>
        <w:numPr>
          <w:ilvl w:val="0"/>
          <w:numId w:val="11"/>
        </w:numPr>
        <w:spacing w:after="0"/>
        <w:ind w:left="709" w:hanging="567"/>
        <w:contextualSpacing w:val="0"/>
        <w:jc w:val="both"/>
        <w:rPr>
          <w:rFonts w:ascii="Arial" w:hAnsi="Arial" w:cs="Arial"/>
        </w:rPr>
      </w:pPr>
      <w:r w:rsidRPr="000D44AA">
        <w:rPr>
          <w:rFonts w:ascii="Arial" w:hAnsi="Arial" w:cs="Arial"/>
        </w:rPr>
        <w:t>Preferencias del consumidor</w:t>
      </w:r>
      <w:r w:rsidRPr="000D44AA">
        <w:rPr>
          <w:rFonts w:ascii="Arial" w:eastAsiaTheme="majorEastAsia" w:hAnsi="Arial" w:cs="Arial"/>
        </w:rPr>
        <w:t xml:space="preserve">, por ejemplo, por </w:t>
      </w:r>
      <w:r>
        <w:rPr>
          <w:rFonts w:ascii="Arial" w:eastAsiaTheme="majorEastAsia" w:hAnsi="Arial" w:cs="Arial"/>
        </w:rPr>
        <w:t>productos</w:t>
      </w:r>
      <w:r w:rsidRPr="000D44AA">
        <w:rPr>
          <w:rFonts w:ascii="Arial" w:eastAsiaTheme="majorEastAsia" w:hAnsi="Arial" w:cs="Arial"/>
        </w:rPr>
        <w:t xml:space="preserve"> nacionales o locales, por la marca, el idioma, la cultura y el estilo de vida o la necesidad de una presencia local</w:t>
      </w:r>
      <w:r>
        <w:rPr>
          <w:rFonts w:ascii="Arial" w:eastAsiaTheme="majorEastAsia" w:hAnsi="Arial" w:cs="Arial"/>
        </w:rPr>
        <w:t>;</w:t>
      </w:r>
    </w:p>
    <w:p w14:paraId="26F5D4FC" w14:textId="77777777" w:rsidR="003545C8" w:rsidRDefault="003545C8" w:rsidP="003545C8">
      <w:pPr>
        <w:pStyle w:val="Prrafodelista"/>
        <w:spacing w:after="0"/>
        <w:ind w:left="709"/>
        <w:contextualSpacing w:val="0"/>
        <w:jc w:val="both"/>
        <w:rPr>
          <w:rFonts w:ascii="Arial" w:hAnsi="Arial" w:cs="Arial"/>
        </w:rPr>
      </w:pPr>
    </w:p>
    <w:p w14:paraId="3FF89253" w14:textId="77777777" w:rsidR="003545C8" w:rsidRPr="000C70DC"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Herramientas econométricas y estadísticas, así como análisis basados en la similitud de los niveles de precios y su evolución o convergencia, entre zonas geográficas</w:t>
      </w:r>
      <w:r>
        <w:rPr>
          <w:rFonts w:ascii="Arial" w:hAnsi="Arial" w:cs="Arial"/>
        </w:rPr>
        <w:t>;</w:t>
      </w:r>
    </w:p>
    <w:p w14:paraId="3E125EA2" w14:textId="77777777" w:rsidR="003545C8" w:rsidRDefault="003545C8" w:rsidP="003545C8">
      <w:pPr>
        <w:pStyle w:val="Prrafodelista"/>
        <w:spacing w:after="0"/>
        <w:ind w:left="709"/>
        <w:contextualSpacing w:val="0"/>
        <w:jc w:val="both"/>
        <w:rPr>
          <w:rFonts w:ascii="Arial" w:hAnsi="Arial" w:cs="Arial"/>
        </w:rPr>
      </w:pPr>
    </w:p>
    <w:p w14:paraId="61C53694" w14:textId="77777777" w:rsidR="003545C8"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Comportamiento reciente de los consumidores ante variaciones de los precios relativos entre las distintas zonas geográficas</w:t>
      </w:r>
      <w:r>
        <w:rPr>
          <w:rFonts w:ascii="Arial" w:hAnsi="Arial" w:cs="Arial"/>
        </w:rPr>
        <w:t>;</w:t>
      </w:r>
    </w:p>
    <w:p w14:paraId="65CBC1C7" w14:textId="77777777" w:rsidR="003545C8" w:rsidRDefault="003545C8" w:rsidP="003545C8">
      <w:pPr>
        <w:pStyle w:val="Prrafodelista"/>
        <w:spacing w:after="0"/>
        <w:ind w:left="709"/>
        <w:contextualSpacing w:val="0"/>
        <w:jc w:val="both"/>
        <w:rPr>
          <w:rFonts w:ascii="Arial" w:hAnsi="Arial" w:cs="Arial"/>
        </w:rPr>
      </w:pPr>
    </w:p>
    <w:p w14:paraId="54D5CC5A"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Opiniones de los principales clientes sobre lo que ocurriría ante un incremento (5%-10%) de los precios relativos de los </w:t>
      </w:r>
      <w:r>
        <w:rPr>
          <w:rFonts w:ascii="Arial" w:hAnsi="Arial" w:cs="Arial"/>
        </w:rPr>
        <w:t>productos</w:t>
      </w:r>
      <w:r w:rsidRPr="00931D46">
        <w:rPr>
          <w:rFonts w:ascii="Arial" w:hAnsi="Arial" w:cs="Arial"/>
        </w:rPr>
        <w:t xml:space="preserve"> considerados entre zonas geográficas.</w:t>
      </w:r>
    </w:p>
    <w:p w14:paraId="290D8977" w14:textId="77777777" w:rsidR="003545C8" w:rsidRDefault="003545C8" w:rsidP="003545C8">
      <w:pPr>
        <w:pStyle w:val="Prrafodelista"/>
        <w:spacing w:after="0"/>
        <w:ind w:left="709"/>
        <w:contextualSpacing w:val="0"/>
        <w:jc w:val="both"/>
        <w:rPr>
          <w:rFonts w:ascii="Arial" w:hAnsi="Arial" w:cs="Arial"/>
        </w:rPr>
      </w:pPr>
    </w:p>
    <w:p w14:paraId="075F5BDF"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Encuestas, opiniones y estrategias de proveedores, y</w:t>
      </w:r>
    </w:p>
    <w:p w14:paraId="705431FB" w14:textId="77777777" w:rsidR="003545C8" w:rsidRDefault="003545C8" w:rsidP="003545C8">
      <w:pPr>
        <w:pStyle w:val="Prrafodelista"/>
        <w:spacing w:after="0"/>
        <w:ind w:left="709"/>
        <w:contextualSpacing w:val="0"/>
        <w:jc w:val="both"/>
        <w:rPr>
          <w:rFonts w:ascii="Arial" w:hAnsi="Arial" w:cs="Arial"/>
        </w:rPr>
      </w:pPr>
    </w:p>
    <w:p w14:paraId="690E5E52"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La existencia de cadenas de sustitución entre zonas geográficas.</w:t>
      </w:r>
    </w:p>
    <w:p w14:paraId="67455E9B" w14:textId="77777777" w:rsidR="003545C8" w:rsidRDefault="003545C8" w:rsidP="003545C8">
      <w:pPr>
        <w:spacing w:after="0"/>
        <w:jc w:val="both"/>
        <w:rPr>
          <w:rFonts w:ascii="Arial" w:hAnsi="Arial" w:cs="Arial"/>
        </w:rPr>
      </w:pPr>
    </w:p>
    <w:p w14:paraId="6B4B52F2" w14:textId="77777777" w:rsidR="003545C8" w:rsidRPr="00931D46" w:rsidRDefault="003545C8" w:rsidP="003545C8">
      <w:pPr>
        <w:keepNext/>
        <w:spacing w:after="0"/>
        <w:jc w:val="both"/>
        <w:rPr>
          <w:rFonts w:ascii="Arial" w:hAnsi="Arial" w:cs="Arial"/>
          <w:b/>
        </w:rPr>
      </w:pPr>
      <w:r w:rsidRPr="00931D46">
        <w:rPr>
          <w:rFonts w:ascii="Arial" w:hAnsi="Arial" w:cs="Arial"/>
          <w:b/>
        </w:rPr>
        <w:t>Por el lado de la oferta:</w:t>
      </w:r>
    </w:p>
    <w:p w14:paraId="43BA0AAB" w14:textId="77777777" w:rsidR="003545C8" w:rsidRDefault="003545C8" w:rsidP="003545C8">
      <w:pPr>
        <w:pStyle w:val="Prrafodelista"/>
        <w:spacing w:after="0"/>
        <w:ind w:left="709"/>
        <w:contextualSpacing w:val="0"/>
        <w:jc w:val="both"/>
        <w:rPr>
          <w:rFonts w:ascii="Arial" w:hAnsi="Arial" w:cs="Arial"/>
        </w:rPr>
      </w:pPr>
    </w:p>
    <w:p w14:paraId="53382C98"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La cobertura de las redes de los operadores;</w:t>
      </w:r>
    </w:p>
    <w:p w14:paraId="2D13A155" w14:textId="77777777" w:rsidR="003545C8" w:rsidRDefault="003545C8" w:rsidP="003545C8">
      <w:pPr>
        <w:pStyle w:val="Prrafodelista"/>
        <w:spacing w:after="0"/>
        <w:ind w:left="709"/>
        <w:contextualSpacing w:val="0"/>
        <w:jc w:val="both"/>
        <w:rPr>
          <w:rFonts w:ascii="Arial" w:hAnsi="Arial" w:cs="Arial"/>
        </w:rPr>
      </w:pPr>
    </w:p>
    <w:p w14:paraId="6520F2BF"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 xml:space="preserve">La existencia de instrumentos </w:t>
      </w:r>
      <w:r>
        <w:rPr>
          <w:rFonts w:ascii="Arial" w:hAnsi="Arial" w:cs="Arial"/>
        </w:rPr>
        <w:t xml:space="preserve">comerciales, legales o </w:t>
      </w:r>
      <w:r w:rsidRPr="00931D46">
        <w:rPr>
          <w:rFonts w:ascii="Arial" w:hAnsi="Arial" w:cs="Arial"/>
        </w:rPr>
        <w:t xml:space="preserve">regulatorios que </w:t>
      </w:r>
      <w:r>
        <w:rPr>
          <w:rFonts w:ascii="Arial" w:hAnsi="Arial" w:cs="Arial"/>
        </w:rPr>
        <w:t xml:space="preserve">limiten la entrada en ciertas zonas geográficas (por ejemplo, </w:t>
      </w:r>
      <w:r w:rsidRPr="00931D46">
        <w:rPr>
          <w:rFonts w:ascii="Arial" w:hAnsi="Arial" w:cs="Arial"/>
        </w:rPr>
        <w:t>la necesidad de contar con concesiones, permisos o autorizaciones</w:t>
      </w:r>
      <w:r>
        <w:rPr>
          <w:rFonts w:ascii="Arial" w:hAnsi="Arial" w:cs="Arial"/>
        </w:rPr>
        <w:t>)</w:t>
      </w:r>
      <w:r w:rsidRPr="00931D46">
        <w:rPr>
          <w:rFonts w:ascii="Arial" w:hAnsi="Arial" w:cs="Arial"/>
        </w:rPr>
        <w:t xml:space="preserve">; </w:t>
      </w:r>
    </w:p>
    <w:p w14:paraId="3C0D846B" w14:textId="77777777" w:rsidR="003545C8" w:rsidRDefault="003545C8" w:rsidP="003545C8">
      <w:pPr>
        <w:pStyle w:val="Prrafodelista"/>
        <w:spacing w:after="0"/>
        <w:ind w:left="709"/>
        <w:contextualSpacing w:val="0"/>
        <w:jc w:val="both"/>
        <w:rPr>
          <w:rFonts w:ascii="Arial" w:hAnsi="Arial" w:cs="Arial"/>
        </w:rPr>
      </w:pPr>
    </w:p>
    <w:p w14:paraId="6D9DE073" w14:textId="77777777" w:rsidR="003545C8" w:rsidRPr="00931D46"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Los costos de extender o cambiar los sistemas de producción y distribución para abastecer a los clientes en regiones alternativas,</w:t>
      </w:r>
    </w:p>
    <w:p w14:paraId="5CB884FA" w14:textId="77777777" w:rsidR="003545C8" w:rsidRDefault="003545C8" w:rsidP="003545C8">
      <w:pPr>
        <w:pStyle w:val="Prrafodelista"/>
        <w:spacing w:after="0"/>
        <w:ind w:left="709"/>
        <w:contextualSpacing w:val="0"/>
        <w:jc w:val="both"/>
        <w:rPr>
          <w:rFonts w:ascii="Arial" w:hAnsi="Arial" w:cs="Arial"/>
        </w:rPr>
      </w:pPr>
    </w:p>
    <w:p w14:paraId="2DD2458F" w14:textId="77777777" w:rsidR="003545C8" w:rsidRDefault="003545C8" w:rsidP="005E23E0">
      <w:pPr>
        <w:pStyle w:val="Prrafodelista"/>
        <w:numPr>
          <w:ilvl w:val="0"/>
          <w:numId w:val="11"/>
        </w:numPr>
        <w:spacing w:after="0"/>
        <w:ind w:left="709" w:hanging="567"/>
        <w:contextualSpacing w:val="0"/>
        <w:jc w:val="both"/>
        <w:rPr>
          <w:rFonts w:ascii="Arial" w:hAnsi="Arial" w:cs="Arial"/>
        </w:rPr>
      </w:pPr>
      <w:r w:rsidRPr="00931D46">
        <w:rPr>
          <w:rFonts w:ascii="Arial" w:hAnsi="Arial" w:cs="Arial"/>
        </w:rPr>
        <w:t>La homogeneidad (o heterogeneidad) de las condiciones de competencia entre regiones.</w:t>
      </w:r>
    </w:p>
    <w:p w14:paraId="76C35783" w14:textId="77777777" w:rsidR="003545C8" w:rsidRPr="00A92633" w:rsidRDefault="003545C8" w:rsidP="003545C8">
      <w:pPr>
        <w:pStyle w:val="Prrafodelista"/>
        <w:spacing w:after="0"/>
        <w:ind w:left="709"/>
        <w:contextualSpacing w:val="0"/>
        <w:jc w:val="both"/>
        <w:rPr>
          <w:rFonts w:ascii="Arial" w:hAnsi="Arial" w:cs="Arial"/>
        </w:rPr>
      </w:pPr>
    </w:p>
    <w:p w14:paraId="3F013141" w14:textId="77777777" w:rsidR="003545C8" w:rsidRDefault="003545C8" w:rsidP="005E23E0">
      <w:pPr>
        <w:pStyle w:val="Prrafodelista"/>
        <w:numPr>
          <w:ilvl w:val="0"/>
          <w:numId w:val="11"/>
        </w:numPr>
        <w:spacing w:after="0"/>
        <w:ind w:left="709" w:hanging="567"/>
        <w:contextualSpacing w:val="0"/>
        <w:jc w:val="both"/>
        <w:rPr>
          <w:rFonts w:ascii="Arial" w:hAnsi="Arial" w:cs="Arial"/>
        </w:rPr>
      </w:pPr>
      <w:r w:rsidRPr="00E55BD9">
        <w:rPr>
          <w:rFonts w:ascii="Arial" w:hAnsi="Arial" w:cs="Arial"/>
          <w:szCs w:val="24"/>
        </w:rPr>
        <w:t xml:space="preserve">Si </w:t>
      </w:r>
      <w:r w:rsidRPr="00E55BD9">
        <w:rPr>
          <w:rFonts w:ascii="Arial" w:hAnsi="Arial" w:cs="Arial"/>
        </w:rPr>
        <w:t xml:space="preserve">los oferentes requieren tener presencia cerca de los usuarios para proveer el </w:t>
      </w:r>
      <w:r>
        <w:rPr>
          <w:rFonts w:ascii="Arial" w:hAnsi="Arial" w:cs="Arial"/>
        </w:rPr>
        <w:t>producto</w:t>
      </w:r>
      <w:r w:rsidRPr="00E55BD9">
        <w:rPr>
          <w:rFonts w:ascii="Arial" w:hAnsi="Arial" w:cs="Arial"/>
        </w:rPr>
        <w:t xml:space="preserve"> y atención al cliente</w:t>
      </w:r>
      <w:r>
        <w:rPr>
          <w:rFonts w:ascii="Arial" w:hAnsi="Arial" w:cs="Arial"/>
        </w:rPr>
        <w:t>, y</w:t>
      </w:r>
    </w:p>
    <w:p w14:paraId="2BCB5D69" w14:textId="77777777" w:rsidR="003545C8" w:rsidRDefault="003545C8" w:rsidP="003545C8">
      <w:pPr>
        <w:pStyle w:val="Prrafodelista"/>
        <w:spacing w:after="0"/>
        <w:ind w:left="709"/>
        <w:contextualSpacing w:val="0"/>
        <w:jc w:val="both"/>
        <w:rPr>
          <w:rFonts w:ascii="Arial" w:hAnsi="Arial" w:cs="Arial"/>
        </w:rPr>
      </w:pPr>
    </w:p>
    <w:p w14:paraId="33CB53F8" w14:textId="77777777" w:rsidR="003545C8" w:rsidRDefault="003545C8" w:rsidP="005E23E0">
      <w:pPr>
        <w:pStyle w:val="Prrafodelista"/>
        <w:numPr>
          <w:ilvl w:val="0"/>
          <w:numId w:val="11"/>
        </w:numPr>
        <w:spacing w:after="0"/>
        <w:ind w:left="709" w:hanging="567"/>
        <w:contextualSpacing w:val="0"/>
        <w:jc w:val="both"/>
        <w:rPr>
          <w:rFonts w:ascii="Arial" w:hAnsi="Arial" w:cs="Arial"/>
        </w:rPr>
      </w:pPr>
      <w:r w:rsidRPr="005E0282">
        <w:rPr>
          <w:rFonts w:ascii="Arial" w:hAnsi="Arial" w:cs="Arial"/>
        </w:rPr>
        <w:t>Evidencia respecto a si la</w:t>
      </w:r>
      <w:r>
        <w:rPr>
          <w:rFonts w:ascii="Arial" w:hAnsi="Arial" w:cs="Arial"/>
        </w:rPr>
        <w:t>s</w:t>
      </w:r>
      <w:r w:rsidRPr="005E0282">
        <w:rPr>
          <w:rFonts w:ascii="Arial" w:hAnsi="Arial" w:cs="Arial"/>
        </w:rPr>
        <w:t xml:space="preserve"> estrat</w:t>
      </w:r>
      <w:r>
        <w:rPr>
          <w:rFonts w:ascii="Arial" w:hAnsi="Arial" w:cs="Arial"/>
        </w:rPr>
        <w:t>egias</w:t>
      </w:r>
      <w:r w:rsidRPr="005E0282">
        <w:rPr>
          <w:rFonts w:ascii="Arial" w:hAnsi="Arial" w:cs="Arial"/>
        </w:rPr>
        <w:t xml:space="preserve"> de los proveedores considera</w:t>
      </w:r>
      <w:r>
        <w:rPr>
          <w:rFonts w:ascii="Arial" w:hAnsi="Arial" w:cs="Arial"/>
        </w:rPr>
        <w:t>n</w:t>
      </w:r>
      <w:r w:rsidRPr="005E0282">
        <w:rPr>
          <w:rFonts w:ascii="Arial" w:hAnsi="Arial" w:cs="Arial"/>
        </w:rPr>
        <w:t xml:space="preserve"> </w:t>
      </w:r>
      <w:r>
        <w:rPr>
          <w:rFonts w:ascii="Arial" w:hAnsi="Arial" w:cs="Arial"/>
        </w:rPr>
        <w:t xml:space="preserve">la </w:t>
      </w:r>
      <w:r w:rsidRPr="005E0282">
        <w:rPr>
          <w:rFonts w:ascii="Arial" w:hAnsi="Arial" w:cs="Arial"/>
        </w:rPr>
        <w:t xml:space="preserve">posibilidad de </w:t>
      </w:r>
      <w:r>
        <w:rPr>
          <w:rFonts w:ascii="Arial" w:hAnsi="Arial" w:cs="Arial"/>
        </w:rPr>
        <w:t xml:space="preserve">los </w:t>
      </w:r>
      <w:r w:rsidRPr="005E0282">
        <w:rPr>
          <w:rFonts w:ascii="Arial" w:hAnsi="Arial" w:cs="Arial"/>
        </w:rPr>
        <w:t xml:space="preserve">usuarios de abastecerse del producto en otras </w:t>
      </w:r>
      <w:r>
        <w:rPr>
          <w:rFonts w:ascii="Arial" w:hAnsi="Arial" w:cs="Arial"/>
        </w:rPr>
        <w:t>zonas</w:t>
      </w:r>
      <w:r w:rsidRPr="005E0282">
        <w:rPr>
          <w:rFonts w:ascii="Arial" w:hAnsi="Arial" w:cs="Arial"/>
        </w:rPr>
        <w:t xml:space="preserve"> geográficas</w:t>
      </w:r>
      <w:r>
        <w:rPr>
          <w:rFonts w:ascii="Arial" w:hAnsi="Arial" w:cs="Arial"/>
        </w:rPr>
        <w:t>.</w:t>
      </w:r>
    </w:p>
    <w:p w14:paraId="1D375ECF" w14:textId="6AC9B4A9" w:rsidR="003545C8" w:rsidRPr="00931D46" w:rsidRDefault="0003578B"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47" w:name="_Toc64495271"/>
      <w:bookmarkStart w:id="48" w:name="_Toc45628327"/>
      <w:bookmarkStart w:id="49" w:name="_Toc71717640"/>
      <w:bookmarkEnd w:id="47"/>
      <w:r>
        <w:rPr>
          <w:rFonts w:ascii="Arial" w:eastAsia="Times New Roman" w:hAnsi="Arial" w:cs="Arial"/>
          <w:sz w:val="26"/>
          <w:lang w:eastAsia="es-MX"/>
        </w:rPr>
        <w:lastRenderedPageBreak/>
        <w:t>E</w:t>
      </w:r>
      <w:r w:rsidR="003545C8" w:rsidRPr="00931D46">
        <w:rPr>
          <w:rFonts w:ascii="Arial" w:eastAsia="Times New Roman" w:hAnsi="Arial" w:cs="Arial"/>
          <w:sz w:val="26"/>
          <w:lang w:eastAsia="es-MX"/>
        </w:rPr>
        <w:t>lementos para determinar la dimensión geográfica</w:t>
      </w:r>
      <w:bookmarkEnd w:id="48"/>
      <w:bookmarkEnd w:id="49"/>
    </w:p>
    <w:p w14:paraId="703CE8B6" w14:textId="77777777" w:rsidR="003545C8" w:rsidRPr="00931D46" w:rsidRDefault="003545C8" w:rsidP="003545C8">
      <w:pPr>
        <w:keepNext/>
        <w:spacing w:after="0"/>
        <w:jc w:val="both"/>
        <w:rPr>
          <w:rFonts w:ascii="Arial" w:eastAsiaTheme="majorEastAsia" w:hAnsi="Arial" w:cs="Arial"/>
          <w:b/>
          <w:szCs w:val="32"/>
          <w:highlight w:val="green"/>
        </w:rPr>
      </w:pPr>
    </w:p>
    <w:p w14:paraId="6BB89330" w14:textId="77777777" w:rsidR="003545C8" w:rsidRPr="00331845"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r>
        <w:rPr>
          <w:rFonts w:ascii="Arial" w:eastAsia="Times New Roman" w:hAnsi="Arial" w:cs="Arial"/>
          <w:sz w:val="26"/>
          <w:szCs w:val="26"/>
          <w:lang w:eastAsia="es-MX"/>
        </w:rPr>
        <w:t>Zona geográfica</w:t>
      </w:r>
      <w:r w:rsidRPr="00331845">
        <w:rPr>
          <w:rFonts w:ascii="Arial" w:eastAsia="Times New Roman" w:hAnsi="Arial" w:cs="Arial"/>
          <w:sz w:val="26"/>
          <w:szCs w:val="26"/>
          <w:lang w:eastAsia="es-MX"/>
        </w:rPr>
        <w:t xml:space="preserve"> focal</w:t>
      </w:r>
    </w:p>
    <w:p w14:paraId="22F3890F" w14:textId="77777777" w:rsidR="003545C8" w:rsidRDefault="003545C8" w:rsidP="003545C8">
      <w:pPr>
        <w:keepNext/>
        <w:spacing w:after="0"/>
        <w:jc w:val="both"/>
        <w:rPr>
          <w:rFonts w:ascii="Arial" w:hAnsi="Arial" w:cs="Arial"/>
        </w:rPr>
      </w:pPr>
    </w:p>
    <w:p w14:paraId="73DDB839" w14:textId="77777777" w:rsidR="003545C8" w:rsidRPr="00FF19F1" w:rsidRDefault="003545C8" w:rsidP="003545C8">
      <w:pPr>
        <w:jc w:val="both"/>
        <w:rPr>
          <w:rFonts w:ascii="Arial" w:hAnsi="Arial" w:cs="Arial"/>
          <w:lang w:eastAsia="es-MX"/>
        </w:rPr>
      </w:pPr>
      <w:r w:rsidRPr="00D27126">
        <w:rPr>
          <w:rFonts w:ascii="Arial" w:hAnsi="Arial" w:cs="Arial"/>
        </w:rPr>
        <w:t xml:space="preserve">Con base en los precedentes decisorios del Instituto y la experiencia internacional, para delimitar el mercado relevante en su dimensión geográfica, el Instituto iniciará con la identificación de la </w:t>
      </w:r>
      <w:r w:rsidRPr="00D27126">
        <w:rPr>
          <w:rFonts w:ascii="Arial" w:hAnsi="Arial" w:cs="Arial"/>
          <w:b/>
        </w:rPr>
        <w:t>zona geográfica de interés</w:t>
      </w:r>
      <w:r w:rsidRPr="00D27126">
        <w:rPr>
          <w:rFonts w:ascii="Arial" w:hAnsi="Arial" w:cs="Arial"/>
        </w:rPr>
        <w:t xml:space="preserve"> (zona geográfica focal), para lo cual </w:t>
      </w:r>
      <w:r w:rsidRPr="00D27126">
        <w:rPr>
          <w:rFonts w:ascii="Arial" w:hAnsi="Arial" w:cs="Arial"/>
          <w:lang w:eastAsia="es-MX"/>
        </w:rPr>
        <w:t>podrá considerar</w:t>
      </w:r>
      <w:r w:rsidRPr="00FF19F1">
        <w:rPr>
          <w:rFonts w:ascii="Arial" w:hAnsi="Arial" w:cs="Arial"/>
          <w:lang w:eastAsia="es-MX"/>
        </w:rPr>
        <w:t>:</w:t>
      </w:r>
    </w:p>
    <w:p w14:paraId="1BF15041" w14:textId="77777777" w:rsidR="003545C8" w:rsidRPr="00FF19F1" w:rsidRDefault="003545C8" w:rsidP="005E23E0">
      <w:pPr>
        <w:pStyle w:val="Prrafodelista"/>
        <w:numPr>
          <w:ilvl w:val="0"/>
          <w:numId w:val="32"/>
        </w:numPr>
        <w:spacing w:after="0"/>
        <w:ind w:left="709" w:hanging="567"/>
        <w:contextualSpacing w:val="0"/>
        <w:jc w:val="both"/>
        <w:rPr>
          <w:rFonts w:ascii="Arial" w:hAnsi="Arial" w:cs="Arial"/>
        </w:rPr>
      </w:pPr>
      <w:r w:rsidRPr="00FF19F1">
        <w:rPr>
          <w:rFonts w:ascii="Arial" w:hAnsi="Arial" w:cs="Arial"/>
        </w:rPr>
        <w:t>Las coincidencias en la provisión de los productos de los agentes económicos involucrados en una concentración o cesión de derechos de concesiones, y</w:t>
      </w:r>
    </w:p>
    <w:p w14:paraId="13A096AC" w14:textId="77777777" w:rsidR="003545C8" w:rsidRDefault="003545C8" w:rsidP="003545C8">
      <w:pPr>
        <w:pStyle w:val="Prrafodelista"/>
        <w:spacing w:after="0"/>
        <w:ind w:left="709"/>
        <w:contextualSpacing w:val="0"/>
        <w:jc w:val="both"/>
        <w:rPr>
          <w:rFonts w:ascii="Arial" w:hAnsi="Arial" w:cs="Arial"/>
        </w:rPr>
      </w:pPr>
    </w:p>
    <w:p w14:paraId="12C0FBC9" w14:textId="77777777" w:rsidR="003545C8" w:rsidRDefault="003545C8" w:rsidP="005E23E0">
      <w:pPr>
        <w:pStyle w:val="Prrafodelista"/>
        <w:numPr>
          <w:ilvl w:val="0"/>
          <w:numId w:val="32"/>
        </w:numPr>
        <w:spacing w:after="0"/>
        <w:ind w:left="709" w:hanging="567"/>
        <w:contextualSpacing w:val="0"/>
        <w:jc w:val="both"/>
        <w:rPr>
          <w:rFonts w:ascii="Arial" w:hAnsi="Arial" w:cs="Arial"/>
        </w:rPr>
      </w:pPr>
      <w:r w:rsidRPr="00FF19F1">
        <w:rPr>
          <w:rFonts w:ascii="Arial" w:hAnsi="Arial" w:cs="Arial"/>
        </w:rPr>
        <w:t>La zona geográfica donde se investiga una PMR, la existencia de un insumo esencial, barreras a la competencia, condiciones de competencia efectiva o PSM.</w:t>
      </w:r>
    </w:p>
    <w:p w14:paraId="10880372" w14:textId="77777777" w:rsidR="003545C8" w:rsidRPr="00FF19F1" w:rsidRDefault="003545C8" w:rsidP="003545C8">
      <w:pPr>
        <w:pStyle w:val="Prrafodelista"/>
        <w:spacing w:after="0"/>
        <w:ind w:left="709"/>
        <w:jc w:val="both"/>
        <w:rPr>
          <w:rFonts w:ascii="Arial" w:hAnsi="Arial" w:cs="Arial"/>
        </w:rPr>
      </w:pPr>
    </w:p>
    <w:p w14:paraId="4CF8F372" w14:textId="77777777" w:rsidR="003545C8" w:rsidRPr="00884AE9"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r w:rsidRPr="00884AE9">
        <w:rPr>
          <w:rFonts w:ascii="Arial" w:eastAsia="Times New Roman" w:hAnsi="Arial" w:cs="Arial"/>
          <w:sz w:val="26"/>
          <w:szCs w:val="26"/>
          <w:lang w:eastAsia="es-MX"/>
        </w:rPr>
        <w:t>Zonas geográficas candidatas</w:t>
      </w:r>
    </w:p>
    <w:p w14:paraId="05A03DC0" w14:textId="77777777" w:rsidR="003545C8" w:rsidRPr="00884AE9" w:rsidRDefault="003545C8" w:rsidP="003545C8">
      <w:pPr>
        <w:keepNext/>
        <w:spacing w:after="0"/>
        <w:jc w:val="both"/>
        <w:rPr>
          <w:rFonts w:ascii="Arial" w:hAnsi="Arial" w:cs="Arial"/>
        </w:rPr>
      </w:pPr>
    </w:p>
    <w:p w14:paraId="6F6DA05A" w14:textId="77777777" w:rsidR="003545C8" w:rsidRPr="00884AE9" w:rsidRDefault="003545C8" w:rsidP="003545C8">
      <w:pPr>
        <w:spacing w:after="0"/>
        <w:jc w:val="both"/>
        <w:rPr>
          <w:rFonts w:ascii="Arial" w:hAnsi="Arial" w:cs="Arial"/>
        </w:rPr>
      </w:pPr>
      <w:r w:rsidRPr="00884AE9">
        <w:rPr>
          <w:rFonts w:ascii="Arial" w:hAnsi="Arial" w:cs="Arial"/>
        </w:rPr>
        <w:t xml:space="preserve">A partir de un análisis de equivalencia funcional e intercambiabilidad con base en las características, atributos y usos del producto analizado que se provee en la zona geográfica focal, incluyendo precios, modelos de negocio, condiciones de comercialización, calidad y requerimientos (incluyendo el tiempo) para tener acceso a él, se </w:t>
      </w:r>
      <w:r>
        <w:rPr>
          <w:rFonts w:ascii="Arial" w:hAnsi="Arial" w:cs="Arial"/>
        </w:rPr>
        <w:t xml:space="preserve">podrán </w:t>
      </w:r>
      <w:r w:rsidRPr="00884AE9">
        <w:rPr>
          <w:rFonts w:ascii="Arial" w:hAnsi="Arial" w:cs="Arial"/>
        </w:rPr>
        <w:t xml:space="preserve">identificar, de manera preliminar, las </w:t>
      </w:r>
      <w:r w:rsidRPr="00884AE9">
        <w:rPr>
          <w:rFonts w:ascii="Arial" w:hAnsi="Arial" w:cs="Arial"/>
          <w:b/>
        </w:rPr>
        <w:t>zonas geográficas candidatas a sustitutos</w:t>
      </w:r>
      <w:r w:rsidRPr="00884AE9">
        <w:rPr>
          <w:rFonts w:ascii="Arial" w:hAnsi="Arial" w:cs="Arial"/>
        </w:rPr>
        <w:t xml:space="preserve"> o desde las cuales se podría ejercer presión competitiva sobre la provisión del producto analizado en la zona geográfica focal.</w:t>
      </w:r>
    </w:p>
    <w:p w14:paraId="5BAD7FF9" w14:textId="77777777" w:rsidR="003545C8" w:rsidRPr="00884AE9" w:rsidRDefault="003545C8" w:rsidP="003545C8">
      <w:pPr>
        <w:spacing w:after="0"/>
        <w:jc w:val="both"/>
        <w:rPr>
          <w:rFonts w:ascii="Arial" w:hAnsi="Arial" w:cs="Arial"/>
        </w:rPr>
      </w:pPr>
    </w:p>
    <w:p w14:paraId="2A136739" w14:textId="77777777" w:rsidR="003545C8" w:rsidRPr="00884AE9"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r w:rsidRPr="00884AE9">
        <w:rPr>
          <w:rFonts w:ascii="Arial" w:eastAsia="Times New Roman" w:hAnsi="Arial" w:cs="Arial"/>
          <w:sz w:val="26"/>
          <w:szCs w:val="26"/>
          <w:lang w:eastAsia="es-MX"/>
        </w:rPr>
        <w:t>Análisis de sustitución</w:t>
      </w:r>
    </w:p>
    <w:p w14:paraId="456BC189" w14:textId="77777777" w:rsidR="003545C8" w:rsidRPr="00884AE9" w:rsidRDefault="003545C8" w:rsidP="003545C8">
      <w:pPr>
        <w:spacing w:after="0"/>
        <w:jc w:val="both"/>
        <w:rPr>
          <w:lang w:eastAsia="es-MX"/>
        </w:rPr>
      </w:pPr>
    </w:p>
    <w:p w14:paraId="51EC77B7" w14:textId="77777777" w:rsidR="003545C8" w:rsidRDefault="003545C8" w:rsidP="003545C8">
      <w:pPr>
        <w:spacing w:after="0"/>
        <w:jc w:val="both"/>
        <w:rPr>
          <w:rFonts w:ascii="Arial" w:hAnsi="Arial" w:cs="Arial"/>
        </w:rPr>
      </w:pPr>
      <w:r w:rsidRPr="00884AE9">
        <w:rPr>
          <w:rFonts w:ascii="Arial" w:hAnsi="Arial" w:cs="Arial"/>
        </w:rPr>
        <w:t xml:space="preserve">A partir de la zona geográfica de interés y para cada una de las zonas geográficas candidatas identificadas, se </w:t>
      </w:r>
      <w:r>
        <w:rPr>
          <w:rFonts w:ascii="Arial" w:hAnsi="Arial" w:cs="Arial"/>
        </w:rPr>
        <w:t xml:space="preserve">podrá </w:t>
      </w:r>
      <w:r w:rsidRPr="00884AE9">
        <w:rPr>
          <w:rFonts w:ascii="Arial" w:hAnsi="Arial" w:cs="Arial"/>
        </w:rPr>
        <w:t>realizar un análisis de sustitución por el lado de la demanda y por el lado de la oferta de acuerdo con los criterios establecidos en el artículo 58 de la LFCE, para lo cual se podrán considerar, entre otros, los elementos y las herramientas de análisis que se presentan a continuación, sin orden de importancia o prelación en su aplicación y conforme la información disponible lo permita.</w:t>
      </w:r>
    </w:p>
    <w:p w14:paraId="77B9843D" w14:textId="77777777" w:rsidR="003545C8" w:rsidRDefault="003545C8" w:rsidP="003545C8">
      <w:pPr>
        <w:spacing w:after="0"/>
        <w:jc w:val="both"/>
        <w:rPr>
          <w:rFonts w:ascii="Arial" w:hAnsi="Arial" w:cs="Arial"/>
        </w:rPr>
      </w:pPr>
    </w:p>
    <w:p w14:paraId="2313136B" w14:textId="77777777" w:rsidR="003545C8" w:rsidRDefault="003545C8" w:rsidP="003545C8">
      <w:pPr>
        <w:spacing w:after="0"/>
        <w:jc w:val="both"/>
        <w:rPr>
          <w:rFonts w:ascii="Arial" w:eastAsiaTheme="majorEastAsia" w:hAnsi="Arial" w:cs="Arial"/>
          <w:szCs w:val="32"/>
        </w:rPr>
      </w:pPr>
      <w:r w:rsidRPr="00884AE9">
        <w:rPr>
          <w:rFonts w:ascii="Arial" w:hAnsi="Arial" w:cs="Arial"/>
        </w:rPr>
        <w:t xml:space="preserve">En todo caso, </w:t>
      </w:r>
      <w:r w:rsidRPr="00884AE9">
        <w:rPr>
          <w:rFonts w:ascii="Arial" w:eastAsiaTheme="majorEastAsia" w:hAnsi="Arial" w:cs="Arial"/>
          <w:szCs w:val="32"/>
        </w:rPr>
        <w:t>la dimensión geográfica deberá ser suficientemente pequeña para evitar variaciones significativas de las características estructurales de los mercados que incidan sobre las condiciones de competencia de cada zona geográfica, pero suficientemente grande para evitar microanálisis onerosos y exigentes en recursos que podrían conducir a la fragmentación del mercado y a las mismas conclusiones en relación con los efectos o condiciones de competencia en el caso sujeto de análisis.</w:t>
      </w:r>
    </w:p>
    <w:p w14:paraId="2DDCC212" w14:textId="77777777" w:rsidR="003545C8" w:rsidRPr="00931D46" w:rsidRDefault="003545C8" w:rsidP="003545C8">
      <w:pPr>
        <w:spacing w:after="0"/>
        <w:jc w:val="both"/>
        <w:rPr>
          <w:rFonts w:ascii="Arial" w:hAnsi="Arial" w:cs="Arial"/>
        </w:rPr>
      </w:pPr>
    </w:p>
    <w:p w14:paraId="090DE9FC" w14:textId="77777777" w:rsidR="003545C8" w:rsidRPr="00884AE9" w:rsidRDefault="003545C8" w:rsidP="005E23E0">
      <w:pPr>
        <w:pStyle w:val="Ttulo4"/>
        <w:keepLines w:val="0"/>
        <w:numPr>
          <w:ilvl w:val="3"/>
          <w:numId w:val="5"/>
        </w:numPr>
        <w:spacing w:before="0" w:after="0" w:line="276" w:lineRule="auto"/>
        <w:ind w:left="2268"/>
        <w:rPr>
          <w:rFonts w:ascii="Arial" w:eastAsia="Times New Roman" w:hAnsi="Arial" w:cs="Arial"/>
          <w:b w:val="0"/>
          <w:i/>
          <w:lang w:eastAsia="es-MX"/>
        </w:rPr>
      </w:pPr>
      <w:r w:rsidRPr="00884AE9">
        <w:rPr>
          <w:rFonts w:ascii="Arial" w:eastAsia="Times New Roman" w:hAnsi="Arial" w:cs="Arial"/>
          <w:lang w:eastAsia="es-MX"/>
        </w:rPr>
        <w:lastRenderedPageBreak/>
        <w:t>Sustitución por el lado de la demanda</w:t>
      </w:r>
    </w:p>
    <w:p w14:paraId="75D619EC" w14:textId="77777777" w:rsidR="003545C8" w:rsidRPr="00884AE9" w:rsidRDefault="003545C8" w:rsidP="003545C8">
      <w:pPr>
        <w:keepNext/>
        <w:spacing w:after="0"/>
        <w:jc w:val="both"/>
        <w:rPr>
          <w:rFonts w:ascii="Arial" w:hAnsi="Arial" w:cs="Arial"/>
          <w:b/>
        </w:rPr>
      </w:pPr>
    </w:p>
    <w:p w14:paraId="31AD6779" w14:textId="77777777" w:rsidR="003545C8" w:rsidRPr="00A92633" w:rsidRDefault="003545C8" w:rsidP="003545C8">
      <w:pPr>
        <w:spacing w:after="0"/>
        <w:jc w:val="both"/>
        <w:rPr>
          <w:rFonts w:ascii="Arial" w:hAnsi="Arial" w:cs="Arial"/>
        </w:rPr>
      </w:pPr>
      <w:r w:rsidRPr="00884AE9">
        <w:rPr>
          <w:rFonts w:ascii="Arial" w:hAnsi="Arial" w:cs="Arial"/>
        </w:rPr>
        <w:t xml:space="preserve">El análisis de sustitución por el lado de la demanda consiste en evaluar la capacidad que tienen los demandantes de recurrir a oferentes ubicados en otras zonas geográficas para abastecerse del producto analizado, en respuesta a pequeñas variaciones no transitorias en los precios relativos u otras variables relevantes. Para llevarlo a cabo el Instituto </w:t>
      </w:r>
      <w:r>
        <w:rPr>
          <w:rFonts w:ascii="Arial" w:hAnsi="Arial" w:cs="Arial"/>
        </w:rPr>
        <w:t>podrá</w:t>
      </w:r>
      <w:r w:rsidRPr="00884AE9">
        <w:rPr>
          <w:rFonts w:ascii="Arial" w:hAnsi="Arial" w:cs="Arial"/>
        </w:rPr>
        <w:t xml:space="preserve"> considerar los </w:t>
      </w:r>
      <w:r w:rsidRPr="00A92633">
        <w:rPr>
          <w:rFonts w:ascii="Arial" w:hAnsi="Arial" w:cs="Arial"/>
        </w:rPr>
        <w:t>siguientes elementos.</w:t>
      </w:r>
    </w:p>
    <w:p w14:paraId="646766CB" w14:textId="77777777" w:rsidR="003545C8" w:rsidRPr="00A92633" w:rsidRDefault="003545C8" w:rsidP="003545C8">
      <w:pPr>
        <w:spacing w:after="0"/>
        <w:jc w:val="both"/>
        <w:rPr>
          <w:rFonts w:ascii="Arial" w:hAnsi="Arial" w:cs="Arial"/>
        </w:rPr>
      </w:pPr>
    </w:p>
    <w:p w14:paraId="6DDF71C7" w14:textId="77777777" w:rsidR="003545C8" w:rsidRPr="00A92633" w:rsidRDefault="003545C8" w:rsidP="005E23E0">
      <w:pPr>
        <w:pStyle w:val="Prrafodelista"/>
        <w:numPr>
          <w:ilvl w:val="0"/>
          <w:numId w:val="32"/>
        </w:numPr>
        <w:spacing w:after="0"/>
        <w:ind w:left="1077"/>
        <w:contextualSpacing w:val="0"/>
        <w:jc w:val="both"/>
        <w:rPr>
          <w:rFonts w:ascii="Arial" w:hAnsi="Arial" w:cs="Arial"/>
          <w:b/>
        </w:rPr>
      </w:pPr>
      <w:r w:rsidRPr="00A92633">
        <w:rPr>
          <w:rFonts w:ascii="Arial" w:hAnsi="Arial" w:cs="Arial"/>
          <w:b/>
        </w:rPr>
        <w:t>La Prueba SSNIP</w:t>
      </w:r>
    </w:p>
    <w:p w14:paraId="301CDF0C" w14:textId="77777777" w:rsidR="003545C8" w:rsidRPr="00A92633" w:rsidRDefault="003545C8" w:rsidP="003545C8">
      <w:pPr>
        <w:pStyle w:val="Prrafodelista"/>
        <w:spacing w:after="0"/>
        <w:ind w:left="1077"/>
        <w:contextualSpacing w:val="0"/>
        <w:jc w:val="both"/>
        <w:rPr>
          <w:rFonts w:ascii="Arial" w:hAnsi="Arial" w:cs="Arial"/>
          <w:b/>
        </w:rPr>
      </w:pPr>
    </w:p>
    <w:p w14:paraId="5EA59DA8" w14:textId="3288A34D" w:rsidR="003545C8" w:rsidRDefault="003545C8" w:rsidP="003545C8">
      <w:pPr>
        <w:keepNext/>
        <w:spacing w:after="0"/>
        <w:jc w:val="both"/>
        <w:rPr>
          <w:rFonts w:ascii="Arial" w:hAnsi="Arial" w:cs="Arial"/>
        </w:rPr>
      </w:pPr>
      <w:r w:rsidRPr="00A92633">
        <w:rPr>
          <w:rFonts w:ascii="Arial" w:hAnsi="Arial" w:cs="Arial"/>
        </w:rPr>
        <w:t xml:space="preserve">En caso de contar con la información suficiente, el IFT </w:t>
      </w:r>
      <w:r>
        <w:rPr>
          <w:rFonts w:ascii="Arial" w:hAnsi="Arial" w:cs="Arial"/>
        </w:rPr>
        <w:t>podrá</w:t>
      </w:r>
      <w:r w:rsidRPr="00A92633">
        <w:rPr>
          <w:rFonts w:ascii="Arial" w:hAnsi="Arial" w:cs="Arial"/>
        </w:rPr>
        <w:t xml:space="preserve"> llevar a cabo la </w:t>
      </w:r>
      <w:r w:rsidR="00880218">
        <w:rPr>
          <w:rFonts w:ascii="Arial" w:hAnsi="Arial" w:cs="Arial"/>
          <w:b/>
        </w:rPr>
        <w:t>P</w:t>
      </w:r>
      <w:r w:rsidRPr="00A92633">
        <w:rPr>
          <w:rFonts w:ascii="Arial" w:hAnsi="Arial" w:cs="Arial"/>
          <w:b/>
        </w:rPr>
        <w:t>rueba SSNIP</w:t>
      </w:r>
      <w:r w:rsidRPr="00A92633">
        <w:rPr>
          <w:rStyle w:val="Refdenotaalpie"/>
          <w:rFonts w:ascii="Arial" w:hAnsi="Arial" w:cs="Arial"/>
        </w:rPr>
        <w:footnoteReference w:id="53"/>
      </w:r>
      <w:r w:rsidRPr="00A92633" w:rsidDel="003D2F8F">
        <w:rPr>
          <w:rFonts w:ascii="Arial" w:hAnsi="Arial" w:cs="Arial"/>
        </w:rPr>
        <w:t xml:space="preserve"> </w:t>
      </w:r>
      <w:r w:rsidRPr="00A92633">
        <w:rPr>
          <w:rFonts w:ascii="Arial" w:hAnsi="Arial" w:cs="Arial"/>
        </w:rPr>
        <w:t>para delimitar</w:t>
      </w:r>
      <w:r w:rsidRPr="00884AE9">
        <w:rPr>
          <w:rFonts w:ascii="Arial" w:hAnsi="Arial" w:cs="Arial"/>
        </w:rPr>
        <w:t xml:space="preserve"> la dimensión geográfica del MR. En este caso, la prueba se inicia</w:t>
      </w:r>
      <w:r>
        <w:rPr>
          <w:rFonts w:ascii="Arial" w:hAnsi="Arial" w:cs="Arial"/>
        </w:rPr>
        <w:t>rá</w:t>
      </w:r>
      <w:r w:rsidRPr="00884AE9">
        <w:rPr>
          <w:rFonts w:ascii="Arial" w:hAnsi="Arial" w:cs="Arial"/>
        </w:rPr>
        <w:t xml:space="preserve"> considerando como zona geográfica focal una zona geográfica estrecha y se evalúa si un monopolista hipotético podría incrementar los precios de manera pequeña, pero significativa y no transitoria, rentablemente. Si el incremento en precios no le resulta rentable, significa que, ante dicha acción, los demandantes del producto acuden a proveedores alternativos situados en zonas geográficas vecinas. En este caso, se añaden zonas vecinas al MR y se repite el análisis antes descrito para otras zonas geográficas candidatas hasta identificar la zona geográfica más pequeña en la que la imposición del SSNIP por parte del monopolista hipotético sea rentable (para mayor detalle respecto a la prueba, refiérase a la sección 5.3.3.1. de la presente guía). </w:t>
      </w:r>
    </w:p>
    <w:p w14:paraId="598259C1" w14:textId="29BF2312" w:rsidR="003545C8" w:rsidRPr="00884AE9" w:rsidRDefault="003545C8" w:rsidP="003545C8">
      <w:pPr>
        <w:keepNext/>
        <w:spacing w:after="0"/>
        <w:jc w:val="both"/>
        <w:rPr>
          <w:rFonts w:ascii="Arial" w:hAnsi="Arial" w:cs="Arial"/>
        </w:rPr>
      </w:pPr>
      <w:r>
        <w:rPr>
          <w:rFonts w:ascii="Arial" w:hAnsi="Arial" w:cs="Arial"/>
        </w:rPr>
        <w:t>Como parte de este elemento, el Instituto podrá utilizar cualquier información que refleje las</w:t>
      </w:r>
      <w:r w:rsidRPr="00931D46">
        <w:rPr>
          <w:rFonts w:ascii="Arial" w:hAnsi="Arial" w:cs="Arial"/>
        </w:rPr>
        <w:t xml:space="preserve"> posibilidades y disposición (en términos de tiempo y costos) </w:t>
      </w:r>
      <w:r>
        <w:rPr>
          <w:rFonts w:ascii="Arial" w:hAnsi="Arial" w:cs="Arial"/>
        </w:rPr>
        <w:t xml:space="preserve">de los consumidores </w:t>
      </w:r>
      <w:r w:rsidRPr="00931D46">
        <w:rPr>
          <w:rFonts w:ascii="Arial" w:hAnsi="Arial" w:cs="Arial"/>
        </w:rPr>
        <w:t xml:space="preserve">para acudir a otras </w:t>
      </w:r>
      <w:r>
        <w:rPr>
          <w:rFonts w:ascii="Arial" w:hAnsi="Arial" w:cs="Arial"/>
        </w:rPr>
        <w:t>zonas</w:t>
      </w:r>
      <w:r w:rsidRPr="00931D46">
        <w:rPr>
          <w:rFonts w:ascii="Arial" w:hAnsi="Arial" w:cs="Arial"/>
        </w:rPr>
        <w:t xml:space="preserve"> geográficas ante incrementos en el precio del producto en </w:t>
      </w:r>
      <w:r>
        <w:rPr>
          <w:rFonts w:ascii="Arial" w:hAnsi="Arial" w:cs="Arial"/>
        </w:rPr>
        <w:t>la zona geográfica de interés</w:t>
      </w:r>
      <w:r w:rsidRPr="00931D46">
        <w:rPr>
          <w:rFonts w:ascii="Arial" w:hAnsi="Arial" w:cs="Arial"/>
        </w:rPr>
        <w:t xml:space="preserve"> (por ejemplo, del 5%-10%) u otras variables de competencia</w:t>
      </w:r>
      <w:r>
        <w:rPr>
          <w:rFonts w:ascii="Arial" w:hAnsi="Arial" w:cs="Arial"/>
        </w:rPr>
        <w:t>, entre otra evidencia.</w:t>
      </w:r>
    </w:p>
    <w:p w14:paraId="78BA225E" w14:textId="77777777" w:rsidR="003545C8" w:rsidRPr="00884AE9" w:rsidRDefault="003545C8" w:rsidP="003545C8">
      <w:pPr>
        <w:keepNext/>
        <w:spacing w:after="0"/>
        <w:jc w:val="both"/>
        <w:rPr>
          <w:rFonts w:ascii="Arial" w:hAnsi="Arial" w:cs="Arial"/>
        </w:rPr>
      </w:pPr>
    </w:p>
    <w:p w14:paraId="17C56783" w14:textId="77777777" w:rsidR="003545C8" w:rsidRPr="00884AE9" w:rsidRDefault="003545C8" w:rsidP="005E23E0">
      <w:pPr>
        <w:pStyle w:val="Prrafodelista"/>
        <w:numPr>
          <w:ilvl w:val="0"/>
          <w:numId w:val="32"/>
        </w:numPr>
        <w:spacing w:after="0"/>
        <w:ind w:left="1077"/>
        <w:contextualSpacing w:val="0"/>
        <w:jc w:val="both"/>
        <w:rPr>
          <w:rFonts w:ascii="Arial" w:hAnsi="Arial" w:cs="Arial"/>
          <w:b/>
        </w:rPr>
      </w:pPr>
      <w:r w:rsidRPr="00884AE9">
        <w:rPr>
          <w:rFonts w:ascii="Arial" w:hAnsi="Arial" w:cs="Arial"/>
          <w:b/>
        </w:rPr>
        <w:t>Pruebas cuantitativas, por ejemplo, pruebas sobre la elasticidad de la demanda y evolución de precios</w:t>
      </w:r>
    </w:p>
    <w:p w14:paraId="0B20CDB5" w14:textId="77777777" w:rsidR="003545C8" w:rsidRPr="00884AE9" w:rsidRDefault="003545C8" w:rsidP="003545C8">
      <w:pPr>
        <w:pStyle w:val="Prrafodelista"/>
        <w:spacing w:after="0"/>
        <w:ind w:left="1077"/>
        <w:contextualSpacing w:val="0"/>
        <w:jc w:val="both"/>
        <w:rPr>
          <w:rFonts w:ascii="Arial" w:hAnsi="Arial" w:cs="Arial"/>
          <w:b/>
        </w:rPr>
      </w:pPr>
    </w:p>
    <w:p w14:paraId="04804650"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métodos cuantitativos tales como el </w:t>
      </w:r>
      <w:r w:rsidRPr="00884AE9">
        <w:rPr>
          <w:rFonts w:ascii="Arial" w:hAnsi="Arial" w:cs="Arial"/>
          <w:b/>
        </w:rPr>
        <w:t>análisis de correlación de precios y el cálculo de elasticidades de la demanda</w:t>
      </w:r>
      <w:r w:rsidRPr="00884AE9">
        <w:rPr>
          <w:rFonts w:ascii="Arial" w:hAnsi="Arial" w:cs="Arial"/>
        </w:rPr>
        <w:t>. En primer lugar, si los precios de un producto en dos zonas geográficas presentan el mismo patrón de cambio a través del tiempo (correlación positiva) esto puede ser un indicio de que ambas zonas geográficas pertenecen al mismo MR. La racionalidad económica detrás de esta prueba es que si dos zonas geográficas están en el mismo MR, sus precios tenderían a moverse en la misma dirección a través del tiempo.</w:t>
      </w:r>
      <w:r w:rsidRPr="00884AE9">
        <w:rPr>
          <w:rStyle w:val="Refdenotaalpie"/>
          <w:rFonts w:ascii="Arial" w:hAnsi="Arial" w:cs="Arial"/>
        </w:rPr>
        <w:footnoteReference w:id="54"/>
      </w:r>
      <w:r w:rsidRPr="00884AE9">
        <w:rPr>
          <w:rFonts w:ascii="Arial" w:hAnsi="Arial" w:cs="Arial"/>
        </w:rPr>
        <w:t xml:space="preserve"> En segundo lugar, se pueden calcular ecuaciones de demanda que permitan estimar el cambio en las cantidades demandadas en las distintas zonas geográficas ante un choque en los niveles de precios (elasticidades y elasticidades precio cruzado) para lo cual se requiere suficiente información sobre las cantidades demandadas del producto en diferentes zonas geográficas, así como de sus precios y otras características observables del producto y de los demandantes.</w:t>
      </w:r>
    </w:p>
    <w:p w14:paraId="162248D7" w14:textId="77777777" w:rsidR="003545C8" w:rsidRPr="00884AE9" w:rsidRDefault="003545C8" w:rsidP="005E23E0">
      <w:pPr>
        <w:pStyle w:val="Prrafodelista"/>
        <w:numPr>
          <w:ilvl w:val="0"/>
          <w:numId w:val="32"/>
        </w:numPr>
        <w:spacing w:after="0"/>
        <w:ind w:left="1077"/>
        <w:contextualSpacing w:val="0"/>
        <w:jc w:val="both"/>
        <w:rPr>
          <w:rFonts w:ascii="Arial" w:hAnsi="Arial" w:cs="Arial"/>
        </w:rPr>
      </w:pPr>
      <w:r w:rsidRPr="00884AE9">
        <w:rPr>
          <w:rFonts w:ascii="Arial" w:hAnsi="Arial" w:cs="Arial"/>
          <w:b/>
        </w:rPr>
        <w:lastRenderedPageBreak/>
        <w:t>Evidencia sobre los costos y el tiempo que enfrentarían los consumidores al acudir a otras zonas geográficas para abastecerse del producto</w:t>
      </w:r>
    </w:p>
    <w:p w14:paraId="3C5110BC" w14:textId="77777777" w:rsidR="003545C8" w:rsidRPr="00884AE9" w:rsidRDefault="003545C8" w:rsidP="003545C8">
      <w:pPr>
        <w:pStyle w:val="Prrafodelista"/>
        <w:spacing w:after="0"/>
        <w:ind w:left="1077"/>
        <w:contextualSpacing w:val="0"/>
        <w:jc w:val="both"/>
        <w:rPr>
          <w:rFonts w:ascii="Arial" w:hAnsi="Arial" w:cs="Arial"/>
        </w:rPr>
      </w:pPr>
    </w:p>
    <w:p w14:paraId="0CFBD1B8"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los </w:t>
      </w:r>
      <w:r w:rsidRPr="00884AE9">
        <w:rPr>
          <w:rFonts w:ascii="Arial" w:hAnsi="Arial" w:cs="Arial"/>
          <w:b/>
        </w:rPr>
        <w:t>costos y el tiempo que enfrentarían los consumidores al acudir a otras zonas geográficas para abastecerse del producto</w:t>
      </w:r>
      <w:r w:rsidRPr="00884AE9">
        <w:rPr>
          <w:rFonts w:ascii="Arial" w:hAnsi="Arial" w:cs="Arial"/>
        </w:rPr>
        <w:t xml:space="preserve">. Entre los costos en los que puede incurrir un consumidor por acudir a otra zona geográfica se encuentran los costos de búsqueda y los costos de transporte. Conforme estos costos sean mayores y representen un porcentaje mayor con respecto al valor del producto, el MR tenderá a definirse de manera más estrecha. Por ejemplo, considere el servicio de venta minorista de recarga de minutos de tiempo aire para el servicio de telefonía móvil que se hace a través de puntos de venta como tiendas de autoservicio o cajeros automáticos. En este caso, para determinar la dimensión geográfica del MR el Instituto puede intentar determinar </w:t>
      </w:r>
      <w:r>
        <w:rPr>
          <w:rFonts w:ascii="Arial" w:hAnsi="Arial" w:cs="Arial"/>
        </w:rPr>
        <w:t>la zona</w:t>
      </w:r>
      <w:r w:rsidRPr="00884AE9">
        <w:rPr>
          <w:rFonts w:ascii="Arial" w:hAnsi="Arial" w:cs="Arial"/>
        </w:rPr>
        <w:t xml:space="preserve"> de influencia de dichos puntos de venta para lo cual puede considerar el tiempo y los costos de transporte en los que incurren los demandantes para llegar a dichos puntos de venta.</w:t>
      </w:r>
    </w:p>
    <w:p w14:paraId="33A93605" w14:textId="77777777" w:rsidR="003545C8" w:rsidRPr="00884AE9" w:rsidRDefault="003545C8" w:rsidP="003545C8">
      <w:pPr>
        <w:spacing w:after="0"/>
        <w:jc w:val="both"/>
        <w:rPr>
          <w:rFonts w:ascii="Arial" w:hAnsi="Arial" w:cs="Arial"/>
        </w:rPr>
      </w:pPr>
    </w:p>
    <w:p w14:paraId="7D8A1DCD" w14:textId="77777777" w:rsidR="003545C8" w:rsidRPr="00884AE9" w:rsidRDefault="003545C8" w:rsidP="005E23E0">
      <w:pPr>
        <w:pStyle w:val="Prrafodelista"/>
        <w:numPr>
          <w:ilvl w:val="0"/>
          <w:numId w:val="32"/>
        </w:numPr>
        <w:spacing w:after="0"/>
        <w:contextualSpacing w:val="0"/>
        <w:jc w:val="both"/>
        <w:rPr>
          <w:rFonts w:ascii="Arial" w:hAnsi="Arial" w:cs="Arial"/>
        </w:rPr>
      </w:pPr>
      <w:r w:rsidRPr="00884AE9">
        <w:rPr>
          <w:rFonts w:ascii="Arial" w:hAnsi="Arial" w:cs="Arial"/>
          <w:b/>
        </w:rPr>
        <w:t>Capacidad de los oferentes de discriminar con base en la zona geográfica, y de los demandantes para evitar esta discriminación mediante arbitraje</w:t>
      </w:r>
    </w:p>
    <w:p w14:paraId="36A64652" w14:textId="77777777" w:rsidR="003545C8" w:rsidRPr="00884AE9" w:rsidRDefault="003545C8" w:rsidP="003545C8">
      <w:pPr>
        <w:pStyle w:val="Prrafodelista"/>
        <w:spacing w:after="0"/>
        <w:ind w:left="1080"/>
        <w:contextualSpacing w:val="0"/>
        <w:jc w:val="both"/>
        <w:rPr>
          <w:rFonts w:ascii="Arial" w:hAnsi="Arial" w:cs="Arial"/>
        </w:rPr>
      </w:pPr>
    </w:p>
    <w:p w14:paraId="23E49394" w14:textId="5807FD18" w:rsidR="003545C8"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la </w:t>
      </w:r>
      <w:r w:rsidRPr="00884AE9">
        <w:rPr>
          <w:rFonts w:ascii="Arial" w:hAnsi="Arial" w:cs="Arial"/>
          <w:b/>
        </w:rPr>
        <w:t>capacidad de los oferentes del producto de discriminar con base en la zona geográfica</w:t>
      </w:r>
      <w:r w:rsidRPr="00884AE9">
        <w:rPr>
          <w:rFonts w:ascii="Arial" w:hAnsi="Arial" w:cs="Arial"/>
        </w:rPr>
        <w:t xml:space="preserve">, así como la </w:t>
      </w:r>
      <w:r w:rsidRPr="00884AE9">
        <w:rPr>
          <w:rFonts w:ascii="Arial" w:hAnsi="Arial" w:cs="Arial"/>
          <w:b/>
        </w:rPr>
        <w:t>capacidad de los demandantes del producto para evitar esta discriminación mediante arbitraje</w:t>
      </w:r>
      <w:r w:rsidRPr="00884AE9">
        <w:rPr>
          <w:rFonts w:ascii="Arial" w:hAnsi="Arial" w:cs="Arial"/>
        </w:rPr>
        <w:t>. Al respecto, conforme los oferentes puedan vender su producto con diferente precio o calidad de acuerdo a la zona geográfica en que se ubiquen los consumidores, y estos últimos no puedan hacer frente a esta discriminación acudiendo</w:t>
      </w:r>
      <w:r w:rsidR="0070220C">
        <w:rPr>
          <w:rFonts w:ascii="Arial" w:hAnsi="Arial" w:cs="Arial"/>
        </w:rPr>
        <w:t xml:space="preserve"> directamente</w:t>
      </w:r>
      <w:r w:rsidRPr="00884AE9">
        <w:rPr>
          <w:rFonts w:ascii="Arial" w:hAnsi="Arial" w:cs="Arial"/>
        </w:rPr>
        <w:t xml:space="preserve"> a otras zonas geográficas para abastecerse del producto</w:t>
      </w:r>
      <w:r w:rsidR="0070220C">
        <w:rPr>
          <w:rFonts w:ascii="Arial" w:hAnsi="Arial" w:cs="Arial"/>
        </w:rPr>
        <w:t xml:space="preserve"> o hacerlo mediante arbitraje</w:t>
      </w:r>
      <w:r w:rsidRPr="00884AE9">
        <w:rPr>
          <w:rFonts w:ascii="Arial" w:hAnsi="Arial" w:cs="Arial"/>
        </w:rPr>
        <w:t xml:space="preserve">, el MR tenderá a </w:t>
      </w:r>
      <w:r>
        <w:rPr>
          <w:rFonts w:ascii="Arial" w:hAnsi="Arial" w:cs="Arial"/>
        </w:rPr>
        <w:t>delimitarse</w:t>
      </w:r>
      <w:r w:rsidRPr="00884AE9">
        <w:rPr>
          <w:rFonts w:ascii="Arial" w:hAnsi="Arial" w:cs="Arial"/>
        </w:rPr>
        <w:t xml:space="preserve"> en función de la ubicación de los consumidores. </w:t>
      </w:r>
    </w:p>
    <w:p w14:paraId="12FE5BCD" w14:textId="77777777" w:rsidR="003545C8" w:rsidRDefault="003545C8" w:rsidP="003545C8">
      <w:pPr>
        <w:spacing w:after="0"/>
        <w:jc w:val="both"/>
        <w:rPr>
          <w:rFonts w:ascii="Arial" w:hAnsi="Arial" w:cs="Arial"/>
        </w:rPr>
      </w:pPr>
    </w:p>
    <w:p w14:paraId="43148271" w14:textId="77777777" w:rsidR="003545C8" w:rsidRPr="00B21459" w:rsidRDefault="003545C8" w:rsidP="003545C8">
      <w:pPr>
        <w:spacing w:after="0"/>
        <w:jc w:val="both"/>
        <w:rPr>
          <w:rFonts w:ascii="Arial" w:hAnsi="Arial" w:cs="Arial"/>
        </w:rPr>
      </w:pPr>
      <w:r w:rsidRPr="00B21459">
        <w:rPr>
          <w:rFonts w:ascii="Arial" w:hAnsi="Arial" w:cs="Arial"/>
        </w:rPr>
        <w:t>Asimismo, cuando la discriminación sea factible con base en la zona geográfica y</w:t>
      </w:r>
      <w:r w:rsidRPr="00B21459">
        <w:rPr>
          <w:rFonts w:ascii="Arial" w:eastAsiaTheme="majorEastAsia" w:hAnsi="Arial" w:cs="Arial"/>
          <w:szCs w:val="32"/>
        </w:rPr>
        <w:t xml:space="preserve"> los proveedores entreguen el producto en el domicilio del usuario, </w:t>
      </w:r>
      <w:r w:rsidRPr="00B21459">
        <w:rPr>
          <w:rFonts w:ascii="Arial" w:hAnsi="Arial" w:cs="Arial"/>
        </w:rPr>
        <w:t xml:space="preserve">la delimitación </w:t>
      </w:r>
      <w:r>
        <w:rPr>
          <w:rFonts w:ascii="Arial" w:hAnsi="Arial" w:cs="Arial"/>
        </w:rPr>
        <w:t>del MR tenderá</w:t>
      </w:r>
      <w:r w:rsidRPr="00B21459">
        <w:rPr>
          <w:rFonts w:ascii="Arial" w:hAnsi="Arial" w:cs="Arial"/>
        </w:rPr>
        <w:t xml:space="preserve"> </w:t>
      </w:r>
      <w:r>
        <w:rPr>
          <w:rFonts w:ascii="Arial" w:hAnsi="Arial" w:cs="Arial"/>
        </w:rPr>
        <w:t xml:space="preserve">a </w:t>
      </w:r>
      <w:r w:rsidRPr="00B21459">
        <w:rPr>
          <w:rFonts w:ascii="Arial" w:hAnsi="Arial" w:cs="Arial"/>
        </w:rPr>
        <w:t>basar</w:t>
      </w:r>
      <w:r>
        <w:rPr>
          <w:rFonts w:ascii="Arial" w:hAnsi="Arial" w:cs="Arial"/>
        </w:rPr>
        <w:t>se</w:t>
      </w:r>
      <w:r w:rsidRPr="00B21459">
        <w:rPr>
          <w:rFonts w:ascii="Arial" w:hAnsi="Arial" w:cs="Arial"/>
        </w:rPr>
        <w:t xml:space="preserve"> en la ubicación de los usuarios</w:t>
      </w:r>
      <w:r>
        <w:rPr>
          <w:rFonts w:ascii="Arial" w:hAnsi="Arial" w:cs="Arial"/>
        </w:rPr>
        <w:t>.</w:t>
      </w:r>
    </w:p>
    <w:p w14:paraId="04DD0105" w14:textId="77777777" w:rsidR="003545C8" w:rsidRPr="00884AE9" w:rsidRDefault="003545C8" w:rsidP="003545C8">
      <w:pPr>
        <w:spacing w:after="0"/>
        <w:jc w:val="both"/>
        <w:rPr>
          <w:rFonts w:ascii="Arial" w:hAnsi="Arial" w:cs="Arial"/>
        </w:rPr>
      </w:pPr>
    </w:p>
    <w:p w14:paraId="2D7CD9BC" w14:textId="77777777" w:rsidR="003545C8" w:rsidRPr="00884AE9" w:rsidRDefault="003545C8" w:rsidP="005E23E0">
      <w:pPr>
        <w:pStyle w:val="Prrafodelista"/>
        <w:numPr>
          <w:ilvl w:val="0"/>
          <w:numId w:val="32"/>
        </w:numPr>
        <w:spacing w:after="0"/>
        <w:contextualSpacing w:val="0"/>
        <w:jc w:val="both"/>
        <w:rPr>
          <w:rFonts w:ascii="Arial" w:hAnsi="Arial" w:cs="Arial"/>
        </w:rPr>
      </w:pPr>
      <w:r w:rsidRPr="00884AE9">
        <w:rPr>
          <w:rFonts w:ascii="Arial" w:hAnsi="Arial" w:cs="Arial"/>
          <w:b/>
        </w:rPr>
        <w:t>Evidencia sobre las estrategias comerciales de los oferentes que puedan incrementar los costos de los demandantes de acudir a oferentes ubicados en otras zonas geográficas</w:t>
      </w:r>
    </w:p>
    <w:p w14:paraId="29B9CEA0" w14:textId="77777777" w:rsidR="003545C8" w:rsidRPr="00884AE9" w:rsidRDefault="003545C8" w:rsidP="003545C8">
      <w:pPr>
        <w:pStyle w:val="Prrafodelista"/>
        <w:spacing w:after="0"/>
        <w:ind w:left="1080"/>
        <w:contextualSpacing w:val="0"/>
        <w:jc w:val="both"/>
        <w:rPr>
          <w:rFonts w:ascii="Arial" w:hAnsi="Arial" w:cs="Arial"/>
        </w:rPr>
      </w:pPr>
    </w:p>
    <w:p w14:paraId="583894FC"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las </w:t>
      </w:r>
      <w:r w:rsidRPr="00884AE9">
        <w:rPr>
          <w:rFonts w:ascii="Arial" w:hAnsi="Arial" w:cs="Arial"/>
          <w:b/>
        </w:rPr>
        <w:t>estrategias comerciales de los oferentes que puedan incrementar los costos de los demandantes de acudir a oferentes ubicados en otras zonas geográficas</w:t>
      </w:r>
      <w:r w:rsidRPr="00884AE9">
        <w:rPr>
          <w:rFonts w:ascii="Arial" w:hAnsi="Arial" w:cs="Arial"/>
        </w:rPr>
        <w:t xml:space="preserve">. Por ejemplo, conforme los contratos celebrados entre los proveedores y los usuarios en determinadas zonas geográficas establezcan plazos forzosos y mayores penalizaciones por la terminación anticipada de los servicios por parte de los usuarios, se limita la capacidad de estos últimos a acudir a proveedores ubicados en otras zonas geográficas, por lo cual se tenderá a definir un MR geográfico más estrecho. </w:t>
      </w:r>
    </w:p>
    <w:p w14:paraId="0DB85E9E" w14:textId="77777777" w:rsidR="003545C8" w:rsidRPr="00884AE9" w:rsidRDefault="003545C8" w:rsidP="003545C8">
      <w:pPr>
        <w:spacing w:after="0"/>
        <w:jc w:val="both"/>
        <w:rPr>
          <w:rFonts w:ascii="Arial" w:hAnsi="Arial" w:cs="Arial"/>
        </w:rPr>
      </w:pPr>
    </w:p>
    <w:p w14:paraId="7512896B" w14:textId="77777777" w:rsidR="003545C8" w:rsidRPr="00884AE9" w:rsidRDefault="003545C8" w:rsidP="005E23E0">
      <w:pPr>
        <w:pStyle w:val="Prrafodelista"/>
        <w:keepNext/>
        <w:numPr>
          <w:ilvl w:val="0"/>
          <w:numId w:val="32"/>
        </w:numPr>
        <w:spacing w:after="0"/>
        <w:ind w:left="1077"/>
        <w:contextualSpacing w:val="0"/>
        <w:jc w:val="both"/>
        <w:rPr>
          <w:rFonts w:ascii="Arial" w:hAnsi="Arial" w:cs="Arial"/>
          <w:b/>
        </w:rPr>
      </w:pPr>
      <w:r w:rsidRPr="00884AE9">
        <w:rPr>
          <w:rFonts w:ascii="Arial" w:hAnsi="Arial" w:cs="Arial"/>
          <w:b/>
        </w:rPr>
        <w:lastRenderedPageBreak/>
        <w:t>Evidencia sobre las preferencias de los consumidores en distintas zonas geográficas</w:t>
      </w:r>
    </w:p>
    <w:p w14:paraId="632ECCA6" w14:textId="77777777" w:rsidR="003545C8" w:rsidRPr="00884AE9" w:rsidRDefault="003545C8" w:rsidP="003545C8">
      <w:pPr>
        <w:pStyle w:val="Prrafodelista"/>
        <w:keepNext/>
        <w:spacing w:after="0"/>
        <w:ind w:left="1077"/>
        <w:contextualSpacing w:val="0"/>
        <w:jc w:val="both"/>
        <w:rPr>
          <w:rFonts w:ascii="Arial" w:hAnsi="Arial" w:cs="Arial"/>
          <w:b/>
        </w:rPr>
      </w:pPr>
    </w:p>
    <w:p w14:paraId="156DE309"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información respecto a las </w:t>
      </w:r>
      <w:r w:rsidRPr="00884AE9">
        <w:rPr>
          <w:rFonts w:ascii="Arial" w:hAnsi="Arial" w:cs="Arial"/>
          <w:b/>
        </w:rPr>
        <w:t>diferencias en las preferencias de los demandantes del producto en distintas zonas geográficas</w:t>
      </w:r>
      <w:r w:rsidRPr="00884AE9">
        <w:rPr>
          <w:rFonts w:ascii="Arial" w:hAnsi="Arial" w:cs="Arial"/>
        </w:rPr>
        <w:t xml:space="preserve">. Al respecto, conforme las preferencias de los demandantes del producto difieran de una zona geográfica a otra, es más probable que las zonas no formen parte del mismo MR. En este sentido, el Instituto </w:t>
      </w:r>
      <w:r>
        <w:rPr>
          <w:rFonts w:ascii="Arial" w:hAnsi="Arial" w:cs="Arial"/>
        </w:rPr>
        <w:t>podrá</w:t>
      </w:r>
      <w:r w:rsidRPr="00884AE9">
        <w:rPr>
          <w:rFonts w:ascii="Arial" w:hAnsi="Arial" w:cs="Arial"/>
        </w:rPr>
        <w:t xml:space="preserve"> considerar diferencias en idioma, cultura y estilos de vida en las zonas geográficas analizadas, así como información de encuestas o estudios que provean información respecto a la disposición de los usuarios de sustituir los productos analizados desde otras zonas geográficas.</w:t>
      </w:r>
    </w:p>
    <w:p w14:paraId="33AB84DF" w14:textId="77777777" w:rsidR="003545C8" w:rsidRPr="00884AE9" w:rsidRDefault="003545C8" w:rsidP="003545C8">
      <w:pPr>
        <w:spacing w:after="0"/>
        <w:jc w:val="both"/>
        <w:rPr>
          <w:rFonts w:ascii="Arial" w:hAnsi="Arial" w:cs="Arial"/>
        </w:rPr>
      </w:pPr>
    </w:p>
    <w:p w14:paraId="5615261E" w14:textId="77777777" w:rsidR="003545C8" w:rsidRPr="00884AE9" w:rsidRDefault="003545C8" w:rsidP="005E23E0">
      <w:pPr>
        <w:pStyle w:val="Prrafodelista"/>
        <w:numPr>
          <w:ilvl w:val="0"/>
          <w:numId w:val="32"/>
        </w:numPr>
        <w:spacing w:after="0"/>
        <w:contextualSpacing w:val="0"/>
        <w:jc w:val="both"/>
        <w:rPr>
          <w:rFonts w:ascii="Arial" w:hAnsi="Arial" w:cs="Arial"/>
          <w:b/>
        </w:rPr>
      </w:pPr>
      <w:r w:rsidRPr="00884AE9">
        <w:rPr>
          <w:rFonts w:ascii="Arial" w:hAnsi="Arial" w:cs="Arial"/>
          <w:b/>
        </w:rPr>
        <w:t>Evidencia sobre heterogeneidad en las condiciones de competencia entre distintas zonas geográficas</w:t>
      </w:r>
    </w:p>
    <w:p w14:paraId="04643534" w14:textId="77777777" w:rsidR="003545C8" w:rsidRPr="00884AE9" w:rsidRDefault="003545C8" w:rsidP="003545C8">
      <w:pPr>
        <w:pStyle w:val="Prrafodelista"/>
        <w:spacing w:after="0"/>
        <w:ind w:left="1080"/>
        <w:contextualSpacing w:val="0"/>
        <w:jc w:val="both"/>
        <w:rPr>
          <w:rFonts w:ascii="Arial" w:hAnsi="Arial" w:cs="Arial"/>
          <w:b/>
        </w:rPr>
      </w:pPr>
    </w:p>
    <w:p w14:paraId="1359B960"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w:t>
      </w:r>
      <w:r w:rsidRPr="00884AE9">
        <w:rPr>
          <w:rFonts w:ascii="Arial" w:hAnsi="Arial" w:cs="Arial"/>
          <w:b/>
        </w:rPr>
        <w:t>diferencias en las estructuras de mercado y otros elementos que indiquen la existencia de heterogeneidad en las condiciones de competencia en las zonas geográficas analizadas</w:t>
      </w:r>
      <w:r w:rsidRPr="00884AE9">
        <w:rPr>
          <w:rFonts w:ascii="Arial" w:hAnsi="Arial" w:cs="Arial"/>
        </w:rPr>
        <w:t xml:space="preserve">. Por ejemplo, se puede evaluar si los oferentes varían de una zona geográfica a otra, o si varían las ofertas comerciales en cuanto a precio, </w:t>
      </w:r>
      <w:r>
        <w:rPr>
          <w:rFonts w:ascii="Arial" w:hAnsi="Arial" w:cs="Arial"/>
        </w:rPr>
        <w:t>cantidades</w:t>
      </w:r>
      <w:r w:rsidRPr="00884AE9">
        <w:rPr>
          <w:rFonts w:ascii="Arial" w:hAnsi="Arial" w:cs="Arial"/>
        </w:rPr>
        <w:t>, o en la disponibilidad de ofertas que permitan adquirir el servicio de manera individual o en paquete con otros servicios. El hecho de que las condiciones de competencia sean heterogéneas en</w:t>
      </w:r>
      <w:r>
        <w:rPr>
          <w:rFonts w:ascii="Arial" w:hAnsi="Arial" w:cs="Arial"/>
        </w:rPr>
        <w:t>tre</w:t>
      </w:r>
      <w:r w:rsidRPr="00884AE9">
        <w:rPr>
          <w:rFonts w:ascii="Arial" w:hAnsi="Arial" w:cs="Arial"/>
        </w:rPr>
        <w:t xml:space="preserve"> la</w:t>
      </w:r>
      <w:r>
        <w:rPr>
          <w:rFonts w:ascii="Arial" w:hAnsi="Arial" w:cs="Arial"/>
        </w:rPr>
        <w:t>s</w:t>
      </w:r>
      <w:r w:rsidRPr="00884AE9">
        <w:rPr>
          <w:rFonts w:ascii="Arial" w:hAnsi="Arial" w:cs="Arial"/>
        </w:rPr>
        <w:t xml:space="preserve"> zona</w:t>
      </w:r>
      <w:r>
        <w:rPr>
          <w:rFonts w:ascii="Arial" w:hAnsi="Arial" w:cs="Arial"/>
        </w:rPr>
        <w:t>s</w:t>
      </w:r>
      <w:r w:rsidRPr="00884AE9">
        <w:rPr>
          <w:rFonts w:ascii="Arial" w:hAnsi="Arial" w:cs="Arial"/>
        </w:rPr>
        <w:t xml:space="preserve"> geográfica</w:t>
      </w:r>
      <w:r>
        <w:rPr>
          <w:rFonts w:ascii="Arial" w:hAnsi="Arial" w:cs="Arial"/>
        </w:rPr>
        <w:t>s</w:t>
      </w:r>
      <w:r w:rsidRPr="00884AE9">
        <w:rPr>
          <w:rFonts w:ascii="Arial" w:hAnsi="Arial" w:cs="Arial"/>
        </w:rPr>
        <w:t xml:space="preserve"> analizada</w:t>
      </w:r>
      <w:r>
        <w:rPr>
          <w:rFonts w:ascii="Arial" w:hAnsi="Arial" w:cs="Arial"/>
        </w:rPr>
        <w:t>s</w:t>
      </w:r>
      <w:r w:rsidRPr="00884AE9">
        <w:rPr>
          <w:rFonts w:ascii="Arial" w:hAnsi="Arial" w:cs="Arial"/>
        </w:rPr>
        <w:t xml:space="preserve"> puede ser un indicio de que </w:t>
      </w:r>
      <w:r>
        <w:rPr>
          <w:rFonts w:ascii="Arial" w:hAnsi="Arial" w:cs="Arial"/>
        </w:rPr>
        <w:t>dichas zonas no pertenecen al mismo MR</w:t>
      </w:r>
      <w:r w:rsidRPr="00884AE9">
        <w:rPr>
          <w:rFonts w:ascii="Arial" w:hAnsi="Arial" w:cs="Arial"/>
        </w:rPr>
        <w:t xml:space="preserve">. </w:t>
      </w:r>
    </w:p>
    <w:p w14:paraId="7429552A" w14:textId="77777777" w:rsidR="003545C8" w:rsidRPr="00884AE9" w:rsidRDefault="003545C8" w:rsidP="003545C8">
      <w:pPr>
        <w:spacing w:after="0"/>
        <w:jc w:val="both"/>
        <w:rPr>
          <w:rFonts w:ascii="Arial" w:hAnsi="Arial" w:cs="Arial"/>
        </w:rPr>
      </w:pPr>
    </w:p>
    <w:p w14:paraId="70B51C6C" w14:textId="77777777" w:rsidR="003545C8" w:rsidRPr="00884AE9" w:rsidRDefault="003545C8" w:rsidP="005E23E0">
      <w:pPr>
        <w:pStyle w:val="Prrafodelista"/>
        <w:keepNext/>
        <w:numPr>
          <w:ilvl w:val="0"/>
          <w:numId w:val="32"/>
        </w:numPr>
        <w:spacing w:after="0"/>
        <w:ind w:left="1077"/>
        <w:contextualSpacing w:val="0"/>
        <w:jc w:val="both"/>
        <w:rPr>
          <w:rFonts w:ascii="Arial" w:hAnsi="Arial" w:cs="Arial"/>
          <w:b/>
        </w:rPr>
      </w:pPr>
      <w:r w:rsidRPr="00884AE9">
        <w:rPr>
          <w:rFonts w:ascii="Arial" w:hAnsi="Arial" w:cs="Arial"/>
          <w:b/>
        </w:rPr>
        <w:t>Requisitos normativos de carácter federal, local o internacional que limiten el acceso de consumidores a fuentes de abasto alternativas</w:t>
      </w:r>
    </w:p>
    <w:p w14:paraId="6117EEDD"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si existen</w:t>
      </w:r>
      <w:r w:rsidRPr="00884AE9">
        <w:rPr>
          <w:rFonts w:ascii="Arial" w:hAnsi="Arial" w:cs="Arial"/>
          <w:b/>
        </w:rPr>
        <w:t xml:space="preserve"> normas o disposiciones jurídicas emitidas por cualquier orden de gobierno</w:t>
      </w:r>
      <w:r w:rsidRPr="00884AE9" w:rsidDel="00B34BFA">
        <w:rPr>
          <w:rFonts w:ascii="Arial" w:hAnsi="Arial" w:cs="Arial"/>
          <w:b/>
        </w:rPr>
        <w:t xml:space="preserve"> </w:t>
      </w:r>
      <w:r w:rsidRPr="00884AE9">
        <w:rPr>
          <w:rFonts w:ascii="Arial" w:hAnsi="Arial" w:cs="Arial"/>
        </w:rPr>
        <w:t>que restrinjan la capacidad de los consumidores de abastecerse a través de proveedores ubicados en otras zonas geográficas. La existencia de este tipo de restricciones normativas puede propiciar que se defina un MR geográfico más estrecho.</w:t>
      </w:r>
    </w:p>
    <w:p w14:paraId="6E338859" w14:textId="77777777" w:rsidR="003545C8" w:rsidRPr="00884AE9" w:rsidRDefault="003545C8" w:rsidP="003545C8">
      <w:pPr>
        <w:spacing w:after="0"/>
        <w:jc w:val="both"/>
        <w:rPr>
          <w:rFonts w:ascii="Arial" w:hAnsi="Arial" w:cs="Arial"/>
        </w:rPr>
      </w:pPr>
    </w:p>
    <w:p w14:paraId="4A02A608" w14:textId="77777777" w:rsidR="003545C8" w:rsidRPr="00884AE9" w:rsidRDefault="003545C8" w:rsidP="005E23E0">
      <w:pPr>
        <w:pStyle w:val="Ttulo4"/>
        <w:keepLines w:val="0"/>
        <w:numPr>
          <w:ilvl w:val="3"/>
          <w:numId w:val="5"/>
        </w:numPr>
        <w:spacing w:before="0" w:after="0" w:line="276" w:lineRule="auto"/>
        <w:ind w:left="2268"/>
        <w:rPr>
          <w:rFonts w:ascii="Arial" w:eastAsia="Times New Roman" w:hAnsi="Arial" w:cs="Arial"/>
          <w:b w:val="0"/>
          <w:i/>
          <w:lang w:eastAsia="es-MX"/>
        </w:rPr>
      </w:pPr>
      <w:r w:rsidRPr="00884AE9">
        <w:rPr>
          <w:rFonts w:ascii="Arial" w:eastAsia="Times New Roman" w:hAnsi="Arial" w:cs="Arial"/>
          <w:lang w:eastAsia="es-MX"/>
        </w:rPr>
        <w:t xml:space="preserve">Sustitución por el lado de la oferta </w:t>
      </w:r>
    </w:p>
    <w:p w14:paraId="62A869BB" w14:textId="77777777" w:rsidR="003545C8" w:rsidRPr="00884AE9" w:rsidRDefault="003545C8" w:rsidP="003545C8">
      <w:pPr>
        <w:keepNext/>
        <w:spacing w:after="0"/>
        <w:jc w:val="both"/>
        <w:rPr>
          <w:rFonts w:ascii="Arial" w:hAnsi="Arial" w:cs="Arial"/>
        </w:rPr>
      </w:pPr>
    </w:p>
    <w:p w14:paraId="71ED0931" w14:textId="77777777" w:rsidR="003545C8" w:rsidRPr="00884AE9" w:rsidRDefault="003545C8" w:rsidP="003545C8">
      <w:pPr>
        <w:spacing w:after="0"/>
        <w:jc w:val="both"/>
        <w:rPr>
          <w:rFonts w:ascii="Arial" w:hAnsi="Arial" w:cs="Arial"/>
        </w:rPr>
      </w:pPr>
      <w:r w:rsidRPr="00884AE9">
        <w:rPr>
          <w:rFonts w:ascii="Arial" w:hAnsi="Arial" w:cs="Arial"/>
        </w:rPr>
        <w:t xml:space="preserve">El análisis de sustitución por el lado de la oferta consiste en evaluar la capacidad que tienen los oferentes que pudieran tener incentivos para abastecer la zona geográfica analizada, para hacerlo de manera eficaz e inmediata, en respuesta a pequeñas variaciones no transitorias en los precios relativos u otras variables relevantes. Cuando esto ocurre, esta oferta adicional puede restringir el comportamiento de los competidores y tener efectos equivalentes a los de la sustitución por el lado de la demanda. De esta manera, el análisis de sustitución por el lado de la oferta puede ampliar la dimensión geográfica del MR. </w:t>
      </w:r>
    </w:p>
    <w:p w14:paraId="2D8689F9" w14:textId="77777777" w:rsidR="003545C8" w:rsidRPr="00884AE9" w:rsidRDefault="003545C8" w:rsidP="003545C8">
      <w:pPr>
        <w:spacing w:after="0"/>
        <w:jc w:val="both"/>
        <w:rPr>
          <w:rFonts w:ascii="Arial" w:hAnsi="Arial" w:cs="Arial"/>
        </w:rPr>
      </w:pPr>
    </w:p>
    <w:p w14:paraId="1D67E1F6" w14:textId="77777777" w:rsidR="003545C8" w:rsidRPr="00884AE9" w:rsidRDefault="003545C8" w:rsidP="003545C8">
      <w:pPr>
        <w:spacing w:after="0"/>
        <w:jc w:val="both"/>
        <w:rPr>
          <w:rFonts w:ascii="Arial" w:hAnsi="Arial" w:cs="Arial"/>
        </w:rPr>
      </w:pPr>
      <w:r w:rsidRPr="00884AE9">
        <w:rPr>
          <w:rFonts w:ascii="Arial" w:hAnsi="Arial" w:cs="Arial"/>
        </w:rPr>
        <w:t xml:space="preserve">Conforme la sustitución por el lado de la oferta implique que los proveedores de bienes y servicios deban ajustar de manera significativa los activos materiales e inmateriales existentes, las </w:t>
      </w:r>
      <w:r w:rsidRPr="00884AE9">
        <w:rPr>
          <w:rFonts w:ascii="Arial" w:hAnsi="Arial" w:cs="Arial"/>
        </w:rPr>
        <w:lastRenderedPageBreak/>
        <w:t>inversiones, las decisiones estratégicas o los plazos, el análisis de sustitución por el lado de la oferta no t</w:t>
      </w:r>
      <w:r>
        <w:rPr>
          <w:rFonts w:ascii="Arial" w:hAnsi="Arial" w:cs="Arial"/>
        </w:rPr>
        <w:t>iene</w:t>
      </w:r>
      <w:r w:rsidRPr="00884AE9">
        <w:rPr>
          <w:rFonts w:ascii="Arial" w:hAnsi="Arial" w:cs="Arial"/>
        </w:rPr>
        <w:t xml:space="preserve"> incidencia en la delimitación del MR.</w:t>
      </w:r>
    </w:p>
    <w:p w14:paraId="35545F4D" w14:textId="77777777" w:rsidR="003545C8" w:rsidRPr="00884AE9" w:rsidRDefault="003545C8" w:rsidP="003545C8">
      <w:pPr>
        <w:spacing w:after="0"/>
        <w:jc w:val="both"/>
        <w:rPr>
          <w:rFonts w:ascii="Arial" w:hAnsi="Arial" w:cs="Arial"/>
        </w:rPr>
      </w:pPr>
    </w:p>
    <w:p w14:paraId="00D8EB03" w14:textId="77777777" w:rsidR="003545C8" w:rsidRPr="00884AE9" w:rsidRDefault="003545C8" w:rsidP="003545C8">
      <w:pPr>
        <w:spacing w:after="0"/>
        <w:jc w:val="both"/>
        <w:rPr>
          <w:rFonts w:ascii="Arial" w:hAnsi="Arial" w:cs="Arial"/>
        </w:rPr>
      </w:pPr>
      <w:r w:rsidRPr="00884AE9">
        <w:rPr>
          <w:rFonts w:ascii="Arial" w:hAnsi="Arial" w:cs="Arial"/>
        </w:rPr>
        <w:t>Para llevar a cabo el análisis de sustitución por el lado de la oferta, el Instituto puede considerar los siguientes elementos.</w:t>
      </w:r>
    </w:p>
    <w:p w14:paraId="1CBC83FF" w14:textId="77777777" w:rsidR="003545C8" w:rsidRPr="00884AE9" w:rsidRDefault="003545C8" w:rsidP="003545C8">
      <w:pPr>
        <w:spacing w:after="0"/>
        <w:jc w:val="both"/>
        <w:rPr>
          <w:rFonts w:ascii="Arial" w:hAnsi="Arial" w:cs="Arial"/>
        </w:rPr>
      </w:pPr>
    </w:p>
    <w:p w14:paraId="07208012" w14:textId="77777777" w:rsidR="003545C8" w:rsidRPr="00884AE9" w:rsidRDefault="003545C8" w:rsidP="005E23E0">
      <w:pPr>
        <w:pStyle w:val="Prrafodelista"/>
        <w:numPr>
          <w:ilvl w:val="0"/>
          <w:numId w:val="32"/>
        </w:numPr>
        <w:spacing w:after="0"/>
        <w:contextualSpacing w:val="0"/>
        <w:jc w:val="both"/>
        <w:rPr>
          <w:rFonts w:ascii="Arial" w:hAnsi="Arial" w:cs="Arial"/>
        </w:rPr>
      </w:pPr>
      <w:r w:rsidRPr="00884AE9">
        <w:rPr>
          <w:rFonts w:ascii="Arial" w:hAnsi="Arial" w:cs="Arial"/>
          <w:b/>
        </w:rPr>
        <w:t>Evidencia sobre los costos de distribución del producto analizado, de sus sustitutos y complementos entre zonas geográficas, así como de sus insumos relevantes</w:t>
      </w:r>
    </w:p>
    <w:p w14:paraId="04DDD486" w14:textId="77777777" w:rsidR="003545C8" w:rsidRPr="00884AE9" w:rsidRDefault="003545C8" w:rsidP="003545C8">
      <w:pPr>
        <w:pStyle w:val="Prrafodelista"/>
        <w:spacing w:after="0"/>
        <w:ind w:left="1080"/>
        <w:contextualSpacing w:val="0"/>
        <w:jc w:val="both"/>
        <w:rPr>
          <w:rFonts w:ascii="Arial" w:hAnsi="Arial" w:cs="Arial"/>
        </w:rPr>
      </w:pPr>
    </w:p>
    <w:p w14:paraId="4D2EC752"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los </w:t>
      </w:r>
      <w:r w:rsidRPr="00884AE9">
        <w:rPr>
          <w:rFonts w:ascii="Arial" w:hAnsi="Arial" w:cs="Arial"/>
          <w:b/>
        </w:rPr>
        <w:t>costos de distribución</w:t>
      </w:r>
      <w:r w:rsidRPr="00884AE9">
        <w:rPr>
          <w:rFonts w:ascii="Arial" w:hAnsi="Arial" w:cs="Arial"/>
        </w:rPr>
        <w:t xml:space="preserve"> </w:t>
      </w:r>
      <w:r w:rsidRPr="00884AE9">
        <w:rPr>
          <w:rFonts w:ascii="Arial" w:hAnsi="Arial" w:cs="Arial"/>
          <w:b/>
        </w:rPr>
        <w:t>del producto analizado, de sus sustitutos y complementos entre zonas geográficas, así como de sus insumos relevantes</w:t>
      </w:r>
      <w:r w:rsidRPr="00884AE9">
        <w:rPr>
          <w:rFonts w:ascii="Arial" w:hAnsi="Arial" w:cs="Arial"/>
        </w:rPr>
        <w:t xml:space="preserve">. Conforme los costos de distribución de un producto sean bajos y representen una proporción baja respecto al valor del producto, mayores serán los incentivos y la capacidad de los oferentes ubicados fuera de la zona geográfica analizada, para comenzar a proveer el producto en el corto plazo en dicha zona, por lo que la dimensión geográfica del MR tenderá a ser más amplia. </w:t>
      </w:r>
    </w:p>
    <w:p w14:paraId="16A1848C" w14:textId="77777777" w:rsidR="003545C8" w:rsidRPr="00884AE9" w:rsidRDefault="003545C8" w:rsidP="003545C8">
      <w:pPr>
        <w:spacing w:after="0"/>
        <w:jc w:val="both"/>
        <w:rPr>
          <w:rFonts w:ascii="Arial" w:hAnsi="Arial" w:cs="Arial"/>
        </w:rPr>
      </w:pPr>
    </w:p>
    <w:p w14:paraId="4D66B24B" w14:textId="77777777" w:rsidR="003545C8" w:rsidRPr="00884AE9" w:rsidRDefault="003545C8" w:rsidP="003545C8">
      <w:pPr>
        <w:spacing w:after="0"/>
        <w:jc w:val="both"/>
        <w:rPr>
          <w:rFonts w:ascii="Arial" w:hAnsi="Arial" w:cs="Arial"/>
        </w:rPr>
      </w:pPr>
      <w:r w:rsidRPr="00884AE9">
        <w:rPr>
          <w:rFonts w:ascii="Arial" w:hAnsi="Arial" w:cs="Arial"/>
        </w:rPr>
        <w:t>Los costos de distribución en los que incurre un proveedor de servicios de telecomunicaciones para ofertar sus servicios en una zona geográfica determinada pueden incluir, entre otros, aquellos relacionados con los costos de despliegue, mantenimiento o arrendamiento de elementos de infraestructura de RPT que resultan necesarios para proveer servicios de telecomunicaciones en dicha zona. Por ejemplo, conforme los proveedores de servicios de telecomunicaciones pueden arrendar la infraestructura de terceros, de manera inmediata y sin incurrir en costos significativos, en localidades en las que no cuenten con infraestructura propia, se puede incrementar la sustitución por el lado de la oferta y, en su caso, ampliar la dimensión geográfica del MR.</w:t>
      </w:r>
    </w:p>
    <w:p w14:paraId="77D2D35D" w14:textId="77777777" w:rsidR="003545C8" w:rsidRPr="00884AE9" w:rsidRDefault="003545C8" w:rsidP="003545C8">
      <w:pPr>
        <w:spacing w:after="0"/>
        <w:jc w:val="both"/>
        <w:rPr>
          <w:rFonts w:ascii="Arial" w:hAnsi="Arial" w:cs="Arial"/>
        </w:rPr>
      </w:pPr>
    </w:p>
    <w:p w14:paraId="6E039B1B" w14:textId="77777777" w:rsidR="003545C8" w:rsidRPr="00884AE9" w:rsidRDefault="003545C8" w:rsidP="005E23E0">
      <w:pPr>
        <w:pStyle w:val="Prrafodelista"/>
        <w:numPr>
          <w:ilvl w:val="0"/>
          <w:numId w:val="32"/>
        </w:numPr>
        <w:spacing w:after="0"/>
        <w:contextualSpacing w:val="0"/>
        <w:jc w:val="both"/>
        <w:rPr>
          <w:rFonts w:ascii="Arial" w:hAnsi="Arial" w:cs="Arial"/>
          <w:b/>
        </w:rPr>
      </w:pPr>
      <w:r w:rsidRPr="00884AE9">
        <w:rPr>
          <w:rFonts w:ascii="Arial" w:hAnsi="Arial" w:cs="Arial"/>
          <w:b/>
        </w:rPr>
        <w:t>Información sobre la cobertura real de las RPT de los proveedores</w:t>
      </w:r>
    </w:p>
    <w:p w14:paraId="1B62529F" w14:textId="77777777" w:rsidR="003545C8" w:rsidRPr="00884AE9" w:rsidRDefault="003545C8" w:rsidP="003545C8">
      <w:pPr>
        <w:pStyle w:val="Prrafodelista"/>
        <w:spacing w:after="0"/>
        <w:ind w:left="1080"/>
        <w:contextualSpacing w:val="0"/>
        <w:jc w:val="both"/>
        <w:rPr>
          <w:rFonts w:ascii="Arial" w:hAnsi="Arial" w:cs="Arial"/>
          <w:b/>
        </w:rPr>
      </w:pPr>
    </w:p>
    <w:p w14:paraId="26086253"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considerar </w:t>
      </w:r>
      <w:r w:rsidRPr="00884AE9">
        <w:rPr>
          <w:rFonts w:ascii="Arial" w:hAnsi="Arial" w:cs="Arial"/>
          <w:b/>
        </w:rPr>
        <w:t>la cobertura real de las RPT de los proveedores</w:t>
      </w:r>
      <w:r w:rsidRPr="00884AE9">
        <w:rPr>
          <w:rFonts w:ascii="Arial" w:hAnsi="Arial" w:cs="Arial"/>
        </w:rPr>
        <w:t xml:space="preserve">, es decir, las zonas geográficas en las que, al momento de hacer el análisis para determinar el MR, efectivamente los proveedores cuentan con la infraestructura y tecnología necesarias para prestar sus servicios. Por ejemplo, considere el caso de un proveedor de servicios de </w:t>
      </w:r>
      <w:r>
        <w:rPr>
          <w:rFonts w:ascii="Arial" w:hAnsi="Arial" w:cs="Arial"/>
        </w:rPr>
        <w:t xml:space="preserve">acceso a Internet </w:t>
      </w:r>
      <w:r w:rsidRPr="00884AE9">
        <w:rPr>
          <w:rFonts w:ascii="Arial" w:hAnsi="Arial" w:cs="Arial"/>
        </w:rPr>
        <w:t>fij</w:t>
      </w:r>
      <w:r>
        <w:rPr>
          <w:rFonts w:ascii="Arial" w:hAnsi="Arial" w:cs="Arial"/>
        </w:rPr>
        <w:t>o</w:t>
      </w:r>
      <w:r w:rsidRPr="00884AE9">
        <w:rPr>
          <w:rFonts w:ascii="Arial" w:hAnsi="Arial" w:cs="Arial"/>
        </w:rPr>
        <w:t xml:space="preserve"> que provee el servicio a través de fibra óptica en la zona geográfica A y desea comenzar a proveerlo en la zona geográfica B. En caso de que dicho proveedor de servicios cuente con una RPT desplegada en la zona geográfica B, es posible que entre a proveer servicios en dicha zona geográfica en el corto plazo y sin incurrir en costos apreciables, por lo tanto, la presión competitiva que ejercería dicho proveedor sobre los proveedores de la zona geográfica B podría ser alta.</w:t>
      </w:r>
    </w:p>
    <w:p w14:paraId="2AB0C559" w14:textId="77777777" w:rsidR="003545C8" w:rsidRPr="00884AE9" w:rsidRDefault="003545C8" w:rsidP="003545C8">
      <w:pPr>
        <w:spacing w:after="0"/>
        <w:jc w:val="both"/>
        <w:rPr>
          <w:rFonts w:ascii="Arial" w:hAnsi="Arial" w:cs="Arial"/>
        </w:rPr>
      </w:pPr>
      <w:r w:rsidRPr="00884AE9" w:rsidDel="002501ED">
        <w:rPr>
          <w:rFonts w:ascii="Arial" w:hAnsi="Arial" w:cs="Arial"/>
        </w:rPr>
        <w:t xml:space="preserve"> </w:t>
      </w:r>
    </w:p>
    <w:p w14:paraId="5A8FADD7" w14:textId="77777777" w:rsidR="003545C8" w:rsidRPr="00884AE9" w:rsidRDefault="003545C8" w:rsidP="005E23E0">
      <w:pPr>
        <w:pStyle w:val="Prrafodelista"/>
        <w:keepNext/>
        <w:numPr>
          <w:ilvl w:val="0"/>
          <w:numId w:val="32"/>
        </w:numPr>
        <w:spacing w:after="0"/>
        <w:ind w:left="1077"/>
        <w:contextualSpacing w:val="0"/>
        <w:jc w:val="both"/>
        <w:rPr>
          <w:rFonts w:ascii="Arial" w:hAnsi="Arial" w:cs="Arial"/>
        </w:rPr>
      </w:pPr>
      <w:r w:rsidRPr="00884AE9">
        <w:rPr>
          <w:rFonts w:ascii="Arial" w:hAnsi="Arial" w:cs="Arial"/>
          <w:b/>
        </w:rPr>
        <w:lastRenderedPageBreak/>
        <w:t>Evidencia respecto a la capacidad e incentivos de los proveedores de otras zonas geográficas para comenzar a proveer el producto en la zona geográfica analizada</w:t>
      </w:r>
    </w:p>
    <w:p w14:paraId="550CE805" w14:textId="77777777" w:rsidR="003545C8" w:rsidRPr="00884AE9" w:rsidRDefault="003545C8" w:rsidP="003545C8">
      <w:pPr>
        <w:pStyle w:val="Prrafodelista"/>
        <w:keepNext/>
        <w:spacing w:after="0"/>
        <w:ind w:left="1077"/>
        <w:contextualSpacing w:val="0"/>
        <w:jc w:val="both"/>
        <w:rPr>
          <w:rFonts w:ascii="Arial" w:hAnsi="Arial" w:cs="Arial"/>
        </w:rPr>
      </w:pPr>
    </w:p>
    <w:p w14:paraId="6B2DFCA1"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la </w:t>
      </w:r>
      <w:r w:rsidRPr="00884AE9">
        <w:rPr>
          <w:rFonts w:ascii="Arial" w:hAnsi="Arial" w:cs="Arial"/>
          <w:b/>
        </w:rPr>
        <w:t xml:space="preserve">evidencia respecto a la capacidad e incentivos de los proveedores de otras zonas geográficas para comenzar a proveer el producto en la zona geográfica analizada </w:t>
      </w:r>
      <w:r w:rsidRPr="00884AE9">
        <w:rPr>
          <w:rFonts w:ascii="Arial" w:hAnsi="Arial" w:cs="Arial"/>
        </w:rPr>
        <w:t xml:space="preserve">ante modificaciones en variables de competencia, tales como incrementos en el precio. Al respecto, el Instituto puede analizar estudios económicos o estudios de mercado realizados por los proveedores que tengan o hayan tenido la intención de abastecer la zona geográfica analizada. Asimismo, el Instituto también puede tomar en cuenta información histórica respecto a proveedores que hayan ajustado sus procesos productivos para abastecer la zona geográfica analizada a razón de cambios en variables de competencia. </w:t>
      </w:r>
    </w:p>
    <w:p w14:paraId="13D0AA92" w14:textId="77777777" w:rsidR="003545C8" w:rsidRPr="00884AE9" w:rsidRDefault="003545C8" w:rsidP="003545C8">
      <w:pPr>
        <w:spacing w:after="0"/>
        <w:jc w:val="both"/>
        <w:rPr>
          <w:rFonts w:ascii="Arial" w:hAnsi="Arial" w:cs="Arial"/>
        </w:rPr>
      </w:pPr>
      <w:r w:rsidRPr="00884AE9">
        <w:rPr>
          <w:rFonts w:ascii="Arial" w:hAnsi="Arial" w:cs="Arial"/>
        </w:rPr>
        <w:t xml:space="preserve">En caso de que los estudios o la evidencia analizada indiquen que los proveedores de otras zonas geográficas tienen poca capacidad o disposición para abastecer la zona geográfica analizada, la dimensión geográfica del MR tenderá a ser más estrecha. Por ejemplo, es posible que una empresa que provee un producto en la zona geográfica A pueda ajustar su proceso productivo en corto tiempo y sin incurrir en costos hundidos significativos de tal manera que pueda comenzar a proveer el producto en la zona geográfica B. No obstante, si dicha empresa obtiene mayores márgenes de ganancia por la provisión del producto en la zona geográfica A en comparación a los que podría obtener al abastecer ambas zonas geográficas, es posible que la empresa no tenga incentivos económicos para comenzar a proveer el </w:t>
      </w:r>
      <w:r>
        <w:rPr>
          <w:rFonts w:ascii="Arial" w:hAnsi="Arial" w:cs="Arial"/>
        </w:rPr>
        <w:t>producto</w:t>
      </w:r>
      <w:r w:rsidRPr="00884AE9">
        <w:rPr>
          <w:rFonts w:ascii="Arial" w:hAnsi="Arial" w:cs="Arial"/>
        </w:rPr>
        <w:t xml:space="preserve"> en la zona geográfica B.</w:t>
      </w:r>
    </w:p>
    <w:p w14:paraId="472C6C9E" w14:textId="77777777" w:rsidR="003545C8" w:rsidRPr="00884AE9" w:rsidRDefault="003545C8" w:rsidP="003545C8">
      <w:pPr>
        <w:spacing w:after="0"/>
        <w:jc w:val="both"/>
        <w:rPr>
          <w:rFonts w:ascii="Arial" w:hAnsi="Arial" w:cs="Arial"/>
        </w:rPr>
      </w:pPr>
    </w:p>
    <w:p w14:paraId="0E4FD17A" w14:textId="77777777" w:rsidR="003545C8" w:rsidRPr="00884AE9" w:rsidRDefault="003545C8" w:rsidP="005E23E0">
      <w:pPr>
        <w:pStyle w:val="Prrafodelista"/>
        <w:numPr>
          <w:ilvl w:val="0"/>
          <w:numId w:val="32"/>
        </w:numPr>
        <w:spacing w:after="0"/>
        <w:contextualSpacing w:val="0"/>
        <w:jc w:val="both"/>
        <w:rPr>
          <w:rFonts w:ascii="Arial" w:hAnsi="Arial" w:cs="Arial"/>
          <w:b/>
        </w:rPr>
      </w:pPr>
      <w:r w:rsidRPr="00884AE9">
        <w:rPr>
          <w:rFonts w:ascii="Arial" w:hAnsi="Arial" w:cs="Arial"/>
          <w:b/>
        </w:rPr>
        <w:t>Restricciones impuestas por otros agentes económicos que limiten la capacidad de oferentes ubicados fuera de la zona geográfica analizada, para abastecer dicha zona</w:t>
      </w:r>
    </w:p>
    <w:p w14:paraId="2723F443" w14:textId="77777777" w:rsidR="003545C8" w:rsidRPr="00884AE9" w:rsidRDefault="003545C8" w:rsidP="003545C8">
      <w:pPr>
        <w:pStyle w:val="Prrafodelista"/>
        <w:spacing w:after="0"/>
        <w:ind w:left="1080"/>
        <w:contextualSpacing w:val="0"/>
        <w:jc w:val="both"/>
        <w:rPr>
          <w:rFonts w:ascii="Arial" w:hAnsi="Arial" w:cs="Arial"/>
          <w:b/>
        </w:rPr>
      </w:pPr>
    </w:p>
    <w:p w14:paraId="295E77FF"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considerar las </w:t>
      </w:r>
      <w:r w:rsidRPr="00884AE9">
        <w:rPr>
          <w:rFonts w:ascii="Arial" w:hAnsi="Arial" w:cs="Arial"/>
          <w:b/>
        </w:rPr>
        <w:t xml:space="preserve">restricciones impuestas por otros agentes económicos </w:t>
      </w:r>
      <w:r w:rsidRPr="00884AE9">
        <w:rPr>
          <w:rFonts w:ascii="Arial" w:hAnsi="Arial" w:cs="Arial"/>
        </w:rPr>
        <w:t>que limitan la capacidad o los incentivos de que oferentes, ubicados fuera de la zona geográfica analizada, comiencen a proveer el producto en dicha zona de manera eficaz e inmediata. Por ejemplo, suponga que la Empresa 1 necesita de un enlace dedicado mayorista que conecte las localidades A y B para poder proveer servicios de telecomunicaciones minoristas en la localidad A y que únicamente la Empresa 2 cuenta con la infraestructura necesaria para proveer dicho enlace dedicado mayorista. Si la Empresa 2 también provee servicios de telecomunicaciones minoristas en la localidad A puede tener los incentivos y la capacidad para retrasar deliberadamente las negociaciones para proveer el enlace dedicado mayorista o para imponer condiciones que sean poco favorables para la Empresa 1. En este sentido, las restricciones impuestas por otros agentes económicos pueden limitar la sustitución por el lado de la oferta.</w:t>
      </w:r>
    </w:p>
    <w:p w14:paraId="282E3A52" w14:textId="77777777" w:rsidR="003545C8" w:rsidRPr="00884AE9" w:rsidRDefault="003545C8" w:rsidP="003545C8">
      <w:pPr>
        <w:spacing w:after="0"/>
        <w:jc w:val="both"/>
        <w:rPr>
          <w:rFonts w:ascii="Arial" w:hAnsi="Arial" w:cs="Arial"/>
        </w:rPr>
      </w:pPr>
    </w:p>
    <w:p w14:paraId="1080169C" w14:textId="77777777" w:rsidR="003545C8" w:rsidRPr="00884AE9" w:rsidRDefault="003545C8" w:rsidP="005E23E0">
      <w:pPr>
        <w:pStyle w:val="Prrafodelista"/>
        <w:numPr>
          <w:ilvl w:val="0"/>
          <w:numId w:val="32"/>
        </w:numPr>
        <w:spacing w:after="0"/>
        <w:contextualSpacing w:val="0"/>
        <w:jc w:val="both"/>
        <w:rPr>
          <w:rFonts w:ascii="Arial" w:hAnsi="Arial" w:cs="Arial"/>
          <w:b/>
        </w:rPr>
      </w:pPr>
      <w:r w:rsidRPr="00884AE9">
        <w:rPr>
          <w:rFonts w:ascii="Arial" w:hAnsi="Arial" w:cs="Arial"/>
          <w:b/>
        </w:rPr>
        <w:t xml:space="preserve">La posibilidad, incentivos y costos de extender o cambiar los sistemas de producción y distribución; la capacidad excedente y los contratos de largo plazo que puedan limitar la capacidad de </w:t>
      </w:r>
      <w:proofErr w:type="spellStart"/>
      <w:r w:rsidRPr="00884AE9">
        <w:rPr>
          <w:rFonts w:ascii="Arial" w:hAnsi="Arial" w:cs="Arial"/>
          <w:b/>
        </w:rPr>
        <w:t>re-direccionar</w:t>
      </w:r>
      <w:proofErr w:type="spellEnd"/>
      <w:r w:rsidRPr="00884AE9">
        <w:rPr>
          <w:rFonts w:ascii="Arial" w:hAnsi="Arial" w:cs="Arial"/>
          <w:b/>
        </w:rPr>
        <w:t xml:space="preserve"> la producción para abastecer la zona geográfica analizada</w:t>
      </w:r>
    </w:p>
    <w:p w14:paraId="4456468D" w14:textId="77777777" w:rsidR="003545C8" w:rsidRPr="00884AE9" w:rsidRDefault="003545C8" w:rsidP="003545C8">
      <w:pPr>
        <w:spacing w:after="0"/>
        <w:jc w:val="both"/>
        <w:rPr>
          <w:rFonts w:ascii="Arial" w:hAnsi="Arial" w:cs="Arial"/>
        </w:rPr>
      </w:pPr>
      <w:r w:rsidRPr="00884AE9">
        <w:rPr>
          <w:rFonts w:ascii="Arial" w:hAnsi="Arial" w:cs="Arial"/>
        </w:rPr>
        <w:lastRenderedPageBreak/>
        <w:t xml:space="preserve">El Instituto </w:t>
      </w:r>
      <w:r>
        <w:rPr>
          <w:rFonts w:ascii="Arial" w:hAnsi="Arial" w:cs="Arial"/>
        </w:rPr>
        <w:t>podrá</w:t>
      </w:r>
      <w:r w:rsidRPr="00884AE9">
        <w:rPr>
          <w:rFonts w:ascii="Arial" w:hAnsi="Arial" w:cs="Arial"/>
        </w:rPr>
        <w:t xml:space="preserve"> considerar </w:t>
      </w:r>
      <w:r w:rsidRPr="00884AE9">
        <w:rPr>
          <w:rFonts w:ascii="Arial" w:hAnsi="Arial" w:cs="Arial"/>
          <w:b/>
        </w:rPr>
        <w:t>la ausencia de restricciones de capacidad</w:t>
      </w:r>
      <w:r w:rsidRPr="00884AE9">
        <w:rPr>
          <w:rFonts w:ascii="Arial" w:hAnsi="Arial" w:cs="Arial"/>
        </w:rPr>
        <w:t xml:space="preserve"> y/o de </w:t>
      </w:r>
      <w:r w:rsidRPr="00884AE9">
        <w:rPr>
          <w:rFonts w:ascii="Arial" w:hAnsi="Arial" w:cs="Arial"/>
          <w:b/>
        </w:rPr>
        <w:t>contratos de largo plazo que comprometan dicha capacidad</w:t>
      </w:r>
      <w:r w:rsidRPr="00884AE9">
        <w:rPr>
          <w:rFonts w:ascii="Arial" w:hAnsi="Arial" w:cs="Arial"/>
        </w:rPr>
        <w:t xml:space="preserve">, al evaluar si los agentes económicos tienen la </w:t>
      </w:r>
      <w:r>
        <w:rPr>
          <w:rFonts w:ascii="Arial" w:hAnsi="Arial" w:cs="Arial"/>
        </w:rPr>
        <w:t>posibilidad de</w:t>
      </w:r>
      <w:r w:rsidRPr="00884AE9">
        <w:rPr>
          <w:rFonts w:ascii="Arial" w:hAnsi="Arial" w:cs="Arial"/>
        </w:rPr>
        <w:t xml:space="preserve"> comenzar a proveer el producto en la zona geográfica analizada de manera eficaz e inmediata. Por ejemplo, es posible que un proveedor tenga incentivos económicos para comenzar a proveer un producto en la zona geográfica analizada y, además, no cuente con acuerdos comerciales mediante los cuales comprometa la totalidad de su capacidad productiva para atender la demanda en otras zonas geográficas. En este caso, la ausencia de restricciones de capacidad y/o contratos de largo plazo son un indicio de que dicho agente económico puede proveer el producto en el mercado analizado en un periodo corto de tiempo sin incurrir en costos significativos.</w:t>
      </w:r>
    </w:p>
    <w:p w14:paraId="3CDD5BCD" w14:textId="77777777" w:rsidR="003545C8" w:rsidRPr="00884AE9" w:rsidRDefault="003545C8" w:rsidP="003545C8">
      <w:pPr>
        <w:spacing w:after="0"/>
        <w:jc w:val="both"/>
        <w:rPr>
          <w:rFonts w:ascii="Arial" w:hAnsi="Arial" w:cs="Arial"/>
        </w:rPr>
      </w:pPr>
    </w:p>
    <w:p w14:paraId="13179361" w14:textId="77777777" w:rsidR="003545C8" w:rsidRPr="00884AE9" w:rsidRDefault="003545C8" w:rsidP="005E23E0">
      <w:pPr>
        <w:pStyle w:val="Prrafodelista"/>
        <w:numPr>
          <w:ilvl w:val="0"/>
          <w:numId w:val="32"/>
        </w:numPr>
        <w:spacing w:after="0"/>
        <w:contextualSpacing w:val="0"/>
        <w:jc w:val="both"/>
        <w:rPr>
          <w:rFonts w:ascii="Arial" w:hAnsi="Arial" w:cs="Arial"/>
          <w:b/>
        </w:rPr>
      </w:pPr>
      <w:r w:rsidRPr="00884AE9">
        <w:rPr>
          <w:rFonts w:ascii="Arial" w:hAnsi="Arial" w:cs="Arial"/>
          <w:b/>
        </w:rPr>
        <w:t>Requisitos normativos que limiten el acceso de proveedores a zonas geográficas alternativas</w:t>
      </w:r>
    </w:p>
    <w:p w14:paraId="0A7DA3CB" w14:textId="77777777" w:rsidR="003545C8" w:rsidRPr="00884AE9" w:rsidRDefault="003545C8" w:rsidP="003545C8">
      <w:pPr>
        <w:pStyle w:val="Prrafodelista"/>
        <w:spacing w:after="0"/>
        <w:ind w:left="1080"/>
        <w:contextualSpacing w:val="0"/>
        <w:jc w:val="both"/>
        <w:rPr>
          <w:rFonts w:ascii="Arial" w:hAnsi="Arial" w:cs="Arial"/>
          <w:b/>
        </w:rPr>
      </w:pPr>
    </w:p>
    <w:p w14:paraId="11015507" w14:textId="77777777" w:rsidR="003545C8" w:rsidRPr="00884AE9" w:rsidRDefault="003545C8" w:rsidP="003545C8">
      <w:pPr>
        <w:spacing w:after="0"/>
        <w:jc w:val="both"/>
        <w:rPr>
          <w:rFonts w:ascii="Arial" w:hAnsi="Arial" w:cs="Arial"/>
        </w:rPr>
      </w:pPr>
      <w:r w:rsidRPr="00884AE9">
        <w:rPr>
          <w:rFonts w:ascii="Arial" w:hAnsi="Arial" w:cs="Arial"/>
        </w:rPr>
        <w:t xml:space="preserve">El Instituto </w:t>
      </w:r>
      <w:r>
        <w:rPr>
          <w:rFonts w:ascii="Arial" w:hAnsi="Arial" w:cs="Arial"/>
        </w:rPr>
        <w:t>podrá</w:t>
      </w:r>
      <w:r w:rsidRPr="00884AE9">
        <w:rPr>
          <w:rFonts w:ascii="Arial" w:hAnsi="Arial" w:cs="Arial"/>
        </w:rPr>
        <w:t xml:space="preserve"> tomar en cuenta los </w:t>
      </w:r>
      <w:r w:rsidRPr="00884AE9">
        <w:rPr>
          <w:rFonts w:ascii="Arial" w:hAnsi="Arial" w:cs="Arial"/>
          <w:b/>
        </w:rPr>
        <w:t>requisitos normativos como concesiones, permisos o autorizaciones a nivel federal, estatal o municipal</w:t>
      </w:r>
      <w:r w:rsidRPr="00884AE9">
        <w:rPr>
          <w:rFonts w:ascii="Arial" w:hAnsi="Arial" w:cs="Arial"/>
        </w:rPr>
        <w:t xml:space="preserve"> que limiten la capacidad y disposición de proveedores para abastecer a zonas geográficas alternativas. Por ejemplo, considere el caso de que un agente económico que provee el servicio en la zona geográfica A y que desea proveer dicho servicio en la zona geográfica B. Si el marco regulatorio local o municipal de la zona geográfica B prevé numerosos trámites para desplegar la infraestructura </w:t>
      </w:r>
      <w:r>
        <w:rPr>
          <w:rFonts w:ascii="Arial" w:hAnsi="Arial" w:cs="Arial"/>
        </w:rPr>
        <w:t xml:space="preserve">necesaria </w:t>
      </w:r>
      <w:r w:rsidRPr="00884AE9">
        <w:rPr>
          <w:rFonts w:ascii="Arial" w:hAnsi="Arial" w:cs="Arial"/>
        </w:rPr>
        <w:t>que resulten costosos, tardados o complejos, los costos del proveedor para comenzar a abastecer la zona geográfica B podrían elevarse a tal grado que disminuiría su capacidad e incentivos para llevarlo a cabo. Así, entre mayores sean los requisitos normativos, así como el tiempo y los costos asociados a estos, la dimensión geográfica del MR tenderá a ser más pequeña.</w:t>
      </w:r>
    </w:p>
    <w:p w14:paraId="7B279C72" w14:textId="77777777" w:rsidR="003545C8" w:rsidRPr="00884AE9" w:rsidRDefault="003545C8" w:rsidP="003545C8">
      <w:pPr>
        <w:spacing w:after="0"/>
        <w:jc w:val="both"/>
        <w:rPr>
          <w:rFonts w:ascii="Arial" w:hAnsi="Arial" w:cs="Arial"/>
        </w:rPr>
      </w:pPr>
    </w:p>
    <w:p w14:paraId="39A9B661" w14:textId="77777777" w:rsidR="003545C8" w:rsidRPr="00884AE9" w:rsidRDefault="003545C8" w:rsidP="003545C8">
      <w:pPr>
        <w:spacing w:after="0"/>
        <w:jc w:val="both"/>
        <w:rPr>
          <w:rFonts w:ascii="Arial" w:hAnsi="Arial" w:cs="Arial"/>
        </w:rPr>
      </w:pPr>
      <w:r w:rsidRPr="00884AE9">
        <w:rPr>
          <w:rFonts w:ascii="Arial" w:hAnsi="Arial" w:cs="Arial"/>
        </w:rPr>
        <w:t xml:space="preserve">En relación con lo anterior, el Instituto también </w:t>
      </w:r>
      <w:r>
        <w:rPr>
          <w:rFonts w:ascii="Arial" w:hAnsi="Arial" w:cs="Arial"/>
        </w:rPr>
        <w:t>podrá</w:t>
      </w:r>
      <w:r w:rsidRPr="00884AE9">
        <w:rPr>
          <w:rFonts w:ascii="Arial" w:hAnsi="Arial" w:cs="Arial"/>
        </w:rPr>
        <w:t xml:space="preserve"> considerar </w:t>
      </w:r>
      <w:r w:rsidRPr="00C00343">
        <w:rPr>
          <w:rFonts w:ascii="Arial" w:hAnsi="Arial" w:cs="Arial"/>
          <w:b/>
        </w:rPr>
        <w:t xml:space="preserve">la </w:t>
      </w:r>
      <w:r w:rsidRPr="00AC774A">
        <w:rPr>
          <w:rFonts w:ascii="Arial" w:hAnsi="Arial" w:cs="Arial"/>
          <w:b/>
        </w:rPr>
        <w:t>zona</w:t>
      </w:r>
      <w:r w:rsidRPr="00884AE9">
        <w:rPr>
          <w:rFonts w:ascii="Arial" w:hAnsi="Arial" w:cs="Arial"/>
          <w:b/>
        </w:rPr>
        <w:t xml:space="preserve"> de cobertura autorizada en los títulos de concesión de los proveedores</w:t>
      </w:r>
      <w:r w:rsidRPr="00884AE9">
        <w:rPr>
          <w:rFonts w:ascii="Arial" w:hAnsi="Arial" w:cs="Arial"/>
        </w:rPr>
        <w:t xml:space="preserve"> de servicios de telecomunicaciones o radiodifusión, ya que esta delimita las zonas geográficas en las cuales los proveedores pueden prestar sus servicios. </w:t>
      </w:r>
    </w:p>
    <w:p w14:paraId="5DB20C33" w14:textId="77777777" w:rsidR="003545C8" w:rsidRPr="00931D46" w:rsidRDefault="003545C8" w:rsidP="003545C8">
      <w:pPr>
        <w:tabs>
          <w:tab w:val="left" w:pos="2480"/>
        </w:tabs>
        <w:spacing w:after="0"/>
        <w:jc w:val="both"/>
        <w:rPr>
          <w:rFonts w:ascii="Arial" w:hAnsi="Arial" w:cs="Arial"/>
        </w:rPr>
      </w:pPr>
    </w:p>
    <w:p w14:paraId="128ADF2A" w14:textId="77777777" w:rsidR="003545C8" w:rsidRPr="008C46AC" w:rsidRDefault="003545C8" w:rsidP="005E23E0">
      <w:pPr>
        <w:pStyle w:val="Ttulo1"/>
        <w:numPr>
          <w:ilvl w:val="0"/>
          <w:numId w:val="5"/>
        </w:numPr>
        <w:spacing w:line="276" w:lineRule="auto"/>
        <w:jc w:val="both"/>
        <w:rPr>
          <w:rFonts w:ascii="Arial" w:hAnsi="Arial" w:cs="Arial"/>
          <w:b w:val="0"/>
          <w:sz w:val="26"/>
          <w:szCs w:val="26"/>
        </w:rPr>
      </w:pPr>
      <w:bookmarkStart w:id="50" w:name="_Toc41649749"/>
      <w:bookmarkStart w:id="51" w:name="_Toc41649890"/>
      <w:bookmarkStart w:id="52" w:name="_Toc45216575"/>
      <w:bookmarkStart w:id="53" w:name="_Toc45628328"/>
      <w:bookmarkStart w:id="54" w:name="_Toc71717641"/>
      <w:r w:rsidRPr="008C46AC">
        <w:rPr>
          <w:rFonts w:ascii="Arial" w:hAnsi="Arial" w:cs="Arial"/>
          <w:sz w:val="26"/>
          <w:szCs w:val="26"/>
        </w:rPr>
        <w:t>Exhaustividad en la delimitación del MR</w:t>
      </w:r>
      <w:bookmarkEnd w:id="50"/>
      <w:bookmarkEnd w:id="51"/>
      <w:bookmarkEnd w:id="52"/>
      <w:bookmarkEnd w:id="53"/>
      <w:bookmarkEnd w:id="54"/>
    </w:p>
    <w:p w14:paraId="74A0118A" w14:textId="77777777" w:rsidR="003545C8" w:rsidRPr="008E225A" w:rsidRDefault="003545C8" w:rsidP="003545C8">
      <w:pPr>
        <w:keepNext/>
        <w:spacing w:after="0"/>
        <w:jc w:val="both"/>
        <w:rPr>
          <w:rFonts w:ascii="Arial" w:eastAsiaTheme="majorEastAsia" w:hAnsi="Arial" w:cs="Arial"/>
          <w:b/>
          <w:szCs w:val="32"/>
          <w:highlight w:val="yellow"/>
        </w:rPr>
      </w:pPr>
    </w:p>
    <w:p w14:paraId="3BCDDFAE" w14:textId="69294EA5" w:rsidR="003545C8" w:rsidRPr="00507FDD" w:rsidRDefault="003545C8" w:rsidP="003545C8">
      <w:pPr>
        <w:spacing w:after="0"/>
        <w:jc w:val="both"/>
        <w:rPr>
          <w:rFonts w:ascii="Arial" w:hAnsi="Arial" w:cs="Arial"/>
        </w:rPr>
      </w:pPr>
      <w:r w:rsidRPr="00507FDD">
        <w:rPr>
          <w:rFonts w:ascii="Arial" w:hAnsi="Arial" w:cs="Arial"/>
        </w:rPr>
        <w:t xml:space="preserve">Como se señaló previamente, </w:t>
      </w:r>
      <w:r w:rsidRPr="00507FDD">
        <w:rPr>
          <w:rFonts w:ascii="Arial" w:eastAsia="Times New Roman" w:hAnsi="Arial" w:cs="Arial"/>
          <w:bCs/>
          <w:kern w:val="1"/>
          <w:lang w:eastAsia="ar-SA"/>
        </w:rPr>
        <w:t>la determinación del MR no es un fin en sí mismo, sino una herramienta para establecer un marco de referencia en el que se realiza la evaluación de poder sustancial de mercado, condiciones de competencia o condiciones de competencia efectiva, así como de los efectos de una conducta u operación</w:t>
      </w:r>
      <w:r w:rsidRPr="00507FDD">
        <w:rPr>
          <w:rFonts w:ascii="Arial" w:hAnsi="Arial" w:cs="Arial"/>
        </w:rPr>
        <w:t xml:space="preserve">. En ese sentido, el análisis e implementación de los criterios señalados en el artículo 58 de la LFCE y en la presente Guía debe hacerse tomando en cuenta las circunstancias particulares del caso sujeto de análisis y considerando que el objetivo principal es la </w:t>
      </w:r>
      <w:r w:rsidRPr="00507FDD">
        <w:rPr>
          <w:rFonts w:ascii="Arial" w:eastAsia="Times New Roman" w:hAnsi="Arial" w:cs="Arial"/>
          <w:bCs/>
          <w:kern w:val="1"/>
          <w:lang w:eastAsia="ar-SA"/>
        </w:rPr>
        <w:t xml:space="preserve">evaluación de la existencia de poder sustancial de mercado, condiciones de competencia o condiciones de competencia efectiva y no la delimitación del MR </w:t>
      </w:r>
      <w:r w:rsidRPr="00507FDD">
        <w:rPr>
          <w:rFonts w:ascii="Arial" w:eastAsia="Times New Roman" w:hAnsi="Arial" w:cs="Arial"/>
          <w:bCs/>
          <w:i/>
          <w:kern w:val="1"/>
          <w:lang w:eastAsia="ar-SA"/>
        </w:rPr>
        <w:t xml:space="preserve">per </w:t>
      </w:r>
      <w:r w:rsidR="00D95206">
        <w:rPr>
          <w:rFonts w:ascii="Arial" w:eastAsia="Times New Roman" w:hAnsi="Arial" w:cs="Arial"/>
          <w:bCs/>
          <w:i/>
          <w:kern w:val="1"/>
          <w:lang w:eastAsia="ar-SA"/>
        </w:rPr>
        <w:t>se</w:t>
      </w:r>
      <w:r w:rsidRPr="00507FDD">
        <w:rPr>
          <w:rFonts w:ascii="Arial" w:hAnsi="Arial" w:cs="Arial"/>
        </w:rPr>
        <w:t>.</w:t>
      </w:r>
    </w:p>
    <w:p w14:paraId="640AFC7C" w14:textId="77777777" w:rsidR="003545C8" w:rsidRPr="00507FDD" w:rsidRDefault="003545C8" w:rsidP="003545C8">
      <w:pPr>
        <w:spacing w:after="0"/>
        <w:jc w:val="both"/>
        <w:rPr>
          <w:rFonts w:ascii="Arial" w:hAnsi="Arial" w:cs="Arial"/>
        </w:rPr>
      </w:pPr>
    </w:p>
    <w:p w14:paraId="14851EEE" w14:textId="77777777" w:rsidR="003545C8" w:rsidRPr="00507FDD" w:rsidRDefault="003545C8" w:rsidP="003545C8">
      <w:pPr>
        <w:spacing w:after="0"/>
        <w:jc w:val="both"/>
        <w:rPr>
          <w:rFonts w:ascii="Arial" w:hAnsi="Arial" w:cs="Arial"/>
        </w:rPr>
      </w:pPr>
      <w:r w:rsidRPr="00507FDD">
        <w:rPr>
          <w:rFonts w:ascii="Arial" w:hAnsi="Arial" w:cs="Arial"/>
        </w:rPr>
        <w:lastRenderedPageBreak/>
        <w:t>En el caso particular de las concentraciones que se señalan en el artículo 92 de la LFCE o las que cumplen con lo señalado en el artículo 6 del Criterio Técnico</w:t>
      </w:r>
      <w:r w:rsidRPr="00507FDD">
        <w:rPr>
          <w:rStyle w:val="Refdenotaalpie"/>
          <w:rFonts w:ascii="Arial" w:hAnsi="Arial" w:cs="Arial"/>
        </w:rPr>
        <w:footnoteReference w:id="55"/>
      </w:r>
      <w:r w:rsidRPr="00507FDD">
        <w:rPr>
          <w:rFonts w:ascii="Arial" w:hAnsi="Arial" w:cs="Arial"/>
        </w:rPr>
        <w:t xml:space="preserve"> y no se encuentran en los supuestos del artículo 7 del mismo ordenamiento,</w:t>
      </w:r>
      <w:r w:rsidRPr="00507FDD">
        <w:rPr>
          <w:rStyle w:val="Refdenotaalpie"/>
          <w:rFonts w:ascii="Arial" w:hAnsi="Arial" w:cs="Arial"/>
        </w:rPr>
        <w:footnoteReference w:id="56"/>
      </w:r>
      <w:r w:rsidRPr="00507FDD">
        <w:rPr>
          <w:rFonts w:ascii="Arial" w:hAnsi="Arial" w:cs="Arial"/>
        </w:rPr>
        <w:t xml:space="preserve"> un análisis preliminar permite concluir que los efectos de la operación no implican afectaciones a la competencia y libre concurrencia.</w:t>
      </w:r>
    </w:p>
    <w:p w14:paraId="520049EE" w14:textId="77777777" w:rsidR="003545C8" w:rsidRPr="00507FDD" w:rsidRDefault="003545C8" w:rsidP="003545C8">
      <w:pPr>
        <w:spacing w:after="0"/>
        <w:jc w:val="both"/>
        <w:rPr>
          <w:rFonts w:ascii="Arial" w:hAnsi="Arial" w:cs="Arial"/>
        </w:rPr>
      </w:pPr>
    </w:p>
    <w:p w14:paraId="70211583" w14:textId="77777777" w:rsidR="003545C8" w:rsidRPr="00507FDD" w:rsidRDefault="003545C8" w:rsidP="003545C8">
      <w:pPr>
        <w:spacing w:after="0"/>
        <w:jc w:val="both"/>
        <w:rPr>
          <w:rFonts w:ascii="Arial" w:hAnsi="Arial" w:cs="Arial"/>
        </w:rPr>
      </w:pPr>
      <w:r w:rsidRPr="00507FDD">
        <w:rPr>
          <w:rFonts w:ascii="Arial" w:hAnsi="Arial" w:cs="Arial"/>
        </w:rPr>
        <w:t xml:space="preserve">En este sentido, la Guía de Concentraciones señala que: </w:t>
      </w:r>
      <w:r w:rsidRPr="00507FDD">
        <w:rPr>
          <w:rFonts w:ascii="Arial" w:hAnsi="Arial" w:cs="Arial"/>
          <w:i/>
        </w:rPr>
        <w:t xml:space="preserve">“(…) Los datos de participaciones que los agentes económicos presenten no necesariamente corresponden al mercado relevante o mercados relacionados en los que tiene efectos la concentración (…) Sin embargo, pueden ser utilizados de forma razonable para tratar de construir diferentes escenarios de agregación, entre los cuales se podría ubicar el mercado relevante y los mercados relacionados correspondientes. </w:t>
      </w:r>
      <w:r w:rsidRPr="00507FDD">
        <w:rPr>
          <w:rFonts w:ascii="Arial" w:hAnsi="Arial" w:cs="Arial"/>
          <w:b/>
          <w:i/>
        </w:rPr>
        <w:t>Si bajo ninguno de esos escenarios de agregación, se identifica que ésta pudiera obstaculizar, disminuir, dañar o impedir la libre concurrencia y competencia económica, entonces el IFT considerará finalizado su análisis de efectos</w:t>
      </w:r>
      <w:r w:rsidRPr="00507FDD">
        <w:rPr>
          <w:rFonts w:ascii="Arial" w:hAnsi="Arial" w:cs="Arial"/>
          <w:i/>
        </w:rPr>
        <w:t xml:space="preserve"> (…).”</w:t>
      </w:r>
      <w:r w:rsidRPr="00507FDD">
        <w:rPr>
          <w:rStyle w:val="Refdenotaalpie"/>
          <w:rFonts w:ascii="Arial" w:hAnsi="Arial" w:cs="Arial"/>
        </w:rPr>
        <w:footnoteReference w:id="57"/>
      </w:r>
    </w:p>
    <w:p w14:paraId="40432B91" w14:textId="77777777" w:rsidR="003545C8" w:rsidRPr="00507FDD" w:rsidRDefault="003545C8" w:rsidP="003545C8">
      <w:pPr>
        <w:spacing w:after="0"/>
        <w:jc w:val="both"/>
        <w:rPr>
          <w:rFonts w:ascii="Arial" w:hAnsi="Arial" w:cs="Arial"/>
        </w:rPr>
      </w:pPr>
    </w:p>
    <w:p w14:paraId="6BEB1F95" w14:textId="77777777" w:rsidR="003545C8" w:rsidRPr="00507FDD" w:rsidRDefault="003545C8" w:rsidP="003545C8">
      <w:pPr>
        <w:spacing w:after="0"/>
        <w:jc w:val="both"/>
        <w:rPr>
          <w:rFonts w:ascii="Arial" w:hAnsi="Arial" w:cs="Arial"/>
        </w:rPr>
      </w:pPr>
      <w:r w:rsidRPr="00507FDD">
        <w:rPr>
          <w:rFonts w:ascii="Arial" w:hAnsi="Arial" w:cs="Arial"/>
        </w:rPr>
        <w:t xml:space="preserve">Por su parte, la OCDE señala que </w:t>
      </w:r>
      <w:r w:rsidRPr="00507FDD">
        <w:rPr>
          <w:rFonts w:ascii="Arial" w:hAnsi="Arial" w:cs="Arial"/>
          <w:i/>
        </w:rPr>
        <w:t>“cuando se revisan casos para los que no existen problemas de competencia, independientemente del alcance geográfico de un mercado, el enfoque que a menudo adoptan los tribunales y las autoridades de competencia es mantener abierta la definición del mercado geográfico”</w:t>
      </w:r>
      <w:r w:rsidRPr="00507FDD">
        <w:rPr>
          <w:rFonts w:ascii="Arial" w:hAnsi="Arial" w:cs="Arial"/>
        </w:rPr>
        <w:t>, pues ello permite ahorrar tiempo y recursos, así como evitar que se llegue a una definición innecesaria que puede afectar casos futuros.</w:t>
      </w:r>
      <w:r w:rsidRPr="00507FDD">
        <w:rPr>
          <w:rStyle w:val="Refdenotaalpie"/>
          <w:rFonts w:ascii="Arial" w:hAnsi="Arial" w:cs="Arial"/>
          <w:szCs w:val="26"/>
        </w:rPr>
        <w:footnoteReference w:id="58"/>
      </w:r>
    </w:p>
    <w:p w14:paraId="36278307" w14:textId="77777777" w:rsidR="003545C8" w:rsidRPr="00507FDD" w:rsidRDefault="003545C8" w:rsidP="003545C8">
      <w:pPr>
        <w:spacing w:after="0"/>
        <w:jc w:val="both"/>
        <w:rPr>
          <w:rFonts w:ascii="Arial" w:hAnsi="Arial" w:cs="Arial"/>
        </w:rPr>
      </w:pPr>
    </w:p>
    <w:p w14:paraId="24DA6C9A" w14:textId="77777777" w:rsidR="003545C8" w:rsidRPr="00507FDD" w:rsidRDefault="003545C8" w:rsidP="003545C8">
      <w:pPr>
        <w:spacing w:after="0"/>
        <w:jc w:val="both"/>
        <w:rPr>
          <w:rFonts w:ascii="Arial" w:hAnsi="Arial" w:cs="Arial"/>
        </w:rPr>
      </w:pPr>
      <w:r w:rsidRPr="00507FDD">
        <w:rPr>
          <w:rFonts w:ascii="Arial" w:hAnsi="Arial" w:cs="Arial"/>
        </w:rPr>
        <w:t xml:space="preserve">Por lo tanto, en los casos </w:t>
      </w:r>
      <w:r>
        <w:rPr>
          <w:rFonts w:ascii="Arial" w:hAnsi="Arial" w:cs="Arial"/>
        </w:rPr>
        <w:t xml:space="preserve">de concentraciones </w:t>
      </w:r>
      <w:r w:rsidRPr="00507FDD">
        <w:rPr>
          <w:rFonts w:ascii="Arial" w:hAnsi="Arial" w:cs="Arial"/>
        </w:rPr>
        <w:t>descritos, no es necesario llevar a cabo una delimitación exhaustiva del MR aplicando todos y cada uno de los criterios establecidos en el artículo 58 de la LFCE y en la presente Guía, pues hacerlo implicaría llegar a la misma conclusión respecto a los efectos o condiciones de competencia y libre concurrencia, pero en un tiempo mayor de análisis y el consecuente costo por parte de los AE y el Instituto.</w:t>
      </w:r>
    </w:p>
    <w:p w14:paraId="6A85073D" w14:textId="77777777" w:rsidR="003545C8" w:rsidRPr="00507FDD" w:rsidRDefault="003545C8" w:rsidP="003545C8">
      <w:pPr>
        <w:spacing w:after="0"/>
        <w:jc w:val="both"/>
        <w:rPr>
          <w:rFonts w:ascii="Arial" w:hAnsi="Arial" w:cs="Arial"/>
        </w:rPr>
      </w:pPr>
    </w:p>
    <w:p w14:paraId="0C73B150" w14:textId="77777777" w:rsidR="003545C8" w:rsidRPr="00507FDD"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55" w:name="_Toc45216576"/>
      <w:bookmarkStart w:id="56" w:name="_Toc45628329"/>
      <w:bookmarkStart w:id="57" w:name="_Toc71717642"/>
      <w:r w:rsidRPr="00507FDD">
        <w:rPr>
          <w:rFonts w:ascii="Arial" w:eastAsia="Times New Roman" w:hAnsi="Arial" w:cs="Arial"/>
          <w:sz w:val="26"/>
          <w:lang w:eastAsia="es-MX"/>
        </w:rPr>
        <w:lastRenderedPageBreak/>
        <w:t>Precedentes decisorios del Instituto</w:t>
      </w:r>
      <w:bookmarkEnd w:id="55"/>
      <w:bookmarkEnd w:id="56"/>
      <w:bookmarkEnd w:id="57"/>
    </w:p>
    <w:p w14:paraId="4D661118" w14:textId="77777777" w:rsidR="003545C8" w:rsidRPr="00507FDD" w:rsidRDefault="003545C8" w:rsidP="003545C8">
      <w:pPr>
        <w:keepNext/>
        <w:spacing w:after="0"/>
        <w:jc w:val="both"/>
        <w:rPr>
          <w:rFonts w:ascii="Arial" w:hAnsi="Arial" w:cs="Arial"/>
        </w:rPr>
      </w:pPr>
    </w:p>
    <w:p w14:paraId="30D775B1" w14:textId="06BB8940" w:rsidR="003545C8" w:rsidRPr="00CA42B1" w:rsidRDefault="003545C8" w:rsidP="00CA42B1">
      <w:pPr>
        <w:spacing w:after="0"/>
        <w:jc w:val="both"/>
        <w:rPr>
          <w:rFonts w:ascii="Arial" w:hAnsi="Arial" w:cs="Arial"/>
        </w:rPr>
      </w:pPr>
      <w:r w:rsidRPr="00507FDD">
        <w:rPr>
          <w:rFonts w:ascii="Arial" w:hAnsi="Arial" w:cs="Arial"/>
        </w:rPr>
        <w:t xml:space="preserve">Conforme a precedentes decisorios del Instituto, se identifican las siguientes situaciones en las cuales se ha dejado </w:t>
      </w:r>
      <w:r w:rsidRPr="00507FDD">
        <w:rPr>
          <w:rFonts w:ascii="Arial" w:hAnsi="Arial" w:cs="Arial"/>
          <w:lang w:eastAsia="es-MX"/>
        </w:rPr>
        <w:t>abierta la delimitación precisa del MR, es decir, sin necesidad de aplicar de manera exhaustiva</w:t>
      </w:r>
      <w:r w:rsidRPr="00507FDD">
        <w:rPr>
          <w:rFonts w:ascii="Arial" w:hAnsi="Arial" w:cs="Arial"/>
        </w:rPr>
        <w:t xml:space="preserve"> todos y cada uno de los criterios establecidos en el artículo 58 de la LFCE, el artículo 5 de las DRLFCE y la presente Guía:</w:t>
      </w:r>
      <w:r w:rsidRPr="00507FDD">
        <w:rPr>
          <w:rFonts w:ascii="Arial" w:eastAsia="Times New Roman" w:hAnsi="Arial" w:cs="Arial"/>
          <w:vertAlign w:val="superscript"/>
          <w:lang w:eastAsia="es-MX"/>
        </w:rPr>
        <w:footnoteReference w:id="59"/>
      </w:r>
    </w:p>
    <w:p w14:paraId="54CAC437" w14:textId="77777777" w:rsidR="003545C8" w:rsidRPr="00507FDD" w:rsidRDefault="003545C8" w:rsidP="005E23E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Cuando, con base en un análisis preliminar, existen pocas probabilidades de afectar la competencia debido a que la participación de las partes involucradas en la operación es no significativa;</w:t>
      </w:r>
    </w:p>
    <w:p w14:paraId="01D665AD" w14:textId="77777777" w:rsidR="003545C8" w:rsidRDefault="003545C8" w:rsidP="003545C8">
      <w:pPr>
        <w:pStyle w:val="Prrafodelista"/>
        <w:spacing w:after="0"/>
        <w:ind w:left="709"/>
        <w:contextualSpacing w:val="0"/>
        <w:jc w:val="both"/>
        <w:rPr>
          <w:rFonts w:ascii="Arial" w:hAnsi="Arial" w:cs="Arial"/>
        </w:rPr>
      </w:pPr>
    </w:p>
    <w:p w14:paraId="19073C59" w14:textId="77777777" w:rsidR="003545C8" w:rsidRPr="00507FDD" w:rsidRDefault="003545C8" w:rsidP="005E23E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Cuando, la operación no implica la transferencia de una porción de mercado alguno;</w:t>
      </w:r>
    </w:p>
    <w:p w14:paraId="45A2D30A" w14:textId="77777777" w:rsidR="003545C8" w:rsidRDefault="003545C8" w:rsidP="003545C8">
      <w:pPr>
        <w:pStyle w:val="Prrafodelista"/>
        <w:spacing w:after="0"/>
        <w:ind w:left="709"/>
        <w:contextualSpacing w:val="0"/>
        <w:jc w:val="both"/>
        <w:rPr>
          <w:rFonts w:ascii="Arial" w:hAnsi="Arial" w:cs="Arial"/>
        </w:rPr>
      </w:pPr>
    </w:p>
    <w:p w14:paraId="1286F3AA" w14:textId="2B840092" w:rsidR="003545C8" w:rsidRPr="00507FDD" w:rsidRDefault="003545C8" w:rsidP="005E23E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Cuando, bajo cualquiera de las posibles dimensiones de producto y geográficas, no se identifican elementos por los que la operación pudiera tener por objeto o efecto dañar la competencia y libre concurrencia</w:t>
      </w:r>
      <w:r w:rsidR="00D371BC">
        <w:rPr>
          <w:rFonts w:ascii="Arial" w:hAnsi="Arial" w:cs="Arial"/>
        </w:rPr>
        <w:t>, y</w:t>
      </w:r>
    </w:p>
    <w:p w14:paraId="5E3E69BE" w14:textId="77777777" w:rsidR="003545C8" w:rsidRDefault="003545C8" w:rsidP="003545C8">
      <w:pPr>
        <w:pStyle w:val="Prrafodelista"/>
        <w:spacing w:after="0"/>
        <w:ind w:left="709"/>
        <w:contextualSpacing w:val="0"/>
        <w:jc w:val="both"/>
        <w:rPr>
          <w:rFonts w:ascii="Arial" w:hAnsi="Arial" w:cs="Arial"/>
        </w:rPr>
      </w:pPr>
    </w:p>
    <w:p w14:paraId="1B6B8594" w14:textId="77777777" w:rsidR="003545C8" w:rsidRPr="00507FDD" w:rsidRDefault="003545C8" w:rsidP="005E23E0">
      <w:pPr>
        <w:pStyle w:val="Prrafodelista"/>
        <w:numPr>
          <w:ilvl w:val="0"/>
          <w:numId w:val="29"/>
        </w:numPr>
        <w:spacing w:after="0"/>
        <w:ind w:left="709" w:hanging="567"/>
        <w:contextualSpacing w:val="0"/>
        <w:jc w:val="both"/>
        <w:rPr>
          <w:rFonts w:ascii="Arial" w:hAnsi="Arial" w:cs="Arial"/>
        </w:rPr>
      </w:pPr>
      <w:r w:rsidRPr="00507FDD">
        <w:rPr>
          <w:rFonts w:ascii="Arial" w:hAnsi="Arial" w:cs="Arial"/>
        </w:rPr>
        <w:t>Si la operación cumple con lo establecido en el artículo 92 de la LFCE, es decir, notoriamente no tiene por objeto o efecto disminuir, dañar o impedir la libre concurrencia y la competencia económica.</w:t>
      </w:r>
    </w:p>
    <w:p w14:paraId="06F0334B" w14:textId="77777777" w:rsidR="003545C8" w:rsidRPr="00507FDD" w:rsidRDefault="003545C8" w:rsidP="003545C8">
      <w:pPr>
        <w:spacing w:after="0"/>
        <w:jc w:val="both"/>
        <w:rPr>
          <w:rFonts w:ascii="Arial" w:hAnsi="Arial" w:cs="Arial"/>
        </w:rPr>
      </w:pPr>
    </w:p>
    <w:p w14:paraId="47EC8462" w14:textId="77777777" w:rsidR="003545C8" w:rsidRPr="00507FDD" w:rsidRDefault="003545C8" w:rsidP="003545C8">
      <w:pPr>
        <w:spacing w:after="0"/>
        <w:jc w:val="both"/>
        <w:rPr>
          <w:rFonts w:ascii="Arial" w:hAnsi="Arial" w:cs="Arial"/>
        </w:rPr>
      </w:pPr>
      <w:r w:rsidRPr="00507FDD">
        <w:rPr>
          <w:rFonts w:ascii="Arial" w:hAnsi="Arial" w:cs="Arial"/>
        </w:rPr>
        <w:t xml:space="preserve">En el mismo sentido, la Guía de Concentraciones señala que: </w:t>
      </w:r>
      <w:r w:rsidRPr="00507FDD">
        <w:rPr>
          <w:rFonts w:ascii="Arial" w:hAnsi="Arial" w:cs="Arial"/>
          <w:i/>
        </w:rPr>
        <w:t>“Si bajo ninguno de esos escenarios de agregación [entre los cuales se podría ubicar el mercado relevante y los mercados relacionados correspondientes], se identifica que [la concentración] pudiera obstaculizar, disminuir, dañar o impedir la libre concurrencia y competencia económica, entonces el IFT considerará finalizado su análisis de efectos (…).”</w:t>
      </w:r>
      <w:r w:rsidRPr="00507FDD">
        <w:rPr>
          <w:rStyle w:val="Refdenotaalpie"/>
          <w:rFonts w:ascii="Arial" w:hAnsi="Arial" w:cs="Arial"/>
        </w:rPr>
        <w:footnoteReference w:id="60"/>
      </w:r>
    </w:p>
    <w:p w14:paraId="1F6509A7" w14:textId="77777777" w:rsidR="003545C8" w:rsidRPr="00507FDD"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58" w:name="_Toc45216577"/>
      <w:bookmarkStart w:id="59" w:name="_Toc45628334"/>
      <w:bookmarkStart w:id="60" w:name="_Toc71717643"/>
      <w:r w:rsidRPr="00507FDD">
        <w:rPr>
          <w:rFonts w:ascii="Arial" w:eastAsia="Times New Roman" w:hAnsi="Arial" w:cs="Arial"/>
          <w:sz w:val="26"/>
          <w:lang w:eastAsia="es-MX"/>
        </w:rPr>
        <w:lastRenderedPageBreak/>
        <w:t>Experiencia internacional</w:t>
      </w:r>
      <w:bookmarkEnd w:id="58"/>
      <w:bookmarkEnd w:id="59"/>
      <w:bookmarkEnd w:id="60"/>
    </w:p>
    <w:p w14:paraId="02300C7C" w14:textId="77777777" w:rsidR="003545C8" w:rsidRPr="00507FDD" w:rsidRDefault="003545C8" w:rsidP="003545C8">
      <w:pPr>
        <w:keepNext/>
        <w:spacing w:after="0"/>
        <w:jc w:val="both"/>
        <w:rPr>
          <w:rFonts w:ascii="Arial" w:hAnsi="Arial" w:cs="Arial"/>
          <w:lang w:val="en-US"/>
        </w:rPr>
      </w:pPr>
    </w:p>
    <w:p w14:paraId="085BA919" w14:textId="77777777" w:rsidR="003545C8" w:rsidRPr="00507FDD" w:rsidRDefault="003545C8" w:rsidP="003545C8">
      <w:pPr>
        <w:spacing w:after="0"/>
        <w:jc w:val="both"/>
        <w:rPr>
          <w:rFonts w:ascii="Arial" w:hAnsi="Arial" w:cs="Arial"/>
        </w:rPr>
      </w:pPr>
      <w:r w:rsidRPr="00507FDD">
        <w:rPr>
          <w:rFonts w:ascii="Arial" w:hAnsi="Arial" w:cs="Arial"/>
        </w:rPr>
        <w:t>La ICN</w:t>
      </w:r>
      <w:r w:rsidRPr="00507FDD">
        <w:rPr>
          <w:rStyle w:val="Refdenotaalpie"/>
          <w:rFonts w:ascii="Arial" w:hAnsi="Arial" w:cs="Arial"/>
        </w:rPr>
        <w:footnoteReference w:id="61"/>
      </w:r>
      <w:r w:rsidRPr="00507FDD">
        <w:rPr>
          <w:rFonts w:ascii="Arial" w:hAnsi="Arial" w:cs="Arial"/>
        </w:rPr>
        <w:t xml:space="preserve"> y la OCDE</w:t>
      </w:r>
      <w:r w:rsidRPr="00507FDD">
        <w:rPr>
          <w:rStyle w:val="Refdenotaalpie"/>
          <w:rFonts w:ascii="Arial" w:hAnsi="Arial" w:cs="Arial"/>
        </w:rPr>
        <w:footnoteReference w:id="62"/>
      </w:r>
      <w:r w:rsidRPr="00507FDD">
        <w:rPr>
          <w:rFonts w:ascii="Arial" w:hAnsi="Arial" w:cs="Arial"/>
        </w:rPr>
        <w:t>, así como las autoridades de competencia de Estados Unidos de América,</w:t>
      </w:r>
      <w:r w:rsidRPr="00507FDD">
        <w:rPr>
          <w:rFonts w:ascii="Arial" w:eastAsia="Times New Roman" w:hAnsi="Arial" w:cs="Arial"/>
          <w:vertAlign w:val="superscript"/>
          <w:lang w:val="en-US" w:eastAsia="es-MX"/>
        </w:rPr>
        <w:footnoteReference w:id="63"/>
      </w:r>
      <w:r w:rsidRPr="00507FDD">
        <w:rPr>
          <w:rFonts w:ascii="Arial" w:hAnsi="Arial" w:cs="Arial"/>
        </w:rPr>
        <w:t xml:space="preserve"> la Unión Europea,</w:t>
      </w:r>
      <w:r w:rsidRPr="00507FDD">
        <w:rPr>
          <w:rStyle w:val="Refdenotaalpie"/>
          <w:rFonts w:ascii="Arial" w:eastAsia="Times New Roman" w:hAnsi="Arial" w:cs="Arial"/>
          <w:bCs/>
          <w:kern w:val="1"/>
          <w:lang w:eastAsia="ar-SA"/>
        </w:rPr>
        <w:footnoteReference w:id="64"/>
      </w:r>
      <w:r w:rsidRPr="00507FDD">
        <w:rPr>
          <w:rFonts w:ascii="Arial" w:hAnsi="Arial" w:cs="Arial"/>
        </w:rPr>
        <w:t xml:space="preserve"> Australia,</w:t>
      </w:r>
      <w:r w:rsidRPr="00507FDD">
        <w:rPr>
          <w:rStyle w:val="Refdenotaalpie"/>
          <w:rFonts w:ascii="Arial" w:hAnsi="Arial" w:cs="Arial"/>
        </w:rPr>
        <w:footnoteReference w:id="65"/>
      </w:r>
      <w:r w:rsidRPr="00507FDD">
        <w:rPr>
          <w:rFonts w:ascii="Arial" w:hAnsi="Arial" w:cs="Arial"/>
        </w:rPr>
        <w:t xml:space="preserve"> Portugal</w:t>
      </w:r>
      <w:r w:rsidRPr="00507FDD">
        <w:rPr>
          <w:rStyle w:val="Refdenotaalpie"/>
          <w:rFonts w:ascii="Arial" w:hAnsi="Arial" w:cs="Arial"/>
        </w:rPr>
        <w:footnoteReference w:id="66"/>
      </w:r>
      <w:r w:rsidRPr="00507FDD">
        <w:rPr>
          <w:rFonts w:ascii="Arial" w:hAnsi="Arial" w:cs="Arial"/>
        </w:rPr>
        <w:t xml:space="preserve"> y Canadá,</w:t>
      </w:r>
      <w:r w:rsidRPr="00507FDD">
        <w:rPr>
          <w:rFonts w:ascii="Arial" w:eastAsia="Times New Roman" w:hAnsi="Arial" w:cs="Arial"/>
          <w:vertAlign w:val="superscript"/>
          <w:lang w:eastAsia="es-MX"/>
        </w:rPr>
        <w:footnoteReference w:id="67"/>
      </w:r>
      <w:r w:rsidRPr="00507FDD">
        <w:rPr>
          <w:rFonts w:ascii="Arial" w:hAnsi="Arial" w:cs="Arial"/>
        </w:rPr>
        <w:t xml:space="preserve"> coinciden en que no </w:t>
      </w:r>
      <w:r>
        <w:rPr>
          <w:rFonts w:ascii="Arial" w:hAnsi="Arial" w:cs="Arial"/>
        </w:rPr>
        <w:t>es</w:t>
      </w:r>
      <w:r w:rsidRPr="00507FDD">
        <w:rPr>
          <w:rFonts w:ascii="Arial" w:hAnsi="Arial" w:cs="Arial"/>
        </w:rPr>
        <w:t xml:space="preserve"> necesario realizar una delimitación exhaustiva del MR en las siguientes situaciones:</w:t>
      </w:r>
    </w:p>
    <w:p w14:paraId="3F72D277" w14:textId="77777777" w:rsidR="003545C8" w:rsidRDefault="003545C8" w:rsidP="003545C8">
      <w:pPr>
        <w:pStyle w:val="Prrafodelista"/>
        <w:spacing w:after="0"/>
        <w:contextualSpacing w:val="0"/>
        <w:jc w:val="both"/>
        <w:rPr>
          <w:rFonts w:ascii="Arial" w:hAnsi="Arial" w:cs="Arial"/>
        </w:rPr>
      </w:pPr>
    </w:p>
    <w:p w14:paraId="3300FA69" w14:textId="77777777" w:rsidR="003545C8" w:rsidRPr="00507FDD" w:rsidRDefault="003545C8" w:rsidP="005E23E0">
      <w:pPr>
        <w:pStyle w:val="Prrafodelista"/>
        <w:numPr>
          <w:ilvl w:val="0"/>
          <w:numId w:val="22"/>
        </w:numPr>
        <w:spacing w:after="0"/>
        <w:ind w:hanging="578"/>
        <w:contextualSpacing w:val="0"/>
        <w:jc w:val="both"/>
        <w:rPr>
          <w:rFonts w:ascii="Arial" w:hAnsi="Arial" w:cs="Arial"/>
        </w:rPr>
      </w:pPr>
      <w:r w:rsidRPr="00507FDD">
        <w:rPr>
          <w:rFonts w:ascii="Arial" w:hAnsi="Arial" w:cs="Arial"/>
        </w:rPr>
        <w:t>Es posible descartar la existencia de posibles daños a la competencia bajo cualquiera de las posibles definiciones alternativas de MR;</w:t>
      </w:r>
    </w:p>
    <w:p w14:paraId="47935ADF" w14:textId="77777777" w:rsidR="003545C8" w:rsidRDefault="003545C8" w:rsidP="003545C8">
      <w:pPr>
        <w:pStyle w:val="Prrafodelista"/>
        <w:spacing w:after="0"/>
        <w:contextualSpacing w:val="0"/>
        <w:jc w:val="both"/>
        <w:rPr>
          <w:rFonts w:ascii="Arial" w:hAnsi="Arial" w:cs="Arial"/>
        </w:rPr>
      </w:pPr>
    </w:p>
    <w:p w14:paraId="7B11F6D9" w14:textId="77777777" w:rsidR="003545C8" w:rsidRPr="00507FDD" w:rsidRDefault="003545C8" w:rsidP="005E23E0">
      <w:pPr>
        <w:pStyle w:val="Prrafodelista"/>
        <w:numPr>
          <w:ilvl w:val="0"/>
          <w:numId w:val="22"/>
        </w:numPr>
        <w:spacing w:after="0"/>
        <w:ind w:hanging="578"/>
        <w:contextualSpacing w:val="0"/>
        <w:jc w:val="both"/>
        <w:rPr>
          <w:rFonts w:ascii="Arial" w:hAnsi="Arial" w:cs="Arial"/>
        </w:rPr>
      </w:pPr>
      <w:r w:rsidRPr="00507FDD">
        <w:rPr>
          <w:rFonts w:ascii="Arial" w:hAnsi="Arial" w:cs="Arial"/>
        </w:rPr>
        <w:t>Es viable evaluar los posibles efectos competitivos de una concentración o práctica sin delimitar de manera precisas los límites del MR;</w:t>
      </w:r>
    </w:p>
    <w:p w14:paraId="7B37DADD" w14:textId="77777777" w:rsidR="003545C8" w:rsidRDefault="003545C8" w:rsidP="003545C8">
      <w:pPr>
        <w:pStyle w:val="Prrafodelista"/>
        <w:spacing w:after="0"/>
        <w:contextualSpacing w:val="0"/>
        <w:jc w:val="both"/>
        <w:rPr>
          <w:rFonts w:ascii="Arial" w:hAnsi="Arial" w:cs="Arial"/>
        </w:rPr>
      </w:pPr>
    </w:p>
    <w:p w14:paraId="28D45031" w14:textId="77777777" w:rsidR="003545C8" w:rsidRPr="00507FDD" w:rsidRDefault="003545C8" w:rsidP="005E23E0">
      <w:pPr>
        <w:pStyle w:val="Prrafodelista"/>
        <w:numPr>
          <w:ilvl w:val="0"/>
          <w:numId w:val="22"/>
        </w:numPr>
        <w:spacing w:after="0"/>
        <w:ind w:hanging="578"/>
        <w:contextualSpacing w:val="0"/>
        <w:jc w:val="both"/>
        <w:rPr>
          <w:rFonts w:ascii="Arial" w:hAnsi="Arial" w:cs="Arial"/>
        </w:rPr>
      </w:pPr>
      <w:r w:rsidRPr="00507FDD">
        <w:rPr>
          <w:rFonts w:ascii="Arial" w:hAnsi="Arial" w:cs="Arial"/>
        </w:rPr>
        <w:t xml:space="preserve">Si bajo una definición estrecha del mercado resulta poco probable que la concentración disminuya la competencia, ya que también será poco probable que disminuya la competencia en un producto y </w:t>
      </w:r>
      <w:r>
        <w:rPr>
          <w:rFonts w:ascii="Arial" w:hAnsi="Arial" w:cs="Arial"/>
        </w:rPr>
        <w:t>zona</w:t>
      </w:r>
      <w:r w:rsidRPr="00507FDD">
        <w:rPr>
          <w:rFonts w:ascii="Arial" w:hAnsi="Arial" w:cs="Arial"/>
        </w:rPr>
        <w:t xml:space="preserve"> geográfica más amplios;</w:t>
      </w:r>
    </w:p>
    <w:p w14:paraId="74151DAC" w14:textId="77777777" w:rsidR="003545C8" w:rsidRDefault="003545C8" w:rsidP="003545C8">
      <w:pPr>
        <w:pStyle w:val="Prrafodelista"/>
        <w:spacing w:after="0"/>
        <w:contextualSpacing w:val="0"/>
        <w:jc w:val="both"/>
        <w:rPr>
          <w:rFonts w:ascii="Arial" w:hAnsi="Arial" w:cs="Arial"/>
        </w:rPr>
      </w:pPr>
    </w:p>
    <w:p w14:paraId="69204053" w14:textId="77777777" w:rsidR="003545C8" w:rsidRPr="00507FDD" w:rsidRDefault="003545C8" w:rsidP="005E23E0">
      <w:pPr>
        <w:pStyle w:val="Prrafodelista"/>
        <w:numPr>
          <w:ilvl w:val="0"/>
          <w:numId w:val="22"/>
        </w:numPr>
        <w:spacing w:after="0"/>
        <w:ind w:hanging="578"/>
        <w:contextualSpacing w:val="0"/>
        <w:jc w:val="both"/>
        <w:rPr>
          <w:rFonts w:ascii="Arial" w:hAnsi="Arial" w:cs="Arial"/>
        </w:rPr>
      </w:pPr>
      <w:r w:rsidRPr="00507FDD">
        <w:rPr>
          <w:rFonts w:ascii="Arial" w:hAnsi="Arial" w:cs="Arial"/>
        </w:rPr>
        <w:t>Las conclusiones sobre los efectos en materia de competencia son independientes de los límites del MR que pudiera asumirse.</w:t>
      </w:r>
    </w:p>
    <w:p w14:paraId="15509F46" w14:textId="77777777" w:rsidR="003545C8" w:rsidRPr="00507FDD" w:rsidRDefault="003545C8" w:rsidP="003545C8">
      <w:pPr>
        <w:spacing w:after="0"/>
        <w:jc w:val="both"/>
        <w:rPr>
          <w:rFonts w:ascii="Arial" w:hAnsi="Arial" w:cs="Arial"/>
        </w:rPr>
      </w:pPr>
    </w:p>
    <w:p w14:paraId="50FB0237" w14:textId="5724AB75" w:rsidR="003545C8" w:rsidRPr="00507FDD" w:rsidRDefault="0003578B"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61" w:name="_Toc64495276"/>
      <w:bookmarkStart w:id="62" w:name="_Toc45216578"/>
      <w:bookmarkStart w:id="63" w:name="_Toc45628339"/>
      <w:bookmarkStart w:id="64" w:name="_Toc71717644"/>
      <w:bookmarkEnd w:id="61"/>
      <w:r>
        <w:rPr>
          <w:rFonts w:ascii="Arial" w:eastAsia="Times New Roman" w:hAnsi="Arial" w:cs="Arial"/>
          <w:sz w:val="26"/>
          <w:lang w:eastAsia="es-MX"/>
        </w:rPr>
        <w:t>A</w:t>
      </w:r>
      <w:r w:rsidR="003545C8" w:rsidRPr="00507FDD">
        <w:rPr>
          <w:rFonts w:ascii="Arial" w:eastAsia="Times New Roman" w:hAnsi="Arial" w:cs="Arial"/>
          <w:sz w:val="26"/>
          <w:lang w:eastAsia="es-MX"/>
        </w:rPr>
        <w:t>plicación de criterios</w:t>
      </w:r>
      <w:bookmarkEnd w:id="62"/>
      <w:bookmarkEnd w:id="63"/>
      <w:bookmarkEnd w:id="64"/>
      <w:r w:rsidR="003545C8" w:rsidRPr="00507FDD">
        <w:rPr>
          <w:rFonts w:ascii="Arial" w:eastAsia="Times New Roman" w:hAnsi="Arial" w:cs="Arial"/>
          <w:sz w:val="26"/>
          <w:lang w:eastAsia="es-MX"/>
        </w:rPr>
        <w:t xml:space="preserve"> </w:t>
      </w:r>
    </w:p>
    <w:p w14:paraId="4890E440" w14:textId="77777777" w:rsidR="003545C8" w:rsidRPr="00507FDD" w:rsidRDefault="003545C8" w:rsidP="003545C8">
      <w:pPr>
        <w:keepNext/>
        <w:spacing w:after="0"/>
        <w:jc w:val="both"/>
        <w:rPr>
          <w:rFonts w:ascii="Arial" w:hAnsi="Arial" w:cs="Arial"/>
        </w:rPr>
      </w:pPr>
    </w:p>
    <w:p w14:paraId="79915725" w14:textId="77777777" w:rsidR="003545C8" w:rsidRPr="00507FDD" w:rsidRDefault="003545C8" w:rsidP="003545C8">
      <w:pPr>
        <w:spacing w:after="0"/>
        <w:jc w:val="both"/>
        <w:rPr>
          <w:rFonts w:ascii="Arial" w:hAnsi="Arial" w:cs="Arial"/>
          <w:lang w:eastAsia="es-MX"/>
        </w:rPr>
      </w:pPr>
      <w:r w:rsidRPr="00507FDD">
        <w:rPr>
          <w:rFonts w:ascii="Arial" w:hAnsi="Arial" w:cs="Arial"/>
          <w:lang w:eastAsia="es-MX"/>
        </w:rPr>
        <w:t>El Instituto, salvo en aquellos análisis que realice la Autoridad Investigadora, podrá dejar abierta la delimitación precisa del MR, sin necesidad de aplicar de manera exhaustiva</w:t>
      </w:r>
      <w:r w:rsidRPr="00507FDD">
        <w:rPr>
          <w:rFonts w:ascii="Arial" w:hAnsi="Arial" w:cs="Arial"/>
        </w:rPr>
        <w:t xml:space="preserve"> todos y cada uno de los criterios establecidos en el artículo 58 de la LFCE, el artículo 5 de las DRLFCE y la presente Guía, cuando:</w:t>
      </w:r>
    </w:p>
    <w:p w14:paraId="57C915DC" w14:textId="77777777" w:rsidR="003545C8" w:rsidRDefault="003545C8" w:rsidP="003545C8">
      <w:pPr>
        <w:pStyle w:val="Prrafodelista"/>
        <w:spacing w:after="0"/>
        <w:ind w:left="709"/>
        <w:contextualSpacing w:val="0"/>
        <w:jc w:val="both"/>
        <w:rPr>
          <w:rFonts w:ascii="Arial" w:hAnsi="Arial" w:cs="Arial"/>
          <w:lang w:eastAsia="es-MX"/>
        </w:rPr>
      </w:pPr>
    </w:p>
    <w:p w14:paraId="585876A8" w14:textId="77777777" w:rsidR="003545C8" w:rsidRPr="00507FDD" w:rsidRDefault="003545C8" w:rsidP="005E23E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lang w:eastAsia="es-MX"/>
        </w:rPr>
        <w:t>En la operación analizada, el adquirente no sea competidor actual o potencial del adquirido en la provisión de productos involucrados en la operación y/o mercados relacionados y, además, la concentración no conlleve la modificación de relaciones de control de algún AE ni en la estructura de dichos mercados</w:t>
      </w:r>
      <w:r w:rsidRPr="00507FDD">
        <w:rPr>
          <w:rFonts w:ascii="Arial" w:hAnsi="Arial" w:cs="Arial"/>
        </w:rPr>
        <w:t>.</w:t>
      </w:r>
    </w:p>
    <w:p w14:paraId="54CB214B" w14:textId="77777777" w:rsidR="003545C8" w:rsidRPr="00507FDD" w:rsidRDefault="003545C8" w:rsidP="005E23E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lang w:eastAsia="es-MX"/>
        </w:rPr>
        <w:lastRenderedPageBreak/>
        <w:t xml:space="preserve">Bajo cualquiera de las posibles delimitaciones alternativas del mercado, la operación </w:t>
      </w:r>
      <w:r w:rsidRPr="00507FDD">
        <w:rPr>
          <w:rFonts w:ascii="Arial" w:hAnsi="Arial" w:cs="Arial"/>
        </w:rPr>
        <w:t>cumpla con lo señalado en el artículo 6</w:t>
      </w:r>
      <w:r w:rsidRPr="00507FDD">
        <w:rPr>
          <w:rStyle w:val="Refdenotaalpie"/>
          <w:rFonts w:ascii="Arial" w:hAnsi="Arial" w:cs="Arial"/>
        </w:rPr>
        <w:footnoteReference w:id="68"/>
      </w:r>
      <w:r w:rsidRPr="00507FDD">
        <w:rPr>
          <w:rFonts w:ascii="Arial" w:hAnsi="Arial" w:cs="Arial"/>
        </w:rPr>
        <w:t xml:space="preserve"> del Criterio Técnico y no se encuentre en los supuestos del artículo 7 del mismo ordenamiento.</w:t>
      </w:r>
      <w:r w:rsidRPr="00507FDD">
        <w:rPr>
          <w:rStyle w:val="Refdenotaalpie"/>
          <w:rFonts w:ascii="Arial" w:hAnsi="Arial" w:cs="Arial"/>
        </w:rPr>
        <w:footnoteReference w:id="69"/>
      </w:r>
    </w:p>
    <w:p w14:paraId="0FC91BF5" w14:textId="77777777" w:rsidR="003545C8" w:rsidRPr="00A92633" w:rsidRDefault="003545C8" w:rsidP="003545C8">
      <w:pPr>
        <w:pStyle w:val="Prrafodelista"/>
        <w:spacing w:after="0"/>
        <w:ind w:left="709"/>
        <w:contextualSpacing w:val="0"/>
        <w:jc w:val="both"/>
        <w:rPr>
          <w:rFonts w:ascii="Arial" w:hAnsi="Arial" w:cs="Arial"/>
          <w:lang w:eastAsia="es-MX"/>
        </w:rPr>
      </w:pPr>
    </w:p>
    <w:p w14:paraId="31423416" w14:textId="77777777" w:rsidR="003545C8" w:rsidRPr="00507FDD" w:rsidRDefault="003545C8" w:rsidP="005E23E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szCs w:val="26"/>
        </w:rPr>
        <w:t xml:space="preserve">Bajo </w:t>
      </w:r>
      <w:r w:rsidRPr="00507FDD">
        <w:rPr>
          <w:rFonts w:ascii="Arial" w:hAnsi="Arial" w:cs="Arial"/>
          <w:lang w:eastAsia="es-MX"/>
        </w:rPr>
        <w:t>cualquiera de las posibles delimitaciones alternativas del mercado</w:t>
      </w:r>
      <w:r w:rsidRPr="00507FDD">
        <w:rPr>
          <w:rFonts w:ascii="Arial" w:hAnsi="Arial" w:cs="Arial"/>
          <w:szCs w:val="26"/>
        </w:rPr>
        <w:t xml:space="preserve">, sea posible descartar </w:t>
      </w:r>
      <w:r w:rsidRPr="00507FDD">
        <w:rPr>
          <w:rFonts w:ascii="Arial" w:hAnsi="Arial" w:cs="Arial"/>
        </w:rPr>
        <w:t>afectaciones a la competencia y libre concurrencia</w:t>
      </w:r>
      <w:r w:rsidRPr="00507FDD">
        <w:rPr>
          <w:rFonts w:ascii="Arial" w:hAnsi="Arial" w:cs="Arial"/>
          <w:szCs w:val="26"/>
        </w:rPr>
        <w:t xml:space="preserve"> o existencia,</w:t>
      </w:r>
      <w:r w:rsidRPr="00507FDD">
        <w:rPr>
          <w:rFonts w:ascii="Arial" w:hAnsi="Arial" w:cs="Arial"/>
        </w:rPr>
        <w:t xml:space="preserve"> adquisición o reforzamiento</w:t>
      </w:r>
      <w:r w:rsidRPr="00507FDD">
        <w:rPr>
          <w:rFonts w:ascii="Arial" w:hAnsi="Arial" w:cs="Arial"/>
          <w:szCs w:val="26"/>
        </w:rPr>
        <w:t xml:space="preserve"> de PSM derivados de la operación evaluada. </w:t>
      </w:r>
    </w:p>
    <w:p w14:paraId="53D4FEAA" w14:textId="77777777" w:rsidR="003545C8" w:rsidRDefault="003545C8" w:rsidP="003545C8">
      <w:pPr>
        <w:pStyle w:val="Prrafodelista"/>
        <w:spacing w:after="0"/>
        <w:ind w:left="709"/>
        <w:contextualSpacing w:val="0"/>
        <w:rPr>
          <w:rFonts w:ascii="Arial" w:hAnsi="Arial" w:cs="Arial"/>
          <w:lang w:eastAsia="es-MX"/>
        </w:rPr>
      </w:pPr>
    </w:p>
    <w:p w14:paraId="2D3AB552" w14:textId="77777777" w:rsidR="003545C8" w:rsidRPr="00507FDD" w:rsidRDefault="003545C8" w:rsidP="005E23E0">
      <w:pPr>
        <w:pStyle w:val="Prrafodelista"/>
        <w:numPr>
          <w:ilvl w:val="0"/>
          <w:numId w:val="10"/>
        </w:numPr>
        <w:spacing w:after="0"/>
        <w:ind w:left="709" w:hanging="567"/>
        <w:contextualSpacing w:val="0"/>
        <w:jc w:val="both"/>
        <w:rPr>
          <w:rFonts w:ascii="Arial" w:hAnsi="Arial" w:cs="Arial"/>
          <w:lang w:eastAsia="es-MX"/>
        </w:rPr>
      </w:pPr>
      <w:r w:rsidRPr="00507FDD">
        <w:rPr>
          <w:rFonts w:ascii="Arial" w:hAnsi="Arial" w:cs="Arial"/>
        </w:rPr>
        <w:t>Bajo una delimitación estrecha del mercado, sea posible descartar afectaciones a la competencia y libre concurrencia</w:t>
      </w:r>
      <w:r w:rsidRPr="00507FDD">
        <w:rPr>
          <w:rFonts w:ascii="Arial" w:hAnsi="Arial" w:cs="Arial"/>
          <w:szCs w:val="26"/>
        </w:rPr>
        <w:t xml:space="preserve"> o existencia, </w:t>
      </w:r>
      <w:r w:rsidRPr="00507FDD">
        <w:rPr>
          <w:rFonts w:ascii="Arial" w:hAnsi="Arial" w:cs="Arial"/>
        </w:rPr>
        <w:t>adquisición o reforzamiento</w:t>
      </w:r>
      <w:r w:rsidRPr="00507FDD">
        <w:rPr>
          <w:rFonts w:ascii="Arial" w:hAnsi="Arial" w:cs="Arial"/>
          <w:szCs w:val="26"/>
        </w:rPr>
        <w:t xml:space="preserve"> de PSM derivados de la operación evaluada</w:t>
      </w:r>
      <w:r w:rsidRPr="00507FDD">
        <w:rPr>
          <w:rFonts w:ascii="Arial" w:hAnsi="Arial" w:cs="Arial"/>
        </w:rPr>
        <w:t xml:space="preserve">. </w:t>
      </w:r>
    </w:p>
    <w:p w14:paraId="404AE467" w14:textId="77777777" w:rsidR="003545C8" w:rsidRPr="00931D46" w:rsidRDefault="003545C8" w:rsidP="003545C8">
      <w:pPr>
        <w:spacing w:after="0"/>
        <w:jc w:val="both"/>
        <w:rPr>
          <w:rFonts w:ascii="Arial" w:hAnsi="Arial" w:cs="Arial"/>
        </w:rPr>
      </w:pPr>
    </w:p>
    <w:p w14:paraId="1429268D" w14:textId="77777777" w:rsidR="003545C8" w:rsidRPr="001047F7" w:rsidRDefault="003545C8" w:rsidP="005E23E0">
      <w:pPr>
        <w:pStyle w:val="Ttulo1"/>
        <w:numPr>
          <w:ilvl w:val="0"/>
          <w:numId w:val="5"/>
        </w:numPr>
        <w:spacing w:line="276" w:lineRule="auto"/>
        <w:jc w:val="both"/>
        <w:rPr>
          <w:rFonts w:ascii="Arial" w:hAnsi="Arial" w:cs="Arial"/>
          <w:b w:val="0"/>
          <w:sz w:val="26"/>
          <w:szCs w:val="26"/>
        </w:rPr>
      </w:pPr>
      <w:bookmarkStart w:id="65" w:name="_Toc45216579"/>
      <w:bookmarkStart w:id="66" w:name="_Toc45628340"/>
      <w:bookmarkStart w:id="67" w:name="_Toc71717645"/>
      <w:r w:rsidRPr="001047F7">
        <w:rPr>
          <w:rFonts w:ascii="Arial" w:hAnsi="Arial" w:cs="Arial"/>
          <w:sz w:val="26"/>
          <w:szCs w:val="26"/>
        </w:rPr>
        <w:t>Mercados relacionados</w:t>
      </w:r>
      <w:bookmarkEnd w:id="37"/>
      <w:bookmarkEnd w:id="38"/>
      <w:bookmarkEnd w:id="65"/>
      <w:bookmarkEnd w:id="66"/>
      <w:bookmarkEnd w:id="67"/>
    </w:p>
    <w:p w14:paraId="09B8AE9E" w14:textId="77777777" w:rsidR="003545C8" w:rsidRPr="00931D46" w:rsidRDefault="003545C8" w:rsidP="003545C8">
      <w:pPr>
        <w:keepNext/>
        <w:spacing w:after="0"/>
        <w:jc w:val="both"/>
        <w:rPr>
          <w:rFonts w:ascii="Arial" w:hAnsi="Arial" w:cs="Arial"/>
        </w:rPr>
      </w:pPr>
    </w:p>
    <w:p w14:paraId="0D0F8A24" w14:textId="77777777" w:rsidR="003545C8" w:rsidRPr="00507FDD" w:rsidRDefault="003545C8" w:rsidP="003545C8">
      <w:pPr>
        <w:spacing w:after="0"/>
        <w:jc w:val="both"/>
        <w:rPr>
          <w:rFonts w:ascii="Arial" w:hAnsi="Arial" w:cs="Arial"/>
        </w:rPr>
      </w:pPr>
      <w:r w:rsidRPr="00507FDD">
        <w:rPr>
          <w:rFonts w:ascii="Arial" w:hAnsi="Arial" w:cs="Arial"/>
        </w:rPr>
        <w:t>Aunque la LFCE no contempla una definición para el concepto de mercados relacionados ni contiene criterios que permitan caracterizarlo, prevé la evaluación de éstos en el análisis de PMR (artículo 54) y de concentraciones (artículos 63, 64 y 92 de la LFCE y artículos 7 y 8 del Criterio Técnico).</w:t>
      </w:r>
    </w:p>
    <w:p w14:paraId="28333709" w14:textId="77777777" w:rsidR="003545C8" w:rsidRPr="00507FDD" w:rsidRDefault="003545C8" w:rsidP="003545C8">
      <w:pPr>
        <w:spacing w:after="0"/>
        <w:jc w:val="both"/>
        <w:rPr>
          <w:rFonts w:ascii="Arial" w:hAnsi="Arial" w:cs="Arial"/>
        </w:rPr>
      </w:pPr>
    </w:p>
    <w:p w14:paraId="4FD31156" w14:textId="77777777" w:rsidR="003545C8" w:rsidRPr="00507FDD" w:rsidRDefault="003545C8" w:rsidP="003545C8">
      <w:pPr>
        <w:spacing w:after="0"/>
        <w:jc w:val="both"/>
        <w:rPr>
          <w:rFonts w:ascii="Arial" w:hAnsi="Arial" w:cs="Arial"/>
        </w:rPr>
      </w:pPr>
      <w:r w:rsidRPr="00507FDD">
        <w:rPr>
          <w:rFonts w:ascii="Arial" w:hAnsi="Arial" w:cs="Arial"/>
        </w:rPr>
        <w:t>Para estos efectos, el artículo 6 de las DRLFCE establece una definición de mercado relacionado y ciertos criterios que podrá considerar el Instituto para su determinación.</w:t>
      </w:r>
    </w:p>
    <w:p w14:paraId="6F4CEB81" w14:textId="77777777" w:rsidR="003545C8" w:rsidRPr="00507FDD" w:rsidRDefault="003545C8" w:rsidP="003545C8">
      <w:pPr>
        <w:pStyle w:val="Cita"/>
      </w:pPr>
    </w:p>
    <w:p w14:paraId="74F396D7" w14:textId="77777777" w:rsidR="003545C8" w:rsidRPr="00507FDD" w:rsidRDefault="003545C8" w:rsidP="003545C8">
      <w:pPr>
        <w:pStyle w:val="Cita"/>
      </w:pPr>
      <w:r w:rsidRPr="00507FDD">
        <w:t xml:space="preserve">“Artículo 6. </w:t>
      </w:r>
      <w:r w:rsidRPr="00507FDD">
        <w:rPr>
          <w:b/>
        </w:rPr>
        <w:t>Son mercados relacionados aquellos que involucran bienes, servicios o áreas geográficas distintas a las que forman parte del mercado relevante</w:t>
      </w:r>
      <w:r w:rsidRPr="00507FDD">
        <w:t>, pero que inciden en o son influidos por las condiciones de competencia y libre concurrencia imperantes en el mismo.</w:t>
      </w:r>
    </w:p>
    <w:p w14:paraId="3FEEB45C" w14:textId="77777777" w:rsidR="003545C8" w:rsidRPr="00507FDD" w:rsidRDefault="003545C8" w:rsidP="003545C8">
      <w:pPr>
        <w:pStyle w:val="Cita"/>
        <w:rPr>
          <w:i w:val="0"/>
        </w:rPr>
      </w:pPr>
      <w:r w:rsidRPr="00507FDD">
        <w:t xml:space="preserve">Para determinar los mercados relacionados </w:t>
      </w:r>
      <w:r w:rsidRPr="00507FDD">
        <w:rPr>
          <w:b/>
        </w:rPr>
        <w:t>podrán considerarse los bienes o servicios que sean insumos en la cadena de producción, distribución o comercialización; los que sean bienes o servicios complementarios</w:t>
      </w:r>
      <w:r w:rsidRPr="00507FDD">
        <w:t xml:space="preserve"> y, en general, aquellas actividades económicas que incidan o influyan en las condiciones de competencia y libre concurrencia del mercado relevante, o viceversa.” </w:t>
      </w:r>
      <w:r w:rsidRPr="00507FDD">
        <w:rPr>
          <w:i w:val="0"/>
        </w:rPr>
        <w:t>[Énfasis añadido]</w:t>
      </w:r>
    </w:p>
    <w:p w14:paraId="438A09CF" w14:textId="77777777" w:rsidR="003545C8" w:rsidRPr="00507FDD" w:rsidRDefault="003545C8" w:rsidP="003545C8">
      <w:pPr>
        <w:spacing w:after="0"/>
        <w:jc w:val="both"/>
        <w:rPr>
          <w:rFonts w:ascii="Arial" w:hAnsi="Arial" w:cs="Arial"/>
        </w:rPr>
      </w:pPr>
    </w:p>
    <w:p w14:paraId="21A7229E" w14:textId="77777777" w:rsidR="003545C8" w:rsidRPr="00507FDD" w:rsidRDefault="003545C8" w:rsidP="003545C8">
      <w:pPr>
        <w:spacing w:after="0"/>
        <w:jc w:val="both"/>
        <w:rPr>
          <w:rFonts w:ascii="Arial" w:hAnsi="Arial" w:cs="Arial"/>
        </w:rPr>
      </w:pPr>
      <w:r w:rsidRPr="00507FDD">
        <w:rPr>
          <w:rFonts w:ascii="Arial" w:hAnsi="Arial" w:cs="Arial"/>
        </w:rPr>
        <w:lastRenderedPageBreak/>
        <w:t xml:space="preserve">De acuerdo con lo anterior, en términos generales, los mercados relacionados son aquellos que i) son distintos al MR y </w:t>
      </w:r>
      <w:proofErr w:type="spellStart"/>
      <w:r w:rsidRPr="00507FDD">
        <w:rPr>
          <w:rFonts w:ascii="Arial" w:hAnsi="Arial" w:cs="Arial"/>
        </w:rPr>
        <w:t>ii</w:t>
      </w:r>
      <w:proofErr w:type="spellEnd"/>
      <w:r w:rsidRPr="00507FDD">
        <w:rPr>
          <w:rFonts w:ascii="Arial" w:hAnsi="Arial" w:cs="Arial"/>
        </w:rPr>
        <w:t>) se encuentran vinculados con el (los) MR de tal manera que es necesario considerarlos para llevar a cabo una evaluación integral de los efectos en materia de competencia de la práctica u operación analizada.</w:t>
      </w:r>
      <w:r w:rsidRPr="00507FDD" w:rsidDel="00FB0463">
        <w:rPr>
          <w:rFonts w:ascii="Arial" w:hAnsi="Arial" w:cs="Arial"/>
        </w:rPr>
        <w:t xml:space="preserve"> </w:t>
      </w:r>
    </w:p>
    <w:p w14:paraId="23E7C7C4" w14:textId="77777777" w:rsidR="003545C8" w:rsidRPr="00507FDD" w:rsidRDefault="003545C8" w:rsidP="003545C8">
      <w:pPr>
        <w:spacing w:after="0"/>
        <w:jc w:val="both"/>
        <w:rPr>
          <w:rFonts w:ascii="Arial" w:hAnsi="Arial" w:cs="Arial"/>
        </w:rPr>
      </w:pPr>
    </w:p>
    <w:p w14:paraId="0DE75ECE" w14:textId="77777777" w:rsidR="003545C8" w:rsidRPr="00507FDD"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68" w:name="_Toc38377304"/>
      <w:bookmarkStart w:id="69" w:name="_Toc41649753"/>
      <w:bookmarkStart w:id="70" w:name="_Toc41649894"/>
      <w:bookmarkStart w:id="71" w:name="_Toc42534263"/>
      <w:bookmarkStart w:id="72" w:name="_Toc45216582"/>
      <w:bookmarkStart w:id="73" w:name="_Toc45628343"/>
      <w:bookmarkStart w:id="74" w:name="_Toc71717646"/>
      <w:r w:rsidRPr="00507FDD">
        <w:rPr>
          <w:rFonts w:ascii="Arial" w:eastAsia="Times New Roman" w:hAnsi="Arial" w:cs="Arial"/>
          <w:sz w:val="26"/>
          <w:lang w:eastAsia="es-MX"/>
        </w:rPr>
        <w:t>Precedentes decisorios del Instituto</w:t>
      </w:r>
      <w:bookmarkEnd w:id="68"/>
      <w:bookmarkEnd w:id="69"/>
      <w:bookmarkEnd w:id="70"/>
      <w:bookmarkEnd w:id="71"/>
      <w:bookmarkEnd w:id="72"/>
      <w:bookmarkEnd w:id="73"/>
      <w:bookmarkEnd w:id="74"/>
    </w:p>
    <w:p w14:paraId="002CCBF2" w14:textId="77777777" w:rsidR="003545C8" w:rsidRPr="00507FDD" w:rsidRDefault="003545C8" w:rsidP="003545C8">
      <w:pPr>
        <w:keepNext/>
        <w:spacing w:after="0"/>
        <w:jc w:val="both"/>
        <w:rPr>
          <w:rFonts w:ascii="Arial" w:hAnsi="Arial" w:cs="Arial"/>
        </w:rPr>
      </w:pPr>
    </w:p>
    <w:p w14:paraId="5198C4DA" w14:textId="77777777" w:rsidR="003545C8" w:rsidRPr="00507FDD" w:rsidRDefault="003545C8" w:rsidP="003545C8">
      <w:pPr>
        <w:spacing w:after="0"/>
        <w:jc w:val="both"/>
        <w:rPr>
          <w:rFonts w:ascii="Arial" w:hAnsi="Arial" w:cs="Arial"/>
        </w:rPr>
      </w:pPr>
      <w:r w:rsidRPr="00507FDD">
        <w:rPr>
          <w:rFonts w:ascii="Arial" w:hAnsi="Arial" w:cs="Arial"/>
        </w:rPr>
        <w:t>Se identifica que el Instituto ha determinado los mercados relacionados considerando: i) los productos que son complementos o insumos en la c</w:t>
      </w:r>
      <w:r>
        <w:rPr>
          <w:rFonts w:ascii="Arial" w:hAnsi="Arial" w:cs="Arial"/>
        </w:rPr>
        <w:t xml:space="preserve">adena de producción, distribución y </w:t>
      </w:r>
      <w:r w:rsidRPr="00507FDD">
        <w:rPr>
          <w:rFonts w:ascii="Arial" w:hAnsi="Arial" w:cs="Arial"/>
        </w:rPr>
        <w:t xml:space="preserve">comercialización de los productos que pertenecen al MR, y </w:t>
      </w:r>
      <w:proofErr w:type="spellStart"/>
      <w:r w:rsidRPr="00507FDD">
        <w:rPr>
          <w:rFonts w:ascii="Arial" w:hAnsi="Arial" w:cs="Arial"/>
        </w:rPr>
        <w:t>ii</w:t>
      </w:r>
      <w:proofErr w:type="spellEnd"/>
      <w:r w:rsidRPr="00507FDD">
        <w:rPr>
          <w:rFonts w:ascii="Arial" w:hAnsi="Arial" w:cs="Arial"/>
        </w:rPr>
        <w:t>) las actividades económicas en las que participan los AE, que inciden en las condiciones de competencia y libre concurrencia del MR, o viceversa.</w:t>
      </w:r>
      <w:r w:rsidRPr="00507FDD">
        <w:rPr>
          <w:rFonts w:ascii="Arial" w:eastAsia="Times New Roman" w:hAnsi="Arial" w:cs="Arial"/>
          <w:vertAlign w:val="superscript"/>
          <w:lang w:eastAsia="es-MX"/>
        </w:rPr>
        <w:footnoteReference w:id="70"/>
      </w:r>
    </w:p>
    <w:p w14:paraId="6CC4B30A" w14:textId="77777777" w:rsidR="003545C8" w:rsidRPr="00507FDD" w:rsidRDefault="003545C8" w:rsidP="003545C8">
      <w:pPr>
        <w:spacing w:after="0"/>
        <w:jc w:val="both"/>
        <w:rPr>
          <w:rFonts w:ascii="Arial" w:hAnsi="Arial" w:cs="Arial"/>
        </w:rPr>
      </w:pPr>
    </w:p>
    <w:p w14:paraId="511578AC" w14:textId="77777777" w:rsidR="003545C8" w:rsidRPr="00507FDD"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75" w:name="_Toc38377305"/>
      <w:bookmarkStart w:id="76" w:name="_Toc41649758"/>
      <w:bookmarkStart w:id="77" w:name="_Toc41649899"/>
      <w:bookmarkStart w:id="78" w:name="_Toc42534264"/>
      <w:bookmarkStart w:id="79" w:name="_Toc45216583"/>
      <w:bookmarkStart w:id="80" w:name="_Toc45628348"/>
      <w:bookmarkStart w:id="81" w:name="_Toc71717647"/>
      <w:r w:rsidRPr="00507FDD">
        <w:rPr>
          <w:rFonts w:ascii="Arial" w:eastAsia="Times New Roman" w:hAnsi="Arial" w:cs="Arial"/>
          <w:sz w:val="26"/>
          <w:lang w:eastAsia="es-MX"/>
        </w:rPr>
        <w:t>Experiencia internacional</w:t>
      </w:r>
      <w:bookmarkEnd w:id="75"/>
      <w:bookmarkEnd w:id="76"/>
      <w:bookmarkEnd w:id="77"/>
      <w:bookmarkEnd w:id="78"/>
      <w:bookmarkEnd w:id="79"/>
      <w:bookmarkEnd w:id="80"/>
      <w:bookmarkEnd w:id="81"/>
    </w:p>
    <w:p w14:paraId="3FC34A02" w14:textId="77777777" w:rsidR="003545C8" w:rsidRPr="00507FDD" w:rsidRDefault="003545C8" w:rsidP="003545C8">
      <w:pPr>
        <w:pStyle w:val="Prrafodelista"/>
        <w:keepNext/>
        <w:spacing w:after="0"/>
        <w:ind w:left="0"/>
        <w:contextualSpacing w:val="0"/>
        <w:jc w:val="both"/>
        <w:rPr>
          <w:rFonts w:ascii="Arial" w:hAnsi="Arial" w:cs="Arial"/>
        </w:rPr>
      </w:pPr>
    </w:p>
    <w:p w14:paraId="41FAFB4E" w14:textId="77777777" w:rsidR="003545C8" w:rsidRPr="00507FDD" w:rsidRDefault="003545C8" w:rsidP="003545C8">
      <w:pPr>
        <w:pStyle w:val="Prrafodelista"/>
        <w:spacing w:after="0"/>
        <w:ind w:left="0"/>
        <w:contextualSpacing w:val="0"/>
        <w:jc w:val="both"/>
        <w:rPr>
          <w:rFonts w:ascii="Arial" w:hAnsi="Arial" w:cs="Arial"/>
        </w:rPr>
      </w:pPr>
      <w:r w:rsidRPr="00507FDD">
        <w:rPr>
          <w:rFonts w:ascii="Arial" w:hAnsi="Arial" w:cs="Arial"/>
        </w:rPr>
        <w:t>Los principales criterios considerados por las autoridades de competencia de la Unión Europea,</w:t>
      </w:r>
      <w:r w:rsidRPr="00507FDD">
        <w:rPr>
          <w:rStyle w:val="Refdenotaalpie"/>
          <w:rFonts w:ascii="Arial" w:hAnsi="Arial" w:cs="Arial"/>
        </w:rPr>
        <w:footnoteReference w:id="71"/>
      </w:r>
      <w:r w:rsidRPr="00507FDD">
        <w:rPr>
          <w:rFonts w:ascii="Arial" w:hAnsi="Arial" w:cs="Arial"/>
        </w:rPr>
        <w:t xml:space="preserve"> Alemania</w:t>
      </w:r>
      <w:r w:rsidRPr="00507FDD">
        <w:rPr>
          <w:rFonts w:ascii="Arial" w:hAnsi="Arial" w:cs="Arial"/>
          <w:vertAlign w:val="superscript"/>
        </w:rPr>
        <w:footnoteReference w:id="72"/>
      </w:r>
      <w:r w:rsidRPr="00507FDD">
        <w:rPr>
          <w:rFonts w:ascii="Arial" w:hAnsi="Arial" w:cs="Arial"/>
        </w:rPr>
        <w:t xml:space="preserve"> y Estados Unidos de América</w:t>
      </w:r>
      <w:r w:rsidRPr="00507FDD">
        <w:rPr>
          <w:rFonts w:ascii="Arial" w:eastAsia="Times New Roman" w:hAnsi="Arial" w:cs="Arial"/>
          <w:vertAlign w:val="superscript"/>
          <w:lang w:eastAsia="es-MX"/>
        </w:rPr>
        <w:footnoteReference w:id="73"/>
      </w:r>
      <w:r w:rsidRPr="00507FDD">
        <w:rPr>
          <w:rFonts w:ascii="Arial" w:hAnsi="Arial" w:cs="Arial"/>
        </w:rPr>
        <w:t xml:space="preserve"> para identificar mercados relacionados, son los siguientes:</w:t>
      </w:r>
    </w:p>
    <w:p w14:paraId="5487AB3D" w14:textId="563EC870" w:rsidR="003545C8" w:rsidRDefault="003545C8" w:rsidP="003545C8">
      <w:pPr>
        <w:pStyle w:val="Prrafodelista"/>
        <w:spacing w:after="0"/>
        <w:ind w:left="709"/>
        <w:contextualSpacing w:val="0"/>
        <w:jc w:val="both"/>
        <w:rPr>
          <w:rFonts w:ascii="Arial" w:hAnsi="Arial" w:cs="Arial"/>
        </w:rPr>
      </w:pPr>
    </w:p>
    <w:p w14:paraId="419C4E59" w14:textId="77777777" w:rsidR="00CA42B1" w:rsidRDefault="00CA42B1" w:rsidP="003545C8">
      <w:pPr>
        <w:pStyle w:val="Prrafodelista"/>
        <w:spacing w:after="0"/>
        <w:ind w:left="709"/>
        <w:contextualSpacing w:val="0"/>
        <w:jc w:val="both"/>
        <w:rPr>
          <w:rFonts w:ascii="Arial" w:hAnsi="Arial" w:cs="Arial"/>
        </w:rPr>
      </w:pPr>
    </w:p>
    <w:p w14:paraId="73C11D12" w14:textId="77777777" w:rsidR="003545C8" w:rsidRPr="00507FDD" w:rsidRDefault="003545C8" w:rsidP="005E23E0">
      <w:pPr>
        <w:pStyle w:val="Prrafodelista"/>
        <w:numPr>
          <w:ilvl w:val="0"/>
          <w:numId w:val="33"/>
        </w:numPr>
        <w:spacing w:after="0"/>
        <w:ind w:left="709" w:hanging="567"/>
        <w:contextualSpacing w:val="0"/>
        <w:jc w:val="both"/>
        <w:rPr>
          <w:rFonts w:ascii="Arial" w:hAnsi="Arial" w:cs="Arial"/>
        </w:rPr>
      </w:pPr>
      <w:r w:rsidRPr="00507FDD">
        <w:rPr>
          <w:rFonts w:ascii="Arial" w:hAnsi="Arial" w:cs="Arial"/>
        </w:rPr>
        <w:lastRenderedPageBreak/>
        <w:t xml:space="preserve">Los productos complementarios o que forman parte de la cadena de valor de los productos que forman parte del MR, por ejemplo, insumos, canales de distribución y puntos de venta. </w:t>
      </w:r>
    </w:p>
    <w:p w14:paraId="52853A8B" w14:textId="77777777" w:rsidR="003545C8" w:rsidRDefault="003545C8" w:rsidP="003545C8">
      <w:pPr>
        <w:pStyle w:val="Prrafodelista"/>
        <w:spacing w:after="0"/>
        <w:ind w:left="709"/>
        <w:contextualSpacing w:val="0"/>
        <w:jc w:val="both"/>
        <w:rPr>
          <w:rFonts w:ascii="Arial" w:hAnsi="Arial" w:cs="Arial"/>
        </w:rPr>
      </w:pPr>
    </w:p>
    <w:p w14:paraId="5C23BBD7" w14:textId="77777777" w:rsidR="003545C8" w:rsidRDefault="003545C8" w:rsidP="005E23E0">
      <w:pPr>
        <w:pStyle w:val="Prrafodelista"/>
        <w:numPr>
          <w:ilvl w:val="0"/>
          <w:numId w:val="33"/>
        </w:numPr>
        <w:spacing w:after="0"/>
        <w:ind w:left="709" w:hanging="567"/>
        <w:contextualSpacing w:val="0"/>
        <w:jc w:val="both"/>
        <w:rPr>
          <w:rFonts w:ascii="Arial" w:hAnsi="Arial" w:cs="Arial"/>
        </w:rPr>
      </w:pPr>
      <w:r w:rsidRPr="00507FDD">
        <w:rPr>
          <w:rFonts w:ascii="Arial" w:hAnsi="Arial" w:cs="Arial"/>
        </w:rPr>
        <w:t>Productos que pueden ser considerados, por parte de la oferta o la demanda, como complementos o sustitutos imperfectos del producto del MR.</w:t>
      </w:r>
    </w:p>
    <w:p w14:paraId="61E9FCAC" w14:textId="77777777" w:rsidR="003545C8" w:rsidRPr="00507FDD" w:rsidRDefault="003545C8" w:rsidP="003545C8">
      <w:pPr>
        <w:pStyle w:val="Prrafodelista"/>
        <w:spacing w:after="0"/>
        <w:ind w:left="709"/>
        <w:contextualSpacing w:val="0"/>
        <w:jc w:val="both"/>
        <w:rPr>
          <w:rFonts w:ascii="Arial" w:hAnsi="Arial" w:cs="Arial"/>
        </w:rPr>
      </w:pPr>
    </w:p>
    <w:p w14:paraId="688F3CF5" w14:textId="77777777" w:rsidR="003545C8" w:rsidRPr="00507FDD" w:rsidRDefault="003545C8" w:rsidP="003545C8">
      <w:pPr>
        <w:spacing w:after="0"/>
        <w:jc w:val="both"/>
        <w:rPr>
          <w:rFonts w:ascii="Arial" w:hAnsi="Arial" w:cs="Arial"/>
        </w:rPr>
      </w:pPr>
      <w:r w:rsidRPr="00507FDD">
        <w:rPr>
          <w:rFonts w:ascii="Arial" w:hAnsi="Arial" w:cs="Arial"/>
        </w:rPr>
        <w:t>No se identifica que en la determinación de los mercados relacionados se sigan criterios distintos a los que se siguen para determinar el MR.</w:t>
      </w:r>
    </w:p>
    <w:p w14:paraId="5A22611D" w14:textId="77777777" w:rsidR="003545C8" w:rsidRPr="00507FDD" w:rsidRDefault="003545C8" w:rsidP="003545C8">
      <w:pPr>
        <w:spacing w:after="0"/>
        <w:jc w:val="both"/>
        <w:rPr>
          <w:rFonts w:ascii="Arial" w:hAnsi="Arial" w:cs="Arial"/>
        </w:rPr>
      </w:pPr>
    </w:p>
    <w:p w14:paraId="73F474C4" w14:textId="34D28F48" w:rsidR="003545C8" w:rsidRPr="00507FDD" w:rsidRDefault="0003578B"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82" w:name="_Toc64495281"/>
      <w:bookmarkStart w:id="83" w:name="_Toc64495282"/>
      <w:bookmarkStart w:id="84" w:name="_Toc41649762"/>
      <w:bookmarkStart w:id="85" w:name="_Toc41649903"/>
      <w:bookmarkStart w:id="86" w:name="_Toc42534265"/>
      <w:bookmarkStart w:id="87" w:name="_Toc45216584"/>
      <w:bookmarkStart w:id="88" w:name="_Toc45628353"/>
      <w:bookmarkStart w:id="89" w:name="_Toc71717648"/>
      <w:bookmarkEnd w:id="82"/>
      <w:bookmarkEnd w:id="83"/>
      <w:r>
        <w:rPr>
          <w:rFonts w:ascii="Arial" w:eastAsia="Times New Roman" w:hAnsi="Arial" w:cs="Arial"/>
          <w:sz w:val="26"/>
          <w:lang w:eastAsia="es-MX"/>
        </w:rPr>
        <w:t>E</w:t>
      </w:r>
      <w:r w:rsidR="003545C8" w:rsidRPr="00507FDD">
        <w:rPr>
          <w:rFonts w:ascii="Arial" w:eastAsia="Times New Roman" w:hAnsi="Arial" w:cs="Arial"/>
          <w:sz w:val="26"/>
          <w:lang w:eastAsia="es-MX"/>
        </w:rPr>
        <w:t>lementos para determinar mercados relacionados</w:t>
      </w:r>
      <w:bookmarkEnd w:id="84"/>
      <w:bookmarkEnd w:id="85"/>
      <w:bookmarkEnd w:id="86"/>
      <w:bookmarkEnd w:id="87"/>
      <w:bookmarkEnd w:id="88"/>
      <w:bookmarkEnd w:id="89"/>
    </w:p>
    <w:p w14:paraId="04307E3D" w14:textId="77777777" w:rsidR="003545C8" w:rsidRPr="00507FDD" w:rsidRDefault="003545C8" w:rsidP="003545C8">
      <w:pPr>
        <w:keepNext/>
        <w:spacing w:after="0"/>
        <w:jc w:val="both"/>
        <w:rPr>
          <w:rFonts w:ascii="Arial" w:hAnsi="Arial" w:cs="Arial"/>
        </w:rPr>
      </w:pPr>
    </w:p>
    <w:p w14:paraId="5367A787" w14:textId="77777777" w:rsidR="003545C8" w:rsidRPr="00507FDD" w:rsidRDefault="003545C8" w:rsidP="003545C8">
      <w:pPr>
        <w:spacing w:after="0"/>
        <w:jc w:val="both"/>
        <w:rPr>
          <w:rFonts w:ascii="Arial" w:hAnsi="Arial" w:cs="Arial"/>
        </w:rPr>
      </w:pPr>
      <w:r w:rsidRPr="00507FDD">
        <w:rPr>
          <w:rFonts w:ascii="Arial" w:hAnsi="Arial" w:cs="Arial"/>
        </w:rPr>
        <w:t>El Instituto podrá considerar como mercados relacionados aquellos que comprendan:</w:t>
      </w:r>
    </w:p>
    <w:p w14:paraId="4A92B6D1" w14:textId="77777777" w:rsidR="003545C8" w:rsidRDefault="003545C8" w:rsidP="003545C8">
      <w:pPr>
        <w:pStyle w:val="Prrafodelista"/>
        <w:spacing w:after="0"/>
        <w:contextualSpacing w:val="0"/>
        <w:jc w:val="both"/>
        <w:rPr>
          <w:rFonts w:ascii="Arial" w:hAnsi="Arial" w:cs="Arial"/>
        </w:rPr>
      </w:pPr>
    </w:p>
    <w:p w14:paraId="797C426B" w14:textId="77777777" w:rsidR="003545C8" w:rsidRPr="00507FDD" w:rsidRDefault="003545C8" w:rsidP="005E23E0">
      <w:pPr>
        <w:pStyle w:val="Prrafodelista"/>
        <w:numPr>
          <w:ilvl w:val="0"/>
          <w:numId w:val="8"/>
        </w:numPr>
        <w:spacing w:after="0"/>
        <w:ind w:hanging="578"/>
        <w:contextualSpacing w:val="0"/>
        <w:jc w:val="both"/>
        <w:rPr>
          <w:rFonts w:ascii="Arial" w:hAnsi="Arial" w:cs="Arial"/>
        </w:rPr>
      </w:pPr>
      <w:r w:rsidRPr="00507FDD">
        <w:rPr>
          <w:rFonts w:ascii="Arial" w:hAnsi="Arial" w:cs="Arial"/>
        </w:rPr>
        <w:t xml:space="preserve">Productos que sean insumos en la cadena de producción, distribución o comercialización asociada a un MR; </w:t>
      </w:r>
    </w:p>
    <w:p w14:paraId="2F0D028D" w14:textId="77777777" w:rsidR="003545C8" w:rsidRDefault="003545C8" w:rsidP="003545C8">
      <w:pPr>
        <w:pStyle w:val="Prrafodelista"/>
        <w:spacing w:after="0"/>
        <w:contextualSpacing w:val="0"/>
        <w:jc w:val="both"/>
        <w:rPr>
          <w:rFonts w:ascii="Arial" w:hAnsi="Arial" w:cs="Arial"/>
        </w:rPr>
      </w:pPr>
    </w:p>
    <w:p w14:paraId="2127A27B" w14:textId="77777777" w:rsidR="003545C8" w:rsidRPr="00507FDD" w:rsidRDefault="003545C8" w:rsidP="005E23E0">
      <w:pPr>
        <w:pStyle w:val="Prrafodelista"/>
        <w:numPr>
          <w:ilvl w:val="0"/>
          <w:numId w:val="8"/>
        </w:numPr>
        <w:spacing w:after="0"/>
        <w:ind w:hanging="578"/>
        <w:contextualSpacing w:val="0"/>
        <w:jc w:val="both"/>
        <w:rPr>
          <w:rFonts w:ascii="Arial" w:hAnsi="Arial" w:cs="Arial"/>
        </w:rPr>
      </w:pPr>
      <w:r w:rsidRPr="00507FDD">
        <w:rPr>
          <w:rFonts w:ascii="Arial" w:hAnsi="Arial" w:cs="Arial"/>
        </w:rPr>
        <w:t>Productos complementarios a los productos que forman parte del MR;</w:t>
      </w:r>
    </w:p>
    <w:p w14:paraId="08911890" w14:textId="77777777" w:rsidR="003545C8" w:rsidRDefault="003545C8" w:rsidP="003545C8">
      <w:pPr>
        <w:pStyle w:val="Prrafodelista"/>
        <w:spacing w:after="0"/>
        <w:contextualSpacing w:val="0"/>
        <w:jc w:val="both"/>
        <w:rPr>
          <w:rFonts w:ascii="Arial" w:hAnsi="Arial" w:cs="Arial"/>
        </w:rPr>
      </w:pPr>
    </w:p>
    <w:p w14:paraId="4167F18D" w14:textId="77777777" w:rsidR="003545C8" w:rsidRPr="00507FDD" w:rsidRDefault="003545C8" w:rsidP="005E23E0">
      <w:pPr>
        <w:pStyle w:val="Prrafodelista"/>
        <w:numPr>
          <w:ilvl w:val="0"/>
          <w:numId w:val="8"/>
        </w:numPr>
        <w:spacing w:after="0"/>
        <w:ind w:hanging="578"/>
        <w:contextualSpacing w:val="0"/>
        <w:jc w:val="both"/>
        <w:rPr>
          <w:rFonts w:ascii="Arial" w:hAnsi="Arial" w:cs="Arial"/>
        </w:rPr>
      </w:pPr>
      <w:r w:rsidRPr="00507FDD">
        <w:rPr>
          <w:rFonts w:ascii="Arial" w:hAnsi="Arial" w:cs="Arial"/>
        </w:rPr>
        <w:t>Actividades económicas que incidan o influyan en las condiciones de competencia y libre concurrencia del MR, o viceversa.</w:t>
      </w:r>
    </w:p>
    <w:p w14:paraId="4BAA92A0" w14:textId="77777777" w:rsidR="003545C8" w:rsidRPr="00931D46" w:rsidRDefault="003545C8" w:rsidP="003545C8">
      <w:pPr>
        <w:spacing w:after="0"/>
        <w:jc w:val="both"/>
        <w:rPr>
          <w:rFonts w:ascii="Arial" w:eastAsiaTheme="majorEastAsia" w:hAnsi="Arial" w:cs="Arial"/>
          <w:b/>
          <w:szCs w:val="32"/>
        </w:rPr>
      </w:pPr>
    </w:p>
    <w:p w14:paraId="69C7ED3F" w14:textId="0CCF8697" w:rsidR="003545C8" w:rsidRPr="00931D46" w:rsidRDefault="003545C8" w:rsidP="005E23E0">
      <w:pPr>
        <w:pStyle w:val="Ttulo1"/>
        <w:numPr>
          <w:ilvl w:val="0"/>
          <w:numId w:val="5"/>
        </w:numPr>
        <w:spacing w:line="276" w:lineRule="auto"/>
        <w:jc w:val="both"/>
        <w:rPr>
          <w:rFonts w:ascii="Arial" w:hAnsi="Arial" w:cs="Arial"/>
          <w:b w:val="0"/>
          <w:sz w:val="26"/>
          <w:szCs w:val="26"/>
        </w:rPr>
      </w:pPr>
      <w:bookmarkStart w:id="90" w:name="_Toc41649767"/>
      <w:bookmarkStart w:id="91" w:name="_Toc41649908"/>
      <w:bookmarkStart w:id="92" w:name="_Toc45216585"/>
      <w:bookmarkStart w:id="93" w:name="_Toc45628354"/>
      <w:bookmarkStart w:id="94" w:name="_Toc71717649"/>
      <w:r w:rsidRPr="00931D46">
        <w:rPr>
          <w:rFonts w:ascii="Arial" w:hAnsi="Arial" w:cs="Arial"/>
          <w:sz w:val="26"/>
          <w:szCs w:val="26"/>
        </w:rPr>
        <w:t xml:space="preserve">Temas </w:t>
      </w:r>
      <w:r w:rsidR="00EF010B">
        <w:rPr>
          <w:rFonts w:ascii="Arial" w:hAnsi="Arial" w:cs="Arial"/>
          <w:sz w:val="26"/>
          <w:szCs w:val="26"/>
        </w:rPr>
        <w:t>recurrentes en</w:t>
      </w:r>
      <w:r w:rsidRPr="00931D46">
        <w:rPr>
          <w:rFonts w:ascii="Arial" w:hAnsi="Arial" w:cs="Arial"/>
          <w:sz w:val="26"/>
          <w:szCs w:val="26"/>
        </w:rPr>
        <w:t xml:space="preserve"> los sectores de </w:t>
      </w:r>
      <w:proofErr w:type="spellStart"/>
      <w:r w:rsidRPr="00931D46">
        <w:rPr>
          <w:rFonts w:ascii="Arial" w:hAnsi="Arial" w:cs="Arial"/>
          <w:sz w:val="26"/>
          <w:szCs w:val="26"/>
        </w:rPr>
        <w:t>TyR</w:t>
      </w:r>
      <w:bookmarkEnd w:id="90"/>
      <w:bookmarkEnd w:id="91"/>
      <w:bookmarkEnd w:id="92"/>
      <w:bookmarkEnd w:id="93"/>
      <w:bookmarkEnd w:id="94"/>
      <w:proofErr w:type="spellEnd"/>
    </w:p>
    <w:p w14:paraId="35E58405" w14:textId="77777777" w:rsidR="003545C8" w:rsidRPr="00931D46" w:rsidRDefault="003545C8" w:rsidP="003545C8">
      <w:pPr>
        <w:keepNext/>
        <w:spacing w:after="0"/>
        <w:jc w:val="both"/>
        <w:rPr>
          <w:rFonts w:ascii="Arial" w:hAnsi="Arial" w:cs="Arial"/>
        </w:rPr>
      </w:pPr>
    </w:p>
    <w:p w14:paraId="41069081" w14:textId="77777777" w:rsidR="003545C8" w:rsidRPr="00931D46"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95" w:name="_Toc41649769"/>
      <w:bookmarkStart w:id="96" w:name="_Toc41649910"/>
      <w:bookmarkStart w:id="97" w:name="_Toc45216587"/>
      <w:bookmarkStart w:id="98" w:name="_Toc45628360"/>
      <w:bookmarkStart w:id="99" w:name="_Toc71717651"/>
      <w:r w:rsidRPr="00931D46">
        <w:rPr>
          <w:rFonts w:ascii="Arial" w:eastAsia="Times New Roman" w:hAnsi="Arial" w:cs="Arial"/>
          <w:sz w:val="26"/>
          <w:lang w:eastAsia="es-MX"/>
        </w:rPr>
        <w:t>Integración vertical</w:t>
      </w:r>
      <w:bookmarkEnd w:id="95"/>
      <w:bookmarkEnd w:id="96"/>
      <w:bookmarkEnd w:id="97"/>
      <w:bookmarkEnd w:id="98"/>
      <w:bookmarkEnd w:id="99"/>
    </w:p>
    <w:p w14:paraId="33E272CA" w14:textId="77777777" w:rsidR="003545C8" w:rsidRPr="005F4E08" w:rsidRDefault="003545C8" w:rsidP="003545C8">
      <w:pPr>
        <w:keepNext/>
        <w:spacing w:after="0"/>
        <w:jc w:val="both"/>
        <w:rPr>
          <w:rFonts w:ascii="Arial" w:hAnsi="Arial" w:cs="Arial"/>
        </w:rPr>
      </w:pPr>
      <w:bookmarkStart w:id="100" w:name="_Toc41649782"/>
      <w:bookmarkStart w:id="101" w:name="_Toc41649915"/>
    </w:p>
    <w:p w14:paraId="115A85A1" w14:textId="77777777" w:rsidR="003545C8" w:rsidRPr="0007382E" w:rsidRDefault="003545C8" w:rsidP="003545C8">
      <w:pPr>
        <w:spacing w:after="0"/>
        <w:jc w:val="both"/>
        <w:rPr>
          <w:rFonts w:ascii="Arial" w:hAnsi="Arial" w:cs="Arial"/>
        </w:rPr>
      </w:pPr>
      <w:r w:rsidRPr="0007382E">
        <w:rPr>
          <w:rFonts w:ascii="Arial" w:hAnsi="Arial" w:cs="Arial"/>
        </w:rPr>
        <w:t xml:space="preserve">En los sectores de </w:t>
      </w:r>
      <w:proofErr w:type="spellStart"/>
      <w:r w:rsidRPr="0007382E">
        <w:rPr>
          <w:rFonts w:ascii="Arial" w:hAnsi="Arial" w:cs="Arial"/>
        </w:rPr>
        <w:t>TyR</w:t>
      </w:r>
      <w:proofErr w:type="spellEnd"/>
      <w:r w:rsidRPr="0007382E">
        <w:rPr>
          <w:rFonts w:ascii="Arial" w:hAnsi="Arial" w:cs="Arial"/>
        </w:rPr>
        <w:t xml:space="preserve"> es común observar mercados en los que un AE provee algún insumo (aguas arriba), para él mismo (autoabastecimiento) y/o para que otros AE lo utilicen para pr</w:t>
      </w:r>
      <w:r>
        <w:rPr>
          <w:rFonts w:ascii="Arial" w:hAnsi="Arial" w:cs="Arial"/>
        </w:rPr>
        <w:t>oveer un producto</w:t>
      </w:r>
      <w:r w:rsidRPr="0007382E">
        <w:rPr>
          <w:rFonts w:ascii="Arial" w:hAnsi="Arial" w:cs="Arial"/>
        </w:rPr>
        <w:t xml:space="preserve"> en una fase posterior de la cadena de valor (aguas abajo).</w:t>
      </w:r>
      <w:r w:rsidRPr="0007382E">
        <w:rPr>
          <w:rStyle w:val="Refdenotaalpie"/>
          <w:rFonts w:ascii="Arial" w:hAnsi="Arial" w:cs="Arial"/>
        </w:rPr>
        <w:footnoteReference w:id="74"/>
      </w:r>
      <w:r w:rsidRPr="0007382E">
        <w:rPr>
          <w:rFonts w:ascii="Arial" w:hAnsi="Arial" w:cs="Arial"/>
        </w:rPr>
        <w:t xml:space="preserve"> Estos mercados ascendentes y </w:t>
      </w:r>
      <w:proofErr w:type="spellStart"/>
      <w:r w:rsidRPr="0007382E">
        <w:rPr>
          <w:rFonts w:ascii="Arial" w:hAnsi="Arial" w:cs="Arial"/>
        </w:rPr>
        <w:t>descendentes</w:t>
      </w:r>
      <w:proofErr w:type="spellEnd"/>
      <w:r w:rsidRPr="0007382E">
        <w:rPr>
          <w:rFonts w:ascii="Arial" w:hAnsi="Arial" w:cs="Arial"/>
        </w:rPr>
        <w:t>, también conocidos como mayoristas y minoristas, respectivamente, se relacionan de diversas maneras; por ejemplo, un solo mercado mayorista puede proporcionar insumos a varios mercados minoristas y los mercados minoristas pueden requerir insumos de varios mercados mayoristas. La OCDE ha señalado que la demanda aguas arriba es una demanda derivada de la demanda del producto aguas abajo.</w:t>
      </w:r>
      <w:r w:rsidRPr="0007382E">
        <w:rPr>
          <w:rStyle w:val="Refdenotaalpie"/>
          <w:rFonts w:ascii="Arial" w:hAnsi="Arial" w:cs="Arial"/>
        </w:rPr>
        <w:footnoteReference w:id="75"/>
      </w:r>
    </w:p>
    <w:p w14:paraId="58C52796" w14:textId="2476881F" w:rsidR="003545C8" w:rsidRDefault="003545C8" w:rsidP="003545C8">
      <w:pPr>
        <w:spacing w:after="0"/>
        <w:jc w:val="both"/>
        <w:rPr>
          <w:rFonts w:ascii="Arial" w:hAnsi="Arial" w:cs="Arial"/>
        </w:rPr>
      </w:pPr>
    </w:p>
    <w:p w14:paraId="7250D44A" w14:textId="21ED2295" w:rsidR="00CA42B1" w:rsidRDefault="00CA42B1" w:rsidP="003545C8">
      <w:pPr>
        <w:spacing w:after="0"/>
        <w:jc w:val="both"/>
        <w:rPr>
          <w:rFonts w:ascii="Arial" w:hAnsi="Arial" w:cs="Arial"/>
        </w:rPr>
      </w:pPr>
    </w:p>
    <w:p w14:paraId="21545FCF" w14:textId="77777777" w:rsidR="00CA42B1" w:rsidRPr="0007382E" w:rsidRDefault="00CA42B1" w:rsidP="003545C8">
      <w:pPr>
        <w:spacing w:after="0"/>
        <w:jc w:val="both"/>
        <w:rPr>
          <w:rFonts w:ascii="Arial" w:hAnsi="Arial" w:cs="Arial"/>
        </w:rPr>
      </w:pPr>
    </w:p>
    <w:p w14:paraId="1E8C84E1" w14:textId="77777777" w:rsidR="003545C8" w:rsidRPr="0007382E" w:rsidRDefault="003545C8" w:rsidP="003545C8">
      <w:pPr>
        <w:spacing w:after="0"/>
        <w:jc w:val="both"/>
        <w:rPr>
          <w:rFonts w:ascii="Arial" w:hAnsi="Arial" w:cs="Arial"/>
        </w:rPr>
      </w:pPr>
      <w:r w:rsidRPr="0007382E">
        <w:rPr>
          <w:rFonts w:ascii="Arial" w:hAnsi="Arial" w:cs="Arial"/>
        </w:rPr>
        <w:lastRenderedPageBreak/>
        <w:t xml:space="preserve">Cuando un AE participa tanto en mercados aguas arriba como en mercados aguas abajo, se dice que está integrado verticalmente. La ICN define las concentraciones verticales como operaciones entre </w:t>
      </w:r>
      <w:r w:rsidRPr="0007382E">
        <w:rPr>
          <w:rFonts w:ascii="Arial" w:hAnsi="Arial" w:cs="Arial"/>
          <w:i/>
        </w:rPr>
        <w:t>“una empresa que opera aguas arriba y aguas abajo en diferentes niveles de la cadena de suministro de un mismo bien o servicio.”</w:t>
      </w:r>
      <w:r w:rsidRPr="0007382E">
        <w:rPr>
          <w:rFonts w:ascii="Arial" w:hAnsi="Arial" w:cs="Arial"/>
          <w:vertAlign w:val="superscript"/>
        </w:rPr>
        <w:t xml:space="preserve"> </w:t>
      </w:r>
      <w:r w:rsidRPr="0007382E">
        <w:rPr>
          <w:rFonts w:ascii="Arial" w:hAnsi="Arial" w:cs="Arial"/>
          <w:vertAlign w:val="superscript"/>
          <w:lang w:val="en-US"/>
        </w:rPr>
        <w:footnoteReference w:id="76"/>
      </w:r>
      <w:r w:rsidRPr="0007382E">
        <w:rPr>
          <w:rFonts w:ascii="Arial" w:hAnsi="Arial" w:cs="Arial"/>
        </w:rPr>
        <w:t xml:space="preserve"> </w:t>
      </w:r>
    </w:p>
    <w:p w14:paraId="0FD267FC" w14:textId="77777777" w:rsidR="003545C8" w:rsidRPr="0007382E" w:rsidRDefault="003545C8" w:rsidP="003545C8">
      <w:pPr>
        <w:spacing w:after="0"/>
        <w:jc w:val="both"/>
        <w:rPr>
          <w:rFonts w:ascii="Arial" w:hAnsi="Arial" w:cs="Arial"/>
        </w:rPr>
      </w:pPr>
    </w:p>
    <w:p w14:paraId="15EBE386" w14:textId="77777777" w:rsidR="003545C8" w:rsidRPr="0007382E" w:rsidRDefault="003545C8" w:rsidP="003545C8">
      <w:pPr>
        <w:spacing w:after="0"/>
        <w:jc w:val="both"/>
        <w:rPr>
          <w:rFonts w:ascii="Arial" w:hAnsi="Arial" w:cs="Arial"/>
        </w:rPr>
      </w:pPr>
      <w:r w:rsidRPr="0007382E">
        <w:rPr>
          <w:rFonts w:ascii="Arial" w:hAnsi="Arial" w:cs="Arial"/>
        </w:rPr>
        <w:t>Cuando un AE está integrado verticalmente, internaliza el control de las decisiones de producción y distribución de una misma cadena de valor</w:t>
      </w:r>
      <w:r w:rsidRPr="0007382E">
        <w:rPr>
          <w:rFonts w:ascii="Arial" w:hAnsi="Arial" w:cs="Arial"/>
          <w:iCs/>
        </w:rPr>
        <w:t>.</w:t>
      </w:r>
      <w:r w:rsidRPr="0007382E">
        <w:rPr>
          <w:rStyle w:val="Refdenotaalpie"/>
          <w:rFonts w:ascii="Arial" w:hAnsi="Arial" w:cs="Arial"/>
          <w:color w:val="000000"/>
        </w:rPr>
        <w:footnoteReference w:id="77"/>
      </w:r>
      <w:r w:rsidRPr="0007382E">
        <w:rPr>
          <w:rFonts w:ascii="Arial" w:hAnsi="Arial" w:cs="Arial"/>
          <w:iCs/>
        </w:rPr>
        <w:t xml:space="preserve"> </w:t>
      </w:r>
      <w:r w:rsidRPr="0007382E">
        <w:rPr>
          <w:rFonts w:ascii="Arial" w:hAnsi="Arial" w:cs="Arial"/>
        </w:rPr>
        <w:t xml:space="preserve">En consecuencia, una integración vertical puede impactar la competencia en distintas fases de una misma cadena de valor, por lo que su evaluación debe considerar sus efectos en, al menos, cada una de las distintas fases en las que tiene efectos. </w:t>
      </w:r>
    </w:p>
    <w:p w14:paraId="15844F45" w14:textId="77777777" w:rsidR="003545C8" w:rsidRPr="0007382E" w:rsidRDefault="003545C8" w:rsidP="003545C8">
      <w:pPr>
        <w:spacing w:after="0"/>
        <w:jc w:val="both"/>
        <w:rPr>
          <w:rFonts w:ascii="Arial" w:hAnsi="Arial" w:cs="Arial"/>
        </w:rPr>
      </w:pPr>
    </w:p>
    <w:p w14:paraId="0FE1B767" w14:textId="77777777" w:rsidR="003545C8" w:rsidRPr="00931D46" w:rsidRDefault="003545C8" w:rsidP="003545C8">
      <w:pPr>
        <w:spacing w:after="0"/>
        <w:jc w:val="both"/>
        <w:rPr>
          <w:rFonts w:ascii="Arial" w:hAnsi="Arial" w:cs="Arial"/>
        </w:rPr>
      </w:pPr>
      <w:r w:rsidRPr="0007382E">
        <w:rPr>
          <w:rFonts w:ascii="Arial" w:hAnsi="Arial" w:cs="Arial"/>
        </w:rPr>
        <w:t>Para ello, en la práctica de competencia nacional e internacional usualmente se definen distintos MR, los cuales id</w:t>
      </w:r>
      <w:r>
        <w:rPr>
          <w:rFonts w:ascii="Arial" w:hAnsi="Arial" w:cs="Arial"/>
        </w:rPr>
        <w:t xml:space="preserve">entifican la fase de producción o </w:t>
      </w:r>
      <w:r w:rsidRPr="0007382E">
        <w:rPr>
          <w:rFonts w:ascii="Arial" w:hAnsi="Arial" w:cs="Arial"/>
        </w:rPr>
        <w:t>distribución a la que corresponden; comprenden mercados aguas arriba (provisión de insumos, mercados mayoristas) y mercado</w:t>
      </w:r>
      <w:r>
        <w:rPr>
          <w:rFonts w:ascii="Arial" w:hAnsi="Arial" w:cs="Arial"/>
        </w:rPr>
        <w:t xml:space="preserve">s aguas abajo (venta a usuarios o </w:t>
      </w:r>
      <w:r w:rsidRPr="0007382E">
        <w:rPr>
          <w:rFonts w:ascii="Arial" w:hAnsi="Arial" w:cs="Arial"/>
        </w:rPr>
        <w:t xml:space="preserve">consumidores finales, mercados minoristas). Asimismo, se identifica que la delimitación de los MR minoristas puede tener un impacto en la delimitación de los MR mayoristas (restricciones indirectas). </w:t>
      </w:r>
    </w:p>
    <w:p w14:paraId="614599C5" w14:textId="77777777" w:rsidR="003545C8" w:rsidRPr="00931D46" w:rsidRDefault="003545C8" w:rsidP="003545C8">
      <w:pPr>
        <w:spacing w:after="0"/>
        <w:jc w:val="both"/>
        <w:rPr>
          <w:rFonts w:ascii="Arial" w:hAnsi="Arial" w:cs="Arial"/>
        </w:rPr>
      </w:pPr>
    </w:p>
    <w:p w14:paraId="462912FA"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02" w:name="_Toc41649771"/>
      <w:bookmarkStart w:id="103" w:name="_Toc41649912"/>
      <w:bookmarkStart w:id="104" w:name="_Toc45628362"/>
      <w:bookmarkStart w:id="105" w:name="_Toc39855719"/>
      <w:r w:rsidRPr="00931D46">
        <w:rPr>
          <w:rFonts w:ascii="Arial" w:eastAsia="Times New Roman" w:hAnsi="Arial" w:cs="Arial"/>
          <w:sz w:val="26"/>
          <w:szCs w:val="26"/>
          <w:lang w:eastAsia="es-MX"/>
        </w:rPr>
        <w:t>Precedentes decisorios del Instituto</w:t>
      </w:r>
      <w:bookmarkEnd w:id="102"/>
      <w:bookmarkEnd w:id="103"/>
      <w:bookmarkEnd w:id="104"/>
      <w:r w:rsidRPr="00931D46">
        <w:rPr>
          <w:rFonts w:ascii="Arial" w:eastAsia="Times New Roman" w:hAnsi="Arial" w:cs="Arial"/>
          <w:sz w:val="26"/>
          <w:szCs w:val="26"/>
          <w:lang w:eastAsia="es-MX"/>
        </w:rPr>
        <w:t xml:space="preserve"> </w:t>
      </w:r>
      <w:bookmarkEnd w:id="105"/>
    </w:p>
    <w:p w14:paraId="30C9D6B0" w14:textId="77777777" w:rsidR="003545C8" w:rsidRPr="00931D46" w:rsidRDefault="003545C8" w:rsidP="003545C8">
      <w:pPr>
        <w:keepNext/>
        <w:spacing w:after="0"/>
        <w:jc w:val="both"/>
        <w:rPr>
          <w:rFonts w:ascii="Arial" w:hAnsi="Arial" w:cs="Arial"/>
        </w:rPr>
      </w:pPr>
    </w:p>
    <w:p w14:paraId="4A3DFDEC" w14:textId="77777777" w:rsidR="003545C8" w:rsidRPr="00931D46" w:rsidRDefault="003545C8" w:rsidP="003545C8">
      <w:pPr>
        <w:spacing w:after="0"/>
        <w:jc w:val="both"/>
        <w:rPr>
          <w:rFonts w:ascii="Arial" w:hAnsi="Arial" w:cs="Arial"/>
        </w:rPr>
      </w:pPr>
      <w:r>
        <w:rPr>
          <w:rFonts w:ascii="Arial" w:hAnsi="Arial" w:cs="Arial"/>
        </w:rPr>
        <w:t>E</w:t>
      </w:r>
      <w:r w:rsidRPr="00931D46">
        <w:rPr>
          <w:rFonts w:ascii="Arial" w:hAnsi="Arial" w:cs="Arial"/>
        </w:rPr>
        <w:t>l Instituto</w:t>
      </w:r>
      <w:r>
        <w:rPr>
          <w:rFonts w:ascii="Arial" w:hAnsi="Arial" w:cs="Arial"/>
        </w:rPr>
        <w:t xml:space="preserve"> ha analizado diversos casos</w:t>
      </w:r>
      <w:r w:rsidRPr="0043538A">
        <w:rPr>
          <w:rFonts w:ascii="Arial" w:eastAsia="Times New Roman" w:hAnsi="Arial" w:cs="Arial"/>
          <w:vertAlign w:val="superscript"/>
          <w:lang w:eastAsia="es-MX"/>
        </w:rPr>
        <w:footnoteReference w:id="78"/>
      </w:r>
      <w:r>
        <w:rPr>
          <w:rFonts w:ascii="Arial" w:hAnsi="Arial" w:cs="Arial"/>
        </w:rPr>
        <w:t xml:space="preserve"> que involucran integraciones verticales. E</w:t>
      </w:r>
      <w:r w:rsidRPr="00931D46">
        <w:rPr>
          <w:rFonts w:ascii="Arial" w:hAnsi="Arial" w:cs="Arial"/>
        </w:rPr>
        <w:t xml:space="preserve">l análisis </w:t>
      </w:r>
      <w:r>
        <w:rPr>
          <w:rFonts w:ascii="Arial" w:hAnsi="Arial" w:cs="Arial"/>
        </w:rPr>
        <w:t xml:space="preserve">en dichos casos </w:t>
      </w:r>
      <w:r w:rsidRPr="00931D46">
        <w:rPr>
          <w:rFonts w:ascii="Arial" w:hAnsi="Arial" w:cs="Arial"/>
        </w:rPr>
        <w:t xml:space="preserve">se </w:t>
      </w:r>
      <w:r>
        <w:rPr>
          <w:rFonts w:ascii="Arial" w:hAnsi="Arial" w:cs="Arial"/>
        </w:rPr>
        <w:t xml:space="preserve">ha </w:t>
      </w:r>
      <w:r w:rsidRPr="00931D46">
        <w:rPr>
          <w:rFonts w:ascii="Arial" w:hAnsi="Arial" w:cs="Arial"/>
        </w:rPr>
        <w:t>centra</w:t>
      </w:r>
      <w:r>
        <w:rPr>
          <w:rFonts w:ascii="Arial" w:hAnsi="Arial" w:cs="Arial"/>
        </w:rPr>
        <w:t>do</w:t>
      </w:r>
      <w:r w:rsidRPr="00931D46">
        <w:rPr>
          <w:rFonts w:ascii="Arial" w:hAnsi="Arial" w:cs="Arial"/>
        </w:rPr>
        <w:t xml:space="preserve"> en identificar la cadena de valor y observar la posición relativa que tienen los AE en alguno de los mercados que la integran, a fin de evaluar cómo puede influir dicha situación en otros mercados que forman parte de la misma cadena de valor, en los que también participan.</w:t>
      </w:r>
    </w:p>
    <w:p w14:paraId="4743145C" w14:textId="77777777" w:rsidR="003545C8" w:rsidRPr="00931D46" w:rsidRDefault="003545C8" w:rsidP="003545C8">
      <w:pPr>
        <w:spacing w:after="0"/>
        <w:jc w:val="both"/>
        <w:rPr>
          <w:rFonts w:ascii="Arial" w:hAnsi="Arial" w:cs="Arial"/>
        </w:rPr>
      </w:pPr>
    </w:p>
    <w:p w14:paraId="7370EE27"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06" w:name="_Toc39855722"/>
      <w:bookmarkStart w:id="107" w:name="_Toc41649774"/>
      <w:bookmarkStart w:id="108" w:name="_Toc41649913"/>
      <w:bookmarkStart w:id="109" w:name="_Toc45628363"/>
      <w:r w:rsidRPr="00931D46">
        <w:rPr>
          <w:rFonts w:ascii="Arial" w:eastAsia="Times New Roman" w:hAnsi="Arial" w:cs="Arial"/>
          <w:sz w:val="26"/>
          <w:szCs w:val="26"/>
          <w:lang w:eastAsia="es-MX"/>
        </w:rPr>
        <w:lastRenderedPageBreak/>
        <w:t>Experiencia Internacional</w:t>
      </w:r>
      <w:bookmarkEnd w:id="106"/>
      <w:bookmarkEnd w:id="107"/>
      <w:bookmarkEnd w:id="108"/>
      <w:bookmarkEnd w:id="109"/>
    </w:p>
    <w:p w14:paraId="4E6D3B1D" w14:textId="77777777" w:rsidR="003545C8" w:rsidRPr="00931D46" w:rsidRDefault="003545C8" w:rsidP="003545C8">
      <w:pPr>
        <w:keepNext/>
        <w:spacing w:after="0"/>
        <w:jc w:val="both"/>
        <w:rPr>
          <w:rFonts w:ascii="Arial" w:hAnsi="Arial" w:cs="Arial"/>
        </w:rPr>
      </w:pPr>
    </w:p>
    <w:p w14:paraId="4F81A592" w14:textId="77777777" w:rsidR="003545C8" w:rsidRPr="00931D46" w:rsidRDefault="003545C8" w:rsidP="003545C8">
      <w:pPr>
        <w:spacing w:after="0"/>
        <w:jc w:val="both"/>
        <w:rPr>
          <w:rFonts w:ascii="Arial" w:hAnsi="Arial" w:cs="Arial"/>
        </w:rPr>
      </w:pPr>
      <w:r>
        <w:rPr>
          <w:rFonts w:ascii="Arial" w:hAnsi="Arial" w:cs="Arial"/>
        </w:rPr>
        <w:t>L</w:t>
      </w:r>
      <w:r w:rsidRPr="00931D46">
        <w:rPr>
          <w:rFonts w:ascii="Arial" w:hAnsi="Arial" w:cs="Arial"/>
        </w:rPr>
        <w:t>os principales criterios referidos por la ICN</w:t>
      </w:r>
      <w:r w:rsidRPr="00931D46">
        <w:rPr>
          <w:rFonts w:ascii="Arial" w:hAnsi="Arial" w:cs="Arial"/>
          <w:vertAlign w:val="superscript"/>
          <w:lang w:val="en-US"/>
        </w:rPr>
        <w:footnoteReference w:id="79"/>
      </w:r>
      <w:r w:rsidRPr="00931D46">
        <w:rPr>
          <w:rFonts w:ascii="Arial" w:hAnsi="Arial" w:cs="Arial"/>
        </w:rPr>
        <w:t xml:space="preserve"> y la OCDE</w:t>
      </w:r>
      <w:r w:rsidRPr="009001AD">
        <w:rPr>
          <w:rFonts w:ascii="Arial" w:eastAsia="Times New Roman" w:hAnsi="Arial" w:cs="Arial"/>
          <w:vertAlign w:val="superscript"/>
        </w:rPr>
        <w:footnoteReference w:id="80"/>
      </w:r>
      <w:r w:rsidRPr="00931D46">
        <w:rPr>
          <w:rFonts w:ascii="Arial" w:hAnsi="Arial" w:cs="Arial"/>
        </w:rPr>
        <w:t xml:space="preserve">, así como aquellos </w:t>
      </w:r>
      <w:r>
        <w:rPr>
          <w:rFonts w:ascii="Arial" w:hAnsi="Arial" w:cs="Arial"/>
        </w:rPr>
        <w:t>considerados</w:t>
      </w:r>
      <w:r w:rsidRPr="00931D46">
        <w:rPr>
          <w:rFonts w:ascii="Arial" w:hAnsi="Arial" w:cs="Arial"/>
        </w:rPr>
        <w:t xml:space="preserve"> 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Style w:val="Refdenotaalpie"/>
          <w:rFonts w:ascii="Arial" w:hAnsi="Arial" w:cs="Arial"/>
        </w:rPr>
        <w:footnoteReference w:id="81"/>
      </w:r>
      <w:r w:rsidRPr="00931D46">
        <w:rPr>
          <w:rFonts w:ascii="Arial" w:hAnsi="Arial" w:cs="Arial"/>
        </w:rPr>
        <w:t xml:space="preserve"> Estados Unidos de América,</w:t>
      </w:r>
      <w:r w:rsidRPr="00931D46">
        <w:rPr>
          <w:rStyle w:val="Refdenotaalpie"/>
          <w:rFonts w:ascii="Arial" w:hAnsi="Arial" w:cs="Arial"/>
        </w:rPr>
        <w:footnoteReference w:id="82"/>
      </w:r>
      <w:r w:rsidRPr="00931D46">
        <w:rPr>
          <w:rFonts w:ascii="Arial" w:hAnsi="Arial" w:cs="Arial"/>
        </w:rPr>
        <w:t xml:space="preserve"> Australia</w:t>
      </w:r>
      <w:r w:rsidRPr="00FA500F">
        <w:rPr>
          <w:rFonts w:ascii="Arial" w:eastAsia="Times New Roman" w:hAnsi="Arial" w:cs="Arial"/>
          <w:vertAlign w:val="superscript"/>
          <w:lang w:eastAsia="es-MX"/>
        </w:rPr>
        <w:footnoteReference w:id="83"/>
      </w:r>
      <w:r w:rsidRPr="00931D46">
        <w:rPr>
          <w:rFonts w:ascii="Arial" w:hAnsi="Arial" w:cs="Arial"/>
        </w:rPr>
        <w:t xml:space="preserve"> y Canadá</w:t>
      </w:r>
      <w:r w:rsidRPr="00931D46">
        <w:rPr>
          <w:rFonts w:ascii="Arial" w:hAnsi="Arial" w:cs="Arial"/>
          <w:color w:val="000000"/>
          <w:vertAlign w:val="superscript"/>
        </w:rPr>
        <w:footnoteReference w:id="84"/>
      </w:r>
      <w:r w:rsidRPr="00931D46">
        <w:rPr>
          <w:rFonts w:ascii="Arial" w:hAnsi="Arial" w:cs="Arial"/>
        </w:rPr>
        <w:t xml:space="preserve"> para determinar MR en presencia de integraciones verticales, </w:t>
      </w:r>
      <w:r>
        <w:rPr>
          <w:rFonts w:ascii="Arial" w:hAnsi="Arial" w:cs="Arial"/>
        </w:rPr>
        <w:t xml:space="preserve">consisten en </w:t>
      </w:r>
      <w:r w:rsidRPr="00931D46">
        <w:rPr>
          <w:rFonts w:ascii="Arial" w:hAnsi="Arial" w:cs="Arial"/>
        </w:rPr>
        <w:t>delimita</w:t>
      </w:r>
      <w:r>
        <w:rPr>
          <w:rFonts w:ascii="Arial" w:hAnsi="Arial" w:cs="Arial"/>
        </w:rPr>
        <w:t>r</w:t>
      </w:r>
      <w:r w:rsidRPr="00931D46">
        <w:rPr>
          <w:rFonts w:ascii="Arial" w:hAnsi="Arial" w:cs="Arial"/>
        </w:rPr>
        <w:t xml:space="preserve"> primero el mercado aguas abajo y, con base en la relación de insumo-</w:t>
      </w:r>
      <w:r>
        <w:rPr>
          <w:rFonts w:ascii="Arial" w:hAnsi="Arial" w:cs="Arial"/>
        </w:rPr>
        <w:t>producto</w:t>
      </w:r>
      <w:r w:rsidRPr="00931D46">
        <w:rPr>
          <w:rFonts w:ascii="Arial" w:hAnsi="Arial" w:cs="Arial"/>
        </w:rPr>
        <w:t>, defin</w:t>
      </w:r>
      <w:r>
        <w:rPr>
          <w:rFonts w:ascii="Arial" w:hAnsi="Arial" w:cs="Arial"/>
        </w:rPr>
        <w:t>ir</w:t>
      </w:r>
      <w:r w:rsidRPr="00931D46">
        <w:rPr>
          <w:rFonts w:ascii="Arial" w:hAnsi="Arial" w:cs="Arial"/>
        </w:rPr>
        <w:t xml:space="preserve"> el </w:t>
      </w:r>
      <w:r w:rsidRPr="0007382E">
        <w:rPr>
          <w:rFonts w:ascii="Arial" w:hAnsi="Arial" w:cs="Arial"/>
        </w:rPr>
        <w:t>mercado aguas arriba; asimismo, se advierte que las autoridades evalúan las restricciones directas e indirectas bajo un análisis caso por caso,</w:t>
      </w:r>
      <w:r w:rsidRPr="0007382E">
        <w:rPr>
          <w:rFonts w:ascii="Arial" w:hAnsi="Arial" w:cs="Arial"/>
          <w:vertAlign w:val="superscript"/>
        </w:rPr>
        <w:footnoteReference w:id="85"/>
      </w:r>
      <w:r w:rsidRPr="0007382E">
        <w:rPr>
          <w:rFonts w:ascii="Arial" w:hAnsi="Arial" w:cs="Arial"/>
        </w:rPr>
        <w:t xml:space="preserve"> pudiendo dar lugar a un único</w:t>
      </w:r>
      <w:r w:rsidRPr="00931D46">
        <w:rPr>
          <w:rFonts w:ascii="Arial" w:hAnsi="Arial" w:cs="Arial"/>
        </w:rPr>
        <w:t xml:space="preserve"> MR mayorista que integre a ambos eslabones de la cadena de valor, o a mercados separados (un MR minorista y un MR mayorista).</w:t>
      </w:r>
    </w:p>
    <w:p w14:paraId="3BB9AA4E" w14:textId="77777777" w:rsidR="003545C8" w:rsidRPr="00931D46" w:rsidRDefault="003545C8" w:rsidP="003545C8">
      <w:pPr>
        <w:spacing w:after="0"/>
        <w:jc w:val="both"/>
        <w:rPr>
          <w:rFonts w:ascii="Arial" w:hAnsi="Arial" w:cs="Arial"/>
          <w:lang w:eastAsia="es-MX"/>
        </w:rPr>
      </w:pPr>
    </w:p>
    <w:p w14:paraId="5CC74B20" w14:textId="106B02A2" w:rsidR="003545C8" w:rsidRPr="00931D46" w:rsidRDefault="0003578B"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10" w:name="_Toc39855729"/>
      <w:bookmarkStart w:id="111" w:name="_Toc41649781"/>
      <w:bookmarkStart w:id="112" w:name="_Toc41649914"/>
      <w:bookmarkStart w:id="113" w:name="_Toc45628364"/>
      <w:r>
        <w:rPr>
          <w:rFonts w:ascii="Arial" w:eastAsia="Times New Roman" w:hAnsi="Arial" w:cs="Arial"/>
          <w:sz w:val="26"/>
          <w:szCs w:val="26"/>
          <w:lang w:eastAsia="es-MX"/>
        </w:rPr>
        <w:t>E</w:t>
      </w:r>
      <w:r w:rsidR="003545C8" w:rsidRPr="00931D46">
        <w:rPr>
          <w:rFonts w:ascii="Arial" w:eastAsia="Times New Roman" w:hAnsi="Arial" w:cs="Arial"/>
          <w:sz w:val="26"/>
          <w:szCs w:val="26"/>
          <w:lang w:eastAsia="es-MX"/>
        </w:rPr>
        <w:t>lementos para de</w:t>
      </w:r>
      <w:r w:rsidR="003545C8">
        <w:rPr>
          <w:rFonts w:ascii="Arial" w:eastAsia="Times New Roman" w:hAnsi="Arial" w:cs="Arial"/>
          <w:sz w:val="26"/>
          <w:szCs w:val="26"/>
          <w:lang w:eastAsia="es-MX"/>
        </w:rPr>
        <w:t>terminar</w:t>
      </w:r>
      <w:r w:rsidR="003545C8" w:rsidRPr="00931D46">
        <w:rPr>
          <w:rFonts w:ascii="Arial" w:eastAsia="Times New Roman" w:hAnsi="Arial" w:cs="Arial"/>
          <w:sz w:val="26"/>
          <w:szCs w:val="26"/>
          <w:lang w:eastAsia="es-MX"/>
        </w:rPr>
        <w:t xml:space="preserve"> MR</w:t>
      </w:r>
      <w:bookmarkEnd w:id="110"/>
      <w:r w:rsidR="003545C8" w:rsidRPr="00931D46">
        <w:rPr>
          <w:rFonts w:ascii="Arial" w:eastAsia="Times New Roman" w:hAnsi="Arial" w:cs="Arial"/>
          <w:sz w:val="26"/>
          <w:szCs w:val="26"/>
          <w:lang w:eastAsia="es-MX"/>
        </w:rPr>
        <w:t xml:space="preserve"> en presencia de integración vertical</w:t>
      </w:r>
      <w:bookmarkEnd w:id="111"/>
      <w:bookmarkEnd w:id="112"/>
      <w:bookmarkEnd w:id="113"/>
    </w:p>
    <w:p w14:paraId="6499EDD4" w14:textId="77777777" w:rsidR="003545C8" w:rsidRPr="00931D46" w:rsidRDefault="003545C8" w:rsidP="003545C8">
      <w:pPr>
        <w:spacing w:after="0"/>
        <w:jc w:val="both"/>
        <w:rPr>
          <w:rFonts w:ascii="Arial" w:hAnsi="Arial" w:cs="Arial"/>
        </w:rPr>
      </w:pPr>
    </w:p>
    <w:p w14:paraId="0045CABE" w14:textId="77777777" w:rsidR="003545C8" w:rsidRPr="00931D46" w:rsidRDefault="003545C8" w:rsidP="003545C8">
      <w:pPr>
        <w:spacing w:after="0"/>
        <w:jc w:val="both"/>
        <w:rPr>
          <w:rFonts w:ascii="Arial" w:hAnsi="Arial" w:cs="Arial"/>
        </w:rPr>
      </w:pPr>
      <w:r>
        <w:rPr>
          <w:rFonts w:ascii="Arial" w:hAnsi="Arial" w:cs="Arial"/>
        </w:rPr>
        <w:t>P</w:t>
      </w:r>
      <w:r w:rsidRPr="00931D46">
        <w:rPr>
          <w:rFonts w:ascii="Arial" w:hAnsi="Arial" w:cs="Arial"/>
        </w:rPr>
        <w:t xml:space="preserve">ara determinar el MR en presencia de integraciones verticales, el Instituto </w:t>
      </w:r>
      <w:r>
        <w:rPr>
          <w:rFonts w:ascii="Arial" w:hAnsi="Arial" w:cs="Arial"/>
        </w:rPr>
        <w:t xml:space="preserve">podrá </w:t>
      </w:r>
      <w:r w:rsidRPr="00931D46">
        <w:rPr>
          <w:rFonts w:ascii="Arial" w:hAnsi="Arial" w:cs="Arial"/>
        </w:rPr>
        <w:t xml:space="preserve">favorecer un análisis que inicie con la definición de MR aguas abajo y prosiga con la definición de </w:t>
      </w:r>
      <w:r>
        <w:rPr>
          <w:rFonts w:ascii="Arial" w:hAnsi="Arial" w:cs="Arial"/>
        </w:rPr>
        <w:t>MR</w:t>
      </w:r>
      <w:r w:rsidRPr="00931D46">
        <w:rPr>
          <w:rFonts w:ascii="Arial" w:hAnsi="Arial" w:cs="Arial"/>
        </w:rPr>
        <w:t xml:space="preserve"> aguas arriba, para lo cual </w:t>
      </w:r>
      <w:r>
        <w:rPr>
          <w:rFonts w:ascii="Arial" w:hAnsi="Arial" w:cs="Arial"/>
        </w:rPr>
        <w:t xml:space="preserve">podrá </w:t>
      </w:r>
      <w:r w:rsidRPr="00931D46">
        <w:rPr>
          <w:rFonts w:ascii="Arial" w:hAnsi="Arial" w:cs="Arial"/>
        </w:rPr>
        <w:t xml:space="preserve">identificar la cadena de valor del </w:t>
      </w:r>
      <w:r>
        <w:rPr>
          <w:rFonts w:ascii="Arial" w:hAnsi="Arial" w:cs="Arial"/>
        </w:rPr>
        <w:t>producto</w:t>
      </w:r>
      <w:r w:rsidRPr="00931D46">
        <w:rPr>
          <w:rFonts w:ascii="Arial" w:hAnsi="Arial" w:cs="Arial"/>
        </w:rPr>
        <w:t xml:space="preserve"> involucrado aguas abajo y </w:t>
      </w:r>
      <w:r w:rsidRPr="00931D46">
        <w:rPr>
          <w:rFonts w:ascii="Arial" w:hAnsi="Arial" w:cs="Arial"/>
        </w:rPr>
        <w:lastRenderedPageBreak/>
        <w:t>los eslabones en los que intervienen las partes involucradas en la operación o conducta bajo análisis.</w:t>
      </w:r>
    </w:p>
    <w:p w14:paraId="107F7DA5" w14:textId="77777777" w:rsidR="003545C8" w:rsidRPr="00931D46" w:rsidRDefault="003545C8" w:rsidP="003545C8">
      <w:pPr>
        <w:spacing w:after="0"/>
        <w:jc w:val="both"/>
        <w:rPr>
          <w:rFonts w:ascii="Arial" w:hAnsi="Arial" w:cs="Arial"/>
        </w:rPr>
      </w:pPr>
    </w:p>
    <w:p w14:paraId="0603D347" w14:textId="77777777" w:rsidR="003545C8" w:rsidRPr="0007382E" w:rsidRDefault="003545C8" w:rsidP="003545C8">
      <w:pPr>
        <w:spacing w:after="0"/>
        <w:jc w:val="both"/>
        <w:rPr>
          <w:rFonts w:ascii="Arial" w:hAnsi="Arial" w:cs="Arial"/>
        </w:rPr>
      </w:pPr>
      <w:r w:rsidRPr="00931D46">
        <w:rPr>
          <w:rFonts w:ascii="Arial" w:hAnsi="Arial" w:cs="Arial"/>
        </w:rPr>
        <w:t>En la determinación de MR mayoristas, el Instituto</w:t>
      </w:r>
      <w:r>
        <w:rPr>
          <w:rFonts w:ascii="Arial" w:hAnsi="Arial" w:cs="Arial"/>
        </w:rPr>
        <w:t xml:space="preserve"> podrá</w:t>
      </w:r>
      <w:r w:rsidRPr="00931D46">
        <w:rPr>
          <w:rFonts w:ascii="Arial" w:hAnsi="Arial" w:cs="Arial"/>
        </w:rPr>
        <w:t xml:space="preserve"> tomar en cuenta las presiones competitivas </w:t>
      </w:r>
      <w:r w:rsidRPr="0007382E">
        <w:rPr>
          <w:rFonts w:ascii="Arial" w:hAnsi="Arial" w:cs="Arial"/>
        </w:rPr>
        <w:t xml:space="preserve">directas e indirectas bajo un análisis caso por caso, y cuando las presiones indirectas no sean suficientemente fuertes para ampliar el MR, </w:t>
      </w:r>
      <w:r>
        <w:rPr>
          <w:rFonts w:ascii="Arial" w:hAnsi="Arial" w:cs="Arial"/>
        </w:rPr>
        <w:t xml:space="preserve">estas </w:t>
      </w:r>
      <w:r w:rsidRPr="0007382E">
        <w:rPr>
          <w:rFonts w:ascii="Arial" w:hAnsi="Arial" w:cs="Arial"/>
        </w:rPr>
        <w:t>podrán considerarse en la fase de evaluación de efectos o condiciones de competencia.</w:t>
      </w:r>
    </w:p>
    <w:p w14:paraId="5BCCEC57" w14:textId="77777777" w:rsidR="003545C8" w:rsidRPr="0007382E" w:rsidRDefault="003545C8" w:rsidP="003545C8">
      <w:pPr>
        <w:spacing w:after="0"/>
        <w:jc w:val="both"/>
        <w:rPr>
          <w:rFonts w:ascii="Arial" w:hAnsi="Arial" w:cs="Arial"/>
        </w:rPr>
      </w:pPr>
    </w:p>
    <w:p w14:paraId="5F93B5AE" w14:textId="77777777" w:rsidR="003545C8" w:rsidRPr="0007382E" w:rsidRDefault="003545C8" w:rsidP="003545C8">
      <w:pPr>
        <w:spacing w:after="0"/>
        <w:jc w:val="both"/>
        <w:rPr>
          <w:rFonts w:ascii="Arial" w:hAnsi="Arial" w:cs="Arial"/>
        </w:rPr>
      </w:pPr>
      <w:r w:rsidRPr="0007382E">
        <w:rPr>
          <w:rFonts w:ascii="Arial" w:hAnsi="Arial" w:cs="Arial"/>
        </w:rPr>
        <w:t xml:space="preserve">En la determinación de restricciones (presiones) competitivas indirectas, el Instituto podrá considerar, entre otros elementos, i) el cociente entre los precios de los mercados mayorista y minorista; </w:t>
      </w:r>
      <w:proofErr w:type="spellStart"/>
      <w:r w:rsidRPr="0007382E">
        <w:rPr>
          <w:rFonts w:ascii="Arial" w:hAnsi="Arial" w:cs="Arial"/>
        </w:rPr>
        <w:t>ii</w:t>
      </w:r>
      <w:proofErr w:type="spellEnd"/>
      <w:r w:rsidRPr="0007382E">
        <w:rPr>
          <w:rFonts w:ascii="Arial" w:hAnsi="Arial" w:cs="Arial"/>
        </w:rPr>
        <w:t xml:space="preserve">) el nivel de competencia en el mercado minorista; y </w:t>
      </w:r>
      <w:proofErr w:type="spellStart"/>
      <w:r w:rsidRPr="0007382E">
        <w:rPr>
          <w:rFonts w:ascii="Arial" w:hAnsi="Arial" w:cs="Arial"/>
        </w:rPr>
        <w:t>iii</w:t>
      </w:r>
      <w:proofErr w:type="spellEnd"/>
      <w:r w:rsidRPr="0007382E">
        <w:rPr>
          <w:rFonts w:ascii="Arial" w:hAnsi="Arial" w:cs="Arial"/>
        </w:rPr>
        <w:t>) la sensibilidad de los consumidores en el mercado minorista al precio u otras características de los productos.</w:t>
      </w:r>
    </w:p>
    <w:p w14:paraId="40ADABBA" w14:textId="77777777" w:rsidR="003545C8" w:rsidRPr="0007382E" w:rsidRDefault="003545C8" w:rsidP="003545C8">
      <w:pPr>
        <w:spacing w:after="0"/>
        <w:jc w:val="both"/>
        <w:rPr>
          <w:rFonts w:ascii="Arial" w:hAnsi="Arial" w:cs="Arial"/>
        </w:rPr>
      </w:pPr>
    </w:p>
    <w:p w14:paraId="61A1DE67" w14:textId="77777777" w:rsidR="003545C8" w:rsidRPr="0007382E"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114" w:name="_Toc45216588"/>
      <w:bookmarkStart w:id="115" w:name="_Toc45628365"/>
      <w:bookmarkStart w:id="116" w:name="_Toc71717652"/>
      <w:r w:rsidRPr="0007382E">
        <w:rPr>
          <w:rFonts w:ascii="Arial" w:eastAsia="Times New Roman" w:hAnsi="Arial" w:cs="Arial"/>
          <w:sz w:val="26"/>
          <w:lang w:eastAsia="es-MX"/>
        </w:rPr>
        <w:t>Sustitución asimétrica</w:t>
      </w:r>
      <w:bookmarkEnd w:id="100"/>
      <w:bookmarkEnd w:id="101"/>
      <w:bookmarkEnd w:id="114"/>
      <w:bookmarkEnd w:id="115"/>
      <w:bookmarkEnd w:id="116"/>
      <w:r w:rsidRPr="0007382E">
        <w:rPr>
          <w:rFonts w:ascii="Arial" w:eastAsia="Times New Roman" w:hAnsi="Arial" w:cs="Arial"/>
          <w:sz w:val="26"/>
          <w:lang w:eastAsia="es-MX"/>
        </w:rPr>
        <w:t xml:space="preserve"> </w:t>
      </w:r>
    </w:p>
    <w:p w14:paraId="19DDFB79" w14:textId="77777777" w:rsidR="003545C8" w:rsidRPr="0007382E" w:rsidRDefault="003545C8" w:rsidP="003545C8">
      <w:pPr>
        <w:keepNext/>
        <w:spacing w:after="0"/>
        <w:jc w:val="both"/>
        <w:rPr>
          <w:rFonts w:ascii="Arial" w:eastAsia="Times New Roman" w:hAnsi="Arial" w:cs="Arial"/>
          <w:b/>
          <w:szCs w:val="26"/>
          <w:lang w:eastAsia="es-MX"/>
        </w:rPr>
      </w:pPr>
    </w:p>
    <w:p w14:paraId="74051391" w14:textId="77777777" w:rsidR="003545C8" w:rsidRPr="0007382E" w:rsidRDefault="003545C8" w:rsidP="003545C8">
      <w:pPr>
        <w:spacing w:after="0"/>
        <w:jc w:val="both"/>
        <w:rPr>
          <w:rFonts w:ascii="Arial" w:hAnsi="Arial" w:cs="Arial"/>
        </w:rPr>
      </w:pPr>
      <w:r w:rsidRPr="0007382E">
        <w:rPr>
          <w:rFonts w:ascii="Arial" w:hAnsi="Arial" w:cs="Arial"/>
        </w:rPr>
        <w:t>La sustitución asimétrica puede definirse como la sustitución entre dos productos que ocurre en una sola dirección.</w:t>
      </w:r>
      <w:r w:rsidRPr="0007382E">
        <w:rPr>
          <w:rStyle w:val="Refdenotaalpie"/>
          <w:rFonts w:ascii="Arial" w:hAnsi="Arial" w:cs="Arial"/>
        </w:rPr>
        <w:footnoteReference w:id="86"/>
      </w:r>
      <w:r w:rsidRPr="0007382E">
        <w:rPr>
          <w:rFonts w:ascii="Arial" w:hAnsi="Arial" w:cs="Arial"/>
        </w:rPr>
        <w:t xml:space="preserve"> En otras palabras, un producto </w:t>
      </w:r>
      <w:r w:rsidRPr="0007382E">
        <w:rPr>
          <w:rFonts w:ascii="Arial" w:hAnsi="Arial" w:cs="Arial"/>
          <w:i/>
        </w:rPr>
        <w:t>A</w:t>
      </w:r>
      <w:r w:rsidRPr="0007382E">
        <w:rPr>
          <w:rFonts w:ascii="Arial" w:hAnsi="Arial" w:cs="Arial"/>
        </w:rPr>
        <w:t xml:space="preserve"> puede sustituir</w:t>
      </w:r>
      <w:r w:rsidRPr="00931D46">
        <w:rPr>
          <w:rFonts w:ascii="Arial" w:hAnsi="Arial" w:cs="Arial"/>
        </w:rPr>
        <w:t xml:space="preserve"> al </w:t>
      </w:r>
      <w:r>
        <w:rPr>
          <w:rFonts w:ascii="Arial" w:hAnsi="Arial" w:cs="Arial"/>
        </w:rPr>
        <w:t>producto</w:t>
      </w:r>
      <w:r w:rsidRPr="00931D46">
        <w:rPr>
          <w:rFonts w:ascii="Arial" w:hAnsi="Arial" w:cs="Arial"/>
        </w:rPr>
        <w:t xml:space="preserve"> </w:t>
      </w:r>
      <w:r w:rsidRPr="0084256A">
        <w:rPr>
          <w:rFonts w:ascii="Arial" w:hAnsi="Arial" w:cs="Arial"/>
          <w:i/>
        </w:rPr>
        <w:t>B</w:t>
      </w:r>
      <w:r w:rsidRPr="00931D46">
        <w:rPr>
          <w:rFonts w:ascii="Arial" w:hAnsi="Arial" w:cs="Arial"/>
        </w:rPr>
        <w:t xml:space="preserve">, pero el </w:t>
      </w:r>
      <w:r>
        <w:rPr>
          <w:rFonts w:ascii="Arial" w:hAnsi="Arial" w:cs="Arial"/>
        </w:rPr>
        <w:t>producto</w:t>
      </w:r>
      <w:r w:rsidRPr="00931D46">
        <w:rPr>
          <w:rFonts w:ascii="Arial" w:hAnsi="Arial" w:cs="Arial"/>
        </w:rPr>
        <w:t xml:space="preserve"> </w:t>
      </w:r>
      <w:r w:rsidRPr="0084256A">
        <w:rPr>
          <w:rFonts w:ascii="Arial" w:hAnsi="Arial" w:cs="Arial"/>
          <w:i/>
        </w:rPr>
        <w:t>B</w:t>
      </w:r>
      <w:r w:rsidRPr="00931D46">
        <w:rPr>
          <w:rFonts w:ascii="Arial" w:hAnsi="Arial" w:cs="Arial"/>
        </w:rPr>
        <w:t xml:space="preserve">, debido a características físicas, técnicas o funcionales (por ejemplo, calidad inferior, funcionalidades más limitadas o especializadas, o que el </w:t>
      </w:r>
      <w:r w:rsidRPr="0007382E">
        <w:rPr>
          <w:rFonts w:ascii="Arial" w:hAnsi="Arial" w:cs="Arial"/>
        </w:rPr>
        <w:t xml:space="preserve">producto </w:t>
      </w:r>
      <w:r w:rsidRPr="0007382E">
        <w:rPr>
          <w:rFonts w:ascii="Arial" w:hAnsi="Arial" w:cs="Arial"/>
          <w:i/>
        </w:rPr>
        <w:t>A</w:t>
      </w:r>
      <w:r w:rsidRPr="0007382E">
        <w:rPr>
          <w:rFonts w:ascii="Arial" w:hAnsi="Arial" w:cs="Arial"/>
        </w:rPr>
        <w:t xml:space="preserve"> sea un paquete que incluye al </w:t>
      </w:r>
      <w:r>
        <w:rPr>
          <w:rFonts w:ascii="Arial" w:hAnsi="Arial" w:cs="Arial"/>
        </w:rPr>
        <w:t>producto</w:t>
      </w:r>
      <w:r w:rsidRPr="0007382E">
        <w:rPr>
          <w:rFonts w:ascii="Arial" w:hAnsi="Arial" w:cs="Arial"/>
        </w:rPr>
        <w:t xml:space="preserve"> </w:t>
      </w:r>
      <w:r w:rsidRPr="0007382E">
        <w:rPr>
          <w:rFonts w:ascii="Arial" w:hAnsi="Arial" w:cs="Arial"/>
          <w:i/>
        </w:rPr>
        <w:t>B</w:t>
      </w:r>
      <w:r w:rsidRPr="0007382E">
        <w:rPr>
          <w:rFonts w:ascii="Arial" w:hAnsi="Arial" w:cs="Arial"/>
        </w:rPr>
        <w:t xml:space="preserve">), no puede sustituir al producto </w:t>
      </w:r>
      <w:r w:rsidRPr="0007382E">
        <w:rPr>
          <w:rFonts w:ascii="Arial" w:hAnsi="Arial" w:cs="Arial"/>
          <w:i/>
        </w:rPr>
        <w:t>A</w:t>
      </w:r>
      <w:r w:rsidRPr="0007382E">
        <w:rPr>
          <w:rFonts w:ascii="Arial" w:hAnsi="Arial" w:cs="Arial"/>
        </w:rPr>
        <w:t xml:space="preserve">. En este sentido, la sustitución asimétrica tiene implicaciones importantes para la determinación del MR, pues éste podría ser distinto dependiendo del producto focal con el que se inicie el análisis de sustitución. Asimismo, se identifican dos posibilidades para tratarla: i) incluir en el mismo MR a los productos que sustituyan asimétricamente al producto focal, o </w:t>
      </w:r>
      <w:proofErr w:type="spellStart"/>
      <w:r w:rsidRPr="0007382E">
        <w:rPr>
          <w:rFonts w:ascii="Arial" w:hAnsi="Arial" w:cs="Arial"/>
        </w:rPr>
        <w:t>ii</w:t>
      </w:r>
      <w:proofErr w:type="spellEnd"/>
      <w:r w:rsidRPr="0007382E">
        <w:rPr>
          <w:rFonts w:ascii="Arial" w:hAnsi="Arial" w:cs="Arial"/>
        </w:rPr>
        <w:t>) sin importar la dirección de la sustitución, determinar MR separados para el producto focal y para los productos alternativos, y considerar la presión competitiva que ejerzan entre sí en etapas posteriores del análisis de competencia.</w:t>
      </w:r>
    </w:p>
    <w:p w14:paraId="01CC8DE0" w14:textId="77777777" w:rsidR="003545C8" w:rsidRPr="0007382E" w:rsidRDefault="003545C8" w:rsidP="003545C8">
      <w:pPr>
        <w:spacing w:after="0"/>
        <w:jc w:val="both"/>
        <w:rPr>
          <w:rFonts w:ascii="Arial" w:hAnsi="Arial" w:cs="Arial"/>
        </w:rPr>
      </w:pPr>
    </w:p>
    <w:p w14:paraId="1F6B88F1" w14:textId="77777777" w:rsidR="003545C8" w:rsidRPr="00931D46" w:rsidRDefault="003545C8" w:rsidP="003545C8">
      <w:pPr>
        <w:spacing w:after="0"/>
        <w:jc w:val="both"/>
        <w:rPr>
          <w:rFonts w:ascii="Arial" w:hAnsi="Arial" w:cs="Arial"/>
        </w:rPr>
      </w:pPr>
      <w:r w:rsidRPr="0007382E">
        <w:rPr>
          <w:rFonts w:ascii="Arial" w:hAnsi="Arial" w:cs="Arial"/>
        </w:rPr>
        <w:t>En el caso particular de servicios de telecomunicaciones, la sustitución asimétrica puede darse, por ejemplo, en situaciones de transición tecnológica en las que un nuevo desarrollo tecnológico incluye las características del desarrollo anterior, pero incorpora nuevas características o funcionalidades que son valoradas por los consumidores; o entre servicios individuales frente a paquetes de servicios, en el que los usuarios no están dispuestos a sustituir un paquete por un servicio individual, pero sí están dispuestos a sustituir un servicio individual por un paquete.</w:t>
      </w:r>
      <w:r w:rsidRPr="0007382E">
        <w:rPr>
          <w:rStyle w:val="Refdenotaalpie"/>
          <w:rFonts w:ascii="Arial" w:hAnsi="Arial" w:cs="Arial"/>
        </w:rPr>
        <w:footnoteReference w:id="87"/>
      </w:r>
      <w:r w:rsidRPr="0007382E">
        <w:rPr>
          <w:rFonts w:ascii="Arial" w:hAnsi="Arial" w:cs="Arial"/>
        </w:rPr>
        <w:t xml:space="preserve"> En este escenario, el paquete representaría una presión competitiva sobre el servicio individual pero lo inverso no ocurre, por lo que el paquete podría incluirse en el MR si se elige el servicio individual </w:t>
      </w:r>
      <w:r w:rsidRPr="0007382E">
        <w:rPr>
          <w:rFonts w:ascii="Arial" w:hAnsi="Arial" w:cs="Arial"/>
        </w:rPr>
        <w:lastRenderedPageBreak/>
        <w:t>como producto focal, pero el servicio individual podría no incluirse en el MR si el producto focal es el paquete.</w:t>
      </w:r>
      <w:r w:rsidRPr="0007382E">
        <w:rPr>
          <w:rStyle w:val="Refdenotaalpie"/>
          <w:rFonts w:ascii="Arial" w:hAnsi="Arial" w:cs="Arial"/>
        </w:rPr>
        <w:footnoteReference w:id="88"/>
      </w:r>
    </w:p>
    <w:p w14:paraId="7B7152BA" w14:textId="77777777" w:rsidR="003545C8" w:rsidRPr="00931D46" w:rsidRDefault="003545C8" w:rsidP="003545C8">
      <w:pPr>
        <w:spacing w:after="0"/>
        <w:jc w:val="both"/>
        <w:rPr>
          <w:rFonts w:ascii="Arial" w:hAnsi="Arial" w:cs="Arial"/>
        </w:rPr>
      </w:pPr>
    </w:p>
    <w:p w14:paraId="457F9DDC" w14:textId="77777777" w:rsidR="003545C8" w:rsidRPr="00931D46" w:rsidRDefault="003545C8" w:rsidP="003545C8">
      <w:pPr>
        <w:spacing w:after="0"/>
        <w:jc w:val="both"/>
        <w:rPr>
          <w:rFonts w:ascii="Arial" w:hAnsi="Arial" w:cs="Arial"/>
        </w:rPr>
      </w:pPr>
      <w:r w:rsidRPr="00931D46">
        <w:rPr>
          <w:rFonts w:ascii="Arial" w:hAnsi="Arial" w:cs="Arial"/>
        </w:rPr>
        <w:t xml:space="preserve">La sustitución asimétrica se ha observado entre servicios de telecomunicaciones como el acceso a Internet fijo y móvil; servicios de telecomunicaciones ofrecidos de manera individual y en paquetes </w:t>
      </w:r>
      <w:r w:rsidRPr="00931D46">
        <w:rPr>
          <w:rFonts w:ascii="Arial" w:hAnsi="Arial" w:cs="Arial"/>
          <w:i/>
        </w:rPr>
        <w:t xml:space="preserve">doble </w:t>
      </w:r>
      <w:proofErr w:type="spellStart"/>
      <w:r w:rsidRPr="00931D46">
        <w:rPr>
          <w:rFonts w:ascii="Arial" w:hAnsi="Arial" w:cs="Arial"/>
          <w:i/>
        </w:rPr>
        <w:t>play</w:t>
      </w:r>
      <w:proofErr w:type="spellEnd"/>
      <w:r w:rsidRPr="00931D46">
        <w:rPr>
          <w:rFonts w:ascii="Arial" w:hAnsi="Arial" w:cs="Arial"/>
        </w:rPr>
        <w:t xml:space="preserve"> y </w:t>
      </w:r>
      <w:r w:rsidRPr="00931D46">
        <w:rPr>
          <w:rFonts w:ascii="Arial" w:hAnsi="Arial" w:cs="Arial"/>
          <w:i/>
        </w:rPr>
        <w:t xml:space="preserve">triple </w:t>
      </w:r>
      <w:proofErr w:type="spellStart"/>
      <w:r w:rsidRPr="00931D46">
        <w:rPr>
          <w:rFonts w:ascii="Arial" w:hAnsi="Arial" w:cs="Arial"/>
          <w:i/>
        </w:rPr>
        <w:t>play</w:t>
      </w:r>
      <w:proofErr w:type="spellEnd"/>
      <w:r w:rsidRPr="00931D46">
        <w:rPr>
          <w:rFonts w:ascii="Arial" w:hAnsi="Arial" w:cs="Arial"/>
        </w:rPr>
        <w:t>; así como los servicios de acceso a Internet de alta velocidad frente a los de baja velocidad.</w:t>
      </w:r>
      <w:r w:rsidRPr="00931D46">
        <w:rPr>
          <w:rStyle w:val="Refdenotaalpie"/>
          <w:rFonts w:ascii="Arial" w:hAnsi="Arial" w:cs="Arial"/>
        </w:rPr>
        <w:footnoteReference w:id="89"/>
      </w:r>
      <w:r w:rsidRPr="00931D46">
        <w:rPr>
          <w:rFonts w:ascii="Arial" w:hAnsi="Arial" w:cs="Arial"/>
        </w:rPr>
        <w:t xml:space="preserve"> </w:t>
      </w:r>
    </w:p>
    <w:p w14:paraId="4BD7D72A" w14:textId="77777777" w:rsidR="003545C8" w:rsidRPr="00931D46" w:rsidRDefault="003545C8" w:rsidP="003545C8">
      <w:pPr>
        <w:spacing w:after="0"/>
        <w:jc w:val="both"/>
        <w:rPr>
          <w:rFonts w:ascii="Arial" w:hAnsi="Arial" w:cs="Arial"/>
        </w:rPr>
      </w:pPr>
    </w:p>
    <w:p w14:paraId="326642B8"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17" w:name="_Toc45628367"/>
      <w:r w:rsidRPr="00931D46">
        <w:rPr>
          <w:rFonts w:ascii="Arial" w:eastAsia="Times New Roman" w:hAnsi="Arial" w:cs="Arial"/>
          <w:sz w:val="26"/>
          <w:szCs w:val="26"/>
          <w:lang w:eastAsia="es-MX"/>
        </w:rPr>
        <w:t>Precedentes decisorios del Instituto</w:t>
      </w:r>
      <w:bookmarkEnd w:id="117"/>
    </w:p>
    <w:p w14:paraId="181A6C3B" w14:textId="77777777" w:rsidR="003545C8" w:rsidRPr="00931D46" w:rsidRDefault="003545C8" w:rsidP="003545C8">
      <w:pPr>
        <w:keepNext/>
        <w:spacing w:after="0"/>
        <w:jc w:val="both"/>
        <w:rPr>
          <w:rFonts w:ascii="Arial" w:hAnsi="Arial" w:cs="Arial"/>
        </w:rPr>
      </w:pPr>
    </w:p>
    <w:p w14:paraId="48B6CFAD" w14:textId="77777777" w:rsidR="003545C8" w:rsidRPr="00931D46" w:rsidRDefault="003545C8" w:rsidP="003545C8">
      <w:pPr>
        <w:spacing w:after="0"/>
        <w:jc w:val="both"/>
        <w:rPr>
          <w:rFonts w:ascii="Arial" w:hAnsi="Arial" w:cs="Arial"/>
          <w:lang w:eastAsia="es-MX"/>
        </w:rPr>
      </w:pPr>
      <w:r w:rsidRPr="00931D46">
        <w:rPr>
          <w:rFonts w:ascii="Arial" w:hAnsi="Arial" w:cs="Arial"/>
        </w:rPr>
        <w:t xml:space="preserve">Dentro de los precedentes decisorios del Instituto, </w:t>
      </w:r>
      <w:r>
        <w:rPr>
          <w:rFonts w:ascii="Arial" w:hAnsi="Arial" w:cs="Arial"/>
        </w:rPr>
        <w:t>existen</w:t>
      </w:r>
      <w:r w:rsidRPr="00931D46">
        <w:rPr>
          <w:rFonts w:ascii="Arial" w:hAnsi="Arial" w:cs="Arial"/>
        </w:rPr>
        <w:t xml:space="preserve"> casos</w:t>
      </w:r>
      <w:r w:rsidRPr="004F4000">
        <w:rPr>
          <w:rFonts w:ascii="Arial" w:eastAsia="Times New Roman" w:hAnsi="Arial" w:cs="Arial"/>
          <w:vertAlign w:val="superscript"/>
          <w:lang w:val="en-US"/>
        </w:rPr>
        <w:footnoteReference w:id="90"/>
      </w:r>
      <w:r w:rsidRPr="00931D46">
        <w:rPr>
          <w:rFonts w:ascii="Arial" w:hAnsi="Arial" w:cs="Arial"/>
        </w:rPr>
        <w:t xml:space="preserve"> en los que se </w:t>
      </w:r>
      <w:r>
        <w:rPr>
          <w:rFonts w:ascii="Arial" w:hAnsi="Arial" w:cs="Arial"/>
        </w:rPr>
        <w:t xml:space="preserve">ha </w:t>
      </w:r>
      <w:r w:rsidRPr="00931D46">
        <w:rPr>
          <w:rFonts w:ascii="Arial" w:hAnsi="Arial" w:cs="Arial"/>
        </w:rPr>
        <w:t>incorpora</w:t>
      </w:r>
      <w:r>
        <w:rPr>
          <w:rFonts w:ascii="Arial" w:hAnsi="Arial" w:cs="Arial"/>
        </w:rPr>
        <w:t>do</w:t>
      </w:r>
      <w:r w:rsidRPr="00931D46">
        <w:rPr>
          <w:rFonts w:ascii="Arial" w:hAnsi="Arial" w:cs="Arial"/>
        </w:rPr>
        <w:t xml:space="preserve"> en la determinación de MR el concepto de sustitución asimétrica, y otros en los que se ha reconocido la relevancia de incorporar dicho concepto al análisis de sustitución.</w:t>
      </w:r>
    </w:p>
    <w:p w14:paraId="2849FB30" w14:textId="77777777" w:rsidR="003545C8" w:rsidRPr="00931D46" w:rsidRDefault="003545C8" w:rsidP="003545C8">
      <w:pPr>
        <w:spacing w:after="0"/>
        <w:jc w:val="both"/>
        <w:rPr>
          <w:rFonts w:ascii="Arial" w:hAnsi="Arial" w:cs="Arial"/>
          <w:lang w:eastAsia="es-MX"/>
        </w:rPr>
      </w:pPr>
    </w:p>
    <w:p w14:paraId="39362406"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18" w:name="_Toc45628368"/>
      <w:r w:rsidRPr="00931D46">
        <w:rPr>
          <w:rFonts w:ascii="Arial" w:eastAsia="Times New Roman" w:hAnsi="Arial" w:cs="Arial"/>
          <w:sz w:val="26"/>
          <w:szCs w:val="26"/>
          <w:lang w:eastAsia="es-MX"/>
        </w:rPr>
        <w:t>Experiencia internacional</w:t>
      </w:r>
      <w:bookmarkEnd w:id="118"/>
      <w:r w:rsidRPr="00931D46">
        <w:rPr>
          <w:rFonts w:ascii="Arial" w:eastAsia="Times New Roman" w:hAnsi="Arial" w:cs="Arial"/>
          <w:sz w:val="26"/>
          <w:szCs w:val="26"/>
          <w:lang w:eastAsia="es-MX"/>
        </w:rPr>
        <w:t xml:space="preserve"> </w:t>
      </w:r>
    </w:p>
    <w:p w14:paraId="6D10CDDF" w14:textId="77777777" w:rsidR="003545C8" w:rsidRPr="00931D46" w:rsidRDefault="003545C8" w:rsidP="003545C8">
      <w:pPr>
        <w:keepNext/>
        <w:spacing w:after="0"/>
        <w:jc w:val="both"/>
        <w:rPr>
          <w:rFonts w:ascii="Arial" w:hAnsi="Arial" w:cs="Arial"/>
        </w:rPr>
      </w:pPr>
    </w:p>
    <w:p w14:paraId="38B6E018" w14:textId="77777777" w:rsidR="003545C8" w:rsidRDefault="003545C8" w:rsidP="003545C8">
      <w:pPr>
        <w:spacing w:after="0"/>
        <w:jc w:val="both"/>
        <w:rPr>
          <w:rFonts w:ascii="Arial" w:hAnsi="Arial" w:cs="Arial"/>
          <w:lang w:eastAsia="es-MX"/>
        </w:rPr>
      </w:pPr>
      <w:r>
        <w:rPr>
          <w:rFonts w:ascii="Arial" w:hAnsi="Arial" w:cs="Arial"/>
        </w:rPr>
        <w:t>L</w:t>
      </w:r>
      <w:r w:rsidRPr="00931D46">
        <w:rPr>
          <w:rFonts w:ascii="Arial" w:hAnsi="Arial" w:cs="Arial"/>
        </w:rPr>
        <w:t xml:space="preserve">os principales criterios </w:t>
      </w:r>
      <w:r>
        <w:rPr>
          <w:rFonts w:ascii="Arial" w:hAnsi="Arial" w:cs="Arial"/>
        </w:rPr>
        <w:t>considerados</w:t>
      </w:r>
      <w:r w:rsidRPr="00931D46">
        <w:rPr>
          <w:rFonts w:ascii="Arial" w:hAnsi="Arial" w:cs="Arial"/>
        </w:rPr>
        <w:t xml:space="preserve"> 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Fonts w:ascii="Arial" w:eastAsia="Times New Roman" w:hAnsi="Arial" w:cs="Arial"/>
          <w:vertAlign w:val="superscript"/>
          <w:lang w:val="en-US" w:eastAsia="es-MX"/>
        </w:rPr>
        <w:footnoteReference w:id="91"/>
      </w:r>
      <w:r w:rsidRPr="00931D46">
        <w:rPr>
          <w:rFonts w:ascii="Arial" w:hAnsi="Arial" w:cs="Arial"/>
        </w:rPr>
        <w:t xml:space="preserve"> Estados Unidos de América,</w:t>
      </w:r>
      <w:r w:rsidRPr="00931D46">
        <w:rPr>
          <w:rStyle w:val="Refdenotaalpie"/>
          <w:rFonts w:ascii="Arial" w:hAnsi="Arial" w:cs="Arial"/>
          <w:lang w:eastAsia="es-MX"/>
        </w:rPr>
        <w:footnoteReference w:id="92"/>
      </w:r>
      <w:r w:rsidRPr="00931D46">
        <w:rPr>
          <w:rFonts w:ascii="Arial" w:hAnsi="Arial" w:cs="Arial"/>
        </w:rPr>
        <w:t xml:space="preserve"> Portugal</w:t>
      </w:r>
      <w:r w:rsidRPr="00931D46">
        <w:rPr>
          <w:rStyle w:val="Refdenotaalpie"/>
          <w:rFonts w:ascii="Arial" w:hAnsi="Arial" w:cs="Arial"/>
        </w:rPr>
        <w:footnoteReference w:id="93"/>
      </w:r>
      <w:r w:rsidRPr="00931D46">
        <w:rPr>
          <w:rFonts w:ascii="Arial" w:hAnsi="Arial" w:cs="Arial"/>
        </w:rPr>
        <w:t xml:space="preserve"> y Reino Unido</w:t>
      </w:r>
      <w:r w:rsidRPr="00931D46">
        <w:rPr>
          <w:rStyle w:val="Refdenotaalpie"/>
          <w:rFonts w:ascii="Arial" w:hAnsi="Arial" w:cs="Arial"/>
        </w:rPr>
        <w:footnoteReference w:id="94"/>
      </w:r>
      <w:r w:rsidRPr="00931D46">
        <w:rPr>
          <w:rFonts w:ascii="Arial" w:hAnsi="Arial" w:cs="Arial"/>
        </w:rPr>
        <w:t xml:space="preserve"> para determinar MR en presencia de sustitución asimétrica, </w:t>
      </w:r>
      <w:r>
        <w:rPr>
          <w:rFonts w:ascii="Arial" w:hAnsi="Arial" w:cs="Arial"/>
        </w:rPr>
        <w:t xml:space="preserve">han resultado en </w:t>
      </w:r>
      <w:r w:rsidRPr="00931D46">
        <w:rPr>
          <w:rFonts w:ascii="Arial" w:hAnsi="Arial" w:cs="Arial"/>
          <w:lang w:eastAsia="es-MX"/>
        </w:rPr>
        <w:t xml:space="preserve">dos enfoques para determinar el MR: i) incluir en el MR </w:t>
      </w:r>
      <w:r w:rsidRPr="00931D46">
        <w:rPr>
          <w:rFonts w:ascii="Arial" w:hAnsi="Arial" w:cs="Arial"/>
          <w:lang w:eastAsia="es-MX"/>
        </w:rPr>
        <w:lastRenderedPageBreak/>
        <w:t xml:space="preserve">a los </w:t>
      </w:r>
      <w:r>
        <w:rPr>
          <w:rFonts w:ascii="Arial" w:hAnsi="Arial" w:cs="Arial"/>
          <w:lang w:eastAsia="es-MX"/>
        </w:rPr>
        <w:t>productos</w:t>
      </w:r>
      <w:r w:rsidRPr="00931D46">
        <w:rPr>
          <w:rFonts w:ascii="Arial" w:hAnsi="Arial" w:cs="Arial"/>
          <w:lang w:eastAsia="es-MX"/>
        </w:rPr>
        <w:t xml:space="preserve"> que sustituyan asimétricamente al </w:t>
      </w:r>
      <w:r>
        <w:rPr>
          <w:rFonts w:ascii="Arial" w:hAnsi="Arial" w:cs="Arial"/>
          <w:lang w:eastAsia="es-MX"/>
        </w:rPr>
        <w:t>producto</w:t>
      </w:r>
      <w:r w:rsidRPr="00931D46">
        <w:rPr>
          <w:rFonts w:ascii="Arial" w:hAnsi="Arial" w:cs="Arial"/>
          <w:lang w:eastAsia="es-MX"/>
        </w:rPr>
        <w:t xml:space="preserve"> focal y </w:t>
      </w:r>
      <w:proofErr w:type="spellStart"/>
      <w:r w:rsidRPr="00931D46">
        <w:rPr>
          <w:rFonts w:ascii="Arial" w:hAnsi="Arial" w:cs="Arial"/>
          <w:lang w:eastAsia="es-MX"/>
        </w:rPr>
        <w:t>ii</w:t>
      </w:r>
      <w:proofErr w:type="spellEnd"/>
      <w:r w:rsidRPr="00931D46">
        <w:rPr>
          <w:rFonts w:ascii="Arial" w:hAnsi="Arial" w:cs="Arial"/>
          <w:lang w:eastAsia="es-MX"/>
        </w:rPr>
        <w:t xml:space="preserve">) sin importar la dirección de la sustitución, determinar MR separados para el </w:t>
      </w:r>
      <w:r>
        <w:rPr>
          <w:rFonts w:ascii="Arial" w:hAnsi="Arial" w:cs="Arial"/>
          <w:lang w:eastAsia="es-MX"/>
        </w:rPr>
        <w:t>producto</w:t>
      </w:r>
      <w:r w:rsidRPr="00931D46">
        <w:rPr>
          <w:rFonts w:ascii="Arial" w:hAnsi="Arial" w:cs="Arial"/>
          <w:lang w:eastAsia="es-MX"/>
        </w:rPr>
        <w:t xml:space="preserve"> focal y para los </w:t>
      </w:r>
      <w:r>
        <w:rPr>
          <w:rFonts w:ascii="Arial" w:hAnsi="Arial" w:cs="Arial"/>
          <w:lang w:eastAsia="es-MX"/>
        </w:rPr>
        <w:t>productos</w:t>
      </w:r>
      <w:r w:rsidRPr="00931D46">
        <w:rPr>
          <w:rFonts w:ascii="Arial" w:hAnsi="Arial" w:cs="Arial"/>
          <w:lang w:eastAsia="es-MX"/>
        </w:rPr>
        <w:t xml:space="preserve"> alternativos, y considerar la</w:t>
      </w:r>
      <w:r>
        <w:rPr>
          <w:rFonts w:ascii="Arial" w:hAnsi="Arial" w:cs="Arial"/>
          <w:lang w:eastAsia="es-MX"/>
        </w:rPr>
        <w:t>s</w:t>
      </w:r>
      <w:r w:rsidRPr="00931D46">
        <w:rPr>
          <w:rFonts w:ascii="Arial" w:hAnsi="Arial" w:cs="Arial"/>
          <w:lang w:eastAsia="es-MX"/>
        </w:rPr>
        <w:t xml:space="preserve"> presi</w:t>
      </w:r>
      <w:r>
        <w:rPr>
          <w:rFonts w:ascii="Arial" w:hAnsi="Arial" w:cs="Arial"/>
          <w:lang w:eastAsia="es-MX"/>
        </w:rPr>
        <w:t>o</w:t>
      </w:r>
      <w:r w:rsidRPr="00931D46">
        <w:rPr>
          <w:rFonts w:ascii="Arial" w:hAnsi="Arial" w:cs="Arial"/>
          <w:lang w:eastAsia="es-MX"/>
        </w:rPr>
        <w:t>n</w:t>
      </w:r>
      <w:r>
        <w:rPr>
          <w:rFonts w:ascii="Arial" w:hAnsi="Arial" w:cs="Arial"/>
          <w:lang w:eastAsia="es-MX"/>
        </w:rPr>
        <w:t>es</w:t>
      </w:r>
      <w:r w:rsidRPr="00931D46">
        <w:rPr>
          <w:rFonts w:ascii="Arial" w:hAnsi="Arial" w:cs="Arial"/>
          <w:lang w:eastAsia="es-MX"/>
        </w:rPr>
        <w:t xml:space="preserve"> competitiva</w:t>
      </w:r>
      <w:r>
        <w:rPr>
          <w:rFonts w:ascii="Arial" w:hAnsi="Arial" w:cs="Arial"/>
          <w:lang w:eastAsia="es-MX"/>
        </w:rPr>
        <w:t>s</w:t>
      </w:r>
      <w:r w:rsidRPr="00931D46">
        <w:rPr>
          <w:rFonts w:ascii="Arial" w:hAnsi="Arial" w:cs="Arial"/>
          <w:lang w:eastAsia="es-MX"/>
        </w:rPr>
        <w:t xml:space="preserve"> que ejerzan </w:t>
      </w:r>
      <w:r>
        <w:rPr>
          <w:rFonts w:ascii="Arial" w:hAnsi="Arial" w:cs="Arial"/>
          <w:lang w:eastAsia="es-MX"/>
        </w:rPr>
        <w:t xml:space="preserve">entre sí </w:t>
      </w:r>
      <w:r w:rsidRPr="00931D46">
        <w:rPr>
          <w:rFonts w:ascii="Arial" w:hAnsi="Arial" w:cs="Arial"/>
          <w:lang w:eastAsia="es-MX"/>
        </w:rPr>
        <w:t>en etapas posteriores del análisis de competencia.</w:t>
      </w:r>
    </w:p>
    <w:p w14:paraId="5ABFCAC4" w14:textId="77777777" w:rsidR="003545C8" w:rsidRPr="00931D46" w:rsidRDefault="003545C8" w:rsidP="003545C8">
      <w:pPr>
        <w:spacing w:after="0"/>
        <w:jc w:val="both"/>
        <w:rPr>
          <w:rFonts w:ascii="Arial" w:hAnsi="Arial" w:cs="Arial"/>
          <w:lang w:eastAsia="es-MX"/>
        </w:rPr>
      </w:pPr>
    </w:p>
    <w:p w14:paraId="0AD29713" w14:textId="7450C808" w:rsidR="003545C8" w:rsidRPr="00931D46" w:rsidRDefault="0003578B"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19" w:name="_Toc45628369"/>
      <w:r>
        <w:rPr>
          <w:rFonts w:ascii="Arial" w:eastAsia="Times New Roman" w:hAnsi="Arial" w:cs="Arial"/>
          <w:sz w:val="26"/>
          <w:szCs w:val="26"/>
          <w:lang w:eastAsia="es-MX"/>
        </w:rPr>
        <w:t>E</w:t>
      </w:r>
      <w:r w:rsidR="003545C8" w:rsidRPr="00931D46">
        <w:rPr>
          <w:rFonts w:ascii="Arial" w:eastAsia="Times New Roman" w:hAnsi="Arial" w:cs="Arial"/>
          <w:sz w:val="26"/>
          <w:szCs w:val="26"/>
          <w:lang w:eastAsia="es-MX"/>
        </w:rPr>
        <w:t>lementos para determinar MR en presencia de sustitución asimétrica</w:t>
      </w:r>
      <w:bookmarkEnd w:id="119"/>
    </w:p>
    <w:p w14:paraId="4BFA6D86" w14:textId="77777777" w:rsidR="003545C8" w:rsidRPr="00931D46" w:rsidRDefault="003545C8" w:rsidP="003545C8">
      <w:pPr>
        <w:keepNext/>
        <w:spacing w:after="0"/>
        <w:jc w:val="both"/>
        <w:rPr>
          <w:rFonts w:ascii="Arial" w:hAnsi="Arial" w:cs="Arial"/>
          <w:lang w:eastAsia="es-MX"/>
        </w:rPr>
      </w:pPr>
    </w:p>
    <w:p w14:paraId="61487B4E" w14:textId="77777777" w:rsidR="003545C8" w:rsidRPr="00931D46" w:rsidRDefault="003545C8" w:rsidP="003545C8">
      <w:pPr>
        <w:spacing w:after="0"/>
        <w:jc w:val="both"/>
        <w:rPr>
          <w:rFonts w:ascii="Arial" w:hAnsi="Arial" w:cs="Arial"/>
        </w:rPr>
      </w:pPr>
      <w:r>
        <w:rPr>
          <w:rFonts w:ascii="Arial" w:hAnsi="Arial" w:cs="Arial"/>
        </w:rPr>
        <w:t>E</w:t>
      </w:r>
      <w:r w:rsidRPr="00931D46">
        <w:rPr>
          <w:rFonts w:ascii="Arial" w:hAnsi="Arial" w:cs="Arial"/>
        </w:rPr>
        <w:t xml:space="preserve">l Instituto </w:t>
      </w:r>
      <w:r>
        <w:rPr>
          <w:rFonts w:ascii="Arial" w:hAnsi="Arial" w:cs="Arial"/>
        </w:rPr>
        <w:t xml:space="preserve">podrá </w:t>
      </w:r>
      <w:r w:rsidRPr="00931D46">
        <w:rPr>
          <w:rFonts w:ascii="Arial" w:hAnsi="Arial" w:cs="Arial"/>
          <w:lang w:eastAsia="es-MX"/>
        </w:rPr>
        <w:t xml:space="preserve">identificar el </w:t>
      </w:r>
      <w:r>
        <w:rPr>
          <w:rFonts w:ascii="Arial" w:hAnsi="Arial" w:cs="Arial"/>
          <w:lang w:eastAsia="es-MX"/>
        </w:rPr>
        <w:t>producto</w:t>
      </w:r>
      <w:r w:rsidRPr="00931D46">
        <w:rPr>
          <w:rFonts w:ascii="Arial" w:hAnsi="Arial" w:cs="Arial"/>
          <w:lang w:eastAsia="es-MX"/>
        </w:rPr>
        <w:t xml:space="preserve"> focal conforme a lo señalado en </w:t>
      </w:r>
      <w:r w:rsidRPr="00A50D8E">
        <w:rPr>
          <w:rFonts w:ascii="Arial" w:hAnsi="Arial" w:cs="Arial"/>
          <w:lang w:eastAsia="es-MX"/>
        </w:rPr>
        <w:t>la sección 5.3.1</w:t>
      </w:r>
      <w:r>
        <w:rPr>
          <w:rFonts w:ascii="Arial" w:hAnsi="Arial" w:cs="Arial"/>
          <w:lang w:eastAsia="es-MX"/>
        </w:rPr>
        <w:t xml:space="preserve"> y realizar el análisis de sustitución haciendo uso de los elementos y herramientas de análisis descritos en la sección 5.3.3.</w:t>
      </w:r>
      <w:r w:rsidRPr="00A50D8E">
        <w:rPr>
          <w:rFonts w:ascii="Arial" w:hAnsi="Arial" w:cs="Arial"/>
          <w:lang w:eastAsia="es-MX"/>
        </w:rPr>
        <w:t xml:space="preserve"> </w:t>
      </w:r>
    </w:p>
    <w:p w14:paraId="34AF4012" w14:textId="77777777" w:rsidR="003545C8" w:rsidRPr="00931D46" w:rsidRDefault="003545C8" w:rsidP="003545C8">
      <w:pPr>
        <w:spacing w:after="0"/>
        <w:jc w:val="both"/>
        <w:rPr>
          <w:rFonts w:ascii="Arial" w:hAnsi="Arial" w:cs="Arial"/>
          <w:b/>
          <w:lang w:eastAsia="es-MX"/>
        </w:rPr>
      </w:pPr>
    </w:p>
    <w:p w14:paraId="4239B91F" w14:textId="77777777" w:rsidR="003545C8" w:rsidRPr="00931D46" w:rsidRDefault="003545C8" w:rsidP="003545C8">
      <w:pPr>
        <w:spacing w:after="0"/>
        <w:jc w:val="both"/>
        <w:rPr>
          <w:rFonts w:ascii="Arial" w:hAnsi="Arial" w:cs="Arial"/>
          <w:b/>
          <w:lang w:eastAsia="es-MX"/>
        </w:rPr>
      </w:pPr>
      <w:r w:rsidRPr="00931D46">
        <w:rPr>
          <w:rFonts w:ascii="Arial" w:hAnsi="Arial" w:cs="Arial"/>
          <w:lang w:eastAsia="es-MX"/>
        </w:rPr>
        <w:t>C</w:t>
      </w:r>
      <w:r>
        <w:rPr>
          <w:rFonts w:ascii="Arial" w:hAnsi="Arial" w:cs="Arial"/>
          <w:lang w:eastAsia="es-MX"/>
        </w:rPr>
        <w:t>omo resultado de este análisis, c</w:t>
      </w:r>
      <w:r w:rsidRPr="00931D46">
        <w:rPr>
          <w:rFonts w:ascii="Arial" w:hAnsi="Arial" w:cs="Arial"/>
          <w:lang w:eastAsia="es-MX"/>
        </w:rPr>
        <w:t xml:space="preserve">uando </w:t>
      </w:r>
      <w:r>
        <w:rPr>
          <w:rFonts w:ascii="Arial" w:hAnsi="Arial" w:cs="Arial"/>
          <w:lang w:eastAsia="es-MX"/>
        </w:rPr>
        <w:t>se identifique que algún producto es sustituto del producto analizado, ambos</w:t>
      </w:r>
      <w:r w:rsidRPr="00931D46">
        <w:rPr>
          <w:rFonts w:ascii="Arial" w:hAnsi="Arial" w:cs="Arial"/>
          <w:lang w:eastAsia="es-MX"/>
        </w:rPr>
        <w:t xml:space="preserve"> </w:t>
      </w:r>
      <w:r>
        <w:rPr>
          <w:rFonts w:ascii="Arial" w:hAnsi="Arial" w:cs="Arial"/>
          <w:lang w:eastAsia="es-MX"/>
        </w:rPr>
        <w:t>productos formarán parte del MR, aun cuando el producto analizado no sustituya al producto alternativo</w:t>
      </w:r>
      <w:r w:rsidRPr="00931D46">
        <w:rPr>
          <w:rFonts w:ascii="Arial" w:hAnsi="Arial" w:cs="Arial"/>
          <w:lang w:eastAsia="es-MX"/>
        </w:rPr>
        <w:t xml:space="preserve">. </w:t>
      </w:r>
    </w:p>
    <w:p w14:paraId="3B7FB826" w14:textId="77777777" w:rsidR="003545C8" w:rsidRPr="00931D46" w:rsidRDefault="003545C8" w:rsidP="003545C8">
      <w:pPr>
        <w:spacing w:after="0"/>
        <w:jc w:val="both"/>
        <w:rPr>
          <w:rFonts w:ascii="Arial" w:hAnsi="Arial" w:cs="Arial"/>
          <w:lang w:eastAsia="es-MX"/>
        </w:rPr>
      </w:pPr>
    </w:p>
    <w:p w14:paraId="2DC85423" w14:textId="77777777" w:rsidR="003545C8" w:rsidRPr="00931D46"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120" w:name="_Toc41649783"/>
      <w:bookmarkStart w:id="121" w:name="_Toc41649916"/>
      <w:bookmarkStart w:id="122" w:name="_Toc45216589"/>
      <w:bookmarkStart w:id="123" w:name="_Toc45628370"/>
      <w:bookmarkStart w:id="124" w:name="_Toc71717653"/>
      <w:r w:rsidRPr="00931D46">
        <w:rPr>
          <w:rFonts w:ascii="Arial" w:eastAsia="Times New Roman" w:hAnsi="Arial" w:cs="Arial"/>
          <w:sz w:val="26"/>
          <w:lang w:eastAsia="es-MX"/>
        </w:rPr>
        <w:t xml:space="preserve">Diferenciación de </w:t>
      </w:r>
      <w:bookmarkEnd w:id="120"/>
      <w:bookmarkEnd w:id="121"/>
      <w:bookmarkEnd w:id="122"/>
      <w:bookmarkEnd w:id="123"/>
      <w:r>
        <w:rPr>
          <w:rFonts w:ascii="Arial" w:eastAsia="Times New Roman" w:hAnsi="Arial" w:cs="Arial"/>
          <w:sz w:val="26"/>
          <w:lang w:eastAsia="es-MX"/>
        </w:rPr>
        <w:t>productos</w:t>
      </w:r>
      <w:bookmarkEnd w:id="124"/>
      <w:r w:rsidRPr="00931D46">
        <w:rPr>
          <w:rFonts w:ascii="Arial" w:eastAsia="Times New Roman" w:hAnsi="Arial" w:cs="Arial"/>
          <w:sz w:val="26"/>
          <w:lang w:eastAsia="es-MX"/>
        </w:rPr>
        <w:t xml:space="preserve"> </w:t>
      </w:r>
    </w:p>
    <w:p w14:paraId="79507D61" w14:textId="77777777" w:rsidR="003545C8" w:rsidRPr="00931D46" w:rsidRDefault="003545C8" w:rsidP="003545C8">
      <w:pPr>
        <w:keepNext/>
        <w:spacing w:after="0"/>
        <w:jc w:val="both"/>
        <w:rPr>
          <w:rFonts w:ascii="Arial" w:eastAsiaTheme="majorEastAsia" w:hAnsi="Arial" w:cs="Arial"/>
        </w:rPr>
      </w:pPr>
      <w:bookmarkStart w:id="125" w:name="_Toc41649794"/>
      <w:bookmarkStart w:id="126" w:name="_Toc41649921"/>
    </w:p>
    <w:p w14:paraId="1FE6FB0F" w14:textId="77777777" w:rsidR="003545C8" w:rsidRPr="00931D46" w:rsidRDefault="003545C8" w:rsidP="003545C8">
      <w:pPr>
        <w:spacing w:after="0"/>
        <w:jc w:val="both"/>
        <w:rPr>
          <w:rFonts w:ascii="Arial" w:hAnsi="Arial" w:cs="Arial"/>
        </w:rPr>
      </w:pPr>
      <w:r w:rsidRPr="00931D46">
        <w:rPr>
          <w:rFonts w:ascii="Arial" w:hAnsi="Arial" w:cs="Arial"/>
        </w:rPr>
        <w:t xml:space="preserve">La literatura y la práctica en materia de competencia económica señala que </w:t>
      </w:r>
      <w:r w:rsidRPr="00931D46">
        <w:rPr>
          <w:rFonts w:ascii="Arial" w:hAnsi="Arial" w:cs="Arial"/>
          <w:i/>
        </w:rPr>
        <w:t xml:space="preserve">“los productos destinados a usos similares, pero con características bastante diferentes se denominan </w:t>
      </w:r>
      <w:r w:rsidRPr="00931D46">
        <w:rPr>
          <w:rFonts w:ascii="Arial" w:hAnsi="Arial" w:cs="Arial"/>
          <w:b/>
          <w:i/>
        </w:rPr>
        <w:t>productos diferenciados</w:t>
      </w:r>
      <w:r w:rsidRPr="00931D46">
        <w:rPr>
          <w:rFonts w:ascii="Arial" w:hAnsi="Arial" w:cs="Arial"/>
          <w:i/>
        </w:rPr>
        <w:t xml:space="preserve"> […] Los mercados diferenciados generalmente se caracterizan por un continuo de sustitución y una intensidad variable de la interacción competitiva entre los productos en cuestión”.</w:t>
      </w:r>
      <w:r w:rsidRPr="00931D46">
        <w:rPr>
          <w:rFonts w:ascii="Arial" w:hAnsi="Arial" w:cs="Arial"/>
          <w:vertAlign w:val="superscript"/>
        </w:rPr>
        <w:footnoteReference w:id="95"/>
      </w:r>
      <w:r w:rsidRPr="00931D46">
        <w:rPr>
          <w:rFonts w:ascii="Arial" w:hAnsi="Arial" w:cs="Arial"/>
        </w:rPr>
        <w:t xml:space="preserve"> La diferenciación de </w:t>
      </w:r>
      <w:r>
        <w:rPr>
          <w:rFonts w:ascii="Arial" w:hAnsi="Arial" w:cs="Arial"/>
        </w:rPr>
        <w:t>productos</w:t>
      </w:r>
      <w:r w:rsidRPr="00931D46">
        <w:rPr>
          <w:rFonts w:ascii="Arial" w:hAnsi="Arial" w:cs="Arial"/>
        </w:rPr>
        <w:t xml:space="preserve"> puede ser horizontal o vertical:</w:t>
      </w:r>
      <w:r w:rsidRPr="00931D46">
        <w:rPr>
          <w:rStyle w:val="Refdenotaalpie"/>
          <w:rFonts w:ascii="Arial" w:hAnsi="Arial" w:cs="Arial"/>
        </w:rPr>
        <w:footnoteReference w:id="96"/>
      </w:r>
      <w:r w:rsidRPr="00931D46">
        <w:rPr>
          <w:rFonts w:ascii="Arial" w:hAnsi="Arial" w:cs="Arial"/>
        </w:rPr>
        <w:t xml:space="preserve"> </w:t>
      </w:r>
    </w:p>
    <w:p w14:paraId="7B3A3BFF" w14:textId="77777777" w:rsidR="003545C8" w:rsidRPr="00A92633" w:rsidRDefault="003545C8" w:rsidP="003545C8">
      <w:pPr>
        <w:pStyle w:val="Prrafodelista"/>
        <w:spacing w:after="0"/>
        <w:ind w:left="714"/>
        <w:contextualSpacing w:val="0"/>
        <w:jc w:val="both"/>
        <w:rPr>
          <w:rFonts w:ascii="Arial" w:eastAsiaTheme="majorEastAsia" w:hAnsi="Arial" w:cs="Arial"/>
        </w:rPr>
      </w:pPr>
    </w:p>
    <w:p w14:paraId="041CA5C5" w14:textId="77777777" w:rsidR="003545C8" w:rsidRPr="00931D46" w:rsidRDefault="003545C8" w:rsidP="005E23E0">
      <w:pPr>
        <w:pStyle w:val="Prrafodelista"/>
        <w:numPr>
          <w:ilvl w:val="0"/>
          <w:numId w:val="6"/>
        </w:numPr>
        <w:spacing w:after="0"/>
        <w:ind w:left="714" w:hanging="572"/>
        <w:contextualSpacing w:val="0"/>
        <w:jc w:val="both"/>
        <w:rPr>
          <w:rFonts w:ascii="Arial" w:eastAsiaTheme="majorEastAsia" w:hAnsi="Arial" w:cs="Arial"/>
        </w:rPr>
      </w:pPr>
      <w:r w:rsidRPr="00931D46">
        <w:rPr>
          <w:rFonts w:ascii="Arial" w:eastAsiaTheme="majorEastAsia" w:hAnsi="Arial" w:cs="Arial"/>
          <w:b/>
        </w:rPr>
        <w:t>Diferenciación vertical</w:t>
      </w:r>
      <w:r w:rsidRPr="00931D46">
        <w:rPr>
          <w:rFonts w:ascii="Arial" w:eastAsiaTheme="majorEastAsia" w:hAnsi="Arial" w:cs="Arial"/>
        </w:rPr>
        <w:t xml:space="preserve">. Se encuentra asociada a atributos de calidad, es decir, se presenta cuando el </w:t>
      </w:r>
      <w:r>
        <w:rPr>
          <w:rFonts w:ascii="Arial" w:eastAsiaTheme="majorEastAsia" w:hAnsi="Arial" w:cs="Arial"/>
        </w:rPr>
        <w:t>producto</w:t>
      </w:r>
      <w:r w:rsidRPr="00931D46">
        <w:rPr>
          <w:rFonts w:ascii="Arial" w:eastAsiaTheme="majorEastAsia" w:hAnsi="Arial" w:cs="Arial"/>
        </w:rPr>
        <w:t xml:space="preserve"> tiene atributos que lo hacen más valorado ante los consumidores en general. Esto significa que, si se enfrentan al mismo precio, todos los consumidores preferirán el </w:t>
      </w:r>
      <w:r>
        <w:rPr>
          <w:rFonts w:ascii="Arial" w:eastAsiaTheme="majorEastAsia" w:hAnsi="Arial" w:cs="Arial"/>
        </w:rPr>
        <w:t>producto</w:t>
      </w:r>
      <w:r w:rsidRPr="00931D46">
        <w:rPr>
          <w:rFonts w:ascii="Arial" w:eastAsiaTheme="majorEastAsia" w:hAnsi="Arial" w:cs="Arial"/>
        </w:rPr>
        <w:t xml:space="preserve"> de mayor calidad, mientras que el </w:t>
      </w:r>
      <w:r>
        <w:rPr>
          <w:rFonts w:ascii="Arial" w:eastAsiaTheme="majorEastAsia" w:hAnsi="Arial" w:cs="Arial"/>
        </w:rPr>
        <w:t>producto</w:t>
      </w:r>
      <w:r w:rsidRPr="00931D46">
        <w:rPr>
          <w:rFonts w:ascii="Arial" w:eastAsiaTheme="majorEastAsia" w:hAnsi="Arial" w:cs="Arial"/>
        </w:rPr>
        <w:t xml:space="preserve"> de menor calidad sólo sería adquirido si se ofrece a menor precio, aunque tenga las mismas funcionalidades.</w:t>
      </w:r>
    </w:p>
    <w:p w14:paraId="5A101B0E" w14:textId="77777777" w:rsidR="003545C8" w:rsidRPr="00A92633" w:rsidRDefault="003545C8" w:rsidP="003545C8">
      <w:pPr>
        <w:pStyle w:val="Prrafodelista"/>
        <w:spacing w:after="0"/>
        <w:ind w:left="714"/>
        <w:contextualSpacing w:val="0"/>
        <w:jc w:val="both"/>
        <w:rPr>
          <w:rFonts w:ascii="Arial" w:eastAsiaTheme="majorEastAsia" w:hAnsi="Arial" w:cs="Arial"/>
        </w:rPr>
      </w:pPr>
    </w:p>
    <w:p w14:paraId="36EAD389" w14:textId="77777777" w:rsidR="003545C8" w:rsidRPr="00931D46" w:rsidRDefault="003545C8" w:rsidP="005E23E0">
      <w:pPr>
        <w:pStyle w:val="Prrafodelista"/>
        <w:numPr>
          <w:ilvl w:val="0"/>
          <w:numId w:val="6"/>
        </w:numPr>
        <w:spacing w:after="0"/>
        <w:ind w:left="714" w:hanging="572"/>
        <w:contextualSpacing w:val="0"/>
        <w:jc w:val="both"/>
        <w:rPr>
          <w:rFonts w:ascii="Arial" w:eastAsiaTheme="majorEastAsia" w:hAnsi="Arial" w:cs="Arial"/>
        </w:rPr>
      </w:pPr>
      <w:r w:rsidRPr="00931D46">
        <w:rPr>
          <w:rFonts w:ascii="Arial" w:eastAsiaTheme="majorEastAsia" w:hAnsi="Arial" w:cs="Arial"/>
          <w:b/>
        </w:rPr>
        <w:t>Diferenciación horizontal</w:t>
      </w:r>
      <w:r w:rsidRPr="00931D46">
        <w:rPr>
          <w:rFonts w:ascii="Arial" w:eastAsiaTheme="majorEastAsia" w:hAnsi="Arial" w:cs="Arial"/>
        </w:rPr>
        <w:t xml:space="preserve">. Se presenta cuando los </w:t>
      </w:r>
      <w:r>
        <w:rPr>
          <w:rFonts w:ascii="Arial" w:eastAsiaTheme="majorEastAsia" w:hAnsi="Arial" w:cs="Arial"/>
        </w:rPr>
        <w:t>productos</w:t>
      </w:r>
      <w:r w:rsidRPr="00931D46">
        <w:rPr>
          <w:rFonts w:ascii="Arial" w:eastAsiaTheme="majorEastAsia" w:hAnsi="Arial" w:cs="Arial"/>
        </w:rPr>
        <w:t xml:space="preserve"> exhiben diferencias en atributos (se diferencian en variedad) de forma que cada variante no es considerada de manera general como mejor o peor que otra, sino que responde a las preferencias particulares de los distintos consumidores. Esto implica que, en igualdad de precios, dos </w:t>
      </w:r>
      <w:r>
        <w:rPr>
          <w:rFonts w:ascii="Arial" w:eastAsiaTheme="majorEastAsia" w:hAnsi="Arial" w:cs="Arial"/>
        </w:rPr>
        <w:t>productos</w:t>
      </w:r>
      <w:r w:rsidRPr="00931D46">
        <w:rPr>
          <w:rFonts w:ascii="Arial" w:eastAsiaTheme="majorEastAsia" w:hAnsi="Arial" w:cs="Arial"/>
        </w:rPr>
        <w:t xml:space="preserve"> diferenciados horizontalmente serán adquiridos por distintos grupos de consumidores. </w:t>
      </w:r>
    </w:p>
    <w:p w14:paraId="69C1F460" w14:textId="77777777" w:rsidR="003545C8" w:rsidRPr="00931D46" w:rsidRDefault="003545C8" w:rsidP="003545C8">
      <w:pPr>
        <w:spacing w:after="0"/>
        <w:jc w:val="both"/>
        <w:rPr>
          <w:rFonts w:ascii="Arial" w:hAnsi="Arial" w:cs="Arial"/>
        </w:rPr>
      </w:pPr>
    </w:p>
    <w:p w14:paraId="50C8FD43" w14:textId="77777777" w:rsidR="003545C8" w:rsidRPr="00931D46" w:rsidRDefault="003545C8" w:rsidP="003545C8">
      <w:pPr>
        <w:spacing w:after="0"/>
        <w:jc w:val="both"/>
        <w:rPr>
          <w:rFonts w:ascii="Arial" w:hAnsi="Arial" w:cs="Arial"/>
        </w:rPr>
      </w:pPr>
      <w:r w:rsidRPr="00931D46">
        <w:rPr>
          <w:rFonts w:ascii="Arial" w:eastAsiaTheme="majorEastAsia" w:hAnsi="Arial" w:cs="Arial"/>
        </w:rPr>
        <w:lastRenderedPageBreak/>
        <w:t xml:space="preserve">En </w:t>
      </w:r>
      <w:r w:rsidRPr="00931D46">
        <w:rPr>
          <w:rFonts w:ascii="Arial" w:hAnsi="Arial" w:cs="Arial"/>
        </w:rPr>
        <w:t xml:space="preserve">los sectores de </w:t>
      </w:r>
      <w:proofErr w:type="spellStart"/>
      <w:r w:rsidRPr="00931D46">
        <w:rPr>
          <w:rFonts w:ascii="Arial" w:hAnsi="Arial" w:cs="Arial"/>
        </w:rPr>
        <w:t>TyR</w:t>
      </w:r>
      <w:proofErr w:type="spellEnd"/>
      <w:r w:rsidRPr="00931D46">
        <w:rPr>
          <w:rFonts w:ascii="Arial" w:hAnsi="Arial" w:cs="Arial"/>
        </w:rPr>
        <w:t xml:space="preserve">, </w:t>
      </w:r>
      <w:r w:rsidRPr="00931D46">
        <w:rPr>
          <w:rFonts w:ascii="Arial" w:eastAsiaTheme="majorEastAsia" w:hAnsi="Arial" w:cs="Arial"/>
        </w:rPr>
        <w:t>muchos de</w:t>
      </w:r>
      <w:r w:rsidRPr="00931D46">
        <w:rPr>
          <w:rFonts w:ascii="Arial" w:hAnsi="Arial" w:cs="Arial"/>
        </w:rPr>
        <w:t xml:space="preserve"> los productos que se proveen son diferenciados, ya sea como resultado de las decisiones estratégicas de los proveedores (por ejemplo, servicios de precio cero que se diferencian en calidad u otros elementos) o de la continua innovación que caracteriza a los mercados en estos sectores,</w:t>
      </w:r>
      <w:r w:rsidRPr="00931D46">
        <w:rPr>
          <w:rFonts w:ascii="Arial" w:hAnsi="Arial" w:cs="Arial"/>
          <w:vertAlign w:val="superscript"/>
        </w:rPr>
        <w:footnoteReference w:id="97"/>
      </w:r>
      <w:r w:rsidRPr="00931D46">
        <w:rPr>
          <w:rFonts w:ascii="Arial" w:hAnsi="Arial" w:cs="Arial"/>
        </w:rPr>
        <w:t xml:space="preserve"> tales como la convergencia tecnológica, surgimiento de nuevas tecnologías, digitalización y constante surgimiento de nuevos modelos de negocio.</w:t>
      </w:r>
    </w:p>
    <w:p w14:paraId="49A8CCE1" w14:textId="77777777" w:rsidR="003545C8" w:rsidRPr="00931D46" w:rsidRDefault="003545C8" w:rsidP="003545C8">
      <w:pPr>
        <w:spacing w:after="0"/>
        <w:jc w:val="both"/>
        <w:rPr>
          <w:rFonts w:ascii="Arial" w:hAnsi="Arial" w:cs="Arial"/>
        </w:rPr>
      </w:pPr>
    </w:p>
    <w:p w14:paraId="6BC8AFE6" w14:textId="77777777" w:rsidR="003545C8" w:rsidRPr="00931D46" w:rsidRDefault="003545C8" w:rsidP="003545C8">
      <w:pPr>
        <w:spacing w:after="0"/>
        <w:jc w:val="both"/>
        <w:rPr>
          <w:rFonts w:ascii="Arial" w:hAnsi="Arial" w:cs="Arial"/>
        </w:rPr>
      </w:pPr>
      <w:r w:rsidRPr="00931D46">
        <w:rPr>
          <w:rFonts w:ascii="Arial" w:eastAsiaTheme="majorEastAsia" w:hAnsi="Arial" w:cs="Arial"/>
        </w:rPr>
        <w:t xml:space="preserve">Para efectos de la delimitación del MR en presencia de </w:t>
      </w:r>
      <w:r>
        <w:rPr>
          <w:rFonts w:ascii="Arial" w:eastAsiaTheme="majorEastAsia" w:hAnsi="Arial" w:cs="Arial"/>
        </w:rPr>
        <w:t>productos</w:t>
      </w:r>
      <w:r w:rsidRPr="00931D46">
        <w:rPr>
          <w:rFonts w:ascii="Arial" w:eastAsiaTheme="majorEastAsia" w:hAnsi="Arial" w:cs="Arial"/>
        </w:rPr>
        <w:t xml:space="preserve"> </w:t>
      </w:r>
      <w:r w:rsidRPr="0007382E">
        <w:rPr>
          <w:rFonts w:ascii="Arial" w:eastAsiaTheme="majorEastAsia" w:hAnsi="Arial" w:cs="Arial"/>
        </w:rPr>
        <w:t xml:space="preserve">diferenciados, la determinación precisa de los límites del MR puede representar un desafío, pues los productos, </w:t>
      </w:r>
      <w:r w:rsidRPr="0007382E">
        <w:rPr>
          <w:rFonts w:ascii="Arial" w:hAnsi="Arial" w:cs="Arial"/>
        </w:rPr>
        <w:t>sin ser sustitutos perfectos, pueden pertenecer a un mismo MR, principalmente si se comprueba la existencia de cadenas de sustitución; y también puede haber situaciones en las que,</w:t>
      </w:r>
      <w:r w:rsidRPr="0007382E">
        <w:rPr>
          <w:rFonts w:ascii="Arial" w:eastAsiaTheme="majorEastAsia" w:hAnsi="Arial" w:cs="Arial"/>
        </w:rPr>
        <w:t xml:space="preserve"> </w:t>
      </w:r>
      <w:r w:rsidRPr="0007382E">
        <w:rPr>
          <w:rFonts w:ascii="Arial" w:hAnsi="Arial" w:cs="Arial"/>
        </w:rPr>
        <w:t>aun cuando los productos tengan</w:t>
      </w:r>
      <w:r w:rsidRPr="00931D46">
        <w:rPr>
          <w:rFonts w:ascii="Arial" w:hAnsi="Arial" w:cs="Arial"/>
        </w:rPr>
        <w:t xml:space="preserve"> usos semejantes o pudieran ser provistos por el mismo AE, pueden no pertenecer al mismo MR. Ello dependerá de la presión competitiva que </w:t>
      </w:r>
      <w:r>
        <w:rPr>
          <w:rFonts w:ascii="Arial" w:hAnsi="Arial" w:cs="Arial"/>
        </w:rPr>
        <w:t>ejerzan</w:t>
      </w:r>
      <w:r w:rsidRPr="00931D46">
        <w:rPr>
          <w:rFonts w:ascii="Arial" w:hAnsi="Arial" w:cs="Arial"/>
        </w:rPr>
        <w:t xml:space="preserve"> entre sí.</w:t>
      </w:r>
    </w:p>
    <w:p w14:paraId="0D10F46F" w14:textId="77777777" w:rsidR="003545C8" w:rsidRPr="00931D46" w:rsidRDefault="003545C8" w:rsidP="003545C8">
      <w:pPr>
        <w:spacing w:after="0"/>
        <w:jc w:val="both"/>
        <w:rPr>
          <w:rFonts w:ascii="Arial" w:hAnsi="Arial" w:cs="Arial"/>
        </w:rPr>
      </w:pPr>
    </w:p>
    <w:p w14:paraId="5E7DECC3"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27" w:name="_Toc41643459"/>
      <w:bookmarkStart w:id="128" w:name="_Toc41643552"/>
      <w:bookmarkStart w:id="129" w:name="_Toc41643648"/>
      <w:bookmarkStart w:id="130" w:name="_Toc41649785"/>
      <w:bookmarkStart w:id="131" w:name="_Toc41649918"/>
      <w:bookmarkStart w:id="132" w:name="_Toc45628372"/>
      <w:r w:rsidRPr="00931D46">
        <w:rPr>
          <w:rFonts w:ascii="Arial" w:eastAsia="Times New Roman" w:hAnsi="Arial" w:cs="Arial"/>
          <w:sz w:val="26"/>
          <w:szCs w:val="26"/>
          <w:lang w:eastAsia="es-MX"/>
        </w:rPr>
        <w:t>Precedentes decisorios del Instituto</w:t>
      </w:r>
      <w:bookmarkEnd w:id="127"/>
      <w:bookmarkEnd w:id="128"/>
      <w:bookmarkEnd w:id="129"/>
      <w:bookmarkEnd w:id="130"/>
      <w:bookmarkEnd w:id="131"/>
      <w:bookmarkEnd w:id="132"/>
    </w:p>
    <w:p w14:paraId="1FF0D5A6" w14:textId="77777777" w:rsidR="003545C8" w:rsidRPr="00931D46" w:rsidRDefault="003545C8" w:rsidP="003545C8">
      <w:pPr>
        <w:keepNext/>
        <w:spacing w:after="0"/>
        <w:jc w:val="both"/>
        <w:rPr>
          <w:rFonts w:ascii="Arial" w:hAnsi="Arial" w:cs="Arial"/>
        </w:rPr>
      </w:pPr>
    </w:p>
    <w:p w14:paraId="75410EDA" w14:textId="77777777" w:rsidR="003545C8" w:rsidRDefault="003545C8" w:rsidP="003545C8">
      <w:pPr>
        <w:spacing w:after="0"/>
        <w:jc w:val="both"/>
        <w:rPr>
          <w:rFonts w:ascii="Arial" w:hAnsi="Arial" w:cs="Arial"/>
        </w:rPr>
      </w:pPr>
      <w:r w:rsidRPr="00931D46">
        <w:rPr>
          <w:rFonts w:ascii="Arial" w:hAnsi="Arial" w:cs="Arial"/>
        </w:rPr>
        <w:t>Conforme a precedentes decisorios del Instituto,</w:t>
      </w:r>
      <w:r w:rsidRPr="002C3B4F">
        <w:rPr>
          <w:rFonts w:ascii="Arial" w:eastAsia="Times New Roman" w:hAnsi="Arial" w:cs="Arial"/>
          <w:szCs w:val="26"/>
          <w:vertAlign w:val="superscript"/>
          <w:lang w:eastAsia="es-MX"/>
        </w:rPr>
        <w:footnoteReference w:id="98"/>
      </w:r>
      <w:r w:rsidRPr="00931D46">
        <w:rPr>
          <w:rFonts w:ascii="Arial" w:hAnsi="Arial" w:cs="Arial"/>
        </w:rPr>
        <w:t xml:space="preserve"> se identifica que, en presencia de </w:t>
      </w:r>
      <w:r>
        <w:rPr>
          <w:rFonts w:ascii="Arial" w:hAnsi="Arial" w:cs="Arial"/>
        </w:rPr>
        <w:t>productos</w:t>
      </w:r>
      <w:r w:rsidRPr="00931D46">
        <w:rPr>
          <w:rFonts w:ascii="Arial" w:hAnsi="Arial" w:cs="Arial"/>
        </w:rPr>
        <w:t xml:space="preserve"> diferenciados, </w:t>
      </w:r>
      <w:r>
        <w:rPr>
          <w:rFonts w:ascii="Arial" w:hAnsi="Arial" w:cs="Arial"/>
        </w:rPr>
        <w:t xml:space="preserve">se </w:t>
      </w:r>
      <w:r w:rsidRPr="00931D46">
        <w:rPr>
          <w:rFonts w:ascii="Arial" w:hAnsi="Arial" w:cs="Arial"/>
        </w:rPr>
        <w:t>ha</w:t>
      </w:r>
      <w:r>
        <w:rPr>
          <w:rFonts w:ascii="Arial" w:hAnsi="Arial" w:cs="Arial"/>
        </w:rPr>
        <w:t>n</w:t>
      </w:r>
      <w:r w:rsidRPr="00931D46">
        <w:rPr>
          <w:rFonts w:ascii="Arial" w:hAnsi="Arial" w:cs="Arial"/>
        </w:rPr>
        <w:t xml:space="preserve"> considerado los siguientes elementos</w:t>
      </w:r>
      <w:r w:rsidRPr="00942671">
        <w:rPr>
          <w:rFonts w:ascii="Arial" w:hAnsi="Arial" w:cs="Arial"/>
        </w:rPr>
        <w:t xml:space="preserve"> </w:t>
      </w:r>
      <w:r>
        <w:rPr>
          <w:rFonts w:ascii="Arial" w:hAnsi="Arial" w:cs="Arial"/>
        </w:rPr>
        <w:t xml:space="preserve">para </w:t>
      </w:r>
      <w:r w:rsidRPr="00931D46">
        <w:rPr>
          <w:rFonts w:ascii="Arial" w:hAnsi="Arial" w:cs="Arial"/>
        </w:rPr>
        <w:t>la determinación del MR:</w:t>
      </w:r>
    </w:p>
    <w:p w14:paraId="5BE3C152" w14:textId="77777777" w:rsidR="003545C8" w:rsidRDefault="003545C8" w:rsidP="003545C8">
      <w:pPr>
        <w:pStyle w:val="Prrafodelista"/>
        <w:spacing w:after="0"/>
        <w:ind w:left="709"/>
        <w:contextualSpacing w:val="0"/>
        <w:jc w:val="both"/>
        <w:rPr>
          <w:rFonts w:ascii="Arial" w:hAnsi="Arial" w:cs="Arial"/>
        </w:rPr>
      </w:pPr>
    </w:p>
    <w:p w14:paraId="4B7C5801" w14:textId="77777777" w:rsidR="003545C8" w:rsidRDefault="003545C8" w:rsidP="005E23E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 xml:space="preserve">as características de los </w:t>
      </w:r>
      <w:r>
        <w:rPr>
          <w:rFonts w:ascii="Arial" w:hAnsi="Arial" w:cs="Arial"/>
        </w:rPr>
        <w:t>productos</w:t>
      </w:r>
      <w:r w:rsidRPr="002C3B4F">
        <w:rPr>
          <w:rFonts w:ascii="Arial" w:hAnsi="Arial" w:cs="Arial"/>
        </w:rPr>
        <w:t>,</w:t>
      </w:r>
    </w:p>
    <w:p w14:paraId="7C4909CF" w14:textId="77777777" w:rsidR="003545C8" w:rsidRDefault="003545C8" w:rsidP="003545C8">
      <w:pPr>
        <w:pStyle w:val="Prrafodelista"/>
        <w:spacing w:after="0"/>
        <w:ind w:left="709"/>
        <w:contextualSpacing w:val="0"/>
        <w:jc w:val="both"/>
        <w:rPr>
          <w:rFonts w:ascii="Arial" w:hAnsi="Arial" w:cs="Arial"/>
        </w:rPr>
      </w:pPr>
    </w:p>
    <w:p w14:paraId="190A362C" w14:textId="77777777" w:rsidR="003545C8" w:rsidRDefault="003545C8" w:rsidP="005E23E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as preferencias de los usuarios,</w:t>
      </w:r>
    </w:p>
    <w:p w14:paraId="37CD0615" w14:textId="77777777" w:rsidR="003545C8" w:rsidRDefault="003545C8" w:rsidP="003545C8">
      <w:pPr>
        <w:pStyle w:val="Prrafodelista"/>
        <w:spacing w:after="0"/>
        <w:ind w:left="709"/>
        <w:contextualSpacing w:val="0"/>
        <w:jc w:val="both"/>
        <w:rPr>
          <w:rFonts w:ascii="Arial" w:hAnsi="Arial" w:cs="Arial"/>
        </w:rPr>
      </w:pPr>
    </w:p>
    <w:p w14:paraId="4F6F3423" w14:textId="77777777" w:rsidR="003545C8" w:rsidRDefault="003545C8" w:rsidP="005E23E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os usos y funcionalidades de los productos, y/o</w:t>
      </w:r>
    </w:p>
    <w:p w14:paraId="782FFAC1" w14:textId="77777777" w:rsidR="003545C8" w:rsidRDefault="003545C8" w:rsidP="003545C8">
      <w:pPr>
        <w:pStyle w:val="Prrafodelista"/>
        <w:spacing w:after="0"/>
        <w:ind w:left="709"/>
        <w:contextualSpacing w:val="0"/>
        <w:jc w:val="both"/>
        <w:rPr>
          <w:rFonts w:ascii="Arial" w:hAnsi="Arial" w:cs="Arial"/>
        </w:rPr>
      </w:pPr>
    </w:p>
    <w:p w14:paraId="63B3A85C" w14:textId="77777777" w:rsidR="003545C8" w:rsidRDefault="003545C8" w:rsidP="005E23E0">
      <w:pPr>
        <w:pStyle w:val="Prrafodelista"/>
        <w:numPr>
          <w:ilvl w:val="0"/>
          <w:numId w:val="34"/>
        </w:numPr>
        <w:spacing w:after="0"/>
        <w:ind w:left="709" w:hanging="567"/>
        <w:contextualSpacing w:val="0"/>
        <w:jc w:val="both"/>
        <w:rPr>
          <w:rFonts w:ascii="Arial" w:hAnsi="Arial" w:cs="Arial"/>
        </w:rPr>
      </w:pPr>
      <w:r>
        <w:rPr>
          <w:rFonts w:ascii="Arial" w:hAnsi="Arial" w:cs="Arial"/>
        </w:rPr>
        <w:t>L</w:t>
      </w:r>
      <w:r w:rsidRPr="002C3B4F">
        <w:rPr>
          <w:rFonts w:ascii="Arial" w:hAnsi="Arial" w:cs="Arial"/>
        </w:rPr>
        <w:t xml:space="preserve">os precios y su evolución. </w:t>
      </w:r>
    </w:p>
    <w:p w14:paraId="7E4EC123" w14:textId="77777777" w:rsidR="003545C8" w:rsidRDefault="003545C8" w:rsidP="003545C8">
      <w:pPr>
        <w:spacing w:after="0"/>
        <w:jc w:val="both"/>
        <w:rPr>
          <w:rFonts w:ascii="Arial" w:hAnsi="Arial" w:cs="Arial"/>
        </w:rPr>
      </w:pPr>
    </w:p>
    <w:p w14:paraId="2E545540" w14:textId="77777777" w:rsidR="003545C8" w:rsidRDefault="003545C8" w:rsidP="003545C8">
      <w:pPr>
        <w:spacing w:after="0"/>
        <w:jc w:val="both"/>
        <w:rPr>
          <w:rFonts w:ascii="Arial" w:hAnsi="Arial" w:cs="Arial"/>
        </w:rPr>
      </w:pPr>
      <w:r w:rsidRPr="002C3B4F">
        <w:rPr>
          <w:rFonts w:ascii="Arial" w:hAnsi="Arial" w:cs="Arial"/>
        </w:rPr>
        <w:t xml:space="preserve">Asimismo, de acuerdo con la experiencia nacional, es posible determinar distintos MR cuando se demuestra que los </w:t>
      </w:r>
      <w:r>
        <w:rPr>
          <w:rFonts w:ascii="Arial" w:hAnsi="Arial" w:cs="Arial"/>
        </w:rPr>
        <w:t>productos</w:t>
      </w:r>
      <w:r w:rsidRPr="002C3B4F">
        <w:rPr>
          <w:rFonts w:ascii="Arial" w:hAnsi="Arial" w:cs="Arial"/>
        </w:rPr>
        <w:t xml:space="preserve"> no ejercen suficiente presión competitiva entre sí, aun cuando tengan usos semejantes o pudieran ser provistos por el mismo AE.</w:t>
      </w:r>
    </w:p>
    <w:p w14:paraId="745743B3" w14:textId="77777777" w:rsidR="003545C8" w:rsidRPr="002C3B4F" w:rsidRDefault="003545C8" w:rsidP="003545C8">
      <w:pPr>
        <w:spacing w:after="0"/>
        <w:jc w:val="both"/>
        <w:rPr>
          <w:rFonts w:ascii="Arial" w:hAnsi="Arial" w:cs="Arial"/>
        </w:rPr>
      </w:pPr>
    </w:p>
    <w:p w14:paraId="52CD26DB"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33" w:name="_Toc41643462"/>
      <w:bookmarkStart w:id="134" w:name="_Toc41643555"/>
      <w:bookmarkStart w:id="135" w:name="_Toc41643651"/>
      <w:bookmarkStart w:id="136" w:name="_Toc41649788"/>
      <w:bookmarkStart w:id="137" w:name="_Toc41649919"/>
      <w:bookmarkStart w:id="138" w:name="_Toc45628373"/>
      <w:r w:rsidRPr="00931D46">
        <w:rPr>
          <w:rFonts w:ascii="Arial" w:eastAsia="Times New Roman" w:hAnsi="Arial" w:cs="Arial"/>
          <w:sz w:val="26"/>
          <w:szCs w:val="26"/>
          <w:lang w:eastAsia="es-MX"/>
        </w:rPr>
        <w:lastRenderedPageBreak/>
        <w:t>Experiencia Internacional</w:t>
      </w:r>
      <w:bookmarkEnd w:id="133"/>
      <w:bookmarkEnd w:id="134"/>
      <w:bookmarkEnd w:id="135"/>
      <w:bookmarkEnd w:id="136"/>
      <w:bookmarkEnd w:id="137"/>
      <w:bookmarkEnd w:id="138"/>
    </w:p>
    <w:p w14:paraId="23589114" w14:textId="77777777" w:rsidR="003545C8" w:rsidRPr="00931D46" w:rsidRDefault="003545C8" w:rsidP="003545C8">
      <w:pPr>
        <w:keepNext/>
        <w:spacing w:after="0"/>
        <w:jc w:val="both"/>
        <w:rPr>
          <w:rFonts w:ascii="Arial" w:hAnsi="Arial" w:cs="Arial"/>
        </w:rPr>
      </w:pPr>
    </w:p>
    <w:p w14:paraId="17C266DD" w14:textId="77777777" w:rsidR="003545C8" w:rsidRDefault="003545C8" w:rsidP="003545C8">
      <w:pPr>
        <w:spacing w:after="0"/>
        <w:jc w:val="both"/>
        <w:rPr>
          <w:rFonts w:ascii="Arial" w:hAnsi="Arial" w:cs="Arial"/>
        </w:rPr>
      </w:pPr>
      <w:r>
        <w:rPr>
          <w:rFonts w:ascii="Arial" w:hAnsi="Arial" w:cs="Arial"/>
        </w:rPr>
        <w:t>L</w:t>
      </w:r>
      <w:r w:rsidRPr="00931D46">
        <w:rPr>
          <w:rFonts w:ascii="Arial" w:hAnsi="Arial" w:cs="Arial"/>
        </w:rPr>
        <w:t xml:space="preserve">os principales </w:t>
      </w:r>
      <w:r>
        <w:rPr>
          <w:rFonts w:ascii="Arial" w:hAnsi="Arial" w:cs="Arial"/>
        </w:rPr>
        <w:t xml:space="preserve">criterios </w:t>
      </w:r>
      <w:r w:rsidRPr="00931D46">
        <w:rPr>
          <w:rFonts w:ascii="Arial" w:hAnsi="Arial" w:cs="Arial"/>
        </w:rPr>
        <w:t>referidos por la OCDE,</w:t>
      </w:r>
      <w:r w:rsidRPr="00931D46">
        <w:rPr>
          <w:rStyle w:val="Refdenotaalpie"/>
          <w:rFonts w:ascii="Arial" w:hAnsi="Arial" w:cs="Arial"/>
        </w:rPr>
        <w:footnoteReference w:id="99"/>
      </w:r>
      <w:r w:rsidRPr="00931D46">
        <w:rPr>
          <w:rFonts w:ascii="Arial" w:hAnsi="Arial" w:cs="Arial"/>
        </w:rPr>
        <w:t xml:space="preserve"> así como </w:t>
      </w:r>
      <w:r>
        <w:rPr>
          <w:rFonts w:ascii="Arial" w:hAnsi="Arial" w:cs="Arial"/>
        </w:rPr>
        <w:t xml:space="preserve">aquellos considerados </w:t>
      </w:r>
      <w:r w:rsidRPr="00931D46">
        <w:rPr>
          <w:rFonts w:ascii="Arial" w:hAnsi="Arial" w:cs="Arial"/>
        </w:rPr>
        <w:t>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Style w:val="Refdenotaalpie"/>
          <w:rFonts w:ascii="Arial" w:hAnsi="Arial" w:cs="Arial"/>
        </w:rPr>
        <w:footnoteReference w:id="100"/>
      </w:r>
      <w:r w:rsidRPr="00931D46">
        <w:rPr>
          <w:rFonts w:ascii="Arial" w:hAnsi="Arial" w:cs="Arial"/>
        </w:rPr>
        <w:t xml:space="preserve"> Francia,</w:t>
      </w:r>
      <w:r w:rsidRPr="00931D46">
        <w:rPr>
          <w:rFonts w:ascii="Arial" w:hAnsi="Arial" w:cs="Arial"/>
          <w:vertAlign w:val="superscript"/>
        </w:rPr>
        <w:footnoteReference w:id="101"/>
      </w:r>
      <w:r w:rsidRPr="00931D46">
        <w:rPr>
          <w:rFonts w:ascii="Arial" w:hAnsi="Arial" w:cs="Arial"/>
        </w:rPr>
        <w:t xml:space="preserve"> Reino Unido</w:t>
      </w:r>
      <w:r w:rsidRPr="00464C29">
        <w:rPr>
          <w:rStyle w:val="Refdenotaalpie"/>
          <w:rFonts w:ascii="Arial" w:hAnsi="Arial" w:cs="Arial"/>
        </w:rPr>
        <w:footnoteReference w:id="102"/>
      </w:r>
      <w:r w:rsidRPr="00931D46">
        <w:rPr>
          <w:rFonts w:ascii="Arial" w:hAnsi="Arial" w:cs="Arial"/>
        </w:rPr>
        <w:t xml:space="preserve"> y Canadá</w:t>
      </w:r>
      <w:r w:rsidRPr="00931D46">
        <w:rPr>
          <w:rStyle w:val="Refdenotaalpie"/>
          <w:rFonts w:ascii="Arial" w:hAnsi="Arial" w:cs="Arial"/>
        </w:rPr>
        <w:footnoteReference w:id="103"/>
      </w:r>
      <w:r>
        <w:rPr>
          <w:rFonts w:ascii="Arial" w:hAnsi="Arial" w:cs="Arial"/>
        </w:rPr>
        <w:t xml:space="preserve"> </w:t>
      </w:r>
      <w:r w:rsidRPr="00931D46">
        <w:rPr>
          <w:rFonts w:ascii="Arial" w:hAnsi="Arial" w:cs="Arial"/>
        </w:rPr>
        <w:t xml:space="preserve">para determinar MR en presencia de </w:t>
      </w:r>
      <w:r>
        <w:rPr>
          <w:rFonts w:ascii="Arial" w:hAnsi="Arial" w:cs="Arial"/>
        </w:rPr>
        <w:t>productos</w:t>
      </w:r>
      <w:r w:rsidRPr="00931D46">
        <w:rPr>
          <w:rFonts w:ascii="Arial" w:hAnsi="Arial" w:cs="Arial"/>
        </w:rPr>
        <w:t xml:space="preserve"> diferenciados, </w:t>
      </w:r>
      <w:r>
        <w:rPr>
          <w:rFonts w:ascii="Arial" w:hAnsi="Arial" w:cs="Arial"/>
        </w:rPr>
        <w:t xml:space="preserve">consisten en analizar </w:t>
      </w:r>
      <w:r w:rsidRPr="00931D46">
        <w:rPr>
          <w:rFonts w:ascii="Arial" w:hAnsi="Arial" w:cs="Arial"/>
        </w:rPr>
        <w:t>los siguientes aspectos:</w:t>
      </w:r>
    </w:p>
    <w:p w14:paraId="17F0E169" w14:textId="77777777" w:rsidR="003545C8" w:rsidRDefault="003545C8" w:rsidP="003545C8">
      <w:pPr>
        <w:pStyle w:val="Prrafodelista"/>
        <w:spacing w:after="0"/>
        <w:ind w:left="709"/>
        <w:contextualSpacing w:val="0"/>
        <w:jc w:val="both"/>
        <w:rPr>
          <w:rFonts w:ascii="Arial" w:hAnsi="Arial" w:cs="Arial"/>
        </w:rPr>
      </w:pPr>
    </w:p>
    <w:p w14:paraId="0F044AAB" w14:textId="77777777" w:rsidR="003545C8" w:rsidRDefault="003545C8" w:rsidP="005E23E0">
      <w:pPr>
        <w:pStyle w:val="Prrafodelista"/>
        <w:numPr>
          <w:ilvl w:val="2"/>
          <w:numId w:val="35"/>
        </w:numPr>
        <w:spacing w:after="0"/>
        <w:ind w:left="709" w:hanging="567"/>
        <w:contextualSpacing w:val="0"/>
        <w:jc w:val="both"/>
        <w:rPr>
          <w:rFonts w:ascii="Arial" w:hAnsi="Arial" w:cs="Arial"/>
        </w:rPr>
      </w:pPr>
      <w:r>
        <w:rPr>
          <w:rFonts w:ascii="Arial" w:hAnsi="Arial" w:cs="Arial"/>
        </w:rPr>
        <w:t>L</w:t>
      </w:r>
      <w:r w:rsidRPr="002E2349">
        <w:rPr>
          <w:rFonts w:ascii="Arial" w:hAnsi="Arial" w:cs="Arial"/>
        </w:rPr>
        <w:t xml:space="preserve">as funcionalidades y el uso de los </w:t>
      </w:r>
      <w:r>
        <w:rPr>
          <w:rFonts w:ascii="Arial" w:hAnsi="Arial" w:cs="Arial"/>
        </w:rPr>
        <w:t xml:space="preserve">productos </w:t>
      </w:r>
      <w:r w:rsidRPr="002E2349">
        <w:rPr>
          <w:rFonts w:ascii="Arial" w:hAnsi="Arial" w:cs="Arial"/>
        </w:rPr>
        <w:t>por parte de los usuarios,</w:t>
      </w:r>
    </w:p>
    <w:p w14:paraId="32B14D93" w14:textId="77777777" w:rsidR="003545C8" w:rsidRDefault="003545C8" w:rsidP="003545C8">
      <w:pPr>
        <w:pStyle w:val="Prrafodelista"/>
        <w:spacing w:after="0"/>
        <w:ind w:left="709"/>
        <w:contextualSpacing w:val="0"/>
        <w:jc w:val="both"/>
        <w:rPr>
          <w:rFonts w:ascii="Arial" w:hAnsi="Arial" w:cs="Arial"/>
        </w:rPr>
      </w:pPr>
    </w:p>
    <w:p w14:paraId="56F9D6DE" w14:textId="77777777" w:rsidR="003545C8" w:rsidRDefault="003545C8" w:rsidP="005E23E0">
      <w:pPr>
        <w:pStyle w:val="Prrafodelista"/>
        <w:numPr>
          <w:ilvl w:val="2"/>
          <w:numId w:val="35"/>
        </w:numPr>
        <w:spacing w:after="0"/>
        <w:ind w:left="709" w:hanging="567"/>
        <w:contextualSpacing w:val="0"/>
        <w:jc w:val="both"/>
        <w:rPr>
          <w:rFonts w:ascii="Arial" w:hAnsi="Arial" w:cs="Arial"/>
        </w:rPr>
      </w:pPr>
      <w:r>
        <w:rPr>
          <w:rFonts w:ascii="Arial" w:hAnsi="Arial" w:cs="Arial"/>
        </w:rPr>
        <w:t>L</w:t>
      </w:r>
      <w:r w:rsidRPr="002E2349">
        <w:rPr>
          <w:rFonts w:ascii="Arial" w:hAnsi="Arial" w:cs="Arial"/>
        </w:rPr>
        <w:t xml:space="preserve">os precios, </w:t>
      </w:r>
    </w:p>
    <w:p w14:paraId="49B4F404" w14:textId="77777777" w:rsidR="003545C8" w:rsidRDefault="003545C8" w:rsidP="003545C8">
      <w:pPr>
        <w:pStyle w:val="Prrafodelista"/>
        <w:spacing w:after="0"/>
        <w:ind w:left="709"/>
        <w:contextualSpacing w:val="0"/>
        <w:jc w:val="both"/>
        <w:rPr>
          <w:rFonts w:ascii="Arial" w:hAnsi="Arial" w:cs="Arial"/>
        </w:rPr>
      </w:pPr>
    </w:p>
    <w:p w14:paraId="3E021079" w14:textId="77777777" w:rsidR="003545C8" w:rsidRPr="0007382E" w:rsidRDefault="003545C8" w:rsidP="005E23E0">
      <w:pPr>
        <w:pStyle w:val="Prrafodelista"/>
        <w:numPr>
          <w:ilvl w:val="2"/>
          <w:numId w:val="35"/>
        </w:numPr>
        <w:spacing w:after="0"/>
        <w:ind w:left="709" w:hanging="567"/>
        <w:contextualSpacing w:val="0"/>
        <w:jc w:val="both"/>
        <w:rPr>
          <w:rFonts w:ascii="Arial" w:hAnsi="Arial" w:cs="Arial"/>
        </w:rPr>
      </w:pPr>
      <w:r w:rsidRPr="0007382E">
        <w:rPr>
          <w:rFonts w:ascii="Arial" w:hAnsi="Arial" w:cs="Arial"/>
        </w:rPr>
        <w:t xml:space="preserve">Las características de los productos (por ejemplo, en CA, se han considerado i) la variedad de programación; </w:t>
      </w:r>
      <w:proofErr w:type="spellStart"/>
      <w:r w:rsidRPr="0007382E">
        <w:rPr>
          <w:rFonts w:ascii="Arial" w:hAnsi="Arial" w:cs="Arial"/>
        </w:rPr>
        <w:t>ii</w:t>
      </w:r>
      <w:proofErr w:type="spellEnd"/>
      <w:r w:rsidRPr="0007382E">
        <w:rPr>
          <w:rFonts w:ascii="Arial" w:hAnsi="Arial" w:cs="Arial"/>
        </w:rPr>
        <w:t xml:space="preserve">) la calidad de la imagen; </w:t>
      </w:r>
      <w:proofErr w:type="spellStart"/>
      <w:r w:rsidRPr="0007382E">
        <w:rPr>
          <w:rFonts w:ascii="Arial" w:hAnsi="Arial" w:cs="Arial"/>
        </w:rPr>
        <w:t>iii</w:t>
      </w:r>
      <w:proofErr w:type="spellEnd"/>
      <w:r w:rsidRPr="0007382E">
        <w:rPr>
          <w:rFonts w:ascii="Arial" w:hAnsi="Arial" w:cs="Arial"/>
        </w:rPr>
        <w:t xml:space="preserve">) la cantidad de publicidad que incluyen; </w:t>
      </w:r>
      <w:proofErr w:type="spellStart"/>
      <w:r w:rsidRPr="0007382E">
        <w:rPr>
          <w:rFonts w:ascii="Arial" w:hAnsi="Arial" w:cs="Arial"/>
        </w:rPr>
        <w:t>iv</w:t>
      </w:r>
      <w:proofErr w:type="spellEnd"/>
      <w:r w:rsidRPr="0007382E">
        <w:rPr>
          <w:rFonts w:ascii="Arial" w:hAnsi="Arial" w:cs="Arial"/>
        </w:rPr>
        <w:t>) la duración o disponibilidad temporal de los programas, entre otros); y, en caso necesario,</w:t>
      </w:r>
    </w:p>
    <w:p w14:paraId="703ED5AF" w14:textId="77777777" w:rsidR="003545C8" w:rsidRDefault="003545C8" w:rsidP="003545C8">
      <w:pPr>
        <w:pStyle w:val="Prrafodelista"/>
        <w:spacing w:after="0"/>
        <w:ind w:left="709"/>
        <w:contextualSpacing w:val="0"/>
        <w:jc w:val="both"/>
        <w:rPr>
          <w:rFonts w:ascii="Arial" w:hAnsi="Arial" w:cs="Arial"/>
        </w:rPr>
      </w:pPr>
    </w:p>
    <w:p w14:paraId="359891B6" w14:textId="77777777" w:rsidR="003545C8" w:rsidRPr="0007382E" w:rsidRDefault="003545C8" w:rsidP="005E23E0">
      <w:pPr>
        <w:pStyle w:val="Prrafodelista"/>
        <w:numPr>
          <w:ilvl w:val="2"/>
          <w:numId w:val="35"/>
        </w:numPr>
        <w:spacing w:after="0"/>
        <w:ind w:left="709" w:hanging="567"/>
        <w:contextualSpacing w:val="0"/>
        <w:jc w:val="both"/>
        <w:rPr>
          <w:rFonts w:ascii="Arial" w:hAnsi="Arial" w:cs="Arial"/>
        </w:rPr>
      </w:pPr>
      <w:r w:rsidRPr="0007382E">
        <w:rPr>
          <w:rFonts w:ascii="Arial" w:hAnsi="Arial" w:cs="Arial"/>
        </w:rPr>
        <w:t>La existencia de cadenas de sustitución.</w:t>
      </w:r>
    </w:p>
    <w:p w14:paraId="391AC5C4" w14:textId="77777777" w:rsidR="003545C8" w:rsidRPr="0007382E" w:rsidRDefault="003545C8" w:rsidP="003545C8">
      <w:pPr>
        <w:spacing w:after="0"/>
        <w:jc w:val="both"/>
        <w:rPr>
          <w:rFonts w:ascii="Arial" w:hAnsi="Arial" w:cs="Arial"/>
        </w:rPr>
      </w:pPr>
    </w:p>
    <w:p w14:paraId="5321B117" w14:textId="77777777" w:rsidR="003545C8" w:rsidRPr="002E2349" w:rsidRDefault="003545C8" w:rsidP="003545C8">
      <w:pPr>
        <w:spacing w:after="0"/>
        <w:jc w:val="both"/>
        <w:rPr>
          <w:rFonts w:ascii="Arial" w:hAnsi="Arial" w:cs="Arial"/>
        </w:rPr>
      </w:pPr>
      <w:r w:rsidRPr="0007382E">
        <w:rPr>
          <w:rFonts w:ascii="Arial" w:hAnsi="Arial" w:cs="Arial"/>
        </w:rPr>
        <w:t>Es de resaltar que no se identifica que el análisis comprenda todos los aspectos señalados, ni hay una prelación para su análisis, aunque algunos elementos, como la funcionalidad, han tenido un peso importante en las decisiones de las autoridades.</w:t>
      </w:r>
    </w:p>
    <w:p w14:paraId="4E93A4BC" w14:textId="77777777" w:rsidR="003545C8" w:rsidRPr="00931D46" w:rsidRDefault="003545C8" w:rsidP="003545C8">
      <w:pPr>
        <w:spacing w:after="0"/>
        <w:jc w:val="both"/>
        <w:rPr>
          <w:rFonts w:ascii="Arial" w:hAnsi="Arial" w:cs="Arial"/>
        </w:rPr>
      </w:pPr>
    </w:p>
    <w:p w14:paraId="112390EC" w14:textId="77777777" w:rsidR="003545C8" w:rsidRPr="00931D46" w:rsidRDefault="003545C8" w:rsidP="003545C8">
      <w:pPr>
        <w:spacing w:after="0"/>
        <w:jc w:val="both"/>
        <w:rPr>
          <w:rFonts w:ascii="Arial" w:hAnsi="Arial" w:cs="Arial"/>
        </w:rPr>
      </w:pPr>
      <w:r w:rsidRPr="00931D46">
        <w:rPr>
          <w:rFonts w:ascii="Arial" w:hAnsi="Arial" w:cs="Arial"/>
        </w:rPr>
        <w:t xml:space="preserve">Asimismo, de acuerdo con la experiencia internacional, es posible determinar que </w:t>
      </w:r>
      <w:r>
        <w:rPr>
          <w:rFonts w:ascii="Arial" w:hAnsi="Arial" w:cs="Arial"/>
        </w:rPr>
        <w:t>2 (</w:t>
      </w:r>
      <w:r w:rsidRPr="00931D46">
        <w:rPr>
          <w:rFonts w:ascii="Arial" w:hAnsi="Arial" w:cs="Arial"/>
        </w:rPr>
        <w:t>dos</w:t>
      </w:r>
      <w:r>
        <w:rPr>
          <w:rFonts w:ascii="Arial" w:hAnsi="Arial" w:cs="Arial"/>
        </w:rPr>
        <w:t>)</w:t>
      </w:r>
      <w:r w:rsidRPr="00931D46">
        <w:rPr>
          <w:rFonts w:ascii="Arial" w:hAnsi="Arial" w:cs="Arial"/>
        </w:rPr>
        <w:t xml:space="preserve"> o más </w:t>
      </w:r>
      <w:r>
        <w:rPr>
          <w:rFonts w:ascii="Arial" w:hAnsi="Arial" w:cs="Arial"/>
        </w:rPr>
        <w:t>productos</w:t>
      </w:r>
      <w:r w:rsidRPr="00931D46">
        <w:rPr>
          <w:rFonts w:ascii="Arial" w:hAnsi="Arial" w:cs="Arial"/>
        </w:rPr>
        <w:t xml:space="preserve"> forman parte del mismo MR cuando se demuestra que éstos ejercen suficiente presión competitiva entre sí, aun cuando difieran en algunas de sus características, por ejemplo, la tecnología de provisión.</w:t>
      </w:r>
    </w:p>
    <w:p w14:paraId="1C7B724C" w14:textId="77777777" w:rsidR="003545C8" w:rsidRPr="00931D46" w:rsidRDefault="003545C8" w:rsidP="003545C8">
      <w:pPr>
        <w:spacing w:after="0"/>
        <w:jc w:val="both"/>
        <w:rPr>
          <w:rFonts w:ascii="Arial" w:hAnsi="Arial" w:cs="Arial"/>
        </w:rPr>
      </w:pPr>
    </w:p>
    <w:p w14:paraId="46DC88CD" w14:textId="5A16CA2C" w:rsidR="003545C8" w:rsidRPr="00931D46" w:rsidRDefault="0003578B"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39" w:name="_Toc39855365"/>
      <w:bookmarkStart w:id="140" w:name="_Toc39855367"/>
      <w:bookmarkStart w:id="141" w:name="_Toc41643467"/>
      <w:bookmarkStart w:id="142" w:name="_Toc41643560"/>
      <w:bookmarkStart w:id="143" w:name="_Toc41643656"/>
      <w:bookmarkStart w:id="144" w:name="_Toc41649793"/>
      <w:bookmarkStart w:id="145" w:name="_Toc41649920"/>
      <w:bookmarkStart w:id="146" w:name="_Toc45628374"/>
      <w:bookmarkEnd w:id="139"/>
      <w:bookmarkEnd w:id="140"/>
      <w:r>
        <w:rPr>
          <w:rFonts w:ascii="Arial" w:eastAsia="Times New Roman" w:hAnsi="Arial" w:cs="Arial"/>
          <w:sz w:val="26"/>
          <w:szCs w:val="26"/>
          <w:lang w:eastAsia="es-MX"/>
        </w:rPr>
        <w:lastRenderedPageBreak/>
        <w:t>E</w:t>
      </w:r>
      <w:r w:rsidR="003545C8" w:rsidRPr="00931D46">
        <w:rPr>
          <w:rFonts w:ascii="Arial" w:eastAsia="Times New Roman" w:hAnsi="Arial" w:cs="Arial"/>
          <w:sz w:val="26"/>
          <w:szCs w:val="26"/>
          <w:lang w:eastAsia="es-MX"/>
        </w:rPr>
        <w:t>lementos para determinar MR</w:t>
      </w:r>
      <w:bookmarkEnd w:id="141"/>
      <w:bookmarkEnd w:id="142"/>
      <w:bookmarkEnd w:id="143"/>
      <w:r w:rsidR="003545C8" w:rsidRPr="00931D46">
        <w:rPr>
          <w:rFonts w:ascii="Arial" w:eastAsia="Times New Roman" w:hAnsi="Arial" w:cs="Arial"/>
          <w:sz w:val="26"/>
          <w:szCs w:val="26"/>
          <w:lang w:eastAsia="es-MX"/>
        </w:rPr>
        <w:t xml:space="preserve"> en presencia de diferenciación de </w:t>
      </w:r>
      <w:bookmarkEnd w:id="144"/>
      <w:bookmarkEnd w:id="145"/>
      <w:bookmarkEnd w:id="146"/>
      <w:r w:rsidR="003545C8">
        <w:rPr>
          <w:rFonts w:ascii="Arial" w:eastAsia="Times New Roman" w:hAnsi="Arial" w:cs="Arial"/>
          <w:sz w:val="26"/>
          <w:szCs w:val="26"/>
          <w:lang w:eastAsia="es-MX"/>
        </w:rPr>
        <w:t>productos</w:t>
      </w:r>
    </w:p>
    <w:p w14:paraId="15790D59" w14:textId="77777777" w:rsidR="003545C8" w:rsidRPr="00931D46" w:rsidRDefault="003545C8" w:rsidP="003545C8">
      <w:pPr>
        <w:keepNext/>
        <w:spacing w:after="0"/>
        <w:jc w:val="both"/>
        <w:rPr>
          <w:rFonts w:ascii="Arial" w:hAnsi="Arial" w:cs="Arial"/>
        </w:rPr>
      </w:pPr>
    </w:p>
    <w:p w14:paraId="6001BFE2" w14:textId="77777777" w:rsidR="003545C8" w:rsidRPr="0007382E" w:rsidRDefault="003545C8" w:rsidP="003545C8">
      <w:pPr>
        <w:spacing w:after="0"/>
        <w:jc w:val="both"/>
        <w:rPr>
          <w:rFonts w:ascii="Arial" w:hAnsi="Arial" w:cs="Arial"/>
        </w:rPr>
      </w:pPr>
      <w:r>
        <w:rPr>
          <w:rFonts w:ascii="Arial" w:hAnsi="Arial" w:cs="Arial"/>
        </w:rPr>
        <w:t>P</w:t>
      </w:r>
      <w:r w:rsidRPr="00931D46">
        <w:rPr>
          <w:rFonts w:ascii="Arial" w:hAnsi="Arial" w:cs="Arial"/>
        </w:rPr>
        <w:t xml:space="preserve">ara determinar el MR en presencia de </w:t>
      </w:r>
      <w:r>
        <w:rPr>
          <w:rFonts w:ascii="Arial" w:hAnsi="Arial" w:cs="Arial"/>
        </w:rPr>
        <w:t>productos</w:t>
      </w:r>
      <w:r w:rsidRPr="00931D46">
        <w:rPr>
          <w:rFonts w:ascii="Arial" w:hAnsi="Arial" w:cs="Arial"/>
        </w:rPr>
        <w:t xml:space="preserve"> diferenciados, el Instituto </w:t>
      </w:r>
      <w:r w:rsidRPr="0007382E">
        <w:rPr>
          <w:rFonts w:ascii="Arial" w:hAnsi="Arial" w:cs="Arial"/>
        </w:rPr>
        <w:t>podrá considerar los siguientes elementos, sin orden de importancia o prelación en su aplicación:</w:t>
      </w:r>
    </w:p>
    <w:p w14:paraId="3E2B35EA" w14:textId="77777777" w:rsidR="003545C8" w:rsidRDefault="003545C8" w:rsidP="003545C8">
      <w:pPr>
        <w:spacing w:after="0"/>
        <w:ind w:left="720"/>
        <w:jc w:val="both"/>
        <w:rPr>
          <w:rFonts w:ascii="Arial" w:hAnsi="Arial" w:cs="Arial"/>
        </w:rPr>
      </w:pPr>
    </w:p>
    <w:p w14:paraId="1AC032AB" w14:textId="77777777" w:rsidR="003545C8" w:rsidRPr="0007382E" w:rsidRDefault="003545C8" w:rsidP="005E23E0">
      <w:pPr>
        <w:numPr>
          <w:ilvl w:val="0"/>
          <w:numId w:val="9"/>
        </w:numPr>
        <w:spacing w:after="0"/>
        <w:ind w:hanging="578"/>
        <w:jc w:val="both"/>
        <w:rPr>
          <w:rFonts w:ascii="Arial" w:hAnsi="Arial" w:cs="Arial"/>
        </w:rPr>
      </w:pPr>
      <w:r w:rsidRPr="0007382E">
        <w:rPr>
          <w:rFonts w:ascii="Arial" w:hAnsi="Arial" w:cs="Arial"/>
        </w:rPr>
        <w:t>La funcionalidad y uso de los productos, así como sus características, objetivas o percibidas, incluyendo la calidad, tomando en consideración las preferencias de los usuarios.</w:t>
      </w:r>
    </w:p>
    <w:p w14:paraId="5A6489BC" w14:textId="77777777" w:rsidR="003545C8" w:rsidRDefault="003545C8" w:rsidP="003545C8">
      <w:pPr>
        <w:spacing w:after="0"/>
        <w:ind w:left="720"/>
        <w:jc w:val="both"/>
        <w:rPr>
          <w:rFonts w:ascii="Arial" w:hAnsi="Arial" w:cs="Arial"/>
        </w:rPr>
      </w:pPr>
    </w:p>
    <w:p w14:paraId="5E04D34D" w14:textId="77777777" w:rsidR="003545C8" w:rsidRPr="0007382E" w:rsidRDefault="003545C8" w:rsidP="005E23E0">
      <w:pPr>
        <w:numPr>
          <w:ilvl w:val="0"/>
          <w:numId w:val="9"/>
        </w:numPr>
        <w:spacing w:after="0"/>
        <w:ind w:hanging="578"/>
        <w:jc w:val="both"/>
        <w:rPr>
          <w:rFonts w:ascii="Arial" w:hAnsi="Arial" w:cs="Arial"/>
        </w:rPr>
      </w:pPr>
      <w:r w:rsidRPr="0007382E">
        <w:rPr>
          <w:rFonts w:ascii="Arial" w:hAnsi="Arial" w:cs="Arial"/>
        </w:rPr>
        <w:t>Los precios y su evolución, así como las relaciones precio-calidad.</w:t>
      </w:r>
    </w:p>
    <w:p w14:paraId="7A2B2149" w14:textId="77777777" w:rsidR="003545C8" w:rsidRDefault="003545C8" w:rsidP="003545C8">
      <w:pPr>
        <w:pStyle w:val="Prrafodelista"/>
        <w:spacing w:after="0"/>
        <w:contextualSpacing w:val="0"/>
        <w:jc w:val="both"/>
        <w:rPr>
          <w:rFonts w:ascii="Arial" w:hAnsi="Arial" w:cs="Arial"/>
        </w:rPr>
      </w:pPr>
    </w:p>
    <w:p w14:paraId="63A8F86F" w14:textId="77777777" w:rsidR="003545C8" w:rsidRPr="0007382E" w:rsidRDefault="003545C8" w:rsidP="005E23E0">
      <w:pPr>
        <w:pStyle w:val="Prrafodelista"/>
        <w:numPr>
          <w:ilvl w:val="0"/>
          <w:numId w:val="9"/>
        </w:numPr>
        <w:spacing w:after="0"/>
        <w:ind w:hanging="578"/>
        <w:contextualSpacing w:val="0"/>
        <w:jc w:val="both"/>
        <w:rPr>
          <w:rFonts w:ascii="Arial" w:hAnsi="Arial" w:cs="Arial"/>
        </w:rPr>
      </w:pPr>
      <w:r w:rsidRPr="0007382E">
        <w:rPr>
          <w:rFonts w:ascii="Arial" w:hAnsi="Arial" w:cs="Arial"/>
        </w:rPr>
        <w:t>La existencia de cadenas de sustitución, para lo cual se podrá analizar evidencia que permita demostrar la interdependencia entre los productos de la cadena, tal como el traslape o coincidencia de precios entre los productos, las diferencias en los costos incrementales de cada producto y la sustitución entre los productos adyacentes en la cadena.</w:t>
      </w:r>
    </w:p>
    <w:p w14:paraId="644FB189" w14:textId="77777777" w:rsidR="003545C8" w:rsidRDefault="003545C8" w:rsidP="003545C8">
      <w:pPr>
        <w:pStyle w:val="Prrafodelista"/>
        <w:spacing w:after="0"/>
        <w:contextualSpacing w:val="0"/>
        <w:jc w:val="both"/>
        <w:rPr>
          <w:rFonts w:ascii="Arial" w:hAnsi="Arial" w:cs="Arial"/>
        </w:rPr>
      </w:pPr>
    </w:p>
    <w:p w14:paraId="605AAE3B" w14:textId="77777777" w:rsidR="003545C8" w:rsidRPr="0007382E" w:rsidRDefault="003545C8" w:rsidP="005E23E0">
      <w:pPr>
        <w:pStyle w:val="Prrafodelista"/>
        <w:numPr>
          <w:ilvl w:val="0"/>
          <w:numId w:val="9"/>
        </w:numPr>
        <w:spacing w:after="0"/>
        <w:ind w:hanging="578"/>
        <w:contextualSpacing w:val="0"/>
        <w:jc w:val="both"/>
        <w:rPr>
          <w:rFonts w:ascii="Arial" w:hAnsi="Arial" w:cs="Arial"/>
        </w:rPr>
      </w:pPr>
      <w:r w:rsidRPr="0007382E">
        <w:rPr>
          <w:rFonts w:ascii="Arial" w:hAnsi="Arial" w:cs="Arial"/>
        </w:rPr>
        <w:t xml:space="preserve">Las nuevas variables de diferenciación, resultado de la innovación tecnológica y los nuevos modelos de negocio. </w:t>
      </w:r>
    </w:p>
    <w:p w14:paraId="11DB08FE" w14:textId="77777777" w:rsidR="003545C8" w:rsidRPr="00931D46" w:rsidRDefault="003545C8" w:rsidP="003545C8">
      <w:pPr>
        <w:spacing w:after="0"/>
        <w:jc w:val="both"/>
        <w:rPr>
          <w:rFonts w:ascii="Arial" w:hAnsi="Arial" w:cs="Arial"/>
        </w:rPr>
      </w:pPr>
    </w:p>
    <w:p w14:paraId="1AF4BFE8" w14:textId="77777777" w:rsidR="003545C8" w:rsidRPr="00931D46" w:rsidRDefault="003545C8" w:rsidP="003545C8">
      <w:pPr>
        <w:spacing w:after="0"/>
        <w:jc w:val="both"/>
        <w:rPr>
          <w:rFonts w:ascii="Arial" w:hAnsi="Arial" w:cs="Arial"/>
        </w:rPr>
      </w:pPr>
      <w:r w:rsidRPr="00931D46">
        <w:rPr>
          <w:rFonts w:ascii="Arial" w:hAnsi="Arial" w:cs="Arial"/>
        </w:rPr>
        <w:t xml:space="preserve">La conclusión respecto a la sustitución entre dos </w:t>
      </w:r>
      <w:r>
        <w:rPr>
          <w:rFonts w:ascii="Arial" w:hAnsi="Arial" w:cs="Arial"/>
        </w:rPr>
        <w:t>productos</w:t>
      </w:r>
      <w:r w:rsidRPr="00931D46">
        <w:rPr>
          <w:rFonts w:ascii="Arial" w:hAnsi="Arial" w:cs="Arial"/>
        </w:rPr>
        <w:t xml:space="preserve"> dependerá de la presión competitiva que </w:t>
      </w:r>
      <w:r>
        <w:rPr>
          <w:rFonts w:ascii="Arial" w:hAnsi="Arial" w:cs="Arial"/>
        </w:rPr>
        <w:t>ejerzan</w:t>
      </w:r>
      <w:r w:rsidRPr="00931D46">
        <w:rPr>
          <w:rFonts w:ascii="Arial" w:hAnsi="Arial" w:cs="Arial"/>
        </w:rPr>
        <w:t xml:space="preserve"> entre sí.</w:t>
      </w:r>
    </w:p>
    <w:p w14:paraId="3A72F3A2" w14:textId="77777777" w:rsidR="003545C8" w:rsidRPr="00931D46" w:rsidRDefault="003545C8" w:rsidP="003545C8">
      <w:pPr>
        <w:spacing w:after="0"/>
        <w:jc w:val="both"/>
        <w:rPr>
          <w:rFonts w:ascii="Arial" w:hAnsi="Arial" w:cs="Arial"/>
        </w:rPr>
      </w:pPr>
    </w:p>
    <w:p w14:paraId="66F96B36" w14:textId="77777777" w:rsidR="003545C8" w:rsidRPr="00931D46" w:rsidRDefault="003545C8" w:rsidP="005E23E0">
      <w:pPr>
        <w:pStyle w:val="Ttulo2"/>
        <w:keepLines w:val="0"/>
        <w:numPr>
          <w:ilvl w:val="1"/>
          <w:numId w:val="5"/>
        </w:numPr>
        <w:autoSpaceDE/>
        <w:autoSpaceDN/>
        <w:adjustRightInd/>
        <w:spacing w:after="0"/>
        <w:rPr>
          <w:rFonts w:ascii="Arial" w:eastAsia="Times New Roman" w:hAnsi="Arial" w:cs="Arial"/>
          <w:sz w:val="26"/>
          <w:lang w:eastAsia="es-MX"/>
        </w:rPr>
      </w:pPr>
      <w:bookmarkStart w:id="147" w:name="_Toc45216590"/>
      <w:bookmarkStart w:id="148" w:name="_Toc45628375"/>
      <w:bookmarkStart w:id="149" w:name="_Toc71717654"/>
      <w:r w:rsidRPr="00931D46">
        <w:rPr>
          <w:rFonts w:ascii="Arial" w:eastAsia="Times New Roman" w:hAnsi="Arial" w:cs="Arial"/>
          <w:sz w:val="26"/>
          <w:lang w:eastAsia="es-MX"/>
        </w:rPr>
        <w:t>Empaquetamiento</w:t>
      </w:r>
      <w:bookmarkEnd w:id="125"/>
      <w:bookmarkEnd w:id="126"/>
      <w:bookmarkEnd w:id="147"/>
      <w:bookmarkEnd w:id="148"/>
      <w:r w:rsidRPr="00931D46">
        <w:rPr>
          <w:rFonts w:ascii="Arial" w:eastAsia="Times New Roman" w:hAnsi="Arial" w:cs="Arial"/>
          <w:sz w:val="26"/>
          <w:lang w:eastAsia="es-MX"/>
        </w:rPr>
        <w:t xml:space="preserve"> de servicios</w:t>
      </w:r>
      <w:bookmarkEnd w:id="149"/>
    </w:p>
    <w:bookmarkEnd w:id="0"/>
    <w:bookmarkEnd w:id="1"/>
    <w:bookmarkEnd w:id="2"/>
    <w:bookmarkEnd w:id="3"/>
    <w:bookmarkEnd w:id="4"/>
    <w:bookmarkEnd w:id="5"/>
    <w:bookmarkEnd w:id="6"/>
    <w:bookmarkEnd w:id="7"/>
    <w:p w14:paraId="0992DCE6" w14:textId="77777777" w:rsidR="003545C8" w:rsidRPr="00931D46" w:rsidRDefault="003545C8" w:rsidP="003545C8">
      <w:pPr>
        <w:keepNext/>
        <w:spacing w:after="0"/>
        <w:jc w:val="both"/>
        <w:rPr>
          <w:rFonts w:ascii="Arial" w:hAnsi="Arial" w:cs="Arial"/>
        </w:rPr>
      </w:pPr>
    </w:p>
    <w:p w14:paraId="623114B5" w14:textId="77777777" w:rsidR="003545C8" w:rsidRPr="00931D46" w:rsidRDefault="003545C8" w:rsidP="003545C8">
      <w:pPr>
        <w:spacing w:after="0"/>
        <w:jc w:val="both"/>
        <w:rPr>
          <w:rFonts w:ascii="Arial" w:hAnsi="Arial" w:cs="Arial"/>
          <w:szCs w:val="20"/>
        </w:rPr>
      </w:pPr>
      <w:r w:rsidRPr="00931D46">
        <w:rPr>
          <w:rFonts w:ascii="Arial" w:hAnsi="Arial" w:cs="Arial"/>
        </w:rPr>
        <w:t>La convergencia tecnológica</w:t>
      </w:r>
      <w:r w:rsidRPr="00931D46" w:rsidDel="00FE2FE2">
        <w:rPr>
          <w:rFonts w:ascii="Arial" w:hAnsi="Arial" w:cs="Arial"/>
        </w:rPr>
        <w:t xml:space="preserve"> </w:t>
      </w:r>
      <w:r w:rsidRPr="00931D46">
        <w:rPr>
          <w:rFonts w:ascii="Arial" w:hAnsi="Arial" w:cs="Arial"/>
        </w:rPr>
        <w:t xml:space="preserve">y el incremento en la capacidad y velocidad de transmisión de información de las redes de telecomunicaciones de nueva generación permiten ofrecer múltiples servicios (como STF, STAR, SBAF, entre otros), los cuales, dependiendo de las </w:t>
      </w:r>
      <w:r w:rsidRPr="00931D46">
        <w:rPr>
          <w:rFonts w:ascii="Arial" w:hAnsi="Arial" w:cs="Arial"/>
          <w:bCs/>
        </w:rPr>
        <w:t xml:space="preserve">prácticas de comercialización de los proveedores, pueden </w:t>
      </w:r>
      <w:r w:rsidRPr="00931D46">
        <w:rPr>
          <w:rFonts w:ascii="Arial" w:hAnsi="Arial" w:cs="Arial"/>
        </w:rPr>
        <w:t>ofrecerse</w:t>
      </w:r>
      <w:r w:rsidRPr="00931D46" w:rsidDel="00EB7EF2">
        <w:rPr>
          <w:rFonts w:ascii="Arial" w:hAnsi="Arial" w:cs="Arial"/>
        </w:rPr>
        <w:t xml:space="preserve"> </w:t>
      </w:r>
      <w:r w:rsidRPr="00931D46">
        <w:rPr>
          <w:rFonts w:ascii="Arial" w:hAnsi="Arial" w:cs="Arial"/>
        </w:rPr>
        <w:t xml:space="preserve">empaquetados. </w:t>
      </w:r>
    </w:p>
    <w:p w14:paraId="0FF44397" w14:textId="77777777" w:rsidR="003545C8" w:rsidRPr="00931D46" w:rsidRDefault="003545C8" w:rsidP="003545C8">
      <w:pPr>
        <w:spacing w:after="0"/>
        <w:jc w:val="both"/>
        <w:rPr>
          <w:rFonts w:ascii="Arial" w:hAnsi="Arial" w:cs="Arial"/>
        </w:rPr>
      </w:pPr>
    </w:p>
    <w:p w14:paraId="28D1B78C" w14:textId="77777777" w:rsidR="003545C8" w:rsidRPr="00931D46" w:rsidRDefault="003545C8" w:rsidP="003545C8">
      <w:pPr>
        <w:spacing w:after="0"/>
        <w:jc w:val="both"/>
        <w:rPr>
          <w:rFonts w:ascii="Arial" w:hAnsi="Arial" w:cs="Arial"/>
        </w:rPr>
      </w:pPr>
      <w:r w:rsidRPr="00931D46">
        <w:rPr>
          <w:rFonts w:ascii="Arial" w:hAnsi="Arial" w:cs="Arial"/>
        </w:rPr>
        <w:t xml:space="preserve">El empaquetamiento puede ser i) </w:t>
      </w:r>
      <w:r w:rsidRPr="00931D46">
        <w:rPr>
          <w:rFonts w:ascii="Arial" w:hAnsi="Arial" w:cs="Arial"/>
          <w:b/>
        </w:rPr>
        <w:t>puro</w:t>
      </w:r>
      <w:r w:rsidRPr="00931D46">
        <w:rPr>
          <w:rFonts w:ascii="Arial" w:hAnsi="Arial" w:cs="Arial"/>
        </w:rPr>
        <w:t xml:space="preserve">, cuando la venta de </w:t>
      </w:r>
      <w:r>
        <w:rPr>
          <w:rFonts w:ascii="Arial" w:hAnsi="Arial" w:cs="Arial"/>
        </w:rPr>
        <w:t>servicios</w:t>
      </w:r>
      <w:r w:rsidRPr="00931D46">
        <w:rPr>
          <w:rFonts w:ascii="Arial" w:hAnsi="Arial" w:cs="Arial"/>
        </w:rPr>
        <w:t xml:space="preserve"> se realiza únicamente en paquete, sin que sus componentes puedan ser adquiridos por separado; o </w:t>
      </w:r>
      <w:proofErr w:type="spellStart"/>
      <w:r w:rsidRPr="00931D46">
        <w:rPr>
          <w:rFonts w:ascii="Arial" w:hAnsi="Arial" w:cs="Arial"/>
        </w:rPr>
        <w:t>ii</w:t>
      </w:r>
      <w:proofErr w:type="spellEnd"/>
      <w:r w:rsidRPr="00931D46">
        <w:rPr>
          <w:rFonts w:ascii="Arial" w:hAnsi="Arial" w:cs="Arial"/>
        </w:rPr>
        <w:t xml:space="preserve">) </w:t>
      </w:r>
      <w:r w:rsidRPr="00931D46">
        <w:rPr>
          <w:rFonts w:ascii="Arial" w:hAnsi="Arial" w:cs="Arial"/>
          <w:b/>
        </w:rPr>
        <w:t>mixto,</w:t>
      </w:r>
      <w:r w:rsidRPr="00931D46">
        <w:rPr>
          <w:rFonts w:ascii="Arial" w:hAnsi="Arial" w:cs="Arial"/>
        </w:rPr>
        <w:t xml:space="preserve"> cuando los </w:t>
      </w:r>
      <w:r>
        <w:rPr>
          <w:rFonts w:ascii="Arial" w:hAnsi="Arial" w:cs="Arial"/>
        </w:rPr>
        <w:t>servicios</w:t>
      </w:r>
      <w:r w:rsidRPr="00931D46">
        <w:rPr>
          <w:rFonts w:ascii="Arial" w:hAnsi="Arial" w:cs="Arial"/>
        </w:rPr>
        <w:t xml:space="preserve"> ofrecidos a los usuarios están disponibles tanto en paquete como de forma separada. </w:t>
      </w:r>
    </w:p>
    <w:p w14:paraId="107B3879" w14:textId="77777777" w:rsidR="003545C8" w:rsidRPr="00931D46" w:rsidRDefault="003545C8" w:rsidP="003545C8">
      <w:pPr>
        <w:spacing w:after="0"/>
        <w:jc w:val="both"/>
        <w:rPr>
          <w:rFonts w:ascii="Arial" w:hAnsi="Arial" w:cs="Arial"/>
          <w:szCs w:val="20"/>
        </w:rPr>
      </w:pPr>
    </w:p>
    <w:p w14:paraId="62323FCA" w14:textId="77777777" w:rsidR="003545C8" w:rsidRDefault="003545C8" w:rsidP="003545C8">
      <w:pPr>
        <w:spacing w:after="0"/>
        <w:jc w:val="both"/>
        <w:rPr>
          <w:rFonts w:ascii="Arial" w:hAnsi="Arial" w:cs="Arial"/>
          <w:szCs w:val="20"/>
        </w:rPr>
      </w:pPr>
      <w:r w:rsidRPr="00931D46">
        <w:rPr>
          <w:rFonts w:ascii="Arial" w:hAnsi="Arial" w:cs="Arial"/>
          <w:szCs w:val="20"/>
        </w:rPr>
        <w:t xml:space="preserve">En presencia de empaquetamiento de servicios, la delimitación de la dimensión </w:t>
      </w:r>
      <w:r>
        <w:rPr>
          <w:rFonts w:ascii="Arial" w:hAnsi="Arial" w:cs="Arial"/>
          <w:szCs w:val="20"/>
        </w:rPr>
        <w:t>producto</w:t>
      </w:r>
      <w:r w:rsidRPr="00931D46">
        <w:rPr>
          <w:rFonts w:ascii="Arial" w:hAnsi="Arial" w:cs="Arial"/>
          <w:szCs w:val="20"/>
        </w:rPr>
        <w:t xml:space="preserve"> del MR puede enfrentar retos</w:t>
      </w:r>
      <w:r>
        <w:rPr>
          <w:rFonts w:ascii="Arial" w:hAnsi="Arial" w:cs="Arial"/>
          <w:szCs w:val="20"/>
        </w:rPr>
        <w:t>,</w:t>
      </w:r>
      <w:r w:rsidRPr="00931D46">
        <w:rPr>
          <w:rFonts w:ascii="Arial" w:hAnsi="Arial" w:cs="Arial"/>
          <w:szCs w:val="20"/>
        </w:rPr>
        <w:t xml:space="preserve"> como señala la OCDE:</w:t>
      </w:r>
      <w:r w:rsidRPr="00931D46">
        <w:rPr>
          <w:rStyle w:val="Refdenotaalpie"/>
          <w:rFonts w:ascii="Arial" w:hAnsi="Arial" w:cs="Arial"/>
        </w:rPr>
        <w:footnoteReference w:id="104"/>
      </w:r>
    </w:p>
    <w:p w14:paraId="3CC60D50" w14:textId="77777777" w:rsidR="003545C8" w:rsidRPr="00931D46" w:rsidRDefault="003545C8" w:rsidP="003545C8">
      <w:pPr>
        <w:spacing w:after="0"/>
        <w:jc w:val="both"/>
        <w:rPr>
          <w:rFonts w:ascii="Arial" w:hAnsi="Arial" w:cs="Arial"/>
          <w:szCs w:val="20"/>
        </w:rPr>
      </w:pPr>
    </w:p>
    <w:p w14:paraId="14F9833E" w14:textId="77777777" w:rsidR="003545C8" w:rsidRPr="00931D46" w:rsidRDefault="003545C8" w:rsidP="005E23E0">
      <w:pPr>
        <w:pStyle w:val="Prrafodelista"/>
        <w:numPr>
          <w:ilvl w:val="0"/>
          <w:numId w:val="17"/>
        </w:numPr>
        <w:spacing w:after="0"/>
        <w:ind w:hanging="578"/>
        <w:contextualSpacing w:val="0"/>
        <w:jc w:val="both"/>
        <w:rPr>
          <w:rFonts w:ascii="Arial" w:hAnsi="Arial" w:cs="Arial"/>
          <w:szCs w:val="20"/>
        </w:rPr>
      </w:pPr>
      <w:r w:rsidRPr="00931D46">
        <w:rPr>
          <w:rFonts w:ascii="Arial" w:hAnsi="Arial" w:cs="Arial"/>
          <w:szCs w:val="20"/>
        </w:rPr>
        <w:lastRenderedPageBreak/>
        <w:t>A medida que los paquetes son cada vez más comunes, evaluar los efectos que tienen sobre la competencia se vuelve un reto cada vez más desafiante e importante para las autoridades reguladoras y de competencia.</w:t>
      </w:r>
    </w:p>
    <w:p w14:paraId="432C9872" w14:textId="77777777" w:rsidR="003545C8" w:rsidRDefault="003545C8" w:rsidP="003545C8">
      <w:pPr>
        <w:pStyle w:val="Prrafodelista"/>
        <w:spacing w:after="0"/>
        <w:contextualSpacing w:val="0"/>
        <w:jc w:val="both"/>
        <w:rPr>
          <w:rFonts w:ascii="Arial" w:hAnsi="Arial" w:cs="Arial"/>
          <w:szCs w:val="20"/>
        </w:rPr>
      </w:pPr>
    </w:p>
    <w:p w14:paraId="20E12CBA" w14:textId="77777777" w:rsidR="003545C8" w:rsidRPr="00931D46" w:rsidRDefault="003545C8" w:rsidP="005E23E0">
      <w:pPr>
        <w:pStyle w:val="Prrafodelista"/>
        <w:numPr>
          <w:ilvl w:val="0"/>
          <w:numId w:val="17"/>
        </w:numPr>
        <w:spacing w:after="0"/>
        <w:ind w:hanging="578"/>
        <w:contextualSpacing w:val="0"/>
        <w:jc w:val="both"/>
        <w:rPr>
          <w:rFonts w:ascii="Arial" w:hAnsi="Arial" w:cs="Arial"/>
          <w:szCs w:val="20"/>
        </w:rPr>
      </w:pPr>
      <w:r w:rsidRPr="00931D46">
        <w:rPr>
          <w:rFonts w:ascii="Arial" w:hAnsi="Arial" w:cs="Arial"/>
          <w:szCs w:val="20"/>
        </w:rPr>
        <w:t>Las autoridades deben cuestionarse en qué medida la determinación del MR debería continuar considerando solo servicios independientes o si, en algunos casos, los paquetes podrían llegar a conformar el MR.</w:t>
      </w:r>
    </w:p>
    <w:p w14:paraId="797D90D7" w14:textId="77777777" w:rsidR="003545C8" w:rsidRPr="00931D46" w:rsidRDefault="003545C8" w:rsidP="003545C8">
      <w:pPr>
        <w:spacing w:after="0"/>
        <w:jc w:val="both"/>
        <w:rPr>
          <w:rFonts w:ascii="Arial" w:hAnsi="Arial" w:cs="Arial"/>
          <w:szCs w:val="20"/>
        </w:rPr>
      </w:pPr>
    </w:p>
    <w:p w14:paraId="612A8DED" w14:textId="29560846" w:rsidR="003545C8" w:rsidRPr="0007382E" w:rsidRDefault="003545C8" w:rsidP="003545C8">
      <w:pPr>
        <w:spacing w:after="0"/>
        <w:jc w:val="both"/>
        <w:rPr>
          <w:rFonts w:ascii="Arial" w:hAnsi="Arial" w:cs="Arial"/>
          <w:szCs w:val="20"/>
        </w:rPr>
      </w:pPr>
      <w:r w:rsidRPr="0007382E">
        <w:rPr>
          <w:rFonts w:ascii="Arial" w:hAnsi="Arial" w:cs="Arial"/>
          <w:bCs/>
        </w:rPr>
        <w:t xml:space="preserve">Para poder dilucidar si se trata de un mercado de paquetes o mercados de servicios individuales, es necesario analizar si existe sustitución asimétrica (ver </w:t>
      </w:r>
      <w:r w:rsidRPr="0007382E">
        <w:rPr>
          <w:rFonts w:ascii="Arial" w:hAnsi="Arial" w:cs="Arial"/>
        </w:rPr>
        <w:t>sección 9.</w:t>
      </w:r>
      <w:r w:rsidR="00EF4687">
        <w:rPr>
          <w:rFonts w:ascii="Arial" w:hAnsi="Arial" w:cs="Arial"/>
        </w:rPr>
        <w:t>2</w:t>
      </w:r>
      <w:r w:rsidRPr="0007382E">
        <w:rPr>
          <w:rFonts w:ascii="Arial" w:hAnsi="Arial" w:cs="Arial"/>
          <w:bCs/>
        </w:rPr>
        <w:t xml:space="preserve">) en el sentido de que los paquetes pueden sustituir a los servicios individuales, pero no viceversa; esta característica es importante porque afecta el análisis dependiendo de si el </w:t>
      </w:r>
      <w:r>
        <w:rPr>
          <w:rFonts w:ascii="Arial" w:hAnsi="Arial" w:cs="Arial"/>
          <w:bCs/>
        </w:rPr>
        <w:t>product</w:t>
      </w:r>
      <w:r w:rsidRPr="0007382E">
        <w:rPr>
          <w:rFonts w:ascii="Arial" w:hAnsi="Arial" w:cs="Arial"/>
          <w:bCs/>
        </w:rPr>
        <w:t>o focal con el que se inicia el análisis de sustitución es un paquete de servicios o es un servicio individual.</w:t>
      </w:r>
      <w:r w:rsidRPr="0007382E">
        <w:rPr>
          <w:rFonts w:ascii="Arial" w:hAnsi="Arial" w:cs="Arial"/>
          <w:szCs w:val="20"/>
        </w:rPr>
        <w:t xml:space="preserve"> </w:t>
      </w:r>
    </w:p>
    <w:p w14:paraId="3893A6D2" w14:textId="77777777" w:rsidR="003545C8" w:rsidRPr="0007382E" w:rsidRDefault="003545C8" w:rsidP="003545C8">
      <w:pPr>
        <w:spacing w:after="0"/>
        <w:jc w:val="both"/>
        <w:rPr>
          <w:rFonts w:ascii="Arial" w:hAnsi="Arial" w:cs="Arial"/>
          <w:szCs w:val="20"/>
        </w:rPr>
      </w:pPr>
    </w:p>
    <w:p w14:paraId="1373AB72" w14:textId="77777777" w:rsidR="003545C8" w:rsidRPr="0007382E" w:rsidRDefault="003545C8" w:rsidP="003545C8">
      <w:pPr>
        <w:spacing w:after="0"/>
        <w:jc w:val="both"/>
        <w:rPr>
          <w:rFonts w:ascii="Arial" w:hAnsi="Arial" w:cs="Arial"/>
          <w:szCs w:val="20"/>
        </w:rPr>
      </w:pPr>
      <w:r w:rsidRPr="0007382E">
        <w:rPr>
          <w:rFonts w:ascii="Arial" w:hAnsi="Arial" w:cs="Arial"/>
          <w:szCs w:val="20"/>
        </w:rPr>
        <w:t xml:space="preserve">También es importante señalar que, cuando se analizan </w:t>
      </w:r>
      <w:r>
        <w:rPr>
          <w:rFonts w:ascii="Arial" w:hAnsi="Arial" w:cs="Arial"/>
          <w:szCs w:val="20"/>
        </w:rPr>
        <w:t>servicios</w:t>
      </w:r>
      <w:r w:rsidRPr="0007382E">
        <w:rPr>
          <w:rFonts w:ascii="Arial" w:hAnsi="Arial" w:cs="Arial"/>
          <w:szCs w:val="20"/>
        </w:rPr>
        <w:t xml:space="preserve"> empaquetados, la aplicación de la Prueba SSNIP es teóricamente la misma y el resultado variará de acuerdo al producto focal del que se parta, así como del grado de sustitución entre los </w:t>
      </w:r>
      <w:r>
        <w:rPr>
          <w:rFonts w:ascii="Arial" w:hAnsi="Arial" w:cs="Arial"/>
          <w:szCs w:val="20"/>
        </w:rPr>
        <w:t>servicios</w:t>
      </w:r>
      <w:r w:rsidRPr="0007382E">
        <w:rPr>
          <w:rFonts w:ascii="Arial" w:hAnsi="Arial" w:cs="Arial"/>
          <w:szCs w:val="20"/>
        </w:rPr>
        <w:t xml:space="preserve"> individuales y los paquetes.</w:t>
      </w:r>
    </w:p>
    <w:p w14:paraId="5784F021" w14:textId="77777777" w:rsidR="003545C8" w:rsidRPr="0007382E" w:rsidRDefault="003545C8" w:rsidP="003545C8">
      <w:pPr>
        <w:spacing w:after="0"/>
        <w:jc w:val="both"/>
        <w:rPr>
          <w:rFonts w:ascii="Arial" w:hAnsi="Arial" w:cs="Arial"/>
          <w:szCs w:val="20"/>
        </w:rPr>
      </w:pPr>
    </w:p>
    <w:p w14:paraId="21FD1947" w14:textId="77777777" w:rsidR="003545C8" w:rsidRPr="00931D46" w:rsidRDefault="003545C8" w:rsidP="003545C8">
      <w:pPr>
        <w:spacing w:after="0"/>
        <w:jc w:val="both"/>
        <w:rPr>
          <w:rFonts w:ascii="Arial" w:hAnsi="Arial" w:cs="Arial"/>
          <w:szCs w:val="20"/>
        </w:rPr>
      </w:pPr>
      <w:r w:rsidRPr="0007382E">
        <w:rPr>
          <w:rFonts w:ascii="Arial" w:hAnsi="Arial" w:cs="Arial"/>
          <w:szCs w:val="20"/>
        </w:rPr>
        <w:t xml:space="preserve">Respecto la delimitación del MR, pueden resultar diversos escenarios. Por ejemplo, si se analizaran 2 (dos) servicios que se venden de manera individual y empaquetada, podrían existir los siguientes MR: i) 2 (dos) MR separados, uno para cada servicio individual; </w:t>
      </w:r>
      <w:proofErr w:type="spellStart"/>
      <w:r w:rsidRPr="0007382E">
        <w:rPr>
          <w:rFonts w:ascii="Arial" w:hAnsi="Arial" w:cs="Arial"/>
          <w:szCs w:val="20"/>
        </w:rPr>
        <w:t>ii</w:t>
      </w:r>
      <w:proofErr w:type="spellEnd"/>
      <w:r w:rsidRPr="0007382E">
        <w:rPr>
          <w:rFonts w:ascii="Arial" w:hAnsi="Arial" w:cs="Arial"/>
          <w:szCs w:val="20"/>
        </w:rPr>
        <w:t xml:space="preserve">) 1 (un) MR que incluya el paquete de los dos servicios; </w:t>
      </w:r>
      <w:proofErr w:type="spellStart"/>
      <w:r w:rsidRPr="0007382E">
        <w:rPr>
          <w:rFonts w:ascii="Arial" w:hAnsi="Arial" w:cs="Arial"/>
          <w:szCs w:val="20"/>
        </w:rPr>
        <w:t>iii</w:t>
      </w:r>
      <w:proofErr w:type="spellEnd"/>
      <w:r w:rsidRPr="0007382E">
        <w:rPr>
          <w:rFonts w:ascii="Arial" w:hAnsi="Arial" w:cs="Arial"/>
          <w:szCs w:val="20"/>
        </w:rPr>
        <w:t xml:space="preserve">) 3 (tres) MR separados:  2 (dos) para los </w:t>
      </w:r>
      <w:r>
        <w:rPr>
          <w:rFonts w:ascii="Arial" w:hAnsi="Arial" w:cs="Arial"/>
          <w:szCs w:val="20"/>
        </w:rPr>
        <w:t>servicios</w:t>
      </w:r>
      <w:r w:rsidRPr="0007382E">
        <w:rPr>
          <w:rFonts w:ascii="Arial" w:hAnsi="Arial" w:cs="Arial"/>
          <w:szCs w:val="20"/>
        </w:rPr>
        <w:t xml:space="preserve"> individuales y 1 (uno) para el paquete; </w:t>
      </w:r>
      <w:proofErr w:type="spellStart"/>
      <w:r w:rsidRPr="0007382E">
        <w:rPr>
          <w:rFonts w:ascii="Arial" w:hAnsi="Arial" w:cs="Arial"/>
          <w:szCs w:val="20"/>
        </w:rPr>
        <w:t>iv</w:t>
      </w:r>
      <w:proofErr w:type="spellEnd"/>
      <w:r w:rsidRPr="0007382E">
        <w:rPr>
          <w:rFonts w:ascii="Arial" w:hAnsi="Arial" w:cs="Arial"/>
          <w:szCs w:val="20"/>
        </w:rPr>
        <w:t xml:space="preserve">) 1 (un) MR que incluya el paquete y los servicios individuales y, v) 2 (dos) MR, cada uno compuesto por el servicio empaquetado y el servicio individual correspondiente. </w:t>
      </w:r>
    </w:p>
    <w:p w14:paraId="05BF72DE" w14:textId="77777777" w:rsidR="003545C8" w:rsidRPr="00931D46" w:rsidRDefault="003545C8" w:rsidP="003545C8">
      <w:pPr>
        <w:spacing w:after="0"/>
        <w:jc w:val="both"/>
        <w:rPr>
          <w:rFonts w:ascii="Arial" w:hAnsi="Arial" w:cs="Arial"/>
        </w:rPr>
      </w:pPr>
    </w:p>
    <w:p w14:paraId="1CA6595C"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50" w:name="_Toc43117679"/>
      <w:bookmarkStart w:id="151" w:name="_Toc43985859"/>
      <w:bookmarkStart w:id="152" w:name="_Toc44057907"/>
      <w:bookmarkStart w:id="153" w:name="_Toc44072031"/>
      <w:bookmarkStart w:id="154" w:name="_Toc44074709"/>
      <w:bookmarkStart w:id="155" w:name="_Toc44077120"/>
      <w:bookmarkStart w:id="156" w:name="_Toc44078319"/>
      <w:bookmarkStart w:id="157" w:name="_Toc44078587"/>
      <w:bookmarkStart w:id="158" w:name="_Toc42167323"/>
      <w:bookmarkStart w:id="159" w:name="_Toc42256671"/>
      <w:bookmarkStart w:id="160" w:name="_Toc42766336"/>
      <w:bookmarkStart w:id="161" w:name="_Toc42794204"/>
      <w:r w:rsidRPr="00931D46">
        <w:rPr>
          <w:rFonts w:ascii="Arial" w:eastAsia="Times New Roman" w:hAnsi="Arial" w:cs="Arial"/>
          <w:sz w:val="26"/>
          <w:szCs w:val="26"/>
          <w:lang w:eastAsia="es-MX"/>
        </w:rPr>
        <w:t>Precedentes decisorios del Instituto</w:t>
      </w:r>
      <w:bookmarkEnd w:id="150"/>
      <w:bookmarkEnd w:id="151"/>
      <w:bookmarkEnd w:id="152"/>
      <w:bookmarkEnd w:id="153"/>
      <w:bookmarkEnd w:id="154"/>
      <w:bookmarkEnd w:id="155"/>
      <w:bookmarkEnd w:id="156"/>
      <w:bookmarkEnd w:id="157"/>
      <w:bookmarkEnd w:id="158"/>
      <w:bookmarkEnd w:id="159"/>
      <w:bookmarkEnd w:id="160"/>
      <w:bookmarkEnd w:id="161"/>
    </w:p>
    <w:p w14:paraId="34BEE66E" w14:textId="77777777" w:rsidR="003545C8" w:rsidRPr="00931D46" w:rsidRDefault="003545C8" w:rsidP="003545C8">
      <w:pPr>
        <w:keepNext/>
        <w:spacing w:after="0"/>
        <w:jc w:val="both"/>
        <w:rPr>
          <w:rFonts w:ascii="Arial" w:hAnsi="Arial" w:cs="Arial"/>
        </w:rPr>
      </w:pPr>
    </w:p>
    <w:p w14:paraId="1A9AD2CB" w14:textId="77777777" w:rsidR="003545C8" w:rsidRPr="00931D46" w:rsidRDefault="003545C8" w:rsidP="003545C8">
      <w:pPr>
        <w:spacing w:after="0"/>
        <w:jc w:val="both"/>
        <w:rPr>
          <w:rFonts w:ascii="Arial" w:hAnsi="Arial" w:cs="Arial"/>
        </w:rPr>
      </w:pPr>
      <w:r>
        <w:rPr>
          <w:rFonts w:ascii="Arial" w:hAnsi="Arial" w:cs="Arial"/>
        </w:rPr>
        <w:t>E</w:t>
      </w:r>
      <w:r w:rsidRPr="00931D46">
        <w:rPr>
          <w:rFonts w:ascii="Arial" w:hAnsi="Arial" w:cs="Arial"/>
        </w:rPr>
        <w:t xml:space="preserve">l Instituto ha evaluado </w:t>
      </w:r>
      <w:r>
        <w:rPr>
          <w:rFonts w:ascii="Arial" w:hAnsi="Arial" w:cs="Arial"/>
        </w:rPr>
        <w:t>distintos casos</w:t>
      </w:r>
      <w:r w:rsidRPr="00464C29">
        <w:rPr>
          <w:rFonts w:ascii="Arial" w:eastAsia="Times New Roman" w:hAnsi="Arial" w:cs="Arial"/>
          <w:vertAlign w:val="superscript"/>
          <w:lang w:val="en-US" w:eastAsia="es-MX"/>
        </w:rPr>
        <w:footnoteReference w:id="105"/>
      </w:r>
      <w:r>
        <w:rPr>
          <w:rFonts w:ascii="Arial" w:hAnsi="Arial" w:cs="Arial"/>
        </w:rPr>
        <w:t xml:space="preserve"> que involucran </w:t>
      </w:r>
      <w:r w:rsidRPr="00931D46">
        <w:rPr>
          <w:rFonts w:ascii="Arial" w:hAnsi="Arial" w:cs="Arial"/>
        </w:rPr>
        <w:t xml:space="preserve">el empaquetamiento de servicios al determinar el MR, </w:t>
      </w:r>
      <w:r>
        <w:rPr>
          <w:rFonts w:ascii="Arial" w:hAnsi="Arial" w:cs="Arial"/>
        </w:rPr>
        <w:t>en</w:t>
      </w:r>
      <w:r w:rsidRPr="00931D46">
        <w:rPr>
          <w:rFonts w:ascii="Arial" w:hAnsi="Arial" w:cs="Arial"/>
        </w:rPr>
        <w:t xml:space="preserve"> los cuales se han considerado, entre otros, los siguientes elementos: </w:t>
      </w:r>
    </w:p>
    <w:p w14:paraId="40957E80" w14:textId="77777777" w:rsidR="003545C8" w:rsidRDefault="003545C8" w:rsidP="003545C8">
      <w:pPr>
        <w:pStyle w:val="Prrafodelista"/>
        <w:spacing w:after="0"/>
        <w:contextualSpacing w:val="0"/>
        <w:jc w:val="both"/>
        <w:rPr>
          <w:rFonts w:ascii="Arial" w:hAnsi="Arial" w:cs="Arial"/>
        </w:rPr>
      </w:pPr>
    </w:p>
    <w:p w14:paraId="4222DCA7" w14:textId="77777777" w:rsidR="003545C8" w:rsidRPr="00931D46" w:rsidRDefault="003545C8" w:rsidP="005E23E0">
      <w:pPr>
        <w:pStyle w:val="Prrafodelista"/>
        <w:numPr>
          <w:ilvl w:val="0"/>
          <w:numId w:val="16"/>
        </w:numPr>
        <w:spacing w:after="0"/>
        <w:ind w:hanging="578"/>
        <w:contextualSpacing w:val="0"/>
        <w:jc w:val="both"/>
        <w:rPr>
          <w:rFonts w:ascii="Arial" w:hAnsi="Arial" w:cs="Arial"/>
        </w:rPr>
      </w:pPr>
      <w:r w:rsidRPr="00931D46">
        <w:rPr>
          <w:rFonts w:ascii="Arial" w:hAnsi="Arial" w:cs="Arial"/>
        </w:rPr>
        <w:t>La capacidad de los proveedores para conformar ofertas de paquetes,</w:t>
      </w:r>
    </w:p>
    <w:p w14:paraId="4E77B893" w14:textId="77777777" w:rsidR="003545C8" w:rsidRDefault="003545C8" w:rsidP="003545C8">
      <w:pPr>
        <w:pStyle w:val="Prrafodelista"/>
        <w:spacing w:after="0"/>
        <w:contextualSpacing w:val="0"/>
        <w:jc w:val="both"/>
        <w:rPr>
          <w:rFonts w:ascii="Arial" w:hAnsi="Arial" w:cs="Arial"/>
        </w:rPr>
      </w:pPr>
    </w:p>
    <w:p w14:paraId="61F0CB4C" w14:textId="77777777" w:rsidR="003545C8" w:rsidRDefault="003545C8" w:rsidP="005E23E0">
      <w:pPr>
        <w:pStyle w:val="Prrafodelista"/>
        <w:numPr>
          <w:ilvl w:val="0"/>
          <w:numId w:val="16"/>
        </w:numPr>
        <w:spacing w:after="0"/>
        <w:ind w:hanging="578"/>
        <w:contextualSpacing w:val="0"/>
        <w:jc w:val="both"/>
        <w:rPr>
          <w:rFonts w:ascii="Arial" w:hAnsi="Arial" w:cs="Arial"/>
        </w:rPr>
      </w:pPr>
      <w:r w:rsidRPr="00931D46">
        <w:rPr>
          <w:rFonts w:ascii="Arial" w:hAnsi="Arial" w:cs="Arial"/>
        </w:rPr>
        <w:t xml:space="preserve">Las posibilidades que tienen los usuarios finales de contratar servicios </w:t>
      </w:r>
      <w:r w:rsidRPr="00931D46">
        <w:rPr>
          <w:rFonts w:ascii="Arial" w:eastAsiaTheme="majorEastAsia" w:hAnsi="Arial" w:cs="Arial"/>
          <w:bCs/>
        </w:rPr>
        <w:t>en forma individual y en distintas formas de empaquetamiento</w:t>
      </w:r>
      <w:r w:rsidRPr="00931D46">
        <w:rPr>
          <w:rFonts w:ascii="Arial" w:hAnsi="Arial" w:cs="Arial"/>
        </w:rPr>
        <w:t>, tomando en cuenta la disponibilidad, los precios y otras características de los servicios</w:t>
      </w:r>
      <w:r w:rsidRPr="00931D46" w:rsidDel="000D0EFD">
        <w:rPr>
          <w:rFonts w:ascii="Arial" w:hAnsi="Arial" w:cs="Arial"/>
        </w:rPr>
        <w:t>,</w:t>
      </w:r>
      <w:r w:rsidRPr="00931D46">
        <w:rPr>
          <w:rFonts w:ascii="Arial" w:hAnsi="Arial" w:cs="Arial"/>
        </w:rPr>
        <w:t xml:space="preserve"> </w:t>
      </w:r>
    </w:p>
    <w:p w14:paraId="6DB41206" w14:textId="77777777" w:rsidR="003545C8" w:rsidRPr="00A92633" w:rsidRDefault="003545C8" w:rsidP="003545C8">
      <w:pPr>
        <w:pStyle w:val="Prrafodelista"/>
        <w:jc w:val="both"/>
        <w:rPr>
          <w:rFonts w:ascii="Arial" w:hAnsi="Arial" w:cs="Arial"/>
        </w:rPr>
      </w:pPr>
    </w:p>
    <w:p w14:paraId="018ACAD5" w14:textId="77777777" w:rsidR="003545C8" w:rsidRPr="00931D46" w:rsidRDefault="003545C8" w:rsidP="005E23E0">
      <w:pPr>
        <w:pStyle w:val="Prrafodelista"/>
        <w:numPr>
          <w:ilvl w:val="0"/>
          <w:numId w:val="16"/>
        </w:numPr>
        <w:spacing w:after="0"/>
        <w:ind w:hanging="578"/>
        <w:contextualSpacing w:val="0"/>
        <w:jc w:val="both"/>
        <w:rPr>
          <w:rFonts w:ascii="Arial" w:hAnsi="Arial" w:cs="Arial"/>
        </w:rPr>
      </w:pPr>
      <w:r w:rsidRPr="00931D46">
        <w:rPr>
          <w:rFonts w:ascii="Arial" w:hAnsi="Arial" w:cs="Arial"/>
        </w:rPr>
        <w:lastRenderedPageBreak/>
        <w:t xml:space="preserve">La evidencia sobre la contratación de las distintas modalidades de empaquetamiento y servicios desagregados por parte de los usuarios, y </w:t>
      </w:r>
    </w:p>
    <w:p w14:paraId="4493FBFC" w14:textId="77777777" w:rsidR="003545C8" w:rsidRDefault="003545C8" w:rsidP="003545C8">
      <w:pPr>
        <w:pStyle w:val="Prrafodelista"/>
        <w:spacing w:after="0"/>
        <w:contextualSpacing w:val="0"/>
        <w:jc w:val="both"/>
        <w:rPr>
          <w:rFonts w:ascii="Arial" w:hAnsi="Arial" w:cs="Arial"/>
        </w:rPr>
      </w:pPr>
    </w:p>
    <w:p w14:paraId="7C36CBA2" w14:textId="77777777" w:rsidR="003545C8" w:rsidRPr="00931D46" w:rsidRDefault="003545C8" w:rsidP="005E23E0">
      <w:pPr>
        <w:pStyle w:val="Prrafodelista"/>
        <w:numPr>
          <w:ilvl w:val="0"/>
          <w:numId w:val="16"/>
        </w:numPr>
        <w:spacing w:after="0"/>
        <w:ind w:hanging="578"/>
        <w:contextualSpacing w:val="0"/>
        <w:jc w:val="both"/>
        <w:rPr>
          <w:rFonts w:ascii="Arial" w:hAnsi="Arial" w:cs="Arial"/>
        </w:rPr>
      </w:pPr>
      <w:r w:rsidRPr="00931D46">
        <w:rPr>
          <w:rFonts w:ascii="Arial" w:hAnsi="Arial" w:cs="Arial"/>
        </w:rPr>
        <w:t xml:space="preserve">La existencia de sustitución asimétrica entre el paquete y sus componentes.  </w:t>
      </w:r>
    </w:p>
    <w:p w14:paraId="5D2F1064" w14:textId="77777777" w:rsidR="003545C8" w:rsidRPr="00931D46" w:rsidRDefault="003545C8" w:rsidP="003545C8">
      <w:pPr>
        <w:spacing w:after="0"/>
        <w:jc w:val="both"/>
        <w:rPr>
          <w:rFonts w:ascii="Arial" w:hAnsi="Arial" w:cs="Arial"/>
          <w:bCs/>
        </w:rPr>
      </w:pPr>
    </w:p>
    <w:p w14:paraId="7194C6FC" w14:textId="77777777" w:rsidR="003545C8" w:rsidRPr="00931D46" w:rsidRDefault="003545C8"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62" w:name="_Toc42167325"/>
      <w:bookmarkStart w:id="163" w:name="_Toc42256673"/>
      <w:bookmarkStart w:id="164" w:name="_Toc42766338"/>
      <w:bookmarkStart w:id="165" w:name="_Toc42794206"/>
      <w:bookmarkStart w:id="166" w:name="_Toc43117681"/>
      <w:bookmarkStart w:id="167" w:name="_Toc43985862"/>
      <w:bookmarkStart w:id="168" w:name="_Toc44057911"/>
      <w:bookmarkStart w:id="169" w:name="_Toc44072036"/>
      <w:bookmarkStart w:id="170" w:name="_Toc44074713"/>
      <w:bookmarkStart w:id="171" w:name="_Toc44077124"/>
      <w:bookmarkStart w:id="172" w:name="_Toc44078323"/>
      <w:bookmarkStart w:id="173" w:name="_Toc44078591"/>
      <w:r w:rsidRPr="00931D46">
        <w:rPr>
          <w:rFonts w:ascii="Arial" w:eastAsia="Times New Roman" w:hAnsi="Arial" w:cs="Arial"/>
          <w:sz w:val="26"/>
          <w:szCs w:val="26"/>
          <w:lang w:eastAsia="es-MX"/>
        </w:rPr>
        <w:t>Experiencia Internacional</w:t>
      </w:r>
      <w:bookmarkEnd w:id="162"/>
      <w:bookmarkEnd w:id="163"/>
      <w:bookmarkEnd w:id="164"/>
      <w:bookmarkEnd w:id="165"/>
      <w:bookmarkEnd w:id="166"/>
      <w:bookmarkEnd w:id="167"/>
      <w:bookmarkEnd w:id="168"/>
      <w:bookmarkEnd w:id="169"/>
      <w:bookmarkEnd w:id="170"/>
      <w:bookmarkEnd w:id="171"/>
      <w:bookmarkEnd w:id="172"/>
      <w:bookmarkEnd w:id="173"/>
    </w:p>
    <w:p w14:paraId="3FC6EFBF" w14:textId="77777777" w:rsidR="003545C8" w:rsidRPr="00931D46" w:rsidRDefault="003545C8" w:rsidP="003545C8">
      <w:pPr>
        <w:spacing w:after="0"/>
        <w:jc w:val="both"/>
        <w:rPr>
          <w:rFonts w:ascii="Arial" w:hAnsi="Arial" w:cs="Arial"/>
        </w:rPr>
      </w:pPr>
      <w:bookmarkStart w:id="174" w:name="_Toc42167326"/>
      <w:bookmarkStart w:id="175" w:name="_Toc42256674"/>
      <w:bookmarkStart w:id="176" w:name="_Toc42766339"/>
      <w:bookmarkStart w:id="177" w:name="_Toc42794207"/>
      <w:bookmarkEnd w:id="174"/>
      <w:bookmarkEnd w:id="175"/>
      <w:bookmarkEnd w:id="176"/>
      <w:bookmarkEnd w:id="177"/>
      <w:r>
        <w:rPr>
          <w:rFonts w:ascii="Arial" w:hAnsi="Arial" w:cs="Arial"/>
        </w:rPr>
        <w:t>L</w:t>
      </w:r>
      <w:r w:rsidRPr="00931D46">
        <w:rPr>
          <w:rFonts w:ascii="Arial" w:hAnsi="Arial" w:cs="Arial"/>
        </w:rPr>
        <w:t xml:space="preserve">os principales criterios </w:t>
      </w:r>
      <w:r>
        <w:rPr>
          <w:rFonts w:ascii="Arial" w:hAnsi="Arial" w:cs="Arial"/>
        </w:rPr>
        <w:t>considerados</w:t>
      </w:r>
      <w:r w:rsidRPr="00931D46">
        <w:rPr>
          <w:rFonts w:ascii="Arial" w:hAnsi="Arial" w:cs="Arial"/>
        </w:rPr>
        <w:t xml:space="preserve"> por las autoridades de competencia de la U</w:t>
      </w:r>
      <w:r>
        <w:rPr>
          <w:rFonts w:ascii="Arial" w:hAnsi="Arial" w:cs="Arial"/>
        </w:rPr>
        <w:t xml:space="preserve">nión </w:t>
      </w:r>
      <w:r w:rsidRPr="00931D46">
        <w:rPr>
          <w:rFonts w:ascii="Arial" w:hAnsi="Arial" w:cs="Arial"/>
        </w:rPr>
        <w:t>E</w:t>
      </w:r>
      <w:r>
        <w:rPr>
          <w:rFonts w:ascii="Arial" w:hAnsi="Arial" w:cs="Arial"/>
        </w:rPr>
        <w:t>uropea</w:t>
      </w:r>
      <w:r w:rsidRPr="00931D46">
        <w:rPr>
          <w:rFonts w:ascii="Arial" w:hAnsi="Arial" w:cs="Arial"/>
        </w:rPr>
        <w:t>,</w:t>
      </w:r>
      <w:r w:rsidRPr="00931D46">
        <w:rPr>
          <w:rFonts w:ascii="Arial" w:eastAsia="Times New Roman" w:hAnsi="Arial" w:cs="Arial"/>
          <w:vertAlign w:val="superscript"/>
          <w:lang w:eastAsia="es-MX"/>
        </w:rPr>
        <w:footnoteReference w:id="106"/>
      </w:r>
      <w:r w:rsidRPr="00931D46">
        <w:rPr>
          <w:rFonts w:ascii="Arial" w:hAnsi="Arial" w:cs="Arial"/>
        </w:rPr>
        <w:t xml:space="preserve"> Portugal,</w:t>
      </w:r>
      <w:r w:rsidRPr="00931D46">
        <w:rPr>
          <w:rStyle w:val="Refdenotaalpie"/>
          <w:rFonts w:ascii="Arial" w:hAnsi="Arial" w:cs="Arial"/>
        </w:rPr>
        <w:footnoteReference w:id="107"/>
      </w:r>
      <w:r w:rsidRPr="00931D46">
        <w:rPr>
          <w:rFonts w:ascii="Arial" w:hAnsi="Arial" w:cs="Arial"/>
        </w:rPr>
        <w:t xml:space="preserve"> y Reino Unido</w:t>
      </w:r>
      <w:r w:rsidRPr="00940133">
        <w:rPr>
          <w:rFonts w:ascii="Arial" w:eastAsia="Times New Roman" w:hAnsi="Arial" w:cs="Arial"/>
          <w:vertAlign w:val="superscript"/>
          <w:lang w:eastAsia="es-MX"/>
        </w:rPr>
        <w:footnoteReference w:id="108"/>
      </w:r>
      <w:r w:rsidRPr="00931D46">
        <w:rPr>
          <w:rFonts w:ascii="Arial" w:hAnsi="Arial" w:cs="Arial"/>
        </w:rPr>
        <w:t>, así como los criterios y recomendaciones señalados por la OCDE</w:t>
      </w:r>
      <w:r w:rsidRPr="00931D46">
        <w:rPr>
          <w:rFonts w:ascii="Arial" w:eastAsia="Times New Roman" w:hAnsi="Arial" w:cs="Arial"/>
          <w:vertAlign w:val="superscript"/>
          <w:lang w:eastAsia="es-MX"/>
        </w:rPr>
        <w:footnoteReference w:id="109"/>
      </w:r>
      <w:r>
        <w:rPr>
          <w:rFonts w:ascii="Arial" w:hAnsi="Arial" w:cs="Arial"/>
        </w:rPr>
        <w:t xml:space="preserve"> </w:t>
      </w:r>
      <w:r w:rsidRPr="00931D46">
        <w:rPr>
          <w:rFonts w:ascii="Arial" w:hAnsi="Arial" w:cs="Arial"/>
        </w:rPr>
        <w:t>para determinar el MR en presencia de paquetes de servicios,</w:t>
      </w:r>
      <w:r>
        <w:rPr>
          <w:rFonts w:ascii="Arial" w:hAnsi="Arial" w:cs="Arial"/>
        </w:rPr>
        <w:t xml:space="preserve"> consisten en </w:t>
      </w:r>
      <w:r w:rsidRPr="00931D46">
        <w:rPr>
          <w:rFonts w:ascii="Arial" w:hAnsi="Arial" w:cs="Arial"/>
        </w:rPr>
        <w:t>analiza</w:t>
      </w:r>
      <w:r>
        <w:rPr>
          <w:rFonts w:ascii="Arial" w:hAnsi="Arial" w:cs="Arial"/>
        </w:rPr>
        <w:t>r</w:t>
      </w:r>
      <w:r w:rsidRPr="00931D46">
        <w:rPr>
          <w:rFonts w:ascii="Arial" w:hAnsi="Arial" w:cs="Arial"/>
        </w:rPr>
        <w:t xml:space="preserve"> y eval</w:t>
      </w:r>
      <w:r>
        <w:rPr>
          <w:rFonts w:ascii="Arial" w:hAnsi="Arial" w:cs="Arial"/>
        </w:rPr>
        <w:t>uar</w:t>
      </w:r>
      <w:r w:rsidRPr="00931D46">
        <w:rPr>
          <w:rFonts w:ascii="Arial" w:hAnsi="Arial" w:cs="Arial"/>
        </w:rPr>
        <w:t xml:space="preserve"> elementos como:</w:t>
      </w:r>
    </w:p>
    <w:p w14:paraId="4DE84B53" w14:textId="77777777" w:rsidR="003545C8" w:rsidRDefault="003545C8" w:rsidP="003545C8">
      <w:pPr>
        <w:pStyle w:val="Prrafodelista"/>
        <w:spacing w:after="0"/>
        <w:contextualSpacing w:val="0"/>
        <w:jc w:val="both"/>
        <w:rPr>
          <w:rFonts w:ascii="Arial" w:hAnsi="Arial" w:cs="Arial"/>
        </w:rPr>
      </w:pPr>
    </w:p>
    <w:p w14:paraId="639EA04B"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La Prueba SSNIP aplicada a los servicios individuales y/o a los paquetes de servicios.</w:t>
      </w:r>
    </w:p>
    <w:p w14:paraId="577841B9" w14:textId="77777777" w:rsidR="003545C8" w:rsidRPr="00A92633" w:rsidRDefault="003545C8" w:rsidP="003545C8">
      <w:pPr>
        <w:pStyle w:val="Prrafodelista"/>
        <w:spacing w:after="0"/>
        <w:contextualSpacing w:val="0"/>
        <w:jc w:val="both"/>
        <w:rPr>
          <w:rFonts w:ascii="Arial" w:hAnsi="Arial" w:cs="Arial"/>
        </w:rPr>
      </w:pPr>
    </w:p>
    <w:p w14:paraId="3B7E464D"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color w:val="000000"/>
        </w:rPr>
        <w:t>La existencia de proveedores de servicios individuales.</w:t>
      </w:r>
      <w:r w:rsidRPr="00931D46" w:rsidDel="00F16FC4">
        <w:rPr>
          <w:rFonts w:ascii="Arial" w:hAnsi="Arial" w:cs="Arial"/>
        </w:rPr>
        <w:t xml:space="preserve"> </w:t>
      </w:r>
    </w:p>
    <w:p w14:paraId="765BC79E" w14:textId="77777777" w:rsidR="003545C8" w:rsidRPr="00A92633" w:rsidRDefault="003545C8" w:rsidP="003545C8">
      <w:pPr>
        <w:pStyle w:val="Prrafodelista"/>
        <w:spacing w:after="0"/>
        <w:contextualSpacing w:val="0"/>
        <w:jc w:val="both"/>
        <w:rPr>
          <w:rFonts w:ascii="Arial" w:hAnsi="Arial" w:cs="Arial"/>
        </w:rPr>
      </w:pPr>
    </w:p>
    <w:p w14:paraId="3A05FBD3"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szCs w:val="20"/>
        </w:rPr>
        <w:t xml:space="preserve">La disponibilidad de </w:t>
      </w:r>
      <w:r>
        <w:rPr>
          <w:rFonts w:ascii="Arial" w:hAnsi="Arial" w:cs="Arial"/>
          <w:szCs w:val="20"/>
        </w:rPr>
        <w:t>servicios</w:t>
      </w:r>
      <w:r w:rsidRPr="00931D46">
        <w:rPr>
          <w:rFonts w:ascii="Arial" w:hAnsi="Arial" w:cs="Arial"/>
          <w:szCs w:val="20"/>
        </w:rPr>
        <w:t xml:space="preserve"> individuales.</w:t>
      </w:r>
    </w:p>
    <w:p w14:paraId="129A9836" w14:textId="77777777" w:rsidR="003545C8" w:rsidRDefault="003545C8" w:rsidP="003545C8">
      <w:pPr>
        <w:pStyle w:val="Prrafodelista"/>
        <w:spacing w:after="0"/>
        <w:contextualSpacing w:val="0"/>
        <w:jc w:val="both"/>
        <w:rPr>
          <w:rFonts w:ascii="Arial" w:hAnsi="Arial" w:cs="Arial"/>
        </w:rPr>
      </w:pPr>
    </w:p>
    <w:p w14:paraId="4FCDF8D4"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 xml:space="preserve">La </w:t>
      </w:r>
      <w:r w:rsidRPr="00931D46">
        <w:rPr>
          <w:rFonts w:ascii="Arial" w:hAnsi="Arial" w:cs="Arial"/>
          <w:color w:val="000000"/>
        </w:rPr>
        <w:t>presencia de economías de alcance y ahorros en costos de transacción en la provisión de paquetes.</w:t>
      </w:r>
    </w:p>
    <w:p w14:paraId="2BCFB31C" w14:textId="77777777" w:rsidR="003545C8" w:rsidRDefault="003545C8" w:rsidP="003545C8">
      <w:pPr>
        <w:pStyle w:val="Prrafodelista"/>
        <w:spacing w:after="0"/>
        <w:contextualSpacing w:val="0"/>
        <w:jc w:val="both"/>
        <w:rPr>
          <w:rFonts w:ascii="Arial" w:hAnsi="Arial" w:cs="Arial"/>
        </w:rPr>
      </w:pPr>
    </w:p>
    <w:p w14:paraId="5A1707B2"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Los precios relativos de los paquetes y de los servicios individuales, así como las diferencias en calidad.</w:t>
      </w:r>
    </w:p>
    <w:p w14:paraId="408F1F4A" w14:textId="77777777" w:rsidR="003545C8" w:rsidRDefault="003545C8" w:rsidP="003545C8">
      <w:pPr>
        <w:pStyle w:val="Prrafodelista"/>
        <w:spacing w:after="0"/>
        <w:contextualSpacing w:val="0"/>
        <w:jc w:val="both"/>
        <w:rPr>
          <w:rFonts w:ascii="Arial" w:hAnsi="Arial" w:cs="Arial"/>
        </w:rPr>
      </w:pPr>
    </w:p>
    <w:p w14:paraId="4DB03BBD"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Las necesidades de los usuarios y sus preferencias en la contratación de servicios con uno o más proveedores.</w:t>
      </w:r>
    </w:p>
    <w:p w14:paraId="7CF0A40A" w14:textId="77777777" w:rsidR="003545C8" w:rsidRDefault="003545C8" w:rsidP="003545C8">
      <w:pPr>
        <w:pStyle w:val="Prrafodelista"/>
        <w:spacing w:after="0"/>
        <w:contextualSpacing w:val="0"/>
        <w:jc w:val="both"/>
        <w:rPr>
          <w:rFonts w:ascii="Arial" w:hAnsi="Arial" w:cs="Arial"/>
        </w:rPr>
      </w:pPr>
    </w:p>
    <w:p w14:paraId="36D2006E"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Evidencia respecto a si</w:t>
      </w:r>
      <w:r w:rsidRPr="00931D46">
        <w:rPr>
          <w:rFonts w:ascii="Arial" w:hAnsi="Arial" w:cs="Arial"/>
          <w:szCs w:val="20"/>
        </w:rPr>
        <w:t xml:space="preserve"> los usuarios han cambiado de paquetes a servicios individuales, o viceversa, como resultado de cambios en los precios.</w:t>
      </w:r>
    </w:p>
    <w:p w14:paraId="31674BE9" w14:textId="77777777" w:rsidR="003545C8" w:rsidRPr="00A92633" w:rsidRDefault="003545C8" w:rsidP="003545C8">
      <w:pPr>
        <w:pStyle w:val="Prrafodelista"/>
        <w:spacing w:after="0"/>
        <w:contextualSpacing w:val="0"/>
        <w:jc w:val="both"/>
        <w:rPr>
          <w:rFonts w:ascii="Arial" w:hAnsi="Arial" w:cs="Arial"/>
        </w:rPr>
      </w:pPr>
    </w:p>
    <w:p w14:paraId="62D7FC37"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szCs w:val="20"/>
        </w:rPr>
        <w:t>L</w:t>
      </w:r>
      <w:r w:rsidRPr="00931D46">
        <w:rPr>
          <w:rFonts w:ascii="Arial" w:hAnsi="Arial" w:cs="Arial"/>
        </w:rPr>
        <w:t xml:space="preserve">os costos </w:t>
      </w:r>
      <w:r w:rsidRPr="00931D46">
        <w:rPr>
          <w:rFonts w:ascii="Arial" w:hAnsi="Arial" w:cs="Arial"/>
          <w:szCs w:val="20"/>
        </w:rPr>
        <w:t>de cambio entre el paquete y los servicios individuales.</w:t>
      </w:r>
    </w:p>
    <w:p w14:paraId="28D7B5D7"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lastRenderedPageBreak/>
        <w:t>La proporción de usuarios que contrata paquetes y la proporción que contrata servicios individuales.</w:t>
      </w:r>
    </w:p>
    <w:p w14:paraId="7667C95A" w14:textId="77777777" w:rsidR="003545C8" w:rsidRDefault="003545C8" w:rsidP="003545C8">
      <w:pPr>
        <w:pStyle w:val="Prrafodelista"/>
        <w:spacing w:after="0"/>
        <w:contextualSpacing w:val="0"/>
        <w:jc w:val="both"/>
        <w:rPr>
          <w:rFonts w:ascii="Arial" w:hAnsi="Arial" w:cs="Arial"/>
        </w:rPr>
      </w:pPr>
    </w:p>
    <w:p w14:paraId="06A47025"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La existencia de sustitución asimétrica entre el paquete y sus componentes individuales.</w:t>
      </w:r>
    </w:p>
    <w:p w14:paraId="6D6EE506" w14:textId="77777777" w:rsidR="003545C8" w:rsidRPr="00931D46" w:rsidRDefault="003545C8" w:rsidP="003545C8">
      <w:pPr>
        <w:spacing w:after="0"/>
        <w:jc w:val="both"/>
        <w:rPr>
          <w:rFonts w:ascii="Arial" w:hAnsi="Arial" w:cs="Arial"/>
        </w:rPr>
      </w:pPr>
    </w:p>
    <w:p w14:paraId="5255101D" w14:textId="3F6DC390" w:rsidR="003545C8" w:rsidRPr="00931D46" w:rsidRDefault="0003578B" w:rsidP="005E23E0">
      <w:pPr>
        <w:pStyle w:val="Ttulo3"/>
        <w:keepNext/>
        <w:numPr>
          <w:ilvl w:val="2"/>
          <w:numId w:val="5"/>
        </w:numPr>
        <w:ind w:left="1701"/>
        <w:contextualSpacing w:val="0"/>
        <w:rPr>
          <w:rFonts w:ascii="Arial" w:eastAsia="Times New Roman" w:hAnsi="Arial" w:cs="Arial"/>
          <w:b w:val="0"/>
          <w:sz w:val="26"/>
          <w:szCs w:val="26"/>
          <w:lang w:eastAsia="es-MX"/>
        </w:rPr>
      </w:pPr>
      <w:bookmarkStart w:id="178" w:name="_Toc44077083"/>
      <w:bookmarkStart w:id="179" w:name="_Toc44077104"/>
      <w:bookmarkStart w:id="180" w:name="_Toc44077192"/>
      <w:bookmarkStart w:id="181" w:name="_Toc44077203"/>
      <w:bookmarkStart w:id="182" w:name="_Toc44077221"/>
      <w:bookmarkStart w:id="183" w:name="_Toc44077255"/>
      <w:bookmarkStart w:id="184" w:name="_Toc44077276"/>
      <w:bookmarkStart w:id="185" w:name="_Toc44077322"/>
      <w:bookmarkStart w:id="186" w:name="_Toc44077373"/>
      <w:bookmarkStart w:id="187" w:name="_Toc44077391"/>
      <w:bookmarkStart w:id="188" w:name="_Toc44077490"/>
      <w:bookmarkStart w:id="189" w:name="_Toc44077512"/>
      <w:bookmarkStart w:id="190" w:name="_Toc44077553"/>
      <w:bookmarkStart w:id="191" w:name="_Toc44077713"/>
      <w:bookmarkStart w:id="192" w:name="_Toc44077734"/>
      <w:bookmarkStart w:id="193" w:name="_Toc44077778"/>
      <w:bookmarkStart w:id="194" w:name="_Toc44077898"/>
      <w:bookmarkStart w:id="195" w:name="_Toc44078100"/>
      <w:bookmarkStart w:id="196" w:name="_Toc44078003"/>
      <w:bookmarkStart w:id="197" w:name="_Toc44078028"/>
      <w:bookmarkStart w:id="198" w:name="_Toc44078121"/>
      <w:bookmarkStart w:id="199" w:name="_Toc44078147"/>
      <w:bookmarkStart w:id="200" w:name="_Toc44078168"/>
      <w:bookmarkStart w:id="201" w:name="_Toc44078324"/>
      <w:bookmarkStart w:id="202" w:name="_Toc44078592"/>
      <w:bookmarkStart w:id="203" w:name="_Toc44077556"/>
      <w:bookmarkStart w:id="204" w:name="_Toc44077716"/>
      <w:bookmarkStart w:id="205" w:name="_Toc44077901"/>
      <w:bookmarkStart w:id="206" w:name="_Toc44078103"/>
      <w:bookmarkStart w:id="207" w:name="_Toc44078006"/>
      <w:bookmarkStart w:id="208" w:name="_Toc44078031"/>
      <w:bookmarkStart w:id="209" w:name="_Toc44078150"/>
      <w:bookmarkStart w:id="210" w:name="_Toc44078327"/>
      <w:bookmarkStart w:id="211" w:name="_Toc44078595"/>
      <w:bookmarkStart w:id="212" w:name="_Toc44077557"/>
      <w:bookmarkStart w:id="213" w:name="_Toc44077717"/>
      <w:bookmarkStart w:id="214" w:name="_Toc44077902"/>
      <w:bookmarkStart w:id="215" w:name="_Toc44078104"/>
      <w:bookmarkStart w:id="216" w:name="_Toc44078007"/>
      <w:bookmarkStart w:id="217" w:name="_Toc44078032"/>
      <w:bookmarkStart w:id="218" w:name="_Toc44078151"/>
      <w:bookmarkStart w:id="219" w:name="_Toc44078328"/>
      <w:bookmarkStart w:id="220" w:name="_Toc44078596"/>
      <w:bookmarkStart w:id="221" w:name="_Toc44077558"/>
      <w:bookmarkStart w:id="222" w:name="_Toc44077718"/>
      <w:bookmarkStart w:id="223" w:name="_Toc44077903"/>
      <w:bookmarkStart w:id="224" w:name="_Toc44078105"/>
      <w:bookmarkStart w:id="225" w:name="_Toc44078008"/>
      <w:bookmarkStart w:id="226" w:name="_Toc44078033"/>
      <w:bookmarkStart w:id="227" w:name="_Toc44078152"/>
      <w:bookmarkStart w:id="228" w:name="_Toc44078329"/>
      <w:bookmarkStart w:id="229" w:name="_Toc44078597"/>
      <w:bookmarkStart w:id="230" w:name="_Toc43117682"/>
      <w:bookmarkStart w:id="231" w:name="_Toc43985863"/>
      <w:bookmarkStart w:id="232" w:name="_Toc44057912"/>
      <w:bookmarkStart w:id="233" w:name="_Toc44072037"/>
      <w:bookmarkStart w:id="234" w:name="_Toc44074714"/>
      <w:bookmarkStart w:id="235" w:name="_Toc44077132"/>
      <w:bookmarkStart w:id="236" w:name="_Toc44078334"/>
      <w:bookmarkStart w:id="237" w:name="_Toc44078602"/>
      <w:bookmarkStart w:id="238" w:name="_Toc42167329"/>
      <w:bookmarkStart w:id="239" w:name="_Toc42256678"/>
      <w:bookmarkStart w:id="240" w:name="_Toc42766343"/>
      <w:bookmarkStart w:id="241" w:name="_Toc4279421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Arial" w:eastAsia="Times New Roman" w:hAnsi="Arial" w:cs="Arial"/>
          <w:sz w:val="26"/>
          <w:szCs w:val="26"/>
          <w:lang w:eastAsia="es-MX"/>
        </w:rPr>
        <w:t>E</w:t>
      </w:r>
      <w:r w:rsidR="003545C8" w:rsidRPr="00931D46">
        <w:rPr>
          <w:rFonts w:ascii="Arial" w:eastAsia="Times New Roman" w:hAnsi="Arial" w:cs="Arial"/>
          <w:sz w:val="26"/>
          <w:szCs w:val="26"/>
          <w:lang w:eastAsia="es-MX"/>
        </w:rPr>
        <w:t xml:space="preserve">lementos para determinar MR en presencia de paquetes de </w:t>
      </w:r>
      <w:bookmarkEnd w:id="230"/>
      <w:bookmarkEnd w:id="231"/>
      <w:bookmarkEnd w:id="232"/>
      <w:bookmarkEnd w:id="233"/>
      <w:bookmarkEnd w:id="234"/>
      <w:bookmarkEnd w:id="235"/>
      <w:bookmarkEnd w:id="236"/>
      <w:bookmarkEnd w:id="237"/>
      <w:bookmarkEnd w:id="238"/>
      <w:bookmarkEnd w:id="239"/>
      <w:bookmarkEnd w:id="240"/>
      <w:bookmarkEnd w:id="241"/>
      <w:r w:rsidR="003545C8">
        <w:rPr>
          <w:rFonts w:ascii="Arial" w:eastAsia="Times New Roman" w:hAnsi="Arial" w:cs="Arial"/>
          <w:sz w:val="26"/>
          <w:szCs w:val="26"/>
          <w:lang w:eastAsia="es-MX"/>
        </w:rPr>
        <w:t>servicios</w:t>
      </w:r>
    </w:p>
    <w:p w14:paraId="605CE32A" w14:textId="77777777" w:rsidR="003545C8" w:rsidRPr="00931D46" w:rsidRDefault="003545C8" w:rsidP="003545C8">
      <w:pPr>
        <w:shd w:val="clear" w:color="auto" w:fill="FFFFFF" w:themeFill="background1"/>
        <w:spacing w:after="0"/>
        <w:jc w:val="both"/>
        <w:rPr>
          <w:rFonts w:ascii="Arial" w:hAnsi="Arial" w:cs="Arial"/>
        </w:rPr>
      </w:pPr>
      <w:r>
        <w:rPr>
          <w:rFonts w:ascii="Arial" w:hAnsi="Arial" w:cs="Arial"/>
        </w:rPr>
        <w:t>P</w:t>
      </w:r>
      <w:r w:rsidRPr="00931D46">
        <w:rPr>
          <w:rFonts w:ascii="Arial" w:hAnsi="Arial" w:cs="Arial"/>
        </w:rPr>
        <w:t xml:space="preserve">ara determinar el MR en presencia de paquetes de </w:t>
      </w:r>
      <w:r>
        <w:rPr>
          <w:rFonts w:ascii="Arial" w:hAnsi="Arial" w:cs="Arial"/>
        </w:rPr>
        <w:t>servicios</w:t>
      </w:r>
      <w:r w:rsidRPr="00931D46">
        <w:rPr>
          <w:rFonts w:ascii="Arial" w:hAnsi="Arial" w:cs="Arial"/>
        </w:rPr>
        <w:t>, el Instituto podrá considerar las herramientas y elementos de evidencia que se presentan a continuación, sin orden de importancia o prelación en su aplicación:</w:t>
      </w:r>
    </w:p>
    <w:p w14:paraId="6683B0A0" w14:textId="77777777" w:rsidR="003545C8" w:rsidRDefault="003545C8" w:rsidP="003545C8">
      <w:pPr>
        <w:pStyle w:val="Prrafodelista"/>
        <w:shd w:val="clear" w:color="auto" w:fill="FFFFFF" w:themeFill="background1"/>
        <w:spacing w:after="0"/>
        <w:contextualSpacing w:val="0"/>
        <w:jc w:val="both"/>
        <w:rPr>
          <w:rFonts w:ascii="Arial" w:hAnsi="Arial" w:cs="Arial"/>
        </w:rPr>
      </w:pPr>
    </w:p>
    <w:p w14:paraId="651BD951" w14:textId="77777777" w:rsidR="003545C8" w:rsidRPr="00931D46"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rPr>
        <w:t xml:space="preserve">La Prueba SSNIP aplicada a </w:t>
      </w:r>
      <w:r>
        <w:rPr>
          <w:rFonts w:ascii="Arial" w:hAnsi="Arial" w:cs="Arial"/>
        </w:rPr>
        <w:t>servicios</w:t>
      </w:r>
      <w:r w:rsidRPr="00931D46">
        <w:rPr>
          <w:rFonts w:ascii="Arial" w:hAnsi="Arial" w:cs="Arial"/>
        </w:rPr>
        <w:t xml:space="preserve"> individuales y paquetes de servicios.</w:t>
      </w:r>
    </w:p>
    <w:p w14:paraId="786CE78B" w14:textId="77777777" w:rsidR="003545C8" w:rsidRDefault="003545C8" w:rsidP="003545C8">
      <w:pPr>
        <w:pStyle w:val="Prrafodelista"/>
        <w:shd w:val="clear" w:color="auto" w:fill="FFFFFF" w:themeFill="background1"/>
        <w:spacing w:after="0"/>
        <w:contextualSpacing w:val="0"/>
        <w:jc w:val="both"/>
        <w:rPr>
          <w:rFonts w:ascii="Arial" w:hAnsi="Arial" w:cs="Arial"/>
          <w:szCs w:val="20"/>
        </w:rPr>
      </w:pPr>
    </w:p>
    <w:p w14:paraId="04FBA7A6" w14:textId="77777777" w:rsidR="003545C8" w:rsidRPr="0007382E"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931D46">
        <w:rPr>
          <w:rFonts w:ascii="Arial" w:hAnsi="Arial" w:cs="Arial"/>
          <w:szCs w:val="20"/>
        </w:rPr>
        <w:t xml:space="preserve">La </w:t>
      </w:r>
      <w:r w:rsidRPr="0007382E">
        <w:rPr>
          <w:rFonts w:ascii="Arial" w:hAnsi="Arial" w:cs="Arial"/>
          <w:szCs w:val="20"/>
        </w:rPr>
        <w:t xml:space="preserve">existencia de alternativas de </w:t>
      </w:r>
      <w:r>
        <w:rPr>
          <w:rFonts w:ascii="Arial" w:hAnsi="Arial" w:cs="Arial"/>
          <w:szCs w:val="20"/>
        </w:rPr>
        <w:t>servicios</w:t>
      </w:r>
      <w:r w:rsidRPr="0007382E">
        <w:rPr>
          <w:rFonts w:ascii="Arial" w:hAnsi="Arial" w:cs="Arial"/>
          <w:szCs w:val="20"/>
        </w:rPr>
        <w:t xml:space="preserve"> y proveedores que los ofrezcan, de manera empaquetada y desagregada.</w:t>
      </w:r>
    </w:p>
    <w:p w14:paraId="455B515D" w14:textId="77777777" w:rsidR="003545C8" w:rsidRDefault="003545C8" w:rsidP="003545C8">
      <w:pPr>
        <w:pStyle w:val="Prrafodelista"/>
        <w:shd w:val="clear" w:color="auto" w:fill="FFFFFF" w:themeFill="background1"/>
        <w:spacing w:after="0"/>
        <w:contextualSpacing w:val="0"/>
        <w:jc w:val="both"/>
        <w:rPr>
          <w:rFonts w:ascii="Arial" w:hAnsi="Arial" w:cs="Arial"/>
          <w:szCs w:val="20"/>
        </w:rPr>
      </w:pPr>
    </w:p>
    <w:p w14:paraId="5B4D3041" w14:textId="77777777" w:rsidR="003545C8" w:rsidRPr="0007382E"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07382E">
        <w:rPr>
          <w:rFonts w:ascii="Arial" w:hAnsi="Arial" w:cs="Arial"/>
          <w:szCs w:val="20"/>
        </w:rPr>
        <w:t xml:space="preserve">La capacidad de los oferentes para conformar ofertas de paquetes de </w:t>
      </w:r>
      <w:r>
        <w:rPr>
          <w:rFonts w:ascii="Arial" w:hAnsi="Arial" w:cs="Arial"/>
          <w:szCs w:val="20"/>
        </w:rPr>
        <w:t>servicios</w:t>
      </w:r>
      <w:r w:rsidRPr="0007382E">
        <w:rPr>
          <w:rFonts w:ascii="Arial" w:hAnsi="Arial" w:cs="Arial"/>
          <w:szCs w:val="20"/>
        </w:rPr>
        <w:t>.</w:t>
      </w:r>
    </w:p>
    <w:p w14:paraId="3B4114CA" w14:textId="77777777" w:rsidR="003545C8" w:rsidRDefault="003545C8" w:rsidP="003545C8">
      <w:pPr>
        <w:pStyle w:val="Prrafodelista"/>
        <w:shd w:val="clear" w:color="auto" w:fill="FFFFFF" w:themeFill="background1"/>
        <w:spacing w:after="0"/>
        <w:contextualSpacing w:val="0"/>
        <w:jc w:val="both"/>
        <w:rPr>
          <w:rFonts w:ascii="Arial" w:hAnsi="Arial" w:cs="Arial"/>
          <w:szCs w:val="20"/>
        </w:rPr>
      </w:pPr>
    </w:p>
    <w:p w14:paraId="4AC767CB" w14:textId="77777777" w:rsidR="003545C8" w:rsidRPr="0007382E"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07382E">
        <w:rPr>
          <w:rFonts w:ascii="Arial" w:hAnsi="Arial" w:cs="Arial"/>
          <w:szCs w:val="20"/>
        </w:rPr>
        <w:t xml:space="preserve">La capacidad de los usuarios para conformar paquetes sintéticos a través de ofertas de </w:t>
      </w:r>
      <w:r>
        <w:rPr>
          <w:rFonts w:ascii="Arial" w:hAnsi="Arial" w:cs="Arial"/>
          <w:szCs w:val="20"/>
        </w:rPr>
        <w:t xml:space="preserve">paquetes o </w:t>
      </w:r>
      <w:r w:rsidRPr="0007382E">
        <w:rPr>
          <w:rFonts w:ascii="Arial" w:hAnsi="Arial" w:cs="Arial"/>
          <w:szCs w:val="20"/>
        </w:rPr>
        <w:t xml:space="preserve">servicios individuales. </w:t>
      </w:r>
    </w:p>
    <w:p w14:paraId="5EE5AB7D" w14:textId="77777777" w:rsidR="003545C8" w:rsidRPr="00A92633" w:rsidRDefault="003545C8" w:rsidP="003545C8">
      <w:pPr>
        <w:pStyle w:val="Prrafodelista"/>
        <w:shd w:val="clear" w:color="auto" w:fill="FFFFFF" w:themeFill="background1"/>
        <w:spacing w:after="0"/>
        <w:contextualSpacing w:val="0"/>
        <w:jc w:val="both"/>
        <w:rPr>
          <w:rFonts w:ascii="Arial" w:hAnsi="Arial" w:cs="Arial"/>
          <w:szCs w:val="20"/>
        </w:rPr>
      </w:pPr>
    </w:p>
    <w:p w14:paraId="2BF0C4F6" w14:textId="77777777" w:rsidR="003545C8" w:rsidRPr="0007382E"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szCs w:val="20"/>
        </w:rPr>
      </w:pPr>
      <w:r w:rsidRPr="0007382E">
        <w:rPr>
          <w:rFonts w:ascii="Arial" w:hAnsi="Arial" w:cs="Arial"/>
        </w:rPr>
        <w:t xml:space="preserve">Los patrones de consumo de los usuarios, por ejemplo, la proporción de usuarios que contrata paquetes puros, paquetes sintéticos y </w:t>
      </w:r>
      <w:r>
        <w:rPr>
          <w:rFonts w:ascii="Arial" w:hAnsi="Arial" w:cs="Arial"/>
        </w:rPr>
        <w:t>servicios</w:t>
      </w:r>
      <w:r w:rsidRPr="0007382E">
        <w:rPr>
          <w:rFonts w:ascii="Arial" w:hAnsi="Arial" w:cs="Arial"/>
        </w:rPr>
        <w:t xml:space="preserve"> individuales</w:t>
      </w:r>
      <w:r w:rsidRPr="0007382E">
        <w:rPr>
          <w:rFonts w:ascii="Arial" w:hAnsi="Arial" w:cs="Arial"/>
          <w:szCs w:val="20"/>
        </w:rPr>
        <w:t xml:space="preserve">. </w:t>
      </w:r>
    </w:p>
    <w:p w14:paraId="4EC0D015" w14:textId="77777777" w:rsidR="003545C8" w:rsidRDefault="003545C8" w:rsidP="003545C8">
      <w:pPr>
        <w:pStyle w:val="Prrafodelista"/>
        <w:spacing w:after="0"/>
        <w:contextualSpacing w:val="0"/>
        <w:jc w:val="both"/>
        <w:rPr>
          <w:rFonts w:ascii="Arial" w:hAnsi="Arial" w:cs="Arial"/>
        </w:rPr>
      </w:pPr>
    </w:p>
    <w:p w14:paraId="55FB90BE" w14:textId="77777777" w:rsidR="003545C8" w:rsidRPr="0007382E" w:rsidRDefault="003545C8" w:rsidP="005E23E0">
      <w:pPr>
        <w:pStyle w:val="Prrafodelista"/>
        <w:numPr>
          <w:ilvl w:val="0"/>
          <w:numId w:val="15"/>
        </w:numPr>
        <w:spacing w:after="0"/>
        <w:ind w:hanging="578"/>
        <w:contextualSpacing w:val="0"/>
        <w:jc w:val="both"/>
        <w:rPr>
          <w:rFonts w:ascii="Arial" w:hAnsi="Arial" w:cs="Arial"/>
        </w:rPr>
      </w:pPr>
      <w:r w:rsidRPr="0007382E">
        <w:rPr>
          <w:rFonts w:ascii="Arial" w:hAnsi="Arial" w:cs="Arial"/>
        </w:rPr>
        <w:t xml:space="preserve">Los precios relativos de los paquetes y de los </w:t>
      </w:r>
      <w:r>
        <w:rPr>
          <w:rFonts w:ascii="Arial" w:hAnsi="Arial" w:cs="Arial"/>
        </w:rPr>
        <w:t>servicios</w:t>
      </w:r>
      <w:r w:rsidRPr="0007382E">
        <w:rPr>
          <w:rFonts w:ascii="Arial" w:hAnsi="Arial" w:cs="Arial"/>
        </w:rPr>
        <w:t xml:space="preserve"> individuales, así como las diferencias en calidad.</w:t>
      </w:r>
    </w:p>
    <w:p w14:paraId="2EEC9E12" w14:textId="77777777" w:rsidR="003545C8" w:rsidRDefault="003545C8" w:rsidP="003545C8">
      <w:pPr>
        <w:pStyle w:val="Prrafodelista"/>
        <w:spacing w:after="0"/>
        <w:contextualSpacing w:val="0"/>
        <w:jc w:val="both"/>
        <w:rPr>
          <w:rFonts w:ascii="Arial" w:hAnsi="Arial" w:cs="Arial"/>
        </w:rPr>
      </w:pPr>
    </w:p>
    <w:p w14:paraId="4678D23C"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La presencia de economías de alcance específicas del cliente y ahorros en costos de transacción en la provisión de paquetes.</w:t>
      </w:r>
    </w:p>
    <w:p w14:paraId="24261C65" w14:textId="77777777" w:rsidR="003545C8" w:rsidRDefault="003545C8" w:rsidP="003545C8">
      <w:pPr>
        <w:pStyle w:val="Prrafodelista"/>
        <w:spacing w:after="0"/>
        <w:contextualSpacing w:val="0"/>
        <w:jc w:val="both"/>
        <w:rPr>
          <w:rFonts w:ascii="Arial" w:hAnsi="Arial" w:cs="Arial"/>
        </w:rPr>
      </w:pPr>
    </w:p>
    <w:p w14:paraId="651C04F0" w14:textId="77777777" w:rsidR="003545C8" w:rsidRPr="00931D46" w:rsidRDefault="003545C8" w:rsidP="005E23E0">
      <w:pPr>
        <w:pStyle w:val="Prrafodelista"/>
        <w:numPr>
          <w:ilvl w:val="0"/>
          <w:numId w:val="15"/>
        </w:numPr>
        <w:spacing w:after="0"/>
        <w:ind w:hanging="578"/>
        <w:contextualSpacing w:val="0"/>
        <w:jc w:val="both"/>
        <w:rPr>
          <w:rFonts w:ascii="Arial" w:hAnsi="Arial" w:cs="Arial"/>
        </w:rPr>
      </w:pPr>
      <w:r w:rsidRPr="00931D46">
        <w:rPr>
          <w:rFonts w:ascii="Arial" w:hAnsi="Arial" w:cs="Arial"/>
        </w:rPr>
        <w:t xml:space="preserve">Las necesidades de los usuarios y sus preferencias en la contratación de </w:t>
      </w:r>
      <w:r>
        <w:rPr>
          <w:rFonts w:ascii="Arial" w:hAnsi="Arial" w:cs="Arial"/>
        </w:rPr>
        <w:t>servicios</w:t>
      </w:r>
      <w:r w:rsidRPr="00931D46">
        <w:rPr>
          <w:rFonts w:ascii="Arial" w:hAnsi="Arial" w:cs="Arial"/>
        </w:rPr>
        <w:t xml:space="preserve"> con uno o más proveedores.</w:t>
      </w:r>
    </w:p>
    <w:p w14:paraId="7EF65881" w14:textId="77777777" w:rsidR="003545C8" w:rsidRPr="00A92633" w:rsidRDefault="003545C8" w:rsidP="003545C8">
      <w:pPr>
        <w:pStyle w:val="Prrafodelista"/>
        <w:shd w:val="clear" w:color="auto" w:fill="FFFFFF" w:themeFill="background1"/>
        <w:spacing w:after="0"/>
        <w:contextualSpacing w:val="0"/>
        <w:jc w:val="both"/>
        <w:rPr>
          <w:rFonts w:ascii="Arial" w:hAnsi="Arial" w:cs="Arial"/>
        </w:rPr>
      </w:pPr>
    </w:p>
    <w:p w14:paraId="4BAE4D97" w14:textId="77777777" w:rsidR="003545C8" w:rsidRPr="00931D46"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szCs w:val="20"/>
        </w:rPr>
        <w:t>L</w:t>
      </w:r>
      <w:r w:rsidRPr="00931D46">
        <w:rPr>
          <w:rFonts w:ascii="Arial" w:hAnsi="Arial" w:cs="Arial"/>
        </w:rPr>
        <w:t xml:space="preserve">os costos </w:t>
      </w:r>
      <w:r w:rsidRPr="00931D46">
        <w:rPr>
          <w:rFonts w:ascii="Arial" w:hAnsi="Arial" w:cs="Arial"/>
          <w:szCs w:val="20"/>
        </w:rPr>
        <w:t xml:space="preserve">de cambio entre los paquetes y los </w:t>
      </w:r>
      <w:r>
        <w:rPr>
          <w:rFonts w:ascii="Arial" w:hAnsi="Arial" w:cs="Arial"/>
          <w:szCs w:val="20"/>
        </w:rPr>
        <w:t>servicios</w:t>
      </w:r>
      <w:r w:rsidRPr="00931D46">
        <w:rPr>
          <w:rFonts w:ascii="Arial" w:hAnsi="Arial" w:cs="Arial"/>
          <w:szCs w:val="20"/>
        </w:rPr>
        <w:t xml:space="preserve"> individuales.</w:t>
      </w:r>
    </w:p>
    <w:p w14:paraId="78E37617" w14:textId="77777777" w:rsidR="003545C8" w:rsidRDefault="003545C8" w:rsidP="003545C8">
      <w:pPr>
        <w:pStyle w:val="Prrafodelista"/>
        <w:shd w:val="clear" w:color="auto" w:fill="FFFFFF" w:themeFill="background1"/>
        <w:spacing w:after="0"/>
        <w:contextualSpacing w:val="0"/>
        <w:jc w:val="both"/>
        <w:rPr>
          <w:rFonts w:ascii="Arial" w:hAnsi="Arial" w:cs="Arial"/>
        </w:rPr>
      </w:pPr>
    </w:p>
    <w:p w14:paraId="49364132" w14:textId="77777777" w:rsidR="003545C8" w:rsidRPr="00931D46"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rPr>
        <w:t xml:space="preserve">La evidencia respecto a si </w:t>
      </w:r>
      <w:r w:rsidRPr="00931D46">
        <w:rPr>
          <w:rFonts w:ascii="Arial" w:hAnsi="Arial" w:cs="Arial"/>
          <w:szCs w:val="20"/>
        </w:rPr>
        <w:t xml:space="preserve">los usuarios han cambiado de paquetes a </w:t>
      </w:r>
      <w:r>
        <w:rPr>
          <w:rFonts w:ascii="Arial" w:hAnsi="Arial" w:cs="Arial"/>
          <w:szCs w:val="20"/>
        </w:rPr>
        <w:t>servicios</w:t>
      </w:r>
      <w:r w:rsidRPr="00931D46">
        <w:rPr>
          <w:rFonts w:ascii="Arial" w:hAnsi="Arial" w:cs="Arial"/>
          <w:szCs w:val="20"/>
        </w:rPr>
        <w:t xml:space="preserve"> individuales, o viceversa, como resultado de cambios en los precios.</w:t>
      </w:r>
    </w:p>
    <w:p w14:paraId="41700A48" w14:textId="77777777" w:rsidR="003545C8" w:rsidRPr="00A92633" w:rsidRDefault="003545C8" w:rsidP="003545C8">
      <w:pPr>
        <w:pStyle w:val="Prrafodelista"/>
        <w:shd w:val="clear" w:color="auto" w:fill="FFFFFF" w:themeFill="background1"/>
        <w:spacing w:after="0"/>
        <w:contextualSpacing w:val="0"/>
        <w:jc w:val="both"/>
        <w:rPr>
          <w:rFonts w:ascii="Arial" w:hAnsi="Arial" w:cs="Arial"/>
        </w:rPr>
      </w:pPr>
    </w:p>
    <w:p w14:paraId="02475450" w14:textId="77777777" w:rsidR="003545C8" w:rsidRPr="00A92633" w:rsidRDefault="003545C8" w:rsidP="005E23E0">
      <w:pPr>
        <w:pStyle w:val="Prrafodelista"/>
        <w:numPr>
          <w:ilvl w:val="0"/>
          <w:numId w:val="15"/>
        </w:numPr>
        <w:shd w:val="clear" w:color="auto" w:fill="FFFFFF" w:themeFill="background1"/>
        <w:spacing w:after="0"/>
        <w:ind w:hanging="578"/>
        <w:contextualSpacing w:val="0"/>
        <w:jc w:val="both"/>
        <w:rPr>
          <w:rFonts w:ascii="Arial" w:hAnsi="Arial" w:cs="Arial"/>
        </w:rPr>
      </w:pPr>
      <w:r w:rsidRPr="00931D46">
        <w:rPr>
          <w:rFonts w:ascii="Arial" w:hAnsi="Arial" w:cs="Arial"/>
          <w:szCs w:val="20"/>
        </w:rPr>
        <w:t>La existencia de sustitución asimétrica entre los paquetes y sus componentes in</w:t>
      </w:r>
      <w:bookmarkStart w:id="242" w:name="_GoBack"/>
      <w:bookmarkEnd w:id="242"/>
      <w:r w:rsidRPr="00931D46">
        <w:rPr>
          <w:rFonts w:ascii="Arial" w:hAnsi="Arial" w:cs="Arial"/>
          <w:szCs w:val="20"/>
        </w:rPr>
        <w:t>dividuales.</w:t>
      </w:r>
    </w:p>
    <w:p w14:paraId="32FF7093" w14:textId="38A8F75B" w:rsidR="003545C8" w:rsidRDefault="003545C8" w:rsidP="00543479">
      <w:pPr>
        <w:shd w:val="clear" w:color="auto" w:fill="FFFFFF" w:themeFill="background1"/>
        <w:spacing w:after="0"/>
        <w:jc w:val="center"/>
        <w:rPr>
          <w:rFonts w:ascii="Arial" w:hAnsi="Arial" w:cs="Arial"/>
        </w:rPr>
      </w:pPr>
      <w:r>
        <w:rPr>
          <w:rFonts w:ascii="Arial" w:hAnsi="Arial" w:cs="Arial"/>
        </w:rPr>
        <w:t>***</w:t>
      </w:r>
    </w:p>
    <w:sectPr w:rsidR="003545C8" w:rsidSect="00C5506E">
      <w:headerReference w:type="even" r:id="rId11"/>
      <w:headerReference w:type="default" r:id="rId12"/>
      <w:footerReference w:type="default" r:id="rId13"/>
      <w:headerReference w:type="first" r:id="rId14"/>
      <w:footnotePr>
        <w:numStart w:val="3"/>
      </w:footnotePr>
      <w:pgSz w:w="12240" w:h="15840"/>
      <w:pgMar w:top="2098" w:right="1418" w:bottom="1134"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3F34" w14:textId="77777777" w:rsidR="009D6334" w:rsidRDefault="009D6334" w:rsidP="008A39CF">
      <w:pPr>
        <w:spacing w:after="0" w:line="240" w:lineRule="auto"/>
      </w:pPr>
      <w:r>
        <w:separator/>
      </w:r>
    </w:p>
  </w:endnote>
  <w:endnote w:type="continuationSeparator" w:id="0">
    <w:p w14:paraId="7CA2BB2D" w14:textId="77777777" w:rsidR="009D6334" w:rsidRDefault="009D6334" w:rsidP="008A39CF">
      <w:pPr>
        <w:spacing w:after="0" w:line="240" w:lineRule="auto"/>
      </w:pPr>
      <w:r>
        <w:continuationSeparator/>
      </w:r>
    </w:p>
  </w:endnote>
  <w:endnote w:type="continuationNotice" w:id="1">
    <w:p w14:paraId="60E073CD" w14:textId="77777777" w:rsidR="009D6334" w:rsidRDefault="009D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szCs w:val="20"/>
      </w:rPr>
      <w:id w:val="1326240765"/>
      <w:docPartObj>
        <w:docPartGallery w:val="Page Numbers (Bottom of Page)"/>
        <w:docPartUnique/>
      </w:docPartObj>
    </w:sdtPr>
    <w:sdtContent>
      <w:sdt>
        <w:sdtPr>
          <w:rPr>
            <w:rFonts w:ascii="ITC Avant Garde" w:hAnsi="ITC Avant Garde"/>
            <w:sz w:val="16"/>
            <w:szCs w:val="20"/>
          </w:rPr>
          <w:id w:val="-154911463"/>
          <w:docPartObj>
            <w:docPartGallery w:val="Page Numbers (Top of Page)"/>
            <w:docPartUnique/>
          </w:docPartObj>
        </w:sdtPr>
        <w:sdtContent>
          <w:p w14:paraId="55650D31" w14:textId="7710A34D" w:rsidR="00FD6552" w:rsidRPr="0080602B" w:rsidRDefault="00FD6552" w:rsidP="00AC0CF7">
            <w:pPr>
              <w:pStyle w:val="Piedepgina"/>
              <w:spacing w:before="200"/>
              <w:jc w:val="right"/>
              <w:rPr>
                <w:rFonts w:ascii="ITC Avant Garde" w:hAnsi="ITC Avant Garde"/>
                <w:sz w:val="16"/>
                <w:szCs w:val="20"/>
              </w:rPr>
            </w:pPr>
            <w:r w:rsidRPr="0080602B">
              <w:rPr>
                <w:rFonts w:ascii="Arial" w:hAnsi="Arial" w:cs="Arial"/>
                <w:sz w:val="18"/>
                <w:szCs w:val="20"/>
                <w:lang w:val="es-ES"/>
              </w:rPr>
              <w:t xml:space="preserve">Página </w:t>
            </w:r>
            <w:r w:rsidRPr="00517EF9">
              <w:rPr>
                <w:rFonts w:ascii="Arial" w:hAnsi="Arial" w:cs="Arial"/>
                <w:sz w:val="18"/>
                <w:szCs w:val="20"/>
              </w:rPr>
              <w:fldChar w:fldCharType="begin"/>
            </w:r>
            <w:r w:rsidRPr="0080602B">
              <w:rPr>
                <w:rFonts w:ascii="Arial" w:hAnsi="Arial" w:cs="Arial"/>
                <w:b/>
                <w:bCs/>
                <w:sz w:val="18"/>
                <w:szCs w:val="20"/>
              </w:rPr>
              <w:instrText>PAGE</w:instrText>
            </w:r>
            <w:r w:rsidRPr="00517EF9">
              <w:rPr>
                <w:rFonts w:ascii="Arial" w:hAnsi="Arial" w:cs="Arial"/>
                <w:sz w:val="18"/>
                <w:szCs w:val="20"/>
              </w:rPr>
              <w:fldChar w:fldCharType="separate"/>
            </w:r>
            <w:r>
              <w:rPr>
                <w:rFonts w:ascii="Arial" w:hAnsi="Arial" w:cs="Arial"/>
                <w:b/>
                <w:bCs/>
                <w:noProof/>
                <w:sz w:val="18"/>
                <w:szCs w:val="20"/>
              </w:rPr>
              <w:t>60</w:t>
            </w:r>
            <w:r w:rsidRPr="00517EF9">
              <w:rPr>
                <w:rFonts w:ascii="Arial" w:hAnsi="Arial" w:cs="Arial"/>
                <w:sz w:val="18"/>
                <w:szCs w:val="20"/>
              </w:rPr>
              <w:fldChar w:fldCharType="end"/>
            </w:r>
            <w:r w:rsidRPr="0080602B">
              <w:rPr>
                <w:rFonts w:ascii="Arial" w:hAnsi="Arial" w:cs="Arial"/>
                <w:sz w:val="18"/>
                <w:szCs w:val="20"/>
                <w:lang w:val="es-ES"/>
              </w:rPr>
              <w:t xml:space="preserve"> </w:t>
            </w:r>
            <w:r w:rsidRPr="00C5506E">
              <w:rPr>
                <w:rFonts w:ascii="Arial" w:hAnsi="Arial" w:cs="Arial"/>
                <w:sz w:val="18"/>
                <w:szCs w:val="20"/>
                <w:lang w:val="es-ES"/>
              </w:rPr>
              <w:t>de</w:t>
            </w:r>
            <w:r w:rsidRPr="00C5506E">
              <w:rPr>
                <w:rFonts w:ascii="Arial" w:hAnsi="Arial" w:cs="Arial"/>
                <w:b/>
                <w:sz w:val="18"/>
                <w:szCs w:val="20"/>
                <w:lang w:val="es-ES"/>
              </w:rPr>
              <w:t xml:space="preserve"> </w:t>
            </w:r>
            <w:r w:rsidR="00543479">
              <w:rPr>
                <w:rFonts w:ascii="Arial" w:hAnsi="Arial" w:cs="Arial"/>
                <w:b/>
                <w:sz w:val="18"/>
                <w:szCs w:val="20"/>
              </w:rPr>
              <w:t>58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BCC6C" w14:textId="77777777" w:rsidR="009D6334" w:rsidRDefault="009D6334" w:rsidP="008A39CF">
      <w:pPr>
        <w:spacing w:after="0" w:line="240" w:lineRule="auto"/>
      </w:pPr>
      <w:r>
        <w:separator/>
      </w:r>
    </w:p>
  </w:footnote>
  <w:footnote w:type="continuationSeparator" w:id="0">
    <w:p w14:paraId="51CB3679" w14:textId="77777777" w:rsidR="009D6334" w:rsidRDefault="009D6334" w:rsidP="008A39CF">
      <w:pPr>
        <w:spacing w:after="0" w:line="240" w:lineRule="auto"/>
      </w:pPr>
      <w:r>
        <w:continuationSeparator/>
      </w:r>
    </w:p>
  </w:footnote>
  <w:footnote w:type="continuationNotice" w:id="1">
    <w:p w14:paraId="1A08628A" w14:textId="77777777" w:rsidR="009D6334" w:rsidRDefault="009D6334">
      <w:pPr>
        <w:spacing w:after="0" w:line="240" w:lineRule="auto"/>
      </w:pPr>
    </w:p>
  </w:footnote>
  <w:footnote w:id="2">
    <w:p w14:paraId="2B5DBF4E"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Los términos y acrónimos presentados tienen el único objeto de facilitar la lectura y su aplicación se limita a este documento. La agrupación de empresas y personas en este documento no prejuzga sobre la dimensión e integrantes de Agentes Económicos en decisiones o resoluciones emitidas por el Instituto.</w:t>
      </w:r>
    </w:p>
  </w:footnote>
  <w:footnote w:id="3">
    <w:p w14:paraId="4680D8A5" w14:textId="77777777" w:rsidR="00FD6552" w:rsidRPr="00853AD5" w:rsidRDefault="00FD6552" w:rsidP="003545C8">
      <w:pPr>
        <w:pStyle w:val="NotaPie"/>
        <w:rPr>
          <w:lang w:val="es-ES"/>
        </w:rPr>
      </w:pPr>
      <w:r w:rsidRPr="00853AD5">
        <w:rPr>
          <w:rStyle w:val="Refdenotaalpie"/>
        </w:rPr>
        <w:footnoteRef/>
      </w:r>
      <w:r w:rsidRPr="00853AD5">
        <w:t xml:space="preserve"> </w:t>
      </w:r>
      <w:r w:rsidRPr="00853AD5">
        <w:rPr>
          <w:lang w:val="es-ES"/>
        </w:rPr>
        <w:t xml:space="preserve">Disponible en: </w:t>
      </w:r>
      <w:hyperlink r:id="rId1" w:history="1">
        <w:r w:rsidRPr="00853AD5">
          <w:rPr>
            <w:rStyle w:val="Hipervnculo"/>
            <w:lang w:val="es-ES"/>
          </w:rPr>
          <w:t>http://www.dof.gob.mx/nota_detalle.php?codigo=5432595&amp;fecha=11/04/2016</w:t>
        </w:r>
      </w:hyperlink>
    </w:p>
  </w:footnote>
  <w:footnote w:id="4">
    <w:p w14:paraId="58040C74"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Disponible en: </w:t>
      </w:r>
      <w:hyperlink r:id="rId2" w:history="1">
        <w:r w:rsidRPr="00853AD5">
          <w:rPr>
            <w:rStyle w:val="Hipervnculo"/>
            <w:rFonts w:ascii="Arial" w:hAnsi="Arial" w:cs="Arial"/>
            <w:sz w:val="14"/>
            <w:szCs w:val="14"/>
          </w:rPr>
          <w:t>http://www.ift.org.mx/sites/default/files/industria/temasrelevantes/9195/documentos/pift280617368.pdf</w:t>
        </w:r>
      </w:hyperlink>
    </w:p>
  </w:footnote>
  <w:footnote w:id="5">
    <w:p w14:paraId="2E5EA82A"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fr-FR"/>
        </w:rPr>
        <w:t xml:space="preserve"> Motta, M. (2004). </w:t>
      </w:r>
      <w:proofErr w:type="spellStart"/>
      <w:r w:rsidRPr="00853AD5">
        <w:rPr>
          <w:rFonts w:ascii="Arial" w:hAnsi="Arial" w:cs="Arial"/>
          <w:i/>
          <w:sz w:val="14"/>
          <w:szCs w:val="14"/>
          <w:lang w:val="fr-FR"/>
        </w:rPr>
        <w:t>Competition</w:t>
      </w:r>
      <w:proofErr w:type="spellEnd"/>
      <w:r w:rsidRPr="00853AD5">
        <w:rPr>
          <w:rFonts w:ascii="Arial" w:hAnsi="Arial" w:cs="Arial"/>
          <w:i/>
          <w:sz w:val="14"/>
          <w:szCs w:val="14"/>
          <w:lang w:val="fr-FR"/>
        </w:rPr>
        <w:t xml:space="preserve"> Policy. </w:t>
      </w:r>
      <w:r w:rsidRPr="00853AD5">
        <w:rPr>
          <w:rFonts w:ascii="Arial" w:hAnsi="Arial" w:cs="Arial"/>
          <w:i/>
          <w:sz w:val="14"/>
          <w:szCs w:val="14"/>
          <w:lang w:val="en-GB"/>
        </w:rPr>
        <w:t>Theory and Practice</w:t>
      </w:r>
      <w:r w:rsidRPr="00853AD5">
        <w:rPr>
          <w:rFonts w:ascii="Arial" w:hAnsi="Arial" w:cs="Arial"/>
          <w:sz w:val="14"/>
          <w:szCs w:val="14"/>
          <w:lang w:val="en-GB"/>
        </w:rPr>
        <w:t xml:space="preserve">, </w:t>
      </w:r>
      <w:proofErr w:type="spellStart"/>
      <w:r w:rsidRPr="00853AD5">
        <w:rPr>
          <w:rFonts w:ascii="Arial" w:hAnsi="Arial" w:cs="Arial"/>
          <w:sz w:val="14"/>
          <w:szCs w:val="14"/>
          <w:lang w:val="en-GB"/>
        </w:rPr>
        <w:t>capítulo</w:t>
      </w:r>
      <w:proofErr w:type="spellEnd"/>
      <w:r w:rsidRPr="00853AD5">
        <w:rPr>
          <w:rFonts w:ascii="Arial" w:hAnsi="Arial" w:cs="Arial"/>
          <w:sz w:val="14"/>
          <w:szCs w:val="14"/>
          <w:lang w:val="en-GB"/>
        </w:rPr>
        <w:t xml:space="preserve"> 3, pp. 1 y 2. </w:t>
      </w:r>
      <w:r w:rsidRPr="00853AD5">
        <w:rPr>
          <w:rFonts w:ascii="Arial" w:hAnsi="Arial" w:cs="Arial"/>
          <w:sz w:val="14"/>
          <w:szCs w:val="14"/>
        </w:rPr>
        <w:t xml:space="preserve">Cambridge </w:t>
      </w:r>
      <w:proofErr w:type="spellStart"/>
      <w:r w:rsidRPr="00853AD5">
        <w:rPr>
          <w:rFonts w:ascii="Arial" w:hAnsi="Arial" w:cs="Arial"/>
          <w:sz w:val="14"/>
          <w:szCs w:val="14"/>
        </w:rPr>
        <w:t>University</w:t>
      </w:r>
      <w:proofErr w:type="spellEnd"/>
      <w:r w:rsidRPr="00853AD5">
        <w:rPr>
          <w:rFonts w:ascii="Arial" w:hAnsi="Arial" w:cs="Arial"/>
          <w:sz w:val="14"/>
          <w:szCs w:val="14"/>
        </w:rPr>
        <w:t xml:space="preserve"> </w:t>
      </w:r>
      <w:proofErr w:type="spellStart"/>
      <w:r w:rsidRPr="00853AD5">
        <w:rPr>
          <w:rFonts w:ascii="Arial" w:hAnsi="Arial" w:cs="Arial"/>
          <w:sz w:val="14"/>
          <w:szCs w:val="14"/>
        </w:rPr>
        <w:t>Press</w:t>
      </w:r>
      <w:proofErr w:type="spellEnd"/>
      <w:r w:rsidRPr="00853AD5">
        <w:rPr>
          <w:rFonts w:ascii="Arial" w:hAnsi="Arial" w:cs="Arial"/>
          <w:sz w:val="14"/>
          <w:szCs w:val="14"/>
        </w:rPr>
        <w:t>.</w:t>
      </w:r>
    </w:p>
  </w:footnote>
  <w:footnote w:id="6">
    <w:p w14:paraId="00662DED" w14:textId="77777777" w:rsidR="00FD6552" w:rsidRPr="00853AD5" w:rsidRDefault="00FD6552" w:rsidP="003545C8">
      <w:pPr>
        <w:pStyle w:val="Notaalpie"/>
      </w:pPr>
      <w:r w:rsidRPr="00853AD5">
        <w:rPr>
          <w:rStyle w:val="Refdenotaalpie"/>
        </w:rPr>
        <w:footnoteRef/>
      </w:r>
      <w:r w:rsidRPr="00853AD5">
        <w:t xml:space="preserve"> SCJN (2008). </w:t>
      </w:r>
      <w:r w:rsidRPr="00853AD5">
        <w:rPr>
          <w:i/>
        </w:rPr>
        <w:t>Mercado Relevante. Su Concepto en Materia de Competencia Económica</w:t>
      </w:r>
      <w:r w:rsidRPr="00853AD5">
        <w:t xml:space="preserve">. Tesis I.4o.A. J/75. Tribunales Colegiados de Circuito. Semanario Judicial de la Federación y su Gaceta. Tomo XXVIII, octubre de 2008. Novena Época. Pág. 2225. </w:t>
      </w:r>
    </w:p>
  </w:footnote>
  <w:footnote w:id="7">
    <w:p w14:paraId="6AFC8854"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7506F74C"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CE (1997). </w:t>
      </w:r>
      <w:r w:rsidRPr="00853AD5">
        <w:rPr>
          <w:rFonts w:ascii="Arial" w:hAnsi="Arial" w:cs="Arial"/>
          <w:i/>
          <w:sz w:val="14"/>
          <w:szCs w:val="14"/>
        </w:rPr>
        <w:t>COMUNICACIÓN DE LA COMISIÓN relativa a la definición de mercado de referencia a efectos de la normativa comunitaria en materia de competencia.</w:t>
      </w:r>
      <w:r w:rsidRPr="00853AD5">
        <w:rPr>
          <w:rFonts w:ascii="Arial" w:hAnsi="Arial" w:cs="Arial"/>
          <w:sz w:val="14"/>
          <w:szCs w:val="14"/>
        </w:rPr>
        <w:t xml:space="preserve"> Disponible en </w:t>
      </w:r>
      <w:hyperlink r:id="rId3" w:history="1">
        <w:r w:rsidRPr="00853AD5">
          <w:rPr>
            <w:rStyle w:val="Hipervnculo"/>
            <w:rFonts w:ascii="Arial" w:hAnsi="Arial" w:cs="Arial"/>
            <w:sz w:val="14"/>
            <w:szCs w:val="14"/>
          </w:rPr>
          <w:t>https://eur-lex.europa.eu/legal-content/ES/TXT/PDF/?uri=CELEX:31997Y1209(01)&amp;from=EN</w:t>
        </w:r>
      </w:hyperlink>
    </w:p>
    <w:p w14:paraId="274A25B5"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DOJ y FTC (2010). </w:t>
      </w:r>
      <w:r w:rsidRPr="00853AD5">
        <w:rPr>
          <w:rFonts w:ascii="Arial" w:hAnsi="Arial" w:cs="Arial"/>
          <w:i/>
          <w:sz w:val="14"/>
          <w:szCs w:val="14"/>
        </w:rPr>
        <w:t xml:space="preserve">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xml:space="preserve">. Disponible en </w:t>
      </w:r>
      <w:hyperlink r:id="rId4" w:history="1">
        <w:r w:rsidRPr="00853AD5">
          <w:rPr>
            <w:rStyle w:val="Hipervnculo"/>
            <w:rFonts w:ascii="Arial" w:hAnsi="Arial" w:cs="Arial"/>
            <w:sz w:val="14"/>
            <w:szCs w:val="14"/>
          </w:rPr>
          <w:t>https://www.ftc.gov/sites/default/files/attachments/merger-review/100819hmg.pdf</w:t>
        </w:r>
      </w:hyperlink>
    </w:p>
    <w:p w14:paraId="62955769"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en-US"/>
        </w:rPr>
        <w:t xml:space="preserve">CMA/OFT (2010). </w:t>
      </w:r>
      <w:r w:rsidRPr="00853AD5">
        <w:rPr>
          <w:rFonts w:ascii="Arial" w:hAnsi="Arial" w:cs="Arial"/>
          <w:i/>
          <w:sz w:val="14"/>
          <w:szCs w:val="14"/>
          <w:lang w:val="en-US"/>
        </w:rPr>
        <w:t>Merger Assessment Guidelines.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5" w:history="1">
        <w:r w:rsidRPr="00853AD5">
          <w:rPr>
            <w:rStyle w:val="Hipervnculo"/>
            <w:rFonts w:ascii="Arial" w:hAnsi="Arial" w:cs="Arial"/>
            <w:sz w:val="14"/>
            <w:szCs w:val="14"/>
          </w:rPr>
          <w:t>https://assets.publishing.service.gov.uk/government/uploads/system/uploads/attachment_data/file/284449/OFT1254.pdf</w:t>
        </w:r>
      </w:hyperlink>
    </w:p>
    <w:p w14:paraId="16473C00"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fr-FR"/>
        </w:rPr>
        <w:t xml:space="preserve">CBC (2011). </w:t>
      </w:r>
      <w:r w:rsidRPr="00853AD5">
        <w:rPr>
          <w:rFonts w:ascii="Arial" w:hAnsi="Arial" w:cs="Arial"/>
          <w:i/>
          <w:sz w:val="14"/>
          <w:szCs w:val="14"/>
          <w:lang w:val="fr-FR"/>
        </w:rPr>
        <w:t xml:space="preserve">Merger </w:t>
      </w:r>
      <w:proofErr w:type="spellStart"/>
      <w:r w:rsidRPr="00853AD5">
        <w:rPr>
          <w:rFonts w:ascii="Arial" w:hAnsi="Arial" w:cs="Arial"/>
          <w:i/>
          <w:sz w:val="14"/>
          <w:szCs w:val="14"/>
          <w:lang w:val="fr-FR"/>
        </w:rPr>
        <w:t>Enforcement</w:t>
      </w:r>
      <w:proofErr w:type="spellEnd"/>
      <w:r w:rsidRPr="00853AD5">
        <w:rPr>
          <w:rFonts w:ascii="Arial" w:hAnsi="Arial" w:cs="Arial"/>
          <w:i/>
          <w:sz w:val="14"/>
          <w:szCs w:val="14"/>
          <w:lang w:val="fr-FR"/>
        </w:rPr>
        <w:t xml:space="preserve"> Guidelines.</w:t>
      </w:r>
      <w:r w:rsidRPr="00853AD5">
        <w:rPr>
          <w:rFonts w:ascii="Arial" w:hAnsi="Arial" w:cs="Arial"/>
          <w:sz w:val="14"/>
          <w:szCs w:val="14"/>
          <w:lang w:val="fr-FR"/>
        </w:rPr>
        <w:t xml:space="preserve"> 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6" w:history="1">
        <w:r w:rsidRPr="00853AD5">
          <w:rPr>
            <w:rStyle w:val="Hipervnculo"/>
            <w:rFonts w:ascii="Arial" w:hAnsi="Arial" w:cs="Arial"/>
            <w:sz w:val="14"/>
            <w:szCs w:val="14"/>
            <w:lang w:val="fr-FR"/>
          </w:rPr>
          <w:t>https://www.competitionbureau.gc.ca/eic/site/cb-bc.nsf/vwapj/cb-meg-2011-e.pdf/$FILE/cb-meg-2011-e.pdf</w:t>
        </w:r>
      </w:hyperlink>
    </w:p>
    <w:p w14:paraId="45D59235"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ACCC (2008).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i/>
          <w:sz w:val="14"/>
          <w:szCs w:val="14"/>
        </w:rPr>
        <w:t xml:space="preserve"> </w:t>
      </w:r>
      <w:r w:rsidRPr="00853AD5">
        <w:rPr>
          <w:rFonts w:ascii="Arial" w:hAnsi="Arial" w:cs="Arial"/>
          <w:color w:val="000000"/>
          <w:sz w:val="14"/>
          <w:szCs w:val="14"/>
          <w:shd w:val="clear" w:color="auto" w:fill="FFFFFF"/>
        </w:rPr>
        <w:t>(actualización 2017)</w:t>
      </w:r>
      <w:r w:rsidRPr="00853AD5">
        <w:rPr>
          <w:rFonts w:ascii="Arial" w:hAnsi="Arial" w:cs="Arial"/>
          <w:sz w:val="14"/>
          <w:szCs w:val="14"/>
        </w:rPr>
        <w:t xml:space="preserve">. Disponible en: </w:t>
      </w:r>
      <w:hyperlink r:id="rId7" w:history="1">
        <w:r w:rsidRPr="00853AD5">
          <w:rPr>
            <w:rStyle w:val="Hipervnculo"/>
            <w:rFonts w:ascii="Arial" w:hAnsi="Arial" w:cs="Arial"/>
            <w:sz w:val="14"/>
            <w:szCs w:val="14"/>
          </w:rPr>
          <w:t>https://www.accc.gov.au/system/files/Merger%20guidelines%20-%20Final.PDF</w:t>
        </w:r>
      </w:hyperlink>
    </w:p>
    <w:p w14:paraId="2D56DCAA" w14:textId="77777777" w:rsidR="00FD6552" w:rsidRPr="00853AD5" w:rsidRDefault="00FD6552" w:rsidP="005E23E0">
      <w:pPr>
        <w:pStyle w:val="Textonotapie"/>
        <w:numPr>
          <w:ilvl w:val="0"/>
          <w:numId w:val="28"/>
        </w:numPr>
        <w:jc w:val="both"/>
        <w:rPr>
          <w:rFonts w:ascii="Arial" w:hAnsi="Arial" w:cs="Arial"/>
          <w:sz w:val="14"/>
          <w:szCs w:val="14"/>
        </w:rPr>
      </w:pPr>
      <w:r w:rsidRPr="0040384F">
        <w:rPr>
          <w:rFonts w:ascii="Arial" w:hAnsi="Arial" w:cs="Arial"/>
          <w:sz w:val="14"/>
          <w:szCs w:val="14"/>
          <w:lang w:val="en-US"/>
        </w:rPr>
        <w:t xml:space="preserve">CE (2012). </w:t>
      </w:r>
      <w:r w:rsidRPr="0040384F">
        <w:rPr>
          <w:rFonts w:ascii="Arial" w:hAnsi="Arial" w:cs="Arial"/>
          <w:i/>
          <w:sz w:val="14"/>
          <w:szCs w:val="14"/>
          <w:lang w:val="en-US"/>
        </w:rPr>
        <w:t>Roundtable on market definition. Note by the delegation of the European Union</w:t>
      </w:r>
      <w:r w:rsidRPr="0040384F">
        <w:rPr>
          <w:rFonts w:ascii="Arial" w:hAnsi="Arial" w:cs="Arial"/>
          <w:sz w:val="14"/>
          <w:szCs w:val="14"/>
          <w:lang w:val="en-US"/>
        </w:rPr>
        <w:t xml:space="preserve">. </w:t>
      </w:r>
      <w:r w:rsidRPr="00853AD5">
        <w:rPr>
          <w:rFonts w:ascii="Arial" w:hAnsi="Arial" w:cs="Arial"/>
          <w:sz w:val="14"/>
          <w:szCs w:val="14"/>
        </w:rPr>
        <w:t xml:space="preserve">Disponible en: </w:t>
      </w:r>
      <w:hyperlink r:id="rId8" w:history="1">
        <w:r w:rsidRPr="00853AD5">
          <w:rPr>
            <w:rStyle w:val="Hipervnculo"/>
            <w:rFonts w:ascii="Arial" w:hAnsi="Arial" w:cs="Arial"/>
            <w:sz w:val="14"/>
            <w:szCs w:val="14"/>
          </w:rPr>
          <w:t>https://ec.europa.eu/competition/international/multilateral/2012_jun_market_definition_en.pdf</w:t>
        </w:r>
      </w:hyperlink>
    </w:p>
  </w:footnote>
  <w:footnote w:id="8">
    <w:p w14:paraId="785C1E53"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rPr>
        <w:t xml:space="preserve"> La delimitación temporal a la que se refiere la tesis del PJF, generalmente se aborda en la experiencia internacional como parte de la dimensión producto y no como una dimensión independiente. Por ejemplo, la CMA/OFT han señalado que “</w:t>
      </w:r>
      <w:r w:rsidRPr="00853AD5">
        <w:rPr>
          <w:rFonts w:ascii="Arial" w:hAnsi="Arial" w:cs="Arial"/>
          <w:i/>
          <w:sz w:val="14"/>
          <w:szCs w:val="14"/>
        </w:rPr>
        <w:t>Hasta cierto punto, la dimensión temporal es simplemente una extensión de la dimensión producto: es decir, el producto puede definirse como la oferta de servicios ferroviarios a determinada hora del día</w:t>
      </w:r>
      <w:r w:rsidRPr="00853AD5">
        <w:rPr>
          <w:rFonts w:ascii="Arial" w:hAnsi="Arial" w:cs="Arial"/>
          <w:sz w:val="14"/>
          <w:szCs w:val="14"/>
        </w:rPr>
        <w:t xml:space="preserve">”. </w:t>
      </w:r>
      <w:r w:rsidRPr="00853AD5">
        <w:rPr>
          <w:rFonts w:ascii="Arial" w:hAnsi="Arial" w:cs="Arial"/>
          <w:sz w:val="14"/>
          <w:szCs w:val="14"/>
          <w:lang w:val="en-US"/>
        </w:rPr>
        <w:t xml:space="preserve">CMA/OFT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p. 18. </w:t>
      </w:r>
    </w:p>
  </w:footnote>
  <w:footnote w:id="9">
    <w:p w14:paraId="01045BAE"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fr-FR"/>
        </w:rPr>
        <w:t xml:space="preserve"> OCDE (2012). </w:t>
      </w:r>
      <w:proofErr w:type="spellStart"/>
      <w:r w:rsidRPr="00853AD5">
        <w:rPr>
          <w:rFonts w:ascii="Arial" w:hAnsi="Arial" w:cs="Arial"/>
          <w:i/>
          <w:sz w:val="14"/>
          <w:szCs w:val="14"/>
          <w:lang w:val="fr-FR"/>
        </w:rPr>
        <w:t>Market</w:t>
      </w:r>
      <w:proofErr w:type="spellEnd"/>
      <w:r w:rsidRPr="00853AD5">
        <w:rPr>
          <w:rFonts w:ascii="Arial" w:hAnsi="Arial" w:cs="Arial"/>
          <w:i/>
          <w:sz w:val="14"/>
          <w:szCs w:val="14"/>
          <w:lang w:val="fr-FR"/>
        </w:rPr>
        <w:t xml:space="preserve"> </w:t>
      </w:r>
      <w:proofErr w:type="spellStart"/>
      <w:r w:rsidRPr="00853AD5">
        <w:rPr>
          <w:rFonts w:ascii="Arial" w:hAnsi="Arial" w:cs="Arial"/>
          <w:i/>
          <w:sz w:val="14"/>
          <w:szCs w:val="14"/>
          <w:lang w:val="fr-FR"/>
        </w:rPr>
        <w:t>Definition</w:t>
      </w:r>
      <w:proofErr w:type="spellEnd"/>
      <w:r w:rsidRPr="00853AD5">
        <w:rPr>
          <w:rFonts w:ascii="Arial" w:hAnsi="Arial" w:cs="Arial"/>
          <w:sz w:val="14"/>
          <w:szCs w:val="14"/>
          <w:lang w:val="fr-FR"/>
        </w:rPr>
        <w:t xml:space="preserve">. Disponible </w:t>
      </w:r>
      <w:proofErr w:type="gramStart"/>
      <w:r w:rsidRPr="00853AD5">
        <w:rPr>
          <w:rFonts w:ascii="Arial" w:hAnsi="Arial" w:cs="Arial"/>
          <w:sz w:val="14"/>
          <w:szCs w:val="14"/>
          <w:lang w:val="fr-FR"/>
        </w:rPr>
        <w:t>en:</w:t>
      </w:r>
      <w:proofErr w:type="gramEnd"/>
      <w:r>
        <w:rPr>
          <w:rFonts w:ascii="Arial" w:hAnsi="Arial" w:cs="Arial"/>
          <w:sz w:val="14"/>
          <w:szCs w:val="14"/>
          <w:lang w:val="fr-FR"/>
        </w:rPr>
        <w:t xml:space="preserve"> </w:t>
      </w:r>
      <w:hyperlink r:id="rId9" w:history="1">
        <w:r w:rsidRPr="00E648FB">
          <w:rPr>
            <w:rStyle w:val="Hipervnculo"/>
            <w:rFonts w:ascii="Arial" w:hAnsi="Arial" w:cs="Arial"/>
            <w:sz w:val="14"/>
            <w:szCs w:val="14"/>
            <w:lang w:val="fr-FR"/>
          </w:rPr>
          <w:t>http://www.oecd.org/daf/competition/Marketdefinition2012.pdf</w:t>
        </w:r>
      </w:hyperlink>
      <w:r>
        <w:rPr>
          <w:rFonts w:ascii="Arial" w:hAnsi="Arial" w:cs="Arial"/>
          <w:sz w:val="14"/>
          <w:szCs w:val="14"/>
          <w:lang w:val="fr-FR"/>
        </w:rPr>
        <w:t xml:space="preserve"> </w:t>
      </w:r>
      <w:r w:rsidRPr="00853AD5">
        <w:rPr>
          <w:rFonts w:ascii="Arial" w:hAnsi="Arial" w:cs="Arial"/>
          <w:sz w:val="14"/>
          <w:szCs w:val="14"/>
          <w:lang w:val="fr-FR"/>
        </w:rPr>
        <w:t xml:space="preserve"> </w:t>
      </w:r>
    </w:p>
  </w:footnote>
  <w:footnote w:id="10">
    <w:p w14:paraId="1F3DC9B3" w14:textId="77777777" w:rsidR="00FD6552" w:rsidRPr="00853AD5" w:rsidRDefault="00FD6552" w:rsidP="003545C8">
      <w:pPr>
        <w:pStyle w:val="Notaalpie"/>
      </w:pPr>
      <w:r w:rsidRPr="00853AD5">
        <w:rPr>
          <w:rStyle w:val="Refdenotaalpie"/>
        </w:rPr>
        <w:footnoteRef/>
      </w:r>
      <w:r w:rsidRPr="00FD6552">
        <w:rPr>
          <w:lang w:val="en-US"/>
        </w:rPr>
        <w:t xml:space="preserve"> SCJN (2008). </w:t>
      </w:r>
      <w:r w:rsidRPr="00853AD5">
        <w:rPr>
          <w:i/>
        </w:rPr>
        <w:t>Mercado Relevante. Su Concepto en Materia de Competencia Económica</w:t>
      </w:r>
      <w:r w:rsidRPr="00853AD5">
        <w:t>. Tesis I.4o.A. J/75. Tribunales Colegiados de Circuito. Semanario Judicial de la Federación y su Gaceta. Tomo XXVIII, octubre de 2008. Novena Época. Pág. 2225.</w:t>
      </w:r>
    </w:p>
  </w:footnote>
  <w:footnote w:id="11">
    <w:p w14:paraId="206FA74E"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7672210E" w14:textId="77777777" w:rsidR="00FD6552" w:rsidRPr="00853AD5" w:rsidRDefault="00FD6552" w:rsidP="005E23E0">
      <w:pPr>
        <w:pStyle w:val="Textonotapie"/>
        <w:numPr>
          <w:ilvl w:val="0"/>
          <w:numId w:val="28"/>
        </w:numPr>
        <w:jc w:val="both"/>
        <w:rPr>
          <w:rStyle w:val="Hipervnculo"/>
          <w:rFonts w:ascii="Arial" w:hAnsi="Arial" w:cs="Arial"/>
          <w:sz w:val="14"/>
          <w:szCs w:val="14"/>
          <w:lang w:val="fr-FR"/>
        </w:rPr>
      </w:pPr>
      <w:r w:rsidRPr="00853AD5">
        <w:rPr>
          <w:rFonts w:ascii="Arial" w:hAnsi="Arial" w:cs="Arial"/>
          <w:sz w:val="14"/>
          <w:szCs w:val="14"/>
          <w:lang w:val="en-US"/>
        </w:rPr>
        <w:t xml:space="preserve">ICN (2006). </w:t>
      </w:r>
      <w:r w:rsidRPr="00853AD5">
        <w:rPr>
          <w:rFonts w:ascii="Arial" w:hAnsi="Arial" w:cs="Arial"/>
          <w:i/>
          <w:sz w:val="14"/>
          <w:szCs w:val="14"/>
          <w:lang w:val="en-US"/>
        </w:rPr>
        <w:t>ICN Merger Guidelines Workbook.</w:t>
      </w:r>
      <w:r w:rsidRPr="00853AD5">
        <w:rPr>
          <w:rFonts w:ascii="Arial" w:hAnsi="Arial" w:cs="Arial"/>
          <w:sz w:val="14"/>
          <w:szCs w:val="14"/>
          <w:lang w:val="en-US"/>
        </w:rPr>
        <w:t xml:space="preserve"> pp. 15-20. </w:t>
      </w:r>
      <w:r w:rsidRPr="00853AD5">
        <w:rPr>
          <w:rFonts w:ascii="Arial" w:hAnsi="Arial" w:cs="Arial"/>
          <w:sz w:val="14"/>
          <w:szCs w:val="14"/>
          <w:lang w:val="fr-FR"/>
        </w:rPr>
        <w:t xml:space="preserve">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r w:rsidRPr="00853AD5">
        <w:rPr>
          <w:rStyle w:val="Hipervnculo"/>
          <w:rFonts w:ascii="Arial" w:hAnsi="Arial" w:cs="Arial"/>
          <w:sz w:val="14"/>
          <w:szCs w:val="14"/>
          <w:lang w:val="fr-FR"/>
        </w:rPr>
        <w:t xml:space="preserve"> </w:t>
      </w:r>
      <w:hyperlink r:id="rId10" w:history="1">
        <w:r w:rsidRPr="00853AD5">
          <w:rPr>
            <w:rStyle w:val="Hipervnculo"/>
            <w:rFonts w:ascii="Arial" w:hAnsi="Arial" w:cs="Arial"/>
            <w:sz w:val="14"/>
            <w:szCs w:val="14"/>
            <w:lang w:val="fr-FR"/>
          </w:rPr>
          <w:t>https://www.internationalcompetitionnetwork.org/wp-content/uploads/2018/05/MWG_MergerGuidelinesWorkbook.pdf</w:t>
        </w:r>
      </w:hyperlink>
    </w:p>
    <w:p w14:paraId="136B03BF"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fr-FR"/>
        </w:rPr>
        <w:t xml:space="preserve">OCDE (2012). </w:t>
      </w:r>
      <w:proofErr w:type="spellStart"/>
      <w:r w:rsidRPr="00853AD5">
        <w:rPr>
          <w:rFonts w:ascii="Arial" w:hAnsi="Arial" w:cs="Arial"/>
          <w:i/>
          <w:sz w:val="14"/>
          <w:szCs w:val="14"/>
          <w:lang w:val="fr-FR"/>
        </w:rPr>
        <w:t>Market</w:t>
      </w:r>
      <w:proofErr w:type="spellEnd"/>
      <w:r w:rsidRPr="00853AD5">
        <w:rPr>
          <w:rFonts w:ascii="Arial" w:hAnsi="Arial" w:cs="Arial"/>
          <w:i/>
          <w:sz w:val="14"/>
          <w:szCs w:val="14"/>
          <w:lang w:val="fr-FR"/>
        </w:rPr>
        <w:t xml:space="preserve"> </w:t>
      </w:r>
      <w:proofErr w:type="spellStart"/>
      <w:r w:rsidRPr="00853AD5">
        <w:rPr>
          <w:rFonts w:ascii="Arial" w:hAnsi="Arial" w:cs="Arial"/>
          <w:i/>
          <w:sz w:val="14"/>
          <w:szCs w:val="14"/>
          <w:lang w:val="fr-FR"/>
        </w:rPr>
        <w:t>Definition</w:t>
      </w:r>
      <w:proofErr w:type="spellEnd"/>
      <w:r w:rsidRPr="00853AD5">
        <w:rPr>
          <w:rFonts w:ascii="Arial" w:hAnsi="Arial" w:cs="Arial"/>
          <w:sz w:val="14"/>
          <w:szCs w:val="14"/>
          <w:lang w:val="fr-FR"/>
        </w:rPr>
        <w:t>. p. 29.</w:t>
      </w:r>
    </w:p>
    <w:p w14:paraId="0B7B769B" w14:textId="77777777" w:rsidR="00FD6552" w:rsidRPr="00853AD5" w:rsidRDefault="00FD6552" w:rsidP="005E23E0">
      <w:pPr>
        <w:pStyle w:val="Textonotapie"/>
        <w:numPr>
          <w:ilvl w:val="0"/>
          <w:numId w:val="28"/>
        </w:numPr>
        <w:jc w:val="both"/>
        <w:rPr>
          <w:rFonts w:ascii="Arial" w:hAnsi="Arial" w:cs="Arial"/>
          <w:sz w:val="14"/>
          <w:szCs w:val="14"/>
          <w:lang w:val="fr-FR"/>
        </w:rPr>
      </w:pPr>
      <w:r>
        <w:rPr>
          <w:rFonts w:ascii="Arial" w:hAnsi="Arial" w:cs="Arial"/>
          <w:sz w:val="14"/>
          <w:szCs w:val="14"/>
          <w:lang w:val="en-US"/>
        </w:rPr>
        <w:t xml:space="preserve">CE </w:t>
      </w:r>
      <w:r w:rsidRPr="00853AD5">
        <w:rPr>
          <w:rFonts w:ascii="Arial" w:hAnsi="Arial" w:cs="Arial"/>
          <w:sz w:val="14"/>
          <w:szCs w:val="14"/>
          <w:lang w:val="en-US"/>
        </w:rPr>
        <w:t xml:space="preserve">(2012). </w:t>
      </w:r>
      <w:r w:rsidRPr="00853AD5">
        <w:rPr>
          <w:rFonts w:ascii="Arial" w:hAnsi="Arial" w:cs="Arial"/>
          <w:i/>
          <w:sz w:val="14"/>
          <w:szCs w:val="14"/>
          <w:lang w:val="en-US"/>
        </w:rPr>
        <w:t>Roundtable on market definition. Note by the delegation of the European Union. p. 2</w:t>
      </w:r>
      <w:r w:rsidRPr="00853AD5">
        <w:rPr>
          <w:rFonts w:ascii="Arial" w:hAnsi="Arial" w:cs="Arial"/>
          <w:sz w:val="14"/>
          <w:szCs w:val="14"/>
          <w:lang w:val="en-US"/>
        </w:rPr>
        <w:t xml:space="preserve">.  </w:t>
      </w:r>
    </w:p>
    <w:p w14:paraId="1A81BEF9" w14:textId="77777777" w:rsidR="00FD6552" w:rsidRPr="00853AD5" w:rsidRDefault="00FD6552" w:rsidP="005E23E0">
      <w:pPr>
        <w:pStyle w:val="Textonotapie"/>
        <w:numPr>
          <w:ilvl w:val="0"/>
          <w:numId w:val="28"/>
        </w:numPr>
        <w:jc w:val="both"/>
        <w:rPr>
          <w:rStyle w:val="Hipervnculo"/>
          <w:rFonts w:ascii="Arial" w:hAnsi="Arial" w:cs="Arial"/>
          <w:sz w:val="14"/>
          <w:szCs w:val="14"/>
          <w:lang w:val="fr-FR"/>
        </w:rPr>
      </w:pPr>
      <w:r w:rsidRPr="00853AD5">
        <w:rPr>
          <w:rFonts w:ascii="Arial" w:hAnsi="Arial" w:cs="Arial"/>
          <w:sz w:val="14"/>
          <w:szCs w:val="14"/>
          <w:lang w:val="en-US"/>
        </w:rPr>
        <w:t xml:space="preserve">CMA/OFT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pp. 7-8. </w:t>
      </w:r>
      <w:r w:rsidRPr="00853AD5">
        <w:rPr>
          <w:rFonts w:ascii="Arial" w:hAnsi="Arial" w:cs="Arial"/>
          <w:sz w:val="14"/>
          <w:szCs w:val="14"/>
        </w:rPr>
        <w:t xml:space="preserve">Disponible en: </w:t>
      </w:r>
      <w:hyperlink r:id="rId11" w:history="1">
        <w:r w:rsidRPr="00853AD5">
          <w:rPr>
            <w:rStyle w:val="Hipervnculo"/>
            <w:rFonts w:ascii="Arial" w:hAnsi="Arial" w:cs="Arial"/>
            <w:sz w:val="14"/>
            <w:szCs w:val="14"/>
          </w:rPr>
          <w:t>https://assets.publishing.service.gov.uk/government/uploads/system/uploads/attachment_data/file/284423/oft403.pdf</w:t>
        </w:r>
      </w:hyperlink>
    </w:p>
    <w:p w14:paraId="7E8825CD"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en-US"/>
        </w:rPr>
        <w:t xml:space="preserve">DOJ y FTC (2010). </w:t>
      </w:r>
      <w:r w:rsidRPr="00853AD5">
        <w:rPr>
          <w:rFonts w:ascii="Arial" w:hAnsi="Arial" w:cs="Arial"/>
          <w:i/>
          <w:sz w:val="14"/>
          <w:szCs w:val="14"/>
          <w:lang w:val="en-US"/>
        </w:rPr>
        <w:t>Horizontal Merger Guidelines.</w:t>
      </w:r>
    </w:p>
    <w:p w14:paraId="481F3763"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en-US"/>
        </w:rPr>
        <w:t xml:space="preserve">CBC (2011). </w:t>
      </w:r>
      <w:r w:rsidRPr="00853AD5">
        <w:rPr>
          <w:rFonts w:ascii="Arial" w:hAnsi="Arial" w:cs="Arial"/>
          <w:i/>
          <w:sz w:val="14"/>
          <w:szCs w:val="14"/>
          <w:lang w:val="en-US"/>
        </w:rPr>
        <w:t>Merger Enforcement Guidelines</w:t>
      </w:r>
      <w:r w:rsidRPr="00853AD5">
        <w:rPr>
          <w:rFonts w:ascii="Arial" w:hAnsi="Arial" w:cs="Arial"/>
          <w:sz w:val="14"/>
          <w:szCs w:val="14"/>
          <w:lang w:val="en-US"/>
        </w:rPr>
        <w:t>. p. 9.</w:t>
      </w:r>
    </w:p>
    <w:p w14:paraId="709CAC00"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color w:val="000000"/>
          <w:sz w:val="14"/>
          <w:szCs w:val="14"/>
          <w:shd w:val="clear" w:color="auto" w:fill="FFFFFF"/>
        </w:rPr>
        <w:t xml:space="preserve">ACCC (2008). </w:t>
      </w:r>
      <w:proofErr w:type="spellStart"/>
      <w:r w:rsidRPr="00853AD5">
        <w:rPr>
          <w:rFonts w:ascii="Arial" w:hAnsi="Arial" w:cs="Arial"/>
          <w:i/>
          <w:color w:val="000000"/>
          <w:sz w:val="14"/>
          <w:szCs w:val="14"/>
          <w:shd w:val="clear" w:color="auto" w:fill="FFFFFF"/>
        </w:rPr>
        <w:t>Merger</w:t>
      </w:r>
      <w:proofErr w:type="spellEnd"/>
      <w:r w:rsidRPr="00853AD5">
        <w:rPr>
          <w:rFonts w:ascii="Arial" w:hAnsi="Arial" w:cs="Arial"/>
          <w:i/>
          <w:color w:val="000000"/>
          <w:sz w:val="14"/>
          <w:szCs w:val="14"/>
          <w:shd w:val="clear" w:color="auto" w:fill="FFFFFF"/>
        </w:rPr>
        <w:t xml:space="preserve"> </w:t>
      </w:r>
      <w:proofErr w:type="spellStart"/>
      <w:r w:rsidRPr="00853AD5">
        <w:rPr>
          <w:rFonts w:ascii="Arial" w:hAnsi="Arial" w:cs="Arial"/>
          <w:i/>
          <w:color w:val="000000"/>
          <w:sz w:val="14"/>
          <w:szCs w:val="14"/>
          <w:shd w:val="clear" w:color="auto" w:fill="FFFFFF"/>
        </w:rPr>
        <w:t>Guidelines</w:t>
      </w:r>
      <w:proofErr w:type="spellEnd"/>
      <w:r w:rsidRPr="00853AD5">
        <w:rPr>
          <w:rFonts w:ascii="Arial" w:hAnsi="Arial" w:cs="Arial"/>
          <w:color w:val="000000"/>
          <w:sz w:val="14"/>
          <w:szCs w:val="14"/>
          <w:shd w:val="clear" w:color="auto" w:fill="FFFFFF"/>
        </w:rPr>
        <w:t xml:space="preserve"> (actualización 2017). pp. 20-21.</w:t>
      </w:r>
    </w:p>
  </w:footnote>
  <w:footnote w:id="12">
    <w:p w14:paraId="457F7070" w14:textId="77777777" w:rsidR="00FD6552" w:rsidRPr="00853AD5" w:rsidRDefault="00FD6552" w:rsidP="003545C8">
      <w:pPr>
        <w:pStyle w:val="Notaalpie"/>
      </w:pPr>
      <w:r w:rsidRPr="00853AD5">
        <w:rPr>
          <w:rStyle w:val="Refdenotaalpie"/>
        </w:rPr>
        <w:footnoteRef/>
      </w:r>
      <w:r w:rsidRPr="00853AD5">
        <w:t xml:space="preserve"> SCJN (2008). </w:t>
      </w:r>
      <w:r w:rsidRPr="00853AD5">
        <w:rPr>
          <w:i/>
        </w:rPr>
        <w:t>Mercado Relevante. Su Concepto en Materia de Competencia Económica</w:t>
      </w:r>
      <w:r w:rsidRPr="00853AD5">
        <w:t xml:space="preserve">. Tesis I.4o.A. J/75. Tribunales Colegiados de Circuito. Semanario Judicial de la Federación y su Gaceta. Tomo XXVIII, octubre de 2008. Novena Época. Pág. 2225. </w:t>
      </w:r>
    </w:p>
  </w:footnote>
  <w:footnote w:id="13">
    <w:p w14:paraId="45095D04"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1342449D"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xml:space="preserve">. p. 4. Disponible en: </w:t>
      </w:r>
      <w:hyperlink r:id="rId12" w:history="1">
        <w:r w:rsidRPr="00853AD5">
          <w:rPr>
            <w:rStyle w:val="Hipervnculo"/>
            <w:rFonts w:ascii="Arial" w:hAnsi="Arial" w:cs="Arial"/>
            <w:sz w:val="14"/>
            <w:szCs w:val="14"/>
          </w:rPr>
          <w:t>https://eur-lex.europa.eu/legal-content/ES/TXT/PDF/?uri=CELEX:52018XC0507(01)&amp;from=HU</w:t>
        </w:r>
      </w:hyperlink>
    </w:p>
    <w:p w14:paraId="704EEC8F"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DOJ y FTC (2010). </w:t>
      </w:r>
      <w:r w:rsidRPr="00853AD5">
        <w:rPr>
          <w:rFonts w:ascii="Arial" w:hAnsi="Arial" w:cs="Arial"/>
          <w:i/>
          <w:sz w:val="14"/>
          <w:szCs w:val="14"/>
          <w:lang w:val="en-US"/>
        </w:rPr>
        <w:t>Horizontal Merger Guidelines</w:t>
      </w:r>
      <w:r w:rsidRPr="00853AD5">
        <w:rPr>
          <w:rFonts w:ascii="Arial" w:hAnsi="Arial" w:cs="Arial"/>
          <w:sz w:val="14"/>
          <w:szCs w:val="14"/>
          <w:lang w:val="en-US"/>
        </w:rPr>
        <w:t>.</w:t>
      </w:r>
    </w:p>
    <w:p w14:paraId="1ED62CA0"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CMA/OFT (2010). Merger Assessment Guidelines. </w:t>
      </w:r>
    </w:p>
    <w:p w14:paraId="197AC793"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CMA/OFT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pp. 7-8.</w:t>
      </w:r>
    </w:p>
    <w:p w14:paraId="164716E4"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en-US"/>
        </w:rPr>
        <w:t xml:space="preserve">ACCC (2018). Guidelines on Misuse of Market Power. pp. 4-5. </w:t>
      </w:r>
      <w:r w:rsidRPr="00853AD5">
        <w:rPr>
          <w:rFonts w:ascii="Arial" w:hAnsi="Arial" w:cs="Arial"/>
          <w:sz w:val="14"/>
          <w:szCs w:val="14"/>
          <w:lang w:val="fr-FR"/>
        </w:rPr>
        <w:t xml:space="preserve">Disponible </w:t>
      </w:r>
      <w:proofErr w:type="gramStart"/>
      <w:r w:rsidRPr="00853AD5">
        <w:rPr>
          <w:rFonts w:ascii="Arial" w:hAnsi="Arial" w:cs="Arial"/>
          <w:sz w:val="14"/>
          <w:szCs w:val="14"/>
          <w:lang w:val="fr-FR"/>
        </w:rPr>
        <w:t>en:</w:t>
      </w:r>
      <w:proofErr w:type="gramEnd"/>
      <w:r w:rsidRPr="00853AD5">
        <w:rPr>
          <w:rFonts w:ascii="Arial" w:hAnsi="Arial" w:cs="Arial"/>
          <w:b/>
          <w:sz w:val="14"/>
          <w:szCs w:val="14"/>
          <w:lang w:val="fr-FR"/>
        </w:rPr>
        <w:t xml:space="preserve"> </w:t>
      </w:r>
      <w:hyperlink r:id="rId13" w:history="1">
        <w:r w:rsidRPr="00853AD5">
          <w:rPr>
            <w:rStyle w:val="Hipervnculo"/>
            <w:rFonts w:ascii="Arial" w:hAnsi="Arial" w:cs="Arial"/>
            <w:sz w:val="14"/>
            <w:szCs w:val="14"/>
            <w:lang w:val="fr-FR"/>
          </w:rPr>
          <w:t>https://www.accc.gov.au/system/files/Updated%20Guidelines%20on%20Misuse%20of%20Market%20Power.pdf</w:t>
        </w:r>
      </w:hyperlink>
    </w:p>
    <w:p w14:paraId="4045DD0E"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fr-FR"/>
        </w:rPr>
        <w:t xml:space="preserve">OCDE (2012). </w:t>
      </w:r>
      <w:proofErr w:type="spellStart"/>
      <w:r w:rsidRPr="00853AD5">
        <w:rPr>
          <w:rFonts w:ascii="Arial" w:hAnsi="Arial" w:cs="Arial"/>
          <w:i/>
          <w:sz w:val="14"/>
          <w:szCs w:val="14"/>
          <w:lang w:val="fr-FR"/>
        </w:rPr>
        <w:t>Market</w:t>
      </w:r>
      <w:proofErr w:type="spellEnd"/>
      <w:r w:rsidRPr="00853AD5">
        <w:rPr>
          <w:rFonts w:ascii="Arial" w:hAnsi="Arial" w:cs="Arial"/>
          <w:i/>
          <w:sz w:val="14"/>
          <w:szCs w:val="14"/>
          <w:lang w:val="fr-FR"/>
        </w:rPr>
        <w:t xml:space="preserve"> </w:t>
      </w:r>
      <w:proofErr w:type="spellStart"/>
      <w:r w:rsidRPr="00853AD5">
        <w:rPr>
          <w:rFonts w:ascii="Arial" w:hAnsi="Arial" w:cs="Arial"/>
          <w:i/>
          <w:sz w:val="14"/>
          <w:szCs w:val="14"/>
          <w:lang w:val="fr-FR"/>
        </w:rPr>
        <w:t>Definition</w:t>
      </w:r>
      <w:proofErr w:type="spellEnd"/>
      <w:r w:rsidRPr="00853AD5">
        <w:rPr>
          <w:rFonts w:ascii="Arial" w:hAnsi="Arial" w:cs="Arial"/>
          <w:sz w:val="14"/>
          <w:szCs w:val="14"/>
          <w:lang w:val="fr-FR"/>
        </w:rPr>
        <w:t>.</w:t>
      </w:r>
    </w:p>
    <w:p w14:paraId="533E2CB7"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 xml:space="preserve">. pp. 7 y 13. </w:t>
      </w:r>
      <w:r w:rsidRPr="00853AD5">
        <w:rPr>
          <w:rFonts w:ascii="Arial" w:hAnsi="Arial" w:cs="Arial"/>
          <w:sz w:val="14"/>
          <w:szCs w:val="14"/>
        </w:rPr>
        <w:t xml:space="preserve">Disponible en: </w:t>
      </w:r>
      <w:hyperlink r:id="rId14" w:history="1">
        <w:r w:rsidRPr="00853AD5">
          <w:rPr>
            <w:rStyle w:val="Hipervnculo"/>
            <w:rFonts w:ascii="Arial" w:hAnsi="Arial" w:cs="Arial"/>
            <w:sz w:val="14"/>
            <w:szCs w:val="14"/>
          </w:rPr>
          <w:t>https://www.oecd.org/daf/competition/Defining_Relevant_Market_in_Telecommunications_web.pdf</w:t>
        </w:r>
      </w:hyperlink>
    </w:p>
  </w:footnote>
  <w:footnote w:id="14">
    <w:p w14:paraId="13463F07"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 xml:space="preserve">. p. 11; </w:t>
      </w:r>
      <w:r w:rsidRPr="00853AD5">
        <w:rPr>
          <w:rFonts w:ascii="Arial" w:hAnsi="Arial" w:cs="Arial"/>
          <w:sz w:val="14"/>
          <w:szCs w:val="14"/>
          <w:lang w:val="en-GB"/>
        </w:rPr>
        <w:t xml:space="preserve">DOJ y FTC (2010). </w:t>
      </w:r>
      <w:r w:rsidRPr="00853AD5">
        <w:rPr>
          <w:rFonts w:ascii="Arial" w:hAnsi="Arial" w:cs="Arial"/>
          <w:i/>
          <w:sz w:val="14"/>
          <w:szCs w:val="14"/>
        </w:rPr>
        <w:t xml:space="preserve">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p. 7.</w:t>
      </w:r>
    </w:p>
  </w:footnote>
  <w:footnote w:id="15">
    <w:p w14:paraId="08EC9B2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Al respecto, las guías de la Comisión Europea señalan que “</w:t>
      </w:r>
      <w:r w:rsidRPr="00853AD5">
        <w:rPr>
          <w:rFonts w:ascii="Arial" w:hAnsi="Arial" w:cs="Arial"/>
          <w:i/>
          <w:sz w:val="14"/>
          <w:szCs w:val="14"/>
        </w:rPr>
        <w:t>la sustituibilidad de la oferta también puede tenerse en cuenta al definir mercados en los casos en que sus efectos son equivalentes a los de la sustituibilidad de la demanda en términos de eficacia y de respuesta inmediata</w:t>
      </w:r>
      <w:r w:rsidRPr="00853AD5">
        <w:rPr>
          <w:rFonts w:ascii="Arial" w:hAnsi="Arial" w:cs="Arial"/>
          <w:sz w:val="14"/>
          <w:szCs w:val="14"/>
        </w:rPr>
        <w:t xml:space="preserve">”. CE (1997). </w:t>
      </w:r>
      <w:r w:rsidRPr="00853AD5">
        <w:rPr>
          <w:rFonts w:ascii="Arial" w:hAnsi="Arial" w:cs="Arial"/>
          <w:i/>
          <w:sz w:val="14"/>
          <w:szCs w:val="14"/>
        </w:rPr>
        <w:t xml:space="preserve">COMUNICACIÓN DE LA COMISIÓN relativa a la definición de mercado de referencia a efectos de la normativa comunitaria en materia de competencia. </w:t>
      </w:r>
      <w:r w:rsidRPr="00853AD5">
        <w:rPr>
          <w:rFonts w:ascii="Arial" w:hAnsi="Arial" w:cs="Arial"/>
          <w:sz w:val="14"/>
          <w:szCs w:val="14"/>
        </w:rPr>
        <w:t>p. 7,</w:t>
      </w:r>
    </w:p>
  </w:footnote>
  <w:footnote w:id="16">
    <w:p w14:paraId="7808F610"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CE (1997). </w:t>
      </w:r>
      <w:r w:rsidRPr="00853AD5">
        <w:rPr>
          <w:rFonts w:ascii="Arial" w:hAnsi="Arial" w:cs="Arial"/>
          <w:i/>
          <w:sz w:val="14"/>
          <w:szCs w:val="14"/>
        </w:rPr>
        <w:t xml:space="preserve">COMUNICACIÓN DE LA COMISIÓN relativa a la definición de mercado de referencia a efectos de la normativa comunitaria en materia de competencia. </w:t>
      </w:r>
      <w:r w:rsidRPr="00853AD5">
        <w:rPr>
          <w:rFonts w:ascii="Arial" w:hAnsi="Arial" w:cs="Arial"/>
          <w:sz w:val="14"/>
          <w:szCs w:val="14"/>
        </w:rPr>
        <w:t xml:space="preserve">pp. 6-8, y 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párrafo 28.</w:t>
      </w:r>
    </w:p>
    <w:p w14:paraId="0AD4CE49" w14:textId="77777777" w:rsidR="00FD6552" w:rsidRPr="00853AD5" w:rsidRDefault="00FD6552" w:rsidP="003545C8">
      <w:pPr>
        <w:pStyle w:val="Textonotapie"/>
        <w:rPr>
          <w:rFonts w:ascii="Arial" w:hAnsi="Arial" w:cs="Arial"/>
          <w:sz w:val="14"/>
          <w:szCs w:val="14"/>
        </w:rPr>
      </w:pPr>
      <w:r w:rsidRPr="00853AD5">
        <w:rPr>
          <w:rFonts w:ascii="Arial" w:hAnsi="Arial" w:cs="Arial"/>
          <w:sz w:val="14"/>
          <w:szCs w:val="14"/>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párrafo 28.</w:t>
      </w:r>
    </w:p>
    <w:p w14:paraId="20FA6D69" w14:textId="77777777" w:rsidR="00FD6552" w:rsidRPr="00853AD5" w:rsidRDefault="00FD6552" w:rsidP="003545C8">
      <w:pPr>
        <w:pStyle w:val="Textonotapie"/>
        <w:rPr>
          <w:rFonts w:ascii="Arial" w:hAnsi="Arial" w:cs="Arial"/>
          <w:sz w:val="14"/>
          <w:szCs w:val="14"/>
        </w:rPr>
      </w:pPr>
      <w:r w:rsidRPr="00853AD5">
        <w:rPr>
          <w:rFonts w:ascii="Arial" w:hAnsi="Arial" w:cs="Arial"/>
          <w:sz w:val="14"/>
          <w:szCs w:val="14"/>
        </w:rPr>
        <w:t xml:space="preserve">CE (1992). </w:t>
      </w:r>
      <w:r w:rsidRPr="00853AD5">
        <w:rPr>
          <w:rFonts w:ascii="Arial" w:hAnsi="Arial" w:cs="Arial"/>
          <w:i/>
          <w:sz w:val="14"/>
          <w:szCs w:val="14"/>
        </w:rPr>
        <w:t>Case No IV/M.166 - TORRAS / SARRIO.</w:t>
      </w:r>
      <w:r w:rsidRPr="00853AD5">
        <w:rPr>
          <w:rFonts w:ascii="Arial" w:hAnsi="Arial" w:cs="Arial"/>
          <w:sz w:val="14"/>
          <w:szCs w:val="14"/>
        </w:rPr>
        <w:t xml:space="preserve"> Disponible en </w:t>
      </w:r>
      <w:hyperlink r:id="rId15" w:history="1">
        <w:r w:rsidRPr="00853AD5">
          <w:rPr>
            <w:rStyle w:val="Hipervnculo"/>
            <w:rFonts w:ascii="Arial" w:hAnsi="Arial" w:cs="Arial"/>
            <w:sz w:val="14"/>
            <w:szCs w:val="14"/>
          </w:rPr>
          <w:t>https://ec.europa.eu/competition/mergers/cases/decisions/m166_en.pdf</w:t>
        </w:r>
      </w:hyperlink>
      <w:r w:rsidRPr="00853AD5">
        <w:rPr>
          <w:rFonts w:ascii="Arial" w:hAnsi="Arial" w:cs="Arial"/>
          <w:sz w:val="14"/>
          <w:szCs w:val="14"/>
        </w:rPr>
        <w:t>.</w:t>
      </w:r>
    </w:p>
  </w:footnote>
  <w:footnote w:id="17">
    <w:p w14:paraId="42441309"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DOJ y FTC (2010). </w:t>
      </w:r>
      <w:r w:rsidRPr="00853AD5">
        <w:rPr>
          <w:rFonts w:ascii="Arial" w:hAnsi="Arial" w:cs="Arial"/>
          <w:i/>
          <w:sz w:val="14"/>
          <w:szCs w:val="14"/>
        </w:rPr>
        <w:t xml:space="preserve">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p. 7 y 15-16.</w:t>
      </w:r>
    </w:p>
  </w:footnote>
  <w:footnote w:id="18">
    <w:p w14:paraId="489B1B75" w14:textId="353EC518" w:rsidR="00FD6552" w:rsidRPr="00853AD5" w:rsidRDefault="00FD6552" w:rsidP="003545C8">
      <w:pPr>
        <w:pStyle w:val="Textonotapie"/>
        <w:rPr>
          <w:rFonts w:ascii="Arial" w:hAnsi="Arial" w:cs="Arial"/>
          <w:i/>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La Prueba SSNIP consiste en analizar si para un monopolista hipotético sería rentable hacer pequeños pero significativos incrementos en los precios de manera no transitoria. Véase la sección 5.3.3.1. para mayor detalle respecto a la </w:t>
      </w:r>
      <w:r>
        <w:rPr>
          <w:rFonts w:ascii="Arial" w:hAnsi="Arial" w:cs="Arial"/>
          <w:sz w:val="14"/>
          <w:szCs w:val="14"/>
        </w:rPr>
        <w:t>P</w:t>
      </w:r>
      <w:r w:rsidRPr="00853AD5">
        <w:rPr>
          <w:rFonts w:ascii="Arial" w:hAnsi="Arial" w:cs="Arial"/>
          <w:sz w:val="14"/>
          <w:szCs w:val="14"/>
        </w:rPr>
        <w:t>rueba SSNIP.</w:t>
      </w:r>
      <w:r w:rsidRPr="00853AD5">
        <w:rPr>
          <w:rFonts w:ascii="Arial" w:hAnsi="Arial" w:cs="Arial"/>
          <w:i/>
          <w:sz w:val="14"/>
          <w:szCs w:val="14"/>
        </w:rPr>
        <w:t xml:space="preserve"> </w:t>
      </w:r>
    </w:p>
    <w:p w14:paraId="01793385" w14:textId="77777777" w:rsidR="00FD6552" w:rsidRPr="00853AD5" w:rsidRDefault="00FD6552" w:rsidP="003545C8">
      <w:pPr>
        <w:pStyle w:val="Textonotapie"/>
        <w:rPr>
          <w:rFonts w:ascii="Arial" w:hAnsi="Arial" w:cs="Arial"/>
          <w:sz w:val="14"/>
          <w:szCs w:val="14"/>
        </w:rPr>
      </w:pPr>
      <w:r w:rsidRPr="00853AD5">
        <w:rPr>
          <w:rFonts w:ascii="Arial" w:hAnsi="Arial" w:cs="Arial"/>
          <w:sz w:val="14"/>
          <w:szCs w:val="14"/>
        </w:rPr>
        <w:t xml:space="preserve">Se ha desarrollado, aunque rara vez se ha aplicado, una alternativa a la Prueba SSNIP adaptada a la variable calidad, denominada prueba de pequeños pero significativos no transitorios decrementos en la calidad o SSNDQ (por sus siglas en inglés </w:t>
      </w:r>
      <w:r w:rsidRPr="00853AD5">
        <w:rPr>
          <w:rFonts w:ascii="Arial" w:hAnsi="Arial" w:cs="Arial"/>
          <w:i/>
          <w:sz w:val="14"/>
          <w:szCs w:val="14"/>
        </w:rPr>
        <w:t>Small-</w:t>
      </w:r>
      <w:proofErr w:type="spellStart"/>
      <w:r w:rsidRPr="00853AD5">
        <w:rPr>
          <w:rFonts w:ascii="Arial" w:hAnsi="Arial" w:cs="Arial"/>
          <w:i/>
          <w:sz w:val="14"/>
          <w:szCs w:val="14"/>
        </w:rPr>
        <w:t>butsignificant</w:t>
      </w:r>
      <w:proofErr w:type="spellEnd"/>
      <w:r w:rsidRPr="00853AD5">
        <w:rPr>
          <w:rFonts w:ascii="Arial" w:hAnsi="Arial" w:cs="Arial"/>
          <w:i/>
          <w:sz w:val="14"/>
          <w:szCs w:val="14"/>
        </w:rPr>
        <w:t xml:space="preserve"> non-</w:t>
      </w:r>
      <w:proofErr w:type="spellStart"/>
      <w:r w:rsidRPr="00853AD5">
        <w:rPr>
          <w:rFonts w:ascii="Arial" w:hAnsi="Arial" w:cs="Arial"/>
          <w:i/>
          <w:sz w:val="14"/>
          <w:szCs w:val="14"/>
        </w:rPr>
        <w:t>transitory</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decrease</w:t>
      </w:r>
      <w:proofErr w:type="spellEnd"/>
      <w:r w:rsidRPr="00853AD5">
        <w:rPr>
          <w:rFonts w:ascii="Arial" w:hAnsi="Arial" w:cs="Arial"/>
          <w:i/>
          <w:sz w:val="14"/>
          <w:szCs w:val="14"/>
        </w:rPr>
        <w:t xml:space="preserve"> in </w:t>
      </w:r>
      <w:proofErr w:type="spellStart"/>
      <w:r w:rsidRPr="00853AD5">
        <w:rPr>
          <w:rFonts w:ascii="Arial" w:hAnsi="Arial" w:cs="Arial"/>
          <w:i/>
          <w:sz w:val="14"/>
          <w:szCs w:val="14"/>
        </w:rPr>
        <w:t>quality</w:t>
      </w:r>
      <w:proofErr w:type="spellEnd"/>
      <w:r w:rsidRPr="00853AD5">
        <w:rPr>
          <w:rFonts w:ascii="Arial" w:hAnsi="Arial" w:cs="Arial"/>
          <w:i/>
          <w:sz w:val="14"/>
          <w:szCs w:val="14"/>
        </w:rPr>
        <w:t xml:space="preserve"> test).</w:t>
      </w:r>
      <w:r w:rsidRPr="00853AD5">
        <w:rPr>
          <w:rFonts w:ascii="Arial" w:hAnsi="Arial" w:cs="Arial"/>
          <w:sz w:val="14"/>
          <w:szCs w:val="14"/>
        </w:rPr>
        <w:t xml:space="preserve"> </w:t>
      </w:r>
      <w:r w:rsidRPr="00853AD5">
        <w:rPr>
          <w:rFonts w:ascii="Arial" w:hAnsi="Arial" w:cs="Arial"/>
          <w:sz w:val="14"/>
          <w:szCs w:val="14"/>
          <w:lang w:val="en-US"/>
        </w:rPr>
        <w:t xml:space="preserve">Ver OCDE (2018). </w:t>
      </w:r>
      <w:r w:rsidRPr="00853AD5">
        <w:rPr>
          <w:rFonts w:ascii="Arial" w:hAnsi="Arial" w:cs="Arial"/>
          <w:i/>
          <w:sz w:val="14"/>
          <w:szCs w:val="14"/>
          <w:lang w:val="en-US"/>
        </w:rPr>
        <w:t>Quality considerations in digital zero-price markets</w:t>
      </w:r>
      <w:r w:rsidRPr="00853AD5">
        <w:rPr>
          <w:rFonts w:ascii="Arial" w:hAnsi="Arial" w:cs="Arial"/>
          <w:sz w:val="14"/>
          <w:szCs w:val="14"/>
          <w:lang w:val="en-US"/>
        </w:rPr>
        <w:t xml:space="preserve">. </w:t>
      </w:r>
      <w:r w:rsidRPr="00853AD5">
        <w:rPr>
          <w:rFonts w:ascii="Arial" w:hAnsi="Arial" w:cs="Arial"/>
          <w:i/>
          <w:sz w:val="14"/>
          <w:szCs w:val="14"/>
          <w:lang w:val="en-US"/>
        </w:rPr>
        <w:t>Background note by the Secretariat</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16" w:history="1">
        <w:r w:rsidRPr="00853AD5">
          <w:rPr>
            <w:rStyle w:val="Hipervnculo"/>
            <w:rFonts w:ascii="Arial" w:hAnsi="Arial" w:cs="Arial"/>
            <w:sz w:val="14"/>
            <w:szCs w:val="14"/>
          </w:rPr>
          <w:t>https://one.oecd.org/document/DAF/COMP(2018)14/en/pdf</w:t>
        </w:r>
      </w:hyperlink>
    </w:p>
  </w:footnote>
  <w:footnote w:id="19">
    <w:p w14:paraId="21BA2AE4"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(2012). </w:t>
      </w:r>
      <w:r w:rsidRPr="00853AD5">
        <w:rPr>
          <w:rFonts w:ascii="Arial" w:hAnsi="Arial" w:cs="Arial"/>
          <w:i/>
          <w:sz w:val="14"/>
          <w:szCs w:val="14"/>
          <w:lang w:val="en-US"/>
        </w:rPr>
        <w:t>Market Definition</w:t>
      </w:r>
      <w:r w:rsidRPr="00853AD5">
        <w:rPr>
          <w:rFonts w:ascii="Arial" w:hAnsi="Arial" w:cs="Arial"/>
          <w:sz w:val="14"/>
          <w:szCs w:val="14"/>
          <w:lang w:val="en-US"/>
        </w:rPr>
        <w:t xml:space="preserve">.; DOJ y FTC (2010). </w:t>
      </w:r>
      <w:r w:rsidRPr="00853AD5">
        <w:rPr>
          <w:rFonts w:ascii="Arial" w:hAnsi="Arial" w:cs="Arial"/>
          <w:i/>
          <w:sz w:val="14"/>
          <w:szCs w:val="14"/>
        </w:rPr>
        <w:t xml:space="preserve">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y OCDE (2016).</w:t>
      </w:r>
      <w:r w:rsidRPr="00853AD5">
        <w:rPr>
          <w:rFonts w:ascii="Arial" w:hAnsi="Arial" w:cs="Arial"/>
          <w:i/>
          <w:sz w:val="14"/>
          <w:szCs w:val="14"/>
        </w:rPr>
        <w:t xml:space="preserve"> Exámenes de mercado en México: Un manual del secretariado de la OCDE</w:t>
      </w:r>
      <w:r w:rsidRPr="00853AD5">
        <w:rPr>
          <w:rFonts w:ascii="Arial" w:hAnsi="Arial" w:cs="Arial"/>
          <w:sz w:val="14"/>
          <w:szCs w:val="14"/>
        </w:rPr>
        <w:t xml:space="preserve">. </w:t>
      </w:r>
      <w:r w:rsidRPr="00853AD5">
        <w:rPr>
          <w:rFonts w:ascii="Arial" w:hAnsi="Arial" w:cs="Arial"/>
          <w:sz w:val="14"/>
          <w:szCs w:val="14"/>
          <w:lang w:val="fr-FR"/>
        </w:rPr>
        <w:t xml:space="preserve">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17" w:history="1">
        <w:r w:rsidRPr="00853AD5">
          <w:rPr>
            <w:rStyle w:val="Hipervnculo"/>
            <w:rFonts w:ascii="Arial" w:hAnsi="Arial" w:cs="Arial"/>
            <w:sz w:val="14"/>
            <w:szCs w:val="14"/>
            <w:lang w:val="fr-FR"/>
          </w:rPr>
          <w:t>http://www.oecd.org/daf/competition/Examenes-de-mercado-en-Mexico-Manual-2016.pdf</w:t>
        </w:r>
      </w:hyperlink>
    </w:p>
  </w:footnote>
  <w:footnote w:id="20">
    <w:p w14:paraId="7E0C41CB"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SCJN (2016). </w:t>
      </w:r>
      <w:r w:rsidRPr="00853AD5">
        <w:rPr>
          <w:rFonts w:ascii="Arial" w:hAnsi="Arial" w:cs="Arial"/>
          <w:b/>
          <w:i/>
          <w:sz w:val="14"/>
          <w:szCs w:val="14"/>
        </w:rPr>
        <w:t>MERCADO RELEVANTE. CARACTERÍSTICAS Y UTILIDAD DE LA PRUEBA DE ELASTICIDAD CRUZADA DE LA DEMANDA Y DE LA OFERTA PARA DETERMINARLO</w:t>
      </w:r>
      <w:r w:rsidRPr="00853AD5">
        <w:rPr>
          <w:rFonts w:ascii="Arial" w:hAnsi="Arial" w:cs="Arial"/>
          <w:i/>
          <w:sz w:val="14"/>
          <w:szCs w:val="14"/>
        </w:rPr>
        <w:t>.</w:t>
      </w:r>
      <w:r w:rsidRPr="00853AD5">
        <w:rPr>
          <w:rFonts w:ascii="Arial" w:hAnsi="Arial" w:cs="Arial"/>
          <w:sz w:val="14"/>
          <w:szCs w:val="14"/>
        </w:rPr>
        <w:t xml:space="preserve"> Tesis: I.1o.A.E.121 A (10a.). Gaceta del Semanario Judicial de la Federación, Décima Época, Tribunales Colegiados de Circuito. Libro 27, </w:t>
      </w:r>
      <w:proofErr w:type="gramStart"/>
      <w:r w:rsidRPr="00853AD5">
        <w:rPr>
          <w:rFonts w:ascii="Arial" w:hAnsi="Arial" w:cs="Arial"/>
          <w:sz w:val="14"/>
          <w:szCs w:val="14"/>
        </w:rPr>
        <w:t>Febrero</w:t>
      </w:r>
      <w:proofErr w:type="gramEnd"/>
      <w:r w:rsidRPr="00853AD5">
        <w:rPr>
          <w:rFonts w:ascii="Arial" w:hAnsi="Arial" w:cs="Arial"/>
          <w:sz w:val="14"/>
          <w:szCs w:val="14"/>
        </w:rPr>
        <w:t xml:space="preserve"> de 2016, Tomo III. </w:t>
      </w:r>
      <w:proofErr w:type="spellStart"/>
      <w:r w:rsidRPr="00853AD5">
        <w:rPr>
          <w:rFonts w:ascii="Arial" w:hAnsi="Arial" w:cs="Arial"/>
          <w:sz w:val="14"/>
          <w:szCs w:val="14"/>
        </w:rPr>
        <w:t>Pag.</w:t>
      </w:r>
      <w:proofErr w:type="spellEnd"/>
      <w:r w:rsidRPr="00853AD5">
        <w:rPr>
          <w:rFonts w:ascii="Arial" w:hAnsi="Arial" w:cs="Arial"/>
          <w:sz w:val="14"/>
          <w:szCs w:val="14"/>
        </w:rPr>
        <w:t xml:space="preserve"> 2097. Disponible en </w:t>
      </w:r>
      <w:hyperlink r:id="rId18" w:history="1">
        <w:r w:rsidRPr="00853AD5">
          <w:rPr>
            <w:rStyle w:val="Hipervnculo"/>
            <w:rFonts w:ascii="Arial" w:hAnsi="Arial" w:cs="Arial"/>
            <w:sz w:val="14"/>
            <w:szCs w:val="14"/>
          </w:rPr>
          <w:t>https://sjf.scjn.gob.mx/sjfsist/(F(SD2gHNAVakmYz90m0C5DbGtjSk2_ECWKhwLS6nXHev3Ru7cyu2ARbSafjYQS6UTGTXH6uyVZM8RgeBsX8iMfd7u3toK_jdow8wpPidRrkav992iD5kwb2V_AD8Dv0VTt8bnMa1zNODDhVYowc5I_x5T-RbIcksK5hMStT88LD5A1))/Paginas/DetalleGeneralV2.aspx?ID=2011156&amp;Clase=DetalleTesisBL&amp;Semanario=0</w:t>
        </w:r>
      </w:hyperlink>
    </w:p>
  </w:footnote>
  <w:footnote w:id="21">
    <w:p w14:paraId="374513B4"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7011A180"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ICN (2006), </w:t>
      </w:r>
      <w:r w:rsidRPr="00853AD5">
        <w:rPr>
          <w:rFonts w:ascii="Arial" w:hAnsi="Arial" w:cs="Arial"/>
          <w:i/>
          <w:sz w:val="14"/>
          <w:szCs w:val="14"/>
          <w:lang w:val="en-US"/>
        </w:rPr>
        <w:t>ICN Merger Guidelines Workbook</w:t>
      </w:r>
      <w:r w:rsidRPr="00853AD5">
        <w:rPr>
          <w:rFonts w:ascii="Arial" w:hAnsi="Arial" w:cs="Arial"/>
          <w:sz w:val="14"/>
          <w:szCs w:val="14"/>
          <w:lang w:val="en-US"/>
        </w:rPr>
        <w:t>. p. 20; CE (1997).</w:t>
      </w:r>
    </w:p>
    <w:p w14:paraId="6F6DA5C8"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i/>
          <w:sz w:val="14"/>
          <w:szCs w:val="14"/>
        </w:rPr>
        <w:t>COMUNICACIÓN DE LA COMISIÓN relativa a la definición de mercado de referencia a efectos de la normativa comunitaria en materia de competencia.</w:t>
      </w:r>
      <w:r w:rsidRPr="00853AD5">
        <w:rPr>
          <w:rFonts w:ascii="Arial" w:hAnsi="Arial" w:cs="Arial"/>
          <w:sz w:val="14"/>
          <w:szCs w:val="14"/>
        </w:rPr>
        <w:t xml:space="preserve"> p. 7;</w:t>
      </w:r>
    </w:p>
    <w:p w14:paraId="5C7DD447"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DOJ y FTC (2010). </w:t>
      </w:r>
      <w:r w:rsidRPr="00853AD5">
        <w:rPr>
          <w:rFonts w:ascii="Arial" w:hAnsi="Arial" w:cs="Arial"/>
          <w:i/>
          <w:sz w:val="14"/>
          <w:szCs w:val="14"/>
        </w:rPr>
        <w:t xml:space="preserve">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i/>
          <w:sz w:val="14"/>
          <w:szCs w:val="14"/>
        </w:rPr>
        <w:t xml:space="preserve">. </w:t>
      </w:r>
      <w:r w:rsidRPr="00853AD5">
        <w:rPr>
          <w:rFonts w:ascii="Arial" w:hAnsi="Arial" w:cs="Arial"/>
          <w:sz w:val="14"/>
          <w:szCs w:val="14"/>
        </w:rPr>
        <w:t>pp. 10 y 12;</w:t>
      </w:r>
    </w:p>
    <w:p w14:paraId="624593EA"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rPr>
        <w:t xml:space="preserve">ACCC (2008).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i/>
          <w:sz w:val="14"/>
          <w:szCs w:val="14"/>
        </w:rPr>
        <w:t xml:space="preserve"> </w:t>
      </w:r>
      <w:r w:rsidRPr="00853AD5">
        <w:rPr>
          <w:rFonts w:ascii="Arial" w:hAnsi="Arial" w:cs="Arial"/>
          <w:color w:val="000000"/>
          <w:sz w:val="14"/>
          <w:szCs w:val="14"/>
          <w:shd w:val="clear" w:color="auto" w:fill="FFFFFF"/>
        </w:rPr>
        <w:t>(actualización 2017). p.16;</w:t>
      </w:r>
    </w:p>
    <w:p w14:paraId="224855F8"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color w:val="000000"/>
          <w:sz w:val="14"/>
          <w:szCs w:val="14"/>
          <w:shd w:val="clear" w:color="auto" w:fill="FFFFFF"/>
          <w:lang w:val="en-US"/>
        </w:rPr>
        <w:t>CMA/</w:t>
      </w:r>
      <w:r w:rsidRPr="00853AD5">
        <w:rPr>
          <w:rFonts w:ascii="Arial" w:hAnsi="Arial" w:cs="Arial"/>
          <w:sz w:val="14"/>
          <w:szCs w:val="14"/>
          <w:lang w:val="en-GB"/>
        </w:rPr>
        <w:t xml:space="preserve">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p. 4, y </w:t>
      </w:r>
      <w:r w:rsidRPr="00853AD5">
        <w:rPr>
          <w:rFonts w:ascii="Arial" w:hAnsi="Arial" w:cs="Arial"/>
          <w:sz w:val="14"/>
          <w:szCs w:val="14"/>
          <w:lang w:val="en-GB"/>
        </w:rPr>
        <w:t xml:space="preserve">CBC (2011). </w:t>
      </w:r>
      <w:r w:rsidRPr="00853AD5">
        <w:rPr>
          <w:rFonts w:ascii="Arial" w:hAnsi="Arial" w:cs="Arial"/>
          <w:i/>
          <w:sz w:val="14"/>
          <w:szCs w:val="14"/>
          <w:lang w:val="fr-FR"/>
        </w:rPr>
        <w:t xml:space="preserve">Merger </w:t>
      </w:r>
      <w:proofErr w:type="spellStart"/>
      <w:r w:rsidRPr="00853AD5">
        <w:rPr>
          <w:rFonts w:ascii="Arial" w:hAnsi="Arial" w:cs="Arial"/>
          <w:i/>
          <w:sz w:val="14"/>
          <w:szCs w:val="14"/>
          <w:lang w:val="fr-FR"/>
        </w:rPr>
        <w:t>Enforcement</w:t>
      </w:r>
      <w:proofErr w:type="spellEnd"/>
      <w:r w:rsidRPr="00853AD5">
        <w:rPr>
          <w:rFonts w:ascii="Arial" w:hAnsi="Arial" w:cs="Arial"/>
          <w:i/>
          <w:sz w:val="14"/>
          <w:szCs w:val="14"/>
          <w:lang w:val="fr-FR"/>
        </w:rPr>
        <w:t xml:space="preserve"> Guidelines</w:t>
      </w:r>
      <w:r w:rsidRPr="00853AD5">
        <w:rPr>
          <w:rFonts w:ascii="Arial" w:hAnsi="Arial" w:cs="Arial"/>
          <w:sz w:val="14"/>
          <w:szCs w:val="14"/>
          <w:lang w:val="fr-FR"/>
        </w:rPr>
        <w:t>. p. 13.</w:t>
      </w:r>
    </w:p>
    <w:p w14:paraId="4C16DC64"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fr-FR"/>
        </w:rPr>
        <w:t xml:space="preserve">CBC (2011). </w:t>
      </w:r>
      <w:r w:rsidRPr="00853AD5">
        <w:rPr>
          <w:rFonts w:ascii="Arial" w:hAnsi="Arial" w:cs="Arial"/>
          <w:i/>
          <w:sz w:val="14"/>
          <w:szCs w:val="14"/>
          <w:lang w:val="fr-FR"/>
        </w:rPr>
        <w:t xml:space="preserve">Merger </w:t>
      </w:r>
      <w:proofErr w:type="spellStart"/>
      <w:r w:rsidRPr="00853AD5">
        <w:rPr>
          <w:rFonts w:ascii="Arial" w:hAnsi="Arial" w:cs="Arial"/>
          <w:i/>
          <w:sz w:val="14"/>
          <w:szCs w:val="14"/>
          <w:lang w:val="fr-FR"/>
        </w:rPr>
        <w:t>Enforcement</w:t>
      </w:r>
      <w:proofErr w:type="spellEnd"/>
      <w:r w:rsidRPr="00853AD5">
        <w:rPr>
          <w:rFonts w:ascii="Arial" w:hAnsi="Arial" w:cs="Arial"/>
          <w:i/>
          <w:sz w:val="14"/>
          <w:szCs w:val="14"/>
          <w:lang w:val="fr-FR"/>
        </w:rPr>
        <w:t xml:space="preserve"> Guidelines. </w:t>
      </w:r>
      <w:r w:rsidRPr="00853AD5">
        <w:rPr>
          <w:rFonts w:ascii="Arial" w:hAnsi="Arial" w:cs="Arial"/>
          <w:sz w:val="14"/>
          <w:szCs w:val="14"/>
          <w:lang w:val="fr-FR"/>
        </w:rPr>
        <w:t>pp. 10 y 13.</w:t>
      </w:r>
    </w:p>
    <w:p w14:paraId="2411C53E"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rPr>
        <w:t xml:space="preserve">Instituto (2020). </w:t>
      </w:r>
      <w:r w:rsidRPr="00853A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53AD5">
        <w:rPr>
          <w:rFonts w:ascii="Arial" w:hAnsi="Arial" w:cs="Arial"/>
          <w:sz w:val="14"/>
          <w:szCs w:val="14"/>
        </w:rPr>
        <w:t xml:space="preserve">. Acuerdo P/IFT/181120/436. Disponible en: </w:t>
      </w:r>
      <w:hyperlink r:id="rId19" w:history="1">
        <w:r w:rsidRPr="00853AD5">
          <w:rPr>
            <w:rStyle w:val="Hipervnculo"/>
            <w:rFonts w:ascii="Arial" w:hAnsi="Arial" w:cs="Arial"/>
            <w:sz w:val="14"/>
            <w:szCs w:val="14"/>
          </w:rPr>
          <w:t>http://www.ift.org.mx/sites/default/files/conocenos/pleno/sesiones/acuerdoliga/vp181120436.pdf</w:t>
        </w:r>
      </w:hyperlink>
    </w:p>
  </w:footnote>
  <w:footnote w:id="22">
    <w:p w14:paraId="58C897FD"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227BB528"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Instituto (2015).</w:t>
      </w:r>
      <w:r w:rsidRPr="00853AD5">
        <w:rPr>
          <w:rFonts w:ascii="Arial" w:hAnsi="Arial" w:cs="Arial"/>
          <w:i/>
          <w:sz w:val="14"/>
          <w:szCs w:val="14"/>
        </w:rPr>
        <w:t xml:space="preserve"> RESOLUCIÓN MEDIANTE LA CUAL EL PLENO DEL INSTITUTO FEDERAL DE TELECOMUNICACIONES AUTORIZA QUE SE REALICE LA CONCENTRACIÓN RADICADA BAJO EL EXPEDIENTE NO. UCE/CNC-002-2015, NOTIFICADA POR NOKIA CORPORATION Y ALCATEL-LUCENT</w:t>
      </w:r>
      <w:r w:rsidRPr="00853AD5">
        <w:rPr>
          <w:rFonts w:ascii="Arial" w:hAnsi="Arial" w:cs="Arial"/>
          <w:sz w:val="14"/>
          <w:szCs w:val="14"/>
        </w:rPr>
        <w:t xml:space="preserve">. Acuerdo P/IFT/201015/152. pp. 23-26. Disponible en: </w:t>
      </w:r>
      <w:hyperlink r:id="rId20" w:history="1">
        <w:r w:rsidRPr="00853AD5">
          <w:rPr>
            <w:rStyle w:val="Hipervnculo"/>
            <w:rFonts w:ascii="Arial" w:hAnsi="Arial" w:cs="Arial"/>
            <w:sz w:val="14"/>
            <w:szCs w:val="14"/>
          </w:rPr>
          <w:t>http://apps.ift.org.mx/publicdata/Version_Publica_UCE_P_IFT_EXT_201015_152.pdf</w:t>
        </w:r>
      </w:hyperlink>
      <w:r w:rsidRPr="00853AD5">
        <w:rPr>
          <w:rStyle w:val="Hipervnculo"/>
          <w:rFonts w:ascii="Arial" w:hAnsi="Arial" w:cs="Arial"/>
          <w:sz w:val="14"/>
          <w:szCs w:val="14"/>
        </w:rPr>
        <w:t>.</w:t>
      </w:r>
    </w:p>
    <w:p w14:paraId="7EE176C0"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(2017). Acuerdo </w:t>
      </w:r>
      <w:r w:rsidRPr="00853AD5">
        <w:rPr>
          <w:rFonts w:ascii="Arial" w:hAnsi="Arial" w:cs="Arial"/>
          <w:color w:val="000000"/>
          <w:sz w:val="14"/>
          <w:szCs w:val="14"/>
          <w:shd w:val="clear" w:color="auto" w:fill="FFFFFF"/>
        </w:rPr>
        <w:t>P/IFT/260617/356</w:t>
      </w:r>
      <w:r w:rsidRPr="00853AD5">
        <w:rPr>
          <w:rFonts w:ascii="Arial" w:hAnsi="Arial" w:cs="Arial"/>
          <w:b/>
          <w:color w:val="000000"/>
          <w:sz w:val="14"/>
          <w:szCs w:val="14"/>
          <w:shd w:val="clear" w:color="auto" w:fill="FFFFFF"/>
        </w:rPr>
        <w:t>.</w:t>
      </w:r>
      <w:r w:rsidRPr="00853AD5">
        <w:rPr>
          <w:rFonts w:ascii="Arial" w:hAnsi="Arial" w:cs="Arial"/>
          <w:color w:val="000000"/>
          <w:sz w:val="14"/>
          <w:szCs w:val="14"/>
          <w:shd w:val="clear" w:color="auto" w:fill="FFFFFF"/>
        </w:rPr>
        <w:t xml:space="preserve"> p. 228.</w:t>
      </w:r>
      <w:r w:rsidRPr="00853AD5">
        <w:rPr>
          <w:rFonts w:ascii="Arial" w:hAnsi="Arial" w:cs="Arial"/>
          <w:b/>
          <w:color w:val="000000"/>
          <w:sz w:val="14"/>
          <w:szCs w:val="14"/>
          <w:shd w:val="clear" w:color="auto" w:fill="FFFFFF"/>
        </w:rPr>
        <w:t xml:space="preserve"> </w:t>
      </w:r>
      <w:r w:rsidRPr="00853AD5">
        <w:rPr>
          <w:rFonts w:ascii="Arial" w:hAnsi="Arial" w:cs="Arial"/>
          <w:sz w:val="14"/>
          <w:szCs w:val="14"/>
        </w:rPr>
        <w:t>Disponible en:</w:t>
      </w:r>
      <w:r w:rsidRPr="00853AD5" w:rsidDel="003A64E7">
        <w:rPr>
          <w:rFonts w:ascii="Arial" w:hAnsi="Arial" w:cs="Arial"/>
          <w:sz w:val="14"/>
          <w:szCs w:val="14"/>
        </w:rPr>
        <w:t xml:space="preserve"> </w:t>
      </w:r>
      <w:hyperlink r:id="rId21" w:history="1">
        <w:r w:rsidRPr="00853AD5">
          <w:rPr>
            <w:rStyle w:val="Hipervnculo"/>
            <w:rFonts w:ascii="Arial" w:hAnsi="Arial" w:cs="Arial"/>
            <w:sz w:val="14"/>
            <w:szCs w:val="14"/>
          </w:rPr>
          <w:t>http://apps.ift.org.mx/publicdata/VP_P_IFT_260617_356.pdf</w:t>
        </w:r>
      </w:hyperlink>
      <w:r w:rsidRPr="00853AD5">
        <w:rPr>
          <w:rStyle w:val="Hipervnculo"/>
          <w:rFonts w:ascii="Arial" w:hAnsi="Arial" w:cs="Arial"/>
          <w:sz w:val="14"/>
          <w:szCs w:val="14"/>
        </w:rPr>
        <w:t>.</w:t>
      </w:r>
    </w:p>
    <w:p w14:paraId="2A959EEF"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(2015). </w:t>
      </w:r>
      <w:r w:rsidRPr="00853AD5">
        <w:rPr>
          <w:rFonts w:ascii="Arial" w:hAnsi="Arial" w:cs="Arial"/>
          <w:i/>
          <w:sz w:val="14"/>
          <w:szCs w:val="14"/>
        </w:rPr>
        <w:t xml:space="preserve">RESOLUCIÓN MEDIANTE LA CUAL EL PLENO DEL INSTITUTO FEDERAL DE TELECOMUNICACIONES AUTORIZA QUE SE REALICE LA CONCENTRACIÓN RADICADA BAJO EL EXPEDIENTE NO. </w:t>
      </w:r>
      <w:r w:rsidRPr="00853AD5">
        <w:rPr>
          <w:rFonts w:ascii="Arial" w:hAnsi="Arial" w:cs="Arial"/>
          <w:i/>
          <w:sz w:val="14"/>
          <w:szCs w:val="14"/>
          <w:lang w:val="en-US"/>
        </w:rPr>
        <w:t xml:space="preserve">UCE/CNC-001-2015, NOTIFICADA POR AT&amp;T, INC. Y NII HOLDINGS, INC. </w:t>
      </w:r>
      <w:r w:rsidRPr="00853AD5">
        <w:rPr>
          <w:rFonts w:ascii="Arial" w:hAnsi="Arial" w:cs="Arial"/>
          <w:sz w:val="14"/>
          <w:szCs w:val="14"/>
        </w:rPr>
        <w:t xml:space="preserve">Acuerdo P/IFT/EXT/290415/86. Disponible en: </w:t>
      </w:r>
      <w:hyperlink r:id="rId22" w:history="1">
        <w:r w:rsidRPr="00853AD5">
          <w:rPr>
            <w:rStyle w:val="Hipervnculo"/>
            <w:rFonts w:ascii="Arial" w:hAnsi="Arial" w:cs="Arial"/>
            <w:sz w:val="14"/>
            <w:szCs w:val="14"/>
          </w:rPr>
          <w:t>http://apps.ift.org.mx/publicdata/VP2_P_IFT_EXT_290415_86.pdf</w:t>
        </w:r>
      </w:hyperlink>
    </w:p>
    <w:p w14:paraId="48FF01FA"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Instituto (201</w:t>
      </w:r>
      <w:r>
        <w:rPr>
          <w:rFonts w:ascii="Arial" w:hAnsi="Arial" w:cs="Arial"/>
          <w:sz w:val="14"/>
          <w:szCs w:val="14"/>
        </w:rPr>
        <w:t>3</w:t>
      </w:r>
      <w:r w:rsidRPr="00853AD5">
        <w:rPr>
          <w:rFonts w:ascii="Arial" w:hAnsi="Arial" w:cs="Arial"/>
          <w:sz w:val="14"/>
          <w:szCs w:val="14"/>
        </w:rPr>
        <w:t xml:space="preserve">). </w:t>
      </w:r>
      <w:r w:rsidRPr="00853AD5">
        <w:rPr>
          <w:rFonts w:ascii="Arial" w:hAnsi="Arial" w:cs="Arial"/>
          <w:i/>
          <w:caps/>
          <w:sz w:val="14"/>
          <w:szCs w:val="14"/>
        </w:rPr>
        <w:t>Resolución mediante la cual el Pleno del Instituto Federal de Telecomunicaciones autoriza que se realice la concentración radicada bajo el expediente No. E-IFT/DGCCC/CNC/0002/2013, notificada por Satmex International CoÖperatieve U.A., Intenal Mexicana, S.A.P.I. de C.V., Alejandro SÁinz Orantes, Centerbridge Capital Partners SBS (Cayman), L.P., Eja Holdings LTD, Satmex International B.V., Holdsat México, S.A.P.I. de C.V., Satélites Mexicanos, S.A. de C.V. y Eutelsat, S.A.</w:t>
      </w:r>
      <w:r w:rsidRPr="00853AD5">
        <w:rPr>
          <w:rFonts w:ascii="Arial" w:hAnsi="Arial" w:cs="Arial"/>
          <w:sz w:val="14"/>
          <w:szCs w:val="14"/>
        </w:rPr>
        <w:t xml:space="preserve"> Acuerdo P/IFT/271113/20. Disponible en: </w:t>
      </w:r>
      <w:hyperlink r:id="rId23" w:history="1">
        <w:r w:rsidRPr="00853AD5">
          <w:rPr>
            <w:rStyle w:val="Hipervnculo"/>
            <w:rFonts w:ascii="Arial" w:hAnsi="Arial" w:cs="Arial"/>
            <w:sz w:val="14"/>
            <w:szCs w:val="14"/>
          </w:rPr>
          <w:t>http://apps.ift.org.mx/publicdata/P_IFT_271113_20_Version_Publica_Hoja.pdf</w:t>
        </w:r>
      </w:hyperlink>
    </w:p>
    <w:p w14:paraId="79FBB4C6"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w:t>
      </w:r>
      <w:r w:rsidRPr="00853AD5">
        <w:rPr>
          <w:rFonts w:ascii="Arial" w:hAnsi="Arial" w:cs="Arial"/>
          <w:b/>
          <w:bCs/>
          <w:sz w:val="14"/>
          <w:szCs w:val="14"/>
        </w:rPr>
        <w:t xml:space="preserve"> </w:t>
      </w:r>
      <w:r w:rsidRPr="00853AD5">
        <w:rPr>
          <w:rFonts w:ascii="Arial" w:hAnsi="Arial" w:cs="Arial"/>
          <w:i/>
          <w:sz w:val="14"/>
          <w:szCs w:val="14"/>
        </w:rPr>
        <w:t xml:space="preserve">RESOLUCIÓN MEDIANTE LA CUAL EL PLENO DEL INSTITUTO FEDERAL DE TELECOMUNICACIONES AUTORIZA LLEVAR A CABO LA CONCENTRACIÓN RADICADA BAJO EL EXPEDIENTE NO. </w:t>
      </w:r>
      <w:r w:rsidRPr="00853AD5">
        <w:rPr>
          <w:rFonts w:ascii="Arial" w:hAnsi="Arial" w:cs="Arial"/>
          <w:i/>
          <w:sz w:val="14"/>
          <w:szCs w:val="14"/>
          <w:lang w:val="en-US"/>
        </w:rPr>
        <w:t xml:space="preserve">UCE/CNC-004-2016, NOTIFICADA POR AT&amp;T INC., WEST MERGER SUB INC. </w:t>
      </w:r>
      <w:r w:rsidRPr="00853AD5">
        <w:rPr>
          <w:rFonts w:ascii="Arial" w:hAnsi="Arial" w:cs="Arial"/>
          <w:i/>
          <w:sz w:val="14"/>
          <w:szCs w:val="14"/>
        </w:rPr>
        <w:t>Y TIME WARNER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P/IFT/150817/487. D</w:t>
      </w:r>
      <w:r w:rsidRPr="00853AD5">
        <w:rPr>
          <w:rFonts w:ascii="Arial" w:hAnsi="Arial" w:cs="Arial"/>
          <w:sz w:val="14"/>
          <w:szCs w:val="14"/>
        </w:rPr>
        <w:t xml:space="preserve">isponible en: </w:t>
      </w:r>
      <w:hyperlink r:id="rId24" w:history="1">
        <w:r w:rsidRPr="00853AD5">
          <w:rPr>
            <w:rStyle w:val="Hipervnculo"/>
            <w:rFonts w:ascii="Arial" w:hAnsi="Arial" w:cs="Arial"/>
            <w:sz w:val="14"/>
            <w:szCs w:val="14"/>
          </w:rPr>
          <w:t>http://apps.ift.org.mx/publicdata/VP_P_IFT_150817_487.pdf</w:t>
        </w:r>
      </w:hyperlink>
    </w:p>
    <w:p w14:paraId="485311C8"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(2019). </w:t>
      </w:r>
      <w:r w:rsidRPr="00853AD5">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P/IFT/110319/122. D</w:t>
      </w:r>
      <w:r w:rsidRPr="00853AD5">
        <w:rPr>
          <w:rFonts w:ascii="Arial" w:hAnsi="Arial" w:cs="Arial"/>
          <w:sz w:val="14"/>
          <w:szCs w:val="14"/>
        </w:rPr>
        <w:t xml:space="preserve">isponible en: </w:t>
      </w:r>
      <w:hyperlink r:id="rId25" w:history="1">
        <w:r w:rsidRPr="00853AD5">
          <w:rPr>
            <w:rStyle w:val="Hipervnculo"/>
            <w:rFonts w:ascii="Arial" w:hAnsi="Arial" w:cs="Arial"/>
            <w:sz w:val="14"/>
            <w:szCs w:val="14"/>
          </w:rPr>
          <w:t>http://www.ift.org.mx/sites/default/files/conocenos/pleno/sesiones/acuerdoliga/verpubpift110319122canxuce.pdf</w:t>
        </w:r>
      </w:hyperlink>
    </w:p>
    <w:p w14:paraId="35DDF741"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(2015). </w:t>
      </w:r>
      <w:r w:rsidRPr="00853AD5">
        <w:rPr>
          <w:rFonts w:ascii="Arial" w:hAnsi="Arial" w:cs="Arial"/>
          <w:i/>
          <w:sz w:val="14"/>
          <w:szCs w:val="14"/>
        </w:rPr>
        <w:t xml:space="preserve">RESOLUCIÓN MEDIANTE LA CUAL EL PLENO DEL INSTITUTO FEDERAL DE TELECOMUNICACIONES AUTORIZA QUE SE REALICE LA CONCENTRACIÓN RADICADA BAJO EL EXPEDIENTE NO. </w:t>
      </w:r>
      <w:r w:rsidRPr="00853AD5">
        <w:rPr>
          <w:rFonts w:ascii="Arial" w:hAnsi="Arial" w:cs="Arial"/>
          <w:i/>
          <w:sz w:val="14"/>
          <w:szCs w:val="14"/>
          <w:lang w:val="en-US"/>
        </w:rPr>
        <w:t xml:space="preserve">UCE/CNC-001-2015, NOTIFICADA POR AT&amp;T, INC. Y NII HOLDINGS, INC. </w:t>
      </w:r>
      <w:r w:rsidRPr="00853AD5">
        <w:rPr>
          <w:rFonts w:ascii="Arial" w:hAnsi="Arial" w:cs="Arial"/>
          <w:sz w:val="14"/>
          <w:szCs w:val="14"/>
        </w:rPr>
        <w:t xml:space="preserve">Acuerdo P/IFT/EXT/290415/86. </w:t>
      </w:r>
    </w:p>
    <w:p w14:paraId="1F634B09"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(2017). </w:t>
      </w:r>
      <w:r w:rsidRPr="00853AD5">
        <w:rPr>
          <w:rFonts w:ascii="Arial" w:hAnsi="Arial" w:cs="Arial"/>
          <w:i/>
          <w:sz w:val="14"/>
          <w:szCs w:val="14"/>
        </w:rPr>
        <w:t xml:space="preserve">Resolución mediante la cual el Pleno del Instituto Federal de Telecomunicaciones autoriza llevar a cabo la concentración radicada bajo el expediente No. UCE/CNC-003-2016, notificada por Utrera, S.A. de C.V., Grupo MVS, S.A. de C.V., el C. XXXXXXXXXXXXXXXXXXXX, </w:t>
      </w:r>
      <w:proofErr w:type="spellStart"/>
      <w:r w:rsidRPr="00853AD5">
        <w:rPr>
          <w:rFonts w:ascii="Arial" w:hAnsi="Arial" w:cs="Arial"/>
          <w:i/>
          <w:sz w:val="14"/>
          <w:szCs w:val="14"/>
        </w:rPr>
        <w:t>Radiomóvil</w:t>
      </w:r>
      <w:proofErr w:type="spellEnd"/>
      <w:r w:rsidRPr="00853AD5">
        <w:rPr>
          <w:rFonts w:ascii="Arial" w:hAnsi="Arial" w:cs="Arial"/>
          <w:i/>
          <w:sz w:val="14"/>
          <w:szCs w:val="14"/>
        </w:rPr>
        <w:t xml:space="preserve"> Dipsa, S.A. de C.V. y AMOV IV, S.A. de C.V. </w:t>
      </w:r>
      <w:r w:rsidRPr="00853AD5">
        <w:rPr>
          <w:rFonts w:ascii="Arial" w:hAnsi="Arial" w:cs="Arial"/>
          <w:sz w:val="14"/>
          <w:szCs w:val="14"/>
        </w:rPr>
        <w:t xml:space="preserve">Acuerdo P/IFT/270417/221. Disponible en: </w:t>
      </w:r>
      <w:hyperlink r:id="rId26" w:history="1">
        <w:r w:rsidRPr="00853AD5">
          <w:rPr>
            <w:rStyle w:val="Hipervnculo"/>
            <w:rFonts w:ascii="Arial" w:hAnsi="Arial" w:cs="Arial"/>
            <w:sz w:val="14"/>
            <w:szCs w:val="14"/>
          </w:rPr>
          <w:t>http://apps.ift.org.mx/publicdata/Version_Publica_UCE_270417_221.pdf</w:t>
        </w:r>
      </w:hyperlink>
      <w:r w:rsidRPr="00853AD5">
        <w:rPr>
          <w:rStyle w:val="Hipervnculo"/>
          <w:rFonts w:ascii="Arial" w:hAnsi="Arial" w:cs="Arial"/>
          <w:sz w:val="14"/>
          <w:szCs w:val="14"/>
        </w:rPr>
        <w:t>.</w:t>
      </w:r>
      <w:r w:rsidRPr="00853AD5">
        <w:rPr>
          <w:rFonts w:ascii="Arial" w:hAnsi="Arial" w:cs="Arial"/>
          <w:sz w:val="14"/>
          <w:szCs w:val="14"/>
        </w:rPr>
        <w:t xml:space="preserve">  </w:t>
      </w:r>
    </w:p>
    <w:p w14:paraId="3F426A9E"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(2018). Acuerdo P/IFT/220818/511. p. 185. Disponible en: </w:t>
      </w:r>
      <w:hyperlink r:id="rId27" w:history="1">
        <w:r w:rsidRPr="00853AD5">
          <w:rPr>
            <w:rStyle w:val="Hipervnculo"/>
            <w:rFonts w:ascii="Arial" w:eastAsiaTheme="majorEastAsia" w:hAnsi="Arial" w:cs="Arial"/>
            <w:sz w:val="14"/>
            <w:szCs w:val="14"/>
          </w:rPr>
          <w:t>http://www.ift.org.mx/sites/default/files/conocenos/pleno/sesiones/acuerdoliga/vppift220818511noct_1.pdf</w:t>
        </w:r>
      </w:hyperlink>
    </w:p>
    <w:p w14:paraId="7200FAC6"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(2014). RESOLUCIÓN MEDIANTE LA CUAL EL PLENO DEL INSTITUTO FEDERAL DE TELECOMUNICACIONES AUTORIZA QUE SE REALICE LA CONCENTRACION RADICADA BAJO EL EXPEDIENTE NO. UCE/CNC-006-2014, NOTIFICADA POR AT&amp;T, INC. Y GRUPO SALINAS TELECOM. S.A. DE C.V. Acuerdo P/IFT/EXT/181214/282. Disponible en: </w:t>
      </w:r>
      <w:hyperlink r:id="rId28" w:history="1">
        <w:r w:rsidRPr="00853AD5">
          <w:rPr>
            <w:rStyle w:val="Hipervnculo"/>
            <w:rFonts w:ascii="Arial" w:hAnsi="Arial" w:cs="Arial"/>
            <w:sz w:val="14"/>
            <w:szCs w:val="14"/>
          </w:rPr>
          <w:t>http://apps.ift.org.mx/publicdata/P_IFT_EXT_181214_282_Version_Publica.pdf</w:t>
        </w:r>
      </w:hyperlink>
      <w:r w:rsidRPr="00853AD5">
        <w:rPr>
          <w:rStyle w:val="Hipervnculo"/>
          <w:rFonts w:ascii="Arial" w:hAnsi="Arial" w:cs="Arial"/>
          <w:sz w:val="14"/>
          <w:szCs w:val="14"/>
        </w:rPr>
        <w:t>.</w:t>
      </w:r>
    </w:p>
    <w:p w14:paraId="2AA173CB"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Instituto (2017). Acuerdo P/IFT/230117/8</w:t>
      </w:r>
      <w:r w:rsidRPr="00853AD5">
        <w:rPr>
          <w:rFonts w:ascii="Arial" w:hAnsi="Arial" w:cs="Arial"/>
          <w:i/>
          <w:sz w:val="14"/>
          <w:szCs w:val="14"/>
        </w:rPr>
        <w:t>.</w:t>
      </w:r>
      <w:r w:rsidRPr="00853AD5">
        <w:rPr>
          <w:rFonts w:ascii="Arial" w:hAnsi="Arial" w:cs="Arial"/>
          <w:sz w:val="14"/>
          <w:szCs w:val="14"/>
        </w:rPr>
        <w:t xml:space="preserve"> pp. 41-51. Disponible en: </w:t>
      </w:r>
      <w:hyperlink r:id="rId29" w:history="1">
        <w:r w:rsidRPr="00853AD5">
          <w:rPr>
            <w:rStyle w:val="Hipervnculo"/>
            <w:rFonts w:ascii="Arial" w:hAnsi="Arial" w:cs="Arial"/>
            <w:sz w:val="14"/>
            <w:szCs w:val="14"/>
          </w:rPr>
          <w:t>http://apps.ift.org.mx/publicdata/Version_Publica_AI_P_IFT_230117_8.pdf</w:t>
        </w:r>
      </w:hyperlink>
      <w:r w:rsidRPr="00853AD5">
        <w:rPr>
          <w:rStyle w:val="Hipervnculo"/>
          <w:rFonts w:ascii="Arial" w:hAnsi="Arial" w:cs="Arial"/>
          <w:sz w:val="14"/>
          <w:szCs w:val="14"/>
        </w:rPr>
        <w:t>.</w:t>
      </w:r>
    </w:p>
    <w:p w14:paraId="0EE401F3"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(2020). </w:t>
      </w:r>
      <w:r w:rsidRPr="00853A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53AD5">
        <w:rPr>
          <w:rFonts w:ascii="Arial" w:hAnsi="Arial" w:cs="Arial"/>
          <w:sz w:val="14"/>
          <w:szCs w:val="14"/>
        </w:rPr>
        <w:t>. Acuerdo P/IFT/181120/436.</w:t>
      </w:r>
    </w:p>
    <w:p w14:paraId="5C2B7A87"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(2014). </w:t>
      </w:r>
      <w:r w:rsidRPr="00853AD5">
        <w:rPr>
          <w:rFonts w:ascii="Arial" w:hAnsi="Arial" w:cs="Arial"/>
          <w:i/>
          <w:sz w:val="14"/>
          <w:szCs w:val="14"/>
        </w:rPr>
        <w:t>Bases de la Licitación IFT-1.</w:t>
      </w:r>
      <w:r w:rsidRPr="00853AD5">
        <w:rPr>
          <w:rFonts w:ascii="Arial" w:hAnsi="Arial" w:cs="Arial"/>
          <w:sz w:val="14"/>
          <w:szCs w:val="14"/>
        </w:rPr>
        <w:t xml:space="preserve"> Disponibles en:</w:t>
      </w:r>
      <w:r>
        <w:rPr>
          <w:rFonts w:ascii="Arial" w:hAnsi="Arial" w:cs="Arial"/>
          <w:sz w:val="14"/>
          <w:szCs w:val="14"/>
        </w:rPr>
        <w:t xml:space="preserve"> </w:t>
      </w:r>
      <w:hyperlink r:id="rId30" w:history="1">
        <w:r w:rsidRPr="00786925">
          <w:rPr>
            <w:rStyle w:val="Hipervnculo"/>
            <w:rFonts w:ascii="Arial" w:hAnsi="Arial" w:cs="Arial"/>
            <w:sz w:val="14"/>
            <w:szCs w:val="14"/>
          </w:rPr>
          <w:t>http://www.ift.org.mx/industria/espectro-radioelectrico/radiodifusion/2014/ift-1-licitacion-de-dos-cadenas-de-television-radiodifundida-digital</w:t>
        </w:r>
      </w:hyperlink>
      <w:r w:rsidRPr="00853AD5">
        <w:rPr>
          <w:rFonts w:ascii="Arial" w:hAnsi="Arial" w:cs="Arial"/>
          <w:sz w:val="14"/>
          <w:szCs w:val="14"/>
        </w:rPr>
        <w:t xml:space="preserve">, e </w:t>
      </w:r>
    </w:p>
    <w:p w14:paraId="0B08702D"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(2014). </w:t>
      </w:r>
      <w:r w:rsidRPr="00853AD5">
        <w:rPr>
          <w:rFonts w:ascii="Arial" w:hAnsi="Arial" w:cs="Arial"/>
          <w:i/>
          <w:sz w:val="14"/>
          <w:szCs w:val="14"/>
        </w:rPr>
        <w:t>Opiniones en materia de competencia económica emitidas por el Instituto en la Licitación IFT-1.</w:t>
      </w:r>
      <w:r w:rsidRPr="00853AD5">
        <w:rPr>
          <w:rFonts w:ascii="Arial" w:hAnsi="Arial" w:cs="Arial"/>
          <w:sz w:val="14"/>
          <w:szCs w:val="14"/>
        </w:rPr>
        <w:t xml:space="preserve"> Disponibles en: </w:t>
      </w:r>
      <w:hyperlink r:id="rId31" w:anchor="overlay-context=pagina-de-inicio/apendices" w:history="1">
        <w:r w:rsidRPr="00853AD5">
          <w:rPr>
            <w:rStyle w:val="Hipervnculo"/>
            <w:rFonts w:ascii="Arial" w:hAnsi="Arial" w:cs="Arial"/>
            <w:sz w:val="14"/>
            <w:szCs w:val="14"/>
          </w:rPr>
          <w:t>http://www.ift.org.mx/pagina-de-inicio/opiniones-en-materia-de-competencia-economica#overlay-context=pagina-de-inicio/apendices</w:t>
        </w:r>
      </w:hyperlink>
      <w:r w:rsidRPr="00853AD5">
        <w:rPr>
          <w:rStyle w:val="Hipervnculo"/>
          <w:rFonts w:ascii="Arial" w:hAnsi="Arial" w:cs="Arial"/>
          <w:sz w:val="14"/>
          <w:szCs w:val="14"/>
        </w:rPr>
        <w:t>.</w:t>
      </w:r>
    </w:p>
    <w:p w14:paraId="5DC42DBC"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(2016). </w:t>
      </w:r>
      <w:r w:rsidRPr="00853AD5">
        <w:rPr>
          <w:rFonts w:ascii="Arial" w:hAnsi="Arial" w:cs="Arial"/>
          <w:i/>
          <w:sz w:val="14"/>
          <w:szCs w:val="14"/>
        </w:rPr>
        <w:t>Bases de la Licitación IFT-6.</w:t>
      </w:r>
      <w:r w:rsidRPr="00853AD5">
        <w:rPr>
          <w:rFonts w:ascii="Arial" w:hAnsi="Arial" w:cs="Arial"/>
          <w:sz w:val="14"/>
          <w:szCs w:val="14"/>
        </w:rPr>
        <w:t xml:space="preserve"> Disponibles en: </w:t>
      </w:r>
      <w:hyperlink r:id="rId32" w:history="1">
        <w:r w:rsidRPr="00853AD5">
          <w:rPr>
            <w:rStyle w:val="Hipervnculo"/>
            <w:rFonts w:ascii="Arial" w:hAnsi="Arial" w:cs="Arial"/>
            <w:sz w:val="14"/>
            <w:szCs w:val="14"/>
          </w:rPr>
          <w:t>http://www.ift.org.mx/industria/espectro-radioelectrico/television/2016/licitacion-no-ift-6-television-radiodifundida-digital</w:t>
        </w:r>
      </w:hyperlink>
      <w:r w:rsidRPr="00853AD5">
        <w:rPr>
          <w:rFonts w:ascii="Arial" w:hAnsi="Arial" w:cs="Arial"/>
          <w:sz w:val="14"/>
          <w:szCs w:val="14"/>
        </w:rPr>
        <w:t>.</w:t>
      </w:r>
    </w:p>
    <w:p w14:paraId="4A1B78C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(2016).</w:t>
      </w:r>
      <w:r w:rsidRPr="00853AD5">
        <w:rPr>
          <w:rFonts w:ascii="Arial" w:hAnsi="Arial" w:cs="Arial"/>
          <w:b/>
          <w:bCs/>
          <w:sz w:val="14"/>
          <w:szCs w:val="14"/>
        </w:rPr>
        <w:t xml:space="preserve"> </w:t>
      </w:r>
      <w:r w:rsidRPr="00853AD5">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53AD5">
        <w:rPr>
          <w:rFonts w:ascii="Arial" w:hAnsi="Arial" w:cs="Arial"/>
          <w:sz w:val="14"/>
          <w:szCs w:val="14"/>
        </w:rPr>
        <w:t xml:space="preserve">. Acuerdo </w:t>
      </w:r>
      <w:r w:rsidRPr="00853AD5">
        <w:rPr>
          <w:rFonts w:ascii="Arial" w:hAnsi="Arial" w:cs="Arial"/>
          <w:bCs/>
          <w:sz w:val="14"/>
          <w:szCs w:val="14"/>
        </w:rPr>
        <w:t>P/IFT/EXT/190216/7. D</w:t>
      </w:r>
      <w:r w:rsidRPr="00853AD5">
        <w:rPr>
          <w:rFonts w:ascii="Arial" w:hAnsi="Arial" w:cs="Arial"/>
          <w:sz w:val="14"/>
          <w:szCs w:val="14"/>
        </w:rPr>
        <w:t xml:space="preserve">isponible en: </w:t>
      </w:r>
      <w:hyperlink r:id="rId33" w:history="1">
        <w:r w:rsidRPr="00786925">
          <w:rPr>
            <w:rStyle w:val="Hipervnculo"/>
            <w:rFonts w:ascii="Arial" w:hAnsi="Arial" w:cs="Arial"/>
            <w:sz w:val="14"/>
            <w:szCs w:val="14"/>
          </w:rPr>
          <w:t>http://apps.ift.org.mx/publicdata/Version_Publica_P_IFT_EXT_190216_7.pdf</w:t>
        </w:r>
      </w:hyperlink>
      <w:r w:rsidRPr="001550C5">
        <w:rPr>
          <w:rFonts w:ascii="Arial" w:hAnsi="Arial" w:cs="Arial"/>
          <w:sz w:val="14"/>
          <w:szCs w:val="14"/>
        </w:rPr>
        <w:t xml:space="preserve"> </w:t>
      </w:r>
    </w:p>
    <w:p w14:paraId="1AF4A729"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(2016).</w:t>
      </w:r>
      <w:r w:rsidRPr="00853AD5">
        <w:rPr>
          <w:rFonts w:ascii="Arial" w:hAnsi="Arial" w:cs="Arial"/>
          <w:b/>
          <w:bCs/>
          <w:sz w:val="14"/>
          <w:szCs w:val="14"/>
        </w:rPr>
        <w:t xml:space="preserve"> </w:t>
      </w:r>
      <w:r w:rsidRPr="00853AD5">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53AD5">
        <w:rPr>
          <w:rFonts w:ascii="Arial" w:hAnsi="Arial" w:cs="Arial"/>
          <w:sz w:val="14"/>
          <w:szCs w:val="14"/>
        </w:rPr>
        <w:t xml:space="preserve">. Acuerdo </w:t>
      </w:r>
      <w:r w:rsidRPr="00853AD5">
        <w:rPr>
          <w:rFonts w:ascii="Arial" w:hAnsi="Arial" w:cs="Arial"/>
          <w:bCs/>
          <w:sz w:val="14"/>
          <w:szCs w:val="14"/>
        </w:rPr>
        <w:t>P/IFT/EXT/190216/7.</w:t>
      </w:r>
    </w:p>
    <w:p w14:paraId="36BD8CF6"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(2018). Acuerdo P/IFT/121218/948. </w:t>
      </w:r>
      <w:r w:rsidRPr="00853AD5">
        <w:rPr>
          <w:rFonts w:ascii="Arial" w:hAnsi="Arial" w:cs="Arial"/>
          <w:color w:val="000000" w:themeColor="text1"/>
          <w:sz w:val="14"/>
          <w:szCs w:val="14"/>
        </w:rPr>
        <w:t xml:space="preserve">Disponible en: </w:t>
      </w:r>
      <w:hyperlink r:id="rId34" w:anchor="P/IFT/121218/948" w:history="1">
        <w:r w:rsidRPr="00853AD5">
          <w:rPr>
            <w:rStyle w:val="Hipervnculo"/>
            <w:rFonts w:ascii="Arial" w:hAnsi="Arial" w:cs="Arial"/>
            <w:sz w:val="14"/>
            <w:szCs w:val="14"/>
          </w:rPr>
          <w:t>http://www.ift.org.mx/sites/default/files/conocenos/pleno/sesiones/acuerdoliga/pift121218948.pdf#P/IFT/121218/948</w:t>
        </w:r>
      </w:hyperlink>
      <w:r w:rsidRPr="00853AD5">
        <w:rPr>
          <w:rFonts w:ascii="Arial" w:hAnsi="Arial" w:cs="Arial"/>
          <w:sz w:val="14"/>
          <w:szCs w:val="14"/>
          <w:u w:val="single"/>
        </w:rPr>
        <w:t xml:space="preserve"> </w:t>
      </w:r>
      <w:r w:rsidRPr="00853AD5">
        <w:rPr>
          <w:rFonts w:ascii="Arial" w:hAnsi="Arial" w:cs="Arial"/>
          <w:sz w:val="14"/>
          <w:szCs w:val="14"/>
        </w:rPr>
        <w:t xml:space="preserve">y Versión pública del Dictamen Preliminar emitido en el Expediente AC/DC-004-2018, disponible en: </w:t>
      </w:r>
      <w:hyperlink r:id="rId35" w:history="1">
        <w:r w:rsidRPr="00853AD5">
          <w:rPr>
            <w:rStyle w:val="Hipervnculo"/>
            <w:rFonts w:ascii="Arial" w:hAnsi="Arial" w:cs="Arial"/>
            <w:sz w:val="14"/>
            <w:szCs w:val="14"/>
          </w:rPr>
          <w:t>http://www.ift.org.mx/sites/default/files/contenidogeneral/autoridad-investigadora/vpai-dc-004-2018.pdf</w:t>
        </w:r>
      </w:hyperlink>
    </w:p>
  </w:footnote>
  <w:footnote w:id="23">
    <w:p w14:paraId="20D594A2"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Guía de Concentraciones. p. 31.</w:t>
      </w:r>
    </w:p>
  </w:footnote>
  <w:footnote w:id="24">
    <w:p w14:paraId="3CB3C778"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fr-FR"/>
        </w:rPr>
        <w:t xml:space="preserve"> Ver :</w:t>
      </w:r>
    </w:p>
    <w:p w14:paraId="57F81E69"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fr-FR"/>
        </w:rPr>
        <w:t xml:space="preserve">CE (1997). </w:t>
      </w:r>
      <w:r w:rsidRPr="00853AD5">
        <w:rPr>
          <w:rFonts w:ascii="Arial" w:hAnsi="Arial" w:cs="Arial"/>
          <w:i/>
          <w:sz w:val="14"/>
          <w:szCs w:val="14"/>
        </w:rPr>
        <w:t>COMUNICACIÓN DE LA COMISIÓN relativa a la definición de mercado de referencia a efectos de la normativa comunitaria en materia de competencia</w:t>
      </w:r>
      <w:r w:rsidRPr="00853AD5">
        <w:rPr>
          <w:rFonts w:ascii="Arial" w:hAnsi="Arial" w:cs="Arial"/>
          <w:sz w:val="14"/>
          <w:szCs w:val="14"/>
        </w:rPr>
        <w:t xml:space="preserve">. </w:t>
      </w:r>
    </w:p>
    <w:p w14:paraId="64B3777C"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p>
    <w:p w14:paraId="53FBCBFA"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CE (2013). </w:t>
      </w:r>
      <w:r w:rsidRPr="00853AD5">
        <w:rPr>
          <w:rFonts w:ascii="Arial" w:hAnsi="Arial" w:cs="Arial"/>
          <w:i/>
          <w:sz w:val="14"/>
          <w:szCs w:val="14"/>
        </w:rPr>
        <w:t>Case No COMP/M.6880 - LIBERTY GLOBAL/ VIRGIN MEDIA</w:t>
      </w:r>
      <w:r w:rsidRPr="00853AD5">
        <w:rPr>
          <w:rFonts w:ascii="Arial" w:hAnsi="Arial" w:cs="Arial"/>
          <w:sz w:val="14"/>
          <w:szCs w:val="14"/>
        </w:rPr>
        <w:t xml:space="preserve">, párrafos 42 a 50. Disponible en: </w:t>
      </w:r>
      <w:hyperlink r:id="rId36" w:history="1">
        <w:r w:rsidRPr="00853AD5">
          <w:rPr>
            <w:rStyle w:val="Hipervnculo"/>
            <w:rFonts w:ascii="Arial" w:hAnsi="Arial" w:cs="Arial"/>
            <w:sz w:val="14"/>
            <w:szCs w:val="14"/>
          </w:rPr>
          <w:t>https://ec.europa.eu/competition/mergers/cases/decisions/m6880_410_2.pdf</w:t>
        </w:r>
      </w:hyperlink>
      <w:r w:rsidRPr="00853AD5">
        <w:rPr>
          <w:rStyle w:val="Hipervnculo"/>
          <w:rFonts w:ascii="Arial" w:hAnsi="Arial" w:cs="Arial"/>
          <w:sz w:val="14"/>
          <w:szCs w:val="14"/>
        </w:rPr>
        <w:t>.</w:t>
      </w:r>
    </w:p>
    <w:p w14:paraId="7DCD204A"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fr-FR"/>
        </w:rPr>
        <w:t xml:space="preserve">CE (2019). </w:t>
      </w:r>
      <w:r w:rsidRPr="00853AD5">
        <w:rPr>
          <w:rFonts w:ascii="Arial" w:hAnsi="Arial" w:cs="Arial"/>
          <w:i/>
          <w:sz w:val="14"/>
          <w:szCs w:val="14"/>
          <w:lang w:val="fr-FR"/>
        </w:rPr>
        <w:t>Case M.8864 - Vodafone / Certain Liberty Global Assets</w:t>
      </w:r>
      <w:r w:rsidRPr="00853AD5">
        <w:rPr>
          <w:rFonts w:ascii="Arial" w:hAnsi="Arial" w:cs="Arial"/>
          <w:sz w:val="14"/>
          <w:szCs w:val="14"/>
          <w:lang w:val="fr-FR"/>
        </w:rPr>
        <w:t xml:space="preserve">, </w:t>
      </w:r>
      <w:proofErr w:type="spellStart"/>
      <w:r w:rsidRPr="00853AD5">
        <w:rPr>
          <w:rFonts w:ascii="Arial" w:hAnsi="Arial" w:cs="Arial"/>
          <w:sz w:val="14"/>
          <w:szCs w:val="14"/>
          <w:lang w:val="fr-FR"/>
        </w:rPr>
        <w:t>párrafos</w:t>
      </w:r>
      <w:proofErr w:type="spellEnd"/>
      <w:r w:rsidRPr="00853AD5">
        <w:rPr>
          <w:rFonts w:ascii="Arial" w:hAnsi="Arial" w:cs="Arial"/>
          <w:sz w:val="14"/>
          <w:szCs w:val="14"/>
          <w:lang w:val="fr-FR"/>
        </w:rPr>
        <w:t xml:space="preserve"> 49 </w:t>
      </w:r>
      <w:proofErr w:type="gramStart"/>
      <w:r w:rsidRPr="00853AD5">
        <w:rPr>
          <w:rFonts w:ascii="Arial" w:hAnsi="Arial" w:cs="Arial"/>
          <w:sz w:val="14"/>
          <w:szCs w:val="14"/>
          <w:lang w:val="fr-FR"/>
        </w:rPr>
        <w:t>a</w:t>
      </w:r>
      <w:proofErr w:type="gramEnd"/>
      <w:r w:rsidRPr="00853AD5">
        <w:rPr>
          <w:rFonts w:ascii="Arial" w:hAnsi="Arial" w:cs="Arial"/>
          <w:sz w:val="14"/>
          <w:szCs w:val="14"/>
          <w:lang w:val="fr-FR"/>
        </w:rPr>
        <w:t xml:space="preserve"> 67. 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37" w:history="1">
        <w:r w:rsidRPr="00853AD5">
          <w:rPr>
            <w:rStyle w:val="Hipervnculo"/>
            <w:rFonts w:ascii="Arial" w:hAnsi="Arial" w:cs="Arial"/>
            <w:sz w:val="14"/>
            <w:szCs w:val="14"/>
            <w:lang w:val="fr-FR"/>
          </w:rPr>
          <w:t>https://ec.europa.eu/competition/mergers/cases/decisions/m8864_7363_3.pdf</w:t>
        </w:r>
      </w:hyperlink>
    </w:p>
  </w:footnote>
  <w:footnote w:id="25">
    <w:p w14:paraId="415CBB5B"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1D8C714B"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en-US"/>
        </w:rPr>
        <w:t xml:space="preserve">CMA/OFT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38" w:history="1">
        <w:r w:rsidRPr="00853AD5">
          <w:rPr>
            <w:rStyle w:val="Hipervnculo"/>
            <w:rFonts w:ascii="Arial" w:hAnsi="Arial" w:cs="Arial"/>
            <w:sz w:val="14"/>
            <w:szCs w:val="14"/>
          </w:rPr>
          <w:t>https://assets.publishing.service.gov.uk/government/uploads/system/uploads/attachment_data/file/284423/oft403.pdf</w:t>
        </w:r>
      </w:hyperlink>
      <w:r w:rsidRPr="00853AD5">
        <w:rPr>
          <w:rStyle w:val="Hipervnculo"/>
          <w:rFonts w:ascii="Arial" w:hAnsi="Arial" w:cs="Arial"/>
          <w:sz w:val="14"/>
          <w:szCs w:val="14"/>
        </w:rPr>
        <w:t>.</w:t>
      </w:r>
    </w:p>
    <w:p w14:paraId="2FE31EE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CMA (2020). </w:t>
      </w:r>
      <w:r w:rsidRPr="00853AD5">
        <w:rPr>
          <w:rFonts w:ascii="Arial" w:hAnsi="Arial" w:cs="Arial"/>
          <w:bCs/>
          <w:i/>
          <w:sz w:val="14"/>
          <w:szCs w:val="14"/>
          <w:lang w:val="en-US"/>
        </w:rPr>
        <w:t>Bauer Media Group merger inquiry</w:t>
      </w:r>
      <w:r w:rsidRPr="00853AD5">
        <w:rPr>
          <w:rFonts w:ascii="Arial" w:hAnsi="Arial" w:cs="Arial"/>
          <w:b/>
          <w:bCs/>
          <w:i/>
          <w:sz w:val="14"/>
          <w:szCs w:val="14"/>
          <w:lang w:val="en-US"/>
        </w:rPr>
        <w:t xml:space="preserve">. </w:t>
      </w:r>
      <w:r w:rsidRPr="00853AD5">
        <w:rPr>
          <w:rFonts w:ascii="Arial" w:hAnsi="Arial" w:cs="Arial"/>
          <w:i/>
          <w:sz w:val="14"/>
          <w:szCs w:val="14"/>
          <w:lang w:val="en-US"/>
        </w:rPr>
        <w:t xml:space="preserve">Completed acquisitions by Bauer Media Group of certain businesses of </w:t>
      </w:r>
      <w:proofErr w:type="spellStart"/>
      <w:r w:rsidRPr="00853AD5">
        <w:rPr>
          <w:rFonts w:ascii="Arial" w:hAnsi="Arial" w:cs="Arial"/>
          <w:i/>
          <w:sz w:val="14"/>
          <w:szCs w:val="14"/>
          <w:lang w:val="en-US"/>
        </w:rPr>
        <w:t>Celador</w:t>
      </w:r>
      <w:proofErr w:type="spellEnd"/>
      <w:r w:rsidRPr="00853AD5">
        <w:rPr>
          <w:rFonts w:ascii="Arial" w:hAnsi="Arial" w:cs="Arial"/>
          <w:i/>
          <w:sz w:val="14"/>
          <w:szCs w:val="14"/>
          <w:lang w:val="en-US"/>
        </w:rPr>
        <w:t xml:space="preserve"> Entertainment Limited, Lincs FM Group Limited and Wireless Group Limited, as well as the entire business of UKRD Group Limited.</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39" w:history="1">
        <w:r w:rsidRPr="00853AD5">
          <w:rPr>
            <w:rStyle w:val="Hipervnculo"/>
            <w:rFonts w:ascii="Arial" w:hAnsi="Arial" w:cs="Arial"/>
            <w:sz w:val="14"/>
            <w:szCs w:val="14"/>
          </w:rPr>
          <w:t>https://www.gov.uk/cma-cases/bauer-media-group-merger-inquiry</w:t>
        </w:r>
      </w:hyperlink>
    </w:p>
  </w:footnote>
  <w:footnote w:id="26">
    <w:p w14:paraId="3725DA97"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DOJ y FTC (2010). </w:t>
      </w:r>
      <w:r w:rsidRPr="00853AD5">
        <w:rPr>
          <w:rFonts w:ascii="Arial" w:hAnsi="Arial" w:cs="Arial"/>
          <w:i/>
          <w:sz w:val="14"/>
          <w:szCs w:val="14"/>
        </w:rPr>
        <w:t xml:space="preserve">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xml:space="preserve">. </w:t>
      </w:r>
    </w:p>
    <w:p w14:paraId="423F95B1" w14:textId="77777777" w:rsidR="00FD6552" w:rsidRPr="00853AD5" w:rsidRDefault="00FD6552" w:rsidP="003545C8">
      <w:pPr>
        <w:pStyle w:val="Textonotapie"/>
        <w:rPr>
          <w:rFonts w:ascii="Arial" w:hAnsi="Arial" w:cs="Arial"/>
          <w:sz w:val="14"/>
          <w:szCs w:val="14"/>
          <w:lang w:val="fr-FR"/>
        </w:rPr>
      </w:pPr>
      <w:r w:rsidRPr="00FD6552">
        <w:rPr>
          <w:rFonts w:ascii="Arial" w:hAnsi="Arial" w:cs="Arial"/>
          <w:sz w:val="14"/>
          <w:szCs w:val="14"/>
          <w:lang w:val="en-US"/>
        </w:rPr>
        <w:t xml:space="preserve">DOJ y FTC (2010). </w:t>
      </w:r>
      <w:r w:rsidRPr="00853AD5">
        <w:rPr>
          <w:rFonts w:ascii="Arial" w:hAnsi="Arial" w:cs="Arial"/>
          <w:i/>
          <w:sz w:val="14"/>
          <w:szCs w:val="14"/>
          <w:lang w:val="fr-FR"/>
        </w:rPr>
        <w:t xml:space="preserve">Product </w:t>
      </w:r>
      <w:proofErr w:type="spellStart"/>
      <w:r w:rsidRPr="00853AD5">
        <w:rPr>
          <w:rFonts w:ascii="Arial" w:hAnsi="Arial" w:cs="Arial"/>
          <w:i/>
          <w:sz w:val="14"/>
          <w:szCs w:val="14"/>
          <w:lang w:val="fr-FR"/>
        </w:rPr>
        <w:t>Market</w:t>
      </w:r>
      <w:proofErr w:type="spellEnd"/>
      <w:r w:rsidRPr="00853AD5">
        <w:rPr>
          <w:rFonts w:ascii="Arial" w:hAnsi="Arial" w:cs="Arial"/>
          <w:i/>
          <w:sz w:val="14"/>
          <w:szCs w:val="14"/>
          <w:lang w:val="fr-FR"/>
        </w:rPr>
        <w:t xml:space="preserve"> </w:t>
      </w:r>
      <w:proofErr w:type="spellStart"/>
      <w:r w:rsidRPr="00853AD5">
        <w:rPr>
          <w:rFonts w:ascii="Arial" w:hAnsi="Arial" w:cs="Arial"/>
          <w:i/>
          <w:sz w:val="14"/>
          <w:szCs w:val="14"/>
          <w:lang w:val="fr-FR"/>
        </w:rPr>
        <w:t>Definition</w:t>
      </w:r>
      <w:proofErr w:type="spellEnd"/>
      <w:r w:rsidRPr="00853AD5">
        <w:rPr>
          <w:rFonts w:ascii="Arial" w:hAnsi="Arial" w:cs="Arial"/>
          <w:sz w:val="14"/>
          <w:szCs w:val="14"/>
          <w:lang w:val="fr-FR"/>
        </w:rPr>
        <w:t xml:space="preserve">. 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40" w:history="1">
        <w:r w:rsidRPr="00853AD5">
          <w:rPr>
            <w:rStyle w:val="Hipervnculo"/>
            <w:rFonts w:ascii="Arial" w:hAnsi="Arial" w:cs="Arial"/>
            <w:sz w:val="14"/>
            <w:szCs w:val="14"/>
            <w:lang w:val="fr-FR"/>
          </w:rPr>
          <w:t>https://www.justice.gov/atr/11-product-market-definition</w:t>
        </w:r>
      </w:hyperlink>
      <w:r w:rsidRPr="00853AD5">
        <w:rPr>
          <w:rStyle w:val="Hipervnculo"/>
          <w:rFonts w:ascii="Arial" w:hAnsi="Arial" w:cs="Arial"/>
          <w:sz w:val="14"/>
          <w:szCs w:val="14"/>
          <w:lang w:val="fr-FR"/>
        </w:rPr>
        <w:t>.</w:t>
      </w:r>
    </w:p>
  </w:footnote>
  <w:footnote w:id="27">
    <w:p w14:paraId="1C5E820B"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fr-FR"/>
        </w:rPr>
        <w:t xml:space="preserve"> Ver :</w:t>
      </w:r>
    </w:p>
    <w:p w14:paraId="70AF9232"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fr-FR"/>
        </w:rPr>
        <w:t xml:space="preserve">CBC (2011). </w:t>
      </w:r>
      <w:r w:rsidRPr="00853AD5">
        <w:rPr>
          <w:rFonts w:ascii="Arial" w:hAnsi="Arial" w:cs="Arial"/>
          <w:i/>
          <w:sz w:val="14"/>
          <w:szCs w:val="14"/>
          <w:lang w:val="fr-FR"/>
        </w:rPr>
        <w:t xml:space="preserve">Merger </w:t>
      </w:r>
      <w:proofErr w:type="spellStart"/>
      <w:r w:rsidRPr="00853AD5">
        <w:rPr>
          <w:rFonts w:ascii="Arial" w:hAnsi="Arial" w:cs="Arial"/>
          <w:i/>
          <w:sz w:val="14"/>
          <w:szCs w:val="14"/>
          <w:lang w:val="fr-FR"/>
        </w:rPr>
        <w:t>Enforcement</w:t>
      </w:r>
      <w:proofErr w:type="spellEnd"/>
      <w:r w:rsidRPr="00853AD5">
        <w:rPr>
          <w:rFonts w:ascii="Arial" w:hAnsi="Arial" w:cs="Arial"/>
          <w:i/>
          <w:sz w:val="14"/>
          <w:szCs w:val="14"/>
          <w:lang w:val="fr-FR"/>
        </w:rPr>
        <w:t xml:space="preserve"> Guidelines</w:t>
      </w:r>
      <w:r w:rsidRPr="00853AD5">
        <w:rPr>
          <w:rFonts w:ascii="Arial" w:hAnsi="Arial" w:cs="Arial"/>
          <w:sz w:val="14"/>
          <w:szCs w:val="14"/>
          <w:lang w:val="fr-FR"/>
        </w:rPr>
        <w:t>.</w:t>
      </w:r>
      <w:r w:rsidRPr="00853AD5" w:rsidDel="00442204">
        <w:rPr>
          <w:rFonts w:ascii="Arial" w:hAnsi="Arial" w:cs="Arial"/>
          <w:sz w:val="14"/>
          <w:szCs w:val="14"/>
          <w:lang w:val="fr-FR"/>
        </w:rPr>
        <w:t xml:space="preserve"> </w:t>
      </w:r>
    </w:p>
    <w:p w14:paraId="1A887CD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fr-FR"/>
        </w:rPr>
        <w:t xml:space="preserve">CRTC (2011). </w:t>
      </w:r>
      <w:r w:rsidRPr="00853AD5">
        <w:rPr>
          <w:rFonts w:ascii="Arial" w:hAnsi="Arial" w:cs="Arial"/>
          <w:i/>
          <w:sz w:val="14"/>
          <w:szCs w:val="14"/>
          <w:lang w:val="en-US"/>
        </w:rPr>
        <w:t>Market Definition Issues for Audio and Audio-Visual Distribution Products and Services in a Digital Environment</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41" w:anchor="a6" w:history="1">
        <w:r w:rsidRPr="00853AD5">
          <w:rPr>
            <w:rStyle w:val="Hipervnculo"/>
            <w:rFonts w:ascii="Arial" w:hAnsi="Arial" w:cs="Arial"/>
            <w:sz w:val="14"/>
            <w:szCs w:val="14"/>
          </w:rPr>
          <w:t>https://crtc.gc.ca/eng/publications/reports/rp110215.htm?_ga=2.166625598.140085912.1596486262-181080644.1596486262#a6</w:t>
        </w:r>
      </w:hyperlink>
    </w:p>
    <w:p w14:paraId="0129A3D1"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en-US"/>
        </w:rPr>
        <w:t xml:space="preserve">CBC (2017). </w:t>
      </w:r>
      <w:r w:rsidRPr="00853AD5">
        <w:rPr>
          <w:rFonts w:ascii="Arial" w:hAnsi="Arial" w:cs="Arial"/>
          <w:i/>
          <w:sz w:val="14"/>
          <w:szCs w:val="14"/>
          <w:lang w:val="en-US"/>
        </w:rPr>
        <w:t>Competition Bureau statement regarding Bell’s acquisition of MTS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42" w:history="1">
        <w:r w:rsidRPr="00853AD5">
          <w:rPr>
            <w:rStyle w:val="Hipervnculo"/>
            <w:rFonts w:ascii="Arial" w:hAnsi="Arial" w:cs="Arial"/>
            <w:sz w:val="14"/>
            <w:szCs w:val="14"/>
          </w:rPr>
          <w:t>https://www.competitionbureau.gc.ca/eic/site/cb-bc.nsf/eng/04200.html</w:t>
        </w:r>
      </w:hyperlink>
    </w:p>
  </w:footnote>
  <w:footnote w:id="28">
    <w:p w14:paraId="357E3163"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4539801A"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color w:val="000000"/>
          <w:sz w:val="14"/>
          <w:szCs w:val="14"/>
          <w:shd w:val="clear" w:color="auto" w:fill="FFFFFF"/>
        </w:rPr>
        <w:t xml:space="preserve">ACCC (2008). </w:t>
      </w:r>
      <w:proofErr w:type="spellStart"/>
      <w:r w:rsidRPr="00853AD5">
        <w:rPr>
          <w:rFonts w:ascii="Arial" w:hAnsi="Arial" w:cs="Arial"/>
          <w:i/>
          <w:color w:val="000000"/>
          <w:sz w:val="14"/>
          <w:szCs w:val="14"/>
          <w:shd w:val="clear" w:color="auto" w:fill="FFFFFF"/>
        </w:rPr>
        <w:t>Merger</w:t>
      </w:r>
      <w:proofErr w:type="spellEnd"/>
      <w:r w:rsidRPr="00853AD5">
        <w:rPr>
          <w:rFonts w:ascii="Arial" w:hAnsi="Arial" w:cs="Arial"/>
          <w:i/>
          <w:color w:val="000000"/>
          <w:sz w:val="14"/>
          <w:szCs w:val="14"/>
          <w:shd w:val="clear" w:color="auto" w:fill="FFFFFF"/>
        </w:rPr>
        <w:t xml:space="preserve"> </w:t>
      </w:r>
      <w:proofErr w:type="spellStart"/>
      <w:r w:rsidRPr="00853AD5">
        <w:rPr>
          <w:rFonts w:ascii="Arial" w:hAnsi="Arial" w:cs="Arial"/>
          <w:i/>
          <w:color w:val="000000"/>
          <w:sz w:val="14"/>
          <w:szCs w:val="14"/>
          <w:shd w:val="clear" w:color="auto" w:fill="FFFFFF"/>
        </w:rPr>
        <w:t>Guidelines</w:t>
      </w:r>
      <w:proofErr w:type="spellEnd"/>
      <w:r w:rsidRPr="00853AD5">
        <w:rPr>
          <w:rFonts w:ascii="Arial" w:hAnsi="Arial" w:cs="Arial"/>
          <w:i/>
          <w:color w:val="000000"/>
          <w:sz w:val="14"/>
          <w:szCs w:val="14"/>
          <w:shd w:val="clear" w:color="auto" w:fill="FFFFFF"/>
        </w:rPr>
        <w:t xml:space="preserve"> (actualización 2017).</w:t>
      </w:r>
      <w:r w:rsidRPr="00853AD5">
        <w:rPr>
          <w:rFonts w:ascii="Arial" w:hAnsi="Arial" w:cs="Arial"/>
          <w:color w:val="000000"/>
          <w:sz w:val="14"/>
          <w:szCs w:val="14"/>
          <w:shd w:val="clear" w:color="auto" w:fill="FFFFFF"/>
        </w:rPr>
        <w:t xml:space="preserve"> pp. 13-14, 16-17. </w:t>
      </w:r>
    </w:p>
    <w:p w14:paraId="49F44248"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ACCC (2018). </w:t>
      </w:r>
      <w:r w:rsidRPr="00853AD5">
        <w:rPr>
          <w:rFonts w:ascii="Arial" w:hAnsi="Arial" w:cs="Arial"/>
          <w:i/>
          <w:sz w:val="14"/>
          <w:szCs w:val="14"/>
          <w:lang w:val="en-US"/>
        </w:rPr>
        <w:t>Guidelines on misuse of market power</w:t>
      </w:r>
      <w:r w:rsidRPr="00853AD5">
        <w:rPr>
          <w:rFonts w:ascii="Arial" w:hAnsi="Arial" w:cs="Arial"/>
          <w:sz w:val="14"/>
          <w:szCs w:val="14"/>
          <w:lang w:val="en-US"/>
        </w:rPr>
        <w:t xml:space="preserve">. </w:t>
      </w:r>
    </w:p>
    <w:p w14:paraId="3A9FA005"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ACCC (2015). </w:t>
      </w:r>
      <w:r w:rsidRPr="00853AD5">
        <w:rPr>
          <w:rFonts w:ascii="Arial" w:hAnsi="Arial" w:cs="Arial"/>
          <w:i/>
          <w:sz w:val="14"/>
          <w:szCs w:val="14"/>
          <w:lang w:val="en-US"/>
        </w:rPr>
        <w:t>TPG Telecom Limited – proposed acquisition of iiNet Limited.</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43" w:history="1">
        <w:r w:rsidRPr="00853AD5">
          <w:rPr>
            <w:rStyle w:val="Hipervnculo"/>
            <w:rFonts w:ascii="Arial" w:hAnsi="Arial" w:cs="Arial"/>
            <w:sz w:val="14"/>
            <w:szCs w:val="14"/>
          </w:rPr>
          <w:t>https://www.accc.gov.au/system/files/public-registers/documents/MER15%2B13662.pdf</w:t>
        </w:r>
      </w:hyperlink>
    </w:p>
  </w:footnote>
  <w:footnote w:id="29">
    <w:p w14:paraId="18CAADD2"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327B0823"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en-US"/>
        </w:rPr>
        <w:t xml:space="preserve">RTR (2008). </w:t>
      </w:r>
      <w:r w:rsidRPr="00853AD5">
        <w:rPr>
          <w:rFonts w:ascii="Arial" w:hAnsi="Arial" w:cs="Arial"/>
          <w:i/>
          <w:sz w:val="14"/>
          <w:szCs w:val="14"/>
          <w:lang w:val="en-US"/>
        </w:rPr>
        <w:t>TKMV 2008 and explanatory remarks.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44" w:history="1">
        <w:r w:rsidRPr="00853AD5">
          <w:rPr>
            <w:rStyle w:val="Hipervnculo"/>
            <w:rFonts w:ascii="Arial" w:hAnsi="Arial" w:cs="Arial"/>
            <w:sz w:val="14"/>
            <w:szCs w:val="14"/>
          </w:rPr>
          <w:t>https://www.rtr.at/en/tk/TKMV_2008</w:t>
        </w:r>
      </w:hyperlink>
      <w:r w:rsidRPr="00853AD5">
        <w:rPr>
          <w:rStyle w:val="Hipervnculo"/>
          <w:rFonts w:ascii="Arial" w:hAnsi="Arial" w:cs="Arial"/>
          <w:sz w:val="14"/>
          <w:szCs w:val="14"/>
        </w:rPr>
        <w:t>.</w:t>
      </w:r>
    </w:p>
    <w:p w14:paraId="34F3FF0E" w14:textId="77777777" w:rsidR="00FD6552" w:rsidRPr="00853AD5" w:rsidRDefault="00FD6552" w:rsidP="005E23E0">
      <w:pPr>
        <w:pStyle w:val="Textonotapie"/>
        <w:numPr>
          <w:ilvl w:val="0"/>
          <w:numId w:val="28"/>
        </w:numPr>
        <w:jc w:val="both"/>
        <w:rPr>
          <w:rFonts w:ascii="Arial" w:hAnsi="Arial" w:cs="Arial"/>
          <w:sz w:val="14"/>
          <w:szCs w:val="14"/>
        </w:rPr>
      </w:pPr>
      <w:r>
        <w:rPr>
          <w:rFonts w:ascii="Arial" w:hAnsi="Arial" w:cs="Arial"/>
          <w:sz w:val="14"/>
          <w:szCs w:val="14"/>
          <w:lang w:val="en-US"/>
        </w:rPr>
        <w:t>CE</w:t>
      </w:r>
      <w:r w:rsidRPr="00853AD5">
        <w:rPr>
          <w:rFonts w:ascii="Arial" w:hAnsi="Arial" w:cs="Arial"/>
          <w:sz w:val="14"/>
          <w:szCs w:val="14"/>
          <w:lang w:val="en-US"/>
        </w:rPr>
        <w:t xml:space="preserve"> (2009).</w:t>
      </w:r>
      <w:r w:rsidRPr="00AF25B3">
        <w:rPr>
          <w:sz w:val="18"/>
          <w:szCs w:val="18"/>
          <w:lang w:val="en-GB"/>
        </w:rPr>
        <w:t xml:space="preserve"> </w:t>
      </w:r>
      <w:r w:rsidRPr="00786925">
        <w:rPr>
          <w:rFonts w:ascii="Arial" w:hAnsi="Arial" w:cs="Arial"/>
          <w:sz w:val="14"/>
          <w:szCs w:val="14"/>
          <w:lang w:val="en-GB"/>
        </w:rPr>
        <w:t xml:space="preserve">Telecoms: Commission endorses amended version of Austrian broadband access market definition. </w:t>
      </w:r>
      <w:r w:rsidRPr="00786925">
        <w:rPr>
          <w:rFonts w:ascii="Arial" w:hAnsi="Arial" w:cs="Arial"/>
          <w:sz w:val="14"/>
          <w:szCs w:val="14"/>
        </w:rPr>
        <w:t xml:space="preserve">Disponible en: </w:t>
      </w:r>
      <w:hyperlink r:id="rId45" w:history="1">
        <w:r w:rsidRPr="00786925">
          <w:rPr>
            <w:rStyle w:val="Hipervnculo"/>
            <w:rFonts w:ascii="Arial" w:hAnsi="Arial" w:cs="Arial"/>
            <w:sz w:val="14"/>
            <w:szCs w:val="14"/>
          </w:rPr>
          <w:t>https://ec.europa.eu/commission/presscorner/detail/en/IP_09_1888</w:t>
        </w:r>
      </w:hyperlink>
      <w:r w:rsidRPr="00AF25B3">
        <w:rPr>
          <w:sz w:val="18"/>
          <w:szCs w:val="18"/>
        </w:rPr>
        <w:t xml:space="preserve"> </w:t>
      </w:r>
    </w:p>
  </w:footnote>
  <w:footnote w:id="30">
    <w:p w14:paraId="0F8C9BD9"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Autoridad de Competencia (2013). </w:t>
      </w:r>
      <w:proofErr w:type="spellStart"/>
      <w:r w:rsidRPr="00853AD5">
        <w:rPr>
          <w:rFonts w:ascii="Arial" w:hAnsi="Arial" w:cs="Arial"/>
          <w:i/>
          <w:sz w:val="14"/>
          <w:szCs w:val="14"/>
        </w:rPr>
        <w:t>Ccent</w:t>
      </w:r>
      <w:proofErr w:type="spellEnd"/>
      <w:r w:rsidRPr="00853AD5">
        <w:rPr>
          <w:rFonts w:ascii="Arial" w:hAnsi="Arial" w:cs="Arial"/>
          <w:i/>
          <w:sz w:val="14"/>
          <w:szCs w:val="14"/>
        </w:rPr>
        <w:t xml:space="preserve">. 5/2013 </w:t>
      </w:r>
      <w:proofErr w:type="spellStart"/>
      <w:r w:rsidRPr="00853AD5">
        <w:rPr>
          <w:rFonts w:ascii="Arial" w:hAnsi="Arial" w:cs="Arial"/>
          <w:i/>
          <w:sz w:val="14"/>
          <w:szCs w:val="14"/>
        </w:rPr>
        <w:t>Kento</w:t>
      </w:r>
      <w:proofErr w:type="spellEnd"/>
      <w:r w:rsidRPr="00853AD5">
        <w:rPr>
          <w:rFonts w:ascii="Arial" w:hAnsi="Arial" w:cs="Arial"/>
          <w:i/>
          <w:sz w:val="14"/>
          <w:szCs w:val="14"/>
        </w:rPr>
        <w:t>*Unitel*</w:t>
      </w:r>
      <w:proofErr w:type="spellStart"/>
      <w:r w:rsidRPr="00853AD5">
        <w:rPr>
          <w:rFonts w:ascii="Arial" w:hAnsi="Arial" w:cs="Arial"/>
          <w:i/>
          <w:sz w:val="14"/>
          <w:szCs w:val="14"/>
        </w:rPr>
        <w:t>Sonaecom</w:t>
      </w:r>
      <w:proofErr w:type="spellEnd"/>
      <w:r w:rsidRPr="00853AD5">
        <w:rPr>
          <w:rFonts w:ascii="Arial" w:hAnsi="Arial" w:cs="Arial"/>
          <w:i/>
          <w:sz w:val="14"/>
          <w:szCs w:val="14"/>
        </w:rPr>
        <w:t xml:space="preserve">/ZON*Optimus. </w:t>
      </w:r>
      <w:r w:rsidRPr="00853AD5">
        <w:rPr>
          <w:rFonts w:ascii="Arial" w:hAnsi="Arial" w:cs="Arial"/>
          <w:sz w:val="14"/>
          <w:szCs w:val="14"/>
        </w:rPr>
        <w:t xml:space="preserve">Disponible en: </w:t>
      </w:r>
      <w:hyperlink r:id="rId46" w:history="1">
        <w:r w:rsidRPr="00853AD5">
          <w:rPr>
            <w:rStyle w:val="Hipervnculo"/>
            <w:rFonts w:ascii="Arial" w:hAnsi="Arial" w:cs="Arial"/>
            <w:sz w:val="14"/>
            <w:szCs w:val="14"/>
          </w:rPr>
          <w:t>http://www.concorrencia.pt/FILES_TMP/2013_05_final_net.pdf</w:t>
        </w:r>
      </w:hyperlink>
      <w:r w:rsidRPr="00853AD5">
        <w:rPr>
          <w:rStyle w:val="Hipervnculo"/>
          <w:rFonts w:ascii="Arial" w:hAnsi="Arial" w:cs="Arial"/>
          <w:sz w:val="14"/>
          <w:szCs w:val="14"/>
        </w:rPr>
        <w:t>.</w:t>
      </w:r>
    </w:p>
  </w:footnote>
  <w:footnote w:id="31">
    <w:p w14:paraId="20438C8E"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fr-FR"/>
        </w:rPr>
        <w:t xml:space="preserve"> OCDE (2012). </w:t>
      </w:r>
      <w:proofErr w:type="spellStart"/>
      <w:r w:rsidRPr="00853AD5">
        <w:rPr>
          <w:rFonts w:ascii="Arial" w:hAnsi="Arial" w:cs="Arial"/>
          <w:i/>
          <w:sz w:val="14"/>
          <w:szCs w:val="14"/>
          <w:lang w:val="fr-FR"/>
        </w:rPr>
        <w:t>Market</w:t>
      </w:r>
      <w:proofErr w:type="spellEnd"/>
      <w:r w:rsidRPr="00853AD5">
        <w:rPr>
          <w:rFonts w:ascii="Arial" w:hAnsi="Arial" w:cs="Arial"/>
          <w:i/>
          <w:sz w:val="14"/>
          <w:szCs w:val="14"/>
          <w:lang w:val="fr-FR"/>
        </w:rPr>
        <w:t xml:space="preserve"> </w:t>
      </w:r>
      <w:proofErr w:type="spellStart"/>
      <w:r w:rsidRPr="00853AD5">
        <w:rPr>
          <w:rFonts w:ascii="Arial" w:hAnsi="Arial" w:cs="Arial"/>
          <w:i/>
          <w:sz w:val="14"/>
          <w:szCs w:val="14"/>
          <w:lang w:val="fr-FR"/>
        </w:rPr>
        <w:t>Definition</w:t>
      </w:r>
      <w:proofErr w:type="spellEnd"/>
      <w:r w:rsidRPr="00853AD5">
        <w:rPr>
          <w:rFonts w:ascii="Arial" w:hAnsi="Arial" w:cs="Arial"/>
          <w:sz w:val="14"/>
          <w:szCs w:val="14"/>
          <w:lang w:val="fr-FR"/>
        </w:rPr>
        <w:t>. pp. 30-36.</w:t>
      </w:r>
      <w:r w:rsidRPr="00853AD5">
        <w:rPr>
          <w:rFonts w:ascii="Arial" w:hAnsi="Arial" w:cs="Arial"/>
          <w:i/>
          <w:sz w:val="14"/>
          <w:szCs w:val="14"/>
          <w:lang w:val="fr-FR"/>
        </w:rPr>
        <w:t xml:space="preserve"> </w:t>
      </w:r>
    </w:p>
  </w:footnote>
  <w:footnote w:id="32">
    <w:p w14:paraId="5A73EA51"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Si un usuario puede utilizar únicamente una plataforma para un servicio específico, por lo general se considera como </w:t>
      </w:r>
      <w:r w:rsidRPr="00853AD5">
        <w:rPr>
          <w:rFonts w:ascii="Arial" w:hAnsi="Arial" w:cs="Arial"/>
          <w:i/>
          <w:sz w:val="14"/>
          <w:szCs w:val="14"/>
        </w:rPr>
        <w:t>single-</w:t>
      </w:r>
      <w:proofErr w:type="spellStart"/>
      <w:r w:rsidRPr="00853AD5">
        <w:rPr>
          <w:rFonts w:ascii="Arial" w:hAnsi="Arial" w:cs="Arial"/>
          <w:i/>
          <w:sz w:val="14"/>
          <w:szCs w:val="14"/>
        </w:rPr>
        <w:t>homing</w:t>
      </w:r>
      <w:proofErr w:type="spellEnd"/>
      <w:r w:rsidRPr="00853AD5">
        <w:rPr>
          <w:rFonts w:ascii="Arial" w:hAnsi="Arial" w:cs="Arial"/>
          <w:sz w:val="14"/>
          <w:szCs w:val="14"/>
        </w:rPr>
        <w:t xml:space="preserve">. Cuando se pueden utilizar múltiples plataformas, se dice que es </w:t>
      </w:r>
      <w:proofErr w:type="spellStart"/>
      <w:r w:rsidRPr="00853AD5">
        <w:rPr>
          <w:rFonts w:ascii="Arial" w:hAnsi="Arial" w:cs="Arial"/>
          <w:i/>
          <w:sz w:val="14"/>
          <w:szCs w:val="14"/>
        </w:rPr>
        <w:t>multi-homing</w:t>
      </w:r>
      <w:proofErr w:type="spellEnd"/>
      <w:r w:rsidRPr="00853AD5">
        <w:rPr>
          <w:rFonts w:ascii="Arial" w:hAnsi="Arial" w:cs="Arial"/>
          <w:sz w:val="14"/>
          <w:szCs w:val="14"/>
        </w:rPr>
        <w:t xml:space="preserve">. </w:t>
      </w:r>
      <w:r w:rsidRPr="00853AD5">
        <w:rPr>
          <w:rFonts w:ascii="Arial" w:hAnsi="Arial" w:cs="Arial"/>
          <w:sz w:val="14"/>
          <w:szCs w:val="14"/>
          <w:lang w:val="en-US"/>
        </w:rPr>
        <w:t xml:space="preserve">OCDE (2018). </w:t>
      </w:r>
      <w:r w:rsidRPr="00853AD5">
        <w:rPr>
          <w:rFonts w:ascii="Arial" w:hAnsi="Arial" w:cs="Arial"/>
          <w:i/>
          <w:sz w:val="14"/>
          <w:szCs w:val="14"/>
          <w:lang w:val="en-US"/>
        </w:rPr>
        <w:t>Rethinking Antitrust Tools for Multi-Sided Platforms.</w:t>
      </w:r>
      <w:r w:rsidRPr="00853AD5">
        <w:rPr>
          <w:rFonts w:ascii="Arial" w:hAnsi="Arial" w:cs="Arial"/>
          <w:sz w:val="14"/>
          <w:szCs w:val="14"/>
          <w:lang w:val="en-US"/>
        </w:rPr>
        <w:t xml:space="preserve"> p. 19, y OCDE (2018). </w:t>
      </w:r>
      <w:r w:rsidRPr="00853AD5">
        <w:rPr>
          <w:rFonts w:ascii="Arial" w:hAnsi="Arial" w:cs="Arial"/>
          <w:i/>
          <w:sz w:val="14"/>
          <w:szCs w:val="14"/>
        </w:rPr>
        <w:t>Plataformas digitales y competencia en México</w:t>
      </w:r>
      <w:r w:rsidRPr="00853AD5">
        <w:rPr>
          <w:rFonts w:ascii="Arial" w:hAnsi="Arial" w:cs="Arial"/>
          <w:sz w:val="14"/>
          <w:szCs w:val="14"/>
        </w:rPr>
        <w:t xml:space="preserve">, pp. 9 y 10. Disponible en: </w:t>
      </w:r>
      <w:hyperlink r:id="rId47" w:history="1">
        <w:r w:rsidRPr="00853AD5">
          <w:rPr>
            <w:rStyle w:val="Hipervnculo"/>
            <w:rFonts w:ascii="Arial" w:hAnsi="Arial" w:cs="Arial"/>
            <w:sz w:val="14"/>
            <w:szCs w:val="14"/>
          </w:rPr>
          <w:t>https://www.oecd.org/daf/competition/esp-plataformas-digitales-y-competencia-en-mexico.pdf</w:t>
        </w:r>
      </w:hyperlink>
      <w:r w:rsidRPr="00853AD5">
        <w:rPr>
          <w:rFonts w:ascii="Arial" w:hAnsi="Arial" w:cs="Arial"/>
          <w:sz w:val="14"/>
          <w:szCs w:val="14"/>
        </w:rPr>
        <w:t xml:space="preserve"> </w:t>
      </w:r>
    </w:p>
  </w:footnote>
  <w:footnote w:id="33">
    <w:p w14:paraId="2BF11140"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 xml:space="preserve"> p. 20.</w:t>
      </w:r>
    </w:p>
  </w:footnote>
  <w:footnote w:id="34">
    <w:p w14:paraId="5A2F8656"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Instituto (2016). Acuerdo P/IFT/290216/71, p. 206. Disponible en: </w:t>
      </w:r>
      <w:hyperlink r:id="rId48" w:history="1">
        <w:r w:rsidRPr="00853AD5">
          <w:rPr>
            <w:rStyle w:val="Hipervnculo"/>
            <w:rFonts w:ascii="Arial" w:hAnsi="Arial" w:cs="Arial"/>
            <w:sz w:val="14"/>
            <w:szCs w:val="14"/>
          </w:rPr>
          <w:t>http://apps.ift.org.mx/publicdata/Version_Publica_UCE_P_IFT_290216_71_c_AnexoyDR.pdf</w:t>
        </w:r>
      </w:hyperlink>
      <w:r w:rsidRPr="00853AD5">
        <w:rPr>
          <w:rFonts w:ascii="Arial" w:hAnsi="Arial" w:cs="Arial"/>
          <w:sz w:val="14"/>
          <w:szCs w:val="14"/>
        </w:rPr>
        <w:t xml:space="preserve"> </w:t>
      </w:r>
    </w:p>
  </w:footnote>
  <w:footnote w:id="35">
    <w:p w14:paraId="6C417305"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En la práctica internacional, usualmente se considera un aumento de entre 5% y 10% en el precio en un periodo de por lo menos 1 año. OCDE (2012). </w:t>
      </w:r>
      <w:proofErr w:type="spellStart"/>
      <w:r w:rsidRPr="00853AD5">
        <w:rPr>
          <w:rFonts w:ascii="Arial" w:hAnsi="Arial" w:cs="Arial"/>
          <w:i/>
          <w:sz w:val="14"/>
          <w:szCs w:val="14"/>
        </w:rPr>
        <w:t>Market</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Definition</w:t>
      </w:r>
      <w:proofErr w:type="spellEnd"/>
      <w:r w:rsidRPr="00853AD5">
        <w:rPr>
          <w:rFonts w:ascii="Arial" w:hAnsi="Arial" w:cs="Arial"/>
          <w:sz w:val="14"/>
          <w:szCs w:val="14"/>
        </w:rPr>
        <w:t xml:space="preserve">. p. 30; CE (1997). </w:t>
      </w:r>
      <w:r w:rsidRPr="00853AD5">
        <w:rPr>
          <w:rFonts w:ascii="Arial" w:hAnsi="Arial" w:cs="Arial"/>
          <w:i/>
          <w:sz w:val="14"/>
          <w:szCs w:val="14"/>
        </w:rPr>
        <w:t>COMUNICACIÓN DE LA COMISIÓN relativa a la definición de mercado de referencia a efectos de la normativa comunitaria en materia de competencia;</w:t>
      </w:r>
      <w:r w:rsidRPr="00853AD5">
        <w:rPr>
          <w:rFonts w:ascii="Arial" w:hAnsi="Arial" w:cs="Arial"/>
          <w:sz w:val="14"/>
          <w:szCs w:val="14"/>
        </w:rPr>
        <w:t xml:space="preserve"> CBC (2011).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Enforcement</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xml:space="preserve">. p. 11, y CE (2018). </w:t>
      </w:r>
      <w:r w:rsidRPr="00853AD5">
        <w:rPr>
          <w:rFonts w:ascii="Arial" w:hAnsi="Arial" w:cs="Arial"/>
          <w:i/>
          <w:sz w:val="14"/>
          <w:szCs w:val="14"/>
        </w:rPr>
        <w:t xml:space="preserve">Directrices sobre análisis del mercado y evaluación del peso significativo en el mercado dentro del marco regulador de las redes y los servicios de comunicaciones electrónicas de la UE, </w:t>
      </w:r>
      <w:r w:rsidRPr="00853AD5">
        <w:rPr>
          <w:rFonts w:ascii="Arial" w:hAnsi="Arial" w:cs="Arial"/>
          <w:sz w:val="14"/>
          <w:szCs w:val="14"/>
        </w:rPr>
        <w:t xml:space="preserve">párrafo 29. No obstante, la CBC también ha señalado que pueden utilizarse parámetros distintos para la duración o porcentaje, si el caso lo amerita. CBC (2011).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Enforcement</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p. 11.</w:t>
      </w:r>
    </w:p>
  </w:footnote>
  <w:footnote w:id="36">
    <w:p w14:paraId="777E8F4B" w14:textId="57F260C2" w:rsidR="00FD6552" w:rsidRPr="005A6FFB" w:rsidRDefault="00FD6552" w:rsidP="006E080A">
      <w:pPr>
        <w:pStyle w:val="Textonotapie"/>
        <w:jc w:val="both"/>
        <w:rPr>
          <w:rFonts w:ascii="Arial" w:hAnsi="Arial" w:cs="Arial"/>
          <w:sz w:val="16"/>
          <w:szCs w:val="16"/>
        </w:rPr>
      </w:pPr>
      <w:r w:rsidRPr="006E080A">
        <w:rPr>
          <w:rStyle w:val="Refdenotaalpie"/>
          <w:rFonts w:ascii="Arial" w:hAnsi="Arial" w:cs="Arial"/>
          <w:sz w:val="14"/>
          <w:szCs w:val="16"/>
        </w:rPr>
        <w:footnoteRef/>
      </w:r>
      <w:r w:rsidRPr="006E080A">
        <w:rPr>
          <w:rFonts w:ascii="Arial" w:hAnsi="Arial" w:cs="Arial"/>
          <w:sz w:val="14"/>
          <w:szCs w:val="16"/>
        </w:rPr>
        <w:t xml:space="preserve"> Esta situación se denomina “Falacia del Celofán”, en la </w:t>
      </w:r>
      <w:r>
        <w:rPr>
          <w:rFonts w:ascii="Arial" w:hAnsi="Arial" w:cs="Arial"/>
          <w:sz w:val="14"/>
          <w:szCs w:val="16"/>
        </w:rPr>
        <w:t>cual,</w:t>
      </w:r>
      <w:r w:rsidRPr="006E080A">
        <w:rPr>
          <w:rFonts w:ascii="Arial" w:hAnsi="Arial" w:cs="Arial"/>
          <w:sz w:val="14"/>
          <w:szCs w:val="16"/>
        </w:rPr>
        <w:t xml:space="preserve"> los precios de referencia sobre los que se aplica la Prueba SSNIP se ubican por encima del nivel de precios de un mercado en competencia, lo que implica que al aplicar la prueba se podrían encontrar indicios de sustitución hacia productos que los consumidores no consideran sustitutos cercanos en un entorno más competitivo y, por lo tanto, se podrían definir mercados demasiado amplios. S</w:t>
      </w:r>
      <w:r>
        <w:rPr>
          <w:rFonts w:ascii="Arial" w:hAnsi="Arial" w:cs="Arial"/>
          <w:sz w:val="14"/>
          <w:szCs w:val="16"/>
        </w:rPr>
        <w:t>e le denomina</w:t>
      </w:r>
      <w:r w:rsidRPr="006E080A">
        <w:rPr>
          <w:rFonts w:ascii="Arial" w:hAnsi="Arial" w:cs="Arial"/>
          <w:sz w:val="14"/>
          <w:szCs w:val="16"/>
        </w:rPr>
        <w:t xml:space="preserve"> así a partir del caso de la Suprema Corte de los Estados Unidos de América contra Du Pont de Nemours &amp; Co en 1956. </w:t>
      </w:r>
      <w:proofErr w:type="spellStart"/>
      <w:r w:rsidRPr="006E080A">
        <w:rPr>
          <w:rFonts w:ascii="Arial" w:hAnsi="Arial" w:cs="Arial"/>
          <w:sz w:val="14"/>
          <w:szCs w:val="16"/>
          <w:lang w:val="en-GB"/>
        </w:rPr>
        <w:t>Véase</w:t>
      </w:r>
      <w:proofErr w:type="spellEnd"/>
      <w:r w:rsidRPr="006E080A">
        <w:rPr>
          <w:rFonts w:ascii="Arial" w:hAnsi="Arial" w:cs="Arial"/>
          <w:sz w:val="14"/>
          <w:szCs w:val="16"/>
          <w:lang w:val="en-GB"/>
        </w:rPr>
        <w:t xml:space="preserve">: OCDE (2012). Market Definition. pp. 40, 329 y OCDE (1996). </w:t>
      </w:r>
      <w:r w:rsidRPr="006E080A">
        <w:rPr>
          <w:rFonts w:ascii="Arial" w:hAnsi="Arial" w:cs="Arial"/>
          <w:sz w:val="14"/>
          <w:szCs w:val="16"/>
          <w:lang w:val="en-US"/>
        </w:rPr>
        <w:t xml:space="preserve">Abuse of Dominance and </w:t>
      </w:r>
      <w:proofErr w:type="spellStart"/>
      <w:r w:rsidRPr="006E080A">
        <w:rPr>
          <w:rFonts w:ascii="Arial" w:hAnsi="Arial" w:cs="Arial"/>
          <w:sz w:val="14"/>
          <w:szCs w:val="16"/>
          <w:lang w:val="en-US"/>
        </w:rPr>
        <w:t>Monopolisation</w:t>
      </w:r>
      <w:proofErr w:type="spellEnd"/>
      <w:r w:rsidRPr="006E080A">
        <w:rPr>
          <w:rFonts w:ascii="Arial" w:hAnsi="Arial" w:cs="Arial"/>
          <w:sz w:val="14"/>
          <w:szCs w:val="16"/>
          <w:lang w:val="en-US"/>
        </w:rPr>
        <w:t xml:space="preserve">. </w:t>
      </w:r>
      <w:r w:rsidRPr="005A6FFB">
        <w:rPr>
          <w:rFonts w:ascii="Arial" w:hAnsi="Arial" w:cs="Arial"/>
          <w:sz w:val="14"/>
          <w:szCs w:val="16"/>
        </w:rPr>
        <w:t>Disponible en: https://www.oecd.org/competition/abuse/2379408.pdf</w:t>
      </w:r>
    </w:p>
  </w:footnote>
  <w:footnote w:id="37">
    <w:p w14:paraId="25E68898" w14:textId="77777777" w:rsidR="00FD6552" w:rsidRPr="00853AD5" w:rsidRDefault="00FD6552" w:rsidP="003545C8">
      <w:pPr>
        <w:pStyle w:val="Textonotapie"/>
        <w:rPr>
          <w:rFonts w:ascii="Arial" w:hAnsi="Arial" w:cs="Arial"/>
          <w:sz w:val="14"/>
          <w:szCs w:val="14"/>
        </w:rPr>
      </w:pPr>
      <w:r w:rsidRPr="00853AD5">
        <w:rPr>
          <w:rFonts w:ascii="Arial" w:hAnsi="Arial" w:cs="Arial"/>
          <w:sz w:val="14"/>
          <w:szCs w:val="14"/>
          <w:vertAlign w:val="superscript"/>
        </w:rPr>
        <w:footnoteRef/>
      </w:r>
      <w:r w:rsidRPr="00853AD5">
        <w:rPr>
          <w:rFonts w:ascii="Arial" w:hAnsi="Arial" w:cs="Arial"/>
          <w:sz w:val="14"/>
          <w:szCs w:val="14"/>
        </w:rPr>
        <w:t xml:space="preserve"> El consumidor marginal es aquél que es simplemente indiferente entre comprar el producto y prescindir de él, dado el precio de mercado. </w:t>
      </w:r>
      <w:proofErr w:type="spellStart"/>
      <w:r w:rsidRPr="00853AD5">
        <w:rPr>
          <w:rFonts w:ascii="Arial" w:hAnsi="Arial" w:cs="Arial"/>
          <w:sz w:val="14"/>
          <w:szCs w:val="14"/>
          <w:lang w:val="en-US"/>
        </w:rPr>
        <w:t>En</w:t>
      </w:r>
      <w:proofErr w:type="spellEnd"/>
      <w:r w:rsidRPr="00853AD5">
        <w:rPr>
          <w:rFonts w:ascii="Arial" w:hAnsi="Arial" w:cs="Arial"/>
          <w:sz w:val="14"/>
          <w:szCs w:val="14"/>
          <w:lang w:val="en-US"/>
        </w:rPr>
        <w:t xml:space="preserve">: Keith N. </w:t>
      </w:r>
      <w:proofErr w:type="spellStart"/>
      <w:r w:rsidRPr="00853AD5">
        <w:rPr>
          <w:rFonts w:ascii="Arial" w:hAnsi="Arial" w:cs="Arial"/>
          <w:sz w:val="14"/>
          <w:szCs w:val="14"/>
          <w:lang w:val="en-US"/>
        </w:rPr>
        <w:t>Hylton</w:t>
      </w:r>
      <w:proofErr w:type="spellEnd"/>
      <w:r w:rsidRPr="00853AD5">
        <w:rPr>
          <w:rFonts w:ascii="Arial" w:hAnsi="Arial" w:cs="Arial"/>
          <w:sz w:val="14"/>
          <w:szCs w:val="14"/>
          <w:lang w:val="en-US"/>
        </w:rPr>
        <w:t xml:space="preserve"> (2003). </w:t>
      </w:r>
      <w:r w:rsidRPr="00853AD5">
        <w:rPr>
          <w:rFonts w:ascii="Arial" w:hAnsi="Arial" w:cs="Arial"/>
          <w:i/>
          <w:sz w:val="14"/>
          <w:szCs w:val="14"/>
          <w:lang w:val="en-US"/>
        </w:rPr>
        <w:t>Antitrust Law: Economic Theory and Common Law Evolution</w:t>
      </w:r>
      <w:r w:rsidRPr="00853AD5">
        <w:rPr>
          <w:rFonts w:ascii="Arial" w:hAnsi="Arial" w:cs="Arial"/>
          <w:sz w:val="14"/>
          <w:szCs w:val="14"/>
          <w:lang w:val="en-US"/>
        </w:rPr>
        <w:t xml:space="preserve">. </w:t>
      </w:r>
      <w:r w:rsidRPr="00853AD5">
        <w:rPr>
          <w:rFonts w:ascii="Arial" w:hAnsi="Arial" w:cs="Arial"/>
          <w:sz w:val="14"/>
          <w:szCs w:val="14"/>
        </w:rPr>
        <w:t xml:space="preserve">Cambridge </w:t>
      </w:r>
      <w:proofErr w:type="spellStart"/>
      <w:r w:rsidRPr="00853AD5">
        <w:rPr>
          <w:rFonts w:ascii="Arial" w:hAnsi="Arial" w:cs="Arial"/>
          <w:sz w:val="14"/>
          <w:szCs w:val="14"/>
        </w:rPr>
        <w:t>University</w:t>
      </w:r>
      <w:proofErr w:type="spellEnd"/>
      <w:r w:rsidRPr="00853AD5">
        <w:rPr>
          <w:rFonts w:ascii="Arial" w:hAnsi="Arial" w:cs="Arial"/>
          <w:sz w:val="14"/>
          <w:szCs w:val="14"/>
        </w:rPr>
        <w:t xml:space="preserve"> </w:t>
      </w:r>
      <w:proofErr w:type="spellStart"/>
      <w:r w:rsidRPr="00853AD5">
        <w:rPr>
          <w:rFonts w:ascii="Arial" w:hAnsi="Arial" w:cs="Arial"/>
          <w:sz w:val="14"/>
          <w:szCs w:val="14"/>
        </w:rPr>
        <w:t>Press</w:t>
      </w:r>
      <w:proofErr w:type="spellEnd"/>
      <w:r w:rsidRPr="00853AD5">
        <w:rPr>
          <w:rFonts w:ascii="Arial" w:hAnsi="Arial" w:cs="Arial"/>
          <w:sz w:val="14"/>
          <w:szCs w:val="14"/>
        </w:rPr>
        <w:t>.</w:t>
      </w:r>
    </w:p>
  </w:footnote>
  <w:footnote w:id="38">
    <w:p w14:paraId="1812F9C6" w14:textId="77777777" w:rsidR="00FD6552" w:rsidRPr="00853AD5" w:rsidRDefault="00FD6552" w:rsidP="00350282">
      <w:pPr>
        <w:pStyle w:val="Textonotapie"/>
        <w:jc w:val="both"/>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Instituto (2020). </w:t>
      </w:r>
      <w:r w:rsidRPr="00853A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53AD5">
        <w:rPr>
          <w:rFonts w:ascii="Arial" w:hAnsi="Arial" w:cs="Arial"/>
          <w:sz w:val="14"/>
          <w:szCs w:val="14"/>
        </w:rPr>
        <w:t xml:space="preserve">. Acuerdo P/IFT/181120/436. </w:t>
      </w:r>
    </w:p>
  </w:footnote>
  <w:footnote w:id="39">
    <w:p w14:paraId="2B04F081" w14:textId="77777777" w:rsidR="00FD6552" w:rsidRPr="00853AD5" w:rsidRDefault="00FD6552" w:rsidP="00350282">
      <w:pPr>
        <w:pStyle w:val="Textonotapie"/>
        <w:jc w:val="both"/>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rPr>
        <w:t xml:space="preserve"> En cuanto a las pruebas de correlación de precios, Motta (2004), señala que “</w:t>
      </w:r>
      <w:r w:rsidRPr="00853AD5">
        <w:rPr>
          <w:rFonts w:ascii="Arial" w:hAnsi="Arial" w:cs="Arial"/>
          <w:i/>
          <w:sz w:val="14"/>
          <w:szCs w:val="14"/>
        </w:rPr>
        <w:t>hay que tener cuidado al sacar conclusiones cuando dos productos muestran una correlación muy alta de precios, y analizar otras pruebas antes de llegar a la conclusión de que están en el mismo mercado</w:t>
      </w:r>
      <w:r w:rsidRPr="00853AD5">
        <w:rPr>
          <w:rFonts w:ascii="Arial" w:hAnsi="Arial" w:cs="Arial"/>
          <w:sz w:val="14"/>
          <w:szCs w:val="14"/>
        </w:rPr>
        <w:t>”.  En ese sentido, advierte que estas pruebas proporcionan “</w:t>
      </w:r>
      <w:r w:rsidRPr="00853AD5">
        <w:rPr>
          <w:rFonts w:ascii="Arial" w:hAnsi="Arial" w:cs="Arial"/>
          <w:i/>
          <w:sz w:val="14"/>
          <w:szCs w:val="14"/>
        </w:rPr>
        <w:t>un mecanismo de filtro (screening) muy útil para señalar productos que no forman parte de mismo mercado, en lugar de productos que se encuentran en el mismo mercado. Por ejemplo, un coeficiente de correlación entre las series de precios de los productos A y B que se estima que está por debajo de un determinado umbral (que puede ser, por ejemplo, 0.8) nos dará una firme suposición de que estos dos productos no están en el mismo mercado</w:t>
      </w:r>
      <w:r w:rsidRPr="00853AD5">
        <w:rPr>
          <w:rFonts w:ascii="Arial" w:hAnsi="Arial" w:cs="Arial"/>
          <w:sz w:val="14"/>
          <w:szCs w:val="14"/>
        </w:rPr>
        <w:t xml:space="preserve">”. Motta (2018). Política de competencia, teoría y práctica, pp. 145 y 146; edición en español de Motta (2004). </w:t>
      </w:r>
      <w:r w:rsidRPr="00853AD5">
        <w:rPr>
          <w:rFonts w:ascii="Arial" w:hAnsi="Arial" w:cs="Arial"/>
          <w:i/>
          <w:sz w:val="14"/>
          <w:szCs w:val="14"/>
          <w:lang w:val="en-US"/>
        </w:rPr>
        <w:t>Competition Policy: Theory and Practice</w:t>
      </w:r>
      <w:r w:rsidRPr="00853AD5">
        <w:rPr>
          <w:rFonts w:ascii="Arial" w:hAnsi="Arial" w:cs="Arial"/>
          <w:sz w:val="14"/>
          <w:szCs w:val="14"/>
          <w:lang w:val="en-US"/>
        </w:rPr>
        <w:t>.</w:t>
      </w:r>
    </w:p>
  </w:footnote>
  <w:footnote w:id="40">
    <w:p w14:paraId="778B5AF4"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 xml:space="preserve"> p. 20.</w:t>
      </w:r>
    </w:p>
  </w:footnote>
  <w:footnote w:id="41">
    <w:p w14:paraId="382D378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OCDE (2011). Herramientas para la evaluación de la competencia. Volumen II: Guía., p. 41. Disponible en: </w:t>
      </w:r>
      <w:hyperlink r:id="rId49" w:history="1">
        <w:r w:rsidRPr="00853AD5">
          <w:rPr>
            <w:rStyle w:val="Hipervnculo"/>
            <w:rFonts w:ascii="Arial" w:hAnsi="Arial" w:cs="Arial"/>
            <w:sz w:val="14"/>
            <w:szCs w:val="14"/>
          </w:rPr>
          <w:t>https://www.oecd.org/daf/competition/98765433.pdf</w:t>
        </w:r>
      </w:hyperlink>
      <w:r w:rsidRPr="00853AD5">
        <w:rPr>
          <w:rFonts w:ascii="Arial" w:hAnsi="Arial" w:cs="Arial"/>
          <w:sz w:val="14"/>
          <w:szCs w:val="14"/>
        </w:rPr>
        <w:t>.</w:t>
      </w:r>
    </w:p>
  </w:footnote>
  <w:footnote w:id="42">
    <w:p w14:paraId="39B81DAB"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67570AFA"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(2014). Acuerdo P/IFT/EXT/181214/282.</w:t>
      </w:r>
    </w:p>
    <w:p w14:paraId="114CFB3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 Acuerdo P/IFT/230117/8</w:t>
      </w:r>
      <w:r w:rsidRPr="00853AD5">
        <w:rPr>
          <w:rFonts w:ascii="Arial" w:hAnsi="Arial" w:cs="Arial"/>
          <w:i/>
          <w:sz w:val="14"/>
          <w:szCs w:val="14"/>
        </w:rPr>
        <w:t>.</w:t>
      </w:r>
      <w:r w:rsidRPr="00853AD5">
        <w:rPr>
          <w:rFonts w:ascii="Arial" w:hAnsi="Arial" w:cs="Arial"/>
          <w:sz w:val="14"/>
          <w:szCs w:val="14"/>
        </w:rPr>
        <w:t xml:space="preserve"> </w:t>
      </w:r>
    </w:p>
    <w:p w14:paraId="514DC05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(2020). </w:t>
      </w:r>
      <w:r w:rsidRPr="00853A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53AD5">
        <w:rPr>
          <w:rFonts w:ascii="Arial" w:hAnsi="Arial" w:cs="Arial"/>
          <w:sz w:val="14"/>
          <w:szCs w:val="14"/>
        </w:rPr>
        <w:t xml:space="preserve">. Acuerdo P/IFT/181120/436.  </w:t>
      </w:r>
    </w:p>
    <w:p w14:paraId="2ED8001A"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(2014). Acuerdo P/IFT/160414/92. Disponible en: </w:t>
      </w:r>
      <w:hyperlink r:id="rId50" w:history="1">
        <w:r w:rsidRPr="00853AD5">
          <w:rPr>
            <w:rStyle w:val="Hipervnculo"/>
            <w:rFonts w:ascii="Arial" w:hAnsi="Arial" w:cs="Arial"/>
            <w:sz w:val="14"/>
            <w:szCs w:val="14"/>
          </w:rPr>
          <w:t>http://apps.ift.org.mx/publicdata/VP_P_IFT_160414_92.pdf</w:t>
        </w:r>
      </w:hyperlink>
    </w:p>
    <w:p w14:paraId="2F88B805"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(2017). Acuerdo P/IFT/181017/651. Disponible en: </w:t>
      </w:r>
      <w:hyperlink r:id="rId51" w:history="1">
        <w:r w:rsidRPr="00853AD5">
          <w:rPr>
            <w:rStyle w:val="Hipervnculo"/>
            <w:rFonts w:ascii="Arial" w:hAnsi="Arial" w:cs="Arial"/>
            <w:sz w:val="14"/>
            <w:szCs w:val="14"/>
          </w:rPr>
          <w:t>http://apps.ift.org.mx/publicdata/VP_P_IFT_181017_651.pdf</w:t>
        </w:r>
      </w:hyperlink>
    </w:p>
    <w:p w14:paraId="2B0851BD"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(2019). Acuerdo P/IFT/131119/737. Disponible en: </w:t>
      </w:r>
      <w:hyperlink r:id="rId52" w:history="1">
        <w:r w:rsidRPr="00853AD5">
          <w:rPr>
            <w:rStyle w:val="Hipervnculo"/>
            <w:rFonts w:ascii="Arial" w:hAnsi="Arial" w:cs="Arial"/>
            <w:sz w:val="14"/>
            <w:szCs w:val="14"/>
          </w:rPr>
          <w:t>http://apps.ift.org.mx/publicdata/VP_P_IFT_131119_737_Acc.pdf</w:t>
        </w:r>
      </w:hyperlink>
      <w:r w:rsidRPr="00853AD5">
        <w:rPr>
          <w:rFonts w:ascii="Arial" w:hAnsi="Arial" w:cs="Arial"/>
          <w:sz w:val="14"/>
          <w:szCs w:val="14"/>
        </w:rPr>
        <w:t xml:space="preserve"> </w:t>
      </w:r>
    </w:p>
    <w:p w14:paraId="793482C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w:t>
      </w:r>
      <w:r w:rsidRPr="00853AD5">
        <w:rPr>
          <w:rFonts w:ascii="Arial" w:hAnsi="Arial" w:cs="Arial"/>
          <w:b/>
          <w:bCs/>
          <w:sz w:val="14"/>
          <w:szCs w:val="14"/>
        </w:rPr>
        <w:t xml:space="preserve"> </w:t>
      </w:r>
      <w:r w:rsidRPr="00853AD5">
        <w:rPr>
          <w:rFonts w:ascii="Arial" w:hAnsi="Arial" w:cs="Arial"/>
          <w:i/>
          <w:sz w:val="14"/>
          <w:szCs w:val="14"/>
        </w:rPr>
        <w:t xml:space="preserve">RESOLUCIÓN MEDIANTE LA CUAL EL PLENO DEL INSTITUTO FEDERAL DE TELECOMUNICACIONES AUTORIZA LLEVAR A CABO LA CONCENTRACIÓN RADICADA BAJO EL EXPEDIENTE NO. </w:t>
      </w:r>
      <w:r w:rsidRPr="00853AD5">
        <w:rPr>
          <w:rFonts w:ascii="Arial" w:hAnsi="Arial" w:cs="Arial"/>
          <w:i/>
          <w:sz w:val="14"/>
          <w:szCs w:val="14"/>
          <w:lang w:val="en-US"/>
        </w:rPr>
        <w:t xml:space="preserve">UCE/CNC-004-2016, NOTIFICADA POR AT&amp;T INC., WEST MERGER SUB INC. </w:t>
      </w:r>
      <w:r w:rsidRPr="00853AD5">
        <w:rPr>
          <w:rFonts w:ascii="Arial" w:hAnsi="Arial" w:cs="Arial"/>
          <w:i/>
          <w:sz w:val="14"/>
          <w:szCs w:val="14"/>
        </w:rPr>
        <w:t>Y TIME WARNER INC SUJETA AL CUMPLIMIENTO DE CONDICIONES</w:t>
      </w:r>
      <w:r w:rsidRPr="00853AD5">
        <w:rPr>
          <w:rFonts w:ascii="Arial" w:hAnsi="Arial" w:cs="Arial"/>
          <w:sz w:val="14"/>
          <w:szCs w:val="14"/>
        </w:rPr>
        <w:t xml:space="preserve">. Acuerdo </w:t>
      </w:r>
      <w:r w:rsidRPr="00853AD5">
        <w:rPr>
          <w:rFonts w:ascii="Arial" w:hAnsi="Arial" w:cs="Arial"/>
          <w:bCs/>
          <w:sz w:val="14"/>
          <w:szCs w:val="14"/>
        </w:rPr>
        <w:t xml:space="preserve">P/IFT/150817/487. </w:t>
      </w:r>
    </w:p>
    <w:p w14:paraId="6E8A9C5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(2019). </w:t>
      </w:r>
      <w:r w:rsidRPr="00853AD5">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P/IFT/110319/122.</w:t>
      </w:r>
    </w:p>
    <w:p w14:paraId="569D3D9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(2014). </w:t>
      </w:r>
      <w:r w:rsidRPr="00853AD5">
        <w:rPr>
          <w:rFonts w:ascii="Arial" w:hAnsi="Arial" w:cs="Arial"/>
          <w:i/>
          <w:sz w:val="14"/>
          <w:szCs w:val="14"/>
        </w:rPr>
        <w:t>Bases de la Licitación IFT-1.</w:t>
      </w:r>
      <w:r w:rsidRPr="00853AD5">
        <w:rPr>
          <w:rFonts w:ascii="Arial" w:hAnsi="Arial" w:cs="Arial"/>
          <w:sz w:val="14"/>
          <w:szCs w:val="14"/>
        </w:rPr>
        <w:t xml:space="preserve"> Disponibles en:</w:t>
      </w:r>
      <w:r w:rsidRPr="00F145F8">
        <w:t xml:space="preserve"> </w:t>
      </w:r>
      <w:hyperlink r:id="rId53" w:history="1">
        <w:r w:rsidRPr="00786925">
          <w:rPr>
            <w:rStyle w:val="Hipervnculo"/>
            <w:rFonts w:ascii="Arial" w:hAnsi="Arial" w:cs="Arial"/>
            <w:sz w:val="14"/>
            <w:szCs w:val="14"/>
          </w:rPr>
          <w:t>http://www.ift.org.mx/industria/espectro-radioelectrico/radiodifusion/2014/ift-1-licitacion-de-dos-cadenas-de-television-radiodifundida-digital</w:t>
        </w:r>
      </w:hyperlink>
      <w:r w:rsidRPr="00F145F8">
        <w:rPr>
          <w:rFonts w:ascii="Arial" w:hAnsi="Arial" w:cs="Arial"/>
          <w:sz w:val="14"/>
          <w:szCs w:val="14"/>
        </w:rPr>
        <w:t xml:space="preserve">. </w:t>
      </w:r>
    </w:p>
    <w:p w14:paraId="69502D9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(2014). </w:t>
      </w:r>
      <w:r w:rsidRPr="00853AD5">
        <w:rPr>
          <w:rFonts w:ascii="Arial" w:hAnsi="Arial" w:cs="Arial"/>
          <w:i/>
          <w:sz w:val="14"/>
          <w:szCs w:val="14"/>
        </w:rPr>
        <w:t>Opiniones en materia de competencia económica emitidas por el Instituto en la Licitación IFT-1.</w:t>
      </w:r>
      <w:r w:rsidRPr="00853AD5">
        <w:rPr>
          <w:rFonts w:ascii="Arial" w:hAnsi="Arial" w:cs="Arial"/>
          <w:sz w:val="14"/>
          <w:szCs w:val="14"/>
        </w:rPr>
        <w:t xml:space="preserve"> Disponibles en: </w:t>
      </w:r>
      <w:hyperlink r:id="rId54" w:anchor="overlay-context=pagina-de-inicio/apendices" w:history="1">
        <w:r w:rsidRPr="00853AD5">
          <w:rPr>
            <w:rStyle w:val="Hipervnculo"/>
            <w:rFonts w:ascii="Arial" w:hAnsi="Arial" w:cs="Arial"/>
            <w:sz w:val="14"/>
            <w:szCs w:val="14"/>
          </w:rPr>
          <w:t>http://www.ift.org.mx/pagina-de-inicio/opiniones-en-materia-de-competencia-economica#overlay-context=pagina-de-inicio/apendices</w:t>
        </w:r>
      </w:hyperlink>
    </w:p>
    <w:p w14:paraId="43F28127"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(2016). </w:t>
      </w:r>
      <w:r w:rsidRPr="00853AD5">
        <w:rPr>
          <w:rFonts w:ascii="Arial" w:hAnsi="Arial" w:cs="Arial"/>
          <w:i/>
          <w:sz w:val="14"/>
          <w:szCs w:val="14"/>
        </w:rPr>
        <w:t>Bases de la Licitación IFT-6</w:t>
      </w:r>
      <w:r w:rsidRPr="00853AD5">
        <w:rPr>
          <w:rFonts w:ascii="Arial" w:hAnsi="Arial" w:cs="Arial"/>
          <w:sz w:val="14"/>
          <w:szCs w:val="14"/>
        </w:rPr>
        <w:t xml:space="preserve">. Disponibles en: </w:t>
      </w:r>
      <w:hyperlink r:id="rId55" w:history="1">
        <w:r w:rsidRPr="00853AD5">
          <w:rPr>
            <w:rStyle w:val="Hipervnculo"/>
            <w:rFonts w:ascii="Arial" w:hAnsi="Arial" w:cs="Arial"/>
            <w:sz w:val="14"/>
            <w:szCs w:val="14"/>
          </w:rPr>
          <w:t>http://www.ift.org.mx/industria/espectro-radioelectrico/television/2016/licitacion-no-ift-6-television-radiodifundida-digital</w:t>
        </w:r>
      </w:hyperlink>
      <w:r w:rsidRPr="00853AD5">
        <w:rPr>
          <w:rFonts w:ascii="Arial" w:hAnsi="Arial" w:cs="Arial"/>
          <w:sz w:val="14"/>
          <w:szCs w:val="14"/>
        </w:rPr>
        <w:t>.</w:t>
      </w:r>
    </w:p>
    <w:p w14:paraId="495199F2"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(2016).</w:t>
      </w:r>
      <w:r w:rsidRPr="00853AD5">
        <w:rPr>
          <w:rFonts w:ascii="Arial" w:hAnsi="Arial" w:cs="Arial"/>
          <w:b/>
          <w:bCs/>
          <w:sz w:val="14"/>
          <w:szCs w:val="14"/>
        </w:rPr>
        <w:t xml:space="preserve"> </w:t>
      </w:r>
      <w:r w:rsidRPr="00853AD5">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53AD5">
        <w:rPr>
          <w:rFonts w:ascii="Arial" w:hAnsi="Arial" w:cs="Arial"/>
          <w:sz w:val="14"/>
          <w:szCs w:val="14"/>
        </w:rPr>
        <w:t xml:space="preserve">. Acuerdo </w:t>
      </w:r>
      <w:r w:rsidRPr="00853AD5">
        <w:rPr>
          <w:rFonts w:ascii="Arial" w:hAnsi="Arial" w:cs="Arial"/>
          <w:bCs/>
          <w:sz w:val="14"/>
          <w:szCs w:val="14"/>
        </w:rPr>
        <w:t>P/IFT/EXT/190216/7.</w:t>
      </w:r>
    </w:p>
    <w:p w14:paraId="5A8BBE8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(2016). </w:t>
      </w:r>
      <w:r w:rsidRPr="00853AD5">
        <w:rPr>
          <w:rFonts w:ascii="Arial" w:hAnsi="Arial" w:cs="Arial"/>
          <w:i/>
          <w:sz w:val="14"/>
          <w:szCs w:val="14"/>
        </w:rPr>
        <w:t>Bases de la Licitación IFT-4</w:t>
      </w:r>
      <w:r w:rsidRPr="00853AD5">
        <w:rPr>
          <w:rFonts w:ascii="Arial" w:hAnsi="Arial" w:cs="Arial"/>
          <w:sz w:val="14"/>
          <w:szCs w:val="14"/>
        </w:rPr>
        <w:t xml:space="preserve">. Disponible en: </w:t>
      </w:r>
      <w:hyperlink r:id="rId56" w:history="1">
        <w:r w:rsidRPr="00853AD5">
          <w:rPr>
            <w:rStyle w:val="Hipervnculo"/>
            <w:rFonts w:ascii="Arial" w:hAnsi="Arial" w:cs="Arial"/>
            <w:sz w:val="14"/>
            <w:szCs w:val="14"/>
          </w:rPr>
          <w:t>http://www.ift.org.mx/sites/default/files/industria/espectro-radioelectrico/radiodifusion/2016/4/basesift-4_1.pdf</w:t>
        </w:r>
      </w:hyperlink>
      <w:r w:rsidRPr="00853AD5">
        <w:rPr>
          <w:rFonts w:ascii="Arial" w:hAnsi="Arial" w:cs="Arial"/>
          <w:sz w:val="14"/>
          <w:szCs w:val="14"/>
        </w:rPr>
        <w:t>. Ver el numeral “6. Limitantes de participación en la Licitación”.</w:t>
      </w:r>
    </w:p>
    <w:p w14:paraId="3E18B37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(2018). Acuerdo P/IFT/121218/948 y Dictamen Preliminar emitido en el Expediente AC/DC-004-2018.</w:t>
      </w:r>
    </w:p>
    <w:p w14:paraId="54AA543E"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w:t>
      </w:r>
      <w:r>
        <w:rPr>
          <w:rFonts w:ascii="Arial" w:hAnsi="Arial" w:cs="Arial"/>
          <w:sz w:val="14"/>
          <w:szCs w:val="14"/>
        </w:rPr>
        <w:t>3</w:t>
      </w:r>
      <w:r w:rsidRPr="00853AD5">
        <w:rPr>
          <w:rFonts w:ascii="Arial" w:hAnsi="Arial" w:cs="Arial"/>
          <w:sz w:val="14"/>
          <w:szCs w:val="14"/>
        </w:rPr>
        <w:t xml:space="preserve">). </w:t>
      </w:r>
      <w:r w:rsidRPr="00853AD5">
        <w:rPr>
          <w:rFonts w:ascii="Arial" w:hAnsi="Arial" w:cs="Arial"/>
          <w:i/>
          <w:caps/>
          <w:sz w:val="14"/>
          <w:szCs w:val="14"/>
        </w:rPr>
        <w:t>Resolución mediante la cual el Pleno del Instituto Federal de Telecomunicaciones autoriza que se realice la concentración radicada bajo el expediente No. E- IFT/DGCCC/CNC/0002/2013, notificada por Satmex lnternational Coperatieve U.A., lntenal Mexicana, S.A.P.l. de C.V. Alejandro Sainz Orantes, Centerbridge Capital Partners SBS (Cayman). L.P., Eja Holdings LTD, Satmex lnternational B.V., Holdsat México, S.A.P.I. de C.V., Satélites Mexicanos, S.A. de C.V. y Eutelsat. S.A.</w:t>
      </w:r>
      <w:r w:rsidRPr="00853AD5">
        <w:rPr>
          <w:rFonts w:ascii="Arial" w:hAnsi="Arial" w:cs="Arial"/>
          <w:sz w:val="14"/>
          <w:szCs w:val="14"/>
        </w:rPr>
        <w:t xml:space="preserve"> Acuerdo P/IFT/271113/20.</w:t>
      </w:r>
      <w:r w:rsidRPr="00853AD5" w:rsidDel="00A9480E">
        <w:rPr>
          <w:rFonts w:ascii="Arial" w:hAnsi="Arial" w:cs="Arial"/>
          <w:sz w:val="14"/>
          <w:szCs w:val="14"/>
        </w:rPr>
        <w:t xml:space="preserve"> </w:t>
      </w:r>
    </w:p>
    <w:p w14:paraId="256EB135"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(2015). </w:t>
      </w:r>
      <w:r w:rsidRPr="00853AD5">
        <w:rPr>
          <w:rFonts w:ascii="Arial" w:hAnsi="Arial" w:cs="Arial"/>
          <w:i/>
          <w:sz w:val="14"/>
          <w:szCs w:val="14"/>
        </w:rPr>
        <w:t xml:space="preserve">RESOLUCIÓN MEDIANTE LA CUAL EL PLENO DEL INSTITUTO FEDERAL DE TELECOMUNICACIONES AUTORIZA QUE SE REALICE LA CONCENTRACIÓN RADICADA BAJO EL EXPEDIENTE NO. </w:t>
      </w:r>
      <w:r w:rsidRPr="00853AD5">
        <w:rPr>
          <w:rFonts w:ascii="Arial" w:hAnsi="Arial" w:cs="Arial"/>
          <w:i/>
          <w:sz w:val="14"/>
          <w:szCs w:val="14"/>
          <w:lang w:val="en-US"/>
        </w:rPr>
        <w:t xml:space="preserve">UCE/CNC-001-2015, NOTIFICADA POR AT&amp;T, INC. Y NII HOLDINGS, INC. </w:t>
      </w:r>
      <w:r w:rsidRPr="00853AD5">
        <w:rPr>
          <w:rFonts w:ascii="Arial" w:hAnsi="Arial" w:cs="Arial"/>
          <w:sz w:val="14"/>
          <w:szCs w:val="14"/>
        </w:rPr>
        <w:t xml:space="preserve">Acuerdo P/IFT/EXT/290415/86. </w:t>
      </w:r>
    </w:p>
    <w:p w14:paraId="2290FA33" w14:textId="77777777" w:rsidR="00FD6552" w:rsidRPr="00853AD5" w:rsidRDefault="00FD6552" w:rsidP="005E23E0">
      <w:pPr>
        <w:pStyle w:val="Textonotapie"/>
        <w:numPr>
          <w:ilvl w:val="0"/>
          <w:numId w:val="28"/>
        </w:numPr>
        <w:jc w:val="both"/>
        <w:rPr>
          <w:rFonts w:ascii="Arial" w:hAnsi="Arial" w:cs="Arial"/>
          <w:sz w:val="14"/>
          <w:szCs w:val="14"/>
        </w:rPr>
      </w:pPr>
      <w:r w:rsidRPr="00853AD5">
        <w:rPr>
          <w:rStyle w:val="Refdenotaalpie"/>
          <w:rFonts w:ascii="Arial" w:hAnsi="Arial" w:cs="Arial"/>
          <w:sz w:val="14"/>
          <w:szCs w:val="14"/>
        </w:rPr>
        <w:t>I</w:t>
      </w:r>
      <w:r w:rsidRPr="00853AD5">
        <w:rPr>
          <w:rFonts w:ascii="Arial" w:hAnsi="Arial" w:cs="Arial"/>
          <w:sz w:val="14"/>
          <w:szCs w:val="14"/>
        </w:rPr>
        <w:t>nstituto (</w:t>
      </w:r>
      <w:r w:rsidRPr="00A52077">
        <w:rPr>
          <w:rFonts w:ascii="Arial" w:hAnsi="Arial" w:cs="Arial"/>
          <w:sz w:val="14"/>
          <w:szCs w:val="14"/>
        </w:rPr>
        <w:t>2018).</w:t>
      </w:r>
      <w:r w:rsidRPr="00A52077">
        <w:rPr>
          <w:rStyle w:val="Refdenotaalpie"/>
          <w:rFonts w:ascii="Arial" w:hAnsi="Arial" w:cs="Arial"/>
          <w:sz w:val="14"/>
          <w:szCs w:val="14"/>
        </w:rPr>
        <w:t xml:space="preserve"> </w:t>
      </w:r>
      <w:r w:rsidRPr="00A52077">
        <w:rPr>
          <w:rFonts w:ascii="Arial" w:hAnsi="Arial" w:cs="Arial"/>
          <w:sz w:val="14"/>
          <w:szCs w:val="14"/>
        </w:rPr>
        <w:t>Acuerdo P/IFT/220818/511.</w:t>
      </w:r>
    </w:p>
  </w:footnote>
  <w:footnote w:id="43">
    <w:p w14:paraId="2EDB35FE"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Guía de Concentraciones. p. 31.</w:t>
      </w:r>
    </w:p>
  </w:footnote>
  <w:footnote w:id="44">
    <w:p w14:paraId="2AB3255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35AC732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CE (1997). </w:t>
      </w:r>
      <w:r w:rsidRPr="00853AD5">
        <w:rPr>
          <w:rFonts w:ascii="Arial" w:hAnsi="Arial" w:cs="Arial"/>
          <w:i/>
          <w:sz w:val="14"/>
          <w:szCs w:val="14"/>
        </w:rPr>
        <w:t>COMUNICACIÓN DE LA COMISIÓN relativa a la definición de mercado de referencia a efectos de la normativa comunitaria en materia de competencia</w:t>
      </w:r>
      <w:r w:rsidRPr="00853AD5">
        <w:rPr>
          <w:rFonts w:ascii="Arial" w:hAnsi="Arial" w:cs="Arial"/>
          <w:sz w:val="14"/>
          <w:szCs w:val="14"/>
        </w:rPr>
        <w:t xml:space="preserve">. </w:t>
      </w:r>
    </w:p>
    <w:p w14:paraId="33CAF610"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xml:space="preserve">. p. 8. </w:t>
      </w:r>
    </w:p>
    <w:p w14:paraId="0C4E9B8F"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párrafo 43.</w:t>
      </w:r>
    </w:p>
    <w:p w14:paraId="3EB264F6"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CE (2007). </w:t>
      </w:r>
      <w:r w:rsidRPr="00853AD5">
        <w:rPr>
          <w:rFonts w:ascii="Arial" w:hAnsi="Arial" w:cs="Arial"/>
          <w:i/>
          <w:sz w:val="14"/>
          <w:szCs w:val="14"/>
        </w:rPr>
        <w:t xml:space="preserve">Case No COMP/M.4439 – Ryanair / </w:t>
      </w:r>
      <w:proofErr w:type="spellStart"/>
      <w:r w:rsidRPr="00853AD5">
        <w:rPr>
          <w:rFonts w:ascii="Arial" w:hAnsi="Arial" w:cs="Arial"/>
          <w:i/>
          <w:sz w:val="14"/>
          <w:szCs w:val="14"/>
        </w:rPr>
        <w:t>Aer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Lingus</w:t>
      </w:r>
      <w:proofErr w:type="spellEnd"/>
      <w:r w:rsidRPr="00853AD5">
        <w:rPr>
          <w:rFonts w:ascii="Arial" w:hAnsi="Arial" w:cs="Arial"/>
          <w:sz w:val="14"/>
          <w:szCs w:val="14"/>
        </w:rPr>
        <w:t xml:space="preserve">. Disponible en </w:t>
      </w:r>
      <w:hyperlink r:id="rId57" w:history="1">
        <w:r w:rsidRPr="00853AD5">
          <w:rPr>
            <w:rStyle w:val="Hipervnculo"/>
            <w:rFonts w:ascii="Arial" w:hAnsi="Arial" w:cs="Arial"/>
            <w:sz w:val="14"/>
            <w:szCs w:val="14"/>
          </w:rPr>
          <w:t>https://ec.europa.eu/competition/mergers/cases/decisions/m4439_20070627_20610_en.pdf</w:t>
        </w:r>
      </w:hyperlink>
    </w:p>
    <w:p w14:paraId="5CD80B0E" w14:textId="77777777" w:rsidR="00FD6552" w:rsidRPr="00853AD5" w:rsidRDefault="00FD6552" w:rsidP="005E23E0">
      <w:pPr>
        <w:pStyle w:val="Textonotapie"/>
        <w:numPr>
          <w:ilvl w:val="0"/>
          <w:numId w:val="28"/>
        </w:numPr>
        <w:jc w:val="both"/>
        <w:rPr>
          <w:rFonts w:ascii="Arial" w:hAnsi="Arial" w:cs="Arial"/>
          <w:sz w:val="14"/>
          <w:szCs w:val="14"/>
        </w:rPr>
      </w:pPr>
    </w:p>
  </w:footnote>
  <w:footnote w:id="45">
    <w:p w14:paraId="672D022F"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44B9A6B5"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CMA/OFT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w:t>
      </w:r>
    </w:p>
    <w:p w14:paraId="213D3B3B" w14:textId="77777777" w:rsidR="00FD6552" w:rsidRPr="00853AD5" w:rsidRDefault="00FD6552" w:rsidP="005E23E0">
      <w:pPr>
        <w:pStyle w:val="Textonotapie"/>
        <w:numPr>
          <w:ilvl w:val="0"/>
          <w:numId w:val="28"/>
        </w:numPr>
        <w:jc w:val="both"/>
        <w:rPr>
          <w:rFonts w:ascii="Arial" w:hAnsi="Arial" w:cs="Arial"/>
          <w:sz w:val="14"/>
          <w:szCs w:val="14"/>
        </w:rPr>
      </w:pPr>
      <w:proofErr w:type="spellStart"/>
      <w:r w:rsidRPr="00853AD5">
        <w:rPr>
          <w:rFonts w:ascii="Arial" w:hAnsi="Arial" w:cs="Arial"/>
          <w:sz w:val="14"/>
          <w:szCs w:val="14"/>
          <w:lang w:val="en-US"/>
        </w:rPr>
        <w:t>Ofcom</w:t>
      </w:r>
      <w:proofErr w:type="spellEnd"/>
      <w:r w:rsidRPr="00853AD5">
        <w:rPr>
          <w:rFonts w:ascii="Arial" w:hAnsi="Arial" w:cs="Arial"/>
          <w:sz w:val="14"/>
          <w:szCs w:val="14"/>
          <w:lang w:val="en-US"/>
        </w:rPr>
        <w:t xml:space="preserve"> (2019). </w:t>
      </w:r>
      <w:r w:rsidRPr="00853AD5">
        <w:rPr>
          <w:rFonts w:ascii="Arial" w:hAnsi="Arial" w:cs="Arial"/>
          <w:i/>
          <w:sz w:val="14"/>
          <w:szCs w:val="14"/>
          <w:lang w:val="en-US"/>
        </w:rPr>
        <w:t xml:space="preserve">Promoting competition and investment in </w:t>
      </w:r>
      <w:proofErr w:type="spellStart"/>
      <w:r w:rsidRPr="00853AD5">
        <w:rPr>
          <w:rFonts w:ascii="Arial" w:hAnsi="Arial" w:cs="Arial"/>
          <w:i/>
          <w:sz w:val="14"/>
          <w:szCs w:val="14"/>
          <w:lang w:val="en-US"/>
        </w:rPr>
        <w:t>fibre</w:t>
      </w:r>
      <w:proofErr w:type="spellEnd"/>
      <w:r w:rsidRPr="00853AD5">
        <w:rPr>
          <w:rFonts w:ascii="Arial" w:hAnsi="Arial" w:cs="Arial"/>
          <w:i/>
          <w:sz w:val="14"/>
          <w:szCs w:val="14"/>
          <w:lang w:val="en-US"/>
        </w:rPr>
        <w:t xml:space="preserve"> networks: review of the physical infrastructure and business connectivity markets</w:t>
      </w:r>
      <w:r w:rsidRPr="00853AD5">
        <w:rPr>
          <w:rFonts w:ascii="Arial" w:hAnsi="Arial" w:cs="Arial"/>
          <w:sz w:val="14"/>
          <w:szCs w:val="14"/>
          <w:lang w:val="en-US"/>
        </w:rPr>
        <w:t xml:space="preserve">. </w:t>
      </w:r>
      <w:r w:rsidRPr="00853AD5">
        <w:rPr>
          <w:rFonts w:ascii="Arial" w:hAnsi="Arial" w:cs="Arial"/>
          <w:sz w:val="14"/>
          <w:szCs w:val="14"/>
        </w:rPr>
        <w:t xml:space="preserve">Volumen 2. Disponible en: </w:t>
      </w:r>
      <w:hyperlink r:id="rId58" w:history="1">
        <w:r w:rsidRPr="00853AD5">
          <w:rPr>
            <w:rStyle w:val="Hipervnculo"/>
            <w:rFonts w:ascii="Arial" w:hAnsi="Arial" w:cs="Arial"/>
            <w:sz w:val="14"/>
            <w:szCs w:val="14"/>
          </w:rPr>
          <w:t>https://www.ofcom.org.uk/__data/assets/pdf_file/0025/154591/volume-2-bcmr-final-statement.pdf</w:t>
        </w:r>
      </w:hyperlink>
    </w:p>
  </w:footnote>
  <w:footnote w:id="46">
    <w:p w14:paraId="4516193B"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CBC (2011). </w:t>
      </w:r>
      <w:r w:rsidRPr="00853AD5">
        <w:rPr>
          <w:rFonts w:ascii="Arial" w:hAnsi="Arial" w:cs="Arial"/>
          <w:i/>
          <w:sz w:val="14"/>
          <w:szCs w:val="14"/>
          <w:lang w:val="en-US"/>
        </w:rPr>
        <w:t>Merger Enforcement Guidelines</w:t>
      </w:r>
      <w:r w:rsidRPr="00853AD5">
        <w:rPr>
          <w:rFonts w:ascii="Arial" w:hAnsi="Arial" w:cs="Arial"/>
          <w:sz w:val="14"/>
          <w:szCs w:val="14"/>
          <w:lang w:val="en-US"/>
        </w:rPr>
        <w:t xml:space="preserve">. </w:t>
      </w:r>
    </w:p>
  </w:footnote>
  <w:footnote w:id="47">
    <w:p w14:paraId="7BD2BB41"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w:t>
      </w:r>
      <w:r w:rsidRPr="00853AD5">
        <w:rPr>
          <w:rFonts w:ascii="Arial" w:hAnsi="Arial" w:cs="Arial"/>
          <w:color w:val="000000"/>
          <w:sz w:val="14"/>
          <w:szCs w:val="14"/>
          <w:shd w:val="clear" w:color="auto" w:fill="FFFFFF"/>
          <w:lang w:val="en-US"/>
        </w:rPr>
        <w:t xml:space="preserve">ACCC (2008). </w:t>
      </w:r>
      <w:proofErr w:type="spellStart"/>
      <w:r w:rsidRPr="00853AD5">
        <w:rPr>
          <w:rFonts w:ascii="Arial" w:hAnsi="Arial" w:cs="Arial"/>
          <w:i/>
          <w:color w:val="000000"/>
          <w:sz w:val="14"/>
          <w:szCs w:val="14"/>
          <w:shd w:val="clear" w:color="auto" w:fill="FFFFFF"/>
        </w:rPr>
        <w:t>Merger</w:t>
      </w:r>
      <w:proofErr w:type="spellEnd"/>
      <w:r w:rsidRPr="00853AD5">
        <w:rPr>
          <w:rFonts w:ascii="Arial" w:hAnsi="Arial" w:cs="Arial"/>
          <w:i/>
          <w:color w:val="000000"/>
          <w:sz w:val="14"/>
          <w:szCs w:val="14"/>
          <w:shd w:val="clear" w:color="auto" w:fill="FFFFFF"/>
        </w:rPr>
        <w:t xml:space="preserve"> </w:t>
      </w:r>
      <w:proofErr w:type="spellStart"/>
      <w:r w:rsidRPr="00853AD5">
        <w:rPr>
          <w:rFonts w:ascii="Arial" w:hAnsi="Arial" w:cs="Arial"/>
          <w:i/>
          <w:color w:val="000000"/>
          <w:sz w:val="14"/>
          <w:szCs w:val="14"/>
          <w:shd w:val="clear" w:color="auto" w:fill="FFFFFF"/>
        </w:rPr>
        <w:t>Guidelines</w:t>
      </w:r>
      <w:proofErr w:type="spellEnd"/>
      <w:r w:rsidRPr="00853AD5">
        <w:rPr>
          <w:rFonts w:ascii="Arial" w:hAnsi="Arial" w:cs="Arial"/>
          <w:color w:val="000000"/>
          <w:sz w:val="14"/>
          <w:szCs w:val="14"/>
          <w:shd w:val="clear" w:color="auto" w:fill="FFFFFF"/>
        </w:rPr>
        <w:t xml:space="preserve"> (actualización 2017). pp. 13-14, 16-17. </w:t>
      </w:r>
    </w:p>
  </w:footnote>
  <w:footnote w:id="48">
    <w:p w14:paraId="5E66B01C"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rPr>
        <w:t xml:space="preserve"> Autoridad de Competencia (2013). </w:t>
      </w:r>
      <w:proofErr w:type="spellStart"/>
      <w:r w:rsidRPr="00853AD5">
        <w:rPr>
          <w:rFonts w:ascii="Arial" w:hAnsi="Arial" w:cs="Arial"/>
          <w:i/>
          <w:sz w:val="14"/>
          <w:szCs w:val="14"/>
          <w:lang w:val="en-US"/>
        </w:rPr>
        <w:t>Ccent</w:t>
      </w:r>
      <w:proofErr w:type="spellEnd"/>
      <w:r w:rsidRPr="00853AD5">
        <w:rPr>
          <w:rFonts w:ascii="Arial" w:hAnsi="Arial" w:cs="Arial"/>
          <w:i/>
          <w:sz w:val="14"/>
          <w:szCs w:val="14"/>
          <w:lang w:val="en-US"/>
        </w:rPr>
        <w:t xml:space="preserve">. 5/2013 </w:t>
      </w:r>
      <w:proofErr w:type="spellStart"/>
      <w:r w:rsidRPr="00853AD5">
        <w:rPr>
          <w:rFonts w:ascii="Arial" w:hAnsi="Arial" w:cs="Arial"/>
          <w:i/>
          <w:sz w:val="14"/>
          <w:szCs w:val="14"/>
          <w:lang w:val="en-US"/>
        </w:rPr>
        <w:t>Kento</w:t>
      </w:r>
      <w:proofErr w:type="spellEnd"/>
      <w:r w:rsidRPr="00853AD5">
        <w:rPr>
          <w:rFonts w:ascii="Arial" w:hAnsi="Arial" w:cs="Arial"/>
          <w:i/>
          <w:sz w:val="14"/>
          <w:szCs w:val="14"/>
          <w:lang w:val="en-US"/>
        </w:rPr>
        <w:t>*</w:t>
      </w:r>
      <w:proofErr w:type="spellStart"/>
      <w:r w:rsidRPr="00853AD5">
        <w:rPr>
          <w:rFonts w:ascii="Arial" w:hAnsi="Arial" w:cs="Arial"/>
          <w:i/>
          <w:sz w:val="14"/>
          <w:szCs w:val="14"/>
          <w:lang w:val="en-US"/>
        </w:rPr>
        <w:t>Unitel</w:t>
      </w:r>
      <w:proofErr w:type="spellEnd"/>
      <w:r w:rsidRPr="00853AD5">
        <w:rPr>
          <w:rFonts w:ascii="Arial" w:hAnsi="Arial" w:cs="Arial"/>
          <w:i/>
          <w:sz w:val="14"/>
          <w:szCs w:val="14"/>
          <w:lang w:val="en-US"/>
        </w:rPr>
        <w:t>*</w:t>
      </w:r>
      <w:proofErr w:type="spellStart"/>
      <w:r w:rsidRPr="00853AD5">
        <w:rPr>
          <w:rFonts w:ascii="Arial" w:hAnsi="Arial" w:cs="Arial"/>
          <w:i/>
          <w:sz w:val="14"/>
          <w:szCs w:val="14"/>
          <w:lang w:val="en-US"/>
        </w:rPr>
        <w:t>Sonaecom</w:t>
      </w:r>
      <w:proofErr w:type="spellEnd"/>
      <w:r w:rsidRPr="00853AD5">
        <w:rPr>
          <w:rFonts w:ascii="Arial" w:hAnsi="Arial" w:cs="Arial"/>
          <w:i/>
          <w:sz w:val="14"/>
          <w:szCs w:val="14"/>
          <w:lang w:val="en-US"/>
        </w:rPr>
        <w:t xml:space="preserve">/ZON*Optimus. </w:t>
      </w:r>
    </w:p>
  </w:footnote>
  <w:footnote w:id="49">
    <w:p w14:paraId="247F19FC" w14:textId="77777777" w:rsidR="00FD6552" w:rsidRPr="0011537E"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786925">
        <w:rPr>
          <w:rFonts w:ascii="Arial" w:hAnsi="Arial" w:cs="Arial"/>
          <w:sz w:val="14"/>
          <w:szCs w:val="14"/>
        </w:rPr>
        <w:t xml:space="preserve"> DOJ y FTC (2010). </w:t>
      </w:r>
      <w:r w:rsidRPr="00786925">
        <w:rPr>
          <w:rFonts w:ascii="Arial" w:hAnsi="Arial" w:cs="Arial"/>
          <w:i/>
          <w:sz w:val="14"/>
          <w:szCs w:val="14"/>
        </w:rPr>
        <w:t xml:space="preserve">Horizontal </w:t>
      </w:r>
      <w:proofErr w:type="spellStart"/>
      <w:r w:rsidRPr="00786925">
        <w:rPr>
          <w:rFonts w:ascii="Arial" w:hAnsi="Arial" w:cs="Arial"/>
          <w:i/>
          <w:sz w:val="14"/>
          <w:szCs w:val="14"/>
        </w:rPr>
        <w:t>Merger</w:t>
      </w:r>
      <w:proofErr w:type="spellEnd"/>
      <w:r w:rsidRPr="00786925">
        <w:rPr>
          <w:rFonts w:ascii="Arial" w:hAnsi="Arial" w:cs="Arial"/>
          <w:i/>
          <w:sz w:val="14"/>
          <w:szCs w:val="14"/>
        </w:rPr>
        <w:t xml:space="preserve"> </w:t>
      </w:r>
      <w:proofErr w:type="spellStart"/>
      <w:r w:rsidRPr="00786925">
        <w:rPr>
          <w:rFonts w:ascii="Arial" w:hAnsi="Arial" w:cs="Arial"/>
          <w:i/>
          <w:sz w:val="14"/>
          <w:szCs w:val="14"/>
        </w:rPr>
        <w:t>Guidelines</w:t>
      </w:r>
      <w:proofErr w:type="spellEnd"/>
      <w:r w:rsidRPr="00786925">
        <w:rPr>
          <w:rFonts w:ascii="Arial" w:hAnsi="Arial" w:cs="Arial"/>
          <w:sz w:val="14"/>
          <w:szCs w:val="14"/>
        </w:rPr>
        <w:t xml:space="preserve">. </w:t>
      </w:r>
      <w:r w:rsidRPr="0011537E">
        <w:rPr>
          <w:rFonts w:ascii="Arial" w:hAnsi="Arial" w:cs="Arial"/>
          <w:sz w:val="14"/>
          <w:szCs w:val="14"/>
        </w:rPr>
        <w:t>Disponible en:</w:t>
      </w:r>
      <w:r>
        <w:rPr>
          <w:rFonts w:ascii="Arial" w:hAnsi="Arial" w:cs="Arial"/>
          <w:sz w:val="14"/>
          <w:szCs w:val="14"/>
        </w:rPr>
        <w:t xml:space="preserve"> </w:t>
      </w:r>
      <w:hyperlink r:id="rId59" w:history="1">
        <w:r w:rsidRPr="00E648FB">
          <w:rPr>
            <w:rStyle w:val="Hipervnculo"/>
            <w:rFonts w:ascii="Arial" w:hAnsi="Arial" w:cs="Arial"/>
            <w:sz w:val="14"/>
            <w:szCs w:val="14"/>
          </w:rPr>
          <w:t>https://apps.fcc.gov/edocs_public/attachmatch/FCC-15-94A1.pdf</w:t>
        </w:r>
      </w:hyperlink>
      <w:r>
        <w:rPr>
          <w:rFonts w:ascii="Arial" w:hAnsi="Arial" w:cs="Arial"/>
          <w:sz w:val="14"/>
          <w:szCs w:val="14"/>
        </w:rPr>
        <w:t xml:space="preserve">  </w:t>
      </w:r>
      <w:r w:rsidRPr="0011537E">
        <w:t xml:space="preserve"> </w:t>
      </w:r>
    </w:p>
  </w:footnote>
  <w:footnote w:id="50">
    <w:p w14:paraId="3B149D0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Charles River Associates (2015). </w:t>
      </w:r>
      <w:r w:rsidRPr="00853AD5">
        <w:rPr>
          <w:rFonts w:ascii="Arial" w:hAnsi="Arial" w:cs="Arial"/>
          <w:i/>
          <w:sz w:val="14"/>
          <w:szCs w:val="14"/>
          <w:lang w:val="en-US"/>
        </w:rPr>
        <w:t xml:space="preserve">Qihoo v. Tencent: economic analysis of the first Chinese Supreme Court decision under Anti-Monopoly Law. </w:t>
      </w:r>
      <w:r w:rsidRPr="00853AD5">
        <w:rPr>
          <w:rFonts w:ascii="Arial" w:hAnsi="Arial" w:cs="Arial"/>
          <w:i/>
          <w:sz w:val="14"/>
          <w:szCs w:val="14"/>
        </w:rPr>
        <w:t xml:space="preserve">China </w:t>
      </w:r>
      <w:proofErr w:type="spellStart"/>
      <w:r w:rsidRPr="00853AD5">
        <w:rPr>
          <w:rFonts w:ascii="Arial" w:hAnsi="Arial" w:cs="Arial"/>
          <w:i/>
          <w:sz w:val="14"/>
          <w:szCs w:val="14"/>
        </w:rPr>
        <w:t>Highligts</w:t>
      </w:r>
      <w:proofErr w:type="spellEnd"/>
      <w:r w:rsidRPr="00853AD5">
        <w:rPr>
          <w:rFonts w:ascii="Arial" w:hAnsi="Arial" w:cs="Arial"/>
          <w:i/>
          <w:sz w:val="14"/>
          <w:szCs w:val="14"/>
        </w:rPr>
        <w:t>.</w:t>
      </w:r>
      <w:r w:rsidRPr="00853AD5">
        <w:rPr>
          <w:rFonts w:ascii="Arial" w:hAnsi="Arial" w:cs="Arial"/>
          <w:sz w:val="14"/>
          <w:szCs w:val="14"/>
        </w:rPr>
        <w:t xml:space="preserve"> Disponible en: </w:t>
      </w:r>
      <w:hyperlink r:id="rId60" w:history="1">
        <w:r w:rsidRPr="00853AD5">
          <w:rPr>
            <w:rStyle w:val="Hipervnculo"/>
            <w:rFonts w:ascii="Arial" w:hAnsi="Arial" w:cs="Arial"/>
            <w:sz w:val="14"/>
            <w:szCs w:val="14"/>
          </w:rPr>
          <w:t>https://www.crai.com/sites/default/files/publications/China-Highlights-Qihoo-360-v-Tencent-0215_0.pdf</w:t>
        </w:r>
      </w:hyperlink>
    </w:p>
  </w:footnote>
  <w:footnote w:id="51">
    <w:p w14:paraId="20D9167F"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4340D0C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OCDE (2012). </w:t>
      </w:r>
      <w:proofErr w:type="spellStart"/>
      <w:r w:rsidRPr="00853AD5">
        <w:rPr>
          <w:rFonts w:ascii="Arial" w:hAnsi="Arial" w:cs="Arial"/>
          <w:i/>
          <w:sz w:val="14"/>
          <w:szCs w:val="14"/>
        </w:rPr>
        <w:t>Market</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Definition</w:t>
      </w:r>
      <w:proofErr w:type="spellEnd"/>
      <w:r w:rsidRPr="00853AD5">
        <w:rPr>
          <w:rFonts w:ascii="Arial" w:hAnsi="Arial" w:cs="Arial"/>
          <w:sz w:val="14"/>
          <w:szCs w:val="14"/>
        </w:rPr>
        <w:t>. pp. 30-36.</w:t>
      </w:r>
    </w:p>
    <w:p w14:paraId="2895C5BF"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GB"/>
        </w:rPr>
        <w:t xml:space="preserve">OCDE (2016). </w:t>
      </w:r>
      <w:r w:rsidRPr="00853AD5">
        <w:rPr>
          <w:rFonts w:ascii="Arial" w:hAnsi="Arial" w:cs="Arial"/>
          <w:i/>
          <w:sz w:val="14"/>
          <w:szCs w:val="14"/>
          <w:lang w:val="en-GB"/>
        </w:rPr>
        <w:t xml:space="preserve">Defining Geographic Markets Across National Borders. </w:t>
      </w:r>
      <w:proofErr w:type="spellStart"/>
      <w:r w:rsidRPr="00853AD5">
        <w:rPr>
          <w:rFonts w:ascii="Arial" w:hAnsi="Arial" w:cs="Arial"/>
          <w:i/>
          <w:sz w:val="14"/>
          <w:szCs w:val="14"/>
        </w:rPr>
        <w:t>Background</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Paper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by</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the</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Secretariat</w:t>
      </w:r>
      <w:proofErr w:type="spellEnd"/>
      <w:r w:rsidRPr="00853AD5">
        <w:rPr>
          <w:rFonts w:ascii="Arial" w:hAnsi="Arial" w:cs="Arial"/>
          <w:sz w:val="14"/>
          <w:szCs w:val="14"/>
        </w:rPr>
        <w:t>. pp. 6-17.</w:t>
      </w:r>
    </w:p>
  </w:footnote>
  <w:footnote w:id="52">
    <w:p w14:paraId="14D0025C"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Se puede aplicar la prueba de </w:t>
      </w:r>
      <w:proofErr w:type="spellStart"/>
      <w:r w:rsidRPr="00853AD5">
        <w:rPr>
          <w:rFonts w:ascii="Arial" w:hAnsi="Arial" w:cs="Arial"/>
          <w:sz w:val="14"/>
          <w:szCs w:val="14"/>
        </w:rPr>
        <w:t>Elzinga-Hogarty</w:t>
      </w:r>
      <w:proofErr w:type="spellEnd"/>
      <w:r w:rsidRPr="00853AD5">
        <w:rPr>
          <w:rFonts w:ascii="Arial" w:hAnsi="Arial" w:cs="Arial"/>
          <w:sz w:val="14"/>
          <w:szCs w:val="14"/>
        </w:rPr>
        <w:t>, la cual consiste en analizar el porcentaje de ventas hechas por empresas ubicadas dentro de la zona focal y a consumidores ubicados en la zona focal; si dichos porcentajes se encuentra entre 75% y 90%, las zonas geográficas analizadas pertenecen al mismo MR.</w:t>
      </w:r>
    </w:p>
    <w:p w14:paraId="0AF75253" w14:textId="77777777" w:rsidR="00FD6552" w:rsidRPr="00853AD5" w:rsidRDefault="00FD6552" w:rsidP="003545C8">
      <w:pPr>
        <w:pStyle w:val="Textonotapie"/>
        <w:rPr>
          <w:rFonts w:ascii="Arial" w:hAnsi="Arial" w:cs="Arial"/>
          <w:sz w:val="14"/>
          <w:szCs w:val="14"/>
        </w:rPr>
      </w:pPr>
      <w:r w:rsidRPr="00853AD5">
        <w:rPr>
          <w:rFonts w:ascii="Arial" w:hAnsi="Arial" w:cs="Arial"/>
          <w:sz w:val="14"/>
          <w:szCs w:val="14"/>
        </w:rPr>
        <w:t xml:space="preserve">Cuando se analice información de importaciones, se debe tener cuidado debido a que la existencia de importaciones no siempre significa que el mercado es internacional, por varias razones: i) las importaciones pueden provenir solo de operaciones internacionales de proveedores nacionales; </w:t>
      </w:r>
      <w:proofErr w:type="spellStart"/>
      <w:r w:rsidRPr="00853AD5">
        <w:rPr>
          <w:rFonts w:ascii="Arial" w:hAnsi="Arial" w:cs="Arial"/>
          <w:sz w:val="14"/>
          <w:szCs w:val="14"/>
        </w:rPr>
        <w:t>ii</w:t>
      </w:r>
      <w:proofErr w:type="spellEnd"/>
      <w:r w:rsidRPr="00853AD5">
        <w:rPr>
          <w:rFonts w:ascii="Arial" w:hAnsi="Arial" w:cs="Arial"/>
          <w:sz w:val="14"/>
          <w:szCs w:val="14"/>
        </w:rPr>
        <w:t xml:space="preserve">) los proveedores internacionales pueden requerir inversiones sustanciales para establecer redes de distribución o marcas de sus productos en el país de destino; y </w:t>
      </w:r>
      <w:proofErr w:type="spellStart"/>
      <w:r w:rsidRPr="00853AD5">
        <w:rPr>
          <w:rFonts w:ascii="Arial" w:hAnsi="Arial" w:cs="Arial"/>
          <w:sz w:val="14"/>
          <w:szCs w:val="14"/>
        </w:rPr>
        <w:t>iii</w:t>
      </w:r>
      <w:proofErr w:type="spellEnd"/>
      <w:r w:rsidRPr="00853AD5">
        <w:rPr>
          <w:rFonts w:ascii="Arial" w:hAnsi="Arial" w:cs="Arial"/>
          <w:sz w:val="14"/>
          <w:szCs w:val="14"/>
        </w:rPr>
        <w:t>) puede haber limitantes al volumen de importaciones en el país de destino. Estos factores pueden significar que los proveedores internaciones no representan una restricción suficiente para los proveedores nacionales. Asimismo, la falta de importaciones no significa necesariamente que el mercado no puede ser internacional, pues el potencial para las importaciones puede ser una fuente importante de sustitución si los precios se incrementan.</w:t>
      </w:r>
    </w:p>
  </w:footnote>
  <w:footnote w:id="53">
    <w:p w14:paraId="4D1DF7E5"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Por sus </w:t>
      </w:r>
      <w:proofErr w:type="spellStart"/>
      <w:r w:rsidRPr="00853AD5">
        <w:rPr>
          <w:rFonts w:ascii="Arial" w:hAnsi="Arial" w:cs="Arial"/>
          <w:sz w:val="14"/>
          <w:szCs w:val="14"/>
          <w:lang w:val="en-US"/>
        </w:rPr>
        <w:t>siglas</w:t>
      </w:r>
      <w:proofErr w:type="spellEnd"/>
      <w:r w:rsidRPr="00853AD5">
        <w:rPr>
          <w:rFonts w:ascii="Arial" w:hAnsi="Arial" w:cs="Arial"/>
          <w:sz w:val="14"/>
          <w:szCs w:val="14"/>
          <w:lang w:val="en-US"/>
        </w:rPr>
        <w:t xml:space="preserve"> </w:t>
      </w:r>
      <w:proofErr w:type="spellStart"/>
      <w:r w:rsidRPr="00853AD5">
        <w:rPr>
          <w:rFonts w:ascii="Arial" w:hAnsi="Arial" w:cs="Arial"/>
          <w:sz w:val="14"/>
          <w:szCs w:val="14"/>
          <w:lang w:val="en-US"/>
        </w:rPr>
        <w:t>en</w:t>
      </w:r>
      <w:proofErr w:type="spellEnd"/>
      <w:r w:rsidRPr="00853AD5">
        <w:rPr>
          <w:rFonts w:ascii="Arial" w:hAnsi="Arial" w:cs="Arial"/>
          <w:sz w:val="14"/>
          <w:szCs w:val="14"/>
          <w:lang w:val="en-US"/>
        </w:rPr>
        <w:t xml:space="preserve"> </w:t>
      </w:r>
      <w:proofErr w:type="spellStart"/>
      <w:r w:rsidRPr="00853AD5">
        <w:rPr>
          <w:rFonts w:ascii="Arial" w:hAnsi="Arial" w:cs="Arial"/>
          <w:sz w:val="14"/>
          <w:szCs w:val="14"/>
          <w:lang w:val="en-US"/>
        </w:rPr>
        <w:t>inglés</w:t>
      </w:r>
      <w:proofErr w:type="spellEnd"/>
      <w:r w:rsidRPr="00853AD5">
        <w:rPr>
          <w:rFonts w:ascii="Arial" w:hAnsi="Arial" w:cs="Arial"/>
          <w:sz w:val="14"/>
          <w:szCs w:val="14"/>
          <w:lang w:val="en-US"/>
        </w:rPr>
        <w:t xml:space="preserve"> "</w:t>
      </w:r>
      <w:r w:rsidRPr="00853AD5">
        <w:rPr>
          <w:rFonts w:ascii="Arial" w:hAnsi="Arial" w:cs="Arial"/>
          <w:i/>
          <w:sz w:val="14"/>
          <w:szCs w:val="14"/>
          <w:lang w:val="en-US"/>
        </w:rPr>
        <w:t>Small but Significant Non-Transitory Increase in Price</w:t>
      </w:r>
      <w:r w:rsidRPr="00853AD5">
        <w:rPr>
          <w:rFonts w:ascii="Arial" w:hAnsi="Arial" w:cs="Arial"/>
          <w:sz w:val="14"/>
          <w:szCs w:val="14"/>
          <w:lang w:val="en-US"/>
        </w:rPr>
        <w:t>”.</w:t>
      </w:r>
    </w:p>
  </w:footnote>
  <w:footnote w:id="54">
    <w:p w14:paraId="11BBD972"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Cabe señalar que la alta correlación positiva en los precios de un producto en dos zonas geográficas no es evidencia suficiente para concluir que ambas zonas geográficas pertenecen al mismo MR. No obstante, si la correlación entre los precios de dos zonas geográficas es negativa o poco significativa, es un indicio fuerte de que las zonas geográficas no pertenecen al mismo MR.</w:t>
      </w:r>
    </w:p>
  </w:footnote>
  <w:footnote w:id="55">
    <w:p w14:paraId="6E91A84D" w14:textId="77777777" w:rsidR="00FD6552" w:rsidRPr="00853AD5" w:rsidRDefault="00FD6552" w:rsidP="003545C8">
      <w:pPr>
        <w:pStyle w:val="Textonotapie"/>
        <w:rPr>
          <w:rFonts w:ascii="Arial" w:hAnsi="Arial" w:cs="Arial"/>
          <w:i/>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w:t>
      </w:r>
      <w:r w:rsidRPr="00853AD5">
        <w:rPr>
          <w:rFonts w:ascii="Arial" w:hAnsi="Arial" w:cs="Arial"/>
          <w:b/>
          <w:i/>
          <w:sz w:val="14"/>
          <w:szCs w:val="14"/>
        </w:rPr>
        <w:t>Artículo 6.</w:t>
      </w:r>
      <w:r w:rsidRPr="00853AD5">
        <w:rPr>
          <w:rFonts w:ascii="Arial" w:hAnsi="Arial" w:cs="Arial"/>
          <w:i/>
          <w:sz w:val="14"/>
          <w:szCs w:val="14"/>
        </w:rPr>
        <w:t xml:space="preserve"> El Instituto considerará que es poco probable que una concentración tiene por objeto o efecto obstaculizar, disminuir, dañar o impedir la competencia y la libre concurrencia, cuando posteriormente a ésta suceda alguna de las siguientes situaciones:</w:t>
      </w:r>
    </w:p>
    <w:p w14:paraId="64F29386" w14:textId="77777777" w:rsidR="00FD6552" w:rsidRPr="00853AD5" w:rsidRDefault="00FD6552" w:rsidP="005E23E0">
      <w:pPr>
        <w:pStyle w:val="Textonotapie"/>
        <w:numPr>
          <w:ilvl w:val="0"/>
          <w:numId w:val="13"/>
        </w:numPr>
        <w:jc w:val="both"/>
        <w:rPr>
          <w:rFonts w:ascii="Arial" w:hAnsi="Arial" w:cs="Arial"/>
          <w:i/>
          <w:sz w:val="14"/>
          <w:szCs w:val="14"/>
        </w:rPr>
      </w:pPr>
      <w:r w:rsidRPr="00853AD5">
        <w:rPr>
          <w:rFonts w:ascii="Arial" w:hAnsi="Arial" w:cs="Arial"/>
          <w:i/>
          <w:sz w:val="14"/>
          <w:szCs w:val="14"/>
        </w:rPr>
        <w:t xml:space="preserve">IHH </w:t>
      </w:r>
      <m:oMath>
        <m:r>
          <w:rPr>
            <w:rFonts w:ascii="Cambria Math" w:hAnsi="Cambria Math" w:cs="Arial"/>
            <w:sz w:val="14"/>
            <w:szCs w:val="14"/>
          </w:rPr>
          <m:t>≤</m:t>
        </m:r>
      </m:oMath>
      <w:r w:rsidRPr="00853AD5">
        <w:rPr>
          <w:rFonts w:ascii="Arial" w:hAnsi="Arial" w:cs="Arial"/>
          <w:i/>
          <w:sz w:val="14"/>
          <w:szCs w:val="14"/>
        </w:rPr>
        <w:t xml:space="preserve"> 2,000 puntos;</w:t>
      </w:r>
    </w:p>
    <w:p w14:paraId="491257C4" w14:textId="77777777" w:rsidR="00FD6552" w:rsidRPr="00853AD5" w:rsidRDefault="00FD6552" w:rsidP="005E23E0">
      <w:pPr>
        <w:pStyle w:val="Textonotapie"/>
        <w:numPr>
          <w:ilvl w:val="0"/>
          <w:numId w:val="13"/>
        </w:numPr>
        <w:jc w:val="both"/>
        <w:rPr>
          <w:rFonts w:ascii="Arial" w:hAnsi="Arial" w:cs="Arial"/>
          <w:i/>
          <w:sz w:val="14"/>
          <w:szCs w:val="14"/>
        </w:rPr>
      </w:pPr>
      <w:r w:rsidRPr="00853AD5">
        <w:rPr>
          <w:rFonts w:ascii="Arial" w:hAnsi="Arial" w:cs="Arial"/>
          <w:i/>
          <w:sz w:val="14"/>
          <w:szCs w:val="14"/>
        </w:rPr>
        <w:t xml:space="preserve">2,000 </w:t>
      </w:r>
      <m:oMath>
        <m:r>
          <w:rPr>
            <w:rFonts w:ascii="Cambria Math" w:hAnsi="Cambria Math" w:cs="Arial"/>
            <w:sz w:val="14"/>
            <w:szCs w:val="14"/>
          </w:rPr>
          <m:t>&lt;</m:t>
        </m:r>
      </m:oMath>
      <w:r w:rsidRPr="00853AD5">
        <w:rPr>
          <w:rFonts w:ascii="Arial" w:eastAsiaTheme="minorEastAsia" w:hAnsi="Arial" w:cs="Arial"/>
          <w:i/>
          <w:sz w:val="14"/>
          <w:szCs w:val="14"/>
        </w:rPr>
        <w:t xml:space="preserve"> IHH </w:t>
      </w:r>
      <m:oMath>
        <m:r>
          <w:rPr>
            <w:rFonts w:ascii="Cambria Math" w:hAnsi="Cambria Math" w:cs="Arial"/>
            <w:sz w:val="14"/>
            <w:szCs w:val="14"/>
          </w:rPr>
          <m:t>≤</m:t>
        </m:r>
      </m:oMath>
      <w:r w:rsidRPr="00853AD5">
        <w:rPr>
          <w:rFonts w:ascii="Arial" w:eastAsiaTheme="minorEastAsia" w:hAnsi="Arial" w:cs="Arial"/>
          <w:i/>
          <w:sz w:val="14"/>
          <w:szCs w:val="14"/>
        </w:rPr>
        <w:t xml:space="preserve"> 3,000 y </w:t>
      </w:r>
      <m:oMath>
        <m:r>
          <w:rPr>
            <w:rFonts w:ascii="Cambria Math" w:eastAsiaTheme="minorEastAsia" w:hAnsi="Cambria Math" w:cs="Arial"/>
            <w:sz w:val="14"/>
            <w:szCs w:val="14"/>
          </w:rPr>
          <m:t>∆</m:t>
        </m:r>
      </m:oMath>
      <w:r w:rsidRPr="00853AD5">
        <w:rPr>
          <w:rFonts w:ascii="Arial" w:eastAsiaTheme="minorEastAsia" w:hAnsi="Arial" w:cs="Arial"/>
          <w:i/>
          <w:sz w:val="14"/>
          <w:szCs w:val="14"/>
        </w:rPr>
        <w:t xml:space="preserve">HH </w:t>
      </w:r>
      <m:oMath>
        <m:r>
          <w:rPr>
            <w:rFonts w:ascii="Cambria Math" w:hAnsi="Cambria Math" w:cs="Arial"/>
            <w:sz w:val="14"/>
            <w:szCs w:val="14"/>
          </w:rPr>
          <m:t>≤</m:t>
        </m:r>
      </m:oMath>
      <w:r w:rsidRPr="00853AD5">
        <w:rPr>
          <w:rFonts w:ascii="Arial" w:eastAsiaTheme="minorEastAsia" w:hAnsi="Arial" w:cs="Arial"/>
          <w:i/>
          <w:sz w:val="14"/>
          <w:szCs w:val="14"/>
        </w:rPr>
        <w:t xml:space="preserve"> 150 puntos; o</w:t>
      </w:r>
    </w:p>
    <w:p w14:paraId="5FBDDD1B" w14:textId="77777777" w:rsidR="00FD6552" w:rsidRPr="00853AD5" w:rsidRDefault="00FD6552" w:rsidP="005E23E0">
      <w:pPr>
        <w:pStyle w:val="Textonotapie"/>
        <w:numPr>
          <w:ilvl w:val="0"/>
          <w:numId w:val="13"/>
        </w:numPr>
        <w:jc w:val="both"/>
        <w:rPr>
          <w:rFonts w:ascii="Arial" w:hAnsi="Arial" w:cs="Arial"/>
          <w:i/>
          <w:sz w:val="14"/>
          <w:szCs w:val="14"/>
        </w:rPr>
      </w:pPr>
      <w:r w:rsidRPr="00853AD5">
        <w:rPr>
          <w:rFonts w:ascii="Arial" w:hAnsi="Arial" w:cs="Arial"/>
          <w:i/>
          <w:sz w:val="14"/>
          <w:szCs w:val="14"/>
        </w:rPr>
        <w:t xml:space="preserve">IHH </w:t>
      </w:r>
      <m:oMath>
        <m:r>
          <w:rPr>
            <w:rFonts w:ascii="Cambria Math" w:hAnsi="Cambria Math" w:cs="Arial"/>
            <w:sz w:val="14"/>
            <w:szCs w:val="14"/>
          </w:rPr>
          <m:t>&gt;</m:t>
        </m:r>
      </m:oMath>
      <w:r w:rsidRPr="00853AD5">
        <w:rPr>
          <w:rFonts w:ascii="Arial" w:eastAsiaTheme="minorEastAsia" w:hAnsi="Arial" w:cs="Arial"/>
          <w:i/>
          <w:sz w:val="14"/>
          <w:szCs w:val="14"/>
        </w:rPr>
        <w:t xml:space="preserve">3,000 y </w:t>
      </w:r>
      <m:oMath>
        <m:r>
          <w:rPr>
            <w:rFonts w:ascii="Cambria Math" w:eastAsiaTheme="minorEastAsia" w:hAnsi="Cambria Math" w:cs="Arial"/>
            <w:sz w:val="14"/>
            <w:szCs w:val="14"/>
          </w:rPr>
          <m:t>∆</m:t>
        </m:r>
      </m:oMath>
      <w:r w:rsidRPr="00853AD5">
        <w:rPr>
          <w:rFonts w:ascii="Arial" w:eastAsiaTheme="minorEastAsia" w:hAnsi="Arial" w:cs="Arial"/>
          <w:i/>
          <w:sz w:val="14"/>
          <w:szCs w:val="14"/>
        </w:rPr>
        <w:t xml:space="preserve">HH </w:t>
      </w:r>
      <m:oMath>
        <m:r>
          <w:rPr>
            <w:rFonts w:ascii="Cambria Math" w:hAnsi="Cambria Math" w:cs="Arial"/>
            <w:sz w:val="14"/>
            <w:szCs w:val="14"/>
          </w:rPr>
          <m:t>≤</m:t>
        </m:r>
      </m:oMath>
      <w:r w:rsidRPr="00853AD5">
        <w:rPr>
          <w:rFonts w:ascii="Arial" w:eastAsiaTheme="minorEastAsia" w:hAnsi="Arial" w:cs="Arial"/>
          <w:i/>
          <w:sz w:val="14"/>
          <w:szCs w:val="14"/>
        </w:rPr>
        <w:t xml:space="preserve"> 100 puntos.</w:t>
      </w:r>
    </w:p>
  </w:footnote>
  <w:footnote w:id="56">
    <w:p w14:paraId="11D84C06" w14:textId="77777777" w:rsidR="00FD6552" w:rsidRPr="00853AD5" w:rsidRDefault="00FD6552" w:rsidP="003545C8">
      <w:pPr>
        <w:pStyle w:val="Textonotapie"/>
        <w:rPr>
          <w:rFonts w:ascii="Arial" w:hAnsi="Arial" w:cs="Arial"/>
          <w:i/>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w:t>
      </w:r>
      <w:r w:rsidRPr="00853AD5">
        <w:rPr>
          <w:rFonts w:ascii="Arial" w:hAnsi="Arial" w:cs="Arial"/>
          <w:b/>
          <w:i/>
          <w:sz w:val="14"/>
          <w:szCs w:val="14"/>
        </w:rPr>
        <w:t xml:space="preserve">Artículo 7. </w:t>
      </w:r>
      <w:r w:rsidRPr="00853AD5">
        <w:rPr>
          <w:rFonts w:ascii="Arial" w:hAnsi="Arial" w:cs="Arial"/>
          <w:i/>
          <w:sz w:val="14"/>
          <w:szCs w:val="14"/>
        </w:rPr>
        <w:t xml:space="preserve">Aun cuando una concentración implique valores de IHH y de la </w:t>
      </w:r>
      <m:oMath>
        <m:r>
          <w:rPr>
            <w:rFonts w:ascii="Cambria Math" w:eastAsiaTheme="minorEastAsia" w:hAnsi="Cambria Math" w:cs="Arial"/>
            <w:sz w:val="14"/>
            <w:szCs w:val="14"/>
          </w:rPr>
          <m:t>∆</m:t>
        </m:r>
      </m:oMath>
      <w:r w:rsidRPr="00853AD5">
        <w:rPr>
          <w:rFonts w:ascii="Arial" w:eastAsiaTheme="minorEastAsia" w:hAnsi="Arial" w:cs="Arial"/>
          <w:i/>
          <w:sz w:val="14"/>
          <w:szCs w:val="14"/>
        </w:rPr>
        <w:t xml:space="preserve">HH se ubiquen dentro de los umbrales establecidos en el numeral anterior, </w:t>
      </w:r>
      <w:r w:rsidRPr="00853AD5">
        <w:rPr>
          <w:rFonts w:ascii="Arial" w:hAnsi="Arial" w:cs="Arial"/>
          <w:i/>
          <w:sz w:val="14"/>
          <w:szCs w:val="14"/>
        </w:rPr>
        <w:t>el Instituto podrá considerar que existen potenciales riesgos de que ésta tiene por objeto o efecto obstaculizar, disminuir, dañar o impedir la competencia y la libre concurrencia, si sucede una o varias de las siguientes circunstancias:</w:t>
      </w:r>
    </w:p>
    <w:p w14:paraId="31E93548" w14:textId="77777777" w:rsidR="00FD6552" w:rsidRPr="00853AD5" w:rsidRDefault="00FD6552" w:rsidP="005E23E0">
      <w:pPr>
        <w:pStyle w:val="Default"/>
        <w:numPr>
          <w:ilvl w:val="0"/>
          <w:numId w:val="14"/>
        </w:numPr>
        <w:jc w:val="both"/>
        <w:rPr>
          <w:i/>
          <w:sz w:val="14"/>
          <w:szCs w:val="14"/>
        </w:rPr>
      </w:pPr>
      <w:r w:rsidRPr="00853AD5">
        <w:rPr>
          <w:i/>
          <w:sz w:val="14"/>
          <w:szCs w:val="14"/>
        </w:rPr>
        <w:t xml:space="preserve">Los agentes económicos involucrados en la concentración tengan o puedan llegar a adquirir poder sustancial en mercados relacionados; </w:t>
      </w:r>
    </w:p>
    <w:p w14:paraId="5AADE059" w14:textId="77777777" w:rsidR="00FD6552" w:rsidRPr="00853AD5" w:rsidRDefault="00FD6552" w:rsidP="005E23E0">
      <w:pPr>
        <w:pStyle w:val="Default"/>
        <w:numPr>
          <w:ilvl w:val="0"/>
          <w:numId w:val="14"/>
        </w:numPr>
        <w:jc w:val="both"/>
        <w:rPr>
          <w:i/>
          <w:sz w:val="14"/>
          <w:szCs w:val="14"/>
        </w:rPr>
      </w:pPr>
      <w:r w:rsidRPr="00853AD5">
        <w:rPr>
          <w:i/>
          <w:sz w:val="14"/>
          <w:szCs w:val="14"/>
        </w:rPr>
        <w:t xml:space="preserve">Los agentes económicos involucrados en la concentración alcancen una participación superior al treinta y cinco por ciento; </w:t>
      </w:r>
    </w:p>
    <w:p w14:paraId="5B84A453" w14:textId="77777777" w:rsidR="00FD6552" w:rsidRPr="00853AD5" w:rsidRDefault="00FD6552" w:rsidP="005E23E0">
      <w:pPr>
        <w:pStyle w:val="Default"/>
        <w:numPr>
          <w:ilvl w:val="0"/>
          <w:numId w:val="14"/>
        </w:numPr>
        <w:jc w:val="both"/>
        <w:rPr>
          <w:i/>
          <w:sz w:val="14"/>
          <w:szCs w:val="14"/>
        </w:rPr>
      </w:pPr>
      <w:r w:rsidRPr="00853AD5">
        <w:rPr>
          <w:i/>
          <w:sz w:val="14"/>
          <w:szCs w:val="14"/>
        </w:rPr>
        <w:t xml:space="preserve">El agente económico adquirido es un agente económico disruptivo (conocido como </w:t>
      </w:r>
      <w:proofErr w:type="spellStart"/>
      <w:r w:rsidRPr="00853AD5">
        <w:rPr>
          <w:i/>
          <w:iCs/>
          <w:sz w:val="14"/>
          <w:szCs w:val="14"/>
        </w:rPr>
        <w:t>maverick</w:t>
      </w:r>
      <w:proofErr w:type="spellEnd"/>
      <w:r w:rsidRPr="00853AD5">
        <w:rPr>
          <w:i/>
          <w:iCs/>
          <w:sz w:val="14"/>
          <w:szCs w:val="14"/>
        </w:rPr>
        <w:t xml:space="preserve"> </w:t>
      </w:r>
      <w:r w:rsidRPr="00853AD5">
        <w:rPr>
          <w:i/>
          <w:sz w:val="14"/>
          <w:szCs w:val="14"/>
        </w:rPr>
        <w:t xml:space="preserve">en inglés) que se distinga, por ejemplo, por introducir o desarrollar nuevas tecnologías o modelos de negocios o que pueda disciplinar los precios con base en su habilidad e incentivos a expandirse rápidamente; </w:t>
      </w:r>
    </w:p>
    <w:p w14:paraId="0AA0F6DF" w14:textId="77777777" w:rsidR="00FD6552" w:rsidRPr="00853AD5" w:rsidRDefault="00FD6552" w:rsidP="005E23E0">
      <w:pPr>
        <w:pStyle w:val="Default"/>
        <w:numPr>
          <w:ilvl w:val="0"/>
          <w:numId w:val="14"/>
        </w:numPr>
        <w:jc w:val="both"/>
        <w:rPr>
          <w:i/>
          <w:sz w:val="14"/>
          <w:szCs w:val="14"/>
        </w:rPr>
      </w:pPr>
      <w:r w:rsidRPr="00853AD5">
        <w:rPr>
          <w:i/>
          <w:sz w:val="14"/>
          <w:szCs w:val="14"/>
        </w:rPr>
        <w:t xml:space="preserve">Uno o más de los agentes económicos involucrados en la concentración haya participado dentro de los últimos cinco años en operaciones previas en el mismo mercado y que consideradas en conjunto con la concentración analizada, rebasen los umbrales referidos en el Artículo 6 del presente Criterio Técnico; </w:t>
      </w:r>
    </w:p>
    <w:p w14:paraId="5C2B8002" w14:textId="77777777" w:rsidR="00FD6552" w:rsidRPr="00853AD5" w:rsidRDefault="00FD6552" w:rsidP="005E23E0">
      <w:pPr>
        <w:pStyle w:val="Default"/>
        <w:numPr>
          <w:ilvl w:val="0"/>
          <w:numId w:val="14"/>
        </w:numPr>
        <w:jc w:val="both"/>
        <w:rPr>
          <w:i/>
          <w:sz w:val="14"/>
          <w:szCs w:val="14"/>
        </w:rPr>
      </w:pPr>
      <w:r w:rsidRPr="00853AD5">
        <w:rPr>
          <w:i/>
          <w:sz w:val="14"/>
          <w:szCs w:val="14"/>
        </w:rPr>
        <w:t>La concentración pueda generar incentivos o facilitar la coordinación entre los agentes económicos que participen en el mercado analizado o mercados relacionados;</w:t>
      </w:r>
    </w:p>
  </w:footnote>
  <w:footnote w:id="57">
    <w:p w14:paraId="0BDAB302"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Guía de Concentraciones. p. 65. </w:t>
      </w:r>
    </w:p>
  </w:footnote>
  <w:footnote w:id="58">
    <w:p w14:paraId="601204E1"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ED4548">
        <w:rPr>
          <w:rFonts w:ascii="Arial" w:hAnsi="Arial" w:cs="Arial"/>
          <w:sz w:val="14"/>
          <w:szCs w:val="14"/>
        </w:rPr>
        <w:t xml:space="preserve"> OCDE (2016). </w:t>
      </w:r>
      <w:r w:rsidRPr="00853AD5">
        <w:rPr>
          <w:rFonts w:ascii="Arial" w:hAnsi="Arial" w:cs="Arial"/>
          <w:i/>
          <w:sz w:val="14"/>
          <w:szCs w:val="14"/>
          <w:lang w:val="en-US"/>
        </w:rPr>
        <w:t>Defining Geographic Markets Across National Borders.</w:t>
      </w:r>
      <w:r w:rsidRPr="00853AD5">
        <w:rPr>
          <w:rFonts w:ascii="Arial" w:hAnsi="Arial" w:cs="Arial"/>
          <w:sz w:val="14"/>
          <w:szCs w:val="14"/>
          <w:lang w:val="en-US"/>
        </w:rPr>
        <w:t xml:space="preserve"> </w:t>
      </w:r>
      <w:proofErr w:type="spellStart"/>
      <w:r w:rsidRPr="00853AD5">
        <w:rPr>
          <w:rFonts w:ascii="Arial" w:hAnsi="Arial" w:cs="Arial"/>
          <w:i/>
          <w:sz w:val="14"/>
          <w:szCs w:val="14"/>
        </w:rPr>
        <w:t>Background</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Paper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by</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the</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Secretariat</w:t>
      </w:r>
      <w:proofErr w:type="spellEnd"/>
      <w:r w:rsidRPr="00853AD5">
        <w:rPr>
          <w:rFonts w:ascii="Arial" w:hAnsi="Arial" w:cs="Arial"/>
          <w:i/>
          <w:sz w:val="14"/>
          <w:szCs w:val="14"/>
        </w:rPr>
        <w:t>.</w:t>
      </w:r>
      <w:r w:rsidRPr="00853AD5">
        <w:rPr>
          <w:rFonts w:ascii="Arial" w:hAnsi="Arial" w:cs="Arial"/>
          <w:sz w:val="14"/>
          <w:szCs w:val="14"/>
        </w:rPr>
        <w:t xml:space="preserve"> p. 6.</w:t>
      </w:r>
    </w:p>
  </w:footnote>
  <w:footnote w:id="59">
    <w:p w14:paraId="2E520B93"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1C92C618" w14:textId="77777777" w:rsidR="00FD6552" w:rsidRPr="00853AD5" w:rsidRDefault="00FD6552" w:rsidP="005E23E0">
      <w:pPr>
        <w:pStyle w:val="Textonotapie"/>
        <w:numPr>
          <w:ilvl w:val="0"/>
          <w:numId w:val="28"/>
        </w:numPr>
        <w:jc w:val="both"/>
        <w:rPr>
          <w:rStyle w:val="Refdenotaalpie"/>
          <w:rFonts w:ascii="Arial" w:hAnsi="Arial" w:cs="Arial"/>
          <w:sz w:val="14"/>
          <w:szCs w:val="14"/>
        </w:rPr>
      </w:pPr>
      <w:r w:rsidRPr="00853AD5">
        <w:rPr>
          <w:rFonts w:ascii="Arial" w:hAnsi="Arial" w:cs="Arial"/>
          <w:sz w:val="14"/>
          <w:szCs w:val="14"/>
        </w:rPr>
        <w:t xml:space="preserve">Instituto (2014). </w:t>
      </w:r>
      <w:r w:rsidRPr="00853AD5">
        <w:rPr>
          <w:rFonts w:ascii="Arial" w:hAnsi="Arial" w:cs="Arial"/>
          <w:i/>
          <w:sz w:val="14"/>
          <w:szCs w:val="14"/>
        </w:rPr>
        <w:t>RESOLUCIÓN MEDIANTE LA CUAL EL PLENO DEL INSTITUTO FEDERAL DE TELECOMUNICACIONES AUTORIZA QUE SE REALICE LA CONCENTRACIÓN RADICADA BAJO El EXPEDIENTE NO. UCE/CNC-004-2014, NOTIFICADA POR SIXSIGMA NETWORKS MÉXICO, S.A. DE C.V. Y METRO NET, S.A.P.I. DE C.V.</w:t>
      </w:r>
      <w:r w:rsidRPr="00853AD5">
        <w:rPr>
          <w:rFonts w:ascii="Arial" w:hAnsi="Arial" w:cs="Arial"/>
          <w:sz w:val="14"/>
          <w:szCs w:val="14"/>
        </w:rPr>
        <w:t xml:space="preserve"> Acuerdo P/IFT/011014/332, disponible en: </w:t>
      </w:r>
      <w:hyperlink r:id="rId61" w:history="1">
        <w:r w:rsidRPr="00853AD5">
          <w:rPr>
            <w:rStyle w:val="Hipervnculo"/>
            <w:rFonts w:ascii="Arial" w:hAnsi="Arial" w:cs="Arial"/>
            <w:color w:val="0563C1"/>
            <w:sz w:val="14"/>
            <w:szCs w:val="14"/>
          </w:rPr>
          <w:t>http</w:t>
        </w:r>
        <w:r w:rsidRPr="00853AD5">
          <w:rPr>
            <w:rStyle w:val="Hipervnculo"/>
            <w:rFonts w:ascii="Arial" w:hAnsi="Arial" w:cs="Arial"/>
            <w:sz w:val="14"/>
            <w:szCs w:val="14"/>
          </w:rPr>
          <w:t>://apps.ift.org.mx/publicdata/P_IFT_011014_332_Version_Publica_UCE.pdf</w:t>
        </w:r>
      </w:hyperlink>
      <w:r w:rsidRPr="00853AD5">
        <w:rPr>
          <w:rStyle w:val="Refdenotaalpie"/>
          <w:rFonts w:ascii="Arial" w:hAnsi="Arial" w:cs="Arial"/>
          <w:i/>
          <w:sz w:val="14"/>
          <w:szCs w:val="14"/>
        </w:rPr>
        <w:t>.</w:t>
      </w:r>
    </w:p>
    <w:p w14:paraId="45C6495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(2015). </w:t>
      </w:r>
      <w:r w:rsidRPr="00853AD5">
        <w:rPr>
          <w:rFonts w:ascii="Arial" w:hAnsi="Arial" w:cs="Arial"/>
          <w:i/>
          <w:sz w:val="14"/>
          <w:szCs w:val="14"/>
        </w:rPr>
        <w:t xml:space="preserve">RESOLUCIÓN MEDIANTE LA CUAL EL PLENO DEL INSTITUTO FEDERAL DE TELECOMUNICACIONES AUTORIZA QUE SE REALICE LA CONCENTRACIÓN RADICADA BAJO EL EXPEDIENTE NO. UCE/CNC-007-2014, NOTIFICADA POR MEXICO TOWER PARTNERS, S.A.P.I. DE C.V. Y TGA TOWER VENTURES, S.A. DE C.V. </w:t>
      </w:r>
      <w:r w:rsidRPr="00853AD5">
        <w:rPr>
          <w:rFonts w:ascii="Arial" w:hAnsi="Arial" w:cs="Arial"/>
          <w:sz w:val="14"/>
          <w:szCs w:val="14"/>
        </w:rPr>
        <w:t xml:space="preserve">Acuerdo P/IFT/180315/93, disponible en: </w:t>
      </w:r>
      <w:hyperlink r:id="rId62" w:history="1">
        <w:r w:rsidRPr="00853AD5">
          <w:rPr>
            <w:rStyle w:val="Hipervnculo"/>
            <w:rFonts w:ascii="Arial" w:hAnsi="Arial" w:cs="Arial"/>
            <w:sz w:val="14"/>
            <w:szCs w:val="14"/>
          </w:rPr>
          <w:t>http://apps.ift.org.mx/publicdata/vppift18031593.pdf</w:t>
        </w:r>
      </w:hyperlink>
      <w:r w:rsidRPr="00853AD5">
        <w:rPr>
          <w:rFonts w:ascii="Arial" w:hAnsi="Arial" w:cs="Arial"/>
          <w:sz w:val="14"/>
          <w:szCs w:val="14"/>
        </w:rPr>
        <w:t xml:space="preserve">  </w:t>
      </w:r>
    </w:p>
    <w:p w14:paraId="62F807B6"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w:t>
      </w:r>
      <w:r w:rsidRPr="00853AD5">
        <w:rPr>
          <w:rFonts w:ascii="Arial" w:hAnsi="Arial" w:cs="Arial"/>
          <w:b/>
          <w:bCs/>
          <w:sz w:val="14"/>
          <w:szCs w:val="14"/>
        </w:rPr>
        <w:t xml:space="preserve"> </w:t>
      </w:r>
      <w:r w:rsidRPr="00853AD5">
        <w:rPr>
          <w:rFonts w:ascii="Arial" w:hAnsi="Arial" w:cs="Arial"/>
          <w:i/>
          <w:sz w:val="14"/>
          <w:szCs w:val="14"/>
        </w:rPr>
        <w:t xml:space="preserve">RESOLUCIÓN MEDIANTE LA CUAL EL PLENO DEL INSTITUTO FEDERAL DE TELECOMUNICACIONES AUTORIZA LLEVAR A CABO LA CONCENTRACIÓN RADICADA BAJO EL EXPEDIENTE NO. </w:t>
      </w:r>
      <w:r w:rsidRPr="00853AD5">
        <w:rPr>
          <w:rFonts w:ascii="Arial" w:hAnsi="Arial" w:cs="Arial"/>
          <w:i/>
          <w:sz w:val="14"/>
          <w:szCs w:val="14"/>
          <w:lang w:val="en-US"/>
        </w:rPr>
        <w:t xml:space="preserve">UCE/CNC-004-2016, NOTIFICADA POR AT&amp;T INC., WEST MERGER SUB INC. </w:t>
      </w:r>
      <w:r w:rsidRPr="00853AD5">
        <w:rPr>
          <w:rFonts w:ascii="Arial" w:hAnsi="Arial" w:cs="Arial"/>
          <w:i/>
          <w:sz w:val="14"/>
          <w:szCs w:val="14"/>
        </w:rPr>
        <w:t>Y TIME WARNER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P/IFT/150817/487.</w:t>
      </w:r>
      <w:r w:rsidRPr="00853AD5" w:rsidDel="000C0367">
        <w:rPr>
          <w:rFonts w:ascii="Arial" w:hAnsi="Arial" w:cs="Arial"/>
          <w:bCs/>
          <w:sz w:val="14"/>
          <w:szCs w:val="14"/>
        </w:rPr>
        <w:t xml:space="preserve"> </w:t>
      </w:r>
    </w:p>
    <w:p w14:paraId="604CB60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(2017). </w:t>
      </w:r>
      <w:r w:rsidRPr="00853AD5">
        <w:rPr>
          <w:rFonts w:ascii="Arial" w:hAnsi="Arial" w:cs="Arial"/>
          <w:i/>
          <w:sz w:val="14"/>
          <w:szCs w:val="14"/>
        </w:rPr>
        <w:t xml:space="preserve">Resolución mediante la cual el Pleno del Instituto Federal de Telecomunicaciones autoriza llevar a cabo la concentración radicada bajo el expediente No. UCE/CNC-003-2016, notificada por Utrera, S.A. de C.V., Grupo MVS, S.A. de C.V., el C. XXXXXXXXXXXXXXXXXXXX, </w:t>
      </w:r>
      <w:proofErr w:type="spellStart"/>
      <w:r w:rsidRPr="00853AD5">
        <w:rPr>
          <w:rFonts w:ascii="Arial" w:hAnsi="Arial" w:cs="Arial"/>
          <w:i/>
          <w:sz w:val="14"/>
          <w:szCs w:val="14"/>
        </w:rPr>
        <w:t>Radiomóvil</w:t>
      </w:r>
      <w:proofErr w:type="spellEnd"/>
      <w:r w:rsidRPr="00853AD5">
        <w:rPr>
          <w:rFonts w:ascii="Arial" w:hAnsi="Arial" w:cs="Arial"/>
          <w:i/>
          <w:sz w:val="14"/>
          <w:szCs w:val="14"/>
        </w:rPr>
        <w:t xml:space="preserve"> Dipsa, S.A. de C.V. y AMOV IV, S.A. de C.V. </w:t>
      </w:r>
      <w:r w:rsidRPr="00853AD5">
        <w:rPr>
          <w:rFonts w:ascii="Arial" w:hAnsi="Arial" w:cs="Arial"/>
          <w:sz w:val="14"/>
          <w:szCs w:val="14"/>
        </w:rPr>
        <w:t xml:space="preserve">Acuerdo P/IFT/270417/221.  </w:t>
      </w:r>
    </w:p>
    <w:p w14:paraId="79F0B788"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(2019). </w:t>
      </w:r>
      <w:r w:rsidRPr="00853AD5">
        <w:rPr>
          <w:rFonts w:ascii="Arial" w:hAnsi="Arial" w:cs="Arial"/>
          <w:i/>
          <w:sz w:val="14"/>
          <w:szCs w:val="14"/>
        </w:rPr>
        <w:t xml:space="preserve">RESOLUCIÓN MEDIANTE LA CUAL EL PLENO DEL INSTITUTO FEDERAL DE TELECOMUNICACIONES RESUELVE SOBRE LA CONCENTRACIÓN RADICADA BAJO EL EXPEDIENTE NO. UCE/CNC-001-2019, NOTIFICADA POR COMMSCOPE HOLDING COMPANY, INC. Y ARRIS INTERNÁTIONAL PLC. </w:t>
      </w:r>
      <w:r w:rsidRPr="00853AD5">
        <w:rPr>
          <w:rFonts w:ascii="Arial" w:hAnsi="Arial" w:cs="Arial"/>
          <w:sz w:val="14"/>
          <w:szCs w:val="14"/>
        </w:rPr>
        <w:t>Acuerdo P/IFT/030419/169. Disponible en:</w:t>
      </w:r>
    </w:p>
    <w:p w14:paraId="22BDE00F" w14:textId="77777777" w:rsidR="00FD6552" w:rsidRPr="00853AD5" w:rsidRDefault="00FD6552" w:rsidP="005E23E0">
      <w:pPr>
        <w:pStyle w:val="Textonotapie"/>
        <w:numPr>
          <w:ilvl w:val="0"/>
          <w:numId w:val="28"/>
        </w:numPr>
        <w:jc w:val="both"/>
        <w:rPr>
          <w:rFonts w:ascii="Arial" w:hAnsi="Arial" w:cs="Arial"/>
          <w:sz w:val="14"/>
          <w:szCs w:val="14"/>
        </w:rPr>
      </w:pPr>
      <w:hyperlink r:id="rId63" w:history="1">
        <w:r w:rsidRPr="00853AD5">
          <w:rPr>
            <w:rStyle w:val="Hipervnculo"/>
            <w:rFonts w:ascii="Arial" w:hAnsi="Arial" w:cs="Arial"/>
            <w:sz w:val="14"/>
            <w:szCs w:val="14"/>
          </w:rPr>
          <w:t>http://www.ift.org.mx/sites/default/files/conocenos/pleno/sesiones/acuerdoliga/vppift030419169noct.pdf</w:t>
        </w:r>
      </w:hyperlink>
      <w:r w:rsidRPr="00853AD5">
        <w:rPr>
          <w:rFonts w:ascii="Arial" w:hAnsi="Arial" w:cs="Arial"/>
          <w:sz w:val="14"/>
          <w:szCs w:val="14"/>
        </w:rPr>
        <w:t xml:space="preserve">  </w:t>
      </w:r>
    </w:p>
    <w:p w14:paraId="69495878"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(2019). </w:t>
      </w:r>
      <w:r w:rsidRPr="00853AD5">
        <w:rPr>
          <w:rFonts w:ascii="Arial" w:hAnsi="Arial" w:cs="Arial"/>
          <w:i/>
          <w:sz w:val="14"/>
          <w:szCs w:val="14"/>
        </w:rPr>
        <w:t>RESOLUCIÓN MEDIANTE LA CUAL EL PLENO DEL INSTITUTO FEDERAL DE TELECOMUNICACIONES AUTORIZA QUE SE REALICE LA CONCENTRACIÓN RADICADA BAJO EL EXPEDIENTE NO. UCE/CNC-003-2019, NOTIFICADA POR GRUPO TELEVISA S.A.B., PROMO-INDUSTRIAS METROPOLITANAS, S.A. DE C.V., EMILIO FERNANDO AZCÁRRAGA JEAN, CORPORATIVO CORAL S.A. DE C.V., CADENA RADIÓPOLIS, S.A DE C.V., RADIOTELEVISORA DE MEXICALI, S.A. DE C.V., CADENA RADIODIFUSORA MEXICANA S.A. DE C.V., RADIO MELODÍA. S.A., RADIO TAPATIA. S.A. DE C.V., XEZZ S.A DE C.V. Y SISTEMA RADIÓPOLIS, S.A. DE C.V., CONFORME AL PROCEDIMIENTO PREVISTO EN EL ARTICULO 92 DE LA LEY FEDERAL DE COMPETENCIA ECONÓMICA</w:t>
      </w:r>
      <w:r w:rsidRPr="00853AD5">
        <w:rPr>
          <w:rFonts w:ascii="Arial" w:hAnsi="Arial" w:cs="Arial"/>
          <w:sz w:val="14"/>
          <w:szCs w:val="14"/>
        </w:rPr>
        <w:t xml:space="preserve">. Acuerdo P/IFT/210819/432. Disponible en: </w:t>
      </w:r>
      <w:hyperlink r:id="rId64" w:history="1">
        <w:r w:rsidRPr="00853AD5">
          <w:rPr>
            <w:rStyle w:val="Hipervnculo"/>
            <w:rFonts w:ascii="Arial" w:hAnsi="Arial" w:cs="Arial"/>
            <w:sz w:val="14"/>
            <w:szCs w:val="14"/>
          </w:rPr>
          <w:t>http://apps.ift.org.mx/publicdata/VP_P_IFT_210819_432.pdf</w:t>
        </w:r>
      </w:hyperlink>
    </w:p>
  </w:footnote>
  <w:footnote w:id="60">
    <w:p w14:paraId="3DD3D633"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Guía de Concentraciones. p. 65. </w:t>
      </w:r>
    </w:p>
  </w:footnote>
  <w:footnote w:id="61">
    <w:p w14:paraId="02CD3DDE"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Style w:val="Refdenotaalpie"/>
          <w:rFonts w:ascii="Arial" w:hAnsi="Arial" w:cs="Arial"/>
          <w:sz w:val="14"/>
          <w:szCs w:val="14"/>
        </w:rPr>
        <w:t xml:space="preserve"> </w:t>
      </w:r>
      <w:r w:rsidRPr="00853AD5">
        <w:rPr>
          <w:rFonts w:ascii="Arial" w:hAnsi="Arial" w:cs="Arial"/>
          <w:sz w:val="14"/>
          <w:szCs w:val="14"/>
        </w:rPr>
        <w:t xml:space="preserve">ICN (2006). </w:t>
      </w:r>
      <w:r w:rsidRPr="00853AD5">
        <w:rPr>
          <w:rFonts w:ascii="Arial" w:hAnsi="Arial" w:cs="Arial"/>
          <w:i/>
          <w:sz w:val="14"/>
          <w:szCs w:val="14"/>
          <w:lang w:val="en-US"/>
        </w:rPr>
        <w:t xml:space="preserve">ICN Merger Guidelines Workbook. </w:t>
      </w:r>
      <w:r w:rsidRPr="00853AD5">
        <w:rPr>
          <w:rFonts w:ascii="Arial" w:hAnsi="Arial" w:cs="Arial"/>
          <w:sz w:val="14"/>
          <w:szCs w:val="14"/>
          <w:lang w:val="en-US"/>
        </w:rPr>
        <w:t>pp. 15 - 20</w:t>
      </w:r>
      <w:r w:rsidRPr="00853AD5" w:rsidDel="0036275B">
        <w:rPr>
          <w:rFonts w:ascii="Arial" w:hAnsi="Arial" w:cs="Arial"/>
          <w:sz w:val="14"/>
          <w:szCs w:val="14"/>
          <w:lang w:val="en-US"/>
        </w:rPr>
        <w:t xml:space="preserve"> </w:t>
      </w:r>
    </w:p>
  </w:footnote>
  <w:footnote w:id="62">
    <w:p w14:paraId="16CB313D"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(2016). </w:t>
      </w:r>
      <w:r w:rsidRPr="00853AD5">
        <w:rPr>
          <w:rFonts w:ascii="Arial" w:hAnsi="Arial" w:cs="Arial"/>
          <w:i/>
          <w:sz w:val="14"/>
          <w:szCs w:val="14"/>
          <w:lang w:val="en-US"/>
        </w:rPr>
        <w:t>Defining Geographic Markets Across National Borders.</w:t>
      </w:r>
      <w:r w:rsidRPr="00853AD5">
        <w:rPr>
          <w:rFonts w:ascii="Arial" w:hAnsi="Arial" w:cs="Arial"/>
          <w:sz w:val="14"/>
          <w:szCs w:val="14"/>
          <w:lang w:val="en-US"/>
        </w:rPr>
        <w:t xml:space="preserve"> </w:t>
      </w:r>
      <w:r w:rsidRPr="00853AD5">
        <w:rPr>
          <w:rFonts w:ascii="Arial" w:hAnsi="Arial" w:cs="Arial"/>
          <w:i/>
          <w:sz w:val="14"/>
          <w:szCs w:val="14"/>
          <w:lang w:val="en-US"/>
        </w:rPr>
        <w:t>Background Paper by the Secretariat.</w:t>
      </w:r>
      <w:r w:rsidRPr="00853AD5">
        <w:rPr>
          <w:rFonts w:ascii="Arial" w:hAnsi="Arial" w:cs="Arial"/>
          <w:sz w:val="14"/>
          <w:szCs w:val="14"/>
          <w:lang w:val="en-US"/>
        </w:rPr>
        <w:t xml:space="preserve"> p. 6.</w:t>
      </w:r>
    </w:p>
  </w:footnote>
  <w:footnote w:id="63">
    <w:p w14:paraId="0C2C9E7F"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DOJ y FTC (2010). </w:t>
      </w:r>
      <w:r w:rsidRPr="00853AD5">
        <w:rPr>
          <w:rFonts w:ascii="Arial" w:hAnsi="Arial" w:cs="Arial"/>
          <w:i/>
          <w:sz w:val="14"/>
          <w:szCs w:val="14"/>
          <w:lang w:val="en-US"/>
        </w:rPr>
        <w:t>Horizontal Merger Guidelines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65" w:history="1">
        <w:r w:rsidRPr="00853AD5">
          <w:rPr>
            <w:rStyle w:val="Hipervnculo"/>
            <w:rFonts w:ascii="Arial" w:hAnsi="Arial" w:cs="Arial"/>
            <w:sz w:val="14"/>
            <w:szCs w:val="14"/>
          </w:rPr>
          <w:t>https://apps.fcc.gov/edocs_public/attachmatch/FCC-15-94A1.pdf</w:t>
        </w:r>
      </w:hyperlink>
      <w:r w:rsidRPr="00853AD5">
        <w:rPr>
          <w:rFonts w:ascii="Arial" w:hAnsi="Arial" w:cs="Arial"/>
          <w:sz w:val="14"/>
          <w:szCs w:val="14"/>
        </w:rPr>
        <w:t xml:space="preserve">  </w:t>
      </w:r>
    </w:p>
  </w:footnote>
  <w:footnote w:id="64">
    <w:p w14:paraId="26C9347F"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CE (1997). </w:t>
      </w:r>
      <w:r w:rsidRPr="00853AD5">
        <w:rPr>
          <w:rFonts w:ascii="Arial" w:hAnsi="Arial" w:cs="Arial"/>
          <w:i/>
          <w:sz w:val="14"/>
          <w:szCs w:val="14"/>
        </w:rPr>
        <w:t>COMUNICACIÓN DE LA COMISIÓN relativa a la definición de mercado de referencia a efectos de la normativa comunitaria en materia de competencia.</w:t>
      </w:r>
      <w:r w:rsidRPr="00853AD5">
        <w:rPr>
          <w:rFonts w:ascii="Arial" w:hAnsi="Arial" w:cs="Arial"/>
          <w:sz w:val="14"/>
          <w:szCs w:val="14"/>
        </w:rPr>
        <w:t xml:space="preserve"> </w:t>
      </w:r>
    </w:p>
  </w:footnote>
  <w:footnote w:id="65">
    <w:p w14:paraId="0FEFB51F"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7A041696"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ACCC (2017). </w:t>
      </w:r>
      <w:r w:rsidRPr="00853AD5">
        <w:rPr>
          <w:rFonts w:ascii="Arial" w:hAnsi="Arial" w:cs="Arial"/>
          <w:i/>
          <w:sz w:val="14"/>
          <w:szCs w:val="14"/>
        </w:rPr>
        <w:t xml:space="preserve">Media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xml:space="preserve">. p. 4. Disponible en </w:t>
      </w:r>
      <w:hyperlink r:id="rId66" w:history="1">
        <w:r w:rsidRPr="00853AD5">
          <w:rPr>
            <w:rStyle w:val="Hipervnculo"/>
            <w:rFonts w:ascii="Arial" w:hAnsi="Arial" w:cs="Arial"/>
            <w:sz w:val="14"/>
            <w:szCs w:val="14"/>
          </w:rPr>
          <w:t>https://www.accc.gov.au/system/files/Media%20Merger%20Guidelines%202017_0.pdf</w:t>
        </w:r>
      </w:hyperlink>
    </w:p>
    <w:p w14:paraId="09E37EC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color w:val="000000"/>
          <w:sz w:val="14"/>
          <w:szCs w:val="14"/>
          <w:shd w:val="clear" w:color="auto" w:fill="FFFFFF"/>
        </w:rPr>
        <w:t xml:space="preserve">ACCC (2008). </w:t>
      </w:r>
      <w:proofErr w:type="spellStart"/>
      <w:r w:rsidRPr="00853AD5">
        <w:rPr>
          <w:rFonts w:ascii="Arial" w:hAnsi="Arial" w:cs="Arial"/>
          <w:i/>
          <w:color w:val="000000"/>
          <w:sz w:val="14"/>
          <w:szCs w:val="14"/>
          <w:shd w:val="clear" w:color="auto" w:fill="FFFFFF"/>
        </w:rPr>
        <w:t>Merger</w:t>
      </w:r>
      <w:proofErr w:type="spellEnd"/>
      <w:r w:rsidRPr="00853AD5">
        <w:rPr>
          <w:rFonts w:ascii="Arial" w:hAnsi="Arial" w:cs="Arial"/>
          <w:i/>
          <w:color w:val="000000"/>
          <w:sz w:val="14"/>
          <w:szCs w:val="14"/>
          <w:shd w:val="clear" w:color="auto" w:fill="FFFFFF"/>
        </w:rPr>
        <w:t xml:space="preserve"> </w:t>
      </w:r>
      <w:proofErr w:type="spellStart"/>
      <w:r w:rsidRPr="00853AD5">
        <w:rPr>
          <w:rFonts w:ascii="Arial" w:hAnsi="Arial" w:cs="Arial"/>
          <w:i/>
          <w:color w:val="000000"/>
          <w:sz w:val="14"/>
          <w:szCs w:val="14"/>
          <w:shd w:val="clear" w:color="auto" w:fill="FFFFFF"/>
        </w:rPr>
        <w:t>Guidelines</w:t>
      </w:r>
      <w:proofErr w:type="spellEnd"/>
      <w:r w:rsidRPr="00853AD5">
        <w:rPr>
          <w:rFonts w:ascii="Arial" w:hAnsi="Arial" w:cs="Arial"/>
          <w:color w:val="000000"/>
          <w:sz w:val="14"/>
          <w:szCs w:val="14"/>
          <w:shd w:val="clear" w:color="auto" w:fill="FFFFFF"/>
        </w:rPr>
        <w:t xml:space="preserve"> (actualización 2017). </w:t>
      </w:r>
      <w:r w:rsidRPr="00853AD5">
        <w:rPr>
          <w:rFonts w:ascii="Arial" w:hAnsi="Arial" w:cs="Arial"/>
          <w:sz w:val="14"/>
          <w:szCs w:val="14"/>
        </w:rPr>
        <w:t xml:space="preserve">p. 13. </w:t>
      </w:r>
    </w:p>
  </w:footnote>
  <w:footnote w:id="66">
    <w:p w14:paraId="7782EBDC" w14:textId="77777777" w:rsidR="00FD6552" w:rsidRPr="00853AD5" w:rsidRDefault="00FD6552" w:rsidP="003545C8">
      <w:pPr>
        <w:spacing w:after="0" w:line="240" w:lineRule="auto"/>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749F3BC6" w14:textId="77777777" w:rsidR="00FD6552" w:rsidRPr="00853AD5" w:rsidRDefault="00FD6552" w:rsidP="005E23E0">
      <w:pPr>
        <w:pStyle w:val="Prrafodelista"/>
        <w:numPr>
          <w:ilvl w:val="0"/>
          <w:numId w:val="28"/>
        </w:numPr>
        <w:spacing w:after="0" w:line="240" w:lineRule="auto"/>
        <w:jc w:val="both"/>
        <w:rPr>
          <w:rFonts w:ascii="Arial" w:hAnsi="Arial" w:cs="Arial"/>
          <w:sz w:val="14"/>
          <w:szCs w:val="14"/>
        </w:rPr>
      </w:pPr>
      <w:r w:rsidRPr="00853AD5">
        <w:rPr>
          <w:rFonts w:ascii="Arial" w:hAnsi="Arial" w:cs="Arial"/>
          <w:sz w:val="14"/>
          <w:szCs w:val="14"/>
        </w:rPr>
        <w:t xml:space="preserve">Autoridad de Competencia. </w:t>
      </w:r>
      <w:proofErr w:type="spellStart"/>
      <w:r w:rsidRPr="00853AD5">
        <w:rPr>
          <w:rFonts w:ascii="Arial" w:hAnsi="Arial" w:cs="Arial"/>
          <w:i/>
          <w:sz w:val="14"/>
          <w:szCs w:val="14"/>
        </w:rPr>
        <w:t>Linhas</w:t>
      </w:r>
      <w:proofErr w:type="spellEnd"/>
      <w:r w:rsidRPr="00853AD5">
        <w:rPr>
          <w:rFonts w:ascii="Arial" w:hAnsi="Arial" w:cs="Arial"/>
          <w:i/>
          <w:sz w:val="14"/>
          <w:szCs w:val="14"/>
        </w:rPr>
        <w:t xml:space="preserve"> de </w:t>
      </w:r>
      <w:proofErr w:type="spellStart"/>
      <w:r w:rsidRPr="00853AD5">
        <w:rPr>
          <w:rFonts w:ascii="Arial" w:hAnsi="Arial" w:cs="Arial"/>
          <w:i/>
          <w:sz w:val="14"/>
          <w:szCs w:val="14"/>
        </w:rPr>
        <w:t>Orientação</w:t>
      </w:r>
      <w:proofErr w:type="spellEnd"/>
      <w:r w:rsidRPr="00853AD5">
        <w:rPr>
          <w:rFonts w:ascii="Arial" w:hAnsi="Arial" w:cs="Arial"/>
          <w:i/>
          <w:sz w:val="14"/>
          <w:szCs w:val="14"/>
        </w:rPr>
        <w:t xml:space="preserve"> para a </w:t>
      </w:r>
      <w:proofErr w:type="spellStart"/>
      <w:r w:rsidRPr="00853AD5">
        <w:rPr>
          <w:rFonts w:ascii="Arial" w:hAnsi="Arial" w:cs="Arial"/>
          <w:i/>
          <w:sz w:val="14"/>
          <w:szCs w:val="14"/>
        </w:rPr>
        <w:t>Análise</w:t>
      </w:r>
      <w:proofErr w:type="spellEnd"/>
      <w:r w:rsidRPr="00853AD5">
        <w:rPr>
          <w:rFonts w:ascii="Arial" w:hAnsi="Arial" w:cs="Arial"/>
          <w:i/>
          <w:sz w:val="14"/>
          <w:szCs w:val="14"/>
        </w:rPr>
        <w:t xml:space="preserve"> Económica de </w:t>
      </w:r>
      <w:proofErr w:type="spellStart"/>
      <w:r w:rsidRPr="00853AD5">
        <w:rPr>
          <w:rFonts w:ascii="Arial" w:hAnsi="Arial" w:cs="Arial"/>
          <w:i/>
          <w:sz w:val="14"/>
          <w:szCs w:val="14"/>
        </w:rPr>
        <w:t>Operações</w:t>
      </w:r>
      <w:proofErr w:type="spellEnd"/>
      <w:r w:rsidRPr="00853AD5">
        <w:rPr>
          <w:rFonts w:ascii="Arial" w:hAnsi="Arial" w:cs="Arial"/>
          <w:i/>
          <w:sz w:val="14"/>
          <w:szCs w:val="14"/>
        </w:rPr>
        <w:t xml:space="preserve"> de </w:t>
      </w:r>
      <w:proofErr w:type="spellStart"/>
      <w:r w:rsidRPr="00853AD5">
        <w:rPr>
          <w:rFonts w:ascii="Arial" w:hAnsi="Arial" w:cs="Arial"/>
          <w:i/>
          <w:sz w:val="14"/>
          <w:szCs w:val="14"/>
        </w:rPr>
        <w:t>Concentração</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Horizontais</w:t>
      </w:r>
      <w:proofErr w:type="spellEnd"/>
      <w:r w:rsidRPr="00853AD5">
        <w:rPr>
          <w:rFonts w:ascii="Arial" w:hAnsi="Arial" w:cs="Arial"/>
          <w:sz w:val="14"/>
          <w:szCs w:val="14"/>
        </w:rPr>
        <w:t xml:space="preserve">. p. 2. Disponible en: </w:t>
      </w:r>
      <w:hyperlink r:id="rId67" w:history="1">
        <w:r w:rsidRPr="00853AD5">
          <w:rPr>
            <w:rStyle w:val="Hipervnculo"/>
            <w:rFonts w:ascii="Arial" w:hAnsi="Arial" w:cs="Arial"/>
            <w:sz w:val="14"/>
            <w:szCs w:val="14"/>
          </w:rPr>
          <w:t>http://www.concorrencia.pt/vPT/Noticias_Eventos/ConsultasPublicas/Documents/Linhas%20de%20Orienta%C3%A7%C3%A3o%20para%20a%20An%C3%A1lise%20Econ%C3%B3mica%20de%20Opera%C3%A7%C3%B5es%20de%20Concentra%C3%A7%C3%A3o%20Horizontais.pdf</w:t>
        </w:r>
      </w:hyperlink>
      <w:r w:rsidRPr="00853AD5">
        <w:rPr>
          <w:rFonts w:ascii="Arial" w:hAnsi="Arial" w:cs="Arial"/>
          <w:sz w:val="14"/>
          <w:szCs w:val="14"/>
        </w:rPr>
        <w:t xml:space="preserve"> </w:t>
      </w:r>
    </w:p>
    <w:p w14:paraId="1BC507A7" w14:textId="77777777" w:rsidR="00FD6552" w:rsidRPr="00853AD5" w:rsidRDefault="00FD6552" w:rsidP="005E23E0">
      <w:pPr>
        <w:pStyle w:val="Prrafodelista"/>
        <w:numPr>
          <w:ilvl w:val="0"/>
          <w:numId w:val="28"/>
        </w:numPr>
        <w:spacing w:after="0" w:line="240" w:lineRule="auto"/>
        <w:jc w:val="both"/>
        <w:rPr>
          <w:rFonts w:ascii="Arial" w:hAnsi="Arial" w:cs="Arial"/>
          <w:sz w:val="14"/>
          <w:szCs w:val="14"/>
        </w:rPr>
      </w:pPr>
      <w:r w:rsidRPr="00853AD5">
        <w:rPr>
          <w:rFonts w:ascii="Arial" w:hAnsi="Arial" w:cs="Arial"/>
          <w:sz w:val="14"/>
          <w:szCs w:val="14"/>
        </w:rPr>
        <w:t xml:space="preserve">Autoridad de Competencia (2013). </w:t>
      </w:r>
      <w:proofErr w:type="spellStart"/>
      <w:r w:rsidRPr="00853AD5">
        <w:rPr>
          <w:rFonts w:ascii="Arial" w:hAnsi="Arial" w:cs="Arial"/>
          <w:i/>
          <w:sz w:val="14"/>
          <w:szCs w:val="14"/>
        </w:rPr>
        <w:t>Ccent</w:t>
      </w:r>
      <w:proofErr w:type="spellEnd"/>
      <w:r w:rsidRPr="00853AD5">
        <w:rPr>
          <w:rFonts w:ascii="Arial" w:hAnsi="Arial" w:cs="Arial"/>
          <w:i/>
          <w:sz w:val="14"/>
          <w:szCs w:val="14"/>
        </w:rPr>
        <w:t xml:space="preserve">. 5/2013 </w:t>
      </w:r>
      <w:proofErr w:type="spellStart"/>
      <w:r w:rsidRPr="00853AD5">
        <w:rPr>
          <w:rFonts w:ascii="Arial" w:hAnsi="Arial" w:cs="Arial"/>
          <w:i/>
          <w:sz w:val="14"/>
          <w:szCs w:val="14"/>
        </w:rPr>
        <w:t>Kento</w:t>
      </w:r>
      <w:proofErr w:type="spellEnd"/>
      <w:r w:rsidRPr="00853AD5">
        <w:rPr>
          <w:rFonts w:ascii="Arial" w:hAnsi="Arial" w:cs="Arial"/>
          <w:i/>
          <w:sz w:val="14"/>
          <w:szCs w:val="14"/>
        </w:rPr>
        <w:t>*Unitel*</w:t>
      </w:r>
      <w:proofErr w:type="spellStart"/>
      <w:r w:rsidRPr="00853AD5">
        <w:rPr>
          <w:rFonts w:ascii="Arial" w:hAnsi="Arial" w:cs="Arial"/>
          <w:i/>
          <w:sz w:val="14"/>
          <w:szCs w:val="14"/>
        </w:rPr>
        <w:t>Sonaecom</w:t>
      </w:r>
      <w:proofErr w:type="spellEnd"/>
      <w:r w:rsidRPr="00853AD5">
        <w:rPr>
          <w:rFonts w:ascii="Arial" w:hAnsi="Arial" w:cs="Arial"/>
          <w:i/>
          <w:sz w:val="14"/>
          <w:szCs w:val="14"/>
        </w:rPr>
        <w:t>/ZON*Optimus.</w:t>
      </w:r>
    </w:p>
  </w:footnote>
  <w:footnote w:id="67">
    <w:p w14:paraId="70C35AB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CBC (2011).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Enforcement</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xml:space="preserve">. </w:t>
      </w:r>
    </w:p>
  </w:footnote>
  <w:footnote w:id="68">
    <w:p w14:paraId="117C48DF" w14:textId="77777777" w:rsidR="00FD6552" w:rsidRPr="00853AD5" w:rsidRDefault="00FD6552" w:rsidP="003545C8">
      <w:pPr>
        <w:pStyle w:val="Textonotapie"/>
        <w:rPr>
          <w:rFonts w:ascii="Arial" w:hAnsi="Arial" w:cs="Arial"/>
          <w:i/>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w:t>
      </w:r>
      <w:r w:rsidRPr="00853AD5">
        <w:rPr>
          <w:rFonts w:ascii="Arial" w:hAnsi="Arial" w:cs="Arial"/>
          <w:b/>
          <w:i/>
          <w:sz w:val="14"/>
          <w:szCs w:val="14"/>
        </w:rPr>
        <w:t>Artículo 6.</w:t>
      </w:r>
      <w:r w:rsidRPr="00853AD5">
        <w:rPr>
          <w:rFonts w:ascii="Arial" w:hAnsi="Arial" w:cs="Arial"/>
          <w:i/>
          <w:sz w:val="14"/>
          <w:szCs w:val="14"/>
        </w:rPr>
        <w:t xml:space="preserve"> El Instituto considerará que es poco probable que una concentración tiene por objeto o efecto obstaculizar, disminuir, dañar o impedir la competencia y la libre concurrencia, cuando posteriormente a ésta suceda alguna de las siguientes situaciones:</w:t>
      </w:r>
    </w:p>
    <w:p w14:paraId="68044895" w14:textId="77777777" w:rsidR="00FD6552" w:rsidRPr="00853AD5" w:rsidRDefault="00FD6552" w:rsidP="005E23E0">
      <w:pPr>
        <w:pStyle w:val="Textonotapie"/>
        <w:numPr>
          <w:ilvl w:val="0"/>
          <w:numId w:val="25"/>
        </w:numPr>
        <w:jc w:val="both"/>
        <w:rPr>
          <w:rFonts w:ascii="Arial" w:hAnsi="Arial" w:cs="Arial"/>
          <w:i/>
          <w:sz w:val="14"/>
          <w:szCs w:val="14"/>
        </w:rPr>
      </w:pPr>
      <w:r w:rsidRPr="00853AD5">
        <w:rPr>
          <w:rFonts w:ascii="Arial" w:hAnsi="Arial" w:cs="Arial"/>
          <w:i/>
          <w:sz w:val="14"/>
          <w:szCs w:val="14"/>
        </w:rPr>
        <w:t xml:space="preserve">IHH </w:t>
      </w:r>
      <m:oMath>
        <m:r>
          <w:rPr>
            <w:rFonts w:ascii="Cambria Math" w:hAnsi="Cambria Math" w:cs="Arial"/>
            <w:sz w:val="14"/>
            <w:szCs w:val="14"/>
          </w:rPr>
          <m:t>≤</m:t>
        </m:r>
      </m:oMath>
      <w:r w:rsidRPr="00853AD5">
        <w:rPr>
          <w:rFonts w:ascii="Arial" w:hAnsi="Arial" w:cs="Arial"/>
          <w:i/>
          <w:sz w:val="14"/>
          <w:szCs w:val="14"/>
        </w:rPr>
        <w:t xml:space="preserve"> 2,000 puntos;</w:t>
      </w:r>
    </w:p>
    <w:p w14:paraId="07617777" w14:textId="77777777" w:rsidR="00FD6552" w:rsidRPr="00853AD5" w:rsidRDefault="00FD6552" w:rsidP="005E23E0">
      <w:pPr>
        <w:pStyle w:val="Textonotapie"/>
        <w:numPr>
          <w:ilvl w:val="0"/>
          <w:numId w:val="25"/>
        </w:numPr>
        <w:jc w:val="both"/>
        <w:rPr>
          <w:rFonts w:ascii="Arial" w:hAnsi="Arial" w:cs="Arial"/>
          <w:i/>
          <w:sz w:val="14"/>
          <w:szCs w:val="14"/>
        </w:rPr>
      </w:pPr>
      <w:r w:rsidRPr="00853AD5">
        <w:rPr>
          <w:rFonts w:ascii="Arial" w:hAnsi="Arial" w:cs="Arial"/>
          <w:i/>
          <w:sz w:val="14"/>
          <w:szCs w:val="14"/>
        </w:rPr>
        <w:t xml:space="preserve">2,000 </w:t>
      </w:r>
      <m:oMath>
        <m:r>
          <w:rPr>
            <w:rFonts w:ascii="Cambria Math" w:hAnsi="Cambria Math" w:cs="Arial"/>
            <w:sz w:val="14"/>
            <w:szCs w:val="14"/>
          </w:rPr>
          <m:t>&lt;</m:t>
        </m:r>
      </m:oMath>
      <w:r w:rsidRPr="00853AD5">
        <w:rPr>
          <w:rFonts w:ascii="Arial" w:eastAsiaTheme="minorEastAsia" w:hAnsi="Arial" w:cs="Arial"/>
          <w:i/>
          <w:sz w:val="14"/>
          <w:szCs w:val="14"/>
        </w:rPr>
        <w:t xml:space="preserve"> IHH </w:t>
      </w:r>
      <m:oMath>
        <m:r>
          <w:rPr>
            <w:rFonts w:ascii="Cambria Math" w:hAnsi="Cambria Math" w:cs="Arial"/>
            <w:sz w:val="14"/>
            <w:szCs w:val="14"/>
          </w:rPr>
          <m:t>≤</m:t>
        </m:r>
      </m:oMath>
      <w:r w:rsidRPr="00853AD5">
        <w:rPr>
          <w:rFonts w:ascii="Arial" w:eastAsiaTheme="minorEastAsia" w:hAnsi="Arial" w:cs="Arial"/>
          <w:i/>
          <w:sz w:val="14"/>
          <w:szCs w:val="14"/>
        </w:rPr>
        <w:t xml:space="preserve"> 3,000 y </w:t>
      </w:r>
      <m:oMath>
        <m:r>
          <w:rPr>
            <w:rFonts w:ascii="Cambria Math" w:eastAsiaTheme="minorEastAsia" w:hAnsi="Cambria Math" w:cs="Arial"/>
            <w:sz w:val="14"/>
            <w:szCs w:val="14"/>
          </w:rPr>
          <m:t>∆</m:t>
        </m:r>
      </m:oMath>
      <w:r w:rsidRPr="00853AD5">
        <w:rPr>
          <w:rFonts w:ascii="Arial" w:eastAsiaTheme="minorEastAsia" w:hAnsi="Arial" w:cs="Arial"/>
          <w:i/>
          <w:sz w:val="14"/>
          <w:szCs w:val="14"/>
        </w:rPr>
        <w:t xml:space="preserve">HH </w:t>
      </w:r>
      <m:oMath>
        <m:r>
          <w:rPr>
            <w:rFonts w:ascii="Cambria Math" w:hAnsi="Cambria Math" w:cs="Arial"/>
            <w:sz w:val="14"/>
            <w:szCs w:val="14"/>
          </w:rPr>
          <m:t>≤</m:t>
        </m:r>
      </m:oMath>
      <w:r w:rsidRPr="00853AD5">
        <w:rPr>
          <w:rFonts w:ascii="Arial" w:eastAsiaTheme="minorEastAsia" w:hAnsi="Arial" w:cs="Arial"/>
          <w:i/>
          <w:sz w:val="14"/>
          <w:szCs w:val="14"/>
        </w:rPr>
        <w:t xml:space="preserve"> 150 puntos; o</w:t>
      </w:r>
    </w:p>
    <w:p w14:paraId="4130C2F5" w14:textId="77777777" w:rsidR="00FD6552" w:rsidRPr="00853AD5" w:rsidRDefault="00FD6552" w:rsidP="005E23E0">
      <w:pPr>
        <w:pStyle w:val="Textonotapie"/>
        <w:numPr>
          <w:ilvl w:val="0"/>
          <w:numId w:val="25"/>
        </w:numPr>
        <w:jc w:val="both"/>
        <w:rPr>
          <w:rFonts w:ascii="Arial" w:hAnsi="Arial" w:cs="Arial"/>
          <w:i/>
          <w:sz w:val="14"/>
          <w:szCs w:val="14"/>
        </w:rPr>
      </w:pPr>
      <w:r w:rsidRPr="00853AD5">
        <w:rPr>
          <w:rFonts w:ascii="Arial" w:hAnsi="Arial" w:cs="Arial"/>
          <w:i/>
          <w:sz w:val="14"/>
          <w:szCs w:val="14"/>
        </w:rPr>
        <w:t xml:space="preserve">IHH </w:t>
      </w:r>
      <m:oMath>
        <m:r>
          <w:rPr>
            <w:rFonts w:ascii="Cambria Math" w:hAnsi="Cambria Math" w:cs="Arial"/>
            <w:sz w:val="14"/>
            <w:szCs w:val="14"/>
          </w:rPr>
          <m:t>&gt;</m:t>
        </m:r>
      </m:oMath>
      <w:r w:rsidRPr="00853AD5">
        <w:rPr>
          <w:rFonts w:ascii="Arial" w:eastAsiaTheme="minorEastAsia" w:hAnsi="Arial" w:cs="Arial"/>
          <w:i/>
          <w:sz w:val="14"/>
          <w:szCs w:val="14"/>
        </w:rPr>
        <w:t xml:space="preserve">3,000 y </w:t>
      </w:r>
      <m:oMath>
        <m:r>
          <w:rPr>
            <w:rFonts w:ascii="Cambria Math" w:eastAsiaTheme="minorEastAsia" w:hAnsi="Cambria Math" w:cs="Arial"/>
            <w:sz w:val="14"/>
            <w:szCs w:val="14"/>
          </w:rPr>
          <m:t>∆</m:t>
        </m:r>
      </m:oMath>
      <w:r w:rsidRPr="00853AD5">
        <w:rPr>
          <w:rFonts w:ascii="Arial" w:eastAsiaTheme="minorEastAsia" w:hAnsi="Arial" w:cs="Arial"/>
          <w:i/>
          <w:sz w:val="14"/>
          <w:szCs w:val="14"/>
        </w:rPr>
        <w:t xml:space="preserve">HH </w:t>
      </w:r>
      <m:oMath>
        <m:r>
          <w:rPr>
            <w:rFonts w:ascii="Cambria Math" w:hAnsi="Cambria Math" w:cs="Arial"/>
            <w:sz w:val="14"/>
            <w:szCs w:val="14"/>
          </w:rPr>
          <m:t>≤</m:t>
        </m:r>
      </m:oMath>
      <w:r w:rsidRPr="00853AD5">
        <w:rPr>
          <w:rFonts w:ascii="Arial" w:eastAsiaTheme="minorEastAsia" w:hAnsi="Arial" w:cs="Arial"/>
          <w:i/>
          <w:sz w:val="14"/>
          <w:szCs w:val="14"/>
        </w:rPr>
        <w:t xml:space="preserve"> 100 puntos.</w:t>
      </w:r>
    </w:p>
  </w:footnote>
  <w:footnote w:id="69">
    <w:p w14:paraId="06B409B9" w14:textId="77777777" w:rsidR="00FD6552" w:rsidRPr="00853AD5" w:rsidRDefault="00FD6552" w:rsidP="003545C8">
      <w:pPr>
        <w:pStyle w:val="Textonotapie"/>
        <w:rPr>
          <w:rFonts w:ascii="Arial" w:hAnsi="Arial" w:cs="Arial"/>
          <w:i/>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w:t>
      </w:r>
      <w:r w:rsidRPr="00853AD5">
        <w:rPr>
          <w:rFonts w:ascii="Arial" w:hAnsi="Arial" w:cs="Arial"/>
          <w:b/>
          <w:i/>
          <w:sz w:val="14"/>
          <w:szCs w:val="14"/>
        </w:rPr>
        <w:t xml:space="preserve">Artículo 7. </w:t>
      </w:r>
      <w:r w:rsidRPr="00853AD5">
        <w:rPr>
          <w:rFonts w:ascii="Arial" w:hAnsi="Arial" w:cs="Arial"/>
          <w:i/>
          <w:sz w:val="14"/>
          <w:szCs w:val="14"/>
        </w:rPr>
        <w:t xml:space="preserve">Aun cuando una concentración implique valores de IHH y de la </w:t>
      </w:r>
      <m:oMath>
        <m:r>
          <w:rPr>
            <w:rFonts w:ascii="Cambria Math" w:eastAsiaTheme="minorEastAsia" w:hAnsi="Cambria Math" w:cs="Arial"/>
            <w:sz w:val="14"/>
            <w:szCs w:val="14"/>
          </w:rPr>
          <m:t>∆</m:t>
        </m:r>
      </m:oMath>
      <w:r w:rsidRPr="00853AD5">
        <w:rPr>
          <w:rFonts w:ascii="Arial" w:eastAsiaTheme="minorEastAsia" w:hAnsi="Arial" w:cs="Arial"/>
          <w:i/>
          <w:sz w:val="14"/>
          <w:szCs w:val="14"/>
        </w:rPr>
        <w:t xml:space="preserve">HH se ubiquen dentro de los umbrales establecidos en el numeral anterior, </w:t>
      </w:r>
      <w:r w:rsidRPr="00853AD5">
        <w:rPr>
          <w:rFonts w:ascii="Arial" w:hAnsi="Arial" w:cs="Arial"/>
          <w:i/>
          <w:sz w:val="14"/>
          <w:szCs w:val="14"/>
        </w:rPr>
        <w:t>el Instituto podrá considerar que existen potenciales riesgos de que ésta tiene por objeto o efecto obstaculizar, disminuir, dañar o impedir la competencia y la libre concurrencia, si sucede una o varias de las siguientes circunstancias:</w:t>
      </w:r>
    </w:p>
    <w:p w14:paraId="43E5B415" w14:textId="77777777" w:rsidR="00FD6552" w:rsidRPr="00853AD5" w:rsidRDefault="00FD6552" w:rsidP="005E23E0">
      <w:pPr>
        <w:pStyle w:val="Default"/>
        <w:numPr>
          <w:ilvl w:val="0"/>
          <w:numId w:val="26"/>
        </w:numPr>
        <w:jc w:val="both"/>
        <w:rPr>
          <w:i/>
          <w:sz w:val="14"/>
          <w:szCs w:val="14"/>
        </w:rPr>
      </w:pPr>
      <w:r w:rsidRPr="00853AD5">
        <w:rPr>
          <w:i/>
          <w:sz w:val="14"/>
          <w:szCs w:val="14"/>
        </w:rPr>
        <w:t xml:space="preserve">Los agentes económicos involucrados en la concentración tengan o puedan llegar a adquirir poder sustancial en mercados relacionados; </w:t>
      </w:r>
    </w:p>
    <w:p w14:paraId="5E3A541B" w14:textId="77777777" w:rsidR="00FD6552" w:rsidRPr="00853AD5" w:rsidRDefault="00FD6552" w:rsidP="005E23E0">
      <w:pPr>
        <w:pStyle w:val="Default"/>
        <w:numPr>
          <w:ilvl w:val="0"/>
          <w:numId w:val="26"/>
        </w:numPr>
        <w:jc w:val="both"/>
        <w:rPr>
          <w:i/>
          <w:sz w:val="14"/>
          <w:szCs w:val="14"/>
        </w:rPr>
      </w:pPr>
      <w:r w:rsidRPr="00853AD5">
        <w:rPr>
          <w:i/>
          <w:sz w:val="14"/>
          <w:szCs w:val="14"/>
        </w:rPr>
        <w:t xml:space="preserve">Los agentes económicos involucrados en la concentración alcancen una participación superior al treinta y cinco por ciento; </w:t>
      </w:r>
    </w:p>
    <w:p w14:paraId="7EB97EC6" w14:textId="77777777" w:rsidR="00FD6552" w:rsidRPr="00853AD5" w:rsidRDefault="00FD6552" w:rsidP="005E23E0">
      <w:pPr>
        <w:pStyle w:val="Default"/>
        <w:numPr>
          <w:ilvl w:val="0"/>
          <w:numId w:val="26"/>
        </w:numPr>
        <w:jc w:val="both"/>
        <w:rPr>
          <w:i/>
          <w:sz w:val="14"/>
          <w:szCs w:val="14"/>
        </w:rPr>
      </w:pPr>
      <w:r w:rsidRPr="00853AD5">
        <w:rPr>
          <w:i/>
          <w:sz w:val="14"/>
          <w:szCs w:val="14"/>
        </w:rPr>
        <w:t xml:space="preserve">El agente económico adquirido es un agente económico disruptivo (conocido como </w:t>
      </w:r>
      <w:proofErr w:type="spellStart"/>
      <w:r w:rsidRPr="00853AD5">
        <w:rPr>
          <w:i/>
          <w:iCs/>
          <w:sz w:val="14"/>
          <w:szCs w:val="14"/>
        </w:rPr>
        <w:t>maverick</w:t>
      </w:r>
      <w:proofErr w:type="spellEnd"/>
      <w:r w:rsidRPr="00853AD5">
        <w:rPr>
          <w:i/>
          <w:iCs/>
          <w:sz w:val="14"/>
          <w:szCs w:val="14"/>
        </w:rPr>
        <w:t xml:space="preserve"> </w:t>
      </w:r>
      <w:r w:rsidRPr="00853AD5">
        <w:rPr>
          <w:i/>
          <w:sz w:val="14"/>
          <w:szCs w:val="14"/>
        </w:rPr>
        <w:t xml:space="preserve">en inglés) que se distinga, por ejemplo, por introducir o desarrollar nuevas tecnologías o modelos de negocios o que pueda disciplinar los precios con base en su habilidad e incentivos a expandirse rápidamente; </w:t>
      </w:r>
    </w:p>
    <w:p w14:paraId="2D417282" w14:textId="77777777" w:rsidR="00FD6552" w:rsidRPr="00853AD5" w:rsidRDefault="00FD6552" w:rsidP="005E23E0">
      <w:pPr>
        <w:pStyle w:val="Default"/>
        <w:numPr>
          <w:ilvl w:val="0"/>
          <w:numId w:val="26"/>
        </w:numPr>
        <w:jc w:val="both"/>
        <w:rPr>
          <w:i/>
          <w:sz w:val="14"/>
          <w:szCs w:val="14"/>
        </w:rPr>
      </w:pPr>
      <w:r w:rsidRPr="00853AD5">
        <w:rPr>
          <w:i/>
          <w:sz w:val="14"/>
          <w:szCs w:val="14"/>
        </w:rPr>
        <w:t xml:space="preserve">Uno o más de los agentes económicos involucrados en la concentración haya participado dentro de los últimos cinco años en operaciones previas en el mismo mercado y que consideradas en conjunto con la concentración analizada, rebasen los umbrales referidos en el Artículo 6 del presente Criterio Técnico; </w:t>
      </w:r>
    </w:p>
    <w:p w14:paraId="42D2B360" w14:textId="77777777" w:rsidR="00FD6552" w:rsidRPr="00853AD5" w:rsidRDefault="00FD6552" w:rsidP="005E23E0">
      <w:pPr>
        <w:pStyle w:val="Default"/>
        <w:numPr>
          <w:ilvl w:val="0"/>
          <w:numId w:val="26"/>
        </w:numPr>
        <w:jc w:val="both"/>
        <w:rPr>
          <w:i/>
          <w:sz w:val="14"/>
          <w:szCs w:val="14"/>
        </w:rPr>
      </w:pPr>
      <w:r w:rsidRPr="00853AD5">
        <w:rPr>
          <w:i/>
          <w:sz w:val="14"/>
          <w:szCs w:val="14"/>
        </w:rPr>
        <w:t>La concentración pueda generar incentivos o facilitar la coordinación entre los agentes económicos que participen en el mercado analizado o mercados relacionados;</w:t>
      </w:r>
    </w:p>
  </w:footnote>
  <w:footnote w:id="70">
    <w:p w14:paraId="28385506"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14229748"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w:t>
      </w:r>
      <w:r w:rsidRPr="00853AD5">
        <w:rPr>
          <w:rFonts w:ascii="Arial" w:hAnsi="Arial" w:cs="Arial"/>
          <w:b/>
          <w:bCs/>
          <w:sz w:val="14"/>
          <w:szCs w:val="14"/>
        </w:rPr>
        <w:t xml:space="preserve"> </w:t>
      </w:r>
      <w:r w:rsidRPr="00853AD5">
        <w:rPr>
          <w:rFonts w:ascii="Arial" w:hAnsi="Arial" w:cs="Arial"/>
          <w:i/>
          <w:sz w:val="14"/>
          <w:szCs w:val="14"/>
        </w:rPr>
        <w:t xml:space="preserve">RESOLUCIÓN MEDIANTE LA CUAL EL PLENO DEL INSTITUTO FEDERAL DE TELECOMUNICACIONES AUTORIZA LLEVAR A CABO LA CONCENTRACIÓN RADICADA BAJO EL EXPEDIENTE NO. </w:t>
      </w:r>
      <w:r w:rsidRPr="00853AD5">
        <w:rPr>
          <w:rFonts w:ascii="Arial" w:hAnsi="Arial" w:cs="Arial"/>
          <w:i/>
          <w:sz w:val="14"/>
          <w:szCs w:val="14"/>
          <w:lang w:val="en-US"/>
        </w:rPr>
        <w:t xml:space="preserve">UCE/CNC-004-2016, NOTIFICADA POR AT&amp;T INC., WEST MERGER SUB INC. </w:t>
      </w:r>
      <w:r w:rsidRPr="00853AD5">
        <w:rPr>
          <w:rFonts w:ascii="Arial" w:hAnsi="Arial" w:cs="Arial"/>
          <w:i/>
          <w:sz w:val="14"/>
          <w:szCs w:val="14"/>
        </w:rPr>
        <w:t>Y TIME WARNER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P/IFT/150817/487</w:t>
      </w:r>
    </w:p>
    <w:p w14:paraId="0E125F4E"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(2019). </w:t>
      </w:r>
      <w:r w:rsidRPr="00853AD5">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P/IFT/110319/122</w:t>
      </w:r>
      <w:r w:rsidRPr="00853AD5">
        <w:rPr>
          <w:rFonts w:ascii="Arial" w:hAnsi="Arial" w:cs="Arial"/>
          <w:sz w:val="14"/>
          <w:szCs w:val="14"/>
        </w:rPr>
        <w:t xml:space="preserve"> </w:t>
      </w:r>
    </w:p>
    <w:p w14:paraId="71DEE50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(2016).</w:t>
      </w:r>
      <w:r w:rsidRPr="00853AD5">
        <w:rPr>
          <w:rFonts w:ascii="Arial" w:hAnsi="Arial" w:cs="Arial"/>
          <w:b/>
          <w:bCs/>
          <w:sz w:val="14"/>
          <w:szCs w:val="14"/>
        </w:rPr>
        <w:t xml:space="preserve"> </w:t>
      </w:r>
      <w:r w:rsidRPr="00853AD5">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853AD5">
        <w:rPr>
          <w:rFonts w:ascii="Arial" w:hAnsi="Arial" w:cs="Arial"/>
          <w:sz w:val="14"/>
          <w:szCs w:val="14"/>
        </w:rPr>
        <w:t xml:space="preserve">. Acuerdo </w:t>
      </w:r>
      <w:r w:rsidRPr="00853AD5">
        <w:rPr>
          <w:rFonts w:ascii="Arial" w:hAnsi="Arial" w:cs="Arial"/>
          <w:bCs/>
          <w:sz w:val="14"/>
          <w:szCs w:val="14"/>
        </w:rPr>
        <w:t>P/IFT/EXT/190216/7.</w:t>
      </w:r>
      <w:r w:rsidRPr="00853AD5" w:rsidDel="002C7ED0">
        <w:rPr>
          <w:rFonts w:ascii="Arial" w:hAnsi="Arial" w:cs="Arial"/>
          <w:bCs/>
          <w:sz w:val="14"/>
          <w:szCs w:val="14"/>
        </w:rPr>
        <w:t xml:space="preserve"> </w:t>
      </w:r>
    </w:p>
    <w:p w14:paraId="0F048E57"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(2018). </w:t>
      </w:r>
      <w:r w:rsidRPr="00853AD5">
        <w:rPr>
          <w:rFonts w:ascii="Arial" w:hAnsi="Arial" w:cs="Arial"/>
          <w:i/>
          <w:sz w:val="14"/>
          <w:szCs w:val="14"/>
        </w:rPr>
        <w:t xml:space="preserve">RESOLUCIÓN MEDIANTE LA CUAL EL PLENO DEL INSTITUTO FEDERAL DE TELECOMUNICACIONES RESUELVE SOBRE LA PRÁCTICA MONOPÓLICA RELATIVA PREVISTA EN EL ARTÍCULO 10, FRACCIÓN VIII, DE LA LEY FEDERAL DE COMPETENCIA ECONÓMICA, IMPUTADA A AMÉRICA MÓVIL, S.A.B. DE C.V. Y RADIOMÓVIL DIPSA, S.A. DE C.V. EN EL EXPEDIENTE E-IFT/UCE/DGIPM/PMR/0006/2013. </w:t>
      </w:r>
      <w:r w:rsidRPr="00853AD5">
        <w:rPr>
          <w:rFonts w:ascii="Arial" w:hAnsi="Arial" w:cs="Arial"/>
          <w:sz w:val="14"/>
          <w:szCs w:val="14"/>
        </w:rPr>
        <w:t xml:space="preserve">Acuerdo </w:t>
      </w:r>
      <w:r w:rsidRPr="00853AD5">
        <w:rPr>
          <w:rFonts w:ascii="Arial" w:hAnsi="Arial" w:cs="Arial"/>
          <w:bCs/>
          <w:sz w:val="14"/>
          <w:szCs w:val="14"/>
        </w:rPr>
        <w:t>P/IFT/120418/293</w:t>
      </w:r>
      <w:r w:rsidRPr="00853AD5">
        <w:rPr>
          <w:rFonts w:ascii="Arial" w:hAnsi="Arial" w:cs="Arial"/>
          <w:b/>
          <w:bCs/>
          <w:sz w:val="14"/>
          <w:szCs w:val="14"/>
        </w:rPr>
        <w:t xml:space="preserve">, </w:t>
      </w:r>
      <w:r w:rsidRPr="00853AD5">
        <w:rPr>
          <w:rFonts w:ascii="Arial" w:hAnsi="Arial" w:cs="Arial"/>
          <w:sz w:val="14"/>
          <w:szCs w:val="14"/>
        </w:rPr>
        <w:t xml:space="preserve">disponible en: </w:t>
      </w:r>
      <w:hyperlink r:id="rId68" w:history="1">
        <w:r w:rsidRPr="00853AD5">
          <w:rPr>
            <w:rStyle w:val="Hipervnculo"/>
            <w:rFonts w:ascii="Arial" w:hAnsi="Arial" w:cs="Arial"/>
            <w:sz w:val="14"/>
            <w:szCs w:val="14"/>
          </w:rPr>
          <w:t>http://www.ift.org.mx/sites/default/files/conocenos/pleno/sesiones/acuerdoliga/vppift120418293noct.pdf</w:t>
        </w:r>
      </w:hyperlink>
    </w:p>
  </w:footnote>
  <w:footnote w:id="71">
    <w:p w14:paraId="3CD568F6"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62287889" w14:textId="77777777" w:rsidR="00FD6552" w:rsidRPr="00DC61EB" w:rsidRDefault="00FD6552" w:rsidP="005E23E0">
      <w:pPr>
        <w:pStyle w:val="Textonotapie"/>
        <w:numPr>
          <w:ilvl w:val="0"/>
          <w:numId w:val="28"/>
        </w:numPr>
        <w:jc w:val="both"/>
        <w:rPr>
          <w:rStyle w:val="Hipervnculo"/>
          <w:rFonts w:ascii="Arial" w:hAnsi="Arial" w:cs="Arial"/>
          <w:sz w:val="14"/>
          <w:szCs w:val="14"/>
          <w:lang w:val="fr-FR"/>
        </w:rPr>
      </w:pPr>
      <w:r w:rsidRPr="00DC61EB">
        <w:rPr>
          <w:rFonts w:ascii="Arial" w:hAnsi="Arial" w:cs="Arial"/>
          <w:sz w:val="14"/>
          <w:szCs w:val="14"/>
          <w:lang w:val="en-US"/>
        </w:rPr>
        <w:t xml:space="preserve">CE (2008). </w:t>
      </w:r>
      <w:r w:rsidRPr="00DC61EB">
        <w:rPr>
          <w:rFonts w:ascii="Arial" w:hAnsi="Arial" w:cs="Arial"/>
          <w:i/>
          <w:sz w:val="14"/>
          <w:szCs w:val="14"/>
          <w:lang w:val="en-US"/>
        </w:rPr>
        <w:t>Guidelines on the assessment of non-horizontal mergers under the Council Regulation on the control of concentrations between undertakings.</w:t>
      </w:r>
      <w:r w:rsidRPr="00DC61EB">
        <w:rPr>
          <w:rFonts w:ascii="Arial" w:hAnsi="Arial" w:cs="Arial"/>
          <w:sz w:val="14"/>
          <w:szCs w:val="14"/>
          <w:lang w:val="en-US"/>
        </w:rPr>
        <w:t xml:space="preserve"> </w:t>
      </w:r>
      <w:r w:rsidRPr="00AC774A">
        <w:rPr>
          <w:rFonts w:ascii="Arial" w:hAnsi="Arial" w:cs="Arial"/>
          <w:sz w:val="14"/>
          <w:szCs w:val="14"/>
        </w:rPr>
        <w:t xml:space="preserve">Se refiere a </w:t>
      </w:r>
      <w:r w:rsidRPr="00DC61EB">
        <w:rPr>
          <w:rFonts w:ascii="Arial" w:hAnsi="Arial" w:cs="Arial"/>
          <w:sz w:val="14"/>
          <w:szCs w:val="14"/>
        </w:rPr>
        <w:t xml:space="preserve">mercados “estrechamente relacionados” </w:t>
      </w:r>
      <w:r>
        <w:rPr>
          <w:rFonts w:ascii="Arial" w:hAnsi="Arial" w:cs="Arial"/>
          <w:sz w:val="14"/>
          <w:szCs w:val="14"/>
        </w:rPr>
        <w:t>como</w:t>
      </w:r>
      <w:r w:rsidRPr="00DC61EB">
        <w:rPr>
          <w:rFonts w:ascii="Arial" w:hAnsi="Arial" w:cs="Arial"/>
          <w:sz w:val="14"/>
          <w:szCs w:val="14"/>
        </w:rPr>
        <w:t xml:space="preserve"> mercados de productos complementarios o que pertenecen “a la misma gama de productos”, párrafo 5.</w:t>
      </w:r>
      <w:r w:rsidRPr="00DC61EB">
        <w:rPr>
          <w:rFonts w:ascii="Arial" w:hAnsi="Arial" w:cs="Arial"/>
          <w:sz w:val="14"/>
          <w:szCs w:val="14"/>
          <w:lang w:val="fr-FR"/>
        </w:rPr>
        <w:t xml:space="preserve">Disponible en: </w:t>
      </w:r>
      <w:hyperlink r:id="rId69" w:history="1">
        <w:r w:rsidRPr="00DC61EB">
          <w:rPr>
            <w:rStyle w:val="Hipervnculo"/>
            <w:rFonts w:ascii="Arial" w:hAnsi="Arial" w:cs="Arial"/>
            <w:sz w:val="14"/>
            <w:szCs w:val="14"/>
            <w:lang w:val="fr-FR"/>
          </w:rPr>
          <w:t>https://eur-lex.europa.eu/legal-content/EN/TXT/PDF/?uri=CELEX:52008XC1018(03)&amp;from=EN</w:t>
        </w:r>
      </w:hyperlink>
    </w:p>
    <w:p w14:paraId="45A51170"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fr-FR"/>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xml:space="preserve">. p. 4. </w:t>
      </w:r>
      <w:r>
        <w:rPr>
          <w:rFonts w:ascii="Arial" w:hAnsi="Arial" w:cs="Arial"/>
          <w:sz w:val="14"/>
          <w:szCs w:val="14"/>
        </w:rPr>
        <w:t>Se refiere a la definición de mercados mayoristas correspondientes al mercado minorista en el que se identifican problemas de competencia.</w:t>
      </w:r>
    </w:p>
    <w:p w14:paraId="689ABE37"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rPr>
        <w:t>CE (2010).</w:t>
      </w:r>
      <w:r w:rsidRPr="00853AD5">
        <w:rPr>
          <w:rFonts w:ascii="Arial" w:hAnsi="Arial" w:cs="Arial"/>
          <w:i/>
          <w:sz w:val="14"/>
          <w:szCs w:val="14"/>
        </w:rPr>
        <w:t xml:space="preserve"> Asunto </w:t>
      </w:r>
      <w:proofErr w:type="spellStart"/>
      <w:r w:rsidRPr="00853AD5">
        <w:rPr>
          <w:rFonts w:ascii="Arial" w:hAnsi="Arial" w:cs="Arial"/>
          <w:i/>
          <w:sz w:val="14"/>
          <w:szCs w:val="14"/>
        </w:rPr>
        <w:t>n°</w:t>
      </w:r>
      <w:proofErr w:type="spellEnd"/>
      <w:r w:rsidRPr="00853AD5">
        <w:rPr>
          <w:rFonts w:ascii="Arial" w:hAnsi="Arial" w:cs="Arial"/>
          <w:i/>
          <w:sz w:val="14"/>
          <w:szCs w:val="14"/>
        </w:rPr>
        <w:t xml:space="preserve"> COMP/M.5748 - Prisa/ Telefónica/ Telecinco/ Digital+</w:t>
      </w:r>
      <w:r w:rsidRPr="00853AD5">
        <w:rPr>
          <w:rFonts w:ascii="Arial" w:hAnsi="Arial" w:cs="Arial"/>
          <w:sz w:val="14"/>
          <w:szCs w:val="14"/>
        </w:rPr>
        <w:t xml:space="preserve">. </w:t>
      </w:r>
      <w:r w:rsidRPr="00853AD5">
        <w:rPr>
          <w:rFonts w:ascii="Arial" w:hAnsi="Arial" w:cs="Arial"/>
          <w:sz w:val="14"/>
          <w:szCs w:val="14"/>
          <w:lang w:val="fr-FR"/>
        </w:rPr>
        <w:t xml:space="preserve">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70" w:history="1">
        <w:r w:rsidRPr="00853AD5">
          <w:rPr>
            <w:rStyle w:val="Hipervnculo"/>
            <w:rFonts w:ascii="Arial" w:hAnsi="Arial" w:cs="Arial"/>
            <w:sz w:val="14"/>
            <w:szCs w:val="14"/>
            <w:lang w:val="fr-FR"/>
          </w:rPr>
          <w:t>https://ec.europa.eu/competition/mergers/cases/decisions/M5748_20100311_201220_254185_ES.pdf</w:t>
        </w:r>
      </w:hyperlink>
    </w:p>
    <w:p w14:paraId="13803D98"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fr-FR"/>
        </w:rPr>
        <w:t>CE (2013).</w:t>
      </w:r>
      <w:r w:rsidRPr="00853AD5">
        <w:rPr>
          <w:rFonts w:ascii="Arial" w:hAnsi="Arial" w:cs="Arial"/>
          <w:i/>
          <w:sz w:val="14"/>
          <w:szCs w:val="14"/>
          <w:lang w:val="fr-FR"/>
        </w:rPr>
        <w:t xml:space="preserve"> </w:t>
      </w:r>
      <w:r w:rsidRPr="00853AD5">
        <w:rPr>
          <w:rFonts w:ascii="Arial" w:hAnsi="Arial" w:cs="Arial"/>
          <w:i/>
          <w:sz w:val="14"/>
          <w:szCs w:val="14"/>
        </w:rPr>
        <w:t>Case No COMP/M.6956 - TELEFONICA/ CAIXABANK/ BANCO SANTANDER / JV</w:t>
      </w:r>
      <w:r w:rsidRPr="00853AD5">
        <w:rPr>
          <w:rFonts w:ascii="Arial" w:hAnsi="Arial" w:cs="Arial"/>
          <w:sz w:val="14"/>
          <w:szCs w:val="14"/>
        </w:rPr>
        <w:t xml:space="preserve">. Disponible en: </w:t>
      </w:r>
      <w:hyperlink r:id="rId71" w:history="1">
        <w:r w:rsidRPr="00853AD5">
          <w:rPr>
            <w:rStyle w:val="Hipervnculo"/>
            <w:rFonts w:ascii="Arial" w:hAnsi="Arial" w:cs="Arial"/>
            <w:sz w:val="14"/>
            <w:szCs w:val="14"/>
          </w:rPr>
          <w:t>https://ec.europa.eu/competition/mergers/cases/decisions/m6956_235_2.pdf</w:t>
        </w:r>
      </w:hyperlink>
    </w:p>
  </w:footnote>
  <w:footnote w:id="72">
    <w:p w14:paraId="39C79C21" w14:textId="77777777" w:rsidR="00FD6552" w:rsidRPr="00853AD5" w:rsidRDefault="00FD6552" w:rsidP="003545C8">
      <w:pPr>
        <w:pStyle w:val="NotaPie"/>
        <w:rPr>
          <w:lang w:val="fr-FR"/>
        </w:rPr>
      </w:pPr>
      <w:r w:rsidRPr="00853AD5">
        <w:rPr>
          <w:rStyle w:val="Refdenotaalpie"/>
        </w:rPr>
        <w:footnoteRef/>
      </w:r>
      <w:r w:rsidRPr="00853AD5">
        <w:rPr>
          <w:lang w:val="fr-FR"/>
        </w:rPr>
        <w:t xml:space="preserve"> </w:t>
      </w:r>
      <w:proofErr w:type="spellStart"/>
      <w:r w:rsidRPr="00853AD5">
        <w:rPr>
          <w:lang w:val="fr-FR"/>
        </w:rPr>
        <w:t>Bundeskartellamt</w:t>
      </w:r>
      <w:proofErr w:type="spellEnd"/>
      <w:r w:rsidRPr="00853AD5">
        <w:rPr>
          <w:lang w:val="fr-FR"/>
        </w:rPr>
        <w:t xml:space="preserve"> (2012). </w:t>
      </w:r>
      <w:r w:rsidRPr="00853AD5">
        <w:rPr>
          <w:i/>
          <w:lang w:val="fr-FR"/>
        </w:rPr>
        <w:t>Guidance on Substantive Merger Control</w:t>
      </w:r>
      <w:r w:rsidRPr="00853AD5">
        <w:rPr>
          <w:lang w:val="fr-FR"/>
        </w:rPr>
        <w:t xml:space="preserve">. Disponible en: </w:t>
      </w:r>
      <w:hyperlink r:id="rId72" w:history="1">
        <w:r w:rsidRPr="00853AD5">
          <w:rPr>
            <w:rStyle w:val="Hipervnculo"/>
            <w:lang w:val="fr-FR"/>
          </w:rPr>
          <w:t>https://www.bundeskartellamt.de/SharedDocs/Publikation/EN/Leitlinien/Guidance%20-%20Substantive%20Merger%20Control.pdf?__blob=publicationFile&amp;v=6</w:t>
        </w:r>
      </w:hyperlink>
    </w:p>
  </w:footnote>
  <w:footnote w:id="73">
    <w:p w14:paraId="39BD6266" w14:textId="77777777" w:rsidR="00FD6552" w:rsidRPr="00853AD5" w:rsidRDefault="00FD6552" w:rsidP="003545C8">
      <w:pPr>
        <w:pStyle w:val="NotaPie"/>
      </w:pPr>
      <w:r w:rsidRPr="00853AD5">
        <w:rPr>
          <w:rStyle w:val="Refdenotaalpie"/>
        </w:rPr>
        <w:footnoteRef/>
      </w:r>
      <w:r w:rsidRPr="00853AD5">
        <w:rPr>
          <w:lang w:val="en-US"/>
        </w:rPr>
        <w:t xml:space="preserve"> FTC y DOJ (2000). Antitrust Guidelines for Collaborations Among Competitors. </w:t>
      </w:r>
      <w:r w:rsidRPr="00853AD5">
        <w:t>Disponible en:</w:t>
      </w:r>
    </w:p>
    <w:p w14:paraId="3174B6AD" w14:textId="77777777" w:rsidR="00FD6552" w:rsidRPr="00853AD5" w:rsidRDefault="00FD6552" w:rsidP="003545C8">
      <w:pPr>
        <w:pStyle w:val="NotaPie"/>
      </w:pPr>
      <w:hyperlink r:id="rId73" w:history="1">
        <w:r w:rsidRPr="00853AD5">
          <w:rPr>
            <w:rStyle w:val="Hipervnculo"/>
          </w:rPr>
          <w:t>https://www.ftc.gov/sites/default/files/documents/public_events/joint-venture-hearings-antitrust-guidelines-collaboration-among-competitors/ftcdojguidelines-2.pdf</w:t>
        </w:r>
      </w:hyperlink>
    </w:p>
  </w:footnote>
  <w:footnote w:id="74">
    <w:p w14:paraId="6590D998" w14:textId="77777777" w:rsidR="00FD6552" w:rsidRPr="00853AD5" w:rsidRDefault="00FD6552" w:rsidP="003545C8">
      <w:pPr>
        <w:pStyle w:val="Textonotapie"/>
        <w:rPr>
          <w:rFonts w:ascii="Arial" w:hAnsi="Arial" w:cs="Arial"/>
          <w:sz w:val="14"/>
          <w:szCs w:val="14"/>
          <w:lang w:val="es-ES"/>
        </w:rPr>
      </w:pPr>
      <w:r w:rsidRPr="00853AD5">
        <w:rPr>
          <w:rStyle w:val="Refdenotaalpie"/>
          <w:rFonts w:ascii="Arial" w:hAnsi="Arial" w:cs="Arial"/>
          <w:sz w:val="14"/>
          <w:szCs w:val="14"/>
        </w:rPr>
        <w:footnoteRef/>
      </w:r>
      <w:r w:rsidRPr="00853AD5">
        <w:rPr>
          <w:rFonts w:ascii="Arial" w:hAnsi="Arial" w:cs="Arial"/>
          <w:sz w:val="14"/>
          <w:szCs w:val="14"/>
        </w:rPr>
        <w:t xml:space="preserve"> Asimismo, se advierte que en la actualidad la cadena de valor de los sectores de </w:t>
      </w:r>
      <w:proofErr w:type="spellStart"/>
      <w:r w:rsidRPr="00853AD5">
        <w:rPr>
          <w:rFonts w:ascii="Arial" w:hAnsi="Arial" w:cs="Arial"/>
          <w:sz w:val="14"/>
          <w:szCs w:val="14"/>
        </w:rPr>
        <w:t>TyR</w:t>
      </w:r>
      <w:proofErr w:type="spellEnd"/>
      <w:r w:rsidRPr="00853AD5">
        <w:rPr>
          <w:rFonts w:ascii="Arial" w:hAnsi="Arial" w:cs="Arial"/>
          <w:sz w:val="14"/>
          <w:szCs w:val="14"/>
        </w:rPr>
        <w:t xml:space="preserve"> se ha extendido sustancialmente no solamente de manera vertical sino también en forma conglomerada, por ejemplo: un proveedor del servicio de búsqueda como Google también posee infraestructura de interconexión.</w:t>
      </w:r>
    </w:p>
  </w:footnote>
  <w:footnote w:id="75">
    <w:p w14:paraId="00F898C1"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w:t>
      </w:r>
    </w:p>
  </w:footnote>
  <w:footnote w:id="76">
    <w:p w14:paraId="5C08D33E"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en-US"/>
        </w:rPr>
        <w:t xml:space="preserve"> ICN (2018). </w:t>
      </w:r>
      <w:r>
        <w:rPr>
          <w:rFonts w:ascii="Arial" w:hAnsi="Arial" w:cs="Arial"/>
          <w:sz w:val="14"/>
          <w:szCs w:val="14"/>
          <w:lang w:val="en-US"/>
        </w:rPr>
        <w:t xml:space="preserve">ICN </w:t>
      </w:r>
      <w:r w:rsidRPr="00853AD5">
        <w:rPr>
          <w:rFonts w:ascii="Arial" w:hAnsi="Arial" w:cs="Arial"/>
          <w:i/>
          <w:sz w:val="14"/>
          <w:szCs w:val="14"/>
          <w:lang w:val="en-US"/>
        </w:rPr>
        <w:t>Vertical Mergers Survey Report.</w:t>
      </w:r>
      <w:r w:rsidRPr="00853AD5">
        <w:rPr>
          <w:rFonts w:ascii="Arial" w:hAnsi="Arial" w:cs="Arial"/>
          <w:sz w:val="14"/>
          <w:szCs w:val="14"/>
          <w:lang w:val="en-US"/>
        </w:rPr>
        <w:t xml:space="preserve"> </w:t>
      </w:r>
      <w:r w:rsidRPr="00853AD5">
        <w:rPr>
          <w:rFonts w:ascii="Arial" w:hAnsi="Arial" w:cs="Arial"/>
          <w:sz w:val="14"/>
          <w:szCs w:val="14"/>
          <w:lang w:val="fr-FR"/>
        </w:rPr>
        <w:t xml:space="preserve">Disponible en: </w:t>
      </w:r>
      <w:hyperlink r:id="rId74" w:history="1">
        <w:r w:rsidRPr="00853AD5">
          <w:rPr>
            <w:rStyle w:val="Hipervnculo"/>
            <w:rFonts w:ascii="Arial" w:hAnsi="Arial" w:cs="Arial"/>
            <w:sz w:val="14"/>
            <w:szCs w:val="14"/>
            <w:lang w:val="fr-FR"/>
          </w:rPr>
          <w:t>https://www.internationalcompetitionnetwork.org/wp-content/uploads/2018/10/MWG_SurveyreportVerticalMergers2018.pdf</w:t>
        </w:r>
      </w:hyperlink>
      <w:r w:rsidRPr="00853AD5">
        <w:rPr>
          <w:rFonts w:ascii="Arial" w:hAnsi="Arial" w:cs="Arial"/>
          <w:sz w:val="14"/>
          <w:szCs w:val="14"/>
          <w:lang w:val="fr-FR"/>
        </w:rPr>
        <w:t xml:space="preserve"> </w:t>
      </w:r>
    </w:p>
  </w:footnote>
  <w:footnote w:id="77">
    <w:p w14:paraId="599CD507"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fr-FR"/>
        </w:rPr>
        <w:t xml:space="preserve"> 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p>
  </w:footnote>
  <w:footnote w:id="78">
    <w:p w14:paraId="70A55B3C"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12AA0A01"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w:t>
      </w:r>
      <w:r w:rsidRPr="00853AD5">
        <w:rPr>
          <w:rFonts w:ascii="Arial" w:hAnsi="Arial" w:cs="Arial"/>
          <w:b/>
          <w:bCs/>
          <w:sz w:val="14"/>
          <w:szCs w:val="14"/>
        </w:rPr>
        <w:t xml:space="preserve"> </w:t>
      </w:r>
      <w:r w:rsidRPr="00853AD5">
        <w:rPr>
          <w:rFonts w:ascii="Arial" w:hAnsi="Arial" w:cs="Arial"/>
          <w:i/>
          <w:sz w:val="14"/>
          <w:szCs w:val="14"/>
        </w:rPr>
        <w:t xml:space="preserve">RESOLUCIÓN MEDIANTE LA CUAL EL PLENO DEL INSTITUTO FEDERAL DE TELECOMUNICACIONES AUTORIZA LLEVAR A CABO LA CONCENTRACIÓN RADICADA BAJO EL EXPEDIENTE NO. </w:t>
      </w:r>
      <w:r w:rsidRPr="00853AD5">
        <w:rPr>
          <w:rFonts w:ascii="Arial" w:hAnsi="Arial" w:cs="Arial"/>
          <w:i/>
          <w:sz w:val="14"/>
          <w:szCs w:val="14"/>
          <w:lang w:val="en-US"/>
        </w:rPr>
        <w:t xml:space="preserve">UCE/CNC-004-2016, NOTIFICADA POR AT&amp;T INC., WEST MERGER SUB INC. </w:t>
      </w:r>
      <w:r w:rsidRPr="00853AD5">
        <w:rPr>
          <w:rFonts w:ascii="Arial" w:hAnsi="Arial" w:cs="Arial"/>
          <w:i/>
          <w:sz w:val="14"/>
          <w:szCs w:val="14"/>
        </w:rPr>
        <w:t>Y TIME WARNER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P/IFT/150817/487.</w:t>
      </w:r>
      <w:r w:rsidRPr="00853AD5">
        <w:rPr>
          <w:rFonts w:ascii="Arial" w:hAnsi="Arial" w:cs="Arial"/>
          <w:sz w:val="14"/>
          <w:szCs w:val="14"/>
        </w:rPr>
        <w:t xml:space="preserve"> </w:t>
      </w:r>
    </w:p>
    <w:p w14:paraId="204E8FEC"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(2014).</w:t>
      </w:r>
      <w:r w:rsidRPr="00853AD5">
        <w:rPr>
          <w:rFonts w:ascii="Arial" w:hAnsi="Arial" w:cs="Arial"/>
          <w:b/>
          <w:sz w:val="14"/>
          <w:szCs w:val="14"/>
        </w:rPr>
        <w:t xml:space="preserve"> </w:t>
      </w:r>
      <w:r w:rsidRPr="00853AD5">
        <w:rPr>
          <w:rFonts w:ascii="Arial" w:hAnsi="Arial" w:cs="Arial"/>
          <w:i/>
          <w:sz w:val="14"/>
          <w:szCs w:val="14"/>
        </w:rPr>
        <w:t xml:space="preserve">RESOLUCIÓN MEDIANTE LA CUAL EL PLENO DEL INSTITUTO FEDERAL DE TELECOMUNICACIONES AUTORIZA QUE SE REALICE LA CONCENTRACIÓN RADICADA BAJO El EXPEDIENTE NO. UCE/CNC-004-2014, NOTIFICADA POR SIXSIGMA NETWORKS MÉXICO, S.A. DE C.V. Y METRO NET, S.A.P.I. DE C.V. </w:t>
      </w:r>
      <w:r w:rsidRPr="00853AD5">
        <w:rPr>
          <w:rFonts w:ascii="Arial" w:hAnsi="Arial" w:cs="Arial"/>
          <w:sz w:val="14"/>
          <w:szCs w:val="14"/>
        </w:rPr>
        <w:t>Acuerdo P/IFT/011014/332.</w:t>
      </w:r>
      <w:r w:rsidRPr="00853AD5" w:rsidDel="008345F9">
        <w:rPr>
          <w:rFonts w:ascii="Arial" w:hAnsi="Arial" w:cs="Arial"/>
          <w:sz w:val="14"/>
          <w:szCs w:val="14"/>
        </w:rPr>
        <w:t xml:space="preserve"> </w:t>
      </w:r>
    </w:p>
    <w:p w14:paraId="00F4161F"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w:t>
      </w:r>
      <w:r>
        <w:rPr>
          <w:rFonts w:ascii="Arial" w:hAnsi="Arial" w:cs="Arial"/>
          <w:sz w:val="14"/>
          <w:szCs w:val="14"/>
        </w:rPr>
        <w:t>3</w:t>
      </w:r>
      <w:r w:rsidRPr="00853AD5">
        <w:rPr>
          <w:rFonts w:ascii="Arial" w:hAnsi="Arial" w:cs="Arial"/>
          <w:sz w:val="14"/>
          <w:szCs w:val="14"/>
        </w:rPr>
        <w:t xml:space="preserve">). </w:t>
      </w:r>
      <w:r w:rsidRPr="00853AD5">
        <w:rPr>
          <w:rFonts w:ascii="Arial" w:hAnsi="Arial" w:cs="Arial"/>
          <w:i/>
          <w:caps/>
          <w:sz w:val="14"/>
          <w:szCs w:val="14"/>
        </w:rPr>
        <w:t>Resolución mediante la cual el Pleno del Instituto Federal de Telecomunicaciones autoriza que se realice la concentración radicada bajo el expediente No. E- IFT/DGCCC/CNC/0002/2013, notificada por Satmex lnternational Coperatieve U.A., lntenal Mexicana, S.A.P.l. de C.V. Alejandro Sainz Orantes, Centerbridge Capital Partners SBS (Cayman). L.P., Eja Holdings LTD, Satmex lnternational B.V., Holdsat México, S.A.P.I. de C.V., Satélites Mexicanos, S.A. de C.V. y Eutelsat. S.A.</w:t>
      </w:r>
      <w:r w:rsidRPr="00853AD5">
        <w:rPr>
          <w:rFonts w:ascii="Arial" w:hAnsi="Arial" w:cs="Arial"/>
          <w:sz w:val="14"/>
          <w:szCs w:val="14"/>
        </w:rPr>
        <w:t xml:space="preserve"> Acuerdo P/IFT/271113/20</w:t>
      </w:r>
    </w:p>
  </w:footnote>
  <w:footnote w:id="79">
    <w:p w14:paraId="2F015E62"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fr-FR"/>
        </w:rPr>
        <w:t xml:space="preserve"> ICN</w:t>
      </w:r>
      <w:r w:rsidRPr="00853AD5">
        <w:rPr>
          <w:rFonts w:ascii="Arial" w:hAnsi="Arial" w:cs="Arial"/>
          <w:i/>
          <w:sz w:val="14"/>
          <w:szCs w:val="14"/>
          <w:lang w:val="fr-FR"/>
        </w:rPr>
        <w:t xml:space="preserve"> </w:t>
      </w:r>
      <w:r w:rsidRPr="00853AD5">
        <w:rPr>
          <w:rFonts w:ascii="Arial" w:hAnsi="Arial" w:cs="Arial"/>
          <w:sz w:val="14"/>
          <w:szCs w:val="14"/>
          <w:lang w:val="fr-FR"/>
        </w:rPr>
        <w:t xml:space="preserve">(2019). </w:t>
      </w:r>
      <w:r w:rsidRPr="00853AD5">
        <w:rPr>
          <w:rFonts w:ascii="Arial" w:hAnsi="Arial" w:cs="Arial"/>
          <w:i/>
          <w:sz w:val="14"/>
          <w:szCs w:val="14"/>
          <w:lang w:val="fr-FR"/>
        </w:rPr>
        <w:t xml:space="preserve">ICN Vertical Mergers </w:t>
      </w:r>
      <w:proofErr w:type="spellStart"/>
      <w:r w:rsidRPr="00853AD5">
        <w:rPr>
          <w:rFonts w:ascii="Arial" w:hAnsi="Arial" w:cs="Arial"/>
          <w:i/>
          <w:sz w:val="14"/>
          <w:szCs w:val="14"/>
          <w:lang w:val="fr-FR"/>
        </w:rPr>
        <w:t>Comparison</w:t>
      </w:r>
      <w:proofErr w:type="spellEnd"/>
      <w:r w:rsidRPr="00853AD5">
        <w:rPr>
          <w:rFonts w:ascii="Arial" w:hAnsi="Arial" w:cs="Arial"/>
          <w:i/>
          <w:sz w:val="14"/>
          <w:szCs w:val="14"/>
          <w:lang w:val="fr-FR"/>
        </w:rPr>
        <w:t xml:space="preserve"> </w:t>
      </w:r>
      <w:proofErr w:type="spellStart"/>
      <w:r w:rsidRPr="00853AD5">
        <w:rPr>
          <w:rFonts w:ascii="Arial" w:hAnsi="Arial" w:cs="Arial"/>
          <w:i/>
          <w:sz w:val="14"/>
          <w:szCs w:val="14"/>
          <w:lang w:val="fr-FR"/>
        </w:rPr>
        <w:t>Study</w:t>
      </w:r>
      <w:proofErr w:type="spellEnd"/>
      <w:r w:rsidRPr="00853AD5">
        <w:rPr>
          <w:rFonts w:ascii="Arial" w:hAnsi="Arial" w:cs="Arial"/>
          <w:sz w:val="14"/>
          <w:szCs w:val="14"/>
          <w:lang w:val="fr-FR"/>
        </w:rPr>
        <w:t xml:space="preserve">. Disponible en: </w:t>
      </w:r>
      <w:hyperlink r:id="rId75" w:history="1">
        <w:r w:rsidRPr="00853AD5">
          <w:rPr>
            <w:rStyle w:val="Hipervnculo"/>
            <w:rFonts w:ascii="Arial" w:hAnsi="Arial" w:cs="Arial"/>
            <w:sz w:val="14"/>
            <w:szCs w:val="14"/>
            <w:lang w:val="fr-FR"/>
          </w:rPr>
          <w:t>https://www.internationalcompetitionnetwork.org/wp-content/uploads/2019/05/MWG-Vertical-Mergers-Comparison-Study.pdf</w:t>
        </w:r>
      </w:hyperlink>
    </w:p>
  </w:footnote>
  <w:footnote w:id="80">
    <w:p w14:paraId="628E9524"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12FC6C9F"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OCDE (2019). </w:t>
      </w:r>
      <w:r w:rsidRPr="00853AD5">
        <w:rPr>
          <w:rFonts w:ascii="Arial" w:hAnsi="Arial" w:cs="Arial"/>
          <w:i/>
          <w:sz w:val="14"/>
          <w:szCs w:val="14"/>
          <w:lang w:val="en-US"/>
        </w:rPr>
        <w:t>Vertical Mergers in the Technology, Media and Telecom Sector</w:t>
      </w:r>
      <w:r w:rsidRPr="00853AD5">
        <w:rPr>
          <w:rFonts w:ascii="Arial" w:hAnsi="Arial" w:cs="Arial"/>
          <w:sz w:val="14"/>
          <w:szCs w:val="14"/>
          <w:lang w:val="en-US"/>
        </w:rPr>
        <w:t xml:space="preserve">. p. 18. </w:t>
      </w:r>
      <w:r w:rsidRPr="00853AD5">
        <w:rPr>
          <w:rFonts w:ascii="Arial" w:hAnsi="Arial" w:cs="Arial"/>
          <w:sz w:val="14"/>
          <w:szCs w:val="14"/>
        </w:rPr>
        <w:t xml:space="preserve">Disponible en: </w:t>
      </w:r>
      <w:hyperlink r:id="rId76" w:history="1">
        <w:r w:rsidRPr="00853AD5">
          <w:rPr>
            <w:rStyle w:val="Hipervnculo"/>
            <w:rFonts w:ascii="Arial" w:hAnsi="Arial" w:cs="Arial"/>
            <w:sz w:val="14"/>
            <w:szCs w:val="14"/>
          </w:rPr>
          <w:t>https://one.oecd.org/document/DAF/COMP(2019)5/en/pdf</w:t>
        </w:r>
      </w:hyperlink>
      <w:r w:rsidRPr="00853AD5">
        <w:rPr>
          <w:rFonts w:ascii="Arial" w:hAnsi="Arial" w:cs="Arial"/>
          <w:sz w:val="14"/>
          <w:szCs w:val="14"/>
        </w:rPr>
        <w:t>.</w:t>
      </w:r>
    </w:p>
    <w:p w14:paraId="78DFC628"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 pp. 14-18.</w:t>
      </w:r>
    </w:p>
  </w:footnote>
  <w:footnote w:id="81">
    <w:p w14:paraId="3BC1E7CA"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18E60295"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rPr>
        <w:t xml:space="preserve">CE (2010). </w:t>
      </w:r>
      <w:r w:rsidRPr="00853AD5">
        <w:rPr>
          <w:rFonts w:ascii="Arial" w:hAnsi="Arial" w:cs="Arial"/>
          <w:i/>
          <w:sz w:val="14"/>
          <w:szCs w:val="14"/>
        </w:rPr>
        <w:t>Directrices relativas a las restricciones verticales.</w:t>
      </w:r>
      <w:r w:rsidRPr="00853AD5">
        <w:rPr>
          <w:rFonts w:ascii="Arial" w:hAnsi="Arial" w:cs="Arial"/>
          <w:sz w:val="14"/>
          <w:szCs w:val="14"/>
        </w:rPr>
        <w:t xml:space="preserve"> </w:t>
      </w:r>
      <w:r w:rsidRPr="00853AD5">
        <w:rPr>
          <w:rFonts w:ascii="Arial" w:hAnsi="Arial" w:cs="Arial"/>
          <w:sz w:val="14"/>
          <w:szCs w:val="14"/>
          <w:lang w:val="fr-FR"/>
        </w:rPr>
        <w:t xml:space="preserve">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77" w:history="1">
        <w:r w:rsidRPr="00853AD5">
          <w:rPr>
            <w:rStyle w:val="Hipervnculo"/>
            <w:rFonts w:ascii="Arial" w:hAnsi="Arial" w:cs="Arial"/>
            <w:sz w:val="14"/>
            <w:szCs w:val="14"/>
            <w:lang w:val="fr-FR"/>
          </w:rPr>
          <w:t>https://eur-lex.europa.eu/legal-content/ES/TXT/PDF/?uri=CELEX:52010XC0519(04)&amp;from=ES</w:t>
        </w:r>
      </w:hyperlink>
      <w:r w:rsidRPr="00853AD5">
        <w:rPr>
          <w:rFonts w:ascii="Arial" w:hAnsi="Arial" w:cs="Arial"/>
          <w:sz w:val="14"/>
          <w:szCs w:val="14"/>
          <w:lang w:val="fr-FR"/>
        </w:rPr>
        <w:t xml:space="preserve"> </w:t>
      </w:r>
    </w:p>
    <w:p w14:paraId="4AFDCB92"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fr-FR"/>
        </w:rPr>
        <w:t xml:space="preserve">CE (2018). </w:t>
      </w:r>
      <w:r w:rsidRPr="00853AD5">
        <w:rPr>
          <w:rFonts w:ascii="Arial" w:hAnsi="Arial" w:cs="Arial"/>
          <w:i/>
          <w:sz w:val="14"/>
          <w:szCs w:val="14"/>
        </w:rPr>
        <w:t>Directrices sobre análisis del mercado y evaluación de poder significativo de mercado en el marco regulatorio de la UE para redes y servicios de comunicaciones electrónicas.</w:t>
      </w:r>
      <w:r w:rsidRPr="00853AD5">
        <w:rPr>
          <w:rFonts w:ascii="Arial" w:hAnsi="Arial" w:cs="Arial"/>
          <w:sz w:val="14"/>
          <w:szCs w:val="14"/>
        </w:rPr>
        <w:t xml:space="preserve"> pp. 2-4 y 10. </w:t>
      </w:r>
    </w:p>
    <w:p w14:paraId="057777C9"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en-US"/>
        </w:rPr>
        <w:t xml:space="preserve">CE (2013). </w:t>
      </w:r>
      <w:r w:rsidRPr="00853AD5">
        <w:rPr>
          <w:rFonts w:ascii="Arial" w:hAnsi="Arial" w:cs="Arial"/>
          <w:i/>
          <w:sz w:val="14"/>
          <w:szCs w:val="14"/>
          <w:lang w:val="en-US"/>
        </w:rPr>
        <w:t>Case No COMP/M.6880 - LIBERTY GLOBAL/ VIRGIN MEDIA.</w:t>
      </w:r>
      <w:r w:rsidRPr="00853AD5">
        <w:rPr>
          <w:rFonts w:ascii="Arial" w:hAnsi="Arial" w:cs="Arial"/>
          <w:sz w:val="14"/>
          <w:szCs w:val="14"/>
          <w:lang w:val="en-US"/>
        </w:rPr>
        <w:t xml:space="preserve"> </w:t>
      </w:r>
    </w:p>
    <w:p w14:paraId="533B0208" w14:textId="77777777" w:rsidR="00FD6552" w:rsidRPr="00853AD5" w:rsidRDefault="00FD6552" w:rsidP="005E23E0">
      <w:pPr>
        <w:pStyle w:val="Textonotapie"/>
        <w:numPr>
          <w:ilvl w:val="0"/>
          <w:numId w:val="28"/>
        </w:numPr>
        <w:jc w:val="both"/>
        <w:rPr>
          <w:rFonts w:ascii="Arial" w:hAnsi="Arial" w:cs="Arial"/>
          <w:sz w:val="14"/>
          <w:szCs w:val="14"/>
          <w:lang w:val="fr-FR"/>
        </w:rPr>
      </w:pPr>
      <w:r w:rsidRPr="00853AD5">
        <w:rPr>
          <w:rFonts w:ascii="Arial" w:hAnsi="Arial" w:cs="Arial"/>
          <w:sz w:val="14"/>
          <w:szCs w:val="14"/>
          <w:lang w:val="en-US"/>
        </w:rPr>
        <w:t xml:space="preserve">BEREC (2010). </w:t>
      </w:r>
      <w:r w:rsidRPr="00853AD5">
        <w:rPr>
          <w:rFonts w:ascii="Arial" w:hAnsi="Arial" w:cs="Arial"/>
          <w:i/>
          <w:sz w:val="14"/>
          <w:szCs w:val="14"/>
          <w:lang w:val="en-US"/>
        </w:rPr>
        <w:t>BEREC report on self-supply</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78" w:history="1">
        <w:r w:rsidRPr="00853AD5">
          <w:rPr>
            <w:rStyle w:val="Hipervnculo"/>
            <w:rFonts w:ascii="Arial" w:hAnsi="Arial" w:cs="Arial"/>
            <w:sz w:val="14"/>
            <w:szCs w:val="14"/>
          </w:rPr>
          <w:t>https://berec.europa.eu/eng/document_register/subject_matter/berec/reports/171-berec-report-on-self-supply</w:t>
        </w:r>
      </w:hyperlink>
    </w:p>
  </w:footnote>
  <w:footnote w:id="82">
    <w:p w14:paraId="19C9C699"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6CD49F51"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DOJ y FTC (2020).</w:t>
      </w:r>
      <w:r w:rsidRPr="00853AD5">
        <w:rPr>
          <w:rFonts w:ascii="Arial" w:hAnsi="Arial" w:cs="Arial"/>
          <w:i/>
          <w:sz w:val="14"/>
          <w:szCs w:val="14"/>
        </w:rPr>
        <w:t xml:space="preserve"> Vertical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i/>
          <w:sz w:val="14"/>
          <w:szCs w:val="14"/>
        </w:rPr>
        <w:t>.</w:t>
      </w:r>
      <w:r w:rsidRPr="00853AD5">
        <w:rPr>
          <w:rFonts w:ascii="Arial" w:hAnsi="Arial" w:cs="Arial"/>
          <w:sz w:val="14"/>
          <w:szCs w:val="14"/>
        </w:rPr>
        <w:t xml:space="preserve"> </w:t>
      </w:r>
      <w:r>
        <w:rPr>
          <w:rFonts w:ascii="Arial" w:hAnsi="Arial" w:cs="Arial"/>
          <w:sz w:val="14"/>
          <w:szCs w:val="14"/>
        </w:rPr>
        <w:t>Disponible en:</w:t>
      </w:r>
      <w:r w:rsidRPr="00F04F6C">
        <w:t xml:space="preserve"> </w:t>
      </w:r>
      <w:hyperlink r:id="rId79" w:history="1">
        <w:r w:rsidRPr="00786925">
          <w:rPr>
            <w:rStyle w:val="Hipervnculo"/>
            <w:rFonts w:ascii="Arial" w:hAnsi="Arial" w:cs="Arial"/>
            <w:sz w:val="14"/>
            <w:szCs w:val="14"/>
          </w:rPr>
          <w:t>https://www.ftc.gov/system/files/documents/reports/us-department-justice-federal-trade-commission-vertical-merger-guidelines/vertical_merger_guidelines_6-30-20.pdf</w:t>
        </w:r>
      </w:hyperlink>
    </w:p>
    <w:p w14:paraId="33F0C80F"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DOJ y FTC (1984). </w:t>
      </w:r>
      <w:r w:rsidRPr="00853AD5">
        <w:rPr>
          <w:rFonts w:ascii="Arial" w:hAnsi="Arial" w:cs="Arial"/>
          <w:i/>
          <w:sz w:val="14"/>
          <w:szCs w:val="14"/>
        </w:rPr>
        <w:t xml:space="preserve">Non-Horizontal </w:t>
      </w:r>
      <w:proofErr w:type="spellStart"/>
      <w:r w:rsidRPr="00853AD5">
        <w:rPr>
          <w:rFonts w:ascii="Arial" w:hAnsi="Arial" w:cs="Arial"/>
          <w:i/>
          <w:sz w:val="14"/>
          <w:szCs w:val="14"/>
        </w:rPr>
        <w:t>Merger</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Guidelines</w:t>
      </w:r>
      <w:proofErr w:type="spellEnd"/>
      <w:r w:rsidRPr="00853AD5">
        <w:rPr>
          <w:rFonts w:ascii="Arial" w:hAnsi="Arial" w:cs="Arial"/>
          <w:sz w:val="14"/>
          <w:szCs w:val="14"/>
        </w:rPr>
        <w:t xml:space="preserve">. pp. 23-30. Disponible en: </w:t>
      </w:r>
      <w:hyperlink r:id="rId80" w:history="1">
        <w:r w:rsidRPr="00853AD5">
          <w:rPr>
            <w:rStyle w:val="Hipervnculo"/>
            <w:rFonts w:ascii="Arial" w:hAnsi="Arial" w:cs="Arial"/>
            <w:sz w:val="14"/>
            <w:szCs w:val="14"/>
          </w:rPr>
          <w:t>https://www.justice.gov/atr/page/file/1175141/download?mkwid=c</w:t>
        </w:r>
      </w:hyperlink>
    </w:p>
  </w:footnote>
  <w:footnote w:id="83">
    <w:p w14:paraId="3737B500"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6F279AC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color w:val="000000"/>
          <w:sz w:val="14"/>
          <w:szCs w:val="14"/>
          <w:shd w:val="clear" w:color="auto" w:fill="FFFFFF"/>
        </w:rPr>
        <w:t xml:space="preserve">ACCC (2008). </w:t>
      </w:r>
      <w:proofErr w:type="spellStart"/>
      <w:r w:rsidRPr="00853AD5">
        <w:rPr>
          <w:rFonts w:ascii="Arial" w:hAnsi="Arial" w:cs="Arial"/>
          <w:i/>
          <w:color w:val="000000"/>
          <w:sz w:val="14"/>
          <w:szCs w:val="14"/>
          <w:shd w:val="clear" w:color="auto" w:fill="FFFFFF"/>
        </w:rPr>
        <w:t>Merger</w:t>
      </w:r>
      <w:proofErr w:type="spellEnd"/>
      <w:r w:rsidRPr="00853AD5">
        <w:rPr>
          <w:rFonts w:ascii="Arial" w:hAnsi="Arial" w:cs="Arial"/>
          <w:i/>
          <w:color w:val="000000"/>
          <w:sz w:val="14"/>
          <w:szCs w:val="14"/>
          <w:shd w:val="clear" w:color="auto" w:fill="FFFFFF"/>
        </w:rPr>
        <w:t xml:space="preserve"> </w:t>
      </w:r>
      <w:proofErr w:type="spellStart"/>
      <w:r w:rsidRPr="00853AD5">
        <w:rPr>
          <w:rFonts w:ascii="Arial" w:hAnsi="Arial" w:cs="Arial"/>
          <w:i/>
          <w:color w:val="000000"/>
          <w:sz w:val="14"/>
          <w:szCs w:val="14"/>
          <w:shd w:val="clear" w:color="auto" w:fill="FFFFFF"/>
        </w:rPr>
        <w:t>Guidelines</w:t>
      </w:r>
      <w:proofErr w:type="spellEnd"/>
      <w:r w:rsidRPr="00853AD5">
        <w:rPr>
          <w:rFonts w:ascii="Arial" w:hAnsi="Arial" w:cs="Arial"/>
          <w:color w:val="000000"/>
          <w:sz w:val="14"/>
          <w:szCs w:val="14"/>
          <w:shd w:val="clear" w:color="auto" w:fill="FFFFFF"/>
        </w:rPr>
        <w:t xml:space="preserve"> (actualización 2017).</w:t>
      </w:r>
    </w:p>
    <w:p w14:paraId="5D691BE8"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ACCC (2015). </w:t>
      </w:r>
      <w:r w:rsidRPr="00853AD5">
        <w:rPr>
          <w:rFonts w:ascii="Arial" w:hAnsi="Arial" w:cs="Arial"/>
          <w:i/>
          <w:sz w:val="14"/>
          <w:szCs w:val="14"/>
          <w:lang w:val="en-US"/>
        </w:rPr>
        <w:t>TPG Telecom Limited – proposed acquisition of iiNet Limited.</w:t>
      </w:r>
    </w:p>
  </w:footnote>
  <w:footnote w:id="84">
    <w:p w14:paraId="246070DE"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CBC (2013). </w:t>
      </w:r>
      <w:r w:rsidRPr="00853AD5">
        <w:rPr>
          <w:rFonts w:ascii="Arial" w:hAnsi="Arial" w:cs="Arial"/>
          <w:i/>
          <w:sz w:val="14"/>
          <w:szCs w:val="14"/>
          <w:lang w:val="en-US"/>
        </w:rPr>
        <w:t>Competition Bureau review of the proposed acquisition of Astral by Bell</w:t>
      </w:r>
      <w:r w:rsidRPr="00853AD5">
        <w:rPr>
          <w:rFonts w:ascii="Arial" w:hAnsi="Arial" w:cs="Arial"/>
          <w:sz w:val="14"/>
          <w:szCs w:val="14"/>
          <w:lang w:val="en-US"/>
        </w:rPr>
        <w:t xml:space="preserve">. </w:t>
      </w:r>
      <w:r w:rsidRPr="00853AD5">
        <w:rPr>
          <w:rFonts w:ascii="Arial" w:hAnsi="Arial" w:cs="Arial"/>
          <w:color w:val="000000"/>
          <w:sz w:val="14"/>
          <w:szCs w:val="14"/>
        </w:rPr>
        <w:t xml:space="preserve">Disponible en: </w:t>
      </w:r>
      <w:hyperlink r:id="rId81" w:anchor="background" w:history="1">
        <w:r w:rsidRPr="00853AD5">
          <w:rPr>
            <w:rStyle w:val="Hipervnculo"/>
            <w:rFonts w:ascii="Arial" w:hAnsi="Arial" w:cs="Arial"/>
            <w:sz w:val="14"/>
            <w:szCs w:val="14"/>
          </w:rPr>
          <w:t>https://www.competitionbureau.gc.ca/eic/site/cb-bc.nsf/eng/03544.html#background</w:t>
        </w:r>
      </w:hyperlink>
    </w:p>
  </w:footnote>
  <w:footnote w:id="85">
    <w:p w14:paraId="22D6C97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En la experiencia internacional además de los citados, se destaca la experiencia referente al tema de autoabastecimiento de: </w:t>
      </w:r>
    </w:p>
    <w:p w14:paraId="24FBCBC0" w14:textId="77777777" w:rsidR="00FD6552" w:rsidRPr="00853AD5" w:rsidRDefault="00FD6552" w:rsidP="003545C8">
      <w:pPr>
        <w:pStyle w:val="Textonotapie"/>
        <w:rPr>
          <w:rFonts w:ascii="Arial" w:hAnsi="Arial" w:cs="Arial"/>
          <w:sz w:val="14"/>
          <w:szCs w:val="14"/>
        </w:rPr>
      </w:pPr>
      <w:r w:rsidRPr="00853AD5">
        <w:rPr>
          <w:rFonts w:ascii="Arial" w:hAnsi="Arial" w:cs="Arial"/>
          <w:sz w:val="14"/>
          <w:szCs w:val="14"/>
        </w:rPr>
        <w:t>i) España: “</w:t>
      </w:r>
      <w:r w:rsidRPr="00853AD5">
        <w:rPr>
          <w:rFonts w:ascii="Arial" w:hAnsi="Arial" w:cs="Arial"/>
          <w:i/>
          <w:sz w:val="14"/>
          <w:szCs w:val="14"/>
        </w:rPr>
        <w:t>Resolución por la cual se aprueba la definición y análisis del mercado de acceso local al por mayor facilitado en una ubicación fija y los mercados de acceso de banda ancha al por mayor, la designación de operadores con poder significativo de mercado y la imposición de obligaciones específicas, y se acuerda su notificación a la comisión europea y al organismo de reguladores europeos de comunicaciones electrónicas (ORECE)</w:t>
      </w:r>
      <w:r w:rsidRPr="00853AD5">
        <w:rPr>
          <w:rFonts w:ascii="Arial" w:hAnsi="Arial" w:cs="Arial"/>
          <w:sz w:val="14"/>
          <w:szCs w:val="14"/>
        </w:rPr>
        <w:t xml:space="preserve">”. Disponible en: </w:t>
      </w:r>
      <w:hyperlink r:id="rId82" w:history="1">
        <w:r w:rsidRPr="00853AD5">
          <w:rPr>
            <w:rStyle w:val="Hipervnculo"/>
            <w:rFonts w:ascii="Arial" w:hAnsi="Arial" w:cs="Arial"/>
            <w:sz w:val="14"/>
            <w:szCs w:val="14"/>
          </w:rPr>
          <w:t>https://www.cnmc.es/sites/default/files/1511874_12.pdf</w:t>
        </w:r>
      </w:hyperlink>
      <w:r w:rsidRPr="00853AD5">
        <w:rPr>
          <w:rFonts w:ascii="Arial" w:hAnsi="Arial" w:cs="Arial"/>
          <w:sz w:val="14"/>
          <w:szCs w:val="14"/>
        </w:rPr>
        <w:t>;</w:t>
      </w:r>
    </w:p>
    <w:p w14:paraId="6AC43F57" w14:textId="77777777" w:rsidR="00FD6552" w:rsidRPr="00853AD5" w:rsidRDefault="00FD6552" w:rsidP="003545C8">
      <w:pPr>
        <w:pStyle w:val="Textonotapie"/>
        <w:rPr>
          <w:rFonts w:ascii="Arial" w:hAnsi="Arial" w:cs="Arial"/>
          <w:sz w:val="14"/>
          <w:szCs w:val="14"/>
          <w:lang w:val="en-US"/>
        </w:rPr>
      </w:pPr>
      <w:r w:rsidRPr="00853AD5">
        <w:rPr>
          <w:rFonts w:ascii="Arial" w:hAnsi="Arial" w:cs="Arial"/>
          <w:sz w:val="14"/>
          <w:szCs w:val="14"/>
          <w:lang w:val="en-US"/>
        </w:rPr>
        <w:t xml:space="preserve">ii) Malta: MCA (2013). Market 5 – Wholesale Broadband Access Market, Disponible </w:t>
      </w:r>
      <w:proofErr w:type="spellStart"/>
      <w:r w:rsidRPr="00853AD5">
        <w:rPr>
          <w:rFonts w:ascii="Arial" w:hAnsi="Arial" w:cs="Arial"/>
          <w:sz w:val="14"/>
          <w:szCs w:val="14"/>
          <w:lang w:val="en-US"/>
        </w:rPr>
        <w:t>en</w:t>
      </w:r>
      <w:proofErr w:type="spellEnd"/>
      <w:r w:rsidRPr="00853AD5">
        <w:rPr>
          <w:rFonts w:ascii="Arial" w:hAnsi="Arial" w:cs="Arial"/>
          <w:sz w:val="14"/>
          <w:szCs w:val="14"/>
          <w:lang w:val="en-US"/>
        </w:rPr>
        <w:t xml:space="preserve">: </w:t>
      </w:r>
    </w:p>
    <w:p w14:paraId="05BEEE76" w14:textId="77777777" w:rsidR="00FD6552" w:rsidRPr="00853AD5" w:rsidRDefault="00FD6552" w:rsidP="003545C8">
      <w:pPr>
        <w:pStyle w:val="Textonotapie"/>
        <w:rPr>
          <w:rFonts w:ascii="Arial" w:hAnsi="Arial" w:cs="Arial"/>
          <w:sz w:val="14"/>
          <w:szCs w:val="14"/>
          <w:lang w:val="en-US"/>
        </w:rPr>
      </w:pPr>
      <w:r w:rsidRPr="00853AD5">
        <w:rPr>
          <w:rFonts w:ascii="Arial" w:hAnsi="Arial" w:cs="Arial"/>
          <w:sz w:val="14"/>
          <w:szCs w:val="14"/>
          <w:lang w:val="en-US"/>
        </w:rPr>
        <w:t>https://www.mca.org.mt/sites/default/files/attachments/decisions/2013/final-decision-market-analysis-of-the-wholesale-broadband-access-market-market-5-060313.pdf</w:t>
      </w:r>
    </w:p>
    <w:p w14:paraId="08CED01B" w14:textId="77777777" w:rsidR="00FD6552" w:rsidRPr="00853AD5" w:rsidRDefault="00FD6552" w:rsidP="003545C8">
      <w:pPr>
        <w:pStyle w:val="Textonotapie"/>
        <w:rPr>
          <w:rFonts w:ascii="Arial" w:hAnsi="Arial" w:cs="Arial"/>
          <w:sz w:val="14"/>
          <w:szCs w:val="14"/>
          <w:lang w:val="es-ES"/>
        </w:rPr>
      </w:pPr>
      <w:r w:rsidRPr="00853AD5">
        <w:rPr>
          <w:rFonts w:ascii="Arial" w:hAnsi="Arial" w:cs="Arial"/>
          <w:sz w:val="14"/>
          <w:szCs w:val="14"/>
          <w:lang w:val="en-US"/>
        </w:rPr>
        <w:t xml:space="preserve"> iii) </w:t>
      </w:r>
      <w:proofErr w:type="spellStart"/>
      <w:r w:rsidRPr="00853AD5">
        <w:rPr>
          <w:rFonts w:ascii="Arial" w:hAnsi="Arial" w:cs="Arial"/>
          <w:sz w:val="14"/>
          <w:szCs w:val="14"/>
          <w:lang w:val="en-US"/>
        </w:rPr>
        <w:t>Jordania</w:t>
      </w:r>
      <w:proofErr w:type="spellEnd"/>
      <w:r w:rsidRPr="00853AD5">
        <w:rPr>
          <w:rFonts w:ascii="Arial" w:hAnsi="Arial" w:cs="Arial"/>
          <w:sz w:val="14"/>
          <w:szCs w:val="14"/>
          <w:lang w:val="en-US"/>
        </w:rPr>
        <w:t>. TRC (2010). “</w:t>
      </w:r>
      <w:r w:rsidRPr="00853AD5">
        <w:rPr>
          <w:rFonts w:ascii="Arial" w:hAnsi="Arial" w:cs="Arial"/>
          <w:i/>
          <w:sz w:val="14"/>
          <w:szCs w:val="14"/>
          <w:lang w:val="en-US"/>
        </w:rPr>
        <w:t>Review of Telecommunications Markets: Public Consultation Document on Mobile Markets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83" w:history="1">
        <w:r w:rsidRPr="00853AD5">
          <w:rPr>
            <w:rStyle w:val="Hipervnculo"/>
            <w:rFonts w:ascii="Arial" w:hAnsi="Arial" w:cs="Arial"/>
            <w:sz w:val="14"/>
            <w:szCs w:val="14"/>
          </w:rPr>
          <w:t>http://www.trc.gov.jo/EchoBusV3.0/SystemAssets/PDF/AR/%D8%A7%D8%B3%D8%AA%D8%B4%D8%A7%D8%B1%D8%A7%D8%AA/%D8%A7%D8%B3%D8%AA%D8%B4%D8%A7%D8%B1%D8%A7%D8%AA%20%D9%81%D9%8A%20%D9%82%D8%B7%D8%A7%D8%B9%20%D8%A7%D9%84%D8%A7%D8%AA%D8%B5%D8%A7%D9%84%D8%A7%D8%AA%20%D9%88%D8%AA%D9%83%D9%86%D9%84%D9%88%D8%AC%D9%8A%D8%A7%20%D8%A7%D9%84%D9%85%D8%B9%D9%84%D9%88%D9%85%D8%A7%D8%AA/%D8%A7%D8%B3%D8%AA%D8%B4%D8%A7%D8%B1%D8%A7%D8%AA%20%D8%B3%D8%A7%D8%A8%D9%82%D8%A9/%D9%85%D8%B1%D8%A7%D8%AC%D8%B9%D8%A9%20%D8%A3%D8%B3%D9%88%D8%A7%D9%82%20%D8%A7%D9%84%D8%A7%D8%AA%D8%B5%D8%A7%D9%84%D8%A7%D8%AA/MOBILE_CONSULTATION_DOC.pdf</w:t>
        </w:r>
      </w:hyperlink>
    </w:p>
  </w:footnote>
  <w:footnote w:id="86">
    <w:p w14:paraId="011247DF"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BEREC (2011). </w:t>
      </w:r>
      <w:proofErr w:type="spellStart"/>
      <w:r w:rsidRPr="00853AD5">
        <w:rPr>
          <w:rFonts w:ascii="Arial" w:hAnsi="Arial" w:cs="Arial"/>
          <w:i/>
          <w:sz w:val="14"/>
          <w:szCs w:val="14"/>
          <w:lang w:val="en-US"/>
        </w:rPr>
        <w:t>Berec</w:t>
      </w:r>
      <w:proofErr w:type="spellEnd"/>
      <w:r w:rsidRPr="00853AD5">
        <w:rPr>
          <w:rFonts w:ascii="Arial" w:hAnsi="Arial" w:cs="Arial"/>
          <w:i/>
          <w:sz w:val="14"/>
          <w:szCs w:val="14"/>
          <w:lang w:val="en-US"/>
        </w:rPr>
        <w:t xml:space="preserve"> Report on Impact of Fixed-Mobile Substitution in Market Definition.</w:t>
      </w:r>
      <w:r w:rsidRPr="00853AD5">
        <w:rPr>
          <w:rFonts w:ascii="Arial" w:hAnsi="Arial" w:cs="Arial"/>
          <w:sz w:val="14"/>
          <w:szCs w:val="14"/>
          <w:lang w:val="en-US"/>
        </w:rPr>
        <w:t xml:space="preserve"> p. 12. </w:t>
      </w:r>
      <w:r w:rsidRPr="00853AD5">
        <w:rPr>
          <w:rFonts w:ascii="Arial" w:hAnsi="Arial" w:cs="Arial"/>
          <w:sz w:val="14"/>
          <w:szCs w:val="14"/>
        </w:rPr>
        <w:t xml:space="preserve">Disponible en: </w:t>
      </w:r>
      <w:hyperlink r:id="rId84" w:history="1">
        <w:r w:rsidRPr="00853AD5">
          <w:rPr>
            <w:rStyle w:val="Hipervnculo"/>
            <w:rFonts w:ascii="Arial" w:hAnsi="Arial" w:cs="Arial"/>
            <w:sz w:val="14"/>
            <w:szCs w:val="14"/>
          </w:rPr>
          <w:t>https://berec.europa.eu/eng/document_register/subject_matter/berec/download/0/118-berec-draft-report-on-the-impact-of-fixed-mobile-substitution-in-market-definition_0.pdf</w:t>
        </w:r>
      </w:hyperlink>
      <w:r w:rsidRPr="00853AD5">
        <w:rPr>
          <w:rFonts w:ascii="Arial" w:hAnsi="Arial" w:cs="Arial"/>
          <w:sz w:val="14"/>
          <w:szCs w:val="14"/>
        </w:rPr>
        <w:t xml:space="preserve"> </w:t>
      </w:r>
    </w:p>
  </w:footnote>
  <w:footnote w:id="87">
    <w:p w14:paraId="355BE1FF"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Willington, M. (2010). </w:t>
      </w:r>
      <w:r w:rsidRPr="00853AD5">
        <w:rPr>
          <w:rFonts w:ascii="Arial" w:hAnsi="Arial" w:cs="Arial"/>
          <w:i/>
          <w:sz w:val="14"/>
          <w:szCs w:val="14"/>
        </w:rPr>
        <w:t>Mercados Relevantes en el Sector de Telecomunicaciones: Enfoques de la FNE y el TDLC y Revisión Internacional. Trabajo realizado para la Fiscalía Nacional Económica.</w:t>
      </w:r>
      <w:r w:rsidRPr="00853AD5">
        <w:rPr>
          <w:rFonts w:ascii="Arial" w:hAnsi="Arial" w:cs="Arial"/>
          <w:sz w:val="14"/>
          <w:szCs w:val="14"/>
        </w:rPr>
        <w:t xml:space="preserve"> Disponible en: </w:t>
      </w:r>
      <w:hyperlink r:id="rId85" w:history="1">
        <w:r w:rsidRPr="00853AD5">
          <w:rPr>
            <w:rStyle w:val="Hipervnculo"/>
            <w:rFonts w:ascii="Arial" w:hAnsi="Arial" w:cs="Arial"/>
            <w:sz w:val="14"/>
            <w:szCs w:val="14"/>
          </w:rPr>
          <w:t>https://www.fne.gob.cl/wp-content/uploads/2011/03/estu_0003_2010.pdf</w:t>
        </w:r>
      </w:hyperlink>
    </w:p>
  </w:footnote>
  <w:footnote w:id="88">
    <w:p w14:paraId="20F9BF05"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BEREC (2010). </w:t>
      </w:r>
      <w:r w:rsidRPr="00853AD5">
        <w:rPr>
          <w:rFonts w:ascii="Arial" w:hAnsi="Arial" w:cs="Arial"/>
          <w:i/>
          <w:sz w:val="14"/>
          <w:szCs w:val="14"/>
          <w:lang w:val="en-US"/>
        </w:rPr>
        <w:t xml:space="preserve">BEREC report on impact of bundled offers in retail and wholesale market definition. </w:t>
      </w:r>
      <w:r w:rsidRPr="00853AD5">
        <w:rPr>
          <w:rFonts w:ascii="Arial" w:hAnsi="Arial" w:cs="Arial"/>
          <w:sz w:val="14"/>
          <w:szCs w:val="14"/>
          <w:lang w:val="en-US"/>
        </w:rPr>
        <w:t xml:space="preserve">p. 16. </w:t>
      </w:r>
      <w:r w:rsidRPr="00853AD5">
        <w:rPr>
          <w:rFonts w:ascii="Arial" w:hAnsi="Arial" w:cs="Arial"/>
          <w:sz w:val="14"/>
          <w:szCs w:val="14"/>
        </w:rPr>
        <w:t xml:space="preserve">Disponible en: </w:t>
      </w:r>
      <w:hyperlink r:id="rId86" w:history="1">
        <w:r w:rsidRPr="00853AD5">
          <w:rPr>
            <w:rStyle w:val="Hipervnculo"/>
            <w:rFonts w:ascii="Arial" w:hAnsi="Arial" w:cs="Arial"/>
            <w:sz w:val="14"/>
            <w:szCs w:val="14"/>
          </w:rPr>
          <w:t>https://berec.europa.eu/eng/document_register/subject_matter/berec/reports/209-berec-report-on-impact-of-bundled-offers-in-retail-and-wholesale-market-definition</w:t>
        </w:r>
      </w:hyperlink>
    </w:p>
  </w:footnote>
  <w:footnote w:id="89">
    <w:p w14:paraId="2821D775" w14:textId="77777777" w:rsidR="00FD6552" w:rsidRPr="00853AD5" w:rsidRDefault="00FD6552" w:rsidP="003545C8">
      <w:pPr>
        <w:pStyle w:val="Textonotapie"/>
        <w:rPr>
          <w:rStyle w:val="Hipervnculo"/>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 xml:space="preserve">. </w:t>
      </w:r>
    </w:p>
    <w:p w14:paraId="35535AEA" w14:textId="77777777" w:rsidR="00FD6552" w:rsidRPr="00853AD5" w:rsidRDefault="00FD6552" w:rsidP="003545C8">
      <w:pPr>
        <w:pStyle w:val="Textonotapie"/>
        <w:rPr>
          <w:rFonts w:ascii="Arial" w:hAnsi="Arial" w:cs="Arial"/>
          <w:sz w:val="14"/>
          <w:szCs w:val="14"/>
        </w:rPr>
      </w:pPr>
      <w:r w:rsidRPr="00853AD5">
        <w:rPr>
          <w:rStyle w:val="Hipervnculo"/>
          <w:rFonts w:ascii="Arial" w:hAnsi="Arial" w:cs="Arial"/>
          <w:sz w:val="14"/>
          <w:szCs w:val="14"/>
        </w:rPr>
        <w:t xml:space="preserve">UIT (2013). </w:t>
      </w:r>
      <w:r w:rsidRPr="00853AD5">
        <w:rPr>
          <w:rStyle w:val="Hipervnculo"/>
          <w:rFonts w:ascii="Arial" w:hAnsi="Arial" w:cs="Arial"/>
          <w:i/>
          <w:sz w:val="14"/>
          <w:szCs w:val="14"/>
        </w:rPr>
        <w:t xml:space="preserve">Competencia y reglamentación en el mundo de la banda ancha y la convergencia. </w:t>
      </w:r>
      <w:r w:rsidRPr="00853AD5">
        <w:rPr>
          <w:rStyle w:val="Hipervnculo"/>
          <w:rFonts w:ascii="Arial" w:hAnsi="Arial" w:cs="Arial"/>
          <w:sz w:val="14"/>
          <w:szCs w:val="14"/>
        </w:rPr>
        <w:t xml:space="preserve">Disponible en: </w:t>
      </w:r>
      <w:hyperlink r:id="rId87" w:history="1">
        <w:r w:rsidRPr="00853AD5">
          <w:rPr>
            <w:rStyle w:val="Hipervnculo"/>
            <w:rFonts w:ascii="Arial" w:hAnsi="Arial" w:cs="Arial"/>
            <w:sz w:val="14"/>
            <w:szCs w:val="14"/>
          </w:rPr>
          <w:t>https://www.itu.int/ITU-D/treg/publications/SMP-S.pdf</w:t>
        </w:r>
      </w:hyperlink>
    </w:p>
  </w:footnote>
  <w:footnote w:id="90">
    <w:p w14:paraId="59D39611"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2530DE36"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(2017). Acuerdo P/IFT/240217/104. pp. 432-433, 465-466. Disponible en: </w:t>
      </w:r>
      <w:hyperlink r:id="rId88" w:history="1">
        <w:r w:rsidRPr="00853AD5">
          <w:rPr>
            <w:rStyle w:val="Hipervnculo"/>
            <w:rFonts w:ascii="Arial" w:hAnsi="Arial" w:cs="Arial"/>
            <w:sz w:val="14"/>
            <w:szCs w:val="14"/>
          </w:rPr>
          <w:t>http://www.ift.org.mx/sites/default/files/conocenos/pleno/sesiones/acuerdoliga/versionpublicaucepift240217104_1.pdf</w:t>
        </w:r>
      </w:hyperlink>
    </w:p>
    <w:p w14:paraId="5EC9791C"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rPr>
        <w:t xml:space="preserve">Instituto (2017). Acuerdo P/IFT/060917/545. p. 167. Disponible en: </w:t>
      </w:r>
      <w:hyperlink r:id="rId89" w:history="1">
        <w:r w:rsidRPr="00853AD5">
          <w:rPr>
            <w:rStyle w:val="Hipervnculo"/>
            <w:rFonts w:ascii="Arial" w:hAnsi="Arial" w:cs="Arial"/>
            <w:sz w:val="14"/>
            <w:szCs w:val="14"/>
          </w:rPr>
          <w:t>http://www.ift.org.mx/sites/default/files/conocenos/pleno/sesiones/acuerdoliga/vppift060917545.pdf</w:t>
        </w:r>
      </w:hyperlink>
    </w:p>
    <w:p w14:paraId="7238098D"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(2020). </w:t>
      </w:r>
      <w:r w:rsidRPr="00853A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53AD5">
        <w:rPr>
          <w:rFonts w:ascii="Arial" w:hAnsi="Arial" w:cs="Arial"/>
          <w:sz w:val="14"/>
          <w:szCs w:val="14"/>
        </w:rPr>
        <w:t xml:space="preserve">. </w:t>
      </w:r>
      <w:proofErr w:type="spellStart"/>
      <w:r w:rsidRPr="00853AD5">
        <w:rPr>
          <w:rFonts w:ascii="Arial" w:hAnsi="Arial" w:cs="Arial"/>
          <w:sz w:val="14"/>
          <w:szCs w:val="14"/>
          <w:lang w:val="en-US"/>
        </w:rPr>
        <w:t>Acuerdo</w:t>
      </w:r>
      <w:proofErr w:type="spellEnd"/>
      <w:r w:rsidRPr="00853AD5">
        <w:rPr>
          <w:rFonts w:ascii="Arial" w:hAnsi="Arial" w:cs="Arial"/>
          <w:sz w:val="14"/>
          <w:szCs w:val="14"/>
          <w:lang w:val="en-US"/>
        </w:rPr>
        <w:t xml:space="preserve"> P/IFT/181120/436.</w:t>
      </w:r>
    </w:p>
  </w:footnote>
  <w:footnote w:id="91">
    <w:p w14:paraId="6AD35304"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4824B6C4"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BEREC (2011). </w:t>
      </w:r>
      <w:proofErr w:type="spellStart"/>
      <w:r w:rsidRPr="00853AD5">
        <w:rPr>
          <w:rFonts w:ascii="Arial" w:hAnsi="Arial" w:cs="Arial"/>
          <w:i/>
          <w:sz w:val="14"/>
          <w:szCs w:val="14"/>
          <w:lang w:val="en-US"/>
        </w:rPr>
        <w:t>Berec</w:t>
      </w:r>
      <w:proofErr w:type="spellEnd"/>
      <w:r w:rsidRPr="00853AD5">
        <w:rPr>
          <w:rFonts w:ascii="Arial" w:hAnsi="Arial" w:cs="Arial"/>
          <w:i/>
          <w:sz w:val="14"/>
          <w:szCs w:val="14"/>
          <w:lang w:val="en-US"/>
        </w:rPr>
        <w:t xml:space="preserve"> Report on Impact of Fixed-Mobile Substitution in Market Definition</w:t>
      </w:r>
      <w:r w:rsidRPr="00853AD5">
        <w:rPr>
          <w:rFonts w:ascii="Arial" w:hAnsi="Arial" w:cs="Arial"/>
          <w:sz w:val="14"/>
          <w:szCs w:val="14"/>
          <w:lang w:val="en-US"/>
        </w:rPr>
        <w:t xml:space="preserve">. p. 12. </w:t>
      </w:r>
    </w:p>
    <w:p w14:paraId="43844FD9"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CE (2003). </w:t>
      </w:r>
      <w:r w:rsidRPr="00853AD5">
        <w:rPr>
          <w:rFonts w:ascii="Arial" w:hAnsi="Arial" w:cs="Arial"/>
          <w:i/>
          <w:sz w:val="14"/>
          <w:szCs w:val="14"/>
          <w:lang w:val="en-US"/>
        </w:rPr>
        <w:t xml:space="preserve">Case COMP/38.233 – </w:t>
      </w:r>
      <w:proofErr w:type="spellStart"/>
      <w:r w:rsidRPr="00853AD5">
        <w:rPr>
          <w:rFonts w:ascii="Arial" w:hAnsi="Arial" w:cs="Arial"/>
          <w:i/>
          <w:sz w:val="14"/>
          <w:szCs w:val="14"/>
          <w:lang w:val="en-US"/>
        </w:rPr>
        <w:t>Wanadoo</w:t>
      </w:r>
      <w:proofErr w:type="spellEnd"/>
      <w:r w:rsidRPr="00853AD5">
        <w:rPr>
          <w:rFonts w:ascii="Arial" w:hAnsi="Arial" w:cs="Arial"/>
          <w:i/>
          <w:sz w:val="14"/>
          <w:szCs w:val="14"/>
          <w:lang w:val="en-US"/>
        </w:rPr>
        <w:t xml:space="preserve"> Interactive</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90" w:history="1">
        <w:r w:rsidRPr="00853AD5">
          <w:rPr>
            <w:rStyle w:val="Hipervnculo"/>
            <w:rFonts w:ascii="Arial" w:hAnsi="Arial" w:cs="Arial"/>
            <w:sz w:val="14"/>
            <w:szCs w:val="14"/>
          </w:rPr>
          <w:t>https://ec.europa.eu/competition/antitrust/cases/dec_docs/38233/38233_87_1.pdf</w:t>
        </w:r>
      </w:hyperlink>
      <w:r w:rsidRPr="00853AD5">
        <w:rPr>
          <w:rStyle w:val="Hipervnculo"/>
          <w:rFonts w:ascii="Arial" w:hAnsi="Arial" w:cs="Arial"/>
          <w:sz w:val="14"/>
          <w:szCs w:val="14"/>
        </w:rPr>
        <w:t>.</w:t>
      </w:r>
    </w:p>
    <w:p w14:paraId="45F81F15"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BEREC (2011). </w:t>
      </w:r>
      <w:proofErr w:type="spellStart"/>
      <w:r w:rsidRPr="00853AD5">
        <w:rPr>
          <w:rFonts w:ascii="Arial" w:hAnsi="Arial" w:cs="Arial"/>
          <w:i/>
          <w:sz w:val="14"/>
          <w:szCs w:val="14"/>
          <w:lang w:val="en-US"/>
        </w:rPr>
        <w:t>Berec</w:t>
      </w:r>
      <w:proofErr w:type="spellEnd"/>
      <w:r w:rsidRPr="00853AD5">
        <w:rPr>
          <w:rFonts w:ascii="Arial" w:hAnsi="Arial" w:cs="Arial"/>
          <w:i/>
          <w:sz w:val="14"/>
          <w:szCs w:val="14"/>
          <w:lang w:val="en-US"/>
        </w:rPr>
        <w:t xml:space="preserve"> Report on Impact of Fixed-Mobile Substitution in Market Definition</w:t>
      </w:r>
      <w:r w:rsidRPr="00853AD5">
        <w:rPr>
          <w:rFonts w:ascii="Arial" w:hAnsi="Arial" w:cs="Arial"/>
          <w:sz w:val="14"/>
          <w:szCs w:val="14"/>
          <w:lang w:val="en-US"/>
        </w:rPr>
        <w:t xml:space="preserve">. </w:t>
      </w:r>
    </w:p>
    <w:p w14:paraId="5ACD4E01"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Tribunal General (2012). </w:t>
      </w:r>
      <w:r w:rsidRPr="00853AD5">
        <w:rPr>
          <w:rFonts w:ascii="Arial" w:hAnsi="Arial" w:cs="Arial"/>
          <w:i/>
          <w:sz w:val="14"/>
          <w:szCs w:val="14"/>
        </w:rPr>
        <w:t xml:space="preserve">SENTENCIA DEL TRIBUNAL GENERAL (Sala Octava) de 29 de marzo de 2012. Párrafo 140. </w:t>
      </w:r>
      <w:r w:rsidRPr="00853AD5">
        <w:rPr>
          <w:rFonts w:ascii="Arial" w:hAnsi="Arial" w:cs="Arial"/>
          <w:sz w:val="14"/>
          <w:szCs w:val="14"/>
        </w:rPr>
        <w:t xml:space="preserve">Disponible en: </w:t>
      </w:r>
      <w:hyperlink r:id="rId91" w:history="1">
        <w:r w:rsidRPr="00853AD5">
          <w:rPr>
            <w:rStyle w:val="Hipervnculo"/>
            <w:rFonts w:ascii="Arial" w:hAnsi="Arial" w:cs="Arial"/>
            <w:sz w:val="14"/>
            <w:szCs w:val="14"/>
          </w:rPr>
          <w:t>http://curia.europa.eu/juris/document/document.jsf;jsessionid=CDC36C791B5A503C86A5B8A543E2E569?text=&amp;docid=121143&amp;pageIndex=0&amp;doclang=ES&amp;mode=lst&amp;dir=&amp;occ=first&amp;part=1&amp;cid=4131947</w:t>
        </w:r>
      </w:hyperlink>
    </w:p>
  </w:footnote>
  <w:footnote w:id="92">
    <w:p w14:paraId="1136735A"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70F40841" w14:textId="3B36C2FB" w:rsidR="00FD6552" w:rsidRPr="00853AD5" w:rsidRDefault="00FD6552" w:rsidP="005E23E0">
      <w:pPr>
        <w:pStyle w:val="Textonotapie"/>
        <w:numPr>
          <w:ilvl w:val="0"/>
          <w:numId w:val="28"/>
        </w:numPr>
        <w:jc w:val="both"/>
        <w:rPr>
          <w:rStyle w:val="Hipervnculo"/>
          <w:rFonts w:ascii="Arial" w:hAnsi="Arial" w:cs="Arial"/>
          <w:sz w:val="14"/>
          <w:szCs w:val="14"/>
          <w:lang w:val="en-US"/>
        </w:rPr>
      </w:pPr>
      <w:r w:rsidRPr="00853AD5">
        <w:rPr>
          <w:rFonts w:ascii="Arial" w:hAnsi="Arial" w:cs="Arial"/>
          <w:sz w:val="14"/>
          <w:szCs w:val="14"/>
          <w:lang w:val="en-US"/>
        </w:rPr>
        <w:t xml:space="preserve">DOJ (2011). </w:t>
      </w:r>
      <w:r w:rsidRPr="00853AD5">
        <w:rPr>
          <w:rFonts w:ascii="Arial" w:hAnsi="Arial" w:cs="Arial"/>
          <w:i/>
          <w:sz w:val="14"/>
          <w:szCs w:val="14"/>
          <w:lang w:val="en-US"/>
        </w:rPr>
        <w:t>Complaint. United States of America v AT&amp;T Inc., T-Mobile USA, Inc. and Deutsche Telekom, AG.</w:t>
      </w:r>
      <w:r w:rsidRPr="00853AD5">
        <w:rPr>
          <w:rFonts w:ascii="Arial" w:hAnsi="Arial" w:cs="Arial"/>
          <w:sz w:val="14"/>
          <w:szCs w:val="14"/>
          <w:lang w:val="en-US"/>
        </w:rPr>
        <w:t xml:space="preserve"> Disponible </w:t>
      </w:r>
      <w:proofErr w:type="spellStart"/>
      <w:r w:rsidRPr="00853AD5">
        <w:rPr>
          <w:rFonts w:ascii="Arial" w:hAnsi="Arial" w:cs="Arial"/>
          <w:sz w:val="14"/>
          <w:szCs w:val="14"/>
          <w:lang w:val="en-US"/>
        </w:rPr>
        <w:t>en</w:t>
      </w:r>
      <w:proofErr w:type="spellEnd"/>
      <w:r w:rsidRPr="00853AD5">
        <w:rPr>
          <w:rFonts w:ascii="Arial" w:hAnsi="Arial" w:cs="Arial"/>
          <w:sz w:val="14"/>
          <w:szCs w:val="14"/>
          <w:lang w:val="en-US"/>
        </w:rPr>
        <w:t>:</w:t>
      </w:r>
      <w:r>
        <w:rPr>
          <w:rFonts w:ascii="Arial" w:hAnsi="Arial" w:cs="Arial"/>
          <w:sz w:val="14"/>
          <w:szCs w:val="14"/>
          <w:lang w:val="en-US"/>
        </w:rPr>
        <w:t xml:space="preserve">  </w:t>
      </w:r>
      <w:hyperlink r:id="rId92" w:history="1">
        <w:r w:rsidRPr="00FA3A58">
          <w:rPr>
            <w:rStyle w:val="Hipervnculo"/>
            <w:rFonts w:ascii="Arial" w:hAnsi="Arial" w:cs="Arial"/>
            <w:sz w:val="14"/>
            <w:szCs w:val="14"/>
            <w:lang w:val="en-US"/>
          </w:rPr>
          <w:t>https://www.justice.gov/sites/default/files/opa/legacy/2011/08/31/Justice-ATT-TMobile-Complaint.pdf</w:t>
        </w:r>
      </w:hyperlink>
      <w:r>
        <w:rPr>
          <w:rFonts w:ascii="Arial" w:hAnsi="Arial" w:cs="Arial"/>
          <w:sz w:val="14"/>
          <w:szCs w:val="14"/>
          <w:lang w:val="en-US"/>
        </w:rPr>
        <w:t xml:space="preserve"> </w:t>
      </w:r>
    </w:p>
    <w:p w14:paraId="5CED872B"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FCC (2004). </w:t>
      </w:r>
      <w:r w:rsidRPr="00853AD5">
        <w:rPr>
          <w:rFonts w:ascii="Arial" w:hAnsi="Arial" w:cs="Arial"/>
          <w:i/>
          <w:sz w:val="14"/>
          <w:szCs w:val="14"/>
          <w:lang w:val="en-US"/>
        </w:rPr>
        <w:t>In the matter of Applications of AT&amp;T Wireless Services, Inc. and Cingular Wireless Corporation, et al.</w:t>
      </w:r>
      <w:r w:rsidRPr="00853AD5">
        <w:rPr>
          <w:rFonts w:ascii="Arial" w:hAnsi="Arial" w:cs="Arial"/>
          <w:sz w:val="14"/>
          <w:szCs w:val="14"/>
          <w:lang w:val="en-US"/>
        </w:rPr>
        <w:t xml:space="preserve"> </w:t>
      </w:r>
      <w:r w:rsidRPr="00853AD5">
        <w:rPr>
          <w:rFonts w:ascii="Arial" w:hAnsi="Arial" w:cs="Arial"/>
          <w:sz w:val="14"/>
          <w:szCs w:val="14"/>
        </w:rPr>
        <w:t xml:space="preserve">Nota al pie 267. Disponible en: </w:t>
      </w:r>
      <w:hyperlink r:id="rId93" w:history="1">
        <w:r w:rsidRPr="00853AD5">
          <w:rPr>
            <w:rStyle w:val="Hipervnculo"/>
            <w:rFonts w:ascii="Arial" w:hAnsi="Arial" w:cs="Arial"/>
            <w:sz w:val="14"/>
            <w:szCs w:val="14"/>
          </w:rPr>
          <w:t>https://www.fcc.gov/document/matter-applications-att-wireless-services-inc-and-cingular</w:t>
        </w:r>
      </w:hyperlink>
    </w:p>
    <w:p w14:paraId="1F6769A5"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US"/>
        </w:rPr>
        <w:t xml:space="preserve">FCC (2019). </w:t>
      </w:r>
      <w:r w:rsidRPr="00853AD5">
        <w:rPr>
          <w:rFonts w:ascii="Arial" w:hAnsi="Arial" w:cs="Arial"/>
          <w:i/>
          <w:sz w:val="14"/>
          <w:szCs w:val="14"/>
          <w:lang w:val="en-US"/>
        </w:rPr>
        <w:t xml:space="preserve">MEMORANDUM OPINION AND ORDER, DECLARATORY RULING, AND ORDER OF PROPOSED MODIFICATION. In the matter of Applications of T-Mobile US, Inc., and Sprint Corporation </w:t>
      </w:r>
      <w:proofErr w:type="gramStart"/>
      <w:r w:rsidRPr="00853AD5">
        <w:rPr>
          <w:rFonts w:ascii="Arial" w:hAnsi="Arial" w:cs="Arial"/>
          <w:i/>
          <w:sz w:val="14"/>
          <w:szCs w:val="14"/>
          <w:lang w:val="en-US"/>
        </w:rPr>
        <w:t>For</w:t>
      </w:r>
      <w:proofErr w:type="gramEnd"/>
      <w:r w:rsidRPr="00853AD5">
        <w:rPr>
          <w:rFonts w:ascii="Arial" w:hAnsi="Arial" w:cs="Arial"/>
          <w:i/>
          <w:sz w:val="14"/>
          <w:szCs w:val="14"/>
          <w:lang w:val="en-US"/>
        </w:rPr>
        <w:t xml:space="preserve"> Consent To Transfer Control of Licenses and Authorizations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94" w:history="1">
        <w:r w:rsidRPr="00853AD5">
          <w:rPr>
            <w:rStyle w:val="Hipervnculo"/>
            <w:rFonts w:ascii="Arial" w:hAnsi="Arial" w:cs="Arial"/>
            <w:sz w:val="14"/>
            <w:szCs w:val="14"/>
          </w:rPr>
          <w:t>https://docs.fcc.gov/public/attachments/FCC-19-103A1.pdf</w:t>
        </w:r>
      </w:hyperlink>
    </w:p>
  </w:footnote>
  <w:footnote w:id="93">
    <w:p w14:paraId="5D4C9D6E"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5F407188" w14:textId="77777777"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en-US"/>
        </w:rPr>
        <w:t xml:space="preserve">ANACOM (2009). </w:t>
      </w:r>
      <w:r w:rsidRPr="00853AD5">
        <w:rPr>
          <w:rFonts w:ascii="Arial" w:hAnsi="Arial" w:cs="Arial"/>
          <w:i/>
          <w:sz w:val="14"/>
          <w:szCs w:val="14"/>
          <w:lang w:val="en-US"/>
        </w:rPr>
        <w:t>RETAIL MARKET AND WHOLESALE MARKETS OF TERMINATING AND TRUNK SEGMENTS OF LEASED LINES.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95" w:history="1">
        <w:r w:rsidRPr="00853AD5">
          <w:rPr>
            <w:rStyle w:val="Hipervnculo"/>
            <w:rFonts w:ascii="Arial" w:hAnsi="Arial" w:cs="Arial"/>
            <w:sz w:val="14"/>
            <w:szCs w:val="14"/>
          </w:rPr>
          <w:t>https://www.anacom.pt/streaming/Determination28september2010_final_decision.pdf?contentId=1061287&amp;field=ATTACHED_FILE</w:t>
        </w:r>
      </w:hyperlink>
    </w:p>
    <w:p w14:paraId="46504FD0"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Autoridad de Competencia (2013). </w:t>
      </w:r>
      <w:proofErr w:type="spellStart"/>
      <w:r w:rsidRPr="00853AD5">
        <w:rPr>
          <w:rFonts w:ascii="Arial" w:hAnsi="Arial" w:cs="Arial"/>
          <w:i/>
          <w:sz w:val="14"/>
          <w:szCs w:val="14"/>
        </w:rPr>
        <w:t>Ccent</w:t>
      </w:r>
      <w:proofErr w:type="spellEnd"/>
      <w:r w:rsidRPr="00853AD5">
        <w:rPr>
          <w:rFonts w:ascii="Arial" w:hAnsi="Arial" w:cs="Arial"/>
          <w:i/>
          <w:sz w:val="14"/>
          <w:szCs w:val="14"/>
        </w:rPr>
        <w:t xml:space="preserve">. 5/2013 </w:t>
      </w:r>
      <w:proofErr w:type="spellStart"/>
      <w:r w:rsidRPr="00853AD5">
        <w:rPr>
          <w:rFonts w:ascii="Arial" w:hAnsi="Arial" w:cs="Arial"/>
          <w:i/>
          <w:sz w:val="14"/>
          <w:szCs w:val="14"/>
        </w:rPr>
        <w:t>Kento</w:t>
      </w:r>
      <w:proofErr w:type="spellEnd"/>
      <w:r w:rsidRPr="00853AD5">
        <w:rPr>
          <w:rFonts w:ascii="Arial" w:hAnsi="Arial" w:cs="Arial"/>
          <w:i/>
          <w:sz w:val="14"/>
          <w:szCs w:val="14"/>
        </w:rPr>
        <w:t>*Unitel*</w:t>
      </w:r>
      <w:proofErr w:type="spellStart"/>
      <w:r w:rsidRPr="00853AD5">
        <w:rPr>
          <w:rFonts w:ascii="Arial" w:hAnsi="Arial" w:cs="Arial"/>
          <w:i/>
          <w:sz w:val="14"/>
          <w:szCs w:val="14"/>
        </w:rPr>
        <w:t>Sonaecom</w:t>
      </w:r>
      <w:proofErr w:type="spellEnd"/>
      <w:r w:rsidRPr="00853AD5">
        <w:rPr>
          <w:rFonts w:ascii="Arial" w:hAnsi="Arial" w:cs="Arial"/>
          <w:i/>
          <w:sz w:val="14"/>
          <w:szCs w:val="14"/>
        </w:rPr>
        <w:t>/ZON*Optimus.</w:t>
      </w:r>
    </w:p>
  </w:footnote>
  <w:footnote w:id="94">
    <w:p w14:paraId="1212BD80" w14:textId="77777777" w:rsidR="00FD6552" w:rsidRPr="0078692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w:t>
      </w:r>
      <w:proofErr w:type="spellStart"/>
      <w:r w:rsidRPr="00853AD5">
        <w:rPr>
          <w:rFonts w:ascii="Arial" w:hAnsi="Arial" w:cs="Arial"/>
          <w:sz w:val="14"/>
          <w:szCs w:val="14"/>
          <w:lang w:val="en-US"/>
        </w:rPr>
        <w:t>Ofcom</w:t>
      </w:r>
      <w:proofErr w:type="spellEnd"/>
      <w:r w:rsidRPr="00853AD5">
        <w:rPr>
          <w:rFonts w:ascii="Arial" w:hAnsi="Arial" w:cs="Arial"/>
          <w:sz w:val="14"/>
          <w:szCs w:val="14"/>
          <w:lang w:val="en-US"/>
        </w:rPr>
        <w:t xml:space="preserve"> (201</w:t>
      </w:r>
      <w:r>
        <w:rPr>
          <w:rFonts w:ascii="Arial" w:hAnsi="Arial" w:cs="Arial"/>
          <w:sz w:val="14"/>
          <w:szCs w:val="14"/>
          <w:lang w:val="en-US"/>
        </w:rPr>
        <w:t>8</w:t>
      </w:r>
      <w:r w:rsidRPr="00853AD5">
        <w:rPr>
          <w:rFonts w:ascii="Arial" w:hAnsi="Arial" w:cs="Arial"/>
          <w:sz w:val="14"/>
          <w:szCs w:val="14"/>
          <w:lang w:val="en-US"/>
        </w:rPr>
        <w:t xml:space="preserve">). </w:t>
      </w:r>
      <w:r w:rsidRPr="00853AD5">
        <w:rPr>
          <w:rFonts w:ascii="Arial" w:hAnsi="Arial" w:cs="Arial"/>
          <w:i/>
          <w:sz w:val="14"/>
          <w:szCs w:val="14"/>
          <w:lang w:val="en-US"/>
        </w:rPr>
        <w:t>Wholesale Broadband Access Market Review 2018.</w:t>
      </w:r>
      <w:r>
        <w:rPr>
          <w:rFonts w:ascii="Arial" w:hAnsi="Arial" w:cs="Arial"/>
          <w:i/>
          <w:sz w:val="14"/>
          <w:szCs w:val="14"/>
          <w:lang w:val="en-US"/>
        </w:rPr>
        <w:t xml:space="preserve"> </w:t>
      </w:r>
      <w:r w:rsidRPr="00786925">
        <w:rPr>
          <w:rFonts w:ascii="Arial" w:hAnsi="Arial" w:cs="Arial"/>
          <w:sz w:val="14"/>
          <w:szCs w:val="14"/>
        </w:rPr>
        <w:t xml:space="preserve">Disponible en: </w:t>
      </w:r>
      <w:hyperlink r:id="rId96" w:history="1">
        <w:r w:rsidRPr="00786925">
          <w:rPr>
            <w:rStyle w:val="Hipervnculo"/>
            <w:rFonts w:ascii="Arial" w:hAnsi="Arial" w:cs="Arial"/>
            <w:sz w:val="14"/>
            <w:szCs w:val="14"/>
          </w:rPr>
          <w:t>https://www.ofcom.org.uk/__data/assets/pdf_file/0019/115138/Draft-statement-annexes-2-8-Wholesale-broadband-access-market-review-2018.pdf</w:t>
        </w:r>
      </w:hyperlink>
      <w:r>
        <w:rPr>
          <w:rFonts w:ascii="Arial" w:hAnsi="Arial" w:cs="Arial"/>
          <w:sz w:val="14"/>
          <w:szCs w:val="14"/>
        </w:rPr>
        <w:t xml:space="preserve"> </w:t>
      </w:r>
      <w:r w:rsidRPr="00786925">
        <w:rPr>
          <w:rFonts w:ascii="Arial" w:hAnsi="Arial" w:cs="Arial"/>
          <w:sz w:val="14"/>
          <w:szCs w:val="14"/>
        </w:rPr>
        <w:t xml:space="preserve">  </w:t>
      </w:r>
    </w:p>
  </w:footnote>
  <w:footnote w:id="95">
    <w:p w14:paraId="73FC904B"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 por </w:t>
      </w:r>
      <w:proofErr w:type="spellStart"/>
      <w:r w:rsidRPr="00853AD5">
        <w:rPr>
          <w:rFonts w:ascii="Arial" w:hAnsi="Arial" w:cs="Arial"/>
          <w:sz w:val="14"/>
          <w:szCs w:val="14"/>
          <w:lang w:val="en-US"/>
        </w:rPr>
        <w:t>ejemplo</w:t>
      </w:r>
      <w:proofErr w:type="spellEnd"/>
      <w:r w:rsidRPr="00853AD5">
        <w:rPr>
          <w:rFonts w:ascii="Arial" w:hAnsi="Arial" w:cs="Arial"/>
          <w:sz w:val="14"/>
          <w:szCs w:val="14"/>
          <w:lang w:val="en-US"/>
        </w:rPr>
        <w:t>, CE (2012</w:t>
      </w:r>
      <w:proofErr w:type="gramStart"/>
      <w:r w:rsidRPr="00853AD5">
        <w:rPr>
          <w:rFonts w:ascii="Arial" w:hAnsi="Arial" w:cs="Arial"/>
          <w:sz w:val="14"/>
          <w:szCs w:val="14"/>
          <w:lang w:val="en-US"/>
        </w:rPr>
        <w:t>).</w:t>
      </w:r>
      <w:r w:rsidRPr="00853AD5">
        <w:rPr>
          <w:rFonts w:ascii="Arial" w:hAnsi="Arial" w:cs="Arial"/>
          <w:i/>
          <w:sz w:val="14"/>
          <w:szCs w:val="14"/>
          <w:lang w:val="en-US"/>
        </w:rPr>
        <w:t>Roundtable</w:t>
      </w:r>
      <w:proofErr w:type="gramEnd"/>
      <w:r w:rsidRPr="00853AD5">
        <w:rPr>
          <w:rFonts w:ascii="Arial" w:hAnsi="Arial" w:cs="Arial"/>
          <w:i/>
          <w:sz w:val="14"/>
          <w:szCs w:val="14"/>
          <w:lang w:val="en-US"/>
        </w:rPr>
        <w:t xml:space="preserve"> on market definition. Note by the delegation of the European Union. </w:t>
      </w:r>
      <w:r w:rsidRPr="00853AD5">
        <w:rPr>
          <w:rFonts w:ascii="Arial" w:hAnsi="Arial" w:cs="Arial"/>
          <w:sz w:val="14"/>
          <w:szCs w:val="14"/>
          <w:lang w:val="en-US"/>
        </w:rPr>
        <w:t xml:space="preserve"> p. 6. </w:t>
      </w:r>
    </w:p>
  </w:footnote>
  <w:footnote w:id="96">
    <w:p w14:paraId="3B388150" w14:textId="77777777" w:rsidR="00FD6552" w:rsidRPr="00853AD5" w:rsidRDefault="00FD6552" w:rsidP="003545C8">
      <w:pPr>
        <w:pStyle w:val="Textonotapie"/>
        <w:rPr>
          <w:rFonts w:ascii="Arial" w:hAnsi="Arial" w:cs="Arial"/>
          <w:sz w:val="14"/>
          <w:szCs w:val="14"/>
          <w:lang w:val="fr-FR"/>
        </w:rPr>
      </w:pPr>
      <w:r w:rsidRPr="00853AD5">
        <w:rPr>
          <w:rStyle w:val="Refdenotaalpie"/>
          <w:rFonts w:ascii="Arial" w:hAnsi="Arial" w:cs="Arial"/>
          <w:sz w:val="14"/>
          <w:szCs w:val="14"/>
        </w:rPr>
        <w:footnoteRef/>
      </w:r>
      <w:r w:rsidRPr="00853AD5">
        <w:rPr>
          <w:rFonts w:ascii="Arial" w:hAnsi="Arial" w:cs="Arial"/>
          <w:sz w:val="14"/>
          <w:szCs w:val="14"/>
          <w:lang w:val="en-GB"/>
        </w:rPr>
        <w:t xml:space="preserve"> </w:t>
      </w:r>
      <w:r w:rsidRPr="00853AD5">
        <w:rPr>
          <w:rFonts w:ascii="Arial" w:hAnsi="Arial" w:cs="Arial"/>
          <w:sz w:val="14"/>
          <w:szCs w:val="14"/>
          <w:lang w:val="en-US"/>
        </w:rPr>
        <w:t xml:space="preserve">OCDE (2017). </w:t>
      </w:r>
      <w:r w:rsidRPr="00853AD5">
        <w:rPr>
          <w:rFonts w:ascii="Arial" w:hAnsi="Arial" w:cs="Arial"/>
          <w:i/>
          <w:sz w:val="14"/>
          <w:szCs w:val="14"/>
          <w:lang w:val="en-US"/>
        </w:rPr>
        <w:t xml:space="preserve">Market Definition in Multi-Sided Markets - Note by Dr </w:t>
      </w:r>
      <w:proofErr w:type="spellStart"/>
      <w:r w:rsidRPr="00853AD5">
        <w:rPr>
          <w:rFonts w:ascii="Arial" w:hAnsi="Arial" w:cs="Arial"/>
          <w:i/>
          <w:sz w:val="14"/>
          <w:szCs w:val="14"/>
          <w:lang w:val="en-US"/>
        </w:rPr>
        <w:t>Lapo</w:t>
      </w:r>
      <w:proofErr w:type="spellEnd"/>
      <w:r w:rsidRPr="00853AD5">
        <w:rPr>
          <w:rFonts w:ascii="Arial" w:hAnsi="Arial" w:cs="Arial"/>
          <w:i/>
          <w:sz w:val="14"/>
          <w:szCs w:val="14"/>
          <w:lang w:val="en-US"/>
        </w:rPr>
        <w:t xml:space="preserve"> </w:t>
      </w:r>
      <w:proofErr w:type="spellStart"/>
      <w:r w:rsidRPr="00853AD5">
        <w:rPr>
          <w:rFonts w:ascii="Arial" w:hAnsi="Arial" w:cs="Arial"/>
          <w:i/>
          <w:sz w:val="14"/>
          <w:szCs w:val="14"/>
          <w:lang w:val="en-US"/>
        </w:rPr>
        <w:t>Filistrucchi</w:t>
      </w:r>
      <w:proofErr w:type="spellEnd"/>
      <w:r w:rsidRPr="00853AD5">
        <w:rPr>
          <w:rFonts w:ascii="Arial" w:hAnsi="Arial" w:cs="Arial"/>
          <w:sz w:val="14"/>
          <w:szCs w:val="14"/>
          <w:lang w:val="en-US"/>
        </w:rPr>
        <w:t xml:space="preserve">. p. 10. </w:t>
      </w:r>
      <w:r w:rsidRPr="00853AD5">
        <w:rPr>
          <w:rFonts w:ascii="Arial" w:hAnsi="Arial" w:cs="Arial"/>
          <w:sz w:val="14"/>
          <w:szCs w:val="14"/>
          <w:lang w:val="fr-FR"/>
        </w:rPr>
        <w:t xml:space="preserve">Disponible </w:t>
      </w:r>
      <w:proofErr w:type="gramStart"/>
      <w:r w:rsidRPr="00853AD5">
        <w:rPr>
          <w:rFonts w:ascii="Arial" w:hAnsi="Arial" w:cs="Arial"/>
          <w:sz w:val="14"/>
          <w:szCs w:val="14"/>
          <w:lang w:val="fr-FR"/>
        </w:rPr>
        <w:t>en:</w:t>
      </w:r>
      <w:proofErr w:type="gramEnd"/>
      <w:r w:rsidRPr="00853AD5">
        <w:rPr>
          <w:rFonts w:ascii="Arial" w:hAnsi="Arial" w:cs="Arial"/>
          <w:sz w:val="14"/>
          <w:szCs w:val="14"/>
          <w:lang w:val="fr-FR"/>
        </w:rPr>
        <w:t xml:space="preserve"> </w:t>
      </w:r>
      <w:hyperlink r:id="rId97" w:history="1">
        <w:r w:rsidRPr="00853AD5">
          <w:rPr>
            <w:rStyle w:val="Hipervnculo"/>
            <w:rFonts w:ascii="Arial" w:hAnsi="Arial" w:cs="Arial"/>
            <w:sz w:val="14"/>
            <w:szCs w:val="14"/>
            <w:lang w:val="fr-FR"/>
          </w:rPr>
          <w:t>https://one.oecd.org/document/DAF/COMP/WD(2017)27/FINAL/en/pdf</w:t>
        </w:r>
      </w:hyperlink>
    </w:p>
  </w:footnote>
  <w:footnote w:id="97">
    <w:p w14:paraId="01C59B7B"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fr-FR"/>
        </w:rPr>
        <w:t xml:space="preserve"> 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xml:space="preserve"> </w:t>
      </w:r>
    </w:p>
  </w:footnote>
  <w:footnote w:id="98">
    <w:p w14:paraId="14EA60C1"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7E8E7FE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(2019). </w:t>
      </w:r>
      <w:r w:rsidRPr="00853AD5">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853AD5">
        <w:rPr>
          <w:rFonts w:ascii="Arial" w:hAnsi="Arial" w:cs="Arial"/>
          <w:sz w:val="14"/>
          <w:szCs w:val="14"/>
        </w:rPr>
        <w:t xml:space="preserve"> Acuerdo </w:t>
      </w:r>
      <w:r w:rsidRPr="00853AD5">
        <w:rPr>
          <w:rFonts w:ascii="Arial" w:hAnsi="Arial" w:cs="Arial"/>
          <w:bCs/>
          <w:sz w:val="14"/>
          <w:szCs w:val="14"/>
        </w:rPr>
        <w:t>P/IFT/110319/122</w:t>
      </w:r>
      <w:r w:rsidRPr="00853AD5">
        <w:rPr>
          <w:rFonts w:ascii="Arial" w:hAnsi="Arial" w:cs="Arial"/>
          <w:sz w:val="14"/>
          <w:szCs w:val="14"/>
        </w:rPr>
        <w:t xml:space="preserve"> </w:t>
      </w:r>
    </w:p>
    <w:p w14:paraId="3BCD2C0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(2015). </w:t>
      </w:r>
      <w:r w:rsidRPr="00853AD5">
        <w:rPr>
          <w:rFonts w:ascii="Arial" w:hAnsi="Arial" w:cs="Arial"/>
          <w:i/>
          <w:sz w:val="14"/>
          <w:szCs w:val="14"/>
        </w:rPr>
        <w:t xml:space="preserve">RESOLUCIÓN MEDIANTE LA CUAL EL PLENO DEL INSTITUTO FEDERAL DE TELECOMUNICACIONES AUTORIZA QUE SE REALICE LA CONCENTRACIÓN RADICADA BAJO EL EXPEDIENTE NO. </w:t>
      </w:r>
      <w:r w:rsidRPr="00853AD5">
        <w:rPr>
          <w:rFonts w:ascii="Arial" w:hAnsi="Arial" w:cs="Arial"/>
          <w:i/>
          <w:sz w:val="14"/>
          <w:szCs w:val="14"/>
          <w:lang w:val="en-US"/>
        </w:rPr>
        <w:t xml:space="preserve">UCE/CNC-001-2015, NOTIFICADA POR AT&amp;T, INC. Y NII HOLDINGS, INC. </w:t>
      </w:r>
      <w:proofErr w:type="spellStart"/>
      <w:r w:rsidRPr="00853AD5">
        <w:rPr>
          <w:rFonts w:ascii="Arial" w:hAnsi="Arial" w:cs="Arial"/>
          <w:sz w:val="14"/>
          <w:szCs w:val="14"/>
          <w:lang w:val="en-US"/>
        </w:rPr>
        <w:t>Acuerdo</w:t>
      </w:r>
      <w:proofErr w:type="spellEnd"/>
      <w:r w:rsidRPr="00853AD5">
        <w:rPr>
          <w:rFonts w:ascii="Arial" w:hAnsi="Arial" w:cs="Arial"/>
          <w:sz w:val="14"/>
          <w:szCs w:val="14"/>
          <w:lang w:val="en-US"/>
        </w:rPr>
        <w:t xml:space="preserve"> P/IFT/EXT/290415/86</w:t>
      </w:r>
    </w:p>
  </w:footnote>
  <w:footnote w:id="99">
    <w:p w14:paraId="491E555E" w14:textId="77777777" w:rsidR="00FD6552" w:rsidRPr="00853AD5" w:rsidRDefault="00FD6552" w:rsidP="003545C8">
      <w:pPr>
        <w:pStyle w:val="Textonotapie"/>
        <w:rPr>
          <w:rFonts w:ascii="Arial" w:hAnsi="Arial" w:cs="Arial"/>
          <w:sz w:val="14"/>
          <w:szCs w:val="14"/>
          <w:lang w:val="en-US"/>
        </w:rPr>
      </w:pPr>
      <w:r w:rsidRPr="00853AD5" w:rsidDel="00673A3A">
        <w:rPr>
          <w:rStyle w:val="Refdenotaalpie"/>
          <w:rFonts w:ascii="Arial" w:hAnsi="Arial" w:cs="Arial"/>
          <w:sz w:val="14"/>
          <w:szCs w:val="14"/>
        </w:rPr>
        <w:footnoteRef/>
      </w:r>
      <w:r w:rsidRPr="00853AD5">
        <w:rPr>
          <w:rFonts w:ascii="Arial" w:hAnsi="Arial" w:cs="Arial"/>
          <w:sz w:val="14"/>
          <w:szCs w:val="14"/>
          <w:lang w:val="en-US"/>
        </w:rPr>
        <w:t xml:space="preserve"> Ver:</w:t>
      </w:r>
    </w:p>
    <w:p w14:paraId="2BBDCEAB"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OCDE (2014).</w:t>
      </w:r>
      <w:r w:rsidRPr="00853AD5" w:rsidDel="00673A3A">
        <w:rPr>
          <w:rFonts w:ascii="Arial" w:hAnsi="Arial" w:cs="Arial"/>
          <w:sz w:val="14"/>
          <w:szCs w:val="14"/>
          <w:lang w:val="en-US"/>
        </w:rPr>
        <w:t xml:space="preserve"> </w:t>
      </w:r>
      <w:r w:rsidRPr="00853AD5" w:rsidDel="00673A3A">
        <w:rPr>
          <w:rFonts w:ascii="Arial" w:hAnsi="Arial" w:cs="Arial"/>
          <w:i/>
          <w:sz w:val="14"/>
          <w:szCs w:val="14"/>
          <w:lang w:val="en-US"/>
        </w:rPr>
        <w:t xml:space="preserve">Defining </w:t>
      </w:r>
      <w:r w:rsidRPr="00853AD5">
        <w:rPr>
          <w:rFonts w:ascii="Arial" w:hAnsi="Arial" w:cs="Arial"/>
          <w:i/>
          <w:sz w:val="14"/>
          <w:szCs w:val="14"/>
          <w:lang w:val="en-US"/>
        </w:rPr>
        <w:t xml:space="preserve">the </w:t>
      </w:r>
      <w:r w:rsidRPr="00853AD5" w:rsidDel="00673A3A">
        <w:rPr>
          <w:rFonts w:ascii="Arial" w:hAnsi="Arial" w:cs="Arial"/>
          <w:i/>
          <w:sz w:val="14"/>
          <w:szCs w:val="14"/>
          <w:lang w:val="en-US"/>
        </w:rPr>
        <w:t>Relevant Market in Telecommunications</w:t>
      </w:r>
      <w:r w:rsidRPr="00853AD5">
        <w:rPr>
          <w:rFonts w:ascii="Arial" w:hAnsi="Arial" w:cs="Arial"/>
          <w:sz w:val="14"/>
          <w:szCs w:val="14"/>
          <w:lang w:val="en-US"/>
        </w:rPr>
        <w:t>.</w:t>
      </w:r>
      <w:r w:rsidRPr="00853AD5" w:rsidDel="00673A3A">
        <w:rPr>
          <w:rFonts w:ascii="Arial" w:hAnsi="Arial" w:cs="Arial"/>
          <w:sz w:val="14"/>
          <w:szCs w:val="14"/>
          <w:lang w:val="en-US"/>
        </w:rPr>
        <w:t xml:space="preserve"> p. </w:t>
      </w:r>
      <w:r w:rsidRPr="00853AD5">
        <w:rPr>
          <w:rFonts w:ascii="Arial" w:hAnsi="Arial" w:cs="Arial"/>
          <w:sz w:val="14"/>
          <w:szCs w:val="14"/>
          <w:lang w:val="en-US"/>
        </w:rPr>
        <w:t>19</w:t>
      </w:r>
      <w:r w:rsidRPr="00853AD5" w:rsidDel="00673A3A">
        <w:rPr>
          <w:rFonts w:ascii="Arial" w:hAnsi="Arial" w:cs="Arial"/>
          <w:sz w:val="14"/>
          <w:szCs w:val="14"/>
          <w:lang w:val="en-US"/>
        </w:rPr>
        <w:t xml:space="preserve">. </w:t>
      </w:r>
    </w:p>
    <w:p w14:paraId="2BAE2F98" w14:textId="77777777" w:rsidR="00FD6552" w:rsidRPr="00853AD5" w:rsidDel="00673A3A"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GB"/>
        </w:rPr>
        <w:t xml:space="preserve">OCDE (2018). </w:t>
      </w:r>
      <w:r w:rsidRPr="00853AD5">
        <w:rPr>
          <w:rFonts w:ascii="Arial" w:hAnsi="Arial" w:cs="Arial"/>
          <w:i/>
          <w:sz w:val="14"/>
          <w:szCs w:val="14"/>
          <w:lang w:val="en-GB"/>
        </w:rPr>
        <w:t>Rethinking Antitrust Tools for Multi-Sided Platforms</w:t>
      </w:r>
      <w:r w:rsidRPr="00853AD5">
        <w:rPr>
          <w:rFonts w:ascii="Arial" w:hAnsi="Arial" w:cs="Arial"/>
          <w:sz w:val="14"/>
          <w:szCs w:val="14"/>
          <w:lang w:val="en-GB"/>
        </w:rPr>
        <w:t>. pp. 43, 44, 223 y 224.</w:t>
      </w:r>
    </w:p>
  </w:footnote>
  <w:footnote w:id="100">
    <w:p w14:paraId="546499E8"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32714242" w14:textId="77777777" w:rsidR="00FD6552" w:rsidRPr="00853AD5" w:rsidRDefault="00FD6552" w:rsidP="005E23E0">
      <w:pPr>
        <w:pStyle w:val="Textonotapie"/>
        <w:numPr>
          <w:ilvl w:val="0"/>
          <w:numId w:val="28"/>
        </w:numPr>
        <w:jc w:val="both"/>
        <w:rPr>
          <w:rFonts w:ascii="Arial" w:hAnsi="Arial" w:cs="Arial"/>
          <w:sz w:val="14"/>
          <w:szCs w:val="14"/>
          <w:lang w:val="es-ES"/>
        </w:rPr>
      </w:pPr>
      <w:r w:rsidRPr="00853AD5">
        <w:rPr>
          <w:rFonts w:ascii="Arial" w:hAnsi="Arial" w:cs="Arial"/>
          <w:sz w:val="14"/>
          <w:szCs w:val="14"/>
        </w:rPr>
        <w:t xml:space="preserve">CE (1997). </w:t>
      </w:r>
      <w:r w:rsidRPr="00853AD5">
        <w:rPr>
          <w:rFonts w:ascii="Arial" w:hAnsi="Arial" w:cs="Arial"/>
          <w:i/>
          <w:sz w:val="14"/>
          <w:szCs w:val="14"/>
        </w:rPr>
        <w:t xml:space="preserve">Comunicación de la Comisión relativa a la definición de mercado de referencia a efectos de la normativa comunitaria en materia de competencia. </w:t>
      </w:r>
    </w:p>
    <w:p w14:paraId="3E07A3CF" w14:textId="77777777" w:rsidR="00FD6552" w:rsidRPr="00853AD5" w:rsidRDefault="00FD6552" w:rsidP="005E23E0">
      <w:pPr>
        <w:pStyle w:val="Textonotapie"/>
        <w:numPr>
          <w:ilvl w:val="0"/>
          <w:numId w:val="28"/>
        </w:numPr>
        <w:jc w:val="both"/>
        <w:rPr>
          <w:rFonts w:ascii="Arial" w:hAnsi="Arial" w:cs="Arial"/>
          <w:sz w:val="14"/>
          <w:szCs w:val="14"/>
          <w:lang w:val="es-ES"/>
        </w:rPr>
      </w:pPr>
      <w:r w:rsidRPr="00853AD5">
        <w:rPr>
          <w:rFonts w:ascii="Arial" w:hAnsi="Arial" w:cs="Arial"/>
          <w:sz w:val="14"/>
          <w:szCs w:val="14"/>
        </w:rPr>
        <w:t xml:space="preserve">CE (2018). </w:t>
      </w:r>
      <w:r w:rsidRPr="00853AD5">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853AD5">
        <w:rPr>
          <w:rFonts w:ascii="Arial" w:hAnsi="Arial" w:cs="Arial"/>
          <w:sz w:val="14"/>
          <w:szCs w:val="14"/>
        </w:rPr>
        <w:t xml:space="preserve"> p. 7. </w:t>
      </w:r>
    </w:p>
    <w:p w14:paraId="46242121" w14:textId="77777777" w:rsidR="00FD6552" w:rsidRPr="00853AD5" w:rsidRDefault="00FD6552" w:rsidP="005E23E0">
      <w:pPr>
        <w:pStyle w:val="Textonotapie"/>
        <w:numPr>
          <w:ilvl w:val="0"/>
          <w:numId w:val="28"/>
        </w:numPr>
        <w:jc w:val="both"/>
        <w:rPr>
          <w:rFonts w:ascii="Arial" w:hAnsi="Arial" w:cs="Arial"/>
          <w:sz w:val="14"/>
          <w:szCs w:val="14"/>
          <w:lang w:val="es-ES"/>
        </w:rPr>
      </w:pPr>
      <w:r w:rsidRPr="00853AD5">
        <w:rPr>
          <w:rFonts w:ascii="Arial" w:hAnsi="Arial" w:cs="Arial"/>
          <w:sz w:val="14"/>
          <w:szCs w:val="14"/>
        </w:rPr>
        <w:t xml:space="preserve">CE (2007). </w:t>
      </w:r>
      <w:r w:rsidRPr="00853AD5">
        <w:rPr>
          <w:rFonts w:ascii="Arial" w:hAnsi="Arial" w:cs="Arial"/>
          <w:i/>
          <w:sz w:val="14"/>
          <w:szCs w:val="14"/>
        </w:rPr>
        <w:t xml:space="preserve">Caso COMP/38.784. </w:t>
      </w:r>
      <w:proofErr w:type="spellStart"/>
      <w:r w:rsidRPr="00853AD5">
        <w:rPr>
          <w:rFonts w:ascii="Arial" w:hAnsi="Arial" w:cs="Arial"/>
          <w:i/>
          <w:sz w:val="14"/>
          <w:szCs w:val="14"/>
        </w:rPr>
        <w:t>Wanadoo</w:t>
      </w:r>
      <w:proofErr w:type="spellEnd"/>
      <w:r w:rsidRPr="00853AD5">
        <w:rPr>
          <w:rFonts w:ascii="Arial" w:hAnsi="Arial" w:cs="Arial"/>
          <w:i/>
          <w:sz w:val="14"/>
          <w:szCs w:val="14"/>
        </w:rPr>
        <w:t xml:space="preserve"> España contra Telefónica</w:t>
      </w:r>
      <w:r w:rsidRPr="00853AD5">
        <w:rPr>
          <w:rFonts w:ascii="Arial" w:hAnsi="Arial" w:cs="Arial"/>
          <w:sz w:val="14"/>
          <w:szCs w:val="14"/>
        </w:rPr>
        <w:t xml:space="preserve">. Disponible en: </w:t>
      </w:r>
      <w:hyperlink r:id="rId98" w:history="1">
        <w:r w:rsidRPr="00853AD5">
          <w:rPr>
            <w:rStyle w:val="Hipervnculo"/>
            <w:rFonts w:ascii="Arial" w:hAnsi="Arial" w:cs="Arial"/>
            <w:sz w:val="14"/>
            <w:szCs w:val="14"/>
          </w:rPr>
          <w:t>https://ec.europa.eu/competition/antitrust/cases/dec_docs/38784/38784_437_4.pdf</w:t>
        </w:r>
      </w:hyperlink>
    </w:p>
  </w:footnote>
  <w:footnote w:id="101">
    <w:p w14:paraId="7317BC29"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709A748A" w14:textId="541677D2" w:rsidR="00FD6552" w:rsidRPr="00853AD5" w:rsidRDefault="00FD6552" w:rsidP="005E23E0">
      <w:pPr>
        <w:pStyle w:val="Textonotapie"/>
        <w:numPr>
          <w:ilvl w:val="0"/>
          <w:numId w:val="28"/>
        </w:numPr>
        <w:jc w:val="both"/>
        <w:rPr>
          <w:rStyle w:val="Hipervnculo"/>
          <w:rFonts w:ascii="Arial" w:hAnsi="Arial" w:cs="Arial"/>
          <w:sz w:val="14"/>
          <w:szCs w:val="14"/>
        </w:rPr>
      </w:pPr>
      <w:r w:rsidRPr="00BB5E35">
        <w:rPr>
          <w:rFonts w:ascii="Arial" w:hAnsi="Arial" w:cs="Arial"/>
          <w:sz w:val="14"/>
          <w:szCs w:val="14"/>
          <w:lang w:val="en-US"/>
        </w:rPr>
        <w:t>C</w:t>
      </w:r>
      <w:r w:rsidRPr="007E19DE">
        <w:rPr>
          <w:rFonts w:ascii="Arial" w:hAnsi="Arial" w:cs="Arial"/>
          <w:sz w:val="14"/>
          <w:szCs w:val="14"/>
          <w:lang w:val="en-US"/>
        </w:rPr>
        <w:t>on</w:t>
      </w:r>
      <w:r>
        <w:rPr>
          <w:rFonts w:ascii="Arial" w:hAnsi="Arial" w:cs="Arial"/>
          <w:sz w:val="14"/>
          <w:szCs w:val="14"/>
          <w:lang w:val="en-US"/>
        </w:rPr>
        <w:t>s</w:t>
      </w:r>
      <w:r w:rsidRPr="007E19DE">
        <w:rPr>
          <w:rFonts w:ascii="Arial" w:hAnsi="Arial" w:cs="Arial"/>
          <w:sz w:val="14"/>
          <w:szCs w:val="14"/>
          <w:lang w:val="en-US"/>
        </w:rPr>
        <w:t>eil de la concurrence</w:t>
      </w:r>
      <w:r w:rsidRPr="00853AD5">
        <w:rPr>
          <w:rFonts w:ascii="Arial" w:hAnsi="Arial" w:cs="Arial"/>
          <w:sz w:val="14"/>
          <w:szCs w:val="14"/>
          <w:lang w:val="en-US"/>
        </w:rPr>
        <w:t xml:space="preserve"> (2005). </w:t>
      </w:r>
      <w:r w:rsidRPr="00853AD5">
        <w:rPr>
          <w:rFonts w:ascii="Arial" w:hAnsi="Arial" w:cs="Arial"/>
          <w:i/>
          <w:sz w:val="14"/>
          <w:szCs w:val="14"/>
          <w:lang w:val="en-US"/>
        </w:rPr>
        <w:t>Opinion No. 05-A-05 of 16 February 2005 concerning market analysis of retail and wholesale fixed-line telephony.</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99" w:history="1">
        <w:r w:rsidRPr="00853AD5">
          <w:rPr>
            <w:rStyle w:val="Hipervnculo"/>
            <w:rFonts w:ascii="Arial" w:hAnsi="Arial" w:cs="Arial"/>
            <w:sz w:val="14"/>
            <w:szCs w:val="14"/>
          </w:rPr>
          <w:t>https://www.autoritedelaconcurrence.fr/sites/default/files/commitments//05a05.pdf</w:t>
        </w:r>
      </w:hyperlink>
    </w:p>
    <w:p w14:paraId="7075D7E1"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lang w:val="en-GB"/>
        </w:rPr>
        <w:t xml:space="preserve">CE (2005). </w:t>
      </w:r>
      <w:r w:rsidRPr="00853AD5">
        <w:rPr>
          <w:rFonts w:ascii="Arial" w:hAnsi="Arial" w:cs="Arial"/>
          <w:i/>
          <w:sz w:val="14"/>
          <w:szCs w:val="14"/>
          <w:lang w:val="en-GB"/>
        </w:rPr>
        <w:t>Voice over broadband in France: no regulation on internet telephony required.</w:t>
      </w:r>
      <w:r w:rsidRPr="00853AD5">
        <w:rPr>
          <w:rFonts w:ascii="Arial" w:hAnsi="Arial" w:cs="Arial"/>
          <w:sz w:val="14"/>
          <w:szCs w:val="14"/>
          <w:lang w:val="en-GB"/>
        </w:rPr>
        <w:t xml:space="preserve"> </w:t>
      </w:r>
      <w:r w:rsidRPr="00853AD5">
        <w:rPr>
          <w:rFonts w:ascii="Arial" w:hAnsi="Arial" w:cs="Arial"/>
          <w:sz w:val="14"/>
          <w:szCs w:val="14"/>
        </w:rPr>
        <w:t xml:space="preserve">Disponible en: </w:t>
      </w:r>
      <w:hyperlink r:id="rId100" w:history="1">
        <w:r w:rsidRPr="00853AD5">
          <w:rPr>
            <w:rStyle w:val="Hipervnculo"/>
            <w:rFonts w:ascii="Arial" w:hAnsi="Arial" w:cs="Arial"/>
            <w:sz w:val="14"/>
            <w:szCs w:val="14"/>
          </w:rPr>
          <w:t>https://ec.europa.eu/commission/presscorner/detail/en/IP_05_1146</w:t>
        </w:r>
      </w:hyperlink>
    </w:p>
  </w:footnote>
  <w:footnote w:id="102">
    <w:p w14:paraId="73E7B56A"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CMA/OFT (2004). </w:t>
      </w:r>
      <w:r w:rsidRPr="00853AD5">
        <w:rPr>
          <w:rFonts w:ascii="Arial" w:hAnsi="Arial" w:cs="Arial"/>
          <w:i/>
          <w:sz w:val="14"/>
          <w:szCs w:val="14"/>
          <w:lang w:val="en-US"/>
        </w:rPr>
        <w:t>Market definition, Understanding competition law</w:t>
      </w:r>
      <w:r w:rsidRPr="00853AD5">
        <w:rPr>
          <w:rFonts w:ascii="Arial" w:hAnsi="Arial" w:cs="Arial"/>
          <w:sz w:val="14"/>
          <w:szCs w:val="14"/>
          <w:lang w:val="en-US"/>
        </w:rPr>
        <w:t xml:space="preserve">. </w:t>
      </w:r>
    </w:p>
  </w:footnote>
  <w:footnote w:id="103">
    <w:p w14:paraId="1B27AC41"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5C08001F" w14:textId="77777777" w:rsidR="00FD6552" w:rsidRPr="00853AD5" w:rsidRDefault="00FD6552" w:rsidP="005E23E0">
      <w:pPr>
        <w:pStyle w:val="Textonotapie"/>
        <w:numPr>
          <w:ilvl w:val="0"/>
          <w:numId w:val="28"/>
        </w:numPr>
        <w:jc w:val="both"/>
        <w:rPr>
          <w:rStyle w:val="Hipervnculo"/>
          <w:rFonts w:ascii="Arial" w:hAnsi="Arial" w:cs="Arial"/>
          <w:bCs/>
          <w:sz w:val="14"/>
          <w:szCs w:val="14"/>
        </w:rPr>
      </w:pPr>
      <w:r w:rsidRPr="00853AD5">
        <w:rPr>
          <w:rFonts w:ascii="Arial" w:hAnsi="Arial" w:cs="Arial"/>
          <w:sz w:val="14"/>
          <w:szCs w:val="14"/>
          <w:lang w:val="en-US"/>
        </w:rPr>
        <w:t xml:space="preserve">CBC (2014). </w:t>
      </w:r>
      <w:r w:rsidRPr="00853AD5">
        <w:rPr>
          <w:rFonts w:ascii="Arial" w:hAnsi="Arial" w:cs="Arial"/>
          <w:bCs/>
          <w:i/>
          <w:sz w:val="14"/>
          <w:szCs w:val="14"/>
          <w:lang w:val="en-US"/>
        </w:rPr>
        <w:t>Economic analysis of retail mergers at the Competition Bureau.</w:t>
      </w:r>
      <w:r w:rsidRPr="00853AD5">
        <w:rPr>
          <w:rFonts w:ascii="Arial" w:hAnsi="Arial" w:cs="Arial"/>
          <w:bCs/>
          <w:sz w:val="14"/>
          <w:szCs w:val="14"/>
          <w:lang w:val="en-US"/>
        </w:rPr>
        <w:t xml:space="preserve"> </w:t>
      </w:r>
      <w:r w:rsidRPr="00853AD5">
        <w:rPr>
          <w:rFonts w:ascii="Arial" w:hAnsi="Arial" w:cs="Arial"/>
          <w:bCs/>
          <w:sz w:val="14"/>
          <w:szCs w:val="14"/>
        </w:rPr>
        <w:t xml:space="preserve">Disponible en: </w:t>
      </w:r>
      <w:hyperlink r:id="rId101" w:history="1">
        <w:r w:rsidRPr="00853AD5">
          <w:rPr>
            <w:rStyle w:val="Hipervnculo"/>
            <w:rFonts w:ascii="Arial" w:hAnsi="Arial" w:cs="Arial"/>
            <w:bCs/>
            <w:sz w:val="14"/>
            <w:szCs w:val="14"/>
          </w:rPr>
          <w:t>https://www.competitionbureau.gc.ca/eic/site/cb-bc.nsf/eng/03796.html</w:t>
        </w:r>
      </w:hyperlink>
    </w:p>
    <w:p w14:paraId="39F97C2E" w14:textId="77777777" w:rsidR="00FD6552" w:rsidRPr="00853AD5" w:rsidRDefault="00FD6552" w:rsidP="005E23E0">
      <w:pPr>
        <w:pStyle w:val="Textonotapie"/>
        <w:numPr>
          <w:ilvl w:val="0"/>
          <w:numId w:val="28"/>
        </w:numPr>
        <w:jc w:val="both"/>
        <w:rPr>
          <w:rFonts w:ascii="Arial" w:hAnsi="Arial" w:cs="Arial"/>
          <w:bCs/>
          <w:sz w:val="14"/>
          <w:szCs w:val="14"/>
        </w:rPr>
      </w:pPr>
      <w:r w:rsidRPr="00853AD5">
        <w:rPr>
          <w:rFonts w:ascii="Arial" w:hAnsi="Arial" w:cs="Arial"/>
          <w:sz w:val="14"/>
          <w:szCs w:val="14"/>
          <w:lang w:val="en-US"/>
        </w:rPr>
        <w:t xml:space="preserve">CRTC (2011). </w:t>
      </w:r>
      <w:r w:rsidRPr="00853AD5">
        <w:rPr>
          <w:rFonts w:ascii="Arial" w:hAnsi="Arial" w:cs="Arial"/>
          <w:i/>
          <w:sz w:val="14"/>
          <w:szCs w:val="14"/>
          <w:lang w:val="en-US"/>
        </w:rPr>
        <w:t>Market Definition Issues for Audio and Audio-Visual Distribution Products and Services in a Digital Environment</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102" w:history="1">
        <w:r w:rsidRPr="00853AD5">
          <w:rPr>
            <w:rStyle w:val="Hipervnculo"/>
            <w:rFonts w:ascii="Arial" w:hAnsi="Arial" w:cs="Arial"/>
            <w:sz w:val="14"/>
            <w:szCs w:val="14"/>
          </w:rPr>
          <w:t>https://crtc.gc.ca/eng/publications/reports/rp110215.htm</w:t>
        </w:r>
      </w:hyperlink>
    </w:p>
  </w:footnote>
  <w:footnote w:id="104">
    <w:p w14:paraId="331DBF29"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OCDE (2015). </w:t>
      </w:r>
      <w:r w:rsidRPr="00853AD5">
        <w:rPr>
          <w:rFonts w:ascii="Arial" w:hAnsi="Arial" w:cs="Arial"/>
          <w:i/>
          <w:sz w:val="14"/>
          <w:szCs w:val="14"/>
          <w:lang w:val="en-US"/>
        </w:rPr>
        <w:t>Triple and Quadruple Play Bundles of Communication Services</w:t>
      </w:r>
      <w:r w:rsidRPr="00853AD5">
        <w:rPr>
          <w:rFonts w:ascii="Arial" w:hAnsi="Arial" w:cs="Arial"/>
          <w:sz w:val="14"/>
          <w:szCs w:val="14"/>
          <w:lang w:val="en-US"/>
        </w:rPr>
        <w:t xml:space="preserve">. </w:t>
      </w:r>
      <w:r w:rsidRPr="00853AD5">
        <w:rPr>
          <w:rFonts w:ascii="Arial" w:hAnsi="Arial" w:cs="Arial"/>
          <w:sz w:val="14"/>
          <w:szCs w:val="14"/>
        </w:rPr>
        <w:t xml:space="preserve">Disponible en: </w:t>
      </w:r>
      <w:hyperlink r:id="rId103" w:history="1">
        <w:r w:rsidRPr="00853AD5">
          <w:rPr>
            <w:rStyle w:val="Hipervnculo"/>
            <w:rFonts w:ascii="Arial" w:hAnsi="Arial" w:cs="Arial"/>
            <w:sz w:val="14"/>
            <w:szCs w:val="14"/>
          </w:rPr>
          <w:t>https://www.oecd-ilibrary.org/docserver/5js04dp2q1jc-en.pdf?expires=1597095718&amp;id=id&amp;accname=guest&amp;checksum=A818045C7EED02B383CB10724AD048D9</w:t>
        </w:r>
      </w:hyperlink>
    </w:p>
  </w:footnote>
  <w:footnote w:id="105">
    <w:p w14:paraId="173B688E"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5D26CF33"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Instituto (2020). </w:t>
      </w:r>
      <w:r w:rsidRPr="00853A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853AD5">
        <w:rPr>
          <w:rFonts w:ascii="Arial" w:hAnsi="Arial" w:cs="Arial"/>
          <w:sz w:val="14"/>
          <w:szCs w:val="14"/>
        </w:rPr>
        <w:t xml:space="preserve">. </w:t>
      </w:r>
      <w:proofErr w:type="spellStart"/>
      <w:r w:rsidRPr="00853AD5">
        <w:rPr>
          <w:rFonts w:ascii="Arial" w:hAnsi="Arial" w:cs="Arial"/>
          <w:sz w:val="14"/>
          <w:szCs w:val="14"/>
          <w:lang w:val="en-US"/>
        </w:rPr>
        <w:t>Acuerdo</w:t>
      </w:r>
      <w:proofErr w:type="spellEnd"/>
      <w:r w:rsidRPr="00853AD5">
        <w:rPr>
          <w:rFonts w:ascii="Arial" w:hAnsi="Arial" w:cs="Arial"/>
          <w:sz w:val="14"/>
          <w:szCs w:val="14"/>
          <w:lang w:val="en-US"/>
        </w:rPr>
        <w:t xml:space="preserve"> P/IFT/181120/436</w:t>
      </w:r>
    </w:p>
    <w:p w14:paraId="34E7B989"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Instituto (2017). Acuerdo P/IFT/060917/545</w:t>
      </w:r>
      <w:r w:rsidRPr="00853AD5">
        <w:rPr>
          <w:rFonts w:ascii="Arial" w:hAnsi="Arial" w:cs="Arial"/>
          <w:i/>
          <w:sz w:val="14"/>
          <w:szCs w:val="14"/>
        </w:rPr>
        <w:t>.</w:t>
      </w:r>
      <w:r w:rsidRPr="00853AD5">
        <w:rPr>
          <w:rFonts w:ascii="Arial" w:hAnsi="Arial" w:cs="Arial"/>
          <w:sz w:val="14"/>
          <w:szCs w:val="14"/>
        </w:rPr>
        <w:t xml:space="preserve"> </w:t>
      </w:r>
    </w:p>
  </w:footnote>
  <w:footnote w:id="106">
    <w:p w14:paraId="38C586B9"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0CCE4BC4" w14:textId="72295C58" w:rsidR="00FD6552" w:rsidRPr="00853AD5" w:rsidRDefault="00FD6552" w:rsidP="005E23E0">
      <w:pPr>
        <w:pStyle w:val="Textonotapie"/>
        <w:numPr>
          <w:ilvl w:val="0"/>
          <w:numId w:val="28"/>
        </w:numPr>
        <w:jc w:val="both"/>
        <w:rPr>
          <w:rStyle w:val="Hipervnculo"/>
          <w:rFonts w:ascii="Arial" w:hAnsi="Arial" w:cs="Arial"/>
          <w:sz w:val="14"/>
          <w:szCs w:val="14"/>
        </w:rPr>
      </w:pPr>
      <w:r w:rsidRPr="00853AD5">
        <w:rPr>
          <w:rFonts w:ascii="Arial" w:hAnsi="Arial" w:cs="Arial"/>
          <w:sz w:val="14"/>
          <w:szCs w:val="14"/>
          <w:lang w:val="en-US"/>
        </w:rPr>
        <w:t xml:space="preserve">CE (2018). </w:t>
      </w:r>
      <w:r w:rsidRPr="00853AD5">
        <w:rPr>
          <w:rFonts w:ascii="Arial" w:hAnsi="Arial" w:cs="Arial"/>
          <w:i/>
          <w:sz w:val="14"/>
          <w:szCs w:val="14"/>
          <w:lang w:val="en-US"/>
        </w:rPr>
        <w:t>Com</w:t>
      </w:r>
      <w:r>
        <w:rPr>
          <w:rFonts w:ascii="Arial" w:hAnsi="Arial" w:cs="Arial"/>
          <w:i/>
          <w:sz w:val="14"/>
          <w:szCs w:val="14"/>
          <w:lang w:val="en-US"/>
        </w:rPr>
        <w:t>m</w:t>
      </w:r>
      <w:r w:rsidRPr="00853AD5">
        <w:rPr>
          <w:rFonts w:ascii="Arial" w:hAnsi="Arial" w:cs="Arial"/>
          <w:i/>
          <w:sz w:val="14"/>
          <w:szCs w:val="14"/>
          <w:lang w:val="en-US"/>
        </w:rPr>
        <w:t>ission Staff working document</w:t>
      </w:r>
      <w:r w:rsidRPr="00853AD5">
        <w:rPr>
          <w:rFonts w:ascii="Arial" w:hAnsi="Arial" w:cs="Arial"/>
          <w:sz w:val="14"/>
          <w:szCs w:val="14"/>
          <w:lang w:val="en-US"/>
        </w:rPr>
        <w:t xml:space="preserve"> </w:t>
      </w:r>
      <w:r w:rsidRPr="00853AD5">
        <w:rPr>
          <w:rFonts w:ascii="Arial" w:hAnsi="Arial" w:cs="Arial"/>
          <w:i/>
          <w:sz w:val="14"/>
          <w:szCs w:val="14"/>
          <w:lang w:val="en-US"/>
        </w:rPr>
        <w:t>accompanying the</w:t>
      </w:r>
      <w:r w:rsidRPr="00853AD5">
        <w:rPr>
          <w:rFonts w:ascii="Arial" w:hAnsi="Arial" w:cs="Arial"/>
          <w:sz w:val="14"/>
          <w:szCs w:val="14"/>
          <w:lang w:val="en-US"/>
        </w:rPr>
        <w:t xml:space="preserve"> </w:t>
      </w:r>
      <w:r w:rsidRPr="00853AD5">
        <w:rPr>
          <w:rFonts w:ascii="Arial" w:hAnsi="Arial" w:cs="Arial"/>
          <w:i/>
          <w:sz w:val="14"/>
          <w:szCs w:val="14"/>
          <w:lang w:val="en-US"/>
        </w:rPr>
        <w:t>Guidelines on market analysis and the assessment of significant market power under the EU regulatory framework for electronic communications networks and services</w:t>
      </w:r>
      <w:r w:rsidRPr="00853AD5">
        <w:rPr>
          <w:rFonts w:ascii="Arial" w:hAnsi="Arial" w:cs="Arial"/>
          <w:sz w:val="14"/>
          <w:szCs w:val="14"/>
          <w:lang w:val="en-US"/>
        </w:rPr>
        <w:t xml:space="preserve">. pp. 12-13. </w:t>
      </w:r>
      <w:r w:rsidRPr="00853AD5">
        <w:rPr>
          <w:rFonts w:ascii="Arial" w:hAnsi="Arial" w:cs="Arial"/>
          <w:sz w:val="14"/>
          <w:szCs w:val="14"/>
        </w:rPr>
        <w:t xml:space="preserve">Disponible en: </w:t>
      </w:r>
      <w:hyperlink r:id="rId104" w:history="1">
        <w:r w:rsidRPr="00853AD5">
          <w:rPr>
            <w:rStyle w:val="Hipervnculo"/>
            <w:rFonts w:ascii="Arial" w:hAnsi="Arial" w:cs="Arial"/>
            <w:sz w:val="14"/>
            <w:szCs w:val="14"/>
          </w:rPr>
          <w:t>https://ec.europa.eu/digital-single-market/en/news/staff-working-document-guidelines-market-analysis-and-assessment-smp-under-eu-regulatory</w:t>
        </w:r>
      </w:hyperlink>
    </w:p>
    <w:p w14:paraId="613D4889"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BEREC (2010). </w:t>
      </w:r>
      <w:r w:rsidRPr="00853AD5">
        <w:rPr>
          <w:rFonts w:ascii="Arial" w:hAnsi="Arial" w:cs="Arial"/>
          <w:i/>
          <w:sz w:val="14"/>
          <w:szCs w:val="14"/>
          <w:lang w:val="en-US"/>
        </w:rPr>
        <w:t>BEREC report on impact of bundled offers in retail and wholesale market definition</w:t>
      </w:r>
      <w:r w:rsidRPr="00853AD5">
        <w:rPr>
          <w:rFonts w:ascii="Arial" w:hAnsi="Arial" w:cs="Arial"/>
          <w:sz w:val="14"/>
          <w:szCs w:val="14"/>
          <w:lang w:val="en-US"/>
        </w:rPr>
        <w:t xml:space="preserve">. pp. 13-14 y 17. </w:t>
      </w:r>
    </w:p>
  </w:footnote>
  <w:footnote w:id="107">
    <w:p w14:paraId="0714A1AA" w14:textId="77777777" w:rsidR="00FD6552" w:rsidRPr="00853AD5" w:rsidRDefault="00FD6552" w:rsidP="003545C8">
      <w:pPr>
        <w:spacing w:after="0" w:line="240" w:lineRule="auto"/>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rPr>
        <w:t xml:space="preserve"> Ver:</w:t>
      </w:r>
    </w:p>
    <w:p w14:paraId="3D8AADD5" w14:textId="77777777" w:rsidR="00FD6552" w:rsidRPr="00853AD5" w:rsidRDefault="00FD6552" w:rsidP="005E23E0">
      <w:pPr>
        <w:pStyle w:val="Prrafodelista"/>
        <w:numPr>
          <w:ilvl w:val="0"/>
          <w:numId w:val="28"/>
        </w:numPr>
        <w:spacing w:after="0" w:line="240" w:lineRule="auto"/>
        <w:jc w:val="both"/>
        <w:rPr>
          <w:rFonts w:ascii="Arial" w:hAnsi="Arial" w:cs="Arial"/>
          <w:sz w:val="14"/>
          <w:szCs w:val="14"/>
        </w:rPr>
      </w:pPr>
      <w:r w:rsidRPr="00853AD5">
        <w:rPr>
          <w:rFonts w:ascii="Arial" w:hAnsi="Arial" w:cs="Arial"/>
          <w:sz w:val="14"/>
          <w:szCs w:val="14"/>
        </w:rPr>
        <w:t xml:space="preserve">Autoridad de Competencia. </w:t>
      </w:r>
      <w:proofErr w:type="spellStart"/>
      <w:r w:rsidRPr="00853AD5">
        <w:rPr>
          <w:rFonts w:ascii="Arial" w:hAnsi="Arial" w:cs="Arial"/>
          <w:i/>
          <w:sz w:val="14"/>
          <w:szCs w:val="14"/>
        </w:rPr>
        <w:t>Linhas</w:t>
      </w:r>
      <w:proofErr w:type="spellEnd"/>
      <w:r w:rsidRPr="00853AD5">
        <w:rPr>
          <w:rFonts w:ascii="Arial" w:hAnsi="Arial" w:cs="Arial"/>
          <w:i/>
          <w:sz w:val="14"/>
          <w:szCs w:val="14"/>
        </w:rPr>
        <w:t xml:space="preserve"> de </w:t>
      </w:r>
      <w:proofErr w:type="spellStart"/>
      <w:r w:rsidRPr="00853AD5">
        <w:rPr>
          <w:rFonts w:ascii="Arial" w:hAnsi="Arial" w:cs="Arial"/>
          <w:i/>
          <w:sz w:val="14"/>
          <w:szCs w:val="14"/>
        </w:rPr>
        <w:t>Orientação</w:t>
      </w:r>
      <w:proofErr w:type="spellEnd"/>
      <w:r w:rsidRPr="00853AD5">
        <w:rPr>
          <w:rFonts w:ascii="Arial" w:hAnsi="Arial" w:cs="Arial"/>
          <w:i/>
          <w:sz w:val="14"/>
          <w:szCs w:val="14"/>
        </w:rPr>
        <w:t xml:space="preserve"> para a </w:t>
      </w:r>
      <w:proofErr w:type="spellStart"/>
      <w:r w:rsidRPr="00853AD5">
        <w:rPr>
          <w:rFonts w:ascii="Arial" w:hAnsi="Arial" w:cs="Arial"/>
          <w:i/>
          <w:sz w:val="14"/>
          <w:szCs w:val="14"/>
        </w:rPr>
        <w:t>Análise</w:t>
      </w:r>
      <w:proofErr w:type="spellEnd"/>
      <w:r w:rsidRPr="00853AD5">
        <w:rPr>
          <w:rFonts w:ascii="Arial" w:hAnsi="Arial" w:cs="Arial"/>
          <w:i/>
          <w:sz w:val="14"/>
          <w:szCs w:val="14"/>
        </w:rPr>
        <w:t xml:space="preserve"> Económica de </w:t>
      </w:r>
      <w:proofErr w:type="spellStart"/>
      <w:r w:rsidRPr="00853AD5">
        <w:rPr>
          <w:rFonts w:ascii="Arial" w:hAnsi="Arial" w:cs="Arial"/>
          <w:i/>
          <w:sz w:val="14"/>
          <w:szCs w:val="14"/>
        </w:rPr>
        <w:t>Operações</w:t>
      </w:r>
      <w:proofErr w:type="spellEnd"/>
      <w:r w:rsidRPr="00853AD5">
        <w:rPr>
          <w:rFonts w:ascii="Arial" w:hAnsi="Arial" w:cs="Arial"/>
          <w:i/>
          <w:sz w:val="14"/>
          <w:szCs w:val="14"/>
        </w:rPr>
        <w:t xml:space="preserve"> de </w:t>
      </w:r>
      <w:proofErr w:type="spellStart"/>
      <w:r w:rsidRPr="00853AD5">
        <w:rPr>
          <w:rFonts w:ascii="Arial" w:hAnsi="Arial" w:cs="Arial"/>
          <w:i/>
          <w:sz w:val="14"/>
          <w:szCs w:val="14"/>
        </w:rPr>
        <w:t>Concentração</w:t>
      </w:r>
      <w:proofErr w:type="spellEnd"/>
      <w:r w:rsidRPr="00853AD5">
        <w:rPr>
          <w:rFonts w:ascii="Arial" w:hAnsi="Arial" w:cs="Arial"/>
          <w:i/>
          <w:sz w:val="14"/>
          <w:szCs w:val="14"/>
        </w:rPr>
        <w:t xml:space="preserve"> </w:t>
      </w:r>
      <w:proofErr w:type="spellStart"/>
      <w:r w:rsidRPr="00853AD5">
        <w:rPr>
          <w:rFonts w:ascii="Arial" w:hAnsi="Arial" w:cs="Arial"/>
          <w:i/>
          <w:sz w:val="14"/>
          <w:szCs w:val="14"/>
        </w:rPr>
        <w:t>Horizontais</w:t>
      </w:r>
      <w:proofErr w:type="spellEnd"/>
      <w:r w:rsidRPr="00853AD5">
        <w:rPr>
          <w:rFonts w:ascii="Arial" w:hAnsi="Arial" w:cs="Arial"/>
          <w:sz w:val="14"/>
          <w:szCs w:val="14"/>
        </w:rPr>
        <w:t xml:space="preserve">. pp. 36 y 37. Disponible en: </w:t>
      </w:r>
      <w:hyperlink r:id="rId105" w:history="1">
        <w:r w:rsidRPr="00853AD5">
          <w:rPr>
            <w:rStyle w:val="Hipervnculo"/>
            <w:rFonts w:ascii="Arial" w:hAnsi="Arial" w:cs="Arial"/>
            <w:sz w:val="14"/>
            <w:szCs w:val="14"/>
          </w:rPr>
          <w:t>http://www.concorrencia.pt/vPT/Noticias_Eventos/ConsultasPublicas/Documents/Linhas%20de%20Orienta%C3%A7%C3%A3o%20para%20a%20An%C3%A1lise%20Econ%C3%B3mica%20de%20Opera%C3%A7%C3%B5es%20de%20Concentra%C3%A7%C3%A3o%20Horizontais.pdf</w:t>
        </w:r>
      </w:hyperlink>
      <w:r w:rsidRPr="00853AD5">
        <w:rPr>
          <w:rFonts w:ascii="Arial" w:hAnsi="Arial" w:cs="Arial"/>
          <w:sz w:val="14"/>
          <w:szCs w:val="14"/>
        </w:rPr>
        <w:t xml:space="preserve"> </w:t>
      </w:r>
    </w:p>
    <w:p w14:paraId="0C3B8B44" w14:textId="77777777" w:rsidR="00FD6552" w:rsidRPr="00853AD5" w:rsidRDefault="00FD6552" w:rsidP="005E23E0">
      <w:pPr>
        <w:pStyle w:val="Textonotapie"/>
        <w:numPr>
          <w:ilvl w:val="0"/>
          <w:numId w:val="28"/>
        </w:numPr>
        <w:jc w:val="both"/>
        <w:rPr>
          <w:rFonts w:ascii="Arial" w:hAnsi="Arial" w:cs="Arial"/>
          <w:sz w:val="14"/>
          <w:szCs w:val="14"/>
        </w:rPr>
      </w:pPr>
      <w:r w:rsidRPr="00853AD5">
        <w:rPr>
          <w:rFonts w:ascii="Arial" w:hAnsi="Arial" w:cs="Arial"/>
          <w:sz w:val="14"/>
          <w:szCs w:val="14"/>
        </w:rPr>
        <w:t xml:space="preserve">Autoridad de Competencia (2013). </w:t>
      </w:r>
      <w:proofErr w:type="spellStart"/>
      <w:r w:rsidRPr="00853AD5">
        <w:rPr>
          <w:rFonts w:ascii="Arial" w:hAnsi="Arial" w:cs="Arial"/>
          <w:i/>
          <w:sz w:val="14"/>
          <w:szCs w:val="14"/>
        </w:rPr>
        <w:t>Ccent</w:t>
      </w:r>
      <w:proofErr w:type="spellEnd"/>
      <w:r w:rsidRPr="00853AD5">
        <w:rPr>
          <w:rFonts w:ascii="Arial" w:hAnsi="Arial" w:cs="Arial"/>
          <w:i/>
          <w:sz w:val="14"/>
          <w:szCs w:val="14"/>
        </w:rPr>
        <w:t xml:space="preserve">. 5/2013 </w:t>
      </w:r>
      <w:proofErr w:type="spellStart"/>
      <w:r w:rsidRPr="00853AD5">
        <w:rPr>
          <w:rFonts w:ascii="Arial" w:hAnsi="Arial" w:cs="Arial"/>
          <w:i/>
          <w:sz w:val="14"/>
          <w:szCs w:val="14"/>
        </w:rPr>
        <w:t>Kento</w:t>
      </w:r>
      <w:proofErr w:type="spellEnd"/>
      <w:r w:rsidRPr="00853AD5">
        <w:rPr>
          <w:rFonts w:ascii="Arial" w:hAnsi="Arial" w:cs="Arial"/>
          <w:i/>
          <w:sz w:val="14"/>
          <w:szCs w:val="14"/>
        </w:rPr>
        <w:t>*Unitel*</w:t>
      </w:r>
      <w:proofErr w:type="spellStart"/>
      <w:r w:rsidRPr="00853AD5">
        <w:rPr>
          <w:rFonts w:ascii="Arial" w:hAnsi="Arial" w:cs="Arial"/>
          <w:i/>
          <w:sz w:val="14"/>
          <w:szCs w:val="14"/>
        </w:rPr>
        <w:t>Sonaecom</w:t>
      </w:r>
      <w:proofErr w:type="spellEnd"/>
      <w:r w:rsidRPr="00853AD5">
        <w:rPr>
          <w:rFonts w:ascii="Arial" w:hAnsi="Arial" w:cs="Arial"/>
          <w:i/>
          <w:sz w:val="14"/>
          <w:szCs w:val="14"/>
        </w:rPr>
        <w:t xml:space="preserve">/ZON*Optimus. </w:t>
      </w:r>
    </w:p>
  </w:footnote>
  <w:footnote w:id="108">
    <w:p w14:paraId="635A5CBC" w14:textId="77777777" w:rsidR="00FD6552" w:rsidRPr="00853AD5" w:rsidRDefault="00FD6552" w:rsidP="003545C8">
      <w:pPr>
        <w:pStyle w:val="Textonotapie"/>
        <w:rPr>
          <w:rFonts w:ascii="Arial" w:hAnsi="Arial" w:cs="Arial"/>
          <w:sz w:val="14"/>
          <w:szCs w:val="14"/>
        </w:rPr>
      </w:pPr>
      <w:r w:rsidRPr="00853AD5">
        <w:rPr>
          <w:rStyle w:val="Refdenotaalpie"/>
          <w:rFonts w:ascii="Arial" w:hAnsi="Arial" w:cs="Arial"/>
          <w:sz w:val="14"/>
          <w:szCs w:val="14"/>
        </w:rPr>
        <w:footnoteRef/>
      </w:r>
      <w:r w:rsidRPr="00853AD5">
        <w:rPr>
          <w:rFonts w:ascii="Arial" w:hAnsi="Arial" w:cs="Arial"/>
          <w:sz w:val="14"/>
          <w:szCs w:val="14"/>
          <w:lang w:val="en-US"/>
        </w:rPr>
        <w:t xml:space="preserve"> CMA (2016). </w:t>
      </w:r>
      <w:r w:rsidRPr="00853AD5">
        <w:rPr>
          <w:rFonts w:ascii="Arial" w:hAnsi="Arial" w:cs="Arial"/>
          <w:i/>
          <w:sz w:val="14"/>
          <w:szCs w:val="14"/>
          <w:lang w:val="en-US"/>
        </w:rPr>
        <w:t xml:space="preserve">A report on the anticipated acquisition by BT </w:t>
      </w:r>
      <w:proofErr w:type="spellStart"/>
      <w:r w:rsidRPr="00853AD5">
        <w:rPr>
          <w:rFonts w:ascii="Arial" w:hAnsi="Arial" w:cs="Arial"/>
          <w:i/>
          <w:sz w:val="14"/>
          <w:szCs w:val="14"/>
          <w:lang w:val="en-US"/>
        </w:rPr>
        <w:t>Grouo</w:t>
      </w:r>
      <w:proofErr w:type="spellEnd"/>
      <w:r w:rsidRPr="00853AD5">
        <w:rPr>
          <w:rFonts w:ascii="Arial" w:hAnsi="Arial" w:cs="Arial"/>
          <w:i/>
          <w:sz w:val="14"/>
          <w:szCs w:val="14"/>
          <w:lang w:val="en-US"/>
        </w:rPr>
        <w:t xml:space="preserve"> plc of EE Limited</w:t>
      </w:r>
      <w:r w:rsidRPr="00853AD5">
        <w:rPr>
          <w:rFonts w:ascii="Arial" w:hAnsi="Arial" w:cs="Arial"/>
          <w:sz w:val="14"/>
          <w:szCs w:val="14"/>
          <w:lang w:val="en-US"/>
        </w:rPr>
        <w:t xml:space="preserve">. pp. 138-140. </w:t>
      </w:r>
      <w:r w:rsidRPr="00853AD5">
        <w:rPr>
          <w:rFonts w:ascii="Arial" w:hAnsi="Arial" w:cs="Arial"/>
          <w:sz w:val="14"/>
          <w:szCs w:val="14"/>
        </w:rPr>
        <w:t xml:space="preserve">Disponible en: </w:t>
      </w:r>
      <w:hyperlink r:id="rId106" w:history="1">
        <w:r w:rsidRPr="00853AD5">
          <w:rPr>
            <w:rStyle w:val="Hipervnculo"/>
            <w:rFonts w:ascii="Arial" w:hAnsi="Arial" w:cs="Arial"/>
            <w:sz w:val="14"/>
            <w:szCs w:val="14"/>
          </w:rPr>
          <w:t>https://assets.publishing.service.gov.uk/media/56992242ed915d4747000026/BT_EE_final_report.pdf</w:t>
        </w:r>
      </w:hyperlink>
    </w:p>
  </w:footnote>
  <w:footnote w:id="109">
    <w:p w14:paraId="1CA47882" w14:textId="77777777" w:rsidR="00FD6552" w:rsidRPr="00853AD5" w:rsidRDefault="00FD6552" w:rsidP="003545C8">
      <w:pPr>
        <w:pStyle w:val="Textonotapie"/>
        <w:rPr>
          <w:rFonts w:ascii="Arial" w:hAnsi="Arial" w:cs="Arial"/>
          <w:sz w:val="14"/>
          <w:szCs w:val="14"/>
          <w:lang w:val="en-US"/>
        </w:rPr>
      </w:pPr>
      <w:r w:rsidRPr="00853AD5">
        <w:rPr>
          <w:rStyle w:val="Refdenotaalpie"/>
          <w:rFonts w:ascii="Arial" w:hAnsi="Arial" w:cs="Arial"/>
          <w:sz w:val="14"/>
          <w:szCs w:val="14"/>
        </w:rPr>
        <w:footnoteRef/>
      </w:r>
      <w:r w:rsidRPr="00853AD5">
        <w:rPr>
          <w:rFonts w:ascii="Arial" w:hAnsi="Arial" w:cs="Arial"/>
          <w:sz w:val="14"/>
          <w:szCs w:val="14"/>
          <w:lang w:val="en-US"/>
        </w:rPr>
        <w:t xml:space="preserve"> Ver:</w:t>
      </w:r>
    </w:p>
    <w:p w14:paraId="6CAFCF64"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OCDE (2015). </w:t>
      </w:r>
      <w:r w:rsidRPr="00853AD5">
        <w:rPr>
          <w:rFonts w:ascii="Arial" w:hAnsi="Arial" w:cs="Arial"/>
          <w:i/>
          <w:sz w:val="14"/>
          <w:szCs w:val="14"/>
          <w:lang w:val="en-US"/>
        </w:rPr>
        <w:t>Triple and Quadruple Play Bundles of Communication Services</w:t>
      </w:r>
      <w:r w:rsidRPr="00853AD5">
        <w:rPr>
          <w:rFonts w:ascii="Arial" w:hAnsi="Arial" w:cs="Arial"/>
          <w:sz w:val="14"/>
          <w:szCs w:val="14"/>
          <w:lang w:val="en-US"/>
        </w:rPr>
        <w:t xml:space="preserve">. pp. 5-13. </w:t>
      </w:r>
    </w:p>
    <w:p w14:paraId="2FB42A10" w14:textId="77777777" w:rsidR="00FD6552" w:rsidRPr="00853AD5" w:rsidRDefault="00FD6552" w:rsidP="005E23E0">
      <w:pPr>
        <w:pStyle w:val="Textonotapie"/>
        <w:numPr>
          <w:ilvl w:val="0"/>
          <w:numId w:val="28"/>
        </w:numPr>
        <w:jc w:val="both"/>
        <w:rPr>
          <w:rFonts w:ascii="Arial" w:hAnsi="Arial" w:cs="Arial"/>
          <w:sz w:val="14"/>
          <w:szCs w:val="14"/>
          <w:lang w:val="en-US"/>
        </w:rPr>
      </w:pPr>
      <w:r w:rsidRPr="00853AD5">
        <w:rPr>
          <w:rFonts w:ascii="Arial" w:hAnsi="Arial" w:cs="Arial"/>
          <w:sz w:val="14"/>
          <w:szCs w:val="14"/>
          <w:lang w:val="en-US"/>
        </w:rPr>
        <w:t xml:space="preserve">OCDE (2014). </w:t>
      </w:r>
      <w:r w:rsidRPr="00853AD5">
        <w:rPr>
          <w:rFonts w:ascii="Arial" w:hAnsi="Arial" w:cs="Arial"/>
          <w:i/>
          <w:sz w:val="14"/>
          <w:szCs w:val="14"/>
          <w:lang w:val="en-US"/>
        </w:rPr>
        <w:t>Defining the Relevant Market in Telecommunications</w:t>
      </w:r>
      <w:r w:rsidRPr="00853AD5">
        <w:rPr>
          <w:rFonts w:ascii="Arial" w:hAnsi="Arial" w:cs="Arial"/>
          <w:sz w:val="14"/>
          <w:szCs w:val="1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4CC1" w14:textId="285408BE" w:rsidR="00FD6552" w:rsidRDefault="00FD6552">
    <w:pPr>
      <w:pStyle w:val="Encabezado"/>
    </w:pPr>
    <w:r>
      <w:rPr>
        <w:noProof/>
      </w:rPr>
      <w:pict w14:anchorId="0A137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67735" o:spid="_x0000_s2053"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BD7C" w14:textId="4957F79C" w:rsidR="00FD6552" w:rsidRDefault="00FD6552" w:rsidP="007508F7">
    <w:pPr>
      <w:pStyle w:val="Encabezado"/>
      <w:rPr>
        <w:rFonts w:ascii="ITC Avant Garde" w:hAnsi="ITC Avant Garde"/>
        <w:b/>
      </w:rPr>
    </w:pPr>
    <w:r>
      <w:rPr>
        <w:noProof/>
      </w:rPr>
      <w:pict w14:anchorId="512D1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67736" o:spid="_x0000_s2054"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p w14:paraId="35B423CD" w14:textId="412A6656" w:rsidR="00FD6552" w:rsidRDefault="00FD6552" w:rsidP="007508F7">
    <w:pPr>
      <w:pStyle w:val="Encabezado"/>
      <w:rPr>
        <w:rFonts w:ascii="ITC Avant Garde" w:hAnsi="ITC Avant Garde"/>
        <w:b/>
      </w:rPr>
    </w:pPr>
    <w:r>
      <w:rPr>
        <w:rFonts w:ascii="ITC Avant Garde" w:hAnsi="ITC Avant Garde"/>
        <w:b/>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margin-left:-74pt;margin-top:-128.1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5ACE3C93" w14:textId="77777777" w:rsidR="00FD6552" w:rsidRDefault="00FD6552" w:rsidP="007508F7">
    <w:pPr>
      <w:pStyle w:val="Encabezado"/>
      <w:rPr>
        <w:rFonts w:ascii="ITC Avant Garde" w:hAnsi="ITC Avant Garde"/>
        <w:b/>
      </w:rPr>
    </w:pPr>
  </w:p>
  <w:p w14:paraId="1ADCE693" w14:textId="77777777" w:rsidR="00FD6552" w:rsidRDefault="00FD6552" w:rsidP="007508F7">
    <w:pPr>
      <w:pStyle w:val="Encabezado"/>
      <w:rPr>
        <w:rFonts w:ascii="ITC Avant Garde" w:hAnsi="ITC Avant Garde"/>
        <w:b/>
      </w:rPr>
    </w:pPr>
  </w:p>
  <w:p w14:paraId="34F6A9B9" w14:textId="4820F7CF" w:rsidR="00FD6552" w:rsidRDefault="00FD6552" w:rsidP="007508F7">
    <w:pPr>
      <w:pStyle w:val="Encabezado"/>
      <w:tabs>
        <w:tab w:val="clear" w:pos="4419"/>
        <w:tab w:val="clear" w:pos="8838"/>
        <w:tab w:val="left" w:pos="6912"/>
      </w:tabs>
      <w:rPr>
        <w:rFonts w:ascii="ITC Avant Garde" w:hAnsi="ITC Avant Garde"/>
        <w:b/>
      </w:rPr>
    </w:pPr>
  </w:p>
  <w:p w14:paraId="240654B7" w14:textId="77777777" w:rsidR="00FD6552" w:rsidRPr="0068053A" w:rsidRDefault="00FD6552" w:rsidP="005232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305C" w14:textId="2A4EBF78" w:rsidR="00FD6552" w:rsidRDefault="00FD6552">
    <w:pPr>
      <w:pStyle w:val="Encabezado"/>
    </w:pPr>
    <w:r>
      <w:rPr>
        <w:noProof/>
      </w:rPr>
      <w:pict w14:anchorId="122B8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67734" o:spid="_x0000_s2052"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5C4"/>
    <w:multiLevelType w:val="hybridMultilevel"/>
    <w:tmpl w:val="D5162F8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B7FD9"/>
    <w:multiLevelType w:val="hybridMultilevel"/>
    <w:tmpl w:val="F412F594"/>
    <w:lvl w:ilvl="0" w:tplc="08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44DF4"/>
    <w:multiLevelType w:val="hybridMultilevel"/>
    <w:tmpl w:val="899A72B8"/>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41B81"/>
    <w:multiLevelType w:val="hybridMultilevel"/>
    <w:tmpl w:val="0D92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31694A"/>
    <w:multiLevelType w:val="multilevel"/>
    <w:tmpl w:val="06706274"/>
    <w:lvl w:ilvl="0">
      <w:start w:val="1"/>
      <w:numFmt w:val="decimal"/>
      <w:lvlText w:val="%1."/>
      <w:lvlJc w:val="left"/>
      <w:pPr>
        <w:ind w:left="567" w:hanging="360"/>
      </w:pPr>
      <w:rPr>
        <w:rFonts w:hint="default"/>
        <w:sz w:val="26"/>
        <w:szCs w:val="26"/>
      </w:rPr>
    </w:lvl>
    <w:lvl w:ilvl="1">
      <w:start w:val="1"/>
      <w:numFmt w:val="decimal"/>
      <w:isLgl/>
      <w:lvlText w:val="%1.%2."/>
      <w:lvlJc w:val="left"/>
      <w:pPr>
        <w:ind w:left="1134"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908" w:hanging="1080"/>
      </w:pPr>
      <w:rPr>
        <w:rFonts w:hint="default"/>
        <w:lang w:val="es-MX"/>
      </w:rPr>
    </w:lvl>
    <w:lvl w:ilvl="4">
      <w:start w:val="1"/>
      <w:numFmt w:val="decimal"/>
      <w:isLgl/>
      <w:lvlText w:val="%1.%2.%3.%4.%5."/>
      <w:lvlJc w:val="left"/>
      <w:pPr>
        <w:ind w:left="2115"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3456" w:hanging="1800"/>
      </w:pPr>
      <w:rPr>
        <w:rFonts w:hint="default"/>
      </w:rPr>
    </w:lvl>
    <w:lvl w:ilvl="8">
      <w:start w:val="1"/>
      <w:numFmt w:val="decimal"/>
      <w:isLgl/>
      <w:lvlText w:val="%1.%2.%3.%4.%5.%6.%7.%8.%9."/>
      <w:lvlJc w:val="left"/>
      <w:pPr>
        <w:ind w:left="3663" w:hanging="1800"/>
      </w:pPr>
      <w:rPr>
        <w:rFonts w:hint="default"/>
      </w:rPr>
    </w:lvl>
  </w:abstractNum>
  <w:abstractNum w:abstractNumId="5" w15:restartNumberingAfterBreak="0">
    <w:nsid w:val="18EE2793"/>
    <w:multiLevelType w:val="hybridMultilevel"/>
    <w:tmpl w:val="E6B68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CB1AEA"/>
    <w:multiLevelType w:val="hybridMultilevel"/>
    <w:tmpl w:val="9D266B9E"/>
    <w:lvl w:ilvl="0" w:tplc="E44263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8056C"/>
    <w:multiLevelType w:val="hybridMultilevel"/>
    <w:tmpl w:val="98A67DDC"/>
    <w:lvl w:ilvl="0" w:tplc="EA56A0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1B2DB3"/>
    <w:multiLevelType w:val="hybridMultilevel"/>
    <w:tmpl w:val="2BACE008"/>
    <w:lvl w:ilvl="0" w:tplc="080A0001">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6D34F3"/>
    <w:multiLevelType w:val="hybridMultilevel"/>
    <w:tmpl w:val="210C2EB6"/>
    <w:lvl w:ilvl="0" w:tplc="802EC4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141D96"/>
    <w:multiLevelType w:val="hybridMultilevel"/>
    <w:tmpl w:val="5FD6F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87C6F"/>
    <w:multiLevelType w:val="hybridMultilevel"/>
    <w:tmpl w:val="E44A9A9C"/>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6D7740"/>
    <w:multiLevelType w:val="hybridMultilevel"/>
    <w:tmpl w:val="1406A332"/>
    <w:lvl w:ilvl="0" w:tplc="9FA4E4E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3F4FAD"/>
    <w:multiLevelType w:val="hybridMultilevel"/>
    <w:tmpl w:val="B552A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A2072D"/>
    <w:multiLevelType w:val="hybridMultilevel"/>
    <w:tmpl w:val="B5D2CB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D241E5"/>
    <w:multiLevelType w:val="hybridMultilevel"/>
    <w:tmpl w:val="4A0409EE"/>
    <w:lvl w:ilvl="0" w:tplc="40E62A2C">
      <w:start w:val="1"/>
      <w:numFmt w:val="decimal"/>
      <w:lvlText w:val="Figura %1."/>
      <w:lvlJc w:val="left"/>
      <w:pPr>
        <w:ind w:left="2160" w:hanging="360"/>
      </w:pPr>
      <w:rPr>
        <w:rFonts w:ascii="Arial" w:hAnsi="Arial" w:cs="Arial" w:hint="default"/>
        <w:b/>
        <w:i w:val="0"/>
        <w:color w:val="auto"/>
        <w:sz w:val="22"/>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15:restartNumberingAfterBreak="0">
    <w:nsid w:val="387355B1"/>
    <w:multiLevelType w:val="hybridMultilevel"/>
    <w:tmpl w:val="4DAE6C06"/>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CB7C6A"/>
    <w:multiLevelType w:val="hybridMultilevel"/>
    <w:tmpl w:val="CBF62A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812F03"/>
    <w:multiLevelType w:val="hybridMultilevel"/>
    <w:tmpl w:val="6B34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26F43"/>
    <w:multiLevelType w:val="hybridMultilevel"/>
    <w:tmpl w:val="41A6F01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C82FA6"/>
    <w:multiLevelType w:val="hybridMultilevel"/>
    <w:tmpl w:val="9D1E0E4E"/>
    <w:lvl w:ilvl="0" w:tplc="2DEE50E4">
      <w:start w:val="1"/>
      <w:numFmt w:val="lowerRoman"/>
      <w:lvlText w:val="%1)"/>
      <w:lvlJc w:val="left"/>
      <w:pPr>
        <w:ind w:left="3060" w:hanging="720"/>
      </w:pPr>
      <w:rPr>
        <w:rFonts w:hint="default"/>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22" w15:restartNumberingAfterBreak="0">
    <w:nsid w:val="3EF623D3"/>
    <w:multiLevelType w:val="hybridMultilevel"/>
    <w:tmpl w:val="697C589A"/>
    <w:lvl w:ilvl="0" w:tplc="87CC1ADA">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046E99"/>
    <w:multiLevelType w:val="hybridMultilevel"/>
    <w:tmpl w:val="02C227B0"/>
    <w:lvl w:ilvl="0" w:tplc="A56463DA">
      <w:start w:val="1"/>
      <w:numFmt w:val="decimal"/>
      <w:pStyle w:val="Subtema"/>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79313A7"/>
    <w:multiLevelType w:val="hybridMultilevel"/>
    <w:tmpl w:val="3E3011D2"/>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A71632"/>
    <w:multiLevelType w:val="hybridMultilevel"/>
    <w:tmpl w:val="34BEC6C6"/>
    <w:lvl w:ilvl="0" w:tplc="2DEE50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B366F7"/>
    <w:multiLevelType w:val="hybridMultilevel"/>
    <w:tmpl w:val="E2883A56"/>
    <w:lvl w:ilvl="0" w:tplc="53F66C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77273C"/>
    <w:multiLevelType w:val="hybridMultilevel"/>
    <w:tmpl w:val="7076E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5D188C"/>
    <w:multiLevelType w:val="hybridMultilevel"/>
    <w:tmpl w:val="CBF62A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AE505E"/>
    <w:multiLevelType w:val="hybridMultilevel"/>
    <w:tmpl w:val="CBDEB01C"/>
    <w:lvl w:ilvl="0" w:tplc="7834F5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7A3706"/>
    <w:multiLevelType w:val="hybridMultilevel"/>
    <w:tmpl w:val="2C6CAC70"/>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FE7507"/>
    <w:multiLevelType w:val="hybridMultilevel"/>
    <w:tmpl w:val="AB3A5D4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15:restartNumberingAfterBreak="0">
    <w:nsid w:val="6AF44F1E"/>
    <w:multiLevelType w:val="hybridMultilevel"/>
    <w:tmpl w:val="5600D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4E7BA2"/>
    <w:multiLevelType w:val="hybridMultilevel"/>
    <w:tmpl w:val="7662FE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5743F"/>
    <w:multiLevelType w:val="hybridMultilevel"/>
    <w:tmpl w:val="B2A28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301581"/>
    <w:multiLevelType w:val="multilevel"/>
    <w:tmpl w:val="AE1CDBC2"/>
    <w:lvl w:ilvl="0">
      <w:start w:val="1"/>
      <w:numFmt w:val="bullet"/>
      <w:lvlText w:val=""/>
      <w:lvlJc w:val="left"/>
      <w:pPr>
        <w:ind w:left="644" w:hanging="360"/>
      </w:pPr>
      <w:rPr>
        <w:rFonts w:ascii="Symbol" w:hAnsi="Symbol" w:hint="default"/>
      </w:rPr>
    </w:lvl>
    <w:lvl w:ilvl="1">
      <w:start w:val="1"/>
      <w:numFmt w:val="bullet"/>
      <w:lvlText w:val="-"/>
      <w:lvlJc w:val="left"/>
      <w:pPr>
        <w:ind w:left="792" w:hanging="432"/>
      </w:pPr>
      <w:rPr>
        <w:rFonts w:ascii="Arial" w:eastAsiaTheme="minorHAnsi"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A61E94"/>
    <w:multiLevelType w:val="hybridMultilevel"/>
    <w:tmpl w:val="E44A9A9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167F21"/>
    <w:multiLevelType w:val="hybridMultilevel"/>
    <w:tmpl w:val="B29462FE"/>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CE0A69"/>
    <w:multiLevelType w:val="hybridMultilevel"/>
    <w:tmpl w:val="23E444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7"/>
  </w:num>
  <w:num w:numId="3">
    <w:abstractNumId w:val="35"/>
  </w:num>
  <w:num w:numId="4">
    <w:abstractNumId w:val="23"/>
  </w:num>
  <w:num w:numId="5">
    <w:abstractNumId w:val="4"/>
  </w:num>
  <w:num w:numId="6">
    <w:abstractNumId w:val="22"/>
  </w:num>
  <w:num w:numId="7">
    <w:abstractNumId w:val="21"/>
  </w:num>
  <w:num w:numId="8">
    <w:abstractNumId w:val="1"/>
  </w:num>
  <w:num w:numId="9">
    <w:abstractNumId w:val="20"/>
  </w:num>
  <w:num w:numId="10">
    <w:abstractNumId w:val="36"/>
  </w:num>
  <w:num w:numId="11">
    <w:abstractNumId w:val="24"/>
  </w:num>
  <w:num w:numId="12">
    <w:abstractNumId w:val="0"/>
  </w:num>
  <w:num w:numId="13">
    <w:abstractNumId w:val="18"/>
  </w:num>
  <w:num w:numId="14">
    <w:abstractNumId w:val="12"/>
  </w:num>
  <w:num w:numId="15">
    <w:abstractNumId w:val="11"/>
  </w:num>
  <w:num w:numId="16">
    <w:abstractNumId w:val="13"/>
  </w:num>
  <w:num w:numId="17">
    <w:abstractNumId w:val="19"/>
  </w:num>
  <w:num w:numId="18">
    <w:abstractNumId w:val="25"/>
  </w:num>
  <w:num w:numId="19">
    <w:abstractNumId w:val="16"/>
  </w:num>
  <w:num w:numId="20">
    <w:abstractNumId w:val="15"/>
  </w:num>
  <w:num w:numId="21">
    <w:abstractNumId w:val="3"/>
  </w:num>
  <w:num w:numId="22">
    <w:abstractNumId w:val="14"/>
  </w:num>
  <w:num w:numId="23">
    <w:abstractNumId w:val="29"/>
  </w:num>
  <w:num w:numId="24">
    <w:abstractNumId w:val="9"/>
  </w:num>
  <w:num w:numId="25">
    <w:abstractNumId w:val="28"/>
  </w:num>
  <w:num w:numId="26">
    <w:abstractNumId w:val="37"/>
  </w:num>
  <w:num w:numId="27">
    <w:abstractNumId w:val="6"/>
  </w:num>
  <w:num w:numId="28">
    <w:abstractNumId w:val="8"/>
  </w:num>
  <w:num w:numId="29">
    <w:abstractNumId w:val="31"/>
  </w:num>
  <w:num w:numId="30">
    <w:abstractNumId w:val="17"/>
  </w:num>
  <w:num w:numId="31">
    <w:abstractNumId w:val="38"/>
  </w:num>
  <w:num w:numId="32">
    <w:abstractNumId w:val="2"/>
  </w:num>
  <w:num w:numId="33">
    <w:abstractNumId w:val="27"/>
  </w:num>
  <w:num w:numId="34">
    <w:abstractNumId w:val="32"/>
  </w:num>
  <w:num w:numId="35">
    <w:abstractNumId w:val="33"/>
  </w:num>
  <w:num w:numId="36">
    <w:abstractNumId w:val="26"/>
  </w:num>
  <w:num w:numId="37">
    <w:abstractNumId w:val="5"/>
  </w:num>
  <w:num w:numId="38">
    <w:abstractNumId w:val="10"/>
  </w:num>
  <w:num w:numId="39">
    <w:abstractNumId w:val="34"/>
  </w:num>
  <w:num w:numId="40">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6"/>
    <o:shapelayout v:ext="edit">
      <o:idmap v:ext="edit" data="2"/>
    </o:shapelayout>
  </w:hdrShapeDefaults>
  <w:footnotePr>
    <w:numStart w:val="3"/>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CF"/>
    <w:rsid w:val="00000DA5"/>
    <w:rsid w:val="0000247F"/>
    <w:rsid w:val="000045E5"/>
    <w:rsid w:val="00004848"/>
    <w:rsid w:val="00004BA6"/>
    <w:rsid w:val="00005A78"/>
    <w:rsid w:val="00012092"/>
    <w:rsid w:val="00012384"/>
    <w:rsid w:val="000143BF"/>
    <w:rsid w:val="000146DA"/>
    <w:rsid w:val="00015B72"/>
    <w:rsid w:val="00016B01"/>
    <w:rsid w:val="00017765"/>
    <w:rsid w:val="000209AC"/>
    <w:rsid w:val="00021217"/>
    <w:rsid w:val="00023DB9"/>
    <w:rsid w:val="00024668"/>
    <w:rsid w:val="00025632"/>
    <w:rsid w:val="00026067"/>
    <w:rsid w:val="00033979"/>
    <w:rsid w:val="00034263"/>
    <w:rsid w:val="0003473B"/>
    <w:rsid w:val="000349B1"/>
    <w:rsid w:val="00034B90"/>
    <w:rsid w:val="0003578B"/>
    <w:rsid w:val="00036D0E"/>
    <w:rsid w:val="0004084B"/>
    <w:rsid w:val="00042EE4"/>
    <w:rsid w:val="0004325F"/>
    <w:rsid w:val="00043AB9"/>
    <w:rsid w:val="00043AC9"/>
    <w:rsid w:val="00043E1D"/>
    <w:rsid w:val="00044064"/>
    <w:rsid w:val="00044784"/>
    <w:rsid w:val="0004667C"/>
    <w:rsid w:val="00047B8C"/>
    <w:rsid w:val="00047EA1"/>
    <w:rsid w:val="0005065C"/>
    <w:rsid w:val="00050838"/>
    <w:rsid w:val="0005283A"/>
    <w:rsid w:val="00053A24"/>
    <w:rsid w:val="00060F8B"/>
    <w:rsid w:val="000618D8"/>
    <w:rsid w:val="000620A9"/>
    <w:rsid w:val="00064591"/>
    <w:rsid w:val="00070ADF"/>
    <w:rsid w:val="0007557E"/>
    <w:rsid w:val="00075839"/>
    <w:rsid w:val="000760C8"/>
    <w:rsid w:val="000765BB"/>
    <w:rsid w:val="000816B4"/>
    <w:rsid w:val="00083308"/>
    <w:rsid w:val="00084F1C"/>
    <w:rsid w:val="00084FF6"/>
    <w:rsid w:val="000872CE"/>
    <w:rsid w:val="000902F7"/>
    <w:rsid w:val="0009169B"/>
    <w:rsid w:val="00094E7B"/>
    <w:rsid w:val="00095198"/>
    <w:rsid w:val="000972D0"/>
    <w:rsid w:val="000A0635"/>
    <w:rsid w:val="000A0BE8"/>
    <w:rsid w:val="000A3631"/>
    <w:rsid w:val="000B00B2"/>
    <w:rsid w:val="000B0DC3"/>
    <w:rsid w:val="000B6C6B"/>
    <w:rsid w:val="000B6D54"/>
    <w:rsid w:val="000C11AB"/>
    <w:rsid w:val="000C1FE3"/>
    <w:rsid w:val="000C5501"/>
    <w:rsid w:val="000C5E23"/>
    <w:rsid w:val="000C607A"/>
    <w:rsid w:val="000C7327"/>
    <w:rsid w:val="000D4D74"/>
    <w:rsid w:val="000D5C30"/>
    <w:rsid w:val="000D6F64"/>
    <w:rsid w:val="000D7361"/>
    <w:rsid w:val="000D7D74"/>
    <w:rsid w:val="000E0978"/>
    <w:rsid w:val="000E234F"/>
    <w:rsid w:val="000E237C"/>
    <w:rsid w:val="000E5026"/>
    <w:rsid w:val="000F0B6D"/>
    <w:rsid w:val="000F117A"/>
    <w:rsid w:val="000F164A"/>
    <w:rsid w:val="000F1BA9"/>
    <w:rsid w:val="000F5DCE"/>
    <w:rsid w:val="000F619C"/>
    <w:rsid w:val="000F6355"/>
    <w:rsid w:val="001001BA"/>
    <w:rsid w:val="001022B7"/>
    <w:rsid w:val="0010434F"/>
    <w:rsid w:val="00104BB9"/>
    <w:rsid w:val="00105376"/>
    <w:rsid w:val="0010553E"/>
    <w:rsid w:val="00107B4A"/>
    <w:rsid w:val="0011217F"/>
    <w:rsid w:val="00112FC4"/>
    <w:rsid w:val="0011656A"/>
    <w:rsid w:val="00116EB4"/>
    <w:rsid w:val="00116EC7"/>
    <w:rsid w:val="001173CC"/>
    <w:rsid w:val="001229D4"/>
    <w:rsid w:val="00122AB2"/>
    <w:rsid w:val="00123FA7"/>
    <w:rsid w:val="00124644"/>
    <w:rsid w:val="001252A0"/>
    <w:rsid w:val="0012549E"/>
    <w:rsid w:val="0012765F"/>
    <w:rsid w:val="001339C6"/>
    <w:rsid w:val="001346F2"/>
    <w:rsid w:val="00137437"/>
    <w:rsid w:val="00137EA6"/>
    <w:rsid w:val="00140AA5"/>
    <w:rsid w:val="00141BEC"/>
    <w:rsid w:val="00144C0D"/>
    <w:rsid w:val="001467B0"/>
    <w:rsid w:val="00146A74"/>
    <w:rsid w:val="00146FA2"/>
    <w:rsid w:val="00152067"/>
    <w:rsid w:val="00153671"/>
    <w:rsid w:val="00162FE0"/>
    <w:rsid w:val="00163547"/>
    <w:rsid w:val="0016456B"/>
    <w:rsid w:val="001653E5"/>
    <w:rsid w:val="0016728D"/>
    <w:rsid w:val="001677B1"/>
    <w:rsid w:val="00167815"/>
    <w:rsid w:val="00172BCA"/>
    <w:rsid w:val="001756DD"/>
    <w:rsid w:val="00177445"/>
    <w:rsid w:val="00181262"/>
    <w:rsid w:val="0018188D"/>
    <w:rsid w:val="00185679"/>
    <w:rsid w:val="00185A29"/>
    <w:rsid w:val="00185C1F"/>
    <w:rsid w:val="00187045"/>
    <w:rsid w:val="00190F90"/>
    <w:rsid w:val="00192F26"/>
    <w:rsid w:val="00194D80"/>
    <w:rsid w:val="00194E7A"/>
    <w:rsid w:val="00197335"/>
    <w:rsid w:val="001A227F"/>
    <w:rsid w:val="001A3A60"/>
    <w:rsid w:val="001A5450"/>
    <w:rsid w:val="001B142D"/>
    <w:rsid w:val="001B2F86"/>
    <w:rsid w:val="001B61C0"/>
    <w:rsid w:val="001B6E24"/>
    <w:rsid w:val="001C0BFF"/>
    <w:rsid w:val="001C190E"/>
    <w:rsid w:val="001C5B2D"/>
    <w:rsid w:val="001D1435"/>
    <w:rsid w:val="001D21CD"/>
    <w:rsid w:val="001D390D"/>
    <w:rsid w:val="001D78CE"/>
    <w:rsid w:val="001F0411"/>
    <w:rsid w:val="001F5A0F"/>
    <w:rsid w:val="001F7167"/>
    <w:rsid w:val="001F7981"/>
    <w:rsid w:val="00201F8F"/>
    <w:rsid w:val="002029E4"/>
    <w:rsid w:val="002042E8"/>
    <w:rsid w:val="0020445A"/>
    <w:rsid w:val="00204B07"/>
    <w:rsid w:val="0020653D"/>
    <w:rsid w:val="00206A41"/>
    <w:rsid w:val="00211578"/>
    <w:rsid w:val="002128C4"/>
    <w:rsid w:val="00213B5C"/>
    <w:rsid w:val="002140D1"/>
    <w:rsid w:val="0021485D"/>
    <w:rsid w:val="00214C3C"/>
    <w:rsid w:val="002164C0"/>
    <w:rsid w:val="00220056"/>
    <w:rsid w:val="00221228"/>
    <w:rsid w:val="00222887"/>
    <w:rsid w:val="0022306A"/>
    <w:rsid w:val="002244B9"/>
    <w:rsid w:val="00225150"/>
    <w:rsid w:val="00225851"/>
    <w:rsid w:val="00225FA2"/>
    <w:rsid w:val="0022750A"/>
    <w:rsid w:val="00227A3C"/>
    <w:rsid w:val="00230016"/>
    <w:rsid w:val="00230441"/>
    <w:rsid w:val="00232D72"/>
    <w:rsid w:val="00234859"/>
    <w:rsid w:val="00234E90"/>
    <w:rsid w:val="00237988"/>
    <w:rsid w:val="00243C9A"/>
    <w:rsid w:val="0024410E"/>
    <w:rsid w:val="0024471F"/>
    <w:rsid w:val="00245B0A"/>
    <w:rsid w:val="00247EFF"/>
    <w:rsid w:val="00250FD0"/>
    <w:rsid w:val="00253EC5"/>
    <w:rsid w:val="002559DE"/>
    <w:rsid w:val="00255C09"/>
    <w:rsid w:val="00260675"/>
    <w:rsid w:val="00260CBE"/>
    <w:rsid w:val="00261EBE"/>
    <w:rsid w:val="00264E57"/>
    <w:rsid w:val="00266CC8"/>
    <w:rsid w:val="002673C4"/>
    <w:rsid w:val="00271D7B"/>
    <w:rsid w:val="00272C9B"/>
    <w:rsid w:val="0027455C"/>
    <w:rsid w:val="002761D5"/>
    <w:rsid w:val="0027644C"/>
    <w:rsid w:val="0027728B"/>
    <w:rsid w:val="002804B3"/>
    <w:rsid w:val="00280B81"/>
    <w:rsid w:val="00282197"/>
    <w:rsid w:val="00282D6D"/>
    <w:rsid w:val="00283CB5"/>
    <w:rsid w:val="002902C5"/>
    <w:rsid w:val="00291BDC"/>
    <w:rsid w:val="00292354"/>
    <w:rsid w:val="002931E1"/>
    <w:rsid w:val="002951CC"/>
    <w:rsid w:val="002A082E"/>
    <w:rsid w:val="002A120A"/>
    <w:rsid w:val="002A255C"/>
    <w:rsid w:val="002A4CC8"/>
    <w:rsid w:val="002A4F7D"/>
    <w:rsid w:val="002A5195"/>
    <w:rsid w:val="002A57BC"/>
    <w:rsid w:val="002A6786"/>
    <w:rsid w:val="002A7B18"/>
    <w:rsid w:val="002A7B2A"/>
    <w:rsid w:val="002B07F1"/>
    <w:rsid w:val="002B09FC"/>
    <w:rsid w:val="002B3AE1"/>
    <w:rsid w:val="002B6E90"/>
    <w:rsid w:val="002B727C"/>
    <w:rsid w:val="002B7430"/>
    <w:rsid w:val="002C0EF9"/>
    <w:rsid w:val="002C5B83"/>
    <w:rsid w:val="002D19A5"/>
    <w:rsid w:val="002D443D"/>
    <w:rsid w:val="002D47F6"/>
    <w:rsid w:val="002E263D"/>
    <w:rsid w:val="002E3596"/>
    <w:rsid w:val="002E436E"/>
    <w:rsid w:val="002E54CE"/>
    <w:rsid w:val="002E5A4D"/>
    <w:rsid w:val="002E6160"/>
    <w:rsid w:val="002E63B1"/>
    <w:rsid w:val="002E755C"/>
    <w:rsid w:val="002F451B"/>
    <w:rsid w:val="002F5C10"/>
    <w:rsid w:val="00300A75"/>
    <w:rsid w:val="00303CA3"/>
    <w:rsid w:val="00303D29"/>
    <w:rsid w:val="00306155"/>
    <w:rsid w:val="00307DE9"/>
    <w:rsid w:val="00310B56"/>
    <w:rsid w:val="0031115E"/>
    <w:rsid w:val="00313301"/>
    <w:rsid w:val="0031356D"/>
    <w:rsid w:val="00314C1D"/>
    <w:rsid w:val="00314E21"/>
    <w:rsid w:val="003164E1"/>
    <w:rsid w:val="00322B6C"/>
    <w:rsid w:val="00324B04"/>
    <w:rsid w:val="00325A56"/>
    <w:rsid w:val="00327290"/>
    <w:rsid w:val="0032748D"/>
    <w:rsid w:val="00331001"/>
    <w:rsid w:val="00332D6E"/>
    <w:rsid w:val="0033442A"/>
    <w:rsid w:val="0033564A"/>
    <w:rsid w:val="00336F5E"/>
    <w:rsid w:val="003400DB"/>
    <w:rsid w:val="00342FE5"/>
    <w:rsid w:val="003431EB"/>
    <w:rsid w:val="0034471F"/>
    <w:rsid w:val="00347925"/>
    <w:rsid w:val="00350282"/>
    <w:rsid w:val="0035185E"/>
    <w:rsid w:val="00351B41"/>
    <w:rsid w:val="00351CE4"/>
    <w:rsid w:val="003545C8"/>
    <w:rsid w:val="00357C22"/>
    <w:rsid w:val="003606DD"/>
    <w:rsid w:val="00362F92"/>
    <w:rsid w:val="003665C2"/>
    <w:rsid w:val="0037350D"/>
    <w:rsid w:val="00373D69"/>
    <w:rsid w:val="00374F47"/>
    <w:rsid w:val="00377728"/>
    <w:rsid w:val="00377883"/>
    <w:rsid w:val="00377E6A"/>
    <w:rsid w:val="00380DAD"/>
    <w:rsid w:val="003819E1"/>
    <w:rsid w:val="00384554"/>
    <w:rsid w:val="003851EC"/>
    <w:rsid w:val="00385A57"/>
    <w:rsid w:val="0039184A"/>
    <w:rsid w:val="003930D8"/>
    <w:rsid w:val="0039496F"/>
    <w:rsid w:val="00395D5D"/>
    <w:rsid w:val="003972C1"/>
    <w:rsid w:val="003A0FE0"/>
    <w:rsid w:val="003A11E0"/>
    <w:rsid w:val="003A1438"/>
    <w:rsid w:val="003A2251"/>
    <w:rsid w:val="003A33AD"/>
    <w:rsid w:val="003A605F"/>
    <w:rsid w:val="003A79DA"/>
    <w:rsid w:val="003B02C3"/>
    <w:rsid w:val="003B18B1"/>
    <w:rsid w:val="003B1B0E"/>
    <w:rsid w:val="003B4E70"/>
    <w:rsid w:val="003C17CD"/>
    <w:rsid w:val="003C52BE"/>
    <w:rsid w:val="003C579C"/>
    <w:rsid w:val="003C5DCE"/>
    <w:rsid w:val="003C791C"/>
    <w:rsid w:val="003C7A7E"/>
    <w:rsid w:val="003D2F73"/>
    <w:rsid w:val="003D647B"/>
    <w:rsid w:val="003D68EF"/>
    <w:rsid w:val="003E1FCE"/>
    <w:rsid w:val="003E5BB7"/>
    <w:rsid w:val="003E6590"/>
    <w:rsid w:val="003E662A"/>
    <w:rsid w:val="003E6BBA"/>
    <w:rsid w:val="003E7B36"/>
    <w:rsid w:val="003F104F"/>
    <w:rsid w:val="003F1647"/>
    <w:rsid w:val="003F22F2"/>
    <w:rsid w:val="003F30B8"/>
    <w:rsid w:val="003F5E71"/>
    <w:rsid w:val="003F6E64"/>
    <w:rsid w:val="003F7676"/>
    <w:rsid w:val="003F7A6D"/>
    <w:rsid w:val="00400DB3"/>
    <w:rsid w:val="0040188F"/>
    <w:rsid w:val="004033D8"/>
    <w:rsid w:val="00407C0A"/>
    <w:rsid w:val="00413586"/>
    <w:rsid w:val="0041429B"/>
    <w:rsid w:val="004201AB"/>
    <w:rsid w:val="00420CA2"/>
    <w:rsid w:val="0042161F"/>
    <w:rsid w:val="00421D08"/>
    <w:rsid w:val="004223DC"/>
    <w:rsid w:val="00425849"/>
    <w:rsid w:val="00425FA5"/>
    <w:rsid w:val="00426212"/>
    <w:rsid w:val="00426C4D"/>
    <w:rsid w:val="00427962"/>
    <w:rsid w:val="004329D2"/>
    <w:rsid w:val="00433421"/>
    <w:rsid w:val="00440552"/>
    <w:rsid w:val="004428AE"/>
    <w:rsid w:val="00442A49"/>
    <w:rsid w:val="00443905"/>
    <w:rsid w:val="00446512"/>
    <w:rsid w:val="00446C15"/>
    <w:rsid w:val="00451E55"/>
    <w:rsid w:val="004562B3"/>
    <w:rsid w:val="00460187"/>
    <w:rsid w:val="00462902"/>
    <w:rsid w:val="004642D8"/>
    <w:rsid w:val="004665A5"/>
    <w:rsid w:val="00466926"/>
    <w:rsid w:val="00467581"/>
    <w:rsid w:val="00473D5E"/>
    <w:rsid w:val="00474D16"/>
    <w:rsid w:val="004750BF"/>
    <w:rsid w:val="00481F6F"/>
    <w:rsid w:val="0048238F"/>
    <w:rsid w:val="00484867"/>
    <w:rsid w:val="00487F2B"/>
    <w:rsid w:val="00490515"/>
    <w:rsid w:val="004966C2"/>
    <w:rsid w:val="004A14AE"/>
    <w:rsid w:val="004A446A"/>
    <w:rsid w:val="004A50F3"/>
    <w:rsid w:val="004A6356"/>
    <w:rsid w:val="004B0036"/>
    <w:rsid w:val="004B194B"/>
    <w:rsid w:val="004B28C8"/>
    <w:rsid w:val="004B4755"/>
    <w:rsid w:val="004B6E06"/>
    <w:rsid w:val="004B760D"/>
    <w:rsid w:val="004B78E8"/>
    <w:rsid w:val="004C0069"/>
    <w:rsid w:val="004C3FE3"/>
    <w:rsid w:val="004C779B"/>
    <w:rsid w:val="004D0464"/>
    <w:rsid w:val="004D4D97"/>
    <w:rsid w:val="004D5605"/>
    <w:rsid w:val="004D56EE"/>
    <w:rsid w:val="004D6CEE"/>
    <w:rsid w:val="004D78FE"/>
    <w:rsid w:val="004D79F8"/>
    <w:rsid w:val="004D7ED8"/>
    <w:rsid w:val="004E0610"/>
    <w:rsid w:val="004E2736"/>
    <w:rsid w:val="004E2C3A"/>
    <w:rsid w:val="004E3D60"/>
    <w:rsid w:val="004E4F5F"/>
    <w:rsid w:val="004E78CD"/>
    <w:rsid w:val="004F09A0"/>
    <w:rsid w:val="004F3F78"/>
    <w:rsid w:val="004F555A"/>
    <w:rsid w:val="004F66CD"/>
    <w:rsid w:val="00502CCB"/>
    <w:rsid w:val="005045A4"/>
    <w:rsid w:val="00504776"/>
    <w:rsid w:val="00504C49"/>
    <w:rsid w:val="005051B4"/>
    <w:rsid w:val="00510473"/>
    <w:rsid w:val="00515DB3"/>
    <w:rsid w:val="00517EF9"/>
    <w:rsid w:val="005216CF"/>
    <w:rsid w:val="005226B1"/>
    <w:rsid w:val="00523181"/>
    <w:rsid w:val="005232ED"/>
    <w:rsid w:val="005303EE"/>
    <w:rsid w:val="00530FD9"/>
    <w:rsid w:val="0053170A"/>
    <w:rsid w:val="00534533"/>
    <w:rsid w:val="00540AB4"/>
    <w:rsid w:val="005412D8"/>
    <w:rsid w:val="0054253E"/>
    <w:rsid w:val="00543479"/>
    <w:rsid w:val="00543EED"/>
    <w:rsid w:val="00544637"/>
    <w:rsid w:val="0054541C"/>
    <w:rsid w:val="00552E90"/>
    <w:rsid w:val="00555308"/>
    <w:rsid w:val="00555F70"/>
    <w:rsid w:val="00556C4A"/>
    <w:rsid w:val="00556E5F"/>
    <w:rsid w:val="00560537"/>
    <w:rsid w:val="0056100F"/>
    <w:rsid w:val="0056192D"/>
    <w:rsid w:val="005623CB"/>
    <w:rsid w:val="00562759"/>
    <w:rsid w:val="0056317D"/>
    <w:rsid w:val="00564D4C"/>
    <w:rsid w:val="00564DBB"/>
    <w:rsid w:val="0056640C"/>
    <w:rsid w:val="005667FB"/>
    <w:rsid w:val="00566F27"/>
    <w:rsid w:val="005671DC"/>
    <w:rsid w:val="005678B7"/>
    <w:rsid w:val="00567D77"/>
    <w:rsid w:val="00567DCC"/>
    <w:rsid w:val="00571DF0"/>
    <w:rsid w:val="00572AF5"/>
    <w:rsid w:val="00573260"/>
    <w:rsid w:val="00575C7D"/>
    <w:rsid w:val="005765C8"/>
    <w:rsid w:val="00577A56"/>
    <w:rsid w:val="00577B45"/>
    <w:rsid w:val="00577BC3"/>
    <w:rsid w:val="00577F2C"/>
    <w:rsid w:val="00581408"/>
    <w:rsid w:val="00581EB7"/>
    <w:rsid w:val="00582468"/>
    <w:rsid w:val="0058263F"/>
    <w:rsid w:val="005833FD"/>
    <w:rsid w:val="00584E71"/>
    <w:rsid w:val="00585CAE"/>
    <w:rsid w:val="0058642B"/>
    <w:rsid w:val="005945E3"/>
    <w:rsid w:val="00594C79"/>
    <w:rsid w:val="0059783B"/>
    <w:rsid w:val="005A0422"/>
    <w:rsid w:val="005A05F2"/>
    <w:rsid w:val="005A1A28"/>
    <w:rsid w:val="005A2563"/>
    <w:rsid w:val="005A261B"/>
    <w:rsid w:val="005A3BEB"/>
    <w:rsid w:val="005A44BC"/>
    <w:rsid w:val="005A6361"/>
    <w:rsid w:val="005A6FFB"/>
    <w:rsid w:val="005A7728"/>
    <w:rsid w:val="005A79FB"/>
    <w:rsid w:val="005A7C0F"/>
    <w:rsid w:val="005B0E7D"/>
    <w:rsid w:val="005B0F2F"/>
    <w:rsid w:val="005B7C2F"/>
    <w:rsid w:val="005C0825"/>
    <w:rsid w:val="005C3874"/>
    <w:rsid w:val="005C490B"/>
    <w:rsid w:val="005C6D56"/>
    <w:rsid w:val="005D038D"/>
    <w:rsid w:val="005D1412"/>
    <w:rsid w:val="005D1E2D"/>
    <w:rsid w:val="005D4A1E"/>
    <w:rsid w:val="005D5E5C"/>
    <w:rsid w:val="005D663E"/>
    <w:rsid w:val="005D7698"/>
    <w:rsid w:val="005E1B47"/>
    <w:rsid w:val="005E23E0"/>
    <w:rsid w:val="005E2708"/>
    <w:rsid w:val="005E38DE"/>
    <w:rsid w:val="005E4D97"/>
    <w:rsid w:val="005E6C6E"/>
    <w:rsid w:val="005F0C85"/>
    <w:rsid w:val="005F32FC"/>
    <w:rsid w:val="005F3C22"/>
    <w:rsid w:val="005F41B3"/>
    <w:rsid w:val="005F4FA0"/>
    <w:rsid w:val="005F55B3"/>
    <w:rsid w:val="0060122E"/>
    <w:rsid w:val="0060222B"/>
    <w:rsid w:val="006027E2"/>
    <w:rsid w:val="006060F7"/>
    <w:rsid w:val="0060727F"/>
    <w:rsid w:val="006075BD"/>
    <w:rsid w:val="006117E3"/>
    <w:rsid w:val="00611ECA"/>
    <w:rsid w:val="00612A31"/>
    <w:rsid w:val="0061349A"/>
    <w:rsid w:val="00613A3D"/>
    <w:rsid w:val="00616EDB"/>
    <w:rsid w:val="0062102C"/>
    <w:rsid w:val="00622454"/>
    <w:rsid w:val="006235B7"/>
    <w:rsid w:val="00632316"/>
    <w:rsid w:val="0063539C"/>
    <w:rsid w:val="006363CE"/>
    <w:rsid w:val="00640BF6"/>
    <w:rsid w:val="006419F7"/>
    <w:rsid w:val="00641E15"/>
    <w:rsid w:val="006440B0"/>
    <w:rsid w:val="0064567F"/>
    <w:rsid w:val="00645D46"/>
    <w:rsid w:val="006464DA"/>
    <w:rsid w:val="006506E5"/>
    <w:rsid w:val="00651DCD"/>
    <w:rsid w:val="00652B8D"/>
    <w:rsid w:val="00654097"/>
    <w:rsid w:val="00657DA0"/>
    <w:rsid w:val="006615C0"/>
    <w:rsid w:val="006656BC"/>
    <w:rsid w:val="00670A65"/>
    <w:rsid w:val="00671B78"/>
    <w:rsid w:val="00672E99"/>
    <w:rsid w:val="006747BC"/>
    <w:rsid w:val="00675D3B"/>
    <w:rsid w:val="0068053A"/>
    <w:rsid w:val="00680595"/>
    <w:rsid w:val="0068079D"/>
    <w:rsid w:val="00681543"/>
    <w:rsid w:val="0068154D"/>
    <w:rsid w:val="00682723"/>
    <w:rsid w:val="006842B9"/>
    <w:rsid w:val="006861EA"/>
    <w:rsid w:val="00687234"/>
    <w:rsid w:val="0068753F"/>
    <w:rsid w:val="006924D7"/>
    <w:rsid w:val="006940A9"/>
    <w:rsid w:val="00695750"/>
    <w:rsid w:val="00697D77"/>
    <w:rsid w:val="006A0958"/>
    <w:rsid w:val="006A1BFA"/>
    <w:rsid w:val="006A1D51"/>
    <w:rsid w:val="006A1E8E"/>
    <w:rsid w:val="006A23FC"/>
    <w:rsid w:val="006A4710"/>
    <w:rsid w:val="006A50A9"/>
    <w:rsid w:val="006A67D1"/>
    <w:rsid w:val="006A69EF"/>
    <w:rsid w:val="006B5232"/>
    <w:rsid w:val="006B68CB"/>
    <w:rsid w:val="006B6BE8"/>
    <w:rsid w:val="006C6090"/>
    <w:rsid w:val="006C6973"/>
    <w:rsid w:val="006C6AE8"/>
    <w:rsid w:val="006C7FC6"/>
    <w:rsid w:val="006D4342"/>
    <w:rsid w:val="006D48AC"/>
    <w:rsid w:val="006D5D73"/>
    <w:rsid w:val="006E0651"/>
    <w:rsid w:val="006E080A"/>
    <w:rsid w:val="006E4348"/>
    <w:rsid w:val="006E5D6C"/>
    <w:rsid w:val="006E5E53"/>
    <w:rsid w:val="006E7570"/>
    <w:rsid w:val="006F077D"/>
    <w:rsid w:val="006F07F7"/>
    <w:rsid w:val="006F3969"/>
    <w:rsid w:val="006F3C3B"/>
    <w:rsid w:val="006F4657"/>
    <w:rsid w:val="006F6620"/>
    <w:rsid w:val="006F7586"/>
    <w:rsid w:val="0070220C"/>
    <w:rsid w:val="00702BC9"/>
    <w:rsid w:val="00704F4B"/>
    <w:rsid w:val="007051F6"/>
    <w:rsid w:val="0070629C"/>
    <w:rsid w:val="00710C91"/>
    <w:rsid w:val="00710E9C"/>
    <w:rsid w:val="00711D82"/>
    <w:rsid w:val="007125ED"/>
    <w:rsid w:val="0071325C"/>
    <w:rsid w:val="00715248"/>
    <w:rsid w:val="00716037"/>
    <w:rsid w:val="0071711A"/>
    <w:rsid w:val="00717909"/>
    <w:rsid w:val="007212EB"/>
    <w:rsid w:val="00721857"/>
    <w:rsid w:val="00725F47"/>
    <w:rsid w:val="007263A4"/>
    <w:rsid w:val="00731423"/>
    <w:rsid w:val="00731970"/>
    <w:rsid w:val="007337D9"/>
    <w:rsid w:val="00737F68"/>
    <w:rsid w:val="007443B8"/>
    <w:rsid w:val="00744F92"/>
    <w:rsid w:val="007455D7"/>
    <w:rsid w:val="00745FAD"/>
    <w:rsid w:val="00746490"/>
    <w:rsid w:val="007466BC"/>
    <w:rsid w:val="00746B27"/>
    <w:rsid w:val="00747051"/>
    <w:rsid w:val="00747B12"/>
    <w:rsid w:val="007508F7"/>
    <w:rsid w:val="00750E11"/>
    <w:rsid w:val="007512FD"/>
    <w:rsid w:val="00751C8D"/>
    <w:rsid w:val="00752371"/>
    <w:rsid w:val="00752E7E"/>
    <w:rsid w:val="00753051"/>
    <w:rsid w:val="00756626"/>
    <w:rsid w:val="00762289"/>
    <w:rsid w:val="00762DA2"/>
    <w:rsid w:val="007631E9"/>
    <w:rsid w:val="0076411D"/>
    <w:rsid w:val="007658DB"/>
    <w:rsid w:val="00773BCC"/>
    <w:rsid w:val="00774114"/>
    <w:rsid w:val="00776F73"/>
    <w:rsid w:val="007779E5"/>
    <w:rsid w:val="00782649"/>
    <w:rsid w:val="00782746"/>
    <w:rsid w:val="0078478C"/>
    <w:rsid w:val="007852D3"/>
    <w:rsid w:val="00785996"/>
    <w:rsid w:val="00792103"/>
    <w:rsid w:val="007933D4"/>
    <w:rsid w:val="00793B67"/>
    <w:rsid w:val="00793D25"/>
    <w:rsid w:val="00795633"/>
    <w:rsid w:val="007A174A"/>
    <w:rsid w:val="007A74C3"/>
    <w:rsid w:val="007B1718"/>
    <w:rsid w:val="007B21FE"/>
    <w:rsid w:val="007B24F2"/>
    <w:rsid w:val="007B2854"/>
    <w:rsid w:val="007B6F50"/>
    <w:rsid w:val="007C026C"/>
    <w:rsid w:val="007C1CA9"/>
    <w:rsid w:val="007C1F3A"/>
    <w:rsid w:val="007C37D3"/>
    <w:rsid w:val="007C4BDB"/>
    <w:rsid w:val="007C7C07"/>
    <w:rsid w:val="007D325B"/>
    <w:rsid w:val="007D39DE"/>
    <w:rsid w:val="007D4910"/>
    <w:rsid w:val="007D696A"/>
    <w:rsid w:val="007D7078"/>
    <w:rsid w:val="007D79CD"/>
    <w:rsid w:val="007E01D6"/>
    <w:rsid w:val="007E268F"/>
    <w:rsid w:val="007E4F05"/>
    <w:rsid w:val="007F0A41"/>
    <w:rsid w:val="007F3DC1"/>
    <w:rsid w:val="007F5E2B"/>
    <w:rsid w:val="007F6FED"/>
    <w:rsid w:val="007F7E71"/>
    <w:rsid w:val="007F7F63"/>
    <w:rsid w:val="00803669"/>
    <w:rsid w:val="00803BBB"/>
    <w:rsid w:val="00803F40"/>
    <w:rsid w:val="0080570B"/>
    <w:rsid w:val="00805E7D"/>
    <w:rsid w:val="00805FAB"/>
    <w:rsid w:val="0080602B"/>
    <w:rsid w:val="00806DE4"/>
    <w:rsid w:val="0080764C"/>
    <w:rsid w:val="00812373"/>
    <w:rsid w:val="0081416E"/>
    <w:rsid w:val="00815EB0"/>
    <w:rsid w:val="00815EBF"/>
    <w:rsid w:val="008204E3"/>
    <w:rsid w:val="00821327"/>
    <w:rsid w:val="00821DC5"/>
    <w:rsid w:val="00823DC3"/>
    <w:rsid w:val="0082608A"/>
    <w:rsid w:val="008271B8"/>
    <w:rsid w:val="008307A4"/>
    <w:rsid w:val="00833CB0"/>
    <w:rsid w:val="00834965"/>
    <w:rsid w:val="00836787"/>
    <w:rsid w:val="00837B2B"/>
    <w:rsid w:val="00837EF6"/>
    <w:rsid w:val="00840704"/>
    <w:rsid w:val="0084088E"/>
    <w:rsid w:val="00841C30"/>
    <w:rsid w:val="00844630"/>
    <w:rsid w:val="00845290"/>
    <w:rsid w:val="00846C93"/>
    <w:rsid w:val="00850F23"/>
    <w:rsid w:val="00851162"/>
    <w:rsid w:val="00853144"/>
    <w:rsid w:val="0085657F"/>
    <w:rsid w:val="0085708B"/>
    <w:rsid w:val="008601DC"/>
    <w:rsid w:val="0086032B"/>
    <w:rsid w:val="00860DAA"/>
    <w:rsid w:val="00862C87"/>
    <w:rsid w:val="00862DA8"/>
    <w:rsid w:val="00866A46"/>
    <w:rsid w:val="0086765B"/>
    <w:rsid w:val="008676DA"/>
    <w:rsid w:val="008748FA"/>
    <w:rsid w:val="00875023"/>
    <w:rsid w:val="00880218"/>
    <w:rsid w:val="0088119A"/>
    <w:rsid w:val="008828CD"/>
    <w:rsid w:val="00882D3D"/>
    <w:rsid w:val="00883458"/>
    <w:rsid w:val="008839F8"/>
    <w:rsid w:val="00890242"/>
    <w:rsid w:val="00890A71"/>
    <w:rsid w:val="00890BA6"/>
    <w:rsid w:val="00892080"/>
    <w:rsid w:val="00893237"/>
    <w:rsid w:val="00894927"/>
    <w:rsid w:val="00894D99"/>
    <w:rsid w:val="00896B1B"/>
    <w:rsid w:val="008A1268"/>
    <w:rsid w:val="008A1D3A"/>
    <w:rsid w:val="008A39CF"/>
    <w:rsid w:val="008A43AB"/>
    <w:rsid w:val="008A68B5"/>
    <w:rsid w:val="008B075B"/>
    <w:rsid w:val="008B266A"/>
    <w:rsid w:val="008B4494"/>
    <w:rsid w:val="008B4D60"/>
    <w:rsid w:val="008B735D"/>
    <w:rsid w:val="008B75A5"/>
    <w:rsid w:val="008C05B3"/>
    <w:rsid w:val="008C0B3C"/>
    <w:rsid w:val="008C3831"/>
    <w:rsid w:val="008C6F86"/>
    <w:rsid w:val="008D10A8"/>
    <w:rsid w:val="008D1B59"/>
    <w:rsid w:val="008D2CCA"/>
    <w:rsid w:val="008D34D4"/>
    <w:rsid w:val="008D3647"/>
    <w:rsid w:val="008D55A4"/>
    <w:rsid w:val="008D5601"/>
    <w:rsid w:val="008E0EC8"/>
    <w:rsid w:val="008E4A41"/>
    <w:rsid w:val="008E5BEE"/>
    <w:rsid w:val="008E5D8F"/>
    <w:rsid w:val="008E77D5"/>
    <w:rsid w:val="008E7F75"/>
    <w:rsid w:val="008F0AC8"/>
    <w:rsid w:val="008F0B5F"/>
    <w:rsid w:val="008F254B"/>
    <w:rsid w:val="008F7487"/>
    <w:rsid w:val="00903D93"/>
    <w:rsid w:val="00906529"/>
    <w:rsid w:val="00907272"/>
    <w:rsid w:val="00910806"/>
    <w:rsid w:val="00911634"/>
    <w:rsid w:val="00912969"/>
    <w:rsid w:val="00914C3C"/>
    <w:rsid w:val="00916E6B"/>
    <w:rsid w:val="00920CB0"/>
    <w:rsid w:val="00926894"/>
    <w:rsid w:val="0093171F"/>
    <w:rsid w:val="00935647"/>
    <w:rsid w:val="00935B1E"/>
    <w:rsid w:val="009445DF"/>
    <w:rsid w:val="0094528A"/>
    <w:rsid w:val="00947D3B"/>
    <w:rsid w:val="009504EF"/>
    <w:rsid w:val="009507C4"/>
    <w:rsid w:val="00952798"/>
    <w:rsid w:val="00953B2F"/>
    <w:rsid w:val="0095608C"/>
    <w:rsid w:val="009572EF"/>
    <w:rsid w:val="00960E72"/>
    <w:rsid w:val="009623D2"/>
    <w:rsid w:val="00962894"/>
    <w:rsid w:val="00962EC4"/>
    <w:rsid w:val="0096491A"/>
    <w:rsid w:val="00964D61"/>
    <w:rsid w:val="009650D6"/>
    <w:rsid w:val="009654CF"/>
    <w:rsid w:val="00966D29"/>
    <w:rsid w:val="00967661"/>
    <w:rsid w:val="009679A2"/>
    <w:rsid w:val="009724C4"/>
    <w:rsid w:val="00972723"/>
    <w:rsid w:val="009727DB"/>
    <w:rsid w:val="009730EE"/>
    <w:rsid w:val="00973C1C"/>
    <w:rsid w:val="00974B5B"/>
    <w:rsid w:val="00974C70"/>
    <w:rsid w:val="00974D8D"/>
    <w:rsid w:val="00977E64"/>
    <w:rsid w:val="00980D55"/>
    <w:rsid w:val="00982BB7"/>
    <w:rsid w:val="00983BE4"/>
    <w:rsid w:val="00985324"/>
    <w:rsid w:val="0098604A"/>
    <w:rsid w:val="00987AF0"/>
    <w:rsid w:val="00990F00"/>
    <w:rsid w:val="00995896"/>
    <w:rsid w:val="00995D89"/>
    <w:rsid w:val="00997A3C"/>
    <w:rsid w:val="009A0943"/>
    <w:rsid w:val="009A11E6"/>
    <w:rsid w:val="009A1FDF"/>
    <w:rsid w:val="009A210F"/>
    <w:rsid w:val="009A3878"/>
    <w:rsid w:val="009A51AF"/>
    <w:rsid w:val="009B0992"/>
    <w:rsid w:val="009B121E"/>
    <w:rsid w:val="009B1BD3"/>
    <w:rsid w:val="009B1C63"/>
    <w:rsid w:val="009B2C60"/>
    <w:rsid w:val="009B4412"/>
    <w:rsid w:val="009B469D"/>
    <w:rsid w:val="009B46B6"/>
    <w:rsid w:val="009B46C9"/>
    <w:rsid w:val="009B51F4"/>
    <w:rsid w:val="009B65C4"/>
    <w:rsid w:val="009B76DC"/>
    <w:rsid w:val="009C2A19"/>
    <w:rsid w:val="009D2B1B"/>
    <w:rsid w:val="009D2B79"/>
    <w:rsid w:val="009D4964"/>
    <w:rsid w:val="009D5FCF"/>
    <w:rsid w:val="009D6334"/>
    <w:rsid w:val="009D7703"/>
    <w:rsid w:val="009E2124"/>
    <w:rsid w:val="009E255E"/>
    <w:rsid w:val="009E37FF"/>
    <w:rsid w:val="009E4CD3"/>
    <w:rsid w:val="009E4D7D"/>
    <w:rsid w:val="009E4F94"/>
    <w:rsid w:val="009F0466"/>
    <w:rsid w:val="009F162C"/>
    <w:rsid w:val="009F3D85"/>
    <w:rsid w:val="009F4297"/>
    <w:rsid w:val="009F49F3"/>
    <w:rsid w:val="009F4D26"/>
    <w:rsid w:val="00A00741"/>
    <w:rsid w:val="00A0256A"/>
    <w:rsid w:val="00A043CE"/>
    <w:rsid w:val="00A062DE"/>
    <w:rsid w:val="00A06CC2"/>
    <w:rsid w:val="00A11B38"/>
    <w:rsid w:val="00A12F5A"/>
    <w:rsid w:val="00A12F63"/>
    <w:rsid w:val="00A13D50"/>
    <w:rsid w:val="00A171C6"/>
    <w:rsid w:val="00A20FAB"/>
    <w:rsid w:val="00A238A0"/>
    <w:rsid w:val="00A242BC"/>
    <w:rsid w:val="00A24B88"/>
    <w:rsid w:val="00A24D3F"/>
    <w:rsid w:val="00A3122B"/>
    <w:rsid w:val="00A35AEE"/>
    <w:rsid w:val="00A365A0"/>
    <w:rsid w:val="00A406BE"/>
    <w:rsid w:val="00A407A2"/>
    <w:rsid w:val="00A41C73"/>
    <w:rsid w:val="00A42D82"/>
    <w:rsid w:val="00A43E8D"/>
    <w:rsid w:val="00A45545"/>
    <w:rsid w:val="00A4764B"/>
    <w:rsid w:val="00A5079D"/>
    <w:rsid w:val="00A508D3"/>
    <w:rsid w:val="00A512B2"/>
    <w:rsid w:val="00A51AE9"/>
    <w:rsid w:val="00A52077"/>
    <w:rsid w:val="00A56321"/>
    <w:rsid w:val="00A625A9"/>
    <w:rsid w:val="00A649BD"/>
    <w:rsid w:val="00A64C5F"/>
    <w:rsid w:val="00A669AB"/>
    <w:rsid w:val="00A679BF"/>
    <w:rsid w:val="00A70215"/>
    <w:rsid w:val="00A77C2D"/>
    <w:rsid w:val="00A81AD2"/>
    <w:rsid w:val="00A82646"/>
    <w:rsid w:val="00A8286A"/>
    <w:rsid w:val="00A837FB"/>
    <w:rsid w:val="00A8395E"/>
    <w:rsid w:val="00A85421"/>
    <w:rsid w:val="00A85B64"/>
    <w:rsid w:val="00A8609A"/>
    <w:rsid w:val="00A90004"/>
    <w:rsid w:val="00A92572"/>
    <w:rsid w:val="00A9780A"/>
    <w:rsid w:val="00A978E3"/>
    <w:rsid w:val="00AA03F1"/>
    <w:rsid w:val="00AA490A"/>
    <w:rsid w:val="00AA4FD6"/>
    <w:rsid w:val="00AA75F1"/>
    <w:rsid w:val="00AB251D"/>
    <w:rsid w:val="00AB321B"/>
    <w:rsid w:val="00AC0CF7"/>
    <w:rsid w:val="00AC2111"/>
    <w:rsid w:val="00AC35C8"/>
    <w:rsid w:val="00AC3BC7"/>
    <w:rsid w:val="00AC53A4"/>
    <w:rsid w:val="00AC69B9"/>
    <w:rsid w:val="00AC7155"/>
    <w:rsid w:val="00AD1008"/>
    <w:rsid w:val="00AD1842"/>
    <w:rsid w:val="00AD2808"/>
    <w:rsid w:val="00AD4CAF"/>
    <w:rsid w:val="00AD7872"/>
    <w:rsid w:val="00AD7E92"/>
    <w:rsid w:val="00AE2487"/>
    <w:rsid w:val="00AE36A6"/>
    <w:rsid w:val="00AE3E96"/>
    <w:rsid w:val="00AE4B4B"/>
    <w:rsid w:val="00AE542F"/>
    <w:rsid w:val="00AE6BE2"/>
    <w:rsid w:val="00AF33B2"/>
    <w:rsid w:val="00B01F7D"/>
    <w:rsid w:val="00B0237D"/>
    <w:rsid w:val="00B04429"/>
    <w:rsid w:val="00B05518"/>
    <w:rsid w:val="00B063BE"/>
    <w:rsid w:val="00B11C01"/>
    <w:rsid w:val="00B137FD"/>
    <w:rsid w:val="00B13B6D"/>
    <w:rsid w:val="00B143EF"/>
    <w:rsid w:val="00B148C6"/>
    <w:rsid w:val="00B15FB7"/>
    <w:rsid w:val="00B1627F"/>
    <w:rsid w:val="00B203F5"/>
    <w:rsid w:val="00B218AA"/>
    <w:rsid w:val="00B22796"/>
    <w:rsid w:val="00B22FF8"/>
    <w:rsid w:val="00B2605A"/>
    <w:rsid w:val="00B27EFC"/>
    <w:rsid w:val="00B3250A"/>
    <w:rsid w:val="00B3570A"/>
    <w:rsid w:val="00B407DC"/>
    <w:rsid w:val="00B40B5D"/>
    <w:rsid w:val="00B41EB8"/>
    <w:rsid w:val="00B502FC"/>
    <w:rsid w:val="00B5073B"/>
    <w:rsid w:val="00B51DE5"/>
    <w:rsid w:val="00B51F07"/>
    <w:rsid w:val="00B5426C"/>
    <w:rsid w:val="00B54791"/>
    <w:rsid w:val="00B55920"/>
    <w:rsid w:val="00B56A61"/>
    <w:rsid w:val="00B575EB"/>
    <w:rsid w:val="00B6383A"/>
    <w:rsid w:val="00B640BE"/>
    <w:rsid w:val="00B64169"/>
    <w:rsid w:val="00B65529"/>
    <w:rsid w:val="00B65CBE"/>
    <w:rsid w:val="00B66155"/>
    <w:rsid w:val="00B669AB"/>
    <w:rsid w:val="00B67A41"/>
    <w:rsid w:val="00B70684"/>
    <w:rsid w:val="00B70C17"/>
    <w:rsid w:val="00B752E0"/>
    <w:rsid w:val="00B7604B"/>
    <w:rsid w:val="00B772EA"/>
    <w:rsid w:val="00B777B1"/>
    <w:rsid w:val="00B81FB2"/>
    <w:rsid w:val="00B83AED"/>
    <w:rsid w:val="00B85085"/>
    <w:rsid w:val="00B85DCB"/>
    <w:rsid w:val="00B86A1B"/>
    <w:rsid w:val="00B87D2A"/>
    <w:rsid w:val="00B90D85"/>
    <w:rsid w:val="00B93137"/>
    <w:rsid w:val="00B9540A"/>
    <w:rsid w:val="00B96492"/>
    <w:rsid w:val="00B97900"/>
    <w:rsid w:val="00BA2369"/>
    <w:rsid w:val="00BA36A3"/>
    <w:rsid w:val="00BA41A3"/>
    <w:rsid w:val="00BB0787"/>
    <w:rsid w:val="00BB07BC"/>
    <w:rsid w:val="00BB220D"/>
    <w:rsid w:val="00BB51FC"/>
    <w:rsid w:val="00BB6628"/>
    <w:rsid w:val="00BB6FE5"/>
    <w:rsid w:val="00BC16B9"/>
    <w:rsid w:val="00BC17E9"/>
    <w:rsid w:val="00BC594F"/>
    <w:rsid w:val="00BD06AF"/>
    <w:rsid w:val="00BD0ACA"/>
    <w:rsid w:val="00BD3495"/>
    <w:rsid w:val="00BD609D"/>
    <w:rsid w:val="00BD6F40"/>
    <w:rsid w:val="00BE0A92"/>
    <w:rsid w:val="00BE13BD"/>
    <w:rsid w:val="00BE21E3"/>
    <w:rsid w:val="00BE42E7"/>
    <w:rsid w:val="00BE4859"/>
    <w:rsid w:val="00BE6671"/>
    <w:rsid w:val="00BF0620"/>
    <w:rsid w:val="00BF2D74"/>
    <w:rsid w:val="00BF4CF4"/>
    <w:rsid w:val="00C000E7"/>
    <w:rsid w:val="00C01433"/>
    <w:rsid w:val="00C0193D"/>
    <w:rsid w:val="00C04A12"/>
    <w:rsid w:val="00C052D8"/>
    <w:rsid w:val="00C05F31"/>
    <w:rsid w:val="00C10818"/>
    <w:rsid w:val="00C1109A"/>
    <w:rsid w:val="00C11855"/>
    <w:rsid w:val="00C13756"/>
    <w:rsid w:val="00C13C35"/>
    <w:rsid w:val="00C17C9B"/>
    <w:rsid w:val="00C20C04"/>
    <w:rsid w:val="00C22153"/>
    <w:rsid w:val="00C22FCD"/>
    <w:rsid w:val="00C240D1"/>
    <w:rsid w:val="00C26C32"/>
    <w:rsid w:val="00C301F6"/>
    <w:rsid w:val="00C3067C"/>
    <w:rsid w:val="00C40F0B"/>
    <w:rsid w:val="00C4182C"/>
    <w:rsid w:val="00C51C0D"/>
    <w:rsid w:val="00C545A5"/>
    <w:rsid w:val="00C5506E"/>
    <w:rsid w:val="00C56307"/>
    <w:rsid w:val="00C57A28"/>
    <w:rsid w:val="00C6046B"/>
    <w:rsid w:val="00C6060B"/>
    <w:rsid w:val="00C62656"/>
    <w:rsid w:val="00C63357"/>
    <w:rsid w:val="00C63E44"/>
    <w:rsid w:val="00C659E5"/>
    <w:rsid w:val="00C65A25"/>
    <w:rsid w:val="00C70983"/>
    <w:rsid w:val="00C72947"/>
    <w:rsid w:val="00C737EA"/>
    <w:rsid w:val="00C74D10"/>
    <w:rsid w:val="00C751C2"/>
    <w:rsid w:val="00C771A4"/>
    <w:rsid w:val="00C82269"/>
    <w:rsid w:val="00C830FA"/>
    <w:rsid w:val="00C845ED"/>
    <w:rsid w:val="00C8492B"/>
    <w:rsid w:val="00C86818"/>
    <w:rsid w:val="00C86957"/>
    <w:rsid w:val="00C93F7B"/>
    <w:rsid w:val="00C957F5"/>
    <w:rsid w:val="00C96DB7"/>
    <w:rsid w:val="00CA16F7"/>
    <w:rsid w:val="00CA30AB"/>
    <w:rsid w:val="00CA3718"/>
    <w:rsid w:val="00CA42B1"/>
    <w:rsid w:val="00CA4DED"/>
    <w:rsid w:val="00CA4F86"/>
    <w:rsid w:val="00CA53E0"/>
    <w:rsid w:val="00CB01FE"/>
    <w:rsid w:val="00CB0F3D"/>
    <w:rsid w:val="00CB2A35"/>
    <w:rsid w:val="00CB3119"/>
    <w:rsid w:val="00CB34AB"/>
    <w:rsid w:val="00CB4544"/>
    <w:rsid w:val="00CB56D3"/>
    <w:rsid w:val="00CB5E52"/>
    <w:rsid w:val="00CB7D3B"/>
    <w:rsid w:val="00CC29AC"/>
    <w:rsid w:val="00CC2D1F"/>
    <w:rsid w:val="00CC4496"/>
    <w:rsid w:val="00CC4544"/>
    <w:rsid w:val="00CC66DC"/>
    <w:rsid w:val="00CC7F69"/>
    <w:rsid w:val="00CD2E6D"/>
    <w:rsid w:val="00CD3034"/>
    <w:rsid w:val="00CD334A"/>
    <w:rsid w:val="00CD5227"/>
    <w:rsid w:val="00CD7D69"/>
    <w:rsid w:val="00CE0866"/>
    <w:rsid w:val="00CE24EF"/>
    <w:rsid w:val="00CE3489"/>
    <w:rsid w:val="00CE67E7"/>
    <w:rsid w:val="00CF4EA5"/>
    <w:rsid w:val="00CF5B96"/>
    <w:rsid w:val="00CF63C8"/>
    <w:rsid w:val="00CF673A"/>
    <w:rsid w:val="00CF6BFF"/>
    <w:rsid w:val="00D00E2F"/>
    <w:rsid w:val="00D021F9"/>
    <w:rsid w:val="00D0438C"/>
    <w:rsid w:val="00D06A50"/>
    <w:rsid w:val="00D06C30"/>
    <w:rsid w:val="00D10F4A"/>
    <w:rsid w:val="00D1411F"/>
    <w:rsid w:val="00D155DB"/>
    <w:rsid w:val="00D1615C"/>
    <w:rsid w:val="00D16ABE"/>
    <w:rsid w:val="00D17668"/>
    <w:rsid w:val="00D1771A"/>
    <w:rsid w:val="00D203A0"/>
    <w:rsid w:val="00D2368D"/>
    <w:rsid w:val="00D23B58"/>
    <w:rsid w:val="00D23C3D"/>
    <w:rsid w:val="00D23CCF"/>
    <w:rsid w:val="00D246F6"/>
    <w:rsid w:val="00D25E69"/>
    <w:rsid w:val="00D265E4"/>
    <w:rsid w:val="00D27901"/>
    <w:rsid w:val="00D31628"/>
    <w:rsid w:val="00D32499"/>
    <w:rsid w:val="00D34195"/>
    <w:rsid w:val="00D35A6A"/>
    <w:rsid w:val="00D35F7C"/>
    <w:rsid w:val="00D371BC"/>
    <w:rsid w:val="00D3773F"/>
    <w:rsid w:val="00D37F23"/>
    <w:rsid w:val="00D4067A"/>
    <w:rsid w:val="00D407E0"/>
    <w:rsid w:val="00D409D1"/>
    <w:rsid w:val="00D435BB"/>
    <w:rsid w:val="00D47D8C"/>
    <w:rsid w:val="00D50307"/>
    <w:rsid w:val="00D510E9"/>
    <w:rsid w:val="00D522CA"/>
    <w:rsid w:val="00D5387F"/>
    <w:rsid w:val="00D548E6"/>
    <w:rsid w:val="00D57409"/>
    <w:rsid w:val="00D57A96"/>
    <w:rsid w:val="00D61ACF"/>
    <w:rsid w:val="00D61F2B"/>
    <w:rsid w:val="00D6435F"/>
    <w:rsid w:val="00D64714"/>
    <w:rsid w:val="00D64F7A"/>
    <w:rsid w:val="00D654B9"/>
    <w:rsid w:val="00D663A3"/>
    <w:rsid w:val="00D71387"/>
    <w:rsid w:val="00D7289F"/>
    <w:rsid w:val="00D7302D"/>
    <w:rsid w:val="00D74486"/>
    <w:rsid w:val="00D74696"/>
    <w:rsid w:val="00D80AB3"/>
    <w:rsid w:val="00D81087"/>
    <w:rsid w:val="00D81F75"/>
    <w:rsid w:val="00D81F93"/>
    <w:rsid w:val="00D820D5"/>
    <w:rsid w:val="00D859F1"/>
    <w:rsid w:val="00D86F81"/>
    <w:rsid w:val="00D90159"/>
    <w:rsid w:val="00D9153A"/>
    <w:rsid w:val="00D94FCC"/>
    <w:rsid w:val="00D95206"/>
    <w:rsid w:val="00D962C7"/>
    <w:rsid w:val="00D969F6"/>
    <w:rsid w:val="00D96DE7"/>
    <w:rsid w:val="00DA035A"/>
    <w:rsid w:val="00DA0DC9"/>
    <w:rsid w:val="00DB18FB"/>
    <w:rsid w:val="00DB5EF4"/>
    <w:rsid w:val="00DB75F9"/>
    <w:rsid w:val="00DC28DF"/>
    <w:rsid w:val="00DC4EC6"/>
    <w:rsid w:val="00DC5C77"/>
    <w:rsid w:val="00DD0C18"/>
    <w:rsid w:val="00DD1462"/>
    <w:rsid w:val="00DD46FE"/>
    <w:rsid w:val="00DD5245"/>
    <w:rsid w:val="00DD570E"/>
    <w:rsid w:val="00DE3863"/>
    <w:rsid w:val="00DE5910"/>
    <w:rsid w:val="00DF2E11"/>
    <w:rsid w:val="00DF4CEF"/>
    <w:rsid w:val="00DF57C8"/>
    <w:rsid w:val="00DF7DB7"/>
    <w:rsid w:val="00E00DC4"/>
    <w:rsid w:val="00E021F9"/>
    <w:rsid w:val="00E026D5"/>
    <w:rsid w:val="00E0500B"/>
    <w:rsid w:val="00E05663"/>
    <w:rsid w:val="00E05721"/>
    <w:rsid w:val="00E0649A"/>
    <w:rsid w:val="00E071E0"/>
    <w:rsid w:val="00E073DA"/>
    <w:rsid w:val="00E11F27"/>
    <w:rsid w:val="00E13203"/>
    <w:rsid w:val="00E14B64"/>
    <w:rsid w:val="00E20F71"/>
    <w:rsid w:val="00E21B77"/>
    <w:rsid w:val="00E21CD6"/>
    <w:rsid w:val="00E232FB"/>
    <w:rsid w:val="00E240E4"/>
    <w:rsid w:val="00E245A7"/>
    <w:rsid w:val="00E30987"/>
    <w:rsid w:val="00E30A75"/>
    <w:rsid w:val="00E321AD"/>
    <w:rsid w:val="00E34064"/>
    <w:rsid w:val="00E34E6D"/>
    <w:rsid w:val="00E35FF3"/>
    <w:rsid w:val="00E37B9A"/>
    <w:rsid w:val="00E42AEC"/>
    <w:rsid w:val="00E43426"/>
    <w:rsid w:val="00E44BDC"/>
    <w:rsid w:val="00E4509D"/>
    <w:rsid w:val="00E46620"/>
    <w:rsid w:val="00E475A6"/>
    <w:rsid w:val="00E5709C"/>
    <w:rsid w:val="00E575F8"/>
    <w:rsid w:val="00E57C15"/>
    <w:rsid w:val="00E57D52"/>
    <w:rsid w:val="00E62300"/>
    <w:rsid w:val="00E624EE"/>
    <w:rsid w:val="00E626E4"/>
    <w:rsid w:val="00E63347"/>
    <w:rsid w:val="00E63372"/>
    <w:rsid w:val="00E635FA"/>
    <w:rsid w:val="00E6402A"/>
    <w:rsid w:val="00E669AA"/>
    <w:rsid w:val="00E7093D"/>
    <w:rsid w:val="00E70CCB"/>
    <w:rsid w:val="00E812DA"/>
    <w:rsid w:val="00E81C00"/>
    <w:rsid w:val="00E81C4B"/>
    <w:rsid w:val="00E82A76"/>
    <w:rsid w:val="00E832D4"/>
    <w:rsid w:val="00E850C4"/>
    <w:rsid w:val="00E85FF4"/>
    <w:rsid w:val="00E86141"/>
    <w:rsid w:val="00E861FF"/>
    <w:rsid w:val="00E878F4"/>
    <w:rsid w:val="00E8799F"/>
    <w:rsid w:val="00E967B4"/>
    <w:rsid w:val="00E97456"/>
    <w:rsid w:val="00EA0142"/>
    <w:rsid w:val="00EA4648"/>
    <w:rsid w:val="00EA5F1F"/>
    <w:rsid w:val="00EA5FDD"/>
    <w:rsid w:val="00EA7856"/>
    <w:rsid w:val="00EA7B16"/>
    <w:rsid w:val="00EB01EC"/>
    <w:rsid w:val="00EB1742"/>
    <w:rsid w:val="00EB1888"/>
    <w:rsid w:val="00EB39A0"/>
    <w:rsid w:val="00EB3BAA"/>
    <w:rsid w:val="00EB475E"/>
    <w:rsid w:val="00EB58D5"/>
    <w:rsid w:val="00EB6867"/>
    <w:rsid w:val="00EB7733"/>
    <w:rsid w:val="00EC0134"/>
    <w:rsid w:val="00EC1929"/>
    <w:rsid w:val="00ED0E68"/>
    <w:rsid w:val="00ED168C"/>
    <w:rsid w:val="00ED22BB"/>
    <w:rsid w:val="00ED4548"/>
    <w:rsid w:val="00ED61FA"/>
    <w:rsid w:val="00ED62EA"/>
    <w:rsid w:val="00ED635A"/>
    <w:rsid w:val="00ED6DEA"/>
    <w:rsid w:val="00EE265A"/>
    <w:rsid w:val="00EF010B"/>
    <w:rsid w:val="00EF03E9"/>
    <w:rsid w:val="00EF0609"/>
    <w:rsid w:val="00EF4687"/>
    <w:rsid w:val="00EF4D98"/>
    <w:rsid w:val="00EF737D"/>
    <w:rsid w:val="00F004B2"/>
    <w:rsid w:val="00F009E4"/>
    <w:rsid w:val="00F02F44"/>
    <w:rsid w:val="00F044AF"/>
    <w:rsid w:val="00F049DE"/>
    <w:rsid w:val="00F06AD3"/>
    <w:rsid w:val="00F1034B"/>
    <w:rsid w:val="00F10E82"/>
    <w:rsid w:val="00F11F20"/>
    <w:rsid w:val="00F11FAC"/>
    <w:rsid w:val="00F15338"/>
    <w:rsid w:val="00F15480"/>
    <w:rsid w:val="00F176CF"/>
    <w:rsid w:val="00F17F58"/>
    <w:rsid w:val="00F20414"/>
    <w:rsid w:val="00F22A1D"/>
    <w:rsid w:val="00F23AF4"/>
    <w:rsid w:val="00F23D6A"/>
    <w:rsid w:val="00F244D6"/>
    <w:rsid w:val="00F248B4"/>
    <w:rsid w:val="00F258E2"/>
    <w:rsid w:val="00F32190"/>
    <w:rsid w:val="00F32401"/>
    <w:rsid w:val="00F32FFC"/>
    <w:rsid w:val="00F33313"/>
    <w:rsid w:val="00F3429E"/>
    <w:rsid w:val="00F35AB7"/>
    <w:rsid w:val="00F3603E"/>
    <w:rsid w:val="00F372CE"/>
    <w:rsid w:val="00F401E4"/>
    <w:rsid w:val="00F40A2C"/>
    <w:rsid w:val="00F41EDB"/>
    <w:rsid w:val="00F43257"/>
    <w:rsid w:val="00F45E02"/>
    <w:rsid w:val="00F47B05"/>
    <w:rsid w:val="00F47B6E"/>
    <w:rsid w:val="00F50C6F"/>
    <w:rsid w:val="00F5125A"/>
    <w:rsid w:val="00F51B92"/>
    <w:rsid w:val="00F51BA8"/>
    <w:rsid w:val="00F57CB6"/>
    <w:rsid w:val="00F6115C"/>
    <w:rsid w:val="00F61886"/>
    <w:rsid w:val="00F63281"/>
    <w:rsid w:val="00F63841"/>
    <w:rsid w:val="00F642F0"/>
    <w:rsid w:val="00F65CDA"/>
    <w:rsid w:val="00F66619"/>
    <w:rsid w:val="00F70DCF"/>
    <w:rsid w:val="00F71209"/>
    <w:rsid w:val="00F72F31"/>
    <w:rsid w:val="00F73545"/>
    <w:rsid w:val="00F74D40"/>
    <w:rsid w:val="00F75F14"/>
    <w:rsid w:val="00F7660F"/>
    <w:rsid w:val="00F76729"/>
    <w:rsid w:val="00F769E6"/>
    <w:rsid w:val="00F77E3C"/>
    <w:rsid w:val="00F80289"/>
    <w:rsid w:val="00F82E92"/>
    <w:rsid w:val="00F83951"/>
    <w:rsid w:val="00F8455A"/>
    <w:rsid w:val="00F86218"/>
    <w:rsid w:val="00F93FCA"/>
    <w:rsid w:val="00F94443"/>
    <w:rsid w:val="00FA2EEC"/>
    <w:rsid w:val="00FA7080"/>
    <w:rsid w:val="00FB05E4"/>
    <w:rsid w:val="00FB13F6"/>
    <w:rsid w:val="00FB1E72"/>
    <w:rsid w:val="00FB2B3D"/>
    <w:rsid w:val="00FB3D7A"/>
    <w:rsid w:val="00FB4541"/>
    <w:rsid w:val="00FB4CAE"/>
    <w:rsid w:val="00FB4FEC"/>
    <w:rsid w:val="00FC022F"/>
    <w:rsid w:val="00FC074A"/>
    <w:rsid w:val="00FC07FF"/>
    <w:rsid w:val="00FC1068"/>
    <w:rsid w:val="00FC2753"/>
    <w:rsid w:val="00FC293E"/>
    <w:rsid w:val="00FC34DF"/>
    <w:rsid w:val="00FC6AE4"/>
    <w:rsid w:val="00FC70BA"/>
    <w:rsid w:val="00FD1C47"/>
    <w:rsid w:val="00FD3FD5"/>
    <w:rsid w:val="00FD43D7"/>
    <w:rsid w:val="00FD48E7"/>
    <w:rsid w:val="00FD6552"/>
    <w:rsid w:val="00FD7F84"/>
    <w:rsid w:val="00FE073C"/>
    <w:rsid w:val="00FE1DD2"/>
    <w:rsid w:val="00FE38B7"/>
    <w:rsid w:val="00FF03DC"/>
    <w:rsid w:val="00FF08F7"/>
    <w:rsid w:val="00FF4C49"/>
    <w:rsid w:val="00FF54E6"/>
    <w:rsid w:val="00FF5647"/>
    <w:rsid w:val="00FF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988995B"/>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9C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A39CF"/>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aliases w:val="Título Tema"/>
    <w:basedOn w:val="Normal"/>
    <w:next w:val="Normal"/>
    <w:link w:val="Ttulo2Car"/>
    <w:uiPriority w:val="9"/>
    <w:unhideWhenUsed/>
    <w:qFormat/>
    <w:rsid w:val="008A39CF"/>
    <w:pPr>
      <w:keepNext/>
      <w:keepLines/>
      <w:autoSpaceDE w:val="0"/>
      <w:autoSpaceDN w:val="0"/>
      <w:adjustRightInd w:val="0"/>
      <w:spacing w:after="120"/>
      <w:jc w:val="both"/>
      <w:outlineLvl w:val="1"/>
    </w:pPr>
    <w:rPr>
      <w:rFonts w:ascii="ITC Avant Garde" w:hAnsi="ITC Avant Garde"/>
      <w:b/>
    </w:rPr>
  </w:style>
  <w:style w:type="paragraph" w:styleId="Ttulo3">
    <w:name w:val="heading 3"/>
    <w:basedOn w:val="Normal"/>
    <w:next w:val="Normal"/>
    <w:link w:val="Ttulo3Car"/>
    <w:uiPriority w:val="9"/>
    <w:unhideWhenUsed/>
    <w:qFormat/>
    <w:rsid w:val="008A39CF"/>
    <w:pPr>
      <w:numPr>
        <w:numId w:val="2"/>
      </w:numPr>
      <w:spacing w:after="0"/>
      <w:contextualSpacing/>
      <w:jc w:val="both"/>
      <w:outlineLvl w:val="2"/>
    </w:pPr>
    <w:rPr>
      <w:rFonts w:ascii="ITC Avant Garde" w:hAnsi="ITC Avant Garde"/>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paragraph" w:styleId="Ttulo5">
    <w:name w:val="heading 5"/>
    <w:basedOn w:val="Normal"/>
    <w:next w:val="Normal"/>
    <w:link w:val="Ttulo5Car"/>
    <w:uiPriority w:val="9"/>
    <w:unhideWhenUsed/>
    <w:qFormat/>
    <w:rsid w:val="003545C8"/>
    <w:pPr>
      <w:keepNext/>
      <w:keepLines/>
      <w:spacing w:before="40" w:after="0"/>
      <w:jc w:val="both"/>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39CF"/>
    <w:rPr>
      <w:rFonts w:ascii="Times New Roman" w:eastAsia="Times New Roman" w:hAnsi="Times New Roman" w:cs="Times New Roman"/>
      <w:b/>
      <w:bCs/>
      <w:sz w:val="20"/>
      <w:szCs w:val="24"/>
      <w:lang w:eastAsia="es-ES"/>
    </w:rPr>
  </w:style>
  <w:style w:type="character" w:customStyle="1" w:styleId="Ttulo2Car">
    <w:name w:val="Título 2 Car"/>
    <w:aliases w:val="Título Tema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eastAsia="Calibri" w:hAnsi="ITC Avant Garde" w:cs="Times New Roman"/>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8A39CF"/>
    <w:rPr>
      <w:vertAlign w:val="superscript"/>
    </w:rPr>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4 Viñ 1nivel"/>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after="0" w:line="240" w:lineRule="auto"/>
      <w:jc w:val="both"/>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after="0" w:line="240" w:lineRule="auto"/>
      <w:ind w:left="708"/>
    </w:pPr>
    <w:rPr>
      <w:rFonts w:ascii="Arial" w:hAnsi="Arial"/>
    </w:r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qFormat/>
    <w:rsid w:val="008A39CF"/>
  </w:style>
  <w:style w:type="paragraph" w:customStyle="1" w:styleId="texto0">
    <w:name w:val="texto"/>
    <w:basedOn w:val="Normal"/>
    <w:rsid w:val="004F555A"/>
    <w:pPr>
      <w:spacing w:after="101" w:line="240" w:lineRule="auto"/>
      <w:ind w:firstLine="288"/>
      <w:jc w:val="both"/>
    </w:pPr>
    <w:rPr>
      <w:rFonts w:ascii="Times New Roman" w:eastAsia="Times New Roman" w:hAnsi="Times New Roman"/>
      <w:color w:val="2F2F2F"/>
      <w:sz w:val="18"/>
      <w:szCs w:val="18"/>
      <w:lang w:eastAsia="es-MX"/>
    </w:rPr>
  </w:style>
  <w:style w:type="paragraph" w:customStyle="1" w:styleId="Notaalpie">
    <w:name w:val="Nota al pie"/>
    <w:basedOn w:val="Textonotapie"/>
    <w:link w:val="NotaalpieCar"/>
    <w:autoRedefine/>
    <w:qFormat/>
    <w:rsid w:val="00B96492"/>
    <w:pPr>
      <w:jc w:val="both"/>
    </w:pPr>
    <w:rPr>
      <w:rFonts w:ascii="Arial" w:hAnsi="Arial" w:cs="Arial"/>
      <w:sz w:val="14"/>
      <w:szCs w:val="14"/>
    </w:rPr>
  </w:style>
  <w:style w:type="character" w:customStyle="1" w:styleId="NotaalpieCar">
    <w:name w:val="Nota al pie Car"/>
    <w:basedOn w:val="TextonotapieCar"/>
    <w:link w:val="Notaalpie"/>
    <w:rsid w:val="00B96492"/>
    <w:rPr>
      <w:rFonts w:ascii="Arial" w:eastAsia="Calibri" w:hAnsi="Arial" w:cs="Arial"/>
      <w:sz w:val="14"/>
      <w:szCs w:val="14"/>
    </w:rPr>
  </w:style>
  <w:style w:type="character" w:customStyle="1" w:styleId="Ttulo5Car">
    <w:name w:val="Título 5 Car"/>
    <w:basedOn w:val="Fuentedeprrafopredeter"/>
    <w:link w:val="Ttulo5"/>
    <w:uiPriority w:val="9"/>
    <w:rsid w:val="003545C8"/>
    <w:rPr>
      <w:rFonts w:asciiTheme="majorHAnsi" w:eastAsiaTheme="majorEastAsia" w:hAnsiTheme="majorHAnsi" w:cstheme="majorBidi"/>
      <w:color w:val="2E74B5" w:themeColor="accent1" w:themeShade="BF"/>
    </w:rPr>
  </w:style>
  <w:style w:type="paragraph" w:styleId="Cita">
    <w:name w:val="Quote"/>
    <w:aliases w:val="Cita_DGCE,Nota_Pie_DGCE"/>
    <w:basedOn w:val="Normal"/>
    <w:next w:val="Normal"/>
    <w:link w:val="CitaCar"/>
    <w:autoRedefine/>
    <w:uiPriority w:val="29"/>
    <w:qFormat/>
    <w:rsid w:val="003545C8"/>
    <w:pPr>
      <w:spacing w:after="0"/>
      <w:ind w:left="567"/>
      <w:jc w:val="both"/>
    </w:pPr>
    <w:rPr>
      <w:rFonts w:ascii="Arial" w:eastAsiaTheme="minorHAnsi" w:hAnsi="Arial" w:cs="Arial"/>
      <w:i/>
      <w:iCs/>
      <w:sz w:val="20"/>
    </w:rPr>
  </w:style>
  <w:style w:type="character" w:customStyle="1" w:styleId="CitaCar">
    <w:name w:val="Cita Car"/>
    <w:aliases w:val="Cita_DGCE Car,Nota_Pie_DGCE Car"/>
    <w:basedOn w:val="Fuentedeprrafopredeter"/>
    <w:link w:val="Cita"/>
    <w:uiPriority w:val="29"/>
    <w:rsid w:val="003545C8"/>
    <w:rPr>
      <w:rFonts w:ascii="Arial" w:hAnsi="Arial" w:cs="Arial"/>
      <w:i/>
      <w:iCs/>
      <w:sz w:val="20"/>
    </w:rPr>
  </w:style>
  <w:style w:type="paragraph" w:customStyle="1" w:styleId="Subtema">
    <w:name w:val="Subtema"/>
    <w:basedOn w:val="Ttulo2"/>
    <w:link w:val="SubtemaCar"/>
    <w:qFormat/>
    <w:rsid w:val="003545C8"/>
    <w:pPr>
      <w:numPr>
        <w:numId w:val="4"/>
      </w:numPr>
      <w:autoSpaceDE/>
      <w:autoSpaceDN/>
      <w:adjustRightInd/>
      <w:spacing w:before="360" w:after="0"/>
    </w:pPr>
    <w:rPr>
      <w:rFonts w:eastAsiaTheme="majorEastAsia" w:cstheme="majorBidi"/>
      <w:szCs w:val="26"/>
    </w:rPr>
  </w:style>
  <w:style w:type="character" w:customStyle="1" w:styleId="SubtemaCar">
    <w:name w:val="Subtema Car"/>
    <w:basedOn w:val="Ttulo2Car"/>
    <w:link w:val="Subtema"/>
    <w:rsid w:val="003545C8"/>
    <w:rPr>
      <w:rFonts w:ascii="ITC Avant Garde" w:eastAsiaTheme="majorEastAsia" w:hAnsi="ITC Avant Garde" w:cstheme="majorBidi"/>
      <w:b/>
      <w:szCs w:val="26"/>
    </w:rPr>
  </w:style>
  <w:style w:type="paragraph" w:customStyle="1" w:styleId="subsubtema">
    <w:name w:val="sub subtema"/>
    <w:basedOn w:val="Ttulo3"/>
    <w:link w:val="subsubtemaCar"/>
    <w:rsid w:val="003545C8"/>
    <w:pPr>
      <w:keepNext/>
      <w:keepLines/>
      <w:numPr>
        <w:numId w:val="0"/>
      </w:numPr>
      <w:spacing w:before="240" w:after="120"/>
      <w:ind w:left="1701" w:hanging="360"/>
      <w:contextualSpacing w:val="0"/>
    </w:pPr>
    <w:rPr>
      <w:rFonts w:eastAsiaTheme="majorEastAsia" w:cstheme="majorBidi"/>
      <w:i w:val="0"/>
      <w:szCs w:val="24"/>
    </w:rPr>
  </w:style>
  <w:style w:type="character" w:customStyle="1" w:styleId="subsubtemaCar">
    <w:name w:val="sub subtema Car"/>
    <w:basedOn w:val="Ttulo3Car"/>
    <w:link w:val="subsubtema"/>
    <w:rsid w:val="003545C8"/>
    <w:rPr>
      <w:rFonts w:ascii="ITC Avant Garde" w:eastAsiaTheme="majorEastAsia" w:hAnsi="ITC Avant Garde" w:cstheme="majorBidi"/>
      <w:b/>
      <w:i w:val="0"/>
      <w:szCs w:val="24"/>
    </w:rPr>
  </w:style>
  <w:style w:type="paragraph" w:styleId="TDC1">
    <w:name w:val="toc 1"/>
    <w:basedOn w:val="Normal"/>
    <w:next w:val="Normal"/>
    <w:autoRedefine/>
    <w:uiPriority w:val="39"/>
    <w:unhideWhenUsed/>
    <w:rsid w:val="003545C8"/>
    <w:pPr>
      <w:spacing w:before="120" w:after="100"/>
      <w:jc w:val="both"/>
    </w:pPr>
    <w:rPr>
      <w:rFonts w:ascii="Arial" w:eastAsiaTheme="minorHAnsi" w:hAnsi="Arial" w:cstheme="minorBidi"/>
    </w:rPr>
  </w:style>
  <w:style w:type="paragraph" w:styleId="TDC2">
    <w:name w:val="toc 2"/>
    <w:basedOn w:val="Normal"/>
    <w:next w:val="Normal"/>
    <w:autoRedefine/>
    <w:uiPriority w:val="39"/>
    <w:unhideWhenUsed/>
    <w:rsid w:val="003545C8"/>
    <w:pPr>
      <w:spacing w:before="120" w:after="100"/>
      <w:ind w:left="220"/>
      <w:jc w:val="both"/>
    </w:pPr>
    <w:rPr>
      <w:rFonts w:ascii="Arial" w:eastAsiaTheme="minorHAnsi" w:hAnsi="Arial" w:cstheme="minorBidi"/>
    </w:rPr>
  </w:style>
  <w:style w:type="paragraph" w:customStyle="1" w:styleId="TablaTexto">
    <w:name w:val="TablaTexto"/>
    <w:link w:val="TablaTextoCar"/>
    <w:qFormat/>
    <w:rsid w:val="003545C8"/>
    <w:pPr>
      <w:spacing w:after="0" w:line="240" w:lineRule="auto"/>
      <w:jc w:val="both"/>
    </w:pPr>
    <w:rPr>
      <w:rFonts w:ascii="ITC Avant Garde" w:hAnsi="ITC Avant Garde"/>
    </w:rPr>
  </w:style>
  <w:style w:type="character" w:customStyle="1" w:styleId="TablaTextoCar">
    <w:name w:val="TablaTexto Car"/>
    <w:basedOn w:val="Fuentedeprrafopredeter"/>
    <w:link w:val="TablaTexto"/>
    <w:rsid w:val="003545C8"/>
    <w:rPr>
      <w:rFonts w:ascii="ITC Avant Garde" w:hAnsi="ITC Avant Garde"/>
    </w:rPr>
  </w:style>
  <w:style w:type="paragraph" w:customStyle="1" w:styleId="NotaPie">
    <w:name w:val="Nota_Pie"/>
    <w:autoRedefine/>
    <w:rsid w:val="003545C8"/>
    <w:pPr>
      <w:spacing w:after="0" w:line="240" w:lineRule="auto"/>
      <w:jc w:val="both"/>
    </w:pPr>
    <w:rPr>
      <w:rFonts w:ascii="Arial" w:hAnsi="Arial" w:cs="Arial"/>
      <w:sz w:val="14"/>
      <w:szCs w:val="14"/>
    </w:rPr>
  </w:style>
  <w:style w:type="table" w:customStyle="1" w:styleId="Tablaconcuadrcula1">
    <w:name w:val="Tabla con cuadrícula1"/>
    <w:basedOn w:val="Tablanormal"/>
    <w:next w:val="Tablaconcuadrcula"/>
    <w:uiPriority w:val="39"/>
    <w:rsid w:val="003545C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3545C8"/>
    <w:pPr>
      <w:spacing w:after="100" w:line="256" w:lineRule="auto"/>
      <w:ind w:left="440"/>
    </w:pPr>
    <w:rPr>
      <w:rFonts w:ascii="Arial" w:eastAsiaTheme="minorHAnsi" w:hAnsi="Arial" w:cstheme="minorBidi"/>
    </w:rPr>
  </w:style>
  <w:style w:type="paragraph" w:styleId="TDC4">
    <w:name w:val="toc 4"/>
    <w:basedOn w:val="Normal"/>
    <w:next w:val="Normal"/>
    <w:autoRedefine/>
    <w:uiPriority w:val="39"/>
    <w:unhideWhenUsed/>
    <w:rsid w:val="003545C8"/>
    <w:pPr>
      <w:spacing w:before="120" w:after="100"/>
      <w:ind w:left="660"/>
      <w:jc w:val="both"/>
    </w:pPr>
    <w:rPr>
      <w:rFonts w:ascii="Arial" w:eastAsiaTheme="minorHAnsi" w:hAnsi="Arial" w:cstheme="minorBidi"/>
    </w:rPr>
  </w:style>
  <w:style w:type="paragraph" w:customStyle="1" w:styleId="subSubtema0">
    <w:name w:val="sub_Subtema"/>
    <w:basedOn w:val="Ttulo3"/>
    <w:link w:val="subSubtemaCar0"/>
    <w:qFormat/>
    <w:rsid w:val="003545C8"/>
    <w:pPr>
      <w:keepNext/>
      <w:keepLines/>
      <w:numPr>
        <w:numId w:val="0"/>
      </w:numPr>
      <w:spacing w:before="240" w:after="120"/>
      <w:ind w:left="1701" w:hanging="720"/>
      <w:contextualSpacing w:val="0"/>
    </w:pPr>
    <w:rPr>
      <w:rFonts w:asciiTheme="majorHAnsi" w:eastAsiaTheme="majorEastAsia" w:hAnsiTheme="majorHAnsi" w:cstheme="majorBidi"/>
      <w:i w:val="0"/>
      <w:color w:val="1F4D78" w:themeColor="accent1" w:themeShade="7F"/>
      <w:sz w:val="24"/>
      <w:szCs w:val="24"/>
    </w:rPr>
  </w:style>
  <w:style w:type="character" w:customStyle="1" w:styleId="subSubtemaCar0">
    <w:name w:val="sub_Subtema Car"/>
    <w:basedOn w:val="Ttulo3Car"/>
    <w:link w:val="subSubtema0"/>
    <w:rsid w:val="003545C8"/>
    <w:rPr>
      <w:rFonts w:asciiTheme="majorHAnsi" w:eastAsiaTheme="majorEastAsia" w:hAnsiTheme="majorHAnsi" w:cstheme="majorBidi"/>
      <w:b/>
      <w:i w:val="0"/>
      <w:color w:val="1F4D78" w:themeColor="accent1" w:themeShade="7F"/>
      <w:sz w:val="24"/>
      <w:szCs w:val="24"/>
    </w:rPr>
  </w:style>
  <w:style w:type="paragraph" w:styleId="TtuloTDC">
    <w:name w:val="TOC Heading"/>
    <w:basedOn w:val="Ttulo1"/>
    <w:next w:val="Normal"/>
    <w:uiPriority w:val="39"/>
    <w:unhideWhenUsed/>
    <w:qFormat/>
    <w:rsid w:val="003545C8"/>
    <w:pPr>
      <w:keepLines/>
      <w:spacing w:before="240" w:line="259" w:lineRule="auto"/>
      <w:jc w:val="left"/>
      <w:outlineLvl w:val="9"/>
    </w:pPr>
    <w:rPr>
      <w:rFonts w:ascii="ITC Avant Garde" w:eastAsiaTheme="majorEastAsia" w:hAnsi="ITC Avant Garde" w:cstheme="majorBidi"/>
      <w:bCs w:val="0"/>
      <w:sz w:val="22"/>
      <w:szCs w:val="32"/>
      <w:lang w:eastAsia="es-MX"/>
    </w:rPr>
  </w:style>
  <w:style w:type="paragraph" w:styleId="Descripcin">
    <w:name w:val="caption"/>
    <w:basedOn w:val="Normal"/>
    <w:next w:val="Normal"/>
    <w:uiPriority w:val="35"/>
    <w:unhideWhenUsed/>
    <w:qFormat/>
    <w:rsid w:val="003545C8"/>
    <w:pPr>
      <w:spacing w:line="240" w:lineRule="auto"/>
      <w:jc w:val="both"/>
    </w:pPr>
    <w:rPr>
      <w:rFonts w:ascii="ITC Avant Garde" w:eastAsiaTheme="minorHAnsi" w:hAnsi="ITC Avant Garde" w:cstheme="minorBidi"/>
      <w:i/>
      <w:iCs/>
      <w:color w:val="44546A" w:themeColor="text2"/>
      <w:sz w:val="18"/>
      <w:szCs w:val="18"/>
    </w:rPr>
  </w:style>
  <w:style w:type="paragraph" w:customStyle="1" w:styleId="Pa8">
    <w:name w:val="Pa8"/>
    <w:basedOn w:val="Default"/>
    <w:next w:val="Default"/>
    <w:uiPriority w:val="99"/>
    <w:rsid w:val="003545C8"/>
    <w:pPr>
      <w:spacing w:line="241" w:lineRule="atLeast"/>
    </w:pPr>
    <w:rPr>
      <w:rFonts w:ascii="Humanst521 BT" w:eastAsiaTheme="minorHAnsi" w:hAnsi="Humanst521 BT" w:cstheme="minorBidi"/>
      <w:color w:val="auto"/>
      <w:lang w:eastAsia="en-US"/>
    </w:rPr>
  </w:style>
  <w:style w:type="paragraph" w:customStyle="1" w:styleId="Pa10">
    <w:name w:val="Pa10"/>
    <w:basedOn w:val="Default"/>
    <w:next w:val="Default"/>
    <w:uiPriority w:val="99"/>
    <w:rsid w:val="003545C8"/>
    <w:pPr>
      <w:spacing w:line="241" w:lineRule="atLeast"/>
    </w:pPr>
    <w:rPr>
      <w:rFonts w:ascii="Humanst521 BT" w:eastAsiaTheme="minorHAnsi" w:hAnsi="Humanst521 BT" w:cstheme="minorBidi"/>
      <w:color w:val="auto"/>
      <w:lang w:eastAsia="en-US"/>
    </w:rPr>
  </w:style>
  <w:style w:type="character" w:customStyle="1" w:styleId="A6">
    <w:name w:val="A6"/>
    <w:uiPriority w:val="99"/>
    <w:rsid w:val="003545C8"/>
    <w:rPr>
      <w:rFonts w:cs="Humanst521 BT"/>
      <w:color w:val="211D1E"/>
    </w:rPr>
  </w:style>
  <w:style w:type="character" w:customStyle="1" w:styleId="A1">
    <w:name w:val="A1"/>
    <w:uiPriority w:val="99"/>
    <w:rsid w:val="003545C8"/>
    <w:rPr>
      <w:rFonts w:cs="Humanst521 BT"/>
      <w:color w:val="0000FF"/>
      <w:u w:val="single"/>
    </w:rPr>
  </w:style>
  <w:style w:type="character" w:customStyle="1" w:styleId="Cuerpodeltexto">
    <w:name w:val="Cuerpo del texto_"/>
    <w:basedOn w:val="Fuentedeprrafopredeter"/>
    <w:link w:val="Cuerpodeltexto0"/>
    <w:rsid w:val="003545C8"/>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3545C8"/>
    <w:pPr>
      <w:widowControl w:val="0"/>
      <w:shd w:val="clear" w:color="auto" w:fill="FFFFFF"/>
      <w:spacing w:before="240" w:after="240" w:line="277" w:lineRule="exact"/>
      <w:jc w:val="both"/>
    </w:pPr>
    <w:rPr>
      <w:rFonts w:ascii="Arial" w:eastAsia="Arial" w:hAnsi="Arial" w:cs="Arial"/>
      <w:sz w:val="23"/>
      <w:szCs w:val="23"/>
    </w:rPr>
  </w:style>
  <w:style w:type="character" w:customStyle="1" w:styleId="pintarlink">
    <w:name w:val="pintarlink"/>
    <w:basedOn w:val="Fuentedeprrafopredeter"/>
    <w:rsid w:val="003545C8"/>
  </w:style>
  <w:style w:type="paragraph" w:styleId="HTMLconformatoprevio">
    <w:name w:val="HTML Preformatted"/>
    <w:basedOn w:val="Normal"/>
    <w:link w:val="HTMLconformatoprevioCar"/>
    <w:uiPriority w:val="99"/>
    <w:semiHidden/>
    <w:unhideWhenUsed/>
    <w:rsid w:val="00354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545C8"/>
    <w:rPr>
      <w:rFonts w:ascii="Courier New" w:eastAsia="Times New Roman" w:hAnsi="Courier New" w:cs="Courier New"/>
      <w:sz w:val="20"/>
      <w:szCs w:val="20"/>
      <w:lang w:eastAsia="es-MX"/>
    </w:rPr>
  </w:style>
  <w:style w:type="character" w:customStyle="1" w:styleId="Mencinsinresolver1">
    <w:name w:val="Mención sin resolver1"/>
    <w:basedOn w:val="Fuentedeprrafopredeter"/>
    <w:uiPriority w:val="99"/>
    <w:semiHidden/>
    <w:unhideWhenUsed/>
    <w:rsid w:val="0035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6" Type="http://schemas.openxmlformats.org/officeDocument/2006/relationships/hyperlink" Target="http://apps.ift.org.mx/publicdata/Version_Publica_UCE_270417_221.pdf" TargetMode="External"/><Relationship Id="rId21" Type="http://schemas.openxmlformats.org/officeDocument/2006/relationships/hyperlink" Target="http://apps.ift.org.mx/publicdata/VP_P_IFT_260617_356.pdf" TargetMode="External"/><Relationship Id="rId42" Type="http://schemas.openxmlformats.org/officeDocument/2006/relationships/hyperlink" Target="https://www.competitionbureau.gc.ca/eic/site/cb-bc.nsf/eng/04200.html" TargetMode="External"/><Relationship Id="rId47" Type="http://schemas.openxmlformats.org/officeDocument/2006/relationships/hyperlink" Target="https://www.oecd.org/daf/competition/esp-plataformas-digitales-y-competencia-en-mexico.pdf" TargetMode="External"/><Relationship Id="rId63" Type="http://schemas.openxmlformats.org/officeDocument/2006/relationships/hyperlink" Target="http://www.ift.org.mx/sites/default/files/conocenos/pleno/sesiones/acuerdoliga/vppift030419169noct.pdf" TargetMode="External"/><Relationship Id="rId68" Type="http://schemas.openxmlformats.org/officeDocument/2006/relationships/hyperlink" Target="http://www.ift.org.mx/sites/default/files/conocenos/pleno/sesiones/acuerdoliga/vppift120418293noct.pdf" TargetMode="External"/><Relationship Id="rId84" Type="http://schemas.openxmlformats.org/officeDocument/2006/relationships/hyperlink" Target="https://berec.europa.eu/eng/document_register/subject_matter/berec/download/0/118-berec-draft-report-on-the-impact-of-fixed-mobile-substitution-in-market-definition_0.pdf" TargetMode="External"/><Relationship Id="rId89" Type="http://schemas.openxmlformats.org/officeDocument/2006/relationships/hyperlink" Target="http://www.ift.org.mx/sites/default/files/conocenos/pleno/sesiones/acuerdoliga/vppift060917545.pdf" TargetMode="External"/><Relationship Id="rId16" Type="http://schemas.openxmlformats.org/officeDocument/2006/relationships/hyperlink" Target="https://one.oecd.org/document/DAF/COMP(2018)14/en/pdf" TargetMode="External"/><Relationship Id="rId11" Type="http://schemas.openxmlformats.org/officeDocument/2006/relationships/hyperlink" Target="https://assets.publishing.service.gov.uk/government/uploads/system/uploads/attachment_data/file/284423/oft403.pdf" TargetMode="External"/><Relationship Id="rId32" Type="http://schemas.openxmlformats.org/officeDocument/2006/relationships/hyperlink" Target="http://www.ift.org.mx/industria/espectro-radioelectrico/television/2016/licitacion-no-ift-6-television-radiodifundida-digital" TargetMode="External"/><Relationship Id="rId37" Type="http://schemas.openxmlformats.org/officeDocument/2006/relationships/hyperlink" Target="https://ec.europa.eu/competition/mergers/cases/decisions/m8864_7363_3.pdf" TargetMode="External"/><Relationship Id="rId53" Type="http://schemas.openxmlformats.org/officeDocument/2006/relationships/hyperlink" Target="http://www.ift.org.mx/industria/espectro-radioelectrico/radiodifusion/2014/ift-1-licitacion-de-dos-cadenas-de-television-radiodifundida-digital" TargetMode="External"/><Relationship Id="rId58" Type="http://schemas.openxmlformats.org/officeDocument/2006/relationships/hyperlink" Target="https://www.ofcom.org.uk/__data/assets/pdf_file/0025/154591/volume-2-bcmr-final-statement.pdf" TargetMode="External"/><Relationship Id="rId74" Type="http://schemas.openxmlformats.org/officeDocument/2006/relationships/hyperlink" Target="https://www.internationalcompetitionnetwork.org/wp-content/uploads/2018/10/MWG_SurveyreportVerticalMergers2018.pdf" TargetMode="External"/><Relationship Id="rId79" Type="http://schemas.openxmlformats.org/officeDocument/2006/relationships/hyperlink" Target="https://www.ftc.gov/system/files/documents/reports/us-department-justice-federal-trade-commission-vertical-merger-guidelines/vertical_merger_guidelines_6-30-20.pdf" TargetMode="External"/><Relationship Id="rId102" Type="http://schemas.openxmlformats.org/officeDocument/2006/relationships/hyperlink" Target="https://crtc.gc.ca/eng/publications/reports/rp110215.htm" TargetMode="External"/><Relationship Id="rId5" Type="http://schemas.openxmlformats.org/officeDocument/2006/relationships/hyperlink" Target="https://assets.publishing.service.gov.uk/government/uploads/system/uploads/attachment_data/file/284449/OFT1254.pdf" TargetMode="External"/><Relationship Id="rId90" Type="http://schemas.openxmlformats.org/officeDocument/2006/relationships/hyperlink" Target="https://ec.europa.eu/competition/antitrust/cases/dec_docs/38233/38233_87_1.pdf" TargetMode="External"/><Relationship Id="rId95" Type="http://schemas.openxmlformats.org/officeDocument/2006/relationships/hyperlink" Target="https://www.anacom.pt/streaming/Determination28september2010_final_decision.pdf?contentId=1061287&amp;field=ATTACHED_FILE" TargetMode="External"/><Relationship Id="rId22" Type="http://schemas.openxmlformats.org/officeDocument/2006/relationships/hyperlink" Target="http://apps.ift.org.mx/publicdata/VP2_P_IFT_EXT_290415_86.pdf" TargetMode="External"/><Relationship Id="rId27" Type="http://schemas.openxmlformats.org/officeDocument/2006/relationships/hyperlink" Target="http://www.ift.org.mx/sites/default/files/conocenos/pleno/sesiones/acuerdoliga/vppift220818511noct_1.pdf" TargetMode="External"/><Relationship Id="rId43" Type="http://schemas.openxmlformats.org/officeDocument/2006/relationships/hyperlink" Target="https://www.accc.gov.au/system/files/public-registers/documents/MER15%2B13662.pdf" TargetMode="External"/><Relationship Id="rId48" Type="http://schemas.openxmlformats.org/officeDocument/2006/relationships/hyperlink" Target="http://apps.ift.org.mx/publicdata/Version_Publica_UCE_P_IFT_290216_71_c_AnexoyDR.pdf" TargetMode="External"/><Relationship Id="rId64" Type="http://schemas.openxmlformats.org/officeDocument/2006/relationships/hyperlink" Target="http://apps.ift.org.mx/publicdata/VP_P_IFT_210819_432.pdf" TargetMode="External"/><Relationship Id="rId69" Type="http://schemas.openxmlformats.org/officeDocument/2006/relationships/hyperlink" Target="https://eur-lex.europa.eu/legal-content/EN/TXT/PDF/?uri=CELEX:52008XC1018(03)&amp;from=EN" TargetMode="External"/><Relationship Id="rId80" Type="http://schemas.openxmlformats.org/officeDocument/2006/relationships/hyperlink" Target="https://www.justice.gov/atr/page/file/1175141/download?mkwid=c" TargetMode="External"/><Relationship Id="rId85" Type="http://schemas.openxmlformats.org/officeDocument/2006/relationships/hyperlink" Target="https://www.fne.gob.cl/wp-content/uploads/2011/03/estu_0003_2010.pdf" TargetMode="External"/><Relationship Id="rId12" Type="http://schemas.openxmlformats.org/officeDocument/2006/relationships/hyperlink" Target="https://eur-lex.europa.eu/legal-content/ES/TXT/PDF/?uri=CELEX:52018XC0507(01)&amp;from=HU" TargetMode="External"/><Relationship Id="rId17" Type="http://schemas.openxmlformats.org/officeDocument/2006/relationships/hyperlink" Target="http://www.oecd.org/daf/competition/Examenes-de-mercado-en-Mexico-Manual-2016.pdf" TargetMode="External"/><Relationship Id="rId33" Type="http://schemas.openxmlformats.org/officeDocument/2006/relationships/hyperlink" Target="http://apps.ift.org.mx/publicdata/Version_Publica_P_IFT_EXT_190216_7.pdf" TargetMode="External"/><Relationship Id="rId38" Type="http://schemas.openxmlformats.org/officeDocument/2006/relationships/hyperlink" Target="https://assets.publishing.service.gov.uk/government/uploads/system/uploads/attachment_data/file/284423/oft403.pdf" TargetMode="External"/><Relationship Id="rId59" Type="http://schemas.openxmlformats.org/officeDocument/2006/relationships/hyperlink" Target="https://apps.fcc.gov/edocs_public/attachmatch/FCC-15-94A1.pdf" TargetMode="External"/><Relationship Id="rId103" Type="http://schemas.openxmlformats.org/officeDocument/2006/relationships/hyperlink" Target="https://www.oecd-ilibrary.org/docserver/5js04dp2q1jc-en.pdf?expires=1597095718&amp;id=id&amp;accname=guest&amp;checksum=A818045C7EED02B383CB10724AD048D9" TargetMode="External"/><Relationship Id="rId20" Type="http://schemas.openxmlformats.org/officeDocument/2006/relationships/hyperlink" Target="http://apps.ift.org.mx/publicdata/Version_Publica_UCE_P_IFT_EXT_201015_152.pdf" TargetMode="External"/><Relationship Id="rId41" Type="http://schemas.openxmlformats.org/officeDocument/2006/relationships/hyperlink" Target="https://crtc.gc.ca/eng/publications/reports/rp110215.htm?_ga=2.166625598.140085912.1596486262-181080644.1596486262" TargetMode="External"/><Relationship Id="rId54" Type="http://schemas.openxmlformats.org/officeDocument/2006/relationships/hyperlink" Target="http://www.ift.org.mx/pagina-de-inicio/opiniones-en-materia-de-competencia-economica" TargetMode="External"/><Relationship Id="rId62" Type="http://schemas.openxmlformats.org/officeDocument/2006/relationships/hyperlink" Target="http://apps.ift.org.mx/publicdata/vppift18031593.pdf" TargetMode="External"/><Relationship Id="rId70" Type="http://schemas.openxmlformats.org/officeDocument/2006/relationships/hyperlink" Target="https://ec.europa.eu/competition/mergers/cases/decisions/M5748_20100311_201220_254185_ES.pdf" TargetMode="External"/><Relationship Id="rId75" Type="http://schemas.openxmlformats.org/officeDocument/2006/relationships/hyperlink" Target="https://www.internationalcompetitionnetwork.org/wp-content/uploads/2019/05/MWG-Vertical-Mergers-Comparison-Study.pdf" TargetMode="External"/><Relationship Id="rId83" Type="http://schemas.openxmlformats.org/officeDocument/2006/relationships/hyperlink" Target="http://www.trc.gov.jo/EchoBusV3.0/SystemAssets/PDF/AR/%D8%A7%D8%B3%D8%AA%D8%B4%D8%A7%D8%B1%D8%A7%D8%AA/%D8%A7%D8%B3%D8%AA%D8%B4%D8%A7%D8%B1%D8%A7%D8%AA%20%D9%81%D9%8A%20%D9%82%D8%B7%D8%A7%D8%B9%20%D8%A7%D9%84%D8%A7%D8%AA%D8%B5%D8%A7%D9%84%D8%A7%D8%AA%20%D9%88%D8%25A" TargetMode="External"/><Relationship Id="rId88" Type="http://schemas.openxmlformats.org/officeDocument/2006/relationships/hyperlink" Target="http://www.ift.org.mx/sites/default/files/conocenos/pleno/sesiones/acuerdoliga/versionpublicaucepift240217104_1.pdf" TargetMode="External"/><Relationship Id="rId91" Type="http://schemas.openxmlformats.org/officeDocument/2006/relationships/hyperlink" Target="http://curia.europa.eu/juris/document/document.jsf;jsessionid=CDC36C791B5A503C86A5B8A543E2E569?text=&amp;docid=121143&amp;pageIndex=0&amp;doclang=ES&amp;mode=lst&amp;dir=&amp;occ=first&amp;part=1&amp;cid=4131947" TargetMode="External"/><Relationship Id="rId96" Type="http://schemas.openxmlformats.org/officeDocument/2006/relationships/hyperlink" Target="https://www.ofcom.org.uk/__data/assets/pdf_file/0019/115138/Draft-statement-annexes-2-8-Wholesale-broadband-access-market-review-2018.pdf" TargetMode="External"/><Relationship Id="rId1" Type="http://schemas.openxmlformats.org/officeDocument/2006/relationships/hyperlink" Target="http://www.dof.gob.mx/nota_detalle.php?codigo=5432595&amp;fecha=11/04/2016" TargetMode="External"/><Relationship Id="rId6" Type="http://schemas.openxmlformats.org/officeDocument/2006/relationships/hyperlink" Target="https://www.competitionbureau.gc.ca/eic/site/cb-bc.nsf/vwapj/cb-meg-2011-e.pdf/$FILE/cb-meg-2011-e.pdf" TargetMode="External"/><Relationship Id="rId15" Type="http://schemas.openxmlformats.org/officeDocument/2006/relationships/hyperlink" Target="https://ec.europa.eu/competition/mergers/cases/decisions/m166_en.pdf" TargetMode="External"/><Relationship Id="rId23" Type="http://schemas.openxmlformats.org/officeDocument/2006/relationships/hyperlink" Target="http://apps.ift.org.mx/publicdata/P_IFT_271113_20_Version_Publica_Hoja.pdf" TargetMode="External"/><Relationship Id="rId28" Type="http://schemas.openxmlformats.org/officeDocument/2006/relationships/hyperlink" Target="http://apps.ift.org.mx/publicdata/P_IFT_EXT_181214_282_Version_Publica.pdf" TargetMode="External"/><Relationship Id="rId36" Type="http://schemas.openxmlformats.org/officeDocument/2006/relationships/hyperlink" Target="https://ec.europa.eu/competition/mergers/cases/decisions/m6880_410_2.pdf" TargetMode="External"/><Relationship Id="rId49" Type="http://schemas.openxmlformats.org/officeDocument/2006/relationships/hyperlink" Target="https://www.oecd.org/daf/competition/98765433.pdf" TargetMode="External"/><Relationship Id="rId57" Type="http://schemas.openxmlformats.org/officeDocument/2006/relationships/hyperlink" Target="https://ec.europa.eu/competition/mergers/cases/decisions/m4439_20070627_20610_en.pdf" TargetMode="External"/><Relationship Id="rId106" Type="http://schemas.openxmlformats.org/officeDocument/2006/relationships/hyperlink" Target="https://assets.publishing.service.gov.uk/media/56992242ed915d4747000026/BT_EE_final_report.pdf" TargetMode="External"/><Relationship Id="rId10" Type="http://schemas.openxmlformats.org/officeDocument/2006/relationships/hyperlink" Target="https://www.internationalcompetitionnetwork.org/wp-content/uploads/2018/05/MWG_MergerGuidelinesWorkbook.pdf" TargetMode="External"/><Relationship Id="rId31" Type="http://schemas.openxmlformats.org/officeDocument/2006/relationships/hyperlink" Target="http://www.ift.org.mx/pagina-de-inicio/opiniones-en-materia-de-competencia-economica" TargetMode="External"/><Relationship Id="rId44" Type="http://schemas.openxmlformats.org/officeDocument/2006/relationships/hyperlink" Target="https://www.rtr.at/en/tk/TKMV_2008" TargetMode="External"/><Relationship Id="rId52" Type="http://schemas.openxmlformats.org/officeDocument/2006/relationships/hyperlink" Target="http://apps.ift.org.mx/publicdata/VP_P_IFT_131119_737_Acc.pdf" TargetMode="External"/><Relationship Id="rId60" Type="http://schemas.openxmlformats.org/officeDocument/2006/relationships/hyperlink" Target="https://www.crai.com/sites/default/files/publications/China-Highlights-Qihoo-360-v-Tencent-0215_0.pdf" TargetMode="External"/><Relationship Id="rId65" Type="http://schemas.openxmlformats.org/officeDocument/2006/relationships/hyperlink" Target="https://apps.fcc.gov/edocs_public/attachmatch/FCC-15-94A1.pdf" TargetMode="External"/><Relationship Id="rId73" Type="http://schemas.openxmlformats.org/officeDocument/2006/relationships/hyperlink" Target="https://www.ftc.gov/sites/default/files/documents/public_events/joint-venture-hearings-antitrust-guidelines-collaboration-among-competitors/ftcdojguidelines-2.pdf" TargetMode="External"/><Relationship Id="rId78" Type="http://schemas.openxmlformats.org/officeDocument/2006/relationships/hyperlink" Target="https://berec.europa.eu/eng/document_register/subject_matter/berec/reports/171-berec-report-on-self-supply" TargetMode="External"/><Relationship Id="rId81" Type="http://schemas.openxmlformats.org/officeDocument/2006/relationships/hyperlink" Target="https://www.competitionbureau.gc.ca/eic/site/cb-bc.nsf/eng/03544.html" TargetMode="External"/><Relationship Id="rId86" Type="http://schemas.openxmlformats.org/officeDocument/2006/relationships/hyperlink" Target="https://berec.europa.eu/eng/document_register/subject_matter/berec/reports/209-berec-report-on-impact-of-bundled-offers-in-retail-and-wholesale-market-definition" TargetMode="External"/><Relationship Id="rId94" Type="http://schemas.openxmlformats.org/officeDocument/2006/relationships/hyperlink" Target="https://docs.fcc.gov/public/attachments/FCC-19-103A1.pdf" TargetMode="External"/><Relationship Id="rId99" Type="http://schemas.openxmlformats.org/officeDocument/2006/relationships/hyperlink" Target="https://www.autoritedelaconcurrence.fr/sites/default/files/commitments/05a05.pdf" TargetMode="External"/><Relationship Id="rId101" Type="http://schemas.openxmlformats.org/officeDocument/2006/relationships/hyperlink" Target="https://www.competitionbureau.gc.ca/eic/site/cb-bc.nsf/eng/03796.html" TargetMode="External"/><Relationship Id="rId4" Type="http://schemas.openxmlformats.org/officeDocument/2006/relationships/hyperlink" Target="https://www.ftc.gov/sites/default/files/attachments/merger-review/100819hmg.pdf" TargetMode="External"/><Relationship Id="rId9" Type="http://schemas.openxmlformats.org/officeDocument/2006/relationships/hyperlink" Target="http://www.oecd.org/daf/competition/Marketdefinition2012.pdf" TargetMode="External"/><Relationship Id="rId13" Type="http://schemas.openxmlformats.org/officeDocument/2006/relationships/hyperlink" Target="https://www.accc.gov.au/system/files/Updated%20Guidelines%20on%20Misuse%20of%20Market%20Power.pdf" TargetMode="External"/><Relationship Id="rId18" Type="http://schemas.openxmlformats.org/officeDocument/2006/relationships/hyperlink" Target="https://sjf.scjn.gob.mx/sjfsist/(F(SD2gHNAVakmYz90m0C5DbGtjSk2_ECWKhwLS6nXHev3Ru7cyu2ARbSafjYQS6UTGTXH6uyVZM8RgeBsX8iMfd7u3toK_jdow8wpPidRrkav992iD5kwb2V_AD8Dv0VTt8bnMa1zNODDhVYowc5I_x5T-RbIcksK5hMStT88LD5A1))/Paginas/DetalleGeneralV2.aspx?ID=2011156&amp;Clase=DetalleTesisBL&amp;Semanario=0" TargetMode="External"/><Relationship Id="rId39" Type="http://schemas.openxmlformats.org/officeDocument/2006/relationships/hyperlink" Target="https://www.gov.uk/cma-cases/bauer-media-group-merger-inquiry" TargetMode="External"/><Relationship Id="rId34" Type="http://schemas.openxmlformats.org/officeDocument/2006/relationships/hyperlink" Target="http://www.ift.org.mx/sites/default/files/conocenos/pleno/sesiones/acuerdoliga/pift121218948.pdf" TargetMode="External"/><Relationship Id="rId50" Type="http://schemas.openxmlformats.org/officeDocument/2006/relationships/hyperlink" Target="http://apps.ift.org.mx/publicdata/VP_P_IFT_160414_92.pdf" TargetMode="External"/><Relationship Id="rId55" Type="http://schemas.openxmlformats.org/officeDocument/2006/relationships/hyperlink" Target="http://www.ift.org.mx/industria/espectro-radioelectrico/television/2016/licitacion-no-ift-6-television-radiodifundida-digital" TargetMode="External"/><Relationship Id="rId76" Type="http://schemas.openxmlformats.org/officeDocument/2006/relationships/hyperlink" Target="https://one.oecd.org/document/DAF/COMP(2019)5/en/pdf" TargetMode="External"/><Relationship Id="rId97" Type="http://schemas.openxmlformats.org/officeDocument/2006/relationships/hyperlink" Target="https://one.oecd.org/document/DAF/COMP/WD(2017)27/FINAL/en/pdf" TargetMode="External"/><Relationship Id="rId104" Type="http://schemas.openxmlformats.org/officeDocument/2006/relationships/hyperlink" Target="https://ec.europa.eu/digital-single-market/en/news/staff-working-document-guidelines-market-analysis-and-assessment-smp-under-eu-regulatory" TargetMode="External"/><Relationship Id="rId7" Type="http://schemas.openxmlformats.org/officeDocument/2006/relationships/hyperlink" Target="https://www.accc.gov.au/system/files/Merger%20guidelines%20-%20Final.PDF" TargetMode="External"/><Relationship Id="rId71" Type="http://schemas.openxmlformats.org/officeDocument/2006/relationships/hyperlink" Target="https://ec.europa.eu/competition/mergers/cases/decisions/m6956_235_2.pdf" TargetMode="External"/><Relationship Id="rId92" Type="http://schemas.openxmlformats.org/officeDocument/2006/relationships/hyperlink" Target="https://www.justice.gov/sites/default/files/opa/legacy/2011/08/31/Justice-ATT-TMobile-Complaint.pdf" TargetMode="External"/><Relationship Id="rId2" Type="http://schemas.openxmlformats.org/officeDocument/2006/relationships/hyperlink" Target="http://www.ift.org.mx/sites/default/files/industria/temasrelevantes/9195/documentos/pift280617368.pdf" TargetMode="External"/><Relationship Id="rId29" Type="http://schemas.openxmlformats.org/officeDocument/2006/relationships/hyperlink" Target="http://apps.ift.org.mx/publicdata/Version_Publica_AI_P_IFT_230117_8.pdf" TargetMode="External"/><Relationship Id="rId24" Type="http://schemas.openxmlformats.org/officeDocument/2006/relationships/hyperlink" Target="http://apps.ift.org.mx/publicdata/VP_P_IFT_150817_487.pdf" TargetMode="External"/><Relationship Id="rId40" Type="http://schemas.openxmlformats.org/officeDocument/2006/relationships/hyperlink" Target="https://www.justice.gov/atr/11-product-market-definition" TargetMode="External"/><Relationship Id="rId45" Type="http://schemas.openxmlformats.org/officeDocument/2006/relationships/hyperlink" Target="https://ec.europa.eu/commission/presscorner/detail/en/IP_09_1888" TargetMode="External"/><Relationship Id="rId66" Type="http://schemas.openxmlformats.org/officeDocument/2006/relationships/hyperlink" Target="https://www.accc.gov.au/system/files/Media%20Merger%20Guidelines%202017_0.pdf" TargetMode="External"/><Relationship Id="rId87" Type="http://schemas.openxmlformats.org/officeDocument/2006/relationships/hyperlink" Target="https://www.itu.int/ITU-D/treg/publications/SMP-S.pdf" TargetMode="External"/><Relationship Id="rId61" Type="http://schemas.openxmlformats.org/officeDocument/2006/relationships/hyperlink" Target="http://apps.ift.org.mx/publicdata/P_IFT_011014_332_Version_Publica_UCE.pdf" TargetMode="External"/><Relationship Id="rId82" Type="http://schemas.openxmlformats.org/officeDocument/2006/relationships/hyperlink" Target="https://www.cnmc.es/sites/default/files/1511874_12.pdf" TargetMode="External"/><Relationship Id="rId19" Type="http://schemas.openxmlformats.org/officeDocument/2006/relationships/hyperlink" Target="http://www.ift.org.mx/sites/default/files/conocenos/pleno/sesiones/acuerdoliga/vp181120436.pdf" TargetMode="External"/><Relationship Id="rId14" Type="http://schemas.openxmlformats.org/officeDocument/2006/relationships/hyperlink" Target="https://www.oecd.org/daf/competition/Defining_Relevant_Market_in_Telecommunications_web.pdf" TargetMode="External"/><Relationship Id="rId30" Type="http://schemas.openxmlformats.org/officeDocument/2006/relationships/hyperlink" Target="http://www.ift.org.mx/industria/espectro-radioelectrico/radiodifusion/2014/ift-1-licitacion-de-dos-cadenas-de-television-radiodifundida-digital" TargetMode="External"/><Relationship Id="rId35" Type="http://schemas.openxmlformats.org/officeDocument/2006/relationships/hyperlink" Target="http://www.ift.org.mx/sites/default/files/contenidogeneral/autoridad-investigadora/vpai-dc-004-2018.pdf" TargetMode="External"/><Relationship Id="rId56" Type="http://schemas.openxmlformats.org/officeDocument/2006/relationships/hyperlink" Target="http://www.ift.org.mx/sites/default/files/industria/espectro-radioelectrico/radiodifusion/2016/4/basesift-4_1.pdf" TargetMode="External"/><Relationship Id="rId77" Type="http://schemas.openxmlformats.org/officeDocument/2006/relationships/hyperlink" Target="https://eur-lex.europa.eu/legal-content/ES/TXT/PDF/?uri=CELEX:52010XC0519(04)&amp;from=ES" TargetMode="External"/><Relationship Id="rId100" Type="http://schemas.openxmlformats.org/officeDocument/2006/relationships/hyperlink" Target="https://ec.europa.eu/commission/presscorner/detail/en/IP_05_1146" TargetMode="External"/><Relationship Id="rId105" Type="http://schemas.openxmlformats.org/officeDocument/2006/relationships/hyperlink" Target="http://www.concorrencia.pt/vPT/Noticias_Eventos/ConsultasPublicas/Documents/Linhas%20de%20Orienta%C3%A7%C3%A3o%20para%20a%20An%C3%A1lise%20Econ%C3%B3mica%20de%20Opera%C3%A7%C3%B5es%20de%20Concentra%C3%A7%C3%A3o%20Horizontais.pdf" TargetMode="External"/><Relationship Id="rId8" Type="http://schemas.openxmlformats.org/officeDocument/2006/relationships/hyperlink" Target="https://ec.europa.eu/competition/international/multilateral/2012_jun_market_definition_en.pdf" TargetMode="External"/><Relationship Id="rId51" Type="http://schemas.openxmlformats.org/officeDocument/2006/relationships/hyperlink" Target="http://apps.ift.org.mx/publicdata/VP_P_IFT_181017_651.pdf" TargetMode="External"/><Relationship Id="rId72" Type="http://schemas.openxmlformats.org/officeDocument/2006/relationships/hyperlink" Target="https://www.bundeskartellamt.de/SharedDocs/Publikation/EN/Leitlinien/Guidance%20-%20Substantive%20Merger%20Control.pdf?__blob=publicationFile&amp;v=6" TargetMode="External"/><Relationship Id="rId93" Type="http://schemas.openxmlformats.org/officeDocument/2006/relationships/hyperlink" Target="https://www.fcc.gov/document/matter-applications-att-wireless-services-inc-and-cingular" TargetMode="External"/><Relationship Id="rId98" Type="http://schemas.openxmlformats.org/officeDocument/2006/relationships/hyperlink" Target="https://ec.europa.eu/competition/antitrust/cases/dec_docs/38784/38784_437_4.pdf" TargetMode="External"/><Relationship Id="rId3" Type="http://schemas.openxmlformats.org/officeDocument/2006/relationships/hyperlink" Target="https://eur-lex.europa.eu/legal-content/ES/TXT/PDF/?uri=CELEX:31997Y1209(01)&amp;from=EN" TargetMode="External"/><Relationship Id="rId25" Type="http://schemas.openxmlformats.org/officeDocument/2006/relationships/hyperlink" Target="http://www.ift.org.mx/sites/default/files/conocenos/pleno/sesiones/acuerdoliga/verpubpift110319122canxuce.pdf" TargetMode="External"/><Relationship Id="rId46" Type="http://schemas.openxmlformats.org/officeDocument/2006/relationships/hyperlink" Target="http://www.concorrencia.pt/FILES_TMP/2013_05_final_net.pdf" TargetMode="External"/><Relationship Id="rId67" Type="http://schemas.openxmlformats.org/officeDocument/2006/relationships/hyperlink" Target="http://www.concorrencia.pt/vPT/Noticias_Eventos/ConsultasPublicas/Documents/Linhas%20de%20Orienta%C3%A7%C3%A3o%20para%20a%20An%C3%A1lise%20Econ%C3%B3mica%20de%20Opera%C3%A7%C3%B5es%20de%20Concentra%C3%A7%C3%A3o%20Horizontai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0D42ED0CC3CF4B8D528405130A43D4" ma:contentTypeVersion="0" ma:contentTypeDescription="Crear nuevo documento." ma:contentTypeScope="" ma:versionID="843033550e8e433e66dac43bfcd64ed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2EBE-D721-4A7A-9B64-FCE6AE1EE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4.xml><?xml version="1.0" encoding="utf-8"?>
<ds:datastoreItem xmlns:ds="http://schemas.openxmlformats.org/officeDocument/2006/customXml" ds:itemID="{D6031A55-1C58-458E-9885-01AACEBF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53</Pages>
  <Words>16963</Words>
  <Characters>93298</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Josue Teoyotl Calderon</cp:lastModifiedBy>
  <cp:revision>24</cp:revision>
  <cp:lastPrinted>2021-07-08T21:19:00Z</cp:lastPrinted>
  <dcterms:created xsi:type="dcterms:W3CDTF">2021-06-22T16:22:00Z</dcterms:created>
  <dcterms:modified xsi:type="dcterms:W3CDTF">2021-07-08T21:27:00Z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0x010100B60D42ED0CC3CF4B8D528405130A43D4</vt:lpwstr>
  </property>
</Properties>
</file>