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Look w:val="04A0" w:firstRow="1" w:lastRow="0" w:firstColumn="1" w:lastColumn="0" w:noHBand="0" w:noVBand="1"/>
      </w:tblPr>
      <w:tblGrid>
        <w:gridCol w:w="2689"/>
        <w:gridCol w:w="3118"/>
        <w:gridCol w:w="3021"/>
      </w:tblGrid>
      <w:tr w:rsidR="00501ADF" w:rsidRPr="00CD5BDD" w14:paraId="1488B188" w14:textId="77777777" w:rsidTr="00D23BD5">
        <w:trPr>
          <w:trHeight w:val="816"/>
        </w:trPr>
        <w:tc>
          <w:tcPr>
            <w:tcW w:w="2689" w:type="dxa"/>
            <w:shd w:val="clear" w:color="auto" w:fill="DBDBDB" w:themeFill="accent3" w:themeFillTint="66"/>
          </w:tcPr>
          <w:p w14:paraId="4410292B" w14:textId="22853504" w:rsidR="00501ADF" w:rsidRPr="00CD5BDD" w:rsidRDefault="00501ADF" w:rsidP="00501ADF">
            <w:pPr>
              <w:jc w:val="both"/>
              <w:rPr>
                <w:rFonts w:ascii="ITC Avant Garde" w:hAnsi="ITC Avant Garde" w:cs="Arial"/>
                <w:b/>
                <w:sz w:val="18"/>
                <w:szCs w:val="18"/>
              </w:rPr>
            </w:pPr>
            <w:r w:rsidRPr="00CD5BDD">
              <w:rPr>
                <w:rFonts w:ascii="ITC Avant Garde" w:hAnsi="ITC Avant Garde" w:cs="Arial"/>
                <w:b/>
                <w:sz w:val="18"/>
                <w:szCs w:val="18"/>
              </w:rPr>
              <w:t xml:space="preserve">Unidad </w:t>
            </w:r>
            <w:r w:rsidR="00D31AE9" w:rsidRPr="00CD5BDD">
              <w:rPr>
                <w:rFonts w:ascii="ITC Avant Garde" w:hAnsi="ITC Avant Garde" w:cs="Arial"/>
                <w:b/>
                <w:sz w:val="18"/>
                <w:szCs w:val="18"/>
              </w:rPr>
              <w:t>A</w:t>
            </w:r>
            <w:r w:rsidRPr="00CD5BDD">
              <w:rPr>
                <w:rFonts w:ascii="ITC Avant Garde" w:hAnsi="ITC Avant Garde" w:cs="Arial"/>
                <w:b/>
                <w:sz w:val="18"/>
                <w:szCs w:val="18"/>
              </w:rPr>
              <w:t>dministrativa</w:t>
            </w:r>
            <w:r w:rsidR="00D23BD5" w:rsidRPr="00CD5BDD">
              <w:rPr>
                <w:rFonts w:ascii="ITC Avant Garde" w:hAnsi="ITC Avant Garde" w:cs="Arial"/>
                <w:b/>
                <w:sz w:val="18"/>
                <w:szCs w:val="18"/>
              </w:rPr>
              <w:t xml:space="preserve"> </w:t>
            </w:r>
            <w:r w:rsidR="00F75427" w:rsidRPr="00CD5BDD">
              <w:rPr>
                <w:rFonts w:ascii="ITC Avant Garde" w:hAnsi="ITC Avant Garde" w:cs="Arial"/>
                <w:b/>
                <w:sz w:val="18"/>
                <w:szCs w:val="18"/>
              </w:rPr>
              <w:t xml:space="preserve">o Coordinación General </w:t>
            </w:r>
            <w:r w:rsidR="00D23BD5" w:rsidRPr="00CD5BDD">
              <w:rPr>
                <w:rFonts w:ascii="ITC Avant Garde" w:hAnsi="ITC Avant Garde" w:cs="Arial"/>
                <w:b/>
                <w:sz w:val="18"/>
                <w:szCs w:val="18"/>
              </w:rPr>
              <w:t>del Instituto</w:t>
            </w:r>
            <w:r w:rsidRPr="00CD5BDD">
              <w:rPr>
                <w:rFonts w:ascii="ITC Avant Garde" w:hAnsi="ITC Avant Garde" w:cs="Arial"/>
                <w:b/>
                <w:sz w:val="18"/>
                <w:szCs w:val="18"/>
              </w:rPr>
              <w:t>:</w:t>
            </w:r>
          </w:p>
          <w:p w14:paraId="442F50ED" w14:textId="17F16A45" w:rsidR="0068307E" w:rsidRPr="00CD5BDD" w:rsidRDefault="00584D75" w:rsidP="00501ADF">
            <w:pPr>
              <w:jc w:val="both"/>
              <w:rPr>
                <w:rFonts w:ascii="ITC Avant Garde" w:hAnsi="ITC Avant Garde" w:cs="Arial"/>
                <w:sz w:val="18"/>
                <w:szCs w:val="18"/>
              </w:rPr>
            </w:pPr>
            <w:r w:rsidRPr="00CD5BDD">
              <w:rPr>
                <w:rFonts w:ascii="ITC Avant Garde" w:hAnsi="ITC Avant Garde" w:cs="Arial"/>
                <w:sz w:val="18"/>
                <w:szCs w:val="18"/>
              </w:rPr>
              <w:t>Unidad de Competencia Económica</w:t>
            </w:r>
            <w:r w:rsidR="00EC36AA" w:rsidRPr="00CD5BDD">
              <w:rPr>
                <w:rFonts w:ascii="ITC Avant Garde" w:hAnsi="ITC Avant Garde" w:cs="Arial"/>
                <w:sz w:val="18"/>
                <w:szCs w:val="18"/>
              </w:rPr>
              <w:t xml:space="preserve"> y Autoridad Investigadora</w:t>
            </w:r>
          </w:p>
        </w:tc>
        <w:tc>
          <w:tcPr>
            <w:tcW w:w="6139" w:type="dxa"/>
            <w:gridSpan w:val="2"/>
            <w:shd w:val="clear" w:color="auto" w:fill="DBDBDB" w:themeFill="accent3" w:themeFillTint="66"/>
          </w:tcPr>
          <w:p w14:paraId="664079D9" w14:textId="77777777" w:rsidR="00501ADF" w:rsidRPr="00CD5BDD" w:rsidRDefault="00D23BD5" w:rsidP="00501ADF">
            <w:pPr>
              <w:jc w:val="both"/>
              <w:rPr>
                <w:rFonts w:ascii="ITC Avant Garde" w:hAnsi="ITC Avant Garde" w:cs="Arial"/>
                <w:b/>
                <w:sz w:val="18"/>
                <w:szCs w:val="18"/>
              </w:rPr>
            </w:pPr>
            <w:r w:rsidRPr="00CD5BDD">
              <w:rPr>
                <w:rFonts w:ascii="ITC Avant Garde" w:hAnsi="ITC Avant Garde" w:cs="Arial"/>
                <w:b/>
                <w:sz w:val="18"/>
                <w:szCs w:val="18"/>
              </w:rPr>
              <w:t xml:space="preserve">Título de la propuesta </w:t>
            </w:r>
            <w:r w:rsidR="00501ADF" w:rsidRPr="00CD5BDD">
              <w:rPr>
                <w:rFonts w:ascii="ITC Avant Garde" w:hAnsi="ITC Avant Garde" w:cs="Arial"/>
                <w:b/>
                <w:sz w:val="18"/>
                <w:szCs w:val="18"/>
              </w:rPr>
              <w:t>de regulación:</w:t>
            </w:r>
          </w:p>
          <w:p w14:paraId="528F6D4C" w14:textId="77777777" w:rsidR="0068307E" w:rsidRPr="00CD5BDD" w:rsidRDefault="0068307E" w:rsidP="00501ADF">
            <w:pPr>
              <w:jc w:val="both"/>
              <w:rPr>
                <w:rFonts w:ascii="ITC Avant Garde" w:hAnsi="ITC Avant Garde" w:cs="Arial"/>
                <w:b/>
                <w:sz w:val="18"/>
                <w:szCs w:val="18"/>
              </w:rPr>
            </w:pPr>
          </w:p>
          <w:p w14:paraId="752911B3" w14:textId="1D4EFF56" w:rsidR="00584D75" w:rsidRPr="00CD5BDD" w:rsidRDefault="00EC7621" w:rsidP="00584D75">
            <w:pPr>
              <w:jc w:val="both"/>
              <w:rPr>
                <w:rFonts w:ascii="ITC Avant Garde" w:hAnsi="ITC Avant Garde" w:cs="Arial"/>
                <w:sz w:val="18"/>
                <w:szCs w:val="18"/>
              </w:rPr>
            </w:pPr>
            <w:r w:rsidRPr="00CD5BDD">
              <w:rPr>
                <w:rFonts w:ascii="ITC Avant Garde" w:hAnsi="ITC Avant Garde" w:cs="Arial"/>
                <w:sz w:val="18"/>
                <w:szCs w:val="18"/>
              </w:rPr>
              <w:t>“</w:t>
            </w:r>
            <w:r w:rsidR="00C412DE" w:rsidRPr="00CD5BDD">
              <w:rPr>
                <w:rFonts w:ascii="ITC Avant Garde" w:hAnsi="ITC Avant Garde" w:cs="Arial"/>
                <w:sz w:val="18"/>
                <w:szCs w:val="18"/>
              </w:rPr>
              <w:t>GUÍA PARA DETERMINAR MERCADOS RELEVANTES EN LOS SECTORES DE TELECOMUNICACIONES Y RADIODIFUSIÓN</w:t>
            </w:r>
            <w:r w:rsidRPr="00CD5BDD">
              <w:rPr>
                <w:rFonts w:ascii="ITC Avant Garde" w:hAnsi="ITC Avant Garde" w:cs="Arial"/>
                <w:sz w:val="18"/>
                <w:szCs w:val="18"/>
              </w:rPr>
              <w:t>.”</w:t>
            </w:r>
          </w:p>
          <w:p w14:paraId="6360D2ED" w14:textId="77777777" w:rsidR="0068307E" w:rsidRPr="00CD5BDD" w:rsidRDefault="0068307E" w:rsidP="00501ADF">
            <w:pPr>
              <w:jc w:val="both"/>
              <w:rPr>
                <w:rFonts w:ascii="ITC Avant Garde" w:hAnsi="ITC Avant Garde" w:cs="Arial"/>
                <w:sz w:val="18"/>
                <w:szCs w:val="18"/>
              </w:rPr>
            </w:pPr>
          </w:p>
        </w:tc>
      </w:tr>
      <w:tr w:rsidR="0068307E" w:rsidRPr="00CD5BDD" w14:paraId="61C511B7" w14:textId="77777777" w:rsidTr="00D23BD5">
        <w:trPr>
          <w:trHeight w:val="889"/>
        </w:trPr>
        <w:tc>
          <w:tcPr>
            <w:tcW w:w="2689" w:type="dxa"/>
            <w:vMerge w:val="restart"/>
            <w:shd w:val="clear" w:color="auto" w:fill="DBDBDB" w:themeFill="accent3" w:themeFillTint="66"/>
          </w:tcPr>
          <w:p w14:paraId="5B0F634E" w14:textId="77777777" w:rsidR="0068307E" w:rsidRPr="00CD5BDD" w:rsidRDefault="00D23BD5" w:rsidP="00501ADF">
            <w:pPr>
              <w:jc w:val="both"/>
              <w:rPr>
                <w:rFonts w:ascii="ITC Avant Garde" w:hAnsi="ITC Avant Garde" w:cs="Arial"/>
                <w:b/>
                <w:sz w:val="18"/>
                <w:szCs w:val="18"/>
              </w:rPr>
            </w:pPr>
            <w:r w:rsidRPr="00CD5BDD">
              <w:rPr>
                <w:rFonts w:ascii="ITC Avant Garde" w:hAnsi="ITC Avant Garde" w:cs="Arial"/>
                <w:b/>
                <w:sz w:val="18"/>
                <w:szCs w:val="18"/>
              </w:rPr>
              <w:t>Responsable de la propuesta de regulación</w:t>
            </w:r>
            <w:r w:rsidR="0068307E" w:rsidRPr="00CD5BDD">
              <w:rPr>
                <w:rFonts w:ascii="ITC Avant Garde" w:hAnsi="ITC Avant Garde" w:cs="Arial"/>
                <w:b/>
                <w:sz w:val="18"/>
                <w:szCs w:val="18"/>
              </w:rPr>
              <w:t>:</w:t>
            </w:r>
          </w:p>
          <w:p w14:paraId="78618A50" w14:textId="77777777" w:rsidR="0068307E" w:rsidRPr="00CD5BDD" w:rsidRDefault="0068307E" w:rsidP="00501ADF">
            <w:pPr>
              <w:jc w:val="both"/>
              <w:rPr>
                <w:rFonts w:ascii="ITC Avant Garde" w:hAnsi="ITC Avant Garde" w:cs="Arial"/>
                <w:b/>
                <w:sz w:val="18"/>
                <w:szCs w:val="18"/>
              </w:rPr>
            </w:pPr>
          </w:p>
          <w:p w14:paraId="51041D3E" w14:textId="77777777" w:rsidR="00584D75" w:rsidRPr="00CD5BDD" w:rsidRDefault="00584D75" w:rsidP="00584D75">
            <w:pPr>
              <w:jc w:val="both"/>
              <w:rPr>
                <w:rFonts w:ascii="ITC Avant Garde" w:hAnsi="ITC Avant Garde" w:cs="Arial"/>
                <w:sz w:val="18"/>
                <w:szCs w:val="18"/>
              </w:rPr>
            </w:pPr>
            <w:r w:rsidRPr="00CD5BDD">
              <w:rPr>
                <w:rFonts w:ascii="ITC Avant Garde" w:hAnsi="ITC Avant Garde" w:cs="Arial"/>
                <w:sz w:val="18"/>
                <w:szCs w:val="18"/>
              </w:rPr>
              <w:t xml:space="preserve">Nombre: </w:t>
            </w:r>
          </w:p>
          <w:p w14:paraId="2C1547F0" w14:textId="445D5337" w:rsidR="00584D75" w:rsidRPr="00CD5BDD" w:rsidRDefault="00584D75" w:rsidP="00584D75">
            <w:pPr>
              <w:jc w:val="both"/>
              <w:rPr>
                <w:rFonts w:ascii="ITC Avant Garde" w:hAnsi="ITC Avant Garde" w:cs="Arial"/>
                <w:sz w:val="18"/>
                <w:szCs w:val="18"/>
              </w:rPr>
            </w:pPr>
            <w:r w:rsidRPr="00CD5BDD">
              <w:rPr>
                <w:rFonts w:ascii="ITC Avant Garde" w:hAnsi="ITC Avant Garde" w:cs="Arial"/>
                <w:sz w:val="18"/>
                <w:szCs w:val="18"/>
              </w:rPr>
              <w:t>Laura Elizabeth González Sanchez</w:t>
            </w:r>
          </w:p>
          <w:p w14:paraId="4B4E2FFC" w14:textId="49CB012C" w:rsidR="007B30CD" w:rsidRPr="00CD5BDD" w:rsidRDefault="007B30CD" w:rsidP="00584D75">
            <w:pPr>
              <w:jc w:val="both"/>
              <w:rPr>
                <w:rFonts w:ascii="ITC Avant Garde" w:hAnsi="ITC Avant Garde" w:cs="Arial"/>
                <w:sz w:val="18"/>
                <w:szCs w:val="18"/>
              </w:rPr>
            </w:pPr>
            <w:r w:rsidRPr="00CD5BDD">
              <w:rPr>
                <w:rFonts w:ascii="ITC Avant Garde" w:hAnsi="ITC Avant Garde" w:cs="Arial"/>
                <w:sz w:val="18"/>
                <w:szCs w:val="18"/>
              </w:rPr>
              <w:t>Teléfono:</w:t>
            </w:r>
          </w:p>
          <w:p w14:paraId="185985C4" w14:textId="351C46E9" w:rsidR="007B30CD" w:rsidRPr="00CD5BDD" w:rsidRDefault="002E0578" w:rsidP="007B30CD">
            <w:pPr>
              <w:jc w:val="both"/>
              <w:rPr>
                <w:rFonts w:ascii="ITC Avant Garde" w:hAnsi="ITC Avant Garde" w:cs="Arial"/>
                <w:sz w:val="18"/>
                <w:szCs w:val="18"/>
              </w:rPr>
            </w:pPr>
            <w:r w:rsidRPr="00CD5BDD">
              <w:rPr>
                <w:rFonts w:ascii="ITC Avant Garde" w:hAnsi="ITC Avant Garde" w:cs="Arial"/>
                <w:sz w:val="18"/>
                <w:szCs w:val="18"/>
              </w:rPr>
              <w:t>(</w:t>
            </w:r>
            <w:r w:rsidR="007B30CD" w:rsidRPr="00CD5BDD">
              <w:rPr>
                <w:rFonts w:ascii="ITC Avant Garde" w:hAnsi="ITC Avant Garde" w:cs="Arial"/>
                <w:sz w:val="18"/>
                <w:szCs w:val="18"/>
              </w:rPr>
              <w:t>55</w:t>
            </w:r>
            <w:r w:rsidRPr="00CD5BDD">
              <w:rPr>
                <w:rFonts w:ascii="ITC Avant Garde" w:hAnsi="ITC Avant Garde" w:cs="Arial"/>
                <w:sz w:val="18"/>
                <w:szCs w:val="18"/>
              </w:rPr>
              <w:t xml:space="preserve">) </w:t>
            </w:r>
            <w:r w:rsidR="007B30CD" w:rsidRPr="00CD5BDD">
              <w:rPr>
                <w:rFonts w:ascii="ITC Avant Garde" w:hAnsi="ITC Avant Garde" w:cs="Arial"/>
                <w:sz w:val="18"/>
                <w:szCs w:val="18"/>
              </w:rPr>
              <w:t>5015</w:t>
            </w:r>
            <w:r w:rsidRPr="00CD5BDD">
              <w:rPr>
                <w:rFonts w:ascii="ITC Avant Garde" w:hAnsi="ITC Avant Garde" w:cs="Arial"/>
                <w:sz w:val="18"/>
                <w:szCs w:val="18"/>
              </w:rPr>
              <w:t xml:space="preserve"> </w:t>
            </w:r>
            <w:r w:rsidR="007B30CD" w:rsidRPr="00CD5BDD">
              <w:rPr>
                <w:rFonts w:ascii="ITC Avant Garde" w:hAnsi="ITC Avant Garde" w:cs="Arial"/>
                <w:sz w:val="18"/>
                <w:szCs w:val="18"/>
              </w:rPr>
              <w:t>4325</w:t>
            </w:r>
          </w:p>
          <w:p w14:paraId="646A6CB5" w14:textId="6F8E6D85" w:rsidR="007B30CD" w:rsidRPr="00CD5BDD" w:rsidRDefault="007B30CD" w:rsidP="00584D75">
            <w:pPr>
              <w:jc w:val="both"/>
              <w:rPr>
                <w:rFonts w:ascii="ITC Avant Garde" w:hAnsi="ITC Avant Garde" w:cs="Arial"/>
                <w:sz w:val="18"/>
                <w:szCs w:val="18"/>
              </w:rPr>
            </w:pPr>
            <w:r w:rsidRPr="00CD5BDD">
              <w:rPr>
                <w:rFonts w:ascii="ITC Avant Garde" w:hAnsi="ITC Avant Garde" w:cs="Arial"/>
                <w:sz w:val="18"/>
                <w:szCs w:val="18"/>
              </w:rPr>
              <w:t>Correo electrónico:</w:t>
            </w:r>
          </w:p>
          <w:p w14:paraId="152A0100" w14:textId="77777777" w:rsidR="007B30CD" w:rsidRPr="00CD5BDD" w:rsidRDefault="007B30CD" w:rsidP="007B30CD">
            <w:pPr>
              <w:jc w:val="both"/>
              <w:rPr>
                <w:rFonts w:ascii="ITC Avant Garde" w:hAnsi="ITC Avant Garde" w:cs="Arial"/>
                <w:sz w:val="18"/>
                <w:szCs w:val="18"/>
              </w:rPr>
            </w:pPr>
            <w:r w:rsidRPr="00CD5BDD">
              <w:rPr>
                <w:rFonts w:ascii="ITC Avant Garde" w:hAnsi="ITC Avant Garde" w:cs="Arial"/>
                <w:sz w:val="18"/>
                <w:szCs w:val="18"/>
              </w:rPr>
              <w:t>laura.gonzalez@ift.org.mx</w:t>
            </w:r>
          </w:p>
          <w:p w14:paraId="460C7E3A" w14:textId="77777777" w:rsidR="007B30CD" w:rsidRPr="00CD5BDD" w:rsidRDefault="007B30CD" w:rsidP="00584D75">
            <w:pPr>
              <w:jc w:val="both"/>
              <w:rPr>
                <w:rFonts w:ascii="ITC Avant Garde" w:hAnsi="ITC Avant Garde" w:cs="Arial"/>
                <w:sz w:val="18"/>
                <w:szCs w:val="18"/>
              </w:rPr>
            </w:pPr>
          </w:p>
          <w:p w14:paraId="47759CA0" w14:textId="77777777" w:rsidR="00584D75" w:rsidRPr="00CD5BDD" w:rsidRDefault="00584D75" w:rsidP="00584D75">
            <w:pPr>
              <w:jc w:val="both"/>
              <w:rPr>
                <w:rFonts w:ascii="ITC Avant Garde" w:hAnsi="ITC Avant Garde" w:cs="Arial"/>
                <w:sz w:val="18"/>
                <w:szCs w:val="18"/>
              </w:rPr>
            </w:pPr>
            <w:r w:rsidRPr="00CD5BDD">
              <w:rPr>
                <w:rFonts w:ascii="ITC Avant Garde" w:hAnsi="ITC Avant Garde" w:cs="Arial"/>
                <w:sz w:val="18"/>
                <w:szCs w:val="18"/>
              </w:rPr>
              <w:t>Marisol Nava León</w:t>
            </w:r>
          </w:p>
          <w:p w14:paraId="0606892F" w14:textId="011E3AFA" w:rsidR="00584D75" w:rsidRPr="00CD5BDD" w:rsidRDefault="00584D75" w:rsidP="00584D75">
            <w:pPr>
              <w:jc w:val="both"/>
              <w:rPr>
                <w:rFonts w:ascii="ITC Avant Garde" w:hAnsi="ITC Avant Garde" w:cs="Arial"/>
                <w:sz w:val="18"/>
                <w:szCs w:val="18"/>
              </w:rPr>
            </w:pPr>
            <w:r w:rsidRPr="00CD5BDD">
              <w:rPr>
                <w:rFonts w:ascii="ITC Avant Garde" w:hAnsi="ITC Avant Garde" w:cs="Arial"/>
                <w:sz w:val="18"/>
                <w:szCs w:val="18"/>
              </w:rPr>
              <w:t xml:space="preserve">Teléfono: </w:t>
            </w:r>
          </w:p>
          <w:p w14:paraId="2586415C" w14:textId="036CAE97" w:rsidR="00584D75" w:rsidRPr="00CD5BDD" w:rsidRDefault="002E0578" w:rsidP="00584D75">
            <w:pPr>
              <w:jc w:val="both"/>
              <w:rPr>
                <w:rFonts w:ascii="ITC Avant Garde" w:hAnsi="ITC Avant Garde" w:cs="Arial"/>
                <w:sz w:val="18"/>
                <w:szCs w:val="18"/>
              </w:rPr>
            </w:pPr>
            <w:r w:rsidRPr="00CD5BDD">
              <w:rPr>
                <w:rFonts w:ascii="ITC Avant Garde" w:hAnsi="ITC Avant Garde" w:cs="Arial"/>
                <w:sz w:val="18"/>
                <w:szCs w:val="18"/>
              </w:rPr>
              <w:t>(</w:t>
            </w:r>
            <w:r w:rsidR="00584D75" w:rsidRPr="00CD5BDD">
              <w:rPr>
                <w:rFonts w:ascii="ITC Avant Garde" w:hAnsi="ITC Avant Garde" w:cs="Arial"/>
                <w:sz w:val="18"/>
                <w:szCs w:val="18"/>
              </w:rPr>
              <w:t>55</w:t>
            </w:r>
            <w:r w:rsidRPr="00CD5BDD">
              <w:rPr>
                <w:rFonts w:ascii="ITC Avant Garde" w:hAnsi="ITC Avant Garde" w:cs="Arial"/>
                <w:sz w:val="18"/>
                <w:szCs w:val="18"/>
              </w:rPr>
              <w:t xml:space="preserve">) </w:t>
            </w:r>
            <w:r w:rsidR="00584D75" w:rsidRPr="00CD5BDD">
              <w:rPr>
                <w:rFonts w:ascii="ITC Avant Garde" w:hAnsi="ITC Avant Garde" w:cs="Arial"/>
                <w:sz w:val="18"/>
                <w:szCs w:val="18"/>
              </w:rPr>
              <w:t>5015</w:t>
            </w:r>
            <w:r w:rsidRPr="00CD5BDD">
              <w:rPr>
                <w:rFonts w:ascii="ITC Avant Garde" w:hAnsi="ITC Avant Garde" w:cs="Arial"/>
                <w:sz w:val="18"/>
                <w:szCs w:val="18"/>
              </w:rPr>
              <w:t xml:space="preserve"> 4576</w:t>
            </w:r>
          </w:p>
          <w:p w14:paraId="2A863C5E" w14:textId="7B960D46" w:rsidR="00584D75" w:rsidRPr="00CD5BDD" w:rsidRDefault="00584D75" w:rsidP="00584D75">
            <w:pPr>
              <w:jc w:val="both"/>
              <w:rPr>
                <w:rFonts w:ascii="ITC Avant Garde" w:hAnsi="ITC Avant Garde" w:cs="Arial"/>
                <w:sz w:val="18"/>
                <w:szCs w:val="18"/>
              </w:rPr>
            </w:pPr>
            <w:r w:rsidRPr="00CD5BDD">
              <w:rPr>
                <w:rFonts w:ascii="ITC Avant Garde" w:hAnsi="ITC Avant Garde" w:cs="Arial"/>
                <w:sz w:val="18"/>
                <w:szCs w:val="18"/>
              </w:rPr>
              <w:t xml:space="preserve">Correo electrónico: </w:t>
            </w:r>
          </w:p>
          <w:p w14:paraId="315DF62B" w14:textId="77777777" w:rsidR="00584D75" w:rsidRPr="00CD5BDD" w:rsidRDefault="00584D75" w:rsidP="00584D75">
            <w:pPr>
              <w:jc w:val="both"/>
              <w:rPr>
                <w:rFonts w:ascii="ITC Avant Garde" w:hAnsi="ITC Avant Garde" w:cs="Arial"/>
                <w:sz w:val="18"/>
                <w:szCs w:val="18"/>
              </w:rPr>
            </w:pPr>
            <w:r w:rsidRPr="00CD5BDD">
              <w:rPr>
                <w:rFonts w:ascii="ITC Avant Garde" w:hAnsi="ITC Avant Garde" w:cs="Arial"/>
                <w:sz w:val="18"/>
                <w:szCs w:val="18"/>
              </w:rPr>
              <w:t>marisol.nava@ift.org.mx</w:t>
            </w:r>
          </w:p>
          <w:p w14:paraId="3FAE8274" w14:textId="77777777" w:rsidR="0068307E" w:rsidRPr="00CD5BDD" w:rsidRDefault="0068307E" w:rsidP="00584D75">
            <w:pPr>
              <w:jc w:val="both"/>
              <w:rPr>
                <w:rFonts w:ascii="ITC Avant Garde" w:hAnsi="ITC Avant Garde" w:cs="Arial"/>
                <w:b/>
                <w:sz w:val="18"/>
                <w:szCs w:val="18"/>
              </w:rPr>
            </w:pPr>
          </w:p>
        </w:tc>
        <w:tc>
          <w:tcPr>
            <w:tcW w:w="3118" w:type="dxa"/>
            <w:shd w:val="clear" w:color="auto" w:fill="DBDBDB" w:themeFill="accent3" w:themeFillTint="66"/>
            <w:vAlign w:val="center"/>
          </w:tcPr>
          <w:p w14:paraId="24CF7A41" w14:textId="77777777" w:rsidR="0068307E" w:rsidRPr="00CD5BDD" w:rsidRDefault="0068307E" w:rsidP="008A48B0">
            <w:pPr>
              <w:jc w:val="both"/>
              <w:rPr>
                <w:rFonts w:ascii="ITC Avant Garde" w:hAnsi="ITC Avant Garde" w:cs="Arial"/>
                <w:b/>
                <w:sz w:val="18"/>
                <w:szCs w:val="18"/>
              </w:rPr>
            </w:pPr>
            <w:r w:rsidRPr="00CD5BDD">
              <w:rPr>
                <w:rFonts w:ascii="ITC Avant Garde" w:hAnsi="ITC Avant Garde" w:cs="Arial"/>
                <w:b/>
                <w:sz w:val="18"/>
                <w:szCs w:val="18"/>
              </w:rPr>
              <w:t>Fecha de elaboración</w:t>
            </w:r>
            <w:r w:rsidR="00D23BD5" w:rsidRPr="00CD5BDD">
              <w:rPr>
                <w:rFonts w:ascii="ITC Avant Garde" w:hAnsi="ITC Avant Garde" w:cs="Arial"/>
                <w:b/>
                <w:sz w:val="18"/>
                <w:szCs w:val="18"/>
              </w:rPr>
              <w:t xml:space="preserve"> del análisis de nulo impacto regulatorio</w:t>
            </w:r>
            <w:r w:rsidRPr="00CD5BDD">
              <w:rPr>
                <w:rFonts w:ascii="ITC Avant Garde" w:hAnsi="ITC Avant Garde" w:cs="Arial"/>
                <w:b/>
                <w:sz w:val="18"/>
                <w:szCs w:val="18"/>
              </w:rPr>
              <w:t>:</w:t>
            </w:r>
          </w:p>
        </w:tc>
        <w:tc>
          <w:tcPr>
            <w:tcW w:w="3021" w:type="dxa"/>
            <w:shd w:val="clear" w:color="auto" w:fill="DBDBDB" w:themeFill="accent3" w:themeFillTint="66"/>
            <w:vAlign w:val="center"/>
          </w:tcPr>
          <w:p w14:paraId="4691C87C" w14:textId="1A690088" w:rsidR="0068307E" w:rsidRPr="00CD5BDD" w:rsidRDefault="00A917FD" w:rsidP="0068307E">
            <w:pPr>
              <w:jc w:val="center"/>
              <w:rPr>
                <w:rFonts w:ascii="ITC Avant Garde" w:hAnsi="ITC Avant Garde" w:cs="Arial"/>
                <w:sz w:val="18"/>
                <w:szCs w:val="18"/>
              </w:rPr>
            </w:pPr>
            <w:r w:rsidRPr="00CD5BDD">
              <w:rPr>
                <w:rFonts w:ascii="ITC Avant Garde" w:hAnsi="ITC Avant Garde" w:cs="Arial"/>
                <w:sz w:val="18"/>
                <w:szCs w:val="18"/>
              </w:rPr>
              <w:t>18</w:t>
            </w:r>
            <w:r w:rsidR="00584D75" w:rsidRPr="00CD5BDD">
              <w:rPr>
                <w:rFonts w:ascii="ITC Avant Garde" w:hAnsi="ITC Avant Garde" w:cs="Arial"/>
                <w:sz w:val="18"/>
                <w:szCs w:val="18"/>
              </w:rPr>
              <w:t>/</w:t>
            </w:r>
            <w:r w:rsidRPr="00CD5BDD">
              <w:rPr>
                <w:rFonts w:ascii="ITC Avant Garde" w:hAnsi="ITC Avant Garde" w:cs="Arial"/>
                <w:sz w:val="18"/>
                <w:szCs w:val="18"/>
              </w:rPr>
              <w:t>10</w:t>
            </w:r>
            <w:r w:rsidR="00584D75" w:rsidRPr="00CD5BDD">
              <w:rPr>
                <w:rFonts w:ascii="ITC Avant Garde" w:hAnsi="ITC Avant Garde" w:cs="Arial"/>
                <w:sz w:val="18"/>
                <w:szCs w:val="18"/>
              </w:rPr>
              <w:t>/2021</w:t>
            </w:r>
          </w:p>
        </w:tc>
      </w:tr>
      <w:tr w:rsidR="0068307E" w:rsidRPr="00CD5BDD" w14:paraId="0AF74691" w14:textId="77777777" w:rsidTr="00D23BD5">
        <w:trPr>
          <w:trHeight w:val="390"/>
        </w:trPr>
        <w:tc>
          <w:tcPr>
            <w:tcW w:w="2689" w:type="dxa"/>
            <w:vMerge/>
            <w:shd w:val="clear" w:color="auto" w:fill="DBDBDB" w:themeFill="accent3" w:themeFillTint="66"/>
          </w:tcPr>
          <w:p w14:paraId="60457D0F" w14:textId="77777777" w:rsidR="0068307E" w:rsidRPr="00CD5BDD" w:rsidRDefault="0068307E" w:rsidP="00501ADF">
            <w:pPr>
              <w:jc w:val="both"/>
              <w:rPr>
                <w:rFonts w:ascii="ITC Avant Garde" w:hAnsi="ITC Avant Garde" w:cs="Arial"/>
                <w:sz w:val="18"/>
                <w:szCs w:val="18"/>
              </w:rPr>
            </w:pPr>
          </w:p>
        </w:tc>
        <w:tc>
          <w:tcPr>
            <w:tcW w:w="3118" w:type="dxa"/>
            <w:shd w:val="clear" w:color="auto" w:fill="DBDBDB" w:themeFill="accent3" w:themeFillTint="66"/>
            <w:vAlign w:val="center"/>
          </w:tcPr>
          <w:p w14:paraId="64DB91A6" w14:textId="77777777" w:rsidR="0068307E" w:rsidRPr="00CD5BDD" w:rsidRDefault="0049127C" w:rsidP="0049127C">
            <w:pPr>
              <w:jc w:val="both"/>
              <w:rPr>
                <w:rFonts w:ascii="ITC Avant Garde" w:hAnsi="ITC Avant Garde" w:cs="Arial"/>
                <w:b/>
                <w:sz w:val="18"/>
                <w:szCs w:val="18"/>
              </w:rPr>
            </w:pPr>
            <w:r w:rsidRPr="00CD5BDD">
              <w:rPr>
                <w:rFonts w:ascii="ITC Avant Garde" w:hAnsi="ITC Avant Garde" w:cs="Arial"/>
                <w:b/>
                <w:sz w:val="18"/>
                <w:szCs w:val="18"/>
              </w:rPr>
              <w:t>En su caso, f</w:t>
            </w:r>
            <w:r w:rsidR="0068307E" w:rsidRPr="00CD5BDD">
              <w:rPr>
                <w:rFonts w:ascii="ITC Avant Garde" w:hAnsi="ITC Avant Garde" w:cs="Arial"/>
                <w:b/>
                <w:sz w:val="18"/>
                <w:szCs w:val="18"/>
              </w:rPr>
              <w:t xml:space="preserve">echa de inicio </w:t>
            </w:r>
            <w:r w:rsidR="00D23BD5" w:rsidRPr="00CD5BDD">
              <w:rPr>
                <w:rFonts w:ascii="ITC Avant Garde" w:hAnsi="ITC Avant Garde" w:cs="Arial"/>
                <w:b/>
                <w:sz w:val="18"/>
                <w:szCs w:val="18"/>
              </w:rPr>
              <w:t xml:space="preserve">y conclusión </w:t>
            </w:r>
            <w:r w:rsidR="0068307E" w:rsidRPr="00CD5BDD">
              <w:rPr>
                <w:rFonts w:ascii="ITC Avant Garde" w:hAnsi="ITC Avant Garde" w:cs="Arial"/>
                <w:b/>
                <w:sz w:val="18"/>
                <w:szCs w:val="18"/>
              </w:rPr>
              <w:t>de la consulta pública:</w:t>
            </w:r>
          </w:p>
        </w:tc>
        <w:tc>
          <w:tcPr>
            <w:tcW w:w="3021" w:type="dxa"/>
            <w:shd w:val="clear" w:color="auto" w:fill="DBDBDB" w:themeFill="accent3" w:themeFillTint="66"/>
            <w:vAlign w:val="center"/>
          </w:tcPr>
          <w:p w14:paraId="566F680B" w14:textId="322711FD" w:rsidR="0068307E" w:rsidRPr="00CD5BDD" w:rsidRDefault="00A917FD" w:rsidP="0068307E">
            <w:pPr>
              <w:jc w:val="center"/>
              <w:rPr>
                <w:rFonts w:ascii="ITC Avant Garde" w:hAnsi="ITC Avant Garde" w:cs="Arial"/>
                <w:sz w:val="18"/>
                <w:szCs w:val="18"/>
              </w:rPr>
            </w:pPr>
            <w:r w:rsidRPr="00CD5BDD">
              <w:rPr>
                <w:rFonts w:ascii="ITC Avant Garde" w:hAnsi="ITC Avant Garde" w:cs="Arial"/>
                <w:sz w:val="18"/>
                <w:szCs w:val="18"/>
              </w:rPr>
              <w:t>12/07/2021 al 03/09/2021</w:t>
            </w:r>
          </w:p>
        </w:tc>
      </w:tr>
    </w:tbl>
    <w:p w14:paraId="4B5AD09D" w14:textId="77777777" w:rsidR="00501ADF" w:rsidRPr="00CD5BDD" w:rsidRDefault="00501ADF" w:rsidP="00501ADF">
      <w:pPr>
        <w:jc w:val="both"/>
        <w:rPr>
          <w:rFonts w:ascii="ITC Avant Garde" w:hAnsi="ITC Avant Garde"/>
          <w:sz w:val="18"/>
          <w:szCs w:val="18"/>
        </w:rPr>
      </w:pPr>
    </w:p>
    <w:p w14:paraId="7601E9C1" w14:textId="0BB573C6" w:rsidR="001932FC" w:rsidRPr="00CD5BDD" w:rsidRDefault="001932FC" w:rsidP="0068307E">
      <w:pPr>
        <w:shd w:val="clear" w:color="auto" w:fill="A8D08D" w:themeFill="accent6" w:themeFillTint="99"/>
        <w:jc w:val="both"/>
        <w:rPr>
          <w:rFonts w:ascii="ITC Avant Garde" w:hAnsi="ITC Avant Garde" w:cs="Arial"/>
          <w:b/>
          <w:sz w:val="18"/>
          <w:szCs w:val="18"/>
        </w:rPr>
      </w:pPr>
      <w:r w:rsidRPr="00CD5BDD">
        <w:rPr>
          <w:rFonts w:ascii="ITC Avant Garde" w:hAnsi="ITC Avant Garde" w:cs="Arial"/>
          <w:b/>
          <w:sz w:val="18"/>
          <w:szCs w:val="18"/>
        </w:rPr>
        <w:t xml:space="preserve">I. DEFINICIÓN DEL PROBLEMA Y OBJETIVOS GENERALES DE LA </w:t>
      </w:r>
      <w:r w:rsidR="00D23BD5" w:rsidRPr="00CD5BDD">
        <w:rPr>
          <w:rFonts w:ascii="ITC Avant Garde" w:hAnsi="ITC Avant Garde" w:cs="Arial"/>
          <w:b/>
          <w:sz w:val="18"/>
          <w:szCs w:val="18"/>
        </w:rPr>
        <w:t xml:space="preserve">PROPUESTA DE </w:t>
      </w:r>
      <w:r w:rsidRPr="00CD5BDD">
        <w:rPr>
          <w:rFonts w:ascii="ITC Avant Garde" w:hAnsi="ITC Avant Garde" w:cs="Arial"/>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CD5BDD" w14:paraId="446A9369" w14:textId="77777777" w:rsidTr="008A48B0">
        <w:tc>
          <w:tcPr>
            <w:tcW w:w="8828" w:type="dxa"/>
            <w:shd w:val="clear" w:color="auto" w:fill="FFFFFF" w:themeFill="background1"/>
          </w:tcPr>
          <w:p w14:paraId="42717F55" w14:textId="3B3F928D" w:rsidR="001932FC" w:rsidRPr="00C6341C" w:rsidRDefault="001932FC" w:rsidP="008A48B0">
            <w:pPr>
              <w:shd w:val="clear" w:color="auto" w:fill="FFFFFF" w:themeFill="background1"/>
              <w:jc w:val="both"/>
              <w:rPr>
                <w:rFonts w:ascii="ITC Avant Garde" w:hAnsi="ITC Avant Garde" w:cs="Arial"/>
                <w:b/>
                <w:sz w:val="18"/>
                <w:szCs w:val="18"/>
              </w:rPr>
            </w:pPr>
            <w:r w:rsidRPr="00C6341C">
              <w:rPr>
                <w:rFonts w:ascii="ITC Avant Garde" w:hAnsi="ITC Avant Garde" w:cs="Arial"/>
                <w:b/>
                <w:sz w:val="18"/>
                <w:szCs w:val="18"/>
              </w:rPr>
              <w:t>1.</w:t>
            </w:r>
            <w:r w:rsidR="00E6080B" w:rsidRPr="00C6341C">
              <w:rPr>
                <w:rFonts w:ascii="ITC Avant Garde" w:hAnsi="ITC Avant Garde" w:cs="Arial"/>
                <w:b/>
                <w:sz w:val="18"/>
                <w:szCs w:val="18"/>
              </w:rPr>
              <w:t>-</w:t>
            </w:r>
            <w:r w:rsidRPr="00C6341C">
              <w:rPr>
                <w:rFonts w:ascii="ITC Avant Garde" w:hAnsi="ITC Avant Garde" w:cs="Arial"/>
                <w:b/>
                <w:sz w:val="18"/>
                <w:szCs w:val="18"/>
              </w:rPr>
              <w:t xml:space="preserve"> </w:t>
            </w:r>
            <w:r w:rsidR="00D221B5" w:rsidRPr="00C6341C">
              <w:rPr>
                <w:rFonts w:ascii="ITC Avant Garde" w:hAnsi="ITC Avant Garde" w:cs="Arial"/>
                <w:b/>
                <w:sz w:val="18"/>
                <w:szCs w:val="18"/>
              </w:rPr>
              <w:t xml:space="preserve">Explique brevemente </w:t>
            </w:r>
            <w:r w:rsidR="00BE7D1C" w:rsidRPr="00C6341C">
              <w:rPr>
                <w:rFonts w:ascii="ITC Avant Garde" w:hAnsi="ITC Avant Garde" w:cs="Arial"/>
                <w:b/>
                <w:sz w:val="18"/>
                <w:szCs w:val="18"/>
              </w:rPr>
              <w:t xml:space="preserve">la problemática que pretende prevenir o resolver la propuesta de regulación, así como </w:t>
            </w:r>
            <w:r w:rsidR="00D221B5" w:rsidRPr="00C6341C">
              <w:rPr>
                <w:rFonts w:ascii="ITC Avant Garde" w:hAnsi="ITC Avant Garde" w:cs="Arial"/>
                <w:b/>
                <w:sz w:val="18"/>
                <w:szCs w:val="18"/>
              </w:rPr>
              <w:t xml:space="preserve">en qué consiste </w:t>
            </w:r>
            <w:r w:rsidR="005319D5" w:rsidRPr="00C6341C">
              <w:rPr>
                <w:rFonts w:ascii="ITC Avant Garde" w:hAnsi="ITC Avant Garde" w:cs="Arial"/>
                <w:b/>
                <w:sz w:val="18"/>
                <w:szCs w:val="18"/>
              </w:rPr>
              <w:t xml:space="preserve">ésta </w:t>
            </w:r>
            <w:r w:rsidR="00BE7D1C" w:rsidRPr="00C6341C">
              <w:rPr>
                <w:rFonts w:ascii="ITC Avant Garde" w:hAnsi="ITC Avant Garde" w:cs="Arial"/>
                <w:b/>
                <w:sz w:val="18"/>
                <w:szCs w:val="18"/>
              </w:rPr>
              <w:t>y</w:t>
            </w:r>
            <w:r w:rsidR="00D221B5" w:rsidRPr="00C6341C">
              <w:rPr>
                <w:rFonts w:ascii="ITC Avant Garde" w:hAnsi="ITC Avant Garde" w:cs="Arial"/>
                <w:b/>
                <w:sz w:val="18"/>
                <w:szCs w:val="18"/>
              </w:rPr>
              <w:t xml:space="preserve"> sus objetivos generales</w:t>
            </w:r>
            <w:r w:rsidRPr="00C6341C">
              <w:rPr>
                <w:rFonts w:ascii="ITC Avant Garde" w:hAnsi="ITC Avant Garde" w:cs="Arial"/>
                <w:b/>
                <w:sz w:val="18"/>
                <w:szCs w:val="18"/>
              </w:rPr>
              <w:t>:</w:t>
            </w:r>
          </w:p>
          <w:p w14:paraId="5D3CFA00" w14:textId="1659B486" w:rsidR="00584D75" w:rsidRPr="00C6341C" w:rsidRDefault="00584D75" w:rsidP="00584D75">
            <w:pPr>
              <w:shd w:val="clear" w:color="auto" w:fill="FFFFFF" w:themeFill="background1"/>
              <w:jc w:val="both"/>
              <w:rPr>
                <w:rFonts w:ascii="ITC Avant Garde" w:hAnsi="ITC Avant Garde" w:cs="Arial"/>
                <w:sz w:val="18"/>
                <w:szCs w:val="18"/>
              </w:rPr>
            </w:pPr>
            <w:r w:rsidRPr="00C6341C">
              <w:rPr>
                <w:rFonts w:ascii="ITC Avant Garde" w:hAnsi="ITC Avant Garde" w:cs="Arial"/>
                <w:sz w:val="18"/>
                <w:szCs w:val="18"/>
              </w:rPr>
              <w:t xml:space="preserve">La Ley Federal de Competencia Económica (LFCE) y las Disposiciones Regulatorias de la Ley Federal de Competencia Económica para los sectores de telecomunicaciones y radiodifusión (DRLFCE) contienen criterios para la definición del Mercado Relevante (MR). No obstante, la aplicación que realiza el Instituto </w:t>
            </w:r>
            <w:r w:rsidR="00EC36AA" w:rsidRPr="00C6341C">
              <w:rPr>
                <w:rFonts w:ascii="ITC Avant Garde" w:hAnsi="ITC Avant Garde" w:cs="Arial"/>
                <w:sz w:val="18"/>
                <w:szCs w:val="18"/>
              </w:rPr>
              <w:t>Federal de Telecomunicaciones (</w:t>
            </w:r>
            <w:r w:rsidRPr="00C6341C">
              <w:rPr>
                <w:rFonts w:ascii="ITC Avant Garde" w:hAnsi="ITC Avant Garde" w:cs="Arial"/>
                <w:sz w:val="18"/>
                <w:szCs w:val="18"/>
              </w:rPr>
              <w:t>Instituto</w:t>
            </w:r>
            <w:r w:rsidR="00EC36AA" w:rsidRPr="00C6341C">
              <w:rPr>
                <w:rFonts w:ascii="ITC Avant Garde" w:hAnsi="ITC Avant Garde" w:cs="Arial"/>
                <w:sz w:val="18"/>
                <w:szCs w:val="18"/>
              </w:rPr>
              <w:t>)</w:t>
            </w:r>
            <w:r w:rsidRPr="00C6341C">
              <w:rPr>
                <w:rFonts w:ascii="ITC Avant Garde" w:hAnsi="ITC Avant Garde" w:cs="Arial"/>
                <w:sz w:val="18"/>
                <w:szCs w:val="18"/>
              </w:rPr>
              <w:t xml:space="preserve"> de dichos criterios puede resultar abstracta para los agentes económicos</w:t>
            </w:r>
            <w:r w:rsidR="005D1E9A" w:rsidRPr="00C6341C">
              <w:rPr>
                <w:rFonts w:ascii="ITC Avant Garde" w:hAnsi="ITC Avant Garde" w:cs="Arial"/>
                <w:sz w:val="18"/>
                <w:szCs w:val="18"/>
              </w:rPr>
              <w:t>, interesados</w:t>
            </w:r>
            <w:r w:rsidRPr="00C6341C">
              <w:rPr>
                <w:rFonts w:ascii="ITC Avant Garde" w:hAnsi="ITC Avant Garde" w:cs="Arial"/>
                <w:sz w:val="18"/>
                <w:szCs w:val="18"/>
              </w:rPr>
              <w:t xml:space="preserve"> o el público en general.</w:t>
            </w:r>
          </w:p>
          <w:p w14:paraId="074FAC4B" w14:textId="77777777" w:rsidR="00584D75" w:rsidRPr="00C6341C" w:rsidRDefault="00584D75" w:rsidP="00584D75">
            <w:pPr>
              <w:jc w:val="both"/>
              <w:rPr>
                <w:rFonts w:ascii="ITC Avant Garde" w:hAnsi="ITC Avant Garde" w:cs="Arial"/>
                <w:sz w:val="18"/>
                <w:szCs w:val="18"/>
              </w:rPr>
            </w:pPr>
          </w:p>
          <w:p w14:paraId="16916801" w14:textId="411C168B" w:rsidR="00584D75" w:rsidRPr="00C6341C" w:rsidRDefault="00584D75" w:rsidP="00584D75">
            <w:pPr>
              <w:jc w:val="both"/>
              <w:rPr>
                <w:rFonts w:ascii="ITC Avant Garde" w:hAnsi="ITC Avant Garde" w:cs="Arial"/>
                <w:sz w:val="18"/>
                <w:szCs w:val="18"/>
              </w:rPr>
            </w:pPr>
            <w:r w:rsidRPr="00C6341C">
              <w:rPr>
                <w:rFonts w:ascii="ITC Avant Garde" w:hAnsi="ITC Avant Garde" w:cs="Arial"/>
                <w:sz w:val="18"/>
                <w:szCs w:val="18"/>
              </w:rPr>
              <w:t xml:space="preserve">En ese contexto, </w:t>
            </w:r>
            <w:r w:rsidR="007C652B" w:rsidRPr="00C6341C">
              <w:rPr>
                <w:rFonts w:ascii="ITC Avant Garde" w:hAnsi="ITC Avant Garde" w:cs="Arial"/>
                <w:sz w:val="18"/>
                <w:szCs w:val="18"/>
              </w:rPr>
              <w:t xml:space="preserve">el proyecto de </w:t>
            </w:r>
            <w:r w:rsidR="00314E4C" w:rsidRPr="00C6341C">
              <w:rPr>
                <w:rFonts w:ascii="ITC Avant Garde" w:hAnsi="ITC Avant Garde" w:cs="Arial"/>
                <w:sz w:val="18"/>
                <w:szCs w:val="18"/>
              </w:rPr>
              <w:t>GUÍA PARA DETERMINAR MERCADOS RELEVANTES EN LOS SECTORES DE TELECOMUNICACIONES Y RADIODIFUSIÓN</w:t>
            </w:r>
            <w:r w:rsidR="005A1499" w:rsidRPr="00C6341C">
              <w:rPr>
                <w:rFonts w:ascii="ITC Avant Garde" w:hAnsi="ITC Avant Garde" w:cs="Arial"/>
                <w:sz w:val="18"/>
                <w:szCs w:val="18"/>
              </w:rPr>
              <w:t>”</w:t>
            </w:r>
            <w:r w:rsidR="00314E4C" w:rsidRPr="00C6341C">
              <w:rPr>
                <w:rFonts w:ascii="ITC Avant Garde" w:hAnsi="ITC Avant Garde" w:cs="Arial"/>
                <w:sz w:val="18"/>
                <w:szCs w:val="18"/>
              </w:rPr>
              <w:t xml:space="preserve"> (</w:t>
            </w:r>
            <w:r w:rsidR="007C0EF8" w:rsidRPr="00C6341C">
              <w:rPr>
                <w:rFonts w:ascii="ITC Avant Garde" w:hAnsi="ITC Avant Garde" w:cs="Arial"/>
                <w:sz w:val="18"/>
                <w:szCs w:val="18"/>
              </w:rPr>
              <w:t xml:space="preserve">Proyecto de </w:t>
            </w:r>
            <w:r w:rsidR="00543712" w:rsidRPr="00C6341C">
              <w:rPr>
                <w:rFonts w:ascii="ITC Avant Garde" w:hAnsi="ITC Avant Garde" w:cs="Arial"/>
                <w:sz w:val="18"/>
                <w:szCs w:val="18"/>
              </w:rPr>
              <w:t>Guía</w:t>
            </w:r>
            <w:r w:rsidR="00314E4C" w:rsidRPr="00C6341C">
              <w:rPr>
                <w:rFonts w:ascii="ITC Avant Garde" w:hAnsi="ITC Avant Garde" w:cs="Arial"/>
                <w:sz w:val="18"/>
                <w:szCs w:val="18"/>
              </w:rPr>
              <w:t>)</w:t>
            </w:r>
            <w:r w:rsidRPr="00C6341C">
              <w:rPr>
                <w:rFonts w:ascii="ITC Avant Garde" w:hAnsi="ITC Avant Garde" w:cs="Arial"/>
                <w:sz w:val="18"/>
                <w:szCs w:val="18"/>
              </w:rPr>
              <w:t xml:space="preserve"> es un documento de carácter orientativo, no vinculante, que identifica y describe elementos metodológicos de referencia que el Instituto utiliza y podrá utilizar para determinar</w:t>
            </w:r>
            <w:r w:rsidR="00896A71" w:rsidRPr="00C6341C">
              <w:rPr>
                <w:rFonts w:ascii="ITC Avant Garde" w:hAnsi="ITC Avant Garde" w:cs="Arial"/>
                <w:sz w:val="18"/>
                <w:szCs w:val="18"/>
              </w:rPr>
              <w:t xml:space="preserve"> el</w:t>
            </w:r>
            <w:r w:rsidRPr="00C6341C">
              <w:rPr>
                <w:rFonts w:ascii="ITC Avant Garde" w:hAnsi="ITC Avant Garde" w:cs="Arial"/>
                <w:sz w:val="18"/>
                <w:szCs w:val="18"/>
              </w:rPr>
              <w:t xml:space="preserve"> MR, en estricto apego a los elementos establecidos en la LFCE y las DRLFCE. </w:t>
            </w:r>
          </w:p>
          <w:p w14:paraId="634FAF06" w14:textId="77777777" w:rsidR="00584D75" w:rsidRPr="00C6341C" w:rsidRDefault="00584D75" w:rsidP="00584D75">
            <w:pPr>
              <w:jc w:val="both"/>
              <w:rPr>
                <w:rFonts w:ascii="ITC Avant Garde" w:hAnsi="ITC Avant Garde" w:cs="Arial"/>
                <w:sz w:val="18"/>
                <w:szCs w:val="18"/>
              </w:rPr>
            </w:pPr>
          </w:p>
          <w:p w14:paraId="172EC137" w14:textId="70603F74" w:rsidR="001932FC" w:rsidRPr="00C6341C" w:rsidRDefault="00584D75" w:rsidP="00584D75">
            <w:pPr>
              <w:shd w:val="clear" w:color="auto" w:fill="FFFFFF" w:themeFill="background1"/>
              <w:jc w:val="both"/>
              <w:rPr>
                <w:rFonts w:ascii="ITC Avant Garde" w:hAnsi="ITC Avant Garde" w:cs="Arial"/>
                <w:sz w:val="18"/>
                <w:szCs w:val="18"/>
              </w:rPr>
            </w:pPr>
            <w:r w:rsidRPr="00C6341C">
              <w:rPr>
                <w:rFonts w:ascii="ITC Avant Garde" w:hAnsi="ITC Avant Garde" w:cs="Arial"/>
                <w:sz w:val="18"/>
                <w:szCs w:val="18"/>
              </w:rPr>
              <w:t xml:space="preserve">Lo anterior, con el objetivo de aportar mayor transparencia a los criterios, elementos y herramientas con los que cuenta el Instituto para definir MR, así como dar </w:t>
            </w:r>
            <w:r w:rsidRPr="00C6341C">
              <w:rPr>
                <w:rFonts w:ascii="ITC Avant Garde" w:eastAsia="Times New Roman" w:hAnsi="ITC Avant Garde" w:cs="Arial"/>
                <w:bCs/>
                <w:kern w:val="1"/>
                <w:sz w:val="18"/>
                <w:szCs w:val="18"/>
                <w:lang w:eastAsia="ar-SA"/>
              </w:rPr>
              <w:t>certidumbre a los agentes económicos</w:t>
            </w:r>
            <w:r w:rsidR="006926D7" w:rsidRPr="00C6341C">
              <w:rPr>
                <w:rFonts w:ascii="ITC Avant Garde" w:eastAsia="Times New Roman" w:hAnsi="ITC Avant Garde" w:cs="Arial"/>
                <w:bCs/>
                <w:kern w:val="1"/>
                <w:sz w:val="18"/>
                <w:szCs w:val="18"/>
                <w:lang w:eastAsia="ar-SA"/>
              </w:rPr>
              <w:t>, interesados y público en general</w:t>
            </w:r>
            <w:r w:rsidRPr="00C6341C">
              <w:rPr>
                <w:rFonts w:ascii="ITC Avant Garde" w:eastAsia="Times New Roman" w:hAnsi="ITC Avant Garde" w:cs="Arial"/>
                <w:bCs/>
                <w:kern w:val="1"/>
                <w:sz w:val="18"/>
                <w:szCs w:val="18"/>
                <w:lang w:eastAsia="ar-SA"/>
              </w:rPr>
              <w:t xml:space="preserve"> sobre el ejercicio de las atribuciones del Instituto como autoridad en materia de competencia económica en los sectores de telecomunicaciones y radiodifusión.</w:t>
            </w:r>
          </w:p>
          <w:p w14:paraId="366F1AA0" w14:textId="77777777" w:rsidR="001932FC" w:rsidRPr="00C6341C" w:rsidRDefault="001932FC" w:rsidP="001932FC">
            <w:pPr>
              <w:jc w:val="both"/>
              <w:rPr>
                <w:rFonts w:ascii="ITC Avant Garde" w:hAnsi="ITC Avant Garde" w:cs="Arial"/>
                <w:sz w:val="18"/>
                <w:szCs w:val="18"/>
              </w:rPr>
            </w:pPr>
          </w:p>
          <w:p w14:paraId="77B70C94" w14:textId="5F5D4C8E" w:rsidR="00C6341C" w:rsidRPr="00C6341C" w:rsidRDefault="00C6341C" w:rsidP="001932FC">
            <w:pPr>
              <w:jc w:val="both"/>
              <w:rPr>
                <w:rFonts w:ascii="ITC Avant Garde" w:hAnsi="ITC Avant Garde" w:cs="Arial"/>
                <w:sz w:val="18"/>
                <w:szCs w:val="18"/>
              </w:rPr>
            </w:pPr>
            <w:r w:rsidRPr="00C6341C">
              <w:rPr>
                <w:rFonts w:ascii="ITC Avant Garde" w:hAnsi="ITC Avant Garde" w:cs="Arial"/>
                <w:sz w:val="18"/>
                <w:szCs w:val="18"/>
              </w:rPr>
              <w:t xml:space="preserve">Asimismo, con el Proyecto de Guía se atiende a la recomendación realizada por la Organización para la Cooperación y el Desarrollo Económicos (OCDE) en el documento </w:t>
            </w:r>
            <w:proofErr w:type="gramStart"/>
            <w:r w:rsidRPr="00C6341C">
              <w:rPr>
                <w:rFonts w:ascii="ITC Avant Garde" w:hAnsi="ITC Avant Garde" w:cs="Arial"/>
                <w:sz w:val="18"/>
                <w:szCs w:val="18"/>
              </w:rPr>
              <w:t>denominado ”</w:t>
            </w:r>
            <w:r w:rsidRPr="00C6341C">
              <w:rPr>
                <w:rFonts w:ascii="ITC Avant Garde" w:hAnsi="ITC Avant Garde" w:cs="Arial"/>
                <w:i/>
                <w:iCs/>
                <w:sz w:val="18"/>
                <w:szCs w:val="18"/>
              </w:rPr>
              <w:t>Examen</w:t>
            </w:r>
            <w:proofErr w:type="gramEnd"/>
            <w:r w:rsidRPr="00C6341C">
              <w:rPr>
                <w:rFonts w:ascii="ITC Avant Garde" w:hAnsi="ITC Avant Garde" w:cs="Arial"/>
                <w:i/>
                <w:iCs/>
                <w:sz w:val="18"/>
                <w:szCs w:val="18"/>
              </w:rPr>
              <w:t xml:space="preserve"> Inter-Pares de la OCDE sobre el Derecho y Política de Competencia: México 2020</w:t>
            </w:r>
            <w:r w:rsidRPr="00C6341C">
              <w:rPr>
                <w:rFonts w:ascii="ITC Avant Garde" w:hAnsi="ITC Avant Garde" w:cs="Arial"/>
                <w:sz w:val="18"/>
                <w:szCs w:val="18"/>
              </w:rPr>
              <w:t>”, en el que dicho organismo internacional recomendó al Instituto Federal de Telecomunicaciones “</w:t>
            </w:r>
            <w:r w:rsidRPr="00C6341C">
              <w:rPr>
                <w:rFonts w:ascii="ITC Avant Garde" w:hAnsi="ITC Avant Garde" w:cs="Arial"/>
                <w:i/>
                <w:iCs/>
                <w:sz w:val="18"/>
                <w:szCs w:val="18"/>
              </w:rPr>
              <w:t>adoptar líneas directrices sobre temas sustantivos, como la definición del mercado</w:t>
            </w:r>
            <w:r w:rsidRPr="00C6341C">
              <w:rPr>
                <w:rFonts w:ascii="ITC Avant Garde" w:hAnsi="ITC Avant Garde" w:cs="Arial"/>
                <w:sz w:val="18"/>
                <w:szCs w:val="18"/>
              </w:rPr>
              <w:t>”.</w:t>
            </w:r>
            <w:r w:rsidRPr="00C6341C">
              <w:rPr>
                <w:rStyle w:val="Refdenotaalpie"/>
                <w:rFonts w:ascii="ITC Avant Garde" w:hAnsi="ITC Avant Garde" w:cs="Arial"/>
                <w:sz w:val="18"/>
                <w:szCs w:val="18"/>
              </w:rPr>
              <w:footnoteReference w:id="2"/>
            </w: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CD5BDD" w14:paraId="4CC01DA5" w14:textId="77777777" w:rsidTr="00B41497">
        <w:tc>
          <w:tcPr>
            <w:tcW w:w="8828" w:type="dxa"/>
          </w:tcPr>
          <w:p w14:paraId="47A5F08C" w14:textId="6B71FC6F" w:rsidR="00B41497" w:rsidRPr="00CD5BDD" w:rsidRDefault="00B41497" w:rsidP="00B41497">
            <w:pPr>
              <w:jc w:val="both"/>
              <w:rPr>
                <w:rFonts w:ascii="ITC Avant Garde" w:hAnsi="ITC Avant Garde" w:cs="Arial"/>
                <w:b/>
                <w:sz w:val="18"/>
                <w:szCs w:val="18"/>
              </w:rPr>
            </w:pPr>
            <w:r w:rsidRPr="00CD5BDD">
              <w:rPr>
                <w:rFonts w:ascii="ITC Avant Garde" w:hAnsi="ITC Avant Garde" w:cs="Arial"/>
                <w:b/>
                <w:sz w:val="18"/>
                <w:szCs w:val="18"/>
              </w:rPr>
              <w:lastRenderedPageBreak/>
              <w:t xml:space="preserve">2.- </w:t>
            </w:r>
            <w:r w:rsidR="00A81C3A" w:rsidRPr="00CD5BDD">
              <w:rPr>
                <w:rFonts w:ascii="ITC Avant Garde" w:hAnsi="ITC Avant Garde" w:cs="Arial"/>
                <w:b/>
                <w:sz w:val="18"/>
                <w:szCs w:val="18"/>
              </w:rPr>
              <w:t>Según sea el caso, conforme a lo señalado por los artículos 51 de la Ley Federal de Telecomunicaciones y Radiodifusión y 12, fracción XXII, de la Ley Federal de Competencia Económica,</w:t>
            </w:r>
            <w:r w:rsidRPr="00CD5BDD">
              <w:rPr>
                <w:rFonts w:ascii="ITC Avant Garde" w:hAnsi="ITC Avant Garde" w:cs="Arial"/>
                <w:b/>
                <w:sz w:val="18"/>
                <w:szCs w:val="18"/>
              </w:rPr>
              <w:t xml:space="preserve"> ¿considera que la publicidad de la propuesta de regulación pueda comprometer los efectos que se pretenden </w:t>
            </w:r>
            <w:r w:rsidR="004226AE" w:rsidRPr="00CD5BDD">
              <w:rPr>
                <w:rFonts w:ascii="ITC Avant Garde" w:hAnsi="ITC Avant Garde" w:cs="Arial"/>
                <w:b/>
                <w:sz w:val="18"/>
                <w:szCs w:val="18"/>
              </w:rPr>
              <w:t xml:space="preserve">resolver o prevenir </w:t>
            </w:r>
            <w:r w:rsidRPr="00CD5BDD">
              <w:rPr>
                <w:rFonts w:ascii="ITC Avant Garde" w:hAnsi="ITC Avant Garde" w:cs="Arial"/>
                <w:b/>
                <w:sz w:val="18"/>
                <w:szCs w:val="18"/>
              </w:rPr>
              <w:t xml:space="preserve">con </w:t>
            </w:r>
            <w:r w:rsidR="00372BF7" w:rsidRPr="00CD5BDD">
              <w:rPr>
                <w:rFonts w:ascii="ITC Avant Garde" w:hAnsi="ITC Avant Garde" w:cs="Arial"/>
                <w:b/>
                <w:sz w:val="18"/>
                <w:szCs w:val="18"/>
              </w:rPr>
              <w:t>su</w:t>
            </w:r>
            <w:r w:rsidRPr="00CD5BDD">
              <w:rPr>
                <w:rFonts w:ascii="ITC Avant Garde" w:hAnsi="ITC Avant Garde" w:cs="Arial"/>
                <w:b/>
                <w:sz w:val="18"/>
                <w:szCs w:val="18"/>
              </w:rPr>
              <w:t xml:space="preserve"> 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CD5BDD" w14:paraId="4D4990E2" w14:textId="77777777" w:rsidTr="00B41497">
              <w:tc>
                <w:tcPr>
                  <w:tcW w:w="1462" w:type="dxa"/>
                  <w:shd w:val="clear" w:color="auto" w:fill="A8D08D" w:themeFill="accent6" w:themeFillTint="99"/>
                </w:tcPr>
                <w:p w14:paraId="4409F6B0" w14:textId="77777777" w:rsidR="00B41497" w:rsidRPr="00CD5BDD" w:rsidRDefault="00B41497" w:rsidP="00B41497">
                  <w:pPr>
                    <w:jc w:val="center"/>
                    <w:rPr>
                      <w:rFonts w:ascii="ITC Avant Garde" w:hAnsi="ITC Avant Garde" w:cs="Arial"/>
                      <w:b/>
                      <w:sz w:val="18"/>
                      <w:szCs w:val="18"/>
                    </w:rPr>
                  </w:pPr>
                  <w:r w:rsidRPr="00CD5BDD">
                    <w:rPr>
                      <w:rFonts w:ascii="ITC Avant Garde" w:hAnsi="ITC Avant Garde" w:cs="Arial"/>
                      <w:b/>
                      <w:sz w:val="18"/>
                      <w:szCs w:val="18"/>
                    </w:rPr>
                    <w:t>Seleccione</w:t>
                  </w:r>
                </w:p>
              </w:tc>
            </w:tr>
            <w:tr w:rsidR="00B41497" w:rsidRPr="00CD5BDD" w14:paraId="58D5952D" w14:textId="77777777" w:rsidTr="00B41497">
              <w:tc>
                <w:tcPr>
                  <w:tcW w:w="1462" w:type="dxa"/>
                </w:tcPr>
                <w:p w14:paraId="1A480ADE" w14:textId="498F31D2" w:rsidR="00B41497" w:rsidRPr="00CD5BDD" w:rsidRDefault="00B41497" w:rsidP="00584D75">
                  <w:pPr>
                    <w:jc w:val="center"/>
                    <w:rPr>
                      <w:rFonts w:ascii="ITC Avant Garde" w:hAnsi="ITC Avant Garde" w:cs="Arial"/>
                      <w:sz w:val="18"/>
                      <w:szCs w:val="18"/>
                    </w:rPr>
                  </w:pPr>
                  <w:r w:rsidRPr="00CD5BDD">
                    <w:rPr>
                      <w:rFonts w:ascii="ITC Avant Garde" w:hAnsi="ITC Avant Garde" w:cs="Arial"/>
                      <w:sz w:val="18"/>
                      <w:szCs w:val="18"/>
                    </w:rPr>
                    <w:t>S</w:t>
                  </w:r>
                  <w:r w:rsidR="00FB58BA" w:rsidRPr="00CD5BDD">
                    <w:rPr>
                      <w:rFonts w:ascii="ITC Avant Garde" w:hAnsi="ITC Avant Garde" w:cs="Arial"/>
                      <w:sz w:val="18"/>
                      <w:szCs w:val="18"/>
                    </w:rPr>
                    <w:t>í</w:t>
                  </w:r>
                  <w:r w:rsidRPr="00CD5BDD">
                    <w:rPr>
                      <w:rFonts w:ascii="ITC Avant Garde" w:hAnsi="ITC Avant Garde" w:cs="Arial"/>
                      <w:sz w:val="18"/>
                      <w:szCs w:val="18"/>
                    </w:rPr>
                    <w:t xml:space="preserve"> ( ) No (</w:t>
                  </w:r>
                  <w:r w:rsidR="00584D75" w:rsidRPr="00CD5BDD">
                    <w:rPr>
                      <w:rFonts w:ascii="ITC Avant Garde" w:hAnsi="ITC Avant Garde" w:cs="Arial"/>
                      <w:b/>
                      <w:sz w:val="18"/>
                      <w:szCs w:val="18"/>
                    </w:rPr>
                    <w:t>X</w:t>
                  </w:r>
                  <w:r w:rsidRPr="00CD5BDD">
                    <w:rPr>
                      <w:rFonts w:ascii="ITC Avant Garde" w:hAnsi="ITC Avant Garde" w:cs="Arial"/>
                      <w:sz w:val="18"/>
                      <w:szCs w:val="18"/>
                    </w:rPr>
                    <w:t>)</w:t>
                  </w:r>
                </w:p>
              </w:tc>
            </w:tr>
          </w:tbl>
          <w:p w14:paraId="14C8D7D6" w14:textId="77777777" w:rsidR="00B41497" w:rsidRPr="00CD5BDD" w:rsidRDefault="00B41497" w:rsidP="00B41497">
            <w:pPr>
              <w:jc w:val="both"/>
              <w:rPr>
                <w:rFonts w:ascii="ITC Avant Garde" w:hAnsi="ITC Avant Garde" w:cs="Arial"/>
                <w:sz w:val="18"/>
                <w:szCs w:val="18"/>
              </w:rPr>
            </w:pPr>
          </w:p>
          <w:p w14:paraId="780CE336" w14:textId="77777777" w:rsidR="00B41497" w:rsidRPr="00CD5BDD" w:rsidRDefault="00B41497" w:rsidP="00B41497">
            <w:pPr>
              <w:jc w:val="both"/>
              <w:rPr>
                <w:rFonts w:ascii="ITC Avant Garde" w:hAnsi="ITC Avant Garde" w:cs="Arial"/>
                <w:sz w:val="18"/>
                <w:szCs w:val="18"/>
              </w:rPr>
            </w:pPr>
          </w:p>
          <w:p w14:paraId="217590D8" w14:textId="77777777" w:rsidR="00B41497" w:rsidRPr="00CD5BDD" w:rsidRDefault="00B41497" w:rsidP="00B41497">
            <w:pPr>
              <w:jc w:val="both"/>
              <w:rPr>
                <w:rFonts w:ascii="ITC Avant Garde" w:hAnsi="ITC Avant Garde" w:cs="Arial"/>
                <w:sz w:val="18"/>
                <w:szCs w:val="18"/>
              </w:rPr>
            </w:pPr>
          </w:p>
          <w:p w14:paraId="36427C9F" w14:textId="77777777" w:rsidR="00B41497" w:rsidRPr="00CD5BDD" w:rsidRDefault="00B41497" w:rsidP="00B41497">
            <w:pPr>
              <w:jc w:val="both"/>
              <w:rPr>
                <w:rFonts w:ascii="ITC Avant Garde" w:hAnsi="ITC Avant Garde" w:cs="Arial"/>
                <w:sz w:val="18"/>
                <w:szCs w:val="18"/>
              </w:rPr>
            </w:pPr>
          </w:p>
          <w:p w14:paraId="6D9062FD" w14:textId="77777777" w:rsidR="000C16BC" w:rsidRPr="00CD5BDD" w:rsidRDefault="000C16BC" w:rsidP="00B41497">
            <w:pPr>
              <w:jc w:val="both"/>
              <w:rPr>
                <w:rFonts w:ascii="ITC Avant Garde" w:hAnsi="ITC Avant Garde" w:cs="Arial"/>
                <w:b/>
                <w:sz w:val="18"/>
                <w:szCs w:val="18"/>
              </w:rPr>
            </w:pPr>
          </w:p>
          <w:p w14:paraId="2FB3A48C" w14:textId="6D39D626" w:rsidR="00B41497" w:rsidRPr="00CD5BDD" w:rsidRDefault="00B41497" w:rsidP="00B41497">
            <w:pPr>
              <w:jc w:val="both"/>
              <w:rPr>
                <w:rFonts w:ascii="ITC Avant Garde" w:hAnsi="ITC Avant Garde" w:cs="Arial"/>
                <w:sz w:val="18"/>
                <w:szCs w:val="18"/>
              </w:rPr>
            </w:pPr>
            <w:r w:rsidRPr="00CD5BDD">
              <w:rPr>
                <w:rFonts w:ascii="ITC Avant Garde" w:hAnsi="ITC Avant Garde" w:cs="Arial"/>
                <w:b/>
                <w:sz w:val="18"/>
                <w:szCs w:val="18"/>
              </w:rPr>
              <w:t>En caso de que la respuesta sea afirmativa, justifique y fundamente</w:t>
            </w:r>
            <w:r w:rsidR="00372BF7" w:rsidRPr="00CD5BDD">
              <w:rPr>
                <w:rFonts w:ascii="ITC Avant Garde" w:hAnsi="ITC Avant Garde" w:cs="Arial"/>
                <w:b/>
                <w:sz w:val="18"/>
                <w:szCs w:val="18"/>
              </w:rPr>
              <w:t xml:space="preserve"> las razones por las cuales su publicidad puede comprometer los efectos que se pretenden </w:t>
            </w:r>
            <w:r w:rsidR="004226AE" w:rsidRPr="00CD5BDD">
              <w:rPr>
                <w:rFonts w:ascii="ITC Avant Garde" w:hAnsi="ITC Avant Garde" w:cs="Arial"/>
                <w:b/>
                <w:sz w:val="18"/>
                <w:szCs w:val="18"/>
              </w:rPr>
              <w:t xml:space="preserve">resolver o prevenir </w:t>
            </w:r>
            <w:r w:rsidR="00372BF7" w:rsidRPr="00CD5BDD">
              <w:rPr>
                <w:rFonts w:ascii="ITC Avant Garde" w:hAnsi="ITC Avant Garde" w:cs="Arial"/>
                <w:b/>
                <w:sz w:val="18"/>
                <w:szCs w:val="18"/>
              </w:rPr>
              <w:t>con la propuesta regulatoria</w:t>
            </w:r>
            <w:r w:rsidRPr="00CD5BDD">
              <w:rPr>
                <w:rFonts w:ascii="ITC Avant Garde" w:hAnsi="ITC Avant Garde" w:cs="Arial"/>
                <w:b/>
                <w:sz w:val="18"/>
                <w:szCs w:val="18"/>
              </w:rPr>
              <w:t>:</w:t>
            </w:r>
          </w:p>
          <w:p w14:paraId="19BC5EF6" w14:textId="77777777" w:rsidR="00B41497" w:rsidRPr="00CD5BDD" w:rsidRDefault="00B41497" w:rsidP="00B41497">
            <w:pPr>
              <w:jc w:val="both"/>
              <w:rPr>
                <w:rFonts w:ascii="ITC Avant Garde" w:hAnsi="ITC Avant Garde" w:cs="Arial"/>
                <w:sz w:val="18"/>
                <w:szCs w:val="18"/>
              </w:rPr>
            </w:pPr>
          </w:p>
          <w:tbl>
            <w:tblPr>
              <w:tblStyle w:val="Tablaconcuadrcula"/>
              <w:tblW w:w="0" w:type="auto"/>
              <w:tblLook w:val="04A0" w:firstRow="1" w:lastRow="0" w:firstColumn="1" w:lastColumn="0" w:noHBand="0" w:noVBand="1"/>
            </w:tblPr>
            <w:tblGrid>
              <w:gridCol w:w="8602"/>
            </w:tblGrid>
            <w:tr w:rsidR="00596FDE" w:rsidRPr="00CD5BDD" w14:paraId="0B6F64BD" w14:textId="77777777" w:rsidTr="00596FDE">
              <w:tc>
                <w:tcPr>
                  <w:tcW w:w="8602" w:type="dxa"/>
                </w:tcPr>
                <w:p w14:paraId="6A93BD82" w14:textId="77777777" w:rsidR="00596FDE" w:rsidRPr="00CD5BDD" w:rsidRDefault="00596FDE" w:rsidP="00C6341C">
                  <w:pPr>
                    <w:framePr w:hSpace="141" w:wrap="around" w:vAnchor="text" w:hAnchor="margin" w:y="356"/>
                    <w:jc w:val="both"/>
                    <w:rPr>
                      <w:rFonts w:ascii="ITC Avant Garde" w:hAnsi="ITC Avant Garde" w:cs="Arial"/>
                      <w:sz w:val="18"/>
                      <w:szCs w:val="18"/>
                    </w:rPr>
                  </w:pPr>
                </w:p>
                <w:p w14:paraId="7CA4A6B4" w14:textId="77777777" w:rsidR="00596FDE" w:rsidRPr="00CD5BDD" w:rsidRDefault="00596FDE" w:rsidP="00C6341C">
                  <w:pPr>
                    <w:framePr w:hSpace="141" w:wrap="around" w:vAnchor="text" w:hAnchor="margin" w:y="356"/>
                    <w:jc w:val="both"/>
                    <w:rPr>
                      <w:rFonts w:ascii="ITC Avant Garde" w:hAnsi="ITC Avant Garde" w:cs="Arial"/>
                      <w:sz w:val="18"/>
                      <w:szCs w:val="18"/>
                    </w:rPr>
                  </w:pPr>
                </w:p>
                <w:p w14:paraId="40DA22A2" w14:textId="77777777" w:rsidR="000C16BC" w:rsidRPr="00CD5BDD" w:rsidRDefault="000C16BC" w:rsidP="00C6341C">
                  <w:pPr>
                    <w:framePr w:hSpace="141" w:wrap="around" w:vAnchor="text" w:hAnchor="margin" w:y="356"/>
                    <w:jc w:val="both"/>
                    <w:rPr>
                      <w:rFonts w:ascii="ITC Avant Garde" w:hAnsi="ITC Avant Garde" w:cs="Arial"/>
                      <w:sz w:val="18"/>
                      <w:szCs w:val="18"/>
                    </w:rPr>
                  </w:pPr>
                </w:p>
              </w:tc>
            </w:tr>
          </w:tbl>
          <w:p w14:paraId="00767070" w14:textId="77777777" w:rsidR="00596FDE" w:rsidRPr="00CD5BDD" w:rsidRDefault="00596FDE" w:rsidP="00B41497">
            <w:pPr>
              <w:jc w:val="both"/>
              <w:rPr>
                <w:rFonts w:ascii="ITC Avant Garde" w:hAnsi="ITC Avant Garde" w:cs="Arial"/>
                <w:sz w:val="18"/>
                <w:szCs w:val="18"/>
              </w:rPr>
            </w:pPr>
          </w:p>
          <w:p w14:paraId="66685CE1" w14:textId="77777777" w:rsidR="009656B1" w:rsidRPr="00CD5BDD" w:rsidRDefault="009656B1" w:rsidP="00B41497">
            <w:pPr>
              <w:jc w:val="both"/>
              <w:rPr>
                <w:rFonts w:ascii="ITC Avant Garde" w:hAnsi="ITC Avant Garde" w:cs="Arial"/>
                <w:sz w:val="18"/>
                <w:szCs w:val="18"/>
              </w:rPr>
            </w:pPr>
          </w:p>
        </w:tc>
      </w:tr>
    </w:tbl>
    <w:p w14:paraId="013E3117" w14:textId="77777777" w:rsidR="001932FC" w:rsidRPr="00CD5BDD" w:rsidRDefault="001932FC" w:rsidP="001932FC">
      <w:pPr>
        <w:jc w:val="both"/>
        <w:rPr>
          <w:rFonts w:ascii="ITC Avant Garde" w:hAnsi="ITC Avant Garde"/>
          <w:sz w:val="18"/>
          <w:szCs w:val="18"/>
        </w:rPr>
      </w:pPr>
    </w:p>
    <w:p w14:paraId="489AE647" w14:textId="77777777" w:rsidR="001932FC" w:rsidRPr="00CD5BDD" w:rsidRDefault="001932FC" w:rsidP="00A1622C">
      <w:pPr>
        <w:shd w:val="clear" w:color="auto" w:fill="A8D08D" w:themeFill="accent6" w:themeFillTint="99"/>
        <w:jc w:val="both"/>
        <w:rPr>
          <w:rFonts w:ascii="ITC Avant Garde" w:hAnsi="ITC Avant Garde" w:cs="Arial"/>
          <w:b/>
          <w:sz w:val="18"/>
          <w:szCs w:val="18"/>
        </w:rPr>
      </w:pPr>
      <w:r w:rsidRPr="00CD5BDD">
        <w:rPr>
          <w:rFonts w:ascii="ITC Avant Garde" w:hAnsi="ITC Avant Garde" w:cs="Arial"/>
          <w:b/>
          <w:sz w:val="18"/>
          <w:szCs w:val="18"/>
        </w:rPr>
        <w:t xml:space="preserve">II. </w:t>
      </w:r>
      <w:r w:rsidR="00E21B49" w:rsidRPr="00CD5BDD">
        <w:rPr>
          <w:rFonts w:ascii="ITC Avant Garde" w:hAnsi="ITC Avant Garde" w:cs="Arial"/>
          <w:b/>
          <w:sz w:val="18"/>
          <w:szCs w:val="18"/>
        </w:rPr>
        <w:t xml:space="preserve">IMPACTO DE LA </w:t>
      </w:r>
      <w:r w:rsidR="00D23BD5" w:rsidRPr="00CD5BDD">
        <w:rPr>
          <w:rFonts w:ascii="ITC Avant Garde" w:hAnsi="ITC Avant Garde" w:cs="Arial"/>
          <w:b/>
          <w:sz w:val="18"/>
          <w:szCs w:val="18"/>
        </w:rPr>
        <w:t xml:space="preserve">PROPUESTA DE </w:t>
      </w:r>
      <w:r w:rsidR="00E21B49" w:rsidRPr="00CD5BDD">
        <w:rPr>
          <w:rFonts w:ascii="ITC Avant Garde" w:hAnsi="ITC Avant Garde" w:cs="Arial"/>
          <w:b/>
          <w:sz w:val="18"/>
          <w:szCs w:val="18"/>
        </w:rPr>
        <w:t>REGULACIÓN</w:t>
      </w:r>
      <w:r w:rsidRPr="00CD5BDD">
        <w:rPr>
          <w:rFonts w:ascii="ITC Avant Garde" w:hAnsi="ITC Avant Garde" w:cs="Arial"/>
          <w:b/>
          <w:sz w:val="18"/>
          <w:szCs w:val="18"/>
        </w:rPr>
        <w:t>.</w:t>
      </w:r>
    </w:p>
    <w:tbl>
      <w:tblPr>
        <w:tblStyle w:val="Tablaconcuadrcula"/>
        <w:tblW w:w="0" w:type="auto"/>
        <w:tblLook w:val="04A0" w:firstRow="1" w:lastRow="0" w:firstColumn="1" w:lastColumn="0" w:noHBand="0" w:noVBand="1"/>
      </w:tblPr>
      <w:tblGrid>
        <w:gridCol w:w="8828"/>
      </w:tblGrid>
      <w:tr w:rsidR="00BE7D1C" w:rsidRPr="00CD5BDD" w14:paraId="07A6A9B3" w14:textId="77777777" w:rsidTr="00055206">
        <w:tc>
          <w:tcPr>
            <w:tcW w:w="8828" w:type="dxa"/>
          </w:tcPr>
          <w:p w14:paraId="695C7A4C" w14:textId="60C0AEAD" w:rsidR="00BE7D1C" w:rsidRPr="00CD5BDD" w:rsidRDefault="00BE7D1C" w:rsidP="00055206">
            <w:pPr>
              <w:jc w:val="both"/>
              <w:rPr>
                <w:rFonts w:ascii="ITC Avant Garde" w:hAnsi="ITC Avant Garde" w:cs="Arial"/>
                <w:b/>
                <w:sz w:val="18"/>
                <w:szCs w:val="18"/>
              </w:rPr>
            </w:pPr>
            <w:r w:rsidRPr="00CD5BDD">
              <w:rPr>
                <w:rFonts w:ascii="ITC Avant Garde" w:hAnsi="ITC Avant Garde" w:cs="Arial"/>
                <w:b/>
                <w:sz w:val="18"/>
                <w:szCs w:val="18"/>
              </w:rPr>
              <w:t>3.- Para solucionar la problemática identificada, describa las alternativas valoradas y señale las razones por las cuales fueron descartadas.</w:t>
            </w:r>
          </w:p>
          <w:p w14:paraId="1BCCB4D7" w14:textId="76C42742" w:rsidR="00BE7D1C" w:rsidRPr="00CD5BDD" w:rsidRDefault="00BE7D1C" w:rsidP="00055206">
            <w:pPr>
              <w:jc w:val="both"/>
              <w:rPr>
                <w:rFonts w:ascii="ITC Avant Garde" w:hAnsi="ITC Avant Garde" w:cs="Arial"/>
                <w:sz w:val="18"/>
                <w:szCs w:val="18"/>
              </w:rPr>
            </w:pPr>
            <w:r w:rsidRPr="00CD5BDD">
              <w:rPr>
                <w:rFonts w:ascii="ITC Avant Garde" w:hAnsi="ITC Avant Garde" w:cs="Arial"/>
                <w:sz w:val="18"/>
                <w:szCs w:val="18"/>
              </w:rPr>
              <w:t>Seleccione las alternativas aplicables y, en su c</w:t>
            </w:r>
            <w:r w:rsidR="004E0AA9" w:rsidRPr="00CD5BDD">
              <w:rPr>
                <w:rFonts w:ascii="ITC Avant Garde" w:hAnsi="ITC Avant Garde" w:cs="Arial"/>
                <w:sz w:val="18"/>
                <w:szCs w:val="18"/>
              </w:rPr>
              <w:t>aso, seleccione y describa</w:t>
            </w:r>
            <w:r w:rsidR="00E046F4" w:rsidRPr="00CD5BDD">
              <w:rPr>
                <w:rFonts w:ascii="ITC Avant Garde" w:hAnsi="ITC Avant Garde" w:cs="Arial"/>
                <w:sz w:val="18"/>
                <w:szCs w:val="18"/>
              </w:rPr>
              <w:t xml:space="preserve"> otra</w:t>
            </w:r>
            <w:r w:rsidR="004E0AA9" w:rsidRPr="00CD5BDD">
              <w:rPr>
                <w:rFonts w:ascii="ITC Avant Garde" w:hAnsi="ITC Avant Garde" w:cs="Arial"/>
                <w:sz w:val="18"/>
                <w:szCs w:val="18"/>
              </w:rPr>
              <w:t>.</w:t>
            </w:r>
            <w:r w:rsidRPr="00CD5BDD">
              <w:rPr>
                <w:rFonts w:ascii="ITC Avant Garde" w:hAnsi="ITC Avant Garde" w:cs="Arial"/>
                <w:sz w:val="18"/>
                <w:szCs w:val="18"/>
              </w:rPr>
              <w:t xml:space="preserve"> </w:t>
            </w:r>
            <w:r w:rsidR="004E0AA9" w:rsidRPr="00CD5BDD">
              <w:rPr>
                <w:rFonts w:ascii="ITC Avant Garde" w:hAnsi="ITC Avant Garde" w:cs="Arial"/>
                <w:sz w:val="18"/>
                <w:szCs w:val="18"/>
              </w:rPr>
              <w:t>C</w:t>
            </w:r>
            <w:r w:rsidRPr="00CD5BDD">
              <w:rPr>
                <w:rFonts w:ascii="ITC Avant Garde" w:hAnsi="ITC Avant Garde" w:cs="Arial"/>
                <w:sz w:val="18"/>
                <w:szCs w:val="18"/>
              </w:rPr>
              <w:t xml:space="preserve">onsidere al menos </w:t>
            </w:r>
            <w:r w:rsidR="004E0AA9" w:rsidRPr="00CD5BDD">
              <w:rPr>
                <w:rFonts w:ascii="ITC Avant Garde" w:hAnsi="ITC Avant Garde" w:cs="Arial"/>
                <w:sz w:val="18"/>
                <w:szCs w:val="18"/>
              </w:rPr>
              <w:t>dos</w:t>
            </w:r>
            <w:r w:rsidRPr="00CD5BDD">
              <w:rPr>
                <w:rFonts w:ascii="ITC Avant Garde" w:hAnsi="ITC Avant Garde" w:cs="Arial"/>
                <w:sz w:val="18"/>
                <w:szCs w:val="18"/>
              </w:rPr>
              <w:t xml:space="preserve"> opciones entre las cuales se encuentre la opción de no intervención.</w:t>
            </w:r>
            <w:r w:rsidR="00FB58BA" w:rsidRPr="00CD5BDD">
              <w:rPr>
                <w:rFonts w:ascii="ITC Avant Garde" w:hAnsi="ITC Avant Garde" w:cs="Arial"/>
                <w:sz w:val="18"/>
                <w:szCs w:val="18"/>
              </w:rPr>
              <w:t xml:space="preserve"> Agregue las filas que considere necesarias.</w:t>
            </w:r>
          </w:p>
          <w:p w14:paraId="17425FEB" w14:textId="77777777" w:rsidR="00BE7D1C" w:rsidRPr="00CD5BDD" w:rsidRDefault="00BE7D1C" w:rsidP="00055206">
            <w:pPr>
              <w:jc w:val="both"/>
              <w:rPr>
                <w:rFonts w:ascii="ITC Avant Garde" w:hAnsi="ITC Avant Garde" w:cs="Arial"/>
                <w:sz w:val="18"/>
                <w:szCs w:val="18"/>
              </w:rPr>
            </w:pPr>
          </w:p>
          <w:tbl>
            <w:tblPr>
              <w:tblStyle w:val="Tablaconcuadrcula"/>
              <w:tblW w:w="0" w:type="auto"/>
              <w:tblLook w:val="04A0" w:firstRow="1" w:lastRow="0" w:firstColumn="1" w:lastColumn="0" w:noHBand="0" w:noVBand="1"/>
            </w:tblPr>
            <w:tblGrid>
              <w:gridCol w:w="1876"/>
              <w:gridCol w:w="2684"/>
              <w:gridCol w:w="3969"/>
            </w:tblGrid>
            <w:tr w:rsidR="00BE7D1C" w:rsidRPr="00CD5BDD" w14:paraId="2593A0C9" w14:textId="77777777" w:rsidTr="00055206">
              <w:tc>
                <w:tcPr>
                  <w:tcW w:w="1876" w:type="dxa"/>
                  <w:tcBorders>
                    <w:bottom w:val="single" w:sz="12" w:space="0" w:color="auto"/>
                  </w:tcBorders>
                  <w:shd w:val="clear" w:color="auto" w:fill="A8D08D" w:themeFill="accent6" w:themeFillTint="99"/>
                </w:tcPr>
                <w:p w14:paraId="68667C9B" w14:textId="77777777" w:rsidR="00BE7D1C" w:rsidRPr="00CD5BDD" w:rsidRDefault="00BE7D1C" w:rsidP="00055206">
                  <w:pPr>
                    <w:jc w:val="center"/>
                    <w:rPr>
                      <w:rFonts w:ascii="ITC Avant Garde" w:hAnsi="ITC Avant Garde" w:cs="Arial"/>
                      <w:b/>
                      <w:sz w:val="18"/>
                      <w:szCs w:val="18"/>
                    </w:rPr>
                  </w:pPr>
                  <w:r w:rsidRPr="00CD5BDD">
                    <w:rPr>
                      <w:rFonts w:ascii="ITC Avant Garde" w:hAnsi="ITC Avant Garde" w:cs="Arial"/>
                      <w:b/>
                      <w:sz w:val="18"/>
                      <w:szCs w:val="18"/>
                    </w:rPr>
                    <w:t xml:space="preserve">Alternativa evaluada </w:t>
                  </w:r>
                </w:p>
              </w:tc>
              <w:tc>
                <w:tcPr>
                  <w:tcW w:w="2684" w:type="dxa"/>
                  <w:shd w:val="clear" w:color="auto" w:fill="A8D08D" w:themeFill="accent6" w:themeFillTint="99"/>
                </w:tcPr>
                <w:p w14:paraId="3EC73607" w14:textId="77777777" w:rsidR="00BE7D1C" w:rsidRPr="00CD5BDD" w:rsidRDefault="00BE7D1C" w:rsidP="00055206">
                  <w:pPr>
                    <w:jc w:val="center"/>
                    <w:rPr>
                      <w:rFonts w:ascii="ITC Avant Garde" w:hAnsi="ITC Avant Garde" w:cs="Arial"/>
                      <w:b/>
                      <w:sz w:val="18"/>
                      <w:szCs w:val="18"/>
                    </w:rPr>
                  </w:pPr>
                  <w:r w:rsidRPr="00CD5BDD">
                    <w:rPr>
                      <w:rFonts w:ascii="ITC Avant Garde" w:hAnsi="ITC Avant Garde" w:cs="Arial"/>
                      <w:b/>
                      <w:sz w:val="18"/>
                      <w:szCs w:val="18"/>
                    </w:rPr>
                    <w:t>Descripción</w:t>
                  </w:r>
                </w:p>
              </w:tc>
              <w:tc>
                <w:tcPr>
                  <w:tcW w:w="3969" w:type="dxa"/>
                  <w:shd w:val="clear" w:color="auto" w:fill="A8D08D" w:themeFill="accent6" w:themeFillTint="99"/>
                </w:tcPr>
                <w:p w14:paraId="7B707DB6" w14:textId="77777777" w:rsidR="00BE7D1C" w:rsidRPr="00CD5BDD" w:rsidRDefault="00BE7D1C" w:rsidP="00055206">
                  <w:pPr>
                    <w:jc w:val="center"/>
                    <w:rPr>
                      <w:rFonts w:ascii="ITC Avant Garde" w:hAnsi="ITC Avant Garde" w:cs="Arial"/>
                      <w:b/>
                      <w:sz w:val="18"/>
                      <w:szCs w:val="18"/>
                    </w:rPr>
                  </w:pPr>
                  <w:r w:rsidRPr="00CD5BDD">
                    <w:rPr>
                      <w:rFonts w:ascii="ITC Avant Garde" w:hAnsi="ITC Avant Garde" w:cs="Arial"/>
                      <w:b/>
                      <w:sz w:val="18"/>
                      <w:szCs w:val="18"/>
                    </w:rPr>
                    <w:t>Razones</w:t>
                  </w:r>
                </w:p>
              </w:tc>
            </w:tr>
            <w:tr w:rsidR="00584D75" w:rsidRPr="00CD5BDD" w14:paraId="7A198942" w14:textId="77777777" w:rsidTr="00055206">
              <w:sdt>
                <w:sdtPr>
                  <w:rPr>
                    <w:rFonts w:ascii="ITC Avant Garde" w:hAnsi="ITC Avant Garde" w:cs="Arial"/>
                    <w:i/>
                    <w:sz w:val="18"/>
                    <w:szCs w:val="18"/>
                  </w:rPr>
                  <w:alias w:val="Alternativa evaluada"/>
                  <w:tag w:val="Alternativa evaluada"/>
                  <w:id w:val="1516970041"/>
                  <w:placeholder>
                    <w:docPart w:val="4863DEC76ED548AF9C0FD18AAA48F0F4"/>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18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2B8C07A0" w14:textId="5CE987B7" w:rsidR="00584D75" w:rsidRPr="00CD5BDD" w:rsidRDefault="00B31C7C" w:rsidP="00584D75">
                      <w:pPr>
                        <w:rPr>
                          <w:rFonts w:ascii="ITC Avant Garde" w:hAnsi="ITC Avant Garde" w:cs="Arial"/>
                          <w:i/>
                          <w:sz w:val="18"/>
                          <w:szCs w:val="18"/>
                        </w:rPr>
                      </w:pPr>
                      <w:r w:rsidRPr="00CD5BDD">
                        <w:rPr>
                          <w:rFonts w:ascii="ITC Avant Garde" w:hAnsi="ITC Avant Garde" w:cs="Arial"/>
                          <w:i/>
                          <w:sz w:val="18"/>
                          <w:szCs w:val="18"/>
                        </w:rPr>
                        <w:t>No emitir regulación alguna</w:t>
                      </w:r>
                    </w:p>
                  </w:tc>
                </w:sdtContent>
              </w:sdt>
              <w:tc>
                <w:tcPr>
                  <w:tcW w:w="2684" w:type="dxa"/>
                  <w:tcBorders>
                    <w:left w:val="single" w:sz="12" w:space="0" w:color="auto"/>
                  </w:tcBorders>
                </w:tcPr>
                <w:p w14:paraId="360D5F57" w14:textId="532EBAB6" w:rsidR="00584D75" w:rsidRPr="00CD5BDD" w:rsidRDefault="00584D75" w:rsidP="00584D75">
                  <w:pPr>
                    <w:jc w:val="both"/>
                    <w:rPr>
                      <w:rFonts w:ascii="ITC Avant Garde" w:hAnsi="ITC Avant Garde" w:cs="Arial"/>
                      <w:sz w:val="18"/>
                      <w:szCs w:val="18"/>
                    </w:rPr>
                  </w:pPr>
                  <w:r w:rsidRPr="00CD5BDD">
                    <w:rPr>
                      <w:rFonts w:ascii="ITC Avant Garde" w:hAnsi="ITC Avant Garde" w:cs="Arial"/>
                      <w:sz w:val="18"/>
                      <w:szCs w:val="18"/>
                    </w:rPr>
                    <w:t>No emitir una guía orientativa para la definición de MR</w:t>
                  </w:r>
                  <w:r w:rsidR="00B31C7C" w:rsidRPr="00CD5BDD">
                    <w:rPr>
                      <w:rFonts w:ascii="ITC Avant Garde" w:hAnsi="ITC Avant Garde" w:cs="Arial"/>
                      <w:sz w:val="18"/>
                      <w:szCs w:val="18"/>
                    </w:rPr>
                    <w:t xml:space="preserve"> y contar únicamente con</w:t>
                  </w:r>
                  <w:r w:rsidRPr="00CD5BDD">
                    <w:rPr>
                      <w:rFonts w:ascii="ITC Avant Garde" w:hAnsi="ITC Avant Garde" w:cs="Arial"/>
                      <w:sz w:val="18"/>
                      <w:szCs w:val="18"/>
                    </w:rPr>
                    <w:t xml:space="preserve"> los criterios</w:t>
                  </w:r>
                  <w:r w:rsidR="00B31C7C" w:rsidRPr="00CD5BDD">
                    <w:rPr>
                      <w:rFonts w:ascii="ITC Avant Garde" w:hAnsi="ITC Avant Garde" w:cs="Arial"/>
                      <w:sz w:val="18"/>
                      <w:szCs w:val="18"/>
                    </w:rPr>
                    <w:t xml:space="preserve"> establecidos en la LFCE y las DRLFCE</w:t>
                  </w:r>
                  <w:r w:rsidRPr="00CD5BDD">
                    <w:rPr>
                      <w:rFonts w:ascii="ITC Avant Garde" w:hAnsi="ITC Avant Garde" w:cs="Arial"/>
                      <w:sz w:val="18"/>
                      <w:szCs w:val="18"/>
                    </w:rPr>
                    <w:t>.</w:t>
                  </w:r>
                </w:p>
              </w:tc>
              <w:tc>
                <w:tcPr>
                  <w:tcW w:w="3969" w:type="dxa"/>
                </w:tcPr>
                <w:p w14:paraId="030D7832" w14:textId="068D4916" w:rsidR="008113A9" w:rsidRPr="00CD5BDD" w:rsidRDefault="00584D75" w:rsidP="00584D75">
                  <w:pPr>
                    <w:jc w:val="both"/>
                    <w:rPr>
                      <w:rFonts w:ascii="ITC Avant Garde" w:hAnsi="ITC Avant Garde" w:cs="Arial"/>
                      <w:sz w:val="18"/>
                    </w:rPr>
                  </w:pPr>
                  <w:r w:rsidRPr="00CD5BDD">
                    <w:rPr>
                      <w:rFonts w:ascii="ITC Avant Garde" w:hAnsi="ITC Avant Garde" w:cs="Arial"/>
                      <w:sz w:val="18"/>
                      <w:szCs w:val="18"/>
                    </w:rPr>
                    <w:t>Se descartó esta alternativa pues</w:t>
                  </w:r>
                  <w:r w:rsidR="00A1481D" w:rsidRPr="00CD5BDD">
                    <w:rPr>
                      <w:rFonts w:ascii="ITC Avant Garde" w:hAnsi="ITC Avant Garde" w:cs="Arial"/>
                      <w:sz w:val="18"/>
                      <w:szCs w:val="18"/>
                    </w:rPr>
                    <w:t xml:space="preserve">, </w:t>
                  </w:r>
                  <w:r w:rsidR="00A1481D" w:rsidRPr="00CD5BDD">
                    <w:rPr>
                      <w:rFonts w:ascii="ITC Avant Garde" w:hAnsi="ITC Avant Garde" w:cs="Arial"/>
                      <w:sz w:val="18"/>
                    </w:rPr>
                    <w:t>de conformidad con el artículo 12, fracción XXII, de la LFCE, el Instituto tiene la atribución de expedir directrices, guías, lineamientos y criterios técnicos, que resulten necesarios para el efectivo cumplimiento de la LFCE.</w:t>
                  </w:r>
                  <w:r w:rsidR="00A1481D" w:rsidRPr="00CD5BDD">
                    <w:rPr>
                      <w:rFonts w:ascii="ITC Avant Garde" w:hAnsi="ITC Avant Garde" w:cs="Arial"/>
                      <w:sz w:val="18"/>
                      <w:szCs w:val="18"/>
                    </w:rPr>
                    <w:t xml:space="preserve"> </w:t>
                  </w:r>
                  <w:r w:rsidR="00DA737B" w:rsidRPr="00CD5BDD">
                    <w:rPr>
                      <w:rFonts w:ascii="ITC Avant Garde" w:hAnsi="ITC Avant Garde" w:cs="Arial"/>
                      <w:sz w:val="18"/>
                      <w:szCs w:val="18"/>
                    </w:rPr>
                    <w:t>D</w:t>
                  </w:r>
                  <w:r w:rsidRPr="00CD5BDD">
                    <w:rPr>
                      <w:rFonts w:ascii="ITC Avant Garde" w:hAnsi="ITC Avant Garde" w:cs="Arial"/>
                      <w:sz w:val="18"/>
                      <w:szCs w:val="18"/>
                    </w:rPr>
                    <w:t xml:space="preserve">e no emitirse una guía orientativa, </w:t>
                  </w:r>
                  <w:r w:rsidR="00BC40FE" w:rsidRPr="00CD5BDD">
                    <w:rPr>
                      <w:rFonts w:ascii="ITC Avant Garde" w:hAnsi="ITC Avant Garde" w:cs="Arial"/>
                      <w:sz w:val="18"/>
                      <w:szCs w:val="18"/>
                    </w:rPr>
                    <w:t>los agentes económicos, interesados y el público en general, no se beneficiarían de una mayor certeza respecto al actuar del Instituto</w:t>
                  </w:r>
                  <w:r w:rsidR="00BC40FE" w:rsidRPr="00CD5BDD">
                    <w:rPr>
                      <w:rFonts w:ascii="ITC Avant Garde" w:hAnsi="ITC Avant Garde" w:cs="Arial"/>
                      <w:sz w:val="18"/>
                    </w:rPr>
                    <w:t xml:space="preserve"> en el análisis de competencia económica q</w:t>
                  </w:r>
                  <w:r w:rsidR="008113A9" w:rsidRPr="00CD5BDD">
                    <w:rPr>
                      <w:rFonts w:ascii="ITC Avant Garde" w:hAnsi="ITC Avant Garde" w:cs="Arial"/>
                      <w:sz w:val="18"/>
                    </w:rPr>
                    <w:t>ue implica la definición de MR.</w:t>
                  </w:r>
                </w:p>
                <w:p w14:paraId="3A0F5AC2" w14:textId="21BA4C4A" w:rsidR="00584D75" w:rsidRPr="00CD5BDD" w:rsidRDefault="00BC40FE" w:rsidP="00584D75">
                  <w:pPr>
                    <w:jc w:val="both"/>
                    <w:rPr>
                      <w:rFonts w:ascii="ITC Avant Garde" w:hAnsi="ITC Avant Garde" w:cs="Arial"/>
                      <w:sz w:val="18"/>
                      <w:szCs w:val="18"/>
                      <w:lang w:val="es-ES_tradnl"/>
                    </w:rPr>
                  </w:pPr>
                  <w:r w:rsidRPr="00CD5BDD">
                    <w:rPr>
                      <w:rFonts w:ascii="ITC Avant Garde" w:hAnsi="ITC Avant Garde" w:cs="Arial"/>
                      <w:sz w:val="18"/>
                      <w:szCs w:val="18"/>
                    </w:rPr>
                    <w:t xml:space="preserve">Además, </w:t>
                  </w:r>
                  <w:r w:rsidR="00584D75" w:rsidRPr="00CD5BDD">
                    <w:rPr>
                      <w:rFonts w:ascii="ITC Avant Garde" w:hAnsi="ITC Avant Garde" w:cs="Arial"/>
                      <w:sz w:val="18"/>
                      <w:szCs w:val="18"/>
                    </w:rPr>
                    <w:t>no se atendería una de las recomendaciones de la Organización para la Cooperación y el Desarrollo Económicos (OCDE) en su “</w:t>
                  </w:r>
                  <w:r w:rsidR="00584D75" w:rsidRPr="00CD5BDD">
                    <w:rPr>
                      <w:rFonts w:ascii="ITC Avant Garde" w:hAnsi="ITC Avant Garde" w:cs="Arial"/>
                      <w:i/>
                      <w:sz w:val="18"/>
                    </w:rPr>
                    <w:t>Examen Inter-Pares de la OCDE sobre el Derecho y Política de Competencia: México 2020</w:t>
                  </w:r>
                  <w:r w:rsidR="00584D75" w:rsidRPr="00CD5BDD">
                    <w:rPr>
                      <w:rFonts w:ascii="ITC Avant Garde" w:hAnsi="ITC Avant Garde" w:cs="Arial"/>
                      <w:sz w:val="18"/>
                    </w:rPr>
                    <w:t>”, que es “</w:t>
                  </w:r>
                  <w:r w:rsidR="00584D75" w:rsidRPr="00CD5BDD">
                    <w:rPr>
                      <w:rFonts w:ascii="ITC Avant Garde" w:hAnsi="ITC Avant Garde" w:cs="Arial"/>
                      <w:bCs/>
                      <w:i/>
                      <w:iCs/>
                      <w:sz w:val="18"/>
                      <w:lang w:val="es-ES_tradnl"/>
                    </w:rPr>
                    <w:t>adoptar líneas directrices sobre temas sustantivos, como la definición del mercado</w:t>
                  </w:r>
                  <w:r w:rsidR="00584D75" w:rsidRPr="00CD5BDD">
                    <w:rPr>
                      <w:rFonts w:ascii="ITC Avant Garde" w:hAnsi="ITC Avant Garde" w:cs="Arial"/>
                      <w:sz w:val="18"/>
                      <w:lang w:val="es-ES_tradnl"/>
                    </w:rPr>
                    <w:t xml:space="preserve"> (…)”.</w:t>
                  </w:r>
                </w:p>
              </w:tc>
            </w:tr>
            <w:tr w:rsidR="00584D75" w:rsidRPr="00CD5BDD" w14:paraId="504B2907" w14:textId="77777777" w:rsidTr="00055206">
              <w:sdt>
                <w:sdtPr>
                  <w:rPr>
                    <w:rFonts w:ascii="ITC Avant Garde" w:hAnsi="ITC Avant Garde" w:cs="Arial"/>
                    <w:i/>
                    <w:sz w:val="18"/>
                    <w:szCs w:val="18"/>
                  </w:rPr>
                  <w:alias w:val="Alternativa evaluada"/>
                  <w:tag w:val="Alternativa evaluada"/>
                  <w:id w:val="946584835"/>
                  <w:placeholder>
                    <w:docPart w:val="310080D8E25D4CE09BD66D9D183DB207"/>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18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40B39F70" w14:textId="3AB9839A" w:rsidR="00584D75" w:rsidRPr="00CD5BDD" w:rsidRDefault="00885F2B" w:rsidP="00584D75">
                      <w:pPr>
                        <w:rPr>
                          <w:rFonts w:ascii="ITC Avant Garde" w:hAnsi="ITC Avant Garde" w:cs="Arial"/>
                          <w:i/>
                          <w:sz w:val="18"/>
                          <w:szCs w:val="18"/>
                        </w:rPr>
                      </w:pPr>
                      <w:r w:rsidRPr="00CD5BDD">
                        <w:rPr>
                          <w:rFonts w:ascii="ITC Avant Garde" w:hAnsi="ITC Avant Garde" w:cs="Arial"/>
                          <w:i/>
                          <w:sz w:val="18"/>
                          <w:szCs w:val="18"/>
                        </w:rPr>
                        <w:t>Alternativa cero (largo plazo)</w:t>
                      </w:r>
                    </w:p>
                  </w:tc>
                </w:sdtContent>
              </w:sdt>
              <w:tc>
                <w:tcPr>
                  <w:tcW w:w="2684" w:type="dxa"/>
                  <w:tcBorders>
                    <w:left w:val="single" w:sz="12" w:space="0" w:color="auto"/>
                  </w:tcBorders>
                </w:tcPr>
                <w:p w14:paraId="45F86C45" w14:textId="0BD39369" w:rsidR="00584D75" w:rsidRPr="00CD5BDD" w:rsidRDefault="00431FC9" w:rsidP="00584D75">
                  <w:pPr>
                    <w:jc w:val="both"/>
                    <w:rPr>
                      <w:rFonts w:ascii="ITC Avant Garde" w:hAnsi="ITC Avant Garde" w:cs="Arial"/>
                      <w:sz w:val="18"/>
                      <w:szCs w:val="18"/>
                    </w:rPr>
                  </w:pPr>
                  <w:r w:rsidRPr="00CD5BDD">
                    <w:rPr>
                      <w:rFonts w:ascii="ITC Avant Garde" w:hAnsi="ITC Avant Garde" w:cs="Arial"/>
                      <w:sz w:val="18"/>
                      <w:szCs w:val="18"/>
                    </w:rPr>
                    <w:t>El Proyecto de</w:t>
                  </w:r>
                  <w:r w:rsidR="00AE23F3" w:rsidRPr="00CD5BDD">
                    <w:rPr>
                      <w:rFonts w:ascii="ITC Avant Garde" w:hAnsi="ITC Avant Garde" w:cs="Arial"/>
                      <w:sz w:val="18"/>
                      <w:szCs w:val="18"/>
                    </w:rPr>
                    <w:t xml:space="preserve"> Guía</w:t>
                  </w:r>
                  <w:r w:rsidR="00584D75" w:rsidRPr="00CD5BDD">
                    <w:rPr>
                      <w:rFonts w:ascii="ITC Avant Garde" w:hAnsi="ITC Avant Garde" w:cs="Arial"/>
                      <w:sz w:val="18"/>
                      <w:szCs w:val="18"/>
                    </w:rPr>
                    <w:t xml:space="preserve"> podría dejarse al paso del tiempo y </w:t>
                  </w:r>
                  <w:r w:rsidR="00584D75" w:rsidRPr="00CD5BDD">
                    <w:rPr>
                      <w:rFonts w:ascii="ITC Avant Garde" w:hAnsi="ITC Avant Garde" w:cs="Arial"/>
                      <w:sz w:val="18"/>
                      <w:szCs w:val="18"/>
                    </w:rPr>
                    <w:lastRenderedPageBreak/>
                    <w:t>que sean los criterios que adopte el Pleno del Instituto para la determinación del MR, caso por caso, los que se acumulen y, en el largo plazo, sienten precedentes que sirvan para orientar a los agentes económicos o interesados en el tema.</w:t>
                  </w:r>
                </w:p>
              </w:tc>
              <w:tc>
                <w:tcPr>
                  <w:tcW w:w="3969" w:type="dxa"/>
                </w:tcPr>
                <w:p w14:paraId="665E7213" w14:textId="778FC568" w:rsidR="00584D75" w:rsidRPr="00CD5BDD" w:rsidRDefault="00584D75" w:rsidP="00B80566">
                  <w:pPr>
                    <w:jc w:val="both"/>
                    <w:rPr>
                      <w:rFonts w:ascii="ITC Avant Garde" w:hAnsi="ITC Avant Garde" w:cs="Arial"/>
                      <w:sz w:val="18"/>
                      <w:szCs w:val="18"/>
                    </w:rPr>
                  </w:pPr>
                  <w:r w:rsidRPr="00CD5BDD">
                    <w:rPr>
                      <w:rFonts w:ascii="ITC Avant Garde" w:hAnsi="ITC Avant Garde" w:cs="Arial"/>
                      <w:sz w:val="18"/>
                      <w:szCs w:val="18"/>
                    </w:rPr>
                    <w:lastRenderedPageBreak/>
                    <w:t>Se descartó esta alternativa pues</w:t>
                  </w:r>
                  <w:r w:rsidR="006926D7" w:rsidRPr="00CD5BDD">
                    <w:rPr>
                      <w:rFonts w:ascii="ITC Avant Garde" w:hAnsi="ITC Avant Garde" w:cs="Arial"/>
                      <w:sz w:val="18"/>
                      <w:szCs w:val="18"/>
                    </w:rPr>
                    <w:t xml:space="preserve"> se retrasarían los beneficios para </w:t>
                  </w:r>
                  <w:r w:rsidRPr="00CD5BDD">
                    <w:rPr>
                      <w:rFonts w:ascii="ITC Avant Garde" w:hAnsi="ITC Avant Garde" w:cs="Arial"/>
                      <w:sz w:val="18"/>
                      <w:szCs w:val="18"/>
                    </w:rPr>
                    <w:t xml:space="preserve">los agentes </w:t>
                  </w:r>
                  <w:r w:rsidRPr="00CD5BDD">
                    <w:rPr>
                      <w:rFonts w:ascii="ITC Avant Garde" w:hAnsi="ITC Avant Garde" w:cs="Arial"/>
                      <w:sz w:val="18"/>
                      <w:szCs w:val="18"/>
                    </w:rPr>
                    <w:lastRenderedPageBreak/>
                    <w:t xml:space="preserve">económicos, interesados y el público en general </w:t>
                  </w:r>
                  <w:r w:rsidR="006926D7" w:rsidRPr="00CD5BDD">
                    <w:rPr>
                      <w:rFonts w:ascii="ITC Avant Garde" w:hAnsi="ITC Avant Garde" w:cs="Arial"/>
                      <w:sz w:val="18"/>
                      <w:szCs w:val="18"/>
                    </w:rPr>
                    <w:t>derivados de</w:t>
                  </w:r>
                  <w:r w:rsidRPr="00CD5BDD">
                    <w:rPr>
                      <w:rFonts w:ascii="ITC Avant Garde" w:hAnsi="ITC Avant Garde" w:cs="Arial"/>
                      <w:sz w:val="18"/>
                      <w:szCs w:val="18"/>
                    </w:rPr>
                    <w:t xml:space="preserve"> una mayor certeza respecto al actuar del Instituto en</w:t>
                  </w:r>
                  <w:r w:rsidR="00BC40FE" w:rsidRPr="00CD5BDD">
                    <w:rPr>
                      <w:rFonts w:ascii="ITC Avant Garde" w:hAnsi="ITC Avant Garde" w:cs="Arial"/>
                      <w:sz w:val="18"/>
                      <w:szCs w:val="18"/>
                    </w:rPr>
                    <w:t xml:space="preserve"> el</w:t>
                  </w:r>
                  <w:r w:rsidRPr="00CD5BDD">
                    <w:rPr>
                      <w:rFonts w:ascii="ITC Avant Garde" w:hAnsi="ITC Avant Garde" w:cs="Arial"/>
                      <w:sz w:val="18"/>
                      <w:szCs w:val="18"/>
                    </w:rPr>
                    <w:t xml:space="preserve"> análisis que impli</w:t>
                  </w:r>
                  <w:r w:rsidR="00BC40FE" w:rsidRPr="00CD5BDD">
                    <w:rPr>
                      <w:rFonts w:ascii="ITC Avant Garde" w:hAnsi="ITC Avant Garde" w:cs="Arial"/>
                      <w:sz w:val="18"/>
                      <w:szCs w:val="18"/>
                    </w:rPr>
                    <w:t>ca</w:t>
                  </w:r>
                  <w:r w:rsidRPr="00CD5BDD">
                    <w:rPr>
                      <w:rFonts w:ascii="ITC Avant Garde" w:hAnsi="ITC Avant Garde" w:cs="Arial"/>
                      <w:sz w:val="18"/>
                      <w:szCs w:val="18"/>
                    </w:rPr>
                    <w:t xml:space="preserve"> la definición de MR</w:t>
                  </w:r>
                  <w:r w:rsidR="00A1481D" w:rsidRPr="00CD5BDD">
                    <w:rPr>
                      <w:rFonts w:ascii="ITC Avant Garde" w:hAnsi="ITC Avant Garde" w:cs="Arial"/>
                      <w:sz w:val="18"/>
                      <w:szCs w:val="18"/>
                    </w:rPr>
                    <w:t xml:space="preserve">. Además, </w:t>
                  </w:r>
                  <w:r w:rsidR="00B80566" w:rsidRPr="00CD5BDD">
                    <w:rPr>
                      <w:rFonts w:ascii="ITC Avant Garde" w:hAnsi="ITC Avant Garde" w:cs="Arial"/>
                      <w:sz w:val="18"/>
                      <w:szCs w:val="18"/>
                    </w:rPr>
                    <w:t xml:space="preserve">no se atendería en el corto plazo </w:t>
                  </w:r>
                  <w:r w:rsidR="00303EC2" w:rsidRPr="00CD5BDD">
                    <w:rPr>
                      <w:rFonts w:ascii="ITC Avant Garde" w:hAnsi="ITC Avant Garde" w:cs="Arial"/>
                      <w:sz w:val="18"/>
                      <w:szCs w:val="18"/>
                    </w:rPr>
                    <w:t>la recomendación de la OCDE</w:t>
                  </w:r>
                  <w:r w:rsidR="00A1481D" w:rsidRPr="00CD5BDD">
                    <w:rPr>
                      <w:rFonts w:ascii="ITC Avant Garde" w:hAnsi="ITC Avant Garde" w:cs="Arial"/>
                      <w:sz w:val="18"/>
                      <w:szCs w:val="18"/>
                    </w:rPr>
                    <w:t xml:space="preserve"> señalada en la alternativa anterior,</w:t>
                  </w:r>
                  <w:r w:rsidR="00DA737B" w:rsidRPr="00CD5BDD">
                    <w:rPr>
                      <w:rFonts w:ascii="ITC Avant Garde" w:hAnsi="ITC Avant Garde" w:cs="Arial"/>
                      <w:sz w:val="18"/>
                      <w:szCs w:val="18"/>
                    </w:rPr>
                    <w:t xml:space="preserve"> respecto a la adopción de líneas directrices sobre temas sustantivos como la definición de mercado</w:t>
                  </w:r>
                  <w:r w:rsidR="00303EC2" w:rsidRPr="00CD5BDD">
                    <w:rPr>
                      <w:rFonts w:ascii="ITC Avant Garde" w:hAnsi="ITC Avant Garde" w:cs="Arial"/>
                      <w:sz w:val="18"/>
                      <w:szCs w:val="18"/>
                    </w:rPr>
                    <w:t xml:space="preserve">. </w:t>
                  </w:r>
                </w:p>
              </w:tc>
            </w:tr>
            <w:tr w:rsidR="00584D75" w:rsidRPr="00CD5BDD" w14:paraId="6C041033" w14:textId="77777777" w:rsidTr="00055206">
              <w:sdt>
                <w:sdtPr>
                  <w:rPr>
                    <w:rFonts w:ascii="ITC Avant Garde" w:hAnsi="ITC Avant Garde" w:cs="Arial"/>
                    <w:i/>
                    <w:sz w:val="18"/>
                    <w:szCs w:val="18"/>
                  </w:rPr>
                  <w:alias w:val="Alternativa evaluada"/>
                  <w:tag w:val="Alternativa evaluada"/>
                  <w:id w:val="-825826257"/>
                  <w:placeholder>
                    <w:docPart w:val="A73AE02ADCA1411CB50747F745019304"/>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18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6E71E17C" w14:textId="11D12F85" w:rsidR="00584D75" w:rsidRPr="00CD5BDD" w:rsidRDefault="00B31C7C" w:rsidP="00584D75">
                      <w:pPr>
                        <w:rPr>
                          <w:rFonts w:ascii="ITC Avant Garde" w:hAnsi="ITC Avant Garde" w:cs="Arial"/>
                          <w:i/>
                          <w:sz w:val="18"/>
                          <w:szCs w:val="18"/>
                        </w:rPr>
                      </w:pPr>
                      <w:r w:rsidRPr="00CD5BDD">
                        <w:rPr>
                          <w:rFonts w:ascii="ITC Avant Garde" w:hAnsi="ITC Avant Garde" w:cs="Arial"/>
                          <w:i/>
                          <w:sz w:val="18"/>
                          <w:szCs w:val="18"/>
                        </w:rPr>
                        <w:t>Otro tipo de regulación</w:t>
                      </w:r>
                    </w:p>
                  </w:tc>
                </w:sdtContent>
              </w:sdt>
              <w:tc>
                <w:tcPr>
                  <w:tcW w:w="2684" w:type="dxa"/>
                  <w:tcBorders>
                    <w:left w:val="single" w:sz="12" w:space="0" w:color="auto"/>
                  </w:tcBorders>
                </w:tcPr>
                <w:p w14:paraId="21E43A20" w14:textId="207F9E48" w:rsidR="00584D75" w:rsidRPr="00CD5BDD" w:rsidRDefault="00584D75" w:rsidP="00584D75">
                  <w:pPr>
                    <w:jc w:val="both"/>
                    <w:rPr>
                      <w:rFonts w:ascii="ITC Avant Garde" w:hAnsi="ITC Avant Garde" w:cs="Arial"/>
                      <w:sz w:val="18"/>
                      <w:szCs w:val="18"/>
                    </w:rPr>
                  </w:pPr>
                  <w:r w:rsidRPr="00CD5BDD">
                    <w:rPr>
                      <w:rFonts w:ascii="ITC Avant Garde" w:hAnsi="ITC Avant Garde" w:cs="Arial"/>
                      <w:sz w:val="18"/>
                      <w:szCs w:val="18"/>
                    </w:rPr>
                    <w:t>Se podrían modificar las DRLFCE para incluir especificaciones sobre la aplicación de los criterios para definir el MR.</w:t>
                  </w:r>
                </w:p>
              </w:tc>
              <w:tc>
                <w:tcPr>
                  <w:tcW w:w="3969" w:type="dxa"/>
                </w:tcPr>
                <w:p w14:paraId="4B969CA4" w14:textId="05008778" w:rsidR="00584D75" w:rsidRPr="00CD5BDD" w:rsidRDefault="00584D75" w:rsidP="00584D75">
                  <w:pPr>
                    <w:jc w:val="both"/>
                    <w:rPr>
                      <w:rFonts w:ascii="ITC Avant Garde" w:hAnsi="ITC Avant Garde" w:cs="Arial"/>
                      <w:sz w:val="18"/>
                      <w:szCs w:val="18"/>
                    </w:rPr>
                  </w:pPr>
                  <w:r w:rsidRPr="00CD5BDD">
                    <w:rPr>
                      <w:rFonts w:ascii="ITC Avant Garde" w:hAnsi="ITC Avant Garde" w:cs="Arial"/>
                      <w:sz w:val="18"/>
                      <w:szCs w:val="18"/>
                    </w:rPr>
                    <w:t xml:space="preserve">Se descartó esta alternativa pues implicaría </w:t>
                  </w:r>
                  <w:r w:rsidR="00145497" w:rsidRPr="00CD5BDD">
                    <w:rPr>
                      <w:rFonts w:ascii="ITC Avant Garde" w:hAnsi="ITC Avant Garde" w:cs="Arial"/>
                      <w:sz w:val="18"/>
                      <w:szCs w:val="18"/>
                    </w:rPr>
                    <w:t xml:space="preserve">establecer </w:t>
                  </w:r>
                  <w:r w:rsidR="003859E0" w:rsidRPr="00CD5BDD">
                    <w:rPr>
                      <w:rFonts w:ascii="ITC Avant Garde" w:hAnsi="ITC Avant Garde" w:cs="Arial"/>
                      <w:sz w:val="18"/>
                      <w:szCs w:val="18"/>
                    </w:rPr>
                    <w:t>criterios</w:t>
                  </w:r>
                  <w:r w:rsidRPr="00CD5BDD">
                    <w:rPr>
                      <w:rFonts w:ascii="ITC Avant Garde" w:hAnsi="ITC Avant Garde" w:cs="Arial"/>
                      <w:sz w:val="18"/>
                      <w:szCs w:val="18"/>
                    </w:rPr>
                    <w:t xml:space="preserve"> </w:t>
                  </w:r>
                  <w:r w:rsidR="003859E0" w:rsidRPr="00CD5BDD">
                    <w:rPr>
                      <w:rFonts w:ascii="ITC Avant Garde" w:hAnsi="ITC Avant Garde" w:cs="Arial"/>
                      <w:sz w:val="18"/>
                      <w:szCs w:val="18"/>
                    </w:rPr>
                    <w:t xml:space="preserve">específicos </w:t>
                  </w:r>
                  <w:r w:rsidRPr="00CD5BDD">
                    <w:rPr>
                      <w:rFonts w:ascii="ITC Avant Garde" w:hAnsi="ITC Avant Garde" w:cs="Arial"/>
                      <w:sz w:val="18"/>
                      <w:szCs w:val="18"/>
                    </w:rPr>
                    <w:t xml:space="preserve">que tendrían carácter vinculante, lo que restaría flexibilidad al Instituto </w:t>
                  </w:r>
                  <w:r w:rsidR="00303EC2" w:rsidRPr="00CD5BDD">
                    <w:rPr>
                      <w:rFonts w:ascii="ITC Avant Garde" w:hAnsi="ITC Avant Garde" w:cs="Arial"/>
                      <w:sz w:val="18"/>
                      <w:szCs w:val="18"/>
                    </w:rPr>
                    <w:t xml:space="preserve">para </w:t>
                  </w:r>
                  <w:r w:rsidRPr="00CD5BDD">
                    <w:rPr>
                      <w:rFonts w:ascii="ITC Avant Garde" w:hAnsi="ITC Avant Garde" w:cs="Arial"/>
                      <w:sz w:val="18"/>
                      <w:szCs w:val="18"/>
                    </w:rPr>
                    <w:t>resolver sobre cuestiones que implican una valoración económica compleja, que se construye a partir de la evidencia de la que se dispone, es decir, caso por caso.</w:t>
                  </w:r>
                </w:p>
              </w:tc>
            </w:tr>
          </w:tbl>
          <w:p w14:paraId="3DD0A069" w14:textId="77777777" w:rsidR="00BE7D1C" w:rsidRPr="00CD5BDD" w:rsidRDefault="00BE7D1C" w:rsidP="00055206">
            <w:pPr>
              <w:jc w:val="both"/>
              <w:rPr>
                <w:rFonts w:ascii="ITC Avant Garde" w:hAnsi="ITC Avant Garde" w:cs="Arial"/>
                <w:sz w:val="18"/>
                <w:szCs w:val="18"/>
              </w:rPr>
            </w:pPr>
          </w:p>
        </w:tc>
      </w:tr>
    </w:tbl>
    <w:p w14:paraId="51FDB038" w14:textId="77777777" w:rsidR="00634DE8" w:rsidRPr="00CD5BDD" w:rsidRDefault="00634DE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E7D1C" w:rsidRPr="00CD5BDD" w14:paraId="686C9D4A" w14:textId="77777777" w:rsidTr="00055206">
        <w:tc>
          <w:tcPr>
            <w:tcW w:w="8828" w:type="dxa"/>
          </w:tcPr>
          <w:p w14:paraId="34F02CB1" w14:textId="324C7F87" w:rsidR="00BE7D1C" w:rsidRPr="00CD5BDD" w:rsidRDefault="00BE7D1C" w:rsidP="00055206">
            <w:pPr>
              <w:jc w:val="both"/>
              <w:rPr>
                <w:rFonts w:ascii="ITC Avant Garde" w:hAnsi="ITC Avant Garde" w:cs="Arial"/>
                <w:b/>
                <w:sz w:val="18"/>
                <w:szCs w:val="18"/>
              </w:rPr>
            </w:pPr>
            <w:r w:rsidRPr="00CD5BDD">
              <w:rPr>
                <w:rFonts w:ascii="ITC Avant Garde" w:hAnsi="ITC Avant Garde" w:cs="Arial"/>
                <w:b/>
                <w:sz w:val="18"/>
                <w:szCs w:val="18"/>
              </w:rPr>
              <w:t>4.- Justifique las razones por las que considera que la propuesta de regulación no genera costos de cumplimiento, independientemente de los beneficios que ésta genere:</w:t>
            </w:r>
          </w:p>
          <w:p w14:paraId="4B419A0B" w14:textId="77777777" w:rsidR="00413871" w:rsidRPr="00CD5BDD" w:rsidRDefault="00413871" w:rsidP="000A4E83">
            <w:pPr>
              <w:spacing w:after="120"/>
              <w:jc w:val="both"/>
              <w:rPr>
                <w:rFonts w:ascii="ITC Avant Garde" w:hAnsi="ITC Avant Garde" w:cs="Arial"/>
                <w:sz w:val="18"/>
                <w:szCs w:val="18"/>
              </w:rPr>
            </w:pPr>
          </w:p>
          <w:p w14:paraId="0E4852B5" w14:textId="0B5AEF2E" w:rsidR="00584D75" w:rsidRPr="00CD5BDD" w:rsidRDefault="001C10B5" w:rsidP="000A4E83">
            <w:pPr>
              <w:spacing w:after="120"/>
              <w:jc w:val="both"/>
              <w:rPr>
                <w:rFonts w:ascii="ITC Avant Garde" w:hAnsi="ITC Avant Garde" w:cs="Arial"/>
                <w:sz w:val="18"/>
                <w:szCs w:val="18"/>
              </w:rPr>
            </w:pPr>
            <w:r w:rsidRPr="00CD5BDD">
              <w:rPr>
                <w:rFonts w:ascii="ITC Avant Garde" w:hAnsi="ITC Avant Garde" w:cs="Arial"/>
                <w:sz w:val="18"/>
                <w:szCs w:val="18"/>
              </w:rPr>
              <w:t>El Proyecto de</w:t>
            </w:r>
            <w:r w:rsidR="00E5473A" w:rsidRPr="00CD5BDD">
              <w:rPr>
                <w:rFonts w:ascii="ITC Avant Garde" w:hAnsi="ITC Avant Garde" w:cs="Arial"/>
                <w:sz w:val="18"/>
                <w:szCs w:val="18"/>
              </w:rPr>
              <w:t xml:space="preserve"> Guía</w:t>
            </w:r>
            <w:r w:rsidR="00584D75" w:rsidRPr="00CD5BDD">
              <w:rPr>
                <w:rFonts w:ascii="ITC Avant Garde" w:hAnsi="ITC Avant Garde" w:cs="Arial"/>
                <w:sz w:val="18"/>
                <w:szCs w:val="18"/>
              </w:rPr>
              <w:t xml:space="preserve"> no: </w:t>
            </w:r>
          </w:p>
          <w:p w14:paraId="0799955E" w14:textId="356D3B33" w:rsidR="00584D75" w:rsidRPr="00CD5BDD" w:rsidRDefault="00584D75" w:rsidP="00584D75">
            <w:pPr>
              <w:pStyle w:val="Prrafodelista"/>
              <w:numPr>
                <w:ilvl w:val="0"/>
                <w:numId w:val="9"/>
              </w:numPr>
              <w:jc w:val="both"/>
              <w:rPr>
                <w:rFonts w:ascii="ITC Avant Garde" w:hAnsi="ITC Avant Garde" w:cs="Arial"/>
                <w:sz w:val="18"/>
                <w:szCs w:val="18"/>
              </w:rPr>
            </w:pPr>
            <w:r w:rsidRPr="00CD5BDD">
              <w:rPr>
                <w:rFonts w:ascii="ITC Avant Garde" w:hAnsi="ITC Avant Garde" w:cs="Arial"/>
                <w:sz w:val="18"/>
                <w:szCs w:val="18"/>
              </w:rPr>
              <w:t xml:space="preserve">Crea nuevas obligaciones o hace más estrictas las existentes, ya que el Instituto actualmente lleva a cabo la definición del MR en análisis de competencia económica de acuerdo con lo establecido en la LFCE y las DRLFCE. </w:t>
            </w:r>
            <w:r w:rsidR="001C10B5" w:rsidRPr="00CD5BDD">
              <w:rPr>
                <w:rFonts w:ascii="ITC Avant Garde" w:hAnsi="ITC Avant Garde" w:cs="Arial"/>
                <w:sz w:val="18"/>
                <w:szCs w:val="18"/>
              </w:rPr>
              <w:t>El Proyecto</w:t>
            </w:r>
            <w:r w:rsidRPr="00CD5BDD">
              <w:rPr>
                <w:rFonts w:ascii="ITC Avant Garde" w:hAnsi="ITC Avant Garde" w:cs="Arial"/>
                <w:sz w:val="18"/>
                <w:szCs w:val="18"/>
              </w:rPr>
              <w:t xml:space="preserve"> </w:t>
            </w:r>
            <w:r w:rsidR="001C10B5" w:rsidRPr="00CD5BDD">
              <w:rPr>
                <w:rFonts w:ascii="ITC Avant Garde" w:hAnsi="ITC Avant Garde" w:cs="Arial"/>
                <w:sz w:val="18"/>
                <w:szCs w:val="18"/>
              </w:rPr>
              <w:t xml:space="preserve">de </w:t>
            </w:r>
            <w:r w:rsidRPr="00CD5BDD">
              <w:rPr>
                <w:rFonts w:ascii="ITC Avant Garde" w:hAnsi="ITC Avant Garde" w:cs="Arial"/>
                <w:sz w:val="18"/>
                <w:szCs w:val="18"/>
              </w:rPr>
              <w:t xml:space="preserve">Guía es de carácter orientativo y busca brindar mayor claridad respecto a los elementos previstos en dichos instrumentos. </w:t>
            </w:r>
          </w:p>
          <w:p w14:paraId="2A03DFB0" w14:textId="5D14B664" w:rsidR="00584D75" w:rsidRPr="00CD5BDD" w:rsidRDefault="00584D75" w:rsidP="00584D75">
            <w:pPr>
              <w:pStyle w:val="Prrafodelista"/>
              <w:numPr>
                <w:ilvl w:val="0"/>
                <w:numId w:val="9"/>
              </w:numPr>
              <w:jc w:val="both"/>
              <w:rPr>
                <w:rFonts w:ascii="ITC Avant Garde" w:hAnsi="ITC Avant Garde" w:cs="Arial"/>
                <w:sz w:val="18"/>
                <w:szCs w:val="18"/>
              </w:rPr>
            </w:pPr>
            <w:r w:rsidRPr="00CD5BDD">
              <w:rPr>
                <w:rFonts w:ascii="ITC Avant Garde" w:hAnsi="ITC Avant Garde" w:cs="Arial"/>
                <w:sz w:val="18"/>
                <w:szCs w:val="18"/>
              </w:rPr>
              <w:t>Crea o modifica trámites, según la definición de trámite establecida en el artículo 3, fracción XXI de la Ley General de Mejora Regulatoria, ya que no crea obligaciones ni establece una resolución que no se encuentre ya prevista en la LFCE o las DRLFCE.</w:t>
            </w:r>
          </w:p>
          <w:p w14:paraId="71A920AD" w14:textId="78D271C2" w:rsidR="00584D75" w:rsidRPr="00CD5BDD" w:rsidRDefault="00584D75" w:rsidP="00584D75">
            <w:pPr>
              <w:pStyle w:val="Prrafodelista"/>
              <w:numPr>
                <w:ilvl w:val="0"/>
                <w:numId w:val="9"/>
              </w:numPr>
              <w:jc w:val="both"/>
              <w:rPr>
                <w:rFonts w:ascii="ITC Avant Garde" w:hAnsi="ITC Avant Garde" w:cs="Arial"/>
                <w:sz w:val="18"/>
                <w:szCs w:val="18"/>
              </w:rPr>
            </w:pPr>
            <w:r w:rsidRPr="00CD5BDD">
              <w:rPr>
                <w:rFonts w:ascii="ITC Avant Garde" w:hAnsi="ITC Avant Garde" w:cs="Arial"/>
                <w:sz w:val="18"/>
                <w:szCs w:val="18"/>
              </w:rPr>
              <w:t>Reduce o restringe derechos o prestaciones, ya que tiene carácter no vinculante y no modifica, sustituye o adiciona el marco jurídico existente.</w:t>
            </w:r>
          </w:p>
          <w:p w14:paraId="00578077" w14:textId="224481B3" w:rsidR="00584D75" w:rsidRPr="00CD5BDD" w:rsidRDefault="00584D75" w:rsidP="000A4E83">
            <w:pPr>
              <w:pStyle w:val="Prrafodelista"/>
              <w:numPr>
                <w:ilvl w:val="0"/>
                <w:numId w:val="9"/>
              </w:numPr>
              <w:spacing w:after="120"/>
              <w:ind w:left="714" w:hanging="357"/>
              <w:contextualSpacing w:val="0"/>
              <w:jc w:val="both"/>
              <w:rPr>
                <w:rFonts w:ascii="ITC Avant Garde" w:hAnsi="ITC Avant Garde" w:cs="Arial"/>
                <w:sz w:val="18"/>
                <w:szCs w:val="18"/>
              </w:rPr>
            </w:pPr>
            <w:r w:rsidRPr="00CD5BDD">
              <w:rPr>
                <w:rFonts w:ascii="ITC Avant Garde" w:hAnsi="ITC Avant Garde" w:cs="Arial"/>
                <w:sz w:val="18"/>
                <w:szCs w:val="18"/>
              </w:rPr>
              <w:t xml:space="preserve">Establece o modifica definiciones, clasificaciones, metodologías, criterios, caracterizaciones o cualquier otro término de referencia, </w:t>
            </w:r>
            <w:r w:rsidR="0085582C" w:rsidRPr="00CD5BDD">
              <w:rPr>
                <w:rFonts w:ascii="ITC Avant Garde" w:hAnsi="ITC Avant Garde" w:cs="Arial"/>
                <w:sz w:val="18"/>
                <w:szCs w:val="18"/>
              </w:rPr>
              <w:t xml:space="preserve">que conjuntamente con otra disposición en vigor, o con una disposición futura, afecten o puedan afectar </w:t>
            </w:r>
            <w:r w:rsidRPr="00CD5BDD">
              <w:rPr>
                <w:rFonts w:ascii="ITC Avant Garde" w:hAnsi="ITC Avant Garde" w:cs="Arial"/>
                <w:sz w:val="18"/>
                <w:szCs w:val="18"/>
              </w:rPr>
              <w:t>derechos, obligaciones, prestaciones o trámites; ya que es orientativa y se apega estrictamente a lo establecido en la LFCE y las DRLFCE para la definición de MR.</w:t>
            </w:r>
          </w:p>
          <w:p w14:paraId="7CEF5AB6" w14:textId="725EEB4C" w:rsidR="00BE7D1C" w:rsidRPr="00CD5BDD" w:rsidRDefault="00584D75" w:rsidP="00584D75">
            <w:pPr>
              <w:jc w:val="both"/>
              <w:rPr>
                <w:rFonts w:ascii="ITC Avant Garde" w:hAnsi="ITC Avant Garde" w:cs="Arial"/>
                <w:sz w:val="18"/>
                <w:szCs w:val="18"/>
              </w:rPr>
            </w:pPr>
            <w:r w:rsidRPr="00CD5BDD">
              <w:rPr>
                <w:rFonts w:ascii="ITC Avant Garde" w:hAnsi="ITC Avant Garde" w:cs="Arial"/>
                <w:sz w:val="18"/>
                <w:szCs w:val="18"/>
              </w:rPr>
              <w:t xml:space="preserve">Por lo tanto, </w:t>
            </w:r>
            <w:r w:rsidR="001C10B5" w:rsidRPr="00CD5BDD">
              <w:rPr>
                <w:rFonts w:ascii="ITC Avant Garde" w:hAnsi="ITC Avant Garde" w:cs="Arial"/>
                <w:sz w:val="18"/>
                <w:szCs w:val="18"/>
              </w:rPr>
              <w:t>el Proyecto de</w:t>
            </w:r>
            <w:r w:rsidR="00E5473A" w:rsidRPr="00CD5BDD">
              <w:rPr>
                <w:rFonts w:ascii="ITC Avant Garde" w:hAnsi="ITC Avant Garde" w:cs="Arial"/>
                <w:sz w:val="18"/>
                <w:szCs w:val="18"/>
              </w:rPr>
              <w:t xml:space="preserve"> Guía </w:t>
            </w:r>
            <w:r w:rsidRPr="00CD5BDD">
              <w:rPr>
                <w:rFonts w:ascii="ITC Avant Garde" w:hAnsi="ITC Avant Garde" w:cs="Arial"/>
                <w:sz w:val="18"/>
                <w:szCs w:val="18"/>
              </w:rPr>
              <w:t>no genera costos de cumplimiento, en virtud de que no constituye una norma, lineamiento o disposición de carácter vinculante. Por el contrario, es un documento únicamente orientativo, que servirá de apoyo o guía para todos aquellos que requieran información sobre cómo el Instituto define el MR en análisis de competencia económica en los sectores de telecomunicaciones y radiodifusión.</w:t>
            </w:r>
          </w:p>
          <w:p w14:paraId="05780536" w14:textId="77777777" w:rsidR="00BE7D1C" w:rsidRPr="00CD5BDD" w:rsidRDefault="00BE7D1C" w:rsidP="00055206">
            <w:pPr>
              <w:jc w:val="both"/>
              <w:rPr>
                <w:rFonts w:ascii="ITC Avant Garde" w:hAnsi="ITC Avant Garde" w:cs="Arial"/>
                <w:sz w:val="18"/>
                <w:szCs w:val="18"/>
              </w:rPr>
            </w:pPr>
          </w:p>
        </w:tc>
      </w:tr>
    </w:tbl>
    <w:p w14:paraId="1C286EAA" w14:textId="77777777" w:rsidR="00BE7D1C" w:rsidRPr="00CD5BDD" w:rsidRDefault="00BE7D1C"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696"/>
        <w:gridCol w:w="5670"/>
        <w:gridCol w:w="1462"/>
      </w:tblGrid>
      <w:tr w:rsidR="00804F49" w:rsidRPr="00CD5BDD" w14:paraId="74024075" w14:textId="77777777" w:rsidTr="003949C0">
        <w:tc>
          <w:tcPr>
            <w:tcW w:w="1696" w:type="dxa"/>
            <w:vMerge w:val="restart"/>
          </w:tcPr>
          <w:p w14:paraId="6AAD2E4E" w14:textId="1D718848" w:rsidR="00804F49" w:rsidRPr="00CD5BDD" w:rsidRDefault="00BE7D1C" w:rsidP="00BE7D1C">
            <w:pPr>
              <w:rPr>
                <w:rFonts w:ascii="ITC Avant Garde" w:hAnsi="ITC Avant Garde" w:cs="Arial"/>
                <w:b/>
                <w:sz w:val="18"/>
                <w:szCs w:val="18"/>
              </w:rPr>
            </w:pPr>
            <w:r w:rsidRPr="00CD5BDD">
              <w:rPr>
                <w:rFonts w:ascii="ITC Avant Garde" w:hAnsi="ITC Avant Garde" w:cs="Arial"/>
                <w:b/>
                <w:sz w:val="18"/>
                <w:szCs w:val="18"/>
              </w:rPr>
              <w:t>5</w:t>
            </w:r>
            <w:r w:rsidR="00D23BD5" w:rsidRPr="00CD5BDD">
              <w:rPr>
                <w:rFonts w:ascii="ITC Avant Garde" w:hAnsi="ITC Avant Garde" w:cs="Arial"/>
                <w:b/>
                <w:sz w:val="18"/>
                <w:szCs w:val="18"/>
              </w:rPr>
              <w:t>.- Indique cuál(es) de los siguientes</w:t>
            </w:r>
            <w:r w:rsidR="00804F49" w:rsidRPr="00CD5BDD">
              <w:rPr>
                <w:rFonts w:ascii="ITC Avant Garde" w:hAnsi="ITC Avant Garde" w:cs="Arial"/>
                <w:b/>
                <w:sz w:val="18"/>
                <w:szCs w:val="18"/>
              </w:rPr>
              <w:t xml:space="preserve"> </w:t>
            </w:r>
            <w:r w:rsidR="00D23BD5" w:rsidRPr="00CD5BDD">
              <w:rPr>
                <w:rFonts w:ascii="ITC Avant Garde" w:hAnsi="ITC Avant Garde" w:cs="Arial"/>
                <w:b/>
                <w:sz w:val="18"/>
                <w:szCs w:val="18"/>
              </w:rPr>
              <w:lastRenderedPageBreak/>
              <w:t>criterios</w:t>
            </w:r>
            <w:r w:rsidR="00804F49" w:rsidRPr="00CD5BDD">
              <w:rPr>
                <w:rFonts w:ascii="ITC Avant Garde" w:hAnsi="ITC Avant Garde" w:cs="Arial"/>
                <w:b/>
                <w:sz w:val="18"/>
                <w:szCs w:val="18"/>
              </w:rPr>
              <w:t xml:space="preserve"> </w:t>
            </w:r>
            <w:r w:rsidR="00D23BD5" w:rsidRPr="00CD5BDD">
              <w:rPr>
                <w:rFonts w:ascii="ITC Avant Garde" w:hAnsi="ITC Avant Garde" w:cs="Arial"/>
                <w:b/>
                <w:sz w:val="18"/>
                <w:szCs w:val="18"/>
              </w:rPr>
              <w:t>actualiza la propuesta</w:t>
            </w:r>
            <w:r w:rsidR="00804F49" w:rsidRPr="00CD5BDD">
              <w:rPr>
                <w:rFonts w:ascii="ITC Avant Garde" w:hAnsi="ITC Avant Garde" w:cs="Arial"/>
                <w:b/>
                <w:sz w:val="18"/>
                <w:szCs w:val="18"/>
              </w:rPr>
              <w:t xml:space="preserve"> de </w:t>
            </w:r>
            <w:r w:rsidR="00D23BD5" w:rsidRPr="00CD5BDD">
              <w:rPr>
                <w:rFonts w:ascii="ITC Avant Garde" w:hAnsi="ITC Avant Garde" w:cs="Arial"/>
                <w:b/>
                <w:sz w:val="18"/>
                <w:szCs w:val="18"/>
              </w:rPr>
              <w:t>regulación</w:t>
            </w:r>
            <w:r w:rsidR="0006478F" w:rsidRPr="00CD5BDD">
              <w:rPr>
                <w:rFonts w:ascii="ITC Avant Garde" w:hAnsi="ITC Avant Garde" w:cs="Arial"/>
                <w:b/>
                <w:sz w:val="18"/>
                <w:szCs w:val="18"/>
              </w:rPr>
              <w:t>:</w:t>
            </w:r>
          </w:p>
        </w:tc>
        <w:tc>
          <w:tcPr>
            <w:tcW w:w="5670" w:type="dxa"/>
            <w:shd w:val="clear" w:color="auto" w:fill="A8D08D" w:themeFill="accent6" w:themeFillTint="99"/>
          </w:tcPr>
          <w:p w14:paraId="10D6462C" w14:textId="77777777" w:rsidR="00804F49" w:rsidRPr="00CD5BDD" w:rsidRDefault="00804F49" w:rsidP="00804F49">
            <w:pPr>
              <w:jc w:val="center"/>
              <w:rPr>
                <w:rFonts w:ascii="ITC Avant Garde" w:hAnsi="ITC Avant Garde" w:cs="Arial"/>
                <w:b/>
                <w:sz w:val="18"/>
                <w:szCs w:val="18"/>
              </w:rPr>
            </w:pPr>
            <w:r w:rsidRPr="00CD5BDD">
              <w:rPr>
                <w:rFonts w:ascii="ITC Avant Garde" w:hAnsi="ITC Avant Garde" w:cs="Arial"/>
                <w:b/>
                <w:sz w:val="18"/>
                <w:szCs w:val="18"/>
              </w:rPr>
              <w:lastRenderedPageBreak/>
              <w:t>Acciones</w:t>
            </w:r>
          </w:p>
        </w:tc>
        <w:tc>
          <w:tcPr>
            <w:tcW w:w="1462" w:type="dxa"/>
            <w:shd w:val="clear" w:color="auto" w:fill="A8D08D" w:themeFill="accent6" w:themeFillTint="99"/>
          </w:tcPr>
          <w:p w14:paraId="074EC5AD" w14:textId="77777777" w:rsidR="00804F49" w:rsidRPr="00CD5BDD" w:rsidRDefault="00804F49" w:rsidP="00804F49">
            <w:pPr>
              <w:jc w:val="center"/>
              <w:rPr>
                <w:rFonts w:ascii="ITC Avant Garde" w:hAnsi="ITC Avant Garde" w:cs="Arial"/>
                <w:b/>
                <w:sz w:val="18"/>
                <w:szCs w:val="18"/>
              </w:rPr>
            </w:pPr>
            <w:r w:rsidRPr="00CD5BDD">
              <w:rPr>
                <w:rFonts w:ascii="ITC Avant Garde" w:hAnsi="ITC Avant Garde" w:cs="Arial"/>
                <w:b/>
                <w:sz w:val="18"/>
                <w:szCs w:val="18"/>
              </w:rPr>
              <w:t>Seleccione</w:t>
            </w:r>
          </w:p>
        </w:tc>
      </w:tr>
      <w:tr w:rsidR="00804F49" w:rsidRPr="00CD5BDD" w14:paraId="0EC0E926" w14:textId="77777777" w:rsidTr="003949C0">
        <w:tc>
          <w:tcPr>
            <w:tcW w:w="1696" w:type="dxa"/>
            <w:vMerge/>
          </w:tcPr>
          <w:p w14:paraId="156FB4B4" w14:textId="77777777" w:rsidR="00804F49" w:rsidRPr="00CD5BDD" w:rsidRDefault="00804F49" w:rsidP="00E21B49">
            <w:pPr>
              <w:jc w:val="both"/>
              <w:rPr>
                <w:rFonts w:ascii="ITC Avant Garde" w:hAnsi="ITC Avant Garde" w:cs="Arial"/>
                <w:sz w:val="18"/>
                <w:szCs w:val="18"/>
              </w:rPr>
            </w:pPr>
          </w:p>
        </w:tc>
        <w:tc>
          <w:tcPr>
            <w:tcW w:w="5670" w:type="dxa"/>
          </w:tcPr>
          <w:p w14:paraId="79741BF4" w14:textId="1CB96842" w:rsidR="00804F49" w:rsidRPr="00CD5BDD" w:rsidRDefault="00804F49" w:rsidP="004A7C30">
            <w:pPr>
              <w:jc w:val="both"/>
              <w:rPr>
                <w:rFonts w:ascii="ITC Avant Garde" w:hAnsi="ITC Avant Garde" w:cs="Arial"/>
                <w:sz w:val="18"/>
                <w:szCs w:val="18"/>
              </w:rPr>
            </w:pPr>
            <w:r w:rsidRPr="00CD5BDD">
              <w:rPr>
                <w:rFonts w:ascii="ITC Avant Garde" w:hAnsi="ITC Avant Garde" w:cs="Arial"/>
                <w:sz w:val="18"/>
                <w:szCs w:val="18"/>
              </w:rPr>
              <w:t>Crea nuevas obligaciones y/o sanciones o hace más estrictas las existentes.</w:t>
            </w:r>
          </w:p>
        </w:tc>
        <w:tc>
          <w:tcPr>
            <w:tcW w:w="1462" w:type="dxa"/>
          </w:tcPr>
          <w:p w14:paraId="7661532D" w14:textId="38C76876" w:rsidR="00804F49" w:rsidRPr="00CD5BDD" w:rsidRDefault="00804F49" w:rsidP="00804F49">
            <w:pPr>
              <w:jc w:val="center"/>
              <w:rPr>
                <w:rFonts w:ascii="ITC Avant Garde" w:hAnsi="ITC Avant Garde" w:cs="Arial"/>
                <w:sz w:val="18"/>
                <w:szCs w:val="18"/>
              </w:rPr>
            </w:pPr>
            <w:r w:rsidRPr="00CD5BDD">
              <w:rPr>
                <w:rFonts w:ascii="ITC Avant Garde" w:hAnsi="ITC Avant Garde" w:cs="Arial"/>
                <w:sz w:val="18"/>
                <w:szCs w:val="18"/>
              </w:rPr>
              <w:t xml:space="preserve">Si ( </w:t>
            </w:r>
            <w:r w:rsidR="004A7C30" w:rsidRPr="00CD5BDD">
              <w:rPr>
                <w:rFonts w:ascii="ITC Avant Garde" w:hAnsi="ITC Avant Garde" w:cs="Arial"/>
                <w:sz w:val="18"/>
                <w:szCs w:val="18"/>
              </w:rPr>
              <w:t xml:space="preserve"> </w:t>
            </w:r>
            <w:r w:rsidRPr="00CD5BDD">
              <w:rPr>
                <w:rFonts w:ascii="ITC Avant Garde" w:hAnsi="ITC Avant Garde" w:cs="Arial"/>
                <w:sz w:val="18"/>
                <w:szCs w:val="18"/>
              </w:rPr>
              <w:t>) No (</w:t>
            </w:r>
            <w:r w:rsidR="00584D75" w:rsidRPr="00CD5BDD">
              <w:rPr>
                <w:rFonts w:ascii="ITC Avant Garde" w:hAnsi="ITC Avant Garde" w:cs="Arial"/>
                <w:b/>
                <w:sz w:val="18"/>
                <w:szCs w:val="18"/>
              </w:rPr>
              <w:t>X</w:t>
            </w:r>
            <w:r w:rsidRPr="00CD5BDD">
              <w:rPr>
                <w:rFonts w:ascii="ITC Avant Garde" w:hAnsi="ITC Avant Garde" w:cs="Arial"/>
                <w:sz w:val="18"/>
                <w:szCs w:val="18"/>
              </w:rPr>
              <w:t>)</w:t>
            </w:r>
          </w:p>
        </w:tc>
      </w:tr>
      <w:tr w:rsidR="00804F49" w:rsidRPr="00CD5BDD" w14:paraId="39C023BA" w14:textId="77777777" w:rsidTr="003949C0">
        <w:tc>
          <w:tcPr>
            <w:tcW w:w="1696" w:type="dxa"/>
            <w:vMerge/>
          </w:tcPr>
          <w:p w14:paraId="19BD1DC4" w14:textId="77777777" w:rsidR="00804F49" w:rsidRPr="00CD5BDD" w:rsidRDefault="00804F49" w:rsidP="00804F49">
            <w:pPr>
              <w:jc w:val="both"/>
              <w:rPr>
                <w:rFonts w:ascii="ITC Avant Garde" w:hAnsi="ITC Avant Garde" w:cs="Arial"/>
                <w:sz w:val="18"/>
                <w:szCs w:val="18"/>
              </w:rPr>
            </w:pPr>
          </w:p>
        </w:tc>
        <w:tc>
          <w:tcPr>
            <w:tcW w:w="5670" w:type="dxa"/>
          </w:tcPr>
          <w:p w14:paraId="072B9C35" w14:textId="75D6CD4F" w:rsidR="00804F49" w:rsidRPr="00CD5BDD" w:rsidRDefault="00804F49" w:rsidP="004A7C30">
            <w:pPr>
              <w:jc w:val="both"/>
              <w:rPr>
                <w:rFonts w:ascii="ITC Avant Garde" w:hAnsi="ITC Avant Garde" w:cs="Arial"/>
                <w:sz w:val="18"/>
                <w:szCs w:val="18"/>
              </w:rPr>
            </w:pPr>
            <w:r w:rsidRPr="00CD5BDD">
              <w:rPr>
                <w:rFonts w:ascii="ITC Avant Garde" w:hAnsi="ITC Avant Garde" w:cs="Arial"/>
                <w:sz w:val="18"/>
                <w:szCs w:val="18"/>
              </w:rPr>
              <w:t xml:space="preserve">Modifica o crea </w:t>
            </w:r>
            <w:r w:rsidR="00814A48" w:rsidRPr="00CD5BDD">
              <w:rPr>
                <w:rFonts w:ascii="ITC Avant Garde" w:hAnsi="ITC Avant Garde" w:cs="Arial"/>
                <w:sz w:val="18"/>
                <w:szCs w:val="18"/>
              </w:rPr>
              <w:t>T</w:t>
            </w:r>
            <w:r w:rsidRPr="00CD5BDD">
              <w:rPr>
                <w:rFonts w:ascii="ITC Avant Garde" w:hAnsi="ITC Avant Garde" w:cs="Arial"/>
                <w:sz w:val="18"/>
                <w:szCs w:val="18"/>
              </w:rPr>
              <w:t>rámites</w:t>
            </w:r>
            <w:r w:rsidR="008E1AD3" w:rsidRPr="00CD5BDD">
              <w:rPr>
                <w:rFonts w:ascii="ITC Avant Garde" w:hAnsi="ITC Avant Garde" w:cs="Arial"/>
                <w:sz w:val="18"/>
                <w:szCs w:val="18"/>
              </w:rPr>
              <w:t xml:space="preserve"> </w:t>
            </w:r>
            <w:r w:rsidRPr="00CD5BDD">
              <w:rPr>
                <w:rFonts w:ascii="ITC Avant Garde" w:hAnsi="ITC Avant Garde" w:cs="Arial"/>
                <w:sz w:val="18"/>
                <w:szCs w:val="18"/>
              </w:rPr>
              <w:t>que signifiquen mayores cargas administrativas o costos de cumplimiento</w:t>
            </w:r>
            <w:r w:rsidR="008E1AD3" w:rsidRPr="00CD5BDD">
              <w:rPr>
                <w:rFonts w:ascii="ITC Avant Garde" w:hAnsi="ITC Avant Garde" w:cs="Arial"/>
                <w:sz w:val="18"/>
                <w:szCs w:val="18"/>
                <w:vertAlign w:val="superscript"/>
              </w:rPr>
              <w:footnoteReference w:id="3"/>
            </w:r>
            <w:r w:rsidRPr="00CD5BDD">
              <w:rPr>
                <w:rFonts w:ascii="ITC Avant Garde" w:hAnsi="ITC Avant Garde" w:cs="Arial"/>
                <w:sz w:val="18"/>
                <w:szCs w:val="18"/>
              </w:rPr>
              <w:t>.</w:t>
            </w:r>
          </w:p>
        </w:tc>
        <w:tc>
          <w:tcPr>
            <w:tcW w:w="1462" w:type="dxa"/>
          </w:tcPr>
          <w:p w14:paraId="2F1452FB" w14:textId="21966B7C" w:rsidR="00804F49" w:rsidRPr="00CD5BDD" w:rsidRDefault="00804F49" w:rsidP="00804F49">
            <w:pPr>
              <w:jc w:val="center"/>
              <w:rPr>
                <w:rFonts w:ascii="ITC Avant Garde" w:hAnsi="ITC Avant Garde" w:cs="Arial"/>
                <w:sz w:val="18"/>
                <w:szCs w:val="18"/>
              </w:rPr>
            </w:pPr>
            <w:r w:rsidRPr="00CD5BDD">
              <w:rPr>
                <w:rFonts w:ascii="ITC Avant Garde" w:hAnsi="ITC Avant Garde" w:cs="Arial"/>
                <w:sz w:val="18"/>
                <w:szCs w:val="18"/>
              </w:rPr>
              <w:t>Si (</w:t>
            </w:r>
            <w:r w:rsidR="004A7C30" w:rsidRPr="00CD5BDD">
              <w:rPr>
                <w:rFonts w:ascii="ITC Avant Garde" w:hAnsi="ITC Avant Garde" w:cs="Arial"/>
                <w:sz w:val="18"/>
                <w:szCs w:val="18"/>
              </w:rPr>
              <w:t xml:space="preserve"> </w:t>
            </w:r>
            <w:r w:rsidRPr="00CD5BDD">
              <w:rPr>
                <w:rFonts w:ascii="ITC Avant Garde" w:hAnsi="ITC Avant Garde" w:cs="Arial"/>
                <w:sz w:val="18"/>
                <w:szCs w:val="18"/>
              </w:rPr>
              <w:t xml:space="preserve"> ) No (</w:t>
            </w:r>
            <w:r w:rsidR="00584D75" w:rsidRPr="00CD5BDD">
              <w:rPr>
                <w:rFonts w:ascii="ITC Avant Garde" w:hAnsi="ITC Avant Garde" w:cs="Arial"/>
                <w:b/>
                <w:sz w:val="18"/>
                <w:szCs w:val="18"/>
              </w:rPr>
              <w:t>X</w:t>
            </w:r>
            <w:r w:rsidRPr="00CD5BDD">
              <w:rPr>
                <w:rFonts w:ascii="ITC Avant Garde" w:hAnsi="ITC Avant Garde" w:cs="Arial"/>
                <w:sz w:val="18"/>
                <w:szCs w:val="18"/>
              </w:rPr>
              <w:t>)</w:t>
            </w:r>
          </w:p>
        </w:tc>
      </w:tr>
      <w:tr w:rsidR="00804F49" w:rsidRPr="00CD5BDD" w14:paraId="3489DD52" w14:textId="77777777" w:rsidTr="003949C0">
        <w:tc>
          <w:tcPr>
            <w:tcW w:w="1696" w:type="dxa"/>
            <w:vMerge/>
          </w:tcPr>
          <w:p w14:paraId="1B27676C" w14:textId="77777777" w:rsidR="00804F49" w:rsidRPr="00CD5BDD" w:rsidRDefault="00804F49" w:rsidP="00804F49">
            <w:pPr>
              <w:jc w:val="both"/>
              <w:rPr>
                <w:rFonts w:ascii="ITC Avant Garde" w:hAnsi="ITC Avant Garde" w:cs="Arial"/>
                <w:sz w:val="18"/>
                <w:szCs w:val="18"/>
              </w:rPr>
            </w:pPr>
          </w:p>
        </w:tc>
        <w:tc>
          <w:tcPr>
            <w:tcW w:w="5670" w:type="dxa"/>
          </w:tcPr>
          <w:p w14:paraId="51B74D56" w14:textId="51C90606" w:rsidR="00804F49" w:rsidRPr="00CD5BDD" w:rsidRDefault="00804F49" w:rsidP="004A7C30">
            <w:pPr>
              <w:jc w:val="both"/>
              <w:rPr>
                <w:rFonts w:ascii="ITC Avant Garde" w:hAnsi="ITC Avant Garde" w:cs="Arial"/>
                <w:sz w:val="18"/>
                <w:szCs w:val="18"/>
              </w:rPr>
            </w:pPr>
            <w:r w:rsidRPr="00CD5BDD">
              <w:rPr>
                <w:rFonts w:ascii="ITC Avant Garde" w:hAnsi="ITC Avant Garde" w:cs="Arial"/>
                <w:sz w:val="18"/>
                <w:szCs w:val="18"/>
              </w:rPr>
              <w:t>Reduce o re</w:t>
            </w:r>
            <w:r w:rsidR="004A7C30" w:rsidRPr="00CD5BDD">
              <w:rPr>
                <w:rFonts w:ascii="ITC Avant Garde" w:hAnsi="ITC Avant Garde" w:cs="Arial"/>
                <w:sz w:val="18"/>
                <w:szCs w:val="18"/>
              </w:rPr>
              <w:t>stringe prestaciones o derechos</w:t>
            </w:r>
            <w:r w:rsidRPr="00CD5BDD">
              <w:rPr>
                <w:rFonts w:ascii="ITC Avant Garde" w:hAnsi="ITC Avant Garde" w:cs="Arial"/>
                <w:sz w:val="18"/>
                <w:szCs w:val="18"/>
              </w:rPr>
              <w:t>.</w:t>
            </w:r>
          </w:p>
        </w:tc>
        <w:tc>
          <w:tcPr>
            <w:tcW w:w="1462" w:type="dxa"/>
          </w:tcPr>
          <w:p w14:paraId="001EB171" w14:textId="57949C6B" w:rsidR="00804F49" w:rsidRPr="00CD5BDD" w:rsidRDefault="00804F49" w:rsidP="00804F49">
            <w:pPr>
              <w:jc w:val="center"/>
              <w:rPr>
                <w:rFonts w:ascii="ITC Avant Garde" w:hAnsi="ITC Avant Garde" w:cs="Arial"/>
                <w:sz w:val="18"/>
                <w:szCs w:val="18"/>
              </w:rPr>
            </w:pPr>
            <w:r w:rsidRPr="00CD5BDD">
              <w:rPr>
                <w:rFonts w:ascii="ITC Avant Garde" w:hAnsi="ITC Avant Garde" w:cs="Arial"/>
                <w:sz w:val="18"/>
                <w:szCs w:val="18"/>
              </w:rPr>
              <w:t>Si (</w:t>
            </w:r>
            <w:r w:rsidR="004A7C30" w:rsidRPr="00CD5BDD">
              <w:rPr>
                <w:rFonts w:ascii="ITC Avant Garde" w:hAnsi="ITC Avant Garde" w:cs="Arial"/>
                <w:sz w:val="18"/>
                <w:szCs w:val="18"/>
              </w:rPr>
              <w:t xml:space="preserve"> </w:t>
            </w:r>
            <w:r w:rsidRPr="00CD5BDD">
              <w:rPr>
                <w:rFonts w:ascii="ITC Avant Garde" w:hAnsi="ITC Avant Garde" w:cs="Arial"/>
                <w:sz w:val="18"/>
                <w:szCs w:val="18"/>
              </w:rPr>
              <w:t xml:space="preserve"> ) No (</w:t>
            </w:r>
            <w:r w:rsidR="00584D75" w:rsidRPr="00CD5BDD">
              <w:rPr>
                <w:rFonts w:ascii="ITC Avant Garde" w:hAnsi="ITC Avant Garde" w:cs="Arial"/>
                <w:b/>
                <w:sz w:val="18"/>
                <w:szCs w:val="18"/>
              </w:rPr>
              <w:t>X</w:t>
            </w:r>
            <w:r w:rsidRPr="00CD5BDD">
              <w:rPr>
                <w:rFonts w:ascii="ITC Avant Garde" w:hAnsi="ITC Avant Garde" w:cs="Arial"/>
                <w:sz w:val="18"/>
                <w:szCs w:val="18"/>
              </w:rPr>
              <w:t>)</w:t>
            </w:r>
          </w:p>
        </w:tc>
      </w:tr>
      <w:tr w:rsidR="00804F49" w:rsidRPr="00CD5BDD" w14:paraId="4AD32941" w14:textId="77777777" w:rsidTr="003949C0">
        <w:tc>
          <w:tcPr>
            <w:tcW w:w="1696" w:type="dxa"/>
            <w:vMerge/>
          </w:tcPr>
          <w:p w14:paraId="27FC5F25" w14:textId="77777777" w:rsidR="00804F49" w:rsidRPr="00CD5BDD" w:rsidRDefault="00804F49" w:rsidP="00804F49">
            <w:pPr>
              <w:jc w:val="both"/>
              <w:rPr>
                <w:rFonts w:ascii="ITC Avant Garde" w:hAnsi="ITC Avant Garde" w:cs="Arial"/>
                <w:sz w:val="18"/>
                <w:szCs w:val="18"/>
              </w:rPr>
            </w:pPr>
          </w:p>
        </w:tc>
        <w:tc>
          <w:tcPr>
            <w:tcW w:w="5670" w:type="dxa"/>
          </w:tcPr>
          <w:p w14:paraId="17DAD3D4" w14:textId="2094FA05" w:rsidR="00804F49" w:rsidRPr="00CD5BDD" w:rsidRDefault="00804F49" w:rsidP="004A7C30">
            <w:pPr>
              <w:jc w:val="both"/>
              <w:rPr>
                <w:rFonts w:ascii="ITC Avant Garde" w:hAnsi="ITC Avant Garde" w:cs="Arial"/>
                <w:sz w:val="18"/>
                <w:szCs w:val="18"/>
              </w:rPr>
            </w:pPr>
            <w:r w:rsidRPr="00CD5BDD">
              <w:rPr>
                <w:rFonts w:ascii="ITC Avant Garde" w:hAnsi="ITC Avant Garde" w:cs="Arial"/>
                <w:sz w:val="18"/>
                <w:szCs w:val="18"/>
              </w:rPr>
              <w:t>Establece o modifica definiciones, clasificaciones, metodologías, criterios, caracterizaciones o cualquier otro término de referencia, afectando derechos, obliga</w:t>
            </w:r>
            <w:r w:rsidR="004A7C30" w:rsidRPr="00CD5BDD">
              <w:rPr>
                <w:rFonts w:ascii="ITC Avant Garde" w:hAnsi="ITC Avant Garde" w:cs="Arial"/>
                <w:sz w:val="18"/>
                <w:szCs w:val="18"/>
              </w:rPr>
              <w:t>ciones, prestaciones o trámites</w:t>
            </w:r>
            <w:r w:rsidRPr="00CD5BDD">
              <w:rPr>
                <w:rFonts w:ascii="ITC Avant Garde" w:hAnsi="ITC Avant Garde" w:cs="Arial"/>
                <w:sz w:val="18"/>
                <w:szCs w:val="18"/>
              </w:rPr>
              <w:t>.</w:t>
            </w:r>
          </w:p>
        </w:tc>
        <w:tc>
          <w:tcPr>
            <w:tcW w:w="1462" w:type="dxa"/>
          </w:tcPr>
          <w:p w14:paraId="40FD2722" w14:textId="14EFB4DC" w:rsidR="00804F49" w:rsidRPr="00CD5BDD" w:rsidRDefault="00804F49" w:rsidP="00804F49">
            <w:pPr>
              <w:jc w:val="center"/>
              <w:rPr>
                <w:rFonts w:ascii="ITC Avant Garde" w:hAnsi="ITC Avant Garde" w:cs="Arial"/>
                <w:sz w:val="18"/>
                <w:szCs w:val="18"/>
              </w:rPr>
            </w:pPr>
            <w:r w:rsidRPr="00CD5BDD">
              <w:rPr>
                <w:rFonts w:ascii="ITC Avant Garde" w:hAnsi="ITC Avant Garde" w:cs="Arial"/>
                <w:sz w:val="18"/>
                <w:szCs w:val="18"/>
              </w:rPr>
              <w:t xml:space="preserve">Si ( </w:t>
            </w:r>
            <w:r w:rsidR="004A7C30" w:rsidRPr="00CD5BDD">
              <w:rPr>
                <w:rFonts w:ascii="ITC Avant Garde" w:hAnsi="ITC Avant Garde" w:cs="Arial"/>
                <w:sz w:val="18"/>
                <w:szCs w:val="18"/>
              </w:rPr>
              <w:t xml:space="preserve"> </w:t>
            </w:r>
            <w:r w:rsidRPr="00CD5BDD">
              <w:rPr>
                <w:rFonts w:ascii="ITC Avant Garde" w:hAnsi="ITC Avant Garde" w:cs="Arial"/>
                <w:sz w:val="18"/>
                <w:szCs w:val="18"/>
              </w:rPr>
              <w:t>) No (</w:t>
            </w:r>
            <w:r w:rsidR="00584D75" w:rsidRPr="00CD5BDD">
              <w:rPr>
                <w:rFonts w:ascii="ITC Avant Garde" w:hAnsi="ITC Avant Garde" w:cs="Arial"/>
                <w:b/>
                <w:sz w:val="18"/>
                <w:szCs w:val="18"/>
              </w:rPr>
              <w:t>X</w:t>
            </w:r>
            <w:r w:rsidRPr="00CD5BDD">
              <w:rPr>
                <w:rFonts w:ascii="ITC Avant Garde" w:hAnsi="ITC Avant Garde" w:cs="Arial"/>
                <w:sz w:val="18"/>
                <w:szCs w:val="18"/>
              </w:rPr>
              <w:t>)</w:t>
            </w:r>
          </w:p>
        </w:tc>
      </w:tr>
    </w:tbl>
    <w:p w14:paraId="21E27DA7" w14:textId="77777777" w:rsidR="00E21B49" w:rsidRPr="00CD5BDD" w:rsidRDefault="00E21B49" w:rsidP="00E21B49">
      <w:pPr>
        <w:jc w:val="both"/>
        <w:rPr>
          <w:rFonts w:ascii="ITC Avant Garde" w:hAnsi="ITC Avant Garde"/>
          <w:sz w:val="18"/>
          <w:szCs w:val="18"/>
        </w:rPr>
      </w:pPr>
    </w:p>
    <w:p w14:paraId="08FB3DBF" w14:textId="7D2B9B6E" w:rsidR="00A73AD8" w:rsidRPr="00CD5BDD" w:rsidRDefault="00A73AD8" w:rsidP="00A73AD8">
      <w:pPr>
        <w:shd w:val="clear" w:color="auto" w:fill="A8D08D" w:themeFill="accent6" w:themeFillTint="99"/>
        <w:jc w:val="both"/>
        <w:rPr>
          <w:rFonts w:ascii="ITC Avant Garde" w:hAnsi="ITC Avant Garde" w:cs="Arial"/>
          <w:b/>
          <w:sz w:val="18"/>
          <w:szCs w:val="18"/>
        </w:rPr>
      </w:pPr>
      <w:r w:rsidRPr="00CD5BDD">
        <w:rPr>
          <w:rFonts w:ascii="ITC Avant Garde" w:hAnsi="ITC Avant Garde" w:cs="Arial"/>
          <w:b/>
          <w:sz w:val="18"/>
          <w:szCs w:val="18"/>
        </w:rPr>
        <w:t>I</w:t>
      </w:r>
      <w:r w:rsidR="00804F49" w:rsidRPr="00CD5BDD">
        <w:rPr>
          <w:rFonts w:ascii="ITC Avant Garde" w:hAnsi="ITC Avant Garde" w:cs="Arial"/>
          <w:b/>
          <w:sz w:val="18"/>
          <w:szCs w:val="18"/>
        </w:rPr>
        <w:t>I</w:t>
      </w:r>
      <w:r w:rsidRPr="00CD5BDD">
        <w:rPr>
          <w:rFonts w:ascii="ITC Avant Garde" w:hAnsi="ITC Avant Garde" w:cs="Arial"/>
          <w:b/>
          <w:sz w:val="18"/>
          <w:szCs w:val="18"/>
        </w:rPr>
        <w:t xml:space="preserve">I. </w:t>
      </w:r>
      <w:r w:rsidR="003E1D84" w:rsidRPr="00CD5BDD">
        <w:rPr>
          <w:rFonts w:ascii="ITC Avant Garde" w:hAnsi="ITC Avant Garde" w:cs="Arial"/>
          <w:b/>
          <w:sz w:val="18"/>
          <w:szCs w:val="18"/>
        </w:rPr>
        <w:t>BIBLIOGRAFÍA O REFERENCIAS DE CUALQUIER ÍNDOLE QUE SE HAYAN UTILIZADO EN LA ELABORACIÓN DE LA PROPUESTA DE REGULACIÓN</w:t>
      </w:r>
      <w:r w:rsidRPr="00CD5BDD">
        <w:rPr>
          <w:rFonts w:ascii="ITC Avant Garde" w:hAnsi="ITC Avant Garde" w:cs="Arial"/>
          <w:b/>
          <w:sz w:val="18"/>
          <w:szCs w:val="18"/>
        </w:rPr>
        <w:t>.</w:t>
      </w:r>
    </w:p>
    <w:tbl>
      <w:tblPr>
        <w:tblStyle w:val="Tablaconcuadrcula"/>
        <w:tblW w:w="0" w:type="auto"/>
        <w:tblLook w:val="04A0" w:firstRow="1" w:lastRow="0" w:firstColumn="1" w:lastColumn="0" w:noHBand="0" w:noVBand="1"/>
      </w:tblPr>
      <w:tblGrid>
        <w:gridCol w:w="8828"/>
      </w:tblGrid>
      <w:tr w:rsidR="00A73AD8" w:rsidRPr="00CD5BDD" w14:paraId="20AA8AE7" w14:textId="77777777" w:rsidTr="001E6360">
        <w:tc>
          <w:tcPr>
            <w:tcW w:w="8828" w:type="dxa"/>
          </w:tcPr>
          <w:p w14:paraId="297C8634" w14:textId="5E70F99E" w:rsidR="00B74C55" w:rsidRPr="00CD5BDD" w:rsidRDefault="00BE7D1C" w:rsidP="001E6360">
            <w:pPr>
              <w:rPr>
                <w:rFonts w:ascii="ITC Avant Garde" w:hAnsi="ITC Avant Garde" w:cs="Arial"/>
                <w:b/>
                <w:sz w:val="18"/>
                <w:szCs w:val="18"/>
              </w:rPr>
            </w:pPr>
            <w:r w:rsidRPr="00CD5BDD">
              <w:rPr>
                <w:rFonts w:ascii="ITC Avant Garde" w:hAnsi="ITC Avant Garde" w:cs="Arial"/>
                <w:b/>
                <w:sz w:val="18"/>
                <w:szCs w:val="18"/>
              </w:rPr>
              <w:t>6</w:t>
            </w:r>
            <w:r w:rsidR="00A73AD8" w:rsidRPr="00CD5BDD">
              <w:rPr>
                <w:rFonts w:ascii="ITC Avant Garde" w:hAnsi="ITC Avant Garde" w:cs="Arial"/>
                <w:b/>
                <w:sz w:val="18"/>
                <w:szCs w:val="18"/>
              </w:rPr>
              <w:t xml:space="preserve">.- Enliste </w:t>
            </w:r>
            <w:r w:rsidR="00B74C55" w:rsidRPr="00CD5BDD">
              <w:rPr>
                <w:rFonts w:ascii="ITC Avant Garde" w:hAnsi="ITC Avant Garde" w:cs="Arial"/>
                <w:b/>
                <w:sz w:val="18"/>
                <w:szCs w:val="18"/>
              </w:rPr>
              <w:t>los datos bibliográficos o las direcciones electrónicas consultadas para el diseño y redacción</w:t>
            </w:r>
            <w:r w:rsidR="00804F49" w:rsidRPr="00CD5BDD">
              <w:rPr>
                <w:rFonts w:ascii="ITC Avant Garde" w:hAnsi="ITC Avant Garde" w:cs="Arial"/>
                <w:b/>
                <w:sz w:val="18"/>
                <w:szCs w:val="18"/>
              </w:rPr>
              <w:t xml:space="preserve"> </w:t>
            </w:r>
            <w:r w:rsidR="00D23BD5" w:rsidRPr="00CD5BDD">
              <w:rPr>
                <w:rFonts w:ascii="ITC Avant Garde" w:hAnsi="ITC Avant Garde" w:cs="Arial"/>
                <w:b/>
                <w:sz w:val="18"/>
                <w:szCs w:val="18"/>
              </w:rPr>
              <w:t>de la propuesta</w:t>
            </w:r>
            <w:r w:rsidR="00804F49" w:rsidRPr="00CD5BDD">
              <w:rPr>
                <w:rFonts w:ascii="ITC Avant Garde" w:hAnsi="ITC Avant Garde" w:cs="Arial"/>
                <w:b/>
                <w:sz w:val="18"/>
                <w:szCs w:val="18"/>
              </w:rPr>
              <w:t xml:space="preserve"> de regulación, así como cualquier otra documentación que se considere de interés.</w:t>
            </w:r>
          </w:p>
          <w:p w14:paraId="2F250515" w14:textId="6E69C8B7" w:rsidR="00A01B7E" w:rsidRPr="00CD5BDD" w:rsidRDefault="00A01B7E" w:rsidP="001E6360">
            <w:pPr>
              <w:rPr>
                <w:rFonts w:ascii="ITC Avant Garde" w:hAnsi="ITC Avant Garde" w:cs="Arial"/>
                <w:b/>
                <w:sz w:val="18"/>
                <w:szCs w:val="18"/>
              </w:rPr>
            </w:pPr>
          </w:p>
          <w:p w14:paraId="796F1C82" w14:textId="77777777" w:rsidR="00A01B7E" w:rsidRPr="00CD5BDD" w:rsidRDefault="00A01B7E" w:rsidP="001E6360">
            <w:pPr>
              <w:spacing w:line="276" w:lineRule="auto"/>
              <w:ind w:left="708" w:hanging="708"/>
              <w:rPr>
                <w:rFonts w:ascii="ITC Avant Garde" w:hAnsi="ITC Avant Garde" w:cs="Arial"/>
                <w:sz w:val="18"/>
                <w:szCs w:val="18"/>
              </w:rPr>
            </w:pPr>
          </w:p>
          <w:p w14:paraId="36A5AC60"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ACCC (2008). Merger Guidelines (actualización 2017). Disponible en: </w:t>
            </w:r>
            <w:hyperlink r:id="rId11" w:history="1">
              <w:r w:rsidRPr="00CD5BDD">
                <w:rPr>
                  <w:rStyle w:val="Hipervnculo"/>
                  <w:rFonts w:ascii="ITC Avant Garde" w:hAnsi="ITC Avant Garde" w:cs="Arial"/>
                  <w:sz w:val="18"/>
                  <w:szCs w:val="18"/>
                </w:rPr>
                <w:t>https://www.accc.gov.au/system/files/Merger%20guidelines%20-%20Final.PDF</w:t>
              </w:r>
            </w:hyperlink>
          </w:p>
          <w:p w14:paraId="0CD2B02D"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ACCC (2017). Media Merger Guidelines. Disponible en </w:t>
            </w:r>
            <w:hyperlink r:id="rId12" w:history="1">
              <w:r w:rsidRPr="00CD5BDD">
                <w:rPr>
                  <w:rStyle w:val="Hipervnculo"/>
                  <w:rFonts w:ascii="ITC Avant Garde" w:hAnsi="ITC Avant Garde" w:cs="Arial"/>
                  <w:sz w:val="18"/>
                  <w:szCs w:val="18"/>
                </w:rPr>
                <w:t>https://www.accc.gov.au/system/files/Media%20Merger%20Guidelines%202017_0.pdf</w:t>
              </w:r>
            </w:hyperlink>
          </w:p>
          <w:p w14:paraId="09BD64E6" w14:textId="6F937D11" w:rsidR="00A01B7E" w:rsidRPr="00CD5BDD" w:rsidRDefault="00A01B7E" w:rsidP="001E6360">
            <w:pPr>
              <w:pStyle w:val="Prrafodelista"/>
              <w:numPr>
                <w:ilvl w:val="0"/>
                <w:numId w:val="11"/>
              </w:numPr>
              <w:spacing w:line="276" w:lineRule="auto"/>
              <w:jc w:val="both"/>
              <w:rPr>
                <w:rStyle w:val="Hipervnculo"/>
                <w:rFonts w:ascii="ITC Avant Garde" w:hAnsi="ITC Avant Garde" w:cs="Arial"/>
                <w:color w:val="auto"/>
                <w:sz w:val="18"/>
                <w:szCs w:val="18"/>
                <w:u w:val="none"/>
              </w:rPr>
            </w:pPr>
            <w:r w:rsidRPr="00CD5BDD">
              <w:rPr>
                <w:rFonts w:ascii="ITC Avant Garde" w:hAnsi="ITC Avant Garde" w:cs="Arial"/>
                <w:sz w:val="18"/>
                <w:szCs w:val="18"/>
                <w:lang w:val="en-US"/>
              </w:rPr>
              <w:t xml:space="preserve">ACCC (2018). Guidelines on Misuse of Market Power. </w:t>
            </w:r>
            <w:r w:rsidRPr="00CD5BDD">
              <w:rPr>
                <w:rFonts w:ascii="ITC Avant Garde" w:hAnsi="ITC Avant Garde" w:cs="Arial"/>
                <w:sz w:val="18"/>
                <w:szCs w:val="18"/>
              </w:rPr>
              <w:t xml:space="preserve">Disponible en: </w:t>
            </w:r>
            <w:hyperlink r:id="rId13" w:history="1">
              <w:r w:rsidRPr="00CD5BDD">
                <w:rPr>
                  <w:rStyle w:val="Hipervnculo"/>
                  <w:rFonts w:ascii="ITC Avant Garde" w:hAnsi="ITC Avant Garde" w:cs="Arial"/>
                  <w:sz w:val="18"/>
                  <w:szCs w:val="18"/>
                </w:rPr>
                <w:t>https://www.accc.gov.au/system/files/Updated%20Guidelines%20on%20Misuse%20of%20Market%20Power.pdf</w:t>
              </w:r>
            </w:hyperlink>
          </w:p>
          <w:p w14:paraId="0831E0DA" w14:textId="0EF733F8" w:rsidR="007A0D96" w:rsidRPr="00CD5BDD" w:rsidRDefault="007A0D96"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ACCC (2019). Digital Platforms Inquiry Final Report. Disponible en: </w:t>
            </w:r>
            <w:hyperlink r:id="rId14" w:history="1">
              <w:r w:rsidRPr="00CD5BDD">
                <w:rPr>
                  <w:rStyle w:val="Hipervnculo"/>
                  <w:rFonts w:ascii="ITC Avant Garde" w:hAnsi="ITC Avant Garde" w:cs="Arial"/>
                  <w:sz w:val="18"/>
                  <w:szCs w:val="18"/>
                </w:rPr>
                <w:t>https://www.accc.gov.au/system/files/Digital%20platforms%20inquiry%20-%20final%20report.pdf</w:t>
              </w:r>
            </w:hyperlink>
            <w:r w:rsidRPr="00CD5BDD">
              <w:rPr>
                <w:rFonts w:ascii="ITC Avant Garde" w:hAnsi="ITC Avant Garde" w:cs="Arial"/>
                <w:sz w:val="18"/>
                <w:szCs w:val="18"/>
              </w:rPr>
              <w:t xml:space="preserve"> </w:t>
            </w:r>
          </w:p>
          <w:p w14:paraId="41D48806"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ANACOM (2009). Retail Market and Wholesale Markets of Terminating and Trunk Segments of Leased Lines. </w:t>
            </w:r>
            <w:r w:rsidRPr="00CD5BDD">
              <w:rPr>
                <w:rFonts w:ascii="ITC Avant Garde" w:hAnsi="ITC Avant Garde" w:cs="Arial"/>
                <w:sz w:val="18"/>
                <w:szCs w:val="18"/>
              </w:rPr>
              <w:t xml:space="preserve">Disponible en: </w:t>
            </w:r>
            <w:hyperlink r:id="rId15" w:history="1">
              <w:r w:rsidRPr="00CD5BDD">
                <w:rPr>
                  <w:rStyle w:val="Hipervnculo"/>
                  <w:rFonts w:ascii="ITC Avant Garde" w:hAnsi="ITC Avant Garde" w:cs="Arial"/>
                  <w:sz w:val="18"/>
                  <w:szCs w:val="18"/>
                </w:rPr>
                <w:t>https://www.anacom.pt/streaming/Determination28september2010_final_decision.pdf?contentId=1061287&amp;field=ATTACHED_FILE</w:t>
              </w:r>
            </w:hyperlink>
          </w:p>
          <w:p w14:paraId="23159F61" w14:textId="5B743575" w:rsidR="003B588D" w:rsidRPr="00CD5BDD" w:rsidRDefault="003B588D"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APEC e Instituto (2019). Competition Policy for Regulating Online Platforms in the APEC Region. </w:t>
            </w:r>
            <w:r w:rsidRPr="00CD5BDD">
              <w:rPr>
                <w:rFonts w:ascii="ITC Avant Garde" w:hAnsi="ITC Avant Garde" w:cs="Arial"/>
                <w:sz w:val="18"/>
                <w:szCs w:val="18"/>
              </w:rPr>
              <w:t xml:space="preserve">Disponible en: </w:t>
            </w:r>
            <w:hyperlink r:id="rId16" w:history="1">
              <w:r w:rsidRPr="00CD5BDD">
                <w:rPr>
                  <w:rStyle w:val="Hipervnculo"/>
                  <w:rFonts w:ascii="ITC Avant Garde" w:hAnsi="ITC Avant Garde" w:cs="Arial"/>
                  <w:sz w:val="18"/>
                  <w:szCs w:val="18"/>
                </w:rPr>
                <w:t>https://www.apec.org/Publications/2019/08/Competition-Policy-for-Regulating-Online-Platforms-in-the-APEC-Region</w:t>
              </w:r>
            </w:hyperlink>
            <w:r w:rsidRPr="00CD5BDD">
              <w:rPr>
                <w:rFonts w:ascii="ITC Avant Garde" w:hAnsi="ITC Avant Garde" w:cs="Arial"/>
                <w:sz w:val="18"/>
                <w:szCs w:val="18"/>
              </w:rPr>
              <w:t xml:space="preserve"> </w:t>
            </w:r>
          </w:p>
          <w:p w14:paraId="11731810" w14:textId="6BD358D6"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Autoridad de Competencia de Portugal (2013). </w:t>
            </w:r>
            <w:r w:rsidRPr="00CD5BDD">
              <w:rPr>
                <w:rFonts w:ascii="ITC Avant Garde" w:hAnsi="ITC Avant Garde" w:cs="Arial"/>
                <w:sz w:val="18"/>
                <w:szCs w:val="18"/>
                <w:lang w:val="en-US"/>
              </w:rPr>
              <w:t xml:space="preserve">Ccent. 5/2013 Kento*Unitel*Sonaecom/ZON*Optimus. </w:t>
            </w:r>
            <w:r w:rsidRPr="00CD5BDD">
              <w:rPr>
                <w:rFonts w:ascii="ITC Avant Garde" w:hAnsi="ITC Avant Garde" w:cs="Arial"/>
                <w:sz w:val="18"/>
                <w:szCs w:val="18"/>
              </w:rPr>
              <w:t xml:space="preserve">Disponible en: </w:t>
            </w:r>
            <w:hyperlink r:id="rId17" w:history="1">
              <w:r w:rsidR="00CD5BDD" w:rsidRPr="00CD5BDD">
                <w:rPr>
                  <w:rStyle w:val="Hipervnculo"/>
                  <w:rFonts w:ascii="ITC Avant Garde" w:hAnsi="ITC Avant Garde" w:cs="Arial"/>
                  <w:sz w:val="18"/>
                  <w:szCs w:val="18"/>
                </w:rPr>
                <w:t>https://www.concorrencia.pt/sites/default/files/processos/ccent/AdC-CCENT_2013_05-Decisao-VNC-final-</w:t>
              </w:r>
              <w:r w:rsidR="00CD5BDD" w:rsidRPr="00CD5BDD">
                <w:rPr>
                  <w:rStyle w:val="Hipervnculo"/>
                  <w:rFonts w:ascii="ITC Avant Garde" w:hAnsi="ITC Avant Garde"/>
                  <w:sz w:val="18"/>
                  <w:szCs w:val="18"/>
                </w:rPr>
                <w:t>net.pdf</w:t>
              </w:r>
            </w:hyperlink>
            <w:r w:rsidR="00CD5BDD">
              <w:rPr>
                <w:rFonts w:ascii="ITC Avant Garde" w:hAnsi="ITC Avant Garde"/>
              </w:rPr>
              <w:t xml:space="preserve"> </w:t>
            </w:r>
          </w:p>
          <w:p w14:paraId="076ED50A" w14:textId="3E4305F1"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Autoridad de Competencia de Portugal. Linhas de Orientação para a Análise Económica de Operações de Concentração Horizontais. Disponible en: </w:t>
            </w:r>
            <w:hyperlink r:id="rId18" w:history="1">
              <w:r w:rsidR="00CD5BDD" w:rsidRPr="00015DFB">
                <w:rPr>
                  <w:rStyle w:val="Hipervnculo"/>
                  <w:rFonts w:ascii="ITC Avant Garde" w:hAnsi="ITC Avant Garde" w:cs="Arial"/>
                  <w:sz w:val="18"/>
                  <w:szCs w:val="18"/>
                </w:rPr>
                <w:t>https://www.concorrencia.pt/sites/default/files/imported-magazines/Linhas%2520de%2520Orienta%C3%A7%C3%A3o%2520para%2520a%2520A</w:t>
              </w:r>
              <w:r w:rsidR="00CD5BDD" w:rsidRPr="00015DFB">
                <w:rPr>
                  <w:rStyle w:val="Hipervnculo"/>
                  <w:rFonts w:ascii="ITC Avant Garde" w:hAnsi="ITC Avant Garde" w:cs="Arial"/>
                  <w:sz w:val="18"/>
                  <w:szCs w:val="18"/>
                </w:rPr>
                <w:lastRenderedPageBreak/>
                <w:t>n%C3%A1lise%2520Econ%C3%B3mica%2520de%2520Opera%C3%A7%C3%B5es%2520de%2520Concentra%C3%A7%C3%A3o%2520Horizontais.pdf</w:t>
              </w:r>
            </w:hyperlink>
            <w:r w:rsidR="00CD5BDD">
              <w:rPr>
                <w:rFonts w:ascii="ITC Avant Garde" w:hAnsi="ITC Avant Garde" w:cs="Arial"/>
                <w:sz w:val="18"/>
                <w:szCs w:val="18"/>
              </w:rPr>
              <w:t xml:space="preserve"> </w:t>
            </w:r>
            <w:r w:rsidRPr="00CD5BDD">
              <w:rPr>
                <w:rFonts w:ascii="ITC Avant Garde" w:hAnsi="ITC Avant Garde" w:cs="Arial"/>
                <w:sz w:val="18"/>
                <w:szCs w:val="18"/>
              </w:rPr>
              <w:t xml:space="preserve">  </w:t>
            </w:r>
          </w:p>
          <w:p w14:paraId="2ECE39FF" w14:textId="71548148" w:rsidR="000A6379" w:rsidRPr="00CD5BDD" w:rsidRDefault="000A6379" w:rsidP="000A6379">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Autoridad Investigadora del Instituto Federal de Telecomunicaciones (2018). Dictamen Preliminar emitido en el Expediente AC/DC-004-2018. Disponible en: </w:t>
            </w:r>
            <w:hyperlink r:id="rId19" w:history="1">
              <w:r w:rsidRPr="00CD5BDD">
                <w:rPr>
                  <w:rStyle w:val="Hipervnculo"/>
                  <w:rFonts w:ascii="ITC Avant Garde" w:hAnsi="ITC Avant Garde" w:cs="Arial"/>
                  <w:sz w:val="18"/>
                  <w:szCs w:val="18"/>
                </w:rPr>
                <w:t>http://www.ift.org.mx/sites/default/files/contenidogeneral/autoridad-investigadora/vpai-dc-004-2018.pdf</w:t>
              </w:r>
            </w:hyperlink>
            <w:r w:rsidRPr="00CD5BDD">
              <w:rPr>
                <w:rFonts w:ascii="ITC Avant Garde" w:hAnsi="ITC Avant Garde" w:cs="Arial"/>
                <w:sz w:val="18"/>
                <w:szCs w:val="18"/>
              </w:rPr>
              <w:t xml:space="preserve"> </w:t>
            </w:r>
          </w:p>
          <w:p w14:paraId="41EF8F17"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BEREC (2010). BEREC Report on Impact of Bundled Offers in Retail and Wholesale Market Definition. </w:t>
            </w:r>
            <w:r w:rsidRPr="00CD5BDD">
              <w:rPr>
                <w:rFonts w:ascii="ITC Avant Garde" w:hAnsi="ITC Avant Garde" w:cs="Arial"/>
                <w:sz w:val="18"/>
                <w:szCs w:val="18"/>
              </w:rPr>
              <w:t xml:space="preserve">Disponible en: </w:t>
            </w:r>
            <w:hyperlink r:id="rId20" w:history="1">
              <w:r w:rsidRPr="00CD5BDD">
                <w:rPr>
                  <w:rStyle w:val="Hipervnculo"/>
                  <w:rFonts w:ascii="ITC Avant Garde" w:hAnsi="ITC Avant Garde" w:cs="Arial"/>
                  <w:sz w:val="18"/>
                  <w:szCs w:val="18"/>
                </w:rPr>
                <w:t>https://berec.europa.eu/eng/document_register/subject_matter/berec/reports/209-berec-report-on-impact-of-bundled-offers-in-retail-and-wholesale-market-definition</w:t>
              </w:r>
            </w:hyperlink>
          </w:p>
          <w:p w14:paraId="1E513083"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BEREC (2010). BEREC Report on Self-supply. </w:t>
            </w:r>
            <w:r w:rsidRPr="00CD5BDD">
              <w:rPr>
                <w:rFonts w:ascii="ITC Avant Garde" w:hAnsi="ITC Avant Garde" w:cs="Arial"/>
                <w:sz w:val="18"/>
                <w:szCs w:val="18"/>
              </w:rPr>
              <w:t xml:space="preserve">Disponible en: </w:t>
            </w:r>
            <w:hyperlink r:id="rId21" w:history="1">
              <w:r w:rsidRPr="00CD5BDD">
                <w:rPr>
                  <w:rStyle w:val="Hipervnculo"/>
                  <w:rFonts w:ascii="ITC Avant Garde" w:hAnsi="ITC Avant Garde" w:cs="Arial"/>
                  <w:sz w:val="18"/>
                  <w:szCs w:val="18"/>
                </w:rPr>
                <w:t>https://berec.europa.eu/eng/document_register/subject_matter/berec/reports/171-berec-report-on-self-supply</w:t>
              </w:r>
            </w:hyperlink>
          </w:p>
          <w:p w14:paraId="2BBECC2F" w14:textId="48653EE5" w:rsidR="00A01B7E" w:rsidRPr="00CD5BDD" w:rsidRDefault="001E6360"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BEREC (2011). BEREC</w:t>
            </w:r>
            <w:r w:rsidR="00A01B7E" w:rsidRPr="00CD5BDD">
              <w:rPr>
                <w:rFonts w:ascii="ITC Avant Garde" w:hAnsi="ITC Avant Garde" w:cs="Arial"/>
                <w:sz w:val="18"/>
                <w:szCs w:val="18"/>
                <w:lang w:val="en-US"/>
              </w:rPr>
              <w:t xml:space="preserve"> Report on Impact of Fixed-Mobile Substitution in Market Definition. </w:t>
            </w:r>
            <w:r w:rsidR="00A01B7E" w:rsidRPr="00CD5BDD">
              <w:rPr>
                <w:rFonts w:ascii="ITC Avant Garde" w:hAnsi="ITC Avant Garde" w:cs="Arial"/>
                <w:sz w:val="18"/>
                <w:szCs w:val="18"/>
              </w:rPr>
              <w:t xml:space="preserve">Disponible en: </w:t>
            </w:r>
            <w:hyperlink r:id="rId22" w:history="1">
              <w:r w:rsidR="00A01B7E" w:rsidRPr="00CD5BDD">
                <w:rPr>
                  <w:rStyle w:val="Hipervnculo"/>
                  <w:rFonts w:ascii="ITC Avant Garde" w:hAnsi="ITC Avant Garde" w:cs="Arial"/>
                  <w:sz w:val="18"/>
                  <w:szCs w:val="18"/>
                </w:rPr>
                <w:t>https://berec.europa.eu/eng/document_register/subject_matter/berec/download/0/118-berec-draft-report-on-the-impact-of-fixed-mobile-substitution-in-market-definition_0.pdf</w:t>
              </w:r>
            </w:hyperlink>
            <w:r w:rsidR="00A01B7E" w:rsidRPr="00CD5BDD">
              <w:rPr>
                <w:rFonts w:ascii="ITC Avant Garde" w:hAnsi="ITC Avant Garde" w:cs="Arial"/>
                <w:sz w:val="18"/>
                <w:szCs w:val="18"/>
              </w:rPr>
              <w:t xml:space="preserve"> </w:t>
            </w:r>
          </w:p>
          <w:p w14:paraId="6F2AA198" w14:textId="60EE8DFA" w:rsidR="001830E5" w:rsidRPr="00CD5BDD" w:rsidRDefault="001830E5"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Bundeskartellamt (2016). The Market Power of Platforms and Networks, Working Paper. </w:t>
            </w:r>
            <w:r w:rsidRPr="00CD5BDD">
              <w:rPr>
                <w:rFonts w:ascii="ITC Avant Garde" w:hAnsi="ITC Avant Garde" w:cs="Arial"/>
                <w:sz w:val="18"/>
                <w:szCs w:val="18"/>
              </w:rPr>
              <w:t xml:space="preserve">Disponible en: </w:t>
            </w:r>
            <w:hyperlink r:id="rId23" w:history="1">
              <w:r w:rsidRPr="00CD5BDD">
                <w:rPr>
                  <w:rStyle w:val="Hipervnculo"/>
                  <w:rFonts w:ascii="ITC Avant Garde" w:hAnsi="ITC Avant Garde" w:cs="Arial"/>
                  <w:sz w:val="18"/>
                  <w:szCs w:val="18"/>
                </w:rPr>
                <w:t>https://www.bundeskartellamt.de/SharedDocs/Publikation/EN/Berichte/Think-Tank-Bericht-Zusammenfassung.pdf?__blob=publicationFile&amp;v=4</w:t>
              </w:r>
            </w:hyperlink>
            <w:r w:rsidRPr="00CD5BDD">
              <w:rPr>
                <w:rFonts w:ascii="ITC Avant Garde" w:hAnsi="ITC Avant Garde" w:cs="Arial"/>
                <w:sz w:val="18"/>
                <w:szCs w:val="18"/>
              </w:rPr>
              <w:t xml:space="preserve"> </w:t>
            </w:r>
          </w:p>
          <w:p w14:paraId="2DB96805" w14:textId="28A7EE88" w:rsidR="001830E5" w:rsidRPr="00CD5BDD" w:rsidRDefault="001830E5"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Bundeskartellamnt (2019). Facebook, Exploitative business terms pursuant to Section 19(1) GWB for inadequate data processing. </w:t>
            </w:r>
            <w:r w:rsidRPr="00CD5BDD">
              <w:rPr>
                <w:rFonts w:ascii="ITC Avant Garde" w:hAnsi="ITC Avant Garde" w:cs="Arial"/>
                <w:sz w:val="18"/>
                <w:szCs w:val="18"/>
              </w:rPr>
              <w:t xml:space="preserve">Disponible en: </w:t>
            </w:r>
            <w:hyperlink r:id="rId24" w:history="1">
              <w:r w:rsidRPr="00CD5BDD">
                <w:rPr>
                  <w:rStyle w:val="Hipervnculo"/>
                  <w:rFonts w:ascii="ITC Avant Garde" w:hAnsi="ITC Avant Garde" w:cs="Arial"/>
                  <w:sz w:val="18"/>
                  <w:szCs w:val="18"/>
                </w:rPr>
                <w:t>https://www.bundeskartellamt.de/SharedDocs/Entscheidung/EN/Entscheidungen/Missbrauchsaufsicht/2019/B6-22-16.pdf?__blob=publicationFile&amp;v=5</w:t>
              </w:r>
            </w:hyperlink>
            <w:r w:rsidRPr="00CD5BDD">
              <w:rPr>
                <w:rFonts w:ascii="ITC Avant Garde" w:hAnsi="ITC Avant Garde" w:cs="Arial"/>
                <w:sz w:val="18"/>
                <w:szCs w:val="18"/>
              </w:rPr>
              <w:t xml:space="preserve"> </w:t>
            </w:r>
          </w:p>
          <w:p w14:paraId="4EEB1FD5"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CBC (2011). Merger Enforcement Guidelines. Disponible en: </w:t>
            </w:r>
            <w:hyperlink r:id="rId25" w:history="1">
              <w:r w:rsidRPr="00CD5BDD">
                <w:rPr>
                  <w:rStyle w:val="Hipervnculo"/>
                  <w:rFonts w:ascii="ITC Avant Garde" w:hAnsi="ITC Avant Garde" w:cs="Arial"/>
                  <w:sz w:val="18"/>
                  <w:szCs w:val="18"/>
                </w:rPr>
                <w:t>https://www.competitionbureau.gc.ca/eic/site/cb-bc.nsf/vwapj/cb-meg-2011-e.pdf/$FILE/cb-meg-2011-e.pdf</w:t>
              </w:r>
            </w:hyperlink>
          </w:p>
          <w:p w14:paraId="2D312032" w14:textId="0ECCB2BA"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CBC (2013). Competition Bureau Review of the Proposed Acquisition of Astral by Bell. </w:t>
            </w:r>
            <w:r w:rsidRPr="00CD5BDD">
              <w:rPr>
                <w:rFonts w:ascii="ITC Avant Garde" w:hAnsi="ITC Avant Garde" w:cs="Arial"/>
                <w:sz w:val="18"/>
                <w:szCs w:val="18"/>
              </w:rPr>
              <w:t xml:space="preserve">Disponible en: </w:t>
            </w:r>
            <w:hyperlink r:id="rId26" w:anchor="background" w:history="1">
              <w:r w:rsidRPr="00CD5BDD">
                <w:rPr>
                  <w:rStyle w:val="Hipervnculo"/>
                  <w:rFonts w:ascii="ITC Avant Garde" w:hAnsi="ITC Avant Garde" w:cs="Arial"/>
                  <w:sz w:val="18"/>
                  <w:szCs w:val="18"/>
                </w:rPr>
                <w:t>https://www.competitionbureau.gc.ca/eic/site/cb-bc.nsf/eng/03544.html#background</w:t>
              </w:r>
            </w:hyperlink>
          </w:p>
          <w:p w14:paraId="50ACF4A1"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CBC (2014). Economic Analysis of Retail Mergers at the Competition Bureau. </w:t>
            </w:r>
            <w:r w:rsidRPr="00CD5BDD">
              <w:rPr>
                <w:rFonts w:ascii="ITC Avant Garde" w:hAnsi="ITC Avant Garde" w:cs="Arial"/>
                <w:sz w:val="18"/>
                <w:szCs w:val="18"/>
              </w:rPr>
              <w:t xml:space="preserve">Disponible en: </w:t>
            </w:r>
            <w:hyperlink r:id="rId27" w:history="1">
              <w:r w:rsidRPr="00CD5BDD">
                <w:rPr>
                  <w:rStyle w:val="Hipervnculo"/>
                  <w:rFonts w:ascii="ITC Avant Garde" w:hAnsi="ITC Avant Garde" w:cs="Arial"/>
                  <w:sz w:val="18"/>
                  <w:szCs w:val="18"/>
                </w:rPr>
                <w:t>https://www.competitionbureau.gc.ca/eic/site/cb-bc.nsf/eng/03796.html</w:t>
              </w:r>
            </w:hyperlink>
            <w:r w:rsidRPr="00CD5BDD">
              <w:rPr>
                <w:rFonts w:ascii="ITC Avant Garde" w:hAnsi="ITC Avant Garde" w:cs="Arial"/>
                <w:sz w:val="18"/>
                <w:szCs w:val="18"/>
              </w:rPr>
              <w:t xml:space="preserve"> </w:t>
            </w:r>
          </w:p>
          <w:p w14:paraId="1631B5DC"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CBC (2017). Competition Bureau Statement Regarding Bell’s Acquisition of MTS. </w:t>
            </w:r>
            <w:r w:rsidRPr="00CD5BDD">
              <w:rPr>
                <w:rFonts w:ascii="ITC Avant Garde" w:hAnsi="ITC Avant Garde" w:cs="Arial"/>
                <w:sz w:val="18"/>
                <w:szCs w:val="18"/>
              </w:rPr>
              <w:t xml:space="preserve">Disponible en: </w:t>
            </w:r>
            <w:hyperlink r:id="rId28" w:history="1">
              <w:r w:rsidRPr="00CD5BDD">
                <w:rPr>
                  <w:rStyle w:val="Hipervnculo"/>
                  <w:rFonts w:ascii="ITC Avant Garde" w:hAnsi="ITC Avant Garde" w:cs="Arial"/>
                  <w:sz w:val="18"/>
                  <w:szCs w:val="18"/>
                </w:rPr>
                <w:t>https://www.competitionbureau.gc.ca/eic/site/cb-bc.nsf/eng/04200.html</w:t>
              </w:r>
            </w:hyperlink>
            <w:r w:rsidRPr="00CD5BDD">
              <w:rPr>
                <w:rFonts w:ascii="ITC Avant Garde" w:hAnsi="ITC Avant Garde" w:cs="Arial"/>
                <w:sz w:val="18"/>
                <w:szCs w:val="18"/>
              </w:rPr>
              <w:t xml:space="preserve"> </w:t>
            </w:r>
          </w:p>
          <w:p w14:paraId="39F8C837" w14:textId="77777777" w:rsidR="00C60176" w:rsidRPr="00CD5BDD" w:rsidRDefault="00C60176"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Charles River Associates (2015). Qihoo v. Tencent: economic analysis of the first Chinese Supreme Court decision under Anti-Monopoly Law. </w:t>
            </w:r>
            <w:r w:rsidRPr="00CD5BDD">
              <w:rPr>
                <w:rFonts w:ascii="ITC Avant Garde" w:hAnsi="ITC Avant Garde" w:cs="Arial"/>
                <w:sz w:val="18"/>
                <w:szCs w:val="18"/>
              </w:rPr>
              <w:t xml:space="preserve">Disponible en: </w:t>
            </w:r>
            <w:hyperlink r:id="rId29" w:history="1">
              <w:r w:rsidRPr="00CD5BDD">
                <w:rPr>
                  <w:rStyle w:val="Hipervnculo"/>
                  <w:rFonts w:ascii="ITC Avant Garde" w:hAnsi="ITC Avant Garde" w:cs="Arial"/>
                  <w:sz w:val="18"/>
                  <w:szCs w:val="18"/>
                </w:rPr>
                <w:t>https://www.crai.com/sites/default/files/publications/China-Highlights-Qihoo-360-v-Tencent-0215_0.pdf</w:t>
              </w:r>
            </w:hyperlink>
            <w:r w:rsidRPr="00CD5BDD">
              <w:rPr>
                <w:rFonts w:ascii="ITC Avant Garde" w:hAnsi="ITC Avant Garde" w:cs="Arial"/>
                <w:sz w:val="18"/>
                <w:szCs w:val="18"/>
              </w:rPr>
              <w:t xml:space="preserve"> </w:t>
            </w:r>
          </w:p>
          <w:p w14:paraId="1825B02A" w14:textId="0AF9BFA0" w:rsidR="00C60176" w:rsidRPr="00CD5BDD" w:rsidRDefault="00C60176" w:rsidP="001E6360">
            <w:pPr>
              <w:pStyle w:val="Prrafodelista"/>
              <w:numPr>
                <w:ilvl w:val="0"/>
                <w:numId w:val="11"/>
              </w:numPr>
              <w:spacing w:line="276" w:lineRule="auto"/>
              <w:rPr>
                <w:rFonts w:ascii="ITC Avant Garde" w:hAnsi="ITC Avant Garde" w:cs="Arial"/>
                <w:sz w:val="18"/>
                <w:szCs w:val="18"/>
              </w:rPr>
            </w:pPr>
            <w:r w:rsidRPr="00CD5BDD">
              <w:rPr>
                <w:rFonts w:ascii="ITC Avant Garde" w:hAnsi="ITC Avant Garde" w:cs="Arial"/>
                <w:sz w:val="18"/>
                <w:szCs w:val="18"/>
                <w:lang w:val="en-US"/>
              </w:rPr>
              <w:t>CMA (2016). A Report on the Anticipated Acquisition by BT Grouo plc of EE Limited</w:t>
            </w:r>
            <w:r w:rsidR="001E6360" w:rsidRPr="00CD5BDD">
              <w:rPr>
                <w:rFonts w:ascii="ITC Avant Garde" w:hAnsi="ITC Avant Garde" w:cs="Arial"/>
                <w:sz w:val="18"/>
                <w:szCs w:val="18"/>
                <w:lang w:val="en-US"/>
              </w:rPr>
              <w:t>.</w:t>
            </w:r>
            <w:r w:rsidRPr="00CD5BDD">
              <w:rPr>
                <w:rFonts w:ascii="ITC Avant Garde" w:hAnsi="ITC Avant Garde" w:cs="Arial"/>
                <w:sz w:val="18"/>
                <w:szCs w:val="18"/>
                <w:lang w:val="en-US"/>
              </w:rPr>
              <w:t xml:space="preserve"> </w:t>
            </w:r>
            <w:r w:rsidRPr="00CD5BDD">
              <w:rPr>
                <w:rFonts w:ascii="ITC Avant Garde" w:hAnsi="ITC Avant Garde" w:cs="Arial"/>
                <w:sz w:val="18"/>
                <w:szCs w:val="18"/>
              </w:rPr>
              <w:t xml:space="preserve">Disponible en: </w:t>
            </w:r>
            <w:hyperlink r:id="rId30" w:history="1">
              <w:r w:rsidRPr="00CD5BDD">
                <w:rPr>
                  <w:rStyle w:val="Hipervnculo"/>
                  <w:rFonts w:ascii="ITC Avant Garde" w:hAnsi="ITC Avant Garde" w:cs="Arial"/>
                  <w:sz w:val="18"/>
                  <w:szCs w:val="18"/>
                </w:rPr>
                <w:t>https://assets.publishing.service.gov.uk/media/56992242ed915d4747000026/BT_EE_final_report.pdf</w:t>
              </w:r>
            </w:hyperlink>
            <w:r w:rsidRPr="00CD5BDD">
              <w:rPr>
                <w:rFonts w:ascii="ITC Avant Garde" w:hAnsi="ITC Avant Garde" w:cs="Arial"/>
                <w:sz w:val="18"/>
                <w:szCs w:val="18"/>
              </w:rPr>
              <w:t xml:space="preserve"> </w:t>
            </w:r>
          </w:p>
          <w:p w14:paraId="78E3E7FD" w14:textId="77777777" w:rsidR="00C60176" w:rsidRPr="00CD5BDD" w:rsidRDefault="00C60176"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CMA (2020). Bauer Media Group merger inquiry. Completed acquisitions by Bauer Media Group of certain businesses of Celador Entertainment Limited, Lincs FM Group </w:t>
            </w:r>
            <w:r w:rsidRPr="00CD5BDD">
              <w:rPr>
                <w:rFonts w:ascii="ITC Avant Garde" w:hAnsi="ITC Avant Garde" w:cs="Arial"/>
                <w:sz w:val="18"/>
                <w:szCs w:val="18"/>
                <w:lang w:val="en-US"/>
              </w:rPr>
              <w:lastRenderedPageBreak/>
              <w:t xml:space="preserve">Limited and Wireless Group Limited, as well as the entire business of UKRD Group Limited. </w:t>
            </w:r>
            <w:r w:rsidRPr="00CD5BDD">
              <w:rPr>
                <w:rFonts w:ascii="ITC Avant Garde" w:hAnsi="ITC Avant Garde" w:cs="Arial"/>
                <w:sz w:val="18"/>
                <w:szCs w:val="18"/>
              </w:rPr>
              <w:t xml:space="preserve">Disponible en: </w:t>
            </w:r>
            <w:hyperlink r:id="rId31" w:history="1">
              <w:r w:rsidRPr="00CD5BDD">
                <w:rPr>
                  <w:rStyle w:val="Hipervnculo"/>
                  <w:rFonts w:ascii="ITC Avant Garde" w:hAnsi="ITC Avant Garde" w:cs="Arial"/>
                  <w:sz w:val="18"/>
                  <w:szCs w:val="18"/>
                </w:rPr>
                <w:t>https://www.gov.uk/cma-cases/bauer-media-group-merger-inquiry</w:t>
              </w:r>
            </w:hyperlink>
            <w:r w:rsidRPr="00CD5BDD">
              <w:rPr>
                <w:rFonts w:ascii="ITC Avant Garde" w:hAnsi="ITC Avant Garde" w:cs="Arial"/>
                <w:sz w:val="18"/>
                <w:szCs w:val="18"/>
              </w:rPr>
              <w:t xml:space="preserve"> </w:t>
            </w:r>
          </w:p>
          <w:p w14:paraId="5A47BF9B" w14:textId="77777777" w:rsidR="00C60176" w:rsidRPr="00CD5BDD" w:rsidRDefault="00C60176"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CMA/OFT (2004). Market Definition, Understanding Competition Law. </w:t>
            </w:r>
            <w:r w:rsidRPr="00CD5BDD">
              <w:rPr>
                <w:rFonts w:ascii="ITC Avant Garde" w:hAnsi="ITC Avant Garde" w:cs="Arial"/>
                <w:sz w:val="18"/>
                <w:szCs w:val="18"/>
              </w:rPr>
              <w:t xml:space="preserve">Disponible en: </w:t>
            </w:r>
            <w:hyperlink r:id="rId32" w:history="1">
              <w:r w:rsidRPr="00CD5BDD">
                <w:rPr>
                  <w:rStyle w:val="Hipervnculo"/>
                  <w:rFonts w:ascii="ITC Avant Garde" w:hAnsi="ITC Avant Garde" w:cs="Arial"/>
                  <w:sz w:val="18"/>
                  <w:szCs w:val="18"/>
                </w:rPr>
                <w:t>https://assets.publishing.service.gov.uk/government/uploads/system/uploads/attachment_data/file/284423/oft403.pdf</w:t>
              </w:r>
            </w:hyperlink>
            <w:r w:rsidRPr="00CD5BDD">
              <w:rPr>
                <w:rFonts w:ascii="ITC Avant Garde" w:hAnsi="ITC Avant Garde" w:cs="Arial"/>
                <w:sz w:val="18"/>
                <w:szCs w:val="18"/>
              </w:rPr>
              <w:t xml:space="preserve">. </w:t>
            </w:r>
          </w:p>
          <w:p w14:paraId="0D8E9054" w14:textId="77777777" w:rsidR="00C60176" w:rsidRPr="00CD5BDD" w:rsidRDefault="00C60176"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CMA/OFT (2010). Merger Assessment Guidelines. </w:t>
            </w:r>
            <w:r w:rsidRPr="00CD5BDD">
              <w:rPr>
                <w:rFonts w:ascii="ITC Avant Garde" w:hAnsi="ITC Avant Garde" w:cs="Arial"/>
                <w:sz w:val="18"/>
                <w:szCs w:val="18"/>
              </w:rPr>
              <w:t xml:space="preserve">Disponible en </w:t>
            </w:r>
            <w:hyperlink r:id="rId33" w:history="1">
              <w:r w:rsidRPr="00CD5BDD">
                <w:rPr>
                  <w:rStyle w:val="Hipervnculo"/>
                  <w:rFonts w:ascii="ITC Avant Garde" w:hAnsi="ITC Avant Garde" w:cs="Arial"/>
                  <w:sz w:val="18"/>
                  <w:szCs w:val="18"/>
                </w:rPr>
                <w:t>https://assets.publishing.service.gov.uk/government/uploads/system/uploads/attachment_data/file/284449/OFT1254.pdf</w:t>
              </w:r>
            </w:hyperlink>
            <w:r w:rsidRPr="00CD5BDD">
              <w:rPr>
                <w:rFonts w:ascii="ITC Avant Garde" w:hAnsi="ITC Avant Garde" w:cs="Arial"/>
                <w:sz w:val="18"/>
                <w:szCs w:val="18"/>
              </w:rPr>
              <w:t xml:space="preserve"> </w:t>
            </w:r>
          </w:p>
          <w:p w14:paraId="2A91E487" w14:textId="51098802" w:rsidR="00C60176" w:rsidRPr="00CD5BDD" w:rsidRDefault="00C60176"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CNMC (2016). Resolución por la cual se aprueba la definición y análisis del mercado de acceso local al por mayor facilitado en una ubicación fija y los mercados de acceso de banda ancha al por mayor, la designación de operadores con poder significativo de mercado y la imposición de obligaciones específicas, y se acuerda su notificación a la comisión europea y al organismo de reguladores europeos de co</w:t>
            </w:r>
            <w:r w:rsidR="001E6360" w:rsidRPr="00CD5BDD">
              <w:rPr>
                <w:rFonts w:ascii="ITC Avant Garde" w:hAnsi="ITC Avant Garde" w:cs="Arial"/>
                <w:sz w:val="18"/>
                <w:szCs w:val="18"/>
              </w:rPr>
              <w:t>municaciones electrónicas (ORECE</w:t>
            </w:r>
            <w:r w:rsidRPr="00CD5BDD">
              <w:rPr>
                <w:rFonts w:ascii="ITC Avant Garde" w:hAnsi="ITC Avant Garde" w:cs="Arial"/>
                <w:sz w:val="18"/>
                <w:szCs w:val="18"/>
              </w:rPr>
              <w:t xml:space="preserve">). Disponible en: </w:t>
            </w:r>
            <w:hyperlink r:id="rId34" w:history="1">
              <w:r w:rsidRPr="00CD5BDD">
                <w:rPr>
                  <w:rStyle w:val="Hipervnculo"/>
                  <w:rFonts w:ascii="ITC Avant Garde" w:hAnsi="ITC Avant Garde" w:cs="Arial"/>
                  <w:sz w:val="18"/>
                  <w:szCs w:val="18"/>
                </w:rPr>
                <w:t>https://www.cnmc.es/sites/default/files/1511874_12.pdf</w:t>
              </w:r>
            </w:hyperlink>
            <w:r w:rsidRPr="00CD5BDD">
              <w:rPr>
                <w:rFonts w:ascii="ITC Avant Garde" w:hAnsi="ITC Avant Garde" w:cs="Arial"/>
                <w:sz w:val="18"/>
                <w:szCs w:val="18"/>
              </w:rPr>
              <w:t xml:space="preserve"> </w:t>
            </w:r>
          </w:p>
          <w:p w14:paraId="0C1A6595"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Comisión Europea (1992). Case No IV/M.166 - Torras / Sarrio. Disponible en </w:t>
            </w:r>
            <w:hyperlink r:id="rId35" w:history="1">
              <w:r w:rsidRPr="00CD5BDD">
                <w:rPr>
                  <w:rStyle w:val="Hipervnculo"/>
                  <w:rFonts w:ascii="ITC Avant Garde" w:hAnsi="ITC Avant Garde" w:cs="Arial"/>
                  <w:sz w:val="18"/>
                  <w:szCs w:val="18"/>
                </w:rPr>
                <w:t>https://ec.europa.eu/competition/mergers/cases/decisions/m166_en.pdf</w:t>
              </w:r>
            </w:hyperlink>
            <w:r w:rsidRPr="00CD5BDD">
              <w:rPr>
                <w:rFonts w:ascii="ITC Avant Garde" w:hAnsi="ITC Avant Garde" w:cs="Arial"/>
                <w:sz w:val="18"/>
                <w:szCs w:val="18"/>
              </w:rPr>
              <w:t xml:space="preserve">. </w:t>
            </w:r>
          </w:p>
          <w:p w14:paraId="6BB7C27E"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Comisión Europea (1997). Comunicación de la Comisión relativa a la definición de mercado de referencia a efectos de la normativa comunitaria en materia de competencia. Disponible en </w:t>
            </w:r>
            <w:hyperlink r:id="rId36" w:history="1">
              <w:r w:rsidRPr="00CD5BDD">
                <w:rPr>
                  <w:rStyle w:val="Hipervnculo"/>
                  <w:rFonts w:ascii="ITC Avant Garde" w:hAnsi="ITC Avant Garde" w:cs="Arial"/>
                  <w:sz w:val="18"/>
                  <w:szCs w:val="18"/>
                </w:rPr>
                <w:t>https://eur-lex.europa.eu/legal-content/ES/TXT/PDF/?uri=CELEX:31997Y1209(01)&amp;from=EN</w:t>
              </w:r>
            </w:hyperlink>
            <w:r w:rsidRPr="00CD5BDD">
              <w:rPr>
                <w:rFonts w:ascii="ITC Avant Garde" w:hAnsi="ITC Avant Garde" w:cs="Arial"/>
                <w:sz w:val="18"/>
                <w:szCs w:val="18"/>
              </w:rPr>
              <w:t xml:space="preserve"> </w:t>
            </w:r>
          </w:p>
          <w:p w14:paraId="03AD52EA"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Comisión Europea (2003). Case COMP/38.233 – Wanadoo Interactive. Disponible en: </w:t>
            </w:r>
            <w:hyperlink r:id="rId37" w:history="1">
              <w:r w:rsidRPr="00CD5BDD">
                <w:rPr>
                  <w:rStyle w:val="Hipervnculo"/>
                  <w:rFonts w:ascii="ITC Avant Garde" w:hAnsi="ITC Avant Garde" w:cs="Arial"/>
                  <w:sz w:val="18"/>
                  <w:szCs w:val="18"/>
                </w:rPr>
                <w:t>https://ec.europa.eu/competition/antitrust/cases/dec_docs/38233/38233_87_1.pdf</w:t>
              </w:r>
            </w:hyperlink>
            <w:r w:rsidRPr="00CD5BDD">
              <w:rPr>
                <w:rFonts w:ascii="ITC Avant Garde" w:hAnsi="ITC Avant Garde" w:cs="Arial"/>
                <w:sz w:val="18"/>
                <w:szCs w:val="18"/>
              </w:rPr>
              <w:t xml:space="preserve">. </w:t>
            </w:r>
          </w:p>
          <w:p w14:paraId="2B52874B"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Comisión Europea (2005). Voice over broadband in France: no regulation on internet telephony required. </w:t>
            </w:r>
            <w:r w:rsidRPr="00CD5BDD">
              <w:rPr>
                <w:rFonts w:ascii="ITC Avant Garde" w:hAnsi="ITC Avant Garde" w:cs="Arial"/>
                <w:sz w:val="18"/>
                <w:szCs w:val="18"/>
              </w:rPr>
              <w:t xml:space="preserve">Disponible en: </w:t>
            </w:r>
            <w:hyperlink r:id="rId38" w:history="1">
              <w:r w:rsidRPr="00CD5BDD">
                <w:rPr>
                  <w:rStyle w:val="Hipervnculo"/>
                  <w:rFonts w:ascii="ITC Avant Garde" w:hAnsi="ITC Avant Garde" w:cs="Arial"/>
                  <w:sz w:val="18"/>
                  <w:szCs w:val="18"/>
                </w:rPr>
                <w:t>https://ec.europa.eu/commission/presscorner/detail/en/IP_05_1146</w:t>
              </w:r>
            </w:hyperlink>
            <w:r w:rsidRPr="00CD5BDD">
              <w:rPr>
                <w:rFonts w:ascii="ITC Avant Garde" w:hAnsi="ITC Avant Garde" w:cs="Arial"/>
                <w:sz w:val="18"/>
                <w:szCs w:val="18"/>
              </w:rPr>
              <w:t xml:space="preserve"> </w:t>
            </w:r>
          </w:p>
          <w:p w14:paraId="181D0923"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Comisión Europea (2007). Case No COMP/M.4439 – Ryanair / Aer Lingus. Disponible en </w:t>
            </w:r>
            <w:hyperlink r:id="rId39" w:history="1">
              <w:r w:rsidRPr="00CD5BDD">
                <w:rPr>
                  <w:rStyle w:val="Hipervnculo"/>
                  <w:rFonts w:ascii="ITC Avant Garde" w:hAnsi="ITC Avant Garde" w:cs="Arial"/>
                  <w:sz w:val="18"/>
                  <w:szCs w:val="18"/>
                </w:rPr>
                <w:t>https://ec.europa.eu/competition/mergers/cases/decisions/m4439_20070627_20610_en.pdf</w:t>
              </w:r>
            </w:hyperlink>
            <w:r w:rsidRPr="00CD5BDD">
              <w:rPr>
                <w:rFonts w:ascii="ITC Avant Garde" w:hAnsi="ITC Avant Garde" w:cs="Arial"/>
                <w:sz w:val="18"/>
                <w:szCs w:val="18"/>
              </w:rPr>
              <w:t xml:space="preserve"> </w:t>
            </w:r>
          </w:p>
          <w:p w14:paraId="0B869BCA" w14:textId="3E48A360" w:rsidR="00AF25B3" w:rsidRPr="00CD5BDD" w:rsidRDefault="00A01B7E" w:rsidP="00AF25B3">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Comisión Europea (2007). Caso COMP/38.784. Wanadoo España contra Telefónica. Disponible en: </w:t>
            </w:r>
            <w:hyperlink r:id="rId40" w:history="1">
              <w:r w:rsidRPr="00CD5BDD">
                <w:rPr>
                  <w:rStyle w:val="Hipervnculo"/>
                  <w:rFonts w:ascii="ITC Avant Garde" w:hAnsi="ITC Avant Garde" w:cs="Arial"/>
                  <w:sz w:val="18"/>
                  <w:szCs w:val="18"/>
                </w:rPr>
                <w:t>https://ec.europa.eu/competition/antitrust/cases/dec_docs/38784/38784_437_4.pdf</w:t>
              </w:r>
            </w:hyperlink>
            <w:r w:rsidRPr="00CD5BDD">
              <w:rPr>
                <w:rFonts w:ascii="ITC Avant Garde" w:hAnsi="ITC Avant Garde" w:cs="Arial"/>
                <w:sz w:val="18"/>
                <w:szCs w:val="18"/>
              </w:rPr>
              <w:t xml:space="preserve"> </w:t>
            </w:r>
          </w:p>
          <w:p w14:paraId="03B0730B" w14:textId="20EC20EA" w:rsidR="001830E5" w:rsidRPr="00CD5BDD" w:rsidRDefault="001830E5" w:rsidP="00AF25B3">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Comisión Europea (2008). Concentración Google/Double Click. </w:t>
            </w:r>
            <w:r w:rsidRPr="00CD5BDD">
              <w:rPr>
                <w:rFonts w:ascii="ITC Avant Garde" w:hAnsi="ITC Avant Garde" w:cs="Arial"/>
                <w:sz w:val="18"/>
                <w:szCs w:val="18"/>
                <w:lang w:val="en-US"/>
              </w:rPr>
              <w:t xml:space="preserve">Case No COMP/M.4731 – Google/ DoubleClick. </w:t>
            </w:r>
            <w:r w:rsidRPr="00CD5BDD">
              <w:rPr>
                <w:rFonts w:ascii="ITC Avant Garde" w:hAnsi="ITC Avant Garde" w:cs="Arial"/>
                <w:sz w:val="18"/>
                <w:szCs w:val="18"/>
              </w:rPr>
              <w:t xml:space="preserve">Disponible en: </w:t>
            </w:r>
            <w:hyperlink r:id="rId41" w:history="1">
              <w:r w:rsidRPr="00CD5BDD">
                <w:rPr>
                  <w:rStyle w:val="Hipervnculo"/>
                  <w:rFonts w:ascii="ITC Avant Garde" w:hAnsi="ITC Avant Garde" w:cs="Arial"/>
                  <w:sz w:val="18"/>
                  <w:szCs w:val="18"/>
                </w:rPr>
                <w:t>https://ec.europa.eu/competition/mergers/cases/decisions/m4731_20080311_20682_en.pdf</w:t>
              </w:r>
            </w:hyperlink>
            <w:r w:rsidRPr="00CD5BDD">
              <w:rPr>
                <w:rFonts w:ascii="ITC Avant Garde" w:hAnsi="ITC Avant Garde" w:cs="Arial"/>
                <w:sz w:val="18"/>
                <w:szCs w:val="18"/>
              </w:rPr>
              <w:t xml:space="preserve"> </w:t>
            </w:r>
          </w:p>
          <w:p w14:paraId="48E53D57" w14:textId="70AFE893" w:rsidR="00AF25B3" w:rsidRPr="00CD5BDD" w:rsidRDefault="00AF25B3" w:rsidP="00AF25B3">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GB"/>
              </w:rPr>
              <w:t xml:space="preserve">Comisión Europea (2009). Telecoms: Commission endorses amended version of Austrian broadband access market definition. </w:t>
            </w:r>
            <w:r w:rsidRPr="00CD5BDD">
              <w:rPr>
                <w:rFonts w:ascii="ITC Avant Garde" w:hAnsi="ITC Avant Garde" w:cs="Arial"/>
                <w:sz w:val="18"/>
                <w:szCs w:val="18"/>
              </w:rPr>
              <w:t xml:space="preserve">Disponible en: </w:t>
            </w:r>
            <w:hyperlink r:id="rId42" w:history="1">
              <w:r w:rsidRPr="00CD5BDD">
                <w:rPr>
                  <w:rStyle w:val="Hipervnculo"/>
                  <w:rFonts w:ascii="ITC Avant Garde" w:hAnsi="ITC Avant Garde" w:cs="Arial"/>
                  <w:sz w:val="18"/>
                  <w:szCs w:val="18"/>
                </w:rPr>
                <w:t>https://ec.europa.eu/commission/presscorner/detail/en/IP_09_1888</w:t>
              </w:r>
            </w:hyperlink>
            <w:r w:rsidRPr="00CD5BDD">
              <w:rPr>
                <w:rFonts w:ascii="ITC Avant Garde" w:hAnsi="ITC Avant Garde" w:cs="Arial"/>
                <w:sz w:val="18"/>
                <w:szCs w:val="18"/>
              </w:rPr>
              <w:t xml:space="preserve"> </w:t>
            </w:r>
          </w:p>
          <w:p w14:paraId="6C88E38C" w14:textId="77777777" w:rsidR="001830E5"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Comisión Europea (2010). Directrices Relativas a las Restricciones Verticales. Disponible en: </w:t>
            </w:r>
            <w:hyperlink r:id="rId43" w:history="1">
              <w:r w:rsidRPr="00CD5BDD">
                <w:rPr>
                  <w:rStyle w:val="Hipervnculo"/>
                  <w:rFonts w:ascii="ITC Avant Garde" w:hAnsi="ITC Avant Garde" w:cs="Arial"/>
                  <w:sz w:val="18"/>
                  <w:szCs w:val="18"/>
                </w:rPr>
                <w:t>https://eur-lex.europa.eu/legal-content/ES/TXT/PDF/?uri=CELEX:52010XC0519(04)&amp;from=ES</w:t>
              </w:r>
            </w:hyperlink>
            <w:r w:rsidRPr="00CD5BDD">
              <w:rPr>
                <w:rFonts w:ascii="ITC Avant Garde" w:hAnsi="ITC Avant Garde" w:cs="Arial"/>
                <w:sz w:val="18"/>
                <w:szCs w:val="18"/>
              </w:rPr>
              <w:t xml:space="preserve"> </w:t>
            </w:r>
          </w:p>
          <w:p w14:paraId="31B0D08F" w14:textId="60C0729C" w:rsidR="00A01B7E" w:rsidRPr="00CD5BDD" w:rsidRDefault="001830E5" w:rsidP="001E6360">
            <w:pPr>
              <w:pStyle w:val="Prrafodelista"/>
              <w:numPr>
                <w:ilvl w:val="0"/>
                <w:numId w:val="11"/>
              </w:numPr>
              <w:spacing w:line="276" w:lineRule="auto"/>
              <w:jc w:val="both"/>
              <w:rPr>
                <w:rFonts w:ascii="ITC Avant Garde" w:hAnsi="ITC Avant Garde" w:cs="Arial"/>
                <w:sz w:val="18"/>
                <w:szCs w:val="18"/>
                <w:lang w:val="en-US"/>
              </w:rPr>
            </w:pPr>
            <w:r w:rsidRPr="00CD5BDD">
              <w:rPr>
                <w:rFonts w:ascii="ITC Avant Garde" w:hAnsi="ITC Avant Garde" w:cs="Arial"/>
                <w:sz w:val="18"/>
                <w:szCs w:val="18"/>
              </w:rPr>
              <w:t xml:space="preserve">Comisión Europea (2010). Concentración Yahoo Search Business / Microsoft. </w:t>
            </w:r>
            <w:r w:rsidRPr="00CD5BDD">
              <w:rPr>
                <w:rFonts w:ascii="ITC Avant Garde" w:hAnsi="ITC Avant Garde" w:cs="Arial"/>
                <w:sz w:val="18"/>
                <w:szCs w:val="18"/>
                <w:lang w:val="en-US"/>
              </w:rPr>
              <w:t xml:space="preserve">Case No COMP/M.5727 -MICROSOFT/ YAHOO! SEARCH BUSINESS. Disponible </w:t>
            </w:r>
            <w:proofErr w:type="spellStart"/>
            <w:r w:rsidRPr="00CD5BDD">
              <w:rPr>
                <w:rFonts w:ascii="ITC Avant Garde" w:hAnsi="ITC Avant Garde" w:cs="Arial"/>
                <w:sz w:val="18"/>
                <w:szCs w:val="18"/>
                <w:lang w:val="en-US"/>
              </w:rPr>
              <w:t>en</w:t>
            </w:r>
            <w:proofErr w:type="spellEnd"/>
            <w:r w:rsidRPr="00CD5BDD">
              <w:rPr>
                <w:rFonts w:ascii="ITC Avant Garde" w:hAnsi="ITC Avant Garde" w:cs="Arial"/>
                <w:sz w:val="18"/>
                <w:szCs w:val="18"/>
                <w:lang w:val="en-US"/>
              </w:rPr>
              <w:t xml:space="preserve">: </w:t>
            </w:r>
            <w:hyperlink r:id="rId44" w:history="1">
              <w:r w:rsidRPr="00CD5BDD">
                <w:rPr>
                  <w:rStyle w:val="Hipervnculo"/>
                  <w:rFonts w:ascii="ITC Avant Garde" w:hAnsi="ITC Avant Garde" w:cs="Arial"/>
                  <w:sz w:val="18"/>
                  <w:szCs w:val="18"/>
                  <w:lang w:val="en-US"/>
                </w:rPr>
                <w:t>https://ec.europa.eu/competition/mergers/cases/decisions/M5727_20100218_20310_261202_EN.pdf</w:t>
              </w:r>
            </w:hyperlink>
            <w:r w:rsidRPr="00CD5BDD">
              <w:rPr>
                <w:rFonts w:ascii="ITC Avant Garde" w:hAnsi="ITC Avant Garde" w:cs="Arial"/>
                <w:sz w:val="18"/>
                <w:szCs w:val="18"/>
                <w:lang w:val="en-US"/>
              </w:rPr>
              <w:t xml:space="preserve"> </w:t>
            </w:r>
            <w:r w:rsidR="00A01B7E" w:rsidRPr="00CD5BDD">
              <w:rPr>
                <w:rFonts w:ascii="ITC Avant Garde" w:hAnsi="ITC Avant Garde" w:cs="Arial"/>
                <w:sz w:val="18"/>
                <w:szCs w:val="18"/>
                <w:lang w:val="en-US"/>
              </w:rPr>
              <w:t xml:space="preserve"> </w:t>
            </w:r>
          </w:p>
          <w:p w14:paraId="673DC282"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proofErr w:type="spellStart"/>
            <w:r w:rsidRPr="00CD5BDD">
              <w:rPr>
                <w:rFonts w:ascii="ITC Avant Garde" w:hAnsi="ITC Avant Garde" w:cs="Arial"/>
                <w:sz w:val="18"/>
                <w:szCs w:val="18"/>
                <w:lang w:val="en-US"/>
              </w:rPr>
              <w:lastRenderedPageBreak/>
              <w:t>Comisión</w:t>
            </w:r>
            <w:proofErr w:type="spellEnd"/>
            <w:r w:rsidRPr="00CD5BDD">
              <w:rPr>
                <w:rFonts w:ascii="ITC Avant Garde" w:hAnsi="ITC Avant Garde" w:cs="Arial"/>
                <w:sz w:val="18"/>
                <w:szCs w:val="18"/>
                <w:lang w:val="en-US"/>
              </w:rPr>
              <w:t xml:space="preserve"> </w:t>
            </w:r>
            <w:proofErr w:type="spellStart"/>
            <w:r w:rsidRPr="00CD5BDD">
              <w:rPr>
                <w:rFonts w:ascii="ITC Avant Garde" w:hAnsi="ITC Avant Garde" w:cs="Arial"/>
                <w:sz w:val="18"/>
                <w:szCs w:val="18"/>
                <w:lang w:val="en-US"/>
              </w:rPr>
              <w:t>Europea</w:t>
            </w:r>
            <w:proofErr w:type="spellEnd"/>
            <w:r w:rsidRPr="00CD5BDD">
              <w:rPr>
                <w:rFonts w:ascii="ITC Avant Garde" w:hAnsi="ITC Avant Garde" w:cs="Arial"/>
                <w:sz w:val="18"/>
                <w:szCs w:val="18"/>
                <w:lang w:val="en-US"/>
              </w:rPr>
              <w:t xml:space="preserve"> (2012). Roundtable on Market Definition. </w:t>
            </w:r>
            <w:r w:rsidRPr="00CD5BDD">
              <w:rPr>
                <w:rFonts w:ascii="ITC Avant Garde" w:hAnsi="ITC Avant Garde" w:cs="Arial"/>
                <w:sz w:val="18"/>
                <w:szCs w:val="18"/>
              </w:rPr>
              <w:t xml:space="preserve">Disponible en: </w:t>
            </w:r>
            <w:hyperlink r:id="rId45" w:history="1">
              <w:r w:rsidRPr="00CD5BDD">
                <w:rPr>
                  <w:rStyle w:val="Hipervnculo"/>
                  <w:rFonts w:ascii="ITC Avant Garde" w:hAnsi="ITC Avant Garde" w:cs="Arial"/>
                  <w:sz w:val="18"/>
                  <w:szCs w:val="18"/>
                </w:rPr>
                <w:t>https://ec.europa.eu/competition/international/multilateral/2012_jun_market_definition_en.pdf</w:t>
              </w:r>
            </w:hyperlink>
            <w:r w:rsidRPr="00CD5BDD">
              <w:rPr>
                <w:rFonts w:ascii="ITC Avant Garde" w:hAnsi="ITC Avant Garde" w:cs="Arial"/>
                <w:sz w:val="18"/>
                <w:szCs w:val="18"/>
              </w:rPr>
              <w:t xml:space="preserve">.    </w:t>
            </w:r>
          </w:p>
          <w:p w14:paraId="475BD6C8" w14:textId="51F9B478" w:rsidR="00A01B7E" w:rsidRPr="00CD5BDD" w:rsidRDefault="00A01B7E" w:rsidP="001E6360">
            <w:pPr>
              <w:pStyle w:val="Prrafodelista"/>
              <w:numPr>
                <w:ilvl w:val="0"/>
                <w:numId w:val="11"/>
              </w:numPr>
              <w:spacing w:line="276" w:lineRule="auto"/>
              <w:rPr>
                <w:rFonts w:ascii="ITC Avant Garde" w:hAnsi="ITC Avant Garde" w:cs="Arial"/>
                <w:sz w:val="18"/>
                <w:szCs w:val="18"/>
              </w:rPr>
            </w:pPr>
            <w:r w:rsidRPr="00CD5BDD">
              <w:rPr>
                <w:rFonts w:ascii="ITC Avant Garde" w:hAnsi="ITC Avant Garde" w:cs="Arial"/>
                <w:sz w:val="18"/>
                <w:szCs w:val="18"/>
              </w:rPr>
              <w:t xml:space="preserve">Comisión Europea (2013). Case No COMP/M.6880 – Liberty Global/ Virgin Media, Disponible en: </w:t>
            </w:r>
            <w:hyperlink r:id="rId46" w:history="1">
              <w:r w:rsidRPr="00CD5BDD">
                <w:rPr>
                  <w:rStyle w:val="Hipervnculo"/>
                  <w:rFonts w:ascii="ITC Avant Garde" w:hAnsi="ITC Avant Garde" w:cs="Arial"/>
                  <w:sz w:val="18"/>
                  <w:szCs w:val="18"/>
                </w:rPr>
                <w:t>https://ec.europa.eu/competition/mergers/cases/decisions/m6880_410_2.pdf</w:t>
              </w:r>
            </w:hyperlink>
            <w:r w:rsidRPr="00CD5BDD">
              <w:rPr>
                <w:rFonts w:ascii="ITC Avant Garde" w:hAnsi="ITC Avant Garde" w:cs="Arial"/>
                <w:sz w:val="18"/>
                <w:szCs w:val="18"/>
              </w:rPr>
              <w:t xml:space="preserve">. </w:t>
            </w:r>
          </w:p>
          <w:p w14:paraId="16A7C9C2" w14:textId="12D52269" w:rsidR="001830E5" w:rsidRPr="00CD5BDD" w:rsidRDefault="001830E5" w:rsidP="001830E5">
            <w:pPr>
              <w:pStyle w:val="Prrafodelista"/>
              <w:numPr>
                <w:ilvl w:val="0"/>
                <w:numId w:val="11"/>
              </w:numPr>
              <w:rPr>
                <w:rFonts w:ascii="ITC Avant Garde" w:hAnsi="ITC Avant Garde" w:cs="Arial"/>
                <w:sz w:val="18"/>
                <w:szCs w:val="18"/>
              </w:rPr>
            </w:pPr>
            <w:r w:rsidRPr="00CD5BDD">
              <w:rPr>
                <w:rFonts w:ascii="ITC Avant Garde" w:hAnsi="ITC Avant Garde" w:cs="Arial"/>
                <w:sz w:val="18"/>
                <w:szCs w:val="18"/>
              </w:rPr>
              <w:t xml:space="preserve">Comisión Europea (2014). Concentración Facebook/WhatsApp. </w:t>
            </w:r>
            <w:r w:rsidRPr="00CD5BDD">
              <w:rPr>
                <w:rFonts w:ascii="ITC Avant Garde" w:hAnsi="ITC Avant Garde" w:cs="Arial"/>
                <w:sz w:val="18"/>
                <w:szCs w:val="18"/>
                <w:lang w:val="en-US"/>
              </w:rPr>
              <w:t xml:space="preserve">Case No COMP/M.7217 - FACEBOOK/ WHATSAPP. </w:t>
            </w:r>
            <w:r w:rsidRPr="00CD5BDD">
              <w:rPr>
                <w:rFonts w:ascii="ITC Avant Garde" w:hAnsi="ITC Avant Garde" w:cs="Arial"/>
                <w:sz w:val="18"/>
                <w:szCs w:val="18"/>
              </w:rPr>
              <w:t xml:space="preserve">Disponible en: </w:t>
            </w:r>
            <w:hyperlink r:id="rId47" w:history="1">
              <w:r w:rsidRPr="00CD5BDD">
                <w:rPr>
                  <w:rStyle w:val="Hipervnculo"/>
                  <w:rFonts w:ascii="ITC Avant Garde" w:hAnsi="ITC Avant Garde" w:cs="Arial"/>
                  <w:sz w:val="18"/>
                  <w:szCs w:val="18"/>
                </w:rPr>
                <w:t>https://ec.europa.eu/competition/mergers/cases/decisions/m7217_20141003_20310_3962132_EN.pdf</w:t>
              </w:r>
            </w:hyperlink>
            <w:r w:rsidRPr="00CD5BDD">
              <w:rPr>
                <w:rFonts w:ascii="ITC Avant Garde" w:hAnsi="ITC Avant Garde" w:cs="Arial"/>
                <w:sz w:val="18"/>
                <w:szCs w:val="18"/>
              </w:rPr>
              <w:t xml:space="preserve">    </w:t>
            </w:r>
          </w:p>
          <w:p w14:paraId="4E4F748D" w14:textId="71949927" w:rsidR="001830E5" w:rsidRPr="00CD5BDD" w:rsidRDefault="001830E5" w:rsidP="001830E5">
            <w:pPr>
              <w:pStyle w:val="Prrafodelista"/>
              <w:numPr>
                <w:ilvl w:val="0"/>
                <w:numId w:val="11"/>
              </w:numPr>
              <w:rPr>
                <w:rFonts w:ascii="ITC Avant Garde" w:hAnsi="ITC Avant Garde" w:cs="Arial"/>
                <w:sz w:val="18"/>
                <w:szCs w:val="18"/>
              </w:rPr>
            </w:pPr>
            <w:r w:rsidRPr="00CD5BDD">
              <w:rPr>
                <w:rFonts w:ascii="ITC Avant Garde" w:hAnsi="ITC Avant Garde" w:cs="Arial"/>
                <w:sz w:val="18"/>
                <w:szCs w:val="18"/>
              </w:rPr>
              <w:t xml:space="preserve">Comisión Europea (2016). Concentración Microsoft/LinkedIn. </w:t>
            </w:r>
            <w:r w:rsidRPr="00CD5BDD">
              <w:rPr>
                <w:rFonts w:ascii="ITC Avant Garde" w:hAnsi="ITC Avant Garde" w:cs="Arial"/>
                <w:sz w:val="18"/>
                <w:szCs w:val="18"/>
                <w:lang w:val="en-US"/>
              </w:rPr>
              <w:t xml:space="preserve">Case M.1824 – Microsoft /LinkedIn. </w:t>
            </w:r>
            <w:r w:rsidRPr="00CD5BDD">
              <w:rPr>
                <w:rFonts w:ascii="ITC Avant Garde" w:hAnsi="ITC Avant Garde" w:cs="Arial"/>
                <w:sz w:val="18"/>
                <w:szCs w:val="18"/>
              </w:rPr>
              <w:t xml:space="preserve">Disponible en: </w:t>
            </w:r>
            <w:hyperlink r:id="rId48" w:history="1">
              <w:r w:rsidRPr="00CD5BDD">
                <w:rPr>
                  <w:rStyle w:val="Hipervnculo"/>
                  <w:rFonts w:ascii="ITC Avant Garde" w:hAnsi="ITC Avant Garde" w:cs="Arial"/>
                  <w:sz w:val="18"/>
                  <w:szCs w:val="18"/>
                </w:rPr>
                <w:t>http://ec.europa.eu/competition/mergers/cases/decisions/m8124_1349_5.pdf</w:t>
              </w:r>
            </w:hyperlink>
            <w:r w:rsidRPr="00CD5BDD">
              <w:rPr>
                <w:rFonts w:ascii="ITC Avant Garde" w:hAnsi="ITC Avant Garde" w:cs="Arial"/>
                <w:sz w:val="18"/>
                <w:szCs w:val="18"/>
              </w:rPr>
              <w:t xml:space="preserve">  </w:t>
            </w:r>
          </w:p>
          <w:p w14:paraId="738D4BB6" w14:textId="5000F523" w:rsidR="001830E5" w:rsidRPr="00CD5BDD" w:rsidRDefault="001830E5" w:rsidP="001E6360">
            <w:pPr>
              <w:pStyle w:val="Prrafodelista"/>
              <w:numPr>
                <w:ilvl w:val="0"/>
                <w:numId w:val="11"/>
              </w:numPr>
              <w:spacing w:line="276" w:lineRule="auto"/>
              <w:rPr>
                <w:rFonts w:ascii="ITC Avant Garde" w:hAnsi="ITC Avant Garde" w:cs="Arial"/>
                <w:sz w:val="18"/>
                <w:szCs w:val="18"/>
              </w:rPr>
            </w:pPr>
            <w:r w:rsidRPr="00CD5BDD">
              <w:rPr>
                <w:rFonts w:ascii="ITC Avant Garde" w:hAnsi="ITC Avant Garde" w:cs="Arial"/>
                <w:sz w:val="18"/>
                <w:szCs w:val="18"/>
              </w:rPr>
              <w:t xml:space="preserve">Comisión Europea (2017). Investigación sobre Google Shopping. </w:t>
            </w:r>
            <w:r w:rsidRPr="00CD5BDD">
              <w:rPr>
                <w:rFonts w:ascii="ITC Avant Garde" w:hAnsi="ITC Avant Garde" w:cs="Arial"/>
                <w:sz w:val="18"/>
                <w:szCs w:val="18"/>
                <w:lang w:val="en-US"/>
              </w:rPr>
              <w:t xml:space="preserve">CASE AT.39740 Google Search (Shopping). </w:t>
            </w:r>
            <w:r w:rsidRPr="00CD5BDD">
              <w:rPr>
                <w:rFonts w:ascii="ITC Avant Garde" w:hAnsi="ITC Avant Garde" w:cs="Arial"/>
                <w:sz w:val="18"/>
                <w:szCs w:val="18"/>
              </w:rPr>
              <w:t xml:space="preserve">Disponible en: </w:t>
            </w:r>
            <w:hyperlink r:id="rId49" w:history="1">
              <w:r w:rsidRPr="00CD5BDD">
                <w:rPr>
                  <w:rStyle w:val="Hipervnculo"/>
                  <w:rFonts w:ascii="ITC Avant Garde" w:hAnsi="ITC Avant Garde" w:cs="Arial"/>
                  <w:sz w:val="18"/>
                  <w:szCs w:val="18"/>
                </w:rPr>
                <w:t>https://ec.europa.eu/competition/antitrust/cases/dec_docs/39740/39740_14996_3.pdf</w:t>
              </w:r>
            </w:hyperlink>
            <w:r w:rsidRPr="00CD5BDD">
              <w:rPr>
                <w:rFonts w:ascii="ITC Avant Garde" w:hAnsi="ITC Avant Garde" w:cs="Arial"/>
                <w:sz w:val="18"/>
                <w:szCs w:val="18"/>
              </w:rPr>
              <w:t xml:space="preserve"> </w:t>
            </w:r>
          </w:p>
          <w:p w14:paraId="294BA387" w14:textId="0C37EC16"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Comisión Europea (2018). Com</w:t>
            </w:r>
            <w:r w:rsidR="00B121DA" w:rsidRPr="00CD5BDD">
              <w:rPr>
                <w:rFonts w:ascii="ITC Avant Garde" w:hAnsi="ITC Avant Garde" w:cs="Arial"/>
                <w:sz w:val="18"/>
                <w:szCs w:val="18"/>
                <w:lang w:val="en-US"/>
              </w:rPr>
              <w:t>m</w:t>
            </w:r>
            <w:r w:rsidRPr="00CD5BDD">
              <w:rPr>
                <w:rFonts w:ascii="ITC Avant Garde" w:hAnsi="ITC Avant Garde" w:cs="Arial"/>
                <w:sz w:val="18"/>
                <w:szCs w:val="18"/>
                <w:lang w:val="en-US"/>
              </w:rPr>
              <w:t xml:space="preserve">ission Staff working document accompanying the Guidelines on market analysis and the assessment of significant market power under the EU regulatory framework for electronic communications networks and services. </w:t>
            </w:r>
            <w:r w:rsidRPr="00CD5BDD">
              <w:rPr>
                <w:rFonts w:ascii="ITC Avant Garde" w:hAnsi="ITC Avant Garde" w:cs="Arial"/>
                <w:sz w:val="18"/>
                <w:szCs w:val="18"/>
              </w:rPr>
              <w:t xml:space="preserve">Disponible en: </w:t>
            </w:r>
            <w:hyperlink r:id="rId50" w:history="1">
              <w:r w:rsidR="00CD5BDD" w:rsidRPr="00015DFB">
                <w:rPr>
                  <w:rStyle w:val="Hipervnculo"/>
                  <w:rFonts w:ascii="ITC Avant Garde" w:hAnsi="ITC Avant Garde" w:cs="Arial"/>
                  <w:sz w:val="18"/>
                  <w:szCs w:val="18"/>
                </w:rPr>
                <w:t>https://www.myecole.it/biblio/wp-content/uploads/2020/11/1_DB_13_MVC_2018-EU-Market-analysis.pdf</w:t>
              </w:r>
            </w:hyperlink>
            <w:r w:rsidR="00CD5BDD">
              <w:rPr>
                <w:rFonts w:ascii="ITC Avant Garde" w:hAnsi="ITC Avant Garde" w:cs="Arial"/>
                <w:sz w:val="18"/>
                <w:szCs w:val="18"/>
              </w:rPr>
              <w:t xml:space="preserve"> </w:t>
            </w:r>
            <w:r w:rsidR="00DE57ED" w:rsidRPr="00CD5BDD">
              <w:rPr>
                <w:rFonts w:ascii="ITC Avant Garde" w:hAnsi="ITC Avant Garde" w:cs="Arial"/>
                <w:sz w:val="18"/>
                <w:szCs w:val="18"/>
              </w:rPr>
              <w:t xml:space="preserve"> </w:t>
            </w:r>
            <w:hyperlink w:history="1"/>
            <w:r w:rsidRPr="00CD5BDD">
              <w:rPr>
                <w:rFonts w:ascii="ITC Avant Garde" w:hAnsi="ITC Avant Garde" w:cs="Arial"/>
                <w:sz w:val="18"/>
                <w:szCs w:val="18"/>
              </w:rPr>
              <w:t xml:space="preserve"> </w:t>
            </w:r>
          </w:p>
          <w:p w14:paraId="55CD48F5"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Comisión Europea (2018). Directrices sobre análisis del mercado y evaluación del peso significativo en el mercado dentro del marco regulador de las redes y los servicios de comunicaciones electrónicas de la UE, Disponible en: </w:t>
            </w:r>
            <w:hyperlink r:id="rId51" w:history="1">
              <w:r w:rsidRPr="00CD5BDD">
                <w:rPr>
                  <w:rStyle w:val="Hipervnculo"/>
                  <w:rFonts w:ascii="ITC Avant Garde" w:hAnsi="ITC Avant Garde" w:cs="Arial"/>
                  <w:sz w:val="18"/>
                  <w:szCs w:val="18"/>
                </w:rPr>
                <w:t>https://eur-lex.europa.eu/legal-content/ES/TXT/PDF/?uri=CELEX:52018XC0507(01)&amp;from=HU</w:t>
              </w:r>
            </w:hyperlink>
            <w:r w:rsidRPr="00CD5BDD">
              <w:rPr>
                <w:rFonts w:ascii="ITC Avant Garde" w:hAnsi="ITC Avant Garde" w:cs="Arial"/>
                <w:sz w:val="18"/>
                <w:szCs w:val="18"/>
              </w:rPr>
              <w:t xml:space="preserve"> </w:t>
            </w:r>
          </w:p>
          <w:p w14:paraId="3F74D3D1" w14:textId="0B3F535E" w:rsidR="00A01B7E" w:rsidRPr="00CD5BDD" w:rsidRDefault="00A01B7E" w:rsidP="000A6379">
            <w:pPr>
              <w:pStyle w:val="Prrafodelista"/>
              <w:numPr>
                <w:ilvl w:val="0"/>
                <w:numId w:val="11"/>
              </w:numPr>
              <w:spacing w:line="276" w:lineRule="auto"/>
              <w:rPr>
                <w:rFonts w:ascii="ITC Avant Garde" w:hAnsi="ITC Avant Garde" w:cs="Arial"/>
                <w:sz w:val="18"/>
                <w:szCs w:val="18"/>
              </w:rPr>
            </w:pPr>
            <w:r w:rsidRPr="00CD5BDD">
              <w:rPr>
                <w:rFonts w:ascii="ITC Avant Garde" w:hAnsi="ITC Avant Garde" w:cs="Arial"/>
                <w:sz w:val="18"/>
                <w:szCs w:val="18"/>
              </w:rPr>
              <w:t xml:space="preserve">Comisión Europea (2019). Case M.8864 - Vodafone / Certain Liberty Global Assets. Disponible en: </w:t>
            </w:r>
            <w:hyperlink r:id="rId52" w:history="1">
              <w:r w:rsidRPr="00CD5BDD">
                <w:rPr>
                  <w:rStyle w:val="Hipervnculo"/>
                  <w:rFonts w:ascii="ITC Avant Garde" w:hAnsi="ITC Avant Garde" w:cs="Arial"/>
                  <w:sz w:val="18"/>
                  <w:szCs w:val="18"/>
                </w:rPr>
                <w:t>https://ec.europa.eu/competition/mergers/cases/decisions/m8864_7363_3.pdf</w:t>
              </w:r>
            </w:hyperlink>
            <w:r w:rsidRPr="00CD5BDD">
              <w:rPr>
                <w:rFonts w:ascii="ITC Avant Garde" w:hAnsi="ITC Avant Garde" w:cs="Arial"/>
                <w:sz w:val="18"/>
                <w:szCs w:val="18"/>
              </w:rPr>
              <w:t xml:space="preserve"> </w:t>
            </w:r>
          </w:p>
          <w:p w14:paraId="176E047C" w14:textId="33744941" w:rsidR="001830E5" w:rsidRPr="00CD5BDD" w:rsidRDefault="001830E5" w:rsidP="007A0D96">
            <w:pPr>
              <w:pStyle w:val="Prrafodelista"/>
              <w:numPr>
                <w:ilvl w:val="0"/>
                <w:numId w:val="11"/>
              </w:numPr>
              <w:rPr>
                <w:rFonts w:ascii="ITC Avant Garde" w:hAnsi="ITC Avant Garde" w:cs="Arial"/>
                <w:sz w:val="18"/>
                <w:szCs w:val="18"/>
              </w:rPr>
            </w:pPr>
            <w:r w:rsidRPr="00CD5BDD">
              <w:rPr>
                <w:rFonts w:ascii="ITC Avant Garde" w:hAnsi="ITC Avant Garde" w:cs="Arial"/>
                <w:sz w:val="18"/>
                <w:szCs w:val="18"/>
              </w:rPr>
              <w:t xml:space="preserve">Comisión Europea (2019). CASE AT.40099 Google Android. Disponible en: </w:t>
            </w:r>
            <w:hyperlink r:id="rId53" w:history="1">
              <w:r w:rsidRPr="00CD5BDD">
                <w:rPr>
                  <w:rStyle w:val="Hipervnculo"/>
                  <w:rFonts w:ascii="ITC Avant Garde" w:hAnsi="ITC Avant Garde" w:cs="Arial"/>
                  <w:sz w:val="18"/>
                  <w:szCs w:val="18"/>
                </w:rPr>
                <w:t>https://ec.europa.eu/competition/antitrust/cases/dec_docs/40099/40099_9993_3.pdf</w:t>
              </w:r>
            </w:hyperlink>
            <w:r w:rsidRPr="00CD5BDD">
              <w:rPr>
                <w:rFonts w:ascii="ITC Avant Garde" w:hAnsi="ITC Avant Garde" w:cs="Arial"/>
                <w:sz w:val="18"/>
                <w:szCs w:val="18"/>
              </w:rPr>
              <w:t xml:space="preserve">  </w:t>
            </w:r>
          </w:p>
          <w:p w14:paraId="36E5EECF" w14:textId="2486C2AA" w:rsidR="00CA4392" w:rsidRPr="00CD5BDD" w:rsidRDefault="00B121DA"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Conseil</w:t>
            </w:r>
            <w:r w:rsidR="00CA4392" w:rsidRPr="00CD5BDD">
              <w:rPr>
                <w:rFonts w:ascii="ITC Avant Garde" w:hAnsi="ITC Avant Garde" w:cs="Arial"/>
                <w:sz w:val="18"/>
                <w:szCs w:val="18"/>
                <w:lang w:val="en-US"/>
              </w:rPr>
              <w:t xml:space="preserve"> de la concurrence (2005). Opinion No. 05-A-05 of 16 February 2005 concerning market analysis of retail and wholesale fixed-line telephony. </w:t>
            </w:r>
            <w:r w:rsidR="00CA4392" w:rsidRPr="00CD5BDD">
              <w:rPr>
                <w:rFonts w:ascii="ITC Avant Garde" w:hAnsi="ITC Avant Garde" w:cs="Arial"/>
                <w:sz w:val="18"/>
                <w:szCs w:val="18"/>
              </w:rPr>
              <w:t xml:space="preserve">Disponible en: </w:t>
            </w:r>
            <w:hyperlink r:id="rId54" w:history="1">
              <w:r w:rsidR="00CA4392" w:rsidRPr="00CD5BDD">
                <w:rPr>
                  <w:rStyle w:val="Hipervnculo"/>
                  <w:rFonts w:ascii="ITC Avant Garde" w:hAnsi="ITC Avant Garde" w:cs="Arial"/>
                  <w:sz w:val="18"/>
                  <w:szCs w:val="18"/>
                </w:rPr>
                <w:t>https://www.autoritedelaconcurrence.fr/sites/default/files/commitments//05a05.pdf</w:t>
              </w:r>
            </w:hyperlink>
          </w:p>
          <w:p w14:paraId="3063F47D" w14:textId="39CADF51" w:rsidR="00B42AF7" w:rsidRPr="00CD5BDD" w:rsidRDefault="00B42AF7"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Constitución política de los Estados Unidos Mexicanos (última reforma</w:t>
            </w:r>
            <w:r w:rsidR="006B5397" w:rsidRPr="00CD5BDD">
              <w:rPr>
                <w:rFonts w:ascii="ITC Avant Garde" w:hAnsi="ITC Avant Garde" w:cs="Arial"/>
                <w:sz w:val="18"/>
                <w:szCs w:val="18"/>
              </w:rPr>
              <w:t>,</w:t>
            </w:r>
            <w:r w:rsidRPr="00CD5BDD">
              <w:rPr>
                <w:rFonts w:ascii="ITC Avant Garde" w:hAnsi="ITC Avant Garde" w:cs="Arial"/>
                <w:sz w:val="18"/>
                <w:szCs w:val="18"/>
              </w:rPr>
              <w:t xml:space="preserve"> 2021). Disponible en: </w:t>
            </w:r>
            <w:hyperlink r:id="rId55" w:history="1">
              <w:r w:rsidRPr="00CD5BDD">
                <w:rPr>
                  <w:rStyle w:val="Hipervnculo"/>
                  <w:rFonts w:ascii="ITC Avant Garde" w:hAnsi="ITC Avant Garde" w:cs="Arial"/>
                  <w:sz w:val="18"/>
                  <w:szCs w:val="18"/>
                </w:rPr>
                <w:t>http://www.diputados.gob.mx/LeyesBiblio/pdf/1_280521.pdf</w:t>
              </w:r>
            </w:hyperlink>
            <w:r w:rsidRPr="00CD5BDD">
              <w:rPr>
                <w:rFonts w:ascii="ITC Avant Garde" w:hAnsi="ITC Avant Garde" w:cs="Arial"/>
                <w:sz w:val="18"/>
                <w:szCs w:val="18"/>
              </w:rPr>
              <w:t xml:space="preserve"> </w:t>
            </w:r>
          </w:p>
          <w:p w14:paraId="6B93525C" w14:textId="77777777" w:rsidR="00B42AF7"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CRTC (2011). Market Definition Issues for Audio and Audio-Visual Distribution Products and Services in a Digital Environment. </w:t>
            </w:r>
            <w:r w:rsidRPr="00CD5BDD">
              <w:rPr>
                <w:rFonts w:ascii="ITC Avant Garde" w:hAnsi="ITC Avant Garde" w:cs="Arial"/>
                <w:sz w:val="18"/>
                <w:szCs w:val="18"/>
              </w:rPr>
              <w:t xml:space="preserve">Disponible en: </w:t>
            </w:r>
            <w:hyperlink r:id="rId56" w:history="1">
              <w:r w:rsidRPr="00CD5BDD">
                <w:rPr>
                  <w:rStyle w:val="Hipervnculo"/>
                  <w:rFonts w:ascii="ITC Avant Garde" w:hAnsi="ITC Avant Garde" w:cs="Arial"/>
                  <w:sz w:val="18"/>
                  <w:szCs w:val="18"/>
                </w:rPr>
                <w:t>https://crtc.gc.ca/eng/publications/reports/rp110215.htm</w:t>
              </w:r>
            </w:hyperlink>
          </w:p>
          <w:p w14:paraId="2C3CE2AF" w14:textId="589991E5" w:rsidR="00A01B7E" w:rsidRPr="00CD5BDD" w:rsidRDefault="00B42AF7"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Disposiciones Regulatorias de la Ley Federal de Competencia Económica para los sectores de telecomunicaciones y radiodifusión</w:t>
            </w:r>
            <w:r w:rsidR="00786E2A" w:rsidRPr="00CD5BDD">
              <w:rPr>
                <w:rFonts w:ascii="ITC Avant Garde" w:hAnsi="ITC Avant Garde" w:cs="Arial"/>
                <w:sz w:val="18"/>
                <w:szCs w:val="18"/>
              </w:rPr>
              <w:t xml:space="preserve"> (última reforma, 2019</w:t>
            </w:r>
            <w:r w:rsidRPr="00CD5BDD">
              <w:rPr>
                <w:rFonts w:ascii="ITC Avant Garde" w:hAnsi="ITC Avant Garde" w:cs="Arial"/>
                <w:sz w:val="18"/>
                <w:szCs w:val="18"/>
              </w:rPr>
              <w:t xml:space="preserve">). </w:t>
            </w:r>
            <w:r w:rsidR="00F055F8" w:rsidRPr="00CD5BDD">
              <w:rPr>
                <w:rFonts w:ascii="ITC Avant Garde" w:hAnsi="ITC Avant Garde" w:cs="Arial"/>
                <w:sz w:val="18"/>
                <w:szCs w:val="18"/>
              </w:rPr>
              <w:t xml:space="preserve">Disponible en: </w:t>
            </w:r>
            <w:hyperlink r:id="rId57" w:history="1">
              <w:r w:rsidR="00F055F8" w:rsidRPr="00CD5BDD">
                <w:rPr>
                  <w:rStyle w:val="Hipervnculo"/>
                  <w:rFonts w:ascii="ITC Avant Garde" w:hAnsi="ITC Avant Garde" w:cs="Arial"/>
                  <w:sz w:val="18"/>
                  <w:szCs w:val="18"/>
                </w:rPr>
                <w:t>http://www.ift.org.mx/industria/autoridad-investigadora/documentos-materia-economica#</w:t>
              </w:r>
            </w:hyperlink>
            <w:r w:rsidR="00F055F8" w:rsidRPr="00CD5BDD">
              <w:rPr>
                <w:rFonts w:ascii="ITC Avant Garde" w:hAnsi="ITC Avant Garde" w:cs="Arial"/>
                <w:sz w:val="18"/>
                <w:szCs w:val="18"/>
              </w:rPr>
              <w:t xml:space="preserve"> </w:t>
            </w:r>
            <w:r w:rsidR="00A01B7E" w:rsidRPr="00CD5BDD">
              <w:rPr>
                <w:rFonts w:ascii="ITC Avant Garde" w:hAnsi="ITC Avant Garde" w:cs="Arial"/>
                <w:sz w:val="18"/>
                <w:szCs w:val="18"/>
              </w:rPr>
              <w:t xml:space="preserve"> </w:t>
            </w:r>
          </w:p>
          <w:p w14:paraId="36D1186F" w14:textId="0B2B98D4" w:rsidR="00A01B7E" w:rsidRPr="00CD5BDD" w:rsidRDefault="00A01B7E" w:rsidP="00875C49">
            <w:pPr>
              <w:pStyle w:val="Prrafodelista"/>
              <w:numPr>
                <w:ilvl w:val="0"/>
                <w:numId w:val="11"/>
              </w:numPr>
              <w:spacing w:line="276" w:lineRule="auto"/>
              <w:jc w:val="both"/>
              <w:rPr>
                <w:rFonts w:ascii="ITC Avant Garde" w:hAnsi="ITC Avant Garde" w:cs="Arial"/>
                <w:sz w:val="18"/>
                <w:szCs w:val="18"/>
                <w:lang w:val="en-US"/>
              </w:rPr>
            </w:pPr>
            <w:r w:rsidRPr="00CD5BDD">
              <w:rPr>
                <w:rFonts w:ascii="ITC Avant Garde" w:hAnsi="ITC Avant Garde" w:cs="Arial"/>
                <w:sz w:val="18"/>
                <w:szCs w:val="18"/>
                <w:lang w:val="en-US"/>
              </w:rPr>
              <w:t xml:space="preserve">DOJ (2011). Complaint. United States of America v AT&amp;T Inc., T-Mobile USA, Inc. and Deutsche Telekom, AG. Disponible </w:t>
            </w:r>
            <w:proofErr w:type="spellStart"/>
            <w:r w:rsidRPr="00CD5BDD">
              <w:rPr>
                <w:rFonts w:ascii="ITC Avant Garde" w:hAnsi="ITC Avant Garde" w:cs="Arial"/>
                <w:sz w:val="18"/>
                <w:szCs w:val="18"/>
                <w:lang w:val="en-US"/>
              </w:rPr>
              <w:t>en</w:t>
            </w:r>
            <w:proofErr w:type="spellEnd"/>
            <w:r w:rsidRPr="00CD5BDD">
              <w:rPr>
                <w:rFonts w:ascii="ITC Avant Garde" w:hAnsi="ITC Avant Garde" w:cs="Arial"/>
                <w:sz w:val="18"/>
                <w:szCs w:val="18"/>
                <w:lang w:val="en-US"/>
              </w:rPr>
              <w:t>:</w:t>
            </w:r>
            <w:r w:rsidR="00875C49" w:rsidRPr="00CD5BDD">
              <w:rPr>
                <w:rFonts w:ascii="ITC Avant Garde" w:hAnsi="ITC Avant Garde" w:cs="Arial"/>
                <w:sz w:val="18"/>
                <w:szCs w:val="18"/>
                <w:lang w:val="en-US"/>
              </w:rPr>
              <w:t xml:space="preserve"> </w:t>
            </w:r>
            <w:hyperlink r:id="rId58" w:history="1">
              <w:r w:rsidR="00875C49" w:rsidRPr="00CD5BDD">
                <w:rPr>
                  <w:rStyle w:val="Hipervnculo"/>
                  <w:rFonts w:ascii="ITC Avant Garde" w:hAnsi="ITC Avant Garde" w:cs="Arial"/>
                  <w:sz w:val="18"/>
                  <w:szCs w:val="18"/>
                  <w:lang w:val="en-US"/>
                </w:rPr>
                <w:t>https://www.justice.gov/sites/default/files/opa/legacy/2011/08/31/Justice-ATT-TMobile-Complaint.pdf</w:t>
              </w:r>
            </w:hyperlink>
            <w:r w:rsidR="00875C49" w:rsidRPr="00CD5BDD">
              <w:rPr>
                <w:rFonts w:ascii="ITC Avant Garde" w:hAnsi="ITC Avant Garde" w:cs="Arial"/>
                <w:sz w:val="18"/>
                <w:szCs w:val="18"/>
                <w:lang w:val="en-US"/>
              </w:rPr>
              <w:t xml:space="preserve"> </w:t>
            </w:r>
            <w:r w:rsidRPr="00CD5BDD">
              <w:rPr>
                <w:rFonts w:ascii="ITC Avant Garde" w:hAnsi="ITC Avant Garde" w:cs="Arial"/>
                <w:sz w:val="18"/>
                <w:szCs w:val="18"/>
                <w:lang w:val="en-US"/>
              </w:rPr>
              <w:t xml:space="preserve"> </w:t>
            </w:r>
          </w:p>
          <w:p w14:paraId="0EA33165" w14:textId="5C02BE42"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lastRenderedPageBreak/>
              <w:t xml:space="preserve">DOJ y FTC (1984). Non-Horizontal Merger </w:t>
            </w:r>
            <w:r w:rsidR="000A6379" w:rsidRPr="00CD5BDD">
              <w:rPr>
                <w:rFonts w:ascii="ITC Avant Garde" w:hAnsi="ITC Avant Garde" w:cs="Arial"/>
                <w:sz w:val="18"/>
                <w:szCs w:val="18"/>
              </w:rPr>
              <w:t>Guidelines.</w:t>
            </w:r>
            <w:r w:rsidRPr="00CD5BDD">
              <w:rPr>
                <w:rFonts w:ascii="ITC Avant Garde" w:hAnsi="ITC Avant Garde" w:cs="Arial"/>
                <w:sz w:val="18"/>
                <w:szCs w:val="18"/>
              </w:rPr>
              <w:t xml:space="preserve"> Disponible en: </w:t>
            </w:r>
            <w:hyperlink r:id="rId59" w:history="1">
              <w:r w:rsidRPr="00CD5BDD">
                <w:rPr>
                  <w:rStyle w:val="Hipervnculo"/>
                  <w:rFonts w:ascii="ITC Avant Garde" w:hAnsi="ITC Avant Garde" w:cs="Arial"/>
                  <w:sz w:val="18"/>
                  <w:szCs w:val="18"/>
                </w:rPr>
                <w:t>https://www.justice.gov/atr/page/file/1175141/download?mkwid=c</w:t>
              </w:r>
            </w:hyperlink>
            <w:r w:rsidRPr="00CD5BDD">
              <w:rPr>
                <w:rFonts w:ascii="ITC Avant Garde" w:hAnsi="ITC Avant Garde" w:cs="Arial"/>
                <w:sz w:val="18"/>
                <w:szCs w:val="18"/>
              </w:rPr>
              <w:t xml:space="preserve"> </w:t>
            </w:r>
          </w:p>
          <w:p w14:paraId="25AAA5B7" w14:textId="2D3823C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DOJ y FTC (2010). Horizontal Merger Guidelines. Disponible en</w:t>
            </w:r>
            <w:r w:rsidR="000A6379" w:rsidRPr="00CD5BDD">
              <w:rPr>
                <w:rFonts w:ascii="ITC Avant Garde" w:hAnsi="ITC Avant Garde" w:cs="Arial"/>
                <w:sz w:val="18"/>
                <w:szCs w:val="18"/>
              </w:rPr>
              <w:t>:</w:t>
            </w:r>
            <w:r w:rsidRPr="00CD5BDD">
              <w:rPr>
                <w:rFonts w:ascii="ITC Avant Garde" w:hAnsi="ITC Avant Garde" w:cs="Arial"/>
                <w:sz w:val="18"/>
                <w:szCs w:val="18"/>
              </w:rPr>
              <w:t xml:space="preserve"> </w:t>
            </w:r>
            <w:hyperlink r:id="rId60" w:history="1">
              <w:r w:rsidRPr="00CD5BDD">
                <w:rPr>
                  <w:rStyle w:val="Hipervnculo"/>
                  <w:rFonts w:ascii="ITC Avant Garde" w:hAnsi="ITC Avant Garde" w:cs="Arial"/>
                  <w:sz w:val="18"/>
                  <w:szCs w:val="18"/>
                </w:rPr>
                <w:t>https://www.ftc.gov/sites/default/files/attachments/merger-review/100819hmg.pdf</w:t>
              </w:r>
            </w:hyperlink>
            <w:r w:rsidRPr="00CD5BDD">
              <w:rPr>
                <w:rFonts w:ascii="ITC Avant Garde" w:hAnsi="ITC Avant Garde" w:cs="Arial"/>
                <w:sz w:val="18"/>
                <w:szCs w:val="18"/>
              </w:rPr>
              <w:t xml:space="preserve"> </w:t>
            </w:r>
          </w:p>
          <w:p w14:paraId="1EA435E6"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DOJ y FTC (2020). Vertical Merger Guidelines. Disponible en: </w:t>
            </w:r>
            <w:hyperlink r:id="rId61" w:history="1">
              <w:r w:rsidRPr="00CD5BDD">
                <w:rPr>
                  <w:rStyle w:val="Hipervnculo"/>
                  <w:rFonts w:ascii="ITC Avant Garde" w:hAnsi="ITC Avant Garde" w:cs="Arial"/>
                  <w:sz w:val="18"/>
                  <w:szCs w:val="18"/>
                </w:rPr>
                <w:t>https://www.ftc.gov/system/files/documents/reports/us-department-justice-federal-trade-commission-vertical-merger-guidelines/vertical_merger_guidelines_6-30-20.pdf</w:t>
              </w:r>
            </w:hyperlink>
            <w:r w:rsidRPr="00CD5BDD">
              <w:rPr>
                <w:rFonts w:ascii="ITC Avant Garde" w:hAnsi="ITC Avant Garde" w:cs="Arial"/>
                <w:sz w:val="18"/>
                <w:szCs w:val="18"/>
              </w:rPr>
              <w:t xml:space="preserve"> </w:t>
            </w:r>
          </w:p>
          <w:p w14:paraId="78D56D34" w14:textId="28EA989D" w:rsidR="00B65604" w:rsidRPr="00CD5BDD" w:rsidRDefault="00B65604"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Evans, D. (2003). The Antitrust Economics of Multi-Sided Platform Markets. </w:t>
            </w:r>
            <w:r w:rsidRPr="00CD5BDD">
              <w:rPr>
                <w:rFonts w:ascii="ITC Avant Garde" w:hAnsi="ITC Avant Garde" w:cs="Arial"/>
                <w:sz w:val="18"/>
                <w:szCs w:val="18"/>
              </w:rPr>
              <w:t xml:space="preserve">Disponible en: </w:t>
            </w:r>
            <w:hyperlink r:id="rId62" w:history="1">
              <w:r w:rsidRPr="00CD5BDD">
                <w:rPr>
                  <w:rStyle w:val="Hipervnculo"/>
                  <w:rFonts w:ascii="ITC Avant Garde" w:hAnsi="ITC Avant Garde" w:cs="Arial"/>
                  <w:sz w:val="18"/>
                  <w:szCs w:val="18"/>
                </w:rPr>
                <w:t>https://digitalcommons.law.yale.edu/cgi/viewcontent.cgi?article=1144&amp;context=yjreg</w:t>
              </w:r>
            </w:hyperlink>
            <w:r w:rsidRPr="00CD5BDD">
              <w:rPr>
                <w:rFonts w:ascii="ITC Avant Garde" w:hAnsi="ITC Avant Garde" w:cs="Arial"/>
                <w:sz w:val="18"/>
                <w:szCs w:val="18"/>
              </w:rPr>
              <w:t xml:space="preserve"> </w:t>
            </w:r>
          </w:p>
          <w:p w14:paraId="1CB478EC" w14:textId="66878A6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FCC (2004). In the matter of Applications of AT&amp;T Wireless Services, Inc. and Cingular Wireless Corporation. </w:t>
            </w:r>
            <w:r w:rsidRPr="00CD5BDD">
              <w:rPr>
                <w:rFonts w:ascii="ITC Avant Garde" w:hAnsi="ITC Avant Garde" w:cs="Arial"/>
                <w:sz w:val="18"/>
                <w:szCs w:val="18"/>
              </w:rPr>
              <w:t xml:space="preserve">Disponible en: </w:t>
            </w:r>
            <w:hyperlink r:id="rId63" w:history="1">
              <w:r w:rsidRPr="00CD5BDD">
                <w:rPr>
                  <w:rStyle w:val="Hipervnculo"/>
                  <w:rFonts w:ascii="ITC Avant Garde" w:hAnsi="ITC Avant Garde" w:cs="Arial"/>
                  <w:sz w:val="18"/>
                  <w:szCs w:val="18"/>
                </w:rPr>
                <w:t>https://www.fcc.gov/document/matter-applications-att-wireless-services-inc-and-cingular</w:t>
              </w:r>
            </w:hyperlink>
            <w:r w:rsidRPr="00CD5BDD">
              <w:rPr>
                <w:rFonts w:ascii="ITC Avant Garde" w:hAnsi="ITC Avant Garde" w:cs="Arial"/>
                <w:sz w:val="18"/>
                <w:szCs w:val="18"/>
              </w:rPr>
              <w:t xml:space="preserve"> </w:t>
            </w:r>
          </w:p>
          <w:p w14:paraId="528FAA55" w14:textId="3EE14D45"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FCC (2019). In the matter of Applications of T-Mobile US, Inc., and Sprint Corporation </w:t>
            </w:r>
            <w:r w:rsidR="003D5451" w:rsidRPr="00CD5BDD">
              <w:rPr>
                <w:rFonts w:ascii="ITC Avant Garde" w:hAnsi="ITC Avant Garde" w:cs="Arial"/>
                <w:sz w:val="18"/>
                <w:szCs w:val="18"/>
                <w:lang w:val="en-US"/>
              </w:rPr>
              <w:t>for Consent to</w:t>
            </w:r>
            <w:r w:rsidRPr="00CD5BDD">
              <w:rPr>
                <w:rFonts w:ascii="ITC Avant Garde" w:hAnsi="ITC Avant Garde" w:cs="Arial"/>
                <w:sz w:val="18"/>
                <w:szCs w:val="18"/>
                <w:lang w:val="en-US"/>
              </w:rPr>
              <w:t xml:space="preserve"> Transfer Control of Licenses and Authorizations. </w:t>
            </w:r>
            <w:r w:rsidRPr="00CD5BDD">
              <w:rPr>
                <w:rFonts w:ascii="ITC Avant Garde" w:hAnsi="ITC Avant Garde" w:cs="Arial"/>
                <w:sz w:val="18"/>
                <w:szCs w:val="18"/>
              </w:rPr>
              <w:t xml:space="preserve">Disponible en: </w:t>
            </w:r>
            <w:bookmarkStart w:id="0" w:name="_Hlk85556219"/>
            <w:r w:rsidR="00CD5BDD">
              <w:rPr>
                <w:rFonts w:ascii="ITC Avant Garde" w:hAnsi="ITC Avant Garde" w:cs="Arial"/>
                <w:sz w:val="18"/>
                <w:szCs w:val="18"/>
              </w:rPr>
              <w:fldChar w:fldCharType="begin"/>
            </w:r>
            <w:r w:rsidR="00CD5BDD">
              <w:rPr>
                <w:rFonts w:ascii="ITC Avant Garde" w:hAnsi="ITC Avant Garde" w:cs="Arial"/>
                <w:sz w:val="18"/>
                <w:szCs w:val="18"/>
              </w:rPr>
              <w:instrText xml:space="preserve"> HYPERLINK "</w:instrText>
            </w:r>
            <w:r w:rsidR="00CD5BDD" w:rsidRPr="00CD5BDD">
              <w:rPr>
                <w:rFonts w:ascii="ITC Avant Garde" w:hAnsi="ITC Avant Garde" w:cs="Arial"/>
                <w:sz w:val="18"/>
                <w:szCs w:val="18"/>
              </w:rPr>
              <w:instrText>https://www.fcc.gov/document/fcc-approves-t-mobilesprint-transaction-conditions</w:instrText>
            </w:r>
            <w:r w:rsidR="00CD5BDD">
              <w:rPr>
                <w:rFonts w:ascii="ITC Avant Garde" w:hAnsi="ITC Avant Garde" w:cs="Arial"/>
                <w:sz w:val="18"/>
                <w:szCs w:val="18"/>
              </w:rPr>
              <w:instrText xml:space="preserve">" </w:instrText>
            </w:r>
            <w:r w:rsidR="00CD5BDD">
              <w:rPr>
                <w:rFonts w:ascii="ITC Avant Garde" w:hAnsi="ITC Avant Garde" w:cs="Arial"/>
                <w:sz w:val="18"/>
                <w:szCs w:val="18"/>
              </w:rPr>
              <w:fldChar w:fldCharType="separate"/>
            </w:r>
            <w:r w:rsidR="00CD5BDD" w:rsidRPr="00015DFB">
              <w:rPr>
                <w:rStyle w:val="Hipervnculo"/>
                <w:rFonts w:ascii="ITC Avant Garde" w:hAnsi="ITC Avant Garde" w:cs="Arial"/>
                <w:sz w:val="18"/>
                <w:szCs w:val="18"/>
              </w:rPr>
              <w:t>https://www.fcc.gov/document/fcc-approves-t-mobilesprint-transaction-conditions</w:t>
            </w:r>
            <w:bookmarkEnd w:id="0"/>
            <w:r w:rsidR="00CD5BDD">
              <w:rPr>
                <w:rFonts w:ascii="ITC Avant Garde" w:hAnsi="ITC Avant Garde" w:cs="Arial"/>
                <w:sz w:val="18"/>
                <w:szCs w:val="18"/>
              </w:rPr>
              <w:fldChar w:fldCharType="end"/>
            </w:r>
            <w:r w:rsidR="00CD5BDD">
              <w:rPr>
                <w:rFonts w:ascii="ITC Avant Garde" w:hAnsi="ITC Avant Garde" w:cs="Arial"/>
                <w:sz w:val="18"/>
                <w:szCs w:val="18"/>
              </w:rPr>
              <w:t xml:space="preserve"> </w:t>
            </w:r>
            <w:r w:rsidRPr="00CD5BDD">
              <w:rPr>
                <w:rFonts w:ascii="ITC Avant Garde" w:hAnsi="ITC Avant Garde" w:cs="Arial"/>
                <w:sz w:val="18"/>
                <w:szCs w:val="18"/>
              </w:rPr>
              <w:t xml:space="preserve"> </w:t>
            </w:r>
          </w:p>
          <w:p w14:paraId="4CDB2283" w14:textId="5CD58D8E" w:rsidR="007A0D96" w:rsidRPr="00CD5BDD" w:rsidRDefault="007A0D96"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Fiscalía Nacional Económica (2021). Guía para el Análisis de Operaciones de Concentración Horizontales. Disponible en: </w:t>
            </w:r>
            <w:hyperlink r:id="rId64" w:history="1">
              <w:r w:rsidRPr="00CD5BDD">
                <w:rPr>
                  <w:rStyle w:val="Hipervnculo"/>
                  <w:rFonts w:ascii="ITC Avant Garde" w:hAnsi="ITC Avant Garde" w:cs="Arial"/>
                  <w:sz w:val="18"/>
                  <w:szCs w:val="18"/>
                </w:rPr>
                <w:t>https://www.fne.gob.cl/wp-content/uploads/2021/05/Guia-para-el-Analisis-de-Operaciones-de-Concentracion-Horizontales-mayo-VF.pdf</w:t>
              </w:r>
            </w:hyperlink>
            <w:r w:rsidRPr="00CD5BDD">
              <w:rPr>
                <w:rFonts w:ascii="ITC Avant Garde" w:hAnsi="ITC Avant Garde" w:cs="Arial"/>
                <w:sz w:val="18"/>
                <w:szCs w:val="18"/>
              </w:rPr>
              <w:t xml:space="preserve"> </w:t>
            </w:r>
          </w:p>
          <w:p w14:paraId="6C866C59"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ICN (2006). ICN Merger Guidelines Workbook. </w:t>
            </w:r>
            <w:r w:rsidRPr="00CD5BDD">
              <w:rPr>
                <w:rFonts w:ascii="ITC Avant Garde" w:hAnsi="ITC Avant Garde" w:cs="Arial"/>
                <w:sz w:val="18"/>
                <w:szCs w:val="18"/>
              </w:rPr>
              <w:t xml:space="preserve">Disponible en:  </w:t>
            </w:r>
            <w:hyperlink r:id="rId65" w:history="1">
              <w:r w:rsidRPr="00CD5BDD">
                <w:rPr>
                  <w:rStyle w:val="Hipervnculo"/>
                  <w:rFonts w:ascii="ITC Avant Garde" w:hAnsi="ITC Avant Garde" w:cs="Arial"/>
                  <w:sz w:val="18"/>
                  <w:szCs w:val="18"/>
                </w:rPr>
                <w:t>https://www.internationalcompetitionnetwork.org/wp-content/uploads/2018/05/MWG_MergerGuidelinesWorkbook.pdf</w:t>
              </w:r>
            </w:hyperlink>
            <w:r w:rsidRPr="00CD5BDD">
              <w:rPr>
                <w:rFonts w:ascii="ITC Avant Garde" w:hAnsi="ITC Avant Garde" w:cs="Arial"/>
                <w:sz w:val="18"/>
                <w:szCs w:val="18"/>
              </w:rPr>
              <w:t xml:space="preserve"> </w:t>
            </w:r>
          </w:p>
          <w:p w14:paraId="7BF77AA1" w14:textId="4D2396C2"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ICN (2018). </w:t>
            </w:r>
            <w:r w:rsidR="006B5397" w:rsidRPr="00CD5BDD">
              <w:rPr>
                <w:rFonts w:ascii="ITC Avant Garde" w:hAnsi="ITC Avant Garde" w:cs="Arial"/>
                <w:sz w:val="18"/>
                <w:szCs w:val="18"/>
                <w:lang w:val="en-US"/>
              </w:rPr>
              <w:t xml:space="preserve">ICN </w:t>
            </w:r>
            <w:r w:rsidRPr="00CD5BDD">
              <w:rPr>
                <w:rFonts w:ascii="ITC Avant Garde" w:hAnsi="ITC Avant Garde" w:cs="Arial"/>
                <w:sz w:val="18"/>
                <w:szCs w:val="18"/>
                <w:lang w:val="en-US"/>
              </w:rPr>
              <w:t xml:space="preserve">Vertical Mergers Survey Report. </w:t>
            </w:r>
            <w:r w:rsidRPr="00CD5BDD">
              <w:rPr>
                <w:rFonts w:ascii="ITC Avant Garde" w:hAnsi="ITC Avant Garde" w:cs="Arial"/>
                <w:sz w:val="18"/>
                <w:szCs w:val="18"/>
              </w:rPr>
              <w:t xml:space="preserve">Disponible en: </w:t>
            </w:r>
            <w:hyperlink r:id="rId66" w:history="1">
              <w:r w:rsidRPr="00CD5BDD">
                <w:rPr>
                  <w:rStyle w:val="Hipervnculo"/>
                  <w:rFonts w:ascii="ITC Avant Garde" w:hAnsi="ITC Avant Garde" w:cs="Arial"/>
                  <w:sz w:val="18"/>
                  <w:szCs w:val="18"/>
                </w:rPr>
                <w:t>https://www.internationalcompetitionnetwork.org/wp-content/uploads/2018/10/MWG_SurveyreportVerticalMergers2018.pdf</w:t>
              </w:r>
            </w:hyperlink>
            <w:r w:rsidRPr="00CD5BDD">
              <w:rPr>
                <w:rFonts w:ascii="ITC Avant Garde" w:hAnsi="ITC Avant Garde" w:cs="Arial"/>
                <w:sz w:val="18"/>
                <w:szCs w:val="18"/>
              </w:rPr>
              <w:t xml:space="preserve"> </w:t>
            </w:r>
          </w:p>
          <w:p w14:paraId="60286CB2"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ICN (2019). ICN Vertical Mergers Comparison Study. </w:t>
            </w:r>
            <w:r w:rsidRPr="00CD5BDD">
              <w:rPr>
                <w:rFonts w:ascii="ITC Avant Garde" w:hAnsi="ITC Avant Garde" w:cs="Arial"/>
                <w:sz w:val="18"/>
                <w:szCs w:val="18"/>
              </w:rPr>
              <w:t xml:space="preserve">Disponible en: </w:t>
            </w:r>
            <w:hyperlink r:id="rId67" w:history="1">
              <w:r w:rsidRPr="00CD5BDD">
                <w:rPr>
                  <w:rStyle w:val="Hipervnculo"/>
                  <w:rFonts w:ascii="ITC Avant Garde" w:hAnsi="ITC Avant Garde" w:cs="Arial"/>
                  <w:sz w:val="18"/>
                  <w:szCs w:val="18"/>
                </w:rPr>
                <w:t>https://www.internationalcompetitionnetwork.org/wp-content/uploads/2019/05/MWG-Vertical-Mergers-Comparison-Study.pdf</w:t>
              </w:r>
            </w:hyperlink>
            <w:r w:rsidRPr="00CD5BDD">
              <w:rPr>
                <w:rFonts w:ascii="ITC Avant Garde" w:hAnsi="ITC Avant Garde" w:cs="Arial"/>
                <w:sz w:val="18"/>
                <w:szCs w:val="18"/>
              </w:rPr>
              <w:t xml:space="preserve"> </w:t>
            </w:r>
          </w:p>
          <w:p w14:paraId="61E31DBF" w14:textId="51F0A290" w:rsidR="006B5397" w:rsidRPr="00CD5BDD" w:rsidRDefault="006B5397"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Instituto Federal de Telecomunicaciones (2013</w:t>
            </w:r>
            <w:r w:rsidR="00786E2A" w:rsidRPr="00CD5BDD">
              <w:rPr>
                <w:rFonts w:ascii="ITC Avant Garde" w:hAnsi="ITC Avant Garde" w:cs="Arial"/>
                <w:sz w:val="18"/>
                <w:szCs w:val="18"/>
              </w:rPr>
              <w:t>)</w:t>
            </w:r>
            <w:r w:rsidRPr="00CD5BDD">
              <w:rPr>
                <w:rFonts w:ascii="ITC Avant Garde" w:hAnsi="ITC Avant Garde" w:cs="Arial"/>
                <w:sz w:val="18"/>
                <w:szCs w:val="18"/>
              </w:rPr>
              <w:t xml:space="preserve">. Acuerdo P/IFT/271113/20. Disponible en: </w:t>
            </w:r>
            <w:hyperlink r:id="rId68" w:history="1">
              <w:r w:rsidRPr="00CD5BDD">
                <w:rPr>
                  <w:rStyle w:val="Hipervnculo"/>
                  <w:rFonts w:ascii="ITC Avant Garde" w:hAnsi="ITC Avant Garde" w:cs="Arial"/>
                  <w:sz w:val="18"/>
                  <w:szCs w:val="18"/>
                </w:rPr>
                <w:t>http://apps.ift.org.mx/publicdata/P_IFT_271113_20_Version_Publica_Hoja.pdf</w:t>
              </w:r>
            </w:hyperlink>
            <w:r w:rsidRPr="00CD5BDD">
              <w:rPr>
                <w:rFonts w:ascii="ITC Avant Garde" w:hAnsi="ITC Avant Garde" w:cs="Arial"/>
                <w:sz w:val="18"/>
                <w:szCs w:val="18"/>
              </w:rPr>
              <w:t xml:space="preserve"> </w:t>
            </w:r>
          </w:p>
          <w:p w14:paraId="09DECC66" w14:textId="6F6346F9"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Acuerdo P/IFT/160414/92. Disponible en: </w:t>
            </w:r>
            <w:hyperlink r:id="rId69" w:history="1">
              <w:r w:rsidRPr="00CD5BDD">
                <w:rPr>
                  <w:rStyle w:val="Hipervnculo"/>
                  <w:rFonts w:ascii="ITC Avant Garde" w:hAnsi="ITC Avant Garde" w:cs="Arial"/>
                  <w:sz w:val="18"/>
                  <w:szCs w:val="18"/>
                </w:rPr>
                <w:t>http://apps.ift.org.mx/publicdata/VP_P_IFT_160414_92.pdf</w:t>
              </w:r>
            </w:hyperlink>
            <w:r w:rsidRPr="00CD5BDD">
              <w:rPr>
                <w:rFonts w:ascii="ITC Avant Garde" w:hAnsi="ITC Avant Garde" w:cs="Arial"/>
                <w:sz w:val="18"/>
                <w:szCs w:val="18"/>
              </w:rPr>
              <w:t xml:space="preserve"> </w:t>
            </w:r>
          </w:p>
          <w:p w14:paraId="43540F77" w14:textId="6DB96D77" w:rsidR="00A01B7E" w:rsidRPr="00CD5BDD" w:rsidRDefault="00A01B7E" w:rsidP="000A6379">
            <w:pPr>
              <w:pStyle w:val="Prrafodelista"/>
              <w:numPr>
                <w:ilvl w:val="0"/>
                <w:numId w:val="11"/>
              </w:numPr>
              <w:spacing w:line="276" w:lineRule="auto"/>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Acuerdo P/IFT/EXT/181214/282. Disponible en: </w:t>
            </w:r>
            <w:hyperlink r:id="rId70" w:history="1">
              <w:r w:rsidRPr="00CD5BDD">
                <w:rPr>
                  <w:rStyle w:val="Hipervnculo"/>
                  <w:rFonts w:ascii="ITC Avant Garde" w:hAnsi="ITC Avant Garde" w:cs="Arial"/>
                  <w:sz w:val="18"/>
                  <w:szCs w:val="18"/>
                </w:rPr>
                <w:t>http://apps.ift.org.mx/publicdata/P_IFT_EXT_181214_282_Version_Publica.pdf</w:t>
              </w:r>
            </w:hyperlink>
            <w:r w:rsidRPr="00CD5BDD">
              <w:rPr>
                <w:rFonts w:ascii="ITC Avant Garde" w:hAnsi="ITC Avant Garde" w:cs="Arial"/>
                <w:sz w:val="18"/>
                <w:szCs w:val="18"/>
              </w:rPr>
              <w:t xml:space="preserve">. </w:t>
            </w:r>
          </w:p>
          <w:p w14:paraId="0AE21ABB" w14:textId="5727372C"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Bases de la Licitación IFT-1. Disponibles en: </w:t>
            </w:r>
            <w:hyperlink r:id="rId71" w:history="1">
              <w:r w:rsidR="006B5397" w:rsidRPr="00CD5BDD">
                <w:rPr>
                  <w:rStyle w:val="Hipervnculo"/>
                  <w:rFonts w:ascii="ITC Avant Garde" w:hAnsi="ITC Avant Garde" w:cs="Arial"/>
                  <w:sz w:val="18"/>
                  <w:szCs w:val="18"/>
                </w:rPr>
                <w:t>http://www.ift.org.mx/industria/espectro-radioelectrico/radiodifusion/2014/ift-1-licitacion-de-dos-cadenas-de-television-radiodifundida-digital</w:t>
              </w:r>
            </w:hyperlink>
            <w:r w:rsidRPr="00CD5BDD">
              <w:rPr>
                <w:rFonts w:ascii="ITC Avant Garde" w:hAnsi="ITC Avant Garde" w:cs="Arial"/>
                <w:sz w:val="18"/>
                <w:szCs w:val="18"/>
              </w:rPr>
              <w:t xml:space="preserve">. </w:t>
            </w:r>
          </w:p>
          <w:p w14:paraId="2B8EF4D1" w14:textId="77777777" w:rsidR="001E6360"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Opiniones en materia de competencia económica emitidas por el Instituto en la Licitación IFT-1. Disponibles en: </w:t>
            </w:r>
            <w:hyperlink r:id="rId72" w:anchor="overlay-context=pagina-de-inicio/apendices" w:history="1">
              <w:r w:rsidRPr="00CD5BDD">
                <w:rPr>
                  <w:rStyle w:val="Hipervnculo"/>
                  <w:rFonts w:ascii="ITC Avant Garde" w:hAnsi="ITC Avant Garde" w:cs="Arial"/>
                  <w:sz w:val="18"/>
                  <w:szCs w:val="18"/>
                </w:rPr>
                <w:t>http://www.ift.org.mx/pagina-de-inicio/opiniones-en-materia-de-competencia-economica#overlay-context=pagina-de-inicio/apendices</w:t>
              </w:r>
            </w:hyperlink>
            <w:r w:rsidRPr="00CD5BDD">
              <w:rPr>
                <w:rFonts w:ascii="ITC Avant Garde" w:hAnsi="ITC Avant Garde" w:cs="Arial"/>
                <w:sz w:val="18"/>
                <w:szCs w:val="18"/>
              </w:rPr>
              <w:t xml:space="preserve"> </w:t>
            </w:r>
          </w:p>
          <w:p w14:paraId="04D11AD7" w14:textId="7DA9726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w:t>
            </w:r>
            <w:r w:rsidR="000A6379" w:rsidRPr="00CD5BDD">
              <w:rPr>
                <w:rFonts w:ascii="ITC Avant Garde" w:hAnsi="ITC Avant Garde" w:cs="Arial"/>
                <w:sz w:val="18"/>
                <w:szCs w:val="18"/>
              </w:rPr>
              <w:t>Acuerdo P/IFT/011014/332. D</w:t>
            </w:r>
            <w:r w:rsidRPr="00CD5BDD">
              <w:rPr>
                <w:rFonts w:ascii="ITC Avant Garde" w:hAnsi="ITC Avant Garde" w:cs="Arial"/>
                <w:sz w:val="18"/>
                <w:szCs w:val="18"/>
              </w:rPr>
              <w:t xml:space="preserve">isponible en: </w:t>
            </w:r>
            <w:hyperlink r:id="rId73" w:history="1">
              <w:r w:rsidRPr="00CD5BDD">
                <w:rPr>
                  <w:rStyle w:val="Hipervnculo"/>
                  <w:rFonts w:ascii="ITC Avant Garde" w:hAnsi="ITC Avant Garde" w:cs="Arial"/>
                  <w:sz w:val="18"/>
                  <w:szCs w:val="18"/>
                </w:rPr>
                <w:t>http://apps.ift.org.mx/publicdata/P_IFT_011014_332_Version_Publica_UCE.pdf</w:t>
              </w:r>
            </w:hyperlink>
            <w:r w:rsidRPr="00CD5BDD">
              <w:rPr>
                <w:rFonts w:ascii="ITC Avant Garde" w:hAnsi="ITC Avant Garde" w:cs="Arial"/>
                <w:sz w:val="18"/>
                <w:szCs w:val="18"/>
              </w:rPr>
              <w:t xml:space="preserve">. </w:t>
            </w:r>
          </w:p>
          <w:p w14:paraId="114BFE6A" w14:textId="6896C324" w:rsidR="00437F38" w:rsidRPr="00CD5BDD" w:rsidRDefault="00437F38" w:rsidP="00437F38">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Instituto Federal de Telecomunicaciones (2014). Acuerdo P/IFT/011014/352. Disponible en:</w:t>
            </w:r>
            <w:r w:rsidRPr="00CD5BDD">
              <w:rPr>
                <w:rFonts w:ascii="ITC Avant Garde" w:hAnsi="ITC Avant Garde"/>
              </w:rPr>
              <w:t xml:space="preserve"> </w:t>
            </w:r>
            <w:hyperlink r:id="rId74" w:history="1">
              <w:r w:rsidRPr="00CD5BDD">
                <w:rPr>
                  <w:rStyle w:val="Hipervnculo"/>
                  <w:rFonts w:ascii="ITC Avant Garde" w:hAnsi="ITC Avant Garde" w:cs="Arial"/>
                  <w:sz w:val="18"/>
                  <w:szCs w:val="18"/>
                </w:rPr>
                <w:t>http://apps.ift.org.mx/publicdata/P_IFT_011014_352_Version_Publica.pdf</w:t>
              </w:r>
            </w:hyperlink>
            <w:r w:rsidRPr="00CD5BDD">
              <w:rPr>
                <w:rFonts w:ascii="ITC Avant Garde" w:hAnsi="ITC Avant Garde" w:cs="Arial"/>
                <w:sz w:val="18"/>
                <w:szCs w:val="18"/>
              </w:rPr>
              <w:t xml:space="preserve"> </w:t>
            </w:r>
          </w:p>
          <w:p w14:paraId="08B32620" w14:textId="7AC9214E" w:rsidR="007E7231" w:rsidRPr="00CD5BDD" w:rsidRDefault="007E7231" w:rsidP="007E7231">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lastRenderedPageBreak/>
              <w:t xml:space="preserve">Instituto Federal de Telecomunicaciones (2014). Acuerdo P/IFT/EXT/131114/217. Disponible en: </w:t>
            </w:r>
            <w:hyperlink r:id="rId75" w:history="1">
              <w:r w:rsidRPr="00CD5BDD">
                <w:rPr>
                  <w:rStyle w:val="Hipervnculo"/>
                  <w:rFonts w:ascii="ITC Avant Garde" w:hAnsi="ITC Avant Garde" w:cs="Arial"/>
                  <w:sz w:val="18"/>
                  <w:szCs w:val="18"/>
                </w:rPr>
                <w:t>http://apps.ift.org.mx/publicdata/P_IFT_EXT_131114_217_Version_Publica.pdf</w:t>
              </w:r>
            </w:hyperlink>
            <w:r w:rsidRPr="00CD5BDD">
              <w:rPr>
                <w:rFonts w:ascii="ITC Avant Garde" w:hAnsi="ITC Avant Garde" w:cs="Arial"/>
                <w:sz w:val="18"/>
                <w:szCs w:val="18"/>
              </w:rPr>
              <w:t xml:space="preserve"> </w:t>
            </w:r>
          </w:p>
          <w:p w14:paraId="7CC835CB" w14:textId="110F9663" w:rsidR="007E7231" w:rsidRPr="00CD5BDD" w:rsidRDefault="007E7231" w:rsidP="007A0D96">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Acuerdo P/IFT/EXT/131114/218. Disponible en: </w:t>
            </w:r>
            <w:hyperlink r:id="rId76" w:history="1">
              <w:r w:rsidRPr="00CD5BDD">
                <w:rPr>
                  <w:rStyle w:val="Hipervnculo"/>
                  <w:rFonts w:ascii="ITC Avant Garde" w:hAnsi="ITC Avant Garde" w:cs="Arial"/>
                  <w:sz w:val="18"/>
                  <w:szCs w:val="18"/>
                </w:rPr>
                <w:t>http://apps.ift.org.mx/publicdata/P_IFT_EXT_131114_218_Version_Publica.pdf</w:t>
              </w:r>
            </w:hyperlink>
            <w:r w:rsidRPr="00CD5BDD">
              <w:rPr>
                <w:rFonts w:ascii="ITC Avant Garde" w:hAnsi="ITC Avant Garde" w:cs="Arial"/>
                <w:sz w:val="18"/>
                <w:szCs w:val="18"/>
              </w:rPr>
              <w:t xml:space="preserve"> </w:t>
            </w:r>
          </w:p>
          <w:p w14:paraId="219DBBFA" w14:textId="1E0920EB" w:rsidR="007E7231" w:rsidRPr="00CD5BDD" w:rsidRDefault="007E7231" w:rsidP="00437F38">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Acuerdo P/IFT/EXT/131114/219. Disponible en: </w:t>
            </w:r>
            <w:hyperlink r:id="rId77" w:history="1">
              <w:r w:rsidRPr="00CD5BDD">
                <w:rPr>
                  <w:rStyle w:val="Hipervnculo"/>
                  <w:rFonts w:ascii="ITC Avant Garde" w:hAnsi="ITC Avant Garde" w:cs="Arial"/>
                  <w:sz w:val="18"/>
                  <w:szCs w:val="18"/>
                </w:rPr>
                <w:t>http://apps.ift.org.mx/publicdata/P_IFT_EXT_131114_219_Version_Publica.pdf</w:t>
              </w:r>
            </w:hyperlink>
            <w:r w:rsidRPr="00CD5BDD">
              <w:rPr>
                <w:rFonts w:ascii="ITC Avant Garde" w:hAnsi="ITC Avant Garde" w:cs="Arial"/>
                <w:sz w:val="18"/>
                <w:szCs w:val="18"/>
              </w:rPr>
              <w:t xml:space="preserve"> </w:t>
            </w:r>
          </w:p>
          <w:p w14:paraId="059EF552" w14:textId="5F409FC0" w:rsidR="007E7231" w:rsidRPr="00CD5BDD" w:rsidRDefault="007E7231" w:rsidP="00437F38">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Acuerdo P/IFT/EXT/131114/220. Disponible en: </w:t>
            </w:r>
            <w:hyperlink r:id="rId78" w:history="1">
              <w:r w:rsidRPr="00CD5BDD">
                <w:rPr>
                  <w:rStyle w:val="Hipervnculo"/>
                  <w:rFonts w:ascii="ITC Avant Garde" w:hAnsi="ITC Avant Garde" w:cs="Arial"/>
                  <w:sz w:val="18"/>
                  <w:szCs w:val="18"/>
                </w:rPr>
                <w:t>http://apps.ift.org.mx/publicdata/P_IFT_EXT_131114_220_Version_Publica.pdf</w:t>
              </w:r>
            </w:hyperlink>
            <w:r w:rsidRPr="00CD5BDD">
              <w:rPr>
                <w:rFonts w:ascii="ITC Avant Garde" w:hAnsi="ITC Avant Garde" w:cs="Arial"/>
                <w:sz w:val="18"/>
                <w:szCs w:val="18"/>
              </w:rPr>
              <w:t xml:space="preserve"> </w:t>
            </w:r>
          </w:p>
          <w:p w14:paraId="55BBBF2B" w14:textId="49A82DBF" w:rsidR="007E7231" w:rsidRPr="00CD5BDD" w:rsidRDefault="007E7231" w:rsidP="00437F38">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Acuerdo P/IFT/EXT/131114/221. Disponible en: </w:t>
            </w:r>
            <w:hyperlink r:id="rId79" w:history="1">
              <w:r w:rsidRPr="00CD5BDD">
                <w:rPr>
                  <w:rStyle w:val="Hipervnculo"/>
                  <w:rFonts w:ascii="ITC Avant Garde" w:hAnsi="ITC Avant Garde" w:cs="Arial"/>
                  <w:sz w:val="18"/>
                  <w:szCs w:val="18"/>
                </w:rPr>
                <w:t>http://apps.ift.org.mx/publicdata/P_IFT_EXT_131114_221_Version_Publica.pdf</w:t>
              </w:r>
            </w:hyperlink>
            <w:r w:rsidRPr="00CD5BDD">
              <w:rPr>
                <w:rFonts w:ascii="ITC Avant Garde" w:hAnsi="ITC Avant Garde" w:cs="Arial"/>
                <w:sz w:val="18"/>
                <w:szCs w:val="18"/>
              </w:rPr>
              <w:t xml:space="preserve"> </w:t>
            </w:r>
          </w:p>
          <w:p w14:paraId="71C0CD49" w14:textId="53EFE269" w:rsidR="007E7231" w:rsidRPr="00CD5BDD" w:rsidRDefault="007E7231" w:rsidP="00437F38">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Acuerdo P/IFT/EXT/131114/222. Disponible en: </w:t>
            </w:r>
            <w:hyperlink r:id="rId80" w:history="1">
              <w:r w:rsidRPr="00CD5BDD">
                <w:rPr>
                  <w:rStyle w:val="Hipervnculo"/>
                  <w:rFonts w:ascii="ITC Avant Garde" w:hAnsi="ITC Avant Garde" w:cs="Arial"/>
                  <w:sz w:val="18"/>
                  <w:szCs w:val="18"/>
                </w:rPr>
                <w:t>http://apps.ift.org.mx/publicdata/P_IFT_EXT_131114_222_Version_Publica.pdf</w:t>
              </w:r>
            </w:hyperlink>
            <w:r w:rsidRPr="00CD5BDD">
              <w:rPr>
                <w:rFonts w:ascii="ITC Avant Garde" w:hAnsi="ITC Avant Garde" w:cs="Arial"/>
                <w:sz w:val="18"/>
                <w:szCs w:val="18"/>
              </w:rPr>
              <w:t xml:space="preserve"> </w:t>
            </w:r>
          </w:p>
          <w:p w14:paraId="7F7C1601" w14:textId="34CDB0CF" w:rsidR="007E7231" w:rsidRPr="00CD5BDD" w:rsidRDefault="007E7231" w:rsidP="007E7231">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Acuerdo P/IFT/EXT/131114/223. Disponible en: </w:t>
            </w:r>
            <w:hyperlink r:id="rId81" w:history="1">
              <w:r w:rsidRPr="00CD5BDD">
                <w:rPr>
                  <w:rStyle w:val="Hipervnculo"/>
                  <w:rFonts w:ascii="ITC Avant Garde" w:hAnsi="ITC Avant Garde" w:cs="Arial"/>
                  <w:sz w:val="18"/>
                  <w:szCs w:val="18"/>
                </w:rPr>
                <w:t>http://apps.ift.org.mx/publicdata/P_IFT_EXT_131114_223_Version_Publica.pdf</w:t>
              </w:r>
            </w:hyperlink>
            <w:r w:rsidRPr="00CD5BDD">
              <w:rPr>
                <w:rFonts w:ascii="ITC Avant Garde" w:hAnsi="ITC Avant Garde" w:cs="Arial"/>
                <w:sz w:val="18"/>
                <w:szCs w:val="18"/>
              </w:rPr>
              <w:t xml:space="preserve"> </w:t>
            </w:r>
          </w:p>
          <w:p w14:paraId="0D280BB6" w14:textId="5204C6CC" w:rsidR="007E7231" w:rsidRPr="00CD5BDD" w:rsidRDefault="007E7231" w:rsidP="007A0D96">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(2014). Acuerdo P/IFT/EXT/131114/224. Disponible en: </w:t>
            </w:r>
            <w:hyperlink r:id="rId82" w:history="1">
              <w:r w:rsidRPr="00CD5BDD">
                <w:rPr>
                  <w:rStyle w:val="Hipervnculo"/>
                  <w:rFonts w:ascii="ITC Avant Garde" w:hAnsi="ITC Avant Garde" w:cs="Arial"/>
                  <w:sz w:val="18"/>
                  <w:szCs w:val="18"/>
                </w:rPr>
                <w:t>http://apps.ift.org.mx/publicdata/P_IFT_EXT_131114_224_Version_Publica.pdf</w:t>
              </w:r>
            </w:hyperlink>
            <w:r w:rsidRPr="00CD5BDD">
              <w:rPr>
                <w:rFonts w:ascii="ITC Avant Garde" w:hAnsi="ITC Avant Garde" w:cs="Arial"/>
                <w:sz w:val="18"/>
                <w:szCs w:val="18"/>
              </w:rPr>
              <w:t xml:space="preserve"> </w:t>
            </w:r>
          </w:p>
          <w:p w14:paraId="3600546B" w14:textId="1C4B5288"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(2015). Acuerdo P/IFT/EXT/290415/86. Disponible en: </w:t>
            </w:r>
            <w:hyperlink r:id="rId83" w:history="1">
              <w:r w:rsidRPr="00CD5BDD">
                <w:rPr>
                  <w:rStyle w:val="Hipervnculo"/>
                  <w:rFonts w:ascii="ITC Avant Garde" w:hAnsi="ITC Avant Garde" w:cs="Arial"/>
                  <w:sz w:val="18"/>
                  <w:szCs w:val="18"/>
                </w:rPr>
                <w:t>http://apps.ift.org.mx/publicdata/VP2_P_IFT_EXT_290415_86.pdf</w:t>
              </w:r>
            </w:hyperlink>
            <w:r w:rsidRPr="00CD5BDD">
              <w:rPr>
                <w:rFonts w:ascii="ITC Avant Garde" w:hAnsi="ITC Avant Garde" w:cs="Arial"/>
                <w:sz w:val="18"/>
                <w:szCs w:val="18"/>
              </w:rPr>
              <w:t xml:space="preserve"> </w:t>
            </w:r>
          </w:p>
          <w:p w14:paraId="45B3698F" w14:textId="10A9FDC1"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(2015). Acuerdo P/IFT/201015/152. Disponible en: </w:t>
            </w:r>
            <w:hyperlink r:id="rId84" w:history="1">
              <w:r w:rsidRPr="00CD5BDD">
                <w:rPr>
                  <w:rStyle w:val="Hipervnculo"/>
                  <w:rFonts w:ascii="ITC Avant Garde" w:hAnsi="ITC Avant Garde" w:cs="Arial"/>
                  <w:sz w:val="18"/>
                  <w:szCs w:val="18"/>
                </w:rPr>
                <w:t>http://apps.ift.org.mx/publicdata/Version_Publica_UCE_P_IFT_EXT_201015_152.pdf</w:t>
              </w:r>
            </w:hyperlink>
            <w:r w:rsidRPr="00CD5BDD">
              <w:rPr>
                <w:rFonts w:ascii="ITC Avant Garde" w:hAnsi="ITC Avant Garde" w:cs="Arial"/>
                <w:sz w:val="18"/>
                <w:szCs w:val="18"/>
              </w:rPr>
              <w:t xml:space="preserve">. </w:t>
            </w:r>
          </w:p>
          <w:p w14:paraId="0EE560E1" w14:textId="6478A07D"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Instituto Federal de Telecomunicaciones (2015). Acuerdo P/IFT/180</w:t>
            </w:r>
            <w:r w:rsidR="000A6379" w:rsidRPr="00CD5BDD">
              <w:rPr>
                <w:rFonts w:ascii="ITC Avant Garde" w:hAnsi="ITC Avant Garde" w:cs="Arial"/>
                <w:sz w:val="18"/>
                <w:szCs w:val="18"/>
              </w:rPr>
              <w:t>315/93. D</w:t>
            </w:r>
            <w:r w:rsidRPr="00CD5BDD">
              <w:rPr>
                <w:rFonts w:ascii="ITC Avant Garde" w:hAnsi="ITC Avant Garde" w:cs="Arial"/>
                <w:sz w:val="18"/>
                <w:szCs w:val="18"/>
              </w:rPr>
              <w:t xml:space="preserve">isponible en: </w:t>
            </w:r>
            <w:hyperlink r:id="rId85" w:history="1">
              <w:r w:rsidRPr="00CD5BDD">
                <w:rPr>
                  <w:rStyle w:val="Hipervnculo"/>
                  <w:rFonts w:ascii="ITC Avant Garde" w:hAnsi="ITC Avant Garde" w:cs="Arial"/>
                  <w:sz w:val="18"/>
                  <w:szCs w:val="18"/>
                </w:rPr>
                <w:t>http://apps.ift.org.mx/publicdata/vppift18031593.pdf</w:t>
              </w:r>
            </w:hyperlink>
            <w:r w:rsidRPr="00CD5BDD">
              <w:rPr>
                <w:rFonts w:ascii="ITC Avant Garde" w:hAnsi="ITC Avant Garde" w:cs="Arial"/>
                <w:sz w:val="18"/>
                <w:szCs w:val="18"/>
              </w:rPr>
              <w:t xml:space="preserve">  </w:t>
            </w:r>
          </w:p>
          <w:p w14:paraId="37C8332F" w14:textId="02B1D147" w:rsidR="003B588D" w:rsidRPr="00CD5BDD" w:rsidRDefault="003B588D" w:rsidP="007A0D96">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Instituto Federal de Telecomunicaciones (2015). Acuerdo P/IFT/EXT/300915/114. Disponible en:</w:t>
            </w:r>
            <w:r w:rsidRPr="00CD5BDD">
              <w:rPr>
                <w:rFonts w:ascii="ITC Avant Garde" w:hAnsi="ITC Avant Garde"/>
              </w:rPr>
              <w:t xml:space="preserve"> </w:t>
            </w:r>
            <w:hyperlink r:id="rId86" w:history="1">
              <w:r w:rsidRPr="00CD5BDD">
                <w:rPr>
                  <w:rStyle w:val="Hipervnculo"/>
                  <w:rFonts w:ascii="ITC Avant Garde" w:hAnsi="ITC Avant Garde" w:cs="Arial"/>
                  <w:sz w:val="18"/>
                  <w:szCs w:val="18"/>
                </w:rPr>
                <w:t>http://apps.ift.org.mx/publicdata/Version_Publica_UCE_RescAnexos_P_IFT_EXT_300915_114_c_DOF.pdf</w:t>
              </w:r>
            </w:hyperlink>
            <w:r w:rsidRPr="00CD5BDD">
              <w:rPr>
                <w:rFonts w:ascii="ITC Avant Garde" w:hAnsi="ITC Avant Garde" w:cs="Arial"/>
                <w:sz w:val="18"/>
                <w:szCs w:val="18"/>
              </w:rPr>
              <w:t xml:space="preserve">   </w:t>
            </w:r>
          </w:p>
          <w:p w14:paraId="10C2479F" w14:textId="7AB6398D"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(2016). Acuerdo P/IFT/290216/71. Disponible en: </w:t>
            </w:r>
            <w:hyperlink r:id="rId87" w:history="1">
              <w:r w:rsidRPr="00CD5BDD">
                <w:rPr>
                  <w:rStyle w:val="Hipervnculo"/>
                  <w:rFonts w:ascii="ITC Avant Garde" w:hAnsi="ITC Avant Garde" w:cs="Arial"/>
                  <w:sz w:val="18"/>
                  <w:szCs w:val="18"/>
                </w:rPr>
                <w:t>http://apps.ift.org.mx/publicdata/Version_Publica_UCE_P_IFT_290216_71_c_AnexoyDR.pdf</w:t>
              </w:r>
            </w:hyperlink>
            <w:r w:rsidRPr="00CD5BDD">
              <w:rPr>
                <w:rFonts w:ascii="ITC Avant Garde" w:hAnsi="ITC Avant Garde" w:cs="Arial"/>
                <w:sz w:val="18"/>
                <w:szCs w:val="18"/>
              </w:rPr>
              <w:t xml:space="preserve"> </w:t>
            </w:r>
          </w:p>
          <w:p w14:paraId="084254DD" w14:textId="1B52B3EF"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Instituto Federal de Telecomunicaciones (2016). Bases de la Licitación IFT-4. Disponible</w:t>
            </w:r>
            <w:r w:rsidR="000A6379" w:rsidRPr="00CD5BDD">
              <w:rPr>
                <w:rFonts w:ascii="ITC Avant Garde" w:hAnsi="ITC Avant Garde" w:cs="Arial"/>
                <w:sz w:val="18"/>
                <w:szCs w:val="18"/>
              </w:rPr>
              <w:t>s</w:t>
            </w:r>
            <w:r w:rsidRPr="00CD5BDD">
              <w:rPr>
                <w:rFonts w:ascii="ITC Avant Garde" w:hAnsi="ITC Avant Garde" w:cs="Arial"/>
                <w:sz w:val="18"/>
                <w:szCs w:val="18"/>
              </w:rPr>
              <w:t xml:space="preserve"> en: </w:t>
            </w:r>
            <w:hyperlink r:id="rId88" w:history="1">
              <w:r w:rsidRPr="00CD5BDD">
                <w:rPr>
                  <w:rStyle w:val="Hipervnculo"/>
                  <w:rFonts w:ascii="ITC Avant Garde" w:hAnsi="ITC Avant Garde" w:cs="Arial"/>
                  <w:sz w:val="18"/>
                  <w:szCs w:val="18"/>
                </w:rPr>
                <w:t>http://www.ift.org.mx/sites/default/files/industria/espectro-radioelectrico/radiodifusion/2016/4/basesift-4_1.pdf</w:t>
              </w:r>
            </w:hyperlink>
            <w:r w:rsidRPr="00CD5BDD">
              <w:rPr>
                <w:rFonts w:ascii="ITC Avant Garde" w:hAnsi="ITC Avant Garde" w:cs="Arial"/>
                <w:sz w:val="18"/>
                <w:szCs w:val="18"/>
              </w:rPr>
              <w:t xml:space="preserve">.  </w:t>
            </w:r>
          </w:p>
          <w:p w14:paraId="73BE5B4E"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(2016). Bases de la Licitación IFT-6. Disponibles en: </w:t>
            </w:r>
            <w:hyperlink r:id="rId89" w:history="1">
              <w:r w:rsidRPr="00CD5BDD">
                <w:rPr>
                  <w:rStyle w:val="Hipervnculo"/>
                  <w:rFonts w:ascii="ITC Avant Garde" w:hAnsi="ITC Avant Garde" w:cs="Arial"/>
                  <w:sz w:val="18"/>
                  <w:szCs w:val="18"/>
                </w:rPr>
                <w:t>http://www.ift.org.mx/industria/espectro-radioelectrico/television/2016/licitacion-no-ift-6-television-radiodifundida-digital</w:t>
              </w:r>
            </w:hyperlink>
            <w:r w:rsidRPr="00CD5BDD">
              <w:rPr>
                <w:rFonts w:ascii="ITC Avant Garde" w:hAnsi="ITC Avant Garde" w:cs="Arial"/>
                <w:sz w:val="18"/>
                <w:szCs w:val="18"/>
              </w:rPr>
              <w:t xml:space="preserve">. </w:t>
            </w:r>
          </w:p>
          <w:p w14:paraId="68C1A1F0" w14:textId="3BCACF3C" w:rsidR="00A01B7E" w:rsidRPr="00CD5BDD" w:rsidRDefault="00A01B7E" w:rsidP="000A6379">
            <w:pPr>
              <w:pStyle w:val="Prrafodelista"/>
              <w:numPr>
                <w:ilvl w:val="0"/>
                <w:numId w:val="11"/>
              </w:numPr>
              <w:spacing w:line="276" w:lineRule="auto"/>
              <w:rPr>
                <w:rFonts w:ascii="ITC Avant Garde" w:hAnsi="ITC Avant Garde" w:cs="Arial"/>
                <w:sz w:val="18"/>
                <w:szCs w:val="18"/>
              </w:rPr>
            </w:pPr>
            <w:r w:rsidRPr="00CD5BDD">
              <w:rPr>
                <w:rFonts w:ascii="ITC Avant Garde" w:hAnsi="ITC Avant Garde" w:cs="Arial"/>
                <w:sz w:val="18"/>
                <w:szCs w:val="18"/>
              </w:rPr>
              <w:t>Instituto Federal de Telecomunicaciones (2016).</w:t>
            </w:r>
            <w:r w:rsidR="00660F1F" w:rsidRPr="00CD5BDD">
              <w:rPr>
                <w:rFonts w:ascii="ITC Avant Garde" w:hAnsi="ITC Avant Garde" w:cs="Arial"/>
                <w:sz w:val="18"/>
                <w:szCs w:val="18"/>
              </w:rPr>
              <w:t xml:space="preserve"> </w:t>
            </w:r>
            <w:r w:rsidRPr="00CD5BDD">
              <w:rPr>
                <w:rFonts w:ascii="ITC Avant Garde" w:hAnsi="ITC Avant Garde" w:cs="Arial"/>
                <w:sz w:val="18"/>
                <w:szCs w:val="18"/>
              </w:rPr>
              <w:t xml:space="preserve">Acuerdo P/IFT/EXT/190216/7. Disponible en: </w:t>
            </w:r>
            <w:hyperlink r:id="rId90" w:history="1">
              <w:r w:rsidRPr="00CD5BDD">
                <w:rPr>
                  <w:rStyle w:val="Hipervnculo"/>
                  <w:rFonts w:ascii="ITC Avant Garde" w:hAnsi="ITC Avant Garde" w:cs="Arial"/>
                  <w:sz w:val="18"/>
                  <w:szCs w:val="18"/>
                </w:rPr>
                <w:t>http://apps.ift.org.mx/publicdata/Version_Publica_P_IFT_EXT_190216_7.pdf</w:t>
              </w:r>
            </w:hyperlink>
            <w:r w:rsidRPr="00CD5BDD">
              <w:rPr>
                <w:rFonts w:ascii="ITC Avant Garde" w:hAnsi="ITC Avant Garde" w:cs="Arial"/>
                <w:sz w:val="18"/>
                <w:szCs w:val="18"/>
              </w:rPr>
              <w:t xml:space="preserve">  </w:t>
            </w:r>
          </w:p>
          <w:p w14:paraId="676E75E3" w14:textId="550AEF1B"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lastRenderedPageBreak/>
              <w:t xml:space="preserve">Instituto Federal de Telecomunicaciones (2017). </w:t>
            </w:r>
            <w:r w:rsidR="00A2589E" w:rsidRPr="00CD5BDD">
              <w:rPr>
                <w:rFonts w:ascii="ITC Avant Garde" w:hAnsi="ITC Avant Garde" w:cs="Arial"/>
                <w:sz w:val="18"/>
                <w:szCs w:val="18"/>
              </w:rPr>
              <w:t>Acuerdo P/IFT/280617/368</w:t>
            </w:r>
            <w:r w:rsidR="000A6379" w:rsidRPr="00CD5BDD">
              <w:rPr>
                <w:rFonts w:ascii="ITC Avant Garde" w:hAnsi="ITC Avant Garde" w:cs="Arial"/>
                <w:sz w:val="18"/>
                <w:szCs w:val="18"/>
              </w:rPr>
              <w:t>.</w:t>
            </w:r>
            <w:r w:rsidRPr="00CD5BDD">
              <w:rPr>
                <w:rFonts w:ascii="ITC Avant Garde" w:hAnsi="ITC Avant Garde" w:cs="Arial"/>
                <w:sz w:val="18"/>
                <w:szCs w:val="18"/>
              </w:rPr>
              <w:t xml:space="preserve"> Disponible en: </w:t>
            </w:r>
            <w:hyperlink r:id="rId91" w:history="1">
              <w:r w:rsidRPr="00CD5BDD">
                <w:rPr>
                  <w:rStyle w:val="Hipervnculo"/>
                  <w:rFonts w:ascii="ITC Avant Garde" w:hAnsi="ITC Avant Garde" w:cs="Arial"/>
                  <w:sz w:val="18"/>
                  <w:szCs w:val="18"/>
                </w:rPr>
                <w:t>http://www.ift.org.mx/sites/default/files/industria/temasrelevantes/9195/documentos/pift280617368.pdf</w:t>
              </w:r>
            </w:hyperlink>
            <w:r w:rsidRPr="00CD5BDD">
              <w:rPr>
                <w:rFonts w:ascii="ITC Avant Garde" w:hAnsi="ITC Avant Garde" w:cs="Arial"/>
                <w:sz w:val="18"/>
                <w:szCs w:val="18"/>
              </w:rPr>
              <w:t xml:space="preserve"> </w:t>
            </w:r>
          </w:p>
          <w:p w14:paraId="13AD6F6B" w14:textId="6E7D08AF"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(2017). Acuerdo P/IFT/060917/545. Disponible en: </w:t>
            </w:r>
            <w:hyperlink r:id="rId92" w:history="1">
              <w:r w:rsidRPr="00CD5BDD">
                <w:rPr>
                  <w:rStyle w:val="Hipervnculo"/>
                  <w:rFonts w:ascii="ITC Avant Garde" w:hAnsi="ITC Avant Garde" w:cs="Arial"/>
                  <w:sz w:val="18"/>
                  <w:szCs w:val="18"/>
                </w:rPr>
                <w:t>http://www.ift.org.mx/sites/default/files/conocenos/pleno/sesiones/acuerdoliga/vppift060917545.pdf</w:t>
              </w:r>
            </w:hyperlink>
            <w:r w:rsidRPr="00CD5BDD">
              <w:rPr>
                <w:rFonts w:ascii="ITC Avant Garde" w:hAnsi="ITC Avant Garde" w:cs="Arial"/>
                <w:sz w:val="18"/>
                <w:szCs w:val="18"/>
              </w:rPr>
              <w:t xml:space="preserve"> </w:t>
            </w:r>
          </w:p>
          <w:p w14:paraId="7F980933" w14:textId="4DC32440"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(2017). Acuerdo P/IFT/181017/651. Disponible en: </w:t>
            </w:r>
            <w:hyperlink r:id="rId93" w:history="1">
              <w:r w:rsidRPr="00CD5BDD">
                <w:rPr>
                  <w:rStyle w:val="Hipervnculo"/>
                  <w:rFonts w:ascii="ITC Avant Garde" w:hAnsi="ITC Avant Garde" w:cs="Arial"/>
                  <w:sz w:val="18"/>
                  <w:szCs w:val="18"/>
                </w:rPr>
                <w:t>http://apps.ift.org.mx/publicdata/VP_P_IFT_181017_651.pdf</w:t>
              </w:r>
            </w:hyperlink>
            <w:r w:rsidRPr="00CD5BDD">
              <w:rPr>
                <w:rFonts w:ascii="ITC Avant Garde" w:hAnsi="ITC Avant Garde" w:cs="Arial"/>
                <w:sz w:val="18"/>
                <w:szCs w:val="18"/>
              </w:rPr>
              <w:t xml:space="preserve"> </w:t>
            </w:r>
          </w:p>
          <w:p w14:paraId="06A5E59D" w14:textId="4186A383"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(2017). Acuerdo P/IFT/230117/8. Disponible en: </w:t>
            </w:r>
            <w:hyperlink r:id="rId94" w:history="1">
              <w:r w:rsidRPr="00CD5BDD">
                <w:rPr>
                  <w:rStyle w:val="Hipervnculo"/>
                  <w:rFonts w:ascii="ITC Avant Garde" w:hAnsi="ITC Avant Garde" w:cs="Arial"/>
                  <w:sz w:val="18"/>
                  <w:szCs w:val="18"/>
                </w:rPr>
                <w:t>http://apps.ift.org.mx/publicdata/Version_Publica_AI_P_IFT_230117_8.pdf</w:t>
              </w:r>
            </w:hyperlink>
            <w:r w:rsidRPr="00CD5BDD">
              <w:rPr>
                <w:rFonts w:ascii="ITC Avant Garde" w:hAnsi="ITC Avant Garde" w:cs="Arial"/>
                <w:sz w:val="18"/>
                <w:szCs w:val="18"/>
              </w:rPr>
              <w:t xml:space="preserve">. </w:t>
            </w:r>
          </w:p>
          <w:p w14:paraId="256663B8" w14:textId="3E55B65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(2017). Acuerdo P/IFT/240217/104. Disponible en: </w:t>
            </w:r>
            <w:hyperlink r:id="rId95" w:history="1">
              <w:r w:rsidRPr="00CD5BDD">
                <w:rPr>
                  <w:rStyle w:val="Hipervnculo"/>
                  <w:rFonts w:ascii="ITC Avant Garde" w:hAnsi="ITC Avant Garde" w:cs="Arial"/>
                  <w:sz w:val="18"/>
                  <w:szCs w:val="18"/>
                </w:rPr>
                <w:t>http://www.ift.org.mx/sites/default/files/conocenos/pleno/sesiones/acuerdoliga/versionpublicaucepift240217104_1.pdf</w:t>
              </w:r>
            </w:hyperlink>
            <w:r w:rsidRPr="00CD5BDD">
              <w:rPr>
                <w:rFonts w:ascii="ITC Avant Garde" w:hAnsi="ITC Avant Garde" w:cs="Arial"/>
                <w:sz w:val="18"/>
                <w:szCs w:val="18"/>
              </w:rPr>
              <w:t xml:space="preserve"> </w:t>
            </w:r>
          </w:p>
          <w:p w14:paraId="640C5FB6" w14:textId="4D62C9C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(2017). Acuerdo P/IFT/260617/356. Disponible en: </w:t>
            </w:r>
            <w:hyperlink r:id="rId96" w:history="1">
              <w:r w:rsidRPr="00CD5BDD">
                <w:rPr>
                  <w:rStyle w:val="Hipervnculo"/>
                  <w:rFonts w:ascii="ITC Avant Garde" w:hAnsi="ITC Avant Garde" w:cs="Arial"/>
                  <w:sz w:val="18"/>
                  <w:szCs w:val="18"/>
                </w:rPr>
                <w:t>http://apps.ift.org.mx/publicdata/VP_P_IFT_260617_356.pdf</w:t>
              </w:r>
            </w:hyperlink>
            <w:r w:rsidRPr="00CD5BDD">
              <w:rPr>
                <w:rFonts w:ascii="ITC Avant Garde" w:hAnsi="ITC Avant Garde" w:cs="Arial"/>
                <w:sz w:val="18"/>
                <w:szCs w:val="18"/>
              </w:rPr>
              <w:t xml:space="preserve">. </w:t>
            </w:r>
          </w:p>
          <w:p w14:paraId="49C0A91A" w14:textId="757149A5"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(2017). Acuerdo P/IFT/270417/221. Disponible en: </w:t>
            </w:r>
            <w:hyperlink r:id="rId97" w:history="1">
              <w:r w:rsidRPr="00CD5BDD">
                <w:rPr>
                  <w:rStyle w:val="Hipervnculo"/>
                  <w:rFonts w:ascii="ITC Avant Garde" w:hAnsi="ITC Avant Garde" w:cs="Arial"/>
                  <w:sz w:val="18"/>
                  <w:szCs w:val="18"/>
                </w:rPr>
                <w:t>http://apps.ift.org.mx/publicdata/Version_Publica_UCE_270417_221.pdf</w:t>
              </w:r>
            </w:hyperlink>
            <w:r w:rsidRPr="00CD5BDD">
              <w:rPr>
                <w:rFonts w:ascii="ITC Avant Garde" w:hAnsi="ITC Avant Garde" w:cs="Arial"/>
                <w:sz w:val="18"/>
                <w:szCs w:val="18"/>
              </w:rPr>
              <w:t xml:space="preserve">.   </w:t>
            </w:r>
          </w:p>
          <w:p w14:paraId="7F241811" w14:textId="50E104B6"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(2017). Acuerdo P/IFT/150817/487. Disponible en: </w:t>
            </w:r>
            <w:hyperlink r:id="rId98" w:history="1">
              <w:r w:rsidRPr="00CD5BDD">
                <w:rPr>
                  <w:rStyle w:val="Hipervnculo"/>
                  <w:rFonts w:ascii="ITC Avant Garde" w:hAnsi="ITC Avant Garde" w:cs="Arial"/>
                  <w:sz w:val="18"/>
                  <w:szCs w:val="18"/>
                </w:rPr>
                <w:t>http://apps.ift.org.mx/publicdata/VP_P_IFT_150817_487.pdf</w:t>
              </w:r>
            </w:hyperlink>
            <w:r w:rsidRPr="00CD5BDD">
              <w:rPr>
                <w:rFonts w:ascii="ITC Avant Garde" w:hAnsi="ITC Avant Garde" w:cs="Arial"/>
                <w:sz w:val="18"/>
                <w:szCs w:val="18"/>
              </w:rPr>
              <w:t xml:space="preserve"> </w:t>
            </w:r>
          </w:p>
          <w:p w14:paraId="74695C16" w14:textId="6928D396" w:rsidR="00437F38" w:rsidRPr="00CD5BDD" w:rsidRDefault="00437F38"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(2017). Acuerdo P/IFT/180315/90. Disponible en: </w:t>
            </w:r>
            <w:hyperlink r:id="rId99" w:history="1">
              <w:r w:rsidRPr="00CD5BDD">
                <w:rPr>
                  <w:rStyle w:val="Hipervnculo"/>
                  <w:rFonts w:ascii="ITC Avant Garde" w:hAnsi="ITC Avant Garde" w:cs="Arial"/>
                  <w:sz w:val="18"/>
                  <w:szCs w:val="18"/>
                </w:rPr>
                <w:t>http://apps.ift.org.mx/publicdata/versionpublicapift18031590_1.pdf</w:t>
              </w:r>
            </w:hyperlink>
            <w:r w:rsidRPr="00CD5BDD">
              <w:rPr>
                <w:rFonts w:ascii="ITC Avant Garde" w:hAnsi="ITC Avant Garde" w:cs="Arial"/>
                <w:sz w:val="18"/>
                <w:szCs w:val="18"/>
              </w:rPr>
              <w:t xml:space="preserve"> </w:t>
            </w:r>
          </w:p>
          <w:p w14:paraId="42B51BA3" w14:textId="5AD3942A" w:rsidR="00437F38" w:rsidRPr="00CD5BDD" w:rsidRDefault="00437F38"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(2017). Acuerdo P/IFT/180315/91. Disponible en: </w:t>
            </w:r>
            <w:hyperlink r:id="rId100" w:history="1">
              <w:r w:rsidRPr="00CD5BDD">
                <w:rPr>
                  <w:rStyle w:val="Hipervnculo"/>
                  <w:rFonts w:ascii="ITC Avant Garde" w:hAnsi="ITC Avant Garde" w:cs="Arial"/>
                  <w:sz w:val="18"/>
                  <w:szCs w:val="18"/>
                </w:rPr>
                <w:t>http://apps.ift.org.mx/publicdata/versionpublicapift18031591_2.pdf</w:t>
              </w:r>
            </w:hyperlink>
            <w:r w:rsidRPr="00CD5BDD">
              <w:rPr>
                <w:rFonts w:ascii="ITC Avant Garde" w:hAnsi="ITC Avant Garde" w:cs="Arial"/>
                <w:sz w:val="18"/>
                <w:szCs w:val="18"/>
              </w:rPr>
              <w:t xml:space="preserve"> </w:t>
            </w:r>
          </w:p>
          <w:p w14:paraId="55B60527" w14:textId="3C6CCD25" w:rsidR="00437F38" w:rsidRPr="00CD5BDD" w:rsidRDefault="00437F38" w:rsidP="007A0D96">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(2017). Acuerdo P/IFT/180315/92. Disponible en: </w:t>
            </w:r>
            <w:hyperlink r:id="rId101" w:history="1">
              <w:r w:rsidRPr="00CD5BDD">
                <w:rPr>
                  <w:rStyle w:val="Hipervnculo"/>
                  <w:rFonts w:ascii="ITC Avant Garde" w:hAnsi="ITC Avant Garde" w:cs="Arial"/>
                  <w:sz w:val="18"/>
                  <w:szCs w:val="18"/>
                </w:rPr>
                <w:t>http://apps.ift.org.mx/publicdata/versionpublicapift18031592.pdf</w:t>
              </w:r>
            </w:hyperlink>
            <w:r w:rsidRPr="00CD5BDD">
              <w:rPr>
                <w:rFonts w:ascii="ITC Avant Garde" w:hAnsi="ITC Avant Garde" w:cs="Arial"/>
                <w:sz w:val="18"/>
                <w:szCs w:val="18"/>
              </w:rPr>
              <w:t xml:space="preserve"> </w:t>
            </w:r>
          </w:p>
          <w:p w14:paraId="4762D7EB" w14:textId="3506E82D" w:rsidR="000A6379"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Instituto Federal de Telecomunicaciones (</w:t>
            </w:r>
            <w:r w:rsidR="000A6379" w:rsidRPr="00CD5BDD">
              <w:rPr>
                <w:rFonts w:ascii="ITC Avant Garde" w:hAnsi="ITC Avant Garde" w:cs="Arial"/>
                <w:sz w:val="18"/>
                <w:szCs w:val="18"/>
              </w:rPr>
              <w:t>2018). Acuerdo P/IFT/121218/948. D</w:t>
            </w:r>
            <w:r w:rsidRPr="00CD5BDD">
              <w:rPr>
                <w:rFonts w:ascii="ITC Avant Garde" w:hAnsi="ITC Avant Garde" w:cs="Arial"/>
                <w:sz w:val="18"/>
                <w:szCs w:val="18"/>
              </w:rPr>
              <w:t xml:space="preserve">isponible en: </w:t>
            </w:r>
            <w:hyperlink r:id="rId102" w:anchor="P/IFT/121218/948" w:history="1">
              <w:r w:rsidRPr="00CD5BDD">
                <w:rPr>
                  <w:rStyle w:val="Hipervnculo"/>
                  <w:rFonts w:ascii="ITC Avant Garde" w:hAnsi="ITC Avant Garde" w:cs="Arial"/>
                  <w:sz w:val="18"/>
                  <w:szCs w:val="18"/>
                </w:rPr>
                <w:t>http://www.ift.org.mx/sites/default/files/conocenos/pleno/sesiones/acuerdoliga/pift121218948.pdf#P/IFT/121218/948</w:t>
              </w:r>
            </w:hyperlink>
            <w:r w:rsidR="000A6379" w:rsidRPr="00CD5BDD">
              <w:rPr>
                <w:rFonts w:ascii="ITC Avant Garde" w:hAnsi="ITC Avant Garde" w:cs="Arial"/>
                <w:sz w:val="18"/>
                <w:szCs w:val="18"/>
              </w:rPr>
              <w:t xml:space="preserve">  </w:t>
            </w:r>
          </w:p>
          <w:p w14:paraId="32EC960A"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(2018). Acuerdo P/IFT/220818/511. Disponible en: </w:t>
            </w:r>
            <w:hyperlink r:id="rId103" w:history="1">
              <w:r w:rsidRPr="00CD5BDD">
                <w:rPr>
                  <w:rStyle w:val="Hipervnculo"/>
                  <w:rFonts w:ascii="ITC Avant Garde" w:hAnsi="ITC Avant Garde" w:cs="Arial"/>
                  <w:sz w:val="18"/>
                  <w:szCs w:val="18"/>
                </w:rPr>
                <w:t>http://www.ift.org.mx/sites/default/files/conocenos/pleno/sesiones/acuerdoliga/vppift220818511noct_1.pdf</w:t>
              </w:r>
            </w:hyperlink>
            <w:r w:rsidRPr="00CD5BDD">
              <w:rPr>
                <w:rFonts w:ascii="ITC Avant Garde" w:hAnsi="ITC Avant Garde" w:cs="Arial"/>
                <w:sz w:val="18"/>
                <w:szCs w:val="18"/>
              </w:rPr>
              <w:t xml:space="preserve"> </w:t>
            </w:r>
          </w:p>
          <w:p w14:paraId="3944DF0A" w14:textId="29CD4D45"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(2019). Acuerdo P/IFT/131119/737. Disponible en: </w:t>
            </w:r>
            <w:hyperlink r:id="rId104" w:history="1">
              <w:r w:rsidRPr="00CD5BDD">
                <w:rPr>
                  <w:rStyle w:val="Hipervnculo"/>
                  <w:rFonts w:ascii="ITC Avant Garde" w:hAnsi="ITC Avant Garde" w:cs="Arial"/>
                  <w:sz w:val="18"/>
                  <w:szCs w:val="18"/>
                </w:rPr>
                <w:t>http://apps.ift.org.mx/publicdata/VP_P_IFT_131119_737_Acc.pdf</w:t>
              </w:r>
            </w:hyperlink>
            <w:r w:rsidRPr="00CD5BDD">
              <w:rPr>
                <w:rFonts w:ascii="ITC Avant Garde" w:hAnsi="ITC Avant Garde" w:cs="Arial"/>
                <w:sz w:val="18"/>
                <w:szCs w:val="18"/>
              </w:rPr>
              <w:t xml:space="preserve">  </w:t>
            </w:r>
          </w:p>
          <w:p w14:paraId="222D6192" w14:textId="441A2A35"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(2019). Acuerdo P/IFT/110319/122. Disponible en: </w:t>
            </w:r>
            <w:hyperlink r:id="rId105" w:history="1">
              <w:r w:rsidRPr="00CD5BDD">
                <w:rPr>
                  <w:rStyle w:val="Hipervnculo"/>
                  <w:rFonts w:ascii="ITC Avant Garde" w:hAnsi="ITC Avant Garde" w:cs="Arial"/>
                  <w:sz w:val="18"/>
                  <w:szCs w:val="18"/>
                </w:rPr>
                <w:t>http://www.ift.org.mx/sites/default/files/conocenos/pleno/sesiones/acuerdoliga/verpubpift110319122canxuce.pdf</w:t>
              </w:r>
            </w:hyperlink>
            <w:r w:rsidRPr="00CD5BDD">
              <w:rPr>
                <w:rFonts w:ascii="ITC Avant Garde" w:hAnsi="ITC Avant Garde" w:cs="Arial"/>
                <w:sz w:val="18"/>
                <w:szCs w:val="18"/>
              </w:rPr>
              <w:t xml:space="preserve"> </w:t>
            </w:r>
          </w:p>
          <w:p w14:paraId="4204D6D6" w14:textId="3AD1FA70"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(2019). Acuerdo P/IFT/210819/432. Disponible en: </w:t>
            </w:r>
            <w:hyperlink r:id="rId106" w:history="1">
              <w:r w:rsidRPr="00CD5BDD">
                <w:rPr>
                  <w:rStyle w:val="Hipervnculo"/>
                  <w:rFonts w:ascii="ITC Avant Garde" w:hAnsi="ITC Avant Garde" w:cs="Arial"/>
                  <w:sz w:val="18"/>
                  <w:szCs w:val="18"/>
                </w:rPr>
                <w:t>http://apps.ift.org.mx/publicdata/VP_P_IFT_210819_432.pdf</w:t>
              </w:r>
            </w:hyperlink>
            <w:r w:rsidRPr="00CD5BDD">
              <w:rPr>
                <w:rFonts w:ascii="ITC Avant Garde" w:hAnsi="ITC Avant Garde" w:cs="Arial"/>
                <w:sz w:val="18"/>
                <w:szCs w:val="18"/>
              </w:rPr>
              <w:t xml:space="preserve"> </w:t>
            </w:r>
          </w:p>
          <w:p w14:paraId="4EB29D71" w14:textId="24816398"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(2019). Acuerdo P/IFT/030419/169. Disponible en: </w:t>
            </w:r>
            <w:hyperlink r:id="rId107" w:history="1">
              <w:r w:rsidRPr="00CD5BDD">
                <w:rPr>
                  <w:rStyle w:val="Hipervnculo"/>
                  <w:rFonts w:ascii="ITC Avant Garde" w:hAnsi="ITC Avant Garde" w:cs="Arial"/>
                  <w:sz w:val="18"/>
                  <w:szCs w:val="18"/>
                </w:rPr>
                <w:t>http://www.ift.org.mx/sites/default/files/conocenos/pleno/sesiones/acuerdoliga/vppift030419169noct.pdf</w:t>
              </w:r>
            </w:hyperlink>
            <w:r w:rsidRPr="00CD5BDD">
              <w:rPr>
                <w:rFonts w:ascii="ITC Avant Garde" w:hAnsi="ITC Avant Garde" w:cs="Arial"/>
                <w:sz w:val="18"/>
                <w:szCs w:val="18"/>
              </w:rPr>
              <w:t xml:space="preserve">   </w:t>
            </w:r>
          </w:p>
          <w:p w14:paraId="354EDFC1" w14:textId="4C103A94"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Instituto Federal de Telecomunicaciones (2020). Acuerdo P/IFT/181120/436. Disponible en: </w:t>
            </w:r>
            <w:hyperlink r:id="rId108" w:history="1">
              <w:r w:rsidRPr="00CD5BDD">
                <w:rPr>
                  <w:rStyle w:val="Hipervnculo"/>
                  <w:rFonts w:ascii="ITC Avant Garde" w:hAnsi="ITC Avant Garde" w:cs="Arial"/>
                  <w:sz w:val="18"/>
                  <w:szCs w:val="18"/>
                </w:rPr>
                <w:t>http://www.ift.org.mx/sites/default/files/conocenos/pleno/sesiones/acuerdoliga/vp181120436.pdf</w:t>
              </w:r>
            </w:hyperlink>
            <w:r w:rsidRPr="00CD5BDD">
              <w:rPr>
                <w:rFonts w:ascii="ITC Avant Garde" w:hAnsi="ITC Avant Garde" w:cs="Arial"/>
                <w:sz w:val="18"/>
                <w:szCs w:val="18"/>
              </w:rPr>
              <w:t xml:space="preserve"> </w:t>
            </w:r>
          </w:p>
          <w:p w14:paraId="2DEAB193"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lang w:val="en-US"/>
              </w:rPr>
            </w:pPr>
            <w:r w:rsidRPr="00CD5BDD">
              <w:rPr>
                <w:rFonts w:ascii="ITC Avant Garde" w:hAnsi="ITC Avant Garde" w:cs="Arial"/>
                <w:sz w:val="18"/>
                <w:szCs w:val="18"/>
                <w:lang w:val="en-US"/>
              </w:rPr>
              <w:t>Keith N. Hylton (2003). Antitrust Law: Economic Theory and Common Law Evolution. Cambridge University Press.</w:t>
            </w:r>
          </w:p>
          <w:p w14:paraId="4BEA6D8E" w14:textId="05A9101D" w:rsidR="00F055F8" w:rsidRPr="00CD5BDD" w:rsidRDefault="00F055F8"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Ley Federal de Competencia Económica (última reforma</w:t>
            </w:r>
            <w:r w:rsidR="005D2BEB" w:rsidRPr="00CD5BDD">
              <w:rPr>
                <w:rFonts w:ascii="ITC Avant Garde" w:hAnsi="ITC Avant Garde" w:cs="Arial"/>
                <w:sz w:val="18"/>
                <w:szCs w:val="18"/>
              </w:rPr>
              <w:t>,</w:t>
            </w:r>
            <w:r w:rsidRPr="00CD5BDD">
              <w:rPr>
                <w:rFonts w:ascii="ITC Avant Garde" w:hAnsi="ITC Avant Garde" w:cs="Arial"/>
                <w:sz w:val="18"/>
                <w:szCs w:val="18"/>
              </w:rPr>
              <w:t xml:space="preserve"> 2017). Disponible en: </w:t>
            </w:r>
            <w:hyperlink r:id="rId109" w:history="1">
              <w:r w:rsidRPr="00CD5BDD">
                <w:rPr>
                  <w:rStyle w:val="Hipervnculo"/>
                  <w:rFonts w:ascii="ITC Avant Garde" w:hAnsi="ITC Avant Garde" w:cs="Arial"/>
                  <w:sz w:val="18"/>
                  <w:szCs w:val="18"/>
                </w:rPr>
                <w:t>http://www.diputados.gob.mx/LeyesBiblio/pdf/LFCE_270117.pdf</w:t>
              </w:r>
            </w:hyperlink>
            <w:r w:rsidRPr="00CD5BDD">
              <w:rPr>
                <w:rFonts w:ascii="ITC Avant Garde" w:hAnsi="ITC Avant Garde" w:cs="Arial"/>
                <w:sz w:val="18"/>
                <w:szCs w:val="18"/>
              </w:rPr>
              <w:t xml:space="preserve"> </w:t>
            </w:r>
          </w:p>
          <w:p w14:paraId="0A06AD2D" w14:textId="645E2914" w:rsidR="00772BD9" w:rsidRPr="00CD5BDD" w:rsidRDefault="00772BD9"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Ley Federal de Telecomunicaciones y Radiodifusión (última reforma</w:t>
            </w:r>
            <w:r w:rsidR="005D2BEB" w:rsidRPr="00CD5BDD">
              <w:rPr>
                <w:rFonts w:ascii="ITC Avant Garde" w:hAnsi="ITC Avant Garde" w:cs="Arial"/>
                <w:sz w:val="18"/>
                <w:szCs w:val="18"/>
              </w:rPr>
              <w:t>,</w:t>
            </w:r>
            <w:r w:rsidRPr="00CD5BDD">
              <w:rPr>
                <w:rFonts w:ascii="ITC Avant Garde" w:hAnsi="ITC Avant Garde" w:cs="Arial"/>
                <w:sz w:val="18"/>
                <w:szCs w:val="18"/>
              </w:rPr>
              <w:t xml:space="preserve"> 2021). Disponible en: </w:t>
            </w:r>
            <w:hyperlink r:id="rId110" w:history="1">
              <w:r w:rsidR="007C652B" w:rsidRPr="00CD5BDD">
                <w:rPr>
                  <w:rFonts w:ascii="ITC Avant Garde" w:hAnsi="ITC Avant Garde"/>
                </w:rPr>
                <w:t xml:space="preserve"> </w:t>
              </w:r>
              <w:r w:rsidR="007C652B" w:rsidRPr="00CD5BDD">
                <w:rPr>
                  <w:rStyle w:val="Hipervnculo"/>
                  <w:rFonts w:ascii="ITC Avant Garde" w:hAnsi="ITC Avant Garde" w:cs="Arial"/>
                  <w:sz w:val="18"/>
                  <w:szCs w:val="18"/>
                </w:rPr>
                <w:t>http://www.diputados.gob.mx/LeyesBiblio/pdf/LFTR_200521.pdf</w:t>
              </w:r>
              <w:r w:rsidR="007C652B" w:rsidRPr="00CD5BDD" w:rsidDel="007C652B">
                <w:rPr>
                  <w:rStyle w:val="Hipervnculo"/>
                  <w:rFonts w:ascii="ITC Avant Garde" w:hAnsi="ITC Avant Garde" w:cs="Arial"/>
                  <w:sz w:val="18"/>
                  <w:szCs w:val="18"/>
                </w:rPr>
                <w:t xml:space="preserve"> </w:t>
              </w:r>
              <w:r w:rsidRPr="00CD5BDD">
                <w:rPr>
                  <w:rStyle w:val="Hipervnculo"/>
                  <w:rFonts w:ascii="ITC Avant Garde" w:hAnsi="ITC Avant Garde" w:cs="Arial"/>
                  <w:sz w:val="18"/>
                  <w:szCs w:val="18"/>
                </w:rPr>
                <w:t>f</w:t>
              </w:r>
            </w:hyperlink>
            <w:r w:rsidRPr="00CD5BDD">
              <w:rPr>
                <w:rFonts w:ascii="ITC Avant Garde" w:hAnsi="ITC Avant Garde" w:cs="Arial"/>
                <w:sz w:val="18"/>
                <w:szCs w:val="18"/>
              </w:rPr>
              <w:t xml:space="preserve"> </w:t>
            </w:r>
          </w:p>
          <w:p w14:paraId="1FAB32AA"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lang w:val="en-US"/>
              </w:rPr>
            </w:pPr>
            <w:r w:rsidRPr="00CD5BDD">
              <w:rPr>
                <w:rFonts w:ascii="ITC Avant Garde" w:hAnsi="ITC Avant Garde" w:cs="Arial"/>
                <w:sz w:val="18"/>
                <w:szCs w:val="18"/>
                <w:lang w:val="en-US"/>
              </w:rPr>
              <w:t xml:space="preserve">MCA (2013). Market 5 – Wholesale Broadband Access Market, Disponible </w:t>
            </w:r>
            <w:proofErr w:type="spellStart"/>
            <w:r w:rsidRPr="00CD5BDD">
              <w:rPr>
                <w:rFonts w:ascii="ITC Avant Garde" w:hAnsi="ITC Avant Garde" w:cs="Arial"/>
                <w:sz w:val="18"/>
                <w:szCs w:val="18"/>
                <w:lang w:val="en-US"/>
              </w:rPr>
              <w:t>en</w:t>
            </w:r>
            <w:proofErr w:type="spellEnd"/>
            <w:r w:rsidRPr="00CD5BDD">
              <w:rPr>
                <w:rFonts w:ascii="ITC Avant Garde" w:hAnsi="ITC Avant Garde" w:cs="Arial"/>
                <w:sz w:val="18"/>
                <w:szCs w:val="18"/>
                <w:lang w:val="en-US"/>
              </w:rPr>
              <w:t xml:space="preserve">: </w:t>
            </w:r>
            <w:hyperlink r:id="rId111" w:history="1">
              <w:r w:rsidRPr="00CD5BDD">
                <w:rPr>
                  <w:rStyle w:val="Hipervnculo"/>
                  <w:rFonts w:ascii="ITC Avant Garde" w:hAnsi="ITC Avant Garde" w:cs="Arial"/>
                  <w:sz w:val="18"/>
                  <w:szCs w:val="18"/>
                  <w:lang w:val="en-US"/>
                </w:rPr>
                <w:t>https://www.mca.org.mt/sites/default/files/attachments/decisions/2013/final-decision-market-analysis-of-the-wholesale-broadband-access-market-market-5-060313.pdf</w:t>
              </w:r>
            </w:hyperlink>
            <w:r w:rsidRPr="00CD5BDD">
              <w:rPr>
                <w:rFonts w:ascii="ITC Avant Garde" w:hAnsi="ITC Avant Garde" w:cs="Arial"/>
                <w:sz w:val="18"/>
                <w:szCs w:val="18"/>
                <w:lang w:val="en-US"/>
              </w:rPr>
              <w:t xml:space="preserve"> </w:t>
            </w:r>
          </w:p>
          <w:p w14:paraId="05C36A92"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Motta, M. (2004). Competition Policy. Theory and Practice. </w:t>
            </w:r>
            <w:r w:rsidRPr="00CD5BDD">
              <w:rPr>
                <w:rFonts w:ascii="ITC Avant Garde" w:hAnsi="ITC Avant Garde" w:cs="Arial"/>
                <w:sz w:val="18"/>
                <w:szCs w:val="18"/>
              </w:rPr>
              <w:t>Cambridge University Press.</w:t>
            </w:r>
          </w:p>
          <w:p w14:paraId="2DCC393B" w14:textId="3250B755" w:rsidR="00DA71AA" w:rsidRPr="00CD5BDD" w:rsidRDefault="00DA71AA" w:rsidP="00DA71AA">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GB"/>
              </w:rPr>
              <w:t xml:space="preserve">OCDE (1996). Abuse of Dominance and Monopolisation. </w:t>
            </w:r>
            <w:r w:rsidRPr="00CD5BDD">
              <w:rPr>
                <w:rFonts w:ascii="ITC Avant Garde" w:hAnsi="ITC Avant Garde" w:cs="Arial"/>
                <w:sz w:val="18"/>
                <w:szCs w:val="18"/>
              </w:rPr>
              <w:t xml:space="preserve">Disponible en: </w:t>
            </w:r>
            <w:hyperlink r:id="rId112" w:history="1">
              <w:r w:rsidRPr="00CD5BDD">
                <w:rPr>
                  <w:rStyle w:val="Hipervnculo"/>
                  <w:rFonts w:ascii="ITC Avant Garde" w:hAnsi="ITC Avant Garde" w:cs="Arial"/>
                  <w:sz w:val="18"/>
                  <w:szCs w:val="18"/>
                </w:rPr>
                <w:t>https://www.oecd.org/competition/abuse/2379408.pdf</w:t>
              </w:r>
            </w:hyperlink>
            <w:r w:rsidRPr="00CD5BDD">
              <w:rPr>
                <w:rFonts w:ascii="ITC Avant Garde" w:hAnsi="ITC Avant Garde" w:cs="Arial"/>
                <w:sz w:val="18"/>
                <w:szCs w:val="18"/>
              </w:rPr>
              <w:t xml:space="preserve"> </w:t>
            </w:r>
          </w:p>
          <w:p w14:paraId="5D9607D3" w14:textId="444D872D" w:rsidR="001830E5" w:rsidRPr="00CD5BDD" w:rsidRDefault="001830E5" w:rsidP="007A0D96">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OCDE (2011). Herramientas para la evaluación de la competencia. Volumen II: Guía. Disponible en: </w:t>
            </w:r>
            <w:hyperlink r:id="rId113" w:history="1">
              <w:r w:rsidRPr="00CD5BDD">
                <w:rPr>
                  <w:rStyle w:val="Hipervnculo"/>
                  <w:rFonts w:ascii="ITC Avant Garde" w:hAnsi="ITC Avant Garde" w:cs="Arial"/>
                  <w:sz w:val="18"/>
                  <w:szCs w:val="18"/>
                </w:rPr>
                <w:t>https://www.oecd.org/daf/competition/98765433.pdf</w:t>
              </w:r>
            </w:hyperlink>
          </w:p>
          <w:p w14:paraId="78560EC5" w14:textId="0140CB84"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OCDE (2012). Market Definition. </w:t>
            </w:r>
            <w:r w:rsidRPr="00CD5BDD">
              <w:rPr>
                <w:rFonts w:ascii="ITC Avant Garde" w:hAnsi="ITC Avant Garde" w:cs="Arial"/>
                <w:sz w:val="18"/>
                <w:szCs w:val="18"/>
              </w:rPr>
              <w:t xml:space="preserve">Disponible en: </w:t>
            </w:r>
            <w:hyperlink r:id="rId114" w:history="1">
              <w:r w:rsidRPr="00CD5BDD">
                <w:rPr>
                  <w:rStyle w:val="Hipervnculo"/>
                  <w:rFonts w:ascii="ITC Avant Garde" w:hAnsi="ITC Avant Garde" w:cs="Arial"/>
                  <w:sz w:val="18"/>
                  <w:szCs w:val="18"/>
                </w:rPr>
                <w:t>http://www.oecd.org/daf/competition/Marketdefinition2012.pdf</w:t>
              </w:r>
            </w:hyperlink>
            <w:r w:rsidRPr="00CD5BDD">
              <w:rPr>
                <w:rFonts w:ascii="ITC Avant Garde" w:hAnsi="ITC Avant Garde" w:cs="Arial"/>
                <w:sz w:val="18"/>
                <w:szCs w:val="18"/>
              </w:rPr>
              <w:t xml:space="preserve"> </w:t>
            </w:r>
          </w:p>
          <w:p w14:paraId="4080B809"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OCDE (2014). Defining the Relevant Market in Telecommunications. </w:t>
            </w:r>
            <w:r w:rsidRPr="00CD5BDD">
              <w:rPr>
                <w:rFonts w:ascii="ITC Avant Garde" w:hAnsi="ITC Avant Garde" w:cs="Arial"/>
                <w:sz w:val="18"/>
                <w:szCs w:val="18"/>
              </w:rPr>
              <w:t xml:space="preserve">Disponible en: </w:t>
            </w:r>
            <w:hyperlink r:id="rId115" w:history="1">
              <w:r w:rsidRPr="00CD5BDD">
                <w:rPr>
                  <w:rStyle w:val="Hipervnculo"/>
                  <w:rFonts w:ascii="ITC Avant Garde" w:hAnsi="ITC Avant Garde" w:cs="Arial"/>
                  <w:sz w:val="18"/>
                  <w:szCs w:val="18"/>
                </w:rPr>
                <w:t>https://www.oecd.org/daf/competition/Defining_Relevant_Market_in_Telecommunications_web.pdf</w:t>
              </w:r>
            </w:hyperlink>
            <w:r w:rsidRPr="00CD5BDD">
              <w:rPr>
                <w:rFonts w:ascii="ITC Avant Garde" w:hAnsi="ITC Avant Garde" w:cs="Arial"/>
                <w:sz w:val="18"/>
                <w:szCs w:val="18"/>
              </w:rPr>
              <w:t xml:space="preserve"> </w:t>
            </w:r>
          </w:p>
          <w:p w14:paraId="2520F528"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OCDE (2015). Triple and Quadruple Play Bundles of Communication Services. </w:t>
            </w:r>
            <w:r w:rsidRPr="00CD5BDD">
              <w:rPr>
                <w:rFonts w:ascii="ITC Avant Garde" w:hAnsi="ITC Avant Garde" w:cs="Arial"/>
                <w:sz w:val="18"/>
                <w:szCs w:val="18"/>
              </w:rPr>
              <w:t xml:space="preserve">Disponible en: </w:t>
            </w:r>
            <w:hyperlink r:id="rId116" w:history="1">
              <w:r w:rsidRPr="00CD5BDD">
                <w:rPr>
                  <w:rStyle w:val="Hipervnculo"/>
                  <w:rFonts w:ascii="ITC Avant Garde" w:hAnsi="ITC Avant Garde" w:cs="Arial"/>
                  <w:sz w:val="18"/>
                  <w:szCs w:val="18"/>
                </w:rPr>
                <w:t>https://www.oecd-ilibrary.org/docserver/5js04dp2q1jc-en.pdf?expires=1597095718&amp;id=id&amp;accname=guest&amp;checksum=A818045C7EED02B383CB10724AD048D9</w:t>
              </w:r>
            </w:hyperlink>
            <w:r w:rsidRPr="00CD5BDD">
              <w:rPr>
                <w:rFonts w:ascii="ITC Avant Garde" w:hAnsi="ITC Avant Garde" w:cs="Arial"/>
                <w:sz w:val="18"/>
                <w:szCs w:val="18"/>
              </w:rPr>
              <w:t xml:space="preserve"> </w:t>
            </w:r>
          </w:p>
          <w:p w14:paraId="7C69C8BC"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lang w:val="en-US"/>
              </w:rPr>
            </w:pPr>
            <w:r w:rsidRPr="00CD5BDD">
              <w:rPr>
                <w:rFonts w:ascii="ITC Avant Garde" w:hAnsi="ITC Avant Garde" w:cs="Arial"/>
                <w:sz w:val="18"/>
                <w:szCs w:val="18"/>
                <w:lang w:val="en-US"/>
              </w:rPr>
              <w:t xml:space="preserve">OCDE (2016). Defining Geographic Markets Across National Borders. Background Paper by the Secretariat. Disponible </w:t>
            </w:r>
            <w:proofErr w:type="spellStart"/>
            <w:r w:rsidRPr="00CD5BDD">
              <w:rPr>
                <w:rFonts w:ascii="ITC Avant Garde" w:hAnsi="ITC Avant Garde" w:cs="Arial"/>
                <w:sz w:val="18"/>
                <w:szCs w:val="18"/>
                <w:lang w:val="en-US"/>
              </w:rPr>
              <w:t>en</w:t>
            </w:r>
            <w:proofErr w:type="spellEnd"/>
            <w:r w:rsidRPr="00CD5BDD">
              <w:rPr>
                <w:rFonts w:ascii="ITC Avant Garde" w:hAnsi="ITC Avant Garde" w:cs="Arial"/>
                <w:sz w:val="18"/>
                <w:szCs w:val="18"/>
                <w:lang w:val="en-US"/>
              </w:rPr>
              <w:t xml:space="preserve">: </w:t>
            </w:r>
            <w:hyperlink r:id="rId117" w:history="1">
              <w:r w:rsidRPr="00CD5BDD">
                <w:rPr>
                  <w:rStyle w:val="Hipervnculo"/>
                  <w:rFonts w:ascii="ITC Avant Garde" w:hAnsi="ITC Avant Garde" w:cs="Arial"/>
                  <w:sz w:val="18"/>
                  <w:szCs w:val="18"/>
                  <w:lang w:val="en-US"/>
                </w:rPr>
                <w:t>https://one.oecd.org/document/DAF/COMP/WP3(2016)5/en/pdf</w:t>
              </w:r>
            </w:hyperlink>
            <w:r w:rsidRPr="00CD5BDD">
              <w:rPr>
                <w:rFonts w:ascii="ITC Avant Garde" w:hAnsi="ITC Avant Garde" w:cs="Arial"/>
                <w:sz w:val="18"/>
                <w:szCs w:val="18"/>
                <w:lang w:val="en-US"/>
              </w:rPr>
              <w:t xml:space="preserve">  </w:t>
            </w:r>
          </w:p>
          <w:p w14:paraId="0146BFE6"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OCDE (2016). Exámenes de Mercado en México: Un Manual del Secretariado de la OCDE. Disponible en: </w:t>
            </w:r>
            <w:hyperlink r:id="rId118" w:history="1">
              <w:r w:rsidRPr="00CD5BDD">
                <w:rPr>
                  <w:rStyle w:val="Hipervnculo"/>
                  <w:rFonts w:ascii="ITC Avant Garde" w:hAnsi="ITC Avant Garde" w:cs="Arial"/>
                  <w:sz w:val="18"/>
                  <w:szCs w:val="18"/>
                </w:rPr>
                <w:t>http://www.oecd.org/daf/competition/Examenes-de-mercado-en-Mexico-Manual-2016.pdf</w:t>
              </w:r>
            </w:hyperlink>
            <w:r w:rsidRPr="00CD5BDD">
              <w:rPr>
                <w:rFonts w:ascii="ITC Avant Garde" w:hAnsi="ITC Avant Garde" w:cs="Arial"/>
                <w:sz w:val="18"/>
                <w:szCs w:val="18"/>
              </w:rPr>
              <w:t xml:space="preserve"> </w:t>
            </w:r>
          </w:p>
          <w:p w14:paraId="123C87BD"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OCDE (2017). Market Definition in Multi-Sided Markets - Note by Dr Lapo Filistrucchi. </w:t>
            </w:r>
            <w:r w:rsidRPr="00CD5BDD">
              <w:rPr>
                <w:rFonts w:ascii="ITC Avant Garde" w:hAnsi="ITC Avant Garde" w:cs="Arial"/>
                <w:sz w:val="18"/>
                <w:szCs w:val="18"/>
              </w:rPr>
              <w:t xml:space="preserve">Disponible en: </w:t>
            </w:r>
            <w:hyperlink r:id="rId119" w:history="1">
              <w:r w:rsidRPr="00CD5BDD">
                <w:rPr>
                  <w:rStyle w:val="Hipervnculo"/>
                  <w:rFonts w:ascii="ITC Avant Garde" w:hAnsi="ITC Avant Garde" w:cs="Arial"/>
                  <w:sz w:val="18"/>
                  <w:szCs w:val="18"/>
                </w:rPr>
                <w:t>https://one.oecd.org/document/DAF/COMP/WD(2017)27/FINAL/en/pdf</w:t>
              </w:r>
            </w:hyperlink>
            <w:r w:rsidRPr="00CD5BDD">
              <w:rPr>
                <w:rFonts w:ascii="ITC Avant Garde" w:hAnsi="ITC Avant Garde" w:cs="Arial"/>
                <w:sz w:val="18"/>
                <w:szCs w:val="18"/>
              </w:rPr>
              <w:t xml:space="preserve"> </w:t>
            </w:r>
          </w:p>
          <w:p w14:paraId="37302572"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lang w:val="en-US"/>
              </w:rPr>
            </w:pPr>
            <w:r w:rsidRPr="00CD5BDD">
              <w:rPr>
                <w:rFonts w:ascii="ITC Avant Garde" w:hAnsi="ITC Avant Garde" w:cs="Arial"/>
                <w:sz w:val="18"/>
                <w:szCs w:val="18"/>
                <w:lang w:val="en-US"/>
              </w:rPr>
              <w:t xml:space="preserve">OCDE (2018). Quality considerations in digital zero-price markets. Background note by the Secretariat. Disponible </w:t>
            </w:r>
            <w:proofErr w:type="spellStart"/>
            <w:r w:rsidRPr="00CD5BDD">
              <w:rPr>
                <w:rFonts w:ascii="ITC Avant Garde" w:hAnsi="ITC Avant Garde" w:cs="Arial"/>
                <w:sz w:val="18"/>
                <w:szCs w:val="18"/>
                <w:lang w:val="en-US"/>
              </w:rPr>
              <w:t>en</w:t>
            </w:r>
            <w:proofErr w:type="spellEnd"/>
            <w:r w:rsidRPr="00CD5BDD">
              <w:rPr>
                <w:rFonts w:ascii="ITC Avant Garde" w:hAnsi="ITC Avant Garde" w:cs="Arial"/>
                <w:sz w:val="18"/>
                <w:szCs w:val="18"/>
                <w:lang w:val="en-US"/>
              </w:rPr>
              <w:t xml:space="preserve">: </w:t>
            </w:r>
            <w:hyperlink r:id="rId120" w:history="1">
              <w:r w:rsidRPr="00CD5BDD">
                <w:rPr>
                  <w:rStyle w:val="Hipervnculo"/>
                  <w:rFonts w:ascii="ITC Avant Garde" w:hAnsi="ITC Avant Garde" w:cs="Arial"/>
                  <w:sz w:val="18"/>
                  <w:szCs w:val="18"/>
                  <w:lang w:val="en-US"/>
                </w:rPr>
                <w:t>https://one.oecd.org/document/DAF/COMP(2018)14/en/pdf</w:t>
              </w:r>
            </w:hyperlink>
            <w:r w:rsidRPr="00CD5BDD">
              <w:rPr>
                <w:rFonts w:ascii="ITC Avant Garde" w:hAnsi="ITC Avant Garde" w:cs="Arial"/>
                <w:sz w:val="18"/>
                <w:szCs w:val="18"/>
                <w:lang w:val="en-US"/>
              </w:rPr>
              <w:t xml:space="preserve"> </w:t>
            </w:r>
          </w:p>
          <w:p w14:paraId="4D1945D7" w14:textId="0697CE29"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OCDE (2018). Rethinking Antitrust Tools for Multi-Sided Platforms. </w:t>
            </w:r>
            <w:r w:rsidRPr="00CD5BDD">
              <w:rPr>
                <w:rFonts w:ascii="ITC Avant Garde" w:hAnsi="ITC Avant Garde" w:cs="Arial"/>
                <w:sz w:val="18"/>
                <w:szCs w:val="18"/>
              </w:rPr>
              <w:t xml:space="preserve">Disponible en: </w:t>
            </w:r>
            <w:hyperlink r:id="rId121" w:history="1">
              <w:r w:rsidRPr="00CD5BDD">
                <w:rPr>
                  <w:rStyle w:val="Hipervnculo"/>
                  <w:rFonts w:ascii="ITC Avant Garde" w:hAnsi="ITC Avant Garde" w:cs="Arial"/>
                  <w:sz w:val="18"/>
                  <w:szCs w:val="18"/>
                </w:rPr>
                <w:t>https://www.oecd.org/daf/competition/Rethinking-antitrust-tools-for-multi-sided-platforms-2018.pdf</w:t>
              </w:r>
            </w:hyperlink>
            <w:r w:rsidRPr="00CD5BDD">
              <w:rPr>
                <w:rFonts w:ascii="ITC Avant Garde" w:hAnsi="ITC Avant Garde" w:cs="Arial"/>
                <w:sz w:val="18"/>
                <w:szCs w:val="18"/>
              </w:rPr>
              <w:t xml:space="preserve"> </w:t>
            </w:r>
          </w:p>
          <w:p w14:paraId="08CCA515" w14:textId="1FB43581" w:rsidR="00DE0D10" w:rsidRPr="00CD5BDD" w:rsidRDefault="00DE0D10"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Ofcom (2018). Wholesale Broadband Access Market Review 2018. </w:t>
            </w:r>
            <w:hyperlink r:id="rId122" w:history="1">
              <w:r w:rsidRPr="00CD5BDD">
                <w:rPr>
                  <w:rStyle w:val="Hipervnculo"/>
                  <w:rFonts w:ascii="ITC Avant Garde" w:hAnsi="ITC Avant Garde" w:cs="Arial"/>
                  <w:sz w:val="18"/>
                  <w:szCs w:val="18"/>
                </w:rPr>
                <w:t>https://www.ofcom.org.uk/__data/assets/pdf_file/0019/115138/Draft-statement-annexes-2-8-Wholesale-broadband-access-market-review-2018.pdf</w:t>
              </w:r>
            </w:hyperlink>
            <w:r w:rsidRPr="00CD5BDD">
              <w:rPr>
                <w:rFonts w:ascii="ITC Avant Garde" w:hAnsi="ITC Avant Garde" w:cs="Arial"/>
                <w:sz w:val="18"/>
                <w:szCs w:val="18"/>
              </w:rPr>
              <w:t xml:space="preserve"> </w:t>
            </w:r>
          </w:p>
          <w:p w14:paraId="5D992CE9" w14:textId="34C80EA4"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lastRenderedPageBreak/>
              <w:t xml:space="preserve">OCDE (2019). Vertical Mergers in the Technology, Media and Telecom Sector.  </w:t>
            </w:r>
            <w:r w:rsidRPr="00CD5BDD">
              <w:rPr>
                <w:rFonts w:ascii="ITC Avant Garde" w:hAnsi="ITC Avant Garde" w:cs="Arial"/>
                <w:sz w:val="18"/>
                <w:szCs w:val="18"/>
              </w:rPr>
              <w:t xml:space="preserve">Disponible en: </w:t>
            </w:r>
            <w:hyperlink r:id="rId123" w:history="1">
              <w:r w:rsidRPr="00CD5BDD">
                <w:rPr>
                  <w:rStyle w:val="Hipervnculo"/>
                  <w:rFonts w:ascii="ITC Avant Garde" w:hAnsi="ITC Avant Garde" w:cs="Arial"/>
                  <w:sz w:val="18"/>
                  <w:szCs w:val="18"/>
                </w:rPr>
                <w:t>https://one.oecd.org/document/DAF/COMP(2019)5/en/pdf</w:t>
              </w:r>
            </w:hyperlink>
            <w:r w:rsidRPr="00CD5BDD">
              <w:rPr>
                <w:rFonts w:ascii="ITC Avant Garde" w:hAnsi="ITC Avant Garde" w:cs="Arial"/>
                <w:sz w:val="18"/>
                <w:szCs w:val="18"/>
              </w:rPr>
              <w:t xml:space="preserve"> </w:t>
            </w:r>
          </w:p>
          <w:p w14:paraId="585CBE62"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Ofcom (2019). Promoting competition and investment in fibre networks: review of the physical infrastructure and business connectivity markets. </w:t>
            </w:r>
            <w:r w:rsidRPr="00CD5BDD">
              <w:rPr>
                <w:rFonts w:ascii="ITC Avant Garde" w:hAnsi="ITC Avant Garde" w:cs="Arial"/>
                <w:sz w:val="18"/>
                <w:szCs w:val="18"/>
              </w:rPr>
              <w:t xml:space="preserve">Volumen 2. Disponible en: </w:t>
            </w:r>
            <w:hyperlink r:id="rId124" w:history="1">
              <w:r w:rsidRPr="00CD5BDD">
                <w:rPr>
                  <w:rStyle w:val="Hipervnculo"/>
                  <w:rFonts w:ascii="ITC Avant Garde" w:hAnsi="ITC Avant Garde" w:cs="Arial"/>
                  <w:sz w:val="18"/>
                  <w:szCs w:val="18"/>
                </w:rPr>
                <w:t>https://www.ofcom.org.uk/__data/assets/pdf_file/0025/154591/volume-2-bcmr-final-statement.pdf</w:t>
              </w:r>
            </w:hyperlink>
            <w:r w:rsidRPr="00CD5BDD">
              <w:rPr>
                <w:rFonts w:ascii="ITC Avant Garde" w:hAnsi="ITC Avant Garde" w:cs="Arial"/>
                <w:sz w:val="18"/>
                <w:szCs w:val="18"/>
              </w:rPr>
              <w:t xml:space="preserve"> </w:t>
            </w:r>
          </w:p>
          <w:p w14:paraId="15FDB2D8" w14:textId="29B58813" w:rsidR="00B65604" w:rsidRPr="00CD5BDD" w:rsidRDefault="00B65604"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Rochet, J-C y Tirole, J., (2006). </w:t>
            </w:r>
            <w:r w:rsidRPr="00CD5BDD">
              <w:rPr>
                <w:rFonts w:ascii="ITC Avant Garde" w:hAnsi="ITC Avant Garde" w:cs="Arial"/>
                <w:sz w:val="18"/>
                <w:szCs w:val="18"/>
                <w:lang w:val="en-US"/>
              </w:rPr>
              <w:t xml:space="preserve">Two-sided markets: a progress report. </w:t>
            </w:r>
            <w:r w:rsidRPr="00CD5BDD">
              <w:rPr>
                <w:rFonts w:ascii="ITC Avant Garde" w:hAnsi="ITC Avant Garde" w:cs="Arial"/>
                <w:sz w:val="18"/>
                <w:szCs w:val="18"/>
              </w:rPr>
              <w:t xml:space="preserve">Disponible en:  </w:t>
            </w:r>
            <w:hyperlink r:id="rId125" w:history="1">
              <w:r w:rsidRPr="00CD5BDD">
                <w:rPr>
                  <w:rStyle w:val="Hipervnculo"/>
                  <w:rFonts w:ascii="ITC Avant Garde" w:hAnsi="ITC Avant Garde" w:cs="Arial"/>
                  <w:sz w:val="18"/>
                  <w:szCs w:val="18"/>
                </w:rPr>
                <w:t>https://www.researchgate.net/publication/227651905_Two-sided_Markets_A_Progress_Report</w:t>
              </w:r>
            </w:hyperlink>
            <w:r w:rsidRPr="00CD5BDD">
              <w:rPr>
                <w:rFonts w:ascii="ITC Avant Garde" w:hAnsi="ITC Avant Garde" w:cs="Arial"/>
                <w:sz w:val="18"/>
                <w:szCs w:val="18"/>
              </w:rPr>
              <w:t xml:space="preserve"> </w:t>
            </w:r>
          </w:p>
          <w:p w14:paraId="2993A54C" w14:textId="4AED8B16"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RTR (2008). TKMV 2008 and explanatory remarks. </w:t>
            </w:r>
            <w:r w:rsidRPr="00CD5BDD">
              <w:rPr>
                <w:rFonts w:ascii="ITC Avant Garde" w:hAnsi="ITC Avant Garde" w:cs="Arial"/>
                <w:sz w:val="18"/>
                <w:szCs w:val="18"/>
              </w:rPr>
              <w:t xml:space="preserve">Disponible en: </w:t>
            </w:r>
            <w:hyperlink r:id="rId126" w:history="1">
              <w:r w:rsidRPr="00CD5BDD">
                <w:rPr>
                  <w:rStyle w:val="Hipervnculo"/>
                  <w:rFonts w:ascii="ITC Avant Garde" w:hAnsi="ITC Avant Garde" w:cs="Arial"/>
                  <w:sz w:val="18"/>
                  <w:szCs w:val="18"/>
                </w:rPr>
                <w:t>https://www.rtr.at/en/tk/TKMV_2008</w:t>
              </w:r>
            </w:hyperlink>
            <w:r w:rsidRPr="00CD5BDD">
              <w:rPr>
                <w:rFonts w:ascii="ITC Avant Garde" w:hAnsi="ITC Avant Garde" w:cs="Arial"/>
                <w:sz w:val="18"/>
                <w:szCs w:val="18"/>
              </w:rPr>
              <w:t xml:space="preserve"> </w:t>
            </w:r>
          </w:p>
          <w:p w14:paraId="496AA979" w14:textId="19D57345"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SCJN (2008). Mercado Relevante. Su Concepto en Materia de Competencia Económica. Tesis I.4o.A. J/75. Tribunales Colegiados de Circuito. Semanario Judicial de la Federación y su Gaceta. Tomo XXVIII, octubre de 2008. Novena Época. Pág. 2225. </w:t>
            </w:r>
          </w:p>
          <w:p w14:paraId="72AB7918" w14:textId="77777777" w:rsidR="00C6341C"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SCJN (2016). MERCADO RELEVANTE. CARACTERÍSTICAS Y UTILIDAD DE LA PRUEBA DE ELASTICIDAD CRUZADA DE LA DEMANDA Y DE LA OFERTA PARA DETERMINARLO. Tesis: I.1o.A.E.121 A (10a.). Gaceta del Semanario Judicial de la Federación, Décima Época, Tribunales Colegiados de Circuito. Libro 27, Febrero de 2016, Tomo III. P</w:t>
            </w:r>
            <w:r w:rsidR="000333C2" w:rsidRPr="00CD5BDD">
              <w:rPr>
                <w:rFonts w:ascii="ITC Avant Garde" w:hAnsi="ITC Avant Garde" w:cs="Arial"/>
                <w:sz w:val="18"/>
                <w:szCs w:val="18"/>
              </w:rPr>
              <w:t>á</w:t>
            </w:r>
            <w:r w:rsidRPr="00CD5BDD">
              <w:rPr>
                <w:rFonts w:ascii="ITC Avant Garde" w:hAnsi="ITC Avant Garde" w:cs="Arial"/>
                <w:sz w:val="18"/>
                <w:szCs w:val="18"/>
              </w:rPr>
              <w:t>g. 2097.</w:t>
            </w:r>
          </w:p>
          <w:p w14:paraId="022873F9" w14:textId="7DF0F3BE" w:rsidR="00C6341C" w:rsidRPr="00CD5BDD" w:rsidRDefault="00C6341C" w:rsidP="00C6341C">
            <w:pPr>
              <w:pStyle w:val="Prrafodelista"/>
              <w:spacing w:line="276" w:lineRule="auto"/>
              <w:ind w:left="1070"/>
              <w:jc w:val="both"/>
              <w:rPr>
                <w:rFonts w:ascii="ITC Avant Garde" w:hAnsi="ITC Avant Garde" w:cs="Arial"/>
                <w:sz w:val="18"/>
                <w:szCs w:val="18"/>
              </w:rPr>
            </w:pPr>
            <w:r>
              <w:rPr>
                <w:rFonts w:ascii="ITC Avant Garde" w:hAnsi="ITC Avant Garde" w:cs="Arial"/>
                <w:sz w:val="18"/>
                <w:szCs w:val="18"/>
              </w:rPr>
              <w:t>Disponible en:</w:t>
            </w:r>
            <w:r w:rsidRPr="00CD5BDD">
              <w:rPr>
                <w:rFonts w:ascii="ITC Avant Garde" w:hAnsi="ITC Avant Garde" w:cs="Arial"/>
                <w:sz w:val="18"/>
                <w:szCs w:val="18"/>
              </w:rPr>
              <w:t xml:space="preserve"> </w:t>
            </w:r>
            <w:hyperlink r:id="rId127" w:history="1">
              <w:r w:rsidRPr="00DB7A42">
                <w:rPr>
                  <w:rStyle w:val="Hipervnculo"/>
                  <w:rFonts w:ascii="ITC Avant Garde" w:hAnsi="ITC Avant Garde" w:cs="Arial"/>
                  <w:sz w:val="18"/>
                  <w:szCs w:val="18"/>
                </w:rPr>
                <w:t>https://www.scjn.gob.mx/sites/default/files/gaceta/documentos/tomos/2016-12/libro27t3.pdf</w:t>
              </w:r>
            </w:hyperlink>
          </w:p>
          <w:p w14:paraId="06B9E03D" w14:textId="2299957F" w:rsidR="00A01B7E" w:rsidRPr="00CD5BDD" w:rsidRDefault="00C4154B"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lang w:val="en-US"/>
              </w:rPr>
              <w:t xml:space="preserve">TRC (2010). </w:t>
            </w:r>
            <w:r w:rsidR="00A01B7E" w:rsidRPr="00CD5BDD">
              <w:rPr>
                <w:rFonts w:ascii="ITC Avant Garde" w:hAnsi="ITC Avant Garde" w:cs="Arial"/>
                <w:sz w:val="18"/>
                <w:szCs w:val="18"/>
                <w:lang w:val="en-US"/>
              </w:rPr>
              <w:t>Review of Telecommunications Markets: Public Consulta</w:t>
            </w:r>
            <w:r w:rsidRPr="00CD5BDD">
              <w:rPr>
                <w:rFonts w:ascii="ITC Avant Garde" w:hAnsi="ITC Avant Garde" w:cs="Arial"/>
                <w:sz w:val="18"/>
                <w:szCs w:val="18"/>
                <w:lang w:val="en-US"/>
              </w:rPr>
              <w:t>tion Document on Mobile Markets</w:t>
            </w:r>
            <w:r w:rsidR="00A01B7E" w:rsidRPr="00CD5BDD">
              <w:rPr>
                <w:rFonts w:ascii="ITC Avant Garde" w:hAnsi="ITC Avant Garde" w:cs="Arial"/>
                <w:sz w:val="18"/>
                <w:szCs w:val="18"/>
                <w:lang w:val="en-US"/>
              </w:rPr>
              <w:t xml:space="preserve">. </w:t>
            </w:r>
            <w:r w:rsidR="00A01B7E" w:rsidRPr="00CD5BDD">
              <w:rPr>
                <w:rFonts w:ascii="ITC Avant Garde" w:hAnsi="ITC Avant Garde" w:cs="Arial"/>
                <w:sz w:val="18"/>
                <w:szCs w:val="18"/>
              </w:rPr>
              <w:t xml:space="preserve">Disponible en: </w:t>
            </w:r>
            <w:hyperlink r:id="rId128" w:history="1">
              <w:r w:rsidR="00A4593D" w:rsidRPr="00CD5BDD">
                <w:rPr>
                  <w:rStyle w:val="Hipervnculo"/>
                  <w:rFonts w:ascii="ITC Avant Garde" w:hAnsi="ITC Avant Garde" w:cs="Arial"/>
                  <w:sz w:val="18"/>
                  <w:szCs w:val="18"/>
                </w:rPr>
                <w:t>http://www.trc.gov.jo/EchoBusV3.0/SystemAssets/PDF/AR/%D8%A7%D8%B3%D8%AA%D8%B4%D8%A7%D8%B1%D8%A7%D8%AA/%D8%A7%D8%B3%D8%AA%D8%B4%D8%A7%D8%B1%D8%A7%D8%AA%20%D9%81%D9%8A%20%D9%82%D8%B7%D8%A7%D8%B9%20%D8%A7%D9%84%D8%A7%D8%AA%D8%B5%D8%A7%D9%84%D8%A7%D8%AA%20%D9%88%D8%AA%D9%83%D9%86%D9%84%D9%88%D8%AC%D9%8A%D8%A7%20%D8%A7%D9%84%D9%85%D8%B9%D9%84%D9%88%D9%85%D8%A7%D8%AA/%D8%A7%D8%B3%D8%AA%D8%B4%D8%A7%D8%B1%D8%A7%D8%AA%20%D8%B3%D8%A7%D8%A8%D9%82%D8%A9/%D9%85%D8%B1%D8%A7%D8%AC%D8%B9%D8%A9%20%D8%A3%D8%B3%D9%88%D8%A7%D9%82%20%D8%A7%D9%84%D8%A7%D8%AA%D8%B5%D8%A7%D9%84%D8%A7%D8%AA/MOBILE_CONSULTATION_DOC.pdf</w:t>
              </w:r>
            </w:hyperlink>
            <w:r w:rsidR="00A4593D" w:rsidRPr="00CD5BDD">
              <w:rPr>
                <w:rFonts w:ascii="ITC Avant Garde" w:hAnsi="ITC Avant Garde" w:cs="Arial"/>
                <w:sz w:val="18"/>
                <w:szCs w:val="18"/>
              </w:rPr>
              <w:t xml:space="preserve"> </w:t>
            </w:r>
            <w:r w:rsidR="00A01B7E" w:rsidRPr="00CD5BDD">
              <w:rPr>
                <w:rFonts w:ascii="ITC Avant Garde" w:hAnsi="ITC Avant Garde" w:cs="Arial"/>
                <w:sz w:val="18"/>
                <w:szCs w:val="18"/>
              </w:rPr>
              <w:t xml:space="preserve"> </w:t>
            </w:r>
          </w:p>
          <w:p w14:paraId="23DC291A" w14:textId="77777777" w:rsidR="00A01B7E"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Tribunal General (2012). SENTENCIA DEL TRIBUNAL GENERAL (Sala Octava) de 29 de marzo de 2012. Párrafo 140. Disponible en: </w:t>
            </w:r>
            <w:hyperlink r:id="rId129" w:history="1">
              <w:r w:rsidRPr="00CD5BDD">
                <w:rPr>
                  <w:rStyle w:val="Hipervnculo"/>
                  <w:rFonts w:ascii="ITC Avant Garde" w:hAnsi="ITC Avant Garde" w:cs="Arial"/>
                  <w:sz w:val="18"/>
                  <w:szCs w:val="18"/>
                </w:rPr>
                <w:t>http://curia.europa.eu/juris/document/document.jsf;jsessionid=CDC36C791B5A503C86A5B8A543E2E569?text=&amp;docid=121143&amp;pageIndex=0&amp;doclang=ES&amp;mode=lst&amp;dir=&amp;occ=first&amp;part=1&amp;cid=4131947</w:t>
              </w:r>
            </w:hyperlink>
            <w:r w:rsidRPr="00CD5BDD">
              <w:rPr>
                <w:rFonts w:ascii="ITC Avant Garde" w:hAnsi="ITC Avant Garde" w:cs="Arial"/>
                <w:sz w:val="18"/>
                <w:szCs w:val="18"/>
              </w:rPr>
              <w:t xml:space="preserve"> </w:t>
            </w:r>
          </w:p>
          <w:p w14:paraId="537C4199" w14:textId="60E3E69F" w:rsidR="00FE7A38" w:rsidRPr="00CD5BDD" w:rsidRDefault="00A01B7E" w:rsidP="001E6360">
            <w:pPr>
              <w:pStyle w:val="Prrafodelista"/>
              <w:numPr>
                <w:ilvl w:val="0"/>
                <w:numId w:val="11"/>
              </w:numPr>
              <w:spacing w:line="276" w:lineRule="auto"/>
              <w:jc w:val="both"/>
              <w:rPr>
                <w:rFonts w:ascii="ITC Avant Garde" w:hAnsi="ITC Avant Garde" w:cs="Arial"/>
                <w:sz w:val="18"/>
                <w:szCs w:val="18"/>
              </w:rPr>
            </w:pPr>
            <w:r w:rsidRPr="00CD5BDD">
              <w:rPr>
                <w:rFonts w:ascii="ITC Avant Garde" w:hAnsi="ITC Avant Garde" w:cs="Arial"/>
                <w:sz w:val="18"/>
                <w:szCs w:val="18"/>
              </w:rPr>
              <w:t xml:space="preserve">UIT (2013). Competencia y reglamentación en el mundo de la banda ancha y la convergencia. Disponible en: </w:t>
            </w:r>
            <w:hyperlink r:id="rId130" w:history="1">
              <w:r w:rsidRPr="00CD5BDD">
                <w:rPr>
                  <w:rStyle w:val="Hipervnculo"/>
                  <w:rFonts w:ascii="ITC Avant Garde" w:hAnsi="ITC Avant Garde" w:cs="Arial"/>
                  <w:sz w:val="18"/>
                  <w:szCs w:val="18"/>
                </w:rPr>
                <w:t>https://www.itu.int/ITU-D/treg/publications/SMP-S.pdf</w:t>
              </w:r>
            </w:hyperlink>
            <w:r w:rsidRPr="00CD5BDD">
              <w:rPr>
                <w:rFonts w:ascii="ITC Avant Garde" w:hAnsi="ITC Avant Garde" w:cs="Arial"/>
                <w:sz w:val="18"/>
                <w:szCs w:val="18"/>
              </w:rPr>
              <w:t xml:space="preserve"> </w:t>
            </w:r>
          </w:p>
          <w:p w14:paraId="7CDC0B4D" w14:textId="6F315AFB" w:rsidR="00C97A05" w:rsidRPr="00CD5BDD" w:rsidRDefault="00C97A05" w:rsidP="001E6360">
            <w:pPr>
              <w:rPr>
                <w:rFonts w:ascii="ITC Avant Garde" w:hAnsi="ITC Avant Garde" w:cs="Arial"/>
                <w:sz w:val="14"/>
                <w:szCs w:val="14"/>
              </w:rPr>
            </w:pPr>
          </w:p>
        </w:tc>
      </w:tr>
    </w:tbl>
    <w:p w14:paraId="499F7232" w14:textId="77777777" w:rsidR="0086684A" w:rsidRPr="00CD5BDD" w:rsidRDefault="0086684A" w:rsidP="0086684A">
      <w:pPr>
        <w:jc w:val="both"/>
        <w:rPr>
          <w:rFonts w:ascii="ITC Avant Garde" w:hAnsi="ITC Avant Garde"/>
          <w:sz w:val="18"/>
          <w:szCs w:val="18"/>
        </w:rPr>
      </w:pPr>
    </w:p>
    <w:sectPr w:rsidR="0086684A" w:rsidRPr="00CD5BDD">
      <w:headerReference w:type="default" r:id="rId131"/>
      <w:footerReference w:type="default" r:id="rId1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B2DAC" w14:textId="77777777" w:rsidR="00F32535" w:rsidRDefault="00F32535" w:rsidP="00501ADF">
      <w:pPr>
        <w:spacing w:after="0" w:line="240" w:lineRule="auto"/>
      </w:pPr>
      <w:r>
        <w:separator/>
      </w:r>
    </w:p>
  </w:endnote>
  <w:endnote w:type="continuationSeparator" w:id="0">
    <w:p w14:paraId="3056D1D7" w14:textId="77777777" w:rsidR="00F32535" w:rsidRDefault="00F32535" w:rsidP="00501ADF">
      <w:pPr>
        <w:spacing w:after="0" w:line="240" w:lineRule="auto"/>
      </w:pPr>
      <w:r>
        <w:continuationSeparator/>
      </w:r>
    </w:p>
  </w:endnote>
  <w:endnote w:type="continuationNotice" w:id="1">
    <w:p w14:paraId="22548C37" w14:textId="77777777" w:rsidR="00F32535" w:rsidRDefault="00F32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455668091"/>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4887E92B" w14:textId="0D9CA71D" w:rsidR="007C652B" w:rsidRPr="0006478F" w:rsidRDefault="007C652B">
            <w:pPr>
              <w:pStyle w:val="Piedepgina"/>
              <w:jc w:val="right"/>
              <w:rPr>
                <w:sz w:val="20"/>
              </w:rPr>
            </w:pPr>
            <w:r w:rsidRPr="0006478F">
              <w:rPr>
                <w:b/>
                <w:bCs/>
                <w:szCs w:val="24"/>
              </w:rPr>
              <w:fldChar w:fldCharType="begin"/>
            </w:r>
            <w:r w:rsidRPr="0006478F">
              <w:rPr>
                <w:b/>
                <w:bCs/>
                <w:sz w:val="20"/>
              </w:rPr>
              <w:instrText>PAGE</w:instrText>
            </w:r>
            <w:r w:rsidRPr="0006478F">
              <w:rPr>
                <w:b/>
                <w:bCs/>
                <w:szCs w:val="24"/>
              </w:rPr>
              <w:fldChar w:fldCharType="separate"/>
            </w:r>
            <w:r>
              <w:rPr>
                <w:b/>
                <w:bCs/>
                <w:noProof/>
                <w:sz w:val="20"/>
              </w:rPr>
              <w:t>11</w:t>
            </w:r>
            <w:r w:rsidRPr="0006478F">
              <w:rPr>
                <w:b/>
                <w:bCs/>
                <w:szCs w:val="24"/>
              </w:rPr>
              <w:fldChar w:fldCharType="end"/>
            </w:r>
          </w:p>
        </w:sdtContent>
      </w:sdt>
    </w:sdtContent>
  </w:sdt>
  <w:p w14:paraId="2108E346" w14:textId="77777777" w:rsidR="007C652B" w:rsidRDefault="007C65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8A568" w14:textId="77777777" w:rsidR="00F32535" w:rsidRDefault="00F32535" w:rsidP="00501ADF">
      <w:pPr>
        <w:spacing w:after="0" w:line="240" w:lineRule="auto"/>
      </w:pPr>
      <w:r>
        <w:separator/>
      </w:r>
    </w:p>
  </w:footnote>
  <w:footnote w:type="continuationSeparator" w:id="0">
    <w:p w14:paraId="635FE8EC" w14:textId="77777777" w:rsidR="00F32535" w:rsidRDefault="00F32535" w:rsidP="00501ADF">
      <w:pPr>
        <w:spacing w:after="0" w:line="240" w:lineRule="auto"/>
      </w:pPr>
      <w:r>
        <w:continuationSeparator/>
      </w:r>
    </w:p>
  </w:footnote>
  <w:footnote w:type="continuationNotice" w:id="1">
    <w:p w14:paraId="1584C11B" w14:textId="77777777" w:rsidR="00F32535" w:rsidRDefault="00F32535">
      <w:pPr>
        <w:spacing w:after="0" w:line="240" w:lineRule="auto"/>
      </w:pPr>
    </w:p>
  </w:footnote>
  <w:footnote w:id="2">
    <w:p w14:paraId="0670890E" w14:textId="23AD5C1A" w:rsidR="00C6341C" w:rsidRPr="00C03532" w:rsidRDefault="00C6341C" w:rsidP="00C6341C">
      <w:pPr>
        <w:pStyle w:val="Textonotapie"/>
        <w:rPr>
          <w:rFonts w:ascii="ITC Avant Garde" w:hAnsi="ITC Avant Garde"/>
          <w:sz w:val="16"/>
          <w:szCs w:val="16"/>
        </w:rPr>
      </w:pPr>
      <w:r w:rsidRPr="00C03532">
        <w:rPr>
          <w:rStyle w:val="Refdenotaalpie"/>
          <w:rFonts w:ascii="ITC Avant Garde" w:hAnsi="ITC Avant Garde"/>
          <w:sz w:val="16"/>
          <w:szCs w:val="16"/>
        </w:rPr>
        <w:footnoteRef/>
      </w:r>
      <w:r w:rsidRPr="00C03532">
        <w:rPr>
          <w:rFonts w:ascii="ITC Avant Garde" w:hAnsi="ITC Avant Garde"/>
          <w:sz w:val="16"/>
          <w:szCs w:val="16"/>
        </w:rPr>
        <w:t xml:space="preserve"> Disponible en el siguiente enlace: </w:t>
      </w:r>
      <w:hyperlink r:id="rId1" w:history="1">
        <w:r w:rsidRPr="00DB7A42">
          <w:rPr>
            <w:rStyle w:val="Hipervnculo"/>
            <w:rFonts w:ascii="ITC Avant Garde" w:hAnsi="ITC Avant Garde"/>
            <w:sz w:val="16"/>
            <w:szCs w:val="16"/>
          </w:rPr>
          <w:t>https://www.oecd.org/daf/competition/Mexico-Peer-Reviews-of-Competition-Law-and-Policy-es.pdf</w:t>
        </w:r>
      </w:hyperlink>
    </w:p>
  </w:footnote>
  <w:footnote w:id="3">
    <w:p w14:paraId="05EB7592" w14:textId="595FC95B" w:rsidR="007C652B" w:rsidRPr="007A0D96" w:rsidRDefault="007C652B" w:rsidP="00BA4E93">
      <w:pPr>
        <w:pStyle w:val="Textonotapie"/>
        <w:jc w:val="both"/>
        <w:rPr>
          <w:rFonts w:ascii="Arial" w:hAnsi="Arial" w:cs="Arial"/>
          <w:sz w:val="16"/>
          <w:szCs w:val="16"/>
        </w:rPr>
      </w:pPr>
      <w:r w:rsidRPr="007A0D96">
        <w:rPr>
          <w:rStyle w:val="Refdenotaalpie"/>
          <w:rFonts w:ascii="Arial" w:hAnsi="Arial" w:cs="Arial"/>
          <w:sz w:val="16"/>
          <w:szCs w:val="16"/>
        </w:rPr>
        <w:footnoteRef/>
      </w:r>
      <w:r w:rsidRPr="007A0D96">
        <w:rPr>
          <w:rFonts w:ascii="Arial" w:hAnsi="Arial" w:cs="Arial"/>
          <w:sz w:val="16"/>
          <w:szCs w:val="16"/>
        </w:rPr>
        <w:t xml:space="preserve"> De conformidad con lo previsto en el artículo 3, fracción XXI de la Ley General de Mejora Regulatoria, por trámite se define a cualquier solicitud o entrega de información que las personas físicas o morales del sector privado realicen ante la autoridad competente en el ámbito federal, de las entidades federativas, municipal o de la alcaldía, ya sea para cumplir una obligación o, en general, a fin de que se emita una resolución. </w:t>
      </w:r>
    </w:p>
    <w:p w14:paraId="2E28D8F2" w14:textId="058FEC22" w:rsidR="007C652B" w:rsidRPr="00525271" w:rsidRDefault="007C652B" w:rsidP="00525271">
      <w:pPr>
        <w:pStyle w:val="Textonotapie"/>
        <w:jc w:val="both"/>
        <w:rPr>
          <w:rFonts w:ascii="ITC Avant Garde" w:hAnsi="ITC Avant Garde"/>
          <w:sz w:val="16"/>
          <w:szCs w:val="16"/>
        </w:rPr>
      </w:pPr>
      <w:r w:rsidRPr="007A0D96">
        <w:rPr>
          <w:rFonts w:ascii="Arial" w:hAnsi="Arial" w:cs="Arial"/>
          <w:sz w:val="16"/>
          <w:szCs w:val="16"/>
        </w:rPr>
        <w:t xml:space="preserve">El Decreto por el que se expide la Ley General de Mejora Regulatoria y se derogan diversas disposiciones de la Ley Federal de Procedimiento Administrativo fue publicado en el Diario Oficial de la Federación, el 18 de mayo del 2018. Disponible para su consulta en el siguiente vinculo electrónico: </w:t>
      </w:r>
      <w:hyperlink r:id="rId2" w:history="1">
        <w:r w:rsidRPr="007A0D96">
          <w:rPr>
            <w:rStyle w:val="Hipervnculo"/>
            <w:rFonts w:ascii="Arial" w:hAnsi="Arial" w:cs="Arial"/>
            <w:sz w:val="16"/>
            <w:szCs w:val="16"/>
          </w:rPr>
          <w:t>http://www.diputados.gob.mx/LeyesBiblio/pdf/LGMR_200521.pdf</w:t>
        </w:r>
      </w:hyperlink>
      <w:r>
        <w:rPr>
          <w:rFonts w:ascii="ITC Avant Garde" w:hAnsi="ITC Avant Garde"/>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910DA" w14:textId="3228465B" w:rsidR="007C652B" w:rsidRPr="00501ADF" w:rsidRDefault="007C652B" w:rsidP="00501ADF">
    <w:pPr>
      <w:spacing w:line="240" w:lineRule="auto"/>
      <w:rPr>
        <w:rFonts w:ascii="Arial" w:eastAsia="Times New Roman" w:hAnsi="Arial" w:cs="Arial"/>
        <w:color w:val="222222"/>
        <w:sz w:val="24"/>
        <w:szCs w:val="24"/>
        <w:lang w:eastAsia="es-MX"/>
      </w:rPr>
    </w:pPr>
    <w:r>
      <w:rPr>
        <w:noProof/>
        <w:lang w:eastAsia="es-MX"/>
      </w:rPr>
      <w:drawing>
        <wp:anchor distT="0" distB="0" distL="114300" distR="114300" simplePos="0" relativeHeight="251658242" behindDoc="1" locked="0" layoutInCell="1" allowOverlap="1" wp14:anchorId="54DAEDD3" wp14:editId="7B4F442D">
          <wp:simplePos x="0" y="0"/>
          <wp:positionH relativeFrom="margin">
            <wp:align>left</wp:align>
          </wp:positionH>
          <wp:positionV relativeFrom="paragraph">
            <wp:posOffset>-187960</wp:posOffset>
          </wp:positionV>
          <wp:extent cx="1362075" cy="93903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362075" cy="939031"/>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45720" distB="45720" distL="114300" distR="114300" simplePos="0" relativeHeight="251658241" behindDoc="0" locked="0" layoutInCell="1" allowOverlap="1" wp14:anchorId="5EBD25DC" wp14:editId="5B1C8A6D">
              <wp:simplePos x="0" y="0"/>
              <wp:positionH relativeFrom="margin">
                <wp:posOffset>3006090</wp:posOffset>
              </wp:positionH>
              <wp:positionV relativeFrom="paragraph">
                <wp:posOffset>140970</wp:posOffset>
              </wp:positionV>
              <wp:extent cx="2695575" cy="4667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66725"/>
                      </a:xfrm>
                      <a:prstGeom prst="rect">
                        <a:avLst/>
                      </a:prstGeom>
                      <a:solidFill>
                        <a:srgbClr val="FFFFFF"/>
                      </a:solidFill>
                      <a:ln w="9525">
                        <a:solidFill>
                          <a:schemeClr val="bg1"/>
                        </a:solidFill>
                        <a:miter lim="800000"/>
                        <a:headEnd/>
                        <a:tailEnd/>
                      </a:ln>
                    </wps:spPr>
                    <wps:txbx>
                      <w:txbxContent>
                        <w:p w14:paraId="5DD1672B" w14:textId="2222B65D" w:rsidR="007C652B" w:rsidRPr="00451B7D" w:rsidRDefault="007C652B" w:rsidP="00804F49">
                          <w:pPr>
                            <w:jc w:val="right"/>
                            <w:rPr>
                              <w:rFonts w:ascii="ITC Avant Garde" w:hAnsi="ITC Avant Garde"/>
                              <w:sz w:val="20"/>
                            </w:rPr>
                          </w:pPr>
                          <w:r w:rsidRPr="00451B7D">
                            <w:rPr>
                              <w:rFonts w:ascii="ITC Avant Garde" w:hAnsi="ITC Avant Garde"/>
                              <w:sz w:val="20"/>
                            </w:rPr>
                            <w:t>ANÁLISIS DE NULO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D25DC" id="_x0000_t202" coordsize="21600,21600" o:spt="202" path="m,l,21600r21600,l21600,xe">
              <v:stroke joinstyle="miter"/>
              <v:path gradientshapeok="t" o:connecttype="rect"/>
            </v:shapetype>
            <v:shape id="Cuadro de texto 2" o:spid="_x0000_s1026" type="#_x0000_t202" style="position:absolute;margin-left:236.7pt;margin-top:11.1pt;width:212.25pt;height:3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" strokecolor="white [3212]">
              <v:textbox>
                <w:txbxContent>
                  <w:p w14:paraId="5DD1672B" w14:textId="2222B65D" w:rsidR="007C652B" w:rsidRPr="00451B7D" w:rsidRDefault="007C652B" w:rsidP="00804F49">
                    <w:pPr>
                      <w:jc w:val="right"/>
                      <w:rPr>
                        <w:rFonts w:ascii="ITC Avant Garde" w:hAnsi="ITC Avant Garde"/>
                        <w:sz w:val="20"/>
                      </w:rPr>
                    </w:pPr>
                    <w:r w:rsidRPr="00451B7D">
                      <w:rPr>
                        <w:rFonts w:ascii="ITC Avant Garde" w:hAnsi="ITC Avant Garde"/>
                        <w:sz w:val="20"/>
                      </w:rPr>
                      <w:t>ANÁLISIS DE NULO IMPACTO REGULATORIO</w:t>
                    </w:r>
                  </w:p>
                </w:txbxContent>
              </v:textbox>
              <w10:wrap type="square" anchorx="margin"/>
            </v:shape>
          </w:pict>
        </mc:Fallback>
      </mc:AlternateContent>
    </w:r>
  </w:p>
  <w:p w14:paraId="27882036" w14:textId="37A00500" w:rsidR="007C652B" w:rsidRDefault="007C652B">
    <w:pPr>
      <w:pStyle w:val="Encabezado"/>
    </w:pPr>
  </w:p>
  <w:p w14:paraId="2C48871E" w14:textId="77777777" w:rsidR="007C652B" w:rsidRDefault="007C652B">
    <w:pPr>
      <w:pStyle w:val="Encabezado"/>
    </w:pPr>
  </w:p>
  <w:p w14:paraId="75745905" w14:textId="19BBBECD" w:rsidR="007C652B" w:rsidRDefault="007C652B">
    <w:pPr>
      <w:pStyle w:val="Encabezado"/>
    </w:pPr>
    <w:r>
      <w:rPr>
        <w:noProof/>
        <w:lang w:eastAsia="es-MX"/>
      </w:rPr>
      <mc:AlternateContent>
        <mc:Choice Requires="wps">
          <w:drawing>
            <wp:anchor distT="0" distB="0" distL="114300" distR="114300" simplePos="0" relativeHeight="251658240" behindDoc="0" locked="0" layoutInCell="1" allowOverlap="1" wp14:anchorId="1F123746" wp14:editId="18DF3473">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BF3A5D6" id="Conector recto 2" o:spid="_x0000_s1026" style="position:absolute;flip:y;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0B880DD4" w14:textId="77777777" w:rsidR="007C652B" w:rsidRDefault="007C65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96B5D"/>
    <w:multiLevelType w:val="hybridMultilevel"/>
    <w:tmpl w:val="5BB0D846"/>
    <w:lvl w:ilvl="0" w:tplc="9936269A">
      <w:start w:val="1"/>
      <w:numFmt w:val="decimal"/>
      <w:lvlText w:val="%1."/>
      <w:lvlJc w:val="left"/>
      <w:pPr>
        <w:ind w:left="720" w:hanging="360"/>
      </w:pPr>
      <w:rPr>
        <w:rFonts w:asciiTheme="minorHAnsi" w:hAnsiTheme="minorHAnsi"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EA47A2"/>
    <w:multiLevelType w:val="hybridMultilevel"/>
    <w:tmpl w:val="BDA61D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30306F"/>
    <w:multiLevelType w:val="hybridMultilevel"/>
    <w:tmpl w:val="AB28B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78056C"/>
    <w:multiLevelType w:val="hybridMultilevel"/>
    <w:tmpl w:val="98A67DDC"/>
    <w:lvl w:ilvl="0" w:tplc="EA56A04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7C7DAD"/>
    <w:multiLevelType w:val="hybridMultilevel"/>
    <w:tmpl w:val="56686B44"/>
    <w:lvl w:ilvl="0" w:tplc="2DEE50E4">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F623D3"/>
    <w:multiLevelType w:val="hybridMultilevel"/>
    <w:tmpl w:val="697C589A"/>
    <w:lvl w:ilvl="0" w:tplc="87CC1ADA">
      <w:numFmt w:val="bullet"/>
      <w:lvlText w:val=""/>
      <w:lvlJc w:val="left"/>
      <w:pPr>
        <w:ind w:left="720" w:hanging="360"/>
      </w:pPr>
      <w:rPr>
        <w:rFonts w:ascii="Symbol" w:eastAsiaTheme="majorEastAsia" w:hAnsi="Symbol"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7370E0"/>
    <w:multiLevelType w:val="hybridMultilevel"/>
    <w:tmpl w:val="03F89F4A"/>
    <w:lvl w:ilvl="0" w:tplc="A18270E2">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36001C"/>
    <w:multiLevelType w:val="hybridMultilevel"/>
    <w:tmpl w:val="A3686A52"/>
    <w:lvl w:ilvl="0" w:tplc="620CBFD4">
      <w:start w:val="1"/>
      <w:numFmt w:val="lowerRoman"/>
      <w:lvlText w:val="%1)"/>
      <w:lvlJc w:val="left"/>
      <w:pPr>
        <w:ind w:left="900" w:hanging="5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3"/>
  </w:num>
  <w:num w:numId="5">
    <w:abstractNumId w:val="0"/>
  </w:num>
  <w:num w:numId="6">
    <w:abstractNumId w:val="2"/>
  </w:num>
  <w:num w:numId="7">
    <w:abstractNumId w:val="7"/>
  </w:num>
  <w:num w:numId="8">
    <w:abstractNumId w:val="1"/>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0803"/>
    <w:rsid w:val="00000E86"/>
    <w:rsid w:val="00021824"/>
    <w:rsid w:val="00021FB4"/>
    <w:rsid w:val="0002350F"/>
    <w:rsid w:val="00031AF0"/>
    <w:rsid w:val="000333C2"/>
    <w:rsid w:val="0003679D"/>
    <w:rsid w:val="000439F7"/>
    <w:rsid w:val="00044D30"/>
    <w:rsid w:val="00046996"/>
    <w:rsid w:val="00055206"/>
    <w:rsid w:val="00056AE8"/>
    <w:rsid w:val="0006478F"/>
    <w:rsid w:val="00067862"/>
    <w:rsid w:val="00067F85"/>
    <w:rsid w:val="00096A0B"/>
    <w:rsid w:val="000A2DDC"/>
    <w:rsid w:val="000A4E83"/>
    <w:rsid w:val="000A6379"/>
    <w:rsid w:val="000B365E"/>
    <w:rsid w:val="000B5E5B"/>
    <w:rsid w:val="000B7BBD"/>
    <w:rsid w:val="000C16BC"/>
    <w:rsid w:val="000C70F6"/>
    <w:rsid w:val="000D401B"/>
    <w:rsid w:val="000E314A"/>
    <w:rsid w:val="000E6A13"/>
    <w:rsid w:val="000F669B"/>
    <w:rsid w:val="000F6E58"/>
    <w:rsid w:val="00105CDE"/>
    <w:rsid w:val="00115073"/>
    <w:rsid w:val="001273B6"/>
    <w:rsid w:val="00132825"/>
    <w:rsid w:val="00141D5A"/>
    <w:rsid w:val="001438D9"/>
    <w:rsid w:val="001452CF"/>
    <w:rsid w:val="00145497"/>
    <w:rsid w:val="00146D2D"/>
    <w:rsid w:val="0015244D"/>
    <w:rsid w:val="00153DBF"/>
    <w:rsid w:val="00153F92"/>
    <w:rsid w:val="001604E5"/>
    <w:rsid w:val="00167DF2"/>
    <w:rsid w:val="00177F7B"/>
    <w:rsid w:val="00181A32"/>
    <w:rsid w:val="00182492"/>
    <w:rsid w:val="001830E5"/>
    <w:rsid w:val="00185B91"/>
    <w:rsid w:val="001932FC"/>
    <w:rsid w:val="001954FF"/>
    <w:rsid w:val="001A114F"/>
    <w:rsid w:val="001A462A"/>
    <w:rsid w:val="001A51E0"/>
    <w:rsid w:val="001B4A51"/>
    <w:rsid w:val="001B5E09"/>
    <w:rsid w:val="001B6748"/>
    <w:rsid w:val="001C10B5"/>
    <w:rsid w:val="001C60E6"/>
    <w:rsid w:val="001D4715"/>
    <w:rsid w:val="001D7267"/>
    <w:rsid w:val="001E26FE"/>
    <w:rsid w:val="001E6360"/>
    <w:rsid w:val="00200F7F"/>
    <w:rsid w:val="0020377B"/>
    <w:rsid w:val="00206C6C"/>
    <w:rsid w:val="00211C96"/>
    <w:rsid w:val="00213575"/>
    <w:rsid w:val="00225989"/>
    <w:rsid w:val="0023345B"/>
    <w:rsid w:val="00234FE0"/>
    <w:rsid w:val="002419AA"/>
    <w:rsid w:val="00246779"/>
    <w:rsid w:val="00247B33"/>
    <w:rsid w:val="00250172"/>
    <w:rsid w:val="0026053A"/>
    <w:rsid w:val="00261EAF"/>
    <w:rsid w:val="00286496"/>
    <w:rsid w:val="00292428"/>
    <w:rsid w:val="002943B4"/>
    <w:rsid w:val="00295E97"/>
    <w:rsid w:val="00296B06"/>
    <w:rsid w:val="002A3DC1"/>
    <w:rsid w:val="002A7A7F"/>
    <w:rsid w:val="002C1BA9"/>
    <w:rsid w:val="002C5A24"/>
    <w:rsid w:val="002D0316"/>
    <w:rsid w:val="002D28C7"/>
    <w:rsid w:val="002D67FF"/>
    <w:rsid w:val="002E0578"/>
    <w:rsid w:val="002E271E"/>
    <w:rsid w:val="0030055F"/>
    <w:rsid w:val="003039BF"/>
    <w:rsid w:val="00303EC2"/>
    <w:rsid w:val="0030757F"/>
    <w:rsid w:val="0031325C"/>
    <w:rsid w:val="00314E4C"/>
    <w:rsid w:val="00316DA8"/>
    <w:rsid w:val="00323167"/>
    <w:rsid w:val="00333407"/>
    <w:rsid w:val="00333B41"/>
    <w:rsid w:val="0034674E"/>
    <w:rsid w:val="003553BE"/>
    <w:rsid w:val="00363B32"/>
    <w:rsid w:val="00372888"/>
    <w:rsid w:val="00372BF7"/>
    <w:rsid w:val="00374711"/>
    <w:rsid w:val="00382544"/>
    <w:rsid w:val="00382F64"/>
    <w:rsid w:val="003859E0"/>
    <w:rsid w:val="0038776A"/>
    <w:rsid w:val="0039169A"/>
    <w:rsid w:val="003924B1"/>
    <w:rsid w:val="003949C0"/>
    <w:rsid w:val="00395DCF"/>
    <w:rsid w:val="003A038B"/>
    <w:rsid w:val="003A72BC"/>
    <w:rsid w:val="003B0B98"/>
    <w:rsid w:val="003B48A5"/>
    <w:rsid w:val="003B588D"/>
    <w:rsid w:val="003B63ED"/>
    <w:rsid w:val="003B7F2A"/>
    <w:rsid w:val="003C1F64"/>
    <w:rsid w:val="003C423F"/>
    <w:rsid w:val="003D3115"/>
    <w:rsid w:val="003D5451"/>
    <w:rsid w:val="003D786C"/>
    <w:rsid w:val="003E1D84"/>
    <w:rsid w:val="003E2653"/>
    <w:rsid w:val="003F05E7"/>
    <w:rsid w:val="004102BB"/>
    <w:rsid w:val="00413871"/>
    <w:rsid w:val="00420D68"/>
    <w:rsid w:val="004226AE"/>
    <w:rsid w:val="00426A10"/>
    <w:rsid w:val="004276C6"/>
    <w:rsid w:val="00431FC9"/>
    <w:rsid w:val="00437F38"/>
    <w:rsid w:val="00440A05"/>
    <w:rsid w:val="00451B7D"/>
    <w:rsid w:val="004543D0"/>
    <w:rsid w:val="004603F7"/>
    <w:rsid w:val="00461C45"/>
    <w:rsid w:val="0046222B"/>
    <w:rsid w:val="004718EF"/>
    <w:rsid w:val="004850CE"/>
    <w:rsid w:val="0049127C"/>
    <w:rsid w:val="00497DFF"/>
    <w:rsid w:val="004A1E63"/>
    <w:rsid w:val="004A2166"/>
    <w:rsid w:val="004A7C30"/>
    <w:rsid w:val="004B0A18"/>
    <w:rsid w:val="004B1CB5"/>
    <w:rsid w:val="004B6836"/>
    <w:rsid w:val="004E0AA9"/>
    <w:rsid w:val="004E0DA9"/>
    <w:rsid w:val="004E2685"/>
    <w:rsid w:val="00501ADF"/>
    <w:rsid w:val="005041A1"/>
    <w:rsid w:val="00507C01"/>
    <w:rsid w:val="00510A6F"/>
    <w:rsid w:val="005223AE"/>
    <w:rsid w:val="00523218"/>
    <w:rsid w:val="00524B60"/>
    <w:rsid w:val="00525271"/>
    <w:rsid w:val="005319D5"/>
    <w:rsid w:val="00543712"/>
    <w:rsid w:val="0055510E"/>
    <w:rsid w:val="00557F26"/>
    <w:rsid w:val="0056245F"/>
    <w:rsid w:val="00563276"/>
    <w:rsid w:val="0056380F"/>
    <w:rsid w:val="005706B0"/>
    <w:rsid w:val="0057701B"/>
    <w:rsid w:val="00584D75"/>
    <w:rsid w:val="00594876"/>
    <w:rsid w:val="0059589B"/>
    <w:rsid w:val="00596FDE"/>
    <w:rsid w:val="005A06B2"/>
    <w:rsid w:val="005A1499"/>
    <w:rsid w:val="005A40FB"/>
    <w:rsid w:val="005B1FD9"/>
    <w:rsid w:val="005B2C92"/>
    <w:rsid w:val="005B72D8"/>
    <w:rsid w:val="005C31BB"/>
    <w:rsid w:val="005C44A8"/>
    <w:rsid w:val="005D1E9A"/>
    <w:rsid w:val="005D2BEB"/>
    <w:rsid w:val="005D3426"/>
    <w:rsid w:val="005E0FE8"/>
    <w:rsid w:val="005F0AF6"/>
    <w:rsid w:val="005F29DF"/>
    <w:rsid w:val="005F6A27"/>
    <w:rsid w:val="00605B69"/>
    <w:rsid w:val="006067BA"/>
    <w:rsid w:val="006220C6"/>
    <w:rsid w:val="00623EB8"/>
    <w:rsid w:val="00624FC3"/>
    <w:rsid w:val="00632AF1"/>
    <w:rsid w:val="00634DE8"/>
    <w:rsid w:val="00641C8C"/>
    <w:rsid w:val="00641D09"/>
    <w:rsid w:val="00647FB6"/>
    <w:rsid w:val="00650C1D"/>
    <w:rsid w:val="00660F1F"/>
    <w:rsid w:val="006717D5"/>
    <w:rsid w:val="0067325F"/>
    <w:rsid w:val="00680A6E"/>
    <w:rsid w:val="0068307E"/>
    <w:rsid w:val="0068663E"/>
    <w:rsid w:val="006912DF"/>
    <w:rsid w:val="006926D7"/>
    <w:rsid w:val="006A3A0E"/>
    <w:rsid w:val="006B2961"/>
    <w:rsid w:val="006B5397"/>
    <w:rsid w:val="006D66F4"/>
    <w:rsid w:val="006D7556"/>
    <w:rsid w:val="006D7A08"/>
    <w:rsid w:val="006F062F"/>
    <w:rsid w:val="006F25C9"/>
    <w:rsid w:val="007018A1"/>
    <w:rsid w:val="00703B0B"/>
    <w:rsid w:val="00712636"/>
    <w:rsid w:val="00714252"/>
    <w:rsid w:val="00723C19"/>
    <w:rsid w:val="007253F4"/>
    <w:rsid w:val="00726789"/>
    <w:rsid w:val="0074028E"/>
    <w:rsid w:val="0074323F"/>
    <w:rsid w:val="00746095"/>
    <w:rsid w:val="00763714"/>
    <w:rsid w:val="0076488A"/>
    <w:rsid w:val="00772BD9"/>
    <w:rsid w:val="00773ECD"/>
    <w:rsid w:val="007775EC"/>
    <w:rsid w:val="00780646"/>
    <w:rsid w:val="00784D00"/>
    <w:rsid w:val="00786E2A"/>
    <w:rsid w:val="007906D0"/>
    <w:rsid w:val="00791505"/>
    <w:rsid w:val="007A0D96"/>
    <w:rsid w:val="007A37D6"/>
    <w:rsid w:val="007A383A"/>
    <w:rsid w:val="007A6F48"/>
    <w:rsid w:val="007B1593"/>
    <w:rsid w:val="007B30CD"/>
    <w:rsid w:val="007B618C"/>
    <w:rsid w:val="007C0EF8"/>
    <w:rsid w:val="007C425A"/>
    <w:rsid w:val="007C652B"/>
    <w:rsid w:val="007C78A1"/>
    <w:rsid w:val="007D0C71"/>
    <w:rsid w:val="007D395D"/>
    <w:rsid w:val="007D4718"/>
    <w:rsid w:val="007D4E5B"/>
    <w:rsid w:val="007E2811"/>
    <w:rsid w:val="007E4DD0"/>
    <w:rsid w:val="007E54C8"/>
    <w:rsid w:val="007E7231"/>
    <w:rsid w:val="007F37BF"/>
    <w:rsid w:val="007F50C0"/>
    <w:rsid w:val="00801FED"/>
    <w:rsid w:val="00804F49"/>
    <w:rsid w:val="0080704B"/>
    <w:rsid w:val="008113A9"/>
    <w:rsid w:val="008135FB"/>
    <w:rsid w:val="00814A48"/>
    <w:rsid w:val="00827470"/>
    <w:rsid w:val="0084560D"/>
    <w:rsid w:val="00846C72"/>
    <w:rsid w:val="00850AD7"/>
    <w:rsid w:val="00850DD9"/>
    <w:rsid w:val="008517F5"/>
    <w:rsid w:val="008543D7"/>
    <w:rsid w:val="0085582C"/>
    <w:rsid w:val="0086094A"/>
    <w:rsid w:val="008610A4"/>
    <w:rsid w:val="00864E84"/>
    <w:rsid w:val="0086684A"/>
    <w:rsid w:val="00870931"/>
    <w:rsid w:val="00875299"/>
    <w:rsid w:val="00875C49"/>
    <w:rsid w:val="00876D05"/>
    <w:rsid w:val="00885F2B"/>
    <w:rsid w:val="008870B2"/>
    <w:rsid w:val="00893C12"/>
    <w:rsid w:val="00896A71"/>
    <w:rsid w:val="008A0A68"/>
    <w:rsid w:val="008A1704"/>
    <w:rsid w:val="008A48B0"/>
    <w:rsid w:val="008C76AF"/>
    <w:rsid w:val="008D102D"/>
    <w:rsid w:val="008E1627"/>
    <w:rsid w:val="008E1AD3"/>
    <w:rsid w:val="008E3011"/>
    <w:rsid w:val="008F521C"/>
    <w:rsid w:val="008F66F1"/>
    <w:rsid w:val="009057B0"/>
    <w:rsid w:val="009058DB"/>
    <w:rsid w:val="00911216"/>
    <w:rsid w:val="00912115"/>
    <w:rsid w:val="00924D84"/>
    <w:rsid w:val="00927A02"/>
    <w:rsid w:val="0093315E"/>
    <w:rsid w:val="00935C1E"/>
    <w:rsid w:val="009442FD"/>
    <w:rsid w:val="00950236"/>
    <w:rsid w:val="009524F1"/>
    <w:rsid w:val="00955A3D"/>
    <w:rsid w:val="0096032F"/>
    <w:rsid w:val="00962D17"/>
    <w:rsid w:val="00964C84"/>
    <w:rsid w:val="009656B1"/>
    <w:rsid w:val="009806B7"/>
    <w:rsid w:val="00986E23"/>
    <w:rsid w:val="009871F2"/>
    <w:rsid w:val="009A775E"/>
    <w:rsid w:val="009B4165"/>
    <w:rsid w:val="009B5E57"/>
    <w:rsid w:val="009C2B92"/>
    <w:rsid w:val="009D10E1"/>
    <w:rsid w:val="009D5C70"/>
    <w:rsid w:val="009D73E5"/>
    <w:rsid w:val="009E2F03"/>
    <w:rsid w:val="009E629C"/>
    <w:rsid w:val="009F237F"/>
    <w:rsid w:val="00A01B7E"/>
    <w:rsid w:val="00A02AFA"/>
    <w:rsid w:val="00A0542A"/>
    <w:rsid w:val="00A124C4"/>
    <w:rsid w:val="00A1481D"/>
    <w:rsid w:val="00A1622C"/>
    <w:rsid w:val="00A16EFE"/>
    <w:rsid w:val="00A24A46"/>
    <w:rsid w:val="00A2589E"/>
    <w:rsid w:val="00A30258"/>
    <w:rsid w:val="00A446D5"/>
    <w:rsid w:val="00A4593D"/>
    <w:rsid w:val="00A51E6E"/>
    <w:rsid w:val="00A60089"/>
    <w:rsid w:val="00A611D9"/>
    <w:rsid w:val="00A707C8"/>
    <w:rsid w:val="00A7211D"/>
    <w:rsid w:val="00A72853"/>
    <w:rsid w:val="00A73AD8"/>
    <w:rsid w:val="00A772DC"/>
    <w:rsid w:val="00A7768B"/>
    <w:rsid w:val="00A801F9"/>
    <w:rsid w:val="00A81C3A"/>
    <w:rsid w:val="00A855B0"/>
    <w:rsid w:val="00A85DD4"/>
    <w:rsid w:val="00A917FD"/>
    <w:rsid w:val="00A92B29"/>
    <w:rsid w:val="00AA1A13"/>
    <w:rsid w:val="00AA2951"/>
    <w:rsid w:val="00AA3293"/>
    <w:rsid w:val="00AA4CB3"/>
    <w:rsid w:val="00AB4D72"/>
    <w:rsid w:val="00AB50C9"/>
    <w:rsid w:val="00AC3B97"/>
    <w:rsid w:val="00AC3F82"/>
    <w:rsid w:val="00AD25AA"/>
    <w:rsid w:val="00AE16D6"/>
    <w:rsid w:val="00AE23F3"/>
    <w:rsid w:val="00AE6EFF"/>
    <w:rsid w:val="00AE7CBF"/>
    <w:rsid w:val="00AF097C"/>
    <w:rsid w:val="00AF25B3"/>
    <w:rsid w:val="00B02E77"/>
    <w:rsid w:val="00B03DD4"/>
    <w:rsid w:val="00B11D67"/>
    <w:rsid w:val="00B121DA"/>
    <w:rsid w:val="00B13166"/>
    <w:rsid w:val="00B14EDD"/>
    <w:rsid w:val="00B20E7B"/>
    <w:rsid w:val="00B2360F"/>
    <w:rsid w:val="00B245EA"/>
    <w:rsid w:val="00B24AB5"/>
    <w:rsid w:val="00B31C7C"/>
    <w:rsid w:val="00B32137"/>
    <w:rsid w:val="00B32DDD"/>
    <w:rsid w:val="00B37487"/>
    <w:rsid w:val="00B37629"/>
    <w:rsid w:val="00B41497"/>
    <w:rsid w:val="00B42AF7"/>
    <w:rsid w:val="00B43BD3"/>
    <w:rsid w:val="00B43D57"/>
    <w:rsid w:val="00B4740E"/>
    <w:rsid w:val="00B50428"/>
    <w:rsid w:val="00B53BE8"/>
    <w:rsid w:val="00B542CB"/>
    <w:rsid w:val="00B570FF"/>
    <w:rsid w:val="00B5724C"/>
    <w:rsid w:val="00B6461E"/>
    <w:rsid w:val="00B65604"/>
    <w:rsid w:val="00B701C4"/>
    <w:rsid w:val="00B74C55"/>
    <w:rsid w:val="00B74F10"/>
    <w:rsid w:val="00B75547"/>
    <w:rsid w:val="00B77B4B"/>
    <w:rsid w:val="00B80566"/>
    <w:rsid w:val="00B846A2"/>
    <w:rsid w:val="00B852E0"/>
    <w:rsid w:val="00B85339"/>
    <w:rsid w:val="00B8539C"/>
    <w:rsid w:val="00BA0F10"/>
    <w:rsid w:val="00BA4E93"/>
    <w:rsid w:val="00BA7728"/>
    <w:rsid w:val="00BB00FA"/>
    <w:rsid w:val="00BB5F40"/>
    <w:rsid w:val="00BB73BA"/>
    <w:rsid w:val="00BC2FF7"/>
    <w:rsid w:val="00BC40FE"/>
    <w:rsid w:val="00BD11FF"/>
    <w:rsid w:val="00BD2512"/>
    <w:rsid w:val="00BE3590"/>
    <w:rsid w:val="00BE7161"/>
    <w:rsid w:val="00BE7D1C"/>
    <w:rsid w:val="00BF1C1A"/>
    <w:rsid w:val="00BF7F5A"/>
    <w:rsid w:val="00C122C7"/>
    <w:rsid w:val="00C12704"/>
    <w:rsid w:val="00C15AA4"/>
    <w:rsid w:val="00C24736"/>
    <w:rsid w:val="00C25482"/>
    <w:rsid w:val="00C37872"/>
    <w:rsid w:val="00C412DE"/>
    <w:rsid w:val="00C4154B"/>
    <w:rsid w:val="00C53388"/>
    <w:rsid w:val="00C5470D"/>
    <w:rsid w:val="00C6010C"/>
    <w:rsid w:val="00C60176"/>
    <w:rsid w:val="00C6341C"/>
    <w:rsid w:val="00C74855"/>
    <w:rsid w:val="00C8366C"/>
    <w:rsid w:val="00C917FC"/>
    <w:rsid w:val="00C97A05"/>
    <w:rsid w:val="00CA17F7"/>
    <w:rsid w:val="00CA4392"/>
    <w:rsid w:val="00CA5B84"/>
    <w:rsid w:val="00CC4BD2"/>
    <w:rsid w:val="00CD5BDD"/>
    <w:rsid w:val="00CE2EA1"/>
    <w:rsid w:val="00D02DA9"/>
    <w:rsid w:val="00D0386B"/>
    <w:rsid w:val="00D10FDA"/>
    <w:rsid w:val="00D16E13"/>
    <w:rsid w:val="00D221B5"/>
    <w:rsid w:val="00D23BD5"/>
    <w:rsid w:val="00D25865"/>
    <w:rsid w:val="00D31AE9"/>
    <w:rsid w:val="00D55CA7"/>
    <w:rsid w:val="00D62A86"/>
    <w:rsid w:val="00D672B6"/>
    <w:rsid w:val="00D70960"/>
    <w:rsid w:val="00D81ACA"/>
    <w:rsid w:val="00D91428"/>
    <w:rsid w:val="00D915F5"/>
    <w:rsid w:val="00DA71AA"/>
    <w:rsid w:val="00DA737B"/>
    <w:rsid w:val="00DB01FA"/>
    <w:rsid w:val="00DB3FC6"/>
    <w:rsid w:val="00DC73D6"/>
    <w:rsid w:val="00DE0C48"/>
    <w:rsid w:val="00DE0D10"/>
    <w:rsid w:val="00DE3399"/>
    <w:rsid w:val="00DE57ED"/>
    <w:rsid w:val="00DE6F24"/>
    <w:rsid w:val="00E0433D"/>
    <w:rsid w:val="00E046F4"/>
    <w:rsid w:val="00E062D2"/>
    <w:rsid w:val="00E16506"/>
    <w:rsid w:val="00E21B49"/>
    <w:rsid w:val="00E27972"/>
    <w:rsid w:val="00E3264C"/>
    <w:rsid w:val="00E33646"/>
    <w:rsid w:val="00E44220"/>
    <w:rsid w:val="00E46228"/>
    <w:rsid w:val="00E51415"/>
    <w:rsid w:val="00E5473A"/>
    <w:rsid w:val="00E6080B"/>
    <w:rsid w:val="00E70C26"/>
    <w:rsid w:val="00E768BA"/>
    <w:rsid w:val="00E8340B"/>
    <w:rsid w:val="00E86D3F"/>
    <w:rsid w:val="00EA5141"/>
    <w:rsid w:val="00EA7601"/>
    <w:rsid w:val="00EB640F"/>
    <w:rsid w:val="00EB70FA"/>
    <w:rsid w:val="00EC36AA"/>
    <w:rsid w:val="00EC37D6"/>
    <w:rsid w:val="00EC7621"/>
    <w:rsid w:val="00ED08BE"/>
    <w:rsid w:val="00ED12BC"/>
    <w:rsid w:val="00ED6EE5"/>
    <w:rsid w:val="00EE6FE8"/>
    <w:rsid w:val="00EF382D"/>
    <w:rsid w:val="00EF5C63"/>
    <w:rsid w:val="00EF7F9B"/>
    <w:rsid w:val="00F03289"/>
    <w:rsid w:val="00F055F8"/>
    <w:rsid w:val="00F11B30"/>
    <w:rsid w:val="00F22E48"/>
    <w:rsid w:val="00F312CA"/>
    <w:rsid w:val="00F31821"/>
    <w:rsid w:val="00F32535"/>
    <w:rsid w:val="00F342A4"/>
    <w:rsid w:val="00F41AF5"/>
    <w:rsid w:val="00F46324"/>
    <w:rsid w:val="00F646C5"/>
    <w:rsid w:val="00F73CBF"/>
    <w:rsid w:val="00F74393"/>
    <w:rsid w:val="00F75427"/>
    <w:rsid w:val="00F75C80"/>
    <w:rsid w:val="00F83DFD"/>
    <w:rsid w:val="00F846F9"/>
    <w:rsid w:val="00F9299E"/>
    <w:rsid w:val="00F93B4C"/>
    <w:rsid w:val="00F94A28"/>
    <w:rsid w:val="00F97B2B"/>
    <w:rsid w:val="00FA3BB5"/>
    <w:rsid w:val="00FA66CA"/>
    <w:rsid w:val="00FB158A"/>
    <w:rsid w:val="00FB3B8D"/>
    <w:rsid w:val="00FB4FEA"/>
    <w:rsid w:val="00FB58BA"/>
    <w:rsid w:val="00FB6147"/>
    <w:rsid w:val="00FB6549"/>
    <w:rsid w:val="00FC666C"/>
    <w:rsid w:val="00FD097F"/>
    <w:rsid w:val="00FD121A"/>
    <w:rsid w:val="00FD3ED9"/>
    <w:rsid w:val="00FD5C12"/>
    <w:rsid w:val="00FD5C4C"/>
    <w:rsid w:val="00FE174F"/>
    <w:rsid w:val="00FE7A38"/>
    <w:rsid w:val="00FF6A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752E5"/>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70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ED6EE5"/>
    <w:pPr>
      <w:keepNext/>
      <w:keepLines/>
      <w:spacing w:before="40" w:after="0" w:line="276" w:lineRule="auto"/>
      <w:jc w:val="both"/>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umeración 1,Bullet List,FooterText,numbered,List Paragraph1,Bulletr List Paragraph,列出段落,列出段落1,lp1,List Paragraph11,Lista vistosa - Énfasis 11,Listas,Paragraphe de liste1,Scitum normal,Contenido_1,Colorful List - Accent 11,4 Viñ 1nivel"/>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Ca"/>
    <w:basedOn w:val="Normal"/>
    <w:link w:val="TextonotapieCar"/>
    <w:uiPriority w:val="99"/>
    <w:unhideWhenUsed/>
    <w:qFormat/>
    <w:rsid w:val="008E1AD3"/>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8E1AD3"/>
    <w:rPr>
      <w:sz w:val="20"/>
      <w:szCs w:val="20"/>
    </w:rPr>
  </w:style>
  <w:style w:type="character" w:styleId="Refdenotaalpie">
    <w:name w:val="footnote reference"/>
    <w:aliases w:val="Ref,de nota al pie,(NECG) Footnote Reference,o,fr,Style 3,Appel note de bas de p,Style 12,Style 124,Ref. de nota al pie 2,Footnotes refss,Texto de nota al pie,Appel note de bas de page,referencia nota al pie,BVI fnr,Footnote number,f"/>
    <w:basedOn w:val="Fuentedeprrafopredeter"/>
    <w:uiPriority w:val="99"/>
    <w:unhideWhenUsed/>
    <w:qFormat/>
    <w:rsid w:val="008E1AD3"/>
    <w:rPr>
      <w:vertAlign w:val="superscript"/>
    </w:rPr>
  </w:style>
  <w:style w:type="paragraph" w:styleId="Textodeglobo">
    <w:name w:val="Balloon Text"/>
    <w:basedOn w:val="Normal"/>
    <w:link w:val="TextodegloboCar"/>
    <w:uiPriority w:val="99"/>
    <w:semiHidden/>
    <w:unhideWhenUsed/>
    <w:rsid w:val="006D75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7556"/>
    <w:rPr>
      <w:rFonts w:ascii="Segoe UI" w:hAnsi="Segoe UI" w:cs="Segoe UI"/>
      <w:sz w:val="18"/>
      <w:szCs w:val="18"/>
    </w:rPr>
  </w:style>
  <w:style w:type="character" w:styleId="Refdecomentario">
    <w:name w:val="annotation reference"/>
    <w:basedOn w:val="Fuentedeprrafopredeter"/>
    <w:uiPriority w:val="99"/>
    <w:semiHidden/>
    <w:unhideWhenUsed/>
    <w:rsid w:val="008135FB"/>
    <w:rPr>
      <w:sz w:val="16"/>
      <w:szCs w:val="16"/>
    </w:rPr>
  </w:style>
  <w:style w:type="paragraph" w:styleId="Textocomentario">
    <w:name w:val="annotation text"/>
    <w:basedOn w:val="Normal"/>
    <w:link w:val="TextocomentarioCar"/>
    <w:uiPriority w:val="99"/>
    <w:semiHidden/>
    <w:unhideWhenUsed/>
    <w:rsid w:val="008135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35FB"/>
    <w:rPr>
      <w:sz w:val="20"/>
      <w:szCs w:val="20"/>
    </w:rPr>
  </w:style>
  <w:style w:type="paragraph" w:styleId="Asuntodelcomentario">
    <w:name w:val="annotation subject"/>
    <w:basedOn w:val="Textocomentario"/>
    <w:next w:val="Textocomentario"/>
    <w:link w:val="AsuntodelcomentarioCar"/>
    <w:uiPriority w:val="99"/>
    <w:semiHidden/>
    <w:unhideWhenUsed/>
    <w:rsid w:val="008135FB"/>
    <w:rPr>
      <w:b/>
      <w:bCs/>
    </w:rPr>
  </w:style>
  <w:style w:type="character" w:customStyle="1" w:styleId="AsuntodelcomentarioCar">
    <w:name w:val="Asunto del comentario Car"/>
    <w:basedOn w:val="TextocomentarioCar"/>
    <w:link w:val="Asuntodelcomentario"/>
    <w:uiPriority w:val="99"/>
    <w:semiHidden/>
    <w:rsid w:val="008135FB"/>
    <w:rPr>
      <w:b/>
      <w:bCs/>
      <w:sz w:val="20"/>
      <w:szCs w:val="20"/>
    </w:rPr>
  </w:style>
  <w:style w:type="paragraph" w:styleId="Revisin">
    <w:name w:val="Revision"/>
    <w:hidden/>
    <w:uiPriority w:val="99"/>
    <w:semiHidden/>
    <w:rsid w:val="00BE7D1C"/>
    <w:pPr>
      <w:spacing w:after="0" w:line="240" w:lineRule="auto"/>
    </w:pPr>
  </w:style>
  <w:style w:type="character" w:styleId="Textodelmarcadordeposicin">
    <w:name w:val="Placeholder Text"/>
    <w:basedOn w:val="Fuentedeprrafopredeter"/>
    <w:uiPriority w:val="99"/>
    <w:semiHidden/>
    <w:rsid w:val="00BE7D1C"/>
    <w:rPr>
      <w:color w:val="808080"/>
    </w:rPr>
  </w:style>
  <w:style w:type="character" w:customStyle="1" w:styleId="PrrafodelistaCar">
    <w:name w:val="Párrafo de lista Car"/>
    <w:aliases w:val="Numeración 1 Car,Bullet List Car,FooterText Car,numbered Car,List Paragraph1 Car,Bulletr List Paragraph Car,列出段落 Car,列出段落1 Car,lp1 Car,List Paragraph11 Car,Lista vistosa - Énfasis 11 Car,Listas Car,Paragraphe de liste1 Car"/>
    <w:link w:val="Prrafodelista"/>
    <w:uiPriority w:val="34"/>
    <w:qFormat/>
    <w:rsid w:val="009871F2"/>
  </w:style>
  <w:style w:type="character" w:customStyle="1" w:styleId="Ttulo3Car">
    <w:name w:val="Título 3 Car"/>
    <w:basedOn w:val="Fuentedeprrafopredeter"/>
    <w:link w:val="Ttulo3"/>
    <w:uiPriority w:val="9"/>
    <w:rsid w:val="00ED6EE5"/>
    <w:rPr>
      <w:rFonts w:asciiTheme="majorHAnsi" w:eastAsiaTheme="majorEastAsia" w:hAnsiTheme="majorHAnsi" w:cstheme="majorBidi"/>
      <w:color w:val="1F4D78" w:themeColor="accent1" w:themeShade="7F"/>
      <w:sz w:val="24"/>
      <w:szCs w:val="24"/>
    </w:rPr>
  </w:style>
  <w:style w:type="paragraph" w:customStyle="1" w:styleId="Notaalpie">
    <w:name w:val="Nota al pie"/>
    <w:basedOn w:val="Textonotapie"/>
    <w:link w:val="NotaalpieCar"/>
    <w:autoRedefine/>
    <w:qFormat/>
    <w:rsid w:val="00ED6EE5"/>
    <w:pPr>
      <w:jc w:val="both"/>
    </w:pPr>
    <w:rPr>
      <w:rFonts w:ascii="Arial" w:hAnsi="Arial" w:cs="Arial"/>
      <w:sz w:val="14"/>
      <w:szCs w:val="14"/>
    </w:rPr>
  </w:style>
  <w:style w:type="character" w:customStyle="1" w:styleId="NotaalpieCar">
    <w:name w:val="Nota al pie Car"/>
    <w:basedOn w:val="TextonotapieCar"/>
    <w:link w:val="Notaalpie"/>
    <w:rsid w:val="00ED6EE5"/>
    <w:rPr>
      <w:rFonts w:ascii="Arial" w:hAnsi="Arial" w:cs="Arial"/>
      <w:sz w:val="14"/>
      <w:szCs w:val="14"/>
    </w:rPr>
  </w:style>
  <w:style w:type="paragraph" w:customStyle="1" w:styleId="subsubtema">
    <w:name w:val="sub subtema"/>
    <w:basedOn w:val="Ttulo3"/>
    <w:link w:val="subsubtemaCar"/>
    <w:rsid w:val="00C97A05"/>
    <w:pPr>
      <w:spacing w:before="240" w:after="120"/>
      <w:ind w:left="1701" w:hanging="360"/>
    </w:pPr>
    <w:rPr>
      <w:rFonts w:ascii="ITC Avant Garde" w:hAnsi="ITC Avant Garde"/>
      <w:b/>
    </w:rPr>
  </w:style>
  <w:style w:type="character" w:customStyle="1" w:styleId="subsubtemaCar">
    <w:name w:val="sub subtema Car"/>
    <w:basedOn w:val="Ttulo3Car"/>
    <w:link w:val="subsubtema"/>
    <w:rsid w:val="00C97A05"/>
    <w:rPr>
      <w:rFonts w:ascii="ITC Avant Garde" w:eastAsiaTheme="majorEastAsia" w:hAnsi="ITC Avant Garde" w:cstheme="majorBidi"/>
      <w:b/>
      <w:color w:val="1F4D78" w:themeColor="accent1" w:themeShade="7F"/>
      <w:sz w:val="24"/>
      <w:szCs w:val="24"/>
    </w:rPr>
  </w:style>
  <w:style w:type="paragraph" w:customStyle="1" w:styleId="NotaPie">
    <w:name w:val="Nota_Pie"/>
    <w:autoRedefine/>
    <w:rsid w:val="00031AF0"/>
    <w:pPr>
      <w:spacing w:after="0" w:line="240" w:lineRule="auto"/>
      <w:jc w:val="both"/>
    </w:pPr>
    <w:rPr>
      <w:rFonts w:ascii="Arial" w:hAnsi="Arial" w:cs="Arial"/>
      <w:sz w:val="14"/>
      <w:szCs w:val="14"/>
    </w:rPr>
  </w:style>
  <w:style w:type="character" w:customStyle="1" w:styleId="Ttulo1Car">
    <w:name w:val="Título 1 Car"/>
    <w:basedOn w:val="Fuentedeprrafopredeter"/>
    <w:link w:val="Ttulo1"/>
    <w:uiPriority w:val="9"/>
    <w:rsid w:val="008870B2"/>
    <w:rPr>
      <w:rFonts w:asciiTheme="majorHAnsi" w:eastAsiaTheme="majorEastAsia" w:hAnsiTheme="majorHAnsi" w:cstheme="majorBidi"/>
      <w:color w:val="2E74B5" w:themeColor="accent1" w:themeShade="BF"/>
      <w:sz w:val="32"/>
      <w:szCs w:val="32"/>
    </w:rPr>
  </w:style>
  <w:style w:type="character" w:customStyle="1" w:styleId="Mencinsinresolver1">
    <w:name w:val="Mención sin resolver1"/>
    <w:basedOn w:val="Fuentedeprrafopredeter"/>
    <w:uiPriority w:val="99"/>
    <w:semiHidden/>
    <w:unhideWhenUsed/>
    <w:rsid w:val="00763714"/>
    <w:rPr>
      <w:color w:val="605E5C"/>
      <w:shd w:val="clear" w:color="auto" w:fill="E1DFDD"/>
    </w:rPr>
  </w:style>
  <w:style w:type="character" w:styleId="Hipervnculovisitado">
    <w:name w:val="FollowedHyperlink"/>
    <w:basedOn w:val="Fuentedeprrafopredeter"/>
    <w:uiPriority w:val="99"/>
    <w:semiHidden/>
    <w:unhideWhenUsed/>
    <w:rsid w:val="00A4593D"/>
    <w:rPr>
      <w:color w:val="954F72" w:themeColor="followedHyperlink"/>
      <w:u w:val="single"/>
    </w:rPr>
  </w:style>
  <w:style w:type="character" w:styleId="Mencinsinresolver">
    <w:name w:val="Unresolved Mention"/>
    <w:basedOn w:val="Fuentedeprrafopredeter"/>
    <w:uiPriority w:val="99"/>
    <w:semiHidden/>
    <w:unhideWhenUsed/>
    <w:rsid w:val="00B65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7624804">
      <w:bodyDiv w:val="1"/>
      <w:marLeft w:val="0"/>
      <w:marRight w:val="0"/>
      <w:marTop w:val="0"/>
      <w:marBottom w:val="0"/>
      <w:divBdr>
        <w:top w:val="none" w:sz="0" w:space="0" w:color="auto"/>
        <w:left w:val="none" w:sz="0" w:space="0" w:color="auto"/>
        <w:bottom w:val="none" w:sz="0" w:space="0" w:color="auto"/>
        <w:right w:val="none" w:sz="0" w:space="0" w:color="auto"/>
      </w:divBdr>
    </w:div>
    <w:div w:id="1491481146">
      <w:bodyDiv w:val="1"/>
      <w:marLeft w:val="0"/>
      <w:marRight w:val="0"/>
      <w:marTop w:val="0"/>
      <w:marBottom w:val="0"/>
      <w:divBdr>
        <w:top w:val="none" w:sz="0" w:space="0" w:color="auto"/>
        <w:left w:val="none" w:sz="0" w:space="0" w:color="auto"/>
        <w:bottom w:val="none" w:sz="0" w:space="0" w:color="auto"/>
        <w:right w:val="none" w:sz="0" w:space="0" w:color="auto"/>
      </w:divBdr>
    </w:div>
    <w:div w:id="1514105846">
      <w:bodyDiv w:val="1"/>
      <w:marLeft w:val="0"/>
      <w:marRight w:val="0"/>
      <w:marTop w:val="0"/>
      <w:marBottom w:val="0"/>
      <w:divBdr>
        <w:top w:val="none" w:sz="0" w:space="0" w:color="auto"/>
        <w:left w:val="none" w:sz="0" w:space="0" w:color="auto"/>
        <w:bottom w:val="none" w:sz="0" w:space="0" w:color="auto"/>
        <w:right w:val="none" w:sz="0" w:space="0" w:color="auto"/>
      </w:divBdr>
    </w:div>
    <w:div w:id="190868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e.oecd.org/document/DAF/COMP/WP3(2016)5/en/pdf" TargetMode="External"/><Relationship Id="rId21" Type="http://schemas.openxmlformats.org/officeDocument/2006/relationships/hyperlink" Target="https://berec.europa.eu/eng/document_register/subject_matter/berec/reports/171-berec-report-on-self-supply" TargetMode="External"/><Relationship Id="rId42" Type="http://schemas.openxmlformats.org/officeDocument/2006/relationships/hyperlink" Target="https://ec.europa.eu/commission/presscorner/detail/en/IP_09_1888" TargetMode="External"/><Relationship Id="rId63" Type="http://schemas.openxmlformats.org/officeDocument/2006/relationships/hyperlink" Target="https://www.fcc.gov/document/matter-applications-att-wireless-services-inc-and-cingular" TargetMode="External"/><Relationship Id="rId84" Type="http://schemas.openxmlformats.org/officeDocument/2006/relationships/hyperlink" Target="http://apps.ift.org.mx/publicdata/Version_Publica_UCE_P_IFT_EXT_201015_152.pdf" TargetMode="External"/><Relationship Id="rId16" Type="http://schemas.openxmlformats.org/officeDocument/2006/relationships/hyperlink" Target="https://www.apec.org/Publications/2019/08/Competition-Policy-for-Regulating-Online-Platforms-in-the-APEC-Region" TargetMode="External"/><Relationship Id="rId107" Type="http://schemas.openxmlformats.org/officeDocument/2006/relationships/hyperlink" Target="http://www.ift.org.mx/sites/default/files/conocenos/pleno/sesiones/acuerdoliga/vppift030419169noct.pdf" TargetMode="External"/><Relationship Id="rId11" Type="http://schemas.openxmlformats.org/officeDocument/2006/relationships/hyperlink" Target="https://www.accc.gov.au/system/files/Merger%20guidelines%20-%20Final.PDF" TargetMode="External"/><Relationship Id="rId32" Type="http://schemas.openxmlformats.org/officeDocument/2006/relationships/hyperlink" Target="https://assets.publishing.service.gov.uk/government/uploads/system/uploads/attachment_data/file/284423/oft403.pdf" TargetMode="External"/><Relationship Id="rId37" Type="http://schemas.openxmlformats.org/officeDocument/2006/relationships/hyperlink" Target="https://ec.europa.eu/competition/antitrust/cases/dec_docs/38233/38233_87_1.pdf" TargetMode="External"/><Relationship Id="rId53" Type="http://schemas.openxmlformats.org/officeDocument/2006/relationships/hyperlink" Target="https://ec.europa.eu/competition/antitrust/cases/dec_docs/40099/40099_9993_3.pdf" TargetMode="External"/><Relationship Id="rId58" Type="http://schemas.openxmlformats.org/officeDocument/2006/relationships/hyperlink" Target="https://www.justice.gov/sites/default/files/opa/legacy/2011/08/31/Justice-ATT-TMobile-Complaint.pdf" TargetMode="External"/><Relationship Id="rId74" Type="http://schemas.openxmlformats.org/officeDocument/2006/relationships/hyperlink" Target="http://apps.ift.org.mx/publicdata/P_IFT_011014_352_Version_Publica.pdf" TargetMode="External"/><Relationship Id="rId79" Type="http://schemas.openxmlformats.org/officeDocument/2006/relationships/hyperlink" Target="http://apps.ift.org.mx/publicdata/P_IFT_EXT_131114_221_Version_Publica.pdf" TargetMode="External"/><Relationship Id="rId102" Type="http://schemas.openxmlformats.org/officeDocument/2006/relationships/hyperlink" Target="http://www.ift.org.mx/sites/default/files/conocenos/pleno/sesiones/acuerdoliga/pift121218948.pdf" TargetMode="External"/><Relationship Id="rId123" Type="http://schemas.openxmlformats.org/officeDocument/2006/relationships/hyperlink" Target="https://one.oecd.org/document/DAF/COMP(2019)5/en/pdf" TargetMode="External"/><Relationship Id="rId128" Type="http://schemas.openxmlformats.org/officeDocument/2006/relationships/hyperlink" Target="http://www.trc.gov.jo/EchoBusV3.0/SystemAssets/PDF/AR/%D8%A7%D8%B3%D8%AA%D8%B4%D8%A7%D8%B1%D8%A7%D8%AA/%D8%A7%D8%B3%D8%AA%D8%B4%D8%A7%D8%B1%D8%A7%D8%AA%20%D9%81%D9%8A%20%D9%82%D8%B7%D8%A7%D8%B9%20%D8%A7%D9%84%D8%A7%D8%AA%D8%B5%D8%A7%D9%84%D8%A7%D8%AA%20%D9%88%D8%AA%D9%83%D9%86%D9%84%D9%88%D8%AC%D9%8A%D8%A7%20%D8%A7%D9%84%D9%85%D8%B9%D9%84%D9%88%D9%85%D8%A7%D8%AA/%D8%A7%D8%B3%D8%AA%D8%B4%D8%A7%D8%B1%D8%A7%D8%AA%20%D8%B3%D8%A7%D8%A8%D9%82%D8%A9/%D9%85%D8%B1%D8%A7%D8%AC%D8%B9%D8%A9%20%D8%A3%D8%B3%D9%88%D8%A7%D9%82%20%D8%A7%D9%84%D8%A7%D8%AA%D8%B5%D8%A7%D9%84%D8%A7%D8%AA/MOBILE_CONSULTATION_DOC.pdf" TargetMode="External"/><Relationship Id="rId5" Type="http://schemas.openxmlformats.org/officeDocument/2006/relationships/numbering" Target="numbering.xml"/><Relationship Id="rId90" Type="http://schemas.openxmlformats.org/officeDocument/2006/relationships/hyperlink" Target="http://apps.ift.org.mx/publicdata/Version_Publica_P_IFT_EXT_190216_7.pdf" TargetMode="External"/><Relationship Id="rId95" Type="http://schemas.openxmlformats.org/officeDocument/2006/relationships/hyperlink" Target="http://www.ift.org.mx/sites/default/files/conocenos/pleno/sesiones/acuerdoliga/versionpublicaucepift240217104_1.pdf" TargetMode="External"/><Relationship Id="rId22" Type="http://schemas.openxmlformats.org/officeDocument/2006/relationships/hyperlink" Target="https://berec.europa.eu/eng/document_register/subject_matter/berec/download/0/118-berec-draft-report-on-the-impact-of-fixed-mobile-substitution-in-market-definition_0.pdf" TargetMode="External"/><Relationship Id="rId27" Type="http://schemas.openxmlformats.org/officeDocument/2006/relationships/hyperlink" Target="https://www.competitionbureau.gc.ca/eic/site/cb-bc.nsf/eng/03796.html" TargetMode="External"/><Relationship Id="rId43" Type="http://schemas.openxmlformats.org/officeDocument/2006/relationships/hyperlink" Target="https://eur-lex.europa.eu/legal-content/ES/TXT/PDF/?uri=CELEX:52010XC0519(04)&amp;from=ES" TargetMode="External"/><Relationship Id="rId48" Type="http://schemas.openxmlformats.org/officeDocument/2006/relationships/hyperlink" Target="http://ec.europa.eu/competition/mergers/cases/decisions/m8124_1349_5.pdf" TargetMode="External"/><Relationship Id="rId64" Type="http://schemas.openxmlformats.org/officeDocument/2006/relationships/hyperlink" Target="https://www.fne.gob.cl/wp-content/uploads/2021/05/Guia-para-el-Analisis-de-Operaciones-de-Concentracion-Horizontales-mayo-VF.pdf" TargetMode="External"/><Relationship Id="rId69" Type="http://schemas.openxmlformats.org/officeDocument/2006/relationships/hyperlink" Target="http://apps.ift.org.mx/publicdata/VP_P_IFT_160414_92.pdf" TargetMode="External"/><Relationship Id="rId113" Type="http://schemas.openxmlformats.org/officeDocument/2006/relationships/hyperlink" Target="https://www.oecd.org/daf/competition/98765433.pdf" TargetMode="External"/><Relationship Id="rId118" Type="http://schemas.openxmlformats.org/officeDocument/2006/relationships/hyperlink" Target="http://www.oecd.org/daf/competition/Examenes-de-mercado-en-Mexico-Manual-2016.pdf" TargetMode="External"/><Relationship Id="rId134" Type="http://schemas.openxmlformats.org/officeDocument/2006/relationships/glossaryDocument" Target="glossary/document.xml"/><Relationship Id="rId80" Type="http://schemas.openxmlformats.org/officeDocument/2006/relationships/hyperlink" Target="http://apps.ift.org.mx/publicdata/P_IFT_EXT_131114_222_Version_Publica.pdf" TargetMode="External"/><Relationship Id="rId85" Type="http://schemas.openxmlformats.org/officeDocument/2006/relationships/hyperlink" Target="http://apps.ift.org.mx/publicdata/vppift18031593.pdf" TargetMode="External"/><Relationship Id="rId12" Type="http://schemas.openxmlformats.org/officeDocument/2006/relationships/hyperlink" Target="https://www.accc.gov.au/system/files/Media%20Merger%20Guidelines%202017_0.pdf" TargetMode="External"/><Relationship Id="rId17" Type="http://schemas.openxmlformats.org/officeDocument/2006/relationships/hyperlink" Target="https://www.concorrencia.pt/sites/default/files/processos/ccent/AdC-CCENT_2013_05-Decisao-VNC-final-net.pdf" TargetMode="External"/><Relationship Id="rId33" Type="http://schemas.openxmlformats.org/officeDocument/2006/relationships/hyperlink" Target="https://assets.publishing.service.gov.uk/government/uploads/system/uploads/attachment_data/file/284449/OFT1254.pdf" TargetMode="External"/><Relationship Id="rId38" Type="http://schemas.openxmlformats.org/officeDocument/2006/relationships/hyperlink" Target="https://ec.europa.eu/commission/presscorner/detail/en/IP_05_1146" TargetMode="External"/><Relationship Id="rId59" Type="http://schemas.openxmlformats.org/officeDocument/2006/relationships/hyperlink" Target="https://www.justice.gov/atr/page/file/1175141/download?mkwid=c" TargetMode="External"/><Relationship Id="rId103" Type="http://schemas.openxmlformats.org/officeDocument/2006/relationships/hyperlink" Target="http://www.ift.org.mx/sites/default/files/conocenos/pleno/sesiones/acuerdoliga/vppift220818511noct_1.pdf" TargetMode="External"/><Relationship Id="rId108" Type="http://schemas.openxmlformats.org/officeDocument/2006/relationships/hyperlink" Target="http://www.ift.org.mx/sites/default/files/conocenos/pleno/sesiones/acuerdoliga/vp181120436.pdf" TargetMode="External"/><Relationship Id="rId124" Type="http://schemas.openxmlformats.org/officeDocument/2006/relationships/hyperlink" Target="https://www.ofcom.org.uk/__data/assets/pdf_file/0025/154591/volume-2-bcmr-final-statement.pdf" TargetMode="External"/><Relationship Id="rId129" Type="http://schemas.openxmlformats.org/officeDocument/2006/relationships/hyperlink" Target="http://curia.europa.eu/juris/document/document.jsf;jsessionid=CDC36C791B5A503C86A5B8A543E2E569?text=&amp;docid=121143&amp;pageIndex=0&amp;doclang=ES&amp;mode=lst&amp;dir=&amp;occ=first&amp;part=1&amp;cid=4131947" TargetMode="External"/><Relationship Id="rId54" Type="http://schemas.openxmlformats.org/officeDocument/2006/relationships/hyperlink" Target="https://www.autoritedelaconcurrence.fr/sites/default/files/commitments//05a05.pdf" TargetMode="External"/><Relationship Id="rId70" Type="http://schemas.openxmlformats.org/officeDocument/2006/relationships/hyperlink" Target="http://apps.ift.org.mx/publicdata/P_IFT_EXT_181214_282_Version_Publica.pdf" TargetMode="External"/><Relationship Id="rId75" Type="http://schemas.openxmlformats.org/officeDocument/2006/relationships/hyperlink" Target="http://apps.ift.org.mx/publicdata/P_IFT_EXT_131114_217_Version_Publica.pdf" TargetMode="External"/><Relationship Id="rId91" Type="http://schemas.openxmlformats.org/officeDocument/2006/relationships/hyperlink" Target="http://www.ift.org.mx/sites/default/files/industria/temasrelevantes/9195/documentos/pift280617368.pdf" TargetMode="External"/><Relationship Id="rId96" Type="http://schemas.openxmlformats.org/officeDocument/2006/relationships/hyperlink" Target="http://apps.ift.org.mx/publicdata/VP_P_IFT_260617_356.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bundeskartellamt.de/SharedDocs/Publikation/EN/Berichte/Think-Tank-Bericht-Zusammenfassung.pdf?__blob=publicationFile&amp;v=4" TargetMode="External"/><Relationship Id="rId28" Type="http://schemas.openxmlformats.org/officeDocument/2006/relationships/hyperlink" Target="https://www.competitionbureau.gc.ca/eic/site/cb-bc.nsf/eng/04200.html" TargetMode="External"/><Relationship Id="rId49" Type="http://schemas.openxmlformats.org/officeDocument/2006/relationships/hyperlink" Target="https://ec.europa.eu/competition/antitrust/cases/dec_docs/39740/39740_14996_3.pdf" TargetMode="External"/><Relationship Id="rId114" Type="http://schemas.openxmlformats.org/officeDocument/2006/relationships/hyperlink" Target="http://www.oecd.org/daf/competition/Marketdefinition2012.pdf" TargetMode="External"/><Relationship Id="rId119" Type="http://schemas.openxmlformats.org/officeDocument/2006/relationships/hyperlink" Target="https://one.oecd.org/document/DAF/COMP/WD(2017)27/FINAL/en/pdf" TargetMode="External"/><Relationship Id="rId44" Type="http://schemas.openxmlformats.org/officeDocument/2006/relationships/hyperlink" Target="https://ec.europa.eu/competition/mergers/cases/decisions/M5727_20100218_20310_261202_EN.pdf" TargetMode="External"/><Relationship Id="rId60" Type="http://schemas.openxmlformats.org/officeDocument/2006/relationships/hyperlink" Target="https://www.ftc.gov/sites/default/files/attachments/merger-review/100819hmg.pdf" TargetMode="External"/><Relationship Id="rId65" Type="http://schemas.openxmlformats.org/officeDocument/2006/relationships/hyperlink" Target="https://www.internationalcompetitionnetwork.org/wp-content/uploads/2018/05/MWG_MergerGuidelinesWorkbook.pdf" TargetMode="External"/><Relationship Id="rId81" Type="http://schemas.openxmlformats.org/officeDocument/2006/relationships/hyperlink" Target="http://apps.ift.org.mx/publicdata/P_IFT_EXT_131114_223_Version_Publica.pdf" TargetMode="External"/><Relationship Id="rId86" Type="http://schemas.openxmlformats.org/officeDocument/2006/relationships/hyperlink" Target="http://apps.ift.org.mx/publicdata/Version_Publica_UCE_RescAnexos_P_IFT_EXT_300915_114_c_DOF.pdf" TargetMode="External"/><Relationship Id="rId130" Type="http://schemas.openxmlformats.org/officeDocument/2006/relationships/hyperlink" Target="https://www.itu.int/ITU-D/treg/publications/SMP-S.pdf" TargetMode="External"/><Relationship Id="rId135" Type="http://schemas.openxmlformats.org/officeDocument/2006/relationships/theme" Target="theme/theme1.xml"/><Relationship Id="rId13" Type="http://schemas.openxmlformats.org/officeDocument/2006/relationships/hyperlink" Target="https://www.accc.gov.au/system/files/Updated%20Guidelines%20on%20Misuse%20of%20Market%20Power.pdf" TargetMode="External"/><Relationship Id="rId18" Type="http://schemas.openxmlformats.org/officeDocument/2006/relationships/hyperlink" Target="https://www.concorrencia.pt/sites/default/files/imported-magazines/Linhas%2520de%2520Orienta%C3%A7%C3%A3o%2520para%2520a%2520An%C3%A1lise%2520Econ%C3%B3mica%2520de%2520Opera%C3%A7%C3%B5es%2520de%2520Concentra%C3%A7%C3%A3o%2520Horizontais.pdf" TargetMode="External"/><Relationship Id="rId39" Type="http://schemas.openxmlformats.org/officeDocument/2006/relationships/hyperlink" Target="https://ec.europa.eu/competition/mergers/cases/decisions/m4439_20070627_20610_en.pdf" TargetMode="External"/><Relationship Id="rId109" Type="http://schemas.openxmlformats.org/officeDocument/2006/relationships/hyperlink" Target="http://www.diputados.gob.mx/LeyesBiblio/pdf/LFCE_270117.pdf" TargetMode="External"/><Relationship Id="rId34" Type="http://schemas.openxmlformats.org/officeDocument/2006/relationships/hyperlink" Target="https://www.cnmc.es/sites/default/files/1511874_12.pdf" TargetMode="External"/><Relationship Id="rId50" Type="http://schemas.openxmlformats.org/officeDocument/2006/relationships/hyperlink" Target="https://www.myecole.it/biblio/wp-content/uploads/2020/11/1_DB_13_MVC_2018-EU-Market-analysis.pdf" TargetMode="External"/><Relationship Id="rId55" Type="http://schemas.openxmlformats.org/officeDocument/2006/relationships/hyperlink" Target="http://www.diputados.gob.mx/LeyesBiblio/pdf/1_280521.pdf" TargetMode="External"/><Relationship Id="rId76" Type="http://schemas.openxmlformats.org/officeDocument/2006/relationships/hyperlink" Target="http://apps.ift.org.mx/publicdata/P_IFT_EXT_131114_218_Version_Publica.pdf" TargetMode="External"/><Relationship Id="rId97" Type="http://schemas.openxmlformats.org/officeDocument/2006/relationships/hyperlink" Target="http://apps.ift.org.mx/publicdata/Version_Publica_UCE_270417_221.pdf" TargetMode="External"/><Relationship Id="rId104" Type="http://schemas.openxmlformats.org/officeDocument/2006/relationships/hyperlink" Target="http://apps.ift.org.mx/publicdata/VP_P_IFT_131119_737_Acc.pdf" TargetMode="External"/><Relationship Id="rId120" Type="http://schemas.openxmlformats.org/officeDocument/2006/relationships/hyperlink" Target="https://one.oecd.org/document/DAF/COMP(2018)14/en/pdf" TargetMode="External"/><Relationship Id="rId125" Type="http://schemas.openxmlformats.org/officeDocument/2006/relationships/hyperlink" Target="https://www.researchgate.net/publication/227651905_Two-sided_Markets_A_Progress_Report" TargetMode="External"/><Relationship Id="rId7" Type="http://schemas.openxmlformats.org/officeDocument/2006/relationships/settings" Target="settings.xml"/><Relationship Id="rId71" Type="http://schemas.openxmlformats.org/officeDocument/2006/relationships/hyperlink" Target="http://www.ift.org.mx/industria/espectro-radioelectrico/radiodifusion/2014/ift-1-licitacion-de-dos-cadenas-de-television-radiodifundida-digital" TargetMode="External"/><Relationship Id="rId92" Type="http://schemas.openxmlformats.org/officeDocument/2006/relationships/hyperlink" Target="http://www.ift.org.mx/sites/default/files/conocenos/pleno/sesiones/acuerdoliga/vppift060917545.pdf" TargetMode="External"/><Relationship Id="rId2" Type="http://schemas.openxmlformats.org/officeDocument/2006/relationships/customXml" Target="../customXml/item2.xml"/><Relationship Id="rId29" Type="http://schemas.openxmlformats.org/officeDocument/2006/relationships/hyperlink" Target="https://www.crai.com/sites/default/files/publications/China-Highlights-Qihoo-360-v-Tencent-0215_0.pdf" TargetMode="External"/><Relationship Id="rId24" Type="http://schemas.openxmlformats.org/officeDocument/2006/relationships/hyperlink" Target="https://www.bundeskartellamt.de/SharedDocs/Entscheidung/EN/Entscheidungen/Missbrauchsaufsicht/2019/B6-22-16.pdf?__blob=publicationFile&amp;v=5" TargetMode="External"/><Relationship Id="rId40" Type="http://schemas.openxmlformats.org/officeDocument/2006/relationships/hyperlink" Target="https://ec.europa.eu/competition/antitrust/cases/dec_docs/38784/38784_437_4.pdf" TargetMode="External"/><Relationship Id="rId45" Type="http://schemas.openxmlformats.org/officeDocument/2006/relationships/hyperlink" Target="https://ec.europa.eu/competition/international/multilateral/2012_jun_market_definition_en.pdf" TargetMode="External"/><Relationship Id="rId66" Type="http://schemas.openxmlformats.org/officeDocument/2006/relationships/hyperlink" Target="https://www.internationalcompetitionnetwork.org/wp-content/uploads/2018/10/MWG_SurveyreportVerticalMergers2018.pdf" TargetMode="External"/><Relationship Id="rId87" Type="http://schemas.openxmlformats.org/officeDocument/2006/relationships/hyperlink" Target="http://apps.ift.org.mx/publicdata/Version_Publica_UCE_P_IFT_290216_71_c_AnexoyDR.pdf" TargetMode="External"/><Relationship Id="rId110" Type="http://schemas.openxmlformats.org/officeDocument/2006/relationships/hyperlink" Target="http://www.diputados.gob.mx/LeyesBiblio/pdf/LFTR_160421.pdf" TargetMode="External"/><Relationship Id="rId115" Type="http://schemas.openxmlformats.org/officeDocument/2006/relationships/hyperlink" Target="https://www.oecd.org/daf/competition/Defining_Relevant_Market_in_Telecommunications_web.pdf" TargetMode="External"/><Relationship Id="rId131" Type="http://schemas.openxmlformats.org/officeDocument/2006/relationships/header" Target="header1.xml"/><Relationship Id="rId61" Type="http://schemas.openxmlformats.org/officeDocument/2006/relationships/hyperlink" Target="https://www.ftc.gov/system/files/documents/reports/us-department-justice-federal-trade-commission-vertical-merger-guidelines/vertical_merger_guidelines_6-30-20.pdf" TargetMode="External"/><Relationship Id="rId82" Type="http://schemas.openxmlformats.org/officeDocument/2006/relationships/hyperlink" Target="http://apps.ift.org.mx/publicdata/P_IFT_EXT_131114_224_Version_Publica.pdf" TargetMode="External"/><Relationship Id="rId19" Type="http://schemas.openxmlformats.org/officeDocument/2006/relationships/hyperlink" Target="http://www.ift.org.mx/sites/default/files/contenidogeneral/autoridad-investigadora/vpai-dc-004-2018.pdf" TargetMode="External"/><Relationship Id="rId14" Type="http://schemas.openxmlformats.org/officeDocument/2006/relationships/hyperlink" Target="https://www.accc.gov.au/system/files/Digital%20platforms%20inquiry%20-%20final%20report.pdf" TargetMode="External"/><Relationship Id="rId30" Type="http://schemas.openxmlformats.org/officeDocument/2006/relationships/hyperlink" Target="https://assets.publishing.service.gov.uk/media/56992242ed915d4747000026/BT_EE_final_report.pdf" TargetMode="External"/><Relationship Id="rId35" Type="http://schemas.openxmlformats.org/officeDocument/2006/relationships/hyperlink" Target="https://ec.europa.eu/competition/mergers/cases/decisions/m166_en.pdf" TargetMode="External"/><Relationship Id="rId56" Type="http://schemas.openxmlformats.org/officeDocument/2006/relationships/hyperlink" Target="https://crtc.gc.ca/eng/publications/reports/rp110215.htm" TargetMode="External"/><Relationship Id="rId77" Type="http://schemas.openxmlformats.org/officeDocument/2006/relationships/hyperlink" Target="http://apps.ift.org.mx/publicdata/P_IFT_EXT_131114_219_Version_Publica.pdf" TargetMode="External"/><Relationship Id="rId100" Type="http://schemas.openxmlformats.org/officeDocument/2006/relationships/hyperlink" Target="http://apps.ift.org.mx/publicdata/versionpublicapift18031591_2.pdf" TargetMode="External"/><Relationship Id="rId105" Type="http://schemas.openxmlformats.org/officeDocument/2006/relationships/hyperlink" Target="http://www.ift.org.mx/sites/default/files/conocenos/pleno/sesiones/acuerdoliga/verpubpift110319122canxuce.pdf" TargetMode="External"/><Relationship Id="rId126" Type="http://schemas.openxmlformats.org/officeDocument/2006/relationships/hyperlink" Target="https://www.rtr.at/en/tk/TKMV_2008" TargetMode="External"/><Relationship Id="rId8" Type="http://schemas.openxmlformats.org/officeDocument/2006/relationships/webSettings" Target="webSettings.xml"/><Relationship Id="rId51" Type="http://schemas.openxmlformats.org/officeDocument/2006/relationships/hyperlink" Target="https://eur-lex.europa.eu/legal-content/ES/TXT/PDF/?uri=CELEX:52018XC0507(01)&amp;from=HU" TargetMode="External"/><Relationship Id="rId72" Type="http://schemas.openxmlformats.org/officeDocument/2006/relationships/hyperlink" Target="http://www.ift.org.mx/pagina-de-inicio/opiniones-en-materia-de-competencia-economica" TargetMode="External"/><Relationship Id="rId93" Type="http://schemas.openxmlformats.org/officeDocument/2006/relationships/hyperlink" Target="http://apps.ift.org.mx/publicdata/VP_P_IFT_181017_651.pdf" TargetMode="External"/><Relationship Id="rId98" Type="http://schemas.openxmlformats.org/officeDocument/2006/relationships/hyperlink" Target="http://apps.ift.org.mx/publicdata/VP_P_IFT_150817_487.pdf" TargetMode="External"/><Relationship Id="rId121" Type="http://schemas.openxmlformats.org/officeDocument/2006/relationships/hyperlink" Target="https://www.oecd.org/daf/competition/Rethinking-antitrust-tools-for-multi-sided-platforms-2018.pdf" TargetMode="External"/><Relationship Id="rId3" Type="http://schemas.openxmlformats.org/officeDocument/2006/relationships/customXml" Target="../customXml/item3.xml"/><Relationship Id="rId25" Type="http://schemas.openxmlformats.org/officeDocument/2006/relationships/hyperlink" Target="https://www.competitionbureau.gc.ca/eic/site/cb-bc.nsf/vwapj/cb-meg-2011-e.pdf/$FILE/cb-meg-2011-e.pdf" TargetMode="External"/><Relationship Id="rId46" Type="http://schemas.openxmlformats.org/officeDocument/2006/relationships/hyperlink" Target="https://ec.europa.eu/competition/mergers/cases/decisions/m6880_410_2.pdf" TargetMode="External"/><Relationship Id="rId67" Type="http://schemas.openxmlformats.org/officeDocument/2006/relationships/hyperlink" Target="https://www.internationalcompetitionnetwork.org/wp-content/uploads/2019/05/MWG-Vertical-Mergers-Comparison-Study.pdf" TargetMode="External"/><Relationship Id="rId116" Type="http://schemas.openxmlformats.org/officeDocument/2006/relationships/hyperlink" Target="https://www.oecd-ilibrary.org/docserver/5js04dp2q1jc-en.pdf?expires=1597095718&amp;id=id&amp;accname=guest&amp;checksum=A818045C7EED02B383CB10724AD048D9" TargetMode="External"/><Relationship Id="rId20" Type="http://schemas.openxmlformats.org/officeDocument/2006/relationships/hyperlink" Target="https://berec.europa.eu/eng/document_register/subject_matter/berec/reports/209-berec-report-on-impact-of-bundled-offers-in-retail-and-wholesale-market-definition" TargetMode="External"/><Relationship Id="rId41" Type="http://schemas.openxmlformats.org/officeDocument/2006/relationships/hyperlink" Target="https://ec.europa.eu/competition/mergers/cases/decisions/m4731_20080311_20682_en.pdf" TargetMode="External"/><Relationship Id="rId62" Type="http://schemas.openxmlformats.org/officeDocument/2006/relationships/hyperlink" Target="https://digitalcommons.law.yale.edu/cgi/viewcontent.cgi?article=1144&amp;context=yjreg" TargetMode="External"/><Relationship Id="rId83" Type="http://schemas.openxmlformats.org/officeDocument/2006/relationships/hyperlink" Target="http://apps.ift.org.mx/publicdata/VP2_P_IFT_EXT_290415_86.pdf" TargetMode="External"/><Relationship Id="rId88" Type="http://schemas.openxmlformats.org/officeDocument/2006/relationships/hyperlink" Target="http://www.ift.org.mx/sites/default/files/industria/espectro-radioelectrico/radiodifusion/2016/4/basesift-4_1.pdf" TargetMode="External"/><Relationship Id="rId111" Type="http://schemas.openxmlformats.org/officeDocument/2006/relationships/hyperlink" Target="https://www.mca.org.mt/sites/default/files/attachments/decisions/2013/final-decision-market-analysis-of-the-wholesale-broadband-access-market-market-5-060313.pdf" TargetMode="External"/><Relationship Id="rId132" Type="http://schemas.openxmlformats.org/officeDocument/2006/relationships/footer" Target="footer1.xml"/><Relationship Id="rId15" Type="http://schemas.openxmlformats.org/officeDocument/2006/relationships/hyperlink" Target="https://www.anacom.pt/streaming/Determination28september2010_final_decision.pdf?contentId=1061287&amp;field=ATTACHED_FILE" TargetMode="External"/><Relationship Id="rId36" Type="http://schemas.openxmlformats.org/officeDocument/2006/relationships/hyperlink" Target="https://eur-lex.europa.eu/legal-content/ES/TXT/PDF/?uri=CELEX:31997Y1209(01)&amp;from=EN" TargetMode="External"/><Relationship Id="rId57" Type="http://schemas.openxmlformats.org/officeDocument/2006/relationships/hyperlink" Target="http://www.ift.org.mx/industria/autoridad-investigadora/documentos-materia-economica" TargetMode="External"/><Relationship Id="rId106" Type="http://schemas.openxmlformats.org/officeDocument/2006/relationships/hyperlink" Target="http://apps.ift.org.mx/publicdata/VP_P_IFT_210819_432.pdf" TargetMode="External"/><Relationship Id="rId127" Type="http://schemas.openxmlformats.org/officeDocument/2006/relationships/hyperlink" Target="https://www.scjn.gob.mx/sites/default/files/gaceta/documentos/tomos/2016-12/libro27t3.pdf" TargetMode="External"/><Relationship Id="rId10" Type="http://schemas.openxmlformats.org/officeDocument/2006/relationships/endnotes" Target="endnotes.xml"/><Relationship Id="rId31" Type="http://schemas.openxmlformats.org/officeDocument/2006/relationships/hyperlink" Target="https://www.gov.uk/cma-cases/bauer-media-group-merger-inquiry" TargetMode="External"/><Relationship Id="rId52" Type="http://schemas.openxmlformats.org/officeDocument/2006/relationships/hyperlink" Target="https://ec.europa.eu/competition/mergers/cases/decisions/m8864_7363_3.pdf" TargetMode="External"/><Relationship Id="rId73" Type="http://schemas.openxmlformats.org/officeDocument/2006/relationships/hyperlink" Target="http://apps.ift.org.mx/publicdata/P_IFT_011014_332_Version_Publica_UCE.pdf" TargetMode="External"/><Relationship Id="rId78" Type="http://schemas.openxmlformats.org/officeDocument/2006/relationships/hyperlink" Target="http://apps.ift.org.mx/publicdata/P_IFT_EXT_131114_220_Version_Publica.pdf" TargetMode="External"/><Relationship Id="rId94" Type="http://schemas.openxmlformats.org/officeDocument/2006/relationships/hyperlink" Target="http://apps.ift.org.mx/publicdata/Version_Publica_AI_P_IFT_230117_8.pdf" TargetMode="External"/><Relationship Id="rId99" Type="http://schemas.openxmlformats.org/officeDocument/2006/relationships/hyperlink" Target="http://apps.ift.org.mx/publicdata/versionpublicapift18031590_1.pdf" TargetMode="External"/><Relationship Id="rId101" Type="http://schemas.openxmlformats.org/officeDocument/2006/relationships/hyperlink" Target="http://apps.ift.org.mx/publicdata/versionpublicapift18031592.pdf" TargetMode="External"/><Relationship Id="rId122" Type="http://schemas.openxmlformats.org/officeDocument/2006/relationships/hyperlink" Target="https://www.ofcom.org.uk/__data/assets/pdf_file/0019/115138/Draft-statement-annexes-2-8-Wholesale-broadband-access-market-review-2018.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competitionbureau.gc.ca/eic/site/cb-bc.nsf/eng/03544.html" TargetMode="External"/><Relationship Id="rId47" Type="http://schemas.openxmlformats.org/officeDocument/2006/relationships/hyperlink" Target="https://ec.europa.eu/competition/mergers/cases/decisions/m7217_20141003_20310_3962132_EN.pdf" TargetMode="External"/><Relationship Id="rId68" Type="http://schemas.openxmlformats.org/officeDocument/2006/relationships/hyperlink" Target="http://apps.ift.org.mx/publicdata/P_IFT_271113_20_Version_Publica_Hoja.pdf" TargetMode="External"/><Relationship Id="rId89" Type="http://schemas.openxmlformats.org/officeDocument/2006/relationships/hyperlink" Target="http://www.ift.org.mx/industria/espectro-radioelectrico/television/2016/licitacion-no-ift-6-television-radiodifundida-digital" TargetMode="External"/><Relationship Id="rId112" Type="http://schemas.openxmlformats.org/officeDocument/2006/relationships/hyperlink" Target="https://www.oecd.org/competition/abuse/2379408.pdf" TargetMode="External"/><Relationship Id="rId13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iputados.gob.mx/LeyesBiblio/pdf/LGMR_200521.pdf" TargetMode="External"/><Relationship Id="rId1" Type="http://schemas.openxmlformats.org/officeDocument/2006/relationships/hyperlink" Target="https://www.oecd.org/daf/competition/Mexico-Peer-Reviews-of-Competition-Law-and-Policy-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63DEC76ED548AF9C0FD18AAA48F0F4"/>
        <w:category>
          <w:name w:val="General"/>
          <w:gallery w:val="placeholder"/>
        </w:category>
        <w:types>
          <w:type w:val="bbPlcHdr"/>
        </w:types>
        <w:behaviors>
          <w:behavior w:val="content"/>
        </w:behaviors>
        <w:guid w:val="{83D52A89-0022-4DC9-AC05-97907A16EBBD}"/>
      </w:docPartPr>
      <w:docPartBody>
        <w:p w:rsidR="00F9794F" w:rsidRDefault="00F9794F" w:rsidP="00F9794F">
          <w:pPr>
            <w:pStyle w:val="4863DEC76ED548AF9C0FD18AAA48F0F4"/>
          </w:pPr>
          <w:r w:rsidRPr="00B76C9A">
            <w:rPr>
              <w:rStyle w:val="Textodelmarcadordeposicin"/>
              <w:sz w:val="20"/>
            </w:rPr>
            <w:t>Elija un elemento.</w:t>
          </w:r>
        </w:p>
      </w:docPartBody>
    </w:docPart>
    <w:docPart>
      <w:docPartPr>
        <w:name w:val="310080D8E25D4CE09BD66D9D183DB207"/>
        <w:category>
          <w:name w:val="General"/>
          <w:gallery w:val="placeholder"/>
        </w:category>
        <w:types>
          <w:type w:val="bbPlcHdr"/>
        </w:types>
        <w:behaviors>
          <w:behavior w:val="content"/>
        </w:behaviors>
        <w:guid w:val="{F30F22AB-693D-4ADF-9C99-7DFE94D883D1}"/>
      </w:docPartPr>
      <w:docPartBody>
        <w:p w:rsidR="00F9794F" w:rsidRDefault="00F9794F" w:rsidP="00F9794F">
          <w:pPr>
            <w:pStyle w:val="310080D8E25D4CE09BD66D9D183DB207"/>
          </w:pPr>
          <w:r w:rsidRPr="007430B6">
            <w:rPr>
              <w:rStyle w:val="Textodelmarcadordeposicin"/>
              <w:sz w:val="20"/>
            </w:rPr>
            <w:t>Elija un elemento.</w:t>
          </w:r>
        </w:p>
      </w:docPartBody>
    </w:docPart>
    <w:docPart>
      <w:docPartPr>
        <w:name w:val="A73AE02ADCA1411CB50747F745019304"/>
        <w:category>
          <w:name w:val="General"/>
          <w:gallery w:val="placeholder"/>
        </w:category>
        <w:types>
          <w:type w:val="bbPlcHdr"/>
        </w:types>
        <w:behaviors>
          <w:behavior w:val="content"/>
        </w:behaviors>
        <w:guid w:val="{7E3D5593-CA52-4683-B536-52781C124665}"/>
      </w:docPartPr>
      <w:docPartBody>
        <w:p w:rsidR="00F9794F" w:rsidRDefault="00F9794F" w:rsidP="00F9794F">
          <w:pPr>
            <w:pStyle w:val="A73AE02ADCA1411CB50747F745019304"/>
          </w:pPr>
          <w:r w:rsidRPr="007430B6">
            <w:rPr>
              <w:rStyle w:val="Textodelmarcadordeposicin"/>
              <w:sz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355"/>
    <w:rsid w:val="00014954"/>
    <w:rsid w:val="00024568"/>
    <w:rsid w:val="0003660B"/>
    <w:rsid w:val="00054395"/>
    <w:rsid w:val="00055F24"/>
    <w:rsid w:val="000970D1"/>
    <w:rsid w:val="000B4748"/>
    <w:rsid w:val="000C65A2"/>
    <w:rsid w:val="00156B10"/>
    <w:rsid w:val="00162398"/>
    <w:rsid w:val="002842C1"/>
    <w:rsid w:val="002D1216"/>
    <w:rsid w:val="00361AF2"/>
    <w:rsid w:val="003744D6"/>
    <w:rsid w:val="003C3BAA"/>
    <w:rsid w:val="003C6DAE"/>
    <w:rsid w:val="003F2C5C"/>
    <w:rsid w:val="00466BEC"/>
    <w:rsid w:val="00476E37"/>
    <w:rsid w:val="0049263A"/>
    <w:rsid w:val="004F187B"/>
    <w:rsid w:val="00504DE3"/>
    <w:rsid w:val="0051743B"/>
    <w:rsid w:val="00540EA6"/>
    <w:rsid w:val="0058081F"/>
    <w:rsid w:val="005D519D"/>
    <w:rsid w:val="006020B4"/>
    <w:rsid w:val="00622624"/>
    <w:rsid w:val="00622FC3"/>
    <w:rsid w:val="0067131A"/>
    <w:rsid w:val="007118CA"/>
    <w:rsid w:val="00754720"/>
    <w:rsid w:val="00760FAD"/>
    <w:rsid w:val="007D72BA"/>
    <w:rsid w:val="008621AC"/>
    <w:rsid w:val="00895355"/>
    <w:rsid w:val="00963F51"/>
    <w:rsid w:val="00981D52"/>
    <w:rsid w:val="00A155D0"/>
    <w:rsid w:val="00A45806"/>
    <w:rsid w:val="00A53A1C"/>
    <w:rsid w:val="00A80CA9"/>
    <w:rsid w:val="00B05362"/>
    <w:rsid w:val="00B234BA"/>
    <w:rsid w:val="00B53C30"/>
    <w:rsid w:val="00B748CE"/>
    <w:rsid w:val="00BD02AE"/>
    <w:rsid w:val="00BD59E5"/>
    <w:rsid w:val="00C02590"/>
    <w:rsid w:val="00CF1BA4"/>
    <w:rsid w:val="00D6696A"/>
    <w:rsid w:val="00DB3940"/>
    <w:rsid w:val="00DC48C8"/>
    <w:rsid w:val="00E75A8C"/>
    <w:rsid w:val="00EB2284"/>
    <w:rsid w:val="00F04DDA"/>
    <w:rsid w:val="00F73A49"/>
    <w:rsid w:val="00F9794F"/>
    <w:rsid w:val="00FD0F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9794F"/>
    <w:rPr>
      <w:color w:val="808080"/>
    </w:rPr>
  </w:style>
  <w:style w:type="paragraph" w:customStyle="1" w:styleId="4863DEC76ED548AF9C0FD18AAA48F0F4">
    <w:name w:val="4863DEC76ED548AF9C0FD18AAA48F0F4"/>
    <w:rsid w:val="00F9794F"/>
  </w:style>
  <w:style w:type="paragraph" w:customStyle="1" w:styleId="310080D8E25D4CE09BD66D9D183DB207">
    <w:name w:val="310080D8E25D4CE09BD66D9D183DB207"/>
    <w:rsid w:val="00F9794F"/>
  </w:style>
  <w:style w:type="paragraph" w:customStyle="1" w:styleId="A73AE02ADCA1411CB50747F745019304">
    <w:name w:val="A73AE02ADCA1411CB50747F745019304"/>
    <w:rsid w:val="00F97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0D42ED0CC3CF4B8D528405130A43D4" ma:contentTypeVersion="0" ma:contentTypeDescription="Crear nuevo documento." ma:contentTypeScope="" ma:versionID="843033550e8e433e66dac43bfcd64ed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AEE7-5484-4F59-8B6C-5DF166446E42}">
  <ds:schemaRefs>
    <ds:schemaRef ds:uri="http://schemas.microsoft.com/sharepoint/v3/contenttype/forms"/>
  </ds:schemaRefs>
</ds:datastoreItem>
</file>

<file path=customXml/itemProps2.xml><?xml version="1.0" encoding="utf-8"?>
<ds:datastoreItem xmlns:ds="http://schemas.openxmlformats.org/officeDocument/2006/customXml" ds:itemID="{169259B3-C177-46A1-8B2C-D09ED1C299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0E97C6-8292-4498-B01F-9FC0AC544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3D5AC0-0652-4EB6-B0F2-9758BC37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7154</Words>
  <Characters>39352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Salvador Flores Santillan</cp:lastModifiedBy>
  <cp:revision>4</cp:revision>
  <dcterms:created xsi:type="dcterms:W3CDTF">2021-10-21T23:02:00Z</dcterms:created>
  <dcterms:modified xsi:type="dcterms:W3CDTF">2021-11-08T15:47:00Z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0x010100B60D42ED0CC3CF4B8D528405130A43D4</vt:lpwstr>
  </property>
</Properties>
</file>