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5DB6" w14:textId="07457B85" w:rsidR="0064437D" w:rsidRPr="00D47DA6" w:rsidRDefault="0064437D" w:rsidP="00D47DA6">
      <w:pPr>
        <w:spacing w:after="0"/>
        <w:jc w:val="both"/>
        <w:rPr>
          <w:rFonts w:ascii="Arial" w:hAnsi="Arial" w:cs="Arial"/>
          <w:b/>
          <w:bCs/>
          <w:color w:val="000000"/>
          <w:sz w:val="26"/>
          <w:szCs w:val="26"/>
          <w:lang w:eastAsia="es-MX"/>
        </w:rPr>
      </w:pPr>
      <w:bookmarkStart w:id="0" w:name="_Toc510634319"/>
      <w:bookmarkStart w:id="1" w:name="_Toc510639355"/>
      <w:bookmarkStart w:id="2" w:name="_Toc510640265"/>
      <w:bookmarkStart w:id="3" w:name="_Toc510698209"/>
      <w:bookmarkStart w:id="4" w:name="_Toc510701066"/>
      <w:bookmarkStart w:id="5" w:name="_Toc510710869"/>
      <w:bookmarkStart w:id="6" w:name="_Toc510710907"/>
      <w:bookmarkStart w:id="7" w:name="_Toc17716675"/>
      <w:bookmarkStart w:id="8" w:name="_GoBack"/>
      <w:bookmarkEnd w:id="8"/>
      <w:r w:rsidRPr="00D47DA6">
        <w:rPr>
          <w:rFonts w:ascii="Arial" w:hAnsi="Arial" w:cs="Arial"/>
          <w:b/>
          <w:bCs/>
          <w:color w:val="000000"/>
          <w:sz w:val="26"/>
          <w:szCs w:val="26"/>
          <w:lang w:eastAsia="es-MX"/>
        </w:rPr>
        <w:t>Acuerdo mediante el cual el Pleno del Instituto Federal de Telecomunicaciones expide la Guía para determinar Mercados Relevantes en los Sectores de Telecomunicaciones y Radiodifusión</w:t>
      </w:r>
    </w:p>
    <w:p w14:paraId="1FACC930" w14:textId="77777777" w:rsidR="0064437D" w:rsidRPr="00B81C32" w:rsidRDefault="0064437D" w:rsidP="0064437D">
      <w:pPr>
        <w:spacing w:after="0"/>
        <w:jc w:val="center"/>
        <w:rPr>
          <w:rFonts w:ascii="Arial" w:hAnsi="Arial" w:cs="Arial"/>
          <w:b/>
          <w:bCs/>
          <w:color w:val="000000"/>
          <w:lang w:eastAsia="es-MX"/>
        </w:rPr>
      </w:pPr>
    </w:p>
    <w:p w14:paraId="42AF0783" w14:textId="77777777" w:rsidR="0064437D" w:rsidRPr="00B81C32" w:rsidRDefault="0064437D" w:rsidP="0064437D">
      <w:pPr>
        <w:spacing w:after="0"/>
        <w:jc w:val="center"/>
        <w:rPr>
          <w:rFonts w:ascii="Arial" w:hAnsi="Arial" w:cs="Arial"/>
          <w:b/>
          <w:bCs/>
          <w:color w:val="000000"/>
          <w:lang w:eastAsia="es-MX"/>
        </w:rPr>
      </w:pPr>
    </w:p>
    <w:p w14:paraId="4FBFF498" w14:textId="77777777" w:rsidR="0064437D" w:rsidRPr="00D47DA6" w:rsidRDefault="0064437D" w:rsidP="00D47DA6">
      <w:pPr>
        <w:keepNext/>
        <w:keepLines/>
        <w:spacing w:after="0"/>
        <w:jc w:val="center"/>
        <w:outlineLvl w:val="0"/>
        <w:rPr>
          <w:rFonts w:ascii="Arial" w:eastAsia="Times New Roman" w:hAnsi="Arial" w:cs="Arial"/>
          <w:b/>
          <w:bCs/>
          <w:sz w:val="26"/>
          <w:szCs w:val="26"/>
          <w:lang w:eastAsia="es-MX"/>
        </w:rPr>
      </w:pPr>
      <w:r w:rsidRPr="00D47DA6">
        <w:rPr>
          <w:rFonts w:ascii="Arial" w:eastAsia="Times New Roman" w:hAnsi="Arial" w:cs="Arial"/>
          <w:b/>
          <w:bCs/>
          <w:sz w:val="26"/>
          <w:szCs w:val="26"/>
          <w:lang w:eastAsia="es-MX"/>
        </w:rPr>
        <w:t>Antecedentes</w:t>
      </w:r>
    </w:p>
    <w:p w14:paraId="12175A6A" w14:textId="77777777" w:rsidR="0064437D" w:rsidRPr="00B81C32" w:rsidRDefault="0064437D" w:rsidP="0064437D">
      <w:pPr>
        <w:spacing w:after="0"/>
        <w:jc w:val="center"/>
        <w:rPr>
          <w:rFonts w:ascii="Arial" w:hAnsi="Arial" w:cs="Arial"/>
          <w:b/>
          <w:bCs/>
          <w:color w:val="000000"/>
          <w:lang w:eastAsia="es-MX"/>
        </w:rPr>
      </w:pPr>
    </w:p>
    <w:p w14:paraId="24F45D44" w14:textId="77777777" w:rsidR="0064437D" w:rsidRPr="00B81C32" w:rsidRDefault="0064437D" w:rsidP="0064437D">
      <w:pPr>
        <w:spacing w:after="0"/>
        <w:jc w:val="center"/>
        <w:rPr>
          <w:rFonts w:ascii="Arial" w:hAnsi="Arial" w:cs="Arial"/>
          <w:b/>
        </w:rPr>
      </w:pPr>
    </w:p>
    <w:p w14:paraId="4DAABB7D" w14:textId="3AD0B4E1" w:rsidR="0064437D" w:rsidRPr="00267520" w:rsidRDefault="0064437D" w:rsidP="0064437D">
      <w:pPr>
        <w:autoSpaceDE w:val="0"/>
        <w:autoSpaceDN w:val="0"/>
        <w:adjustRightInd w:val="0"/>
        <w:spacing w:after="0"/>
        <w:jc w:val="both"/>
        <w:rPr>
          <w:rFonts w:ascii="Arial" w:hAnsi="Arial" w:cs="Arial"/>
          <w:bCs/>
        </w:rPr>
      </w:pPr>
      <w:r w:rsidRPr="00267520">
        <w:rPr>
          <w:rFonts w:ascii="Arial" w:hAnsi="Arial" w:cs="Arial"/>
          <w:b/>
        </w:rPr>
        <w:t>Primero</w:t>
      </w:r>
      <w:r w:rsidRPr="00267520">
        <w:rPr>
          <w:rFonts w:ascii="Arial" w:hAnsi="Arial" w:cs="Arial"/>
        </w:rPr>
        <w:t>.-</w:t>
      </w:r>
      <w:r w:rsidRPr="00267520">
        <w:rPr>
          <w:rFonts w:ascii="Arial" w:hAnsi="Arial" w:cs="Arial"/>
          <w:bCs/>
        </w:rPr>
        <w:t xml:space="preserve"> El </w:t>
      </w:r>
      <w:r w:rsidR="00267520" w:rsidRPr="00267520">
        <w:rPr>
          <w:rFonts w:ascii="Arial" w:hAnsi="Arial" w:cs="Arial"/>
          <w:bCs/>
        </w:rPr>
        <w:t>23</w:t>
      </w:r>
      <w:r w:rsidRPr="00267520">
        <w:rPr>
          <w:rFonts w:ascii="Arial" w:hAnsi="Arial" w:cs="Arial"/>
          <w:bCs/>
        </w:rPr>
        <w:t xml:space="preserve"> de junio de 2021, el Pleno del Instituto Federal de Telecomunicaciones (Instituto) determinó someter a </w:t>
      </w:r>
      <w:r w:rsidR="009A0C2D">
        <w:rPr>
          <w:rFonts w:ascii="Arial" w:hAnsi="Arial" w:cs="Arial"/>
          <w:bCs/>
        </w:rPr>
        <w:t>C</w:t>
      </w:r>
      <w:r w:rsidRPr="00267520">
        <w:rPr>
          <w:rFonts w:ascii="Arial" w:hAnsi="Arial" w:cs="Arial"/>
          <w:bCs/>
        </w:rPr>
        <w:t xml:space="preserve">onsulta </w:t>
      </w:r>
      <w:r w:rsidR="009A0C2D">
        <w:rPr>
          <w:rFonts w:ascii="Arial" w:hAnsi="Arial" w:cs="Arial"/>
          <w:bCs/>
        </w:rPr>
        <w:t>P</w:t>
      </w:r>
      <w:r w:rsidRPr="00267520">
        <w:rPr>
          <w:rFonts w:ascii="Arial" w:hAnsi="Arial" w:cs="Arial"/>
          <w:bCs/>
        </w:rPr>
        <w:t xml:space="preserve">ública el </w:t>
      </w:r>
      <w:r w:rsidRPr="00267520">
        <w:rPr>
          <w:rFonts w:ascii="Arial" w:hAnsi="Arial" w:cs="Arial"/>
          <w:bCs/>
          <w:i/>
          <w:iCs/>
        </w:rPr>
        <w:t>“Anteproyecto de Guía para determinar Mercados Relevantes en los Sectores de Telecomunicaciones y Radiodifusión”</w:t>
      </w:r>
      <w:r w:rsidRPr="00267520">
        <w:rPr>
          <w:rFonts w:ascii="Arial" w:hAnsi="Arial" w:cs="Arial"/>
          <w:bCs/>
        </w:rPr>
        <w:t xml:space="preserve"> (Anteproyecto de Guía), por un periodo de 30 (treinta) días</w:t>
      </w:r>
      <w:r w:rsidR="00267520" w:rsidRPr="00267520">
        <w:rPr>
          <w:rFonts w:ascii="Arial" w:hAnsi="Arial" w:cs="Arial"/>
          <w:bCs/>
        </w:rPr>
        <w:t xml:space="preserve"> hábiles</w:t>
      </w:r>
      <w:r w:rsidRPr="00267520">
        <w:rPr>
          <w:rFonts w:ascii="Arial" w:hAnsi="Arial" w:cs="Arial"/>
          <w:bCs/>
        </w:rPr>
        <w:t xml:space="preserve">.  </w:t>
      </w:r>
    </w:p>
    <w:p w14:paraId="49572AA0" w14:textId="77777777" w:rsidR="0064437D" w:rsidRPr="00267520" w:rsidRDefault="0064437D" w:rsidP="0064437D">
      <w:pPr>
        <w:spacing w:after="0"/>
        <w:jc w:val="both"/>
        <w:rPr>
          <w:rFonts w:ascii="Arial" w:hAnsi="Arial" w:cs="Arial"/>
          <w:bCs/>
        </w:rPr>
      </w:pPr>
    </w:p>
    <w:p w14:paraId="29E796AF" w14:textId="64882BD7" w:rsidR="0064437D" w:rsidRPr="00267520" w:rsidRDefault="0064437D" w:rsidP="0064437D">
      <w:pPr>
        <w:spacing w:after="0"/>
        <w:jc w:val="both"/>
        <w:rPr>
          <w:rFonts w:ascii="Arial" w:hAnsi="Arial" w:cs="Arial"/>
        </w:rPr>
      </w:pPr>
      <w:r w:rsidRPr="00267520">
        <w:rPr>
          <w:rFonts w:ascii="Arial" w:hAnsi="Arial" w:cs="Arial"/>
          <w:bCs/>
        </w:rPr>
        <w:t xml:space="preserve">El extracto del Anteproyecto de Guía se publicó en el Diario Oficial de la Federación el </w:t>
      </w:r>
      <w:r w:rsidR="00267520" w:rsidRPr="00267520">
        <w:rPr>
          <w:rFonts w:ascii="Arial" w:hAnsi="Arial" w:cs="Arial"/>
          <w:bCs/>
        </w:rPr>
        <w:t>9</w:t>
      </w:r>
      <w:r w:rsidRPr="00267520">
        <w:rPr>
          <w:rFonts w:ascii="Arial" w:hAnsi="Arial" w:cs="Arial"/>
          <w:bCs/>
        </w:rPr>
        <w:t xml:space="preserve"> de ju</w:t>
      </w:r>
      <w:r w:rsidR="00267520" w:rsidRPr="00267520">
        <w:rPr>
          <w:rFonts w:ascii="Arial" w:hAnsi="Arial" w:cs="Arial"/>
          <w:bCs/>
        </w:rPr>
        <w:t>l</w:t>
      </w:r>
      <w:r w:rsidRPr="00267520">
        <w:rPr>
          <w:rFonts w:ascii="Arial" w:hAnsi="Arial" w:cs="Arial"/>
          <w:bCs/>
        </w:rPr>
        <w:t xml:space="preserve">io de 2021, por lo que la </w:t>
      </w:r>
      <w:r w:rsidR="009A0C2D">
        <w:rPr>
          <w:rFonts w:ascii="Arial" w:hAnsi="Arial" w:cs="Arial"/>
          <w:bCs/>
        </w:rPr>
        <w:t>C</w:t>
      </w:r>
      <w:r w:rsidRPr="00267520">
        <w:rPr>
          <w:rFonts w:ascii="Arial" w:hAnsi="Arial" w:cs="Arial"/>
          <w:bCs/>
        </w:rPr>
        <w:t xml:space="preserve">onsulta </w:t>
      </w:r>
      <w:r w:rsidR="009A0C2D">
        <w:rPr>
          <w:rFonts w:ascii="Arial" w:hAnsi="Arial" w:cs="Arial"/>
          <w:bCs/>
        </w:rPr>
        <w:t>P</w:t>
      </w:r>
      <w:r w:rsidRPr="00267520">
        <w:rPr>
          <w:rFonts w:ascii="Arial" w:hAnsi="Arial" w:cs="Arial"/>
          <w:bCs/>
        </w:rPr>
        <w:t xml:space="preserve">ública transcurrió del </w:t>
      </w:r>
      <w:r w:rsidR="00267520" w:rsidRPr="00267520">
        <w:rPr>
          <w:rFonts w:ascii="Arial" w:hAnsi="Arial" w:cs="Arial"/>
          <w:bCs/>
        </w:rPr>
        <w:t>12</w:t>
      </w:r>
      <w:r w:rsidRPr="00267520">
        <w:rPr>
          <w:rFonts w:ascii="Arial" w:hAnsi="Arial" w:cs="Arial"/>
          <w:bCs/>
        </w:rPr>
        <w:t xml:space="preserve"> de ju</w:t>
      </w:r>
      <w:r w:rsidR="00267520" w:rsidRPr="00267520">
        <w:rPr>
          <w:rFonts w:ascii="Arial" w:hAnsi="Arial" w:cs="Arial"/>
          <w:bCs/>
        </w:rPr>
        <w:t>l</w:t>
      </w:r>
      <w:r w:rsidRPr="00267520">
        <w:rPr>
          <w:rFonts w:ascii="Arial" w:hAnsi="Arial" w:cs="Arial"/>
          <w:bCs/>
        </w:rPr>
        <w:t xml:space="preserve">io al </w:t>
      </w:r>
      <w:r w:rsidR="00267520" w:rsidRPr="00267520">
        <w:rPr>
          <w:rFonts w:ascii="Arial" w:hAnsi="Arial" w:cs="Arial"/>
          <w:bCs/>
        </w:rPr>
        <w:t>3</w:t>
      </w:r>
      <w:r w:rsidRPr="00267520">
        <w:rPr>
          <w:rFonts w:ascii="Arial" w:hAnsi="Arial" w:cs="Arial"/>
          <w:bCs/>
        </w:rPr>
        <w:t xml:space="preserve"> de </w:t>
      </w:r>
      <w:r w:rsidR="00267520" w:rsidRPr="00267520">
        <w:rPr>
          <w:rFonts w:ascii="Arial" w:hAnsi="Arial" w:cs="Arial"/>
          <w:bCs/>
        </w:rPr>
        <w:t xml:space="preserve">septiembre </w:t>
      </w:r>
      <w:r w:rsidRPr="00267520">
        <w:rPr>
          <w:rFonts w:ascii="Arial" w:hAnsi="Arial" w:cs="Arial"/>
          <w:bCs/>
        </w:rPr>
        <w:t>de 2021</w:t>
      </w:r>
      <w:r w:rsidRPr="00267520">
        <w:rPr>
          <w:rFonts w:ascii="Arial" w:hAnsi="Arial" w:cs="Arial"/>
        </w:rPr>
        <w:t>.</w:t>
      </w:r>
    </w:p>
    <w:p w14:paraId="348C7D1C" w14:textId="77777777" w:rsidR="0064437D" w:rsidRPr="00A334AA" w:rsidRDefault="0064437D" w:rsidP="0064437D">
      <w:pPr>
        <w:spacing w:after="0"/>
        <w:jc w:val="both"/>
        <w:rPr>
          <w:rFonts w:ascii="Arial" w:hAnsi="Arial" w:cs="Arial"/>
          <w:highlight w:val="yellow"/>
        </w:rPr>
      </w:pPr>
    </w:p>
    <w:p w14:paraId="0CA8643B" w14:textId="47AFE048" w:rsidR="0064437D" w:rsidRPr="00267520" w:rsidRDefault="0064437D" w:rsidP="0064437D">
      <w:pPr>
        <w:spacing w:after="0"/>
        <w:jc w:val="both"/>
        <w:rPr>
          <w:rFonts w:ascii="Arial" w:hAnsi="Arial" w:cs="Arial"/>
        </w:rPr>
      </w:pPr>
      <w:r w:rsidRPr="00267520">
        <w:rPr>
          <w:rFonts w:ascii="Arial" w:hAnsi="Arial" w:cs="Arial"/>
          <w:b/>
          <w:bCs/>
        </w:rPr>
        <w:t>Segundo.</w:t>
      </w:r>
      <w:r w:rsidR="00732668" w:rsidRPr="00267520">
        <w:rPr>
          <w:rFonts w:ascii="Arial" w:hAnsi="Arial" w:cs="Arial"/>
          <w:b/>
          <w:bCs/>
        </w:rPr>
        <w:t>-</w:t>
      </w:r>
      <w:r w:rsidRPr="00267520">
        <w:rPr>
          <w:rFonts w:ascii="Arial" w:hAnsi="Arial" w:cs="Arial"/>
        </w:rPr>
        <w:t xml:space="preserve"> Durante el periodo de consulta se recibieron diversas opiniones, comentarios y propuestas al Anteproyecto de Guía, de diversas personas físicas y morales, mismos que fueron considerados por la Autoridad Investigadora y la Unidad de Competencia Económica</w:t>
      </w:r>
      <w:r w:rsidR="00267520">
        <w:rPr>
          <w:rFonts w:ascii="Arial" w:hAnsi="Arial" w:cs="Arial"/>
        </w:rPr>
        <w:t xml:space="preserve"> (UCE)</w:t>
      </w:r>
      <w:r w:rsidRPr="00267520">
        <w:rPr>
          <w:rFonts w:ascii="Arial" w:hAnsi="Arial" w:cs="Arial"/>
        </w:rPr>
        <w:t xml:space="preserve"> en el informe respectivo de conformidad con el artículo 138, fracción II, de la L</w:t>
      </w:r>
      <w:r w:rsidR="00C41BDB">
        <w:rPr>
          <w:rFonts w:ascii="Arial" w:hAnsi="Arial" w:cs="Arial"/>
        </w:rPr>
        <w:t xml:space="preserve">ey </w:t>
      </w:r>
      <w:r w:rsidRPr="00267520">
        <w:rPr>
          <w:rFonts w:ascii="Arial" w:hAnsi="Arial" w:cs="Arial"/>
        </w:rPr>
        <w:t>F</w:t>
      </w:r>
      <w:r w:rsidR="00C41BDB">
        <w:rPr>
          <w:rFonts w:ascii="Arial" w:hAnsi="Arial" w:cs="Arial"/>
        </w:rPr>
        <w:t xml:space="preserve">ederal de </w:t>
      </w:r>
      <w:r w:rsidRPr="00267520">
        <w:rPr>
          <w:rFonts w:ascii="Arial" w:hAnsi="Arial" w:cs="Arial"/>
        </w:rPr>
        <w:t>C</w:t>
      </w:r>
      <w:r w:rsidR="00C41BDB">
        <w:rPr>
          <w:rFonts w:ascii="Arial" w:hAnsi="Arial" w:cs="Arial"/>
        </w:rPr>
        <w:t xml:space="preserve">ompetencia </w:t>
      </w:r>
      <w:r w:rsidRPr="00267520">
        <w:rPr>
          <w:rFonts w:ascii="Arial" w:hAnsi="Arial" w:cs="Arial"/>
        </w:rPr>
        <w:t>E</w:t>
      </w:r>
      <w:r w:rsidR="00C41BDB">
        <w:rPr>
          <w:rFonts w:ascii="Arial" w:hAnsi="Arial" w:cs="Arial"/>
        </w:rPr>
        <w:t>conómica (LFCE)</w:t>
      </w:r>
      <w:r w:rsidR="00267520" w:rsidRPr="00267520">
        <w:rPr>
          <w:rFonts w:ascii="Arial" w:hAnsi="Arial" w:cs="Arial"/>
        </w:rPr>
        <w:t>;</w:t>
      </w:r>
      <w:r w:rsidRPr="00267520">
        <w:rPr>
          <w:rFonts w:ascii="Arial" w:hAnsi="Arial" w:cs="Arial"/>
        </w:rPr>
        <w:t xml:space="preserve"> el </w:t>
      </w:r>
      <w:r w:rsidR="00267520" w:rsidRPr="00267520">
        <w:rPr>
          <w:rFonts w:ascii="Arial" w:hAnsi="Arial" w:cs="Arial"/>
        </w:rPr>
        <w:t xml:space="preserve">informe referido </w:t>
      </w:r>
      <w:r w:rsidRPr="00267520">
        <w:rPr>
          <w:rFonts w:ascii="Arial" w:hAnsi="Arial" w:cs="Arial"/>
        </w:rPr>
        <w:t xml:space="preserve">se </w:t>
      </w:r>
      <w:r w:rsidR="00267520" w:rsidRPr="00267520">
        <w:rPr>
          <w:rFonts w:ascii="Arial" w:hAnsi="Arial" w:cs="Arial"/>
        </w:rPr>
        <w:t>tuvo por integrado el 15 de octubre de 2021 y se encuentra publicado en la página de Internet del Instituto.</w:t>
      </w:r>
    </w:p>
    <w:p w14:paraId="3319E2BB" w14:textId="77777777" w:rsidR="0064437D" w:rsidRPr="00A334AA" w:rsidRDefault="0064437D" w:rsidP="0064437D">
      <w:pPr>
        <w:spacing w:after="0"/>
        <w:jc w:val="both"/>
        <w:rPr>
          <w:rFonts w:ascii="Arial" w:hAnsi="Arial" w:cs="Arial"/>
          <w:highlight w:val="yellow"/>
        </w:rPr>
      </w:pPr>
    </w:p>
    <w:p w14:paraId="24922B87" w14:textId="46917BE4" w:rsidR="00C234F6" w:rsidRDefault="0064437D" w:rsidP="0064437D">
      <w:pPr>
        <w:spacing w:after="0"/>
        <w:jc w:val="both"/>
        <w:rPr>
          <w:rFonts w:ascii="Arial" w:hAnsi="Arial" w:cs="Arial"/>
          <w:bCs/>
        </w:rPr>
      </w:pPr>
      <w:r w:rsidRPr="00267520">
        <w:rPr>
          <w:rFonts w:ascii="Arial" w:hAnsi="Arial" w:cs="Arial"/>
          <w:b/>
        </w:rPr>
        <w:t xml:space="preserve">Tercero.- </w:t>
      </w:r>
      <w:r w:rsidR="001D1A7C" w:rsidRPr="008B08FD">
        <w:rPr>
          <w:rFonts w:ascii="Arial" w:hAnsi="Arial" w:cs="Arial"/>
          <w:bCs/>
        </w:rPr>
        <w:t>Mediante el Oficio IFT/110/AI/054/2021 de fecha de 13 de julio de 2021, se solicitó a la C</w:t>
      </w:r>
      <w:r w:rsidR="00C234F6">
        <w:rPr>
          <w:rFonts w:ascii="Arial" w:hAnsi="Arial" w:cs="Arial"/>
          <w:bCs/>
        </w:rPr>
        <w:t>omisión Federal de Competencia Económica</w:t>
      </w:r>
      <w:r w:rsidR="001D1A7C" w:rsidRPr="008B08FD">
        <w:rPr>
          <w:rFonts w:ascii="Arial" w:hAnsi="Arial" w:cs="Arial"/>
          <w:bCs/>
        </w:rPr>
        <w:t xml:space="preserve"> emitir la opinión a la que se refiere el artículo 138, fracción I, in fine, de la LFCE, en relación con el Anteproyecto de Guía. </w:t>
      </w:r>
    </w:p>
    <w:p w14:paraId="0FF0AD5A" w14:textId="77777777" w:rsidR="00C234F6" w:rsidRDefault="00C234F6" w:rsidP="0064437D">
      <w:pPr>
        <w:spacing w:after="0"/>
        <w:jc w:val="both"/>
        <w:rPr>
          <w:rFonts w:ascii="Arial" w:hAnsi="Arial" w:cs="Arial"/>
          <w:bCs/>
        </w:rPr>
      </w:pPr>
    </w:p>
    <w:p w14:paraId="64448BB4" w14:textId="0F95170E" w:rsidR="001D1A7C" w:rsidRDefault="00C234F6" w:rsidP="0064437D">
      <w:pPr>
        <w:spacing w:after="0"/>
        <w:jc w:val="both"/>
        <w:rPr>
          <w:rFonts w:ascii="Arial" w:hAnsi="Arial" w:cs="Arial"/>
          <w:bCs/>
        </w:rPr>
      </w:pPr>
      <w:r w:rsidRPr="008C034F">
        <w:rPr>
          <w:rFonts w:ascii="Arial" w:hAnsi="Arial" w:cs="Arial"/>
          <w:b/>
        </w:rPr>
        <w:t>Cuarto.-</w:t>
      </w:r>
      <w:r>
        <w:rPr>
          <w:rFonts w:ascii="Arial" w:hAnsi="Arial" w:cs="Arial"/>
          <w:b/>
        </w:rPr>
        <w:t xml:space="preserve"> </w:t>
      </w:r>
      <w:r w:rsidRPr="008C034F">
        <w:rPr>
          <w:rFonts w:ascii="Arial" w:hAnsi="Arial" w:cs="Arial"/>
          <w:bCs/>
        </w:rPr>
        <w:t>M</w:t>
      </w:r>
      <w:r w:rsidR="001D1A7C" w:rsidRPr="008B08FD">
        <w:rPr>
          <w:rFonts w:ascii="Arial" w:hAnsi="Arial" w:cs="Arial"/>
          <w:bCs/>
        </w:rPr>
        <w:t xml:space="preserve">ediante el Oficio ST-CFCE-2021-089 de fecha 23 de septiembre de 2021, la </w:t>
      </w:r>
      <w:r w:rsidR="00744B9E">
        <w:rPr>
          <w:rFonts w:ascii="Arial" w:hAnsi="Arial" w:cs="Arial"/>
          <w:bCs/>
        </w:rPr>
        <w:t>Comisión Federal de Competencia Económica</w:t>
      </w:r>
      <w:r w:rsidR="001D1A7C" w:rsidRPr="008B08FD">
        <w:rPr>
          <w:rFonts w:ascii="Arial" w:hAnsi="Arial" w:cs="Arial"/>
          <w:bCs/>
        </w:rPr>
        <w:t xml:space="preserve"> </w:t>
      </w:r>
      <w:r w:rsidR="008C034F">
        <w:rPr>
          <w:rFonts w:ascii="Arial" w:hAnsi="Arial" w:cs="Arial"/>
          <w:bCs/>
        </w:rPr>
        <w:t>respondió el oficio referido en el numeral anterior y emitió diversos</w:t>
      </w:r>
      <w:r w:rsidR="001D1A7C" w:rsidRPr="008B08FD">
        <w:rPr>
          <w:rFonts w:ascii="Arial" w:hAnsi="Arial" w:cs="Arial"/>
          <w:bCs/>
        </w:rPr>
        <w:t xml:space="preserve"> comentarios al Anteproyecto de Guía.</w:t>
      </w:r>
    </w:p>
    <w:p w14:paraId="6F20C722" w14:textId="77777777" w:rsidR="001D1A7C" w:rsidRDefault="001D1A7C" w:rsidP="0064437D">
      <w:pPr>
        <w:spacing w:after="0"/>
        <w:jc w:val="both"/>
        <w:rPr>
          <w:rFonts w:ascii="Arial" w:hAnsi="Arial" w:cs="Arial"/>
          <w:bCs/>
        </w:rPr>
      </w:pPr>
    </w:p>
    <w:p w14:paraId="63394DD2" w14:textId="225F8EC8" w:rsidR="004F732C" w:rsidRPr="004F732C" w:rsidRDefault="00BF54FB" w:rsidP="0064437D">
      <w:pPr>
        <w:spacing w:after="0"/>
        <w:jc w:val="both"/>
        <w:rPr>
          <w:rFonts w:ascii="Arial" w:hAnsi="Arial" w:cs="Arial"/>
          <w:iCs/>
        </w:rPr>
      </w:pPr>
      <w:r>
        <w:rPr>
          <w:rFonts w:ascii="Arial" w:hAnsi="Arial" w:cs="Arial"/>
          <w:b/>
        </w:rPr>
        <w:t>Quint</w:t>
      </w:r>
      <w:r w:rsidR="001D1A7C" w:rsidRPr="008B08FD">
        <w:rPr>
          <w:rFonts w:ascii="Arial" w:hAnsi="Arial" w:cs="Arial"/>
          <w:b/>
        </w:rPr>
        <w:t>o.-</w:t>
      </w:r>
      <w:r w:rsidR="001D1A7C" w:rsidRPr="008B08FD">
        <w:rPr>
          <w:rFonts w:ascii="Arial" w:hAnsi="Arial" w:cs="Arial"/>
          <w:bCs/>
        </w:rPr>
        <w:t xml:space="preserve"> </w:t>
      </w:r>
      <w:r w:rsidR="0064437D" w:rsidRPr="00267520">
        <w:rPr>
          <w:rFonts w:ascii="Arial" w:hAnsi="Arial" w:cs="Arial"/>
          <w:bCs/>
        </w:rPr>
        <w:t xml:space="preserve">El </w:t>
      </w:r>
      <w:r w:rsidR="00267520">
        <w:rPr>
          <w:rFonts w:ascii="Arial" w:hAnsi="Arial" w:cs="Arial"/>
          <w:bCs/>
        </w:rPr>
        <w:t>21</w:t>
      </w:r>
      <w:r w:rsidR="0064437D" w:rsidRPr="00267520">
        <w:rPr>
          <w:rFonts w:ascii="Arial" w:hAnsi="Arial" w:cs="Arial"/>
          <w:bCs/>
        </w:rPr>
        <w:t xml:space="preserve"> de </w:t>
      </w:r>
      <w:r w:rsidR="00267520">
        <w:rPr>
          <w:rFonts w:ascii="Arial" w:hAnsi="Arial" w:cs="Arial"/>
          <w:bCs/>
        </w:rPr>
        <w:t xml:space="preserve">octubre </w:t>
      </w:r>
      <w:r w:rsidR="0064437D" w:rsidRPr="00267520">
        <w:rPr>
          <w:rFonts w:ascii="Arial" w:hAnsi="Arial" w:cs="Arial"/>
          <w:bCs/>
        </w:rPr>
        <w:t xml:space="preserve">de 2021, </w:t>
      </w:r>
      <w:r w:rsidR="00267520" w:rsidRPr="00267520">
        <w:rPr>
          <w:rFonts w:ascii="Arial" w:hAnsi="Arial" w:cs="Arial"/>
          <w:bCs/>
        </w:rPr>
        <w:t xml:space="preserve">en términos de lo previsto en lineamiento Vigésimo Tercero de los </w:t>
      </w:r>
      <w:r w:rsidR="00267520" w:rsidRPr="007F74C7">
        <w:rPr>
          <w:rFonts w:ascii="Arial" w:eastAsia="Times New Roman" w:hAnsi="Arial" w:cs="Arial"/>
          <w:bCs/>
          <w:color w:val="000000"/>
          <w:lang w:eastAsia="es-MX"/>
        </w:rPr>
        <w:t xml:space="preserve">Lineamientos de Consulta Pública y Análisis de Impacto Regulatorio del Instituto Federal de </w:t>
      </w:r>
      <w:r w:rsidR="00267520" w:rsidRPr="004F732C">
        <w:rPr>
          <w:rFonts w:ascii="Arial" w:eastAsia="Times New Roman" w:hAnsi="Arial" w:cs="Arial"/>
          <w:bCs/>
          <w:color w:val="000000"/>
          <w:lang w:eastAsia="es-MX"/>
        </w:rPr>
        <w:t>Telecomunicaciones</w:t>
      </w:r>
      <w:r w:rsidR="00267520" w:rsidRPr="004F732C">
        <w:rPr>
          <w:rFonts w:ascii="Arial" w:hAnsi="Arial" w:cs="Arial"/>
          <w:bCs/>
        </w:rPr>
        <w:t xml:space="preserve">, </w:t>
      </w:r>
      <w:r w:rsidR="0064437D" w:rsidRPr="004F732C">
        <w:rPr>
          <w:rFonts w:ascii="Arial" w:hAnsi="Arial" w:cs="Arial"/>
          <w:bCs/>
        </w:rPr>
        <w:t xml:space="preserve">la UCE </w:t>
      </w:r>
      <w:r w:rsidR="00267520" w:rsidRPr="004F732C">
        <w:rPr>
          <w:rFonts w:ascii="Arial" w:hAnsi="Arial" w:cs="Arial"/>
          <w:bCs/>
        </w:rPr>
        <w:t>solicitó</w:t>
      </w:r>
      <w:r w:rsidR="0064437D" w:rsidRPr="004F732C">
        <w:rPr>
          <w:rFonts w:ascii="Arial" w:hAnsi="Arial" w:cs="Arial"/>
          <w:bCs/>
        </w:rPr>
        <w:t xml:space="preserve"> a la Coordinación General de Mejora Regulatoria (CGMR) </w:t>
      </w:r>
      <w:r w:rsidR="00267520" w:rsidRPr="004F732C">
        <w:rPr>
          <w:rFonts w:ascii="Arial" w:eastAsia="Times New Roman" w:hAnsi="Arial" w:cs="Arial"/>
          <w:bCs/>
          <w:lang w:eastAsia="es-MX"/>
        </w:rPr>
        <w:t xml:space="preserve">opinión no vinculante </w:t>
      </w:r>
      <w:r w:rsidR="004F732C" w:rsidRPr="004F732C">
        <w:rPr>
          <w:rFonts w:ascii="Arial" w:eastAsia="Times New Roman" w:hAnsi="Arial" w:cs="Arial"/>
          <w:bCs/>
          <w:lang w:eastAsia="es-MX"/>
        </w:rPr>
        <w:t>respecto a</w:t>
      </w:r>
      <w:r w:rsidR="00267520" w:rsidRPr="004F732C">
        <w:rPr>
          <w:rFonts w:ascii="Arial" w:eastAsia="Times New Roman" w:hAnsi="Arial" w:cs="Arial"/>
          <w:bCs/>
          <w:lang w:eastAsia="es-MX"/>
        </w:rPr>
        <w:t>l Análisis de Nulo Impacto Regulatorio (ANIR) del Proyecto de Guía</w:t>
      </w:r>
      <w:r w:rsidR="0064437D" w:rsidRPr="004F732C">
        <w:rPr>
          <w:rFonts w:ascii="Arial" w:hAnsi="Arial" w:cs="Arial"/>
          <w:bCs/>
          <w:i/>
        </w:rPr>
        <w:t>.</w:t>
      </w:r>
    </w:p>
    <w:p w14:paraId="5A13987E" w14:textId="46F551F1" w:rsidR="0064437D" w:rsidRPr="00B07687" w:rsidRDefault="00BF54FB" w:rsidP="0064437D">
      <w:pPr>
        <w:spacing w:after="0"/>
        <w:jc w:val="both"/>
        <w:rPr>
          <w:rFonts w:ascii="Arial" w:hAnsi="Arial" w:cs="Arial"/>
          <w:iCs/>
        </w:rPr>
      </w:pPr>
      <w:r>
        <w:rPr>
          <w:rFonts w:ascii="Arial" w:hAnsi="Arial" w:cs="Arial"/>
          <w:b/>
        </w:rPr>
        <w:t>Sexto</w:t>
      </w:r>
      <w:r w:rsidR="0064437D" w:rsidRPr="001D2781">
        <w:rPr>
          <w:rFonts w:ascii="Arial" w:hAnsi="Arial" w:cs="Arial"/>
          <w:b/>
        </w:rPr>
        <w:t>.-</w:t>
      </w:r>
      <w:r w:rsidR="0064437D" w:rsidRPr="001D2781">
        <w:rPr>
          <w:rFonts w:ascii="Arial" w:hAnsi="Arial" w:cs="Arial"/>
          <w:i/>
        </w:rPr>
        <w:t xml:space="preserve"> </w:t>
      </w:r>
      <w:r w:rsidR="0064437D" w:rsidRPr="001D2781">
        <w:rPr>
          <w:rFonts w:ascii="Arial" w:hAnsi="Arial" w:cs="Arial"/>
          <w:bCs/>
        </w:rPr>
        <w:t xml:space="preserve">El </w:t>
      </w:r>
      <w:r w:rsidR="004F732C" w:rsidRPr="001D2781">
        <w:rPr>
          <w:rFonts w:ascii="Arial" w:hAnsi="Arial" w:cs="Arial"/>
          <w:bCs/>
        </w:rPr>
        <w:t>0</w:t>
      </w:r>
      <w:r w:rsidR="001D2781" w:rsidRPr="001D2781">
        <w:rPr>
          <w:rFonts w:ascii="Arial" w:hAnsi="Arial" w:cs="Arial"/>
          <w:bCs/>
        </w:rPr>
        <w:t>4</w:t>
      </w:r>
      <w:r w:rsidR="0064437D" w:rsidRPr="001D2781">
        <w:rPr>
          <w:rFonts w:ascii="Arial" w:hAnsi="Arial" w:cs="Arial"/>
          <w:bCs/>
        </w:rPr>
        <w:t xml:space="preserve"> de </w:t>
      </w:r>
      <w:r w:rsidR="004F732C" w:rsidRPr="001D2781">
        <w:rPr>
          <w:rFonts w:ascii="Arial" w:hAnsi="Arial" w:cs="Arial"/>
          <w:bCs/>
        </w:rPr>
        <w:t xml:space="preserve">noviembre </w:t>
      </w:r>
      <w:r w:rsidR="0064437D" w:rsidRPr="001D2781">
        <w:rPr>
          <w:rFonts w:ascii="Arial" w:hAnsi="Arial" w:cs="Arial"/>
          <w:bCs/>
        </w:rPr>
        <w:t xml:space="preserve">de 2021, la CGMR envió a la UCE opinión favorable </w:t>
      </w:r>
      <w:r w:rsidR="004F732C" w:rsidRPr="001D2781">
        <w:rPr>
          <w:rFonts w:ascii="Arial" w:hAnsi="Arial" w:cs="Arial"/>
          <w:bCs/>
        </w:rPr>
        <w:t>respecto a</w:t>
      </w:r>
      <w:r w:rsidR="0064437D" w:rsidRPr="001D2781">
        <w:rPr>
          <w:rFonts w:ascii="Arial" w:hAnsi="Arial" w:cs="Arial"/>
          <w:bCs/>
        </w:rPr>
        <w:t xml:space="preserve">l </w:t>
      </w:r>
      <w:r w:rsidR="004F732C" w:rsidRPr="001D2781">
        <w:rPr>
          <w:rFonts w:ascii="Arial" w:hAnsi="Arial" w:cs="Arial"/>
          <w:bCs/>
        </w:rPr>
        <w:t>ANIR del</w:t>
      </w:r>
      <w:r w:rsidR="0064437D" w:rsidRPr="001D2781">
        <w:rPr>
          <w:rFonts w:ascii="Arial" w:hAnsi="Arial" w:cs="Arial"/>
          <w:bCs/>
        </w:rPr>
        <w:t xml:space="preserve"> Proyecto de Guía</w:t>
      </w:r>
      <w:r w:rsidR="0064437D" w:rsidRPr="001D2781">
        <w:rPr>
          <w:rFonts w:ascii="Arial" w:hAnsi="Arial" w:cs="Arial"/>
          <w:iCs/>
        </w:rPr>
        <w:t>.</w:t>
      </w:r>
    </w:p>
    <w:p w14:paraId="3CCE08BE" w14:textId="77777777" w:rsidR="0064437D" w:rsidRDefault="0064437D" w:rsidP="0064437D">
      <w:pPr>
        <w:spacing w:after="0"/>
        <w:jc w:val="center"/>
        <w:rPr>
          <w:rFonts w:ascii="Arial" w:eastAsia="Times New Roman" w:hAnsi="Arial" w:cs="Arial"/>
          <w:b/>
          <w:lang w:eastAsia="es-MX"/>
        </w:rPr>
      </w:pPr>
    </w:p>
    <w:p w14:paraId="596C528C" w14:textId="304663E8" w:rsidR="00D47DA6" w:rsidRDefault="00D47DA6" w:rsidP="00D47DA6">
      <w:pPr>
        <w:spacing w:after="0"/>
        <w:rPr>
          <w:rFonts w:ascii="Arial" w:hAnsi="Arial" w:cs="Arial"/>
        </w:rPr>
      </w:pPr>
      <w:r w:rsidRPr="00643754">
        <w:rPr>
          <w:rFonts w:ascii="Arial" w:hAnsi="Arial" w:cs="Arial"/>
        </w:rPr>
        <w:t>En virtud de los referidos Antecedentes, y</w:t>
      </w:r>
    </w:p>
    <w:p w14:paraId="17738743" w14:textId="4618CFDC" w:rsidR="00D47DA6" w:rsidRDefault="00D47DA6" w:rsidP="00D47DA6">
      <w:pPr>
        <w:spacing w:after="0"/>
        <w:rPr>
          <w:rFonts w:ascii="Arial" w:hAnsi="Arial" w:cs="Arial"/>
        </w:rPr>
      </w:pPr>
    </w:p>
    <w:p w14:paraId="40EAFF71" w14:textId="77777777" w:rsidR="00D47DA6" w:rsidRPr="00B81C32" w:rsidRDefault="00D47DA6" w:rsidP="00D47DA6">
      <w:pPr>
        <w:spacing w:after="0"/>
        <w:rPr>
          <w:rFonts w:ascii="Arial" w:eastAsia="Times New Roman" w:hAnsi="Arial" w:cs="Arial"/>
          <w:b/>
          <w:lang w:eastAsia="es-MX"/>
        </w:rPr>
      </w:pPr>
    </w:p>
    <w:p w14:paraId="6D17614F" w14:textId="77777777" w:rsidR="0064437D" w:rsidRPr="00D47DA6" w:rsidRDefault="0064437D" w:rsidP="00D47DA6">
      <w:pPr>
        <w:keepNext/>
        <w:keepLines/>
        <w:spacing w:after="0"/>
        <w:jc w:val="center"/>
        <w:outlineLvl w:val="0"/>
        <w:rPr>
          <w:rFonts w:ascii="Arial" w:eastAsia="Times New Roman" w:hAnsi="Arial" w:cs="Arial"/>
          <w:b/>
          <w:bCs/>
          <w:sz w:val="26"/>
          <w:szCs w:val="26"/>
          <w:lang w:eastAsia="es-MX"/>
        </w:rPr>
      </w:pPr>
      <w:r w:rsidRPr="00D47DA6">
        <w:rPr>
          <w:rFonts w:ascii="Arial" w:eastAsia="Times New Roman" w:hAnsi="Arial" w:cs="Arial"/>
          <w:b/>
          <w:bCs/>
          <w:sz w:val="26"/>
          <w:szCs w:val="26"/>
          <w:lang w:eastAsia="es-MX"/>
        </w:rPr>
        <w:t>Considerando</w:t>
      </w:r>
    </w:p>
    <w:p w14:paraId="34FCFED9" w14:textId="77777777" w:rsidR="0064437D" w:rsidRPr="00B81C32" w:rsidRDefault="0064437D" w:rsidP="00D47DA6">
      <w:pPr>
        <w:keepNext/>
        <w:spacing w:after="0"/>
        <w:jc w:val="center"/>
        <w:rPr>
          <w:rFonts w:ascii="Arial" w:eastAsia="Times New Roman" w:hAnsi="Arial" w:cs="Arial"/>
          <w:b/>
          <w:lang w:eastAsia="es-MX"/>
        </w:rPr>
      </w:pPr>
    </w:p>
    <w:p w14:paraId="68C99B14" w14:textId="77777777" w:rsidR="0064437D" w:rsidRPr="00B81C32" w:rsidRDefault="0064437D" w:rsidP="00D47DA6">
      <w:pPr>
        <w:keepNext/>
        <w:spacing w:after="0"/>
        <w:jc w:val="center"/>
        <w:rPr>
          <w:rFonts w:ascii="Arial" w:eastAsia="Times New Roman" w:hAnsi="Arial" w:cs="Arial"/>
          <w:lang w:eastAsia="es-MX"/>
        </w:rPr>
      </w:pPr>
    </w:p>
    <w:p w14:paraId="194F3CB6" w14:textId="77777777" w:rsidR="0064437D" w:rsidRDefault="0064437D" w:rsidP="0064437D">
      <w:pPr>
        <w:spacing w:after="0"/>
        <w:jc w:val="both"/>
        <w:rPr>
          <w:rFonts w:ascii="Arial" w:hAnsi="Arial" w:cs="Arial"/>
        </w:rPr>
      </w:pPr>
      <w:r w:rsidRPr="00B81C32">
        <w:rPr>
          <w:rFonts w:ascii="Arial" w:hAnsi="Arial" w:cs="Arial"/>
          <w:b/>
        </w:rPr>
        <w:t>Primero.- Competencia del Instituto</w:t>
      </w:r>
      <w:r w:rsidRPr="00B81C32">
        <w:rPr>
          <w:rFonts w:ascii="Arial" w:hAnsi="Arial" w:cs="Arial"/>
        </w:rPr>
        <w:t xml:space="preserve">. </w:t>
      </w:r>
      <w:r w:rsidRPr="006A69EF">
        <w:rPr>
          <w:rFonts w:ascii="Arial" w:eastAsia="Times New Roman" w:hAnsi="Arial" w:cs="Arial"/>
          <w:bCs/>
          <w:kern w:val="1"/>
          <w:lang w:eastAsia="ar-SA"/>
        </w:rPr>
        <w:t xml:space="preserve">De conformidad con lo dispuesto en </w:t>
      </w:r>
      <w:r>
        <w:rPr>
          <w:rFonts w:ascii="Arial" w:eastAsia="Times New Roman" w:hAnsi="Arial" w:cs="Arial"/>
          <w:bCs/>
          <w:kern w:val="1"/>
          <w:lang w:eastAsia="ar-SA"/>
        </w:rPr>
        <w:t>los</w:t>
      </w:r>
      <w:r w:rsidRPr="006A69EF">
        <w:rPr>
          <w:rFonts w:ascii="Arial" w:eastAsia="Times New Roman" w:hAnsi="Arial" w:cs="Arial"/>
          <w:bCs/>
          <w:kern w:val="1"/>
          <w:lang w:eastAsia="ar-SA"/>
        </w:rPr>
        <w:t xml:space="preserve"> artículo</w:t>
      </w:r>
      <w:r>
        <w:rPr>
          <w:rFonts w:ascii="Arial" w:eastAsia="Times New Roman" w:hAnsi="Arial" w:cs="Arial"/>
          <w:bCs/>
          <w:kern w:val="1"/>
          <w:lang w:eastAsia="ar-SA"/>
        </w:rPr>
        <w:t>s</w:t>
      </w:r>
      <w:r w:rsidRPr="006A69EF">
        <w:rPr>
          <w:rFonts w:ascii="Arial" w:eastAsia="Times New Roman" w:hAnsi="Arial" w:cs="Arial"/>
          <w:bCs/>
          <w:kern w:val="1"/>
          <w:lang w:eastAsia="ar-SA"/>
        </w:rPr>
        <w:t xml:space="preserve"> 28, párrafos décimo quinto y décimo sexto, de la Constitución Política de los Estados Unidos Mexicanos; 5, párrafo primero, de la </w:t>
      </w:r>
      <w:r w:rsidRPr="00D367A8">
        <w:rPr>
          <w:rFonts w:ascii="Arial" w:hAnsi="Arial" w:cs="Arial"/>
          <w:bCs/>
        </w:rPr>
        <w:t>Ley Federal de Competencia Económica</w:t>
      </w:r>
      <w:r w:rsidRPr="006A69EF">
        <w:rPr>
          <w:rFonts w:ascii="Arial" w:eastAsia="Times New Roman" w:hAnsi="Arial" w:cs="Arial"/>
          <w:bCs/>
          <w:kern w:val="1"/>
          <w:lang w:eastAsia="ar-SA"/>
        </w:rPr>
        <w:t xml:space="preserve"> </w:t>
      </w:r>
      <w:r>
        <w:rPr>
          <w:rFonts w:ascii="Arial" w:eastAsia="Times New Roman" w:hAnsi="Arial" w:cs="Arial"/>
          <w:bCs/>
          <w:kern w:val="1"/>
          <w:lang w:eastAsia="ar-SA"/>
        </w:rPr>
        <w:t>(</w:t>
      </w:r>
      <w:r w:rsidRPr="006A69EF">
        <w:rPr>
          <w:rFonts w:ascii="Arial" w:eastAsia="Times New Roman" w:hAnsi="Arial" w:cs="Arial"/>
          <w:bCs/>
          <w:kern w:val="1"/>
          <w:lang w:eastAsia="ar-SA"/>
        </w:rPr>
        <w:t>LFCE</w:t>
      </w:r>
      <w:r>
        <w:rPr>
          <w:rFonts w:ascii="Arial" w:eastAsia="Times New Roman" w:hAnsi="Arial" w:cs="Arial"/>
          <w:bCs/>
          <w:kern w:val="1"/>
          <w:lang w:eastAsia="ar-SA"/>
        </w:rPr>
        <w:t>)</w:t>
      </w:r>
      <w:r w:rsidRPr="006A69EF">
        <w:rPr>
          <w:rFonts w:ascii="Arial" w:eastAsia="Times New Roman" w:hAnsi="Arial" w:cs="Arial"/>
          <w:bCs/>
          <w:kern w:val="1"/>
          <w:lang w:eastAsia="ar-SA"/>
        </w:rPr>
        <w:t xml:space="preserve">; y 7, párrafos primero y tercero, de la </w:t>
      </w:r>
      <w:r w:rsidRPr="00D367A8">
        <w:rPr>
          <w:rFonts w:ascii="Arial" w:hAnsi="Arial" w:cs="Arial"/>
          <w:bCs/>
        </w:rPr>
        <w:t>Ley Federal de Telecomunicaciones y Radiodifusión</w:t>
      </w:r>
      <w:r w:rsidRPr="006A69EF">
        <w:rPr>
          <w:rFonts w:ascii="Arial" w:eastAsia="Times New Roman" w:hAnsi="Arial" w:cs="Arial"/>
          <w:bCs/>
          <w:kern w:val="1"/>
          <w:lang w:eastAsia="ar-SA"/>
        </w:rPr>
        <w:t xml:space="preserve"> </w:t>
      </w:r>
      <w:r>
        <w:rPr>
          <w:rFonts w:ascii="Arial" w:eastAsia="Times New Roman" w:hAnsi="Arial" w:cs="Arial"/>
          <w:bCs/>
          <w:kern w:val="1"/>
          <w:lang w:eastAsia="ar-SA"/>
        </w:rPr>
        <w:t>(</w:t>
      </w:r>
      <w:r w:rsidRPr="006A69EF">
        <w:rPr>
          <w:rFonts w:ascii="Arial" w:eastAsia="Times New Roman" w:hAnsi="Arial" w:cs="Arial"/>
          <w:bCs/>
          <w:kern w:val="1"/>
          <w:lang w:eastAsia="ar-SA"/>
        </w:rPr>
        <w:t>LFTR</w:t>
      </w:r>
      <w:r>
        <w:rPr>
          <w:rFonts w:ascii="Arial" w:eastAsia="Times New Roman" w:hAnsi="Arial" w:cs="Arial"/>
          <w:bCs/>
          <w:kern w:val="1"/>
          <w:lang w:eastAsia="ar-SA"/>
        </w:rPr>
        <w:t>)</w:t>
      </w:r>
      <w:r w:rsidRPr="006A69EF">
        <w:rPr>
          <w:rFonts w:ascii="Arial" w:eastAsia="Times New Roman" w:hAnsi="Arial" w:cs="Arial"/>
          <w:bCs/>
          <w:kern w:val="1"/>
          <w:lang w:eastAsia="ar-SA"/>
        </w:rPr>
        <w:t>, el Instituto es un órgano constitucional autónomo con personalidad jurídica y patrimonio propio, que tiene por objeto ser regulador sectorial y autoridad de competencia económica con facultades exclusivas en los sectores de radiodifusión y telecomunicaciones</w:t>
      </w:r>
      <w:r w:rsidRPr="00B81C32">
        <w:rPr>
          <w:rFonts w:ascii="Arial" w:hAnsi="Arial" w:cs="Arial"/>
        </w:rPr>
        <w:t>.</w:t>
      </w:r>
      <w:r>
        <w:rPr>
          <w:rFonts w:ascii="Arial" w:hAnsi="Arial" w:cs="Arial"/>
        </w:rPr>
        <w:t xml:space="preserve"> </w:t>
      </w:r>
    </w:p>
    <w:p w14:paraId="4451B71D" w14:textId="77777777" w:rsidR="00674655" w:rsidRDefault="00674655" w:rsidP="0064437D">
      <w:pPr>
        <w:spacing w:after="0"/>
        <w:jc w:val="both"/>
        <w:rPr>
          <w:rFonts w:ascii="Arial" w:hAnsi="Arial" w:cs="Arial"/>
        </w:rPr>
      </w:pPr>
    </w:p>
    <w:p w14:paraId="0FD8E1EB" w14:textId="6D2F22AA" w:rsidR="0064437D" w:rsidRPr="00B81C32" w:rsidRDefault="0064437D" w:rsidP="0064437D">
      <w:pPr>
        <w:spacing w:after="0"/>
        <w:jc w:val="both"/>
        <w:rPr>
          <w:rFonts w:ascii="Arial" w:hAnsi="Arial" w:cs="Arial"/>
        </w:rPr>
      </w:pPr>
      <w:r w:rsidRPr="00B81C32">
        <w:rPr>
          <w:rFonts w:ascii="Arial" w:hAnsi="Arial" w:cs="Arial"/>
        </w:rPr>
        <w:t xml:space="preserve">En términos de lo dispuesto por los artículos 12, </w:t>
      </w:r>
      <w:r w:rsidRPr="00D35A6A">
        <w:rPr>
          <w:rFonts w:ascii="Arial" w:eastAsia="Times New Roman" w:hAnsi="Arial" w:cs="Arial"/>
          <w:bCs/>
          <w:color w:val="000000"/>
          <w:lang w:eastAsia="es-MX"/>
        </w:rPr>
        <w:t xml:space="preserve">fracción XXII, párrafo </w:t>
      </w:r>
      <w:r>
        <w:rPr>
          <w:rFonts w:ascii="Arial" w:eastAsia="Times New Roman" w:hAnsi="Arial" w:cs="Arial"/>
          <w:bCs/>
          <w:color w:val="000000"/>
          <w:lang w:eastAsia="es-MX"/>
        </w:rPr>
        <w:t>tercero</w:t>
      </w:r>
      <w:r w:rsidRPr="00D35A6A">
        <w:rPr>
          <w:rFonts w:ascii="Arial" w:eastAsia="Times New Roman" w:hAnsi="Arial" w:cs="Arial"/>
          <w:bCs/>
          <w:color w:val="000000"/>
          <w:lang w:eastAsia="es-MX"/>
        </w:rPr>
        <w:t xml:space="preserve">, inciso </w:t>
      </w:r>
      <w:r>
        <w:rPr>
          <w:rFonts w:ascii="Arial" w:eastAsia="Times New Roman" w:hAnsi="Arial" w:cs="Arial"/>
          <w:bCs/>
          <w:color w:val="000000"/>
          <w:lang w:eastAsia="es-MX"/>
        </w:rPr>
        <w:t>g</w:t>
      </w:r>
      <w:r w:rsidRPr="00D35A6A">
        <w:rPr>
          <w:rFonts w:ascii="Arial" w:eastAsia="Times New Roman" w:hAnsi="Arial" w:cs="Arial"/>
          <w:bCs/>
          <w:color w:val="000000"/>
          <w:lang w:eastAsia="es-MX"/>
        </w:rPr>
        <w:t xml:space="preserve">), de la </w:t>
      </w:r>
      <w:r>
        <w:rPr>
          <w:rFonts w:ascii="Arial" w:eastAsia="Times New Roman" w:hAnsi="Arial" w:cs="Arial"/>
          <w:bCs/>
          <w:color w:val="000000"/>
          <w:lang w:eastAsia="es-MX"/>
        </w:rPr>
        <w:t>Ley Federal de Competencia Económica (</w:t>
      </w:r>
      <w:r w:rsidRPr="00D35A6A">
        <w:rPr>
          <w:rFonts w:ascii="Arial" w:eastAsia="Times New Roman" w:hAnsi="Arial" w:cs="Arial"/>
          <w:bCs/>
          <w:color w:val="000000"/>
          <w:lang w:eastAsia="es-MX"/>
        </w:rPr>
        <w:t>LFCE</w:t>
      </w:r>
      <w:r>
        <w:rPr>
          <w:rFonts w:ascii="Arial" w:eastAsia="Times New Roman" w:hAnsi="Arial" w:cs="Arial"/>
          <w:bCs/>
          <w:color w:val="000000"/>
          <w:lang w:eastAsia="es-MX"/>
        </w:rPr>
        <w:t>)</w:t>
      </w:r>
      <w:r w:rsidRPr="00D35A6A">
        <w:rPr>
          <w:rFonts w:ascii="Arial" w:eastAsia="Times New Roman" w:hAnsi="Arial" w:cs="Arial"/>
          <w:bCs/>
          <w:color w:val="000000"/>
          <w:lang w:eastAsia="es-MX"/>
        </w:rPr>
        <w:t xml:space="preserve">, </w:t>
      </w:r>
      <w:r>
        <w:rPr>
          <w:rFonts w:ascii="Arial" w:eastAsia="Times New Roman" w:hAnsi="Arial" w:cs="Arial"/>
          <w:bCs/>
          <w:color w:val="000000"/>
          <w:lang w:eastAsia="es-MX"/>
        </w:rPr>
        <w:t xml:space="preserve">así como </w:t>
      </w:r>
      <w:r w:rsidRPr="00837EF6">
        <w:rPr>
          <w:rFonts w:ascii="Arial" w:eastAsia="Times New Roman" w:hAnsi="Arial" w:cs="Arial"/>
          <w:bCs/>
          <w:color w:val="000000"/>
          <w:lang w:eastAsia="es-MX"/>
        </w:rPr>
        <w:t>el artículo 187 de las DRLFCE</w:t>
      </w:r>
      <w:r w:rsidRPr="00B81C32">
        <w:rPr>
          <w:rFonts w:ascii="Arial" w:hAnsi="Arial" w:cs="Arial"/>
        </w:rPr>
        <w:t xml:space="preserve">, el Instituto tiene la atribución de elaborar y expedir, previa consulta pública, directrices, guías, lineamientos y criterios técnicos </w:t>
      </w:r>
      <w:r>
        <w:rPr>
          <w:rFonts w:ascii="Arial" w:eastAsia="Times New Roman" w:hAnsi="Arial" w:cs="Arial"/>
          <w:bCs/>
          <w:color w:val="000000"/>
          <w:lang w:eastAsia="es-MX"/>
        </w:rPr>
        <w:t>necesarios para el cumplimiento de sus atribuciones</w:t>
      </w:r>
      <w:r w:rsidRPr="00782746">
        <w:rPr>
          <w:rFonts w:ascii="Arial" w:eastAsia="Times New Roman" w:hAnsi="Arial" w:cs="Arial"/>
          <w:bCs/>
          <w:color w:val="000000"/>
          <w:lang w:eastAsia="es-MX"/>
        </w:rPr>
        <w:t xml:space="preserve"> </w:t>
      </w:r>
      <w:r w:rsidRPr="00837EF6">
        <w:rPr>
          <w:rFonts w:ascii="Arial" w:eastAsia="Times New Roman" w:hAnsi="Arial" w:cs="Arial"/>
          <w:bCs/>
          <w:color w:val="000000"/>
          <w:lang w:eastAsia="es-MX"/>
        </w:rPr>
        <w:t>en materia de competencia económica</w:t>
      </w:r>
      <w:r w:rsidRPr="00B81C32">
        <w:rPr>
          <w:rFonts w:ascii="Arial" w:hAnsi="Arial" w:cs="Arial"/>
        </w:rPr>
        <w:t>.</w:t>
      </w:r>
    </w:p>
    <w:p w14:paraId="7E3B16DB" w14:textId="77777777" w:rsidR="00674655" w:rsidRDefault="00674655" w:rsidP="0064437D">
      <w:pPr>
        <w:spacing w:after="0"/>
        <w:jc w:val="both"/>
        <w:rPr>
          <w:rFonts w:ascii="Arial" w:hAnsi="Arial" w:cs="Arial"/>
        </w:rPr>
      </w:pPr>
    </w:p>
    <w:p w14:paraId="0E5FB902" w14:textId="1122D448" w:rsidR="0064437D" w:rsidRPr="00B81C32" w:rsidRDefault="0064437D" w:rsidP="0064437D">
      <w:pPr>
        <w:spacing w:after="0"/>
        <w:jc w:val="both"/>
        <w:rPr>
          <w:rFonts w:ascii="Arial" w:hAnsi="Arial" w:cs="Arial"/>
        </w:rPr>
      </w:pPr>
      <w:r>
        <w:rPr>
          <w:rFonts w:ascii="Arial" w:hAnsi="Arial" w:cs="Arial"/>
        </w:rPr>
        <w:t xml:space="preserve">Así, </w:t>
      </w:r>
      <w:r w:rsidRPr="00B81C32">
        <w:rPr>
          <w:rFonts w:ascii="Arial" w:hAnsi="Arial" w:cs="Arial"/>
        </w:rPr>
        <w:t xml:space="preserve">el Pleno del Instituto </w:t>
      </w:r>
      <w:r>
        <w:rPr>
          <w:rFonts w:ascii="Arial" w:hAnsi="Arial" w:cs="Arial"/>
        </w:rPr>
        <w:t>es competente</w:t>
      </w:r>
      <w:r w:rsidRPr="00B81C32">
        <w:rPr>
          <w:rFonts w:ascii="Arial" w:hAnsi="Arial" w:cs="Arial"/>
        </w:rPr>
        <w:t xml:space="preserve"> para emitir el presente Acuerdo a efecto de </w:t>
      </w:r>
      <w:r>
        <w:rPr>
          <w:rFonts w:ascii="Arial" w:hAnsi="Arial" w:cs="Arial"/>
        </w:rPr>
        <w:t xml:space="preserve">expedir la </w:t>
      </w:r>
      <w:r w:rsidRPr="00A334AA">
        <w:rPr>
          <w:rFonts w:ascii="Arial" w:hAnsi="Arial" w:cs="Arial"/>
        </w:rPr>
        <w:t>Guía para determinar Mercados Relevantes en los Sectores de Telecomunicaciones y Radiodifusión</w:t>
      </w:r>
      <w:r w:rsidR="009A0C2D">
        <w:rPr>
          <w:rFonts w:ascii="Arial" w:hAnsi="Arial" w:cs="Arial"/>
        </w:rPr>
        <w:t xml:space="preserve"> (Guía)</w:t>
      </w:r>
      <w:r>
        <w:rPr>
          <w:rFonts w:ascii="Arial" w:hAnsi="Arial" w:cs="Arial"/>
        </w:rPr>
        <w:t>.</w:t>
      </w:r>
      <w:r w:rsidRPr="00B81C32">
        <w:rPr>
          <w:rFonts w:ascii="Arial" w:hAnsi="Arial" w:cs="Arial"/>
        </w:rPr>
        <w:t xml:space="preserve"> </w:t>
      </w:r>
    </w:p>
    <w:p w14:paraId="094943E4" w14:textId="77777777" w:rsidR="0064437D" w:rsidRPr="00B81C32" w:rsidRDefault="0064437D" w:rsidP="0064437D">
      <w:pPr>
        <w:spacing w:after="0"/>
        <w:jc w:val="both"/>
        <w:rPr>
          <w:rFonts w:ascii="Arial" w:hAnsi="Arial" w:cs="Arial"/>
          <w:b/>
        </w:rPr>
      </w:pPr>
    </w:p>
    <w:p w14:paraId="4BB61008" w14:textId="37FC7D51" w:rsidR="009A0C2D" w:rsidRPr="00562FAC" w:rsidRDefault="0064437D" w:rsidP="009A0C2D">
      <w:pPr>
        <w:spacing w:after="0"/>
        <w:jc w:val="both"/>
        <w:rPr>
          <w:rFonts w:ascii="Arial" w:eastAsia="Times New Roman" w:hAnsi="Arial" w:cs="Arial"/>
          <w:bCs/>
          <w:kern w:val="1"/>
          <w:lang w:eastAsia="ar-SA"/>
        </w:rPr>
      </w:pPr>
      <w:r w:rsidRPr="00C21851">
        <w:rPr>
          <w:rFonts w:ascii="Arial" w:hAnsi="Arial" w:cs="Arial"/>
          <w:b/>
        </w:rPr>
        <w:t xml:space="preserve">Segundo.- </w:t>
      </w:r>
      <w:r w:rsidR="009A0C2D" w:rsidRPr="00C21851">
        <w:rPr>
          <w:rFonts w:ascii="Arial" w:hAnsi="Arial" w:cs="Arial"/>
          <w:b/>
        </w:rPr>
        <w:t>Importancia de la Guía</w:t>
      </w:r>
      <w:r w:rsidRPr="00C21851">
        <w:rPr>
          <w:rFonts w:ascii="Arial" w:hAnsi="Arial" w:cs="Arial"/>
          <w:b/>
          <w:bCs/>
        </w:rPr>
        <w:t>.</w:t>
      </w:r>
      <w:r w:rsidR="009A0C2D" w:rsidRPr="00C21851">
        <w:rPr>
          <w:rFonts w:ascii="Arial" w:hAnsi="Arial" w:cs="Arial"/>
          <w:bCs/>
        </w:rPr>
        <w:t xml:space="preserve"> </w:t>
      </w:r>
      <w:r w:rsidR="009A0C2D" w:rsidRPr="00C21851">
        <w:rPr>
          <w:rFonts w:ascii="Arial" w:eastAsia="Times New Roman" w:hAnsi="Arial" w:cs="Arial"/>
          <w:bCs/>
          <w:kern w:val="1"/>
          <w:lang w:eastAsia="ar-SA"/>
        </w:rPr>
        <w:t>La determinación</w:t>
      </w:r>
      <w:r w:rsidR="009A0C2D" w:rsidRPr="00562FAC">
        <w:rPr>
          <w:rFonts w:ascii="Arial" w:eastAsia="Times New Roman" w:hAnsi="Arial" w:cs="Arial"/>
          <w:bCs/>
          <w:kern w:val="1"/>
          <w:lang w:eastAsia="ar-SA"/>
        </w:rPr>
        <w:t xml:space="preserve"> de</w:t>
      </w:r>
      <w:r w:rsidR="009A0C2D">
        <w:rPr>
          <w:rFonts w:ascii="Arial" w:eastAsia="Times New Roman" w:hAnsi="Arial" w:cs="Arial"/>
          <w:bCs/>
          <w:kern w:val="1"/>
          <w:lang w:eastAsia="ar-SA"/>
        </w:rPr>
        <w:t>l mercado relevante (MR)</w:t>
      </w:r>
      <w:r w:rsidR="009A0C2D" w:rsidRPr="00562FAC">
        <w:rPr>
          <w:rFonts w:ascii="Arial" w:eastAsia="Times New Roman" w:hAnsi="Arial" w:cs="Arial"/>
          <w:bCs/>
          <w:kern w:val="1"/>
          <w:lang w:eastAsia="ar-SA"/>
        </w:rPr>
        <w:t xml:space="preserve"> es fundamental en </w:t>
      </w:r>
      <w:r w:rsidR="009A0C2D">
        <w:rPr>
          <w:rFonts w:ascii="Arial" w:eastAsia="Times New Roman" w:hAnsi="Arial" w:cs="Arial"/>
          <w:bCs/>
          <w:kern w:val="1"/>
          <w:lang w:eastAsia="ar-SA"/>
        </w:rPr>
        <w:t>el</w:t>
      </w:r>
      <w:r w:rsidR="009A0C2D" w:rsidRPr="00562FAC">
        <w:rPr>
          <w:rFonts w:ascii="Arial" w:eastAsia="Times New Roman" w:hAnsi="Arial" w:cs="Arial"/>
          <w:bCs/>
          <w:kern w:val="1"/>
          <w:lang w:eastAsia="ar-SA"/>
        </w:rPr>
        <w:t xml:space="preserve"> análisis de competencia económica, pues en </w:t>
      </w:r>
      <w:r w:rsidR="009A0C2D">
        <w:rPr>
          <w:rFonts w:ascii="Arial" w:eastAsia="Times New Roman" w:hAnsi="Arial" w:cs="Arial"/>
          <w:bCs/>
          <w:kern w:val="1"/>
          <w:lang w:eastAsia="ar-SA"/>
        </w:rPr>
        <w:t>dicha</w:t>
      </w:r>
      <w:r w:rsidR="009A0C2D" w:rsidRPr="00562FAC">
        <w:rPr>
          <w:rFonts w:ascii="Arial" w:eastAsia="Times New Roman" w:hAnsi="Arial" w:cs="Arial"/>
          <w:bCs/>
          <w:kern w:val="1"/>
          <w:lang w:eastAsia="ar-SA"/>
        </w:rPr>
        <w:t xml:space="preserve"> delimitación se</w:t>
      </w:r>
      <w:r w:rsidR="001F31E7">
        <w:rPr>
          <w:rFonts w:ascii="Arial" w:eastAsia="Times New Roman" w:hAnsi="Arial" w:cs="Arial"/>
          <w:bCs/>
          <w:kern w:val="1"/>
          <w:lang w:eastAsia="ar-SA"/>
        </w:rPr>
        <w:t xml:space="preserve"> </w:t>
      </w:r>
      <w:r w:rsidR="009A0C2D" w:rsidRPr="00562FAC">
        <w:rPr>
          <w:rFonts w:ascii="Arial" w:eastAsia="Times New Roman" w:hAnsi="Arial" w:cs="Arial"/>
          <w:bCs/>
          <w:kern w:val="1"/>
          <w:lang w:eastAsia="ar-SA"/>
        </w:rPr>
        <w:t xml:space="preserve">evalúan </w:t>
      </w:r>
      <w:r w:rsidR="009A0C2D">
        <w:rPr>
          <w:rFonts w:ascii="Arial" w:eastAsia="Times New Roman" w:hAnsi="Arial" w:cs="Arial"/>
          <w:bCs/>
          <w:kern w:val="1"/>
          <w:lang w:eastAsia="ar-SA"/>
        </w:rPr>
        <w:t xml:space="preserve">el objeto y/o </w:t>
      </w:r>
      <w:r w:rsidR="009A0C2D" w:rsidRPr="00562FAC">
        <w:rPr>
          <w:rFonts w:ascii="Arial" w:eastAsia="Times New Roman" w:hAnsi="Arial" w:cs="Arial"/>
          <w:bCs/>
          <w:kern w:val="1"/>
          <w:lang w:eastAsia="ar-SA"/>
        </w:rPr>
        <w:t xml:space="preserve">los efectos de una conducta </w:t>
      </w:r>
      <w:r w:rsidR="009A0C2D">
        <w:rPr>
          <w:rFonts w:ascii="Arial" w:eastAsia="Times New Roman" w:hAnsi="Arial" w:cs="Arial"/>
          <w:bCs/>
          <w:kern w:val="1"/>
          <w:lang w:eastAsia="ar-SA"/>
        </w:rPr>
        <w:t xml:space="preserve">u </w:t>
      </w:r>
      <w:r w:rsidR="009A0C2D" w:rsidRPr="00562FAC">
        <w:rPr>
          <w:rFonts w:ascii="Arial" w:eastAsia="Times New Roman" w:hAnsi="Arial" w:cs="Arial"/>
          <w:bCs/>
          <w:kern w:val="1"/>
          <w:lang w:eastAsia="ar-SA"/>
        </w:rPr>
        <w:t>operación</w:t>
      </w:r>
      <w:r w:rsidR="009A0C2D">
        <w:rPr>
          <w:rFonts w:ascii="Arial" w:eastAsia="Times New Roman" w:hAnsi="Arial" w:cs="Arial"/>
          <w:bCs/>
          <w:kern w:val="1"/>
          <w:lang w:eastAsia="ar-SA"/>
        </w:rPr>
        <w:t xml:space="preserve"> y</w:t>
      </w:r>
      <w:r w:rsidR="009A0C2D" w:rsidRPr="00562FAC">
        <w:rPr>
          <w:rFonts w:ascii="Arial" w:eastAsia="Times New Roman" w:hAnsi="Arial" w:cs="Arial"/>
          <w:bCs/>
          <w:kern w:val="1"/>
          <w:lang w:eastAsia="ar-SA"/>
        </w:rPr>
        <w:t xml:space="preserve"> </w:t>
      </w:r>
      <w:r w:rsidR="009A0C2D">
        <w:rPr>
          <w:rFonts w:ascii="Arial" w:eastAsia="Times New Roman" w:hAnsi="Arial" w:cs="Arial"/>
          <w:bCs/>
          <w:kern w:val="1"/>
          <w:lang w:eastAsia="ar-SA"/>
        </w:rPr>
        <w:t xml:space="preserve">se determina la </w:t>
      </w:r>
      <w:r w:rsidR="00115A1C">
        <w:rPr>
          <w:rFonts w:ascii="Arial" w:eastAsia="Times New Roman" w:hAnsi="Arial" w:cs="Arial"/>
          <w:bCs/>
          <w:kern w:val="1"/>
          <w:lang w:eastAsia="ar-SA"/>
        </w:rPr>
        <w:t>existencia de poder sustancial, o</w:t>
      </w:r>
      <w:r w:rsidR="00780145">
        <w:rPr>
          <w:rFonts w:ascii="Arial" w:eastAsia="Times New Roman" w:hAnsi="Arial" w:cs="Arial"/>
          <w:bCs/>
          <w:kern w:val="1"/>
          <w:lang w:eastAsia="ar-SA"/>
        </w:rPr>
        <w:t xml:space="preserve"> se</w:t>
      </w:r>
      <w:r w:rsidR="00115A1C">
        <w:rPr>
          <w:rFonts w:ascii="Arial" w:eastAsia="Times New Roman" w:hAnsi="Arial" w:cs="Arial"/>
          <w:bCs/>
          <w:kern w:val="1"/>
          <w:lang w:eastAsia="ar-SA"/>
        </w:rPr>
        <w:t xml:space="preserve"> res</w:t>
      </w:r>
      <w:r w:rsidR="00780145">
        <w:rPr>
          <w:rFonts w:ascii="Arial" w:eastAsia="Times New Roman" w:hAnsi="Arial" w:cs="Arial"/>
          <w:bCs/>
          <w:kern w:val="1"/>
          <w:lang w:eastAsia="ar-SA"/>
        </w:rPr>
        <w:t>uelve</w:t>
      </w:r>
      <w:r w:rsidR="00115A1C">
        <w:rPr>
          <w:rFonts w:ascii="Arial" w:eastAsia="Times New Roman" w:hAnsi="Arial" w:cs="Arial"/>
          <w:bCs/>
          <w:kern w:val="1"/>
          <w:lang w:eastAsia="ar-SA"/>
        </w:rPr>
        <w:t xml:space="preserve"> sobre las </w:t>
      </w:r>
      <w:r w:rsidR="009A0C2D" w:rsidRPr="00562FAC">
        <w:rPr>
          <w:rFonts w:ascii="Arial" w:eastAsia="Times New Roman" w:hAnsi="Arial" w:cs="Arial"/>
          <w:bCs/>
          <w:kern w:val="1"/>
          <w:lang w:eastAsia="ar-SA"/>
        </w:rPr>
        <w:t xml:space="preserve">condiciones de competencia </w:t>
      </w:r>
      <w:r w:rsidR="009A0C2D">
        <w:rPr>
          <w:rFonts w:ascii="Arial" w:eastAsia="Times New Roman" w:hAnsi="Arial" w:cs="Arial"/>
          <w:bCs/>
          <w:kern w:val="1"/>
          <w:lang w:eastAsia="ar-SA"/>
        </w:rPr>
        <w:t xml:space="preserve">efectiva </w:t>
      </w:r>
      <w:r w:rsidR="009A0C2D" w:rsidRPr="00562FAC">
        <w:rPr>
          <w:rFonts w:ascii="Arial" w:eastAsia="Times New Roman" w:hAnsi="Arial" w:cs="Arial"/>
          <w:bCs/>
          <w:kern w:val="1"/>
          <w:lang w:eastAsia="ar-SA"/>
        </w:rPr>
        <w:t>y libre concurrencia</w:t>
      </w:r>
      <w:r w:rsidR="009A0C2D">
        <w:rPr>
          <w:rFonts w:ascii="Arial" w:eastAsia="Times New Roman" w:hAnsi="Arial" w:cs="Arial"/>
          <w:bCs/>
          <w:kern w:val="1"/>
          <w:lang w:eastAsia="ar-SA"/>
        </w:rPr>
        <w:t>,</w:t>
      </w:r>
      <w:r w:rsidR="009A0C2D" w:rsidRPr="00562FAC">
        <w:rPr>
          <w:rFonts w:ascii="Arial" w:eastAsia="Times New Roman" w:hAnsi="Arial" w:cs="Arial"/>
          <w:bCs/>
          <w:kern w:val="1"/>
          <w:lang w:eastAsia="ar-SA"/>
        </w:rPr>
        <w:t xml:space="preserve"> </w:t>
      </w:r>
      <w:r w:rsidR="009A0C2D">
        <w:rPr>
          <w:rFonts w:ascii="Arial" w:eastAsia="Times New Roman" w:hAnsi="Arial" w:cs="Arial"/>
          <w:bCs/>
          <w:kern w:val="1"/>
          <w:lang w:eastAsia="ar-SA"/>
        </w:rPr>
        <w:t>p</w:t>
      </w:r>
      <w:r w:rsidR="009A0C2D" w:rsidRPr="00562FAC">
        <w:rPr>
          <w:rFonts w:ascii="Arial" w:eastAsia="Times New Roman" w:hAnsi="Arial" w:cs="Arial"/>
          <w:bCs/>
          <w:kern w:val="1"/>
          <w:lang w:eastAsia="ar-SA"/>
        </w:rPr>
        <w:t>or ejemplo</w:t>
      </w:r>
      <w:r w:rsidR="009A0C2D">
        <w:rPr>
          <w:rFonts w:ascii="Arial" w:eastAsia="Times New Roman" w:hAnsi="Arial" w:cs="Arial"/>
          <w:bCs/>
          <w:kern w:val="1"/>
          <w:lang w:eastAsia="ar-SA"/>
        </w:rPr>
        <w:t>:</w:t>
      </w:r>
      <w:r w:rsidR="009A0C2D" w:rsidRPr="00562FAC">
        <w:rPr>
          <w:rFonts w:ascii="Arial" w:eastAsia="Times New Roman" w:hAnsi="Arial" w:cs="Arial"/>
          <w:bCs/>
          <w:kern w:val="1"/>
          <w:lang w:eastAsia="ar-SA"/>
        </w:rPr>
        <w:t xml:space="preserve"> </w:t>
      </w:r>
    </w:p>
    <w:p w14:paraId="2291D913" w14:textId="77777777" w:rsidR="009A0C2D" w:rsidRPr="00562FAC" w:rsidRDefault="009A0C2D" w:rsidP="009A0C2D">
      <w:pPr>
        <w:spacing w:after="0"/>
        <w:rPr>
          <w:rFonts w:ascii="Arial" w:eastAsia="Times New Roman" w:hAnsi="Arial" w:cs="Arial"/>
          <w:bCs/>
          <w:kern w:val="1"/>
          <w:lang w:eastAsia="ar-SA"/>
        </w:rPr>
      </w:pPr>
    </w:p>
    <w:p w14:paraId="50418365" w14:textId="77777777" w:rsidR="009A0C2D" w:rsidRPr="00562FAC" w:rsidRDefault="009A0C2D" w:rsidP="009A0C2D">
      <w:pPr>
        <w:pStyle w:val="Prrafodelista"/>
        <w:numPr>
          <w:ilvl w:val="0"/>
          <w:numId w:val="3"/>
        </w:numPr>
        <w:spacing w:after="0"/>
        <w:ind w:hanging="578"/>
        <w:contextualSpacing w:val="0"/>
        <w:jc w:val="both"/>
        <w:rPr>
          <w:rFonts w:ascii="Arial" w:eastAsia="Times New Roman" w:hAnsi="Arial" w:cs="Arial"/>
          <w:bCs/>
          <w:kern w:val="1"/>
          <w:lang w:eastAsia="ar-SA"/>
        </w:rPr>
      </w:pPr>
      <w:r w:rsidRPr="00562FAC">
        <w:rPr>
          <w:rFonts w:ascii="Arial" w:eastAsia="Times New Roman" w:hAnsi="Arial" w:cs="Arial"/>
          <w:bCs/>
          <w:kern w:val="1"/>
          <w:lang w:eastAsia="ar-SA"/>
        </w:rPr>
        <w:t xml:space="preserve">El artículo 54 de la LFCE señala que las prácticas monopólicas relativas son cometidas por </w:t>
      </w:r>
      <w:r>
        <w:rPr>
          <w:rFonts w:ascii="Arial" w:eastAsia="Times New Roman" w:hAnsi="Arial" w:cs="Arial"/>
          <w:bCs/>
          <w:kern w:val="1"/>
          <w:lang w:eastAsia="ar-SA"/>
        </w:rPr>
        <w:t>uno o más agentes económicos</w:t>
      </w:r>
      <w:r w:rsidRPr="00562FAC">
        <w:rPr>
          <w:rFonts w:ascii="Arial" w:eastAsia="Times New Roman" w:hAnsi="Arial" w:cs="Arial"/>
          <w:bCs/>
          <w:kern w:val="1"/>
          <w:lang w:eastAsia="ar-SA"/>
        </w:rPr>
        <w:t xml:space="preserve"> que individual o conjuntamente tenga</w:t>
      </w:r>
      <w:r>
        <w:rPr>
          <w:rFonts w:ascii="Arial" w:eastAsia="Times New Roman" w:hAnsi="Arial" w:cs="Arial"/>
          <w:bCs/>
          <w:kern w:val="1"/>
          <w:lang w:eastAsia="ar-SA"/>
        </w:rPr>
        <w:t>n</w:t>
      </w:r>
      <w:r w:rsidRPr="00562FAC">
        <w:rPr>
          <w:rFonts w:ascii="Arial" w:eastAsia="Times New Roman" w:hAnsi="Arial" w:cs="Arial"/>
          <w:bCs/>
          <w:kern w:val="1"/>
          <w:lang w:eastAsia="ar-SA"/>
        </w:rPr>
        <w:t xml:space="preserve"> poder sustancial en el </w:t>
      </w:r>
      <w:r>
        <w:rPr>
          <w:rFonts w:ascii="Arial" w:eastAsia="Times New Roman" w:hAnsi="Arial" w:cs="Arial"/>
          <w:bCs/>
          <w:kern w:val="1"/>
          <w:lang w:eastAsia="ar-SA"/>
        </w:rPr>
        <w:t xml:space="preserve">mismo </w:t>
      </w:r>
      <w:r w:rsidRPr="00562FAC">
        <w:rPr>
          <w:rFonts w:ascii="Arial" w:eastAsia="Times New Roman" w:hAnsi="Arial" w:cs="Arial"/>
          <w:b/>
          <w:bCs/>
          <w:kern w:val="1"/>
          <w:lang w:eastAsia="ar-SA"/>
        </w:rPr>
        <w:t>mercado relevante</w:t>
      </w:r>
      <w:r w:rsidRPr="00562FAC">
        <w:rPr>
          <w:rFonts w:ascii="Arial" w:eastAsia="Times New Roman" w:hAnsi="Arial" w:cs="Arial"/>
          <w:bCs/>
          <w:kern w:val="1"/>
          <w:lang w:eastAsia="ar-SA"/>
        </w:rPr>
        <w:t xml:space="preserve"> en que se realiza la práctica,</w:t>
      </w:r>
    </w:p>
    <w:p w14:paraId="7C5A9D31" w14:textId="77777777" w:rsidR="009A0C2D" w:rsidRPr="00562FAC" w:rsidRDefault="009A0C2D" w:rsidP="009A0C2D">
      <w:pPr>
        <w:pStyle w:val="Prrafodelista"/>
        <w:numPr>
          <w:ilvl w:val="0"/>
          <w:numId w:val="3"/>
        </w:numPr>
        <w:spacing w:after="0"/>
        <w:ind w:hanging="578"/>
        <w:contextualSpacing w:val="0"/>
        <w:jc w:val="both"/>
        <w:rPr>
          <w:rFonts w:ascii="Arial" w:eastAsia="Times New Roman" w:hAnsi="Arial" w:cs="Arial"/>
          <w:bCs/>
          <w:kern w:val="1"/>
          <w:lang w:eastAsia="ar-SA"/>
        </w:rPr>
      </w:pPr>
      <w:r w:rsidRPr="00562FAC">
        <w:rPr>
          <w:rFonts w:ascii="Arial" w:eastAsia="Times New Roman" w:hAnsi="Arial" w:cs="Arial"/>
          <w:bCs/>
          <w:kern w:val="1"/>
          <w:lang w:eastAsia="ar-SA"/>
        </w:rPr>
        <w:t xml:space="preserve">El artículo 59 de la LFCE establece los elementos que deben considerarse para determinar si uno o más </w:t>
      </w:r>
      <w:r>
        <w:rPr>
          <w:rFonts w:ascii="Arial" w:eastAsia="Times New Roman" w:hAnsi="Arial" w:cs="Arial"/>
          <w:bCs/>
          <w:kern w:val="1"/>
          <w:lang w:eastAsia="ar-SA"/>
        </w:rPr>
        <w:t>agentes económicos</w:t>
      </w:r>
      <w:r w:rsidRPr="00562FAC">
        <w:rPr>
          <w:rFonts w:ascii="Arial" w:eastAsia="Times New Roman" w:hAnsi="Arial" w:cs="Arial"/>
          <w:bCs/>
          <w:kern w:val="1"/>
          <w:lang w:eastAsia="ar-SA"/>
        </w:rPr>
        <w:t xml:space="preserve"> tienen poder sustancial en el </w:t>
      </w:r>
      <w:r w:rsidRPr="00562FAC">
        <w:rPr>
          <w:rFonts w:ascii="Arial" w:eastAsia="Times New Roman" w:hAnsi="Arial" w:cs="Arial"/>
          <w:b/>
          <w:bCs/>
          <w:kern w:val="1"/>
          <w:lang w:eastAsia="ar-SA"/>
        </w:rPr>
        <w:t>mercado relevante</w:t>
      </w:r>
      <w:r w:rsidRPr="00562FAC">
        <w:rPr>
          <w:rFonts w:ascii="Arial" w:eastAsia="Times New Roman" w:hAnsi="Arial" w:cs="Arial"/>
          <w:bCs/>
          <w:kern w:val="1"/>
          <w:lang w:eastAsia="ar-SA"/>
        </w:rPr>
        <w:t xml:space="preserve">, o bien, para resolver sobre condiciones de competencia, competencia efectiva y existencia de poder sustancial en el </w:t>
      </w:r>
      <w:r w:rsidRPr="00562FAC">
        <w:rPr>
          <w:rFonts w:ascii="Arial" w:eastAsia="Times New Roman" w:hAnsi="Arial" w:cs="Arial"/>
          <w:b/>
          <w:bCs/>
          <w:kern w:val="1"/>
          <w:lang w:eastAsia="ar-SA"/>
        </w:rPr>
        <w:t>mercado relevante</w:t>
      </w:r>
      <w:r w:rsidRPr="00562FAC">
        <w:rPr>
          <w:rFonts w:ascii="Arial" w:eastAsia="Times New Roman" w:hAnsi="Arial" w:cs="Arial"/>
          <w:bCs/>
          <w:kern w:val="1"/>
          <w:lang w:eastAsia="ar-SA"/>
        </w:rPr>
        <w:t>,</w:t>
      </w:r>
    </w:p>
    <w:p w14:paraId="3B4D6965" w14:textId="77777777" w:rsidR="009A0C2D" w:rsidRPr="00562FAC" w:rsidRDefault="009A0C2D" w:rsidP="009A0C2D">
      <w:pPr>
        <w:pStyle w:val="Prrafodelista"/>
        <w:numPr>
          <w:ilvl w:val="0"/>
          <w:numId w:val="3"/>
        </w:numPr>
        <w:spacing w:after="0"/>
        <w:ind w:hanging="578"/>
        <w:contextualSpacing w:val="0"/>
        <w:jc w:val="both"/>
        <w:rPr>
          <w:rFonts w:ascii="Arial" w:eastAsia="Times New Roman" w:hAnsi="Arial" w:cs="Arial"/>
          <w:bCs/>
          <w:kern w:val="1"/>
          <w:lang w:eastAsia="ar-SA"/>
        </w:rPr>
      </w:pPr>
      <w:r w:rsidRPr="00562FAC">
        <w:rPr>
          <w:rFonts w:ascii="Arial" w:eastAsia="Times New Roman" w:hAnsi="Arial" w:cs="Arial"/>
          <w:bCs/>
          <w:kern w:val="1"/>
          <w:lang w:eastAsia="ar-SA"/>
        </w:rPr>
        <w:t xml:space="preserve">El artículo 63 de la LFCE </w:t>
      </w:r>
      <w:r>
        <w:rPr>
          <w:rFonts w:ascii="Arial" w:eastAsia="Times New Roman" w:hAnsi="Arial" w:cs="Arial"/>
          <w:bCs/>
          <w:kern w:val="1"/>
          <w:lang w:eastAsia="ar-SA"/>
        </w:rPr>
        <w:t>indica</w:t>
      </w:r>
      <w:r w:rsidRPr="00562FAC">
        <w:rPr>
          <w:rFonts w:ascii="Arial" w:eastAsia="Times New Roman" w:hAnsi="Arial" w:cs="Arial"/>
          <w:bCs/>
          <w:kern w:val="1"/>
          <w:lang w:eastAsia="ar-SA"/>
        </w:rPr>
        <w:t xml:space="preserve"> que en la evaluación de concentraciones deberá</w:t>
      </w:r>
      <w:r>
        <w:rPr>
          <w:rFonts w:ascii="Arial" w:eastAsia="Times New Roman" w:hAnsi="Arial" w:cs="Arial"/>
          <w:bCs/>
          <w:kern w:val="1"/>
          <w:lang w:eastAsia="ar-SA"/>
        </w:rPr>
        <w:t>n</w:t>
      </w:r>
      <w:r w:rsidRPr="00562FAC">
        <w:rPr>
          <w:rFonts w:ascii="Arial" w:eastAsia="Times New Roman" w:hAnsi="Arial" w:cs="Arial"/>
          <w:bCs/>
          <w:kern w:val="1"/>
          <w:lang w:eastAsia="ar-SA"/>
        </w:rPr>
        <w:t xml:space="preserve"> considerarse sus efectos en el </w:t>
      </w:r>
      <w:r w:rsidRPr="00562FAC">
        <w:rPr>
          <w:rFonts w:ascii="Arial" w:eastAsia="Times New Roman" w:hAnsi="Arial" w:cs="Arial"/>
          <w:b/>
          <w:bCs/>
          <w:kern w:val="1"/>
          <w:lang w:eastAsia="ar-SA"/>
        </w:rPr>
        <w:t>mercado relevante</w:t>
      </w:r>
      <w:r w:rsidRPr="00562FAC">
        <w:rPr>
          <w:rFonts w:ascii="Arial" w:eastAsia="Times New Roman" w:hAnsi="Arial" w:cs="Arial"/>
          <w:bCs/>
          <w:kern w:val="1"/>
          <w:lang w:eastAsia="ar-SA"/>
        </w:rPr>
        <w:t>,</w:t>
      </w:r>
    </w:p>
    <w:p w14:paraId="23D126A1" w14:textId="77777777" w:rsidR="009A0C2D" w:rsidRPr="00562FAC" w:rsidRDefault="009A0C2D" w:rsidP="009A0C2D">
      <w:pPr>
        <w:pStyle w:val="Prrafodelista"/>
        <w:numPr>
          <w:ilvl w:val="0"/>
          <w:numId w:val="3"/>
        </w:numPr>
        <w:spacing w:after="0"/>
        <w:ind w:hanging="578"/>
        <w:contextualSpacing w:val="0"/>
        <w:jc w:val="both"/>
        <w:rPr>
          <w:rFonts w:ascii="Arial" w:eastAsia="Times New Roman" w:hAnsi="Arial" w:cs="Arial"/>
          <w:bCs/>
          <w:kern w:val="1"/>
          <w:lang w:eastAsia="ar-SA"/>
        </w:rPr>
      </w:pPr>
      <w:r w:rsidRPr="00562FAC">
        <w:rPr>
          <w:rFonts w:ascii="Arial" w:eastAsia="Times New Roman" w:hAnsi="Arial" w:cs="Arial"/>
          <w:bCs/>
          <w:kern w:val="1"/>
          <w:lang w:eastAsia="ar-SA"/>
        </w:rPr>
        <w:t>El artículo 64 de la LFCE señala</w:t>
      </w:r>
      <w:r>
        <w:rPr>
          <w:rFonts w:ascii="Arial" w:eastAsia="Times New Roman" w:hAnsi="Arial" w:cs="Arial"/>
          <w:bCs/>
          <w:kern w:val="1"/>
          <w:lang w:eastAsia="ar-SA"/>
        </w:rPr>
        <w:t>,</w:t>
      </w:r>
      <w:r w:rsidRPr="00562FAC">
        <w:rPr>
          <w:rFonts w:ascii="Arial" w:eastAsia="Times New Roman" w:hAnsi="Arial" w:cs="Arial"/>
          <w:bCs/>
          <w:kern w:val="1"/>
          <w:lang w:eastAsia="ar-SA"/>
        </w:rPr>
        <w:t xml:space="preserve"> como un indicio de una concentración ilícita</w:t>
      </w:r>
      <w:r>
        <w:rPr>
          <w:rFonts w:ascii="Arial" w:eastAsia="Times New Roman" w:hAnsi="Arial" w:cs="Arial"/>
          <w:bCs/>
          <w:kern w:val="1"/>
          <w:lang w:eastAsia="ar-SA"/>
        </w:rPr>
        <w:t>,</w:t>
      </w:r>
      <w:r w:rsidRPr="00562FAC">
        <w:rPr>
          <w:rFonts w:ascii="Arial" w:eastAsia="Times New Roman" w:hAnsi="Arial" w:cs="Arial"/>
          <w:bCs/>
          <w:kern w:val="1"/>
          <w:lang w:eastAsia="ar-SA"/>
        </w:rPr>
        <w:t xml:space="preserve"> que ésta o la tentativa de la misma tenga o pueda tener por objeto o efecto establecer barreras a la entrada o impedir a terceros el acceso al </w:t>
      </w:r>
      <w:r w:rsidRPr="00562FAC">
        <w:rPr>
          <w:rFonts w:ascii="Arial" w:eastAsia="Times New Roman" w:hAnsi="Arial" w:cs="Arial"/>
          <w:b/>
          <w:bCs/>
          <w:kern w:val="1"/>
          <w:lang w:eastAsia="ar-SA"/>
        </w:rPr>
        <w:t>mercado relevante</w:t>
      </w:r>
      <w:r>
        <w:rPr>
          <w:rFonts w:ascii="Arial" w:eastAsia="Times New Roman" w:hAnsi="Arial" w:cs="Arial"/>
          <w:bCs/>
          <w:kern w:val="1"/>
          <w:lang w:eastAsia="ar-SA"/>
        </w:rPr>
        <w:t xml:space="preserve"> o a mercados relacionados,</w:t>
      </w:r>
    </w:p>
    <w:p w14:paraId="29C3A749" w14:textId="77777777" w:rsidR="009A0C2D" w:rsidRPr="00EC0134" w:rsidRDefault="009A0C2D" w:rsidP="009A0C2D">
      <w:pPr>
        <w:pStyle w:val="Prrafodelista"/>
        <w:numPr>
          <w:ilvl w:val="0"/>
          <w:numId w:val="3"/>
        </w:numPr>
        <w:spacing w:after="0"/>
        <w:ind w:hanging="578"/>
        <w:contextualSpacing w:val="0"/>
        <w:jc w:val="both"/>
        <w:rPr>
          <w:rFonts w:ascii="Arial" w:eastAsia="Times New Roman" w:hAnsi="Arial" w:cs="Arial"/>
          <w:bCs/>
          <w:kern w:val="1"/>
          <w:lang w:eastAsia="ar-SA"/>
        </w:rPr>
      </w:pPr>
      <w:r>
        <w:rPr>
          <w:rFonts w:ascii="Arial" w:eastAsia="Times New Roman" w:hAnsi="Arial" w:cs="Arial"/>
          <w:bCs/>
          <w:kern w:val="1"/>
          <w:lang w:eastAsia="ar-SA"/>
        </w:rPr>
        <w:lastRenderedPageBreak/>
        <w:t xml:space="preserve">El artículo 94 de la LFCE, </w:t>
      </w:r>
      <w:r w:rsidRPr="00DC5C77">
        <w:rPr>
          <w:rFonts w:ascii="Arial" w:eastAsia="Times New Roman" w:hAnsi="Arial" w:cs="Arial"/>
          <w:bCs/>
          <w:kern w:val="1"/>
          <w:lang w:eastAsia="ar-SA"/>
        </w:rPr>
        <w:t>así como el artículo 10 de las DRLFCE, refieren al procedimiento de investigación para determinar la existencia de barreras a la competencia y libre concurrencia o insumos esenciales que puedan gener</w:t>
      </w:r>
      <w:r>
        <w:rPr>
          <w:rFonts w:ascii="Arial" w:eastAsia="Times New Roman" w:hAnsi="Arial" w:cs="Arial"/>
          <w:bCs/>
          <w:kern w:val="1"/>
          <w:lang w:eastAsia="ar-SA"/>
        </w:rPr>
        <w:t xml:space="preserve">ar efectos anticompetitivos, para lo cual es necesario definir el </w:t>
      </w:r>
      <w:r w:rsidRPr="00EC0134">
        <w:rPr>
          <w:rFonts w:ascii="Arial" w:eastAsia="Times New Roman" w:hAnsi="Arial" w:cs="Arial"/>
          <w:b/>
          <w:bCs/>
          <w:kern w:val="1"/>
          <w:lang w:eastAsia="ar-SA"/>
        </w:rPr>
        <w:t>mercado relevante</w:t>
      </w:r>
      <w:r w:rsidRPr="00EC0134">
        <w:rPr>
          <w:rFonts w:ascii="Arial" w:eastAsia="Times New Roman" w:hAnsi="Arial" w:cs="Arial"/>
          <w:bCs/>
          <w:kern w:val="1"/>
          <w:lang w:eastAsia="ar-SA"/>
        </w:rPr>
        <w:t>,</w:t>
      </w:r>
    </w:p>
    <w:p w14:paraId="51F56938" w14:textId="77777777" w:rsidR="009A0C2D" w:rsidRPr="00562FAC" w:rsidRDefault="009A0C2D" w:rsidP="009A0C2D">
      <w:pPr>
        <w:pStyle w:val="Prrafodelista"/>
        <w:numPr>
          <w:ilvl w:val="0"/>
          <w:numId w:val="3"/>
        </w:numPr>
        <w:spacing w:after="0"/>
        <w:ind w:hanging="578"/>
        <w:contextualSpacing w:val="0"/>
        <w:jc w:val="both"/>
        <w:rPr>
          <w:rFonts w:ascii="Arial" w:eastAsia="Times New Roman" w:hAnsi="Arial" w:cs="Arial"/>
          <w:bCs/>
          <w:kern w:val="1"/>
          <w:lang w:eastAsia="ar-SA"/>
        </w:rPr>
      </w:pPr>
      <w:r w:rsidRPr="00562FAC">
        <w:rPr>
          <w:rFonts w:ascii="Arial" w:eastAsia="Times New Roman" w:hAnsi="Arial" w:cs="Arial"/>
          <w:bCs/>
          <w:kern w:val="1"/>
          <w:lang w:eastAsia="ar-SA"/>
        </w:rPr>
        <w:t xml:space="preserve">El artículo 96 de la LFCE </w:t>
      </w:r>
      <w:r>
        <w:rPr>
          <w:rFonts w:ascii="Arial" w:eastAsia="Times New Roman" w:hAnsi="Arial" w:cs="Arial"/>
          <w:bCs/>
          <w:kern w:val="1"/>
          <w:lang w:eastAsia="ar-SA"/>
        </w:rPr>
        <w:t>indica</w:t>
      </w:r>
      <w:r w:rsidRPr="00562FAC">
        <w:rPr>
          <w:rFonts w:ascii="Arial" w:eastAsia="Times New Roman" w:hAnsi="Arial" w:cs="Arial"/>
          <w:bCs/>
          <w:kern w:val="1"/>
          <w:lang w:eastAsia="ar-SA"/>
        </w:rPr>
        <w:t xml:space="preserve"> el procedimiento para resolver u opinar sobre cuestiones de competencia efectiva y existencia de poder sustancial en el </w:t>
      </w:r>
      <w:r w:rsidRPr="00A5570D">
        <w:rPr>
          <w:rFonts w:ascii="Arial" w:eastAsia="Times New Roman" w:hAnsi="Arial" w:cs="Arial"/>
          <w:bCs/>
          <w:kern w:val="1"/>
          <w:lang w:eastAsia="ar-SA"/>
        </w:rPr>
        <w:t>mercado relevante</w:t>
      </w:r>
      <w:r w:rsidRPr="00562FAC">
        <w:rPr>
          <w:rFonts w:ascii="Arial" w:eastAsia="Times New Roman" w:hAnsi="Arial" w:cs="Arial"/>
          <w:bCs/>
          <w:kern w:val="1"/>
          <w:lang w:eastAsia="ar-SA"/>
        </w:rPr>
        <w:t xml:space="preserve">, para lo cual es necesario definir </w:t>
      </w:r>
      <w:r>
        <w:rPr>
          <w:rFonts w:ascii="Arial" w:eastAsia="Times New Roman" w:hAnsi="Arial" w:cs="Arial"/>
          <w:bCs/>
          <w:kern w:val="1"/>
          <w:lang w:eastAsia="ar-SA"/>
        </w:rPr>
        <w:t>e</w:t>
      </w:r>
      <w:r w:rsidRPr="00562FAC">
        <w:rPr>
          <w:rFonts w:ascii="Arial" w:eastAsia="Times New Roman" w:hAnsi="Arial" w:cs="Arial"/>
          <w:bCs/>
          <w:kern w:val="1"/>
          <w:lang w:eastAsia="ar-SA"/>
        </w:rPr>
        <w:t xml:space="preserve">l </w:t>
      </w:r>
      <w:r w:rsidRPr="00562FAC">
        <w:rPr>
          <w:rFonts w:ascii="Arial" w:eastAsia="Times New Roman" w:hAnsi="Arial" w:cs="Arial"/>
          <w:b/>
          <w:bCs/>
          <w:kern w:val="1"/>
          <w:lang w:eastAsia="ar-SA"/>
        </w:rPr>
        <w:t>mercado relevante</w:t>
      </w:r>
      <w:r w:rsidRPr="00562FAC">
        <w:rPr>
          <w:rFonts w:ascii="Arial" w:eastAsia="Times New Roman" w:hAnsi="Arial" w:cs="Arial"/>
          <w:bCs/>
          <w:kern w:val="1"/>
          <w:lang w:eastAsia="ar-SA"/>
        </w:rPr>
        <w:t>, y</w:t>
      </w:r>
    </w:p>
    <w:p w14:paraId="4ED2710B" w14:textId="77777777" w:rsidR="009A0C2D" w:rsidRPr="00562FAC" w:rsidRDefault="009A0C2D" w:rsidP="009A0C2D">
      <w:pPr>
        <w:pStyle w:val="Prrafodelista"/>
        <w:numPr>
          <w:ilvl w:val="0"/>
          <w:numId w:val="3"/>
        </w:numPr>
        <w:spacing w:after="0"/>
        <w:ind w:hanging="578"/>
        <w:contextualSpacing w:val="0"/>
        <w:jc w:val="both"/>
        <w:rPr>
          <w:rFonts w:ascii="Arial" w:eastAsia="Times New Roman" w:hAnsi="Arial" w:cs="Arial"/>
          <w:bCs/>
          <w:kern w:val="1"/>
          <w:lang w:eastAsia="ar-SA"/>
        </w:rPr>
      </w:pPr>
      <w:r w:rsidRPr="00562FAC">
        <w:rPr>
          <w:rFonts w:ascii="Arial" w:eastAsia="Times New Roman" w:hAnsi="Arial" w:cs="Arial"/>
          <w:bCs/>
          <w:kern w:val="1"/>
          <w:lang w:eastAsia="ar-SA"/>
        </w:rPr>
        <w:t xml:space="preserve">El artículo 98 de la LFCE prevé la emisión de opinión </w:t>
      </w:r>
      <w:r>
        <w:rPr>
          <w:rFonts w:ascii="Arial" w:eastAsia="Times New Roman" w:hAnsi="Arial" w:cs="Arial"/>
          <w:bCs/>
          <w:kern w:val="1"/>
          <w:lang w:eastAsia="ar-SA"/>
        </w:rPr>
        <w:t>o autorización en el otorgamiento de licencias, concesiones, permisos, cesiones y venta de acciones de empresas concesionarias o permisionarias</w:t>
      </w:r>
      <w:r w:rsidRPr="00562FAC">
        <w:rPr>
          <w:rFonts w:ascii="Arial" w:eastAsia="Times New Roman" w:hAnsi="Arial" w:cs="Arial"/>
          <w:bCs/>
          <w:kern w:val="1"/>
          <w:lang w:eastAsia="ar-SA"/>
        </w:rPr>
        <w:t>,</w:t>
      </w:r>
      <w:r>
        <w:rPr>
          <w:rFonts w:ascii="Arial" w:eastAsia="Times New Roman" w:hAnsi="Arial" w:cs="Arial"/>
          <w:bCs/>
          <w:kern w:val="1"/>
          <w:lang w:eastAsia="ar-SA"/>
        </w:rPr>
        <w:t xml:space="preserve"> </w:t>
      </w:r>
      <w:r w:rsidRPr="00562FAC">
        <w:rPr>
          <w:rFonts w:ascii="Arial" w:eastAsia="Times New Roman" w:hAnsi="Arial" w:cs="Arial"/>
          <w:bCs/>
          <w:kern w:val="1"/>
          <w:lang w:eastAsia="ar-SA"/>
        </w:rPr>
        <w:t>aplicando los artículos 63 y 64 correspondientes al análisis de concentraciones</w:t>
      </w:r>
      <w:r>
        <w:rPr>
          <w:rFonts w:ascii="Arial" w:eastAsia="Times New Roman" w:hAnsi="Arial" w:cs="Arial"/>
          <w:bCs/>
          <w:kern w:val="1"/>
          <w:lang w:eastAsia="ar-SA"/>
        </w:rPr>
        <w:t xml:space="preserve">, lo cual requiere definir el </w:t>
      </w:r>
      <w:r w:rsidRPr="00BE42E7">
        <w:rPr>
          <w:rFonts w:ascii="Arial" w:eastAsia="Times New Roman" w:hAnsi="Arial" w:cs="Arial"/>
          <w:b/>
          <w:bCs/>
          <w:kern w:val="1"/>
          <w:lang w:eastAsia="ar-SA"/>
        </w:rPr>
        <w:t>mercado relevante</w:t>
      </w:r>
      <w:r w:rsidRPr="00562FAC">
        <w:rPr>
          <w:rFonts w:ascii="Arial" w:eastAsia="Times New Roman" w:hAnsi="Arial" w:cs="Arial"/>
          <w:bCs/>
          <w:kern w:val="1"/>
          <w:lang w:eastAsia="ar-SA"/>
        </w:rPr>
        <w:t>.</w:t>
      </w:r>
    </w:p>
    <w:p w14:paraId="7A479BD1" w14:textId="77777777" w:rsidR="009A0C2D" w:rsidRPr="00562FAC" w:rsidRDefault="009A0C2D" w:rsidP="009A0C2D">
      <w:pPr>
        <w:spacing w:after="0"/>
        <w:rPr>
          <w:rFonts w:ascii="Arial" w:eastAsia="Times New Roman" w:hAnsi="Arial" w:cs="Arial"/>
          <w:bCs/>
          <w:kern w:val="1"/>
          <w:lang w:eastAsia="ar-SA"/>
        </w:rPr>
      </w:pPr>
    </w:p>
    <w:p w14:paraId="2831A58D" w14:textId="012C79C7" w:rsidR="009A0C2D" w:rsidRPr="00562FAC" w:rsidRDefault="009A0C2D" w:rsidP="009A0C2D">
      <w:pPr>
        <w:spacing w:after="0"/>
        <w:jc w:val="both"/>
        <w:rPr>
          <w:rFonts w:ascii="Arial" w:eastAsia="Times New Roman" w:hAnsi="Arial" w:cs="Arial"/>
          <w:bCs/>
          <w:kern w:val="1"/>
          <w:lang w:eastAsia="ar-SA"/>
        </w:rPr>
      </w:pPr>
      <w:r w:rsidRPr="00562FAC">
        <w:rPr>
          <w:rFonts w:ascii="Arial" w:eastAsia="Times New Roman" w:hAnsi="Arial" w:cs="Arial"/>
          <w:bCs/>
          <w:kern w:val="1"/>
          <w:lang w:eastAsia="ar-SA"/>
        </w:rPr>
        <w:t>Asimismo, en la evaluación de solicitudes que se tramitan en términos de la LFTR y que requieren un análisis de competencia, también es necesario delimitar el MR</w:t>
      </w:r>
      <w:r>
        <w:rPr>
          <w:rFonts w:ascii="Arial" w:eastAsia="Times New Roman" w:hAnsi="Arial" w:cs="Arial"/>
          <w:bCs/>
          <w:kern w:val="1"/>
          <w:lang w:eastAsia="ar-SA"/>
        </w:rPr>
        <w:t>. P</w:t>
      </w:r>
      <w:r w:rsidRPr="00562FAC">
        <w:rPr>
          <w:rFonts w:ascii="Arial" w:eastAsia="Times New Roman" w:hAnsi="Arial" w:cs="Arial"/>
          <w:bCs/>
          <w:kern w:val="1"/>
          <w:lang w:eastAsia="ar-SA"/>
        </w:rPr>
        <w:t xml:space="preserve">or ejemplo, </w:t>
      </w:r>
      <w:r>
        <w:rPr>
          <w:rFonts w:ascii="Arial" w:eastAsia="Times New Roman" w:hAnsi="Arial" w:cs="Arial"/>
          <w:bCs/>
          <w:kern w:val="1"/>
          <w:lang w:eastAsia="ar-SA"/>
        </w:rPr>
        <w:t>en</w:t>
      </w:r>
      <w:r w:rsidR="00143084">
        <w:rPr>
          <w:rFonts w:ascii="Arial" w:eastAsia="Times New Roman" w:hAnsi="Arial" w:cs="Arial"/>
          <w:bCs/>
          <w:kern w:val="1"/>
          <w:lang w:eastAsia="ar-SA"/>
        </w:rPr>
        <w:t>:</w:t>
      </w:r>
      <w:r>
        <w:rPr>
          <w:rFonts w:ascii="Arial" w:eastAsia="Times New Roman" w:hAnsi="Arial" w:cs="Arial"/>
          <w:bCs/>
          <w:kern w:val="1"/>
          <w:lang w:eastAsia="ar-SA"/>
        </w:rPr>
        <w:t xml:space="preserve"> </w:t>
      </w:r>
      <w:r w:rsidRPr="00562FAC">
        <w:rPr>
          <w:rFonts w:ascii="Arial" w:eastAsia="Times New Roman" w:hAnsi="Arial" w:cs="Arial"/>
          <w:bCs/>
          <w:kern w:val="1"/>
          <w:lang w:eastAsia="ar-SA"/>
        </w:rPr>
        <w:t>i) el otorgamiento de concesiones</w:t>
      </w:r>
      <w:r>
        <w:rPr>
          <w:rFonts w:ascii="Arial" w:eastAsia="Times New Roman" w:hAnsi="Arial" w:cs="Arial"/>
          <w:bCs/>
          <w:kern w:val="1"/>
          <w:lang w:eastAsia="ar-SA"/>
        </w:rPr>
        <w:t xml:space="preserve"> (por licitación pública o asignación directa)</w:t>
      </w:r>
      <w:r w:rsidRPr="00562FAC">
        <w:rPr>
          <w:rFonts w:ascii="Arial" w:eastAsia="Times New Roman" w:hAnsi="Arial" w:cs="Arial"/>
          <w:bCs/>
          <w:kern w:val="1"/>
          <w:lang w:eastAsia="ar-SA"/>
        </w:rPr>
        <w:t xml:space="preserve">, ii) </w:t>
      </w:r>
      <w:r>
        <w:rPr>
          <w:rFonts w:ascii="Arial" w:eastAsia="Times New Roman" w:hAnsi="Arial" w:cs="Arial"/>
          <w:bCs/>
          <w:kern w:val="1"/>
          <w:lang w:eastAsia="ar-SA"/>
        </w:rPr>
        <w:t xml:space="preserve">las </w:t>
      </w:r>
      <w:r w:rsidRPr="00562FAC">
        <w:rPr>
          <w:rFonts w:ascii="Arial" w:eastAsia="Times New Roman" w:hAnsi="Arial" w:cs="Arial"/>
          <w:bCs/>
          <w:kern w:val="1"/>
          <w:lang w:eastAsia="ar-SA"/>
        </w:rPr>
        <w:t xml:space="preserve">cesiones de derechos de concesiones, iii) </w:t>
      </w:r>
      <w:r>
        <w:rPr>
          <w:rFonts w:ascii="Arial" w:eastAsia="Times New Roman" w:hAnsi="Arial" w:cs="Arial"/>
          <w:bCs/>
          <w:kern w:val="1"/>
          <w:lang w:eastAsia="ar-SA"/>
        </w:rPr>
        <w:t xml:space="preserve">las </w:t>
      </w:r>
      <w:r w:rsidRPr="00562FAC">
        <w:rPr>
          <w:rFonts w:ascii="Arial" w:eastAsia="Times New Roman" w:hAnsi="Arial" w:cs="Arial"/>
          <w:bCs/>
          <w:kern w:val="1"/>
          <w:lang w:eastAsia="ar-SA"/>
        </w:rPr>
        <w:t xml:space="preserve">prórrogas de concesiones, iv) </w:t>
      </w:r>
      <w:r>
        <w:rPr>
          <w:rFonts w:ascii="Arial" w:eastAsia="Times New Roman" w:hAnsi="Arial" w:cs="Arial"/>
          <w:bCs/>
          <w:kern w:val="1"/>
          <w:lang w:eastAsia="ar-SA"/>
        </w:rPr>
        <w:t xml:space="preserve">la </w:t>
      </w:r>
      <w:r w:rsidRPr="00562FAC">
        <w:rPr>
          <w:rFonts w:ascii="Arial" w:eastAsia="Times New Roman" w:hAnsi="Arial" w:cs="Arial"/>
          <w:bCs/>
          <w:kern w:val="1"/>
          <w:lang w:eastAsia="ar-SA"/>
        </w:rPr>
        <w:t xml:space="preserve">venta de acciones, enajenaciones, desincorporaciones o movimientos en la estructura accionaria de </w:t>
      </w:r>
      <w:r>
        <w:rPr>
          <w:rFonts w:ascii="Arial" w:eastAsia="Times New Roman" w:hAnsi="Arial" w:cs="Arial"/>
          <w:bCs/>
          <w:kern w:val="1"/>
          <w:lang w:eastAsia="ar-SA"/>
        </w:rPr>
        <w:t xml:space="preserve">agentes económicos </w:t>
      </w:r>
      <w:r w:rsidRPr="00562FAC">
        <w:rPr>
          <w:rFonts w:ascii="Arial" w:eastAsia="Times New Roman" w:hAnsi="Arial" w:cs="Arial"/>
          <w:bCs/>
          <w:kern w:val="1"/>
          <w:lang w:eastAsia="ar-SA"/>
        </w:rPr>
        <w:t xml:space="preserve">concesionarios, y v) </w:t>
      </w:r>
      <w:r>
        <w:rPr>
          <w:rFonts w:ascii="Arial" w:eastAsia="Times New Roman" w:hAnsi="Arial" w:cs="Arial"/>
          <w:bCs/>
          <w:kern w:val="1"/>
          <w:lang w:eastAsia="ar-SA"/>
        </w:rPr>
        <w:t xml:space="preserve">el </w:t>
      </w:r>
      <w:r w:rsidRPr="00562FAC">
        <w:rPr>
          <w:rFonts w:ascii="Arial" w:eastAsia="Times New Roman" w:hAnsi="Arial" w:cs="Arial"/>
          <w:bCs/>
          <w:kern w:val="1"/>
          <w:lang w:eastAsia="ar-SA"/>
        </w:rPr>
        <w:t>arrendamiento o cambio de bandas de frecuencias del espectro radioeléctrico.</w:t>
      </w:r>
    </w:p>
    <w:p w14:paraId="13A8D92F" w14:textId="77777777" w:rsidR="009A0C2D" w:rsidRPr="00562FAC" w:rsidRDefault="009A0C2D" w:rsidP="009A0C2D">
      <w:pPr>
        <w:spacing w:after="0"/>
        <w:rPr>
          <w:rFonts w:ascii="Arial" w:eastAsia="Times New Roman" w:hAnsi="Arial" w:cs="Arial"/>
          <w:bCs/>
          <w:kern w:val="1"/>
          <w:lang w:eastAsia="ar-SA"/>
        </w:rPr>
      </w:pPr>
    </w:p>
    <w:p w14:paraId="4FA09413" w14:textId="77777777" w:rsidR="009A0C2D" w:rsidRDefault="009A0C2D" w:rsidP="009A0C2D">
      <w:pPr>
        <w:spacing w:after="0"/>
        <w:jc w:val="both"/>
        <w:rPr>
          <w:rFonts w:ascii="Arial" w:hAnsi="Arial" w:cs="Arial"/>
        </w:rPr>
      </w:pPr>
      <w:r>
        <w:rPr>
          <w:rFonts w:ascii="Arial" w:eastAsia="Times New Roman" w:hAnsi="Arial" w:cs="Arial"/>
          <w:bCs/>
          <w:kern w:val="1"/>
          <w:lang w:eastAsia="ar-SA"/>
        </w:rPr>
        <w:t>Si bien</w:t>
      </w:r>
      <w:r w:rsidRPr="00E42AEC">
        <w:rPr>
          <w:rFonts w:ascii="Arial" w:eastAsia="Times New Roman" w:hAnsi="Arial" w:cs="Arial"/>
          <w:bCs/>
          <w:kern w:val="1"/>
          <w:lang w:eastAsia="ar-SA"/>
        </w:rPr>
        <w:t xml:space="preserve"> la LFCE y las </w:t>
      </w:r>
      <w:r>
        <w:rPr>
          <w:rFonts w:ascii="Arial" w:eastAsia="Times New Roman" w:hAnsi="Arial" w:cs="Arial"/>
          <w:bCs/>
          <w:kern w:val="1"/>
          <w:lang w:eastAsia="ar-SA"/>
        </w:rPr>
        <w:t>DRLFCE</w:t>
      </w:r>
      <w:r w:rsidRPr="00E42AEC">
        <w:rPr>
          <w:rFonts w:ascii="Arial" w:eastAsia="Times New Roman" w:hAnsi="Arial" w:cs="Arial"/>
          <w:bCs/>
          <w:kern w:val="1"/>
          <w:lang w:eastAsia="ar-SA"/>
        </w:rPr>
        <w:t xml:space="preserve"> contienen elementos de referencia que el Instituto debe considerar </w:t>
      </w:r>
      <w:r>
        <w:rPr>
          <w:rFonts w:ascii="Arial" w:eastAsia="Times New Roman" w:hAnsi="Arial" w:cs="Arial"/>
          <w:bCs/>
          <w:kern w:val="1"/>
          <w:lang w:eastAsia="ar-SA"/>
        </w:rPr>
        <w:t>para</w:t>
      </w:r>
      <w:r w:rsidRPr="00E42AEC">
        <w:rPr>
          <w:rFonts w:ascii="Arial" w:eastAsia="Times New Roman" w:hAnsi="Arial" w:cs="Arial"/>
          <w:bCs/>
          <w:kern w:val="1"/>
          <w:lang w:eastAsia="ar-SA"/>
        </w:rPr>
        <w:t xml:space="preserve"> de</w:t>
      </w:r>
      <w:r>
        <w:rPr>
          <w:rFonts w:ascii="Arial" w:eastAsia="Times New Roman" w:hAnsi="Arial" w:cs="Arial"/>
          <w:bCs/>
          <w:kern w:val="1"/>
          <w:lang w:eastAsia="ar-SA"/>
        </w:rPr>
        <w:t>terminar</w:t>
      </w:r>
      <w:r w:rsidRPr="00E42AEC">
        <w:rPr>
          <w:rFonts w:ascii="Arial" w:eastAsia="Times New Roman" w:hAnsi="Arial" w:cs="Arial"/>
          <w:bCs/>
          <w:kern w:val="1"/>
          <w:lang w:eastAsia="ar-SA"/>
        </w:rPr>
        <w:t xml:space="preserve"> </w:t>
      </w:r>
      <w:r>
        <w:rPr>
          <w:rFonts w:ascii="Arial" w:eastAsia="Times New Roman" w:hAnsi="Arial" w:cs="Arial"/>
          <w:bCs/>
          <w:kern w:val="1"/>
          <w:lang w:eastAsia="ar-SA"/>
        </w:rPr>
        <w:t>mercados relevantes,</w:t>
      </w:r>
      <w:r w:rsidRPr="00E42AEC">
        <w:rPr>
          <w:rFonts w:ascii="Arial" w:eastAsia="Times New Roman" w:hAnsi="Arial" w:cs="Arial"/>
          <w:bCs/>
          <w:kern w:val="1"/>
          <w:lang w:eastAsia="ar-SA"/>
        </w:rPr>
        <w:t xml:space="preserve"> dichos elementos </w:t>
      </w:r>
      <w:r>
        <w:rPr>
          <w:rFonts w:ascii="Arial" w:eastAsia="Times New Roman" w:hAnsi="Arial" w:cs="Arial"/>
          <w:bCs/>
          <w:kern w:val="1"/>
          <w:lang w:eastAsia="ar-SA"/>
        </w:rPr>
        <w:t xml:space="preserve">pueden resultar abstractos si no se refieren a casos prácticos. Además, </w:t>
      </w:r>
      <w:r>
        <w:rPr>
          <w:rFonts w:ascii="Arial" w:hAnsi="Arial" w:cs="Arial"/>
        </w:rPr>
        <w:t xml:space="preserve">es reconocido que los sectores de </w:t>
      </w:r>
      <w:r>
        <w:rPr>
          <w:rFonts w:ascii="Arial" w:eastAsia="Times New Roman" w:hAnsi="Arial" w:cs="Arial"/>
          <w:bCs/>
          <w:kern w:val="1"/>
          <w:lang w:eastAsia="ar-SA"/>
        </w:rPr>
        <w:t>telecomunicaciones y radiodifusión</w:t>
      </w:r>
      <w:r w:rsidRPr="00253DF2">
        <w:rPr>
          <w:rFonts w:ascii="Arial" w:hAnsi="Arial" w:cs="Arial"/>
        </w:rPr>
        <w:t xml:space="preserve"> presentan </w:t>
      </w:r>
      <w:r>
        <w:rPr>
          <w:rFonts w:ascii="Arial" w:hAnsi="Arial" w:cs="Arial"/>
        </w:rPr>
        <w:t>características que pueden ameritar un análisis particular a la hora de determinar los MR</w:t>
      </w:r>
      <w:r w:rsidRPr="00253DF2">
        <w:rPr>
          <w:rFonts w:ascii="Arial" w:hAnsi="Arial" w:cs="Arial"/>
        </w:rPr>
        <w:t xml:space="preserve">, </w:t>
      </w:r>
      <w:r>
        <w:rPr>
          <w:rFonts w:ascii="Arial" w:hAnsi="Arial" w:cs="Arial"/>
        </w:rPr>
        <w:t>tales como presencia de integraciones verticales, sustitución asimétrica, diferenciación de productos y empaquetamiento de servicios.</w:t>
      </w:r>
    </w:p>
    <w:p w14:paraId="5E5D78FD" w14:textId="77777777" w:rsidR="009A0C2D" w:rsidRDefault="009A0C2D" w:rsidP="009A0C2D">
      <w:pPr>
        <w:spacing w:after="0"/>
        <w:jc w:val="both"/>
        <w:rPr>
          <w:rFonts w:ascii="Arial" w:hAnsi="Arial" w:cs="Arial"/>
        </w:rPr>
      </w:pPr>
    </w:p>
    <w:p w14:paraId="42F764D1" w14:textId="42D2C22B" w:rsidR="009A0C2D" w:rsidRDefault="009A0C2D" w:rsidP="009A0C2D">
      <w:pPr>
        <w:spacing w:after="0"/>
        <w:jc w:val="both"/>
        <w:rPr>
          <w:rFonts w:ascii="Arial" w:eastAsia="Times New Roman" w:hAnsi="Arial" w:cs="Arial"/>
          <w:bCs/>
          <w:kern w:val="1"/>
          <w:lang w:eastAsia="ar-SA"/>
        </w:rPr>
      </w:pPr>
      <w:r>
        <w:rPr>
          <w:rFonts w:ascii="Arial" w:hAnsi="Arial" w:cs="Arial"/>
        </w:rPr>
        <w:t xml:space="preserve">En este contexto, </w:t>
      </w:r>
      <w:r w:rsidR="00C21851">
        <w:rPr>
          <w:rFonts w:ascii="Arial" w:eastAsia="Times New Roman" w:hAnsi="Arial" w:cs="Arial"/>
          <w:bCs/>
          <w:kern w:val="1"/>
          <w:lang w:eastAsia="ar-SA"/>
        </w:rPr>
        <w:t>la G</w:t>
      </w:r>
      <w:r>
        <w:rPr>
          <w:rFonts w:ascii="Arial" w:eastAsia="Times New Roman" w:hAnsi="Arial" w:cs="Arial"/>
          <w:bCs/>
          <w:kern w:val="1"/>
          <w:lang w:eastAsia="ar-SA"/>
        </w:rPr>
        <w:t xml:space="preserve">uía </w:t>
      </w:r>
      <w:r w:rsidR="00C21851">
        <w:rPr>
          <w:rFonts w:ascii="Arial" w:eastAsia="Times New Roman" w:hAnsi="Arial" w:cs="Arial"/>
          <w:bCs/>
          <w:kern w:val="1"/>
          <w:lang w:eastAsia="ar-SA"/>
        </w:rPr>
        <w:t>tiene los propósitos de</w:t>
      </w:r>
      <w:r w:rsidR="00F579D2">
        <w:rPr>
          <w:rFonts w:ascii="Arial" w:eastAsia="Times New Roman" w:hAnsi="Arial" w:cs="Arial"/>
          <w:bCs/>
          <w:kern w:val="1"/>
          <w:lang w:eastAsia="ar-SA"/>
        </w:rPr>
        <w:t>:</w:t>
      </w:r>
      <w:r w:rsidR="00C21851">
        <w:rPr>
          <w:rFonts w:ascii="Arial" w:eastAsia="Times New Roman" w:hAnsi="Arial" w:cs="Arial"/>
          <w:bCs/>
          <w:kern w:val="1"/>
          <w:lang w:eastAsia="ar-SA"/>
        </w:rPr>
        <w:t xml:space="preserve"> i)</w:t>
      </w:r>
      <w:r w:rsidR="00C21851" w:rsidRPr="00A76C2D">
        <w:rPr>
          <w:rFonts w:ascii="Arial" w:eastAsia="Times New Roman" w:hAnsi="Arial" w:cs="Arial"/>
          <w:bCs/>
          <w:kern w:val="1"/>
          <w:lang w:eastAsia="ar-SA"/>
        </w:rPr>
        <w:t xml:space="preserve"> </w:t>
      </w:r>
      <w:r w:rsidR="00C21851" w:rsidRPr="0033564A">
        <w:rPr>
          <w:rFonts w:ascii="Arial" w:eastAsia="Times New Roman" w:hAnsi="Arial" w:cs="Arial"/>
          <w:bCs/>
          <w:kern w:val="1"/>
          <w:lang w:eastAsia="ar-SA"/>
        </w:rPr>
        <w:t>orient</w:t>
      </w:r>
      <w:r w:rsidR="00C21851">
        <w:rPr>
          <w:rFonts w:ascii="Arial" w:eastAsia="Times New Roman" w:hAnsi="Arial" w:cs="Arial"/>
          <w:bCs/>
          <w:kern w:val="1"/>
          <w:lang w:eastAsia="ar-SA"/>
        </w:rPr>
        <w:t>ar</w:t>
      </w:r>
      <w:r w:rsidR="00C21851" w:rsidRPr="0033564A">
        <w:rPr>
          <w:rFonts w:ascii="Arial" w:eastAsia="Times New Roman" w:hAnsi="Arial" w:cs="Arial"/>
          <w:bCs/>
          <w:kern w:val="1"/>
          <w:lang w:eastAsia="ar-SA"/>
        </w:rPr>
        <w:t xml:space="preserve"> a los agentes</w:t>
      </w:r>
      <w:r w:rsidR="00C21851">
        <w:rPr>
          <w:rFonts w:ascii="Arial" w:eastAsia="Times New Roman" w:hAnsi="Arial" w:cs="Arial"/>
          <w:bCs/>
          <w:kern w:val="1"/>
          <w:lang w:eastAsia="ar-SA"/>
        </w:rPr>
        <w:t xml:space="preserve"> </w:t>
      </w:r>
      <w:r w:rsidR="00C21851" w:rsidRPr="0033564A">
        <w:rPr>
          <w:rFonts w:ascii="Arial" w:eastAsia="Times New Roman" w:hAnsi="Arial" w:cs="Arial"/>
          <w:bCs/>
          <w:kern w:val="1"/>
          <w:lang w:eastAsia="ar-SA"/>
        </w:rPr>
        <w:t>económicos</w:t>
      </w:r>
      <w:r w:rsidR="00C21851">
        <w:rPr>
          <w:rFonts w:ascii="Arial" w:eastAsia="Times New Roman" w:hAnsi="Arial" w:cs="Arial"/>
          <w:bCs/>
          <w:kern w:val="1"/>
          <w:lang w:eastAsia="ar-SA"/>
        </w:rPr>
        <w:t xml:space="preserve">, </w:t>
      </w:r>
      <w:r w:rsidR="00C21851" w:rsidRPr="0033564A">
        <w:rPr>
          <w:rFonts w:ascii="Arial" w:eastAsia="Times New Roman" w:hAnsi="Arial" w:cs="Arial"/>
          <w:bCs/>
          <w:kern w:val="1"/>
          <w:lang w:eastAsia="ar-SA"/>
        </w:rPr>
        <w:t>a los interesados</w:t>
      </w:r>
      <w:r w:rsidR="00C21851">
        <w:rPr>
          <w:rFonts w:ascii="Arial" w:eastAsia="Times New Roman" w:hAnsi="Arial" w:cs="Arial"/>
          <w:bCs/>
          <w:kern w:val="1"/>
          <w:lang w:eastAsia="ar-SA"/>
        </w:rPr>
        <w:t xml:space="preserve"> </w:t>
      </w:r>
      <w:r w:rsidR="00C21851" w:rsidRPr="0033564A">
        <w:rPr>
          <w:rFonts w:ascii="Arial" w:eastAsia="Times New Roman" w:hAnsi="Arial" w:cs="Arial"/>
          <w:bCs/>
          <w:kern w:val="1"/>
          <w:lang w:eastAsia="ar-SA"/>
        </w:rPr>
        <w:t>y a la sociedad en general</w:t>
      </w:r>
      <w:r w:rsidR="00C21851">
        <w:rPr>
          <w:rFonts w:ascii="Arial" w:eastAsia="Times New Roman" w:hAnsi="Arial" w:cs="Arial"/>
          <w:bCs/>
          <w:kern w:val="1"/>
          <w:lang w:eastAsia="ar-SA"/>
        </w:rPr>
        <w:t xml:space="preserve">, </w:t>
      </w:r>
      <w:r w:rsidR="00C21851" w:rsidRPr="0033564A">
        <w:rPr>
          <w:rFonts w:ascii="Arial" w:eastAsia="Times New Roman" w:hAnsi="Arial" w:cs="Arial"/>
          <w:bCs/>
          <w:kern w:val="1"/>
          <w:lang w:eastAsia="ar-SA"/>
        </w:rPr>
        <w:t xml:space="preserve">respecto </w:t>
      </w:r>
      <w:r w:rsidR="00C21851">
        <w:rPr>
          <w:rFonts w:ascii="Arial" w:eastAsia="Times New Roman" w:hAnsi="Arial" w:cs="Arial"/>
          <w:bCs/>
          <w:kern w:val="1"/>
          <w:lang w:eastAsia="ar-SA"/>
        </w:rPr>
        <w:t xml:space="preserve">a los criterios, elementos y herramientas que podrá considerar el Instituto en la determinación de MR, ii) </w:t>
      </w:r>
      <w:r w:rsidR="00C21851" w:rsidRPr="00931D46">
        <w:rPr>
          <w:rFonts w:ascii="Arial" w:eastAsia="Times New Roman" w:hAnsi="Arial" w:cs="Arial"/>
          <w:bCs/>
          <w:kern w:val="1"/>
          <w:lang w:eastAsia="ar-SA"/>
        </w:rPr>
        <w:t xml:space="preserve">contribuir a que los criterios que utilice el Instituto para determinar MR sean transparentes y consistentes, y </w:t>
      </w:r>
      <w:r w:rsidR="00C21851">
        <w:rPr>
          <w:rFonts w:ascii="Arial" w:eastAsia="Times New Roman" w:hAnsi="Arial" w:cs="Arial"/>
          <w:bCs/>
          <w:kern w:val="1"/>
          <w:lang w:eastAsia="ar-SA"/>
        </w:rPr>
        <w:t xml:space="preserve">iii) </w:t>
      </w:r>
      <w:r w:rsidR="00C21851" w:rsidRPr="00931D46">
        <w:rPr>
          <w:rFonts w:ascii="Arial" w:eastAsia="Times New Roman" w:hAnsi="Arial" w:cs="Arial"/>
          <w:bCs/>
          <w:kern w:val="1"/>
          <w:lang w:eastAsia="ar-SA"/>
        </w:rPr>
        <w:t xml:space="preserve">dar certidumbre a los </w:t>
      </w:r>
      <w:r w:rsidR="00C21851" w:rsidRPr="0033564A">
        <w:rPr>
          <w:rFonts w:ascii="Arial" w:eastAsia="Times New Roman" w:hAnsi="Arial" w:cs="Arial"/>
          <w:bCs/>
          <w:kern w:val="1"/>
          <w:lang w:eastAsia="ar-SA"/>
        </w:rPr>
        <w:t>agentes</w:t>
      </w:r>
      <w:r w:rsidR="00C21851">
        <w:rPr>
          <w:rFonts w:ascii="Arial" w:eastAsia="Times New Roman" w:hAnsi="Arial" w:cs="Arial"/>
          <w:bCs/>
          <w:kern w:val="1"/>
          <w:lang w:eastAsia="ar-SA"/>
        </w:rPr>
        <w:t xml:space="preserve"> </w:t>
      </w:r>
      <w:r w:rsidR="00C21851" w:rsidRPr="0033564A">
        <w:rPr>
          <w:rFonts w:ascii="Arial" w:eastAsia="Times New Roman" w:hAnsi="Arial" w:cs="Arial"/>
          <w:bCs/>
          <w:kern w:val="1"/>
          <w:lang w:eastAsia="ar-SA"/>
        </w:rPr>
        <w:t>económicos</w:t>
      </w:r>
      <w:r w:rsidR="00C21851" w:rsidRPr="00931D46">
        <w:rPr>
          <w:rFonts w:ascii="Arial" w:eastAsia="Times New Roman" w:hAnsi="Arial" w:cs="Arial"/>
          <w:bCs/>
          <w:kern w:val="1"/>
          <w:lang w:eastAsia="ar-SA"/>
        </w:rPr>
        <w:t xml:space="preserve"> sobre el ejercicio de las atribuciones del Instituto como autoridad en materia de competencia económica y como órgano regulador en los sectores de </w:t>
      </w:r>
      <w:r w:rsidR="00C21851">
        <w:rPr>
          <w:rFonts w:ascii="Arial" w:eastAsia="Times New Roman" w:hAnsi="Arial" w:cs="Arial"/>
          <w:bCs/>
          <w:kern w:val="1"/>
          <w:lang w:eastAsia="ar-SA"/>
        </w:rPr>
        <w:t>telecomunicaciones y radiodifusión</w:t>
      </w:r>
      <w:r>
        <w:rPr>
          <w:rFonts w:ascii="Arial" w:eastAsia="Times New Roman" w:hAnsi="Arial" w:cs="Arial"/>
          <w:bCs/>
          <w:kern w:val="1"/>
          <w:lang w:eastAsia="ar-SA"/>
        </w:rPr>
        <w:t>.</w:t>
      </w:r>
      <w:r w:rsidR="00C21851">
        <w:rPr>
          <w:rFonts w:ascii="Arial" w:eastAsia="Times New Roman" w:hAnsi="Arial" w:cs="Arial"/>
          <w:bCs/>
          <w:kern w:val="1"/>
          <w:lang w:eastAsia="ar-SA"/>
        </w:rPr>
        <w:tab/>
      </w:r>
    </w:p>
    <w:p w14:paraId="27E376C6" w14:textId="52F1268D" w:rsidR="009A0C2D" w:rsidRDefault="009A0C2D" w:rsidP="009A0C2D">
      <w:pPr>
        <w:spacing w:after="0"/>
        <w:jc w:val="both"/>
        <w:rPr>
          <w:rFonts w:ascii="Arial" w:eastAsia="Times New Roman" w:hAnsi="Arial" w:cs="Arial"/>
          <w:bCs/>
          <w:kern w:val="1"/>
          <w:lang w:eastAsia="ar-SA"/>
        </w:rPr>
      </w:pPr>
    </w:p>
    <w:p w14:paraId="0860D80D" w14:textId="76B584A0" w:rsidR="00C21851" w:rsidRDefault="00C21851" w:rsidP="009A0C2D">
      <w:pPr>
        <w:spacing w:after="0"/>
        <w:jc w:val="both"/>
        <w:rPr>
          <w:rFonts w:ascii="Arial" w:eastAsia="Times New Roman" w:hAnsi="Arial" w:cs="Arial"/>
          <w:bCs/>
          <w:kern w:val="1"/>
          <w:lang w:eastAsia="ar-SA"/>
        </w:rPr>
      </w:pPr>
      <w:r>
        <w:rPr>
          <w:rFonts w:ascii="Arial" w:eastAsia="Times New Roman" w:hAnsi="Arial" w:cs="Arial"/>
          <w:bCs/>
          <w:kern w:val="1"/>
          <w:lang w:eastAsia="ar-SA"/>
        </w:rPr>
        <w:t xml:space="preserve">Cabe agregar que la Guía fue materia de consulta pública en la que se recibieron comentarios y sugerencias que fueron considerados por la </w:t>
      </w:r>
      <w:r w:rsidRPr="00267520">
        <w:rPr>
          <w:rFonts w:ascii="Arial" w:hAnsi="Arial" w:cs="Arial"/>
        </w:rPr>
        <w:t>Autoridad Investigadora y la Unidad de Competencia Económica</w:t>
      </w:r>
      <w:r>
        <w:rPr>
          <w:rFonts w:ascii="Arial" w:hAnsi="Arial" w:cs="Arial"/>
        </w:rPr>
        <w:t>, de modo que se trata de un documento fortalecido y apegado a las mejores prácticas internacionales en la emisión de normativas.</w:t>
      </w:r>
    </w:p>
    <w:p w14:paraId="734C58A2" w14:textId="77777777" w:rsidR="00C21851" w:rsidRDefault="00C21851" w:rsidP="009A0C2D">
      <w:pPr>
        <w:spacing w:after="0"/>
        <w:jc w:val="both"/>
        <w:rPr>
          <w:rFonts w:ascii="Arial" w:eastAsia="Times New Roman" w:hAnsi="Arial" w:cs="Arial"/>
          <w:bCs/>
          <w:kern w:val="1"/>
          <w:lang w:eastAsia="ar-SA"/>
        </w:rPr>
      </w:pPr>
    </w:p>
    <w:p w14:paraId="1A5CFB9A" w14:textId="3470195C" w:rsidR="0064437D" w:rsidRDefault="00C21851" w:rsidP="0064437D">
      <w:pPr>
        <w:spacing w:after="0"/>
        <w:jc w:val="both"/>
        <w:rPr>
          <w:rFonts w:ascii="Arial" w:hAnsi="Arial" w:cs="Arial"/>
          <w:highlight w:val="yellow"/>
        </w:rPr>
      </w:pPr>
      <w:r>
        <w:rPr>
          <w:rFonts w:ascii="Arial" w:eastAsia="Times New Roman" w:hAnsi="Arial" w:cs="Arial"/>
          <w:bCs/>
          <w:kern w:val="1"/>
          <w:lang w:eastAsia="ar-SA"/>
        </w:rPr>
        <w:lastRenderedPageBreak/>
        <w:t xml:space="preserve">Finalmente, es de señalar que la Guía es consistente con recomendaciones de la </w:t>
      </w:r>
      <w:r w:rsidR="009A0C2D">
        <w:rPr>
          <w:rFonts w:ascii="Arial" w:eastAsia="Times New Roman" w:hAnsi="Arial" w:cs="Arial"/>
          <w:bCs/>
          <w:kern w:val="1"/>
          <w:lang w:eastAsia="ar-SA"/>
        </w:rPr>
        <w:t>Organización para la Cooperación y Desarrollos Económicos (OCDE)</w:t>
      </w:r>
      <w:r>
        <w:rPr>
          <w:rFonts w:ascii="Arial" w:eastAsia="Times New Roman" w:hAnsi="Arial" w:cs="Arial"/>
          <w:bCs/>
          <w:kern w:val="1"/>
          <w:lang w:eastAsia="ar-SA"/>
        </w:rPr>
        <w:t>,</w:t>
      </w:r>
      <w:r w:rsidR="009A0C2D" w:rsidRPr="0033564A">
        <w:rPr>
          <w:rFonts w:ascii="Arial" w:eastAsia="Times New Roman" w:hAnsi="Arial" w:cs="Arial"/>
          <w:bCs/>
          <w:kern w:val="1"/>
          <w:lang w:eastAsia="ar-SA"/>
        </w:rPr>
        <w:t xml:space="preserve"> </w:t>
      </w:r>
      <w:r>
        <w:rPr>
          <w:rFonts w:ascii="Arial" w:eastAsia="Times New Roman" w:hAnsi="Arial" w:cs="Arial"/>
          <w:bCs/>
          <w:kern w:val="1"/>
          <w:lang w:eastAsia="ar-SA"/>
        </w:rPr>
        <w:t xml:space="preserve">quien menciona </w:t>
      </w:r>
      <w:r w:rsidR="009A0C2D">
        <w:rPr>
          <w:rFonts w:ascii="Arial" w:eastAsia="Times New Roman" w:hAnsi="Arial" w:cs="Arial"/>
          <w:bCs/>
          <w:kern w:val="1"/>
          <w:lang w:eastAsia="ar-SA"/>
        </w:rPr>
        <w:t>que, en general, la</w:t>
      </w:r>
      <w:r w:rsidR="009A0C2D" w:rsidRPr="0033564A">
        <w:rPr>
          <w:rFonts w:ascii="Arial" w:eastAsia="Times New Roman" w:hAnsi="Arial" w:cs="Arial"/>
          <w:bCs/>
          <w:kern w:val="1"/>
          <w:lang w:eastAsia="ar-SA"/>
        </w:rPr>
        <w:t xml:space="preserve"> normativa no vinculante sustantiva</w:t>
      </w:r>
      <w:r w:rsidR="00D41840">
        <w:rPr>
          <w:rFonts w:ascii="Arial" w:eastAsia="Times New Roman" w:hAnsi="Arial" w:cs="Arial"/>
          <w:bCs/>
          <w:kern w:val="1"/>
          <w:lang w:eastAsia="ar-SA"/>
        </w:rPr>
        <w:t>:</w:t>
      </w:r>
      <w:r w:rsidR="009A0C2D" w:rsidRPr="0033564A">
        <w:rPr>
          <w:rFonts w:ascii="Arial" w:eastAsia="Times New Roman" w:hAnsi="Arial" w:cs="Arial"/>
          <w:bCs/>
          <w:kern w:val="1"/>
          <w:lang w:eastAsia="ar-SA"/>
        </w:rPr>
        <w:t xml:space="preserve"> </w:t>
      </w:r>
      <w:r w:rsidR="009A0C2D">
        <w:rPr>
          <w:rFonts w:ascii="Arial" w:eastAsia="Times New Roman" w:hAnsi="Arial" w:cs="Arial"/>
          <w:bCs/>
          <w:kern w:val="1"/>
          <w:lang w:eastAsia="ar-SA"/>
        </w:rPr>
        <w:t xml:space="preserve">i) </w:t>
      </w:r>
      <w:r w:rsidR="009A0C2D" w:rsidRPr="0033564A">
        <w:rPr>
          <w:rFonts w:ascii="Arial" w:eastAsia="Times New Roman" w:hAnsi="Arial" w:cs="Arial"/>
          <w:bCs/>
          <w:kern w:val="1"/>
          <w:lang w:eastAsia="ar-SA"/>
        </w:rPr>
        <w:t xml:space="preserve">crea conciencia entre las empresas, </w:t>
      </w:r>
      <w:r w:rsidR="009A0C2D">
        <w:rPr>
          <w:rFonts w:ascii="Arial" w:eastAsia="Times New Roman" w:hAnsi="Arial" w:cs="Arial"/>
          <w:bCs/>
          <w:kern w:val="1"/>
          <w:lang w:eastAsia="ar-SA"/>
        </w:rPr>
        <w:t xml:space="preserve">ii) </w:t>
      </w:r>
      <w:r w:rsidR="009A0C2D" w:rsidRPr="0033564A">
        <w:rPr>
          <w:rFonts w:ascii="Arial" w:eastAsia="Times New Roman" w:hAnsi="Arial" w:cs="Arial"/>
          <w:bCs/>
          <w:kern w:val="1"/>
          <w:lang w:eastAsia="ar-SA"/>
        </w:rPr>
        <w:t>fomenta el cumplimiento y aplicación de la LFCE</w:t>
      </w:r>
      <w:r w:rsidR="009A0C2D">
        <w:rPr>
          <w:rFonts w:ascii="Arial" w:eastAsia="Times New Roman" w:hAnsi="Arial" w:cs="Arial"/>
          <w:bCs/>
          <w:kern w:val="1"/>
          <w:lang w:eastAsia="ar-SA"/>
        </w:rPr>
        <w:t>, iii) es recibida con agrado por los</w:t>
      </w:r>
      <w:r w:rsidR="009A0C2D" w:rsidRPr="00475664">
        <w:rPr>
          <w:rFonts w:ascii="Arial" w:eastAsia="Times New Roman" w:hAnsi="Arial" w:cs="Arial"/>
          <w:bCs/>
          <w:kern w:val="1"/>
          <w:lang w:eastAsia="ar-SA"/>
        </w:rPr>
        <w:t xml:space="preserve"> interesados </w:t>
      </w:r>
      <w:r w:rsidR="009A0C2D">
        <w:rPr>
          <w:rFonts w:ascii="Arial" w:eastAsia="Times New Roman" w:hAnsi="Arial" w:cs="Arial"/>
          <w:bCs/>
          <w:kern w:val="1"/>
          <w:lang w:eastAsia="ar-SA"/>
        </w:rPr>
        <w:t>debido a que es un</w:t>
      </w:r>
      <w:r w:rsidR="009A0C2D" w:rsidRPr="00475664">
        <w:rPr>
          <w:rFonts w:ascii="Arial" w:eastAsia="Times New Roman" w:hAnsi="Arial" w:cs="Arial"/>
          <w:bCs/>
          <w:kern w:val="1"/>
          <w:lang w:eastAsia="ar-SA"/>
        </w:rPr>
        <w:t xml:space="preserve"> instrumento útil para entender mejor la ley de competencia y acatarla</w:t>
      </w:r>
      <w:r w:rsidR="009A0C2D">
        <w:rPr>
          <w:rFonts w:ascii="Arial" w:eastAsia="Times New Roman" w:hAnsi="Arial" w:cs="Arial"/>
          <w:bCs/>
          <w:kern w:val="1"/>
          <w:lang w:eastAsia="ar-SA"/>
        </w:rPr>
        <w:t>, y iv) sirve para</w:t>
      </w:r>
      <w:r w:rsidR="009A0C2D" w:rsidRPr="00475664">
        <w:rPr>
          <w:rFonts w:ascii="Arial" w:eastAsia="Times New Roman" w:hAnsi="Arial" w:cs="Arial"/>
          <w:bCs/>
          <w:kern w:val="1"/>
          <w:lang w:eastAsia="ar-SA"/>
        </w:rPr>
        <w:t xml:space="preserve"> </w:t>
      </w:r>
      <w:r w:rsidR="009A0C2D">
        <w:rPr>
          <w:rFonts w:ascii="Arial" w:eastAsia="Times New Roman" w:hAnsi="Arial" w:cs="Arial"/>
          <w:bCs/>
          <w:kern w:val="1"/>
          <w:lang w:eastAsia="ar-SA"/>
        </w:rPr>
        <w:t>orientar</w:t>
      </w:r>
      <w:r w:rsidR="009A0C2D" w:rsidRPr="00475664">
        <w:rPr>
          <w:rFonts w:ascii="Arial" w:eastAsia="Times New Roman" w:hAnsi="Arial" w:cs="Arial"/>
          <w:bCs/>
          <w:kern w:val="1"/>
          <w:lang w:eastAsia="ar-SA"/>
        </w:rPr>
        <w:t xml:space="preserve"> a los agentes económicos y profesionales en el tema, para crear una política de competencia eficaz y mejorar la seguridad jurídica. </w:t>
      </w:r>
      <w:r w:rsidR="009A0C2D">
        <w:rPr>
          <w:rFonts w:ascii="Arial" w:eastAsia="Times New Roman" w:hAnsi="Arial" w:cs="Arial"/>
          <w:bCs/>
          <w:kern w:val="1"/>
          <w:lang w:eastAsia="ar-SA"/>
        </w:rPr>
        <w:t>Por ello, la OCDE recomienda adoptar líneas directrices sobre, entre otros temas sustantivos, la determinación de mercado relevante.</w:t>
      </w:r>
    </w:p>
    <w:p w14:paraId="7C2D0A80" w14:textId="5BEAA655" w:rsidR="0064437D" w:rsidRDefault="0064437D" w:rsidP="0064437D">
      <w:pPr>
        <w:spacing w:after="0"/>
        <w:jc w:val="both"/>
        <w:rPr>
          <w:rFonts w:ascii="Arial" w:hAnsi="Arial" w:cs="Arial"/>
          <w:b/>
          <w:highlight w:val="yellow"/>
        </w:rPr>
      </w:pPr>
    </w:p>
    <w:p w14:paraId="38B0AC7B" w14:textId="2B535D5B" w:rsidR="00C21851" w:rsidRDefault="009A0C2D" w:rsidP="0064437D">
      <w:pPr>
        <w:spacing w:after="0"/>
        <w:jc w:val="both"/>
        <w:rPr>
          <w:rFonts w:ascii="Arial" w:eastAsia="Times New Roman" w:hAnsi="Arial" w:cs="Arial"/>
          <w:bCs/>
          <w:kern w:val="1"/>
          <w:lang w:eastAsia="ar-SA"/>
        </w:rPr>
      </w:pPr>
      <w:r w:rsidRPr="00C21851">
        <w:rPr>
          <w:rFonts w:ascii="Arial" w:hAnsi="Arial" w:cs="Arial"/>
          <w:b/>
        </w:rPr>
        <w:t>Segundo.- Carácter de la Guía</w:t>
      </w:r>
      <w:r w:rsidRPr="00C21851">
        <w:rPr>
          <w:rFonts w:ascii="Arial" w:hAnsi="Arial" w:cs="Arial"/>
          <w:b/>
          <w:bCs/>
        </w:rPr>
        <w:t>.</w:t>
      </w:r>
      <w:r w:rsidRPr="00C21851">
        <w:rPr>
          <w:rFonts w:ascii="Arial" w:hAnsi="Arial" w:cs="Arial"/>
          <w:bCs/>
        </w:rPr>
        <w:t xml:space="preserve"> </w:t>
      </w:r>
      <w:r w:rsidR="00C21851" w:rsidRPr="00C21851">
        <w:rPr>
          <w:rFonts w:ascii="Arial" w:eastAsia="Times New Roman" w:hAnsi="Arial" w:cs="Arial"/>
          <w:bCs/>
          <w:kern w:val="1"/>
          <w:lang w:eastAsia="ar-SA"/>
        </w:rPr>
        <w:t>La</w:t>
      </w:r>
      <w:r w:rsidRPr="00C21851">
        <w:rPr>
          <w:rFonts w:ascii="Arial" w:eastAsia="Times New Roman" w:hAnsi="Arial" w:cs="Arial"/>
          <w:bCs/>
          <w:kern w:val="1"/>
          <w:lang w:eastAsia="ar-SA"/>
        </w:rPr>
        <w:t xml:space="preserve"> Guía</w:t>
      </w:r>
      <w:r>
        <w:rPr>
          <w:rFonts w:ascii="Arial" w:eastAsia="Times New Roman" w:hAnsi="Arial" w:cs="Arial"/>
          <w:bCs/>
          <w:kern w:val="1"/>
          <w:lang w:eastAsia="ar-SA"/>
        </w:rPr>
        <w:t xml:space="preserve"> </w:t>
      </w:r>
      <w:r w:rsidR="00C21851">
        <w:rPr>
          <w:rFonts w:ascii="Arial" w:eastAsia="Times New Roman" w:hAnsi="Arial" w:cs="Arial"/>
          <w:bCs/>
          <w:kern w:val="1"/>
          <w:lang w:eastAsia="ar-SA"/>
        </w:rPr>
        <w:t>constituye</w:t>
      </w:r>
      <w:r w:rsidR="00C21851" w:rsidRPr="00931D46">
        <w:rPr>
          <w:rFonts w:ascii="Arial" w:eastAsia="Times New Roman" w:hAnsi="Arial" w:cs="Arial"/>
          <w:bCs/>
          <w:kern w:val="1"/>
          <w:lang w:eastAsia="ar-SA"/>
        </w:rPr>
        <w:t xml:space="preserve"> un marco de referencia que podrá seguir el Instituto para la determinación de MR en los sectores de </w:t>
      </w:r>
      <w:r w:rsidR="00C21851">
        <w:rPr>
          <w:rFonts w:ascii="Arial" w:eastAsia="Times New Roman" w:hAnsi="Arial" w:cs="Arial"/>
          <w:bCs/>
          <w:kern w:val="1"/>
          <w:lang w:eastAsia="ar-SA"/>
        </w:rPr>
        <w:t>telecomunicaciones y radiodifusión</w:t>
      </w:r>
      <w:r w:rsidR="00C21851" w:rsidRPr="00931D46">
        <w:rPr>
          <w:rFonts w:ascii="Arial" w:eastAsia="Times New Roman" w:hAnsi="Arial" w:cs="Arial"/>
          <w:bCs/>
          <w:kern w:val="1"/>
          <w:lang w:eastAsia="ar-SA"/>
        </w:rPr>
        <w:t xml:space="preserve"> en asuntos que se tramiten en términos de la LFCE o de la LFTR, </w:t>
      </w:r>
      <w:r w:rsidR="00C21851">
        <w:rPr>
          <w:rFonts w:ascii="Arial" w:eastAsia="Times New Roman" w:hAnsi="Arial" w:cs="Arial"/>
          <w:bCs/>
          <w:kern w:val="1"/>
          <w:lang w:eastAsia="ar-SA"/>
        </w:rPr>
        <w:t xml:space="preserve">mas no tiene </w:t>
      </w:r>
      <w:r w:rsidR="00C21851" w:rsidRPr="00931D46">
        <w:rPr>
          <w:rFonts w:ascii="Arial" w:eastAsia="Times New Roman" w:hAnsi="Arial" w:cs="Arial"/>
          <w:bCs/>
          <w:kern w:val="1"/>
          <w:lang w:eastAsia="ar-SA"/>
        </w:rPr>
        <w:t>el carácter de vinculante</w:t>
      </w:r>
      <w:r w:rsidR="00C21851">
        <w:rPr>
          <w:rFonts w:ascii="Arial" w:eastAsia="Times New Roman" w:hAnsi="Arial" w:cs="Arial"/>
          <w:bCs/>
          <w:kern w:val="1"/>
          <w:lang w:eastAsia="ar-SA"/>
        </w:rPr>
        <w:t xml:space="preserve"> para el Pleno del Instituto</w:t>
      </w:r>
      <w:r w:rsidR="00C21851" w:rsidRPr="00931D46">
        <w:rPr>
          <w:rFonts w:ascii="Arial" w:eastAsia="Times New Roman" w:hAnsi="Arial" w:cs="Arial"/>
          <w:bCs/>
          <w:kern w:val="1"/>
          <w:lang w:eastAsia="ar-SA"/>
        </w:rPr>
        <w:t xml:space="preserve">. </w:t>
      </w:r>
      <w:r w:rsidR="00C21851">
        <w:rPr>
          <w:rFonts w:ascii="Arial" w:eastAsia="Times New Roman" w:hAnsi="Arial" w:cs="Arial"/>
          <w:bCs/>
          <w:kern w:val="1"/>
          <w:lang w:eastAsia="ar-SA"/>
        </w:rPr>
        <w:t>L</w:t>
      </w:r>
      <w:r w:rsidR="00C21851" w:rsidRPr="00931D46">
        <w:rPr>
          <w:rFonts w:ascii="Arial" w:eastAsia="Times New Roman" w:hAnsi="Arial" w:cs="Arial"/>
          <w:bCs/>
          <w:kern w:val="1"/>
          <w:lang w:eastAsia="ar-SA"/>
        </w:rPr>
        <w:t>a determinación específica de</w:t>
      </w:r>
      <w:r w:rsidR="00C21851" w:rsidRPr="00931D46" w:rsidDel="00710B1A">
        <w:rPr>
          <w:rFonts w:ascii="Arial" w:eastAsia="Times New Roman" w:hAnsi="Arial" w:cs="Arial"/>
          <w:bCs/>
          <w:kern w:val="1"/>
          <w:lang w:eastAsia="ar-SA"/>
        </w:rPr>
        <w:t>l</w:t>
      </w:r>
      <w:r w:rsidR="00C21851" w:rsidRPr="00931D46">
        <w:rPr>
          <w:rFonts w:ascii="Arial" w:eastAsia="Times New Roman" w:hAnsi="Arial" w:cs="Arial"/>
          <w:bCs/>
          <w:kern w:val="1"/>
          <w:lang w:eastAsia="ar-SA"/>
        </w:rPr>
        <w:t xml:space="preserve"> MR que adopte el Pleno del Instituto dependerá de las condiciones particulares del caso</w:t>
      </w:r>
      <w:r w:rsidR="00C21851">
        <w:rPr>
          <w:rFonts w:ascii="Arial" w:eastAsia="Times New Roman" w:hAnsi="Arial" w:cs="Arial"/>
          <w:bCs/>
          <w:kern w:val="1"/>
          <w:lang w:eastAsia="ar-SA"/>
        </w:rPr>
        <w:t xml:space="preserve"> sujeto de análisis.</w:t>
      </w:r>
    </w:p>
    <w:p w14:paraId="5FCBF267" w14:textId="77777777" w:rsidR="009A0C2D" w:rsidRPr="009A0C2D" w:rsidRDefault="009A0C2D" w:rsidP="0064437D">
      <w:pPr>
        <w:spacing w:after="0"/>
        <w:jc w:val="both"/>
        <w:rPr>
          <w:rFonts w:ascii="Arial" w:hAnsi="Arial" w:cs="Arial"/>
          <w:b/>
        </w:rPr>
      </w:pPr>
    </w:p>
    <w:p w14:paraId="66F8BC3F" w14:textId="77777777" w:rsidR="0064437D" w:rsidRPr="009A0C2D" w:rsidRDefault="0064437D" w:rsidP="0064437D">
      <w:pPr>
        <w:spacing w:after="0"/>
        <w:jc w:val="center"/>
        <w:rPr>
          <w:rFonts w:ascii="Arial" w:hAnsi="Arial" w:cs="Arial"/>
        </w:rPr>
      </w:pPr>
      <w:r w:rsidRPr="009A0C2D">
        <w:rPr>
          <w:rFonts w:ascii="Arial" w:hAnsi="Arial" w:cs="Arial"/>
        </w:rPr>
        <w:t>***</w:t>
      </w:r>
    </w:p>
    <w:p w14:paraId="6F5A9E84" w14:textId="77777777" w:rsidR="0064437D" w:rsidRPr="009A0C2D" w:rsidRDefault="0064437D" w:rsidP="0064437D">
      <w:pPr>
        <w:spacing w:after="0"/>
        <w:jc w:val="center"/>
        <w:rPr>
          <w:rFonts w:ascii="Arial" w:hAnsi="Arial" w:cs="Arial"/>
        </w:rPr>
      </w:pPr>
    </w:p>
    <w:p w14:paraId="028021CC" w14:textId="1DCBCAD6" w:rsidR="0064437D" w:rsidRPr="009A0C2D" w:rsidRDefault="0064437D" w:rsidP="00D47DA6">
      <w:pPr>
        <w:suppressAutoHyphens/>
        <w:spacing w:after="0"/>
        <w:ind w:right="49"/>
        <w:jc w:val="both"/>
        <w:rPr>
          <w:rFonts w:ascii="Arial" w:hAnsi="Arial" w:cs="Arial"/>
          <w:bCs/>
          <w:lang w:val="es-ES_tradnl"/>
        </w:rPr>
      </w:pPr>
      <w:r w:rsidRPr="009A0C2D">
        <w:rPr>
          <w:rFonts w:ascii="Arial" w:eastAsia="Times New Roman" w:hAnsi="Arial" w:cs="Arial"/>
          <w:bCs/>
          <w:kern w:val="1"/>
          <w:lang w:eastAsia="ar-SA"/>
        </w:rPr>
        <w:t xml:space="preserve">Por lo anterior, </w:t>
      </w:r>
      <w:r w:rsidRPr="009A0C2D">
        <w:rPr>
          <w:rFonts w:ascii="Arial" w:hAnsi="Arial" w:cs="Arial"/>
          <w:bCs/>
          <w:lang w:val="es-ES_tradnl"/>
        </w:rPr>
        <w:t xml:space="preserve">con fundamento en los artículos 28, párrafos décimo quinto y décimo sexto, de la Constitución Política de los Estados Unidos Mexicanos; 1, 7, párrafos primero y tercero, y 15, fracciones I y XVIII, de la Ley Federal de Telecomunicaciones y Radiodifusión; 5, párrafo primero, 12, fracción XXII, párrafo tercero, inciso g), </w:t>
      </w:r>
      <w:r w:rsidR="009A0C2D" w:rsidRPr="009A0C2D">
        <w:rPr>
          <w:rFonts w:ascii="Arial" w:hAnsi="Arial" w:cs="Arial"/>
          <w:bCs/>
          <w:lang w:val="es-ES_tradnl"/>
        </w:rPr>
        <w:t>18, párrafo séptimo,</w:t>
      </w:r>
      <w:r w:rsidRPr="009A0C2D">
        <w:rPr>
          <w:rFonts w:ascii="Arial" w:hAnsi="Arial" w:cs="Arial"/>
          <w:bCs/>
          <w:lang w:val="es-ES_tradnl"/>
        </w:rPr>
        <w:t xml:space="preserve"> y 138</w:t>
      </w:r>
      <w:r w:rsidR="009A0C2D" w:rsidRPr="009A0C2D">
        <w:rPr>
          <w:rFonts w:ascii="Arial" w:hAnsi="Arial" w:cs="Arial"/>
          <w:bCs/>
          <w:lang w:val="es-ES_tradnl"/>
        </w:rPr>
        <w:t>,</w:t>
      </w:r>
      <w:r w:rsidRPr="009A0C2D">
        <w:rPr>
          <w:rFonts w:ascii="Arial" w:hAnsi="Arial" w:cs="Arial"/>
          <w:bCs/>
          <w:lang w:val="es-ES_tradnl"/>
        </w:rPr>
        <w:t xml:space="preserve"> de la Ley Federal de Competencia Económica; 187 de</w:t>
      </w:r>
      <w:r w:rsidRPr="009A0C2D">
        <w:rPr>
          <w:rFonts w:ascii="Arial" w:hAnsi="Arial" w:cs="Arial"/>
        </w:rPr>
        <w:t xml:space="preserve"> las Disposiciones Regulatorias de la Ley Federal de Competencia Económica para los sectores de telecomunicaciones y radiodifusión</w:t>
      </w:r>
      <w:r w:rsidRPr="009A0C2D">
        <w:rPr>
          <w:rFonts w:ascii="Arial" w:hAnsi="Arial" w:cs="Arial"/>
          <w:bCs/>
          <w:lang w:val="es-ES_tradnl"/>
        </w:rPr>
        <w:t xml:space="preserve">, así como 1, párrafos primero y tercero, </w:t>
      </w:r>
      <w:r w:rsidR="009A0C2D" w:rsidRPr="009A0C2D">
        <w:rPr>
          <w:rFonts w:ascii="Arial" w:hAnsi="Arial" w:cs="Arial"/>
          <w:bCs/>
          <w:lang w:val="es-ES_tradnl"/>
        </w:rPr>
        <w:t xml:space="preserve">2, fracción X, </w:t>
      </w:r>
      <w:r w:rsidRPr="009A0C2D">
        <w:rPr>
          <w:rFonts w:ascii="Arial" w:hAnsi="Arial" w:cs="Arial"/>
          <w:bCs/>
          <w:lang w:val="es-ES_tradnl"/>
        </w:rPr>
        <w:t>4, fracci</w:t>
      </w:r>
      <w:r w:rsidR="009A0C2D" w:rsidRPr="009A0C2D">
        <w:rPr>
          <w:rFonts w:ascii="Arial" w:hAnsi="Arial" w:cs="Arial"/>
          <w:bCs/>
          <w:lang w:val="es-ES_tradnl"/>
        </w:rPr>
        <w:t>ón</w:t>
      </w:r>
      <w:r w:rsidRPr="009A0C2D">
        <w:rPr>
          <w:rFonts w:ascii="Arial" w:hAnsi="Arial" w:cs="Arial"/>
          <w:bCs/>
          <w:lang w:val="es-ES_tradnl"/>
        </w:rPr>
        <w:t xml:space="preserve"> I, </w:t>
      </w:r>
      <w:r w:rsidR="009A0C2D" w:rsidRPr="009A0C2D">
        <w:rPr>
          <w:rFonts w:ascii="Arial" w:hAnsi="Arial" w:cs="Arial"/>
          <w:bCs/>
          <w:lang w:val="es-ES_tradnl"/>
        </w:rPr>
        <w:t xml:space="preserve">y </w:t>
      </w:r>
      <w:r w:rsidRPr="009A0C2D">
        <w:rPr>
          <w:rFonts w:ascii="Arial" w:hAnsi="Arial" w:cs="Arial"/>
          <w:bCs/>
          <w:lang w:val="es-ES_tradnl"/>
        </w:rPr>
        <w:t>6, fracción XXXVIII, del Estatuto Orgánico del Instituto Federal de Telecomunicaciones, el Pleno de este Instituto expide el siguiente:</w:t>
      </w:r>
    </w:p>
    <w:p w14:paraId="089D3BB2" w14:textId="77777777" w:rsidR="0064437D" w:rsidRPr="00B81C32" w:rsidRDefault="0064437D" w:rsidP="00D47DA6">
      <w:pPr>
        <w:spacing w:after="0"/>
        <w:jc w:val="center"/>
        <w:rPr>
          <w:rFonts w:ascii="Arial" w:hAnsi="Arial" w:cs="Arial"/>
          <w:kern w:val="1"/>
          <w:lang w:eastAsia="ar-SA"/>
        </w:rPr>
      </w:pPr>
    </w:p>
    <w:p w14:paraId="1307D211" w14:textId="77777777" w:rsidR="0064437D" w:rsidRPr="00B81C32" w:rsidRDefault="0064437D" w:rsidP="00D47DA6">
      <w:pPr>
        <w:spacing w:after="0"/>
        <w:jc w:val="center"/>
        <w:rPr>
          <w:rFonts w:ascii="Arial" w:hAnsi="Arial" w:cs="Arial"/>
          <w:kern w:val="1"/>
          <w:lang w:eastAsia="ar-SA"/>
        </w:rPr>
      </w:pPr>
    </w:p>
    <w:p w14:paraId="2E129BB4" w14:textId="77777777" w:rsidR="0064437D" w:rsidRPr="00D47DA6" w:rsidRDefault="0064437D" w:rsidP="00D47DA6">
      <w:pPr>
        <w:keepNext/>
        <w:keepLines/>
        <w:spacing w:after="0"/>
        <w:jc w:val="center"/>
        <w:outlineLvl w:val="0"/>
        <w:rPr>
          <w:rFonts w:ascii="Arial" w:eastAsia="Times New Roman" w:hAnsi="Arial" w:cs="Arial"/>
          <w:b/>
          <w:bCs/>
          <w:sz w:val="26"/>
          <w:szCs w:val="26"/>
          <w:lang w:eastAsia="es-MX"/>
        </w:rPr>
      </w:pPr>
      <w:r w:rsidRPr="00D47DA6">
        <w:rPr>
          <w:rFonts w:ascii="Arial" w:eastAsia="Times New Roman" w:hAnsi="Arial" w:cs="Arial"/>
          <w:b/>
          <w:bCs/>
          <w:sz w:val="26"/>
          <w:szCs w:val="26"/>
          <w:lang w:eastAsia="es-MX"/>
        </w:rPr>
        <w:t>Acuerdo</w:t>
      </w:r>
    </w:p>
    <w:p w14:paraId="1AEC0233" w14:textId="77777777" w:rsidR="0064437D" w:rsidRPr="00B81C32" w:rsidRDefault="0064437D" w:rsidP="00D47DA6">
      <w:pPr>
        <w:suppressAutoHyphens/>
        <w:spacing w:after="0"/>
        <w:ind w:right="49"/>
        <w:jc w:val="center"/>
        <w:rPr>
          <w:rFonts w:ascii="Arial" w:eastAsia="Times New Roman" w:hAnsi="Arial" w:cs="Arial"/>
          <w:bCs/>
          <w:kern w:val="1"/>
          <w:lang w:eastAsia="ar-SA"/>
        </w:rPr>
      </w:pPr>
    </w:p>
    <w:p w14:paraId="6B1D2A64" w14:textId="77777777" w:rsidR="0064437D" w:rsidRPr="00B81C32" w:rsidRDefault="0064437D" w:rsidP="00D47DA6">
      <w:pPr>
        <w:suppressAutoHyphens/>
        <w:spacing w:after="0"/>
        <w:ind w:right="49"/>
        <w:jc w:val="center"/>
        <w:rPr>
          <w:rFonts w:ascii="Arial" w:eastAsia="Times New Roman" w:hAnsi="Arial" w:cs="Arial"/>
          <w:bCs/>
          <w:kern w:val="1"/>
          <w:lang w:eastAsia="ar-SA"/>
        </w:rPr>
      </w:pPr>
    </w:p>
    <w:p w14:paraId="58F027F0" w14:textId="69CB7C42" w:rsidR="0064437D" w:rsidRPr="00B81C32" w:rsidRDefault="0064437D" w:rsidP="00D47DA6">
      <w:pPr>
        <w:spacing w:after="0"/>
        <w:jc w:val="both"/>
        <w:rPr>
          <w:rFonts w:ascii="Arial" w:hAnsi="Arial" w:cs="Arial"/>
        </w:rPr>
      </w:pPr>
      <w:r w:rsidRPr="00B81C32">
        <w:rPr>
          <w:rFonts w:ascii="Arial" w:hAnsi="Arial" w:cs="Arial"/>
          <w:b/>
        </w:rPr>
        <w:t xml:space="preserve">Primero.- </w:t>
      </w:r>
      <w:r w:rsidRPr="00B81C32">
        <w:rPr>
          <w:rFonts w:ascii="Arial" w:hAnsi="Arial" w:cs="Arial"/>
          <w:bCs/>
        </w:rPr>
        <w:t xml:space="preserve">Se </w:t>
      </w:r>
      <w:r>
        <w:rPr>
          <w:rFonts w:ascii="Arial" w:hAnsi="Arial" w:cs="Arial"/>
          <w:bCs/>
        </w:rPr>
        <w:t>expide la</w:t>
      </w:r>
      <w:r w:rsidRPr="00B81C32">
        <w:rPr>
          <w:rFonts w:ascii="Arial" w:hAnsi="Arial" w:cs="Arial"/>
        </w:rPr>
        <w:t xml:space="preserve"> </w:t>
      </w:r>
      <w:r w:rsidRPr="00A334AA">
        <w:rPr>
          <w:rFonts w:ascii="Arial" w:hAnsi="Arial" w:cs="Arial"/>
          <w:bCs/>
          <w:i/>
        </w:rPr>
        <w:t>Guía para determinar Mercados Relevantes en los Sectores de Telecomunicaciones y Radiodifusión</w:t>
      </w:r>
      <w:r>
        <w:rPr>
          <w:rFonts w:ascii="Arial" w:hAnsi="Arial" w:cs="Arial"/>
        </w:rPr>
        <w:t>,</w:t>
      </w:r>
      <w:r w:rsidRPr="00B81C32">
        <w:rPr>
          <w:rFonts w:ascii="Arial" w:hAnsi="Arial" w:cs="Arial"/>
        </w:rPr>
        <w:t xml:space="preserve"> </w:t>
      </w:r>
      <w:r w:rsidR="00A04D91">
        <w:rPr>
          <w:rFonts w:ascii="Arial" w:hAnsi="Arial" w:cs="Arial"/>
        </w:rPr>
        <w:t xml:space="preserve">misma </w:t>
      </w:r>
      <w:r>
        <w:rPr>
          <w:rFonts w:ascii="Arial" w:hAnsi="Arial" w:cs="Arial"/>
        </w:rPr>
        <w:t>que se adjunta al presente acuerdo.</w:t>
      </w:r>
    </w:p>
    <w:p w14:paraId="1039101C" w14:textId="77777777" w:rsidR="0064437D" w:rsidRPr="00B81C32" w:rsidRDefault="0064437D" w:rsidP="0064437D">
      <w:pPr>
        <w:spacing w:after="0"/>
        <w:jc w:val="both"/>
        <w:rPr>
          <w:rFonts w:ascii="Arial" w:eastAsia="Times New Roman" w:hAnsi="Arial" w:cs="Arial"/>
          <w:b/>
          <w:bCs/>
          <w:color w:val="000000"/>
          <w:lang w:eastAsia="es-MX"/>
        </w:rPr>
      </w:pPr>
    </w:p>
    <w:p w14:paraId="782BC78D" w14:textId="3A5EDCD9" w:rsidR="0064437D" w:rsidRDefault="0064437D" w:rsidP="0064437D">
      <w:pPr>
        <w:spacing w:after="0"/>
        <w:jc w:val="both"/>
        <w:rPr>
          <w:rFonts w:ascii="Arial" w:eastAsia="MS Mincho" w:hAnsi="Arial" w:cs="Arial"/>
          <w:bCs/>
          <w:color w:val="000000"/>
          <w:lang w:eastAsia="es-MX"/>
        </w:rPr>
      </w:pPr>
      <w:r w:rsidRPr="00B81C32">
        <w:rPr>
          <w:rFonts w:ascii="Arial" w:hAnsi="Arial" w:cs="Arial"/>
          <w:b/>
        </w:rPr>
        <w:t xml:space="preserve">Segundo.- </w:t>
      </w:r>
      <w:r w:rsidRPr="00B81C32">
        <w:rPr>
          <w:rFonts w:ascii="Arial" w:eastAsia="MS Mincho" w:hAnsi="Arial" w:cs="Arial"/>
          <w:bCs/>
          <w:color w:val="000000"/>
          <w:lang w:val="es-ES_tradnl" w:eastAsia="es-MX"/>
        </w:rPr>
        <w:t>Publíquese</w:t>
      </w:r>
      <w:r>
        <w:rPr>
          <w:rFonts w:ascii="Arial" w:eastAsia="MS Mincho" w:hAnsi="Arial" w:cs="Arial"/>
          <w:bCs/>
          <w:color w:val="000000"/>
          <w:lang w:val="es-ES_tradnl" w:eastAsia="es-MX"/>
        </w:rPr>
        <w:t xml:space="preserve"> </w:t>
      </w:r>
      <w:r w:rsidR="00F13950">
        <w:rPr>
          <w:rFonts w:ascii="Arial" w:eastAsia="MS Mincho" w:hAnsi="Arial" w:cs="Arial"/>
          <w:bCs/>
          <w:color w:val="000000"/>
          <w:lang w:val="es-ES_tradnl" w:eastAsia="es-MX"/>
        </w:rPr>
        <w:t>un extracto</w:t>
      </w:r>
      <w:r>
        <w:rPr>
          <w:rFonts w:ascii="Arial" w:eastAsia="MS Mincho" w:hAnsi="Arial" w:cs="Arial"/>
          <w:bCs/>
          <w:color w:val="000000"/>
          <w:lang w:val="es-ES_tradnl" w:eastAsia="es-MX"/>
        </w:rPr>
        <w:t xml:space="preserve"> </w:t>
      </w:r>
      <w:r w:rsidR="00F13950">
        <w:rPr>
          <w:rFonts w:ascii="Arial" w:eastAsia="MS Mincho" w:hAnsi="Arial" w:cs="Arial"/>
          <w:bCs/>
          <w:color w:val="000000"/>
          <w:lang w:val="es-ES_tradnl" w:eastAsia="es-MX"/>
        </w:rPr>
        <w:t xml:space="preserve">de </w:t>
      </w:r>
      <w:r>
        <w:rPr>
          <w:rFonts w:ascii="Arial" w:eastAsia="MS Mincho" w:hAnsi="Arial" w:cs="Arial"/>
          <w:bCs/>
          <w:color w:val="000000"/>
          <w:lang w:eastAsia="es-MX"/>
        </w:rPr>
        <w:t xml:space="preserve">la </w:t>
      </w:r>
      <w:r w:rsidRPr="00A334AA">
        <w:rPr>
          <w:rFonts w:ascii="Arial" w:hAnsi="Arial" w:cs="Arial"/>
          <w:bCs/>
          <w:i/>
        </w:rPr>
        <w:t>Guía para determinar Mercados Relevantes en los Sectores de Telecomunicaciones y Radiodifusión</w:t>
      </w:r>
      <w:r w:rsidR="00F13950">
        <w:rPr>
          <w:rFonts w:ascii="Arial" w:hAnsi="Arial" w:cs="Arial"/>
          <w:bCs/>
          <w:color w:val="000000"/>
          <w:lang w:eastAsia="es-MX"/>
        </w:rPr>
        <w:t xml:space="preserve"> </w:t>
      </w:r>
      <w:r w:rsidR="00F13950" w:rsidRPr="004F41B3">
        <w:rPr>
          <w:rFonts w:ascii="Arial" w:eastAsia="MS Mincho" w:hAnsi="Arial" w:cs="Arial"/>
          <w:bCs/>
          <w:color w:val="000000"/>
          <w:lang w:eastAsia="es-MX"/>
        </w:rPr>
        <w:t xml:space="preserve">en el </w:t>
      </w:r>
      <w:r w:rsidR="00F13950">
        <w:rPr>
          <w:rFonts w:ascii="Arial" w:eastAsia="MS Mincho" w:hAnsi="Arial" w:cs="Arial"/>
          <w:bCs/>
          <w:color w:val="000000"/>
          <w:lang w:eastAsia="es-MX"/>
        </w:rPr>
        <w:t xml:space="preserve">Diario Oficial de la Federación e íntegramente en el </w:t>
      </w:r>
      <w:r w:rsidR="00F13950" w:rsidRPr="004F41B3">
        <w:rPr>
          <w:rFonts w:ascii="Arial" w:eastAsia="MS Mincho" w:hAnsi="Arial" w:cs="Arial"/>
          <w:bCs/>
          <w:color w:val="000000"/>
          <w:lang w:eastAsia="es-MX"/>
        </w:rPr>
        <w:t>portal de Internet del Instituto</w:t>
      </w:r>
      <w:r w:rsidR="00F13950">
        <w:rPr>
          <w:rFonts w:ascii="Arial" w:eastAsia="MS Mincho" w:hAnsi="Arial" w:cs="Arial"/>
          <w:bCs/>
          <w:color w:val="000000"/>
          <w:lang w:eastAsia="es-MX"/>
        </w:rPr>
        <w:t>.</w:t>
      </w:r>
    </w:p>
    <w:p w14:paraId="644B4713" w14:textId="36F2805D" w:rsidR="000630E5" w:rsidRDefault="000630E5" w:rsidP="0064437D">
      <w:pPr>
        <w:spacing w:after="0"/>
        <w:jc w:val="both"/>
        <w:rPr>
          <w:rFonts w:ascii="Arial" w:eastAsia="MS Mincho" w:hAnsi="Arial" w:cs="Arial"/>
          <w:bCs/>
          <w:color w:val="000000"/>
          <w:lang w:eastAsia="es-MX"/>
        </w:rPr>
      </w:pPr>
    </w:p>
    <w:p w14:paraId="10334F2C" w14:textId="1B71073B" w:rsidR="000630E5" w:rsidRDefault="000630E5" w:rsidP="0064437D">
      <w:pPr>
        <w:spacing w:after="0"/>
        <w:jc w:val="both"/>
        <w:rPr>
          <w:rFonts w:ascii="Arial" w:eastAsia="MS Mincho" w:hAnsi="Arial" w:cs="Arial"/>
          <w:bCs/>
          <w:color w:val="000000"/>
          <w:lang w:eastAsia="es-MX"/>
        </w:rPr>
      </w:pPr>
    </w:p>
    <w:p w14:paraId="5A2F1768" w14:textId="5BA1DABA" w:rsidR="000630E5" w:rsidRDefault="000630E5" w:rsidP="0064437D">
      <w:pPr>
        <w:spacing w:after="0"/>
        <w:jc w:val="both"/>
        <w:rPr>
          <w:rFonts w:ascii="Arial" w:eastAsia="MS Mincho" w:hAnsi="Arial" w:cs="Arial"/>
          <w:bCs/>
          <w:color w:val="000000"/>
          <w:lang w:eastAsia="es-MX"/>
        </w:rPr>
      </w:pPr>
    </w:p>
    <w:p w14:paraId="6B510BA0" w14:textId="1F37F535" w:rsidR="000630E5" w:rsidRDefault="000630E5" w:rsidP="0064437D">
      <w:pPr>
        <w:spacing w:after="0"/>
        <w:jc w:val="both"/>
        <w:rPr>
          <w:rFonts w:ascii="Arial" w:eastAsia="MS Mincho" w:hAnsi="Arial" w:cs="Arial"/>
          <w:bCs/>
          <w:color w:val="000000"/>
          <w:lang w:eastAsia="es-MX"/>
        </w:rPr>
      </w:pPr>
    </w:p>
    <w:p w14:paraId="40C6C44D" w14:textId="246593D8" w:rsidR="000630E5" w:rsidRDefault="000630E5" w:rsidP="0064437D">
      <w:pPr>
        <w:spacing w:after="0"/>
        <w:jc w:val="both"/>
        <w:rPr>
          <w:rFonts w:ascii="Arial" w:eastAsia="MS Mincho" w:hAnsi="Arial" w:cs="Arial"/>
          <w:bCs/>
          <w:color w:val="000000"/>
          <w:lang w:eastAsia="es-MX"/>
        </w:rPr>
      </w:pPr>
    </w:p>
    <w:p w14:paraId="67E57F16" w14:textId="6A4962FB" w:rsidR="000630E5" w:rsidRDefault="000630E5" w:rsidP="0064437D">
      <w:pPr>
        <w:spacing w:after="0"/>
        <w:jc w:val="both"/>
        <w:rPr>
          <w:rFonts w:ascii="Arial" w:eastAsia="MS Mincho" w:hAnsi="Arial" w:cs="Arial"/>
          <w:bCs/>
          <w:color w:val="000000"/>
          <w:lang w:eastAsia="es-MX"/>
        </w:rPr>
      </w:pPr>
    </w:p>
    <w:p w14:paraId="1C6717EB" w14:textId="3A0D58F4" w:rsidR="000630E5" w:rsidRDefault="000630E5" w:rsidP="0064437D">
      <w:pPr>
        <w:spacing w:after="0"/>
        <w:jc w:val="both"/>
        <w:rPr>
          <w:rFonts w:ascii="Arial" w:eastAsia="MS Mincho" w:hAnsi="Arial" w:cs="Arial"/>
          <w:bCs/>
          <w:color w:val="000000"/>
          <w:lang w:eastAsia="es-MX"/>
        </w:rPr>
      </w:pPr>
    </w:p>
    <w:p w14:paraId="2D1A6687" w14:textId="68DC135F" w:rsidR="000630E5" w:rsidRDefault="000630E5" w:rsidP="0064437D">
      <w:pPr>
        <w:spacing w:after="0"/>
        <w:jc w:val="both"/>
        <w:rPr>
          <w:rFonts w:ascii="Arial" w:eastAsia="MS Mincho" w:hAnsi="Arial" w:cs="Arial"/>
          <w:bCs/>
          <w:color w:val="000000"/>
          <w:lang w:eastAsia="es-MX"/>
        </w:rPr>
      </w:pPr>
    </w:p>
    <w:p w14:paraId="5DE0048B" w14:textId="761B2AF3" w:rsidR="000630E5" w:rsidRDefault="000630E5" w:rsidP="0064437D">
      <w:pPr>
        <w:spacing w:after="0"/>
        <w:jc w:val="both"/>
        <w:rPr>
          <w:rFonts w:ascii="Arial" w:eastAsia="MS Mincho" w:hAnsi="Arial" w:cs="Arial"/>
          <w:bCs/>
          <w:color w:val="000000"/>
          <w:lang w:eastAsia="es-MX"/>
        </w:rPr>
      </w:pPr>
    </w:p>
    <w:p w14:paraId="0B4BA00C" w14:textId="6F4791E5" w:rsidR="000630E5" w:rsidRDefault="000630E5" w:rsidP="0064437D">
      <w:pPr>
        <w:spacing w:after="0"/>
        <w:jc w:val="both"/>
        <w:rPr>
          <w:rFonts w:ascii="Arial" w:eastAsia="MS Mincho" w:hAnsi="Arial" w:cs="Arial"/>
          <w:bCs/>
          <w:color w:val="000000"/>
          <w:lang w:eastAsia="es-MX"/>
        </w:rPr>
      </w:pPr>
    </w:p>
    <w:p w14:paraId="27B4FE78" w14:textId="77777777" w:rsidR="000630E5" w:rsidRDefault="000630E5" w:rsidP="0064437D">
      <w:pPr>
        <w:spacing w:after="0"/>
        <w:jc w:val="both"/>
        <w:rPr>
          <w:rFonts w:ascii="Arial" w:hAnsi="Arial" w:cs="Arial"/>
          <w:bCs/>
          <w:color w:val="000000"/>
          <w:lang w:eastAsia="es-MX"/>
        </w:rPr>
      </w:pPr>
    </w:p>
    <w:p w14:paraId="42937411" w14:textId="77777777" w:rsidR="0064437D" w:rsidRPr="00B81C32" w:rsidRDefault="0064437D" w:rsidP="0064437D">
      <w:pPr>
        <w:spacing w:after="0"/>
        <w:jc w:val="both"/>
        <w:rPr>
          <w:rFonts w:ascii="Arial" w:eastAsiaTheme="minorHAnsi" w:hAnsi="Arial" w:cs="Arial"/>
          <w:color w:val="000000"/>
          <w:lang w:val="es-ES_tradnl"/>
        </w:rPr>
      </w:pPr>
    </w:p>
    <w:p w14:paraId="2A16D832" w14:textId="071A2DCF" w:rsidR="00BE0D80" w:rsidRDefault="00BE0D80" w:rsidP="00BE0D80">
      <w:pPr>
        <w:spacing w:after="0"/>
        <w:jc w:val="center"/>
        <w:rPr>
          <w:rFonts w:ascii="Arial" w:hAnsi="Arial" w:cs="Arial"/>
          <w:b/>
          <w:sz w:val="26"/>
          <w:szCs w:val="26"/>
        </w:rPr>
      </w:pPr>
      <w:r w:rsidRPr="00931D46">
        <w:rPr>
          <w:rFonts w:ascii="Arial" w:hAnsi="Arial" w:cs="Arial"/>
          <w:b/>
          <w:sz w:val="26"/>
          <w:szCs w:val="26"/>
        </w:rPr>
        <w:t>Guía para determinar Mercados Relevantes en los Sectores de Telecomunicaciones y Radiodifusión</w:t>
      </w:r>
    </w:p>
    <w:p w14:paraId="4970B361" w14:textId="77777777" w:rsidR="00BE0D80" w:rsidRPr="00931D46" w:rsidRDefault="00BE0D80" w:rsidP="00BE0D80">
      <w:pPr>
        <w:spacing w:after="0"/>
        <w:contextualSpacing/>
        <w:jc w:val="center"/>
        <w:rPr>
          <w:rFonts w:ascii="Arial" w:hAnsi="Arial" w:cs="Arial"/>
          <w:b/>
          <w:sz w:val="26"/>
          <w:szCs w:val="26"/>
        </w:rPr>
      </w:pPr>
    </w:p>
    <w:p w14:paraId="039E7971" w14:textId="77777777" w:rsidR="00BE0D80" w:rsidRPr="00931D46" w:rsidRDefault="00BE0D80" w:rsidP="00BE0D80">
      <w:pPr>
        <w:spacing w:after="0"/>
        <w:contextualSpacing/>
        <w:jc w:val="center"/>
        <w:rPr>
          <w:rFonts w:ascii="Arial" w:hAnsi="Arial" w:cs="Arial"/>
          <w:b/>
          <w:sz w:val="26"/>
          <w:szCs w:val="26"/>
          <w:u w:val="single"/>
        </w:rPr>
      </w:pPr>
      <w:r w:rsidRPr="00931D46">
        <w:rPr>
          <w:rFonts w:ascii="Arial" w:hAnsi="Arial" w:cs="Arial"/>
          <w:b/>
          <w:sz w:val="26"/>
          <w:szCs w:val="26"/>
          <w:u w:val="single"/>
        </w:rPr>
        <w:t>Contenido</w:t>
      </w:r>
    </w:p>
    <w:bookmarkStart w:id="9" w:name="_Toc35943807"/>
    <w:bookmarkStart w:id="10" w:name="_Toc38377300"/>
    <w:bookmarkStart w:id="11" w:name="_Toc41649746"/>
    <w:bookmarkStart w:id="12" w:name="_Toc41649887"/>
    <w:p w14:paraId="71A5986C" w14:textId="431CB452" w:rsidR="00BE0D80" w:rsidRPr="00AF7B24" w:rsidRDefault="00BE0D80" w:rsidP="00BE0D80">
      <w:pPr>
        <w:pStyle w:val="TDC1"/>
        <w:contextualSpacing/>
        <w:rPr>
          <w:rFonts w:asciiTheme="minorHAnsi" w:eastAsiaTheme="minorEastAsia" w:hAnsiTheme="minorHAnsi"/>
          <w:b w:val="0"/>
          <w:bCs w:val="0"/>
          <w:lang w:eastAsia="es-MX"/>
        </w:rPr>
      </w:pPr>
      <w:r w:rsidRPr="00931D46">
        <w:fldChar w:fldCharType="begin"/>
      </w:r>
      <w:r w:rsidRPr="00931D46">
        <w:instrText xml:space="preserve"> TOC \o "1-2" \h \z \u </w:instrText>
      </w:r>
      <w:r w:rsidRPr="00931D46">
        <w:fldChar w:fldCharType="separate"/>
      </w:r>
      <w:hyperlink w:anchor="_Toc85473309" w:history="1">
        <w:r w:rsidRPr="00AF7B24">
          <w:rPr>
            <w:rStyle w:val="Hipervnculo"/>
          </w:rPr>
          <w:t>Glosario</w:t>
        </w:r>
        <w:r w:rsidRPr="00AF7B24">
          <w:rPr>
            <w:b w:val="0"/>
            <w:bCs w:val="0"/>
            <w:webHidden/>
          </w:rPr>
          <w:tab/>
        </w:r>
        <w:r w:rsidRPr="00AF7B24">
          <w:rPr>
            <w:b w:val="0"/>
            <w:bCs w:val="0"/>
            <w:webHidden/>
          </w:rPr>
          <w:fldChar w:fldCharType="begin"/>
        </w:r>
        <w:r w:rsidRPr="00AF7B24">
          <w:rPr>
            <w:b w:val="0"/>
            <w:bCs w:val="0"/>
            <w:webHidden/>
          </w:rPr>
          <w:instrText xml:space="preserve"> PAGEREF _Toc85473309 \h </w:instrText>
        </w:r>
        <w:r w:rsidRPr="00AF7B24">
          <w:rPr>
            <w:b w:val="0"/>
            <w:bCs w:val="0"/>
            <w:webHidden/>
          </w:rPr>
        </w:r>
        <w:r w:rsidRPr="00AF7B24">
          <w:rPr>
            <w:b w:val="0"/>
            <w:bCs w:val="0"/>
            <w:webHidden/>
          </w:rPr>
          <w:fldChar w:fldCharType="separate"/>
        </w:r>
        <w:r w:rsidR="004E3B72">
          <w:rPr>
            <w:b w:val="0"/>
            <w:bCs w:val="0"/>
            <w:webHidden/>
          </w:rPr>
          <w:t>6</w:t>
        </w:r>
        <w:r w:rsidRPr="00AF7B24">
          <w:rPr>
            <w:b w:val="0"/>
            <w:bCs w:val="0"/>
            <w:webHidden/>
          </w:rPr>
          <w:fldChar w:fldCharType="end"/>
        </w:r>
      </w:hyperlink>
    </w:p>
    <w:p w14:paraId="78D56629" w14:textId="6DF0BAB3" w:rsidR="00BE0D80" w:rsidRPr="00AF7B24" w:rsidRDefault="00E92449" w:rsidP="00BE0D80">
      <w:pPr>
        <w:pStyle w:val="TDC1"/>
        <w:contextualSpacing/>
        <w:rPr>
          <w:rFonts w:asciiTheme="minorHAnsi" w:eastAsiaTheme="minorEastAsia" w:hAnsiTheme="minorHAnsi"/>
          <w:lang w:eastAsia="es-MX"/>
        </w:rPr>
      </w:pPr>
      <w:hyperlink w:anchor="_Toc85473310" w:history="1">
        <w:r w:rsidR="00BE0D80" w:rsidRPr="00AF7B24">
          <w:rPr>
            <w:rStyle w:val="Hipervnculo"/>
          </w:rPr>
          <w:t>1.</w:t>
        </w:r>
        <w:r w:rsidR="00BE0D80" w:rsidRPr="00AF7B24">
          <w:rPr>
            <w:rFonts w:asciiTheme="minorHAnsi" w:eastAsiaTheme="minorEastAsia" w:hAnsiTheme="minorHAnsi"/>
            <w:lang w:eastAsia="es-MX"/>
          </w:rPr>
          <w:tab/>
        </w:r>
        <w:r w:rsidR="00BE0D80" w:rsidRPr="00AF7B24">
          <w:rPr>
            <w:rStyle w:val="Hipervnculo"/>
          </w:rPr>
          <w:t>Presentación</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_Toc85473310 \h </w:instrText>
        </w:r>
        <w:r w:rsidR="00BE0D80" w:rsidRPr="00AF7B24">
          <w:rPr>
            <w:b w:val="0"/>
            <w:bCs w:val="0"/>
            <w:webHidden/>
          </w:rPr>
        </w:r>
        <w:r w:rsidR="00BE0D80" w:rsidRPr="00AF7B24">
          <w:rPr>
            <w:b w:val="0"/>
            <w:bCs w:val="0"/>
            <w:webHidden/>
          </w:rPr>
          <w:fldChar w:fldCharType="separate"/>
        </w:r>
        <w:r w:rsidR="004E3B72">
          <w:rPr>
            <w:b w:val="0"/>
            <w:bCs w:val="0"/>
            <w:webHidden/>
          </w:rPr>
          <w:t>8</w:t>
        </w:r>
        <w:r w:rsidR="00BE0D80" w:rsidRPr="00AF7B24">
          <w:rPr>
            <w:b w:val="0"/>
            <w:bCs w:val="0"/>
            <w:webHidden/>
          </w:rPr>
          <w:fldChar w:fldCharType="end"/>
        </w:r>
      </w:hyperlink>
    </w:p>
    <w:p w14:paraId="2DBD27B6" w14:textId="325EA3C0" w:rsidR="00BE0D80" w:rsidRPr="00AF7B24" w:rsidRDefault="00E92449" w:rsidP="00BE0D80">
      <w:pPr>
        <w:pStyle w:val="TDC1"/>
        <w:contextualSpacing/>
        <w:rPr>
          <w:rFonts w:asciiTheme="minorHAnsi" w:eastAsiaTheme="minorEastAsia" w:hAnsiTheme="minorHAnsi"/>
          <w:lang w:eastAsia="es-MX"/>
        </w:rPr>
      </w:pPr>
      <w:hyperlink w:anchor="_Toc85473311" w:history="1">
        <w:r w:rsidR="00BE0D80" w:rsidRPr="00AF7B24">
          <w:rPr>
            <w:rStyle w:val="Hipervnculo"/>
          </w:rPr>
          <w:t>2.</w:t>
        </w:r>
        <w:r w:rsidR="00BE0D80" w:rsidRPr="00AF7B24">
          <w:rPr>
            <w:rFonts w:asciiTheme="minorHAnsi" w:eastAsiaTheme="minorEastAsia" w:hAnsiTheme="minorHAnsi"/>
            <w:lang w:eastAsia="es-MX"/>
          </w:rPr>
          <w:tab/>
        </w:r>
        <w:r w:rsidR="00BE0D80" w:rsidRPr="00AF7B24">
          <w:rPr>
            <w:rStyle w:val="Hipervnculo"/>
          </w:rPr>
          <w:t xml:space="preserve">Concepto de MR y su utilidad </w:t>
        </w:r>
        <w:r w:rsidR="00BE0D80" w:rsidRPr="00AF7B24">
          <w:rPr>
            <w:rStyle w:val="Hipervnculo"/>
            <w:b w:val="0"/>
            <w:bCs w:val="0"/>
          </w:rPr>
          <w:t>…</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_Toc85473311 \h </w:instrText>
        </w:r>
        <w:r w:rsidR="00BE0D80" w:rsidRPr="00AF7B24">
          <w:rPr>
            <w:b w:val="0"/>
            <w:bCs w:val="0"/>
            <w:webHidden/>
          </w:rPr>
        </w:r>
        <w:r w:rsidR="00BE0D80" w:rsidRPr="00AF7B24">
          <w:rPr>
            <w:b w:val="0"/>
            <w:bCs w:val="0"/>
            <w:webHidden/>
          </w:rPr>
          <w:fldChar w:fldCharType="separate"/>
        </w:r>
        <w:r w:rsidR="004E3B72">
          <w:rPr>
            <w:b w:val="0"/>
            <w:bCs w:val="0"/>
            <w:webHidden/>
          </w:rPr>
          <w:t>8</w:t>
        </w:r>
        <w:r w:rsidR="00BE0D80" w:rsidRPr="00AF7B24">
          <w:rPr>
            <w:b w:val="0"/>
            <w:bCs w:val="0"/>
            <w:webHidden/>
          </w:rPr>
          <w:fldChar w:fldCharType="end"/>
        </w:r>
      </w:hyperlink>
    </w:p>
    <w:p w14:paraId="4CA92B7C" w14:textId="2F3088A4"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12" w:history="1">
        <w:r w:rsidR="00BE0D80" w:rsidRPr="00620E70">
          <w:rPr>
            <w:rStyle w:val="Hipervnculo"/>
            <w:rFonts w:eastAsia="Times New Roman" w:cs="Arial"/>
            <w:noProof/>
            <w:lang w:eastAsia="es-MX"/>
          </w:rPr>
          <w:t>2.1.</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Definición conceptual de MR y su determinación</w:t>
        </w:r>
        <w:r w:rsidR="00BE0D80">
          <w:rPr>
            <w:noProof/>
            <w:webHidden/>
          </w:rPr>
          <w:tab/>
        </w:r>
        <w:r w:rsidR="00BE0D80">
          <w:rPr>
            <w:noProof/>
            <w:webHidden/>
          </w:rPr>
          <w:fldChar w:fldCharType="begin"/>
        </w:r>
        <w:r w:rsidR="00BE0D80">
          <w:rPr>
            <w:noProof/>
            <w:webHidden/>
          </w:rPr>
          <w:instrText xml:space="preserve"> PAGEREF _Toc85473312 \h </w:instrText>
        </w:r>
        <w:r w:rsidR="00BE0D80">
          <w:rPr>
            <w:noProof/>
            <w:webHidden/>
          </w:rPr>
        </w:r>
        <w:r w:rsidR="00BE0D80">
          <w:rPr>
            <w:noProof/>
            <w:webHidden/>
          </w:rPr>
          <w:fldChar w:fldCharType="separate"/>
        </w:r>
        <w:r w:rsidR="004E3B72">
          <w:rPr>
            <w:noProof/>
            <w:webHidden/>
          </w:rPr>
          <w:t>11</w:t>
        </w:r>
        <w:r w:rsidR="00BE0D80">
          <w:rPr>
            <w:noProof/>
            <w:webHidden/>
          </w:rPr>
          <w:fldChar w:fldCharType="end"/>
        </w:r>
      </w:hyperlink>
    </w:p>
    <w:p w14:paraId="10F620FF" w14:textId="5C2A60CA" w:rsidR="00BE0D80" w:rsidRPr="00AF7B24" w:rsidRDefault="00E92449" w:rsidP="00BE0D80">
      <w:pPr>
        <w:pStyle w:val="TDC1"/>
        <w:contextualSpacing/>
        <w:rPr>
          <w:rFonts w:asciiTheme="minorHAnsi" w:eastAsiaTheme="minorEastAsia" w:hAnsiTheme="minorHAnsi"/>
          <w:lang w:eastAsia="es-MX"/>
        </w:rPr>
      </w:pPr>
      <w:hyperlink w:anchor="_Toc85473313" w:history="1">
        <w:r w:rsidR="00BE0D80" w:rsidRPr="00AF7B24">
          <w:rPr>
            <w:rStyle w:val="Hipervnculo"/>
          </w:rPr>
          <w:t>3.</w:t>
        </w:r>
        <w:r w:rsidR="00BE0D80" w:rsidRPr="00AF7B24">
          <w:rPr>
            <w:rFonts w:asciiTheme="minorHAnsi" w:eastAsiaTheme="minorEastAsia" w:hAnsiTheme="minorHAnsi"/>
            <w:lang w:eastAsia="es-MX"/>
          </w:rPr>
          <w:tab/>
        </w:r>
        <w:r w:rsidR="00BE0D80" w:rsidRPr="00AF7B24">
          <w:rPr>
            <w:rStyle w:val="Hipervnculo"/>
          </w:rPr>
          <w:t>Enfoques para el análisis de sustitución</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_Toc85473313 \h </w:instrText>
        </w:r>
        <w:r w:rsidR="00BE0D80" w:rsidRPr="00AF7B24">
          <w:rPr>
            <w:b w:val="0"/>
            <w:bCs w:val="0"/>
            <w:webHidden/>
          </w:rPr>
        </w:r>
        <w:r w:rsidR="00BE0D80" w:rsidRPr="00AF7B24">
          <w:rPr>
            <w:b w:val="0"/>
            <w:bCs w:val="0"/>
            <w:webHidden/>
          </w:rPr>
          <w:fldChar w:fldCharType="separate"/>
        </w:r>
        <w:r w:rsidR="004E3B72">
          <w:rPr>
            <w:b w:val="0"/>
            <w:bCs w:val="0"/>
            <w:webHidden/>
          </w:rPr>
          <w:t>11</w:t>
        </w:r>
        <w:r w:rsidR="00BE0D80" w:rsidRPr="00AF7B24">
          <w:rPr>
            <w:b w:val="0"/>
            <w:bCs w:val="0"/>
            <w:webHidden/>
          </w:rPr>
          <w:fldChar w:fldCharType="end"/>
        </w:r>
      </w:hyperlink>
    </w:p>
    <w:p w14:paraId="4D5C8E28" w14:textId="26178409"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14" w:history="1">
        <w:r w:rsidR="00BE0D80" w:rsidRPr="00620E70">
          <w:rPr>
            <w:rStyle w:val="Hipervnculo"/>
            <w:rFonts w:eastAsia="Times New Roman" w:cs="Arial"/>
            <w:noProof/>
            <w:lang w:eastAsia="es-MX"/>
          </w:rPr>
          <w:t>3.1.</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Enfoque del análisis de sustitución</w:t>
        </w:r>
        <w:r w:rsidR="00BE0D80">
          <w:rPr>
            <w:noProof/>
            <w:webHidden/>
          </w:rPr>
          <w:tab/>
        </w:r>
        <w:r w:rsidR="00BE0D80">
          <w:rPr>
            <w:noProof/>
            <w:webHidden/>
          </w:rPr>
          <w:fldChar w:fldCharType="begin"/>
        </w:r>
        <w:r w:rsidR="00BE0D80">
          <w:rPr>
            <w:noProof/>
            <w:webHidden/>
          </w:rPr>
          <w:instrText xml:space="preserve"> PAGEREF _Toc85473314 \h </w:instrText>
        </w:r>
        <w:r w:rsidR="00BE0D80">
          <w:rPr>
            <w:noProof/>
            <w:webHidden/>
          </w:rPr>
        </w:r>
        <w:r w:rsidR="00BE0D80">
          <w:rPr>
            <w:noProof/>
            <w:webHidden/>
          </w:rPr>
          <w:fldChar w:fldCharType="separate"/>
        </w:r>
        <w:r w:rsidR="004E3B72">
          <w:rPr>
            <w:noProof/>
            <w:webHidden/>
          </w:rPr>
          <w:t>14</w:t>
        </w:r>
        <w:r w:rsidR="00BE0D80">
          <w:rPr>
            <w:noProof/>
            <w:webHidden/>
          </w:rPr>
          <w:fldChar w:fldCharType="end"/>
        </w:r>
      </w:hyperlink>
    </w:p>
    <w:p w14:paraId="72C68538" w14:textId="4AE1786A" w:rsidR="00BE0D80" w:rsidRDefault="00E92449" w:rsidP="00BE0D80">
      <w:pPr>
        <w:pStyle w:val="TDC1"/>
        <w:contextualSpacing/>
        <w:rPr>
          <w:rFonts w:asciiTheme="minorHAnsi" w:eastAsiaTheme="minorEastAsia" w:hAnsiTheme="minorHAnsi"/>
          <w:lang w:eastAsia="es-MX"/>
        </w:rPr>
      </w:pPr>
      <w:hyperlink w:anchor="_Toc85473315" w:history="1">
        <w:r w:rsidR="00BE0D80" w:rsidRPr="00620E70">
          <w:rPr>
            <w:rStyle w:val="Hipervnculo"/>
          </w:rPr>
          <w:t>4.</w:t>
        </w:r>
        <w:r w:rsidR="00BE0D80">
          <w:rPr>
            <w:rFonts w:asciiTheme="minorHAnsi" w:eastAsiaTheme="minorEastAsia" w:hAnsiTheme="minorHAnsi"/>
            <w:lang w:eastAsia="es-MX"/>
          </w:rPr>
          <w:tab/>
        </w:r>
        <w:r w:rsidR="00BE0D80" w:rsidRPr="00620E70">
          <w:rPr>
            <w:rStyle w:val="Hipervnculo"/>
          </w:rPr>
          <w:t>Herramientas y elementos para el análisis de sustitución</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_Toc85473315 \h </w:instrText>
        </w:r>
        <w:r w:rsidR="00BE0D80" w:rsidRPr="00AF7B24">
          <w:rPr>
            <w:b w:val="0"/>
            <w:bCs w:val="0"/>
            <w:webHidden/>
          </w:rPr>
        </w:r>
        <w:r w:rsidR="00BE0D80" w:rsidRPr="00AF7B24">
          <w:rPr>
            <w:b w:val="0"/>
            <w:bCs w:val="0"/>
            <w:webHidden/>
          </w:rPr>
          <w:fldChar w:fldCharType="separate"/>
        </w:r>
        <w:r w:rsidR="004E3B72">
          <w:rPr>
            <w:b w:val="0"/>
            <w:bCs w:val="0"/>
            <w:webHidden/>
          </w:rPr>
          <w:t>15</w:t>
        </w:r>
        <w:r w:rsidR="00BE0D80" w:rsidRPr="00AF7B24">
          <w:rPr>
            <w:b w:val="0"/>
            <w:bCs w:val="0"/>
            <w:webHidden/>
          </w:rPr>
          <w:fldChar w:fldCharType="end"/>
        </w:r>
      </w:hyperlink>
    </w:p>
    <w:p w14:paraId="44F1BCBD" w14:textId="00B5B026" w:rsidR="00BE0D80" w:rsidRDefault="00E92449" w:rsidP="00BE0D80">
      <w:pPr>
        <w:pStyle w:val="TDC1"/>
        <w:contextualSpacing/>
        <w:rPr>
          <w:rFonts w:asciiTheme="minorHAnsi" w:eastAsiaTheme="minorEastAsia" w:hAnsiTheme="minorHAnsi"/>
          <w:lang w:eastAsia="es-MX"/>
        </w:rPr>
      </w:pPr>
      <w:hyperlink w:anchor="_Toc85473316" w:history="1">
        <w:r w:rsidR="00BE0D80" w:rsidRPr="00620E70">
          <w:rPr>
            <w:rStyle w:val="Hipervnculo"/>
          </w:rPr>
          <w:t>5.</w:t>
        </w:r>
        <w:r w:rsidR="00BE0D80">
          <w:rPr>
            <w:rFonts w:asciiTheme="minorHAnsi" w:eastAsiaTheme="minorEastAsia" w:hAnsiTheme="minorHAnsi"/>
            <w:lang w:eastAsia="es-MX"/>
          </w:rPr>
          <w:tab/>
        </w:r>
        <w:r w:rsidR="00BE0D80" w:rsidRPr="00620E70">
          <w:rPr>
            <w:rStyle w:val="Hipervnculo"/>
          </w:rPr>
          <w:t>Determinación de la dimensión producto</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_Toc85473316 \h </w:instrText>
        </w:r>
        <w:r w:rsidR="00BE0D80" w:rsidRPr="00AF7B24">
          <w:rPr>
            <w:b w:val="0"/>
            <w:bCs w:val="0"/>
            <w:webHidden/>
          </w:rPr>
        </w:r>
        <w:r w:rsidR="00BE0D80" w:rsidRPr="00AF7B24">
          <w:rPr>
            <w:b w:val="0"/>
            <w:bCs w:val="0"/>
            <w:webHidden/>
          </w:rPr>
          <w:fldChar w:fldCharType="separate"/>
        </w:r>
        <w:r w:rsidR="004E3B72">
          <w:rPr>
            <w:b w:val="0"/>
            <w:bCs w:val="0"/>
            <w:webHidden/>
          </w:rPr>
          <w:t>16</w:t>
        </w:r>
        <w:r w:rsidR="00BE0D80" w:rsidRPr="00AF7B24">
          <w:rPr>
            <w:b w:val="0"/>
            <w:bCs w:val="0"/>
            <w:webHidden/>
          </w:rPr>
          <w:fldChar w:fldCharType="end"/>
        </w:r>
      </w:hyperlink>
    </w:p>
    <w:p w14:paraId="08E28132" w14:textId="2A0E62DA"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17" w:history="1">
        <w:r w:rsidR="00BE0D80" w:rsidRPr="00620E70">
          <w:rPr>
            <w:rStyle w:val="Hipervnculo"/>
            <w:rFonts w:eastAsia="Times New Roman" w:cs="Arial"/>
            <w:noProof/>
            <w:lang w:eastAsia="es-MX"/>
          </w:rPr>
          <w:t>5.1.</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Precedentes decisorios del Instituto</w:t>
        </w:r>
        <w:r w:rsidR="00BE0D80">
          <w:rPr>
            <w:noProof/>
            <w:webHidden/>
          </w:rPr>
          <w:tab/>
        </w:r>
        <w:r w:rsidR="00BE0D80">
          <w:rPr>
            <w:noProof/>
            <w:webHidden/>
          </w:rPr>
          <w:fldChar w:fldCharType="begin"/>
        </w:r>
        <w:r w:rsidR="00BE0D80">
          <w:rPr>
            <w:noProof/>
            <w:webHidden/>
          </w:rPr>
          <w:instrText xml:space="preserve"> PAGEREF _Toc85473317 \h </w:instrText>
        </w:r>
        <w:r w:rsidR="00BE0D80">
          <w:rPr>
            <w:noProof/>
            <w:webHidden/>
          </w:rPr>
        </w:r>
        <w:r w:rsidR="00BE0D80">
          <w:rPr>
            <w:noProof/>
            <w:webHidden/>
          </w:rPr>
          <w:fldChar w:fldCharType="separate"/>
        </w:r>
        <w:r w:rsidR="004E3B72">
          <w:rPr>
            <w:noProof/>
            <w:webHidden/>
          </w:rPr>
          <w:t>16</w:t>
        </w:r>
        <w:r w:rsidR="00BE0D80">
          <w:rPr>
            <w:noProof/>
            <w:webHidden/>
          </w:rPr>
          <w:fldChar w:fldCharType="end"/>
        </w:r>
      </w:hyperlink>
    </w:p>
    <w:p w14:paraId="7483092B" w14:textId="7D39D69A"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18" w:history="1">
        <w:r w:rsidR="00BE0D80" w:rsidRPr="00620E70">
          <w:rPr>
            <w:rStyle w:val="Hipervnculo"/>
            <w:rFonts w:eastAsia="Times New Roman" w:cs="Arial"/>
            <w:noProof/>
            <w:lang w:eastAsia="es-MX"/>
          </w:rPr>
          <w:t>5.2.</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Experiencia internacional</w:t>
        </w:r>
        <w:r w:rsidR="00BE0D80">
          <w:rPr>
            <w:noProof/>
            <w:webHidden/>
          </w:rPr>
          <w:tab/>
        </w:r>
        <w:r w:rsidR="00BE0D80">
          <w:rPr>
            <w:noProof/>
            <w:webHidden/>
          </w:rPr>
          <w:fldChar w:fldCharType="begin"/>
        </w:r>
        <w:r w:rsidR="00BE0D80">
          <w:rPr>
            <w:noProof/>
            <w:webHidden/>
          </w:rPr>
          <w:instrText xml:space="preserve"> PAGEREF _Toc85473318 \h </w:instrText>
        </w:r>
        <w:r w:rsidR="00BE0D80">
          <w:rPr>
            <w:noProof/>
            <w:webHidden/>
          </w:rPr>
        </w:r>
        <w:r w:rsidR="00BE0D80">
          <w:rPr>
            <w:noProof/>
            <w:webHidden/>
          </w:rPr>
          <w:fldChar w:fldCharType="separate"/>
        </w:r>
        <w:r w:rsidR="004E3B72">
          <w:rPr>
            <w:noProof/>
            <w:webHidden/>
          </w:rPr>
          <w:t>17</w:t>
        </w:r>
        <w:r w:rsidR="00BE0D80">
          <w:rPr>
            <w:noProof/>
            <w:webHidden/>
          </w:rPr>
          <w:fldChar w:fldCharType="end"/>
        </w:r>
      </w:hyperlink>
    </w:p>
    <w:p w14:paraId="6203A4B0" w14:textId="029DE158"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19" w:history="1">
        <w:r w:rsidR="00BE0D80" w:rsidRPr="00620E70">
          <w:rPr>
            <w:rStyle w:val="Hipervnculo"/>
            <w:rFonts w:eastAsia="Times New Roman" w:cs="Arial"/>
            <w:noProof/>
            <w:lang w:eastAsia="es-MX"/>
          </w:rPr>
          <w:t>5.3.</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Elementos para determinar la dimensión producto</w:t>
        </w:r>
        <w:r w:rsidR="00BE0D80">
          <w:rPr>
            <w:noProof/>
            <w:webHidden/>
          </w:rPr>
          <w:tab/>
        </w:r>
        <w:r w:rsidR="00BE0D80">
          <w:rPr>
            <w:noProof/>
            <w:webHidden/>
          </w:rPr>
          <w:fldChar w:fldCharType="begin"/>
        </w:r>
        <w:r w:rsidR="00BE0D80">
          <w:rPr>
            <w:noProof/>
            <w:webHidden/>
          </w:rPr>
          <w:instrText xml:space="preserve"> PAGEREF _Toc85473319 \h </w:instrText>
        </w:r>
        <w:r w:rsidR="00BE0D80">
          <w:rPr>
            <w:noProof/>
            <w:webHidden/>
          </w:rPr>
        </w:r>
        <w:r w:rsidR="00BE0D80">
          <w:rPr>
            <w:noProof/>
            <w:webHidden/>
          </w:rPr>
          <w:fldChar w:fldCharType="separate"/>
        </w:r>
        <w:r w:rsidR="004E3B72">
          <w:rPr>
            <w:noProof/>
            <w:webHidden/>
          </w:rPr>
          <w:t>20</w:t>
        </w:r>
        <w:r w:rsidR="00BE0D80">
          <w:rPr>
            <w:noProof/>
            <w:webHidden/>
          </w:rPr>
          <w:fldChar w:fldCharType="end"/>
        </w:r>
      </w:hyperlink>
    </w:p>
    <w:p w14:paraId="40D1EDB2" w14:textId="48219D63" w:rsidR="00BE0D80" w:rsidRDefault="00E92449" w:rsidP="00BE0D80">
      <w:pPr>
        <w:pStyle w:val="TDC1"/>
        <w:contextualSpacing/>
        <w:rPr>
          <w:rFonts w:asciiTheme="minorHAnsi" w:eastAsiaTheme="minorEastAsia" w:hAnsiTheme="minorHAnsi"/>
          <w:lang w:eastAsia="es-MX"/>
        </w:rPr>
      </w:pPr>
      <w:hyperlink w:anchor="_Toc85473320" w:history="1">
        <w:r w:rsidR="00BE0D80" w:rsidRPr="00620E70">
          <w:rPr>
            <w:rStyle w:val="Hipervnculo"/>
          </w:rPr>
          <w:t>6.</w:t>
        </w:r>
        <w:r w:rsidR="00BE0D80">
          <w:rPr>
            <w:rFonts w:asciiTheme="minorHAnsi" w:eastAsiaTheme="minorEastAsia" w:hAnsiTheme="minorHAnsi"/>
            <w:lang w:eastAsia="es-MX"/>
          </w:rPr>
          <w:tab/>
        </w:r>
        <w:r w:rsidR="00BE0D80" w:rsidRPr="00620E70">
          <w:rPr>
            <w:rStyle w:val="Hipervnculo"/>
          </w:rPr>
          <w:t>Determinación de la dimensión geográfica</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_Toc85473320 \h </w:instrText>
        </w:r>
        <w:r w:rsidR="00BE0D80" w:rsidRPr="00AF7B24">
          <w:rPr>
            <w:b w:val="0"/>
            <w:bCs w:val="0"/>
            <w:webHidden/>
          </w:rPr>
        </w:r>
        <w:r w:rsidR="00BE0D80" w:rsidRPr="00AF7B24">
          <w:rPr>
            <w:b w:val="0"/>
            <w:bCs w:val="0"/>
            <w:webHidden/>
          </w:rPr>
          <w:fldChar w:fldCharType="separate"/>
        </w:r>
        <w:r w:rsidR="004E3B72">
          <w:rPr>
            <w:b w:val="0"/>
            <w:bCs w:val="0"/>
            <w:webHidden/>
          </w:rPr>
          <w:t>32</w:t>
        </w:r>
        <w:r w:rsidR="00BE0D80" w:rsidRPr="00AF7B24">
          <w:rPr>
            <w:b w:val="0"/>
            <w:bCs w:val="0"/>
            <w:webHidden/>
          </w:rPr>
          <w:fldChar w:fldCharType="end"/>
        </w:r>
      </w:hyperlink>
    </w:p>
    <w:p w14:paraId="5098A5DF" w14:textId="298F6555"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21" w:history="1">
        <w:r w:rsidR="00BE0D80" w:rsidRPr="00620E70">
          <w:rPr>
            <w:rStyle w:val="Hipervnculo"/>
            <w:rFonts w:eastAsia="Times New Roman" w:cs="Arial"/>
            <w:noProof/>
            <w:lang w:eastAsia="es-MX"/>
          </w:rPr>
          <w:t>6.1.</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Precedentes decisorios del Instituto</w:t>
        </w:r>
        <w:r w:rsidR="00BE0D80">
          <w:rPr>
            <w:noProof/>
            <w:webHidden/>
          </w:rPr>
          <w:tab/>
        </w:r>
        <w:r w:rsidR="00BE0D80">
          <w:rPr>
            <w:noProof/>
            <w:webHidden/>
          </w:rPr>
          <w:fldChar w:fldCharType="begin"/>
        </w:r>
        <w:r w:rsidR="00BE0D80">
          <w:rPr>
            <w:noProof/>
            <w:webHidden/>
          </w:rPr>
          <w:instrText xml:space="preserve"> PAGEREF _Toc85473321 \h </w:instrText>
        </w:r>
        <w:r w:rsidR="00BE0D80">
          <w:rPr>
            <w:noProof/>
            <w:webHidden/>
          </w:rPr>
        </w:r>
        <w:r w:rsidR="00BE0D80">
          <w:rPr>
            <w:noProof/>
            <w:webHidden/>
          </w:rPr>
          <w:fldChar w:fldCharType="separate"/>
        </w:r>
        <w:r w:rsidR="004E3B72">
          <w:rPr>
            <w:noProof/>
            <w:webHidden/>
          </w:rPr>
          <w:t>32</w:t>
        </w:r>
        <w:r w:rsidR="00BE0D80">
          <w:rPr>
            <w:noProof/>
            <w:webHidden/>
          </w:rPr>
          <w:fldChar w:fldCharType="end"/>
        </w:r>
      </w:hyperlink>
    </w:p>
    <w:p w14:paraId="0B203E8C" w14:textId="188BFEC7"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22" w:history="1">
        <w:r w:rsidR="00BE0D80" w:rsidRPr="00620E70">
          <w:rPr>
            <w:rStyle w:val="Hipervnculo"/>
            <w:rFonts w:eastAsia="Times New Roman" w:cs="Arial"/>
            <w:noProof/>
            <w:lang w:eastAsia="es-MX"/>
          </w:rPr>
          <w:t>6.2.</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Experiencia internacional</w:t>
        </w:r>
        <w:r w:rsidR="00BE0D80">
          <w:rPr>
            <w:noProof/>
            <w:webHidden/>
          </w:rPr>
          <w:tab/>
        </w:r>
        <w:r w:rsidR="00BE0D80">
          <w:rPr>
            <w:noProof/>
            <w:webHidden/>
          </w:rPr>
          <w:fldChar w:fldCharType="begin"/>
        </w:r>
        <w:r w:rsidR="00BE0D80">
          <w:rPr>
            <w:noProof/>
            <w:webHidden/>
          </w:rPr>
          <w:instrText xml:space="preserve"> PAGEREF _Toc85473322 \h </w:instrText>
        </w:r>
        <w:r w:rsidR="00BE0D80">
          <w:rPr>
            <w:noProof/>
            <w:webHidden/>
          </w:rPr>
        </w:r>
        <w:r w:rsidR="00BE0D80">
          <w:rPr>
            <w:noProof/>
            <w:webHidden/>
          </w:rPr>
          <w:fldChar w:fldCharType="separate"/>
        </w:r>
        <w:r w:rsidR="004E3B72">
          <w:rPr>
            <w:noProof/>
            <w:webHidden/>
          </w:rPr>
          <w:t>34</w:t>
        </w:r>
        <w:r w:rsidR="00BE0D80">
          <w:rPr>
            <w:noProof/>
            <w:webHidden/>
          </w:rPr>
          <w:fldChar w:fldCharType="end"/>
        </w:r>
      </w:hyperlink>
    </w:p>
    <w:p w14:paraId="6F0C2EDD" w14:textId="6F9C6A44"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23" w:history="1">
        <w:r w:rsidR="00BE0D80" w:rsidRPr="00620E70">
          <w:rPr>
            <w:rStyle w:val="Hipervnculo"/>
            <w:rFonts w:eastAsia="Times New Roman" w:cs="Arial"/>
            <w:noProof/>
            <w:lang w:eastAsia="es-MX"/>
          </w:rPr>
          <w:t>6.3.</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Elementos para determinar la dimensión geográfica</w:t>
        </w:r>
        <w:r w:rsidR="00BE0D80">
          <w:rPr>
            <w:noProof/>
            <w:webHidden/>
          </w:rPr>
          <w:tab/>
        </w:r>
        <w:r w:rsidR="00BE0D80">
          <w:rPr>
            <w:noProof/>
            <w:webHidden/>
          </w:rPr>
          <w:fldChar w:fldCharType="begin"/>
        </w:r>
        <w:r w:rsidR="00BE0D80">
          <w:rPr>
            <w:noProof/>
            <w:webHidden/>
          </w:rPr>
          <w:instrText xml:space="preserve"> PAGEREF _Toc85473323 \h </w:instrText>
        </w:r>
        <w:r w:rsidR="00BE0D80">
          <w:rPr>
            <w:noProof/>
            <w:webHidden/>
          </w:rPr>
        </w:r>
        <w:r w:rsidR="00BE0D80">
          <w:rPr>
            <w:noProof/>
            <w:webHidden/>
          </w:rPr>
          <w:fldChar w:fldCharType="separate"/>
        </w:r>
        <w:r w:rsidR="004E3B72">
          <w:rPr>
            <w:noProof/>
            <w:webHidden/>
          </w:rPr>
          <w:t>36</w:t>
        </w:r>
        <w:r w:rsidR="00BE0D80">
          <w:rPr>
            <w:noProof/>
            <w:webHidden/>
          </w:rPr>
          <w:fldChar w:fldCharType="end"/>
        </w:r>
      </w:hyperlink>
    </w:p>
    <w:p w14:paraId="416EC25B" w14:textId="12B9A377" w:rsidR="00BE0D80" w:rsidRDefault="00E92449" w:rsidP="00BE0D80">
      <w:pPr>
        <w:pStyle w:val="TDC1"/>
        <w:contextualSpacing/>
        <w:rPr>
          <w:rFonts w:asciiTheme="minorHAnsi" w:eastAsiaTheme="minorEastAsia" w:hAnsiTheme="minorHAnsi"/>
          <w:lang w:eastAsia="es-MX"/>
        </w:rPr>
      </w:pPr>
      <w:hyperlink w:anchor="_Toc85473324" w:history="1">
        <w:r w:rsidR="00BE0D80" w:rsidRPr="00620E70">
          <w:rPr>
            <w:rStyle w:val="Hipervnculo"/>
          </w:rPr>
          <w:t>7.</w:t>
        </w:r>
        <w:r w:rsidR="00BE0D80">
          <w:rPr>
            <w:rFonts w:asciiTheme="minorHAnsi" w:eastAsiaTheme="minorEastAsia" w:hAnsiTheme="minorHAnsi"/>
            <w:lang w:eastAsia="es-MX"/>
          </w:rPr>
          <w:tab/>
        </w:r>
        <w:r w:rsidR="00BE0D80" w:rsidRPr="00620E70">
          <w:rPr>
            <w:rStyle w:val="Hipervnculo"/>
          </w:rPr>
          <w:t>Exhaustividad en la delimitación del MR</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_Toc85473324 \h </w:instrText>
        </w:r>
        <w:r w:rsidR="00BE0D80" w:rsidRPr="00AF7B24">
          <w:rPr>
            <w:b w:val="0"/>
            <w:bCs w:val="0"/>
            <w:webHidden/>
          </w:rPr>
        </w:r>
        <w:r w:rsidR="00BE0D80" w:rsidRPr="00AF7B24">
          <w:rPr>
            <w:b w:val="0"/>
            <w:bCs w:val="0"/>
            <w:webHidden/>
          </w:rPr>
          <w:fldChar w:fldCharType="separate"/>
        </w:r>
        <w:r w:rsidR="004E3B72">
          <w:rPr>
            <w:b w:val="0"/>
            <w:bCs w:val="0"/>
            <w:webHidden/>
          </w:rPr>
          <w:t>43</w:t>
        </w:r>
        <w:r w:rsidR="00BE0D80" w:rsidRPr="00AF7B24">
          <w:rPr>
            <w:b w:val="0"/>
            <w:bCs w:val="0"/>
            <w:webHidden/>
          </w:rPr>
          <w:fldChar w:fldCharType="end"/>
        </w:r>
      </w:hyperlink>
    </w:p>
    <w:p w14:paraId="5122F074" w14:textId="5EFF8C76"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25" w:history="1">
        <w:r w:rsidR="00BE0D80" w:rsidRPr="00620E70">
          <w:rPr>
            <w:rStyle w:val="Hipervnculo"/>
            <w:rFonts w:eastAsia="Times New Roman" w:cs="Arial"/>
            <w:noProof/>
            <w:lang w:eastAsia="es-MX"/>
          </w:rPr>
          <w:t>7.1.</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Precedentes decisorios del Instituto</w:t>
        </w:r>
        <w:r w:rsidR="00BE0D80">
          <w:rPr>
            <w:noProof/>
            <w:webHidden/>
          </w:rPr>
          <w:tab/>
        </w:r>
        <w:r w:rsidR="00BE0D80">
          <w:rPr>
            <w:noProof/>
            <w:webHidden/>
          </w:rPr>
          <w:fldChar w:fldCharType="begin"/>
        </w:r>
        <w:r w:rsidR="00BE0D80">
          <w:rPr>
            <w:noProof/>
            <w:webHidden/>
          </w:rPr>
          <w:instrText xml:space="preserve"> PAGEREF _Toc85473325 \h </w:instrText>
        </w:r>
        <w:r w:rsidR="00BE0D80">
          <w:rPr>
            <w:noProof/>
            <w:webHidden/>
          </w:rPr>
        </w:r>
        <w:r w:rsidR="00BE0D80">
          <w:rPr>
            <w:noProof/>
            <w:webHidden/>
          </w:rPr>
          <w:fldChar w:fldCharType="separate"/>
        </w:r>
        <w:r w:rsidR="004E3B72">
          <w:rPr>
            <w:noProof/>
            <w:webHidden/>
          </w:rPr>
          <w:t>44</w:t>
        </w:r>
        <w:r w:rsidR="00BE0D80">
          <w:rPr>
            <w:noProof/>
            <w:webHidden/>
          </w:rPr>
          <w:fldChar w:fldCharType="end"/>
        </w:r>
      </w:hyperlink>
    </w:p>
    <w:p w14:paraId="446F7259" w14:textId="370510A9"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26" w:history="1">
        <w:r w:rsidR="00BE0D80" w:rsidRPr="00620E70">
          <w:rPr>
            <w:rStyle w:val="Hipervnculo"/>
            <w:rFonts w:eastAsia="Times New Roman" w:cs="Arial"/>
            <w:noProof/>
            <w:lang w:eastAsia="es-MX"/>
          </w:rPr>
          <w:t>7.2.</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Experiencia internacional</w:t>
        </w:r>
        <w:r w:rsidR="00BE0D80">
          <w:rPr>
            <w:noProof/>
            <w:webHidden/>
          </w:rPr>
          <w:tab/>
        </w:r>
        <w:r w:rsidR="00BE0D80">
          <w:rPr>
            <w:noProof/>
            <w:webHidden/>
          </w:rPr>
          <w:fldChar w:fldCharType="begin"/>
        </w:r>
        <w:r w:rsidR="00BE0D80">
          <w:rPr>
            <w:noProof/>
            <w:webHidden/>
          </w:rPr>
          <w:instrText xml:space="preserve"> PAGEREF _Toc85473326 \h </w:instrText>
        </w:r>
        <w:r w:rsidR="00BE0D80">
          <w:rPr>
            <w:noProof/>
            <w:webHidden/>
          </w:rPr>
        </w:r>
        <w:r w:rsidR="00BE0D80">
          <w:rPr>
            <w:noProof/>
            <w:webHidden/>
          </w:rPr>
          <w:fldChar w:fldCharType="separate"/>
        </w:r>
        <w:r w:rsidR="004E3B72">
          <w:rPr>
            <w:noProof/>
            <w:webHidden/>
          </w:rPr>
          <w:t>45</w:t>
        </w:r>
        <w:r w:rsidR="00BE0D80">
          <w:rPr>
            <w:noProof/>
            <w:webHidden/>
          </w:rPr>
          <w:fldChar w:fldCharType="end"/>
        </w:r>
      </w:hyperlink>
    </w:p>
    <w:p w14:paraId="0282A2DE" w14:textId="03576DDE"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27" w:history="1">
        <w:r w:rsidR="00BE0D80" w:rsidRPr="00620E70">
          <w:rPr>
            <w:rStyle w:val="Hipervnculo"/>
            <w:rFonts w:eastAsia="Times New Roman" w:cs="Arial"/>
            <w:noProof/>
            <w:lang w:eastAsia="es-MX"/>
          </w:rPr>
          <w:t>7.3.</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Aplicación de criterios</w:t>
        </w:r>
        <w:r w:rsidR="00BE0D80">
          <w:rPr>
            <w:noProof/>
            <w:webHidden/>
          </w:rPr>
          <w:tab/>
        </w:r>
        <w:r w:rsidR="00BE0D80">
          <w:rPr>
            <w:noProof/>
            <w:webHidden/>
          </w:rPr>
          <w:fldChar w:fldCharType="begin"/>
        </w:r>
        <w:r w:rsidR="00BE0D80">
          <w:rPr>
            <w:noProof/>
            <w:webHidden/>
          </w:rPr>
          <w:instrText xml:space="preserve"> PAGEREF _Toc85473327 \h </w:instrText>
        </w:r>
        <w:r w:rsidR="00BE0D80">
          <w:rPr>
            <w:noProof/>
            <w:webHidden/>
          </w:rPr>
        </w:r>
        <w:r w:rsidR="00BE0D80">
          <w:rPr>
            <w:noProof/>
            <w:webHidden/>
          </w:rPr>
          <w:fldChar w:fldCharType="separate"/>
        </w:r>
        <w:r w:rsidR="004E3B72">
          <w:rPr>
            <w:noProof/>
            <w:webHidden/>
          </w:rPr>
          <w:t>46</w:t>
        </w:r>
        <w:r w:rsidR="00BE0D80">
          <w:rPr>
            <w:noProof/>
            <w:webHidden/>
          </w:rPr>
          <w:fldChar w:fldCharType="end"/>
        </w:r>
      </w:hyperlink>
    </w:p>
    <w:p w14:paraId="68AECCA7" w14:textId="4CBABE66" w:rsidR="00BE0D80" w:rsidRDefault="00E92449" w:rsidP="00BE0D80">
      <w:pPr>
        <w:pStyle w:val="TDC1"/>
        <w:contextualSpacing/>
        <w:rPr>
          <w:rFonts w:asciiTheme="minorHAnsi" w:eastAsiaTheme="minorEastAsia" w:hAnsiTheme="minorHAnsi"/>
          <w:lang w:eastAsia="es-MX"/>
        </w:rPr>
      </w:pPr>
      <w:hyperlink w:anchor="_Toc85473328" w:history="1">
        <w:r w:rsidR="00BE0D80" w:rsidRPr="00620E70">
          <w:rPr>
            <w:rStyle w:val="Hipervnculo"/>
          </w:rPr>
          <w:t>8.</w:t>
        </w:r>
        <w:r w:rsidR="00BE0D80">
          <w:rPr>
            <w:rFonts w:asciiTheme="minorHAnsi" w:eastAsiaTheme="minorEastAsia" w:hAnsiTheme="minorHAnsi"/>
            <w:lang w:eastAsia="es-MX"/>
          </w:rPr>
          <w:tab/>
        </w:r>
        <w:r w:rsidR="00BE0D80" w:rsidRPr="00620E70">
          <w:rPr>
            <w:rStyle w:val="Hipervnculo"/>
          </w:rPr>
          <w:t>Mercados relacionados</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_Toc85473328 \h </w:instrText>
        </w:r>
        <w:r w:rsidR="00BE0D80" w:rsidRPr="00AF7B24">
          <w:rPr>
            <w:b w:val="0"/>
            <w:bCs w:val="0"/>
            <w:webHidden/>
          </w:rPr>
        </w:r>
        <w:r w:rsidR="00BE0D80" w:rsidRPr="00AF7B24">
          <w:rPr>
            <w:b w:val="0"/>
            <w:bCs w:val="0"/>
            <w:webHidden/>
          </w:rPr>
          <w:fldChar w:fldCharType="separate"/>
        </w:r>
        <w:r w:rsidR="004E3B72">
          <w:rPr>
            <w:b w:val="0"/>
            <w:bCs w:val="0"/>
            <w:webHidden/>
          </w:rPr>
          <w:t>47</w:t>
        </w:r>
        <w:r w:rsidR="00BE0D80" w:rsidRPr="00AF7B24">
          <w:rPr>
            <w:b w:val="0"/>
            <w:bCs w:val="0"/>
            <w:webHidden/>
          </w:rPr>
          <w:fldChar w:fldCharType="end"/>
        </w:r>
      </w:hyperlink>
    </w:p>
    <w:p w14:paraId="14EE10BE" w14:textId="00F3E3E2"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29" w:history="1">
        <w:r w:rsidR="00BE0D80" w:rsidRPr="00620E70">
          <w:rPr>
            <w:rStyle w:val="Hipervnculo"/>
            <w:rFonts w:eastAsia="Times New Roman" w:cs="Arial"/>
            <w:noProof/>
            <w:lang w:eastAsia="es-MX"/>
          </w:rPr>
          <w:t>8.1.</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Precedentes decisorios del Instituto</w:t>
        </w:r>
        <w:r w:rsidR="00BE0D80">
          <w:rPr>
            <w:noProof/>
            <w:webHidden/>
          </w:rPr>
          <w:tab/>
        </w:r>
        <w:r w:rsidR="00BE0D80">
          <w:rPr>
            <w:noProof/>
            <w:webHidden/>
          </w:rPr>
          <w:fldChar w:fldCharType="begin"/>
        </w:r>
        <w:r w:rsidR="00BE0D80">
          <w:rPr>
            <w:noProof/>
            <w:webHidden/>
          </w:rPr>
          <w:instrText xml:space="preserve"> PAGEREF _Toc85473329 \h </w:instrText>
        </w:r>
        <w:r w:rsidR="00BE0D80">
          <w:rPr>
            <w:noProof/>
            <w:webHidden/>
          </w:rPr>
        </w:r>
        <w:r w:rsidR="00BE0D80">
          <w:rPr>
            <w:noProof/>
            <w:webHidden/>
          </w:rPr>
          <w:fldChar w:fldCharType="separate"/>
        </w:r>
        <w:r w:rsidR="004E3B72">
          <w:rPr>
            <w:noProof/>
            <w:webHidden/>
          </w:rPr>
          <w:t>47</w:t>
        </w:r>
        <w:r w:rsidR="00BE0D80">
          <w:rPr>
            <w:noProof/>
            <w:webHidden/>
          </w:rPr>
          <w:fldChar w:fldCharType="end"/>
        </w:r>
      </w:hyperlink>
    </w:p>
    <w:p w14:paraId="0C050CFD" w14:textId="10BBDB07"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30" w:history="1">
        <w:r w:rsidR="00BE0D80" w:rsidRPr="00620E70">
          <w:rPr>
            <w:rStyle w:val="Hipervnculo"/>
            <w:rFonts w:eastAsia="Times New Roman" w:cs="Arial"/>
            <w:noProof/>
            <w:lang w:eastAsia="es-MX"/>
          </w:rPr>
          <w:t>8.2.</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Experiencia internacional</w:t>
        </w:r>
        <w:r w:rsidR="00BE0D80">
          <w:rPr>
            <w:noProof/>
            <w:webHidden/>
          </w:rPr>
          <w:tab/>
        </w:r>
        <w:r w:rsidR="00BE0D80">
          <w:rPr>
            <w:noProof/>
            <w:webHidden/>
          </w:rPr>
          <w:fldChar w:fldCharType="begin"/>
        </w:r>
        <w:r w:rsidR="00BE0D80">
          <w:rPr>
            <w:noProof/>
            <w:webHidden/>
          </w:rPr>
          <w:instrText xml:space="preserve"> PAGEREF _Toc85473330 \h </w:instrText>
        </w:r>
        <w:r w:rsidR="00BE0D80">
          <w:rPr>
            <w:noProof/>
            <w:webHidden/>
          </w:rPr>
        </w:r>
        <w:r w:rsidR="00BE0D80">
          <w:rPr>
            <w:noProof/>
            <w:webHidden/>
          </w:rPr>
          <w:fldChar w:fldCharType="separate"/>
        </w:r>
        <w:r w:rsidR="004E3B72">
          <w:rPr>
            <w:noProof/>
            <w:webHidden/>
          </w:rPr>
          <w:t>48</w:t>
        </w:r>
        <w:r w:rsidR="00BE0D80">
          <w:rPr>
            <w:noProof/>
            <w:webHidden/>
          </w:rPr>
          <w:fldChar w:fldCharType="end"/>
        </w:r>
      </w:hyperlink>
    </w:p>
    <w:p w14:paraId="38CFEFB9" w14:textId="3296561B"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31" w:history="1">
        <w:r w:rsidR="00BE0D80" w:rsidRPr="00620E70">
          <w:rPr>
            <w:rStyle w:val="Hipervnculo"/>
            <w:rFonts w:eastAsia="Times New Roman" w:cs="Arial"/>
            <w:noProof/>
            <w:lang w:eastAsia="es-MX"/>
          </w:rPr>
          <w:t>8.3.</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Elementos para determinar mercados relacionados</w:t>
        </w:r>
        <w:r w:rsidR="00BE0D80">
          <w:rPr>
            <w:noProof/>
            <w:webHidden/>
          </w:rPr>
          <w:tab/>
        </w:r>
        <w:r w:rsidR="00BE0D80">
          <w:rPr>
            <w:noProof/>
            <w:webHidden/>
          </w:rPr>
          <w:fldChar w:fldCharType="begin"/>
        </w:r>
        <w:r w:rsidR="00BE0D80">
          <w:rPr>
            <w:noProof/>
            <w:webHidden/>
          </w:rPr>
          <w:instrText xml:space="preserve"> PAGEREF _Toc85473331 \h </w:instrText>
        </w:r>
        <w:r w:rsidR="00BE0D80">
          <w:rPr>
            <w:noProof/>
            <w:webHidden/>
          </w:rPr>
        </w:r>
        <w:r w:rsidR="00BE0D80">
          <w:rPr>
            <w:noProof/>
            <w:webHidden/>
          </w:rPr>
          <w:fldChar w:fldCharType="separate"/>
        </w:r>
        <w:r w:rsidR="004E3B72">
          <w:rPr>
            <w:noProof/>
            <w:webHidden/>
          </w:rPr>
          <w:t>48</w:t>
        </w:r>
        <w:r w:rsidR="00BE0D80">
          <w:rPr>
            <w:noProof/>
            <w:webHidden/>
          </w:rPr>
          <w:fldChar w:fldCharType="end"/>
        </w:r>
      </w:hyperlink>
    </w:p>
    <w:p w14:paraId="1C2C4D52" w14:textId="50D5C42A" w:rsidR="00BE0D80" w:rsidRDefault="00E92449" w:rsidP="00BE0D80">
      <w:pPr>
        <w:pStyle w:val="TDC1"/>
        <w:contextualSpacing/>
        <w:rPr>
          <w:rFonts w:asciiTheme="minorHAnsi" w:eastAsiaTheme="minorEastAsia" w:hAnsiTheme="minorHAnsi"/>
          <w:lang w:eastAsia="es-MX"/>
        </w:rPr>
      </w:pPr>
      <w:hyperlink w:anchor="_Toc85473332" w:history="1">
        <w:r w:rsidR="00BE0D80" w:rsidRPr="00620E70">
          <w:rPr>
            <w:rStyle w:val="Hipervnculo"/>
          </w:rPr>
          <w:t>9.</w:t>
        </w:r>
        <w:r w:rsidR="00BE0D80">
          <w:rPr>
            <w:rFonts w:asciiTheme="minorHAnsi" w:eastAsiaTheme="minorEastAsia" w:hAnsiTheme="minorHAnsi"/>
            <w:lang w:eastAsia="es-MX"/>
          </w:rPr>
          <w:tab/>
        </w:r>
        <w:r w:rsidR="00BE0D80" w:rsidRPr="00620E70">
          <w:rPr>
            <w:rStyle w:val="Hipervnculo"/>
          </w:rPr>
          <w:t>Temas recurrentes en los sectores de TyR</w:t>
        </w:r>
        <w:r w:rsidR="00BE0D80" w:rsidRPr="00AF7B24">
          <w:rPr>
            <w:b w:val="0"/>
            <w:bCs w:val="0"/>
            <w:webHidden/>
          </w:rPr>
          <w:tab/>
        </w:r>
        <w:r w:rsidR="00BE0D80" w:rsidRPr="00AF7B24">
          <w:rPr>
            <w:b w:val="0"/>
            <w:bCs w:val="0"/>
            <w:webHidden/>
          </w:rPr>
          <w:fldChar w:fldCharType="begin"/>
        </w:r>
        <w:r w:rsidR="00BE0D80" w:rsidRPr="00AF7B24">
          <w:rPr>
            <w:b w:val="0"/>
            <w:bCs w:val="0"/>
            <w:webHidden/>
          </w:rPr>
          <w:instrText xml:space="preserve"> PAGEREF _Toc85473332 \h </w:instrText>
        </w:r>
        <w:r w:rsidR="00BE0D80" w:rsidRPr="00AF7B24">
          <w:rPr>
            <w:b w:val="0"/>
            <w:bCs w:val="0"/>
            <w:webHidden/>
          </w:rPr>
        </w:r>
        <w:r w:rsidR="00BE0D80" w:rsidRPr="00AF7B24">
          <w:rPr>
            <w:b w:val="0"/>
            <w:bCs w:val="0"/>
            <w:webHidden/>
          </w:rPr>
          <w:fldChar w:fldCharType="separate"/>
        </w:r>
        <w:r w:rsidR="004E3B72">
          <w:rPr>
            <w:b w:val="0"/>
            <w:bCs w:val="0"/>
            <w:webHidden/>
          </w:rPr>
          <w:t>49</w:t>
        </w:r>
        <w:r w:rsidR="00BE0D80" w:rsidRPr="00AF7B24">
          <w:rPr>
            <w:b w:val="0"/>
            <w:bCs w:val="0"/>
            <w:webHidden/>
          </w:rPr>
          <w:fldChar w:fldCharType="end"/>
        </w:r>
      </w:hyperlink>
    </w:p>
    <w:p w14:paraId="6A9F16B5" w14:textId="4CC9145E"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33" w:history="1">
        <w:r w:rsidR="00BE0D80" w:rsidRPr="00620E70">
          <w:rPr>
            <w:rStyle w:val="Hipervnculo"/>
            <w:rFonts w:eastAsia="Times New Roman" w:cs="Arial"/>
            <w:noProof/>
            <w:lang w:eastAsia="es-MX"/>
          </w:rPr>
          <w:t>9.1.</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Integración vertical</w:t>
        </w:r>
        <w:r w:rsidR="00BE0D80">
          <w:rPr>
            <w:noProof/>
            <w:webHidden/>
          </w:rPr>
          <w:tab/>
        </w:r>
        <w:r w:rsidR="00BE0D80">
          <w:rPr>
            <w:noProof/>
            <w:webHidden/>
          </w:rPr>
          <w:fldChar w:fldCharType="begin"/>
        </w:r>
        <w:r w:rsidR="00BE0D80">
          <w:rPr>
            <w:noProof/>
            <w:webHidden/>
          </w:rPr>
          <w:instrText xml:space="preserve"> PAGEREF _Toc85473333 \h </w:instrText>
        </w:r>
        <w:r w:rsidR="00BE0D80">
          <w:rPr>
            <w:noProof/>
            <w:webHidden/>
          </w:rPr>
        </w:r>
        <w:r w:rsidR="00BE0D80">
          <w:rPr>
            <w:noProof/>
            <w:webHidden/>
          </w:rPr>
          <w:fldChar w:fldCharType="separate"/>
        </w:r>
        <w:r w:rsidR="004E3B72">
          <w:rPr>
            <w:noProof/>
            <w:webHidden/>
          </w:rPr>
          <w:t>49</w:t>
        </w:r>
        <w:r w:rsidR="00BE0D80">
          <w:rPr>
            <w:noProof/>
            <w:webHidden/>
          </w:rPr>
          <w:fldChar w:fldCharType="end"/>
        </w:r>
      </w:hyperlink>
    </w:p>
    <w:p w14:paraId="74370860" w14:textId="1DD51A2E"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34" w:history="1">
        <w:r w:rsidR="00BE0D80" w:rsidRPr="00620E70">
          <w:rPr>
            <w:rStyle w:val="Hipervnculo"/>
            <w:rFonts w:eastAsia="Times New Roman" w:cs="Arial"/>
            <w:noProof/>
            <w:lang w:eastAsia="es-MX"/>
          </w:rPr>
          <w:t>9.2.</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Sustitución asimétrica</w:t>
        </w:r>
        <w:r w:rsidR="00BE0D80">
          <w:rPr>
            <w:noProof/>
            <w:webHidden/>
          </w:rPr>
          <w:tab/>
        </w:r>
        <w:r w:rsidR="00BE0D80">
          <w:rPr>
            <w:noProof/>
            <w:webHidden/>
          </w:rPr>
          <w:fldChar w:fldCharType="begin"/>
        </w:r>
        <w:r w:rsidR="00BE0D80">
          <w:rPr>
            <w:noProof/>
            <w:webHidden/>
          </w:rPr>
          <w:instrText xml:space="preserve"> PAGEREF _Toc85473334 \h </w:instrText>
        </w:r>
        <w:r w:rsidR="00BE0D80">
          <w:rPr>
            <w:noProof/>
            <w:webHidden/>
          </w:rPr>
        </w:r>
        <w:r w:rsidR="00BE0D80">
          <w:rPr>
            <w:noProof/>
            <w:webHidden/>
          </w:rPr>
          <w:fldChar w:fldCharType="separate"/>
        </w:r>
        <w:r w:rsidR="004E3B72">
          <w:rPr>
            <w:noProof/>
            <w:webHidden/>
          </w:rPr>
          <w:t>52</w:t>
        </w:r>
        <w:r w:rsidR="00BE0D80">
          <w:rPr>
            <w:noProof/>
            <w:webHidden/>
          </w:rPr>
          <w:fldChar w:fldCharType="end"/>
        </w:r>
      </w:hyperlink>
    </w:p>
    <w:p w14:paraId="7E4936EB" w14:textId="004E44BA"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35" w:history="1">
        <w:r w:rsidR="00BE0D80" w:rsidRPr="00620E70">
          <w:rPr>
            <w:rStyle w:val="Hipervnculo"/>
            <w:rFonts w:eastAsia="Times New Roman" w:cs="Arial"/>
            <w:noProof/>
            <w:lang w:eastAsia="es-MX"/>
          </w:rPr>
          <w:t>9.3.</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Diferenciación de productos</w:t>
        </w:r>
        <w:r w:rsidR="00BE0D80">
          <w:rPr>
            <w:noProof/>
            <w:webHidden/>
          </w:rPr>
          <w:tab/>
        </w:r>
        <w:r w:rsidR="00BE0D80">
          <w:rPr>
            <w:noProof/>
            <w:webHidden/>
          </w:rPr>
          <w:fldChar w:fldCharType="begin"/>
        </w:r>
        <w:r w:rsidR="00BE0D80">
          <w:rPr>
            <w:noProof/>
            <w:webHidden/>
          </w:rPr>
          <w:instrText xml:space="preserve"> PAGEREF _Toc85473335 \h </w:instrText>
        </w:r>
        <w:r w:rsidR="00BE0D80">
          <w:rPr>
            <w:noProof/>
            <w:webHidden/>
          </w:rPr>
        </w:r>
        <w:r w:rsidR="00BE0D80">
          <w:rPr>
            <w:noProof/>
            <w:webHidden/>
          </w:rPr>
          <w:fldChar w:fldCharType="separate"/>
        </w:r>
        <w:r w:rsidR="004E3B72">
          <w:rPr>
            <w:noProof/>
            <w:webHidden/>
          </w:rPr>
          <w:t>54</w:t>
        </w:r>
        <w:r w:rsidR="00BE0D80">
          <w:rPr>
            <w:noProof/>
            <w:webHidden/>
          </w:rPr>
          <w:fldChar w:fldCharType="end"/>
        </w:r>
      </w:hyperlink>
    </w:p>
    <w:p w14:paraId="59CCD2E0" w14:textId="3E59DF26"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36" w:history="1">
        <w:r w:rsidR="00BE0D80" w:rsidRPr="00620E70">
          <w:rPr>
            <w:rStyle w:val="Hipervnculo"/>
            <w:rFonts w:eastAsia="Times New Roman" w:cs="Arial"/>
            <w:noProof/>
            <w:lang w:eastAsia="es-MX"/>
          </w:rPr>
          <w:t>9.4.</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Empaquetamiento de servicios</w:t>
        </w:r>
        <w:r w:rsidR="00BE0D80">
          <w:rPr>
            <w:noProof/>
            <w:webHidden/>
          </w:rPr>
          <w:tab/>
        </w:r>
        <w:r w:rsidR="00BE0D80">
          <w:rPr>
            <w:noProof/>
            <w:webHidden/>
          </w:rPr>
          <w:fldChar w:fldCharType="begin"/>
        </w:r>
        <w:r w:rsidR="00BE0D80">
          <w:rPr>
            <w:noProof/>
            <w:webHidden/>
          </w:rPr>
          <w:instrText xml:space="preserve"> PAGEREF _Toc85473336 \h </w:instrText>
        </w:r>
        <w:r w:rsidR="00BE0D80">
          <w:rPr>
            <w:noProof/>
            <w:webHidden/>
          </w:rPr>
        </w:r>
        <w:r w:rsidR="00BE0D80">
          <w:rPr>
            <w:noProof/>
            <w:webHidden/>
          </w:rPr>
          <w:fldChar w:fldCharType="separate"/>
        </w:r>
        <w:r w:rsidR="004E3B72">
          <w:rPr>
            <w:noProof/>
            <w:webHidden/>
          </w:rPr>
          <w:t>57</w:t>
        </w:r>
        <w:r w:rsidR="00BE0D80">
          <w:rPr>
            <w:noProof/>
            <w:webHidden/>
          </w:rPr>
          <w:fldChar w:fldCharType="end"/>
        </w:r>
      </w:hyperlink>
    </w:p>
    <w:p w14:paraId="21C2BECF" w14:textId="5F2D5354" w:rsidR="00BE0D80" w:rsidRDefault="00E92449" w:rsidP="00BE0D80">
      <w:pPr>
        <w:pStyle w:val="TDC2"/>
        <w:tabs>
          <w:tab w:val="left" w:pos="880"/>
          <w:tab w:val="right" w:leader="dot" w:pos="9394"/>
        </w:tabs>
        <w:contextualSpacing/>
        <w:rPr>
          <w:rFonts w:asciiTheme="minorHAnsi" w:eastAsiaTheme="minorEastAsia" w:hAnsiTheme="minorHAnsi"/>
          <w:noProof/>
          <w:lang w:eastAsia="es-MX"/>
        </w:rPr>
      </w:pPr>
      <w:hyperlink w:anchor="_Toc85473337" w:history="1">
        <w:r w:rsidR="00BE0D80" w:rsidRPr="00620E70">
          <w:rPr>
            <w:rStyle w:val="Hipervnculo"/>
            <w:rFonts w:eastAsia="Times New Roman" w:cs="Arial"/>
            <w:noProof/>
            <w:lang w:eastAsia="es-MX"/>
          </w:rPr>
          <w:t>9.5.</w:t>
        </w:r>
        <w:r w:rsidR="00BE0D80">
          <w:rPr>
            <w:rFonts w:asciiTheme="minorHAnsi" w:eastAsiaTheme="minorEastAsia" w:hAnsiTheme="minorHAnsi"/>
            <w:noProof/>
            <w:lang w:eastAsia="es-MX"/>
          </w:rPr>
          <w:tab/>
        </w:r>
        <w:r w:rsidR="00BE0D80" w:rsidRPr="00620E70">
          <w:rPr>
            <w:rStyle w:val="Hipervnculo"/>
            <w:rFonts w:eastAsia="Times New Roman" w:cs="Arial"/>
            <w:noProof/>
            <w:lang w:eastAsia="es-MX"/>
          </w:rPr>
          <w:t>Mercados de múltiples lados</w:t>
        </w:r>
        <w:r w:rsidR="00BE0D80">
          <w:rPr>
            <w:noProof/>
            <w:webHidden/>
          </w:rPr>
          <w:tab/>
        </w:r>
        <w:r w:rsidR="00BE0D80">
          <w:rPr>
            <w:noProof/>
            <w:webHidden/>
          </w:rPr>
          <w:fldChar w:fldCharType="begin"/>
        </w:r>
        <w:r w:rsidR="00BE0D80">
          <w:rPr>
            <w:noProof/>
            <w:webHidden/>
          </w:rPr>
          <w:instrText xml:space="preserve"> PAGEREF _Toc85473337 \h </w:instrText>
        </w:r>
        <w:r w:rsidR="00BE0D80">
          <w:rPr>
            <w:noProof/>
            <w:webHidden/>
          </w:rPr>
        </w:r>
        <w:r w:rsidR="00BE0D80">
          <w:rPr>
            <w:noProof/>
            <w:webHidden/>
          </w:rPr>
          <w:fldChar w:fldCharType="separate"/>
        </w:r>
        <w:r w:rsidR="004E3B72">
          <w:rPr>
            <w:noProof/>
            <w:webHidden/>
          </w:rPr>
          <w:t>61</w:t>
        </w:r>
        <w:r w:rsidR="00BE0D80">
          <w:rPr>
            <w:noProof/>
            <w:webHidden/>
          </w:rPr>
          <w:fldChar w:fldCharType="end"/>
        </w:r>
      </w:hyperlink>
    </w:p>
    <w:p w14:paraId="471EC019" w14:textId="6F8CBD4B" w:rsidR="00BE0D80" w:rsidRPr="00931D46" w:rsidRDefault="00BE0D80" w:rsidP="00BE0D80">
      <w:pPr>
        <w:pStyle w:val="Ttulo1"/>
        <w:spacing w:line="276" w:lineRule="auto"/>
        <w:contextualSpacing/>
        <w:jc w:val="both"/>
        <w:rPr>
          <w:rFonts w:ascii="Arial" w:hAnsi="Arial" w:cs="Arial"/>
          <w:b w:val="0"/>
          <w:sz w:val="26"/>
          <w:szCs w:val="26"/>
        </w:rPr>
      </w:pPr>
      <w:r w:rsidRPr="00931D46">
        <w:rPr>
          <w:rFonts w:ascii="Arial" w:hAnsi="Arial" w:cs="Arial"/>
          <w:b w:val="0"/>
        </w:rPr>
        <w:fldChar w:fldCharType="end"/>
      </w:r>
      <w:bookmarkStart w:id="13" w:name="_Toc45216566"/>
      <w:bookmarkStart w:id="14" w:name="_Toc45628311"/>
      <w:bookmarkStart w:id="15" w:name="_Toc85473309"/>
      <w:r w:rsidRPr="00931D46">
        <w:rPr>
          <w:rFonts w:ascii="Arial" w:hAnsi="Arial" w:cs="Arial"/>
          <w:sz w:val="26"/>
          <w:szCs w:val="26"/>
        </w:rPr>
        <w:t>Glosario</w:t>
      </w:r>
      <w:bookmarkEnd w:id="9"/>
      <w:bookmarkEnd w:id="10"/>
      <w:bookmarkEnd w:id="11"/>
      <w:bookmarkEnd w:id="12"/>
      <w:r w:rsidRPr="00931D46">
        <w:rPr>
          <w:rFonts w:ascii="Arial" w:hAnsi="Arial" w:cs="Arial"/>
          <w:sz w:val="26"/>
          <w:szCs w:val="26"/>
          <w:vertAlign w:val="superscript"/>
        </w:rPr>
        <w:footnoteReference w:id="2"/>
      </w:r>
      <w:bookmarkEnd w:id="13"/>
      <w:bookmarkEnd w:id="14"/>
      <w:bookmarkEnd w:id="15"/>
    </w:p>
    <w:p w14:paraId="01BC6211" w14:textId="77777777" w:rsidR="00BE0D80" w:rsidRPr="00931D46" w:rsidRDefault="00BE0D80" w:rsidP="00BE0D80">
      <w:pPr>
        <w:spacing w:after="0"/>
        <w:rPr>
          <w:rFonts w:ascii="Arial" w:hAnsi="Arial" w:cs="Arial"/>
        </w:rPr>
      </w:pPr>
    </w:p>
    <w:p w14:paraId="330AD7A1" w14:textId="77777777" w:rsidR="00BE0D80" w:rsidRPr="00931D46" w:rsidRDefault="00BE0D80" w:rsidP="00BE0D80">
      <w:pPr>
        <w:spacing w:after="0"/>
        <w:jc w:val="both"/>
        <w:rPr>
          <w:rFonts w:ascii="Arial" w:hAnsi="Arial" w:cs="Arial"/>
        </w:rPr>
      </w:pPr>
      <w:r w:rsidRPr="00931D46">
        <w:rPr>
          <w:rFonts w:ascii="Arial" w:hAnsi="Arial" w:cs="Arial"/>
        </w:rPr>
        <w:t>En el presente documento se utilizarán, además de los establecidos en la Ley Federal de Competencia Económica, los siguientes acrónimos y términos.</w:t>
      </w:r>
    </w:p>
    <w:p w14:paraId="41FF10D6" w14:textId="77777777" w:rsidR="00BE0D80" w:rsidRPr="00931D46" w:rsidRDefault="00BE0D80" w:rsidP="00BE0D80">
      <w:pPr>
        <w:spacing w:after="0"/>
        <w:rPr>
          <w:rFonts w:ascii="Arial" w:hAnsi="Arial" w:cs="Arial"/>
        </w:rPr>
      </w:pPr>
    </w:p>
    <w:tbl>
      <w:tblPr>
        <w:tblStyle w:val="Tablaconcuadrcula"/>
        <w:tblW w:w="9498" w:type="dxa"/>
        <w:tblInd w:w="-5" w:type="dxa"/>
        <w:tblLayout w:type="fixed"/>
        <w:tblLook w:val="04A0" w:firstRow="1" w:lastRow="0" w:firstColumn="1" w:lastColumn="0" w:noHBand="0" w:noVBand="1"/>
      </w:tblPr>
      <w:tblGrid>
        <w:gridCol w:w="2410"/>
        <w:gridCol w:w="7088"/>
      </w:tblGrid>
      <w:tr w:rsidR="00BE0D80" w:rsidRPr="00931D46" w14:paraId="659C7682" w14:textId="77777777" w:rsidTr="00C21851">
        <w:trPr>
          <w:trHeight w:val="301"/>
          <w:tblHeader/>
        </w:trPr>
        <w:tc>
          <w:tcPr>
            <w:tcW w:w="2410" w:type="dxa"/>
            <w:shd w:val="clear" w:color="auto" w:fill="92D050"/>
            <w:vAlign w:val="center"/>
          </w:tcPr>
          <w:p w14:paraId="7135A7F3" w14:textId="77777777" w:rsidR="00BE0D80" w:rsidRPr="00931D46" w:rsidRDefault="00BE0D80" w:rsidP="00C21851">
            <w:pPr>
              <w:pStyle w:val="TablaTexto"/>
              <w:spacing w:line="276" w:lineRule="auto"/>
              <w:rPr>
                <w:rFonts w:ascii="Arial" w:hAnsi="Arial" w:cs="Arial"/>
                <w:b/>
              </w:rPr>
            </w:pPr>
            <w:r w:rsidRPr="00931D46">
              <w:rPr>
                <w:rFonts w:ascii="Arial" w:hAnsi="Arial" w:cs="Arial"/>
                <w:b/>
              </w:rPr>
              <w:t>Término o acrónimo</w:t>
            </w:r>
          </w:p>
        </w:tc>
        <w:tc>
          <w:tcPr>
            <w:tcW w:w="7088" w:type="dxa"/>
            <w:shd w:val="clear" w:color="auto" w:fill="92D050"/>
            <w:vAlign w:val="center"/>
          </w:tcPr>
          <w:p w14:paraId="3278F6AF" w14:textId="77777777" w:rsidR="00BE0D80" w:rsidRPr="00931D46" w:rsidRDefault="00BE0D80" w:rsidP="00C21851">
            <w:pPr>
              <w:pStyle w:val="TablaTexto"/>
              <w:spacing w:line="276" w:lineRule="auto"/>
              <w:rPr>
                <w:rFonts w:ascii="Arial" w:hAnsi="Arial" w:cs="Arial"/>
                <w:b/>
              </w:rPr>
            </w:pPr>
            <w:r w:rsidRPr="00931D46">
              <w:rPr>
                <w:rFonts w:ascii="Arial" w:hAnsi="Arial" w:cs="Arial"/>
                <w:b/>
              </w:rPr>
              <w:t>Definición</w:t>
            </w:r>
          </w:p>
        </w:tc>
      </w:tr>
      <w:tr w:rsidR="00BE0D80" w:rsidRPr="00931D46" w14:paraId="5D799075" w14:textId="77777777" w:rsidTr="00C21851">
        <w:trPr>
          <w:trHeight w:val="301"/>
        </w:trPr>
        <w:tc>
          <w:tcPr>
            <w:tcW w:w="2410" w:type="dxa"/>
            <w:vAlign w:val="center"/>
          </w:tcPr>
          <w:p w14:paraId="3E7B3863" w14:textId="77777777" w:rsidR="00BE0D80" w:rsidRPr="00931D46" w:rsidRDefault="00BE0D80" w:rsidP="00C21851">
            <w:pPr>
              <w:pStyle w:val="TablaTexto"/>
              <w:spacing w:line="276" w:lineRule="auto"/>
              <w:rPr>
                <w:rFonts w:ascii="Arial" w:hAnsi="Arial" w:cs="Arial"/>
              </w:rPr>
            </w:pPr>
            <w:r w:rsidRPr="00931D46">
              <w:rPr>
                <w:rFonts w:ascii="Arial" w:hAnsi="Arial" w:cs="Arial"/>
              </w:rPr>
              <w:t>ACCC</w:t>
            </w:r>
          </w:p>
        </w:tc>
        <w:tc>
          <w:tcPr>
            <w:tcW w:w="7088" w:type="dxa"/>
            <w:vAlign w:val="center"/>
          </w:tcPr>
          <w:p w14:paraId="182EFBAB" w14:textId="77777777" w:rsidR="00BE0D80" w:rsidRPr="00931D46" w:rsidRDefault="00BE0D80" w:rsidP="00C21851">
            <w:pPr>
              <w:pStyle w:val="TablaTexto"/>
              <w:spacing w:line="276" w:lineRule="auto"/>
              <w:rPr>
                <w:rFonts w:ascii="Arial" w:hAnsi="Arial" w:cs="Arial"/>
              </w:rPr>
            </w:pPr>
            <w:r w:rsidRPr="00931D46">
              <w:rPr>
                <w:rFonts w:ascii="Arial" w:hAnsi="Arial" w:cs="Arial"/>
              </w:rPr>
              <w:t>Comisión Australiana de la Competencia y del Consumidor (</w:t>
            </w:r>
            <w:r w:rsidRPr="00931D46">
              <w:rPr>
                <w:rFonts w:ascii="Arial" w:hAnsi="Arial" w:cs="Arial"/>
                <w:i/>
              </w:rPr>
              <w:t>Australian Competition &amp; Consumer Commision</w:t>
            </w:r>
            <w:r w:rsidRPr="00931D46">
              <w:rPr>
                <w:rFonts w:ascii="Arial" w:hAnsi="Arial" w:cs="Arial"/>
              </w:rPr>
              <w:t>, en inglés).</w:t>
            </w:r>
          </w:p>
        </w:tc>
      </w:tr>
      <w:tr w:rsidR="00BE0D80" w:rsidRPr="00931D46" w14:paraId="49D5461A" w14:textId="77777777" w:rsidTr="00C21851">
        <w:trPr>
          <w:trHeight w:val="301"/>
        </w:trPr>
        <w:tc>
          <w:tcPr>
            <w:tcW w:w="2410" w:type="dxa"/>
            <w:vAlign w:val="center"/>
          </w:tcPr>
          <w:p w14:paraId="1BA7C155" w14:textId="77777777" w:rsidR="00BE0D80" w:rsidRPr="00931D46" w:rsidRDefault="00BE0D80" w:rsidP="00C21851">
            <w:pPr>
              <w:pStyle w:val="TablaTexto"/>
              <w:spacing w:line="276" w:lineRule="auto"/>
              <w:rPr>
                <w:rFonts w:ascii="Arial" w:hAnsi="Arial" w:cs="Arial"/>
              </w:rPr>
            </w:pPr>
            <w:r w:rsidRPr="00931D46">
              <w:rPr>
                <w:rFonts w:ascii="Arial" w:hAnsi="Arial" w:cs="Arial"/>
              </w:rPr>
              <w:t>AE / Agente Económico</w:t>
            </w:r>
          </w:p>
        </w:tc>
        <w:tc>
          <w:tcPr>
            <w:tcW w:w="7088" w:type="dxa"/>
            <w:vAlign w:val="center"/>
          </w:tcPr>
          <w:p w14:paraId="0DB091C7" w14:textId="77777777" w:rsidR="00BE0D80" w:rsidRPr="00931D46" w:rsidRDefault="00BE0D80" w:rsidP="00C21851">
            <w:pPr>
              <w:pStyle w:val="TablaTexto"/>
              <w:spacing w:line="276" w:lineRule="auto"/>
              <w:rPr>
                <w:rFonts w:ascii="Arial" w:hAnsi="Arial" w:cs="Arial"/>
              </w:rPr>
            </w:pPr>
            <w:r w:rsidRPr="00931D46">
              <w:rPr>
                <w:rFonts w:ascii="Arial" w:hAnsi="Arial" w:cs="Arial"/>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BE0D80" w:rsidRPr="00931D46" w14:paraId="3E48F5C3" w14:textId="77777777" w:rsidTr="00C21851">
        <w:trPr>
          <w:trHeight w:val="301"/>
        </w:trPr>
        <w:tc>
          <w:tcPr>
            <w:tcW w:w="2410" w:type="dxa"/>
            <w:vAlign w:val="center"/>
          </w:tcPr>
          <w:p w14:paraId="15EF1FE0" w14:textId="77777777" w:rsidR="00BE0D80" w:rsidRPr="00931D46" w:rsidRDefault="00BE0D80" w:rsidP="00C21851">
            <w:pPr>
              <w:spacing w:after="0"/>
              <w:rPr>
                <w:rFonts w:ascii="Arial" w:hAnsi="Arial" w:cs="Arial"/>
              </w:rPr>
            </w:pPr>
            <w:r w:rsidRPr="00931D46">
              <w:rPr>
                <w:rFonts w:ascii="Arial" w:hAnsi="Arial" w:cs="Arial"/>
              </w:rPr>
              <w:t>ANACOM</w:t>
            </w:r>
          </w:p>
        </w:tc>
        <w:tc>
          <w:tcPr>
            <w:tcW w:w="7088" w:type="dxa"/>
            <w:vAlign w:val="center"/>
          </w:tcPr>
          <w:p w14:paraId="11A69258" w14:textId="77777777" w:rsidR="00BE0D80" w:rsidRPr="00931D46" w:rsidRDefault="00BE0D80" w:rsidP="00C21851">
            <w:pPr>
              <w:spacing w:after="0"/>
              <w:jc w:val="both"/>
              <w:rPr>
                <w:rFonts w:ascii="Arial" w:hAnsi="Arial" w:cs="Arial"/>
              </w:rPr>
            </w:pPr>
            <w:r w:rsidRPr="00931D46">
              <w:rPr>
                <w:rFonts w:ascii="Arial" w:hAnsi="Arial" w:cs="Arial"/>
              </w:rPr>
              <w:t>Autoridad Nacional de Comunicaciones de Portugal (</w:t>
            </w:r>
            <w:r w:rsidRPr="00931D46">
              <w:rPr>
                <w:rFonts w:ascii="Arial" w:hAnsi="Arial" w:cs="Arial"/>
                <w:i/>
              </w:rPr>
              <w:t>Autoridade Nacional de Comunicações</w:t>
            </w:r>
            <w:r w:rsidRPr="00931D46">
              <w:rPr>
                <w:rFonts w:ascii="Arial" w:hAnsi="Arial" w:cs="Arial"/>
              </w:rPr>
              <w:t>, en portugués).</w:t>
            </w:r>
          </w:p>
        </w:tc>
      </w:tr>
      <w:tr w:rsidR="00BE0D80" w:rsidRPr="00931D46" w14:paraId="0227B556" w14:textId="77777777" w:rsidTr="00C21851">
        <w:trPr>
          <w:trHeight w:val="301"/>
        </w:trPr>
        <w:tc>
          <w:tcPr>
            <w:tcW w:w="2410" w:type="dxa"/>
            <w:vAlign w:val="center"/>
          </w:tcPr>
          <w:p w14:paraId="100911BC" w14:textId="77777777" w:rsidR="00BE0D80" w:rsidRPr="00931D46" w:rsidRDefault="00BE0D80" w:rsidP="00C21851">
            <w:pPr>
              <w:spacing w:after="0"/>
              <w:rPr>
                <w:rFonts w:ascii="Arial" w:hAnsi="Arial" w:cs="Arial"/>
              </w:rPr>
            </w:pPr>
            <w:r w:rsidRPr="00931D46">
              <w:rPr>
                <w:rFonts w:ascii="Arial" w:hAnsi="Arial" w:cs="Arial"/>
              </w:rPr>
              <w:t>BEREC</w:t>
            </w:r>
          </w:p>
        </w:tc>
        <w:tc>
          <w:tcPr>
            <w:tcW w:w="7088" w:type="dxa"/>
            <w:vAlign w:val="center"/>
          </w:tcPr>
          <w:p w14:paraId="46FA0F3F" w14:textId="77777777" w:rsidR="00BE0D80" w:rsidRPr="00931D46" w:rsidRDefault="00BE0D80" w:rsidP="00C21851">
            <w:pPr>
              <w:spacing w:after="0"/>
              <w:jc w:val="both"/>
              <w:rPr>
                <w:rFonts w:ascii="Arial" w:hAnsi="Arial" w:cs="Arial"/>
              </w:rPr>
            </w:pPr>
            <w:r w:rsidRPr="00931D46">
              <w:rPr>
                <w:rFonts w:ascii="Arial" w:hAnsi="Arial" w:cs="Arial"/>
              </w:rPr>
              <w:t>Cuerpo de Reguladores Europeos de Comunicaciones Electrónicas (</w:t>
            </w:r>
            <w:r w:rsidRPr="00931D46">
              <w:rPr>
                <w:rFonts w:ascii="Arial" w:hAnsi="Arial" w:cs="Arial"/>
                <w:i/>
              </w:rPr>
              <w:t>Body of European Regulators for Electronic Communications</w:t>
            </w:r>
            <w:r w:rsidRPr="00931D46">
              <w:rPr>
                <w:rFonts w:ascii="Arial" w:hAnsi="Arial" w:cs="Arial"/>
              </w:rPr>
              <w:t>, en inglés).</w:t>
            </w:r>
          </w:p>
        </w:tc>
      </w:tr>
      <w:tr w:rsidR="00BE0D80" w:rsidRPr="00931D46" w14:paraId="14184087" w14:textId="77777777" w:rsidTr="00C21851">
        <w:trPr>
          <w:trHeight w:val="301"/>
        </w:trPr>
        <w:tc>
          <w:tcPr>
            <w:tcW w:w="2410" w:type="dxa"/>
            <w:vAlign w:val="center"/>
          </w:tcPr>
          <w:p w14:paraId="486468BA" w14:textId="77777777" w:rsidR="00BE0D80" w:rsidRPr="00931D46" w:rsidRDefault="00BE0D80" w:rsidP="00C21851">
            <w:pPr>
              <w:spacing w:after="0"/>
              <w:rPr>
                <w:rFonts w:ascii="Arial" w:hAnsi="Arial" w:cs="Arial"/>
              </w:rPr>
            </w:pPr>
            <w:r w:rsidRPr="00931D46">
              <w:rPr>
                <w:rFonts w:ascii="Arial" w:hAnsi="Arial" w:cs="Arial"/>
              </w:rPr>
              <w:t>B</w:t>
            </w:r>
            <w:r>
              <w:rPr>
                <w:rFonts w:ascii="Arial" w:hAnsi="Arial" w:cs="Arial"/>
              </w:rPr>
              <w:t>undeskartellamt</w:t>
            </w:r>
          </w:p>
        </w:tc>
        <w:tc>
          <w:tcPr>
            <w:tcW w:w="7088" w:type="dxa"/>
            <w:vAlign w:val="center"/>
          </w:tcPr>
          <w:p w14:paraId="4F128229" w14:textId="77777777" w:rsidR="00BE0D80" w:rsidRPr="00931D46" w:rsidRDefault="00BE0D80" w:rsidP="00C21851">
            <w:pPr>
              <w:spacing w:after="0"/>
              <w:jc w:val="both"/>
              <w:rPr>
                <w:rFonts w:ascii="Arial" w:hAnsi="Arial" w:cs="Arial"/>
              </w:rPr>
            </w:pPr>
            <w:r w:rsidRPr="00931D46">
              <w:rPr>
                <w:rFonts w:ascii="Arial" w:hAnsi="Arial" w:cs="Arial"/>
              </w:rPr>
              <w:t>Autoridad de regulación de competencia y derechos de los consumidores de Alemania.</w:t>
            </w:r>
          </w:p>
        </w:tc>
      </w:tr>
      <w:tr w:rsidR="00BE0D80" w:rsidRPr="00931D46" w14:paraId="10EDCC5D" w14:textId="77777777" w:rsidTr="00C21851">
        <w:trPr>
          <w:trHeight w:val="301"/>
        </w:trPr>
        <w:tc>
          <w:tcPr>
            <w:tcW w:w="2410" w:type="dxa"/>
            <w:vAlign w:val="center"/>
          </w:tcPr>
          <w:p w14:paraId="01704886" w14:textId="77777777" w:rsidR="00BE0D80" w:rsidRPr="005776C2" w:rsidRDefault="00BE0D80" w:rsidP="00C21851">
            <w:pPr>
              <w:pStyle w:val="TablaTexto"/>
              <w:spacing w:line="276" w:lineRule="auto"/>
              <w:rPr>
                <w:rFonts w:ascii="Arial" w:hAnsi="Arial" w:cs="Arial"/>
              </w:rPr>
            </w:pPr>
            <w:r w:rsidRPr="005776C2">
              <w:rPr>
                <w:rFonts w:ascii="Arial" w:hAnsi="Arial" w:cs="Arial"/>
              </w:rPr>
              <w:t>CA</w:t>
            </w:r>
          </w:p>
        </w:tc>
        <w:tc>
          <w:tcPr>
            <w:tcW w:w="7088" w:type="dxa"/>
            <w:vAlign w:val="center"/>
          </w:tcPr>
          <w:p w14:paraId="4B9AE91D" w14:textId="77777777" w:rsidR="00BE0D80" w:rsidRPr="005776C2" w:rsidRDefault="00BE0D80" w:rsidP="00C21851">
            <w:pPr>
              <w:pStyle w:val="TablaTexto"/>
              <w:spacing w:line="276" w:lineRule="auto"/>
              <w:rPr>
                <w:rFonts w:ascii="Arial" w:hAnsi="Arial" w:cs="Arial"/>
              </w:rPr>
            </w:pPr>
            <w:r w:rsidRPr="005776C2">
              <w:rPr>
                <w:rFonts w:ascii="Arial" w:hAnsi="Arial" w:cs="Arial"/>
              </w:rPr>
              <w:t>Contenidos Audiovisuales.</w:t>
            </w:r>
          </w:p>
        </w:tc>
      </w:tr>
      <w:tr w:rsidR="00BE0D80" w:rsidRPr="00931D46" w14:paraId="0278ABF2" w14:textId="77777777" w:rsidTr="00C21851">
        <w:trPr>
          <w:trHeight w:val="301"/>
        </w:trPr>
        <w:tc>
          <w:tcPr>
            <w:tcW w:w="2410" w:type="dxa"/>
            <w:vAlign w:val="center"/>
          </w:tcPr>
          <w:p w14:paraId="0DC5CE06" w14:textId="77777777" w:rsidR="00BE0D80" w:rsidRPr="00931D46" w:rsidRDefault="00BE0D80" w:rsidP="00C21851">
            <w:pPr>
              <w:pStyle w:val="TablaTexto"/>
              <w:spacing w:line="276" w:lineRule="auto"/>
              <w:rPr>
                <w:rFonts w:ascii="Arial" w:hAnsi="Arial" w:cs="Arial"/>
              </w:rPr>
            </w:pPr>
            <w:r w:rsidRPr="00931D46">
              <w:rPr>
                <w:rFonts w:ascii="Arial" w:hAnsi="Arial" w:cs="Arial"/>
              </w:rPr>
              <w:t>CBC</w:t>
            </w:r>
          </w:p>
        </w:tc>
        <w:tc>
          <w:tcPr>
            <w:tcW w:w="7088" w:type="dxa"/>
            <w:vAlign w:val="center"/>
          </w:tcPr>
          <w:p w14:paraId="787D8588" w14:textId="77777777" w:rsidR="00BE0D80" w:rsidRPr="00931D46" w:rsidRDefault="00BE0D80" w:rsidP="00C21851">
            <w:pPr>
              <w:pStyle w:val="TablaTexto"/>
              <w:spacing w:line="276" w:lineRule="auto"/>
              <w:rPr>
                <w:rFonts w:ascii="Arial" w:hAnsi="Arial" w:cs="Arial"/>
              </w:rPr>
            </w:pPr>
            <w:r w:rsidRPr="00931D46">
              <w:rPr>
                <w:rFonts w:ascii="Arial" w:hAnsi="Arial" w:cs="Arial"/>
              </w:rPr>
              <w:t>Oficina de Competencia de Canadá (</w:t>
            </w:r>
            <w:r w:rsidRPr="00931D46">
              <w:rPr>
                <w:rFonts w:ascii="Arial" w:hAnsi="Arial" w:cs="Arial"/>
                <w:i/>
              </w:rPr>
              <w:t>Competition Bureau Canada</w:t>
            </w:r>
            <w:r w:rsidRPr="00931D46">
              <w:rPr>
                <w:rFonts w:ascii="Arial" w:hAnsi="Arial" w:cs="Arial"/>
              </w:rPr>
              <w:t>, en inglés).</w:t>
            </w:r>
          </w:p>
        </w:tc>
      </w:tr>
      <w:tr w:rsidR="00BE0D80" w:rsidRPr="00931D46" w14:paraId="6BABA162" w14:textId="77777777" w:rsidTr="00C21851">
        <w:trPr>
          <w:trHeight w:val="301"/>
        </w:trPr>
        <w:tc>
          <w:tcPr>
            <w:tcW w:w="2410" w:type="dxa"/>
            <w:vAlign w:val="center"/>
          </w:tcPr>
          <w:p w14:paraId="6A690800" w14:textId="77777777" w:rsidR="00BE0D80" w:rsidRPr="00931D46" w:rsidRDefault="00BE0D80" w:rsidP="00C21851">
            <w:pPr>
              <w:pStyle w:val="TablaTexto"/>
              <w:spacing w:line="276" w:lineRule="auto"/>
              <w:rPr>
                <w:rFonts w:ascii="Arial" w:hAnsi="Arial" w:cs="Arial"/>
              </w:rPr>
            </w:pPr>
            <w:r w:rsidRPr="00931D46">
              <w:rPr>
                <w:rFonts w:ascii="Arial" w:hAnsi="Arial" w:cs="Arial"/>
              </w:rPr>
              <w:t>CE</w:t>
            </w:r>
          </w:p>
        </w:tc>
        <w:tc>
          <w:tcPr>
            <w:tcW w:w="7088" w:type="dxa"/>
            <w:vAlign w:val="center"/>
          </w:tcPr>
          <w:p w14:paraId="5A64E4D5" w14:textId="77777777" w:rsidR="00BE0D80" w:rsidRPr="00931D46" w:rsidRDefault="00BE0D80" w:rsidP="00C21851">
            <w:pPr>
              <w:pStyle w:val="TablaTexto"/>
              <w:spacing w:line="276" w:lineRule="auto"/>
              <w:rPr>
                <w:rFonts w:ascii="Arial" w:hAnsi="Arial" w:cs="Arial"/>
              </w:rPr>
            </w:pPr>
            <w:r w:rsidRPr="00931D46">
              <w:rPr>
                <w:rFonts w:ascii="Arial" w:hAnsi="Arial" w:cs="Arial"/>
              </w:rPr>
              <w:t>Comisión Europea.</w:t>
            </w:r>
          </w:p>
        </w:tc>
      </w:tr>
      <w:tr w:rsidR="00BE0D80" w:rsidRPr="00931D46" w14:paraId="50E3FFAA" w14:textId="77777777" w:rsidTr="00C21851">
        <w:trPr>
          <w:trHeight w:val="301"/>
        </w:trPr>
        <w:tc>
          <w:tcPr>
            <w:tcW w:w="2410" w:type="dxa"/>
            <w:vAlign w:val="center"/>
          </w:tcPr>
          <w:p w14:paraId="325B1CEC" w14:textId="77777777" w:rsidR="00BE0D80" w:rsidRPr="00931D46" w:rsidRDefault="00BE0D80" w:rsidP="00C21851">
            <w:pPr>
              <w:pStyle w:val="TablaTexto"/>
              <w:spacing w:line="276" w:lineRule="auto"/>
              <w:rPr>
                <w:rFonts w:ascii="Arial" w:hAnsi="Arial" w:cs="Arial"/>
              </w:rPr>
            </w:pPr>
            <w:r w:rsidRPr="00931D46">
              <w:rPr>
                <w:rFonts w:ascii="Arial" w:hAnsi="Arial" w:cs="Arial"/>
              </w:rPr>
              <w:t>CMA</w:t>
            </w:r>
          </w:p>
        </w:tc>
        <w:tc>
          <w:tcPr>
            <w:tcW w:w="7088" w:type="dxa"/>
            <w:vAlign w:val="center"/>
          </w:tcPr>
          <w:p w14:paraId="6C7147FF" w14:textId="77777777" w:rsidR="00BE0D80" w:rsidRPr="00931D46" w:rsidRDefault="00BE0D80" w:rsidP="00C21851">
            <w:pPr>
              <w:pStyle w:val="TablaTexto"/>
              <w:spacing w:line="276" w:lineRule="auto"/>
              <w:rPr>
                <w:rFonts w:ascii="Arial" w:hAnsi="Arial" w:cs="Arial"/>
              </w:rPr>
            </w:pPr>
            <w:r w:rsidRPr="00931D46">
              <w:rPr>
                <w:rFonts w:ascii="Arial" w:hAnsi="Arial" w:cs="Arial"/>
              </w:rPr>
              <w:t>Autoridad de Competencia y Mercados de Reino Unido (</w:t>
            </w:r>
            <w:r w:rsidRPr="00931D46">
              <w:rPr>
                <w:rFonts w:ascii="Arial" w:hAnsi="Arial" w:cs="Arial"/>
                <w:i/>
              </w:rPr>
              <w:t>Competition and Markets Authority</w:t>
            </w:r>
            <w:r w:rsidRPr="00931D46">
              <w:rPr>
                <w:rFonts w:ascii="Arial" w:hAnsi="Arial" w:cs="Arial"/>
              </w:rPr>
              <w:t xml:space="preserve">, en inglés), la cual sustituyó a la OFT y a la </w:t>
            </w:r>
            <w:r>
              <w:rPr>
                <w:rFonts w:ascii="Arial" w:hAnsi="Arial" w:cs="Arial"/>
              </w:rPr>
              <w:t>Comisión de Competencia (</w:t>
            </w:r>
            <w:r w:rsidRPr="00E90210">
              <w:rPr>
                <w:rFonts w:ascii="Arial" w:hAnsi="Arial" w:cs="Arial"/>
                <w:i/>
              </w:rPr>
              <w:t>Competition Commission</w:t>
            </w:r>
            <w:r>
              <w:rPr>
                <w:rFonts w:ascii="Arial" w:hAnsi="Arial" w:cs="Arial"/>
                <w:bCs/>
              </w:rPr>
              <w:t>, en inglés)</w:t>
            </w:r>
            <w:r w:rsidRPr="00931D46">
              <w:rPr>
                <w:rFonts w:ascii="Arial" w:hAnsi="Arial" w:cs="Arial"/>
              </w:rPr>
              <w:t xml:space="preserve"> en 2013.</w:t>
            </w:r>
          </w:p>
        </w:tc>
      </w:tr>
      <w:tr w:rsidR="00BE0D80" w:rsidRPr="00931D46" w14:paraId="212DFAB4" w14:textId="77777777" w:rsidTr="00C21851">
        <w:trPr>
          <w:trHeight w:val="301"/>
        </w:trPr>
        <w:tc>
          <w:tcPr>
            <w:tcW w:w="2410" w:type="dxa"/>
            <w:vAlign w:val="center"/>
          </w:tcPr>
          <w:p w14:paraId="55D40AAD" w14:textId="77777777" w:rsidR="00BE0D80" w:rsidRPr="00931D46" w:rsidRDefault="00BE0D80" w:rsidP="00C21851">
            <w:pPr>
              <w:pStyle w:val="TablaTexto"/>
              <w:spacing w:line="276" w:lineRule="auto"/>
              <w:rPr>
                <w:rFonts w:ascii="Arial" w:hAnsi="Arial" w:cs="Arial"/>
              </w:rPr>
            </w:pPr>
            <w:r w:rsidRPr="00931D46">
              <w:rPr>
                <w:rFonts w:ascii="Arial" w:hAnsi="Arial" w:cs="Arial"/>
              </w:rPr>
              <w:t>CPEUM</w:t>
            </w:r>
          </w:p>
        </w:tc>
        <w:tc>
          <w:tcPr>
            <w:tcW w:w="7088" w:type="dxa"/>
            <w:vAlign w:val="center"/>
          </w:tcPr>
          <w:p w14:paraId="42AA7A98" w14:textId="77777777" w:rsidR="00BE0D80" w:rsidRPr="00931D46" w:rsidRDefault="00BE0D80" w:rsidP="00C21851">
            <w:pPr>
              <w:pStyle w:val="TablaTexto"/>
              <w:spacing w:line="276" w:lineRule="auto"/>
              <w:rPr>
                <w:rFonts w:ascii="Arial" w:hAnsi="Arial" w:cs="Arial"/>
              </w:rPr>
            </w:pPr>
            <w:r w:rsidRPr="00931D46">
              <w:rPr>
                <w:rFonts w:ascii="Arial" w:hAnsi="Arial" w:cs="Arial"/>
              </w:rPr>
              <w:t>Constitución Política de los Estados Unidos Mexicanos.</w:t>
            </w:r>
          </w:p>
        </w:tc>
      </w:tr>
      <w:tr w:rsidR="00BE0D80" w:rsidRPr="00931D46" w14:paraId="3BBBA7A7" w14:textId="77777777" w:rsidTr="00C21851">
        <w:trPr>
          <w:trHeight w:val="301"/>
        </w:trPr>
        <w:tc>
          <w:tcPr>
            <w:tcW w:w="2410" w:type="dxa"/>
            <w:vAlign w:val="center"/>
          </w:tcPr>
          <w:p w14:paraId="7BF78AED" w14:textId="77777777" w:rsidR="00BE0D80" w:rsidRPr="00931D46" w:rsidRDefault="00BE0D80" w:rsidP="00C21851">
            <w:pPr>
              <w:pStyle w:val="TablaTexto"/>
              <w:spacing w:line="276" w:lineRule="auto"/>
              <w:rPr>
                <w:rFonts w:ascii="Arial" w:hAnsi="Arial" w:cs="Arial"/>
              </w:rPr>
            </w:pPr>
            <w:r w:rsidRPr="00931D46">
              <w:rPr>
                <w:rFonts w:ascii="Arial" w:hAnsi="Arial" w:cs="Arial"/>
              </w:rPr>
              <w:t>Criterio Técnico</w:t>
            </w:r>
          </w:p>
        </w:tc>
        <w:tc>
          <w:tcPr>
            <w:tcW w:w="7088" w:type="dxa"/>
            <w:vAlign w:val="center"/>
          </w:tcPr>
          <w:p w14:paraId="6299A77F" w14:textId="77777777" w:rsidR="00BE0D80" w:rsidRPr="00931D46" w:rsidRDefault="00BE0D80" w:rsidP="00C21851">
            <w:pPr>
              <w:pStyle w:val="TablaTexto"/>
              <w:spacing w:line="276" w:lineRule="auto"/>
              <w:rPr>
                <w:rFonts w:ascii="Arial" w:hAnsi="Arial" w:cs="Arial"/>
              </w:rPr>
            </w:pPr>
            <w:r w:rsidRPr="00931D46">
              <w:rPr>
                <w:rFonts w:ascii="Arial" w:hAnsi="Arial" w:cs="Arial"/>
                <w:i/>
              </w:rPr>
              <w:t>Criterio técnico para el cálculo y aplicación de un índice cuantitativo a fin de determinar el grado de concentración en los mercados y servicios correspondientes a los sectores de telecomunicaciones y radiodifusión</w:t>
            </w:r>
            <w:r w:rsidRPr="00931D46">
              <w:rPr>
                <w:rFonts w:ascii="Arial" w:hAnsi="Arial" w:cs="Arial"/>
              </w:rPr>
              <w:t>.</w:t>
            </w:r>
            <w:r w:rsidRPr="00931D46">
              <w:rPr>
                <w:rStyle w:val="Refdenotaalpie"/>
                <w:rFonts w:ascii="Arial" w:hAnsi="Arial" w:cs="Arial"/>
              </w:rPr>
              <w:t xml:space="preserve"> </w:t>
            </w:r>
            <w:r w:rsidRPr="00931D46">
              <w:rPr>
                <w:rStyle w:val="Refdenotaalpie"/>
                <w:rFonts w:ascii="Arial" w:hAnsi="Arial" w:cs="Arial"/>
              </w:rPr>
              <w:footnoteReference w:id="3"/>
            </w:r>
          </w:p>
        </w:tc>
      </w:tr>
      <w:tr w:rsidR="00BE0D80" w:rsidRPr="00931D46" w14:paraId="0727D4AC" w14:textId="77777777" w:rsidTr="00C21851">
        <w:trPr>
          <w:trHeight w:val="301"/>
        </w:trPr>
        <w:tc>
          <w:tcPr>
            <w:tcW w:w="2410" w:type="dxa"/>
            <w:vAlign w:val="center"/>
          </w:tcPr>
          <w:p w14:paraId="291B7674" w14:textId="77777777" w:rsidR="00BE0D80" w:rsidRPr="00931D46" w:rsidRDefault="00BE0D80" w:rsidP="00C21851">
            <w:pPr>
              <w:pStyle w:val="TablaTexto"/>
              <w:spacing w:line="276" w:lineRule="auto"/>
              <w:rPr>
                <w:rFonts w:ascii="Arial" w:hAnsi="Arial" w:cs="Arial"/>
              </w:rPr>
            </w:pPr>
            <w:r w:rsidRPr="00931D46">
              <w:rPr>
                <w:rFonts w:ascii="Arial" w:hAnsi="Arial" w:cs="Arial"/>
              </w:rPr>
              <w:t>CRTC</w:t>
            </w:r>
          </w:p>
        </w:tc>
        <w:tc>
          <w:tcPr>
            <w:tcW w:w="7088" w:type="dxa"/>
            <w:vAlign w:val="center"/>
          </w:tcPr>
          <w:p w14:paraId="1D9C103E" w14:textId="77777777" w:rsidR="00BE0D80" w:rsidRPr="00931D46" w:rsidRDefault="00BE0D80" w:rsidP="00C21851">
            <w:pPr>
              <w:pStyle w:val="TablaTexto"/>
              <w:spacing w:line="276" w:lineRule="auto"/>
              <w:rPr>
                <w:rFonts w:ascii="Arial" w:hAnsi="Arial" w:cs="Arial"/>
              </w:rPr>
            </w:pPr>
            <w:r w:rsidRPr="00931D46">
              <w:rPr>
                <w:rFonts w:ascii="Arial" w:hAnsi="Arial" w:cs="Arial"/>
              </w:rPr>
              <w:t xml:space="preserve">Comisión </w:t>
            </w:r>
            <w:r>
              <w:rPr>
                <w:rFonts w:ascii="Arial" w:hAnsi="Arial" w:cs="Arial"/>
              </w:rPr>
              <w:t xml:space="preserve">Canadiense </w:t>
            </w:r>
            <w:r w:rsidRPr="00931D46">
              <w:rPr>
                <w:rFonts w:ascii="Arial" w:hAnsi="Arial" w:cs="Arial"/>
              </w:rPr>
              <w:t>de Radio y Telecomunicaciones</w:t>
            </w:r>
            <w:r>
              <w:rPr>
                <w:rFonts w:ascii="Arial" w:hAnsi="Arial" w:cs="Arial"/>
              </w:rPr>
              <w:t xml:space="preserve"> </w:t>
            </w:r>
            <w:r w:rsidRPr="00931D46">
              <w:rPr>
                <w:rFonts w:ascii="Arial" w:hAnsi="Arial" w:cs="Arial"/>
              </w:rPr>
              <w:t>(</w:t>
            </w:r>
            <w:r w:rsidRPr="00931D46">
              <w:rPr>
                <w:rFonts w:ascii="Arial" w:hAnsi="Arial" w:cs="Arial"/>
                <w:i/>
              </w:rPr>
              <w:t>Canadian Radio-television and Telecommunications Commission</w:t>
            </w:r>
            <w:r w:rsidRPr="00931D46">
              <w:rPr>
                <w:rFonts w:ascii="Arial" w:hAnsi="Arial" w:cs="Arial"/>
              </w:rPr>
              <w:t>, en inglés).</w:t>
            </w:r>
          </w:p>
        </w:tc>
      </w:tr>
      <w:tr w:rsidR="00BE0D80" w:rsidRPr="00931D46" w14:paraId="026C23A7" w14:textId="77777777" w:rsidTr="00C21851">
        <w:trPr>
          <w:trHeight w:val="301"/>
        </w:trPr>
        <w:tc>
          <w:tcPr>
            <w:tcW w:w="2410" w:type="dxa"/>
            <w:vAlign w:val="center"/>
          </w:tcPr>
          <w:p w14:paraId="1E167C2A" w14:textId="77777777" w:rsidR="00BE0D80" w:rsidRPr="00931D46" w:rsidRDefault="00BE0D80" w:rsidP="00C21851">
            <w:pPr>
              <w:pStyle w:val="TablaTexto"/>
              <w:spacing w:line="276" w:lineRule="auto"/>
              <w:rPr>
                <w:rFonts w:ascii="Arial" w:hAnsi="Arial" w:cs="Arial"/>
              </w:rPr>
            </w:pPr>
            <w:r w:rsidRPr="00931D46">
              <w:rPr>
                <w:rFonts w:ascii="Arial" w:hAnsi="Arial" w:cs="Arial"/>
              </w:rPr>
              <w:t>DOJ</w:t>
            </w:r>
          </w:p>
        </w:tc>
        <w:tc>
          <w:tcPr>
            <w:tcW w:w="7088" w:type="dxa"/>
            <w:vAlign w:val="center"/>
          </w:tcPr>
          <w:p w14:paraId="5FA61B24" w14:textId="77777777" w:rsidR="00BE0D80" w:rsidRPr="00931D46" w:rsidRDefault="00BE0D80" w:rsidP="00C21851">
            <w:pPr>
              <w:pStyle w:val="TablaTexto"/>
              <w:spacing w:line="276" w:lineRule="auto"/>
              <w:rPr>
                <w:rFonts w:ascii="Arial" w:hAnsi="Arial" w:cs="Arial"/>
              </w:rPr>
            </w:pPr>
            <w:r w:rsidRPr="00931D46">
              <w:rPr>
                <w:rFonts w:ascii="Arial" w:hAnsi="Arial" w:cs="Arial"/>
              </w:rPr>
              <w:t>Departamento de Justicia de Estados Unidos de América (</w:t>
            </w:r>
            <w:r w:rsidRPr="00931D46">
              <w:rPr>
                <w:rFonts w:ascii="Arial" w:hAnsi="Arial" w:cs="Arial"/>
                <w:i/>
              </w:rPr>
              <w:t xml:space="preserve">Department of Justice, </w:t>
            </w:r>
            <w:r w:rsidRPr="00931D46">
              <w:rPr>
                <w:rFonts w:ascii="Arial" w:hAnsi="Arial" w:cs="Arial"/>
              </w:rPr>
              <w:t>en inglés).</w:t>
            </w:r>
          </w:p>
        </w:tc>
      </w:tr>
      <w:tr w:rsidR="00BE0D80" w:rsidRPr="00931D46" w14:paraId="064D0AFD" w14:textId="77777777" w:rsidTr="00C21851">
        <w:trPr>
          <w:trHeight w:val="301"/>
        </w:trPr>
        <w:tc>
          <w:tcPr>
            <w:tcW w:w="2410" w:type="dxa"/>
            <w:vAlign w:val="center"/>
          </w:tcPr>
          <w:p w14:paraId="09A05C8B" w14:textId="77777777" w:rsidR="00BE0D80" w:rsidRPr="00931D46" w:rsidRDefault="00BE0D80" w:rsidP="00C21851">
            <w:pPr>
              <w:pStyle w:val="TablaTexto"/>
              <w:spacing w:line="276" w:lineRule="auto"/>
              <w:rPr>
                <w:rFonts w:ascii="Arial" w:hAnsi="Arial" w:cs="Arial"/>
              </w:rPr>
            </w:pPr>
            <w:r w:rsidRPr="00931D46">
              <w:rPr>
                <w:rFonts w:ascii="Arial" w:hAnsi="Arial" w:cs="Arial"/>
              </w:rPr>
              <w:t>DRLFCE</w:t>
            </w:r>
          </w:p>
        </w:tc>
        <w:tc>
          <w:tcPr>
            <w:tcW w:w="7088" w:type="dxa"/>
            <w:vAlign w:val="center"/>
          </w:tcPr>
          <w:p w14:paraId="680AEDAE" w14:textId="77777777" w:rsidR="00BE0D80" w:rsidRPr="00931D46" w:rsidRDefault="00BE0D80" w:rsidP="00C21851">
            <w:pPr>
              <w:pStyle w:val="TablaTexto"/>
              <w:spacing w:line="276" w:lineRule="auto"/>
              <w:rPr>
                <w:rFonts w:ascii="Arial" w:hAnsi="Arial" w:cs="Arial"/>
              </w:rPr>
            </w:pPr>
            <w:r w:rsidRPr="00931D46">
              <w:rPr>
                <w:rFonts w:ascii="Arial" w:hAnsi="Arial" w:cs="Arial"/>
              </w:rPr>
              <w:t>Disposiciones Regulatorias de la Ley Federal de Competencia Económica para los sectores de telecomunicaciones y radiodifusión.</w:t>
            </w:r>
          </w:p>
        </w:tc>
      </w:tr>
      <w:tr w:rsidR="00BE0D80" w:rsidRPr="00931D46" w14:paraId="1B083D81" w14:textId="77777777" w:rsidTr="00C21851">
        <w:trPr>
          <w:trHeight w:val="301"/>
        </w:trPr>
        <w:tc>
          <w:tcPr>
            <w:tcW w:w="2410" w:type="dxa"/>
            <w:vAlign w:val="center"/>
          </w:tcPr>
          <w:p w14:paraId="54AB4DD9" w14:textId="77777777" w:rsidR="00BE0D80" w:rsidRPr="00931D46" w:rsidRDefault="00BE0D80" w:rsidP="00C21851">
            <w:pPr>
              <w:pStyle w:val="TablaTexto"/>
              <w:spacing w:line="276" w:lineRule="auto"/>
              <w:rPr>
                <w:rFonts w:ascii="Arial" w:hAnsi="Arial" w:cs="Arial"/>
              </w:rPr>
            </w:pPr>
            <w:r w:rsidRPr="00931D46">
              <w:rPr>
                <w:rFonts w:ascii="Arial" w:hAnsi="Arial" w:cs="Arial"/>
              </w:rPr>
              <w:lastRenderedPageBreak/>
              <w:t>FCC</w:t>
            </w:r>
          </w:p>
        </w:tc>
        <w:tc>
          <w:tcPr>
            <w:tcW w:w="7088" w:type="dxa"/>
            <w:vAlign w:val="center"/>
          </w:tcPr>
          <w:p w14:paraId="4AD651AD" w14:textId="77777777" w:rsidR="00BE0D80" w:rsidRPr="00931D46" w:rsidRDefault="00BE0D80" w:rsidP="00C21851">
            <w:pPr>
              <w:pStyle w:val="TablaTexto"/>
              <w:spacing w:line="276" w:lineRule="auto"/>
              <w:rPr>
                <w:rFonts w:ascii="Arial" w:hAnsi="Arial" w:cs="Arial"/>
              </w:rPr>
            </w:pPr>
            <w:r w:rsidRPr="00931D46">
              <w:rPr>
                <w:rFonts w:ascii="Arial" w:hAnsi="Arial" w:cs="Arial"/>
              </w:rPr>
              <w:t>Comisión Federal de Comunicaciones de Estados Unidos de América (</w:t>
            </w:r>
            <w:r w:rsidRPr="00931D46">
              <w:rPr>
                <w:rFonts w:ascii="Arial" w:hAnsi="Arial" w:cs="Arial"/>
                <w:i/>
              </w:rPr>
              <w:t>Federal Communications Commission</w:t>
            </w:r>
            <w:r w:rsidRPr="00931D46">
              <w:rPr>
                <w:rFonts w:ascii="Arial" w:hAnsi="Arial" w:cs="Arial"/>
              </w:rPr>
              <w:t>, en inglés).</w:t>
            </w:r>
          </w:p>
        </w:tc>
      </w:tr>
      <w:tr w:rsidR="00BE0D80" w:rsidRPr="00931D46" w14:paraId="4FD4C899" w14:textId="77777777" w:rsidTr="00C21851">
        <w:trPr>
          <w:trHeight w:val="301"/>
        </w:trPr>
        <w:tc>
          <w:tcPr>
            <w:tcW w:w="2410" w:type="dxa"/>
            <w:vAlign w:val="center"/>
          </w:tcPr>
          <w:p w14:paraId="262C47AB" w14:textId="77777777" w:rsidR="00BE0D80" w:rsidRPr="00931D46" w:rsidRDefault="00BE0D80" w:rsidP="00C21851">
            <w:pPr>
              <w:pStyle w:val="TablaTexto"/>
              <w:spacing w:line="276" w:lineRule="auto"/>
              <w:rPr>
                <w:rFonts w:ascii="Arial" w:hAnsi="Arial" w:cs="Arial"/>
              </w:rPr>
            </w:pPr>
            <w:r w:rsidRPr="00931D46">
              <w:rPr>
                <w:rFonts w:ascii="Arial" w:hAnsi="Arial" w:cs="Arial"/>
              </w:rPr>
              <w:t>FTC</w:t>
            </w:r>
          </w:p>
        </w:tc>
        <w:tc>
          <w:tcPr>
            <w:tcW w:w="7088" w:type="dxa"/>
            <w:vAlign w:val="center"/>
          </w:tcPr>
          <w:p w14:paraId="0BC641BE" w14:textId="77777777" w:rsidR="00BE0D80" w:rsidRPr="00931D46" w:rsidRDefault="00BE0D80" w:rsidP="00C21851">
            <w:pPr>
              <w:pStyle w:val="TablaTexto"/>
              <w:spacing w:line="276" w:lineRule="auto"/>
              <w:rPr>
                <w:rFonts w:ascii="Arial" w:hAnsi="Arial" w:cs="Arial"/>
              </w:rPr>
            </w:pPr>
            <w:r w:rsidRPr="00931D46">
              <w:rPr>
                <w:rFonts w:ascii="Arial" w:hAnsi="Arial" w:cs="Arial"/>
              </w:rPr>
              <w:t>Comisión Federal de Comercio de Estados Unidos de América (</w:t>
            </w:r>
            <w:r w:rsidRPr="00931D46">
              <w:rPr>
                <w:rFonts w:ascii="Arial" w:hAnsi="Arial" w:cs="Arial"/>
                <w:i/>
              </w:rPr>
              <w:t>Federal Trade Commission</w:t>
            </w:r>
            <w:r w:rsidRPr="00931D46">
              <w:rPr>
                <w:rFonts w:ascii="Arial" w:hAnsi="Arial" w:cs="Arial"/>
              </w:rPr>
              <w:t>, en inglés).</w:t>
            </w:r>
          </w:p>
        </w:tc>
      </w:tr>
      <w:tr w:rsidR="00BE0D80" w:rsidRPr="00931D46" w14:paraId="0FAD68AC" w14:textId="77777777" w:rsidTr="00C21851">
        <w:trPr>
          <w:trHeight w:val="301"/>
        </w:trPr>
        <w:tc>
          <w:tcPr>
            <w:tcW w:w="2410" w:type="dxa"/>
            <w:vAlign w:val="center"/>
          </w:tcPr>
          <w:p w14:paraId="312086BA" w14:textId="77777777" w:rsidR="00BE0D80" w:rsidRPr="00931D46" w:rsidRDefault="00BE0D80" w:rsidP="00C21851">
            <w:pPr>
              <w:pStyle w:val="TablaTexto"/>
              <w:spacing w:line="276" w:lineRule="auto"/>
              <w:rPr>
                <w:rFonts w:ascii="Arial" w:hAnsi="Arial" w:cs="Arial"/>
              </w:rPr>
            </w:pPr>
            <w:r w:rsidRPr="00931D46">
              <w:rPr>
                <w:rFonts w:ascii="Arial" w:hAnsi="Arial" w:cs="Arial"/>
              </w:rPr>
              <w:t>Guía de Concentraciones</w:t>
            </w:r>
          </w:p>
        </w:tc>
        <w:tc>
          <w:tcPr>
            <w:tcW w:w="7088" w:type="dxa"/>
            <w:vAlign w:val="center"/>
          </w:tcPr>
          <w:p w14:paraId="47DD4BB0" w14:textId="77777777" w:rsidR="00BE0D80" w:rsidRPr="00931D46" w:rsidRDefault="00BE0D80" w:rsidP="00C21851">
            <w:pPr>
              <w:pStyle w:val="TablaTexto"/>
              <w:spacing w:line="276" w:lineRule="auto"/>
              <w:rPr>
                <w:rFonts w:ascii="Arial" w:hAnsi="Arial" w:cs="Arial"/>
              </w:rPr>
            </w:pPr>
            <w:r w:rsidRPr="00931D46">
              <w:rPr>
                <w:rFonts w:ascii="Arial" w:hAnsi="Arial" w:cs="Arial"/>
              </w:rPr>
              <w:t>Guía para el control de concentraciones en los sectores de Telecomunicaciones y Radiodifusión, publicada por el Instituto en 2017.</w:t>
            </w:r>
            <w:r w:rsidRPr="00931D46">
              <w:rPr>
                <w:rStyle w:val="Refdenotaalpie"/>
                <w:rFonts w:ascii="Arial" w:hAnsi="Arial" w:cs="Arial"/>
              </w:rPr>
              <w:footnoteReference w:id="4"/>
            </w:r>
          </w:p>
        </w:tc>
      </w:tr>
      <w:tr w:rsidR="00BE0D80" w:rsidRPr="00931D46" w14:paraId="45D9B3E4" w14:textId="77777777" w:rsidTr="00C21851">
        <w:trPr>
          <w:trHeight w:val="301"/>
        </w:trPr>
        <w:tc>
          <w:tcPr>
            <w:tcW w:w="2410" w:type="dxa"/>
            <w:vAlign w:val="center"/>
          </w:tcPr>
          <w:p w14:paraId="0A9537C6" w14:textId="77777777" w:rsidR="00BE0D80" w:rsidRPr="00931D46" w:rsidRDefault="00BE0D80" w:rsidP="00C21851">
            <w:pPr>
              <w:pStyle w:val="TablaTexto"/>
              <w:spacing w:line="276" w:lineRule="auto"/>
              <w:rPr>
                <w:rFonts w:ascii="Arial" w:hAnsi="Arial" w:cs="Arial"/>
              </w:rPr>
            </w:pPr>
            <w:r w:rsidRPr="00931D46">
              <w:rPr>
                <w:rFonts w:ascii="Arial" w:hAnsi="Arial" w:cs="Arial"/>
              </w:rPr>
              <w:t>ICN</w:t>
            </w:r>
          </w:p>
        </w:tc>
        <w:tc>
          <w:tcPr>
            <w:tcW w:w="7088" w:type="dxa"/>
            <w:vAlign w:val="center"/>
          </w:tcPr>
          <w:p w14:paraId="19895DA1" w14:textId="77777777" w:rsidR="00BE0D80" w:rsidRPr="00931D46" w:rsidRDefault="00BE0D80" w:rsidP="00C21851">
            <w:pPr>
              <w:pStyle w:val="TablaTexto"/>
              <w:spacing w:line="276" w:lineRule="auto"/>
              <w:rPr>
                <w:rFonts w:ascii="Arial" w:hAnsi="Arial" w:cs="Arial"/>
              </w:rPr>
            </w:pPr>
            <w:r w:rsidRPr="00931D46">
              <w:rPr>
                <w:rFonts w:ascii="Arial" w:hAnsi="Arial" w:cs="Arial"/>
              </w:rPr>
              <w:t>Red Internacional de Competencia (</w:t>
            </w:r>
            <w:r w:rsidRPr="00931D46">
              <w:rPr>
                <w:rFonts w:ascii="Arial" w:hAnsi="Arial" w:cs="Arial"/>
                <w:i/>
              </w:rPr>
              <w:t>International Competition Network</w:t>
            </w:r>
            <w:r w:rsidRPr="00931D46">
              <w:rPr>
                <w:rFonts w:ascii="Arial" w:hAnsi="Arial" w:cs="Arial"/>
              </w:rPr>
              <w:t>, en inglés).</w:t>
            </w:r>
          </w:p>
        </w:tc>
      </w:tr>
      <w:tr w:rsidR="00BE0D80" w:rsidRPr="00931D46" w14:paraId="1ADB2279" w14:textId="77777777" w:rsidTr="00C21851">
        <w:trPr>
          <w:trHeight w:val="301"/>
        </w:trPr>
        <w:tc>
          <w:tcPr>
            <w:tcW w:w="2410" w:type="dxa"/>
            <w:vAlign w:val="center"/>
          </w:tcPr>
          <w:p w14:paraId="4BD719D4" w14:textId="77777777" w:rsidR="00BE0D80" w:rsidRPr="00931D46" w:rsidRDefault="00BE0D80" w:rsidP="00C21851">
            <w:pPr>
              <w:pStyle w:val="TablaTexto"/>
              <w:spacing w:line="276" w:lineRule="auto"/>
              <w:rPr>
                <w:rFonts w:ascii="Arial" w:hAnsi="Arial" w:cs="Arial"/>
              </w:rPr>
            </w:pPr>
            <w:r w:rsidRPr="00931D46">
              <w:rPr>
                <w:rFonts w:ascii="Arial" w:hAnsi="Arial" w:cs="Arial"/>
              </w:rPr>
              <w:t>Instituto / IFT</w:t>
            </w:r>
          </w:p>
        </w:tc>
        <w:tc>
          <w:tcPr>
            <w:tcW w:w="7088" w:type="dxa"/>
            <w:vAlign w:val="center"/>
          </w:tcPr>
          <w:p w14:paraId="1606B85A" w14:textId="77777777" w:rsidR="00BE0D80" w:rsidRPr="00931D46" w:rsidRDefault="00BE0D80" w:rsidP="00C21851">
            <w:pPr>
              <w:pStyle w:val="TablaTexto"/>
              <w:spacing w:line="276" w:lineRule="auto"/>
              <w:rPr>
                <w:rFonts w:ascii="Arial" w:hAnsi="Arial" w:cs="Arial"/>
              </w:rPr>
            </w:pPr>
            <w:r w:rsidRPr="00931D46">
              <w:rPr>
                <w:rFonts w:ascii="Arial" w:hAnsi="Arial" w:cs="Arial"/>
              </w:rPr>
              <w:t>Instituto Federal de Telecomunicaciones.</w:t>
            </w:r>
          </w:p>
        </w:tc>
      </w:tr>
      <w:tr w:rsidR="00BE0D80" w:rsidRPr="00931D46" w14:paraId="4CBCBBA1" w14:textId="77777777" w:rsidTr="00C21851">
        <w:trPr>
          <w:trHeight w:val="301"/>
        </w:trPr>
        <w:tc>
          <w:tcPr>
            <w:tcW w:w="2410" w:type="dxa"/>
            <w:vAlign w:val="center"/>
          </w:tcPr>
          <w:p w14:paraId="63C64443" w14:textId="77777777" w:rsidR="00BE0D80" w:rsidRPr="00931D46" w:rsidRDefault="00BE0D80" w:rsidP="00C21851">
            <w:pPr>
              <w:spacing w:after="0"/>
              <w:rPr>
                <w:rFonts w:ascii="Arial" w:hAnsi="Arial" w:cs="Arial"/>
                <w:lang w:val="en-US"/>
              </w:rPr>
            </w:pPr>
            <w:r w:rsidRPr="00931D46">
              <w:rPr>
                <w:rFonts w:ascii="Arial" w:hAnsi="Arial" w:cs="Arial"/>
                <w:lang w:val="en-US"/>
              </w:rPr>
              <w:t>LFCE</w:t>
            </w:r>
          </w:p>
        </w:tc>
        <w:tc>
          <w:tcPr>
            <w:tcW w:w="7088" w:type="dxa"/>
            <w:vAlign w:val="center"/>
          </w:tcPr>
          <w:p w14:paraId="4835A30B" w14:textId="77777777" w:rsidR="00BE0D80" w:rsidRPr="00931D46" w:rsidRDefault="00BE0D80" w:rsidP="00C21851">
            <w:pPr>
              <w:spacing w:after="0"/>
              <w:jc w:val="both"/>
              <w:rPr>
                <w:rFonts w:ascii="Arial" w:hAnsi="Arial" w:cs="Arial"/>
              </w:rPr>
            </w:pPr>
            <w:r w:rsidRPr="00931D46">
              <w:rPr>
                <w:rFonts w:ascii="Arial" w:hAnsi="Arial" w:cs="Arial"/>
              </w:rPr>
              <w:t>Ley Federal de Competencia Económica.</w:t>
            </w:r>
          </w:p>
        </w:tc>
      </w:tr>
      <w:tr w:rsidR="00BE0D80" w:rsidRPr="00931D46" w14:paraId="522A0AD5" w14:textId="77777777" w:rsidTr="00C21851">
        <w:trPr>
          <w:trHeight w:val="301"/>
        </w:trPr>
        <w:tc>
          <w:tcPr>
            <w:tcW w:w="2410" w:type="dxa"/>
            <w:vAlign w:val="center"/>
          </w:tcPr>
          <w:p w14:paraId="7F76F922" w14:textId="77777777" w:rsidR="00BE0D80" w:rsidRPr="00931D46" w:rsidRDefault="00BE0D80" w:rsidP="00C21851">
            <w:pPr>
              <w:spacing w:after="0"/>
              <w:rPr>
                <w:rFonts w:ascii="Arial" w:hAnsi="Arial" w:cs="Arial"/>
                <w:lang w:val="en-US"/>
              </w:rPr>
            </w:pPr>
            <w:r w:rsidRPr="00931D46">
              <w:rPr>
                <w:rFonts w:ascii="Arial" w:hAnsi="Arial" w:cs="Arial"/>
                <w:lang w:val="en-US"/>
              </w:rPr>
              <w:t>LFTR</w:t>
            </w:r>
          </w:p>
        </w:tc>
        <w:tc>
          <w:tcPr>
            <w:tcW w:w="7088" w:type="dxa"/>
            <w:vAlign w:val="center"/>
          </w:tcPr>
          <w:p w14:paraId="124091E7" w14:textId="77777777" w:rsidR="00BE0D80" w:rsidRPr="00931D46" w:rsidRDefault="00BE0D80" w:rsidP="00C21851">
            <w:pPr>
              <w:spacing w:after="0"/>
              <w:jc w:val="both"/>
              <w:rPr>
                <w:rFonts w:ascii="Arial" w:hAnsi="Arial" w:cs="Arial"/>
              </w:rPr>
            </w:pPr>
            <w:r w:rsidRPr="00931D46">
              <w:rPr>
                <w:rFonts w:ascii="Arial" w:hAnsi="Arial" w:cs="Arial"/>
              </w:rPr>
              <w:t>Ley Federal de Telecomunicaciones y Radiodifusión.</w:t>
            </w:r>
          </w:p>
        </w:tc>
      </w:tr>
      <w:tr w:rsidR="00BE0D80" w:rsidRPr="00931D46" w14:paraId="4C791D3B" w14:textId="77777777" w:rsidTr="00C21851">
        <w:trPr>
          <w:trHeight w:val="301"/>
        </w:trPr>
        <w:tc>
          <w:tcPr>
            <w:tcW w:w="2410" w:type="dxa"/>
            <w:vAlign w:val="center"/>
          </w:tcPr>
          <w:p w14:paraId="31EE64E5" w14:textId="77777777" w:rsidR="00BE0D80" w:rsidRPr="00931D46" w:rsidRDefault="00BE0D80" w:rsidP="00C21851">
            <w:pPr>
              <w:pStyle w:val="TablaTexto"/>
              <w:spacing w:line="276" w:lineRule="auto"/>
              <w:rPr>
                <w:rFonts w:ascii="Arial" w:hAnsi="Arial" w:cs="Arial"/>
              </w:rPr>
            </w:pPr>
            <w:r w:rsidRPr="00931D46">
              <w:rPr>
                <w:rFonts w:ascii="Arial" w:hAnsi="Arial" w:cs="Arial"/>
              </w:rPr>
              <w:t>MR</w:t>
            </w:r>
          </w:p>
        </w:tc>
        <w:tc>
          <w:tcPr>
            <w:tcW w:w="7088" w:type="dxa"/>
            <w:vAlign w:val="center"/>
          </w:tcPr>
          <w:p w14:paraId="21A18507" w14:textId="77777777" w:rsidR="00BE0D80" w:rsidRPr="00931D46" w:rsidRDefault="00BE0D80" w:rsidP="00C21851">
            <w:pPr>
              <w:pStyle w:val="TablaTexto"/>
              <w:spacing w:line="276" w:lineRule="auto"/>
              <w:rPr>
                <w:rFonts w:ascii="Arial" w:hAnsi="Arial" w:cs="Arial"/>
              </w:rPr>
            </w:pPr>
            <w:r w:rsidRPr="00931D46">
              <w:rPr>
                <w:rFonts w:ascii="Arial" w:hAnsi="Arial" w:cs="Arial"/>
              </w:rPr>
              <w:t>Mercado Relevante.</w:t>
            </w:r>
          </w:p>
        </w:tc>
      </w:tr>
      <w:tr w:rsidR="00BE0D80" w:rsidRPr="00931D46" w14:paraId="468C89C0" w14:textId="77777777" w:rsidTr="00C21851">
        <w:trPr>
          <w:trHeight w:val="301"/>
        </w:trPr>
        <w:tc>
          <w:tcPr>
            <w:tcW w:w="2410" w:type="dxa"/>
            <w:vAlign w:val="center"/>
          </w:tcPr>
          <w:p w14:paraId="5D634968" w14:textId="77777777" w:rsidR="00BE0D80" w:rsidRPr="00931D46" w:rsidRDefault="00BE0D80" w:rsidP="00C21851">
            <w:pPr>
              <w:pStyle w:val="TablaTexto"/>
              <w:spacing w:line="276" w:lineRule="auto"/>
              <w:rPr>
                <w:rFonts w:ascii="Arial" w:hAnsi="Arial" w:cs="Arial"/>
              </w:rPr>
            </w:pPr>
            <w:r w:rsidRPr="00931D46">
              <w:rPr>
                <w:rFonts w:ascii="Arial" w:hAnsi="Arial" w:cs="Arial"/>
              </w:rPr>
              <w:t>OCDE</w:t>
            </w:r>
          </w:p>
        </w:tc>
        <w:tc>
          <w:tcPr>
            <w:tcW w:w="7088" w:type="dxa"/>
            <w:vAlign w:val="center"/>
          </w:tcPr>
          <w:p w14:paraId="450406FA" w14:textId="77777777" w:rsidR="00BE0D80" w:rsidRPr="00931D46" w:rsidRDefault="00BE0D80" w:rsidP="00C21851">
            <w:pPr>
              <w:pStyle w:val="TablaTexto"/>
              <w:spacing w:line="276" w:lineRule="auto"/>
              <w:rPr>
                <w:rFonts w:ascii="Arial" w:hAnsi="Arial" w:cs="Arial"/>
              </w:rPr>
            </w:pPr>
            <w:r w:rsidRPr="00931D46">
              <w:rPr>
                <w:rFonts w:ascii="Arial" w:hAnsi="Arial" w:cs="Arial"/>
              </w:rPr>
              <w:t>Organización para la Cooperación y el Desarrollo Económicos.</w:t>
            </w:r>
          </w:p>
        </w:tc>
      </w:tr>
      <w:tr w:rsidR="00BE0D80" w:rsidRPr="00931D46" w14:paraId="33491AE9" w14:textId="77777777" w:rsidTr="00C21851">
        <w:trPr>
          <w:trHeight w:val="301"/>
        </w:trPr>
        <w:tc>
          <w:tcPr>
            <w:tcW w:w="2410" w:type="dxa"/>
            <w:vAlign w:val="center"/>
          </w:tcPr>
          <w:p w14:paraId="188D57EE" w14:textId="77777777" w:rsidR="00BE0D80" w:rsidRPr="00931D46" w:rsidRDefault="00BE0D80" w:rsidP="00C21851">
            <w:pPr>
              <w:pStyle w:val="TablaTexto"/>
              <w:spacing w:line="276" w:lineRule="auto"/>
              <w:rPr>
                <w:rFonts w:ascii="Arial" w:hAnsi="Arial" w:cs="Arial"/>
              </w:rPr>
            </w:pPr>
            <w:r w:rsidRPr="00931D46">
              <w:rPr>
                <w:rFonts w:ascii="Arial" w:hAnsi="Arial" w:cs="Arial"/>
              </w:rPr>
              <w:t>Ofcom</w:t>
            </w:r>
          </w:p>
        </w:tc>
        <w:tc>
          <w:tcPr>
            <w:tcW w:w="7088" w:type="dxa"/>
            <w:vAlign w:val="center"/>
          </w:tcPr>
          <w:p w14:paraId="0172FC63" w14:textId="77777777" w:rsidR="00BE0D80" w:rsidRPr="00931D46" w:rsidRDefault="00BE0D80" w:rsidP="00C21851">
            <w:pPr>
              <w:pStyle w:val="TablaTexto"/>
              <w:spacing w:line="276" w:lineRule="auto"/>
              <w:rPr>
                <w:rFonts w:ascii="Arial" w:hAnsi="Arial" w:cs="Arial"/>
              </w:rPr>
            </w:pPr>
            <w:r>
              <w:rPr>
                <w:rFonts w:ascii="Arial" w:hAnsi="Arial" w:cs="Arial"/>
              </w:rPr>
              <w:t xml:space="preserve">Oficina de Comunicaciones </w:t>
            </w:r>
            <w:r w:rsidRPr="00931D46">
              <w:rPr>
                <w:rFonts w:ascii="Arial" w:hAnsi="Arial" w:cs="Arial"/>
              </w:rPr>
              <w:t>(</w:t>
            </w:r>
            <w:r w:rsidRPr="00931D46">
              <w:rPr>
                <w:rFonts w:ascii="Arial" w:hAnsi="Arial" w:cs="Arial"/>
                <w:i/>
              </w:rPr>
              <w:t>Office of Communications</w:t>
            </w:r>
            <w:r w:rsidRPr="00931D46">
              <w:rPr>
                <w:rFonts w:ascii="Arial" w:hAnsi="Arial" w:cs="Arial"/>
              </w:rPr>
              <w:t>, en inglés). Regulador de telecomunicaciones de Reino Unido</w:t>
            </w:r>
            <w:r>
              <w:rPr>
                <w:rFonts w:ascii="Arial" w:hAnsi="Arial" w:cs="Arial"/>
              </w:rPr>
              <w:t>.</w:t>
            </w:r>
            <w:r w:rsidRPr="00931D46">
              <w:rPr>
                <w:rFonts w:ascii="Arial" w:hAnsi="Arial" w:cs="Arial"/>
              </w:rPr>
              <w:t xml:space="preserve"> </w:t>
            </w:r>
          </w:p>
        </w:tc>
      </w:tr>
      <w:tr w:rsidR="00BE0D80" w:rsidRPr="00931D46" w14:paraId="59FA09C2" w14:textId="77777777" w:rsidTr="00C21851">
        <w:trPr>
          <w:trHeight w:val="301"/>
        </w:trPr>
        <w:tc>
          <w:tcPr>
            <w:tcW w:w="2410" w:type="dxa"/>
            <w:vAlign w:val="center"/>
          </w:tcPr>
          <w:p w14:paraId="169A3849" w14:textId="77777777" w:rsidR="00BE0D80" w:rsidRPr="00931D46" w:rsidRDefault="00BE0D80" w:rsidP="00C21851">
            <w:pPr>
              <w:rPr>
                <w:rFonts w:ascii="Arial" w:hAnsi="Arial" w:cs="Arial"/>
              </w:rPr>
            </w:pPr>
            <w:r w:rsidRPr="00931D46">
              <w:rPr>
                <w:rFonts w:ascii="Arial" w:hAnsi="Arial" w:cs="Arial"/>
              </w:rPr>
              <w:t>OFT</w:t>
            </w:r>
          </w:p>
        </w:tc>
        <w:tc>
          <w:tcPr>
            <w:tcW w:w="7088" w:type="dxa"/>
            <w:vAlign w:val="center"/>
          </w:tcPr>
          <w:p w14:paraId="356E0D1E" w14:textId="77777777" w:rsidR="00BE0D80" w:rsidRPr="00931D46" w:rsidRDefault="00BE0D80" w:rsidP="00C21851">
            <w:pPr>
              <w:pStyle w:val="TablaTexto"/>
              <w:spacing w:line="276" w:lineRule="auto"/>
              <w:rPr>
                <w:rFonts w:ascii="Arial" w:hAnsi="Arial" w:cs="Arial"/>
              </w:rPr>
            </w:pPr>
            <w:r w:rsidRPr="00931D46">
              <w:rPr>
                <w:rFonts w:ascii="Arial" w:hAnsi="Arial" w:cs="Arial"/>
              </w:rPr>
              <w:t>Extinta Oficina de Comercio Justo de Reino Unido (</w:t>
            </w:r>
            <w:r w:rsidRPr="00931D46">
              <w:rPr>
                <w:rFonts w:ascii="Arial" w:hAnsi="Arial" w:cs="Arial"/>
                <w:i/>
              </w:rPr>
              <w:t>Office of Fair Trading</w:t>
            </w:r>
            <w:r w:rsidRPr="00931D46">
              <w:rPr>
                <w:rFonts w:ascii="Arial" w:hAnsi="Arial" w:cs="Arial"/>
              </w:rPr>
              <w:t>, en inglés), ahora CMA.</w:t>
            </w:r>
          </w:p>
        </w:tc>
      </w:tr>
      <w:tr w:rsidR="00BE0D80" w:rsidRPr="00931D46" w14:paraId="089613A5" w14:textId="77777777" w:rsidTr="00C21851">
        <w:trPr>
          <w:trHeight w:val="301"/>
        </w:trPr>
        <w:tc>
          <w:tcPr>
            <w:tcW w:w="2410" w:type="dxa"/>
            <w:vAlign w:val="center"/>
          </w:tcPr>
          <w:p w14:paraId="68552F24" w14:textId="77777777" w:rsidR="00BE0D80" w:rsidRPr="00931D46" w:rsidRDefault="00BE0D80" w:rsidP="00C21851">
            <w:pPr>
              <w:pStyle w:val="TablaTexto"/>
              <w:spacing w:line="276" w:lineRule="auto"/>
              <w:rPr>
                <w:rFonts w:ascii="Arial" w:hAnsi="Arial" w:cs="Arial"/>
              </w:rPr>
            </w:pPr>
            <w:r w:rsidRPr="00931D46">
              <w:rPr>
                <w:rFonts w:ascii="Arial" w:hAnsi="Arial" w:cs="Arial"/>
              </w:rPr>
              <w:t>OTT</w:t>
            </w:r>
          </w:p>
        </w:tc>
        <w:tc>
          <w:tcPr>
            <w:tcW w:w="7088" w:type="dxa"/>
            <w:vAlign w:val="center"/>
          </w:tcPr>
          <w:p w14:paraId="26FE65DA" w14:textId="77777777" w:rsidR="00BE0D80" w:rsidRPr="00931D46" w:rsidRDefault="00BE0D80" w:rsidP="00C21851">
            <w:pPr>
              <w:pStyle w:val="TablaTexto"/>
              <w:spacing w:line="276" w:lineRule="auto"/>
              <w:rPr>
                <w:rFonts w:ascii="Arial" w:hAnsi="Arial" w:cs="Arial"/>
              </w:rPr>
            </w:pPr>
            <w:r w:rsidRPr="00931D46">
              <w:rPr>
                <w:rFonts w:ascii="Arial" w:hAnsi="Arial" w:cs="Arial"/>
              </w:rPr>
              <w:t>Servicios a través de internet (</w:t>
            </w:r>
            <w:r w:rsidRPr="00931D46">
              <w:rPr>
                <w:rFonts w:ascii="Arial" w:hAnsi="Arial" w:cs="Arial"/>
                <w:i/>
              </w:rPr>
              <w:t>Over The Top</w:t>
            </w:r>
            <w:r w:rsidRPr="00931D46">
              <w:rPr>
                <w:rFonts w:ascii="Arial" w:hAnsi="Arial" w:cs="Arial"/>
              </w:rPr>
              <w:t>, en inglés).</w:t>
            </w:r>
          </w:p>
        </w:tc>
      </w:tr>
      <w:tr w:rsidR="00BE0D80" w:rsidRPr="00931D46" w14:paraId="66EA84B5" w14:textId="77777777" w:rsidTr="00C21851">
        <w:trPr>
          <w:trHeight w:val="301"/>
        </w:trPr>
        <w:tc>
          <w:tcPr>
            <w:tcW w:w="2410" w:type="dxa"/>
            <w:vAlign w:val="center"/>
          </w:tcPr>
          <w:p w14:paraId="007C644E" w14:textId="77777777" w:rsidR="00BE0D80" w:rsidRPr="00931D46" w:rsidRDefault="00BE0D80" w:rsidP="00C21851">
            <w:pPr>
              <w:pStyle w:val="TablaTexto"/>
              <w:spacing w:line="276" w:lineRule="auto"/>
              <w:rPr>
                <w:rFonts w:ascii="Arial" w:hAnsi="Arial" w:cs="Arial"/>
              </w:rPr>
            </w:pPr>
            <w:r w:rsidRPr="00931D46">
              <w:rPr>
                <w:rFonts w:ascii="Arial" w:hAnsi="Arial" w:cs="Arial"/>
              </w:rPr>
              <w:t>PJF</w:t>
            </w:r>
          </w:p>
        </w:tc>
        <w:tc>
          <w:tcPr>
            <w:tcW w:w="7088" w:type="dxa"/>
            <w:vAlign w:val="center"/>
          </w:tcPr>
          <w:p w14:paraId="3F20C320" w14:textId="77777777" w:rsidR="00BE0D80" w:rsidRPr="00931D46" w:rsidRDefault="00BE0D80" w:rsidP="00C21851">
            <w:pPr>
              <w:pStyle w:val="TablaTexto"/>
              <w:spacing w:line="276" w:lineRule="auto"/>
              <w:rPr>
                <w:rFonts w:ascii="Arial" w:hAnsi="Arial" w:cs="Arial"/>
              </w:rPr>
            </w:pPr>
            <w:r w:rsidRPr="00931D46">
              <w:rPr>
                <w:rFonts w:ascii="Arial" w:hAnsi="Arial" w:cs="Arial"/>
              </w:rPr>
              <w:t>Poder Judicial de la Federación.</w:t>
            </w:r>
          </w:p>
        </w:tc>
      </w:tr>
      <w:tr w:rsidR="00BE0D80" w:rsidRPr="00931D46" w14:paraId="06F36181" w14:textId="77777777" w:rsidTr="00C21851">
        <w:trPr>
          <w:trHeight w:val="301"/>
        </w:trPr>
        <w:tc>
          <w:tcPr>
            <w:tcW w:w="2410" w:type="dxa"/>
            <w:vAlign w:val="center"/>
          </w:tcPr>
          <w:p w14:paraId="4DF1F024" w14:textId="77777777" w:rsidR="00BE0D80" w:rsidRPr="00931D46" w:rsidRDefault="00BE0D80" w:rsidP="00C21851">
            <w:pPr>
              <w:pStyle w:val="TablaTexto"/>
              <w:spacing w:line="276" w:lineRule="auto"/>
              <w:rPr>
                <w:rFonts w:ascii="Arial" w:hAnsi="Arial" w:cs="Arial"/>
              </w:rPr>
            </w:pPr>
            <w:r w:rsidRPr="00931D46">
              <w:rPr>
                <w:rFonts w:ascii="Arial" w:hAnsi="Arial" w:cs="Arial"/>
              </w:rPr>
              <w:t>PMR</w:t>
            </w:r>
          </w:p>
        </w:tc>
        <w:tc>
          <w:tcPr>
            <w:tcW w:w="7088" w:type="dxa"/>
            <w:vAlign w:val="center"/>
          </w:tcPr>
          <w:p w14:paraId="55966D7E" w14:textId="77777777" w:rsidR="00BE0D80" w:rsidRPr="00931D46" w:rsidRDefault="00BE0D80" w:rsidP="00C21851">
            <w:pPr>
              <w:pStyle w:val="TablaTexto"/>
              <w:spacing w:line="276" w:lineRule="auto"/>
              <w:rPr>
                <w:rFonts w:ascii="Arial" w:hAnsi="Arial" w:cs="Arial"/>
              </w:rPr>
            </w:pPr>
            <w:r w:rsidRPr="00931D46">
              <w:rPr>
                <w:rFonts w:ascii="Arial" w:hAnsi="Arial" w:cs="Arial"/>
              </w:rPr>
              <w:t>Práctica monopólica relativa.</w:t>
            </w:r>
          </w:p>
        </w:tc>
      </w:tr>
      <w:tr w:rsidR="00BE0D80" w:rsidRPr="00931D46" w14:paraId="63B56D8A" w14:textId="77777777" w:rsidTr="00C21851">
        <w:trPr>
          <w:trHeight w:val="301"/>
        </w:trPr>
        <w:tc>
          <w:tcPr>
            <w:tcW w:w="2410" w:type="dxa"/>
            <w:vAlign w:val="center"/>
          </w:tcPr>
          <w:p w14:paraId="41F04677" w14:textId="77777777" w:rsidR="00BE0D80" w:rsidRPr="00931D46" w:rsidRDefault="00BE0D80" w:rsidP="00C21851">
            <w:pPr>
              <w:pStyle w:val="TablaTexto"/>
              <w:spacing w:line="276" w:lineRule="auto"/>
              <w:rPr>
                <w:rFonts w:ascii="Arial" w:hAnsi="Arial" w:cs="Arial"/>
              </w:rPr>
            </w:pPr>
            <w:r>
              <w:rPr>
                <w:rFonts w:ascii="Arial" w:hAnsi="Arial" w:cs="Arial"/>
              </w:rPr>
              <w:t>Producto</w:t>
            </w:r>
          </w:p>
        </w:tc>
        <w:tc>
          <w:tcPr>
            <w:tcW w:w="7088" w:type="dxa"/>
            <w:vAlign w:val="center"/>
          </w:tcPr>
          <w:p w14:paraId="39CC0A57" w14:textId="77777777" w:rsidR="00BE0D80" w:rsidRPr="00931D46" w:rsidRDefault="00BE0D80" w:rsidP="00C21851">
            <w:pPr>
              <w:pStyle w:val="TablaTexto"/>
              <w:spacing w:line="276" w:lineRule="auto"/>
              <w:rPr>
                <w:rFonts w:ascii="Arial" w:hAnsi="Arial" w:cs="Arial"/>
              </w:rPr>
            </w:pPr>
            <w:r w:rsidRPr="00D03166">
              <w:rPr>
                <w:rFonts w:ascii="Arial" w:hAnsi="Arial" w:cs="Arial"/>
              </w:rPr>
              <w:t>Se refiere</w:t>
            </w:r>
            <w:r>
              <w:rPr>
                <w:rFonts w:ascii="Arial" w:hAnsi="Arial" w:cs="Arial"/>
              </w:rPr>
              <w:t>, indistintamente,</w:t>
            </w:r>
            <w:r w:rsidRPr="00D03166">
              <w:rPr>
                <w:rFonts w:ascii="Arial" w:hAnsi="Arial" w:cs="Arial"/>
              </w:rPr>
              <w:t xml:space="preserve"> a bien</w:t>
            </w:r>
            <w:r>
              <w:rPr>
                <w:rFonts w:ascii="Arial" w:hAnsi="Arial" w:cs="Arial"/>
              </w:rPr>
              <w:t>(</w:t>
            </w:r>
            <w:r w:rsidRPr="00D03166">
              <w:rPr>
                <w:rFonts w:ascii="Arial" w:hAnsi="Arial" w:cs="Arial"/>
              </w:rPr>
              <w:t>es</w:t>
            </w:r>
            <w:r>
              <w:rPr>
                <w:rFonts w:ascii="Arial" w:hAnsi="Arial" w:cs="Arial"/>
              </w:rPr>
              <w:t>)</w:t>
            </w:r>
            <w:r w:rsidRPr="00D03166">
              <w:rPr>
                <w:rFonts w:ascii="Arial" w:hAnsi="Arial" w:cs="Arial"/>
              </w:rPr>
              <w:t xml:space="preserve"> o servicio</w:t>
            </w:r>
            <w:r>
              <w:rPr>
                <w:rFonts w:ascii="Arial" w:hAnsi="Arial" w:cs="Arial"/>
              </w:rPr>
              <w:t>(</w:t>
            </w:r>
            <w:r w:rsidRPr="00D03166">
              <w:rPr>
                <w:rFonts w:ascii="Arial" w:hAnsi="Arial" w:cs="Arial"/>
              </w:rPr>
              <w:t>s</w:t>
            </w:r>
            <w:r>
              <w:rPr>
                <w:rFonts w:ascii="Arial" w:hAnsi="Arial" w:cs="Arial"/>
              </w:rPr>
              <w:t>)</w:t>
            </w:r>
            <w:r w:rsidRPr="00D03166">
              <w:rPr>
                <w:rFonts w:ascii="Arial" w:hAnsi="Arial" w:cs="Arial"/>
              </w:rPr>
              <w:t>.</w:t>
            </w:r>
          </w:p>
        </w:tc>
      </w:tr>
      <w:tr w:rsidR="00BE0D80" w:rsidRPr="004E3B72" w14:paraId="51D7F625" w14:textId="77777777" w:rsidTr="00C21851">
        <w:trPr>
          <w:trHeight w:val="301"/>
        </w:trPr>
        <w:tc>
          <w:tcPr>
            <w:tcW w:w="2410" w:type="dxa"/>
            <w:vAlign w:val="center"/>
          </w:tcPr>
          <w:p w14:paraId="42384157" w14:textId="77777777" w:rsidR="00BE0D80" w:rsidRPr="00931D46" w:rsidRDefault="00BE0D80" w:rsidP="00C21851">
            <w:pPr>
              <w:pStyle w:val="TablaTexto"/>
              <w:spacing w:line="276" w:lineRule="auto"/>
              <w:rPr>
                <w:rFonts w:ascii="Arial" w:hAnsi="Arial" w:cs="Arial"/>
              </w:rPr>
            </w:pPr>
            <w:r w:rsidRPr="00931D46">
              <w:rPr>
                <w:rFonts w:ascii="Arial" w:hAnsi="Arial" w:cs="Arial"/>
              </w:rPr>
              <w:t>Prueba SSNIP</w:t>
            </w:r>
          </w:p>
        </w:tc>
        <w:tc>
          <w:tcPr>
            <w:tcW w:w="7088" w:type="dxa"/>
            <w:vAlign w:val="center"/>
          </w:tcPr>
          <w:p w14:paraId="032F8A44" w14:textId="77777777" w:rsidR="00BE0D80" w:rsidRPr="00931D46" w:rsidRDefault="00BE0D80" w:rsidP="00C21851">
            <w:pPr>
              <w:pStyle w:val="TablaTexto"/>
              <w:spacing w:line="276" w:lineRule="auto"/>
              <w:rPr>
                <w:rFonts w:ascii="Arial" w:hAnsi="Arial" w:cs="Arial"/>
                <w:lang w:val="en-US"/>
              </w:rPr>
            </w:pPr>
            <w:r w:rsidRPr="00931D46">
              <w:rPr>
                <w:rFonts w:ascii="Arial" w:hAnsi="Arial" w:cs="Arial"/>
                <w:lang w:val="en-US"/>
              </w:rPr>
              <w:t>Prueba del monopolista hipotético (</w:t>
            </w:r>
            <w:r w:rsidRPr="00931D46">
              <w:rPr>
                <w:rFonts w:ascii="Arial" w:hAnsi="Arial" w:cs="Arial"/>
                <w:i/>
                <w:lang w:val="en-US"/>
              </w:rPr>
              <w:t>Small but Significant Non-Transitory Increase in Price Test</w:t>
            </w:r>
            <w:r w:rsidRPr="00931D46">
              <w:rPr>
                <w:rFonts w:ascii="Arial" w:hAnsi="Arial" w:cs="Arial"/>
                <w:lang w:val="en-US"/>
              </w:rPr>
              <w:t>, en inglés).</w:t>
            </w:r>
          </w:p>
        </w:tc>
      </w:tr>
      <w:tr w:rsidR="00BE0D80" w:rsidRPr="00931D46" w14:paraId="35CAB768" w14:textId="77777777" w:rsidTr="00C21851">
        <w:trPr>
          <w:trHeight w:val="301"/>
        </w:trPr>
        <w:tc>
          <w:tcPr>
            <w:tcW w:w="2410" w:type="dxa"/>
            <w:vAlign w:val="center"/>
          </w:tcPr>
          <w:p w14:paraId="650AC00F" w14:textId="77777777" w:rsidR="00BE0D80" w:rsidRPr="00931D46" w:rsidRDefault="00BE0D80" w:rsidP="00C21851">
            <w:pPr>
              <w:pStyle w:val="TablaTexto"/>
              <w:spacing w:line="276" w:lineRule="auto"/>
              <w:rPr>
                <w:rFonts w:ascii="Arial" w:hAnsi="Arial" w:cs="Arial"/>
              </w:rPr>
            </w:pPr>
            <w:r w:rsidRPr="00931D46">
              <w:rPr>
                <w:rFonts w:ascii="Arial" w:hAnsi="Arial" w:cs="Arial"/>
              </w:rPr>
              <w:t>PSM</w:t>
            </w:r>
          </w:p>
        </w:tc>
        <w:tc>
          <w:tcPr>
            <w:tcW w:w="7088" w:type="dxa"/>
            <w:vAlign w:val="center"/>
          </w:tcPr>
          <w:p w14:paraId="6876EF64" w14:textId="77777777" w:rsidR="00BE0D80" w:rsidRPr="00931D46" w:rsidRDefault="00BE0D80" w:rsidP="00C21851">
            <w:pPr>
              <w:pStyle w:val="TablaTexto"/>
              <w:spacing w:line="276" w:lineRule="auto"/>
              <w:rPr>
                <w:rFonts w:ascii="Arial" w:hAnsi="Arial" w:cs="Arial"/>
              </w:rPr>
            </w:pPr>
            <w:r w:rsidRPr="00931D46">
              <w:rPr>
                <w:rFonts w:ascii="Arial" w:hAnsi="Arial" w:cs="Arial"/>
              </w:rPr>
              <w:t xml:space="preserve">Poder </w:t>
            </w:r>
            <w:r>
              <w:rPr>
                <w:rFonts w:ascii="Arial" w:hAnsi="Arial" w:cs="Arial"/>
              </w:rPr>
              <w:t>S</w:t>
            </w:r>
            <w:r w:rsidRPr="00931D46">
              <w:rPr>
                <w:rFonts w:ascii="Arial" w:hAnsi="Arial" w:cs="Arial"/>
              </w:rPr>
              <w:t xml:space="preserve">ustancial de </w:t>
            </w:r>
            <w:r>
              <w:rPr>
                <w:rFonts w:ascii="Arial" w:hAnsi="Arial" w:cs="Arial"/>
              </w:rPr>
              <w:t>M</w:t>
            </w:r>
            <w:r w:rsidRPr="00931D46">
              <w:rPr>
                <w:rFonts w:ascii="Arial" w:hAnsi="Arial" w:cs="Arial"/>
              </w:rPr>
              <w:t>ercado.</w:t>
            </w:r>
          </w:p>
        </w:tc>
      </w:tr>
      <w:tr w:rsidR="00BE0D80" w:rsidRPr="00931D46" w14:paraId="1C60A7F8" w14:textId="77777777" w:rsidTr="00C21851">
        <w:trPr>
          <w:trHeight w:val="301"/>
        </w:trPr>
        <w:tc>
          <w:tcPr>
            <w:tcW w:w="2410" w:type="dxa"/>
            <w:vAlign w:val="center"/>
          </w:tcPr>
          <w:p w14:paraId="3CEACFB9" w14:textId="77777777" w:rsidR="00BE0D80" w:rsidRPr="00931D46" w:rsidRDefault="00BE0D80" w:rsidP="00C21851">
            <w:pPr>
              <w:pStyle w:val="TablaTexto"/>
              <w:spacing w:line="276" w:lineRule="auto"/>
              <w:rPr>
                <w:rFonts w:ascii="Arial" w:hAnsi="Arial" w:cs="Arial"/>
              </w:rPr>
            </w:pPr>
            <w:r w:rsidRPr="00931D46">
              <w:rPr>
                <w:rFonts w:ascii="Arial" w:hAnsi="Arial" w:cs="Arial"/>
              </w:rPr>
              <w:t>Radio Sonora</w:t>
            </w:r>
          </w:p>
        </w:tc>
        <w:tc>
          <w:tcPr>
            <w:tcW w:w="7088" w:type="dxa"/>
            <w:vAlign w:val="center"/>
          </w:tcPr>
          <w:p w14:paraId="172FB5DD" w14:textId="77777777" w:rsidR="00BE0D80" w:rsidRPr="00931D46" w:rsidRDefault="00BE0D80" w:rsidP="00C21851">
            <w:pPr>
              <w:autoSpaceDE w:val="0"/>
              <w:autoSpaceDN w:val="0"/>
              <w:adjustRightInd w:val="0"/>
              <w:spacing w:after="0"/>
              <w:jc w:val="both"/>
              <w:rPr>
                <w:rFonts w:ascii="Arial" w:hAnsi="Arial" w:cs="Arial"/>
              </w:rPr>
            </w:pPr>
            <w:r w:rsidRPr="00931D46">
              <w:rPr>
                <w:rFonts w:ascii="Arial" w:hAnsi="Arial" w:cs="Arial"/>
              </w:rPr>
              <w:t>Servicio de radiodifusión sonora.</w:t>
            </w:r>
          </w:p>
        </w:tc>
      </w:tr>
      <w:tr w:rsidR="00BE0D80" w:rsidRPr="00931D46" w14:paraId="16CE1ACB" w14:textId="77777777" w:rsidTr="00C21851">
        <w:trPr>
          <w:trHeight w:val="301"/>
        </w:trPr>
        <w:tc>
          <w:tcPr>
            <w:tcW w:w="2410" w:type="dxa"/>
            <w:vAlign w:val="center"/>
          </w:tcPr>
          <w:p w14:paraId="43188FEA" w14:textId="77777777" w:rsidR="00BE0D80" w:rsidRPr="00931D46" w:rsidRDefault="00BE0D80" w:rsidP="00C21851">
            <w:pPr>
              <w:pStyle w:val="TablaTexto"/>
              <w:spacing w:line="276" w:lineRule="auto"/>
              <w:rPr>
                <w:rFonts w:ascii="Arial" w:hAnsi="Arial" w:cs="Arial"/>
              </w:rPr>
            </w:pPr>
            <w:r w:rsidRPr="00931D46">
              <w:rPr>
                <w:rFonts w:ascii="Arial" w:hAnsi="Arial" w:cs="Arial"/>
              </w:rPr>
              <w:t>RPT</w:t>
            </w:r>
          </w:p>
        </w:tc>
        <w:tc>
          <w:tcPr>
            <w:tcW w:w="7088" w:type="dxa"/>
            <w:vAlign w:val="center"/>
          </w:tcPr>
          <w:p w14:paraId="2055CE0A" w14:textId="77777777" w:rsidR="00BE0D80" w:rsidRPr="00931D46" w:rsidRDefault="00BE0D80" w:rsidP="00C21851">
            <w:pPr>
              <w:autoSpaceDE w:val="0"/>
              <w:autoSpaceDN w:val="0"/>
              <w:adjustRightInd w:val="0"/>
              <w:spacing w:after="0"/>
              <w:jc w:val="both"/>
              <w:rPr>
                <w:rFonts w:ascii="Arial" w:hAnsi="Arial" w:cs="Arial"/>
              </w:rPr>
            </w:pPr>
            <w:r w:rsidRPr="00931D46">
              <w:rPr>
                <w:rFonts w:ascii="Arial" w:hAnsi="Arial" w:cs="Arial"/>
              </w:rPr>
              <w:t>Red Pública de Telecomunicaciones.</w:t>
            </w:r>
          </w:p>
        </w:tc>
      </w:tr>
      <w:tr w:rsidR="00BE0D80" w:rsidRPr="00931D46" w14:paraId="1BBF3914" w14:textId="77777777" w:rsidTr="00C21851">
        <w:trPr>
          <w:trHeight w:val="301"/>
        </w:trPr>
        <w:tc>
          <w:tcPr>
            <w:tcW w:w="2410" w:type="dxa"/>
            <w:vAlign w:val="center"/>
          </w:tcPr>
          <w:p w14:paraId="7BE6AA52" w14:textId="77777777" w:rsidR="00BE0D80" w:rsidRPr="00931D46" w:rsidRDefault="00BE0D80" w:rsidP="00C21851">
            <w:pPr>
              <w:pStyle w:val="TablaTexto"/>
              <w:spacing w:line="276" w:lineRule="auto"/>
              <w:rPr>
                <w:rFonts w:ascii="Arial" w:hAnsi="Arial" w:cs="Arial"/>
              </w:rPr>
            </w:pPr>
            <w:r w:rsidRPr="00931D46">
              <w:rPr>
                <w:rFonts w:ascii="Arial" w:hAnsi="Arial" w:cs="Arial"/>
              </w:rPr>
              <w:t>RTR</w:t>
            </w:r>
          </w:p>
        </w:tc>
        <w:tc>
          <w:tcPr>
            <w:tcW w:w="7088" w:type="dxa"/>
            <w:vAlign w:val="center"/>
          </w:tcPr>
          <w:p w14:paraId="5B20FE0E" w14:textId="77777777" w:rsidR="00BE0D80" w:rsidRPr="00931D46" w:rsidRDefault="00BE0D80" w:rsidP="00C21851">
            <w:pPr>
              <w:autoSpaceDE w:val="0"/>
              <w:autoSpaceDN w:val="0"/>
              <w:adjustRightInd w:val="0"/>
              <w:spacing w:after="0"/>
              <w:jc w:val="both"/>
              <w:rPr>
                <w:rFonts w:ascii="Arial" w:hAnsi="Arial" w:cs="Arial"/>
              </w:rPr>
            </w:pPr>
            <w:r w:rsidRPr="00931D46">
              <w:rPr>
                <w:rFonts w:ascii="Arial" w:hAnsi="Arial" w:cs="Arial"/>
              </w:rPr>
              <w:t>Autoridad Reguladora Austriaca de Radiodifusión y Telecomunicaciones (</w:t>
            </w:r>
            <w:r w:rsidRPr="00931D46">
              <w:rPr>
                <w:rFonts w:ascii="Arial" w:hAnsi="Arial" w:cs="Arial"/>
                <w:i/>
              </w:rPr>
              <w:t>Austrian Regulatory Authority for Broadcasting and Telecommunications</w:t>
            </w:r>
            <w:r w:rsidRPr="00931D46">
              <w:rPr>
                <w:rFonts w:ascii="Arial" w:hAnsi="Arial" w:cs="Arial"/>
              </w:rPr>
              <w:t>, en inglés).</w:t>
            </w:r>
          </w:p>
        </w:tc>
      </w:tr>
      <w:tr w:rsidR="00BE0D80" w:rsidRPr="00931D46" w14:paraId="535220A2" w14:textId="77777777" w:rsidTr="00C21851">
        <w:trPr>
          <w:trHeight w:val="301"/>
        </w:trPr>
        <w:tc>
          <w:tcPr>
            <w:tcW w:w="2410" w:type="dxa"/>
            <w:vAlign w:val="center"/>
          </w:tcPr>
          <w:p w14:paraId="11FD6D84" w14:textId="77777777" w:rsidR="00BE0D80" w:rsidRPr="00931D46" w:rsidRDefault="00BE0D80" w:rsidP="00C21851">
            <w:pPr>
              <w:pStyle w:val="TablaTexto"/>
              <w:spacing w:line="276" w:lineRule="auto"/>
              <w:rPr>
                <w:rFonts w:ascii="Arial" w:hAnsi="Arial" w:cs="Arial"/>
              </w:rPr>
            </w:pPr>
            <w:r w:rsidRPr="00931D46">
              <w:rPr>
                <w:rFonts w:ascii="Arial" w:hAnsi="Arial" w:cs="Arial"/>
              </w:rPr>
              <w:t>SBAF</w:t>
            </w:r>
          </w:p>
        </w:tc>
        <w:tc>
          <w:tcPr>
            <w:tcW w:w="7088" w:type="dxa"/>
            <w:vAlign w:val="center"/>
          </w:tcPr>
          <w:p w14:paraId="425F0BBD" w14:textId="77777777" w:rsidR="00BE0D80" w:rsidRPr="00931D46" w:rsidRDefault="00BE0D80" w:rsidP="00C21851">
            <w:pPr>
              <w:autoSpaceDE w:val="0"/>
              <w:autoSpaceDN w:val="0"/>
              <w:adjustRightInd w:val="0"/>
              <w:spacing w:after="0"/>
              <w:jc w:val="both"/>
              <w:rPr>
                <w:rFonts w:ascii="Arial" w:hAnsi="Arial" w:cs="Arial"/>
              </w:rPr>
            </w:pPr>
            <w:r w:rsidRPr="00931D46">
              <w:rPr>
                <w:rFonts w:ascii="Arial" w:hAnsi="Arial" w:cs="Arial"/>
              </w:rPr>
              <w:t>Servicio de acceso a Internet de Banda Ancha Fija.</w:t>
            </w:r>
          </w:p>
        </w:tc>
      </w:tr>
      <w:tr w:rsidR="00BE0D80" w:rsidRPr="00931D46" w14:paraId="250AA7B3" w14:textId="77777777" w:rsidTr="00C21851">
        <w:trPr>
          <w:trHeight w:val="301"/>
        </w:trPr>
        <w:tc>
          <w:tcPr>
            <w:tcW w:w="2410" w:type="dxa"/>
            <w:vAlign w:val="center"/>
          </w:tcPr>
          <w:p w14:paraId="10BAD1ED" w14:textId="77777777" w:rsidR="00BE0D80" w:rsidRPr="00931D46" w:rsidRDefault="00BE0D80" w:rsidP="00C21851">
            <w:pPr>
              <w:spacing w:after="0"/>
              <w:rPr>
                <w:rFonts w:ascii="Arial" w:hAnsi="Arial" w:cs="Arial"/>
              </w:rPr>
            </w:pPr>
            <w:r w:rsidRPr="00931D46">
              <w:rPr>
                <w:rFonts w:ascii="Arial" w:hAnsi="Arial" w:cs="Arial"/>
              </w:rPr>
              <w:t>SCJN</w:t>
            </w:r>
          </w:p>
        </w:tc>
        <w:tc>
          <w:tcPr>
            <w:tcW w:w="7088" w:type="dxa"/>
            <w:vAlign w:val="center"/>
          </w:tcPr>
          <w:p w14:paraId="6A143A3A" w14:textId="77777777" w:rsidR="00BE0D80" w:rsidRPr="00931D46" w:rsidRDefault="00BE0D80" w:rsidP="00C21851">
            <w:pPr>
              <w:spacing w:after="0"/>
              <w:jc w:val="both"/>
              <w:rPr>
                <w:rFonts w:ascii="Arial" w:hAnsi="Arial" w:cs="Arial"/>
              </w:rPr>
            </w:pPr>
            <w:r w:rsidRPr="00931D46">
              <w:rPr>
                <w:rFonts w:ascii="Arial" w:hAnsi="Arial" w:cs="Arial"/>
              </w:rPr>
              <w:t>Suprema Corte de Justicia de la Nación.</w:t>
            </w:r>
          </w:p>
        </w:tc>
      </w:tr>
      <w:tr w:rsidR="00BE0D80" w:rsidRPr="00931D46" w14:paraId="74F07159" w14:textId="77777777" w:rsidTr="00C21851">
        <w:trPr>
          <w:trHeight w:val="301"/>
        </w:trPr>
        <w:tc>
          <w:tcPr>
            <w:tcW w:w="2410" w:type="dxa"/>
            <w:vAlign w:val="center"/>
          </w:tcPr>
          <w:p w14:paraId="24D055B2" w14:textId="77777777" w:rsidR="00BE0D80" w:rsidRPr="00931D46" w:rsidRDefault="00BE0D80" w:rsidP="00C21851">
            <w:pPr>
              <w:pStyle w:val="TablaTexto"/>
              <w:spacing w:line="276" w:lineRule="auto"/>
              <w:rPr>
                <w:rFonts w:ascii="Arial" w:hAnsi="Arial" w:cs="Arial"/>
              </w:rPr>
            </w:pPr>
            <w:r w:rsidRPr="00931D46">
              <w:rPr>
                <w:rFonts w:ascii="Arial" w:hAnsi="Arial" w:cs="Arial"/>
              </w:rPr>
              <w:t>STAR</w:t>
            </w:r>
          </w:p>
        </w:tc>
        <w:tc>
          <w:tcPr>
            <w:tcW w:w="7088" w:type="dxa"/>
            <w:vAlign w:val="center"/>
          </w:tcPr>
          <w:p w14:paraId="67745512" w14:textId="77777777" w:rsidR="00BE0D80" w:rsidRPr="00931D46" w:rsidRDefault="00BE0D80" w:rsidP="00C21851">
            <w:pPr>
              <w:pStyle w:val="TablaTexto"/>
              <w:spacing w:line="276" w:lineRule="auto"/>
              <w:rPr>
                <w:rFonts w:ascii="Arial" w:hAnsi="Arial" w:cs="Arial"/>
              </w:rPr>
            </w:pPr>
            <w:r w:rsidRPr="00931D46">
              <w:rPr>
                <w:rFonts w:ascii="Arial" w:hAnsi="Arial" w:cs="Arial"/>
              </w:rPr>
              <w:t>Servicio de Televisión y Audio Restringidos.</w:t>
            </w:r>
          </w:p>
        </w:tc>
      </w:tr>
      <w:tr w:rsidR="00BE0D80" w:rsidRPr="00931D46" w14:paraId="5615A11C" w14:textId="77777777" w:rsidTr="00C21851">
        <w:trPr>
          <w:trHeight w:val="301"/>
        </w:trPr>
        <w:tc>
          <w:tcPr>
            <w:tcW w:w="2410" w:type="dxa"/>
            <w:vAlign w:val="center"/>
          </w:tcPr>
          <w:p w14:paraId="47394D0E" w14:textId="77777777" w:rsidR="00BE0D80" w:rsidRPr="00931D46" w:rsidRDefault="00BE0D80" w:rsidP="00C21851">
            <w:pPr>
              <w:pStyle w:val="TablaTexto"/>
              <w:spacing w:line="276" w:lineRule="auto"/>
              <w:rPr>
                <w:rFonts w:ascii="Arial" w:hAnsi="Arial" w:cs="Arial"/>
              </w:rPr>
            </w:pPr>
            <w:r w:rsidRPr="00931D46">
              <w:rPr>
                <w:rFonts w:ascii="Arial" w:hAnsi="Arial" w:cs="Arial"/>
              </w:rPr>
              <w:t>STF</w:t>
            </w:r>
          </w:p>
        </w:tc>
        <w:tc>
          <w:tcPr>
            <w:tcW w:w="7088" w:type="dxa"/>
            <w:vAlign w:val="center"/>
          </w:tcPr>
          <w:p w14:paraId="7C4DF750" w14:textId="77777777" w:rsidR="00BE0D80" w:rsidRPr="00931D46" w:rsidRDefault="00BE0D80" w:rsidP="00C21851">
            <w:pPr>
              <w:pStyle w:val="TablaTexto"/>
              <w:spacing w:line="276" w:lineRule="auto"/>
              <w:rPr>
                <w:rFonts w:ascii="Arial" w:hAnsi="Arial" w:cs="Arial"/>
              </w:rPr>
            </w:pPr>
            <w:r w:rsidRPr="00931D46">
              <w:rPr>
                <w:rFonts w:ascii="Arial" w:hAnsi="Arial" w:cs="Arial"/>
              </w:rPr>
              <w:t>Servicio de Telefonía Fija.</w:t>
            </w:r>
          </w:p>
        </w:tc>
      </w:tr>
      <w:tr w:rsidR="00BE0D80" w:rsidRPr="00931D46" w14:paraId="6E0AFA0D" w14:textId="77777777" w:rsidTr="00C21851">
        <w:trPr>
          <w:trHeight w:val="301"/>
        </w:trPr>
        <w:tc>
          <w:tcPr>
            <w:tcW w:w="2410" w:type="dxa"/>
            <w:vAlign w:val="center"/>
          </w:tcPr>
          <w:p w14:paraId="16D2A27D" w14:textId="77777777" w:rsidR="00BE0D80" w:rsidRPr="00931D46" w:rsidRDefault="00BE0D80" w:rsidP="00C21851">
            <w:pPr>
              <w:pStyle w:val="TablaTexto"/>
              <w:spacing w:line="276" w:lineRule="auto"/>
              <w:rPr>
                <w:rFonts w:ascii="Arial" w:hAnsi="Arial" w:cs="Arial"/>
              </w:rPr>
            </w:pPr>
            <w:r w:rsidRPr="00931D46">
              <w:rPr>
                <w:rFonts w:ascii="Arial" w:hAnsi="Arial" w:cs="Arial"/>
              </w:rPr>
              <w:t>TV Abierta</w:t>
            </w:r>
          </w:p>
        </w:tc>
        <w:tc>
          <w:tcPr>
            <w:tcW w:w="7088" w:type="dxa"/>
            <w:vAlign w:val="center"/>
          </w:tcPr>
          <w:p w14:paraId="29B05DCB" w14:textId="77777777" w:rsidR="00BE0D80" w:rsidRPr="00931D46" w:rsidRDefault="00BE0D80" w:rsidP="00C21851">
            <w:pPr>
              <w:pStyle w:val="TablaTexto"/>
              <w:rPr>
                <w:rFonts w:ascii="Arial" w:hAnsi="Arial" w:cs="Arial"/>
              </w:rPr>
            </w:pPr>
            <w:r w:rsidRPr="00931D46">
              <w:rPr>
                <w:rFonts w:ascii="Arial" w:hAnsi="Arial" w:cs="Arial"/>
              </w:rPr>
              <w:t>Servicio de televisión radiodifundida.</w:t>
            </w:r>
          </w:p>
        </w:tc>
      </w:tr>
      <w:tr w:rsidR="00BE0D80" w:rsidRPr="00931D46" w14:paraId="25BDDCF9" w14:textId="77777777" w:rsidTr="00C21851">
        <w:trPr>
          <w:trHeight w:val="301"/>
        </w:trPr>
        <w:tc>
          <w:tcPr>
            <w:tcW w:w="2410" w:type="dxa"/>
            <w:vAlign w:val="center"/>
          </w:tcPr>
          <w:p w14:paraId="3627C59A" w14:textId="77777777" w:rsidR="00BE0D80" w:rsidRPr="00931D46" w:rsidRDefault="00BE0D80" w:rsidP="00C21851">
            <w:pPr>
              <w:pStyle w:val="TablaTexto"/>
              <w:spacing w:line="276" w:lineRule="auto"/>
              <w:rPr>
                <w:rFonts w:ascii="Arial" w:hAnsi="Arial" w:cs="Arial"/>
              </w:rPr>
            </w:pPr>
            <w:r w:rsidRPr="00931D46">
              <w:rPr>
                <w:rFonts w:ascii="Arial" w:hAnsi="Arial" w:cs="Arial"/>
              </w:rPr>
              <w:t>TyR</w:t>
            </w:r>
          </w:p>
        </w:tc>
        <w:tc>
          <w:tcPr>
            <w:tcW w:w="7088" w:type="dxa"/>
            <w:vAlign w:val="center"/>
          </w:tcPr>
          <w:p w14:paraId="2ED4689B" w14:textId="77777777" w:rsidR="00BE0D80" w:rsidRPr="00931D46" w:rsidRDefault="00BE0D80" w:rsidP="00C21851">
            <w:pPr>
              <w:pStyle w:val="TablaTexto"/>
              <w:spacing w:line="276" w:lineRule="auto"/>
              <w:rPr>
                <w:rFonts w:ascii="Arial" w:hAnsi="Arial" w:cs="Arial"/>
              </w:rPr>
            </w:pPr>
            <w:r w:rsidRPr="00931D46">
              <w:rPr>
                <w:rFonts w:ascii="Arial" w:hAnsi="Arial" w:cs="Arial"/>
              </w:rPr>
              <w:t>Telecomunicaciones y Radiodifusión.</w:t>
            </w:r>
          </w:p>
        </w:tc>
      </w:tr>
      <w:tr w:rsidR="00BE0D80" w:rsidRPr="00931D46" w14:paraId="4679AA93" w14:textId="77777777" w:rsidTr="00C21851">
        <w:trPr>
          <w:trHeight w:val="301"/>
        </w:trPr>
        <w:tc>
          <w:tcPr>
            <w:tcW w:w="2410" w:type="dxa"/>
            <w:vAlign w:val="center"/>
          </w:tcPr>
          <w:p w14:paraId="7FD30E0D" w14:textId="77777777" w:rsidR="00BE0D80" w:rsidRPr="00931D46" w:rsidRDefault="00BE0D80" w:rsidP="00C21851">
            <w:pPr>
              <w:pStyle w:val="TablaTexto"/>
              <w:spacing w:line="276" w:lineRule="auto"/>
              <w:rPr>
                <w:rFonts w:ascii="Arial" w:hAnsi="Arial" w:cs="Arial"/>
              </w:rPr>
            </w:pPr>
            <w:r w:rsidRPr="00931D46">
              <w:rPr>
                <w:rFonts w:ascii="Arial" w:hAnsi="Arial" w:cs="Arial"/>
              </w:rPr>
              <w:t>UIT</w:t>
            </w:r>
          </w:p>
        </w:tc>
        <w:tc>
          <w:tcPr>
            <w:tcW w:w="7088" w:type="dxa"/>
            <w:vAlign w:val="center"/>
          </w:tcPr>
          <w:p w14:paraId="5ECF0181" w14:textId="77777777" w:rsidR="00BE0D80" w:rsidRPr="00931D46" w:rsidRDefault="00BE0D80" w:rsidP="00C21851">
            <w:pPr>
              <w:pStyle w:val="TablaTexto"/>
              <w:spacing w:line="276" w:lineRule="auto"/>
              <w:rPr>
                <w:rFonts w:ascii="Arial" w:hAnsi="Arial" w:cs="Arial"/>
              </w:rPr>
            </w:pPr>
            <w:r w:rsidRPr="00931D46">
              <w:rPr>
                <w:rFonts w:ascii="Arial" w:hAnsi="Arial" w:cs="Arial"/>
              </w:rPr>
              <w:t>Unión Internacional de Telecomunicaciones (</w:t>
            </w:r>
            <w:r w:rsidRPr="00931D46">
              <w:rPr>
                <w:rFonts w:ascii="Arial" w:hAnsi="Arial" w:cs="Arial"/>
                <w:i/>
              </w:rPr>
              <w:t>International Telecommunications Union</w:t>
            </w:r>
            <w:r w:rsidRPr="00931D46">
              <w:rPr>
                <w:rFonts w:ascii="Arial" w:hAnsi="Arial" w:cs="Arial"/>
              </w:rPr>
              <w:t>, en inglés).</w:t>
            </w:r>
          </w:p>
        </w:tc>
      </w:tr>
    </w:tbl>
    <w:p w14:paraId="449194C8" w14:textId="3D22E83A" w:rsidR="00BE0D80" w:rsidRDefault="00BE0D80" w:rsidP="00BE0D80">
      <w:pPr>
        <w:spacing w:after="0"/>
        <w:rPr>
          <w:rFonts w:ascii="Arial" w:eastAsia="Times New Roman" w:hAnsi="Arial" w:cs="Arial"/>
          <w:bCs/>
          <w:kern w:val="1"/>
          <w:lang w:eastAsia="ar-SA"/>
        </w:rPr>
      </w:pPr>
    </w:p>
    <w:p w14:paraId="7F33BCA7" w14:textId="7ED94CB9" w:rsidR="00C21851" w:rsidRDefault="00C21851" w:rsidP="00BE0D80">
      <w:pPr>
        <w:spacing w:after="0"/>
        <w:rPr>
          <w:rFonts w:ascii="Arial" w:eastAsia="Times New Roman" w:hAnsi="Arial" w:cs="Arial"/>
          <w:bCs/>
          <w:kern w:val="1"/>
          <w:lang w:eastAsia="ar-SA"/>
        </w:rPr>
      </w:pPr>
    </w:p>
    <w:p w14:paraId="7161515C" w14:textId="3D7B35E0" w:rsidR="00C21851" w:rsidRDefault="00C21851" w:rsidP="00BE0D80">
      <w:pPr>
        <w:spacing w:after="0"/>
        <w:rPr>
          <w:rFonts w:ascii="Arial" w:eastAsia="Times New Roman" w:hAnsi="Arial" w:cs="Arial"/>
          <w:bCs/>
          <w:kern w:val="1"/>
          <w:lang w:eastAsia="ar-SA"/>
        </w:rPr>
      </w:pPr>
    </w:p>
    <w:p w14:paraId="3ACEAB2A" w14:textId="77777777" w:rsidR="00C21851" w:rsidRDefault="00C21851" w:rsidP="00BE0D80">
      <w:pPr>
        <w:spacing w:after="0"/>
        <w:rPr>
          <w:rFonts w:ascii="Arial" w:eastAsia="Times New Roman" w:hAnsi="Arial" w:cs="Arial"/>
          <w:bCs/>
          <w:kern w:val="1"/>
          <w:lang w:eastAsia="ar-SA"/>
        </w:rPr>
      </w:pPr>
    </w:p>
    <w:p w14:paraId="20058C28" w14:textId="77777777" w:rsidR="00BE0D80" w:rsidRDefault="00BE0D80" w:rsidP="00BE0D80">
      <w:pPr>
        <w:spacing w:after="0"/>
        <w:rPr>
          <w:rFonts w:ascii="Arial" w:eastAsia="Times New Roman" w:hAnsi="Arial" w:cs="Arial"/>
          <w:bCs/>
          <w:kern w:val="1"/>
          <w:lang w:eastAsia="ar-SA"/>
        </w:rPr>
      </w:pPr>
    </w:p>
    <w:p w14:paraId="0FDEA9A9" w14:textId="77777777" w:rsidR="00BE0D80" w:rsidRPr="00931D46" w:rsidRDefault="00BE0D80" w:rsidP="00BE0D80">
      <w:pPr>
        <w:pStyle w:val="Ttulo1"/>
        <w:numPr>
          <w:ilvl w:val="0"/>
          <w:numId w:val="5"/>
        </w:numPr>
        <w:spacing w:line="276" w:lineRule="auto"/>
        <w:jc w:val="both"/>
        <w:rPr>
          <w:rFonts w:ascii="Arial" w:hAnsi="Arial" w:cs="Arial"/>
          <w:b w:val="0"/>
          <w:sz w:val="26"/>
          <w:szCs w:val="26"/>
        </w:rPr>
      </w:pPr>
      <w:bookmarkStart w:id="16" w:name="_Toc85473310"/>
      <w:r>
        <w:rPr>
          <w:rFonts w:ascii="Arial" w:hAnsi="Arial" w:cs="Arial"/>
          <w:sz w:val="26"/>
          <w:szCs w:val="26"/>
        </w:rPr>
        <w:t>Presentación</w:t>
      </w:r>
      <w:bookmarkEnd w:id="16"/>
    </w:p>
    <w:p w14:paraId="6C1F64AD" w14:textId="77777777" w:rsidR="00BE0D80" w:rsidRDefault="00BE0D80" w:rsidP="00BE0D80">
      <w:pPr>
        <w:spacing w:after="0"/>
        <w:rPr>
          <w:rFonts w:ascii="Arial" w:eastAsia="Times New Roman" w:hAnsi="Arial" w:cs="Arial"/>
          <w:bCs/>
          <w:kern w:val="1"/>
          <w:lang w:eastAsia="ar-SA"/>
        </w:rPr>
      </w:pPr>
    </w:p>
    <w:p w14:paraId="0B66281A" w14:textId="77777777" w:rsidR="00BE0D80" w:rsidRPr="00D06A50" w:rsidRDefault="00BE0D80" w:rsidP="00BE0D80">
      <w:pPr>
        <w:spacing w:after="0"/>
        <w:jc w:val="both"/>
        <w:rPr>
          <w:rFonts w:ascii="Arial" w:hAnsi="Arial" w:cs="Arial"/>
          <w:color w:val="000000"/>
          <w:shd w:val="clear" w:color="auto" w:fill="FFFFFF"/>
        </w:rPr>
      </w:pPr>
      <w:r>
        <w:rPr>
          <w:rFonts w:ascii="Arial" w:eastAsia="Times New Roman" w:hAnsi="Arial" w:cs="Arial"/>
          <w:bCs/>
          <w:kern w:val="1"/>
          <w:lang w:eastAsia="ar-SA"/>
        </w:rPr>
        <w:t>La presente</w:t>
      </w:r>
      <w:r w:rsidRPr="00931D46">
        <w:rPr>
          <w:rFonts w:ascii="Arial" w:eastAsia="Times New Roman" w:hAnsi="Arial" w:cs="Arial"/>
          <w:bCs/>
          <w:kern w:val="1"/>
          <w:lang w:eastAsia="ar-SA"/>
        </w:rPr>
        <w:t xml:space="preserve"> Guía </w:t>
      </w:r>
      <w:r>
        <w:rPr>
          <w:rFonts w:ascii="Arial" w:eastAsia="Times New Roman" w:hAnsi="Arial" w:cs="Arial"/>
          <w:bCs/>
          <w:kern w:val="1"/>
          <w:lang w:eastAsia="ar-SA"/>
        </w:rPr>
        <w:t xml:space="preserve">se publica con </w:t>
      </w:r>
      <w:r w:rsidRPr="00837EF6">
        <w:rPr>
          <w:rFonts w:ascii="Arial" w:hAnsi="Arial" w:cs="Arial"/>
        </w:rPr>
        <w:t xml:space="preserve">fundamento en los artículos 28, párrafos décimo </w:t>
      </w:r>
      <w:r>
        <w:rPr>
          <w:rFonts w:ascii="Arial" w:hAnsi="Arial" w:cs="Arial"/>
        </w:rPr>
        <w:t>quinto</w:t>
      </w:r>
      <w:r w:rsidRPr="00837EF6">
        <w:rPr>
          <w:rFonts w:ascii="Arial" w:hAnsi="Arial" w:cs="Arial"/>
        </w:rPr>
        <w:t xml:space="preserve"> </w:t>
      </w:r>
      <w:r>
        <w:rPr>
          <w:rFonts w:ascii="Arial" w:hAnsi="Arial" w:cs="Arial"/>
        </w:rPr>
        <w:t>y</w:t>
      </w:r>
      <w:r w:rsidRPr="00837EF6">
        <w:rPr>
          <w:rFonts w:ascii="Arial" w:hAnsi="Arial" w:cs="Arial"/>
        </w:rPr>
        <w:t xml:space="preserve"> décimo sexto, de la </w:t>
      </w:r>
      <w:r>
        <w:rPr>
          <w:rFonts w:ascii="Arial" w:hAnsi="Arial" w:cs="Arial"/>
        </w:rPr>
        <w:t>CPEUM</w:t>
      </w:r>
      <w:r w:rsidRPr="00837EF6">
        <w:rPr>
          <w:rFonts w:ascii="Arial" w:hAnsi="Arial" w:cs="Arial"/>
        </w:rPr>
        <w:t>;</w:t>
      </w:r>
      <w:r w:rsidRPr="00837EF6">
        <w:rPr>
          <w:rFonts w:ascii="Arial" w:hAnsi="Arial" w:cs="Arial"/>
          <w:bCs/>
          <w:color w:val="000000"/>
          <w:lang w:eastAsia="es-MX"/>
        </w:rPr>
        <w:t xml:space="preserve"> 7, párrafo</w:t>
      </w:r>
      <w:r>
        <w:rPr>
          <w:rFonts w:ascii="Arial" w:hAnsi="Arial" w:cs="Arial"/>
          <w:bCs/>
          <w:color w:val="000000"/>
          <w:lang w:eastAsia="es-MX"/>
        </w:rPr>
        <w:t>s primero y</w:t>
      </w:r>
      <w:r w:rsidRPr="00837EF6">
        <w:rPr>
          <w:rFonts w:ascii="Arial" w:hAnsi="Arial" w:cs="Arial"/>
          <w:bCs/>
          <w:color w:val="000000"/>
          <w:lang w:eastAsia="es-MX"/>
        </w:rPr>
        <w:t xml:space="preserve"> tercero, </w:t>
      </w:r>
      <w:r>
        <w:rPr>
          <w:rFonts w:ascii="Arial" w:hAnsi="Arial" w:cs="Arial"/>
          <w:bCs/>
          <w:color w:val="000000"/>
          <w:lang w:eastAsia="es-MX"/>
        </w:rPr>
        <w:t xml:space="preserve">y 15, fracción XVIII </w:t>
      </w:r>
      <w:r w:rsidRPr="00837EF6">
        <w:rPr>
          <w:rFonts w:ascii="Arial" w:hAnsi="Arial" w:cs="Arial"/>
          <w:bCs/>
          <w:color w:val="000000"/>
          <w:lang w:eastAsia="es-MX"/>
        </w:rPr>
        <w:t xml:space="preserve">de la </w:t>
      </w:r>
      <w:r>
        <w:rPr>
          <w:rFonts w:ascii="Arial" w:hAnsi="Arial" w:cs="Arial"/>
          <w:bCs/>
          <w:color w:val="000000"/>
          <w:lang w:eastAsia="es-MX"/>
        </w:rPr>
        <w:t>LFTR</w:t>
      </w:r>
      <w:r w:rsidRPr="00837EF6">
        <w:rPr>
          <w:rFonts w:ascii="Arial" w:hAnsi="Arial" w:cs="Arial"/>
        </w:rPr>
        <w:t xml:space="preserve">; 1, 2, 5, párrafo primero, 12, fracción XXII, párrafo </w:t>
      </w:r>
      <w:r>
        <w:rPr>
          <w:rFonts w:ascii="Arial" w:hAnsi="Arial" w:cs="Arial"/>
        </w:rPr>
        <w:t>terc</w:t>
      </w:r>
      <w:r w:rsidRPr="00837EF6">
        <w:rPr>
          <w:rFonts w:ascii="Arial" w:hAnsi="Arial" w:cs="Arial"/>
        </w:rPr>
        <w:t xml:space="preserve">ero, inciso </w:t>
      </w:r>
      <w:r>
        <w:rPr>
          <w:rFonts w:ascii="Arial" w:hAnsi="Arial" w:cs="Arial"/>
        </w:rPr>
        <w:t>g</w:t>
      </w:r>
      <w:r w:rsidRPr="00837EF6">
        <w:rPr>
          <w:rFonts w:ascii="Arial" w:hAnsi="Arial" w:cs="Arial"/>
        </w:rPr>
        <w:t xml:space="preserve">), 18, párrafo séptimo, y 138, fracciones I y II, de la </w:t>
      </w:r>
      <w:r>
        <w:rPr>
          <w:rFonts w:ascii="Arial" w:hAnsi="Arial" w:cs="Arial"/>
        </w:rPr>
        <w:t>LFCE</w:t>
      </w:r>
      <w:r w:rsidRPr="00837EF6">
        <w:rPr>
          <w:rFonts w:ascii="Arial" w:hAnsi="Arial" w:cs="Arial"/>
          <w:color w:val="000000"/>
          <w:shd w:val="clear" w:color="auto" w:fill="FFFFFF"/>
        </w:rPr>
        <w:t xml:space="preserve">; y 187 de las </w:t>
      </w:r>
      <w:r>
        <w:rPr>
          <w:rFonts w:ascii="Arial" w:hAnsi="Arial" w:cs="Arial"/>
          <w:color w:val="000000"/>
          <w:shd w:val="clear" w:color="auto" w:fill="FFFFFF"/>
        </w:rPr>
        <w:t>DRLFCE.</w:t>
      </w:r>
    </w:p>
    <w:p w14:paraId="691D2C9C" w14:textId="77777777" w:rsidR="00BE0D80" w:rsidRDefault="00BE0D80" w:rsidP="00BE0D80">
      <w:pPr>
        <w:spacing w:after="0"/>
        <w:jc w:val="both"/>
        <w:rPr>
          <w:rFonts w:ascii="Arial" w:eastAsia="Times New Roman" w:hAnsi="Arial" w:cs="Arial"/>
          <w:bCs/>
          <w:kern w:val="1"/>
          <w:lang w:eastAsia="ar-SA"/>
        </w:rPr>
      </w:pPr>
    </w:p>
    <w:p w14:paraId="1F453B3C" w14:textId="1CB7CAE6" w:rsidR="00BE0D80" w:rsidRDefault="00BE0D80" w:rsidP="00BE0D80">
      <w:pPr>
        <w:spacing w:after="0"/>
        <w:jc w:val="both"/>
        <w:rPr>
          <w:rFonts w:ascii="Arial" w:eastAsia="Times New Roman" w:hAnsi="Arial" w:cs="Arial"/>
          <w:bCs/>
          <w:kern w:val="1"/>
          <w:lang w:eastAsia="ar-SA"/>
        </w:rPr>
      </w:pPr>
      <w:r>
        <w:rPr>
          <w:rFonts w:ascii="Arial" w:eastAsia="Times New Roman" w:hAnsi="Arial" w:cs="Arial"/>
          <w:bCs/>
          <w:kern w:val="1"/>
          <w:lang w:eastAsia="ar-SA"/>
        </w:rPr>
        <w:t>La</w:t>
      </w:r>
      <w:r w:rsidRPr="00931D46">
        <w:rPr>
          <w:rFonts w:ascii="Arial" w:eastAsia="Times New Roman" w:hAnsi="Arial" w:cs="Arial"/>
          <w:bCs/>
          <w:kern w:val="1"/>
          <w:lang w:eastAsia="ar-SA"/>
        </w:rPr>
        <w:t xml:space="preserve"> Guía </w:t>
      </w:r>
      <w:r>
        <w:rPr>
          <w:rFonts w:ascii="Arial" w:eastAsia="Times New Roman" w:hAnsi="Arial" w:cs="Arial"/>
          <w:bCs/>
          <w:kern w:val="1"/>
          <w:lang w:eastAsia="ar-SA"/>
        </w:rPr>
        <w:t>tiene los propósitos de</w:t>
      </w:r>
      <w:r w:rsidR="00B13A4F">
        <w:rPr>
          <w:rFonts w:ascii="Arial" w:eastAsia="Times New Roman" w:hAnsi="Arial" w:cs="Arial"/>
          <w:bCs/>
          <w:kern w:val="1"/>
          <w:lang w:eastAsia="ar-SA"/>
        </w:rPr>
        <w:t>:</w:t>
      </w:r>
      <w:r>
        <w:rPr>
          <w:rFonts w:ascii="Arial" w:eastAsia="Times New Roman" w:hAnsi="Arial" w:cs="Arial"/>
          <w:bCs/>
          <w:kern w:val="1"/>
          <w:lang w:eastAsia="ar-SA"/>
        </w:rPr>
        <w:t xml:space="preserve"> i)</w:t>
      </w:r>
      <w:r w:rsidRPr="00A76C2D">
        <w:rPr>
          <w:rFonts w:ascii="Arial" w:eastAsia="Times New Roman" w:hAnsi="Arial" w:cs="Arial"/>
          <w:bCs/>
          <w:kern w:val="1"/>
          <w:lang w:eastAsia="ar-SA"/>
        </w:rPr>
        <w:t xml:space="preserve"> </w:t>
      </w:r>
      <w:r w:rsidRPr="0033564A">
        <w:rPr>
          <w:rFonts w:ascii="Arial" w:eastAsia="Times New Roman" w:hAnsi="Arial" w:cs="Arial"/>
          <w:bCs/>
          <w:kern w:val="1"/>
          <w:lang w:eastAsia="ar-SA"/>
        </w:rPr>
        <w:t>orient</w:t>
      </w:r>
      <w:r>
        <w:rPr>
          <w:rFonts w:ascii="Arial" w:eastAsia="Times New Roman" w:hAnsi="Arial" w:cs="Arial"/>
          <w:bCs/>
          <w:kern w:val="1"/>
          <w:lang w:eastAsia="ar-SA"/>
        </w:rPr>
        <w:t>ar</w:t>
      </w:r>
      <w:r w:rsidRPr="0033564A">
        <w:rPr>
          <w:rFonts w:ascii="Arial" w:eastAsia="Times New Roman" w:hAnsi="Arial" w:cs="Arial"/>
          <w:bCs/>
          <w:kern w:val="1"/>
          <w:lang w:eastAsia="ar-SA"/>
        </w:rPr>
        <w:t xml:space="preserve"> a los </w:t>
      </w:r>
      <w:r>
        <w:rPr>
          <w:rFonts w:ascii="Arial" w:eastAsia="Times New Roman" w:hAnsi="Arial" w:cs="Arial"/>
          <w:bCs/>
          <w:kern w:val="1"/>
          <w:lang w:eastAsia="ar-SA"/>
        </w:rPr>
        <w:t xml:space="preserve">AE, </w:t>
      </w:r>
      <w:r w:rsidRPr="0033564A">
        <w:rPr>
          <w:rFonts w:ascii="Arial" w:eastAsia="Times New Roman" w:hAnsi="Arial" w:cs="Arial"/>
          <w:bCs/>
          <w:kern w:val="1"/>
          <w:lang w:eastAsia="ar-SA"/>
        </w:rPr>
        <w:t>a los interesados</w:t>
      </w:r>
      <w:r>
        <w:rPr>
          <w:rFonts w:ascii="Arial" w:eastAsia="Times New Roman" w:hAnsi="Arial" w:cs="Arial"/>
          <w:bCs/>
          <w:kern w:val="1"/>
          <w:lang w:eastAsia="ar-SA"/>
        </w:rPr>
        <w:t xml:space="preserve"> </w:t>
      </w:r>
      <w:r w:rsidRPr="0033564A">
        <w:rPr>
          <w:rFonts w:ascii="Arial" w:eastAsia="Times New Roman" w:hAnsi="Arial" w:cs="Arial"/>
          <w:bCs/>
          <w:kern w:val="1"/>
          <w:lang w:eastAsia="ar-SA"/>
        </w:rPr>
        <w:t>y a la sociedad en general</w:t>
      </w:r>
      <w:r>
        <w:rPr>
          <w:rFonts w:ascii="Arial" w:eastAsia="Times New Roman" w:hAnsi="Arial" w:cs="Arial"/>
          <w:bCs/>
          <w:kern w:val="1"/>
          <w:lang w:eastAsia="ar-SA"/>
        </w:rPr>
        <w:t xml:space="preserve">, </w:t>
      </w:r>
      <w:r w:rsidRPr="0033564A">
        <w:rPr>
          <w:rFonts w:ascii="Arial" w:eastAsia="Times New Roman" w:hAnsi="Arial" w:cs="Arial"/>
          <w:bCs/>
          <w:kern w:val="1"/>
          <w:lang w:eastAsia="ar-SA"/>
        </w:rPr>
        <w:t xml:space="preserve">respecto </w:t>
      </w:r>
      <w:r>
        <w:rPr>
          <w:rFonts w:ascii="Arial" w:eastAsia="Times New Roman" w:hAnsi="Arial" w:cs="Arial"/>
          <w:bCs/>
          <w:kern w:val="1"/>
          <w:lang w:eastAsia="ar-SA"/>
        </w:rPr>
        <w:t>a los criterios, elementos y herramientas que podrá considerar el Instituto en la determinación de MR</w:t>
      </w:r>
      <w:r w:rsidRPr="00BF0620">
        <w:rPr>
          <w:rFonts w:ascii="Arial" w:eastAsia="Times New Roman" w:hAnsi="Arial" w:cs="Arial"/>
          <w:bCs/>
          <w:kern w:val="1"/>
          <w:lang w:eastAsia="ar-SA"/>
        </w:rPr>
        <w:t xml:space="preserve"> </w:t>
      </w:r>
      <w:r>
        <w:rPr>
          <w:rFonts w:ascii="Arial" w:eastAsia="Times New Roman" w:hAnsi="Arial" w:cs="Arial"/>
          <w:bCs/>
          <w:kern w:val="1"/>
          <w:lang w:eastAsia="ar-SA"/>
        </w:rPr>
        <w:t>en análisis de competencia económica</w:t>
      </w:r>
      <w:r w:rsidRPr="0033564A">
        <w:rPr>
          <w:rFonts w:ascii="Arial" w:eastAsia="Times New Roman" w:hAnsi="Arial" w:cs="Arial"/>
          <w:bCs/>
          <w:kern w:val="1"/>
          <w:lang w:eastAsia="ar-SA"/>
        </w:rPr>
        <w:t xml:space="preserve"> </w:t>
      </w:r>
      <w:r w:rsidRPr="00931D46">
        <w:rPr>
          <w:rFonts w:ascii="Arial" w:eastAsia="Times New Roman" w:hAnsi="Arial" w:cs="Arial"/>
          <w:bCs/>
          <w:kern w:val="1"/>
          <w:lang w:eastAsia="ar-SA"/>
        </w:rPr>
        <w:t>en los sectores de TyR</w:t>
      </w:r>
      <w:r>
        <w:rPr>
          <w:rFonts w:ascii="Arial" w:eastAsia="Times New Roman" w:hAnsi="Arial" w:cs="Arial"/>
          <w:bCs/>
          <w:kern w:val="1"/>
          <w:lang w:eastAsia="ar-SA"/>
        </w:rPr>
        <w:t xml:space="preserve">, ii) </w:t>
      </w:r>
      <w:r w:rsidRPr="00931D46">
        <w:rPr>
          <w:rFonts w:ascii="Arial" w:eastAsia="Times New Roman" w:hAnsi="Arial" w:cs="Arial"/>
          <w:bCs/>
          <w:kern w:val="1"/>
          <w:lang w:eastAsia="ar-SA"/>
        </w:rPr>
        <w:t xml:space="preserve">contribuir a que los criterios que utilice el Instituto para determinar MR sean transparentes y consistentes, y </w:t>
      </w:r>
      <w:r>
        <w:rPr>
          <w:rFonts w:ascii="Arial" w:eastAsia="Times New Roman" w:hAnsi="Arial" w:cs="Arial"/>
          <w:bCs/>
          <w:kern w:val="1"/>
          <w:lang w:eastAsia="ar-SA"/>
        </w:rPr>
        <w:t xml:space="preserve">iii) </w:t>
      </w:r>
      <w:r w:rsidRPr="00931D46">
        <w:rPr>
          <w:rFonts w:ascii="Arial" w:eastAsia="Times New Roman" w:hAnsi="Arial" w:cs="Arial"/>
          <w:bCs/>
          <w:kern w:val="1"/>
          <w:lang w:eastAsia="ar-SA"/>
        </w:rPr>
        <w:t>dar certidumbre a los AE sobre el ejercicio de las atribuciones del Instituto como autoridad en materia de competencia económica y como órgano regulador en los sectores de TyR.</w:t>
      </w:r>
    </w:p>
    <w:p w14:paraId="3DFE291D" w14:textId="77777777" w:rsidR="00BE0D80" w:rsidRDefault="00BE0D80" w:rsidP="00BE0D80">
      <w:pPr>
        <w:spacing w:after="0"/>
        <w:jc w:val="both"/>
        <w:rPr>
          <w:rFonts w:ascii="Arial" w:eastAsia="Times New Roman" w:hAnsi="Arial" w:cs="Arial"/>
          <w:bCs/>
          <w:kern w:val="1"/>
          <w:lang w:eastAsia="ar-SA"/>
        </w:rPr>
      </w:pPr>
    </w:p>
    <w:p w14:paraId="5A7C1FD7" w14:textId="4EA1C04C" w:rsidR="00BE0D80" w:rsidRPr="00931D46" w:rsidRDefault="00BE0D80" w:rsidP="00BE0D80">
      <w:pPr>
        <w:spacing w:after="0"/>
        <w:jc w:val="both"/>
        <w:rPr>
          <w:rFonts w:ascii="Arial" w:eastAsia="Times New Roman" w:hAnsi="Arial" w:cs="Arial"/>
          <w:bCs/>
          <w:kern w:val="1"/>
          <w:lang w:eastAsia="ar-SA"/>
        </w:rPr>
      </w:pPr>
      <w:r>
        <w:rPr>
          <w:rFonts w:ascii="Arial" w:eastAsia="Times New Roman" w:hAnsi="Arial" w:cs="Arial"/>
          <w:bCs/>
          <w:kern w:val="1"/>
          <w:lang w:eastAsia="ar-SA"/>
        </w:rPr>
        <w:t>L</w:t>
      </w:r>
      <w:r w:rsidRPr="00931D46">
        <w:rPr>
          <w:rFonts w:ascii="Arial" w:eastAsia="Times New Roman" w:hAnsi="Arial" w:cs="Arial"/>
          <w:bCs/>
          <w:kern w:val="1"/>
          <w:lang w:eastAsia="ar-SA"/>
        </w:rPr>
        <w:t xml:space="preserve">a Guía </w:t>
      </w:r>
      <w:r>
        <w:rPr>
          <w:rFonts w:ascii="Arial" w:eastAsia="Times New Roman" w:hAnsi="Arial" w:cs="Arial"/>
          <w:bCs/>
          <w:kern w:val="1"/>
          <w:lang w:eastAsia="ar-SA"/>
        </w:rPr>
        <w:t>constituye</w:t>
      </w:r>
      <w:r w:rsidRPr="00931D46">
        <w:rPr>
          <w:rFonts w:ascii="Arial" w:eastAsia="Times New Roman" w:hAnsi="Arial" w:cs="Arial"/>
          <w:bCs/>
          <w:kern w:val="1"/>
          <w:lang w:eastAsia="ar-SA"/>
        </w:rPr>
        <w:t xml:space="preserve"> un marco de referencia que podrá seguir el Instituto para la determinación de MR en los sectores de TyR en asuntos que se tramiten en términos de la LFCE o de la LFTR, </w:t>
      </w:r>
      <w:r>
        <w:rPr>
          <w:rFonts w:ascii="Arial" w:eastAsia="Times New Roman" w:hAnsi="Arial" w:cs="Arial"/>
          <w:bCs/>
          <w:kern w:val="1"/>
          <w:lang w:eastAsia="ar-SA"/>
        </w:rPr>
        <w:t xml:space="preserve">mas no tiene </w:t>
      </w:r>
      <w:r w:rsidRPr="00931D46">
        <w:rPr>
          <w:rFonts w:ascii="Arial" w:eastAsia="Times New Roman" w:hAnsi="Arial" w:cs="Arial"/>
          <w:bCs/>
          <w:kern w:val="1"/>
          <w:lang w:eastAsia="ar-SA"/>
        </w:rPr>
        <w:t>el carácter de vinculante</w:t>
      </w:r>
      <w:r>
        <w:rPr>
          <w:rFonts w:ascii="Arial" w:eastAsia="Times New Roman" w:hAnsi="Arial" w:cs="Arial"/>
          <w:bCs/>
          <w:kern w:val="1"/>
          <w:lang w:eastAsia="ar-SA"/>
        </w:rPr>
        <w:t xml:space="preserve"> para el Pleno del Instituto</w:t>
      </w:r>
      <w:r w:rsidRPr="00931D46">
        <w:rPr>
          <w:rFonts w:ascii="Arial" w:eastAsia="Times New Roman" w:hAnsi="Arial" w:cs="Arial"/>
          <w:bCs/>
          <w:kern w:val="1"/>
          <w:lang w:eastAsia="ar-SA"/>
        </w:rPr>
        <w:t xml:space="preserve">. </w:t>
      </w:r>
    </w:p>
    <w:p w14:paraId="66DE60EE" w14:textId="77777777" w:rsidR="00BE0D80" w:rsidRPr="00931D46" w:rsidRDefault="00BE0D80" w:rsidP="00BE0D80">
      <w:pPr>
        <w:spacing w:after="0"/>
        <w:jc w:val="both"/>
        <w:rPr>
          <w:rFonts w:ascii="Arial" w:eastAsia="Times New Roman" w:hAnsi="Arial" w:cs="Arial"/>
          <w:bCs/>
          <w:kern w:val="1"/>
          <w:lang w:eastAsia="ar-SA"/>
        </w:rPr>
      </w:pPr>
    </w:p>
    <w:p w14:paraId="7C3984E4" w14:textId="77777777" w:rsidR="00BE0D80" w:rsidRDefault="00BE0D80" w:rsidP="00BE0D80">
      <w:pPr>
        <w:spacing w:after="0"/>
        <w:jc w:val="both"/>
        <w:rPr>
          <w:rFonts w:ascii="Arial" w:eastAsia="Times New Roman" w:hAnsi="Arial" w:cs="Arial"/>
          <w:kern w:val="1"/>
          <w:lang w:eastAsia="ar-SA"/>
        </w:rPr>
      </w:pPr>
      <w:r w:rsidRPr="00B56F77">
        <w:rPr>
          <w:rFonts w:ascii="Arial" w:eastAsia="Times New Roman" w:hAnsi="Arial" w:cs="Arial"/>
          <w:bCs/>
          <w:kern w:val="1"/>
          <w:lang w:eastAsia="ar-SA"/>
        </w:rPr>
        <w:t xml:space="preserve">Los criterios que contiene la presente Guía están basados en lo establecido en la CPEUM, la LFCE y las DRLFCE en relación con la determinación de MR, y </w:t>
      </w:r>
      <w:bookmarkStart w:id="17" w:name="_Hlk83592017"/>
      <w:r w:rsidRPr="00B56F77">
        <w:rPr>
          <w:rFonts w:ascii="Arial" w:eastAsia="Times New Roman" w:hAnsi="Arial" w:cs="Arial"/>
          <w:bCs/>
          <w:kern w:val="1"/>
          <w:lang w:eastAsia="ar-SA"/>
        </w:rPr>
        <w:t xml:space="preserve">guardan consistencia con la teoría económica, la práctica internacional y los precedentes decisorios del Pleno del Instituto y del </w:t>
      </w:r>
      <w:r w:rsidRPr="00B56F77">
        <w:rPr>
          <w:rFonts w:ascii="Arial" w:eastAsia="Times New Roman" w:hAnsi="Arial" w:cs="Arial"/>
          <w:kern w:val="1"/>
          <w:lang w:eastAsia="ar-SA"/>
        </w:rPr>
        <w:t>PJF</w:t>
      </w:r>
      <w:bookmarkEnd w:id="17"/>
      <w:r w:rsidRPr="00B56F77">
        <w:rPr>
          <w:rFonts w:ascii="Arial" w:eastAsia="Times New Roman" w:hAnsi="Arial" w:cs="Arial"/>
          <w:kern w:val="1"/>
          <w:lang w:eastAsia="ar-SA"/>
        </w:rPr>
        <w:t xml:space="preserve">. </w:t>
      </w:r>
    </w:p>
    <w:p w14:paraId="45AC1763" w14:textId="77777777" w:rsidR="00BE0D80" w:rsidRDefault="00BE0D80" w:rsidP="00BE0D80">
      <w:pPr>
        <w:spacing w:after="0"/>
        <w:jc w:val="both"/>
        <w:rPr>
          <w:rFonts w:ascii="Arial" w:eastAsia="Times New Roman" w:hAnsi="Arial" w:cs="Arial"/>
          <w:kern w:val="1"/>
          <w:lang w:eastAsia="ar-SA"/>
        </w:rPr>
      </w:pPr>
    </w:p>
    <w:p w14:paraId="760A14D7" w14:textId="77777777" w:rsidR="00BE0D80" w:rsidRDefault="00BE0D80" w:rsidP="00BE0D80">
      <w:pPr>
        <w:spacing w:after="0"/>
        <w:jc w:val="both"/>
        <w:rPr>
          <w:rFonts w:ascii="Arial" w:eastAsia="Times New Roman" w:hAnsi="Arial" w:cs="Arial"/>
          <w:bCs/>
          <w:kern w:val="1"/>
          <w:lang w:eastAsia="ar-SA"/>
        </w:rPr>
      </w:pPr>
      <w:r w:rsidRPr="001B3020">
        <w:rPr>
          <w:rFonts w:ascii="Arial" w:eastAsia="Times New Roman" w:hAnsi="Arial" w:cs="Arial"/>
          <w:bCs/>
          <w:kern w:val="1"/>
          <w:lang w:eastAsia="ar-SA"/>
        </w:rPr>
        <w:t>Este documento es susceptible de modi</w:t>
      </w:r>
      <w:r>
        <w:rPr>
          <w:rFonts w:ascii="Arial" w:eastAsia="Times New Roman" w:hAnsi="Arial" w:cs="Arial"/>
          <w:bCs/>
          <w:kern w:val="1"/>
          <w:lang w:eastAsia="ar-SA"/>
        </w:rPr>
        <w:t xml:space="preserve">ficaciones futuras en la medida en </w:t>
      </w:r>
      <w:r w:rsidRPr="001B3020">
        <w:rPr>
          <w:rFonts w:ascii="Arial" w:eastAsia="Times New Roman" w:hAnsi="Arial" w:cs="Arial"/>
          <w:bCs/>
          <w:kern w:val="1"/>
          <w:lang w:eastAsia="ar-SA"/>
        </w:rPr>
        <w:t>que la</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 xml:space="preserve">legislación y los criterios que </w:t>
      </w:r>
      <w:r>
        <w:rPr>
          <w:rFonts w:ascii="Arial" w:eastAsia="Times New Roman" w:hAnsi="Arial" w:cs="Arial"/>
          <w:bCs/>
          <w:kern w:val="1"/>
          <w:lang w:eastAsia="ar-SA"/>
        </w:rPr>
        <w:t>la sustentan</w:t>
      </w:r>
      <w:r w:rsidRPr="001B3020">
        <w:rPr>
          <w:rFonts w:ascii="Arial" w:eastAsia="Times New Roman" w:hAnsi="Arial" w:cs="Arial"/>
          <w:bCs/>
          <w:kern w:val="1"/>
          <w:lang w:eastAsia="ar-SA"/>
        </w:rPr>
        <w:t xml:space="preserve"> cambien y en atención a las</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interpretaciones y los criterios que emitan las autoridades competentes</w:t>
      </w:r>
      <w:r>
        <w:rPr>
          <w:rFonts w:ascii="Arial" w:eastAsia="Times New Roman" w:hAnsi="Arial" w:cs="Arial"/>
          <w:bCs/>
          <w:kern w:val="1"/>
          <w:lang w:eastAsia="ar-SA"/>
        </w:rPr>
        <w:t xml:space="preserve">, incluido </w:t>
      </w:r>
      <w:r w:rsidRPr="001B3020">
        <w:rPr>
          <w:rFonts w:ascii="Arial" w:eastAsia="Times New Roman" w:hAnsi="Arial" w:cs="Arial"/>
          <w:bCs/>
          <w:kern w:val="1"/>
          <w:lang w:eastAsia="ar-SA"/>
        </w:rPr>
        <w:t>el PJF. Asimismo, esta Guía será revisada por el Instituto por lo</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 xml:space="preserve">menos cada </w:t>
      </w:r>
      <w:r>
        <w:rPr>
          <w:rFonts w:ascii="Arial" w:eastAsia="Times New Roman" w:hAnsi="Arial" w:cs="Arial"/>
          <w:bCs/>
          <w:kern w:val="1"/>
          <w:lang w:eastAsia="ar-SA"/>
        </w:rPr>
        <w:t>5 (</w:t>
      </w:r>
      <w:r w:rsidRPr="001B3020">
        <w:rPr>
          <w:rFonts w:ascii="Arial" w:eastAsia="Times New Roman" w:hAnsi="Arial" w:cs="Arial"/>
          <w:bCs/>
          <w:kern w:val="1"/>
          <w:lang w:eastAsia="ar-SA"/>
        </w:rPr>
        <w:t>cinco</w:t>
      </w:r>
      <w:r>
        <w:rPr>
          <w:rFonts w:ascii="Arial" w:eastAsia="Times New Roman" w:hAnsi="Arial" w:cs="Arial"/>
          <w:bCs/>
          <w:kern w:val="1"/>
          <w:lang w:eastAsia="ar-SA"/>
        </w:rPr>
        <w:t>)</w:t>
      </w:r>
      <w:r w:rsidRPr="001B3020">
        <w:rPr>
          <w:rFonts w:ascii="Arial" w:eastAsia="Times New Roman" w:hAnsi="Arial" w:cs="Arial"/>
          <w:bCs/>
          <w:kern w:val="1"/>
          <w:lang w:eastAsia="ar-SA"/>
        </w:rPr>
        <w:t xml:space="preserve"> años, de conformidad con lo señalado en el artículo 138 </w:t>
      </w:r>
      <w:r w:rsidRPr="0058608F">
        <w:rPr>
          <w:rFonts w:ascii="Arial" w:eastAsia="Times New Roman" w:hAnsi="Arial" w:cs="Arial"/>
          <w:bCs/>
          <w:i/>
          <w:kern w:val="1"/>
          <w:lang w:eastAsia="ar-SA"/>
        </w:rPr>
        <w:t>in fine</w:t>
      </w:r>
      <w:r w:rsidRPr="001B3020">
        <w:rPr>
          <w:rFonts w:ascii="Arial" w:eastAsia="Times New Roman" w:hAnsi="Arial" w:cs="Arial"/>
          <w:bCs/>
          <w:kern w:val="1"/>
          <w:lang w:eastAsia="ar-SA"/>
        </w:rPr>
        <w:t>,</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de la LFCE.</w:t>
      </w:r>
    </w:p>
    <w:p w14:paraId="37ED416F" w14:textId="77777777" w:rsidR="00C21851" w:rsidRPr="00931D46" w:rsidRDefault="00C21851" w:rsidP="00BE0D80">
      <w:pPr>
        <w:spacing w:after="0"/>
        <w:jc w:val="both"/>
        <w:rPr>
          <w:rFonts w:ascii="Arial" w:hAnsi="Arial" w:cs="Arial"/>
        </w:rPr>
      </w:pPr>
    </w:p>
    <w:p w14:paraId="468C5CDE" w14:textId="77777777" w:rsidR="00BE0D80" w:rsidRPr="00931D46" w:rsidRDefault="00BE0D80" w:rsidP="00BE0D80">
      <w:pPr>
        <w:pStyle w:val="Ttulo1"/>
        <w:numPr>
          <w:ilvl w:val="0"/>
          <w:numId w:val="5"/>
        </w:numPr>
        <w:spacing w:line="276" w:lineRule="auto"/>
        <w:jc w:val="both"/>
        <w:rPr>
          <w:rFonts w:ascii="Arial" w:hAnsi="Arial" w:cs="Arial"/>
          <w:b w:val="0"/>
          <w:sz w:val="26"/>
          <w:szCs w:val="26"/>
        </w:rPr>
      </w:pPr>
      <w:bookmarkStart w:id="18" w:name="_Toc41649748"/>
      <w:bookmarkStart w:id="19" w:name="_Toc41649889"/>
      <w:bookmarkStart w:id="20" w:name="_Toc45216568"/>
      <w:bookmarkStart w:id="21" w:name="_Toc45628313"/>
      <w:bookmarkStart w:id="22" w:name="_Toc85473311"/>
      <w:bookmarkStart w:id="23" w:name="_Hlk83587487"/>
      <w:r w:rsidRPr="00931D46">
        <w:rPr>
          <w:rFonts w:ascii="Arial" w:hAnsi="Arial" w:cs="Arial"/>
          <w:sz w:val="26"/>
          <w:szCs w:val="26"/>
        </w:rPr>
        <w:t xml:space="preserve">Concepto de </w:t>
      </w:r>
      <w:bookmarkEnd w:id="18"/>
      <w:r w:rsidRPr="00931D46">
        <w:rPr>
          <w:rFonts w:ascii="Arial" w:hAnsi="Arial" w:cs="Arial"/>
          <w:sz w:val="26"/>
          <w:szCs w:val="26"/>
        </w:rPr>
        <w:t>MR</w:t>
      </w:r>
      <w:bookmarkEnd w:id="19"/>
      <w:bookmarkEnd w:id="20"/>
      <w:r w:rsidRPr="00931D46">
        <w:rPr>
          <w:rFonts w:ascii="Arial" w:hAnsi="Arial" w:cs="Arial"/>
          <w:sz w:val="26"/>
          <w:szCs w:val="26"/>
        </w:rPr>
        <w:t xml:space="preserve"> y su utilidad</w:t>
      </w:r>
      <w:bookmarkEnd w:id="21"/>
      <w:bookmarkEnd w:id="22"/>
      <w:r w:rsidRPr="00931D46">
        <w:rPr>
          <w:rFonts w:ascii="Arial" w:hAnsi="Arial" w:cs="Arial"/>
          <w:sz w:val="26"/>
          <w:szCs w:val="26"/>
        </w:rPr>
        <w:t xml:space="preserve"> </w:t>
      </w:r>
    </w:p>
    <w:bookmarkEnd w:id="23"/>
    <w:p w14:paraId="11D39E32" w14:textId="77777777" w:rsidR="00BE0D80" w:rsidRPr="00931D46" w:rsidRDefault="00BE0D80" w:rsidP="00BE0D80">
      <w:pPr>
        <w:keepNext/>
        <w:spacing w:after="0"/>
        <w:jc w:val="both"/>
        <w:rPr>
          <w:rFonts w:ascii="Arial" w:hAnsi="Arial" w:cs="Arial"/>
        </w:rPr>
      </w:pPr>
    </w:p>
    <w:p w14:paraId="7E68AD11" w14:textId="77777777" w:rsidR="00BE0D80" w:rsidRPr="00931D46" w:rsidRDefault="00BE0D80" w:rsidP="00BE0D80">
      <w:pPr>
        <w:spacing w:after="0"/>
        <w:jc w:val="both"/>
        <w:rPr>
          <w:rFonts w:ascii="Arial" w:eastAsia="Times New Roman" w:hAnsi="Arial" w:cs="Arial"/>
          <w:bCs/>
          <w:kern w:val="1"/>
          <w:vertAlign w:val="superscript"/>
          <w:lang w:eastAsia="ar-SA"/>
        </w:rPr>
      </w:pPr>
      <w:r w:rsidRPr="00931D46">
        <w:rPr>
          <w:rFonts w:ascii="Arial" w:eastAsia="Times New Roman" w:hAnsi="Arial" w:cs="Arial"/>
          <w:bCs/>
          <w:kern w:val="1"/>
          <w:lang w:eastAsia="ar-SA"/>
        </w:rPr>
        <w:t xml:space="preserve">En la literatura especializada, el concepto de MR se define como </w:t>
      </w:r>
      <w:r w:rsidRPr="00931D46">
        <w:rPr>
          <w:rFonts w:ascii="Arial" w:eastAsia="Times New Roman" w:hAnsi="Arial" w:cs="Arial"/>
          <w:bCs/>
          <w:i/>
          <w:kern w:val="1"/>
          <w:lang w:eastAsia="ar-SA"/>
        </w:rPr>
        <w:t>“el conjunto de productos (y zonas geográficas) que podrían crear presiones competitivas para las empresas analizadas [p.ej. las empresas resultantes de una concentración]”</w:t>
      </w:r>
      <w:r w:rsidRPr="00931D46" w:rsidDel="00633E17">
        <w:rPr>
          <w:rFonts w:ascii="Arial" w:eastAsia="Times New Roman" w:hAnsi="Arial" w:cs="Arial"/>
          <w:bCs/>
          <w:kern w:val="1"/>
          <w:vertAlign w:val="superscript"/>
          <w:lang w:eastAsia="ar-SA"/>
        </w:rPr>
        <w:t xml:space="preserve"> </w:t>
      </w:r>
      <w:r w:rsidRPr="00931D46">
        <w:rPr>
          <w:rFonts w:ascii="Arial" w:eastAsia="Times New Roman" w:hAnsi="Arial" w:cs="Arial"/>
          <w:bCs/>
          <w:i/>
          <w:kern w:val="1"/>
          <w:lang w:eastAsia="ar-SA"/>
        </w:rPr>
        <w:t>o “el conjunto de productos (y zonas geográficas) que ejercen alguna presión competitiva entre sí”.</w:t>
      </w:r>
      <w:r w:rsidRPr="00931D46">
        <w:rPr>
          <w:rFonts w:ascii="Arial" w:eastAsia="Times New Roman" w:hAnsi="Arial" w:cs="Arial"/>
          <w:bCs/>
          <w:kern w:val="1"/>
          <w:vertAlign w:val="superscript"/>
          <w:lang w:eastAsia="ar-SA"/>
        </w:rPr>
        <w:t xml:space="preserve"> </w:t>
      </w:r>
      <w:r w:rsidRPr="00931D46">
        <w:rPr>
          <w:rFonts w:ascii="Arial" w:eastAsia="Times New Roman" w:hAnsi="Arial" w:cs="Arial"/>
          <w:bCs/>
          <w:kern w:val="1"/>
          <w:vertAlign w:val="superscript"/>
          <w:lang w:eastAsia="ar-SA"/>
        </w:rPr>
        <w:footnoteReference w:id="5"/>
      </w:r>
    </w:p>
    <w:p w14:paraId="10C45B44" w14:textId="77777777" w:rsidR="00BE0D80" w:rsidRPr="00931D46" w:rsidRDefault="00BE0D80" w:rsidP="00BE0D80">
      <w:pPr>
        <w:spacing w:after="0"/>
        <w:jc w:val="both"/>
        <w:rPr>
          <w:rFonts w:ascii="Arial" w:eastAsia="Times New Roman" w:hAnsi="Arial" w:cs="Arial"/>
          <w:bCs/>
          <w:kern w:val="1"/>
          <w:lang w:eastAsia="ar-SA"/>
        </w:rPr>
      </w:pPr>
    </w:p>
    <w:p w14:paraId="57EDFD5E" w14:textId="77777777" w:rsidR="00BE0D80" w:rsidRPr="00931D46" w:rsidRDefault="00BE0D80" w:rsidP="00BE0D80">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Por su parte, el PJF ha señalado que el MR se refiere al conjunto de “</w:t>
      </w:r>
      <w:r w:rsidRPr="00931D46">
        <w:rPr>
          <w:rFonts w:ascii="Arial" w:eastAsia="Times New Roman" w:hAnsi="Arial" w:cs="Arial"/>
          <w:bCs/>
          <w:i/>
          <w:kern w:val="1"/>
          <w:lang w:eastAsia="ar-SA"/>
        </w:rPr>
        <w:t xml:space="preserve">todos los productos que son razonablemente intercambiables o sustituibles, según los fines para los que fueron hechos, </w:t>
      </w:r>
      <w:r w:rsidRPr="00931D46">
        <w:rPr>
          <w:rFonts w:ascii="Arial" w:eastAsia="Times New Roman" w:hAnsi="Arial" w:cs="Arial"/>
          <w:bCs/>
          <w:i/>
          <w:kern w:val="1"/>
          <w:lang w:eastAsia="ar-SA"/>
        </w:rPr>
        <w:lastRenderedPageBreak/>
        <w:t>considerando las características de precio, uso y calidad. En forma más simple, el mercado relevante es el espacio geográfico en el que se ofrecen o demandan productos o servicios similares, lo que le otorga una doble dimensión: De productos o servicios y geográfica o territorial. En esa tesitura, para que exista mercado relevante es necesario que un conjunto de bienes o servicios iguales o similares estén al alcance del consumidor en un territorio lo suficientemente extenso como para que el consumidor esté dispuesto a obtener la mercancía o servicio en algún punto de ese espacio geográfico, en el tiempo en que aquél esté dispuesto a esperar para satisfacer su necesidad. En ese orden de ideas, se advierte que este concepto, (…) tiene una triple delimitación: objetiva, geográfica y temporal (…).</w:t>
      </w:r>
      <w:r w:rsidRPr="00931D46">
        <w:rPr>
          <w:rFonts w:ascii="Arial" w:eastAsia="Times New Roman" w:hAnsi="Arial" w:cs="Arial"/>
          <w:bCs/>
          <w:kern w:val="1"/>
          <w:lang w:eastAsia="ar-SA"/>
        </w:rPr>
        <w:t>”</w:t>
      </w:r>
      <w:r w:rsidRPr="00931D46">
        <w:rPr>
          <w:rStyle w:val="Refdenotaalpie"/>
          <w:rFonts w:ascii="Arial" w:hAnsi="Arial" w:cs="Arial"/>
        </w:rPr>
        <w:footnoteReference w:id="6"/>
      </w:r>
    </w:p>
    <w:p w14:paraId="601DEBCB" w14:textId="77777777" w:rsidR="00BE0D80" w:rsidRPr="00931D46" w:rsidRDefault="00BE0D80" w:rsidP="00BE0D80">
      <w:pPr>
        <w:spacing w:after="0"/>
        <w:jc w:val="both"/>
        <w:rPr>
          <w:rFonts w:ascii="Arial" w:eastAsia="Times New Roman" w:hAnsi="Arial" w:cs="Arial"/>
          <w:bCs/>
          <w:kern w:val="1"/>
          <w:lang w:eastAsia="ar-SA"/>
        </w:rPr>
      </w:pPr>
    </w:p>
    <w:p w14:paraId="76EBB31E" w14:textId="77777777" w:rsidR="00BE0D80" w:rsidRPr="00931D46" w:rsidRDefault="00BE0D80" w:rsidP="00BE0D80">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En el ámbito internacional,</w:t>
      </w:r>
      <w:r w:rsidRPr="00931D46">
        <w:rPr>
          <w:rStyle w:val="Refdenotaalpie"/>
          <w:rFonts w:ascii="Arial" w:eastAsia="Times New Roman" w:hAnsi="Arial" w:cs="Arial"/>
          <w:bCs/>
          <w:kern w:val="1"/>
          <w:lang w:eastAsia="ar-SA"/>
        </w:rPr>
        <w:footnoteReference w:id="7"/>
      </w:r>
      <w:r w:rsidRPr="00931D46">
        <w:rPr>
          <w:rFonts w:ascii="Arial" w:eastAsia="Times New Roman" w:hAnsi="Arial" w:cs="Arial"/>
          <w:bCs/>
          <w:kern w:val="1"/>
          <w:lang w:eastAsia="ar-SA"/>
        </w:rPr>
        <w:t xml:space="preserve"> las autoridades de competencia económica </w:t>
      </w:r>
      <w:r>
        <w:rPr>
          <w:rFonts w:ascii="Arial" w:eastAsia="Times New Roman" w:hAnsi="Arial" w:cs="Arial"/>
          <w:bCs/>
          <w:kern w:val="1"/>
          <w:lang w:eastAsia="ar-SA"/>
        </w:rPr>
        <w:t xml:space="preserve">y organismos internacionales, como la OCDE, </w:t>
      </w:r>
      <w:r w:rsidRPr="00931D46">
        <w:rPr>
          <w:rFonts w:ascii="Arial" w:eastAsia="Times New Roman" w:hAnsi="Arial" w:cs="Arial"/>
          <w:bCs/>
          <w:kern w:val="1"/>
          <w:lang w:eastAsia="ar-SA"/>
        </w:rPr>
        <w:t>definen el concepto de MR de manera similar, con base en dos dimensiones</w:t>
      </w:r>
      <w:r>
        <w:rPr>
          <w:rFonts w:ascii="Arial" w:eastAsia="Times New Roman" w:hAnsi="Arial" w:cs="Arial"/>
          <w:bCs/>
          <w:kern w:val="1"/>
          <w:lang w:eastAsia="ar-SA"/>
        </w:rPr>
        <w:t>:</w:t>
      </w:r>
      <w:r w:rsidRPr="00931D46">
        <w:rPr>
          <w:rFonts w:ascii="Arial" w:eastAsia="Times New Roman" w:hAnsi="Arial" w:cs="Arial"/>
          <w:bCs/>
          <w:kern w:val="1"/>
          <w:lang w:eastAsia="ar-SA"/>
        </w:rPr>
        <w:t xml:space="preserve">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geográfica</w:t>
      </w:r>
      <w:r>
        <w:rPr>
          <w:rFonts w:ascii="Arial" w:eastAsia="Times New Roman" w:hAnsi="Arial" w:cs="Arial"/>
          <w:bCs/>
          <w:kern w:val="1"/>
          <w:lang w:eastAsia="ar-SA"/>
        </w:rPr>
        <w:t>.</w:t>
      </w:r>
      <w:r>
        <w:rPr>
          <w:rStyle w:val="Refdenotaalpie"/>
          <w:rFonts w:ascii="Arial" w:eastAsia="Times New Roman" w:hAnsi="Arial" w:cs="Arial"/>
          <w:bCs/>
          <w:kern w:val="1"/>
          <w:lang w:eastAsia="ar-SA"/>
        </w:rPr>
        <w:footnoteReference w:id="8"/>
      </w:r>
    </w:p>
    <w:p w14:paraId="4B438713" w14:textId="77777777" w:rsidR="00BE0D80" w:rsidRPr="00931D46" w:rsidRDefault="00BE0D80" w:rsidP="00BE0D80">
      <w:pPr>
        <w:spacing w:after="0"/>
        <w:jc w:val="both"/>
        <w:rPr>
          <w:rFonts w:ascii="Arial" w:eastAsia="Times New Roman" w:hAnsi="Arial" w:cs="Arial"/>
          <w:bCs/>
          <w:kern w:val="1"/>
          <w:lang w:eastAsia="ar-SA"/>
        </w:rPr>
      </w:pPr>
    </w:p>
    <w:p w14:paraId="78A1C36F" w14:textId="77777777" w:rsidR="00BE0D80" w:rsidRPr="00931D46" w:rsidRDefault="00BE0D80" w:rsidP="00BE0D80">
      <w:pPr>
        <w:spacing w:after="0"/>
        <w:jc w:val="both"/>
        <w:rPr>
          <w:rFonts w:ascii="Arial" w:eastAsia="Times New Roman" w:hAnsi="Arial" w:cs="Arial"/>
          <w:bCs/>
          <w:kern w:val="1"/>
          <w:lang w:eastAsia="ar-SA"/>
        </w:rPr>
      </w:pPr>
      <w:r>
        <w:rPr>
          <w:rFonts w:ascii="Arial" w:eastAsia="Times New Roman" w:hAnsi="Arial" w:cs="Arial"/>
          <w:bCs/>
          <w:kern w:val="1"/>
          <w:lang w:eastAsia="ar-SA"/>
        </w:rPr>
        <w:t>E</w:t>
      </w:r>
      <w:r w:rsidRPr="00931D46">
        <w:rPr>
          <w:rFonts w:ascii="Arial" w:eastAsia="Times New Roman" w:hAnsi="Arial" w:cs="Arial"/>
          <w:bCs/>
          <w:kern w:val="1"/>
          <w:lang w:eastAsia="ar-SA"/>
        </w:rPr>
        <w:t>l concepto de MR que se utiliza para analizar cuestiones de competencia económica es distinto al concepto llano de “mercado” que se utiliza en otros contextos, pues el MR debe delimitarse “</w:t>
      </w:r>
      <w:r w:rsidRPr="00931D46">
        <w:rPr>
          <w:rFonts w:ascii="Arial" w:eastAsia="Times New Roman" w:hAnsi="Arial" w:cs="Arial"/>
          <w:bCs/>
          <w:i/>
          <w:kern w:val="1"/>
          <w:lang w:eastAsia="ar-SA"/>
        </w:rPr>
        <w:t>de manera que las restricciones [presiones] competitivas a las que se enfrenta una empresa, es decir, la sustitución por el lado de la demanda y de la oferta, sean capturadas con la mayor precisión posible</w:t>
      </w:r>
      <w:r w:rsidRPr="00931D46">
        <w:rPr>
          <w:rFonts w:ascii="Arial" w:eastAsia="Times New Roman" w:hAnsi="Arial" w:cs="Arial"/>
          <w:bCs/>
          <w:kern w:val="1"/>
          <w:lang w:eastAsia="ar-SA"/>
        </w:rPr>
        <w:t>”.</w:t>
      </w:r>
      <w:r w:rsidRPr="00931D46">
        <w:rPr>
          <w:rStyle w:val="Refdenotaalpie"/>
          <w:rFonts w:ascii="Arial" w:eastAsia="Times New Roman" w:hAnsi="Arial" w:cs="Arial"/>
          <w:bCs/>
          <w:kern w:val="1"/>
          <w:lang w:eastAsia="ar-SA"/>
        </w:rPr>
        <w:footnoteReference w:id="9"/>
      </w:r>
    </w:p>
    <w:p w14:paraId="70D369DD" w14:textId="77777777" w:rsidR="00BE0D80" w:rsidRPr="00931D46" w:rsidRDefault="00BE0D80" w:rsidP="00BE0D80">
      <w:pPr>
        <w:spacing w:after="0"/>
        <w:jc w:val="both"/>
        <w:rPr>
          <w:rFonts w:ascii="Arial" w:eastAsia="Times New Roman" w:hAnsi="Arial" w:cs="Arial"/>
          <w:bCs/>
          <w:kern w:val="1"/>
          <w:lang w:eastAsia="ar-SA"/>
        </w:rPr>
      </w:pPr>
    </w:p>
    <w:p w14:paraId="79913CE4" w14:textId="6E87856A" w:rsidR="00BE0D80" w:rsidRPr="00931D46" w:rsidRDefault="00BE0D80" w:rsidP="00BE0D80">
      <w:pPr>
        <w:spacing w:after="0"/>
        <w:jc w:val="both"/>
        <w:rPr>
          <w:rFonts w:ascii="Arial" w:eastAsia="Times New Roman" w:hAnsi="Arial" w:cs="Arial"/>
          <w:bCs/>
          <w:kern w:val="1"/>
          <w:lang w:eastAsia="ar-SA"/>
        </w:rPr>
      </w:pPr>
      <w:r>
        <w:rPr>
          <w:rFonts w:ascii="Arial" w:eastAsia="Times New Roman" w:hAnsi="Arial" w:cs="Arial"/>
          <w:bCs/>
          <w:kern w:val="1"/>
          <w:lang w:eastAsia="ar-SA"/>
        </w:rPr>
        <w:t>D</w:t>
      </w:r>
      <w:r w:rsidRPr="00931D46">
        <w:rPr>
          <w:rFonts w:ascii="Arial" w:eastAsia="Times New Roman" w:hAnsi="Arial" w:cs="Arial"/>
          <w:bCs/>
          <w:kern w:val="1"/>
          <w:lang w:eastAsia="ar-SA"/>
        </w:rPr>
        <w:t>eterminar el MR</w:t>
      </w:r>
      <w:r w:rsidRPr="00931D46">
        <w:rPr>
          <w:rFonts w:ascii="Arial" w:hAnsi="Arial" w:cs="Arial"/>
        </w:rPr>
        <w:t xml:space="preserve"> </w:t>
      </w:r>
      <w:r w:rsidRPr="00931D46">
        <w:rPr>
          <w:rFonts w:ascii="Arial" w:eastAsia="Times New Roman" w:hAnsi="Arial" w:cs="Arial"/>
          <w:bCs/>
          <w:kern w:val="1"/>
          <w:lang w:eastAsia="ar-SA"/>
        </w:rPr>
        <w:t xml:space="preserve">es fundamental para </w:t>
      </w:r>
      <w:r>
        <w:rPr>
          <w:rFonts w:ascii="Arial" w:eastAsia="Times New Roman" w:hAnsi="Arial" w:cs="Arial"/>
          <w:bCs/>
          <w:kern w:val="1"/>
          <w:lang w:eastAsia="ar-SA"/>
        </w:rPr>
        <w:t>delimitar</w:t>
      </w:r>
      <w:r w:rsidRPr="00931D46">
        <w:rPr>
          <w:rFonts w:ascii="Arial" w:eastAsia="Times New Roman" w:hAnsi="Arial" w:cs="Arial"/>
          <w:bCs/>
          <w:kern w:val="1"/>
          <w:lang w:eastAsia="ar-SA"/>
        </w:rPr>
        <w:t xml:space="preserve"> el entorno en el que ocurre una conducta,</w:t>
      </w:r>
      <w:r>
        <w:rPr>
          <w:rFonts w:ascii="Arial" w:eastAsia="Times New Roman" w:hAnsi="Arial" w:cs="Arial"/>
          <w:bCs/>
          <w:kern w:val="1"/>
          <w:lang w:eastAsia="ar-SA"/>
        </w:rPr>
        <w:t xml:space="preserve"> </w:t>
      </w:r>
      <w:r w:rsidRPr="00931D46">
        <w:rPr>
          <w:rFonts w:ascii="Arial" w:eastAsia="Times New Roman" w:hAnsi="Arial" w:cs="Arial"/>
          <w:bCs/>
          <w:kern w:val="1"/>
          <w:lang w:eastAsia="ar-SA"/>
        </w:rPr>
        <w:t>identificar los efectos de una concentración y</w:t>
      </w:r>
      <w:r>
        <w:rPr>
          <w:rFonts w:ascii="Arial" w:eastAsia="Times New Roman" w:hAnsi="Arial" w:cs="Arial"/>
          <w:bCs/>
          <w:kern w:val="1"/>
          <w:lang w:eastAsia="ar-SA"/>
        </w:rPr>
        <w:t xml:space="preserve"> caracterizar</w:t>
      </w:r>
      <w:r w:rsidRPr="00931D46">
        <w:rPr>
          <w:rFonts w:ascii="Arial" w:eastAsia="Times New Roman" w:hAnsi="Arial" w:cs="Arial"/>
          <w:bCs/>
          <w:kern w:val="1"/>
          <w:lang w:eastAsia="ar-SA"/>
        </w:rPr>
        <w:t xml:space="preserve"> las condiciones de competencia y libre concurrencia. </w:t>
      </w:r>
      <w:r w:rsidRPr="0063447B">
        <w:rPr>
          <w:rFonts w:ascii="Arial" w:eastAsia="Times New Roman" w:hAnsi="Arial" w:cs="Arial"/>
          <w:bCs/>
          <w:kern w:val="1"/>
          <w:lang w:eastAsia="ar-SA"/>
        </w:rPr>
        <w:t xml:space="preserve">Por ello, la LFCE prevé la necesidad de determinar el MR en diversos artículos que se refieren al análisis de concentraciones, investigación de </w:t>
      </w:r>
      <w:r>
        <w:rPr>
          <w:rFonts w:ascii="Arial" w:eastAsia="Times New Roman" w:hAnsi="Arial" w:cs="Arial"/>
          <w:bCs/>
          <w:kern w:val="1"/>
          <w:lang w:eastAsia="ar-SA"/>
        </w:rPr>
        <w:t>PMR</w:t>
      </w:r>
      <w:r w:rsidRPr="0063447B">
        <w:rPr>
          <w:rFonts w:ascii="Arial" w:eastAsia="Times New Roman" w:hAnsi="Arial" w:cs="Arial"/>
          <w:bCs/>
          <w:kern w:val="1"/>
          <w:lang w:eastAsia="ar-SA"/>
        </w:rPr>
        <w:t>, así como al procedimiento para resolver u opinar sobre cuestiones de competencia efectiva y existencia de poder sustancial, entre otros. En ese sentido</w:t>
      </w:r>
      <w:r w:rsidRPr="00931D46">
        <w:rPr>
          <w:rFonts w:ascii="Arial" w:eastAsia="Times New Roman" w:hAnsi="Arial" w:cs="Arial"/>
          <w:bCs/>
          <w:kern w:val="1"/>
          <w:lang w:eastAsia="ar-SA"/>
        </w:rPr>
        <w:t xml:space="preserve">, dicha determinación no es un fin en sí mismo, sino una herramienta para </w:t>
      </w:r>
      <w:r w:rsidRPr="00931D46">
        <w:rPr>
          <w:rFonts w:ascii="Arial" w:eastAsia="Times New Roman" w:hAnsi="Arial" w:cs="Arial"/>
          <w:bCs/>
          <w:kern w:val="1"/>
          <w:lang w:eastAsia="ar-SA"/>
        </w:rPr>
        <w:lastRenderedPageBreak/>
        <w:t xml:space="preserve">establecer </w:t>
      </w:r>
      <w:r>
        <w:rPr>
          <w:rFonts w:ascii="Arial" w:eastAsia="Times New Roman" w:hAnsi="Arial" w:cs="Arial"/>
          <w:bCs/>
          <w:kern w:val="1"/>
          <w:lang w:eastAsia="ar-SA"/>
        </w:rPr>
        <w:t>el</w:t>
      </w:r>
      <w:r w:rsidRPr="00931D46">
        <w:rPr>
          <w:rFonts w:ascii="Arial" w:eastAsia="Times New Roman" w:hAnsi="Arial" w:cs="Arial"/>
          <w:bCs/>
          <w:kern w:val="1"/>
          <w:lang w:eastAsia="ar-SA"/>
        </w:rPr>
        <w:t xml:space="preserve"> marco de referencia </w:t>
      </w:r>
      <w:r>
        <w:rPr>
          <w:rFonts w:ascii="Arial" w:eastAsia="Times New Roman" w:hAnsi="Arial" w:cs="Arial"/>
          <w:bCs/>
          <w:kern w:val="1"/>
          <w:lang w:eastAsia="ar-SA"/>
        </w:rPr>
        <w:t>para</w:t>
      </w:r>
      <w:r w:rsidRPr="00931D46">
        <w:rPr>
          <w:rFonts w:ascii="Arial" w:eastAsia="Times New Roman" w:hAnsi="Arial" w:cs="Arial"/>
          <w:bCs/>
          <w:kern w:val="1"/>
          <w:lang w:eastAsia="ar-SA"/>
        </w:rPr>
        <w:t xml:space="preserve"> la evaluación de efectos o condiciones de competencia</w:t>
      </w:r>
      <w:r w:rsidR="0014216B">
        <w:rPr>
          <w:rFonts w:ascii="Arial" w:eastAsia="Times New Roman" w:hAnsi="Arial" w:cs="Arial"/>
          <w:bCs/>
          <w:kern w:val="1"/>
          <w:lang w:eastAsia="ar-SA"/>
        </w:rPr>
        <w:t>.</w:t>
      </w:r>
      <w:r w:rsidRPr="00931D46">
        <w:rPr>
          <w:rFonts w:ascii="Arial" w:eastAsia="Times New Roman" w:hAnsi="Arial" w:cs="Arial"/>
          <w:bCs/>
          <w:kern w:val="1"/>
          <w:lang w:eastAsia="ar-SA"/>
        </w:rPr>
        <w:t xml:space="preserve"> </w:t>
      </w:r>
      <w:r w:rsidR="0014216B">
        <w:rPr>
          <w:rFonts w:ascii="Arial" w:eastAsia="Times New Roman" w:hAnsi="Arial" w:cs="Arial"/>
          <w:bCs/>
          <w:kern w:val="1"/>
          <w:lang w:eastAsia="ar-SA"/>
        </w:rPr>
        <w:t>L</w:t>
      </w:r>
      <w:r w:rsidRPr="00931D46">
        <w:rPr>
          <w:rFonts w:ascii="Arial" w:eastAsia="Times New Roman" w:hAnsi="Arial" w:cs="Arial"/>
          <w:bCs/>
          <w:kern w:val="1"/>
          <w:lang w:eastAsia="ar-SA"/>
        </w:rPr>
        <w:t>a SCJN</w:t>
      </w:r>
      <w:r w:rsidRPr="00931D46">
        <w:rPr>
          <w:rStyle w:val="Refdenotaalpie"/>
          <w:rFonts w:ascii="Arial" w:hAnsi="Arial" w:cs="Arial"/>
        </w:rPr>
        <w:footnoteReference w:id="10"/>
      </w:r>
      <w:r w:rsidRPr="00931D46">
        <w:rPr>
          <w:rFonts w:ascii="Arial" w:eastAsia="Times New Roman" w:hAnsi="Arial" w:cs="Arial"/>
          <w:bCs/>
          <w:kern w:val="1"/>
          <w:lang w:eastAsia="ar-SA"/>
        </w:rPr>
        <w:t xml:space="preserve"> </w:t>
      </w:r>
      <w:r>
        <w:rPr>
          <w:rFonts w:ascii="Arial" w:eastAsia="Times New Roman" w:hAnsi="Arial" w:cs="Arial"/>
          <w:bCs/>
          <w:kern w:val="1"/>
          <w:lang w:eastAsia="ar-SA"/>
        </w:rPr>
        <w:t>y la práctica internacional</w:t>
      </w:r>
      <w:r w:rsidRPr="00931D46">
        <w:rPr>
          <w:rStyle w:val="Refdenotaalpie"/>
          <w:rFonts w:ascii="Arial" w:hAnsi="Arial" w:cs="Arial"/>
        </w:rPr>
        <w:footnoteReference w:id="11"/>
      </w:r>
      <w:r>
        <w:rPr>
          <w:rFonts w:ascii="Arial" w:eastAsia="Times New Roman" w:hAnsi="Arial" w:cs="Arial"/>
          <w:bCs/>
          <w:kern w:val="1"/>
          <w:lang w:eastAsia="ar-SA"/>
        </w:rPr>
        <w:t xml:space="preserve"> indican </w:t>
      </w:r>
      <w:r w:rsidRPr="00931D46">
        <w:rPr>
          <w:rFonts w:ascii="Arial" w:eastAsia="Times New Roman" w:hAnsi="Arial" w:cs="Arial"/>
          <w:bCs/>
          <w:kern w:val="1"/>
          <w:lang w:eastAsia="ar-SA"/>
        </w:rPr>
        <w:t xml:space="preserve">que la determinación del MR cobra importancia sólo en un contexto de análisis de competencia, convirtiéndose así en un medio para determinar la presencia o ausencia de poder </w:t>
      </w:r>
      <w:r w:rsidR="0014216B">
        <w:rPr>
          <w:rFonts w:ascii="Arial" w:eastAsia="Times New Roman" w:hAnsi="Arial" w:cs="Arial"/>
          <w:bCs/>
          <w:kern w:val="1"/>
          <w:lang w:eastAsia="ar-SA"/>
        </w:rPr>
        <w:t xml:space="preserve">sustancial </w:t>
      </w:r>
      <w:r>
        <w:rPr>
          <w:rFonts w:ascii="Arial" w:eastAsia="Times New Roman" w:hAnsi="Arial" w:cs="Arial"/>
          <w:bCs/>
          <w:kern w:val="1"/>
          <w:lang w:eastAsia="ar-SA"/>
        </w:rPr>
        <w:t>d</w:t>
      </w:r>
      <w:r w:rsidRPr="00931D46">
        <w:rPr>
          <w:rFonts w:ascii="Arial" w:eastAsia="Times New Roman" w:hAnsi="Arial" w:cs="Arial"/>
          <w:bCs/>
          <w:kern w:val="1"/>
          <w:lang w:eastAsia="ar-SA"/>
        </w:rPr>
        <w:t>e mercado.</w:t>
      </w:r>
    </w:p>
    <w:p w14:paraId="53D9EF89" w14:textId="77777777" w:rsidR="00BE0D80" w:rsidRDefault="00BE0D80" w:rsidP="00BE0D80">
      <w:pPr>
        <w:spacing w:after="0"/>
        <w:jc w:val="both"/>
        <w:rPr>
          <w:rFonts w:ascii="Arial" w:eastAsia="Times New Roman" w:hAnsi="Arial" w:cs="Arial"/>
          <w:bCs/>
          <w:kern w:val="1"/>
          <w:lang w:eastAsia="ar-SA"/>
        </w:rPr>
      </w:pPr>
    </w:p>
    <w:p w14:paraId="6AC74C95" w14:textId="77777777" w:rsidR="00BE0D80" w:rsidRDefault="00BE0D80" w:rsidP="00BE0D80">
      <w:pPr>
        <w:jc w:val="both"/>
        <w:rPr>
          <w:rFonts w:ascii="Arial" w:eastAsia="Times New Roman" w:hAnsi="Arial" w:cs="Arial"/>
          <w:bCs/>
          <w:kern w:val="1"/>
          <w:lang w:eastAsia="ar-SA"/>
        </w:rPr>
      </w:pPr>
      <w:r>
        <w:rPr>
          <w:rFonts w:ascii="Arial" w:eastAsia="Times New Roman" w:hAnsi="Arial" w:cs="Arial"/>
          <w:bCs/>
          <w:kern w:val="1"/>
          <w:lang w:eastAsia="ar-SA"/>
        </w:rPr>
        <w:t xml:space="preserve">Por lo tanto, los errores en la determinación del MR pueden implicar una apreciación incorrecta sobre las condiciones de competencia que existen en el mercado. En particular, se pueden cometer dos tipos de errores al determinar el MR: </w:t>
      </w:r>
    </w:p>
    <w:p w14:paraId="7AD1ECF5" w14:textId="77777777" w:rsidR="00BE0D80" w:rsidRPr="00EA2839" w:rsidRDefault="00BE0D80" w:rsidP="00BE0D80">
      <w:pPr>
        <w:pStyle w:val="Prrafodelista"/>
        <w:numPr>
          <w:ilvl w:val="0"/>
          <w:numId w:val="36"/>
        </w:numPr>
        <w:spacing w:after="120"/>
        <w:ind w:left="709" w:hanging="567"/>
        <w:contextualSpacing w:val="0"/>
        <w:jc w:val="both"/>
        <w:rPr>
          <w:rFonts w:ascii="Arial" w:eastAsia="Times New Roman" w:hAnsi="Arial" w:cs="Arial"/>
          <w:bCs/>
          <w:kern w:val="1"/>
          <w:lang w:eastAsia="ar-SA"/>
        </w:rPr>
      </w:pPr>
      <w:r w:rsidRPr="00EA2839">
        <w:rPr>
          <w:rFonts w:ascii="Arial" w:eastAsia="Times New Roman" w:hAnsi="Arial" w:cs="Arial"/>
          <w:bCs/>
          <w:kern w:val="1"/>
          <w:lang w:eastAsia="ar-SA"/>
        </w:rPr>
        <w:t>Determinación demasiado amplia, que implica considerar una gran cantidad de productos o zonas geográficas como sustitutos</w:t>
      </w:r>
      <w:r>
        <w:rPr>
          <w:rFonts w:ascii="Arial" w:eastAsia="Times New Roman" w:hAnsi="Arial" w:cs="Arial"/>
          <w:bCs/>
          <w:kern w:val="1"/>
          <w:lang w:eastAsia="ar-SA"/>
        </w:rPr>
        <w:t>, cuando en realidad no lo son</w:t>
      </w:r>
      <w:r w:rsidRPr="00EA2839">
        <w:rPr>
          <w:rFonts w:ascii="Arial" w:eastAsia="Times New Roman" w:hAnsi="Arial" w:cs="Arial"/>
          <w:bCs/>
          <w:kern w:val="1"/>
          <w:lang w:eastAsia="ar-SA"/>
        </w:rPr>
        <w:t>, lo que a su vez lleva a observar una mayor cantidad de participantes en el mercado y una mayor competencia</w:t>
      </w:r>
      <w:r>
        <w:rPr>
          <w:rFonts w:ascii="Arial" w:eastAsia="Times New Roman" w:hAnsi="Arial" w:cs="Arial"/>
          <w:bCs/>
          <w:kern w:val="1"/>
          <w:lang w:eastAsia="ar-SA"/>
        </w:rPr>
        <w:t>, cuando no la hay</w:t>
      </w:r>
      <w:r w:rsidRPr="00EA2839">
        <w:rPr>
          <w:rFonts w:ascii="Arial" w:eastAsia="Times New Roman" w:hAnsi="Arial" w:cs="Arial"/>
          <w:bCs/>
          <w:kern w:val="1"/>
          <w:lang w:eastAsia="ar-SA"/>
        </w:rPr>
        <w:t xml:space="preserve">, y </w:t>
      </w:r>
    </w:p>
    <w:p w14:paraId="627C6485" w14:textId="77777777" w:rsidR="00BE0D80" w:rsidRPr="00EA2839" w:rsidRDefault="00BE0D80" w:rsidP="00BE0D80">
      <w:pPr>
        <w:pStyle w:val="Prrafodelista"/>
        <w:numPr>
          <w:ilvl w:val="0"/>
          <w:numId w:val="36"/>
        </w:numPr>
        <w:spacing w:after="0"/>
        <w:ind w:left="709" w:hanging="567"/>
        <w:jc w:val="both"/>
        <w:rPr>
          <w:rFonts w:ascii="Arial" w:eastAsia="Times New Roman" w:hAnsi="Arial" w:cs="Arial"/>
          <w:bCs/>
          <w:kern w:val="1"/>
          <w:lang w:eastAsia="ar-SA"/>
        </w:rPr>
      </w:pPr>
      <w:r>
        <w:rPr>
          <w:rFonts w:ascii="Arial" w:eastAsia="Times New Roman" w:hAnsi="Arial" w:cs="Arial"/>
          <w:bCs/>
          <w:kern w:val="1"/>
          <w:lang w:eastAsia="ar-SA"/>
        </w:rPr>
        <w:t>D</w:t>
      </w:r>
      <w:r w:rsidRPr="00EA2839">
        <w:rPr>
          <w:rFonts w:ascii="Arial" w:eastAsia="Times New Roman" w:hAnsi="Arial" w:cs="Arial"/>
          <w:bCs/>
          <w:kern w:val="1"/>
          <w:lang w:eastAsia="ar-SA"/>
        </w:rPr>
        <w:t xml:space="preserve">eterminación demasiado estrecha, que </w:t>
      </w:r>
      <w:r>
        <w:rPr>
          <w:rFonts w:ascii="Arial" w:eastAsia="Times New Roman" w:hAnsi="Arial" w:cs="Arial"/>
          <w:bCs/>
          <w:kern w:val="1"/>
          <w:lang w:eastAsia="ar-SA"/>
        </w:rPr>
        <w:t xml:space="preserve">implica considerar muy pocos productos o zonas geográficas como sustitutos, cuando en realidad hay otros </w:t>
      </w:r>
      <w:r w:rsidRPr="00EA2839">
        <w:rPr>
          <w:rFonts w:ascii="Arial" w:eastAsia="Times New Roman" w:hAnsi="Arial" w:cs="Arial"/>
          <w:bCs/>
          <w:kern w:val="1"/>
          <w:lang w:eastAsia="ar-SA"/>
        </w:rPr>
        <w:t xml:space="preserve">productos y zonas geográficas que representan fuertes presiones competitivas para los participantes y evitan la existencia de poder de mercado. </w:t>
      </w:r>
      <w:r>
        <w:rPr>
          <w:rFonts w:ascii="Arial" w:eastAsia="Times New Roman" w:hAnsi="Arial" w:cs="Arial"/>
          <w:bCs/>
          <w:kern w:val="1"/>
          <w:lang w:eastAsia="ar-SA"/>
        </w:rPr>
        <w:t>Con base en este análisis, se pueden llegar a prohibir situaciones que no son anticompetitivas.</w:t>
      </w:r>
    </w:p>
    <w:p w14:paraId="7E5DE9D7" w14:textId="77777777" w:rsidR="00C21851" w:rsidRDefault="00C21851" w:rsidP="00BE0D80">
      <w:pPr>
        <w:spacing w:after="0"/>
        <w:jc w:val="both"/>
        <w:rPr>
          <w:rFonts w:ascii="Arial" w:eastAsia="Times New Roman" w:hAnsi="Arial" w:cs="Arial"/>
          <w:bCs/>
          <w:kern w:val="1"/>
          <w:lang w:eastAsia="ar-SA"/>
        </w:rPr>
      </w:pPr>
    </w:p>
    <w:p w14:paraId="59292359" w14:textId="43ADD1FF" w:rsidR="00BE0D80" w:rsidRPr="00931D46" w:rsidRDefault="00BE0D80" w:rsidP="00BE0D80">
      <w:pPr>
        <w:spacing w:after="0"/>
        <w:jc w:val="both"/>
        <w:rPr>
          <w:rFonts w:ascii="Arial" w:hAnsi="Arial" w:cs="Arial"/>
        </w:rPr>
      </w:pPr>
      <w:r w:rsidRPr="00931D46">
        <w:rPr>
          <w:rFonts w:ascii="Arial" w:eastAsia="Times New Roman" w:hAnsi="Arial" w:cs="Arial"/>
          <w:bCs/>
          <w:kern w:val="1"/>
          <w:lang w:eastAsia="ar-SA"/>
        </w:rPr>
        <w:t xml:space="preserve">Respecto a los elementos a considerar para la determinación de MR, la SCJN </w:t>
      </w:r>
      <w:r w:rsidRPr="00931D46">
        <w:rPr>
          <w:rFonts w:ascii="Arial" w:hAnsi="Arial" w:cs="Arial"/>
        </w:rPr>
        <w:t>ha señalado que el MR es un concepto jurídico indeterminado cuya determinación implica una valoración económica compleja de carácter discrecional que sólo la autoridad de competencia puede construir a partir de la evidencia de que dispone</w:t>
      </w:r>
      <w:r>
        <w:rPr>
          <w:rFonts w:ascii="Arial" w:hAnsi="Arial" w:cs="Arial"/>
        </w:rPr>
        <w:t>,</w:t>
      </w:r>
      <w:r w:rsidRPr="00931D46">
        <w:rPr>
          <w:rStyle w:val="Refdenotaalpie"/>
          <w:rFonts w:ascii="Arial" w:hAnsi="Arial" w:cs="Arial"/>
        </w:rPr>
        <w:footnoteReference w:id="12"/>
      </w:r>
      <w:r>
        <w:rPr>
          <w:rFonts w:ascii="Arial" w:hAnsi="Arial" w:cs="Arial"/>
        </w:rPr>
        <w:t xml:space="preserve"> l</w:t>
      </w:r>
      <w:r w:rsidRPr="00931D46">
        <w:rPr>
          <w:rFonts w:ascii="Arial" w:hAnsi="Arial" w:cs="Arial"/>
        </w:rPr>
        <w:t xml:space="preserve">o </w:t>
      </w:r>
      <w:r>
        <w:rPr>
          <w:rFonts w:ascii="Arial" w:hAnsi="Arial" w:cs="Arial"/>
        </w:rPr>
        <w:t xml:space="preserve">cual </w:t>
      </w:r>
      <w:r w:rsidRPr="00931D46">
        <w:rPr>
          <w:rFonts w:ascii="Arial" w:hAnsi="Arial" w:cs="Arial"/>
        </w:rPr>
        <w:t>es consistente con lo señalado por diversas autoridades de otras jurisdicciones y organismos internacionales</w:t>
      </w:r>
      <w:r>
        <w:rPr>
          <w:rFonts w:ascii="Arial" w:hAnsi="Arial" w:cs="Arial"/>
        </w:rPr>
        <w:t>.</w:t>
      </w:r>
      <w:r w:rsidRPr="00931D46">
        <w:rPr>
          <w:rStyle w:val="Refdenotaalpie"/>
          <w:rFonts w:ascii="Arial" w:hAnsi="Arial" w:cs="Arial"/>
        </w:rPr>
        <w:footnoteReference w:id="13"/>
      </w:r>
    </w:p>
    <w:p w14:paraId="1A3DEFCA" w14:textId="77777777" w:rsidR="00BE0D80" w:rsidRPr="00931D46" w:rsidRDefault="00BE0D80" w:rsidP="00BE0D80">
      <w:pPr>
        <w:spacing w:after="0"/>
        <w:jc w:val="both"/>
        <w:rPr>
          <w:rFonts w:ascii="Arial" w:hAnsi="Arial" w:cs="Arial"/>
        </w:rPr>
      </w:pPr>
    </w:p>
    <w:p w14:paraId="5524E5C8"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25" w:name="_Toc45216569"/>
      <w:bookmarkStart w:id="26" w:name="_Toc45628314"/>
      <w:bookmarkStart w:id="27" w:name="_Toc85473312"/>
      <w:bookmarkStart w:id="28" w:name="_Hlk83588144"/>
      <w:r>
        <w:rPr>
          <w:rFonts w:ascii="Arial" w:eastAsia="Times New Roman" w:hAnsi="Arial" w:cs="Arial"/>
          <w:sz w:val="26"/>
          <w:lang w:eastAsia="es-MX"/>
        </w:rPr>
        <w:lastRenderedPageBreak/>
        <w:t>D</w:t>
      </w:r>
      <w:r w:rsidRPr="00931D46">
        <w:rPr>
          <w:rFonts w:ascii="Arial" w:eastAsia="Times New Roman" w:hAnsi="Arial" w:cs="Arial"/>
          <w:sz w:val="26"/>
          <w:lang w:eastAsia="es-MX"/>
        </w:rPr>
        <w:t>efinición conceptual de MR</w:t>
      </w:r>
      <w:bookmarkEnd w:id="25"/>
      <w:r w:rsidRPr="00931D46">
        <w:rPr>
          <w:rFonts w:ascii="Arial" w:eastAsia="Times New Roman" w:hAnsi="Arial" w:cs="Arial"/>
          <w:sz w:val="26"/>
          <w:lang w:eastAsia="es-MX"/>
        </w:rPr>
        <w:t xml:space="preserve"> y su determinación</w:t>
      </w:r>
      <w:bookmarkEnd w:id="26"/>
      <w:bookmarkEnd w:id="27"/>
    </w:p>
    <w:bookmarkEnd w:id="28"/>
    <w:p w14:paraId="03901BDA" w14:textId="77777777" w:rsidR="00BE0D80" w:rsidRPr="00931D46" w:rsidRDefault="00BE0D80" w:rsidP="00BE0D80">
      <w:pPr>
        <w:keepNext/>
        <w:spacing w:after="0"/>
        <w:jc w:val="both"/>
        <w:rPr>
          <w:rFonts w:ascii="Arial" w:hAnsi="Arial" w:cs="Arial"/>
        </w:rPr>
      </w:pPr>
    </w:p>
    <w:p w14:paraId="4A8926C7" w14:textId="77777777" w:rsidR="00BE0D80" w:rsidRPr="00931D46" w:rsidRDefault="00BE0D80" w:rsidP="00BE0D80">
      <w:pPr>
        <w:spacing w:after="0"/>
        <w:jc w:val="both"/>
        <w:rPr>
          <w:rFonts w:ascii="Arial" w:eastAsia="Times New Roman" w:hAnsi="Arial" w:cs="Arial"/>
          <w:bCs/>
          <w:kern w:val="1"/>
          <w:lang w:eastAsia="ar-SA"/>
        </w:rPr>
      </w:pPr>
      <w:r w:rsidRPr="00931D46">
        <w:rPr>
          <w:rFonts w:ascii="Arial" w:hAnsi="Arial" w:cs="Arial"/>
        </w:rPr>
        <w:t xml:space="preserve">Se entenderá como MR </w:t>
      </w:r>
      <w:r w:rsidRPr="00931D46">
        <w:rPr>
          <w:rFonts w:ascii="Arial" w:eastAsia="Times New Roman" w:hAnsi="Arial" w:cs="Arial"/>
          <w:bCs/>
          <w:kern w:val="1"/>
          <w:lang w:eastAsia="ar-SA"/>
        </w:rPr>
        <w:t xml:space="preserve">el espacio geográfico en el que se ofrecen o demandan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sustitutos, el cual tiene dos dimensiones: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geográfica. </w:t>
      </w:r>
    </w:p>
    <w:p w14:paraId="0AA17D0F" w14:textId="77777777" w:rsidR="00BE0D80" w:rsidRPr="00931D46" w:rsidRDefault="00BE0D80" w:rsidP="00BE0D80">
      <w:pPr>
        <w:spacing w:after="0"/>
        <w:jc w:val="both"/>
        <w:rPr>
          <w:rFonts w:ascii="Arial" w:eastAsia="Times New Roman" w:hAnsi="Arial" w:cs="Arial"/>
          <w:bCs/>
          <w:kern w:val="1"/>
          <w:lang w:eastAsia="ar-SA"/>
        </w:rPr>
      </w:pPr>
    </w:p>
    <w:p w14:paraId="704756FA" w14:textId="77777777" w:rsidR="00BE0D80" w:rsidRPr="00931D46" w:rsidRDefault="00BE0D80" w:rsidP="00BE0D80">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La dimensión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del MR es el </w:t>
      </w:r>
      <w:r w:rsidRPr="00931D46">
        <w:rPr>
          <w:rFonts w:ascii="Arial" w:hAnsi="Arial" w:cs="Arial"/>
        </w:rPr>
        <w:t xml:space="preserve">conjunto de </w:t>
      </w:r>
      <w:r>
        <w:rPr>
          <w:rFonts w:ascii="Arial" w:hAnsi="Arial" w:cs="Arial"/>
        </w:rPr>
        <w:t>productos</w:t>
      </w:r>
      <w:r w:rsidRPr="00931D46">
        <w:rPr>
          <w:rFonts w:ascii="Arial" w:hAnsi="Arial" w:cs="Arial"/>
        </w:rPr>
        <w:t xml:space="preserve"> </w:t>
      </w:r>
      <w:r w:rsidRPr="00931D46">
        <w:rPr>
          <w:rFonts w:ascii="Arial" w:eastAsia="Times New Roman" w:hAnsi="Arial" w:cs="Arial"/>
          <w:bCs/>
          <w:kern w:val="1"/>
          <w:lang w:eastAsia="ar-SA"/>
        </w:rPr>
        <w:t>que son razonablemente intercambiables</w:t>
      </w:r>
      <w:r>
        <w:rPr>
          <w:rFonts w:ascii="Arial" w:eastAsia="Times New Roman" w:hAnsi="Arial" w:cs="Arial"/>
          <w:bCs/>
          <w:kern w:val="1"/>
          <w:lang w:eastAsia="ar-SA"/>
        </w:rPr>
        <w:t>,</w:t>
      </w:r>
      <w:r w:rsidRPr="00931D46">
        <w:rPr>
          <w:rFonts w:ascii="Arial" w:eastAsia="Times New Roman" w:hAnsi="Arial" w:cs="Arial"/>
          <w:bCs/>
          <w:kern w:val="1"/>
          <w:lang w:eastAsia="ar-SA"/>
        </w:rPr>
        <w:t xml:space="preserve"> o sustituibles</w:t>
      </w:r>
      <w:r w:rsidRPr="00931D46">
        <w:rPr>
          <w:rFonts w:ascii="Arial" w:hAnsi="Arial" w:cs="Arial"/>
        </w:rPr>
        <w:t xml:space="preserve"> oportunamente</w:t>
      </w:r>
      <w:r>
        <w:rPr>
          <w:rFonts w:ascii="Arial" w:hAnsi="Arial" w:cs="Arial"/>
        </w:rPr>
        <w:t>,</w:t>
      </w:r>
      <w:r w:rsidRPr="00931D46">
        <w:rPr>
          <w:rFonts w:ascii="Arial" w:hAnsi="Arial" w:cs="Arial"/>
        </w:rPr>
        <w:t xml:space="preserve"> </w:t>
      </w:r>
      <w:r w:rsidRPr="00931D46">
        <w:rPr>
          <w:rFonts w:ascii="Arial" w:eastAsia="Times New Roman" w:hAnsi="Arial" w:cs="Arial"/>
          <w:bCs/>
          <w:kern w:val="1"/>
          <w:lang w:eastAsia="ar-SA"/>
        </w:rPr>
        <w:t>en razón de sus características y los fines para los que fueron hechos, considerando cuestiones de precio, uso y calidad, por lo que ejercen una presión competitiva entre sí.</w:t>
      </w:r>
      <w:r>
        <w:rPr>
          <w:rFonts w:ascii="Arial" w:eastAsia="Times New Roman" w:hAnsi="Arial" w:cs="Arial"/>
          <w:bCs/>
          <w:kern w:val="1"/>
          <w:lang w:eastAsia="ar-SA"/>
        </w:rPr>
        <w:t xml:space="preserve"> </w:t>
      </w:r>
      <w:r w:rsidRPr="0097652E">
        <w:rPr>
          <w:rFonts w:ascii="Arial" w:eastAsia="Times New Roman" w:hAnsi="Arial" w:cs="Arial"/>
          <w:bCs/>
          <w:kern w:val="1"/>
          <w:lang w:eastAsia="ar-SA"/>
        </w:rPr>
        <w:t xml:space="preserve">Dentro de dicho conjunto de productos se pueden considerar tanto aquellos provistos por empresas que actualmente participan en el mercado como los de otras empresas que puedan comenzar a proveerlos de manera inmediata y sin incurrir en costos apreciables (véase sección 3 de la presente </w:t>
      </w:r>
      <w:r>
        <w:rPr>
          <w:rFonts w:ascii="Arial" w:eastAsia="Times New Roman" w:hAnsi="Arial" w:cs="Arial"/>
          <w:bCs/>
          <w:kern w:val="1"/>
          <w:lang w:eastAsia="ar-SA"/>
        </w:rPr>
        <w:t>g</w:t>
      </w:r>
      <w:r w:rsidRPr="0097652E">
        <w:rPr>
          <w:rFonts w:ascii="Arial" w:eastAsia="Times New Roman" w:hAnsi="Arial" w:cs="Arial"/>
          <w:bCs/>
          <w:kern w:val="1"/>
          <w:lang w:eastAsia="ar-SA"/>
        </w:rPr>
        <w:t>uía en la que se desarrolla con detalle el concepto de sustitución por el lado de la oferta).</w:t>
      </w:r>
    </w:p>
    <w:p w14:paraId="7BE0AD4D" w14:textId="77777777" w:rsidR="00BE0D80" w:rsidRPr="00931D46" w:rsidRDefault="00BE0D80" w:rsidP="00BE0D80">
      <w:pPr>
        <w:spacing w:after="0"/>
        <w:jc w:val="both"/>
        <w:rPr>
          <w:rFonts w:ascii="Arial" w:eastAsia="Times New Roman" w:hAnsi="Arial" w:cs="Arial"/>
          <w:bCs/>
          <w:kern w:val="1"/>
          <w:lang w:eastAsia="ar-SA"/>
        </w:rPr>
      </w:pPr>
    </w:p>
    <w:p w14:paraId="7565662B" w14:textId="77777777" w:rsidR="00BE0D80" w:rsidRPr="00931D46" w:rsidRDefault="00BE0D80" w:rsidP="00BE0D80">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La dimensión geográfica del MR es el espacio geográfico donde: i)</w:t>
      </w:r>
      <w:r w:rsidRPr="00931D46">
        <w:rPr>
          <w:rFonts w:ascii="Arial" w:hAnsi="Arial" w:cs="Arial"/>
        </w:rPr>
        <w:t xml:space="preserve"> se ofrecen o demandan los </w:t>
      </w:r>
      <w:r>
        <w:rPr>
          <w:rFonts w:ascii="Arial" w:hAnsi="Arial" w:cs="Arial"/>
        </w:rPr>
        <w:t>productos</w:t>
      </w:r>
      <w:r w:rsidRPr="00931D46">
        <w:rPr>
          <w:rFonts w:ascii="Arial" w:hAnsi="Arial" w:cs="Arial"/>
        </w:rPr>
        <w:t xml:space="preserve"> </w:t>
      </w:r>
      <w:r>
        <w:rPr>
          <w:rFonts w:ascii="Arial" w:hAnsi="Arial" w:cs="Arial"/>
        </w:rPr>
        <w:t>que forman parte del MR en su dimensión producto</w:t>
      </w:r>
      <w:r w:rsidRPr="00931D46">
        <w:rPr>
          <w:rFonts w:ascii="Arial" w:hAnsi="Arial" w:cs="Arial"/>
        </w:rPr>
        <w:t xml:space="preserve">, ii) los usuarios o consumidores pueden acudir indistintamente a los proveedores y </w:t>
      </w:r>
      <w:r>
        <w:rPr>
          <w:rFonts w:ascii="Arial" w:hAnsi="Arial" w:cs="Arial"/>
        </w:rPr>
        <w:t>e</w:t>
      </w:r>
      <w:r w:rsidRPr="00931D46">
        <w:rPr>
          <w:rFonts w:ascii="Arial" w:hAnsi="Arial" w:cs="Arial"/>
        </w:rPr>
        <w:t xml:space="preserve">stos a los primeros sin incurrir en costos </w:t>
      </w:r>
      <w:r>
        <w:rPr>
          <w:rFonts w:ascii="Arial" w:hAnsi="Arial" w:cs="Arial"/>
        </w:rPr>
        <w:t xml:space="preserve">adicionales </w:t>
      </w:r>
      <w:r w:rsidRPr="00931D46">
        <w:rPr>
          <w:rFonts w:ascii="Arial" w:hAnsi="Arial" w:cs="Arial"/>
        </w:rPr>
        <w:t xml:space="preserve">significativos, y iii) </w:t>
      </w:r>
      <w:r w:rsidRPr="00931D46">
        <w:rPr>
          <w:rFonts w:ascii="Arial" w:eastAsia="Times New Roman" w:hAnsi="Arial" w:cs="Arial"/>
          <w:bCs/>
          <w:kern w:val="1"/>
          <w:lang w:eastAsia="ar-SA"/>
        </w:rPr>
        <w:t>las condiciones de competencia son suficientemente homogéneas y puede distinguirse de otros espacios geográficos colindantes en razón de que las condiciones de competencia que en él prevalecen son apreciablemente distintas a las de aquéllos.</w:t>
      </w:r>
    </w:p>
    <w:p w14:paraId="4E0D81EC" w14:textId="77777777" w:rsidR="00BE0D80" w:rsidRPr="00931D46" w:rsidRDefault="00BE0D80" w:rsidP="00BE0D80">
      <w:pPr>
        <w:spacing w:after="0"/>
        <w:jc w:val="both"/>
        <w:rPr>
          <w:rFonts w:ascii="Arial" w:hAnsi="Arial" w:cs="Arial"/>
        </w:rPr>
      </w:pPr>
    </w:p>
    <w:p w14:paraId="773E0FC6" w14:textId="145DFC32" w:rsidR="00BE0D80" w:rsidRPr="00931D46" w:rsidRDefault="00BE0D80" w:rsidP="00BE0D80">
      <w:pPr>
        <w:spacing w:after="0"/>
        <w:jc w:val="both"/>
        <w:rPr>
          <w:rFonts w:ascii="Arial" w:hAnsi="Arial" w:cs="Arial"/>
        </w:rPr>
      </w:pPr>
      <w:r w:rsidRPr="00931D46">
        <w:rPr>
          <w:rFonts w:ascii="Arial" w:hAnsi="Arial" w:cs="Arial"/>
        </w:rPr>
        <w:t>L</w:t>
      </w:r>
      <w:r w:rsidRPr="00931D46">
        <w:rPr>
          <w:rFonts w:ascii="Arial" w:eastAsia="Times New Roman" w:hAnsi="Arial" w:cs="Arial"/>
          <w:bCs/>
          <w:kern w:val="1"/>
          <w:lang w:eastAsia="ar-SA"/>
        </w:rPr>
        <w:t xml:space="preserve">a determinación del MR no es un fin en sí misma, sino que </w:t>
      </w:r>
      <w:r w:rsidRPr="00955650">
        <w:rPr>
          <w:rFonts w:ascii="Arial" w:eastAsia="Times New Roman" w:hAnsi="Arial" w:cs="Arial"/>
          <w:bCs/>
          <w:kern w:val="1"/>
          <w:lang w:eastAsia="ar-SA"/>
        </w:rPr>
        <w:t xml:space="preserve">proporciona un medio para determinar si uno o varios Agentes Económicos tienen poder </w:t>
      </w:r>
      <w:r>
        <w:rPr>
          <w:rFonts w:ascii="Arial" w:eastAsia="Times New Roman" w:hAnsi="Arial" w:cs="Arial"/>
          <w:bCs/>
          <w:kern w:val="1"/>
          <w:lang w:eastAsia="ar-SA"/>
        </w:rPr>
        <w:t>sustancial</w:t>
      </w:r>
      <w:r w:rsidRPr="007235B3">
        <w:rPr>
          <w:rFonts w:ascii="Arial" w:eastAsia="Times New Roman" w:hAnsi="Arial" w:cs="Arial"/>
          <w:bCs/>
          <w:kern w:val="1"/>
          <w:lang w:eastAsia="ar-SA"/>
        </w:rPr>
        <w:t xml:space="preserve">, o bien, para resolver sobre condiciones de competencia, competencia efectiva u otras cuestiones relativas al proceso de competencia o libre concurrencia, </w:t>
      </w:r>
      <w:r w:rsidRPr="00931D46">
        <w:rPr>
          <w:rFonts w:ascii="Arial" w:eastAsia="Times New Roman" w:hAnsi="Arial" w:cs="Arial"/>
          <w:bCs/>
          <w:kern w:val="1"/>
          <w:lang w:eastAsia="ar-SA"/>
        </w:rPr>
        <w:t xml:space="preserve">e </w:t>
      </w:r>
      <w:r w:rsidRPr="00931D46">
        <w:rPr>
          <w:rFonts w:ascii="Arial" w:hAnsi="Arial" w:cs="Arial"/>
        </w:rPr>
        <w:t>implica una valoración económica compleja de carácter discrecional que</w:t>
      </w:r>
      <w:r>
        <w:rPr>
          <w:rFonts w:ascii="Arial" w:hAnsi="Arial" w:cs="Arial"/>
        </w:rPr>
        <w:t>, en los sectores de TyR</w:t>
      </w:r>
      <w:r w:rsidRPr="00931D46">
        <w:rPr>
          <w:rFonts w:ascii="Arial" w:hAnsi="Arial" w:cs="Arial"/>
        </w:rPr>
        <w:t xml:space="preserve"> sólo </w:t>
      </w:r>
      <w:r>
        <w:rPr>
          <w:rFonts w:ascii="Arial" w:hAnsi="Arial" w:cs="Arial"/>
        </w:rPr>
        <w:t>el Instituto</w:t>
      </w:r>
      <w:r w:rsidRPr="0060173E">
        <w:rPr>
          <w:rFonts w:ascii="Arial" w:hAnsi="Arial" w:cs="Arial"/>
          <w:color w:val="FF0000"/>
        </w:rPr>
        <w:t xml:space="preserve"> </w:t>
      </w:r>
      <w:r w:rsidRPr="00931D46">
        <w:rPr>
          <w:rFonts w:ascii="Arial" w:hAnsi="Arial" w:cs="Arial"/>
        </w:rPr>
        <w:t>puede construir a partir de la evidencia de que dispone en cada caso y de la aplicación de sus propios criterios metodológicos.</w:t>
      </w:r>
    </w:p>
    <w:p w14:paraId="22F0255A" w14:textId="77777777" w:rsidR="00BE0D80" w:rsidRPr="00931D46" w:rsidRDefault="00BE0D80" w:rsidP="00BE0D80">
      <w:pPr>
        <w:spacing w:after="0"/>
        <w:jc w:val="both"/>
        <w:rPr>
          <w:rFonts w:ascii="Arial" w:hAnsi="Arial" w:cs="Arial"/>
        </w:rPr>
      </w:pPr>
    </w:p>
    <w:p w14:paraId="71D5C270" w14:textId="19713305" w:rsidR="00BE0D80" w:rsidRPr="00931D46" w:rsidRDefault="00BE0D80" w:rsidP="00BE0D80">
      <w:pPr>
        <w:spacing w:after="0"/>
        <w:jc w:val="both"/>
        <w:rPr>
          <w:rFonts w:ascii="Arial" w:hAnsi="Arial" w:cs="Arial"/>
        </w:rPr>
      </w:pPr>
      <w:r w:rsidRPr="00931D46">
        <w:rPr>
          <w:rFonts w:ascii="Arial" w:hAnsi="Arial" w:cs="Arial"/>
        </w:rPr>
        <w:t xml:space="preserve">Por lo tanto, la determinación </w:t>
      </w:r>
      <w:r w:rsidRPr="00EA2839">
        <w:rPr>
          <w:rFonts w:ascii="Arial" w:eastAsia="Times New Roman" w:hAnsi="Arial" w:cs="Arial"/>
          <w:bCs/>
          <w:kern w:val="1"/>
          <w:lang w:eastAsia="ar-SA"/>
        </w:rPr>
        <w:t>específica del MR que adopte el Pleno del Instituto en un caso particular dependerá de las condiciones particulares del caso, tales como: i) el tipo de enfoque (retrospectivo en las investigaciones de PMR y prospectivo en casos de concentraciones)</w:t>
      </w:r>
      <w:r>
        <w:rPr>
          <w:rFonts w:ascii="Arial" w:eastAsia="Times New Roman" w:hAnsi="Arial" w:cs="Arial"/>
          <w:bCs/>
          <w:kern w:val="1"/>
          <w:lang w:eastAsia="ar-SA"/>
        </w:rPr>
        <w:t>,</w:t>
      </w:r>
      <w:r w:rsidR="003C0F29">
        <w:rPr>
          <w:rFonts w:ascii="Arial" w:eastAsia="Times New Roman" w:hAnsi="Arial" w:cs="Arial"/>
          <w:bCs/>
          <w:kern w:val="1"/>
          <w:lang w:eastAsia="ar-SA"/>
        </w:rPr>
        <w:t xml:space="preserve"> y</w:t>
      </w:r>
      <w:r>
        <w:rPr>
          <w:rFonts w:ascii="Arial" w:eastAsia="Times New Roman" w:hAnsi="Arial" w:cs="Arial"/>
          <w:bCs/>
          <w:kern w:val="1"/>
          <w:lang w:eastAsia="ar-SA"/>
        </w:rPr>
        <w:t xml:space="preserve"> ii) </w:t>
      </w:r>
      <w:r w:rsidRPr="00EA2839">
        <w:rPr>
          <w:rFonts w:ascii="Arial" w:eastAsia="Times New Roman" w:hAnsi="Arial" w:cs="Arial"/>
          <w:bCs/>
          <w:kern w:val="1"/>
          <w:lang w:eastAsia="ar-SA"/>
        </w:rPr>
        <w:t xml:space="preserve">la temporalidad (en la determinación del MR es posible que las condiciones varíen en el tiempo, por lo que la delimitación del MR para un producto en el tiempo </w:t>
      </w:r>
      <w:r w:rsidRPr="00EA2839">
        <w:rPr>
          <w:rFonts w:ascii="Arial" w:eastAsia="Times New Roman" w:hAnsi="Arial" w:cs="Arial"/>
          <w:bCs/>
          <w:i/>
          <w:kern w:val="1"/>
          <w:lang w:eastAsia="ar-SA"/>
        </w:rPr>
        <w:t>t</w:t>
      </w:r>
      <w:r w:rsidRPr="00EA2839">
        <w:rPr>
          <w:rFonts w:ascii="Arial" w:eastAsia="Times New Roman" w:hAnsi="Arial" w:cs="Arial"/>
          <w:bCs/>
          <w:kern w:val="1"/>
          <w:lang w:eastAsia="ar-SA"/>
        </w:rPr>
        <w:t xml:space="preserve"> puede ser distinta a la que se defina en el tiempo </w:t>
      </w:r>
      <w:r w:rsidRPr="00EA2839">
        <w:rPr>
          <w:rFonts w:ascii="Arial" w:eastAsia="Times New Roman" w:hAnsi="Arial" w:cs="Arial"/>
          <w:bCs/>
          <w:i/>
          <w:kern w:val="1"/>
          <w:lang w:eastAsia="ar-SA"/>
        </w:rPr>
        <w:t>t+1</w:t>
      </w:r>
      <w:r w:rsidRPr="00EA2839">
        <w:rPr>
          <w:rFonts w:ascii="Arial" w:eastAsia="Times New Roman" w:hAnsi="Arial" w:cs="Arial"/>
          <w:bCs/>
          <w:kern w:val="1"/>
          <w:lang w:eastAsia="ar-SA"/>
        </w:rPr>
        <w:t>; esas variaciones pueden deberse a factores como la innovación, estrategias de los proveedores, cambios regulatorios, entre otros)</w:t>
      </w:r>
      <w:r w:rsidR="003C0F29">
        <w:rPr>
          <w:rFonts w:ascii="Arial" w:eastAsia="Times New Roman" w:hAnsi="Arial" w:cs="Arial"/>
          <w:bCs/>
          <w:kern w:val="1"/>
          <w:lang w:eastAsia="ar-SA"/>
        </w:rPr>
        <w:t xml:space="preserve">. </w:t>
      </w:r>
      <w:r w:rsidR="003C0F29" w:rsidRPr="006968E8">
        <w:rPr>
          <w:rFonts w:ascii="Arial" w:eastAsia="Times New Roman" w:hAnsi="Arial" w:cs="Arial"/>
          <w:bCs/>
          <w:kern w:val="1"/>
          <w:lang w:eastAsia="ar-SA"/>
        </w:rPr>
        <w:t xml:space="preserve">En todo caso, el Instituto determinará los MR haciendo uso de </w:t>
      </w:r>
      <w:r w:rsidRPr="00EA2839">
        <w:rPr>
          <w:rFonts w:ascii="Arial" w:eastAsia="Times New Roman" w:hAnsi="Arial" w:cs="Arial"/>
          <w:bCs/>
          <w:kern w:val="1"/>
          <w:lang w:eastAsia="ar-SA"/>
        </w:rPr>
        <w:t xml:space="preserve">la </w:t>
      </w:r>
      <w:r w:rsidR="003C0F29">
        <w:rPr>
          <w:rFonts w:ascii="Arial" w:eastAsia="Times New Roman" w:hAnsi="Arial" w:cs="Arial"/>
          <w:bCs/>
          <w:kern w:val="1"/>
          <w:lang w:eastAsia="ar-SA"/>
        </w:rPr>
        <w:t xml:space="preserve">mejor </w:t>
      </w:r>
      <w:r w:rsidRPr="00EA2839">
        <w:rPr>
          <w:rFonts w:ascii="Arial" w:eastAsia="Times New Roman" w:hAnsi="Arial" w:cs="Arial"/>
          <w:bCs/>
          <w:kern w:val="1"/>
          <w:lang w:eastAsia="ar-SA"/>
        </w:rPr>
        <w:t>información y evidencia disponibles.</w:t>
      </w:r>
      <w:r w:rsidRPr="00931D46">
        <w:rPr>
          <w:rFonts w:ascii="Arial" w:eastAsia="Times New Roman" w:hAnsi="Arial" w:cs="Arial"/>
          <w:bCs/>
          <w:kern w:val="1"/>
          <w:lang w:eastAsia="ar-SA"/>
        </w:rPr>
        <w:t xml:space="preserve"> </w:t>
      </w:r>
    </w:p>
    <w:p w14:paraId="30912D3D" w14:textId="77777777" w:rsidR="00BE0D80" w:rsidRPr="00931D46" w:rsidRDefault="00BE0D80" w:rsidP="00BE0D80">
      <w:pPr>
        <w:spacing w:after="0"/>
        <w:jc w:val="both"/>
        <w:rPr>
          <w:rFonts w:ascii="Arial" w:hAnsi="Arial" w:cs="Arial"/>
        </w:rPr>
      </w:pPr>
    </w:p>
    <w:p w14:paraId="4C813C06" w14:textId="77777777" w:rsidR="00BE0D80" w:rsidRPr="00931D46" w:rsidRDefault="00BE0D80" w:rsidP="00BE0D80">
      <w:pPr>
        <w:pStyle w:val="Ttulo1"/>
        <w:numPr>
          <w:ilvl w:val="0"/>
          <w:numId w:val="5"/>
        </w:numPr>
        <w:spacing w:line="276" w:lineRule="auto"/>
        <w:jc w:val="both"/>
        <w:rPr>
          <w:rFonts w:ascii="Arial" w:hAnsi="Arial" w:cs="Arial"/>
          <w:b w:val="0"/>
          <w:sz w:val="26"/>
          <w:szCs w:val="26"/>
        </w:rPr>
      </w:pPr>
      <w:bookmarkStart w:id="29" w:name="_Toc41649763"/>
      <w:bookmarkStart w:id="30" w:name="_Toc41649904"/>
      <w:bookmarkStart w:id="31" w:name="_Toc45216570"/>
      <w:bookmarkStart w:id="32" w:name="_Toc45628315"/>
      <w:bookmarkStart w:id="33" w:name="_Toc85473313"/>
      <w:r w:rsidRPr="00931D46">
        <w:rPr>
          <w:rFonts w:ascii="Arial" w:hAnsi="Arial" w:cs="Arial"/>
          <w:sz w:val="26"/>
          <w:szCs w:val="26"/>
        </w:rPr>
        <w:t>Enfoques para el análisis de sustitución</w:t>
      </w:r>
      <w:bookmarkEnd w:id="29"/>
      <w:bookmarkEnd w:id="30"/>
      <w:bookmarkEnd w:id="31"/>
      <w:bookmarkEnd w:id="32"/>
      <w:bookmarkEnd w:id="33"/>
      <w:r w:rsidRPr="00931D46">
        <w:rPr>
          <w:rFonts w:ascii="Arial" w:hAnsi="Arial" w:cs="Arial"/>
          <w:sz w:val="26"/>
          <w:szCs w:val="26"/>
        </w:rPr>
        <w:t xml:space="preserve"> </w:t>
      </w:r>
    </w:p>
    <w:p w14:paraId="14E89B3B" w14:textId="77777777" w:rsidR="00BE0D80" w:rsidRPr="00931D46" w:rsidRDefault="00BE0D80" w:rsidP="00BE0D80">
      <w:pPr>
        <w:keepNext/>
        <w:spacing w:after="0"/>
        <w:jc w:val="both"/>
        <w:rPr>
          <w:rFonts w:ascii="Arial" w:hAnsi="Arial" w:cs="Arial"/>
        </w:rPr>
      </w:pPr>
    </w:p>
    <w:p w14:paraId="3A97F33C" w14:textId="77777777" w:rsidR="00BE0D80" w:rsidRPr="00931D46" w:rsidRDefault="00BE0D80" w:rsidP="00BE0D80">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La determinación del MR, en su dimensión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en su dimensión geográfica, se lleva a cabo a través de un análisis de sustitución, a efecto de identificar los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y </w:t>
      </w:r>
      <w:r>
        <w:rPr>
          <w:rFonts w:ascii="Arial" w:eastAsia="Times New Roman" w:hAnsi="Arial" w:cs="Arial"/>
          <w:bCs/>
          <w:kern w:val="1"/>
          <w:lang w:eastAsia="ar-SA"/>
        </w:rPr>
        <w:t xml:space="preserve">las </w:t>
      </w:r>
      <w:r w:rsidRPr="00931D46">
        <w:rPr>
          <w:rFonts w:ascii="Arial" w:eastAsia="Times New Roman" w:hAnsi="Arial" w:cs="Arial"/>
          <w:bCs/>
          <w:kern w:val="1"/>
          <w:lang w:eastAsia="ar-SA"/>
        </w:rPr>
        <w:t xml:space="preserve">zonas </w:t>
      </w:r>
      <w:r w:rsidRPr="00931D46">
        <w:rPr>
          <w:rFonts w:ascii="Arial" w:eastAsia="Times New Roman" w:hAnsi="Arial" w:cs="Arial"/>
          <w:bCs/>
          <w:kern w:val="1"/>
          <w:lang w:eastAsia="ar-SA"/>
        </w:rPr>
        <w:lastRenderedPageBreak/>
        <w:t>geográficas donde éstos se ofrecen, que constituy</w:t>
      </w:r>
      <w:r>
        <w:rPr>
          <w:rFonts w:ascii="Arial" w:eastAsia="Times New Roman" w:hAnsi="Arial" w:cs="Arial"/>
          <w:bCs/>
          <w:kern w:val="1"/>
          <w:lang w:eastAsia="ar-SA"/>
        </w:rPr>
        <w:t>e</w:t>
      </w:r>
      <w:r w:rsidRPr="00931D46">
        <w:rPr>
          <w:rFonts w:ascii="Arial" w:eastAsia="Times New Roman" w:hAnsi="Arial" w:cs="Arial"/>
          <w:bCs/>
          <w:kern w:val="1"/>
          <w:lang w:eastAsia="ar-SA"/>
        </w:rPr>
        <w:t xml:space="preserve">n restricciones competitivas significativas para los AE que proveen los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de referencia.</w:t>
      </w:r>
    </w:p>
    <w:p w14:paraId="725B259A" w14:textId="77777777" w:rsidR="00BE0D80" w:rsidRPr="00931D46" w:rsidRDefault="00BE0D80" w:rsidP="00BE0D80">
      <w:pPr>
        <w:spacing w:after="0"/>
        <w:jc w:val="both"/>
        <w:rPr>
          <w:rFonts w:ascii="Arial" w:hAnsi="Arial" w:cs="Arial"/>
        </w:rPr>
      </w:pPr>
    </w:p>
    <w:p w14:paraId="2DBE78DC" w14:textId="77777777" w:rsidR="00BE0D80" w:rsidRDefault="00BE0D80" w:rsidP="00BE0D80">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En general, el análisis de sustitución consiste en seleccionar un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o grupo de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que se proveen en una zona geográfica determinada, el cual se amplía gradualmente hasta incluir todos los sustitutos cercanos del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la zona geográfica </w:t>
      </w:r>
      <w:r>
        <w:rPr>
          <w:rFonts w:ascii="Arial" w:eastAsia="Times New Roman" w:hAnsi="Arial" w:cs="Arial"/>
          <w:bCs/>
          <w:kern w:val="1"/>
          <w:lang w:eastAsia="ar-SA"/>
        </w:rPr>
        <w:t>focales</w:t>
      </w:r>
      <w:r w:rsidRPr="00931D46">
        <w:rPr>
          <w:rFonts w:ascii="Arial" w:eastAsia="Times New Roman" w:hAnsi="Arial" w:cs="Arial"/>
          <w:bCs/>
          <w:kern w:val="1"/>
          <w:lang w:eastAsia="ar-SA"/>
        </w:rPr>
        <w:t xml:space="preserve">. </w:t>
      </w:r>
    </w:p>
    <w:p w14:paraId="7F2F69C2" w14:textId="77777777" w:rsidR="00BE0D80" w:rsidRPr="00931D46" w:rsidRDefault="00BE0D80" w:rsidP="00BE0D80">
      <w:pPr>
        <w:spacing w:after="0"/>
        <w:jc w:val="both"/>
        <w:rPr>
          <w:rFonts w:ascii="Arial" w:eastAsia="Times New Roman" w:hAnsi="Arial" w:cs="Arial"/>
          <w:bCs/>
          <w:kern w:val="1"/>
          <w:lang w:eastAsia="ar-SA"/>
        </w:rPr>
      </w:pPr>
    </w:p>
    <w:p w14:paraId="58F92F83" w14:textId="77777777" w:rsidR="00BE0D80" w:rsidRDefault="00BE0D80" w:rsidP="00BE0D80">
      <w:pPr>
        <w:spacing w:after="0"/>
        <w:jc w:val="both"/>
        <w:rPr>
          <w:rFonts w:ascii="Arial" w:hAnsi="Arial" w:cs="Arial"/>
        </w:rPr>
      </w:pPr>
      <w:r w:rsidRPr="00931D46">
        <w:rPr>
          <w:rFonts w:ascii="Arial" w:eastAsia="Times New Roman" w:hAnsi="Arial" w:cs="Arial"/>
          <w:bCs/>
          <w:kern w:val="1"/>
          <w:lang w:eastAsia="ar-SA"/>
        </w:rPr>
        <w:t>Existen básicamente dos enfoques sobre el análisis de sustitución</w:t>
      </w:r>
      <w:r>
        <w:rPr>
          <w:rFonts w:ascii="Arial" w:eastAsia="Times New Roman" w:hAnsi="Arial" w:cs="Arial"/>
          <w:bCs/>
          <w:kern w:val="1"/>
          <w:lang w:eastAsia="ar-SA"/>
        </w:rPr>
        <w:t xml:space="preserve"> </w:t>
      </w:r>
      <w:r w:rsidRPr="00931D46">
        <w:rPr>
          <w:rFonts w:ascii="Arial" w:eastAsia="Times New Roman" w:hAnsi="Arial" w:cs="Arial"/>
          <w:bCs/>
          <w:kern w:val="1"/>
          <w:lang w:eastAsia="ar-SA"/>
        </w:rPr>
        <w:t>utilizados en la U</w:t>
      </w:r>
      <w:r>
        <w:rPr>
          <w:rFonts w:ascii="Arial" w:eastAsia="Times New Roman" w:hAnsi="Arial" w:cs="Arial"/>
          <w:bCs/>
          <w:kern w:val="1"/>
          <w:lang w:eastAsia="ar-SA"/>
        </w:rPr>
        <w:t xml:space="preserve">nión </w:t>
      </w:r>
      <w:r w:rsidRPr="00931D46">
        <w:rPr>
          <w:rFonts w:ascii="Arial" w:eastAsia="Times New Roman" w:hAnsi="Arial" w:cs="Arial"/>
          <w:bCs/>
          <w:kern w:val="1"/>
          <w:lang w:eastAsia="ar-SA"/>
        </w:rPr>
        <w:t>E</w:t>
      </w:r>
      <w:r>
        <w:rPr>
          <w:rFonts w:ascii="Arial" w:eastAsia="Times New Roman" w:hAnsi="Arial" w:cs="Arial"/>
          <w:bCs/>
          <w:kern w:val="1"/>
          <w:lang w:eastAsia="ar-SA"/>
        </w:rPr>
        <w:t>uropea</w:t>
      </w:r>
      <w:r w:rsidRPr="00931D46">
        <w:rPr>
          <w:rFonts w:ascii="Arial" w:eastAsia="Times New Roman" w:hAnsi="Arial" w:cs="Arial"/>
          <w:bCs/>
          <w:kern w:val="1"/>
          <w:lang w:eastAsia="ar-SA"/>
        </w:rPr>
        <w:t>, por un lado, y en Estados Unidos de América, por otro. A</w:t>
      </w:r>
      <w:r w:rsidRPr="00931D46">
        <w:rPr>
          <w:rFonts w:ascii="Arial" w:hAnsi="Arial" w:cs="Arial"/>
        </w:rPr>
        <w:t xml:space="preserve">mbos enfoques analizan la sustitución por el lado de la demanda para delimitar el MR </w:t>
      </w:r>
      <w:r>
        <w:rPr>
          <w:rFonts w:ascii="Arial" w:hAnsi="Arial" w:cs="Arial"/>
        </w:rPr>
        <w:t>(considerado</w:t>
      </w:r>
      <w:r w:rsidRPr="00931D46">
        <w:rPr>
          <w:rFonts w:ascii="Arial" w:eastAsia="Times New Roman" w:hAnsi="Arial" w:cs="Arial"/>
          <w:bCs/>
          <w:kern w:val="1"/>
          <w:lang w:eastAsia="ar-SA"/>
        </w:rPr>
        <w:t xml:space="preserve"> el medio más inmediato y eficaz para restringir el comportamiento de los proveedores de un determinado </w:t>
      </w:r>
      <w:r>
        <w:rPr>
          <w:rFonts w:ascii="Arial" w:eastAsia="Times New Roman" w:hAnsi="Arial" w:cs="Arial"/>
          <w:bCs/>
          <w:kern w:val="1"/>
          <w:lang w:eastAsia="ar-SA"/>
        </w:rPr>
        <w:t>producto</w:t>
      </w:r>
      <w:r>
        <w:rPr>
          <w:rFonts w:ascii="Arial" w:hAnsi="Arial" w:cs="Arial"/>
        </w:rPr>
        <w:t xml:space="preserve">) </w:t>
      </w:r>
      <w:r w:rsidRPr="00931D46">
        <w:rPr>
          <w:rFonts w:ascii="Arial" w:hAnsi="Arial" w:cs="Arial"/>
        </w:rPr>
        <w:t>y reconocen la importancia de incorporar en el análisis de competencia las presiones competitivas por el lado de la oferta</w:t>
      </w:r>
      <w:r>
        <w:rPr>
          <w:rFonts w:ascii="Arial" w:hAnsi="Arial" w:cs="Arial"/>
        </w:rPr>
        <w:t xml:space="preserve"> y la competencia potencial</w:t>
      </w:r>
      <w:r w:rsidRPr="00931D46">
        <w:rPr>
          <w:rFonts w:ascii="Arial" w:hAnsi="Arial" w:cs="Arial"/>
        </w:rPr>
        <w:t>,</w:t>
      </w:r>
      <w:r>
        <w:rPr>
          <w:rStyle w:val="Refdenotaalpie"/>
          <w:rFonts w:ascii="Arial" w:hAnsi="Arial" w:cs="Arial"/>
        </w:rPr>
        <w:footnoteReference w:id="14"/>
      </w:r>
      <w:r w:rsidRPr="00931D46">
        <w:rPr>
          <w:rFonts w:ascii="Arial" w:hAnsi="Arial" w:cs="Arial"/>
        </w:rPr>
        <w:t xml:space="preserve"> pero difieren en la </w:t>
      </w:r>
      <w:r w:rsidRPr="00931D46">
        <w:rPr>
          <w:rFonts w:ascii="Arial" w:eastAsia="Times New Roman" w:hAnsi="Arial" w:cs="Arial"/>
          <w:bCs/>
          <w:kern w:val="1"/>
          <w:lang w:eastAsia="ar-SA"/>
        </w:rPr>
        <w:t xml:space="preserve">etapa en que se evalúan dichas presiones. </w:t>
      </w:r>
      <w:r>
        <w:rPr>
          <w:rFonts w:ascii="Arial" w:eastAsia="Times New Roman" w:hAnsi="Arial" w:cs="Arial"/>
          <w:bCs/>
          <w:kern w:val="1"/>
          <w:lang w:eastAsia="ar-SA"/>
        </w:rPr>
        <w:t>No obstante</w:t>
      </w:r>
      <w:r w:rsidRPr="00931D46">
        <w:rPr>
          <w:rFonts w:ascii="Arial" w:hAnsi="Arial" w:cs="Arial"/>
        </w:rPr>
        <w:t>, si el análisis es aplicado correctamente, ambos enfoques deberían conducir a resultados similares</w:t>
      </w:r>
      <w:r>
        <w:rPr>
          <w:rFonts w:ascii="Arial" w:hAnsi="Arial" w:cs="Arial"/>
        </w:rPr>
        <w:t xml:space="preserve"> en cuanto a la identificación de participantes en el mercado, el cálculo de participaciones e índices de concentración y el análisis de efectos de una práctica u operación</w:t>
      </w:r>
      <w:r w:rsidRPr="00931D46">
        <w:rPr>
          <w:rFonts w:ascii="Arial" w:hAnsi="Arial" w:cs="Arial"/>
        </w:rPr>
        <w:t>.</w:t>
      </w:r>
      <w:r w:rsidRPr="00931D46">
        <w:rPr>
          <w:rFonts w:ascii="Arial" w:eastAsia="Times New Roman" w:hAnsi="Arial" w:cs="Arial"/>
          <w:vertAlign w:val="superscript"/>
        </w:rPr>
        <w:footnoteReference w:id="15"/>
      </w:r>
    </w:p>
    <w:p w14:paraId="6AA08E20" w14:textId="77777777" w:rsidR="00BE0D80" w:rsidRDefault="00BE0D80" w:rsidP="00BE0D80">
      <w:pPr>
        <w:spacing w:after="0"/>
        <w:jc w:val="both"/>
        <w:rPr>
          <w:rFonts w:ascii="Arial" w:hAnsi="Arial" w:cs="Arial"/>
        </w:rPr>
      </w:pPr>
    </w:p>
    <w:p w14:paraId="2C796427" w14:textId="77777777" w:rsidR="00BE0D80" w:rsidRDefault="00BE0D80" w:rsidP="00BE0D80">
      <w:pPr>
        <w:spacing w:after="0"/>
        <w:jc w:val="both"/>
        <w:rPr>
          <w:rFonts w:ascii="Arial" w:hAnsi="Arial" w:cs="Arial"/>
        </w:rPr>
      </w:pPr>
      <w:r w:rsidRPr="00931D46">
        <w:rPr>
          <w:rFonts w:ascii="Arial" w:eastAsia="Times New Roman" w:hAnsi="Arial" w:cs="Arial"/>
          <w:bCs/>
          <w:kern w:val="1"/>
          <w:lang w:eastAsia="ar-SA"/>
        </w:rPr>
        <w:t>En el enfoque de la Unión Europea</w:t>
      </w:r>
      <w:r>
        <w:rPr>
          <w:rFonts w:ascii="Arial" w:eastAsia="Times New Roman" w:hAnsi="Arial" w:cs="Arial"/>
          <w:bCs/>
          <w:kern w:val="1"/>
          <w:lang w:eastAsia="ar-SA"/>
        </w:rPr>
        <w:t xml:space="preserve"> se consideran la sustitución por el lado de la demanda y por el lado de la oferta,</w:t>
      </w:r>
      <w:r>
        <w:rPr>
          <w:rStyle w:val="Refdenotaalpie"/>
          <w:rFonts w:ascii="Arial" w:eastAsia="Times New Roman" w:hAnsi="Arial" w:cs="Arial"/>
          <w:bCs/>
          <w:kern w:val="1"/>
          <w:lang w:eastAsia="ar-SA"/>
        </w:rPr>
        <w:footnoteReference w:id="16"/>
      </w:r>
      <w:r>
        <w:rPr>
          <w:rFonts w:ascii="Arial" w:eastAsia="Times New Roman" w:hAnsi="Arial" w:cs="Arial"/>
          <w:bCs/>
          <w:kern w:val="1"/>
          <w:lang w:eastAsia="ar-SA"/>
        </w:rPr>
        <w:t xml:space="preserve"> mientras que la </w:t>
      </w:r>
      <w:r w:rsidRPr="00931D46">
        <w:rPr>
          <w:rFonts w:ascii="Arial" w:eastAsia="Times New Roman" w:hAnsi="Arial" w:cs="Arial"/>
          <w:b/>
          <w:bCs/>
          <w:kern w:val="1"/>
          <w:lang w:eastAsia="ar-SA"/>
        </w:rPr>
        <w:t>competencia potencial</w:t>
      </w:r>
      <w:r w:rsidRPr="00931D46">
        <w:rPr>
          <w:rFonts w:ascii="Arial" w:eastAsia="Times New Roman" w:hAnsi="Arial" w:cs="Arial"/>
          <w:bCs/>
          <w:kern w:val="1"/>
          <w:lang w:eastAsia="ar-SA"/>
        </w:rPr>
        <w:t xml:space="preserve">, en caso necesario, </w:t>
      </w:r>
      <w:r>
        <w:rPr>
          <w:rFonts w:ascii="Arial" w:eastAsia="Times New Roman" w:hAnsi="Arial" w:cs="Arial"/>
          <w:bCs/>
          <w:kern w:val="1"/>
          <w:lang w:eastAsia="ar-SA"/>
        </w:rPr>
        <w:t xml:space="preserve">se considera </w:t>
      </w:r>
      <w:r w:rsidRPr="00931D46">
        <w:rPr>
          <w:rFonts w:ascii="Arial" w:eastAsia="Times New Roman" w:hAnsi="Arial" w:cs="Arial"/>
          <w:bCs/>
          <w:kern w:val="1"/>
          <w:lang w:eastAsia="ar-SA"/>
        </w:rPr>
        <w:t>en etapas posteriores</w:t>
      </w:r>
      <w:r>
        <w:rPr>
          <w:rFonts w:ascii="Arial" w:eastAsia="Times New Roman" w:hAnsi="Arial" w:cs="Arial"/>
          <w:bCs/>
          <w:kern w:val="1"/>
          <w:lang w:eastAsia="ar-SA"/>
        </w:rPr>
        <w:t xml:space="preserve"> a la determinación del MR.</w:t>
      </w:r>
      <w:r w:rsidRPr="00953605">
        <w:rPr>
          <w:rFonts w:ascii="Arial" w:hAnsi="Arial" w:cs="Arial"/>
          <w:vertAlign w:val="superscript"/>
          <w:lang w:eastAsia="es-MX"/>
        </w:rPr>
        <w:footnoteReference w:id="17"/>
      </w:r>
      <w:r>
        <w:rPr>
          <w:rFonts w:ascii="Arial" w:eastAsia="Times New Roman" w:hAnsi="Arial" w:cs="Arial"/>
          <w:bCs/>
          <w:kern w:val="1"/>
          <w:lang w:eastAsia="ar-SA"/>
        </w:rPr>
        <w:t xml:space="preserve"> En el enfoque de Estados Unidos de América, el análisis </w:t>
      </w:r>
      <w:r w:rsidRPr="00931D46">
        <w:rPr>
          <w:rFonts w:ascii="Arial" w:hAnsi="Arial" w:cs="Arial"/>
        </w:rPr>
        <w:t>se centra únicamente en la sustitución por el lado de la demanda, mientras que las restricciones por el lado de la oferta y la competencia potencial se consideran en etapas posteriores del análisis.</w:t>
      </w:r>
      <w:r w:rsidRPr="00953605">
        <w:rPr>
          <w:rFonts w:ascii="Arial" w:eastAsia="Times New Roman" w:hAnsi="Arial" w:cs="Arial"/>
          <w:vertAlign w:val="superscript"/>
          <w:lang w:eastAsia="es-MX"/>
        </w:rPr>
        <w:footnoteReference w:id="18"/>
      </w:r>
    </w:p>
    <w:p w14:paraId="4803EFAE" w14:textId="77777777" w:rsidR="00BE0D80" w:rsidRPr="00931D46" w:rsidRDefault="00BE0D80" w:rsidP="00BE0D80">
      <w:pPr>
        <w:spacing w:after="0"/>
        <w:jc w:val="both"/>
        <w:rPr>
          <w:rFonts w:ascii="Arial" w:hAnsi="Arial" w:cs="Arial"/>
          <w:highlight w:val="yellow"/>
        </w:rPr>
      </w:pPr>
    </w:p>
    <w:p w14:paraId="5A0EB2F0" w14:textId="77777777" w:rsidR="00BE0D80" w:rsidRPr="00931D46" w:rsidRDefault="00BE0D80" w:rsidP="00BE0D80">
      <w:pPr>
        <w:jc w:val="both"/>
        <w:rPr>
          <w:rFonts w:ascii="Arial" w:hAnsi="Arial" w:cs="Arial"/>
        </w:rPr>
      </w:pPr>
      <w:r w:rsidRPr="00931D46">
        <w:rPr>
          <w:rFonts w:ascii="Arial" w:hAnsi="Arial" w:cs="Arial"/>
        </w:rPr>
        <w:t>En México, la LFCE en su artículo 58 proporciona una lista de criterios que deberán considerarse para la determinación de un MR, entre los que se encuentran:</w:t>
      </w:r>
    </w:p>
    <w:p w14:paraId="00F37B08" w14:textId="77777777" w:rsidR="00BE0D80" w:rsidRPr="00931D46" w:rsidRDefault="00BE0D80" w:rsidP="00C21851">
      <w:pPr>
        <w:pStyle w:val="Prrafodelista"/>
        <w:numPr>
          <w:ilvl w:val="0"/>
          <w:numId w:val="7"/>
        </w:numPr>
        <w:tabs>
          <w:tab w:val="left" w:pos="2480"/>
        </w:tabs>
        <w:spacing w:after="0"/>
        <w:ind w:left="709" w:hanging="567"/>
        <w:contextualSpacing w:val="0"/>
        <w:jc w:val="both"/>
        <w:rPr>
          <w:rFonts w:ascii="Arial" w:eastAsia="Calibri" w:hAnsi="Arial" w:cs="Arial"/>
        </w:rPr>
      </w:pPr>
      <w:r w:rsidRPr="00931D46">
        <w:rPr>
          <w:rFonts w:ascii="Arial" w:eastAsia="Calibri" w:hAnsi="Arial" w:cs="Arial"/>
        </w:rPr>
        <w:t xml:space="preserve">Las posibilidades de sustituir el </w:t>
      </w:r>
      <w:r>
        <w:rPr>
          <w:rFonts w:ascii="Arial" w:eastAsia="Calibri" w:hAnsi="Arial" w:cs="Arial"/>
        </w:rPr>
        <w:t>producto</w:t>
      </w:r>
      <w:r w:rsidRPr="00931D46">
        <w:rPr>
          <w:rFonts w:ascii="Arial" w:eastAsia="Calibri" w:hAnsi="Arial" w:cs="Arial"/>
        </w:rPr>
        <w:t xml:space="preserve"> de que se trate por otros</w:t>
      </w:r>
      <w:r w:rsidRPr="00931D46">
        <w:rPr>
          <w:rFonts w:ascii="Arial" w:hAnsi="Arial" w:cs="Arial"/>
        </w:rPr>
        <w:t>, tanto de origen nacional como extranjero, considerando posibilidades tecnológicas, en qué medida los consumidores cuentan con sustitutos</w:t>
      </w:r>
      <w:r w:rsidRPr="00931D46">
        <w:rPr>
          <w:rFonts w:ascii="Arial" w:eastAsia="Calibri" w:hAnsi="Arial" w:cs="Arial"/>
        </w:rPr>
        <w:t xml:space="preserve"> y el tiempo</w:t>
      </w:r>
      <w:r w:rsidRPr="00931D46">
        <w:rPr>
          <w:rFonts w:ascii="Arial" w:hAnsi="Arial" w:cs="Arial"/>
        </w:rPr>
        <w:t xml:space="preserve"> requerido para tal</w:t>
      </w:r>
      <w:r w:rsidRPr="00931D46">
        <w:rPr>
          <w:rFonts w:ascii="Arial" w:eastAsia="Calibri" w:hAnsi="Arial" w:cs="Arial"/>
        </w:rPr>
        <w:t xml:space="preserve"> sustitución,</w:t>
      </w:r>
    </w:p>
    <w:p w14:paraId="17C38D38" w14:textId="77777777" w:rsidR="00BE0D80" w:rsidRDefault="00BE0D80" w:rsidP="00C21851">
      <w:pPr>
        <w:pStyle w:val="Prrafodelista"/>
        <w:tabs>
          <w:tab w:val="left" w:pos="2480"/>
        </w:tabs>
        <w:spacing w:after="0"/>
        <w:ind w:left="709"/>
        <w:contextualSpacing w:val="0"/>
        <w:jc w:val="both"/>
        <w:rPr>
          <w:rFonts w:ascii="Arial" w:eastAsia="Calibri" w:hAnsi="Arial" w:cs="Arial"/>
        </w:rPr>
      </w:pPr>
    </w:p>
    <w:p w14:paraId="440D505F" w14:textId="77777777" w:rsidR="00BE0D80" w:rsidRPr="00931D46" w:rsidRDefault="00BE0D80" w:rsidP="00C21851">
      <w:pPr>
        <w:pStyle w:val="Prrafodelista"/>
        <w:numPr>
          <w:ilvl w:val="0"/>
          <w:numId w:val="7"/>
        </w:numPr>
        <w:tabs>
          <w:tab w:val="left" w:pos="2480"/>
        </w:tabs>
        <w:spacing w:after="0"/>
        <w:ind w:left="709" w:hanging="567"/>
        <w:contextualSpacing w:val="0"/>
        <w:jc w:val="both"/>
        <w:rPr>
          <w:rFonts w:ascii="Arial" w:eastAsia="Calibri" w:hAnsi="Arial" w:cs="Arial"/>
        </w:rPr>
      </w:pPr>
      <w:r w:rsidRPr="00931D46">
        <w:rPr>
          <w:rFonts w:ascii="Arial" w:eastAsia="Calibri" w:hAnsi="Arial" w:cs="Arial"/>
        </w:rPr>
        <w:t xml:space="preserve">Los costos de distribución del bien mismo; de sus insumos relevantes; de sus complementos y de sustitutos desde otras regiones y del extranjero, teniendo en cuenta fletes, seguros, aranceles y restricciones no arancelarias, las restricciones </w:t>
      </w:r>
      <w:r w:rsidRPr="00931D46">
        <w:rPr>
          <w:rFonts w:ascii="Arial" w:hAnsi="Arial" w:cs="Arial"/>
        </w:rPr>
        <w:t xml:space="preserve">impuestas por los agentes económicos o por sus asociaciones y </w:t>
      </w:r>
      <w:r w:rsidRPr="00931D46">
        <w:rPr>
          <w:rFonts w:ascii="Arial" w:eastAsia="Calibri" w:hAnsi="Arial" w:cs="Arial"/>
        </w:rPr>
        <w:t>el tiempo requerido para abastecer el mercado desde esas regiones,</w:t>
      </w:r>
    </w:p>
    <w:p w14:paraId="4DD1263D" w14:textId="77777777" w:rsidR="00BE0D80" w:rsidRDefault="00BE0D80" w:rsidP="00C21851">
      <w:pPr>
        <w:pStyle w:val="Prrafodelista"/>
        <w:tabs>
          <w:tab w:val="left" w:pos="2480"/>
        </w:tabs>
        <w:spacing w:after="0"/>
        <w:ind w:left="709"/>
        <w:contextualSpacing w:val="0"/>
        <w:jc w:val="both"/>
        <w:rPr>
          <w:rFonts w:ascii="Arial" w:eastAsia="Calibri" w:hAnsi="Arial" w:cs="Arial"/>
        </w:rPr>
      </w:pPr>
    </w:p>
    <w:p w14:paraId="6BB4CC85" w14:textId="77777777" w:rsidR="00BE0D80" w:rsidRPr="00931D46" w:rsidRDefault="00BE0D80" w:rsidP="00C21851">
      <w:pPr>
        <w:pStyle w:val="Prrafodelista"/>
        <w:numPr>
          <w:ilvl w:val="0"/>
          <w:numId w:val="7"/>
        </w:numPr>
        <w:tabs>
          <w:tab w:val="left" w:pos="2480"/>
        </w:tabs>
        <w:spacing w:after="0"/>
        <w:ind w:left="709" w:hanging="567"/>
        <w:contextualSpacing w:val="0"/>
        <w:jc w:val="both"/>
        <w:rPr>
          <w:rFonts w:ascii="Arial" w:eastAsia="Calibri" w:hAnsi="Arial" w:cs="Arial"/>
        </w:rPr>
      </w:pPr>
      <w:r w:rsidRPr="00931D46">
        <w:rPr>
          <w:rFonts w:ascii="Arial" w:eastAsia="Calibri" w:hAnsi="Arial" w:cs="Arial"/>
        </w:rPr>
        <w:t xml:space="preserve">Los costos y las probabilidades que tienen los usuarios o consumidores para acudir a otros mercados, y </w:t>
      </w:r>
    </w:p>
    <w:p w14:paraId="12170CC5" w14:textId="77777777" w:rsidR="00BE0D80" w:rsidRDefault="00BE0D80" w:rsidP="00C21851">
      <w:pPr>
        <w:pStyle w:val="Prrafodelista"/>
        <w:tabs>
          <w:tab w:val="left" w:pos="2480"/>
        </w:tabs>
        <w:spacing w:after="0"/>
        <w:ind w:left="709"/>
        <w:contextualSpacing w:val="0"/>
        <w:jc w:val="both"/>
        <w:rPr>
          <w:rFonts w:ascii="Arial" w:eastAsia="Calibri" w:hAnsi="Arial" w:cs="Arial"/>
        </w:rPr>
      </w:pPr>
    </w:p>
    <w:p w14:paraId="19519E30" w14:textId="77777777" w:rsidR="00BE0D80" w:rsidRPr="00931D46" w:rsidRDefault="00BE0D80" w:rsidP="00C21851">
      <w:pPr>
        <w:pStyle w:val="Prrafodelista"/>
        <w:numPr>
          <w:ilvl w:val="0"/>
          <w:numId w:val="7"/>
        </w:numPr>
        <w:tabs>
          <w:tab w:val="left" w:pos="2480"/>
        </w:tabs>
        <w:spacing w:after="0"/>
        <w:ind w:left="709" w:hanging="567"/>
        <w:contextualSpacing w:val="0"/>
        <w:jc w:val="both"/>
        <w:rPr>
          <w:rFonts w:ascii="Arial" w:eastAsia="Calibri" w:hAnsi="Arial" w:cs="Arial"/>
        </w:rPr>
      </w:pPr>
      <w:r w:rsidRPr="00931D46">
        <w:rPr>
          <w:rFonts w:ascii="Arial" w:eastAsia="Calibri" w:hAnsi="Arial" w:cs="Arial"/>
        </w:rPr>
        <w:t>Las restricciones normativas de carácter federal, local o internacional que limiten el acceso de usuarios o consumidores a fuentes alternativas, o el acceso de los proveedores a clientes alternativos.</w:t>
      </w:r>
    </w:p>
    <w:p w14:paraId="6B2E48E3" w14:textId="77777777" w:rsidR="00BE0D80" w:rsidRPr="00931D46" w:rsidRDefault="00BE0D80" w:rsidP="00BE0D80">
      <w:pPr>
        <w:spacing w:after="0"/>
        <w:jc w:val="both"/>
        <w:rPr>
          <w:rFonts w:ascii="Arial" w:hAnsi="Arial" w:cs="Arial"/>
        </w:rPr>
      </w:pPr>
    </w:p>
    <w:p w14:paraId="69AF282B" w14:textId="77777777" w:rsidR="00BE0D80" w:rsidRPr="00931D46" w:rsidRDefault="00BE0D80" w:rsidP="00BE0D80">
      <w:pPr>
        <w:spacing w:after="0"/>
        <w:jc w:val="both"/>
        <w:rPr>
          <w:rFonts w:ascii="Arial" w:hAnsi="Arial" w:cs="Arial"/>
        </w:rPr>
      </w:pPr>
      <w:r w:rsidRPr="00931D46">
        <w:rPr>
          <w:rFonts w:ascii="Arial" w:hAnsi="Arial" w:cs="Arial"/>
        </w:rPr>
        <w:t xml:space="preserve">Asimismo, el artículo 5 de las DRLFCE establece que para la determinación del MR se deben analizar las circunstancias particulares de cada caso, identificar los </w:t>
      </w:r>
      <w:r>
        <w:rPr>
          <w:rFonts w:ascii="Arial" w:hAnsi="Arial" w:cs="Arial"/>
        </w:rPr>
        <w:t>productos</w:t>
      </w:r>
      <w:r w:rsidRPr="00931D46">
        <w:rPr>
          <w:rFonts w:ascii="Arial" w:hAnsi="Arial" w:cs="Arial"/>
        </w:rPr>
        <w:t xml:space="preserve"> producidos, distribuidos, adquiridos, comercializados u ofrecidos y aquellos que los sustituyan o puedan sustituirlos oportunamente, así como delimitar </w:t>
      </w:r>
      <w:r>
        <w:rPr>
          <w:rFonts w:ascii="Arial" w:hAnsi="Arial" w:cs="Arial"/>
        </w:rPr>
        <w:t>la zona</w:t>
      </w:r>
      <w:r w:rsidRPr="00931D46">
        <w:rPr>
          <w:rFonts w:ascii="Arial" w:hAnsi="Arial" w:cs="Arial"/>
        </w:rPr>
        <w:t xml:space="preserve"> geográfica en la que se ofrecen o demandan dichos </w:t>
      </w:r>
      <w:r>
        <w:rPr>
          <w:rFonts w:ascii="Arial" w:hAnsi="Arial" w:cs="Arial"/>
        </w:rPr>
        <w:t>productos</w:t>
      </w:r>
      <w:r w:rsidRPr="00931D46">
        <w:rPr>
          <w:rFonts w:ascii="Arial" w:hAnsi="Arial" w:cs="Arial"/>
        </w:rPr>
        <w:t xml:space="preserve"> y si en la misma existe la opción de acudir indistintamente a los proveedores o clientes sin incurrir en costos significativos.</w:t>
      </w:r>
    </w:p>
    <w:p w14:paraId="7FA4F5A0" w14:textId="77777777" w:rsidR="00BE0D80" w:rsidRPr="00931D46" w:rsidRDefault="00BE0D80" w:rsidP="00BE0D80">
      <w:pPr>
        <w:spacing w:after="0"/>
        <w:rPr>
          <w:rFonts w:ascii="Arial" w:hAnsi="Arial" w:cs="Arial"/>
        </w:rPr>
      </w:pPr>
    </w:p>
    <w:p w14:paraId="766FEC90" w14:textId="77777777" w:rsidR="00BE0D80" w:rsidRPr="00931D46" w:rsidRDefault="00BE0D80" w:rsidP="00BE0D80">
      <w:pPr>
        <w:keepNext/>
        <w:numPr>
          <w:ilvl w:val="0"/>
          <w:numId w:val="19"/>
        </w:numPr>
        <w:spacing w:after="0"/>
        <w:ind w:left="1843" w:hanging="1134"/>
        <w:jc w:val="both"/>
        <w:rPr>
          <w:rFonts w:ascii="Arial" w:hAnsi="Arial" w:cs="Arial"/>
          <w:b/>
          <w:iCs/>
          <w:color w:val="000000" w:themeColor="text1"/>
        </w:rPr>
      </w:pPr>
      <w:r w:rsidRPr="00931D46">
        <w:rPr>
          <w:rFonts w:ascii="Arial" w:hAnsi="Arial" w:cs="Arial"/>
          <w:b/>
        </w:rPr>
        <w:t>Disposiciones legales en México para la determinación del MR</w:t>
      </w:r>
    </w:p>
    <w:tbl>
      <w:tblPr>
        <w:tblStyle w:val="Tablaconcuadrcula"/>
        <w:tblW w:w="0" w:type="auto"/>
        <w:tblLayout w:type="fixed"/>
        <w:tblLook w:val="04A0" w:firstRow="1" w:lastRow="0" w:firstColumn="1" w:lastColumn="0" w:noHBand="0" w:noVBand="1"/>
      </w:tblPr>
      <w:tblGrid>
        <w:gridCol w:w="5098"/>
        <w:gridCol w:w="1134"/>
        <w:gridCol w:w="1276"/>
        <w:gridCol w:w="1080"/>
        <w:gridCol w:w="806"/>
      </w:tblGrid>
      <w:tr w:rsidR="00BE0D80" w:rsidRPr="00931D46" w14:paraId="2F7898E2" w14:textId="77777777" w:rsidTr="00C21851">
        <w:trPr>
          <w:trHeight w:val="170"/>
          <w:tblHeader/>
        </w:trPr>
        <w:tc>
          <w:tcPr>
            <w:tcW w:w="5098" w:type="dxa"/>
            <w:vMerge w:val="restart"/>
            <w:shd w:val="clear" w:color="auto" w:fill="92D050"/>
            <w:vAlign w:val="center"/>
          </w:tcPr>
          <w:p w14:paraId="3ED350D1" w14:textId="77777777" w:rsidR="00BE0D80" w:rsidRPr="00931D46" w:rsidRDefault="00BE0D80" w:rsidP="00C21851">
            <w:pPr>
              <w:tabs>
                <w:tab w:val="left" w:pos="2480"/>
              </w:tabs>
              <w:jc w:val="center"/>
              <w:rPr>
                <w:rFonts w:ascii="Arial" w:hAnsi="Arial" w:cs="Arial"/>
                <w:b/>
                <w:sz w:val="18"/>
                <w:szCs w:val="18"/>
              </w:rPr>
            </w:pPr>
            <w:r w:rsidRPr="00931D46">
              <w:rPr>
                <w:rFonts w:ascii="Arial" w:hAnsi="Arial" w:cs="Arial"/>
                <w:b/>
                <w:sz w:val="18"/>
                <w:szCs w:val="18"/>
              </w:rPr>
              <w:t>Artículo 58 de la LFCE</w:t>
            </w:r>
          </w:p>
        </w:tc>
        <w:tc>
          <w:tcPr>
            <w:tcW w:w="2410" w:type="dxa"/>
            <w:gridSpan w:val="2"/>
            <w:shd w:val="clear" w:color="auto" w:fill="92D050"/>
            <w:vAlign w:val="center"/>
          </w:tcPr>
          <w:p w14:paraId="4BD0292F" w14:textId="77777777" w:rsidR="00BE0D80" w:rsidRPr="00931D46" w:rsidRDefault="00BE0D80" w:rsidP="00C21851">
            <w:pPr>
              <w:tabs>
                <w:tab w:val="left" w:pos="2480"/>
              </w:tabs>
              <w:jc w:val="center"/>
              <w:rPr>
                <w:rFonts w:ascii="Arial" w:hAnsi="Arial" w:cs="Arial"/>
                <w:b/>
                <w:sz w:val="18"/>
                <w:szCs w:val="18"/>
              </w:rPr>
            </w:pPr>
            <w:r w:rsidRPr="00931D46">
              <w:rPr>
                <w:rFonts w:ascii="Arial" w:hAnsi="Arial" w:cs="Arial"/>
                <w:b/>
                <w:sz w:val="18"/>
                <w:szCs w:val="18"/>
              </w:rPr>
              <w:t>Dimensión</w:t>
            </w:r>
          </w:p>
        </w:tc>
        <w:tc>
          <w:tcPr>
            <w:tcW w:w="1886" w:type="dxa"/>
            <w:gridSpan w:val="2"/>
            <w:shd w:val="clear" w:color="auto" w:fill="92D050"/>
            <w:vAlign w:val="center"/>
          </w:tcPr>
          <w:p w14:paraId="0BC8BFF4" w14:textId="77777777" w:rsidR="00BE0D80" w:rsidRPr="00931D46" w:rsidRDefault="00BE0D80" w:rsidP="00C21851">
            <w:pPr>
              <w:tabs>
                <w:tab w:val="left" w:pos="2480"/>
              </w:tabs>
              <w:jc w:val="center"/>
              <w:rPr>
                <w:rFonts w:ascii="Arial" w:hAnsi="Arial" w:cs="Arial"/>
                <w:b/>
                <w:sz w:val="18"/>
                <w:szCs w:val="18"/>
              </w:rPr>
            </w:pPr>
            <w:r w:rsidRPr="00931D46">
              <w:rPr>
                <w:rFonts w:ascii="Arial" w:hAnsi="Arial" w:cs="Arial"/>
                <w:b/>
                <w:sz w:val="18"/>
                <w:szCs w:val="18"/>
              </w:rPr>
              <w:t>Sustitución</w:t>
            </w:r>
          </w:p>
        </w:tc>
      </w:tr>
      <w:tr w:rsidR="00BE0D80" w:rsidRPr="00931D46" w14:paraId="37931CD4" w14:textId="77777777" w:rsidTr="00C21851">
        <w:trPr>
          <w:trHeight w:val="170"/>
          <w:tblHeader/>
        </w:trPr>
        <w:tc>
          <w:tcPr>
            <w:tcW w:w="5098" w:type="dxa"/>
            <w:vMerge/>
            <w:shd w:val="clear" w:color="auto" w:fill="92D050"/>
            <w:vAlign w:val="center"/>
          </w:tcPr>
          <w:p w14:paraId="408DD424" w14:textId="77777777" w:rsidR="00BE0D80" w:rsidRPr="00931D46" w:rsidRDefault="00BE0D80" w:rsidP="00C21851">
            <w:pPr>
              <w:tabs>
                <w:tab w:val="left" w:pos="2480"/>
              </w:tabs>
              <w:jc w:val="both"/>
              <w:rPr>
                <w:rFonts w:ascii="Arial" w:hAnsi="Arial" w:cs="Arial"/>
                <w:b/>
                <w:sz w:val="18"/>
                <w:szCs w:val="18"/>
              </w:rPr>
            </w:pPr>
          </w:p>
        </w:tc>
        <w:tc>
          <w:tcPr>
            <w:tcW w:w="1134" w:type="dxa"/>
            <w:shd w:val="clear" w:color="auto" w:fill="92D050"/>
            <w:vAlign w:val="center"/>
          </w:tcPr>
          <w:p w14:paraId="1C105234" w14:textId="77777777" w:rsidR="00BE0D80" w:rsidRPr="00931D46" w:rsidRDefault="00BE0D80" w:rsidP="00C21851">
            <w:pPr>
              <w:tabs>
                <w:tab w:val="left" w:pos="2480"/>
              </w:tabs>
              <w:jc w:val="center"/>
              <w:rPr>
                <w:rFonts w:ascii="Arial" w:hAnsi="Arial" w:cs="Arial"/>
                <w:b/>
                <w:sz w:val="18"/>
                <w:szCs w:val="18"/>
              </w:rPr>
            </w:pPr>
            <w:r>
              <w:rPr>
                <w:rFonts w:ascii="Arial" w:hAnsi="Arial" w:cs="Arial"/>
                <w:b/>
                <w:sz w:val="18"/>
                <w:szCs w:val="18"/>
              </w:rPr>
              <w:t>Producto</w:t>
            </w:r>
          </w:p>
        </w:tc>
        <w:tc>
          <w:tcPr>
            <w:tcW w:w="1276" w:type="dxa"/>
            <w:shd w:val="clear" w:color="auto" w:fill="92D050"/>
            <w:vAlign w:val="center"/>
          </w:tcPr>
          <w:p w14:paraId="392E68A9" w14:textId="77777777" w:rsidR="00BE0D80" w:rsidRPr="00931D46" w:rsidRDefault="00BE0D80" w:rsidP="00C21851">
            <w:pPr>
              <w:tabs>
                <w:tab w:val="left" w:pos="2480"/>
              </w:tabs>
              <w:jc w:val="center"/>
              <w:rPr>
                <w:rFonts w:ascii="Arial" w:hAnsi="Arial" w:cs="Arial"/>
                <w:b/>
                <w:sz w:val="18"/>
                <w:szCs w:val="18"/>
              </w:rPr>
            </w:pPr>
            <w:r w:rsidRPr="00931D46">
              <w:rPr>
                <w:rFonts w:ascii="Arial" w:hAnsi="Arial" w:cs="Arial"/>
                <w:b/>
                <w:sz w:val="18"/>
                <w:szCs w:val="18"/>
              </w:rPr>
              <w:t>Geográfica</w:t>
            </w:r>
          </w:p>
        </w:tc>
        <w:tc>
          <w:tcPr>
            <w:tcW w:w="1080" w:type="dxa"/>
            <w:shd w:val="clear" w:color="auto" w:fill="92D050"/>
            <w:vAlign w:val="center"/>
          </w:tcPr>
          <w:p w14:paraId="4471F815" w14:textId="77777777" w:rsidR="00BE0D80" w:rsidRPr="00931D46" w:rsidRDefault="00BE0D80" w:rsidP="00C21851">
            <w:pPr>
              <w:tabs>
                <w:tab w:val="left" w:pos="2480"/>
              </w:tabs>
              <w:jc w:val="center"/>
              <w:rPr>
                <w:rFonts w:ascii="Arial" w:hAnsi="Arial" w:cs="Arial"/>
                <w:b/>
                <w:sz w:val="18"/>
                <w:szCs w:val="18"/>
              </w:rPr>
            </w:pPr>
            <w:r w:rsidRPr="00931D46">
              <w:rPr>
                <w:rFonts w:ascii="Arial" w:hAnsi="Arial" w:cs="Arial"/>
                <w:b/>
                <w:sz w:val="18"/>
                <w:szCs w:val="18"/>
              </w:rPr>
              <w:t>Demanda</w:t>
            </w:r>
          </w:p>
        </w:tc>
        <w:tc>
          <w:tcPr>
            <w:tcW w:w="806" w:type="dxa"/>
            <w:shd w:val="clear" w:color="auto" w:fill="92D050"/>
            <w:vAlign w:val="center"/>
          </w:tcPr>
          <w:p w14:paraId="63470B8D" w14:textId="77777777" w:rsidR="00BE0D80" w:rsidRPr="00931D46" w:rsidRDefault="00BE0D80" w:rsidP="00C21851">
            <w:pPr>
              <w:tabs>
                <w:tab w:val="left" w:pos="2480"/>
              </w:tabs>
              <w:jc w:val="center"/>
              <w:rPr>
                <w:rFonts w:ascii="Arial" w:hAnsi="Arial" w:cs="Arial"/>
                <w:b/>
                <w:sz w:val="18"/>
                <w:szCs w:val="18"/>
              </w:rPr>
            </w:pPr>
            <w:r w:rsidRPr="00931D46">
              <w:rPr>
                <w:rFonts w:ascii="Arial" w:hAnsi="Arial" w:cs="Arial"/>
                <w:b/>
                <w:sz w:val="18"/>
                <w:szCs w:val="18"/>
              </w:rPr>
              <w:t>Oferta</w:t>
            </w:r>
          </w:p>
        </w:tc>
      </w:tr>
      <w:tr w:rsidR="00BE0D80" w:rsidRPr="00931D46" w14:paraId="4446BBA0" w14:textId="77777777" w:rsidTr="00C21851">
        <w:trPr>
          <w:trHeight w:val="170"/>
        </w:trPr>
        <w:tc>
          <w:tcPr>
            <w:tcW w:w="5098" w:type="dxa"/>
            <w:shd w:val="clear" w:color="auto" w:fill="auto"/>
          </w:tcPr>
          <w:p w14:paraId="21C5CD7B" w14:textId="77777777" w:rsidR="00BE0D80" w:rsidRPr="00931D46" w:rsidRDefault="00BE0D80" w:rsidP="00C21851">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Las posibilidades de sustituir el bien o servicio de que se trate por otros, tanto de origen nacional como extranjero, considerando las posibilidades tecnológicas, en qué medida los consumidores cuentan con sustitutos y el tiempo requerido para tal sustitución.</w:t>
            </w:r>
          </w:p>
        </w:tc>
        <w:tc>
          <w:tcPr>
            <w:tcW w:w="1134" w:type="dxa"/>
            <w:shd w:val="clear" w:color="auto" w:fill="auto"/>
            <w:vAlign w:val="center"/>
          </w:tcPr>
          <w:p w14:paraId="3C68A0B4"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14E9FC00"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6F7540F9"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004A7A69"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BE0D80" w:rsidRPr="00931D46" w14:paraId="21D07B23" w14:textId="77777777" w:rsidTr="00C21851">
        <w:trPr>
          <w:trHeight w:val="170"/>
        </w:trPr>
        <w:tc>
          <w:tcPr>
            <w:tcW w:w="5098" w:type="dxa"/>
            <w:shd w:val="clear" w:color="auto" w:fill="auto"/>
          </w:tcPr>
          <w:p w14:paraId="6898CCC7" w14:textId="77777777" w:rsidR="00BE0D80" w:rsidRPr="00931D46" w:rsidRDefault="00BE0D80" w:rsidP="00C21851">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tc>
        <w:tc>
          <w:tcPr>
            <w:tcW w:w="1134" w:type="dxa"/>
            <w:shd w:val="clear" w:color="auto" w:fill="auto"/>
            <w:vAlign w:val="center"/>
          </w:tcPr>
          <w:p w14:paraId="48F4ECD9" w14:textId="77777777" w:rsidR="00BE0D80" w:rsidRPr="00931D46" w:rsidRDefault="00BE0D80" w:rsidP="00C21851">
            <w:pPr>
              <w:tabs>
                <w:tab w:val="left" w:pos="2480"/>
              </w:tabs>
              <w:jc w:val="center"/>
              <w:rPr>
                <w:rFonts w:ascii="Arial" w:hAnsi="Arial" w:cs="Arial"/>
                <w:sz w:val="18"/>
                <w:szCs w:val="18"/>
              </w:rPr>
            </w:pPr>
          </w:p>
        </w:tc>
        <w:tc>
          <w:tcPr>
            <w:tcW w:w="1276" w:type="dxa"/>
            <w:shd w:val="clear" w:color="auto" w:fill="auto"/>
            <w:vAlign w:val="center"/>
          </w:tcPr>
          <w:p w14:paraId="772F12A7"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63EB77FE" w14:textId="77777777" w:rsidR="00BE0D80" w:rsidRPr="00931D46" w:rsidRDefault="00BE0D80" w:rsidP="00C21851">
            <w:pPr>
              <w:tabs>
                <w:tab w:val="left" w:pos="2480"/>
              </w:tabs>
              <w:jc w:val="center"/>
              <w:rPr>
                <w:rFonts w:ascii="Arial" w:hAnsi="Arial" w:cs="Arial"/>
                <w:b/>
                <w:color w:val="70AD47" w:themeColor="accent6"/>
                <w:sz w:val="18"/>
                <w:szCs w:val="18"/>
              </w:rPr>
            </w:pPr>
          </w:p>
        </w:tc>
        <w:tc>
          <w:tcPr>
            <w:tcW w:w="806" w:type="dxa"/>
            <w:shd w:val="clear" w:color="auto" w:fill="auto"/>
            <w:vAlign w:val="center"/>
          </w:tcPr>
          <w:p w14:paraId="5B6737B1"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BE0D80" w:rsidRPr="00931D46" w14:paraId="1889B0CB" w14:textId="77777777" w:rsidTr="00C21851">
        <w:trPr>
          <w:trHeight w:val="170"/>
        </w:trPr>
        <w:tc>
          <w:tcPr>
            <w:tcW w:w="5098" w:type="dxa"/>
            <w:shd w:val="clear" w:color="auto" w:fill="auto"/>
          </w:tcPr>
          <w:p w14:paraId="5610AE87" w14:textId="77777777" w:rsidR="00BE0D80" w:rsidRPr="00931D46" w:rsidRDefault="00BE0D80" w:rsidP="00C21851">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Los costos y probabilidades que tienen los usuarios o consumidores para acudir a otros mercados.</w:t>
            </w:r>
          </w:p>
        </w:tc>
        <w:tc>
          <w:tcPr>
            <w:tcW w:w="1134" w:type="dxa"/>
            <w:shd w:val="clear" w:color="auto" w:fill="auto"/>
            <w:vAlign w:val="center"/>
          </w:tcPr>
          <w:p w14:paraId="59044F74" w14:textId="77777777" w:rsidR="00BE0D80" w:rsidRPr="00931D46" w:rsidRDefault="00BE0D80" w:rsidP="00C21851">
            <w:pPr>
              <w:tabs>
                <w:tab w:val="left" w:pos="2480"/>
              </w:tabs>
              <w:jc w:val="center"/>
              <w:rPr>
                <w:rFonts w:ascii="Arial" w:hAnsi="Arial" w:cs="Arial"/>
                <w:sz w:val="18"/>
                <w:szCs w:val="18"/>
              </w:rPr>
            </w:pPr>
          </w:p>
        </w:tc>
        <w:tc>
          <w:tcPr>
            <w:tcW w:w="1276" w:type="dxa"/>
            <w:shd w:val="clear" w:color="auto" w:fill="auto"/>
            <w:vAlign w:val="center"/>
          </w:tcPr>
          <w:p w14:paraId="1568E9E3"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74E16DA6"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07385E63" w14:textId="77777777" w:rsidR="00BE0D80" w:rsidRPr="00931D46" w:rsidRDefault="00BE0D80" w:rsidP="00C21851">
            <w:pPr>
              <w:tabs>
                <w:tab w:val="left" w:pos="2480"/>
              </w:tabs>
              <w:jc w:val="center"/>
              <w:rPr>
                <w:rFonts w:ascii="Arial" w:hAnsi="Arial" w:cs="Arial"/>
                <w:b/>
                <w:color w:val="70AD47" w:themeColor="accent6"/>
                <w:sz w:val="18"/>
                <w:szCs w:val="18"/>
              </w:rPr>
            </w:pPr>
          </w:p>
        </w:tc>
      </w:tr>
      <w:tr w:rsidR="00BE0D80" w:rsidRPr="00931D46" w14:paraId="4C47CD43" w14:textId="77777777" w:rsidTr="00C21851">
        <w:trPr>
          <w:trHeight w:val="170"/>
        </w:trPr>
        <w:tc>
          <w:tcPr>
            <w:tcW w:w="5098" w:type="dxa"/>
            <w:shd w:val="clear" w:color="auto" w:fill="auto"/>
          </w:tcPr>
          <w:p w14:paraId="75501164" w14:textId="77777777" w:rsidR="00BE0D80" w:rsidRPr="00931D46" w:rsidRDefault="00BE0D80" w:rsidP="00C21851">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 xml:space="preserve">Las restricciones normativas de carácter federal, local o internacional que limiten el acceso de usuarios o consumidores a fuentes de abasto </w:t>
            </w:r>
            <w:r w:rsidRPr="00931D46">
              <w:rPr>
                <w:rFonts w:ascii="Arial" w:hAnsi="Arial" w:cs="Arial"/>
                <w:sz w:val="18"/>
                <w:szCs w:val="18"/>
              </w:rPr>
              <w:lastRenderedPageBreak/>
              <w:t>alternativas, o el acceso de los proveedores a clientes alternativos.</w:t>
            </w:r>
          </w:p>
        </w:tc>
        <w:tc>
          <w:tcPr>
            <w:tcW w:w="1134" w:type="dxa"/>
            <w:shd w:val="clear" w:color="auto" w:fill="auto"/>
            <w:vAlign w:val="center"/>
          </w:tcPr>
          <w:p w14:paraId="1BB82BA2" w14:textId="77777777" w:rsidR="00BE0D80" w:rsidRPr="00931D46" w:rsidRDefault="00BE0D80" w:rsidP="00C21851">
            <w:pPr>
              <w:tabs>
                <w:tab w:val="left" w:pos="2480"/>
              </w:tabs>
              <w:jc w:val="center"/>
              <w:rPr>
                <w:rFonts w:ascii="Arial" w:hAnsi="Arial" w:cs="Arial"/>
                <w:sz w:val="18"/>
                <w:szCs w:val="18"/>
              </w:rPr>
            </w:pPr>
            <w:r w:rsidRPr="00931D46">
              <w:rPr>
                <w:rFonts w:ascii="Arial" w:hAnsi="Arial" w:cs="Arial"/>
                <w:b/>
                <w:color w:val="70AD47" w:themeColor="accent6"/>
                <w:sz w:val="18"/>
                <w:szCs w:val="18"/>
              </w:rPr>
              <w:lastRenderedPageBreak/>
              <w:sym w:font="Wingdings" w:char="F0FC"/>
            </w:r>
          </w:p>
        </w:tc>
        <w:tc>
          <w:tcPr>
            <w:tcW w:w="1276" w:type="dxa"/>
            <w:shd w:val="clear" w:color="auto" w:fill="auto"/>
            <w:vAlign w:val="center"/>
          </w:tcPr>
          <w:p w14:paraId="036E9489"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44450577"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26EF7AD4"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BE0D80" w:rsidRPr="00931D46" w14:paraId="5F6A94AB" w14:textId="77777777" w:rsidTr="00C21851">
        <w:trPr>
          <w:trHeight w:val="170"/>
        </w:trPr>
        <w:tc>
          <w:tcPr>
            <w:tcW w:w="5098" w:type="dxa"/>
            <w:shd w:val="clear" w:color="auto" w:fill="auto"/>
          </w:tcPr>
          <w:p w14:paraId="799A70A8" w14:textId="77777777" w:rsidR="00BE0D80" w:rsidRPr="00931D46" w:rsidRDefault="00BE0D80" w:rsidP="00C21851">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(art 5 de las DRLFCE) Las circunstancias particulares de cada caso, identificar los bienes o servicios producidos, distribuidos, adquiridos, comercializados u ofrecidos y aquellos que los sustituyan o puedan sustituirlos oportunamente, así como delimitar el área geográfica en la que se ofrecen o demandan dichos bienes o servicios y si en la misma existe la opción de acudir indistintamente a los proveedores o clientes sin incurrir en costos significativos.</w:t>
            </w:r>
          </w:p>
        </w:tc>
        <w:tc>
          <w:tcPr>
            <w:tcW w:w="1134" w:type="dxa"/>
            <w:shd w:val="clear" w:color="auto" w:fill="auto"/>
            <w:vAlign w:val="center"/>
          </w:tcPr>
          <w:p w14:paraId="34E0DDC2" w14:textId="77777777" w:rsidR="00BE0D80" w:rsidRPr="00931D46" w:rsidRDefault="00BE0D80" w:rsidP="00C21851">
            <w:pPr>
              <w:tabs>
                <w:tab w:val="left" w:pos="2480"/>
              </w:tabs>
              <w:jc w:val="center"/>
              <w:rPr>
                <w:rFonts w:ascii="Arial" w:hAnsi="Arial" w:cs="Arial"/>
                <w:b/>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31A837B7"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1D6E31F6"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277F72F9" w14:textId="77777777" w:rsidR="00BE0D80" w:rsidRPr="00931D46" w:rsidRDefault="00BE0D80" w:rsidP="00C21851">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bl>
    <w:p w14:paraId="16D658A3" w14:textId="77777777" w:rsidR="00BE0D80" w:rsidRPr="00931D46" w:rsidRDefault="00BE0D80" w:rsidP="00BE0D80">
      <w:pPr>
        <w:tabs>
          <w:tab w:val="left" w:pos="2480"/>
        </w:tabs>
        <w:spacing w:after="0"/>
        <w:rPr>
          <w:rFonts w:ascii="Arial" w:hAnsi="Arial" w:cs="Arial"/>
          <w:highlight w:val="yellow"/>
        </w:rPr>
      </w:pPr>
      <w:r w:rsidRPr="00931D46">
        <w:rPr>
          <w:rFonts w:ascii="Arial" w:hAnsi="Arial" w:cs="Arial"/>
          <w:sz w:val="14"/>
        </w:rPr>
        <w:t>Fuente: Elaboración propia.</w:t>
      </w:r>
    </w:p>
    <w:p w14:paraId="38132A00" w14:textId="77777777" w:rsidR="00BE0D80" w:rsidRPr="00931D46" w:rsidRDefault="00BE0D80" w:rsidP="00BE0D80">
      <w:pPr>
        <w:tabs>
          <w:tab w:val="left" w:pos="2480"/>
        </w:tabs>
        <w:spacing w:after="0"/>
        <w:rPr>
          <w:rFonts w:ascii="Arial" w:hAnsi="Arial" w:cs="Arial"/>
          <w:highlight w:val="yellow"/>
        </w:rPr>
      </w:pPr>
    </w:p>
    <w:p w14:paraId="523F1219" w14:textId="77777777" w:rsidR="00BE0D80" w:rsidRPr="00931D46" w:rsidRDefault="00BE0D80" w:rsidP="00BE0D80">
      <w:pPr>
        <w:tabs>
          <w:tab w:val="left" w:pos="2480"/>
        </w:tabs>
        <w:spacing w:after="0"/>
        <w:jc w:val="both"/>
        <w:rPr>
          <w:rFonts w:ascii="Arial" w:hAnsi="Arial" w:cs="Arial"/>
          <w:highlight w:val="yellow"/>
        </w:rPr>
      </w:pPr>
      <w:r w:rsidRPr="00931D46">
        <w:rPr>
          <w:rFonts w:ascii="Arial" w:hAnsi="Arial" w:cs="Arial"/>
        </w:rPr>
        <w:t>Como se observa, el marco legal mexicano establece consideraciones para la determinación del MR en sus dos dimensiones (</w:t>
      </w:r>
      <w:r>
        <w:rPr>
          <w:rFonts w:ascii="Arial" w:hAnsi="Arial" w:cs="Arial"/>
        </w:rPr>
        <w:t>producto</w:t>
      </w:r>
      <w:r w:rsidRPr="00931D46">
        <w:rPr>
          <w:rFonts w:ascii="Arial" w:hAnsi="Arial" w:cs="Arial"/>
        </w:rPr>
        <w:t xml:space="preserve"> y geográfica), que incluyen elementos asociados a la sustitución por el lado de la demanda y de la oferta.</w:t>
      </w:r>
    </w:p>
    <w:p w14:paraId="58A62997" w14:textId="77777777" w:rsidR="00BE0D80" w:rsidRPr="00931D46" w:rsidRDefault="00BE0D80" w:rsidP="00BE0D80">
      <w:pPr>
        <w:tabs>
          <w:tab w:val="left" w:pos="2480"/>
        </w:tabs>
        <w:spacing w:after="0"/>
        <w:jc w:val="both"/>
        <w:rPr>
          <w:rFonts w:ascii="Arial" w:hAnsi="Arial" w:cs="Arial"/>
          <w:highlight w:val="yellow"/>
        </w:rPr>
      </w:pPr>
    </w:p>
    <w:p w14:paraId="79965DE5"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34" w:name="_Toc45628320"/>
      <w:bookmarkStart w:id="35" w:name="_Toc85473314"/>
      <w:r>
        <w:rPr>
          <w:rFonts w:ascii="Arial" w:eastAsia="Times New Roman" w:hAnsi="Arial" w:cs="Arial"/>
          <w:sz w:val="26"/>
          <w:lang w:eastAsia="es-MX"/>
        </w:rPr>
        <w:t>E</w:t>
      </w:r>
      <w:r w:rsidRPr="00931D46">
        <w:rPr>
          <w:rFonts w:ascii="Arial" w:eastAsia="Times New Roman" w:hAnsi="Arial" w:cs="Arial"/>
          <w:sz w:val="26"/>
          <w:lang w:eastAsia="es-MX"/>
        </w:rPr>
        <w:t>nfoque del análisis de sustitución</w:t>
      </w:r>
      <w:bookmarkEnd w:id="34"/>
      <w:bookmarkEnd w:id="35"/>
    </w:p>
    <w:p w14:paraId="189D0471" w14:textId="77777777" w:rsidR="00BE0D80" w:rsidRPr="00931D46" w:rsidRDefault="00BE0D80" w:rsidP="00BE0D80">
      <w:pPr>
        <w:spacing w:after="0"/>
        <w:jc w:val="both"/>
        <w:rPr>
          <w:rFonts w:ascii="Arial" w:hAnsi="Arial" w:cs="Arial"/>
        </w:rPr>
      </w:pPr>
    </w:p>
    <w:p w14:paraId="5AC02C67" w14:textId="77777777" w:rsidR="00BE0D80" w:rsidRDefault="00BE0D80" w:rsidP="00BE0D80">
      <w:pPr>
        <w:spacing w:after="0"/>
        <w:jc w:val="both"/>
        <w:rPr>
          <w:rFonts w:ascii="Arial" w:eastAsia="Times New Roman" w:hAnsi="Arial" w:cs="Arial"/>
          <w:bCs/>
          <w:kern w:val="1"/>
          <w:lang w:eastAsia="ar-SA"/>
        </w:rPr>
      </w:pPr>
      <w:r w:rsidRPr="00931D46">
        <w:rPr>
          <w:rFonts w:ascii="Arial" w:hAnsi="Arial" w:cs="Arial"/>
        </w:rPr>
        <w:t>En la determinación de las dos dimensiones (</w:t>
      </w:r>
      <w:r>
        <w:rPr>
          <w:rFonts w:ascii="Arial" w:hAnsi="Arial" w:cs="Arial"/>
        </w:rPr>
        <w:t>producto</w:t>
      </w:r>
      <w:r w:rsidRPr="00931D46">
        <w:rPr>
          <w:rFonts w:ascii="Arial" w:hAnsi="Arial" w:cs="Arial"/>
        </w:rPr>
        <w:t xml:space="preserve"> y geográfica) del MR, el Instituto considerará las restricciones (presiones) </w:t>
      </w:r>
      <w:r w:rsidRPr="00931D46">
        <w:rPr>
          <w:rFonts w:ascii="Arial" w:eastAsia="Times New Roman" w:hAnsi="Arial" w:cs="Arial"/>
          <w:bCs/>
          <w:kern w:val="1"/>
          <w:lang w:eastAsia="ar-SA"/>
        </w:rPr>
        <w:t xml:space="preserve">competitivas </w:t>
      </w:r>
      <w:r w:rsidRPr="00931D46">
        <w:rPr>
          <w:rFonts w:ascii="Arial" w:hAnsi="Arial" w:cs="Arial"/>
        </w:rPr>
        <w:t>por el lado de la demanda (</w:t>
      </w:r>
      <w:r w:rsidRPr="00EA2839">
        <w:rPr>
          <w:rFonts w:ascii="Arial" w:hAnsi="Arial" w:cs="Arial"/>
        </w:rPr>
        <w:t xml:space="preserve">sustitución por el lado de la demanda) y por el lado de la oferta (sustitución por el lado de la oferta). </w:t>
      </w:r>
      <w:r w:rsidRPr="00EA2839">
        <w:rPr>
          <w:rFonts w:ascii="Arial" w:eastAsia="Times New Roman" w:hAnsi="Arial" w:cs="Arial"/>
          <w:bCs/>
          <w:kern w:val="1"/>
          <w:lang w:eastAsia="ar-SA"/>
        </w:rPr>
        <w:t>En particular, se considerará que la sustitución por el lado de la demanda es el medio más inmediato y eficaz para restringir el comportamiento de los proveedores de un determinado producto.</w:t>
      </w:r>
      <w:r>
        <w:rPr>
          <w:rFonts w:ascii="Arial" w:eastAsia="Times New Roman" w:hAnsi="Arial" w:cs="Arial"/>
          <w:bCs/>
          <w:kern w:val="1"/>
          <w:lang w:eastAsia="ar-SA"/>
        </w:rPr>
        <w:t xml:space="preserve"> </w:t>
      </w:r>
    </w:p>
    <w:p w14:paraId="197464F4" w14:textId="77777777" w:rsidR="00BE0D80" w:rsidRDefault="00BE0D80" w:rsidP="00BE0D80">
      <w:pPr>
        <w:spacing w:after="0"/>
        <w:jc w:val="both"/>
        <w:rPr>
          <w:rFonts w:ascii="Arial" w:eastAsia="Times New Roman" w:hAnsi="Arial" w:cs="Arial"/>
          <w:bCs/>
          <w:kern w:val="1"/>
          <w:lang w:eastAsia="ar-SA"/>
        </w:rPr>
      </w:pPr>
    </w:p>
    <w:p w14:paraId="2151AFF2" w14:textId="5FFF95A4" w:rsidR="00BE0D80" w:rsidRDefault="00BE0D80" w:rsidP="00BE0D80">
      <w:pPr>
        <w:spacing w:after="0"/>
        <w:jc w:val="both"/>
        <w:rPr>
          <w:rFonts w:ascii="Arial" w:hAnsi="Arial" w:cs="Arial"/>
        </w:rPr>
      </w:pPr>
      <w:r w:rsidRPr="00952747">
        <w:rPr>
          <w:rFonts w:ascii="Arial" w:eastAsia="Times New Roman" w:hAnsi="Arial" w:cs="Arial"/>
          <w:bCs/>
          <w:kern w:val="1"/>
          <w:lang w:eastAsia="ar-SA"/>
        </w:rPr>
        <w:t>En cuanto a</w:t>
      </w:r>
      <w:r w:rsidRPr="00EA2839">
        <w:rPr>
          <w:rFonts w:ascii="Arial" w:hAnsi="Arial" w:cs="Arial"/>
        </w:rPr>
        <w:t xml:space="preserve"> la sustitución por el lado de la oferta, se considerará que esta debe ser inmediata </w:t>
      </w:r>
      <w:r w:rsidRPr="00BA5E76">
        <w:rPr>
          <w:rFonts w:ascii="Arial" w:hAnsi="Arial" w:cs="Arial"/>
        </w:rPr>
        <w:t>(p.ej. menos de un año)</w:t>
      </w:r>
      <w:r w:rsidR="008C105D">
        <w:rPr>
          <w:rStyle w:val="Refdenotaalpie"/>
          <w:rFonts w:ascii="Arial" w:hAnsi="Arial" w:cs="Arial"/>
        </w:rPr>
        <w:footnoteReference w:id="19"/>
      </w:r>
      <w:r w:rsidR="008C105D" w:rsidRPr="00EA2839">
        <w:rPr>
          <w:rFonts w:ascii="Arial" w:hAnsi="Arial" w:cs="Arial"/>
        </w:rPr>
        <w:t xml:space="preserve"> </w:t>
      </w:r>
      <w:r w:rsidRPr="00EA2839">
        <w:rPr>
          <w:rFonts w:ascii="Arial" w:hAnsi="Arial" w:cs="Arial"/>
        </w:rPr>
        <w:t>y sin incurrir en costos apreciables,</w:t>
      </w:r>
      <w:r w:rsidR="008C105D" w:rsidRPr="00EA2839" w:rsidDel="008C105D">
        <w:rPr>
          <w:rFonts w:ascii="Arial" w:hAnsi="Arial" w:cs="Arial"/>
        </w:rPr>
        <w:t xml:space="preserve"> </w:t>
      </w:r>
      <w:r w:rsidRPr="00EA2839">
        <w:rPr>
          <w:rFonts w:ascii="Arial" w:hAnsi="Arial" w:cs="Arial"/>
        </w:rPr>
        <w:t>de tal manera que pueda restringir el comportamiento de los competidores y tener efectos equivalentes a los de la sustitución por el lado de la demanda, en términos de eficacia y respuesta inmediata.</w:t>
      </w:r>
    </w:p>
    <w:p w14:paraId="55D79F72" w14:textId="77777777" w:rsidR="00BE0D80" w:rsidRPr="00931D46" w:rsidRDefault="00BE0D80" w:rsidP="00BE0D80">
      <w:pPr>
        <w:spacing w:after="0"/>
        <w:jc w:val="both"/>
        <w:rPr>
          <w:rFonts w:ascii="Arial" w:hAnsi="Arial" w:cs="Arial"/>
        </w:rPr>
      </w:pPr>
    </w:p>
    <w:p w14:paraId="4C0CABA9" w14:textId="77777777" w:rsidR="00BE0D80" w:rsidRPr="00931D46" w:rsidRDefault="00BE0D80" w:rsidP="00BE0D80">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Cuando se identifique la existencia de competencia potencial, su evaluación no se considerará en la etapa de determinación del MR sino, en caso necesario, podrá llevarse a cabo </w:t>
      </w:r>
      <w:r>
        <w:rPr>
          <w:rFonts w:ascii="Arial" w:eastAsia="Times New Roman" w:hAnsi="Arial" w:cs="Arial"/>
          <w:bCs/>
          <w:kern w:val="1"/>
          <w:lang w:eastAsia="ar-SA"/>
        </w:rPr>
        <w:t>al analizar</w:t>
      </w:r>
      <w:r w:rsidRPr="00D55107">
        <w:rPr>
          <w:rFonts w:ascii="Arial" w:eastAsia="Times New Roman" w:hAnsi="Arial" w:cs="Arial"/>
          <w:bCs/>
          <w:kern w:val="1"/>
          <w:lang w:eastAsia="ar-SA"/>
        </w:rPr>
        <w:t xml:space="preserve"> la existencia de poder </w:t>
      </w:r>
      <w:r>
        <w:rPr>
          <w:rFonts w:ascii="Arial" w:eastAsia="Times New Roman" w:hAnsi="Arial" w:cs="Arial"/>
          <w:bCs/>
          <w:kern w:val="1"/>
          <w:lang w:eastAsia="ar-SA"/>
        </w:rPr>
        <w:t>sustancial de mercado</w:t>
      </w:r>
      <w:r w:rsidRPr="00D55107">
        <w:rPr>
          <w:rFonts w:ascii="Arial" w:eastAsia="Times New Roman" w:hAnsi="Arial" w:cs="Arial"/>
          <w:bCs/>
          <w:kern w:val="1"/>
          <w:lang w:eastAsia="ar-SA"/>
        </w:rPr>
        <w:t xml:space="preserve"> o </w:t>
      </w:r>
      <w:r>
        <w:rPr>
          <w:rFonts w:ascii="Arial" w:eastAsia="Times New Roman" w:hAnsi="Arial" w:cs="Arial"/>
          <w:bCs/>
          <w:kern w:val="1"/>
          <w:lang w:eastAsia="ar-SA"/>
        </w:rPr>
        <w:t xml:space="preserve">en la evaluación de </w:t>
      </w:r>
      <w:r w:rsidRPr="00D55107">
        <w:rPr>
          <w:rFonts w:ascii="Arial" w:eastAsia="Times New Roman" w:hAnsi="Arial" w:cs="Arial"/>
          <w:bCs/>
          <w:kern w:val="1"/>
          <w:lang w:eastAsia="ar-SA"/>
        </w:rPr>
        <w:t>condiciones de competencia</w:t>
      </w:r>
      <w:r>
        <w:rPr>
          <w:rFonts w:ascii="Arial" w:eastAsia="Times New Roman" w:hAnsi="Arial" w:cs="Arial"/>
          <w:bCs/>
          <w:kern w:val="1"/>
          <w:lang w:eastAsia="ar-SA"/>
        </w:rPr>
        <w:t xml:space="preserve"> o competencia efectiva</w:t>
      </w:r>
      <w:r w:rsidRPr="00931D46">
        <w:rPr>
          <w:rFonts w:ascii="Arial" w:eastAsia="Times New Roman" w:hAnsi="Arial" w:cs="Arial"/>
          <w:bCs/>
          <w:kern w:val="1"/>
          <w:lang w:eastAsia="ar-SA"/>
        </w:rPr>
        <w:t>.</w:t>
      </w:r>
      <w:r>
        <w:rPr>
          <w:rStyle w:val="Refdenotaalpie"/>
          <w:rFonts w:ascii="Arial" w:hAnsi="Arial" w:cs="Arial"/>
        </w:rPr>
        <w:footnoteReference w:id="20"/>
      </w:r>
    </w:p>
    <w:p w14:paraId="1D2244AB" w14:textId="77777777" w:rsidR="00BE0D80" w:rsidRPr="00931D46" w:rsidRDefault="00BE0D80" w:rsidP="00BE0D80">
      <w:pPr>
        <w:spacing w:after="0"/>
        <w:jc w:val="both"/>
        <w:rPr>
          <w:rFonts w:ascii="Arial" w:hAnsi="Arial" w:cs="Arial"/>
        </w:rPr>
      </w:pPr>
    </w:p>
    <w:p w14:paraId="46B11888" w14:textId="77777777" w:rsidR="00BE0D80" w:rsidRPr="00931D46" w:rsidRDefault="00BE0D80" w:rsidP="00BE0D80">
      <w:pPr>
        <w:pStyle w:val="Ttulo1"/>
        <w:numPr>
          <w:ilvl w:val="0"/>
          <w:numId w:val="5"/>
        </w:numPr>
        <w:spacing w:line="276" w:lineRule="auto"/>
        <w:jc w:val="both"/>
        <w:rPr>
          <w:rFonts w:ascii="Arial" w:hAnsi="Arial" w:cs="Arial"/>
          <w:b w:val="0"/>
          <w:sz w:val="26"/>
          <w:szCs w:val="26"/>
        </w:rPr>
      </w:pPr>
      <w:bookmarkStart w:id="36" w:name="_Toc85473315"/>
      <w:r w:rsidRPr="00931D46">
        <w:rPr>
          <w:rFonts w:ascii="Arial" w:hAnsi="Arial" w:cs="Arial"/>
          <w:sz w:val="26"/>
          <w:szCs w:val="26"/>
        </w:rPr>
        <w:lastRenderedPageBreak/>
        <w:t>Herramientas y elementos para el análisis de sustitución</w:t>
      </w:r>
      <w:bookmarkEnd w:id="36"/>
    </w:p>
    <w:p w14:paraId="1306ED07" w14:textId="77777777" w:rsidR="00BE0D80" w:rsidRPr="00931D46" w:rsidRDefault="00BE0D80" w:rsidP="00BE0D80">
      <w:pPr>
        <w:keepNext/>
        <w:spacing w:after="0"/>
        <w:jc w:val="both"/>
        <w:rPr>
          <w:rFonts w:ascii="Arial" w:eastAsia="Times New Roman" w:hAnsi="Arial" w:cs="Arial"/>
          <w:lang w:eastAsia="es-MX"/>
        </w:rPr>
      </w:pPr>
    </w:p>
    <w:p w14:paraId="0BBFF44C" w14:textId="77777777" w:rsidR="00BE0D80" w:rsidRDefault="00BE0D80" w:rsidP="00BE0D80">
      <w:pPr>
        <w:spacing w:after="0"/>
        <w:jc w:val="both"/>
        <w:rPr>
          <w:rFonts w:ascii="Arial" w:hAnsi="Arial" w:cs="Arial"/>
          <w:lang w:eastAsia="es-MX"/>
        </w:rPr>
      </w:pPr>
      <w:r w:rsidRPr="00931D46">
        <w:rPr>
          <w:rFonts w:ascii="Arial" w:hAnsi="Arial" w:cs="Arial"/>
          <w:lang w:eastAsia="es-MX"/>
        </w:rPr>
        <w:t>Existen distintas herramientas para llevar a cabo el análisis de sustitución</w:t>
      </w:r>
      <w:r>
        <w:rPr>
          <w:rFonts w:ascii="Arial" w:hAnsi="Arial" w:cs="Arial"/>
          <w:lang w:eastAsia="es-MX"/>
        </w:rPr>
        <w:t>, las cuales</w:t>
      </w:r>
      <w:r w:rsidRPr="00931D46">
        <w:rPr>
          <w:rFonts w:ascii="Arial" w:hAnsi="Arial" w:cs="Arial"/>
          <w:lang w:eastAsia="es-MX"/>
        </w:rPr>
        <w:t xml:space="preserve"> proporcionan evidencia tanto cuantitativa como cualitativa sobre los patrones de sustitución que existen entre distintos </w:t>
      </w:r>
      <w:r>
        <w:rPr>
          <w:rFonts w:ascii="Arial" w:hAnsi="Arial" w:cs="Arial"/>
          <w:lang w:eastAsia="es-MX"/>
        </w:rPr>
        <w:t>productos</w:t>
      </w:r>
      <w:r w:rsidRPr="00931D46">
        <w:rPr>
          <w:rFonts w:ascii="Arial" w:hAnsi="Arial" w:cs="Arial"/>
          <w:lang w:eastAsia="es-MX"/>
        </w:rPr>
        <w:t xml:space="preserve"> y zonas geográficas, tales como: la </w:t>
      </w:r>
      <w:r w:rsidRPr="00EA2839">
        <w:rPr>
          <w:rFonts w:ascii="Arial" w:hAnsi="Arial" w:cs="Arial"/>
        </w:rPr>
        <w:t xml:space="preserve">Prueba del monopolista hipotético </w:t>
      </w:r>
      <w:r>
        <w:rPr>
          <w:rFonts w:ascii="Arial" w:hAnsi="Arial" w:cs="Arial"/>
        </w:rPr>
        <w:t xml:space="preserve">o Prueba SSNIP </w:t>
      </w:r>
      <w:r w:rsidRPr="00EA2839">
        <w:rPr>
          <w:rFonts w:ascii="Arial" w:hAnsi="Arial" w:cs="Arial"/>
        </w:rPr>
        <w:t>(</w:t>
      </w:r>
      <w:r w:rsidRPr="00EA2839">
        <w:rPr>
          <w:rFonts w:ascii="Arial" w:hAnsi="Arial" w:cs="Arial"/>
          <w:i/>
        </w:rPr>
        <w:t>Small but Significant Non-Transitory Increase in Price Test</w:t>
      </w:r>
      <w:r w:rsidRPr="00EA2839">
        <w:rPr>
          <w:rFonts w:ascii="Arial" w:hAnsi="Arial" w:cs="Arial"/>
        </w:rPr>
        <w:t>, en inglés)</w:t>
      </w:r>
      <w:r>
        <w:rPr>
          <w:rFonts w:ascii="Arial" w:hAnsi="Arial" w:cs="Arial"/>
          <w:lang w:eastAsia="es-MX"/>
        </w:rPr>
        <w:t xml:space="preserve"> y el análisis de pérdida crítica</w:t>
      </w:r>
      <w:r w:rsidRPr="00DC4B55">
        <w:rPr>
          <w:rFonts w:ascii="Arial" w:hAnsi="Arial" w:cs="Arial"/>
          <w:lang w:eastAsia="es-MX"/>
        </w:rPr>
        <w:t>,</w:t>
      </w:r>
      <w:r w:rsidRPr="00DC4B55">
        <w:rPr>
          <w:rFonts w:ascii="Arial" w:hAnsi="Arial" w:cs="Arial"/>
          <w:vertAlign w:val="superscript"/>
        </w:rPr>
        <w:footnoteReference w:id="21"/>
      </w:r>
      <w:r w:rsidRPr="00DC4B55">
        <w:rPr>
          <w:rFonts w:ascii="Arial" w:hAnsi="Arial" w:cs="Arial"/>
          <w:lang w:eastAsia="es-MX"/>
        </w:rPr>
        <w:t xml:space="preserve"> análisis</w:t>
      </w:r>
      <w:r w:rsidRPr="00931D46">
        <w:rPr>
          <w:rFonts w:ascii="Arial" w:hAnsi="Arial" w:cs="Arial"/>
          <w:lang w:eastAsia="es-MX"/>
        </w:rPr>
        <w:t xml:space="preserve"> de características y funcionalidades, estudios de consumo (que pueden ser derivados de encuestas), herramientas econométricas (por ejemplo, análisis de correlación de precios, estimación de elasticidades y experimentos naturales), entre otras.</w:t>
      </w:r>
      <w:r w:rsidRPr="00931D46">
        <w:rPr>
          <w:rStyle w:val="Refdenotaalpie"/>
          <w:rFonts w:ascii="Arial" w:hAnsi="Arial" w:cs="Arial"/>
          <w:lang w:eastAsia="es-MX"/>
        </w:rPr>
        <w:footnoteReference w:id="22"/>
      </w:r>
    </w:p>
    <w:p w14:paraId="5E0BB76A" w14:textId="77777777" w:rsidR="00BE0D80" w:rsidRPr="00931D46" w:rsidRDefault="00BE0D80" w:rsidP="00BE0D80">
      <w:pPr>
        <w:spacing w:after="0"/>
        <w:jc w:val="both"/>
        <w:rPr>
          <w:rFonts w:ascii="Arial" w:hAnsi="Arial" w:cs="Arial"/>
          <w:lang w:eastAsia="es-MX"/>
        </w:rPr>
      </w:pPr>
      <w:r w:rsidRPr="00931D46">
        <w:rPr>
          <w:rFonts w:ascii="Arial" w:hAnsi="Arial" w:cs="Arial"/>
          <w:lang w:eastAsia="es-MX"/>
        </w:rPr>
        <w:t xml:space="preserve">Sin embargo, </w:t>
      </w:r>
      <w:r>
        <w:rPr>
          <w:rFonts w:ascii="Arial" w:hAnsi="Arial" w:cs="Arial"/>
          <w:lang w:eastAsia="es-MX"/>
        </w:rPr>
        <w:t xml:space="preserve">la práctica internacional indica que </w:t>
      </w:r>
      <w:r w:rsidRPr="00931D46">
        <w:rPr>
          <w:rFonts w:ascii="Arial" w:hAnsi="Arial" w:cs="Arial"/>
          <w:lang w:eastAsia="es-MX"/>
        </w:rPr>
        <w:t xml:space="preserve">la aplicación de esas herramientas es totalmente casuística, pues depende de las particularidades y características del </w:t>
      </w:r>
      <w:r>
        <w:rPr>
          <w:rFonts w:ascii="Arial" w:hAnsi="Arial" w:cs="Arial"/>
          <w:lang w:eastAsia="es-MX"/>
        </w:rPr>
        <w:t>producto</w:t>
      </w:r>
      <w:r w:rsidRPr="00931D46">
        <w:rPr>
          <w:rFonts w:ascii="Arial" w:hAnsi="Arial" w:cs="Arial"/>
          <w:lang w:eastAsia="es-MX"/>
        </w:rPr>
        <w:t xml:space="preserve"> y la </w:t>
      </w:r>
      <w:r>
        <w:rPr>
          <w:rFonts w:ascii="Arial" w:hAnsi="Arial" w:cs="Arial"/>
          <w:lang w:eastAsia="es-MX"/>
        </w:rPr>
        <w:t>zona</w:t>
      </w:r>
      <w:r w:rsidRPr="00931D46">
        <w:rPr>
          <w:rFonts w:ascii="Arial" w:hAnsi="Arial" w:cs="Arial"/>
          <w:lang w:eastAsia="es-MX"/>
        </w:rPr>
        <w:t xml:space="preserve"> geográfica bajo análisis, y de la información y evidencia disponibles.</w:t>
      </w:r>
    </w:p>
    <w:p w14:paraId="02883301" w14:textId="77777777" w:rsidR="00BE0D80" w:rsidRPr="00931D46" w:rsidRDefault="00BE0D80" w:rsidP="00BE0D80">
      <w:pPr>
        <w:jc w:val="both"/>
        <w:rPr>
          <w:rFonts w:ascii="Arial" w:hAnsi="Arial" w:cs="Arial"/>
        </w:rPr>
      </w:pPr>
      <w:r w:rsidRPr="00931D46">
        <w:rPr>
          <w:rFonts w:ascii="Arial" w:hAnsi="Arial" w:cs="Arial"/>
          <w:lang w:eastAsia="es-MX"/>
        </w:rPr>
        <w:t>R</w:t>
      </w:r>
      <w:r w:rsidRPr="00931D46">
        <w:rPr>
          <w:rFonts w:ascii="Arial" w:hAnsi="Arial" w:cs="Arial"/>
        </w:rPr>
        <w:t>especto a la utilidad de la Prueba SSNIP, el PJF ha señalado que:</w:t>
      </w:r>
      <w:r w:rsidRPr="00931D46">
        <w:rPr>
          <w:rStyle w:val="Refdenotaalpie"/>
          <w:rFonts w:ascii="Arial" w:hAnsi="Arial" w:cs="Arial"/>
        </w:rPr>
        <w:t xml:space="preserve"> </w:t>
      </w:r>
      <w:r w:rsidRPr="00931D46">
        <w:rPr>
          <w:rStyle w:val="Refdenotaalpie"/>
          <w:rFonts w:ascii="Arial" w:hAnsi="Arial" w:cs="Arial"/>
        </w:rPr>
        <w:footnoteReference w:id="23"/>
      </w:r>
    </w:p>
    <w:p w14:paraId="3E196A81" w14:textId="77777777" w:rsidR="00BE0D80" w:rsidRPr="00931D46" w:rsidRDefault="00BE0D80" w:rsidP="00BE0D80">
      <w:pPr>
        <w:pStyle w:val="Prrafodelista"/>
        <w:numPr>
          <w:ilvl w:val="0"/>
          <w:numId w:val="24"/>
        </w:numPr>
        <w:autoSpaceDE w:val="0"/>
        <w:autoSpaceDN w:val="0"/>
        <w:adjustRightInd w:val="0"/>
        <w:spacing w:after="0"/>
        <w:ind w:left="714" w:hanging="573"/>
        <w:contextualSpacing w:val="0"/>
        <w:jc w:val="both"/>
        <w:rPr>
          <w:rFonts w:ascii="Arial" w:hAnsi="Arial" w:cs="Arial"/>
          <w:color w:val="000000"/>
          <w:szCs w:val="26"/>
        </w:rPr>
      </w:pPr>
      <w:r w:rsidRPr="00931D46">
        <w:rPr>
          <w:rFonts w:ascii="Arial" w:hAnsi="Arial" w:cs="Arial"/>
          <w:color w:val="000000"/>
          <w:szCs w:val="26"/>
        </w:rPr>
        <w:t xml:space="preserve">Si se desarrolla de manera adecuada, dicha prueba ayudará a entender la presión competitiva que la oferta de otros </w:t>
      </w:r>
      <w:r>
        <w:rPr>
          <w:rFonts w:ascii="Arial" w:hAnsi="Arial" w:cs="Arial"/>
          <w:color w:val="000000"/>
          <w:szCs w:val="26"/>
        </w:rPr>
        <w:t>productos</w:t>
      </w:r>
      <w:r w:rsidRPr="00931D46">
        <w:rPr>
          <w:rFonts w:ascii="Arial" w:hAnsi="Arial" w:cs="Arial"/>
          <w:color w:val="000000"/>
          <w:szCs w:val="26"/>
        </w:rPr>
        <w:t xml:space="preserve"> distintos de los que son materia de estudio genera sobre éstos.</w:t>
      </w:r>
    </w:p>
    <w:p w14:paraId="7017B918" w14:textId="77777777" w:rsidR="00BE0D80" w:rsidRPr="00A92633" w:rsidRDefault="00BE0D80" w:rsidP="00BE0D80">
      <w:pPr>
        <w:pStyle w:val="Prrafodelista"/>
        <w:autoSpaceDE w:val="0"/>
        <w:autoSpaceDN w:val="0"/>
        <w:adjustRightInd w:val="0"/>
        <w:spacing w:after="0"/>
        <w:contextualSpacing w:val="0"/>
        <w:jc w:val="both"/>
        <w:rPr>
          <w:rFonts w:ascii="Arial" w:hAnsi="Arial" w:cs="Arial"/>
          <w:sz w:val="18"/>
        </w:rPr>
      </w:pPr>
    </w:p>
    <w:p w14:paraId="5924C394" w14:textId="77777777" w:rsidR="00BE0D80" w:rsidRPr="00931D46" w:rsidRDefault="00BE0D80" w:rsidP="00BE0D80">
      <w:pPr>
        <w:pStyle w:val="Prrafodelista"/>
        <w:numPr>
          <w:ilvl w:val="0"/>
          <w:numId w:val="24"/>
        </w:numPr>
        <w:autoSpaceDE w:val="0"/>
        <w:autoSpaceDN w:val="0"/>
        <w:adjustRightInd w:val="0"/>
        <w:spacing w:after="0"/>
        <w:ind w:hanging="573"/>
        <w:contextualSpacing w:val="0"/>
        <w:jc w:val="both"/>
        <w:rPr>
          <w:rFonts w:ascii="Arial" w:hAnsi="Arial" w:cs="Arial"/>
          <w:sz w:val="18"/>
        </w:rPr>
      </w:pPr>
      <w:r w:rsidRPr="00931D46">
        <w:rPr>
          <w:rFonts w:ascii="Arial" w:hAnsi="Arial" w:cs="Arial"/>
          <w:color w:val="000000"/>
          <w:szCs w:val="26"/>
        </w:rPr>
        <w:t xml:space="preserve">Permitirá clasificar los sustitutos más cercanos, los cuales conformarán junto con los </w:t>
      </w:r>
      <w:r>
        <w:rPr>
          <w:rFonts w:ascii="Arial" w:hAnsi="Arial" w:cs="Arial"/>
          <w:color w:val="000000"/>
          <w:szCs w:val="26"/>
        </w:rPr>
        <w:t>productos</w:t>
      </w:r>
      <w:r w:rsidRPr="00931D46">
        <w:rPr>
          <w:rFonts w:ascii="Arial" w:hAnsi="Arial" w:cs="Arial"/>
          <w:color w:val="000000"/>
          <w:szCs w:val="26"/>
        </w:rPr>
        <w:t xml:space="preserve"> analizados, el MR, bajo la premisa de que un factor bajo de elasticidad cruzada entre los </w:t>
      </w:r>
      <w:r>
        <w:rPr>
          <w:rFonts w:ascii="Arial" w:hAnsi="Arial" w:cs="Arial"/>
          <w:color w:val="000000"/>
          <w:szCs w:val="26"/>
        </w:rPr>
        <w:t>productos</w:t>
      </w:r>
      <w:r w:rsidRPr="00931D46">
        <w:rPr>
          <w:rFonts w:ascii="Arial" w:hAnsi="Arial" w:cs="Arial"/>
          <w:color w:val="000000"/>
          <w:szCs w:val="26"/>
        </w:rPr>
        <w:t xml:space="preserve"> comparados es indicativo de que los consumidores no los perciben como sustitutos, lo que a su vez sugiere que ambos conforman mercados independientes o separados.</w:t>
      </w:r>
    </w:p>
    <w:p w14:paraId="726FFA53" w14:textId="77777777" w:rsidR="00BE0D80" w:rsidRPr="00931D46" w:rsidRDefault="00BE0D80" w:rsidP="00BE0D80">
      <w:pPr>
        <w:spacing w:after="0"/>
        <w:jc w:val="both"/>
        <w:rPr>
          <w:rFonts w:ascii="Arial" w:eastAsia="Times New Roman" w:hAnsi="Arial" w:cs="Arial"/>
          <w:bCs/>
          <w:kern w:val="1"/>
          <w:lang w:eastAsia="ar-SA"/>
        </w:rPr>
      </w:pPr>
    </w:p>
    <w:p w14:paraId="4CE34221" w14:textId="77777777" w:rsidR="00BE0D80" w:rsidRDefault="00BE0D80" w:rsidP="00BE0D80">
      <w:pPr>
        <w:spacing w:after="0"/>
        <w:jc w:val="both"/>
        <w:rPr>
          <w:rFonts w:ascii="Arial" w:hAnsi="Arial" w:cs="Arial"/>
          <w:lang w:eastAsia="es-MX"/>
        </w:rPr>
      </w:pPr>
      <w:r w:rsidRPr="00EA6D59">
        <w:rPr>
          <w:rFonts w:ascii="Arial" w:hAnsi="Arial" w:cs="Arial"/>
          <w:lang w:eastAsia="es-MX"/>
        </w:rPr>
        <w:t xml:space="preserve">En </w:t>
      </w:r>
      <w:r w:rsidRPr="009B6F6C">
        <w:rPr>
          <w:rFonts w:ascii="Arial" w:hAnsi="Arial" w:cs="Arial"/>
          <w:lang w:eastAsia="es-MX"/>
        </w:rPr>
        <w:t xml:space="preserve">la práctica, la </w:t>
      </w:r>
      <w:r>
        <w:rPr>
          <w:rFonts w:ascii="Arial" w:hAnsi="Arial" w:cs="Arial"/>
          <w:lang w:eastAsia="es-MX"/>
        </w:rPr>
        <w:t>P</w:t>
      </w:r>
      <w:r w:rsidRPr="009B6F6C">
        <w:rPr>
          <w:rFonts w:ascii="Arial" w:hAnsi="Arial" w:cs="Arial"/>
          <w:lang w:eastAsia="es-MX"/>
        </w:rPr>
        <w:t xml:space="preserve">rueba </w:t>
      </w:r>
      <w:r>
        <w:rPr>
          <w:rFonts w:ascii="Arial" w:hAnsi="Arial" w:cs="Arial"/>
          <w:lang w:eastAsia="es-MX"/>
        </w:rPr>
        <w:t xml:space="preserve">SSNIP </w:t>
      </w:r>
      <w:r w:rsidRPr="009B6F6C">
        <w:rPr>
          <w:rFonts w:ascii="Arial" w:hAnsi="Arial" w:cs="Arial"/>
          <w:lang w:eastAsia="es-MX"/>
        </w:rPr>
        <w:t>establece un marco conceptual para realizar el análisis de sustitución, el cual se complementa con otras herramientas, y cuya aplicación o valoración dependen del caso específico de análisis y de la información disponible.</w:t>
      </w:r>
      <w:r w:rsidRPr="009B6F6C">
        <w:rPr>
          <w:rFonts w:ascii="Arial" w:hAnsi="Arial" w:cs="Arial"/>
          <w:vertAlign w:val="superscript"/>
          <w:lang w:eastAsia="es-MX"/>
        </w:rPr>
        <w:footnoteReference w:id="24"/>
      </w:r>
    </w:p>
    <w:p w14:paraId="456CCF1E" w14:textId="77777777" w:rsidR="00BE0D80" w:rsidRPr="00931D46" w:rsidRDefault="00BE0D80" w:rsidP="00BE0D80">
      <w:pPr>
        <w:spacing w:after="0"/>
        <w:jc w:val="both"/>
        <w:rPr>
          <w:rFonts w:ascii="Arial" w:hAnsi="Arial" w:cs="Arial"/>
          <w:lang w:eastAsia="es-MX"/>
        </w:rPr>
      </w:pPr>
      <w:r w:rsidRPr="00EA6D59">
        <w:rPr>
          <w:rFonts w:ascii="Arial" w:hAnsi="Arial" w:cs="Arial"/>
          <w:lang w:eastAsia="es-MX"/>
        </w:rPr>
        <w:lastRenderedPageBreak/>
        <w:t xml:space="preserve"> </w:t>
      </w:r>
    </w:p>
    <w:p w14:paraId="7A5297A6" w14:textId="77777777" w:rsidR="00BE0D80" w:rsidRPr="00931D46" w:rsidRDefault="00BE0D80" w:rsidP="00BE0D80">
      <w:pPr>
        <w:pStyle w:val="Ttulo1"/>
        <w:numPr>
          <w:ilvl w:val="0"/>
          <w:numId w:val="5"/>
        </w:numPr>
        <w:spacing w:line="276" w:lineRule="auto"/>
        <w:jc w:val="both"/>
        <w:rPr>
          <w:rFonts w:ascii="Arial" w:hAnsi="Arial" w:cs="Arial"/>
          <w:b w:val="0"/>
          <w:sz w:val="26"/>
          <w:szCs w:val="26"/>
        </w:rPr>
      </w:pPr>
      <w:bookmarkStart w:id="37" w:name="_Toc41649766"/>
      <w:bookmarkStart w:id="38" w:name="_Toc41649907"/>
      <w:bookmarkStart w:id="39" w:name="_Toc45216574"/>
      <w:bookmarkStart w:id="40" w:name="_Toc45628324"/>
      <w:bookmarkStart w:id="41" w:name="_Toc85473316"/>
      <w:r w:rsidRPr="00931D46">
        <w:rPr>
          <w:rFonts w:ascii="Arial" w:hAnsi="Arial" w:cs="Arial"/>
          <w:sz w:val="26"/>
          <w:szCs w:val="26"/>
        </w:rPr>
        <w:t xml:space="preserve">Determinación de la dimensión </w:t>
      </w:r>
      <w:bookmarkEnd w:id="37"/>
      <w:bookmarkEnd w:id="38"/>
      <w:bookmarkEnd w:id="39"/>
      <w:bookmarkEnd w:id="40"/>
      <w:r>
        <w:rPr>
          <w:rFonts w:ascii="Arial" w:hAnsi="Arial" w:cs="Arial"/>
          <w:sz w:val="26"/>
          <w:szCs w:val="26"/>
        </w:rPr>
        <w:t>producto</w:t>
      </w:r>
      <w:bookmarkEnd w:id="41"/>
    </w:p>
    <w:p w14:paraId="4D90AEC5" w14:textId="77777777" w:rsidR="00BE0D80" w:rsidRPr="00931D46" w:rsidRDefault="00BE0D80" w:rsidP="00BE0D80">
      <w:pPr>
        <w:keepNext/>
        <w:spacing w:after="0"/>
        <w:jc w:val="both"/>
        <w:rPr>
          <w:rFonts w:ascii="Arial" w:hAnsi="Arial" w:cs="Arial"/>
        </w:rPr>
      </w:pPr>
      <w:bookmarkStart w:id="42" w:name="_Toc41649750"/>
      <w:bookmarkStart w:id="43" w:name="_Toc41649891"/>
    </w:p>
    <w:p w14:paraId="428D91F5"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44" w:name="_Toc85473317"/>
      <w:r w:rsidRPr="00931D46">
        <w:rPr>
          <w:rFonts w:ascii="Arial" w:eastAsia="Times New Roman" w:hAnsi="Arial" w:cs="Arial"/>
          <w:sz w:val="26"/>
          <w:lang w:eastAsia="es-MX"/>
        </w:rPr>
        <w:t>Precedentes decisorios del Instituto</w:t>
      </w:r>
      <w:bookmarkEnd w:id="44"/>
    </w:p>
    <w:p w14:paraId="4C254E67" w14:textId="77777777" w:rsidR="00BE0D80" w:rsidRPr="00931D46" w:rsidRDefault="00BE0D80" w:rsidP="00BE0D80">
      <w:pPr>
        <w:spacing w:after="0"/>
        <w:jc w:val="both"/>
        <w:rPr>
          <w:rFonts w:ascii="Arial" w:eastAsiaTheme="majorEastAsia" w:hAnsi="Arial" w:cs="Arial"/>
          <w:b/>
          <w:szCs w:val="32"/>
          <w:highlight w:val="yellow"/>
        </w:rPr>
      </w:pPr>
    </w:p>
    <w:p w14:paraId="4E3D9C8F" w14:textId="77777777" w:rsidR="00BE0D80" w:rsidRPr="00931D46" w:rsidRDefault="00BE0D80" w:rsidP="00BE0D80">
      <w:pPr>
        <w:spacing w:after="0"/>
        <w:jc w:val="both"/>
        <w:rPr>
          <w:rFonts w:ascii="Arial" w:hAnsi="Arial" w:cs="Arial"/>
        </w:rPr>
      </w:pPr>
      <w:r w:rsidRPr="00931D46">
        <w:rPr>
          <w:rFonts w:ascii="Arial" w:hAnsi="Arial" w:cs="Arial"/>
        </w:rPr>
        <w:t>Conforme a precedentes decisorios del Instituto,</w:t>
      </w:r>
      <w:r w:rsidRPr="00D20B68">
        <w:rPr>
          <w:rFonts w:ascii="Arial" w:eastAsia="Times New Roman" w:hAnsi="Arial" w:cs="Arial"/>
          <w:vertAlign w:val="superscript"/>
          <w:lang w:eastAsia="es-MX"/>
        </w:rPr>
        <w:footnoteReference w:id="25"/>
      </w:r>
      <w:r w:rsidRPr="00931D46">
        <w:rPr>
          <w:rFonts w:ascii="Arial" w:hAnsi="Arial" w:cs="Arial"/>
        </w:rPr>
        <w:t xml:space="preserve"> se observa que la dimensión </w:t>
      </w:r>
      <w:r>
        <w:rPr>
          <w:rFonts w:ascii="Arial" w:hAnsi="Arial" w:cs="Arial"/>
        </w:rPr>
        <w:t>producto</w:t>
      </w:r>
      <w:r w:rsidRPr="00931D46">
        <w:rPr>
          <w:rFonts w:ascii="Arial" w:hAnsi="Arial" w:cs="Arial"/>
        </w:rPr>
        <w:t xml:space="preserve"> del MR se ha determinado considerando distintos elementos indicativos de sustitución, tales como: </w:t>
      </w:r>
    </w:p>
    <w:p w14:paraId="2CABFD4E" w14:textId="77777777" w:rsidR="00BE0D80" w:rsidRPr="00931D46" w:rsidRDefault="00BE0D80" w:rsidP="00BE0D80">
      <w:pPr>
        <w:spacing w:after="0"/>
        <w:jc w:val="both"/>
        <w:rPr>
          <w:rFonts w:ascii="Arial" w:hAnsi="Arial" w:cs="Arial"/>
        </w:rPr>
      </w:pPr>
    </w:p>
    <w:p w14:paraId="5D216DA1" w14:textId="77777777" w:rsidR="00BE0D80" w:rsidRDefault="00BE0D80" w:rsidP="00BE0D80">
      <w:pPr>
        <w:pStyle w:val="Prrafodelista"/>
        <w:numPr>
          <w:ilvl w:val="0"/>
          <w:numId w:val="20"/>
        </w:numPr>
        <w:spacing w:after="0"/>
        <w:ind w:hanging="578"/>
        <w:contextualSpacing w:val="0"/>
        <w:jc w:val="both"/>
        <w:rPr>
          <w:rFonts w:ascii="Arial" w:hAnsi="Arial" w:cs="Arial"/>
        </w:rPr>
      </w:pPr>
      <w:r w:rsidRPr="00931D46">
        <w:rPr>
          <w:rFonts w:ascii="Arial" w:hAnsi="Arial" w:cs="Arial"/>
        </w:rPr>
        <w:t xml:space="preserve">Por el lado de la demanda: </w:t>
      </w:r>
      <w:r>
        <w:rPr>
          <w:rFonts w:ascii="Arial" w:hAnsi="Arial" w:cs="Arial"/>
        </w:rPr>
        <w:t>a</w:t>
      </w:r>
      <w:r w:rsidRPr="00931D46">
        <w:rPr>
          <w:rFonts w:ascii="Arial" w:hAnsi="Arial" w:cs="Arial"/>
        </w:rPr>
        <w:t>nálisis de equivalencia funcional, de las características</w:t>
      </w:r>
      <w:r>
        <w:rPr>
          <w:rFonts w:ascii="Arial" w:hAnsi="Arial" w:cs="Arial"/>
        </w:rPr>
        <w:t>,</w:t>
      </w:r>
      <w:r w:rsidRPr="00931D46">
        <w:rPr>
          <w:rFonts w:ascii="Arial" w:hAnsi="Arial" w:cs="Arial"/>
        </w:rPr>
        <w:t xml:space="preserve"> atributos </w:t>
      </w:r>
      <w:r>
        <w:rPr>
          <w:rFonts w:ascii="Arial" w:hAnsi="Arial" w:cs="Arial"/>
        </w:rPr>
        <w:t xml:space="preserve">y usos </w:t>
      </w:r>
      <w:r w:rsidRPr="00931D46">
        <w:rPr>
          <w:rFonts w:ascii="Arial" w:hAnsi="Arial" w:cs="Arial"/>
        </w:rPr>
        <w:t xml:space="preserve">de los </w:t>
      </w:r>
      <w:r>
        <w:rPr>
          <w:rFonts w:ascii="Arial" w:hAnsi="Arial" w:cs="Arial"/>
        </w:rPr>
        <w:t xml:space="preserve">productos, tales como </w:t>
      </w:r>
      <w:r w:rsidRPr="00931D46">
        <w:rPr>
          <w:rFonts w:ascii="Arial" w:hAnsi="Arial" w:cs="Arial"/>
        </w:rPr>
        <w:t>variedad, calidad, posibilidad de personaliza</w:t>
      </w:r>
      <w:r>
        <w:rPr>
          <w:rFonts w:ascii="Arial" w:hAnsi="Arial" w:cs="Arial"/>
        </w:rPr>
        <w:t>ción</w:t>
      </w:r>
      <w:r w:rsidRPr="00931D46">
        <w:rPr>
          <w:rFonts w:ascii="Arial" w:hAnsi="Arial" w:cs="Arial"/>
        </w:rPr>
        <w:t xml:space="preserve">, precios, cobertura, experiencia de los usuarios, forma de comercialización, requerimientos para acceder al </w:t>
      </w:r>
      <w:r>
        <w:rPr>
          <w:rFonts w:ascii="Arial" w:hAnsi="Arial" w:cs="Arial"/>
        </w:rPr>
        <w:t>producto</w:t>
      </w:r>
      <w:r w:rsidRPr="00931D46">
        <w:rPr>
          <w:rFonts w:ascii="Arial" w:hAnsi="Arial" w:cs="Arial"/>
        </w:rPr>
        <w:t xml:space="preserve"> y patrones de adquisición y consumo. </w:t>
      </w:r>
    </w:p>
    <w:p w14:paraId="6677A096" w14:textId="77777777" w:rsidR="00BE0D80" w:rsidRPr="00931D46" w:rsidRDefault="00BE0D80" w:rsidP="00BE0D80">
      <w:pPr>
        <w:pStyle w:val="Prrafodelista"/>
        <w:spacing w:after="0"/>
        <w:contextualSpacing w:val="0"/>
        <w:jc w:val="both"/>
        <w:rPr>
          <w:rFonts w:ascii="Arial" w:hAnsi="Arial" w:cs="Arial"/>
        </w:rPr>
      </w:pPr>
    </w:p>
    <w:p w14:paraId="1658984D" w14:textId="77777777" w:rsidR="00BE0D80" w:rsidRPr="00931D46" w:rsidRDefault="00BE0D80" w:rsidP="00BE0D80">
      <w:pPr>
        <w:pStyle w:val="Prrafodelista"/>
        <w:numPr>
          <w:ilvl w:val="0"/>
          <w:numId w:val="21"/>
        </w:numPr>
        <w:spacing w:after="0"/>
        <w:ind w:hanging="578"/>
        <w:contextualSpacing w:val="0"/>
        <w:jc w:val="both"/>
        <w:rPr>
          <w:rFonts w:ascii="Arial" w:hAnsi="Arial" w:cs="Arial"/>
        </w:rPr>
      </w:pPr>
      <w:r w:rsidRPr="00931D46">
        <w:rPr>
          <w:rFonts w:ascii="Arial" w:hAnsi="Arial" w:cs="Arial"/>
        </w:rPr>
        <w:t xml:space="preserve">Por el lado de la oferta: restricciones normativas, </w:t>
      </w:r>
      <w:r>
        <w:rPr>
          <w:rFonts w:ascii="Arial" w:hAnsi="Arial" w:cs="Arial"/>
        </w:rPr>
        <w:t>características</w:t>
      </w:r>
      <w:r w:rsidRPr="00931D46">
        <w:rPr>
          <w:rFonts w:ascii="Arial" w:hAnsi="Arial" w:cs="Arial"/>
        </w:rPr>
        <w:t xml:space="preserve"> técnicas, posibilidades de acceder a insumos, costos, cadena</w:t>
      </w:r>
      <w:r>
        <w:rPr>
          <w:rFonts w:ascii="Arial" w:hAnsi="Arial" w:cs="Arial"/>
        </w:rPr>
        <w:t>s</w:t>
      </w:r>
      <w:r w:rsidRPr="00931D46">
        <w:rPr>
          <w:rFonts w:ascii="Arial" w:hAnsi="Arial" w:cs="Arial"/>
        </w:rPr>
        <w:t xml:space="preserve"> de valor y modelos de negocio.</w:t>
      </w:r>
    </w:p>
    <w:p w14:paraId="5FD77479" w14:textId="77777777" w:rsidR="00BE0D80" w:rsidRPr="00931D46" w:rsidRDefault="00BE0D80" w:rsidP="00BE0D80">
      <w:pPr>
        <w:spacing w:after="0"/>
        <w:ind w:left="360"/>
        <w:jc w:val="both"/>
        <w:rPr>
          <w:rFonts w:ascii="Arial" w:hAnsi="Arial" w:cs="Arial"/>
        </w:rPr>
      </w:pPr>
    </w:p>
    <w:p w14:paraId="679C3021" w14:textId="77777777" w:rsidR="00BE0D80" w:rsidRPr="00931D46" w:rsidRDefault="00BE0D80" w:rsidP="00BE0D80">
      <w:pPr>
        <w:keepNext/>
        <w:spacing w:after="0"/>
        <w:jc w:val="both"/>
        <w:rPr>
          <w:rFonts w:ascii="Arial" w:hAnsi="Arial" w:cs="Arial"/>
        </w:rPr>
      </w:pPr>
      <w:r w:rsidRPr="00931D46">
        <w:rPr>
          <w:rFonts w:ascii="Arial" w:hAnsi="Arial" w:cs="Arial"/>
        </w:rPr>
        <w:t xml:space="preserve">La Guía de Concentraciones señala que, para determinar el MR en su dimensión </w:t>
      </w:r>
      <w:r>
        <w:rPr>
          <w:rFonts w:ascii="Arial" w:hAnsi="Arial" w:cs="Arial"/>
        </w:rPr>
        <w:t>producto</w:t>
      </w:r>
      <w:r w:rsidRPr="00931D46">
        <w:rPr>
          <w:rFonts w:ascii="Arial" w:hAnsi="Arial" w:cs="Arial"/>
        </w:rPr>
        <w:t>, se analiza la cadena de valor</w:t>
      </w:r>
      <w:r>
        <w:rPr>
          <w:rFonts w:ascii="Arial" w:hAnsi="Arial" w:cs="Arial"/>
        </w:rPr>
        <w:t xml:space="preserve">, </w:t>
      </w:r>
      <w:r w:rsidRPr="00931D46">
        <w:rPr>
          <w:rFonts w:ascii="Arial" w:hAnsi="Arial" w:cs="Arial"/>
        </w:rPr>
        <w:t xml:space="preserve">los precios y </w:t>
      </w:r>
      <w:r>
        <w:rPr>
          <w:rFonts w:ascii="Arial" w:hAnsi="Arial" w:cs="Arial"/>
        </w:rPr>
        <w:t xml:space="preserve">las </w:t>
      </w:r>
      <w:r w:rsidRPr="00931D46">
        <w:rPr>
          <w:rFonts w:ascii="Arial" w:hAnsi="Arial" w:cs="Arial"/>
        </w:rPr>
        <w:t xml:space="preserve">características de los </w:t>
      </w:r>
      <w:r>
        <w:rPr>
          <w:rFonts w:ascii="Arial" w:hAnsi="Arial" w:cs="Arial"/>
        </w:rPr>
        <w:t>productos</w:t>
      </w:r>
      <w:r w:rsidRPr="00931D46">
        <w:rPr>
          <w:rFonts w:ascii="Arial" w:hAnsi="Arial" w:cs="Arial"/>
        </w:rPr>
        <w:t xml:space="preserve"> ofrecidos por los AE involucrados, así como de los </w:t>
      </w:r>
      <w:r>
        <w:rPr>
          <w:rFonts w:ascii="Arial" w:hAnsi="Arial" w:cs="Arial"/>
        </w:rPr>
        <w:t>productos</w:t>
      </w:r>
      <w:r w:rsidRPr="00931D46">
        <w:rPr>
          <w:rFonts w:ascii="Arial" w:hAnsi="Arial" w:cs="Arial"/>
        </w:rPr>
        <w:t xml:space="preserve"> sustitutos.</w:t>
      </w:r>
      <w:r w:rsidRPr="00931D46">
        <w:rPr>
          <w:rStyle w:val="Refdenotaalpie"/>
          <w:rFonts w:ascii="Arial" w:hAnsi="Arial" w:cs="Arial"/>
        </w:rPr>
        <w:footnoteReference w:id="26"/>
      </w:r>
    </w:p>
    <w:p w14:paraId="6DEF4A96" w14:textId="77777777" w:rsidR="00BE0D80" w:rsidRPr="00931D46" w:rsidRDefault="00BE0D80" w:rsidP="00BE0D80">
      <w:pPr>
        <w:spacing w:after="0"/>
        <w:jc w:val="both"/>
        <w:rPr>
          <w:rFonts w:ascii="Arial" w:eastAsiaTheme="majorEastAsia" w:hAnsi="Arial" w:cs="Arial"/>
          <w:b/>
          <w:szCs w:val="32"/>
          <w:highlight w:val="yellow"/>
        </w:rPr>
      </w:pPr>
    </w:p>
    <w:p w14:paraId="100D4C37"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45" w:name="_Toc85473318"/>
      <w:r w:rsidRPr="00931D46">
        <w:rPr>
          <w:rFonts w:ascii="Arial" w:eastAsia="Times New Roman" w:hAnsi="Arial" w:cs="Arial"/>
          <w:sz w:val="26"/>
          <w:lang w:eastAsia="es-MX"/>
        </w:rPr>
        <w:t>Experiencia internacional</w:t>
      </w:r>
      <w:bookmarkEnd w:id="45"/>
    </w:p>
    <w:p w14:paraId="693186DC" w14:textId="77777777" w:rsidR="00BE0D80" w:rsidRPr="00931D46" w:rsidRDefault="00BE0D80" w:rsidP="00BE0D80">
      <w:pPr>
        <w:keepNext/>
        <w:spacing w:after="0"/>
        <w:jc w:val="both"/>
        <w:rPr>
          <w:rFonts w:ascii="Arial" w:eastAsiaTheme="majorEastAsia" w:hAnsi="Arial" w:cs="Arial"/>
          <w:b/>
          <w:szCs w:val="32"/>
          <w:highlight w:val="yellow"/>
        </w:rPr>
      </w:pPr>
    </w:p>
    <w:p w14:paraId="2C0F9E8F" w14:textId="77777777" w:rsidR="00BE0D80" w:rsidRPr="00AA53CF" w:rsidRDefault="00BE0D80" w:rsidP="00BE0D80">
      <w:pPr>
        <w:spacing w:after="0"/>
        <w:jc w:val="both"/>
        <w:rPr>
          <w:rFonts w:ascii="Arial" w:hAnsi="Arial" w:cs="Arial"/>
        </w:rPr>
      </w:pPr>
      <w:r w:rsidRPr="00AA53CF">
        <w:rPr>
          <w:rFonts w:ascii="Arial" w:hAnsi="Arial" w:cs="Arial"/>
        </w:rPr>
        <w:t xml:space="preserve">A continuación, se resumen los principales criterios </w:t>
      </w:r>
      <w:r>
        <w:rPr>
          <w:rFonts w:ascii="Arial" w:hAnsi="Arial" w:cs="Arial"/>
        </w:rPr>
        <w:t>considerados</w:t>
      </w:r>
      <w:r w:rsidRPr="00AA53CF">
        <w:rPr>
          <w:rFonts w:ascii="Arial" w:hAnsi="Arial" w:cs="Arial"/>
        </w:rPr>
        <w:t xml:space="preserve"> por las autoridades de competencia de la Unión Europea,</w:t>
      </w:r>
      <w:r w:rsidRPr="00AA53CF">
        <w:rPr>
          <w:rStyle w:val="Refdenotaalpie"/>
          <w:rFonts w:ascii="Arial" w:hAnsi="Arial" w:cs="Arial"/>
          <w:lang w:eastAsia="es-MX"/>
        </w:rPr>
        <w:footnoteReference w:id="27"/>
      </w:r>
      <w:r w:rsidRPr="00AA53CF">
        <w:rPr>
          <w:rFonts w:ascii="Arial" w:hAnsi="Arial" w:cs="Arial"/>
        </w:rPr>
        <w:t xml:space="preserve"> el Reino Unido,</w:t>
      </w:r>
      <w:r w:rsidRPr="00AA53CF">
        <w:rPr>
          <w:rStyle w:val="Refdenotaalpie"/>
          <w:rFonts w:ascii="Arial" w:hAnsi="Arial" w:cs="Arial"/>
        </w:rPr>
        <w:footnoteReference w:id="28"/>
      </w:r>
      <w:r w:rsidRPr="00AA53CF">
        <w:rPr>
          <w:rFonts w:ascii="Arial" w:hAnsi="Arial" w:cs="Arial"/>
        </w:rPr>
        <w:t xml:space="preserve"> Estados Unidos de América,</w:t>
      </w:r>
      <w:r w:rsidRPr="00AA53CF">
        <w:rPr>
          <w:rFonts w:ascii="Arial" w:eastAsia="Times New Roman" w:hAnsi="Arial" w:cs="Arial"/>
          <w:vertAlign w:val="superscript"/>
          <w:lang w:eastAsia="es-MX"/>
        </w:rPr>
        <w:footnoteReference w:id="29"/>
      </w:r>
      <w:r w:rsidRPr="00AA53CF">
        <w:rPr>
          <w:rFonts w:ascii="Arial" w:hAnsi="Arial" w:cs="Arial"/>
        </w:rPr>
        <w:t xml:space="preserve"> Canadá,</w:t>
      </w:r>
      <w:r w:rsidRPr="00AA53CF">
        <w:rPr>
          <w:rFonts w:ascii="Arial" w:eastAsia="Times New Roman" w:hAnsi="Arial" w:cs="Arial"/>
          <w:vertAlign w:val="superscript"/>
          <w:lang w:eastAsia="es-MX"/>
        </w:rPr>
        <w:footnoteReference w:id="30"/>
      </w:r>
      <w:r w:rsidRPr="00AA53CF">
        <w:rPr>
          <w:rFonts w:ascii="Arial" w:hAnsi="Arial" w:cs="Arial"/>
        </w:rPr>
        <w:t xml:space="preserve"> </w:t>
      </w:r>
      <w:r w:rsidRPr="00AA53CF">
        <w:rPr>
          <w:rFonts w:ascii="Arial" w:hAnsi="Arial" w:cs="Arial"/>
        </w:rPr>
        <w:lastRenderedPageBreak/>
        <w:t>Australia,</w:t>
      </w:r>
      <w:r w:rsidRPr="00AA53CF">
        <w:rPr>
          <w:rFonts w:ascii="Arial" w:eastAsia="Times New Roman" w:hAnsi="Arial" w:cs="Arial"/>
          <w:vertAlign w:val="superscript"/>
          <w:lang w:eastAsia="es-MX"/>
        </w:rPr>
        <w:footnoteReference w:id="31"/>
      </w:r>
      <w:r w:rsidRPr="00AA53CF">
        <w:rPr>
          <w:rFonts w:ascii="Arial" w:hAnsi="Arial" w:cs="Arial"/>
        </w:rPr>
        <w:t xml:space="preserve"> Austria</w:t>
      </w:r>
      <w:r w:rsidRPr="00AA53CF">
        <w:rPr>
          <w:rStyle w:val="Refdenotaalpie"/>
          <w:rFonts w:ascii="Arial" w:hAnsi="Arial" w:cs="Arial"/>
          <w:lang w:val="es-ES"/>
        </w:rPr>
        <w:footnoteReference w:id="32"/>
      </w:r>
      <w:r w:rsidRPr="00AA53CF">
        <w:rPr>
          <w:rFonts w:ascii="Arial" w:hAnsi="Arial" w:cs="Arial"/>
        </w:rPr>
        <w:t xml:space="preserve"> y Portugal</w:t>
      </w:r>
      <w:r>
        <w:rPr>
          <w:rFonts w:ascii="Arial" w:hAnsi="Arial" w:cs="Arial"/>
        </w:rPr>
        <w:t>,</w:t>
      </w:r>
      <w:r w:rsidRPr="00AA53CF">
        <w:rPr>
          <w:rFonts w:ascii="Arial" w:eastAsia="Times New Roman" w:hAnsi="Arial" w:cs="Arial"/>
          <w:vertAlign w:val="superscript"/>
          <w:lang w:eastAsia="es-MX"/>
        </w:rPr>
        <w:footnoteReference w:id="33"/>
      </w:r>
      <w:r w:rsidRPr="00AA53CF">
        <w:rPr>
          <w:rFonts w:ascii="Arial" w:hAnsi="Arial" w:cs="Arial"/>
        </w:rPr>
        <w:t xml:space="preserve"> así como criterios y recomendaciones de la OCDE</w:t>
      </w:r>
      <w:r>
        <w:rPr>
          <w:rFonts w:ascii="Arial" w:hAnsi="Arial" w:cs="Arial"/>
        </w:rPr>
        <w:t>,</w:t>
      </w:r>
      <w:r w:rsidRPr="00AA53CF">
        <w:rPr>
          <w:rFonts w:ascii="Arial" w:eastAsia="Times New Roman" w:hAnsi="Arial" w:cs="Arial"/>
          <w:vertAlign w:val="superscript"/>
          <w:lang w:eastAsia="es-MX"/>
        </w:rPr>
        <w:footnoteReference w:id="34"/>
      </w:r>
      <w:r w:rsidRPr="00AA53CF">
        <w:rPr>
          <w:rFonts w:ascii="Arial" w:hAnsi="Arial" w:cs="Arial"/>
        </w:rPr>
        <w:t xml:space="preserve"> para delimitar la dimensión </w:t>
      </w:r>
      <w:r>
        <w:rPr>
          <w:rFonts w:ascii="Arial" w:hAnsi="Arial" w:cs="Arial"/>
        </w:rPr>
        <w:t>producto</w:t>
      </w:r>
      <w:r w:rsidRPr="00AA53CF">
        <w:rPr>
          <w:rFonts w:ascii="Arial" w:hAnsi="Arial" w:cs="Arial"/>
        </w:rPr>
        <w:t xml:space="preserve"> del MR:</w:t>
      </w:r>
    </w:p>
    <w:p w14:paraId="6E42985B" w14:textId="77777777" w:rsidR="00BE0D80" w:rsidRPr="00931D46" w:rsidRDefault="00BE0D80" w:rsidP="00BE0D80">
      <w:pPr>
        <w:spacing w:after="0"/>
        <w:jc w:val="both"/>
        <w:rPr>
          <w:rFonts w:ascii="Arial" w:hAnsi="Arial" w:cs="Arial"/>
        </w:rPr>
      </w:pPr>
    </w:p>
    <w:p w14:paraId="0BDBD50C" w14:textId="77777777" w:rsidR="00BE0D80" w:rsidRPr="00931D46" w:rsidRDefault="00BE0D80" w:rsidP="00BE0D80">
      <w:pPr>
        <w:keepNext/>
        <w:jc w:val="both"/>
        <w:rPr>
          <w:rFonts w:ascii="Arial" w:hAnsi="Arial" w:cs="Arial"/>
          <w:b/>
        </w:rPr>
      </w:pPr>
      <w:r w:rsidRPr="00931D46">
        <w:rPr>
          <w:rFonts w:ascii="Arial" w:hAnsi="Arial" w:cs="Arial"/>
          <w:b/>
        </w:rPr>
        <w:t>Por el lado de la demanda:</w:t>
      </w:r>
    </w:p>
    <w:p w14:paraId="0B88D5C0" w14:textId="77777777" w:rsidR="00BE0D80" w:rsidRPr="00931D46" w:rsidRDefault="00BE0D80" w:rsidP="00BE0D80">
      <w:pPr>
        <w:pStyle w:val="Prrafodelista"/>
        <w:numPr>
          <w:ilvl w:val="0"/>
          <w:numId w:val="22"/>
        </w:numPr>
        <w:spacing w:after="0"/>
        <w:ind w:hanging="578"/>
        <w:contextualSpacing w:val="0"/>
        <w:jc w:val="both"/>
        <w:rPr>
          <w:rFonts w:ascii="Arial" w:hAnsi="Arial" w:cs="Arial"/>
          <w:szCs w:val="20"/>
        </w:rPr>
      </w:pPr>
      <w:r w:rsidRPr="00931D46">
        <w:rPr>
          <w:rFonts w:ascii="Arial" w:hAnsi="Arial" w:cs="Arial"/>
        </w:rPr>
        <w:t xml:space="preserve">Las características y usos de los </w:t>
      </w:r>
      <w:r>
        <w:rPr>
          <w:rFonts w:ascii="Arial" w:hAnsi="Arial" w:cs="Arial"/>
        </w:rPr>
        <w:t>productos</w:t>
      </w:r>
      <w:r w:rsidRPr="00931D46">
        <w:rPr>
          <w:rFonts w:ascii="Arial" w:hAnsi="Arial" w:cs="Arial"/>
        </w:rPr>
        <w:t xml:space="preserve">. </w:t>
      </w:r>
    </w:p>
    <w:p w14:paraId="1B7CD68F" w14:textId="77777777" w:rsidR="00BE0D80" w:rsidRDefault="00BE0D80" w:rsidP="00BE0D80">
      <w:pPr>
        <w:pStyle w:val="Prrafodelista"/>
        <w:spacing w:after="0"/>
        <w:ind w:right="49"/>
        <w:contextualSpacing w:val="0"/>
        <w:jc w:val="both"/>
        <w:rPr>
          <w:rFonts w:ascii="Arial" w:hAnsi="Arial" w:cs="Arial"/>
          <w:szCs w:val="20"/>
        </w:rPr>
      </w:pPr>
    </w:p>
    <w:p w14:paraId="1F3FDB15" w14:textId="77777777" w:rsidR="00BE0D80" w:rsidRPr="00931D46" w:rsidRDefault="00BE0D80" w:rsidP="00BE0D80">
      <w:pPr>
        <w:pStyle w:val="Prrafodelista"/>
        <w:numPr>
          <w:ilvl w:val="0"/>
          <w:numId w:val="22"/>
        </w:numPr>
        <w:spacing w:after="0"/>
        <w:ind w:right="49" w:hanging="578"/>
        <w:contextualSpacing w:val="0"/>
        <w:jc w:val="both"/>
        <w:rPr>
          <w:rFonts w:ascii="Arial" w:hAnsi="Arial" w:cs="Arial"/>
          <w:szCs w:val="20"/>
        </w:rPr>
      </w:pPr>
      <w:r w:rsidRPr="00931D46">
        <w:rPr>
          <w:rFonts w:ascii="Arial" w:hAnsi="Arial" w:cs="Arial"/>
          <w:szCs w:val="20"/>
        </w:rPr>
        <w:t>Evidencia de sustitución en el pasado reciente en respuesta a cambios en precios u otras variables de competencia</w:t>
      </w:r>
      <w:r>
        <w:rPr>
          <w:rFonts w:ascii="Arial" w:hAnsi="Arial" w:cs="Arial"/>
          <w:szCs w:val="20"/>
        </w:rPr>
        <w:t xml:space="preserve"> </w:t>
      </w:r>
      <w:r w:rsidRPr="00931D46">
        <w:rPr>
          <w:rFonts w:ascii="Arial" w:hAnsi="Arial" w:cs="Arial"/>
        </w:rPr>
        <w:t xml:space="preserve">(por ejemplo, la calidad, aspectos relacionados con el </w:t>
      </w:r>
      <w:r>
        <w:rPr>
          <w:rFonts w:ascii="Arial" w:hAnsi="Arial" w:cs="Arial"/>
        </w:rPr>
        <w:t>producto</w:t>
      </w:r>
      <w:r w:rsidRPr="00931D46">
        <w:rPr>
          <w:rFonts w:ascii="Arial" w:hAnsi="Arial" w:cs="Arial"/>
        </w:rPr>
        <w:t xml:space="preserve">, los términos y condiciones de venta, entre otras), o ante cambios en la estructura del mercado (por ejemplo, la entrada de nuevos participantes, entrada de nuevos </w:t>
      </w:r>
      <w:r>
        <w:rPr>
          <w:rFonts w:ascii="Arial" w:hAnsi="Arial" w:cs="Arial"/>
        </w:rPr>
        <w:t>productos</w:t>
      </w:r>
      <w:r w:rsidRPr="00931D46">
        <w:rPr>
          <w:rFonts w:ascii="Arial" w:hAnsi="Arial" w:cs="Arial"/>
        </w:rPr>
        <w:t xml:space="preserve"> y otros experimentos naturales)</w:t>
      </w:r>
      <w:r w:rsidRPr="00931D46">
        <w:rPr>
          <w:rFonts w:ascii="Arial" w:hAnsi="Arial" w:cs="Arial"/>
          <w:szCs w:val="20"/>
        </w:rPr>
        <w:t>.</w:t>
      </w:r>
    </w:p>
    <w:p w14:paraId="6FC471C5" w14:textId="77777777" w:rsidR="00BE0D80" w:rsidRPr="00A92633" w:rsidRDefault="00BE0D80" w:rsidP="00BE0D80">
      <w:pPr>
        <w:pStyle w:val="Prrafodelista"/>
        <w:spacing w:after="0"/>
        <w:ind w:right="49"/>
        <w:contextualSpacing w:val="0"/>
        <w:jc w:val="both"/>
        <w:rPr>
          <w:rFonts w:ascii="Arial" w:hAnsi="Arial" w:cs="Arial"/>
        </w:rPr>
      </w:pPr>
    </w:p>
    <w:p w14:paraId="5E4D74CC" w14:textId="77777777" w:rsidR="00BE0D80" w:rsidRPr="00AC63C7" w:rsidRDefault="00BE0D80" w:rsidP="00BE0D80">
      <w:pPr>
        <w:pStyle w:val="Prrafodelista"/>
        <w:numPr>
          <w:ilvl w:val="0"/>
          <w:numId w:val="22"/>
        </w:numPr>
        <w:spacing w:after="0"/>
        <w:ind w:right="49" w:hanging="578"/>
        <w:contextualSpacing w:val="0"/>
        <w:jc w:val="both"/>
        <w:rPr>
          <w:rFonts w:ascii="Arial" w:hAnsi="Arial" w:cs="Arial"/>
        </w:rPr>
      </w:pPr>
      <w:r w:rsidRPr="00AC63C7">
        <w:rPr>
          <w:rFonts w:ascii="Arial" w:hAnsi="Arial" w:cs="Arial"/>
          <w:szCs w:val="20"/>
        </w:rPr>
        <w:t xml:space="preserve">Preferencias de los consumidores e información que aportan al respecto estudios de mercado o encuestas, </w:t>
      </w:r>
      <w:r w:rsidRPr="00AC63C7">
        <w:rPr>
          <w:rFonts w:ascii="Arial" w:hAnsi="Arial" w:cs="Arial"/>
        </w:rPr>
        <w:t xml:space="preserve">que reflejen si una proporción de consumidores significativa </w:t>
      </w:r>
      <w:r>
        <w:rPr>
          <w:rFonts w:ascii="Arial" w:hAnsi="Arial" w:cs="Arial"/>
        </w:rPr>
        <w:t>considera</w:t>
      </w:r>
      <w:r w:rsidRPr="00AC63C7">
        <w:rPr>
          <w:rFonts w:ascii="Arial" w:hAnsi="Arial" w:cs="Arial"/>
        </w:rPr>
        <w:t xml:space="preserve"> que ciertos </w:t>
      </w:r>
      <w:r>
        <w:rPr>
          <w:rFonts w:ascii="Arial" w:hAnsi="Arial" w:cs="Arial"/>
        </w:rPr>
        <w:t>productos</w:t>
      </w:r>
      <w:r w:rsidRPr="00AC63C7">
        <w:rPr>
          <w:rFonts w:ascii="Arial" w:hAnsi="Arial" w:cs="Arial"/>
        </w:rPr>
        <w:t xml:space="preserve"> son sustitutos</w:t>
      </w:r>
      <w:r w:rsidRPr="00AC63C7">
        <w:rPr>
          <w:rFonts w:ascii="Arial" w:hAnsi="Arial" w:cs="Arial"/>
          <w:szCs w:val="20"/>
        </w:rPr>
        <w:t>.</w:t>
      </w:r>
    </w:p>
    <w:p w14:paraId="5C86950B" w14:textId="77777777" w:rsidR="00BE0D80" w:rsidRDefault="00BE0D80" w:rsidP="00BE0D80">
      <w:pPr>
        <w:pStyle w:val="Prrafodelista"/>
        <w:spacing w:after="0"/>
        <w:ind w:right="49"/>
        <w:contextualSpacing w:val="0"/>
        <w:jc w:val="both"/>
        <w:rPr>
          <w:rFonts w:ascii="Arial" w:hAnsi="Arial" w:cs="Arial"/>
        </w:rPr>
      </w:pPr>
    </w:p>
    <w:p w14:paraId="3210A628" w14:textId="77777777" w:rsidR="00BE0D80" w:rsidRPr="00AC63C7" w:rsidRDefault="00BE0D80" w:rsidP="00BE0D80">
      <w:pPr>
        <w:pStyle w:val="Prrafodelista"/>
        <w:numPr>
          <w:ilvl w:val="0"/>
          <w:numId w:val="22"/>
        </w:numPr>
        <w:spacing w:after="0"/>
        <w:ind w:right="49" w:hanging="578"/>
        <w:contextualSpacing w:val="0"/>
        <w:jc w:val="both"/>
        <w:rPr>
          <w:rFonts w:ascii="Arial" w:hAnsi="Arial" w:cs="Arial"/>
        </w:rPr>
      </w:pPr>
      <w:r w:rsidRPr="00AC63C7">
        <w:rPr>
          <w:rFonts w:ascii="Arial" w:hAnsi="Arial" w:cs="Arial"/>
        </w:rPr>
        <w:t xml:space="preserve">Información de los consumidores, incluyendo encuestas y estudios realizados por los oferentes, sobre cómo podrían responder a </w:t>
      </w:r>
      <w:r>
        <w:rPr>
          <w:rFonts w:ascii="Arial" w:hAnsi="Arial" w:cs="Arial"/>
        </w:rPr>
        <w:t>un incremento</w:t>
      </w:r>
      <w:r w:rsidRPr="00AC63C7">
        <w:rPr>
          <w:rFonts w:ascii="Arial" w:hAnsi="Arial" w:cs="Arial"/>
        </w:rPr>
        <w:t xml:space="preserve"> </w:t>
      </w:r>
      <w:r w:rsidRPr="00931D46">
        <w:rPr>
          <w:rFonts w:ascii="Arial" w:hAnsi="Arial" w:cs="Arial"/>
        </w:rPr>
        <w:t>(5%-10%) de los</w:t>
      </w:r>
      <w:r w:rsidRPr="00AC63C7">
        <w:rPr>
          <w:rFonts w:ascii="Arial" w:hAnsi="Arial" w:cs="Arial"/>
        </w:rPr>
        <w:t xml:space="preserve"> precios</w:t>
      </w:r>
      <w:r>
        <w:rPr>
          <w:rFonts w:ascii="Arial" w:hAnsi="Arial" w:cs="Arial"/>
        </w:rPr>
        <w:t xml:space="preserve"> </w:t>
      </w:r>
      <w:r w:rsidRPr="00931D46">
        <w:rPr>
          <w:rFonts w:ascii="Arial" w:hAnsi="Arial" w:cs="Arial"/>
        </w:rPr>
        <w:t xml:space="preserve">relativos de los </w:t>
      </w:r>
      <w:r>
        <w:rPr>
          <w:rFonts w:ascii="Arial" w:hAnsi="Arial" w:cs="Arial"/>
        </w:rPr>
        <w:t>productos</w:t>
      </w:r>
      <w:r w:rsidRPr="00931D46">
        <w:rPr>
          <w:rFonts w:ascii="Arial" w:hAnsi="Arial" w:cs="Arial"/>
        </w:rPr>
        <w:t xml:space="preserve"> </w:t>
      </w:r>
      <w:r>
        <w:rPr>
          <w:rFonts w:ascii="Arial" w:hAnsi="Arial" w:cs="Arial"/>
        </w:rPr>
        <w:t>analizados</w:t>
      </w:r>
      <w:r w:rsidRPr="00931D46">
        <w:rPr>
          <w:rFonts w:ascii="Arial" w:hAnsi="Arial" w:cs="Arial"/>
        </w:rPr>
        <w:t xml:space="preserve"> en la zona geográfica estudiada</w:t>
      </w:r>
      <w:r w:rsidRPr="00AC63C7">
        <w:rPr>
          <w:rFonts w:ascii="Arial" w:hAnsi="Arial" w:cs="Arial"/>
        </w:rPr>
        <w:t xml:space="preserve">. </w:t>
      </w:r>
    </w:p>
    <w:p w14:paraId="43C31A3B" w14:textId="77777777" w:rsidR="00BE0D80" w:rsidRPr="00A92633" w:rsidRDefault="00BE0D80" w:rsidP="00BE0D80">
      <w:pPr>
        <w:pStyle w:val="Prrafodelista"/>
        <w:spacing w:after="0"/>
        <w:ind w:right="49"/>
        <w:contextualSpacing w:val="0"/>
        <w:jc w:val="both"/>
        <w:rPr>
          <w:rFonts w:ascii="Arial" w:hAnsi="Arial" w:cs="Arial"/>
          <w:szCs w:val="20"/>
        </w:rPr>
      </w:pPr>
    </w:p>
    <w:p w14:paraId="2ED23123" w14:textId="77777777" w:rsidR="00BE0D80" w:rsidRPr="00931D46" w:rsidRDefault="00BE0D80" w:rsidP="00BE0D80">
      <w:pPr>
        <w:pStyle w:val="Prrafodelista"/>
        <w:numPr>
          <w:ilvl w:val="0"/>
          <w:numId w:val="22"/>
        </w:numPr>
        <w:spacing w:after="0"/>
        <w:ind w:right="49" w:hanging="578"/>
        <w:contextualSpacing w:val="0"/>
        <w:jc w:val="both"/>
        <w:rPr>
          <w:rFonts w:ascii="Arial" w:hAnsi="Arial" w:cs="Arial"/>
          <w:szCs w:val="20"/>
        </w:rPr>
      </w:pPr>
      <w:r w:rsidRPr="00931D46">
        <w:rPr>
          <w:rFonts w:ascii="Arial" w:hAnsi="Arial" w:cs="Arial"/>
        </w:rPr>
        <w:t xml:space="preserve">Información sobre obstáculos y </w:t>
      </w:r>
      <w:r>
        <w:rPr>
          <w:rFonts w:ascii="Arial" w:hAnsi="Arial" w:cs="Arial"/>
          <w:szCs w:val="20"/>
        </w:rPr>
        <w:t>c</w:t>
      </w:r>
      <w:r w:rsidRPr="00931D46">
        <w:rPr>
          <w:rFonts w:ascii="Arial" w:hAnsi="Arial" w:cs="Arial"/>
          <w:szCs w:val="20"/>
        </w:rPr>
        <w:t>ostos de cambio</w:t>
      </w:r>
      <w:r w:rsidRPr="00AC63C7">
        <w:rPr>
          <w:rFonts w:ascii="Arial" w:hAnsi="Arial" w:cs="Arial"/>
        </w:rPr>
        <w:t xml:space="preserve"> </w:t>
      </w:r>
      <w:r w:rsidRPr="00931D46">
        <w:rPr>
          <w:rFonts w:ascii="Arial" w:hAnsi="Arial" w:cs="Arial"/>
        </w:rPr>
        <w:t xml:space="preserve">de los clientes hacia </w:t>
      </w:r>
      <w:r>
        <w:rPr>
          <w:rFonts w:ascii="Arial" w:hAnsi="Arial" w:cs="Arial"/>
        </w:rPr>
        <w:t>productos</w:t>
      </w:r>
      <w:r w:rsidRPr="00931D46">
        <w:rPr>
          <w:rFonts w:ascii="Arial" w:hAnsi="Arial" w:cs="Arial"/>
        </w:rPr>
        <w:t xml:space="preserve"> sustitutos (por ejemplo, la posibilidad de hacer portabilidad o </w:t>
      </w:r>
      <w:r w:rsidRPr="00931D46">
        <w:rPr>
          <w:rFonts w:ascii="Arial" w:hAnsi="Arial" w:cs="Arial"/>
          <w:i/>
        </w:rPr>
        <w:t>multi-homing</w:t>
      </w:r>
      <w:r w:rsidRPr="00931D46">
        <w:rPr>
          <w:rStyle w:val="Refdenotaalpie"/>
          <w:rFonts w:ascii="Arial" w:hAnsi="Arial" w:cs="Arial"/>
        </w:rPr>
        <w:footnoteReference w:id="35"/>
      </w:r>
      <w:r w:rsidRPr="00931D46">
        <w:rPr>
          <w:rFonts w:ascii="Arial" w:hAnsi="Arial" w:cs="Arial"/>
        </w:rPr>
        <w:t>)</w:t>
      </w:r>
      <w:r w:rsidRPr="00931D46">
        <w:rPr>
          <w:rFonts w:ascii="Arial" w:hAnsi="Arial" w:cs="Arial"/>
          <w:szCs w:val="20"/>
        </w:rPr>
        <w:t>, así como barreras a la entrada y el tiempo requerido para cambiar a sustitutos potenciales.</w:t>
      </w:r>
    </w:p>
    <w:p w14:paraId="50B3CE2D" w14:textId="77777777" w:rsidR="00BE0D80" w:rsidRPr="00A92633" w:rsidRDefault="00BE0D80" w:rsidP="00BE0D80">
      <w:pPr>
        <w:pStyle w:val="Prrafodelista"/>
        <w:spacing w:after="0"/>
        <w:ind w:right="49"/>
        <w:contextualSpacing w:val="0"/>
        <w:jc w:val="both"/>
        <w:rPr>
          <w:rFonts w:ascii="Arial" w:hAnsi="Arial" w:cs="Arial"/>
          <w:szCs w:val="20"/>
        </w:rPr>
      </w:pPr>
    </w:p>
    <w:p w14:paraId="1CF9729C" w14:textId="77777777" w:rsidR="00BE0D80" w:rsidRPr="00931D46" w:rsidRDefault="00BE0D80" w:rsidP="00BE0D80">
      <w:pPr>
        <w:pStyle w:val="Prrafodelista"/>
        <w:numPr>
          <w:ilvl w:val="0"/>
          <w:numId w:val="22"/>
        </w:numPr>
        <w:spacing w:after="0"/>
        <w:ind w:right="49" w:hanging="578"/>
        <w:contextualSpacing w:val="0"/>
        <w:jc w:val="both"/>
        <w:rPr>
          <w:rFonts w:ascii="Arial" w:hAnsi="Arial" w:cs="Arial"/>
          <w:szCs w:val="20"/>
        </w:rPr>
      </w:pPr>
      <w:r w:rsidRPr="00931D46">
        <w:rPr>
          <w:rFonts w:ascii="Arial" w:hAnsi="Arial" w:cs="Arial"/>
        </w:rPr>
        <w:t>Herramientas econométricas y estadísticas, tales como la estimación de la elasticidad precio y de la elasticidad cruzada de la demanda, análisis basados en la similitud de los niveles de precios y su evolución o convergencia (por ejemplo, análisis de correlación, pruebas de causalidad y/o pruebas de cointegración)</w:t>
      </w:r>
      <w:r w:rsidRPr="00931D46">
        <w:rPr>
          <w:rFonts w:ascii="Arial" w:hAnsi="Arial" w:cs="Arial"/>
          <w:szCs w:val="20"/>
        </w:rPr>
        <w:t>.</w:t>
      </w:r>
    </w:p>
    <w:p w14:paraId="28AE917B" w14:textId="77777777" w:rsidR="00BE0D80" w:rsidRDefault="00BE0D80" w:rsidP="00BE0D80">
      <w:pPr>
        <w:pStyle w:val="Prrafodelista"/>
        <w:spacing w:after="0"/>
        <w:contextualSpacing w:val="0"/>
        <w:jc w:val="both"/>
        <w:rPr>
          <w:rFonts w:ascii="Arial" w:hAnsi="Arial" w:cs="Arial"/>
        </w:rPr>
      </w:pPr>
    </w:p>
    <w:p w14:paraId="4C0FE81C" w14:textId="2635CCEA"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Información provista por expertos de la industria, consultores, </w:t>
      </w:r>
      <w:r w:rsidR="00C060F0" w:rsidRPr="00931D46">
        <w:rPr>
          <w:rFonts w:ascii="Arial" w:hAnsi="Arial" w:cs="Arial"/>
        </w:rPr>
        <w:t>ex</w:t>
      </w:r>
      <w:r w:rsidR="00C060F0">
        <w:rPr>
          <w:rFonts w:ascii="Arial" w:hAnsi="Arial" w:cs="Arial"/>
        </w:rPr>
        <w:t>ejecutivos</w:t>
      </w:r>
      <w:r w:rsidRPr="00931D46">
        <w:rPr>
          <w:rFonts w:ascii="Arial" w:hAnsi="Arial" w:cs="Arial"/>
        </w:rPr>
        <w:t>, proveedores de complementos o distribuidores.</w:t>
      </w:r>
    </w:p>
    <w:p w14:paraId="19485E81" w14:textId="77777777" w:rsidR="00BE0D80" w:rsidRPr="00A92633" w:rsidRDefault="00BE0D80" w:rsidP="00BE0D80">
      <w:pPr>
        <w:pStyle w:val="Prrafodelista"/>
        <w:spacing w:after="0"/>
        <w:contextualSpacing w:val="0"/>
        <w:jc w:val="both"/>
        <w:rPr>
          <w:rFonts w:ascii="Arial" w:hAnsi="Arial" w:cs="Arial"/>
        </w:rPr>
      </w:pPr>
    </w:p>
    <w:p w14:paraId="085E36A9"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szCs w:val="20"/>
        </w:rPr>
        <w:t>Existencia de distintas categorías de consumidores y discriminación de precios.</w:t>
      </w:r>
      <w:r w:rsidRPr="00931D46">
        <w:rPr>
          <w:rFonts w:ascii="Arial" w:hAnsi="Arial" w:cs="Arial"/>
        </w:rPr>
        <w:t xml:space="preserve"> En particular, cuando exist</w:t>
      </w:r>
      <w:r>
        <w:rPr>
          <w:rFonts w:ascii="Arial" w:hAnsi="Arial" w:cs="Arial"/>
        </w:rPr>
        <w:t>e</w:t>
      </w:r>
      <w:r w:rsidRPr="00931D46">
        <w:rPr>
          <w:rFonts w:ascii="Arial" w:hAnsi="Arial" w:cs="Arial"/>
        </w:rPr>
        <w:t xml:space="preserve"> evidencia de discriminación de precios, las autoridades de competencia pueden determinar MR para cada uno de los diversos grupos de consumidores delimitados por las condiciones de discriminación.</w:t>
      </w:r>
    </w:p>
    <w:p w14:paraId="2163A2ED" w14:textId="77777777" w:rsidR="00BE0D80" w:rsidRDefault="00BE0D80" w:rsidP="00BE0D80">
      <w:pPr>
        <w:pStyle w:val="Prrafodelista"/>
        <w:spacing w:after="0"/>
        <w:contextualSpacing w:val="0"/>
        <w:jc w:val="both"/>
        <w:rPr>
          <w:rFonts w:ascii="Arial" w:hAnsi="Arial" w:cs="Arial"/>
        </w:rPr>
      </w:pPr>
    </w:p>
    <w:p w14:paraId="066E140D" w14:textId="77777777" w:rsidR="00BE0D80" w:rsidRPr="00AC63C7"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La existencia de cadenas de sustitución, las cuales ocurren cuando, a pesar de que los </w:t>
      </w:r>
      <w:r>
        <w:rPr>
          <w:rFonts w:ascii="Arial" w:hAnsi="Arial" w:cs="Arial"/>
        </w:rPr>
        <w:t>productos</w:t>
      </w:r>
      <w:r w:rsidRPr="00931D46">
        <w:rPr>
          <w:rFonts w:ascii="Arial" w:hAnsi="Arial" w:cs="Arial"/>
        </w:rPr>
        <w:t xml:space="preserve"> </w:t>
      </w:r>
      <w:r w:rsidRPr="00E574FC">
        <w:rPr>
          <w:rFonts w:ascii="Arial" w:hAnsi="Arial" w:cs="Arial"/>
          <w:i/>
        </w:rPr>
        <w:t>A</w:t>
      </w:r>
      <w:r w:rsidRPr="00931D46">
        <w:rPr>
          <w:rFonts w:ascii="Arial" w:hAnsi="Arial" w:cs="Arial"/>
        </w:rPr>
        <w:t xml:space="preserve"> y </w:t>
      </w:r>
      <w:r w:rsidRPr="00E574FC">
        <w:rPr>
          <w:rFonts w:ascii="Arial" w:hAnsi="Arial" w:cs="Arial"/>
          <w:i/>
        </w:rPr>
        <w:t>C</w:t>
      </w:r>
      <w:r w:rsidRPr="00931D46">
        <w:rPr>
          <w:rFonts w:ascii="Arial" w:hAnsi="Arial" w:cs="Arial"/>
        </w:rPr>
        <w:t xml:space="preserve"> no son directamente sustitutos, el </w:t>
      </w:r>
      <w:r>
        <w:rPr>
          <w:rFonts w:ascii="Arial" w:hAnsi="Arial" w:cs="Arial"/>
        </w:rPr>
        <w:t>producto</w:t>
      </w:r>
      <w:r w:rsidRPr="00931D46">
        <w:rPr>
          <w:rFonts w:ascii="Arial" w:hAnsi="Arial" w:cs="Arial"/>
        </w:rPr>
        <w:t xml:space="preserve"> </w:t>
      </w:r>
      <w:r w:rsidRPr="00E574FC">
        <w:rPr>
          <w:rFonts w:ascii="Arial" w:hAnsi="Arial" w:cs="Arial"/>
          <w:i/>
        </w:rPr>
        <w:t>B</w:t>
      </w:r>
      <w:r w:rsidRPr="00931D46">
        <w:rPr>
          <w:rFonts w:ascii="Arial" w:hAnsi="Arial" w:cs="Arial"/>
        </w:rPr>
        <w:t xml:space="preserve"> es un </w:t>
      </w:r>
      <w:r>
        <w:rPr>
          <w:rFonts w:ascii="Arial" w:hAnsi="Arial" w:cs="Arial"/>
        </w:rPr>
        <w:t>producto</w:t>
      </w:r>
      <w:r w:rsidRPr="00931D46">
        <w:rPr>
          <w:rFonts w:ascii="Arial" w:hAnsi="Arial" w:cs="Arial"/>
        </w:rPr>
        <w:t xml:space="preserve"> sustituto tanto del </w:t>
      </w:r>
      <w:r>
        <w:rPr>
          <w:rFonts w:ascii="Arial" w:hAnsi="Arial" w:cs="Arial"/>
        </w:rPr>
        <w:t>producto</w:t>
      </w:r>
      <w:r w:rsidRPr="00931D46">
        <w:rPr>
          <w:rFonts w:ascii="Arial" w:hAnsi="Arial" w:cs="Arial"/>
        </w:rPr>
        <w:t xml:space="preserve"> </w:t>
      </w:r>
      <w:r w:rsidRPr="00E574FC">
        <w:rPr>
          <w:rFonts w:ascii="Arial" w:hAnsi="Arial" w:cs="Arial"/>
          <w:i/>
        </w:rPr>
        <w:t>A</w:t>
      </w:r>
      <w:r w:rsidRPr="00931D46">
        <w:rPr>
          <w:rFonts w:ascii="Arial" w:hAnsi="Arial" w:cs="Arial"/>
        </w:rPr>
        <w:t xml:space="preserve"> como del </w:t>
      </w:r>
      <w:r>
        <w:rPr>
          <w:rFonts w:ascii="Arial" w:hAnsi="Arial" w:cs="Arial"/>
        </w:rPr>
        <w:t>producto</w:t>
      </w:r>
      <w:r w:rsidRPr="00931D46">
        <w:rPr>
          <w:rFonts w:ascii="Arial" w:hAnsi="Arial" w:cs="Arial"/>
        </w:rPr>
        <w:t xml:space="preserve"> </w:t>
      </w:r>
      <w:r w:rsidRPr="00E574FC">
        <w:rPr>
          <w:rFonts w:ascii="Arial" w:hAnsi="Arial" w:cs="Arial"/>
          <w:i/>
        </w:rPr>
        <w:t>C</w:t>
      </w:r>
      <w:r w:rsidRPr="00931D46">
        <w:rPr>
          <w:rFonts w:ascii="Arial" w:hAnsi="Arial" w:cs="Arial"/>
        </w:rPr>
        <w:t xml:space="preserve">, de tal modo que los </w:t>
      </w:r>
      <w:r>
        <w:rPr>
          <w:rFonts w:ascii="Arial" w:hAnsi="Arial" w:cs="Arial"/>
        </w:rPr>
        <w:t>productos</w:t>
      </w:r>
      <w:r w:rsidRPr="00931D46">
        <w:rPr>
          <w:rFonts w:ascii="Arial" w:hAnsi="Arial" w:cs="Arial"/>
        </w:rPr>
        <w:t xml:space="preserve"> </w:t>
      </w:r>
      <w:r w:rsidRPr="00E574FC">
        <w:rPr>
          <w:rFonts w:ascii="Arial" w:hAnsi="Arial" w:cs="Arial"/>
          <w:i/>
        </w:rPr>
        <w:t>A</w:t>
      </w:r>
      <w:r w:rsidRPr="00931D46">
        <w:rPr>
          <w:rFonts w:ascii="Arial" w:hAnsi="Arial" w:cs="Arial"/>
        </w:rPr>
        <w:t xml:space="preserve">, </w:t>
      </w:r>
      <w:r w:rsidRPr="00E574FC">
        <w:rPr>
          <w:rFonts w:ascii="Arial" w:hAnsi="Arial" w:cs="Arial"/>
          <w:i/>
        </w:rPr>
        <w:t>B</w:t>
      </w:r>
      <w:r w:rsidRPr="00931D46">
        <w:rPr>
          <w:rFonts w:ascii="Arial" w:hAnsi="Arial" w:cs="Arial"/>
        </w:rPr>
        <w:t xml:space="preserve"> y </w:t>
      </w:r>
      <w:r w:rsidRPr="00E574FC">
        <w:rPr>
          <w:rFonts w:ascii="Arial" w:hAnsi="Arial" w:cs="Arial"/>
          <w:i/>
        </w:rPr>
        <w:t>C</w:t>
      </w:r>
      <w:r w:rsidRPr="00931D46">
        <w:rPr>
          <w:rFonts w:ascii="Arial" w:hAnsi="Arial" w:cs="Arial"/>
        </w:rPr>
        <w:t xml:space="preserve"> pueden pertenecer al mismo MR si sus precios respectivos ejercen presiones entre sí.</w:t>
      </w:r>
      <w:r>
        <w:rPr>
          <w:rFonts w:ascii="Arial" w:hAnsi="Arial" w:cs="Arial"/>
        </w:rPr>
        <w:t xml:space="preserve"> </w:t>
      </w:r>
      <w:r w:rsidRPr="00AC63C7">
        <w:rPr>
          <w:rFonts w:ascii="Arial" w:hAnsi="Arial" w:cs="Arial"/>
        </w:rPr>
        <w:t>Para corroborar la existencia de cadenas de sustitución puede utilizarse evidencia "</w:t>
      </w:r>
      <w:r w:rsidRPr="00AC63C7">
        <w:rPr>
          <w:rFonts w:ascii="Arial" w:hAnsi="Arial" w:cs="Arial"/>
          <w:i/>
        </w:rPr>
        <w:t>por ejemplo, relacionada con la interdependencia de precios en los extremos de las cadenas de sustitución</w:t>
      </w:r>
      <w:r w:rsidRPr="00AC63C7">
        <w:rPr>
          <w:rFonts w:ascii="Arial" w:hAnsi="Arial" w:cs="Arial"/>
        </w:rPr>
        <w:t>",</w:t>
      </w:r>
      <w:r w:rsidRPr="00AC63C7">
        <w:rPr>
          <w:rFonts w:ascii="Arial" w:hAnsi="Arial" w:cs="Arial"/>
          <w:vertAlign w:val="superscript"/>
        </w:rPr>
        <w:footnoteReference w:id="36"/>
      </w:r>
      <w:r w:rsidRPr="00AC63C7">
        <w:rPr>
          <w:rFonts w:ascii="Arial" w:hAnsi="Arial" w:cs="Arial"/>
        </w:rPr>
        <w:t xml:space="preserve"> el traslape o coincidencia de precios entre los </w:t>
      </w:r>
      <w:r>
        <w:rPr>
          <w:rFonts w:ascii="Arial" w:hAnsi="Arial" w:cs="Arial"/>
        </w:rPr>
        <w:t>productos</w:t>
      </w:r>
      <w:r w:rsidRPr="00AC63C7">
        <w:rPr>
          <w:rFonts w:ascii="Arial" w:hAnsi="Arial" w:cs="Arial"/>
        </w:rPr>
        <w:t xml:space="preserve">, las diferencias en los costos incrementales de cada </w:t>
      </w:r>
      <w:r>
        <w:rPr>
          <w:rFonts w:ascii="Arial" w:hAnsi="Arial" w:cs="Arial"/>
        </w:rPr>
        <w:t>producto</w:t>
      </w:r>
      <w:r w:rsidRPr="00AC63C7">
        <w:rPr>
          <w:rFonts w:ascii="Arial" w:hAnsi="Arial" w:cs="Arial"/>
        </w:rPr>
        <w:t xml:space="preserve"> y la sustitución entre los </w:t>
      </w:r>
      <w:r>
        <w:rPr>
          <w:rFonts w:ascii="Arial" w:hAnsi="Arial" w:cs="Arial"/>
        </w:rPr>
        <w:t>productos</w:t>
      </w:r>
      <w:r w:rsidRPr="00AC63C7">
        <w:rPr>
          <w:rFonts w:ascii="Arial" w:hAnsi="Arial" w:cs="Arial"/>
        </w:rPr>
        <w:t xml:space="preserve"> adyacentes en la cadena.</w:t>
      </w:r>
    </w:p>
    <w:p w14:paraId="4803E1CE" w14:textId="77777777" w:rsidR="00BE0D80" w:rsidRDefault="00BE0D80" w:rsidP="00BE0D80">
      <w:pPr>
        <w:pStyle w:val="Prrafodelista"/>
        <w:spacing w:after="0"/>
        <w:contextualSpacing w:val="0"/>
        <w:rPr>
          <w:rFonts w:ascii="Arial" w:hAnsi="Arial" w:cs="Arial"/>
          <w:szCs w:val="20"/>
        </w:rPr>
      </w:pPr>
    </w:p>
    <w:p w14:paraId="57FA86AF" w14:textId="77777777" w:rsidR="00BE0D80" w:rsidRPr="00931D46" w:rsidRDefault="00BE0D80" w:rsidP="00BE0D80">
      <w:pPr>
        <w:pStyle w:val="Prrafodelista"/>
        <w:numPr>
          <w:ilvl w:val="0"/>
          <w:numId w:val="22"/>
        </w:numPr>
        <w:spacing w:after="0"/>
        <w:ind w:hanging="578"/>
        <w:contextualSpacing w:val="0"/>
        <w:jc w:val="both"/>
        <w:rPr>
          <w:rFonts w:ascii="Arial" w:hAnsi="Arial" w:cs="Arial"/>
          <w:szCs w:val="20"/>
        </w:rPr>
      </w:pPr>
      <w:r w:rsidRPr="00931D46">
        <w:rPr>
          <w:rFonts w:ascii="Arial" w:hAnsi="Arial" w:cs="Arial"/>
          <w:szCs w:val="20"/>
        </w:rPr>
        <w:t>Cocientes de desvío</w:t>
      </w:r>
      <w:r>
        <w:rPr>
          <w:rFonts w:ascii="Arial" w:hAnsi="Arial" w:cs="Arial"/>
          <w:szCs w:val="20"/>
        </w:rPr>
        <w:t xml:space="preserve">, </w:t>
      </w:r>
      <w:r w:rsidRPr="00931D46">
        <w:rPr>
          <w:rFonts w:ascii="Arial" w:hAnsi="Arial" w:cs="Arial"/>
        </w:rPr>
        <w:t xml:space="preserve">que miden la proporción de ventas que se desviaría de un </w:t>
      </w:r>
      <w:r>
        <w:rPr>
          <w:rFonts w:ascii="Arial" w:hAnsi="Arial" w:cs="Arial"/>
        </w:rPr>
        <w:t>producto</w:t>
      </w:r>
      <w:r w:rsidRPr="00931D46">
        <w:rPr>
          <w:rFonts w:ascii="Arial" w:hAnsi="Arial" w:cs="Arial"/>
        </w:rPr>
        <w:t xml:space="preserve"> a otro, en caso de un aumento en el precio del primero</w:t>
      </w:r>
      <w:r w:rsidRPr="00931D46">
        <w:rPr>
          <w:rFonts w:ascii="Arial" w:hAnsi="Arial" w:cs="Arial"/>
          <w:szCs w:val="20"/>
        </w:rPr>
        <w:t>.</w:t>
      </w:r>
    </w:p>
    <w:p w14:paraId="6885748A" w14:textId="77777777" w:rsidR="00C21851" w:rsidRDefault="00C21851" w:rsidP="00BE0D80">
      <w:pPr>
        <w:keepNext/>
        <w:spacing w:after="0"/>
        <w:rPr>
          <w:rFonts w:ascii="Arial" w:hAnsi="Arial" w:cs="Arial"/>
          <w:b/>
        </w:rPr>
      </w:pPr>
    </w:p>
    <w:p w14:paraId="410DC22A" w14:textId="59B3F9DD" w:rsidR="00BE0D80" w:rsidRPr="00931D46" w:rsidRDefault="00BE0D80" w:rsidP="00C21851">
      <w:pPr>
        <w:keepNext/>
        <w:spacing w:after="0"/>
        <w:rPr>
          <w:rFonts w:ascii="Arial" w:hAnsi="Arial" w:cs="Arial"/>
          <w:b/>
        </w:rPr>
      </w:pPr>
      <w:r w:rsidRPr="00931D46">
        <w:rPr>
          <w:rFonts w:ascii="Arial" w:hAnsi="Arial" w:cs="Arial"/>
          <w:b/>
        </w:rPr>
        <w:t>Por el lado de la oferta:</w:t>
      </w:r>
    </w:p>
    <w:p w14:paraId="47DE8FE3" w14:textId="77777777" w:rsidR="00BE0D80" w:rsidRPr="00A92633" w:rsidRDefault="00BE0D80" w:rsidP="00C21851">
      <w:pPr>
        <w:pStyle w:val="Prrafodelista"/>
        <w:keepNext/>
        <w:spacing w:after="0"/>
        <w:contextualSpacing w:val="0"/>
        <w:rPr>
          <w:rFonts w:ascii="Arial" w:hAnsi="Arial" w:cs="Arial"/>
        </w:rPr>
      </w:pPr>
    </w:p>
    <w:p w14:paraId="4042CE02"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eastAsiaTheme="majorEastAsia" w:hAnsi="Arial" w:cs="Arial"/>
        </w:rPr>
        <w:t xml:space="preserve">Existencia de instrumentos comerciales, </w:t>
      </w:r>
      <w:r w:rsidRPr="00931D46">
        <w:rPr>
          <w:rFonts w:ascii="Arial" w:hAnsi="Arial" w:cs="Arial"/>
        </w:rPr>
        <w:t>legales o regulatorios</w:t>
      </w:r>
      <w:r>
        <w:rPr>
          <w:rFonts w:ascii="Arial" w:hAnsi="Arial" w:cs="Arial"/>
        </w:rPr>
        <w:t xml:space="preserve"> </w:t>
      </w:r>
      <w:r w:rsidRPr="00931D46">
        <w:rPr>
          <w:rFonts w:ascii="Arial" w:eastAsiaTheme="majorEastAsia" w:hAnsi="Arial" w:cs="Arial"/>
        </w:rPr>
        <w:t>que limiten la entrada</w:t>
      </w:r>
      <w:r>
        <w:rPr>
          <w:rFonts w:ascii="Arial" w:eastAsiaTheme="majorEastAsia" w:hAnsi="Arial" w:cs="Arial"/>
        </w:rPr>
        <w:t xml:space="preserve"> de competidores</w:t>
      </w:r>
      <w:r w:rsidRPr="00931D46">
        <w:rPr>
          <w:rFonts w:ascii="Arial" w:hAnsi="Arial" w:cs="Arial"/>
        </w:rPr>
        <w:t>.</w:t>
      </w:r>
    </w:p>
    <w:p w14:paraId="5DE5F4B2" w14:textId="77777777" w:rsidR="00BE0D80" w:rsidRDefault="00BE0D80" w:rsidP="00BE0D80">
      <w:pPr>
        <w:pStyle w:val="Prrafodelista"/>
        <w:spacing w:after="0"/>
        <w:contextualSpacing w:val="0"/>
        <w:rPr>
          <w:rFonts w:ascii="Arial" w:hAnsi="Arial" w:cs="Arial"/>
        </w:rPr>
      </w:pPr>
    </w:p>
    <w:p w14:paraId="59E945ED"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Niveles de precios relativos y variaciones en los precios del </w:t>
      </w:r>
      <w:r>
        <w:rPr>
          <w:rFonts w:ascii="Arial" w:hAnsi="Arial" w:cs="Arial"/>
        </w:rPr>
        <w:t>producto</w:t>
      </w:r>
      <w:r w:rsidRPr="00931D46">
        <w:rPr>
          <w:rFonts w:ascii="Arial" w:hAnsi="Arial" w:cs="Arial"/>
        </w:rPr>
        <w:t xml:space="preserve"> en comparación con potenciales sustitutos.</w:t>
      </w:r>
    </w:p>
    <w:p w14:paraId="652C7933" w14:textId="77777777" w:rsidR="00BE0D80" w:rsidRDefault="00BE0D80" w:rsidP="00BE0D80">
      <w:pPr>
        <w:pStyle w:val="Prrafodelista"/>
        <w:spacing w:after="0"/>
        <w:contextualSpacing w:val="0"/>
        <w:rPr>
          <w:rFonts w:ascii="Arial" w:hAnsi="Arial" w:cs="Arial"/>
        </w:rPr>
      </w:pPr>
    </w:p>
    <w:p w14:paraId="76328D24"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Evidencia de que los productores hayan redireccionado su capacidad productiva ante cambios en los precios </w:t>
      </w:r>
      <w:r>
        <w:rPr>
          <w:rFonts w:ascii="Arial" w:hAnsi="Arial" w:cs="Arial"/>
        </w:rPr>
        <w:t xml:space="preserve">de otros productos </w:t>
      </w:r>
      <w:r w:rsidRPr="00931D46">
        <w:rPr>
          <w:rFonts w:ascii="Arial" w:hAnsi="Arial" w:cs="Arial"/>
        </w:rPr>
        <w:t>en el pasado reciente.</w:t>
      </w:r>
    </w:p>
    <w:p w14:paraId="0C5D8256" w14:textId="77777777" w:rsidR="00BE0D80" w:rsidRDefault="00BE0D80" w:rsidP="00BE0D80">
      <w:pPr>
        <w:pStyle w:val="Prrafodelista"/>
        <w:spacing w:after="0"/>
        <w:contextualSpacing w:val="0"/>
        <w:rPr>
          <w:rFonts w:ascii="Arial" w:hAnsi="Arial" w:cs="Arial"/>
        </w:rPr>
      </w:pPr>
    </w:p>
    <w:p w14:paraId="7A5DD237"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Pr>
          <w:rFonts w:ascii="Arial" w:hAnsi="Arial" w:cs="Arial"/>
        </w:rPr>
        <w:t>Información sobre la posibilidad y los c</w:t>
      </w:r>
      <w:r w:rsidRPr="00931D46">
        <w:rPr>
          <w:rFonts w:ascii="Arial" w:hAnsi="Arial" w:cs="Arial"/>
        </w:rPr>
        <w:t>ostos de cambiar los sistemas de producción y distribución</w:t>
      </w:r>
      <w:r>
        <w:rPr>
          <w:rFonts w:ascii="Arial" w:hAnsi="Arial" w:cs="Arial"/>
        </w:rPr>
        <w:t>, incluyendo aspectos técnicos, capacidad excedente y disposición por parte de los AE</w:t>
      </w:r>
      <w:r w:rsidRPr="00931D46">
        <w:rPr>
          <w:rFonts w:ascii="Arial" w:hAnsi="Arial" w:cs="Arial"/>
        </w:rPr>
        <w:t>.</w:t>
      </w:r>
    </w:p>
    <w:p w14:paraId="7C5671ED" w14:textId="77777777" w:rsidR="00BE0D80" w:rsidRDefault="00BE0D80" w:rsidP="00BE0D80">
      <w:pPr>
        <w:pStyle w:val="Prrafodelista"/>
        <w:spacing w:after="0"/>
        <w:contextualSpacing w:val="0"/>
        <w:rPr>
          <w:rFonts w:ascii="Arial" w:hAnsi="Arial" w:cs="Arial"/>
        </w:rPr>
      </w:pPr>
    </w:p>
    <w:p w14:paraId="1B5D8B4F" w14:textId="77777777" w:rsidR="00BE0D80"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Comportamiento pasado de los </w:t>
      </w:r>
      <w:r>
        <w:rPr>
          <w:rFonts w:ascii="Arial" w:hAnsi="Arial" w:cs="Arial"/>
        </w:rPr>
        <w:t xml:space="preserve">AE </w:t>
      </w:r>
      <w:r w:rsidRPr="00931D46">
        <w:rPr>
          <w:rFonts w:ascii="Arial" w:hAnsi="Arial" w:cs="Arial"/>
        </w:rPr>
        <w:t>participantes en el mercado ante cambios estructurales del mercado.</w:t>
      </w:r>
    </w:p>
    <w:p w14:paraId="6EB61310" w14:textId="77777777" w:rsidR="00BE0D80" w:rsidRDefault="00BE0D80" w:rsidP="00BE0D80">
      <w:pPr>
        <w:pStyle w:val="Prrafodelista"/>
        <w:spacing w:after="0"/>
        <w:contextualSpacing w:val="0"/>
        <w:rPr>
          <w:rFonts w:ascii="Arial" w:hAnsi="Arial" w:cs="Arial"/>
        </w:rPr>
      </w:pPr>
    </w:p>
    <w:p w14:paraId="5A0643F2" w14:textId="36DC539B"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Encuestas y opiniones de proveedores sobre lo que ocurriría ante un incremento (5%-10%) de los precios relativos de los </w:t>
      </w:r>
      <w:r>
        <w:rPr>
          <w:rFonts w:ascii="Arial" w:hAnsi="Arial" w:cs="Arial"/>
        </w:rPr>
        <w:t>productos</w:t>
      </w:r>
      <w:r w:rsidRPr="00931D46">
        <w:rPr>
          <w:rFonts w:ascii="Arial" w:hAnsi="Arial" w:cs="Arial"/>
        </w:rPr>
        <w:t xml:space="preserve"> </w:t>
      </w:r>
      <w:r>
        <w:rPr>
          <w:rFonts w:ascii="Arial" w:hAnsi="Arial" w:cs="Arial"/>
        </w:rPr>
        <w:t>analizados</w:t>
      </w:r>
      <w:r w:rsidRPr="00931D46" w:rsidDel="006D2951">
        <w:rPr>
          <w:rFonts w:ascii="Arial" w:hAnsi="Arial" w:cs="Arial"/>
        </w:rPr>
        <w:t xml:space="preserve"> en la zona geográfica estudiada</w:t>
      </w:r>
      <w:r>
        <w:rPr>
          <w:rFonts w:ascii="Arial" w:hAnsi="Arial" w:cs="Arial"/>
        </w:rPr>
        <w:t>.</w:t>
      </w:r>
    </w:p>
    <w:p w14:paraId="3D6993EC" w14:textId="77777777" w:rsidR="00BE0D80" w:rsidRDefault="00BE0D80" w:rsidP="00BE0D80">
      <w:pPr>
        <w:pStyle w:val="Prrafodelista"/>
        <w:spacing w:after="0"/>
        <w:contextualSpacing w:val="0"/>
        <w:rPr>
          <w:rFonts w:ascii="Arial" w:hAnsi="Arial" w:cs="Arial"/>
        </w:rPr>
      </w:pPr>
    </w:p>
    <w:p w14:paraId="165CABFD"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Respuestas de los </w:t>
      </w:r>
      <w:r>
        <w:rPr>
          <w:rFonts w:ascii="Arial" w:hAnsi="Arial" w:cs="Arial"/>
        </w:rPr>
        <w:t>AE</w:t>
      </w:r>
      <w:r w:rsidRPr="00931D46">
        <w:rPr>
          <w:rFonts w:ascii="Arial" w:hAnsi="Arial" w:cs="Arial"/>
        </w:rPr>
        <w:t xml:space="preserve"> participantes en el mercado ante el comportamiento de competidores.</w:t>
      </w:r>
    </w:p>
    <w:p w14:paraId="7C3EC7EC" w14:textId="77777777" w:rsidR="00BE0D80" w:rsidRDefault="00BE0D80" w:rsidP="00BE0D80">
      <w:pPr>
        <w:pStyle w:val="Prrafodelista"/>
        <w:spacing w:after="0"/>
        <w:contextualSpacing w:val="0"/>
        <w:rPr>
          <w:rFonts w:ascii="Arial" w:hAnsi="Arial" w:cs="Arial"/>
        </w:rPr>
      </w:pPr>
    </w:p>
    <w:p w14:paraId="0F889FB9"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Puntos de vista de los consumidores sobre si existen razones para no elegir los </w:t>
      </w:r>
      <w:r>
        <w:rPr>
          <w:rFonts w:ascii="Arial" w:hAnsi="Arial" w:cs="Arial"/>
        </w:rPr>
        <w:t>productos de posible</w:t>
      </w:r>
      <w:r w:rsidRPr="00931D46">
        <w:rPr>
          <w:rFonts w:ascii="Arial" w:hAnsi="Arial" w:cs="Arial"/>
        </w:rPr>
        <w:t>s oferentes.</w:t>
      </w:r>
    </w:p>
    <w:p w14:paraId="076440C5" w14:textId="77777777" w:rsidR="00BE0D80" w:rsidRDefault="00BE0D80" w:rsidP="00BE0D80">
      <w:pPr>
        <w:pStyle w:val="Prrafodelista"/>
        <w:spacing w:after="0"/>
        <w:contextualSpacing w:val="0"/>
        <w:rPr>
          <w:rFonts w:ascii="Arial" w:hAnsi="Arial" w:cs="Arial"/>
        </w:rPr>
      </w:pPr>
    </w:p>
    <w:p w14:paraId="2C1580C3" w14:textId="77777777" w:rsidR="00BE0D80" w:rsidRPr="00931D46"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Información de los c</w:t>
      </w:r>
      <w:r>
        <w:rPr>
          <w:rFonts w:ascii="Arial" w:hAnsi="Arial" w:cs="Arial"/>
        </w:rPr>
        <w:t>onsumidores sobre los posible</w:t>
      </w:r>
      <w:r w:rsidRPr="00931D46">
        <w:rPr>
          <w:rFonts w:ascii="Arial" w:hAnsi="Arial" w:cs="Arial"/>
        </w:rPr>
        <w:t>s oferentes.</w:t>
      </w:r>
    </w:p>
    <w:p w14:paraId="4FF97F59" w14:textId="77777777" w:rsidR="00BE0D80" w:rsidRDefault="00BE0D80" w:rsidP="00BE0D80">
      <w:pPr>
        <w:pStyle w:val="Prrafodelista"/>
        <w:spacing w:after="0"/>
        <w:contextualSpacing w:val="0"/>
        <w:rPr>
          <w:rFonts w:ascii="Arial" w:hAnsi="Arial" w:cs="Arial"/>
        </w:rPr>
      </w:pPr>
    </w:p>
    <w:p w14:paraId="31975040" w14:textId="77777777" w:rsidR="00BE0D80" w:rsidRDefault="00BE0D80" w:rsidP="00BE0D8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Opiniones de expertos en la industria y en la tecnología </w:t>
      </w:r>
      <w:r w:rsidRPr="00B6693F">
        <w:rPr>
          <w:rFonts w:ascii="Arial" w:hAnsi="Arial" w:cs="Arial"/>
        </w:rPr>
        <w:t xml:space="preserve">específica de los </w:t>
      </w:r>
      <w:r>
        <w:rPr>
          <w:rFonts w:ascii="Arial" w:hAnsi="Arial" w:cs="Arial"/>
        </w:rPr>
        <w:t>productos</w:t>
      </w:r>
      <w:r w:rsidRPr="00B6693F">
        <w:rPr>
          <w:rFonts w:ascii="Arial" w:hAnsi="Arial" w:cs="Arial"/>
        </w:rPr>
        <w:t xml:space="preserve"> analizados.</w:t>
      </w:r>
    </w:p>
    <w:p w14:paraId="14EE75B4" w14:textId="77777777" w:rsidR="00BE0D80" w:rsidRPr="003545C8" w:rsidRDefault="00BE0D80" w:rsidP="00BE0D80">
      <w:pPr>
        <w:spacing w:after="0"/>
        <w:jc w:val="both"/>
        <w:rPr>
          <w:rFonts w:ascii="Arial" w:hAnsi="Arial" w:cs="Arial"/>
        </w:rPr>
      </w:pPr>
    </w:p>
    <w:p w14:paraId="1B2634B0"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46" w:name="_Toc85473319"/>
      <w:r>
        <w:rPr>
          <w:rFonts w:ascii="Arial" w:eastAsia="Times New Roman" w:hAnsi="Arial" w:cs="Arial"/>
          <w:sz w:val="26"/>
          <w:lang w:eastAsia="es-MX"/>
        </w:rPr>
        <w:t>E</w:t>
      </w:r>
      <w:r w:rsidRPr="00931D46">
        <w:rPr>
          <w:rFonts w:ascii="Arial" w:eastAsia="Times New Roman" w:hAnsi="Arial" w:cs="Arial"/>
          <w:sz w:val="26"/>
          <w:lang w:eastAsia="es-MX"/>
        </w:rPr>
        <w:t xml:space="preserve">lementos para determinar la dimensión </w:t>
      </w:r>
      <w:r>
        <w:rPr>
          <w:rFonts w:ascii="Arial" w:eastAsia="Times New Roman" w:hAnsi="Arial" w:cs="Arial"/>
          <w:sz w:val="26"/>
          <w:lang w:eastAsia="es-MX"/>
        </w:rPr>
        <w:t>producto</w:t>
      </w:r>
      <w:bookmarkEnd w:id="46"/>
    </w:p>
    <w:p w14:paraId="23C0038E" w14:textId="77777777" w:rsidR="00BE0D80" w:rsidRPr="009B6F6C" w:rsidRDefault="00BE0D80" w:rsidP="00BE0D80">
      <w:pPr>
        <w:keepNext/>
        <w:spacing w:after="0"/>
        <w:jc w:val="both"/>
        <w:rPr>
          <w:rFonts w:ascii="Arial" w:eastAsiaTheme="majorEastAsia" w:hAnsi="Arial" w:cs="Arial"/>
          <w:b/>
          <w:szCs w:val="32"/>
        </w:rPr>
      </w:pPr>
    </w:p>
    <w:p w14:paraId="18551A3B" w14:textId="77777777" w:rsidR="00BE0D80" w:rsidRPr="009B6F6C"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r w:rsidRPr="009B6F6C">
        <w:rPr>
          <w:rFonts w:ascii="Arial" w:eastAsia="Times New Roman" w:hAnsi="Arial" w:cs="Arial"/>
          <w:sz w:val="26"/>
          <w:szCs w:val="26"/>
          <w:lang w:eastAsia="es-MX"/>
        </w:rPr>
        <w:t>Producto focal</w:t>
      </w:r>
    </w:p>
    <w:p w14:paraId="13DC1364" w14:textId="77777777" w:rsidR="00BE0D80" w:rsidRPr="009B6F6C" w:rsidRDefault="00BE0D80" w:rsidP="00BE0D80">
      <w:pPr>
        <w:keepNext/>
        <w:spacing w:after="0"/>
        <w:jc w:val="both"/>
        <w:rPr>
          <w:rFonts w:ascii="Arial" w:hAnsi="Arial" w:cs="Arial"/>
        </w:rPr>
      </w:pPr>
    </w:p>
    <w:p w14:paraId="7CE0A184" w14:textId="77777777" w:rsidR="00BE0D80" w:rsidRPr="009B6F6C" w:rsidRDefault="00BE0D80" w:rsidP="00BE0D80">
      <w:pPr>
        <w:jc w:val="both"/>
        <w:rPr>
          <w:rFonts w:ascii="Arial" w:hAnsi="Arial" w:cs="Arial"/>
          <w:lang w:eastAsia="es-MX"/>
        </w:rPr>
      </w:pPr>
      <w:r w:rsidRPr="009B6F6C">
        <w:rPr>
          <w:rFonts w:ascii="Arial" w:hAnsi="Arial" w:cs="Arial"/>
        </w:rPr>
        <w:t xml:space="preserve">Para delimitar el MR en su dimensión producto, el Instituto iniciará con la identificación del </w:t>
      </w:r>
      <w:r w:rsidRPr="009B6F6C">
        <w:rPr>
          <w:rFonts w:ascii="Arial" w:hAnsi="Arial" w:cs="Arial"/>
          <w:b/>
        </w:rPr>
        <w:t>producto de interés</w:t>
      </w:r>
      <w:r w:rsidRPr="009B6F6C">
        <w:rPr>
          <w:rFonts w:ascii="Arial" w:hAnsi="Arial" w:cs="Arial"/>
        </w:rPr>
        <w:t xml:space="preserve"> (producto focal), </w:t>
      </w:r>
      <w:r>
        <w:rPr>
          <w:rFonts w:ascii="Arial" w:hAnsi="Arial" w:cs="Arial"/>
        </w:rPr>
        <w:t>que consiste en el producto que se encuentra bajo análisis o investigación</w:t>
      </w:r>
      <w:r w:rsidRPr="009B6F6C">
        <w:rPr>
          <w:rFonts w:ascii="Arial" w:hAnsi="Arial" w:cs="Arial"/>
          <w:lang w:eastAsia="es-MX"/>
        </w:rPr>
        <w:t xml:space="preserve">, conforme al caso de que se trate, </w:t>
      </w:r>
      <w:r>
        <w:rPr>
          <w:rFonts w:ascii="Arial" w:hAnsi="Arial" w:cs="Arial"/>
          <w:lang w:eastAsia="es-MX"/>
        </w:rPr>
        <w:t>en particular</w:t>
      </w:r>
      <w:r w:rsidRPr="009B6F6C">
        <w:rPr>
          <w:rFonts w:ascii="Arial" w:hAnsi="Arial" w:cs="Arial"/>
          <w:lang w:eastAsia="es-MX"/>
        </w:rPr>
        <w:t>:</w:t>
      </w:r>
    </w:p>
    <w:p w14:paraId="50A13C03" w14:textId="77777777" w:rsidR="00BE0D80" w:rsidRPr="00532D7E" w:rsidRDefault="00BE0D80" w:rsidP="00BE0D80">
      <w:pPr>
        <w:pStyle w:val="Prrafodelista"/>
        <w:numPr>
          <w:ilvl w:val="0"/>
          <w:numId w:val="31"/>
        </w:numPr>
        <w:spacing w:after="0"/>
        <w:ind w:left="709" w:hanging="567"/>
        <w:contextualSpacing w:val="0"/>
        <w:jc w:val="both"/>
        <w:rPr>
          <w:rFonts w:ascii="Arial" w:hAnsi="Arial" w:cs="Arial"/>
          <w:lang w:eastAsia="es-MX"/>
        </w:rPr>
      </w:pPr>
      <w:r>
        <w:rPr>
          <w:rFonts w:ascii="Arial" w:hAnsi="Arial" w:cs="Arial"/>
        </w:rPr>
        <w:t xml:space="preserve">El producto en cuya </w:t>
      </w:r>
      <w:r w:rsidRPr="009B6F6C">
        <w:rPr>
          <w:rFonts w:ascii="Arial" w:hAnsi="Arial" w:cs="Arial"/>
        </w:rPr>
        <w:t xml:space="preserve">provisión </w:t>
      </w:r>
      <w:r>
        <w:rPr>
          <w:rFonts w:ascii="Arial" w:hAnsi="Arial" w:cs="Arial"/>
        </w:rPr>
        <w:t>participan</w:t>
      </w:r>
      <w:r w:rsidRPr="009B6F6C">
        <w:rPr>
          <w:rFonts w:ascii="Arial" w:hAnsi="Arial" w:cs="Arial"/>
        </w:rPr>
        <w:t xml:space="preserve"> los AE involucrados en una concentración</w:t>
      </w:r>
      <w:r>
        <w:rPr>
          <w:rFonts w:ascii="Arial" w:hAnsi="Arial" w:cs="Arial"/>
        </w:rPr>
        <w:t>, acuerdo</w:t>
      </w:r>
      <w:r w:rsidRPr="009B6F6C">
        <w:rPr>
          <w:rFonts w:ascii="Arial" w:hAnsi="Arial" w:cs="Arial"/>
        </w:rPr>
        <w:t xml:space="preserve"> o cesión de derechos de concesiones,</w:t>
      </w:r>
      <w:r w:rsidRPr="009551D5">
        <w:t xml:space="preserve"> </w:t>
      </w:r>
    </w:p>
    <w:p w14:paraId="5488310E" w14:textId="77777777" w:rsidR="00BE0D80" w:rsidRPr="00532D7E" w:rsidRDefault="00BE0D80" w:rsidP="00BE0D80">
      <w:pPr>
        <w:pStyle w:val="Prrafodelista"/>
        <w:spacing w:after="0"/>
        <w:ind w:left="709"/>
        <w:contextualSpacing w:val="0"/>
        <w:jc w:val="both"/>
        <w:rPr>
          <w:rFonts w:ascii="Arial" w:hAnsi="Arial" w:cs="Arial"/>
          <w:lang w:eastAsia="es-MX"/>
        </w:rPr>
      </w:pPr>
    </w:p>
    <w:p w14:paraId="07CECA7E" w14:textId="77777777" w:rsidR="00BE0D80" w:rsidRDefault="00BE0D80" w:rsidP="00BE0D80">
      <w:pPr>
        <w:pStyle w:val="Prrafodelista"/>
        <w:numPr>
          <w:ilvl w:val="0"/>
          <w:numId w:val="31"/>
        </w:numPr>
        <w:spacing w:after="0"/>
        <w:ind w:left="709" w:hanging="567"/>
        <w:contextualSpacing w:val="0"/>
        <w:jc w:val="both"/>
        <w:rPr>
          <w:rFonts w:ascii="Arial" w:hAnsi="Arial" w:cs="Arial"/>
          <w:lang w:eastAsia="es-MX"/>
        </w:rPr>
      </w:pPr>
      <w:r w:rsidRPr="009551D5">
        <w:rPr>
          <w:rFonts w:ascii="Arial" w:hAnsi="Arial" w:cs="Arial"/>
        </w:rPr>
        <w:t xml:space="preserve">El producto </w:t>
      </w:r>
      <w:r>
        <w:rPr>
          <w:rFonts w:ascii="Arial" w:hAnsi="Arial" w:cs="Arial"/>
        </w:rPr>
        <w:t xml:space="preserve">para el cual </w:t>
      </w:r>
      <w:r w:rsidRPr="009551D5">
        <w:rPr>
          <w:rFonts w:ascii="Arial" w:hAnsi="Arial" w:cs="Arial"/>
        </w:rPr>
        <w:t xml:space="preserve">se investiga una PMR, la existencia de un insumo esencial, barreras a la competencia o PSM, </w:t>
      </w:r>
      <w:r>
        <w:rPr>
          <w:rFonts w:ascii="Arial" w:hAnsi="Arial" w:cs="Arial"/>
        </w:rPr>
        <w:t>y</w:t>
      </w:r>
    </w:p>
    <w:p w14:paraId="233B0689" w14:textId="77777777" w:rsidR="00BE0D80" w:rsidRPr="009B6F6C" w:rsidRDefault="00BE0D80" w:rsidP="00BE0D80">
      <w:pPr>
        <w:pStyle w:val="Prrafodelista"/>
        <w:spacing w:after="0"/>
        <w:ind w:left="709"/>
        <w:contextualSpacing w:val="0"/>
        <w:jc w:val="both"/>
        <w:rPr>
          <w:rFonts w:ascii="Arial" w:hAnsi="Arial" w:cs="Arial"/>
          <w:lang w:eastAsia="es-MX"/>
        </w:rPr>
      </w:pPr>
    </w:p>
    <w:p w14:paraId="2A76898A" w14:textId="77777777" w:rsidR="00BE0D80" w:rsidRDefault="00BE0D80" w:rsidP="00BE0D80">
      <w:pPr>
        <w:pStyle w:val="Prrafodelista"/>
        <w:numPr>
          <w:ilvl w:val="0"/>
          <w:numId w:val="31"/>
        </w:numPr>
        <w:spacing w:after="0"/>
        <w:ind w:left="709" w:hanging="567"/>
        <w:contextualSpacing w:val="0"/>
        <w:jc w:val="both"/>
        <w:rPr>
          <w:rFonts w:ascii="Arial" w:hAnsi="Arial" w:cs="Arial"/>
        </w:rPr>
      </w:pPr>
      <w:r>
        <w:rPr>
          <w:rFonts w:ascii="Arial" w:hAnsi="Arial" w:cs="Arial"/>
        </w:rPr>
        <w:t>El producto para el cual se quiere conocer su</w:t>
      </w:r>
      <w:r w:rsidRPr="009B6F6C">
        <w:rPr>
          <w:rFonts w:ascii="Arial" w:hAnsi="Arial" w:cs="Arial"/>
        </w:rPr>
        <w:t>s condiciones de mercado (por ejemplo, el producto con mayor volumen de</w:t>
      </w:r>
      <w:r>
        <w:rPr>
          <w:rFonts w:ascii="Arial" w:hAnsi="Arial" w:cs="Arial"/>
        </w:rPr>
        <w:t xml:space="preserve"> consumo entre los consumidores o </w:t>
      </w:r>
      <w:r w:rsidRPr="009B6F6C">
        <w:rPr>
          <w:rFonts w:ascii="Arial" w:hAnsi="Arial" w:cs="Arial"/>
        </w:rPr>
        <w:t>usuarios).</w:t>
      </w:r>
    </w:p>
    <w:p w14:paraId="20874FD2" w14:textId="77777777" w:rsidR="00BE0D80" w:rsidRDefault="00BE0D80" w:rsidP="00BE0D80">
      <w:pPr>
        <w:spacing w:after="0"/>
        <w:jc w:val="both"/>
        <w:rPr>
          <w:rFonts w:ascii="Arial" w:hAnsi="Arial" w:cs="Arial"/>
          <w:lang w:eastAsia="es-MX"/>
        </w:rPr>
      </w:pPr>
    </w:p>
    <w:p w14:paraId="020DF938" w14:textId="77777777" w:rsidR="00BE0D80" w:rsidRPr="002940AC" w:rsidRDefault="00BE0D80" w:rsidP="00BE0D80">
      <w:pPr>
        <w:spacing w:after="0"/>
        <w:jc w:val="both"/>
        <w:rPr>
          <w:rFonts w:ascii="Arial" w:hAnsi="Arial" w:cs="Arial"/>
          <w:lang w:eastAsia="es-MX"/>
        </w:rPr>
      </w:pPr>
      <w:r w:rsidRPr="002940AC">
        <w:rPr>
          <w:rFonts w:ascii="Arial" w:hAnsi="Arial" w:cs="Arial"/>
          <w:lang w:eastAsia="es-MX"/>
        </w:rPr>
        <w:t xml:space="preserve">A efecto de lo anterior, el Instituto podría emplear información contenida en documentos o registros internos que proporcionen los propios AE, estudios de mercado, encuestas u otros documentos que se encuentren disponibles al momento de realizar el análisis. </w:t>
      </w:r>
    </w:p>
    <w:p w14:paraId="6D1E8938" w14:textId="77777777" w:rsidR="00BE0D80" w:rsidRPr="002940AC" w:rsidRDefault="00BE0D80" w:rsidP="00BE0D80">
      <w:pPr>
        <w:spacing w:after="0"/>
        <w:jc w:val="both"/>
        <w:rPr>
          <w:rFonts w:ascii="Arial" w:hAnsi="Arial" w:cs="Arial"/>
          <w:lang w:eastAsia="es-MX"/>
        </w:rPr>
      </w:pPr>
    </w:p>
    <w:p w14:paraId="47832C2C" w14:textId="77777777" w:rsidR="00BE0D80" w:rsidRPr="0066406A" w:rsidRDefault="00BE0D80" w:rsidP="00BE0D80">
      <w:pPr>
        <w:spacing w:after="0"/>
        <w:jc w:val="both"/>
        <w:rPr>
          <w:rFonts w:ascii="Arial" w:hAnsi="Arial" w:cs="Arial"/>
          <w:lang w:eastAsia="es-MX"/>
        </w:rPr>
      </w:pPr>
      <w:r w:rsidRPr="002940AC">
        <w:rPr>
          <w:rFonts w:ascii="Arial" w:hAnsi="Arial" w:cs="Arial"/>
          <w:lang w:eastAsia="es-MX"/>
        </w:rPr>
        <w:t xml:space="preserve">Por otra parte, si el análisis o investigación comprende más de un producto, cada uno de ellos se podrá considerar como un producto focal. Por ejemplo, en el caso de una concentración en la que dos empresas coincidan, tanto en la provisión de servicios móviles, como en la provisión del </w:t>
      </w:r>
      <w:r>
        <w:rPr>
          <w:rFonts w:ascii="Arial" w:hAnsi="Arial" w:cs="Arial"/>
          <w:lang w:eastAsia="es-MX"/>
        </w:rPr>
        <w:t>SBAF</w:t>
      </w:r>
      <w:r w:rsidRPr="002940AC">
        <w:rPr>
          <w:rFonts w:ascii="Arial" w:hAnsi="Arial" w:cs="Arial"/>
          <w:lang w:eastAsia="es-MX"/>
        </w:rPr>
        <w:t>.</w:t>
      </w:r>
    </w:p>
    <w:p w14:paraId="0E426416" w14:textId="77777777" w:rsidR="00BE0D80" w:rsidRPr="009B6F6C" w:rsidRDefault="00BE0D80" w:rsidP="00BE0D80">
      <w:pPr>
        <w:spacing w:after="0"/>
        <w:jc w:val="both"/>
        <w:rPr>
          <w:rFonts w:ascii="Arial" w:hAnsi="Arial" w:cs="Arial"/>
        </w:rPr>
      </w:pPr>
    </w:p>
    <w:p w14:paraId="24065A23" w14:textId="77777777" w:rsidR="00BE0D80" w:rsidRPr="009B6F6C"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r w:rsidRPr="009B6F6C">
        <w:rPr>
          <w:rFonts w:ascii="Arial" w:eastAsia="Times New Roman" w:hAnsi="Arial" w:cs="Arial"/>
          <w:sz w:val="26"/>
          <w:szCs w:val="26"/>
          <w:lang w:eastAsia="es-MX"/>
        </w:rPr>
        <w:lastRenderedPageBreak/>
        <w:t>Productos candidatos a sustitutos</w:t>
      </w:r>
    </w:p>
    <w:p w14:paraId="22BCC8C2" w14:textId="77777777" w:rsidR="00BE0D80" w:rsidRPr="009B6F6C" w:rsidRDefault="00BE0D80" w:rsidP="00BE0D80">
      <w:pPr>
        <w:keepNext/>
        <w:spacing w:after="0"/>
        <w:jc w:val="both"/>
        <w:rPr>
          <w:rFonts w:ascii="Arial" w:hAnsi="Arial" w:cs="Arial"/>
        </w:rPr>
      </w:pPr>
    </w:p>
    <w:p w14:paraId="3F6E7E5D" w14:textId="77777777" w:rsidR="00BE0D80" w:rsidRPr="009B6F6C" w:rsidRDefault="00BE0D80" w:rsidP="00BE0D80">
      <w:pPr>
        <w:spacing w:after="0"/>
        <w:jc w:val="both"/>
        <w:rPr>
          <w:rFonts w:ascii="Arial" w:hAnsi="Arial" w:cs="Arial"/>
        </w:rPr>
      </w:pPr>
      <w:r w:rsidRPr="009B6F6C">
        <w:rPr>
          <w:rFonts w:ascii="Arial" w:hAnsi="Arial" w:cs="Arial"/>
        </w:rPr>
        <w:t xml:space="preserve">A partir de un análisis de equivalencia funcional e intercambiabilidad con base en las características, atributos y usos del producto focal, incluyendo precios, modelos de negocio, condiciones de comercialización, calidad y requerimientos (incluyendo el tiempo) para tener acceso a él, se </w:t>
      </w:r>
      <w:r>
        <w:rPr>
          <w:rFonts w:ascii="Arial" w:hAnsi="Arial" w:cs="Arial"/>
        </w:rPr>
        <w:t xml:space="preserve">podrán </w:t>
      </w:r>
      <w:r w:rsidRPr="009B6F6C">
        <w:rPr>
          <w:rFonts w:ascii="Arial" w:hAnsi="Arial" w:cs="Arial"/>
        </w:rPr>
        <w:t xml:space="preserve">identificar, de manera preliminar, los </w:t>
      </w:r>
      <w:r w:rsidRPr="009B6F6C">
        <w:rPr>
          <w:rFonts w:ascii="Arial" w:hAnsi="Arial" w:cs="Arial"/>
          <w:b/>
        </w:rPr>
        <w:t xml:space="preserve">productos candidatos a sustitutos </w:t>
      </w:r>
      <w:r w:rsidRPr="009B6F6C">
        <w:rPr>
          <w:rFonts w:ascii="Arial" w:hAnsi="Arial" w:cs="Arial"/>
        </w:rPr>
        <w:t>o que podrían ejercer presión competitiva sobre el producto focal.</w:t>
      </w:r>
    </w:p>
    <w:p w14:paraId="0CF27EFE" w14:textId="77777777" w:rsidR="00BE0D80" w:rsidRPr="009B6F6C" w:rsidRDefault="00BE0D80" w:rsidP="00BE0D80">
      <w:pPr>
        <w:spacing w:after="0"/>
        <w:jc w:val="both"/>
        <w:rPr>
          <w:rFonts w:ascii="Arial" w:hAnsi="Arial" w:cs="Arial"/>
        </w:rPr>
      </w:pPr>
    </w:p>
    <w:p w14:paraId="4DFE9B82" w14:textId="77777777" w:rsidR="00BE0D80" w:rsidRPr="009B6F6C" w:rsidRDefault="00BE0D80" w:rsidP="00BE0D80">
      <w:pPr>
        <w:spacing w:after="0"/>
        <w:jc w:val="both"/>
        <w:rPr>
          <w:rFonts w:ascii="Arial" w:hAnsi="Arial" w:cs="Arial"/>
        </w:rPr>
      </w:pPr>
      <w:r w:rsidRPr="009B6F6C">
        <w:rPr>
          <w:rFonts w:ascii="Arial" w:hAnsi="Arial" w:cs="Arial"/>
        </w:rPr>
        <w:t xml:space="preserve">El análisis de las características y funcionalidades de distintos productos permite identificar aquéllos que pueden ser usados para los mismos fines y que podrían satisfacer necesidades similares. Sin embargo, es importante tomar en consideración que la similitud de atributos y funcionalidades entre dos productos no implica por sí misma que sean sustitutos, pues existen diversos factores adicionales que inciden en la disposición o posibilidades de los consumidores para intercambiarlos. </w:t>
      </w:r>
    </w:p>
    <w:p w14:paraId="3BA09DC6" w14:textId="77777777" w:rsidR="00BE0D80" w:rsidRPr="009B6F6C" w:rsidRDefault="00BE0D80" w:rsidP="00BE0D80">
      <w:pPr>
        <w:spacing w:after="0"/>
        <w:jc w:val="both"/>
        <w:rPr>
          <w:rFonts w:ascii="Arial" w:hAnsi="Arial" w:cs="Arial"/>
        </w:rPr>
      </w:pPr>
    </w:p>
    <w:p w14:paraId="1BD17CB7" w14:textId="77777777" w:rsidR="00BE0D80" w:rsidRPr="009B6F6C" w:rsidRDefault="00BE0D80" w:rsidP="00BE0D80">
      <w:pPr>
        <w:spacing w:after="0"/>
        <w:jc w:val="both"/>
        <w:rPr>
          <w:rFonts w:ascii="Arial" w:hAnsi="Arial" w:cs="Arial"/>
        </w:rPr>
      </w:pPr>
      <w:r w:rsidRPr="009B6F6C">
        <w:rPr>
          <w:rFonts w:ascii="Arial" w:hAnsi="Arial" w:cs="Arial"/>
        </w:rPr>
        <w:t>En ese sentido, además de las características intrínsecas de los productos, deben tenerse en cuenta otros aspectos antes de concluir que dos productos son sustitutos, tales como la utilización que hacen los consumidores, la intercambiabilidad de funciones, la forma en que los consumidores valoran las diferentes características, la existencia de obstáculos y costos relacionados con el desplazamiento de la demanda hacia productos sustitutos, restricciones regulatorias, necesidad de inversiones de capital específicas, reducciones de la producción cuando se utilizan insumos alternativos, entre otros.</w:t>
      </w:r>
      <w:r w:rsidRPr="009B6F6C">
        <w:rPr>
          <w:rStyle w:val="Refdenotaalpie"/>
          <w:rFonts w:ascii="Arial" w:hAnsi="Arial" w:cs="Arial"/>
        </w:rPr>
        <w:footnoteReference w:id="37"/>
      </w:r>
    </w:p>
    <w:p w14:paraId="4EAA2C68" w14:textId="77777777" w:rsidR="00BE0D80" w:rsidRPr="009B6F6C" w:rsidRDefault="00BE0D80" w:rsidP="00BE0D80">
      <w:pPr>
        <w:spacing w:after="0"/>
        <w:jc w:val="both"/>
        <w:rPr>
          <w:rFonts w:ascii="Arial" w:hAnsi="Arial" w:cs="Arial"/>
        </w:rPr>
      </w:pPr>
    </w:p>
    <w:p w14:paraId="717666E6" w14:textId="77777777" w:rsidR="00BE0D80" w:rsidRDefault="00BE0D80" w:rsidP="00BE0D80">
      <w:pPr>
        <w:spacing w:after="0"/>
        <w:jc w:val="both"/>
        <w:rPr>
          <w:rFonts w:ascii="Arial" w:hAnsi="Arial" w:cs="Arial"/>
        </w:rPr>
      </w:pPr>
      <w:r w:rsidRPr="009B6F6C">
        <w:rPr>
          <w:rFonts w:ascii="Arial" w:hAnsi="Arial" w:cs="Arial"/>
        </w:rPr>
        <w:t xml:space="preserve">Así, el análisis de las características y funcionalidades de los </w:t>
      </w:r>
      <w:r>
        <w:rPr>
          <w:rFonts w:ascii="Arial" w:hAnsi="Arial" w:cs="Arial"/>
        </w:rPr>
        <w:t>productos</w:t>
      </w:r>
      <w:r w:rsidRPr="009B6F6C">
        <w:rPr>
          <w:rFonts w:ascii="Arial" w:hAnsi="Arial" w:cs="Arial"/>
        </w:rPr>
        <w:t xml:space="preserve"> permite delimitar el rango de posibles sustitutos e identificar sus diferencias. Además, en ciertos casos, el análisis de equivalencia funcional permite identificar que no existen sustitutos de los </w:t>
      </w:r>
      <w:r>
        <w:rPr>
          <w:rFonts w:ascii="Arial" w:hAnsi="Arial" w:cs="Arial"/>
        </w:rPr>
        <w:t>productos</w:t>
      </w:r>
      <w:r w:rsidRPr="009B6F6C">
        <w:rPr>
          <w:rFonts w:ascii="Arial" w:hAnsi="Arial" w:cs="Arial"/>
        </w:rPr>
        <w:t xml:space="preserve"> focales debido a que estos tienen usos específicos o altamente especializados y es evidente que no pueden ser reemplazados por otros productos; por ejemplo, esto ocurre en el caso de </w:t>
      </w:r>
      <w:r>
        <w:rPr>
          <w:rFonts w:ascii="Arial" w:hAnsi="Arial" w:cs="Arial"/>
        </w:rPr>
        <w:t>la</w:t>
      </w:r>
      <w:r w:rsidRPr="009B6F6C">
        <w:rPr>
          <w:rFonts w:ascii="Arial" w:hAnsi="Arial" w:cs="Arial"/>
        </w:rPr>
        <w:t xml:space="preserve"> provisión de equipos de infraestructura activa y de interconexión.</w:t>
      </w:r>
    </w:p>
    <w:p w14:paraId="66566C94" w14:textId="77777777" w:rsidR="00BE0D80" w:rsidRPr="009B6F6C" w:rsidRDefault="00BE0D80" w:rsidP="00BE0D80">
      <w:pPr>
        <w:spacing w:after="0"/>
        <w:jc w:val="both"/>
        <w:rPr>
          <w:rFonts w:ascii="Arial" w:hAnsi="Arial" w:cs="Arial"/>
        </w:rPr>
      </w:pPr>
    </w:p>
    <w:p w14:paraId="1C9060AE" w14:textId="77777777" w:rsidR="00BE0D80" w:rsidRPr="009B6F6C"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r w:rsidRPr="009B6F6C">
        <w:rPr>
          <w:rFonts w:ascii="Arial" w:eastAsia="Times New Roman" w:hAnsi="Arial" w:cs="Arial"/>
          <w:sz w:val="26"/>
          <w:szCs w:val="26"/>
          <w:lang w:eastAsia="es-MX"/>
        </w:rPr>
        <w:t>Análisis de sustitución</w:t>
      </w:r>
    </w:p>
    <w:p w14:paraId="69D9B0CD" w14:textId="77777777" w:rsidR="00BE0D80" w:rsidRPr="009B6F6C" w:rsidRDefault="00BE0D80" w:rsidP="00BE0D80">
      <w:pPr>
        <w:spacing w:after="0"/>
        <w:jc w:val="both"/>
        <w:rPr>
          <w:rFonts w:ascii="Arial" w:hAnsi="Arial" w:cs="Arial"/>
        </w:rPr>
      </w:pPr>
    </w:p>
    <w:p w14:paraId="5F608E26" w14:textId="77777777" w:rsidR="00BE0D80" w:rsidRPr="00931D46" w:rsidRDefault="00BE0D80" w:rsidP="00BE0D80">
      <w:pPr>
        <w:spacing w:after="0"/>
        <w:jc w:val="both"/>
        <w:rPr>
          <w:rFonts w:ascii="Arial" w:hAnsi="Arial" w:cs="Arial"/>
        </w:rPr>
      </w:pPr>
      <w:r w:rsidRPr="009B6F6C">
        <w:rPr>
          <w:rFonts w:ascii="Arial" w:hAnsi="Arial" w:cs="Arial"/>
        </w:rPr>
        <w:t xml:space="preserve">Para cada uno de los productos candidatos identificados, se </w:t>
      </w:r>
      <w:r>
        <w:rPr>
          <w:rFonts w:ascii="Arial" w:hAnsi="Arial" w:cs="Arial"/>
        </w:rPr>
        <w:t xml:space="preserve">podrá </w:t>
      </w:r>
      <w:r w:rsidRPr="009B6F6C">
        <w:rPr>
          <w:rFonts w:ascii="Arial" w:hAnsi="Arial" w:cs="Arial"/>
        </w:rPr>
        <w:t xml:space="preserve">realizar un análisis de sustitución por el lado de la demanda y por el lado de la oferta de acuerdo con los criterios establecidos en el artículo 58 de la LFCE, para lo cual se podrán considerar, entre otros, los </w:t>
      </w:r>
      <w:r w:rsidRPr="009B6F6C" w:rsidDel="00FD1C58">
        <w:rPr>
          <w:rFonts w:ascii="Arial" w:hAnsi="Arial" w:cs="Arial"/>
        </w:rPr>
        <w:t xml:space="preserve">elementos </w:t>
      </w:r>
      <w:r w:rsidRPr="009B6F6C">
        <w:rPr>
          <w:rFonts w:ascii="Arial" w:hAnsi="Arial" w:cs="Arial"/>
        </w:rPr>
        <w:t>y las herramientas de análisis que se presentan a continuación, sin orden de importancia o prelación en su aplicación y conforme la información disponible lo permita.</w:t>
      </w:r>
    </w:p>
    <w:p w14:paraId="163A344E" w14:textId="77777777" w:rsidR="00BE0D80" w:rsidRPr="00931D46" w:rsidRDefault="00BE0D80" w:rsidP="00BE0D80">
      <w:pPr>
        <w:spacing w:after="0"/>
        <w:jc w:val="both"/>
        <w:rPr>
          <w:rFonts w:ascii="Arial" w:hAnsi="Arial" w:cs="Arial"/>
        </w:rPr>
      </w:pPr>
    </w:p>
    <w:p w14:paraId="51F54869" w14:textId="77777777" w:rsidR="00BE0D80" w:rsidRPr="00B451E2" w:rsidRDefault="00BE0D80" w:rsidP="00BE0D80">
      <w:pPr>
        <w:pStyle w:val="Ttulo4"/>
        <w:keepLines w:val="0"/>
        <w:numPr>
          <w:ilvl w:val="3"/>
          <w:numId w:val="5"/>
        </w:numPr>
        <w:spacing w:before="0" w:after="0" w:line="276" w:lineRule="auto"/>
        <w:ind w:left="2268"/>
        <w:rPr>
          <w:rFonts w:ascii="Arial" w:eastAsia="Times New Roman" w:hAnsi="Arial" w:cs="Arial"/>
          <w:b w:val="0"/>
          <w:i/>
          <w:lang w:eastAsia="es-MX"/>
        </w:rPr>
      </w:pPr>
      <w:bookmarkStart w:id="47" w:name="_Hlk83592479"/>
      <w:r>
        <w:rPr>
          <w:rFonts w:ascii="Arial" w:eastAsia="Times New Roman" w:hAnsi="Arial" w:cs="Arial"/>
          <w:lang w:eastAsia="es-MX"/>
        </w:rPr>
        <w:lastRenderedPageBreak/>
        <w:t>Sustitución p</w:t>
      </w:r>
      <w:r w:rsidRPr="00B451E2">
        <w:rPr>
          <w:rFonts w:ascii="Arial" w:eastAsia="Times New Roman" w:hAnsi="Arial" w:cs="Arial"/>
          <w:lang w:eastAsia="es-MX"/>
        </w:rPr>
        <w:t>or el lado de la demanda</w:t>
      </w:r>
    </w:p>
    <w:bookmarkEnd w:id="47"/>
    <w:p w14:paraId="49E7C733" w14:textId="77777777" w:rsidR="00BE0D80" w:rsidRDefault="00BE0D80" w:rsidP="00BE0D80">
      <w:pPr>
        <w:spacing w:after="0"/>
        <w:jc w:val="both"/>
        <w:rPr>
          <w:rFonts w:ascii="Arial" w:hAnsi="Arial" w:cs="Arial"/>
        </w:rPr>
      </w:pPr>
    </w:p>
    <w:p w14:paraId="5BD1CE4F" w14:textId="77777777" w:rsidR="00BE0D80" w:rsidRPr="009B6F6C" w:rsidRDefault="00BE0D80" w:rsidP="00BE0D80">
      <w:pPr>
        <w:spacing w:after="0"/>
        <w:jc w:val="both"/>
        <w:rPr>
          <w:rFonts w:ascii="Arial" w:hAnsi="Arial" w:cs="Arial"/>
        </w:rPr>
      </w:pPr>
      <w:r w:rsidRPr="00A732BD">
        <w:rPr>
          <w:rFonts w:ascii="Arial" w:hAnsi="Arial" w:cs="Arial"/>
        </w:rPr>
        <w:t>El análisis de sustitución por el lado de la demanda consiste en identificar aquellos productos que son vistos como sustitutos por los consumidores. Es decir, implica evaluar la capacidad que tienen los demandantes de migrar hacia productos alternativos al producto analizado en respuesta a pequeñas variaciones no transitorias en los precios relativos</w:t>
      </w:r>
      <w:r w:rsidRPr="009B6F6C">
        <w:rPr>
          <w:rFonts w:ascii="Arial" w:hAnsi="Arial" w:cs="Arial"/>
        </w:rPr>
        <w:t xml:space="preserve"> u otras variables relevantes. Para llevarlo a cabo el Instituto </w:t>
      </w:r>
      <w:r>
        <w:rPr>
          <w:rFonts w:ascii="Arial" w:hAnsi="Arial" w:cs="Arial"/>
        </w:rPr>
        <w:t>podrá</w:t>
      </w:r>
      <w:r w:rsidRPr="009B6F6C">
        <w:rPr>
          <w:rFonts w:ascii="Arial" w:hAnsi="Arial" w:cs="Arial"/>
        </w:rPr>
        <w:t xml:space="preserve"> considerar los siguientes elementos.</w:t>
      </w:r>
    </w:p>
    <w:p w14:paraId="1AE4A44A" w14:textId="77777777" w:rsidR="00BE0D80" w:rsidRPr="00725954" w:rsidRDefault="00BE0D80" w:rsidP="00BE0D80">
      <w:pPr>
        <w:keepNext/>
        <w:spacing w:after="0"/>
        <w:jc w:val="both"/>
        <w:rPr>
          <w:lang w:eastAsia="es-MX"/>
        </w:rPr>
      </w:pPr>
    </w:p>
    <w:p w14:paraId="507F5A76" w14:textId="77777777" w:rsidR="00BE0D80" w:rsidRPr="009B6F6C" w:rsidRDefault="00BE0D80" w:rsidP="00BE0D80">
      <w:pPr>
        <w:pStyle w:val="Prrafodelista"/>
        <w:keepNext/>
        <w:numPr>
          <w:ilvl w:val="0"/>
          <w:numId w:val="23"/>
        </w:numPr>
        <w:spacing w:after="0"/>
        <w:ind w:hanging="578"/>
        <w:contextualSpacing w:val="0"/>
        <w:jc w:val="both"/>
        <w:rPr>
          <w:rFonts w:ascii="Arial" w:hAnsi="Arial" w:cs="Arial"/>
          <w:b/>
        </w:rPr>
      </w:pPr>
      <w:r w:rsidRPr="009B6F6C">
        <w:rPr>
          <w:rFonts w:ascii="Arial" w:hAnsi="Arial" w:cs="Arial"/>
          <w:b/>
        </w:rPr>
        <w:t>La Prueba SSNIP, incluyendo análisis de pérdida crítica</w:t>
      </w:r>
    </w:p>
    <w:p w14:paraId="40BE47D2" w14:textId="77777777" w:rsidR="00BE0D80" w:rsidRPr="009B6F6C" w:rsidRDefault="00BE0D80" w:rsidP="00BE0D80">
      <w:pPr>
        <w:keepNext/>
        <w:spacing w:after="0"/>
        <w:jc w:val="both"/>
        <w:rPr>
          <w:rFonts w:ascii="Arial" w:hAnsi="Arial" w:cs="Arial"/>
        </w:rPr>
      </w:pPr>
    </w:p>
    <w:p w14:paraId="5ED60CCB" w14:textId="77777777" w:rsidR="00BE0D80" w:rsidRPr="009B6F6C" w:rsidRDefault="00BE0D80" w:rsidP="00BE0D80">
      <w:pPr>
        <w:jc w:val="both"/>
        <w:rPr>
          <w:rFonts w:ascii="Arial" w:hAnsi="Arial" w:cs="Arial"/>
          <w:lang w:eastAsia="es-MX"/>
        </w:rPr>
      </w:pPr>
      <w:r w:rsidRPr="009B6F6C">
        <w:rPr>
          <w:rFonts w:ascii="Arial" w:hAnsi="Arial" w:cs="Arial"/>
          <w:lang w:eastAsia="es-MX"/>
        </w:rPr>
        <w:t>La Prueba SSNIP consiste en analizar si para un monopolista hipotético sería rentable hacer pequeños pero significativos incrementos en los precios de manera no transitoria,</w:t>
      </w:r>
      <w:r w:rsidRPr="009B6F6C">
        <w:rPr>
          <w:rStyle w:val="Refdenotaalpie"/>
          <w:rFonts w:ascii="Arial" w:hAnsi="Arial" w:cs="Arial"/>
          <w:lang w:eastAsia="es-MX"/>
        </w:rPr>
        <w:footnoteReference w:id="38"/>
      </w:r>
      <w:r w:rsidRPr="009B6F6C">
        <w:rPr>
          <w:rFonts w:ascii="Arial" w:hAnsi="Arial" w:cs="Arial"/>
          <w:lang w:eastAsia="es-MX"/>
        </w:rPr>
        <w:t xml:space="preserve"> considerando: </w:t>
      </w:r>
    </w:p>
    <w:p w14:paraId="54B5A8DA" w14:textId="77777777" w:rsidR="00BE0D80" w:rsidRPr="009B6F6C" w:rsidRDefault="00BE0D80" w:rsidP="00BE0D80">
      <w:pPr>
        <w:pStyle w:val="Prrafodelista"/>
        <w:numPr>
          <w:ilvl w:val="0"/>
          <w:numId w:val="27"/>
        </w:numPr>
        <w:spacing w:after="0"/>
        <w:ind w:left="709" w:hanging="567"/>
        <w:contextualSpacing w:val="0"/>
        <w:jc w:val="both"/>
        <w:rPr>
          <w:rFonts w:ascii="Arial" w:hAnsi="Arial" w:cs="Arial"/>
          <w:lang w:eastAsia="es-MX"/>
        </w:rPr>
      </w:pPr>
      <w:r w:rsidRPr="009B6F6C">
        <w:rPr>
          <w:rFonts w:ascii="Arial" w:hAnsi="Arial" w:cs="Arial"/>
          <w:lang w:eastAsia="es-MX"/>
        </w:rPr>
        <w:t xml:space="preserve">La magnitud de la transferencia de demanda hacia productos sustitutos en respuesta al incremento en el precio, y </w:t>
      </w:r>
    </w:p>
    <w:p w14:paraId="581B9C9E" w14:textId="77777777" w:rsidR="00BE0D80" w:rsidRDefault="00BE0D80" w:rsidP="00BE0D80">
      <w:pPr>
        <w:pStyle w:val="Prrafodelista"/>
        <w:spacing w:after="0"/>
        <w:ind w:left="709"/>
        <w:contextualSpacing w:val="0"/>
        <w:jc w:val="both"/>
        <w:rPr>
          <w:rFonts w:ascii="Arial" w:hAnsi="Arial" w:cs="Arial"/>
          <w:lang w:eastAsia="es-MX"/>
        </w:rPr>
      </w:pPr>
    </w:p>
    <w:p w14:paraId="3654490B" w14:textId="77777777" w:rsidR="00BE0D80" w:rsidRDefault="00BE0D80" w:rsidP="00BE0D80">
      <w:pPr>
        <w:pStyle w:val="Prrafodelista"/>
        <w:numPr>
          <w:ilvl w:val="0"/>
          <w:numId w:val="27"/>
        </w:numPr>
        <w:spacing w:after="0"/>
        <w:ind w:left="709" w:hanging="567"/>
        <w:contextualSpacing w:val="0"/>
        <w:jc w:val="both"/>
        <w:rPr>
          <w:rFonts w:ascii="Arial" w:hAnsi="Arial" w:cs="Arial"/>
          <w:lang w:eastAsia="es-MX"/>
        </w:rPr>
      </w:pPr>
      <w:r w:rsidRPr="009B6F6C">
        <w:rPr>
          <w:rFonts w:ascii="Arial" w:hAnsi="Arial" w:cs="Arial"/>
          <w:lang w:eastAsia="es-MX"/>
        </w:rPr>
        <w:t xml:space="preserve">El cambio en el margen de utilidad, dado el incremento en el precio de los productos que comercializa. </w:t>
      </w:r>
    </w:p>
    <w:p w14:paraId="5A82F732" w14:textId="77777777" w:rsidR="00BE0D80" w:rsidRPr="00FD6552" w:rsidRDefault="00BE0D80" w:rsidP="00BE0D80">
      <w:pPr>
        <w:spacing w:after="0"/>
        <w:jc w:val="both"/>
        <w:rPr>
          <w:rFonts w:ascii="Arial" w:hAnsi="Arial" w:cs="Arial"/>
          <w:lang w:eastAsia="es-MX"/>
        </w:rPr>
      </w:pPr>
    </w:p>
    <w:p w14:paraId="6D522EF3" w14:textId="77777777" w:rsidR="00BE0D80" w:rsidRPr="009B6F6C" w:rsidRDefault="00BE0D80" w:rsidP="00BE0D80">
      <w:pPr>
        <w:spacing w:after="0"/>
        <w:jc w:val="both"/>
        <w:rPr>
          <w:rFonts w:ascii="Arial" w:hAnsi="Arial" w:cs="Arial"/>
        </w:rPr>
      </w:pPr>
      <w:r w:rsidRPr="009B6F6C">
        <w:rPr>
          <w:rFonts w:ascii="Arial" w:hAnsi="Arial" w:cs="Arial"/>
        </w:rPr>
        <w:t xml:space="preserve">De esta manera, bajo el marco conceptual de la Prueba SSNIP, el MR generalmente es el conjunto de productos y </w:t>
      </w:r>
      <w:r>
        <w:rPr>
          <w:rFonts w:ascii="Arial" w:hAnsi="Arial" w:cs="Arial"/>
        </w:rPr>
        <w:t>la zona</w:t>
      </w:r>
      <w:r w:rsidRPr="009B6F6C">
        <w:rPr>
          <w:rFonts w:ascii="Arial" w:hAnsi="Arial" w:cs="Arial"/>
        </w:rPr>
        <w:t xml:space="preserve"> geográfica más pequeña en los cuales un monopolista hipotético podría imponer y mantener un incremento en precios significativo.</w:t>
      </w:r>
    </w:p>
    <w:p w14:paraId="04E00ECD" w14:textId="77777777" w:rsidR="00BE0D80" w:rsidRPr="009B6F6C" w:rsidRDefault="00BE0D80" w:rsidP="00BE0D80">
      <w:pPr>
        <w:spacing w:after="0"/>
        <w:jc w:val="both"/>
        <w:rPr>
          <w:rFonts w:ascii="Arial" w:eastAsia="Times New Roman" w:hAnsi="Arial" w:cs="Arial"/>
          <w:bCs/>
          <w:kern w:val="1"/>
          <w:lang w:eastAsia="ar-SA"/>
        </w:rPr>
      </w:pPr>
    </w:p>
    <w:p w14:paraId="22A47EF4" w14:textId="77777777" w:rsidR="00BE0D80" w:rsidRDefault="00BE0D80" w:rsidP="00BE0D80">
      <w:pPr>
        <w:spacing w:after="0"/>
        <w:jc w:val="both"/>
        <w:rPr>
          <w:rFonts w:ascii="Arial" w:hAnsi="Arial" w:cs="Arial"/>
        </w:rPr>
      </w:pPr>
      <w:r w:rsidRPr="009B6F6C">
        <w:rPr>
          <w:rFonts w:ascii="Arial" w:eastAsia="Times New Roman" w:hAnsi="Arial" w:cs="Arial"/>
          <w:bCs/>
          <w:kern w:val="1"/>
          <w:lang w:eastAsia="ar-SA"/>
        </w:rPr>
        <w:t>El Instituto podrá utilizar la Prueba SSNIP, ya sea de manera cualitativa o cuantitativa, dependiendo de la información con la que cuente</w:t>
      </w:r>
      <w:r w:rsidRPr="009B6F6C">
        <w:rPr>
          <w:rFonts w:ascii="Arial" w:hAnsi="Arial" w:cs="Arial"/>
        </w:rPr>
        <w:t>.</w:t>
      </w:r>
    </w:p>
    <w:p w14:paraId="1BA71E20" w14:textId="77777777" w:rsidR="00BE0D80" w:rsidRPr="009B6F6C" w:rsidRDefault="00BE0D80" w:rsidP="00BE0D80">
      <w:pPr>
        <w:spacing w:after="0"/>
        <w:jc w:val="both"/>
        <w:rPr>
          <w:rFonts w:ascii="Arial" w:hAnsi="Arial" w:cs="Arial"/>
        </w:rPr>
      </w:pPr>
    </w:p>
    <w:p w14:paraId="753B700A" w14:textId="77777777" w:rsidR="00BE0D80" w:rsidRPr="009B6F6C" w:rsidRDefault="00BE0D80" w:rsidP="00BE0D80">
      <w:pPr>
        <w:spacing w:after="0"/>
        <w:jc w:val="both"/>
        <w:rPr>
          <w:rFonts w:ascii="Arial" w:hAnsi="Arial" w:cs="Arial"/>
          <w:lang w:eastAsia="es-MX"/>
        </w:rPr>
      </w:pPr>
      <w:r w:rsidRPr="009B6F6C">
        <w:rPr>
          <w:rFonts w:ascii="Arial" w:hAnsi="Arial" w:cs="Arial"/>
        </w:rPr>
        <w:t xml:space="preserve">La implementación de la prueba, </w:t>
      </w:r>
      <w:r w:rsidRPr="009B6F6C">
        <w:rPr>
          <w:rFonts w:ascii="Arial" w:hAnsi="Arial" w:cs="Arial"/>
          <w:lang w:eastAsia="es-MX"/>
        </w:rPr>
        <w:t>en cuanto a la dimensión producto</w:t>
      </w:r>
      <w:r w:rsidRPr="009B6F6C">
        <w:rPr>
          <w:rFonts w:ascii="Arial" w:hAnsi="Arial" w:cs="Arial"/>
        </w:rPr>
        <w:t xml:space="preserve"> </w:t>
      </w:r>
      <w:r w:rsidRPr="009B6F6C">
        <w:rPr>
          <w:rFonts w:ascii="Arial" w:hAnsi="Arial" w:cs="Arial"/>
          <w:lang w:eastAsia="es-MX"/>
        </w:rPr>
        <w:t>del MR, com</w:t>
      </w:r>
      <w:r>
        <w:rPr>
          <w:rFonts w:ascii="Arial" w:hAnsi="Arial" w:cs="Arial"/>
          <w:lang w:eastAsia="es-MX"/>
        </w:rPr>
        <w:t>ienza</w:t>
      </w:r>
      <w:r w:rsidRPr="009B6F6C">
        <w:rPr>
          <w:rFonts w:ascii="Arial" w:hAnsi="Arial" w:cs="Arial"/>
          <w:lang w:eastAsia="es-MX"/>
        </w:rPr>
        <w:t xml:space="preserve"> con el producto focal. Si un monopolista hipotético de este producto no puede aplicar un SSNIP (por ejemplo, </w:t>
      </w:r>
      <w:r w:rsidRPr="009B6F6C">
        <w:rPr>
          <w:rFonts w:ascii="Arial" w:hAnsi="Arial" w:cs="Arial"/>
        </w:rPr>
        <w:t>un aumento estándar de entre 5% y 10% en el precio</w:t>
      </w:r>
      <w:r w:rsidRPr="009B6F6C">
        <w:rPr>
          <w:rFonts w:ascii="Arial" w:hAnsi="Arial" w:cs="Arial"/>
          <w:lang w:eastAsia="es-MX"/>
        </w:rPr>
        <w:t>) de manera rentable porque los clientes encuentran otro producto en cantidad suficiente, entonces ese producto se agrega al MR. El análisis anterior se rep</w:t>
      </w:r>
      <w:r>
        <w:rPr>
          <w:rFonts w:ascii="Arial" w:hAnsi="Arial" w:cs="Arial"/>
          <w:lang w:eastAsia="es-MX"/>
        </w:rPr>
        <w:t>ite</w:t>
      </w:r>
      <w:r w:rsidRPr="009B6F6C">
        <w:rPr>
          <w:rFonts w:ascii="Arial" w:hAnsi="Arial" w:cs="Arial"/>
          <w:lang w:eastAsia="es-MX"/>
        </w:rPr>
        <w:t xml:space="preserve"> para otros productos</w:t>
      </w:r>
      <w:r w:rsidRPr="009B6F6C">
        <w:rPr>
          <w:rFonts w:ascii="Arial" w:hAnsi="Arial" w:cs="Arial"/>
        </w:rPr>
        <w:t xml:space="preserve"> candidatos, los cuales se agregan al MR si </w:t>
      </w:r>
      <w:r w:rsidRPr="009B6F6C">
        <w:rPr>
          <w:rFonts w:ascii="Arial" w:hAnsi="Arial" w:cs="Arial"/>
          <w:lang w:eastAsia="es-MX"/>
        </w:rPr>
        <w:t xml:space="preserve">la imposición del SSNIP por parte del monopolista hipotético no es rentable y no se agregan si el aumento es rentable. </w:t>
      </w:r>
    </w:p>
    <w:p w14:paraId="0446153D" w14:textId="77777777" w:rsidR="00BE0D80" w:rsidRPr="009B6F6C" w:rsidRDefault="00BE0D80" w:rsidP="00BE0D80">
      <w:pPr>
        <w:spacing w:after="0"/>
        <w:jc w:val="both"/>
        <w:rPr>
          <w:rFonts w:ascii="Arial" w:hAnsi="Arial" w:cs="Arial"/>
          <w:lang w:eastAsia="es-MX"/>
        </w:rPr>
      </w:pPr>
    </w:p>
    <w:p w14:paraId="0FA98454" w14:textId="77777777" w:rsidR="00BE0D80" w:rsidRPr="009B6F6C" w:rsidRDefault="00BE0D80" w:rsidP="00BE0D80">
      <w:pPr>
        <w:spacing w:after="0"/>
        <w:jc w:val="both"/>
        <w:rPr>
          <w:rFonts w:ascii="Arial" w:eastAsia="Times New Roman" w:hAnsi="Arial" w:cs="Arial"/>
          <w:kern w:val="1"/>
          <w:lang w:eastAsia="ar-SA"/>
        </w:rPr>
      </w:pPr>
      <w:r w:rsidRPr="009B6F6C">
        <w:rPr>
          <w:rFonts w:ascii="Arial" w:hAnsi="Arial" w:cs="Arial"/>
          <w:lang w:eastAsia="es-MX"/>
        </w:rPr>
        <w:t>En caso de que</w:t>
      </w:r>
      <w:r>
        <w:rPr>
          <w:rFonts w:ascii="Arial" w:hAnsi="Arial" w:cs="Arial"/>
          <w:lang w:eastAsia="es-MX"/>
        </w:rPr>
        <w:t xml:space="preserve"> la información existente</w:t>
      </w:r>
      <w:r w:rsidRPr="009B6F6C">
        <w:rPr>
          <w:rFonts w:ascii="Arial" w:hAnsi="Arial" w:cs="Arial"/>
          <w:lang w:eastAsia="es-MX"/>
        </w:rPr>
        <w:t xml:space="preserve"> no</w:t>
      </w:r>
      <w:r>
        <w:rPr>
          <w:rFonts w:ascii="Arial" w:hAnsi="Arial" w:cs="Arial"/>
          <w:lang w:eastAsia="es-MX"/>
        </w:rPr>
        <w:t xml:space="preserve"> permita llevar a cabo </w:t>
      </w:r>
      <w:r w:rsidRPr="009B6F6C">
        <w:rPr>
          <w:rFonts w:ascii="Arial" w:hAnsi="Arial" w:cs="Arial"/>
          <w:lang w:eastAsia="es-MX"/>
        </w:rPr>
        <w:t xml:space="preserve">la prueba de manera cuantitativa, esta se </w:t>
      </w:r>
      <w:r>
        <w:rPr>
          <w:rFonts w:ascii="Arial" w:hAnsi="Arial" w:cs="Arial"/>
          <w:lang w:eastAsia="es-MX"/>
        </w:rPr>
        <w:t xml:space="preserve">podrá </w:t>
      </w:r>
      <w:r w:rsidRPr="009B6F6C">
        <w:rPr>
          <w:rFonts w:ascii="Arial" w:hAnsi="Arial" w:cs="Arial"/>
          <w:lang w:eastAsia="es-MX"/>
        </w:rPr>
        <w:t xml:space="preserve">realizar de forma cualitativa y funcionar como </w:t>
      </w:r>
      <w:r w:rsidRPr="009B6F6C">
        <w:rPr>
          <w:rFonts w:ascii="Arial" w:eastAsia="Times New Roman" w:hAnsi="Arial" w:cs="Arial"/>
          <w:kern w:val="1"/>
          <w:lang w:eastAsia="ar-SA"/>
        </w:rPr>
        <w:t xml:space="preserve">un marco conceptual para realizar el </w:t>
      </w:r>
      <w:r w:rsidRPr="009B6F6C">
        <w:rPr>
          <w:rFonts w:ascii="Arial" w:eastAsia="Times New Roman" w:hAnsi="Arial" w:cs="Arial"/>
          <w:kern w:val="1"/>
          <w:lang w:eastAsia="ar-SA"/>
        </w:rPr>
        <w:lastRenderedPageBreak/>
        <w:t xml:space="preserve">análisis de sustitución y se </w:t>
      </w:r>
      <w:r>
        <w:rPr>
          <w:rFonts w:ascii="Arial" w:eastAsia="Times New Roman" w:hAnsi="Arial" w:cs="Arial"/>
          <w:kern w:val="1"/>
          <w:lang w:eastAsia="ar-SA"/>
        </w:rPr>
        <w:t xml:space="preserve">podrá </w:t>
      </w:r>
      <w:r w:rsidRPr="009B6F6C">
        <w:rPr>
          <w:rFonts w:ascii="Arial" w:eastAsia="Times New Roman" w:hAnsi="Arial" w:cs="Arial"/>
          <w:kern w:val="1"/>
          <w:lang w:eastAsia="ar-SA"/>
        </w:rPr>
        <w:t>complementar con otras herramientas como las que se describen más adelante.</w:t>
      </w:r>
    </w:p>
    <w:p w14:paraId="754642B5" w14:textId="77777777" w:rsidR="00BE0D80" w:rsidRPr="009B6F6C" w:rsidRDefault="00BE0D80" w:rsidP="00BE0D80">
      <w:pPr>
        <w:spacing w:after="0"/>
        <w:jc w:val="both"/>
        <w:rPr>
          <w:rFonts w:ascii="Arial" w:hAnsi="Arial" w:cs="Arial"/>
        </w:rPr>
      </w:pPr>
    </w:p>
    <w:p w14:paraId="237A22CD" w14:textId="77777777" w:rsidR="00BE0D80" w:rsidRPr="009B6F6C" w:rsidRDefault="00BE0D80" w:rsidP="00BE0D80">
      <w:pPr>
        <w:spacing w:after="0"/>
        <w:jc w:val="both"/>
        <w:rPr>
          <w:rFonts w:ascii="Arial" w:hAnsi="Arial" w:cs="Arial"/>
        </w:rPr>
      </w:pPr>
      <w:r w:rsidRPr="009B6F6C">
        <w:rPr>
          <w:rFonts w:ascii="Arial" w:eastAsia="Times New Roman" w:hAnsi="Arial" w:cs="Arial"/>
          <w:bCs/>
          <w:kern w:val="1"/>
          <w:lang w:eastAsia="ar-SA"/>
        </w:rPr>
        <w:t>P</w:t>
      </w:r>
      <w:r w:rsidRPr="009B6F6C">
        <w:rPr>
          <w:rFonts w:ascii="Arial" w:hAnsi="Arial" w:cs="Arial"/>
        </w:rPr>
        <w:t>ara desarrollar cuantitativamente la prueba cuando los datos necesarios, incluyendo precios, cantidades y márgenes de ganancia, se encuentren disponibles, el Instituto podrá aplicar el análisis de pérdida crítica, que consiste en comparar la pérdida crítica y la pérdida real esperada en la que incurriría una empresa por un aumento de precio, a través de los siguientes pasos:</w:t>
      </w:r>
    </w:p>
    <w:p w14:paraId="1F95CE7E" w14:textId="77777777" w:rsidR="00BE0D80" w:rsidRPr="009B6F6C" w:rsidRDefault="00BE0D80" w:rsidP="00BE0D80">
      <w:pPr>
        <w:spacing w:after="0"/>
        <w:jc w:val="both"/>
        <w:rPr>
          <w:rFonts w:ascii="Arial" w:hAnsi="Arial" w:cs="Arial"/>
        </w:rPr>
      </w:pPr>
    </w:p>
    <w:p w14:paraId="511F7E35" w14:textId="77777777" w:rsidR="00BE0D80" w:rsidRPr="009B6F6C" w:rsidRDefault="00BE0D80" w:rsidP="00BE0D80">
      <w:pPr>
        <w:spacing w:after="0"/>
        <w:jc w:val="both"/>
        <w:rPr>
          <w:rFonts w:ascii="Arial" w:hAnsi="Arial" w:cs="Arial"/>
        </w:rPr>
      </w:pPr>
      <w:r w:rsidRPr="009B6F6C">
        <w:rPr>
          <w:rFonts w:ascii="Arial" w:hAnsi="Arial" w:cs="Arial"/>
        </w:rPr>
        <w:t>Paso 1. Se calcula la pérdida crítica asociada al producto focal (</w:t>
      </w:r>
      <w:bookmarkStart w:id="48" w:name="_Hlk83647931"/>
      <w:r w:rsidRPr="009B6F6C">
        <w:rPr>
          <w:rFonts w:ascii="Arial" w:hAnsi="Arial" w:cs="Arial"/>
        </w:rPr>
        <w:t>pérdida mínima en el volumen de ventas necesaria para que un SSNIP no sea rentable</w:t>
      </w:r>
      <w:bookmarkEnd w:id="48"/>
      <w:r w:rsidRPr="009B6F6C">
        <w:rPr>
          <w:rFonts w:ascii="Arial" w:hAnsi="Arial" w:cs="Arial"/>
        </w:rPr>
        <w:t>), a partir de la siguiente fórmula.</w:t>
      </w:r>
    </w:p>
    <w:p w14:paraId="40398734" w14:textId="77777777" w:rsidR="00BE0D80" w:rsidRPr="009B6F6C" w:rsidRDefault="00BE0D80" w:rsidP="00BE0D80">
      <w:pPr>
        <w:spacing w:after="0"/>
        <w:jc w:val="both"/>
        <w:rPr>
          <w:rFonts w:ascii="Arial" w:hAnsi="Arial" w:cs="Arial"/>
        </w:rPr>
      </w:pPr>
    </w:p>
    <w:p w14:paraId="7A04A875" w14:textId="77777777" w:rsidR="00BE0D80" w:rsidRPr="009B6F6C" w:rsidRDefault="00BE0D80" w:rsidP="00BE0D80">
      <w:pPr>
        <w:pStyle w:val="Textonotapie"/>
        <w:spacing w:line="276" w:lineRule="auto"/>
        <w:jc w:val="both"/>
        <w:rPr>
          <w:rFonts w:ascii="Arial" w:eastAsiaTheme="minorEastAsia" w:hAnsi="Arial" w:cs="Arial"/>
          <w:sz w:val="22"/>
          <w:szCs w:val="22"/>
        </w:rPr>
      </w:pPr>
      <m:oMathPara>
        <m:oMath>
          <m:r>
            <w:rPr>
              <w:rFonts w:ascii="Cambria Math" w:hAnsi="Cambria Math" w:cs="Arial"/>
              <w:sz w:val="22"/>
              <w:szCs w:val="22"/>
            </w:rPr>
            <m:t xml:space="preserve">Pérdida Critica= </m:t>
          </m:r>
          <m:f>
            <m:fPr>
              <m:ctrlPr>
                <w:rPr>
                  <w:rFonts w:ascii="Cambria Math" w:hAnsi="Cambria Math" w:cs="Arial"/>
                  <w:i/>
                  <w:sz w:val="22"/>
                  <w:szCs w:val="22"/>
                </w:rPr>
              </m:ctrlPr>
            </m:fPr>
            <m:num>
              <m:r>
                <w:rPr>
                  <w:rFonts w:ascii="Cambria Math" w:hAnsi="Cambria Math" w:cs="Arial"/>
                  <w:sz w:val="22"/>
                  <w:szCs w:val="22"/>
                </w:rPr>
                <m:t>100(∆%Precio)</m:t>
              </m:r>
            </m:num>
            <m:den>
              <m:r>
                <w:rPr>
                  <w:rFonts w:ascii="Cambria Math" w:hAnsi="Cambria Math" w:cs="Arial"/>
                  <w:sz w:val="22"/>
                  <w:szCs w:val="22"/>
                </w:rPr>
                <m:t>∆%Precio+%Margen inicial</m:t>
              </m:r>
            </m:den>
          </m:f>
        </m:oMath>
      </m:oMathPara>
    </w:p>
    <w:p w14:paraId="1FBF9727" w14:textId="77777777" w:rsidR="00BE0D80" w:rsidRPr="009B6F6C" w:rsidRDefault="00BE0D80" w:rsidP="00BE0D80">
      <w:pPr>
        <w:pStyle w:val="Textonotapie"/>
        <w:spacing w:line="276" w:lineRule="auto"/>
        <w:ind w:left="708" w:firstLine="708"/>
        <w:jc w:val="both"/>
        <w:rPr>
          <w:rFonts w:ascii="Arial" w:hAnsi="Arial" w:cs="Arial"/>
          <w:sz w:val="22"/>
          <w:szCs w:val="22"/>
        </w:rPr>
      </w:pPr>
      <w:r w:rsidRPr="009B6F6C">
        <w:rPr>
          <w:rFonts w:ascii="Arial" w:hAnsi="Arial" w:cs="Arial"/>
          <w:sz w:val="22"/>
          <w:szCs w:val="22"/>
        </w:rPr>
        <w:t xml:space="preserve">Donde: </w:t>
      </w:r>
    </w:p>
    <w:p w14:paraId="14167662" w14:textId="77777777" w:rsidR="00BE0D80" w:rsidRPr="009B6F6C" w:rsidRDefault="00BE0D80" w:rsidP="00BE0D80">
      <w:pPr>
        <w:pStyle w:val="Textonotapie"/>
        <w:spacing w:line="276" w:lineRule="auto"/>
        <w:ind w:left="708" w:firstLine="708"/>
        <w:jc w:val="both"/>
        <w:rPr>
          <w:rFonts w:ascii="Arial" w:hAnsi="Arial" w:cs="Arial"/>
          <w:sz w:val="22"/>
          <w:szCs w:val="22"/>
        </w:rPr>
      </w:pPr>
      <w:r w:rsidRPr="009B6F6C">
        <w:rPr>
          <w:rFonts w:ascii="Arial" w:hAnsi="Arial" w:cs="Arial"/>
          <w:sz w:val="22"/>
          <w:szCs w:val="22"/>
        </w:rPr>
        <w:t>∆%Precio: es el incremento porcentual que se aplicaría al precio.</w:t>
      </w:r>
    </w:p>
    <w:p w14:paraId="3CC83E75" w14:textId="77777777" w:rsidR="00BE0D80" w:rsidRPr="009B6F6C" w:rsidRDefault="00BE0D80" w:rsidP="00BE0D80">
      <w:pPr>
        <w:pStyle w:val="Textonotapie"/>
        <w:spacing w:line="276" w:lineRule="auto"/>
        <w:ind w:left="708" w:firstLine="708"/>
        <w:jc w:val="both"/>
        <w:rPr>
          <w:rFonts w:ascii="Arial" w:hAnsi="Arial" w:cs="Arial"/>
          <w:sz w:val="22"/>
          <w:szCs w:val="22"/>
        </w:rPr>
      </w:pPr>
      <w:r w:rsidRPr="009B6F6C">
        <w:rPr>
          <w:rFonts w:ascii="Arial" w:hAnsi="Arial" w:cs="Arial"/>
          <w:sz w:val="22"/>
          <w:szCs w:val="22"/>
        </w:rPr>
        <w:t>% Margen inicial: es el margen de ganancia implícito en el precio inicial.</w:t>
      </w:r>
    </w:p>
    <w:p w14:paraId="6910D276" w14:textId="77777777" w:rsidR="00BE0D80" w:rsidRPr="009B6F6C" w:rsidRDefault="00BE0D80" w:rsidP="00BE0D80">
      <w:pPr>
        <w:spacing w:after="0"/>
        <w:jc w:val="both"/>
        <w:rPr>
          <w:rFonts w:ascii="Arial" w:hAnsi="Arial" w:cs="Arial"/>
        </w:rPr>
      </w:pPr>
    </w:p>
    <w:p w14:paraId="4566EF67" w14:textId="77777777" w:rsidR="00BE0D80" w:rsidRPr="009B6F6C" w:rsidRDefault="00BE0D80" w:rsidP="00BE0D80">
      <w:pPr>
        <w:spacing w:after="0"/>
        <w:jc w:val="both"/>
        <w:rPr>
          <w:rFonts w:ascii="Arial" w:hAnsi="Arial" w:cs="Arial"/>
        </w:rPr>
      </w:pPr>
      <w:r w:rsidRPr="009B6F6C">
        <w:rPr>
          <w:rFonts w:ascii="Arial" w:hAnsi="Arial" w:cs="Arial"/>
        </w:rPr>
        <w:t xml:space="preserve">Paso 2. Se estima la pérdida real esperada en la que incurriría un monopolista hipotético que impusiera un SSNIP, tomando en cuenta, entre otros factores, la elasticidad precio propio del producto focal, es decir, ¿qué proporción de las ventas se perdería ante un incremento en el precio? En este caso, una mayor elasticidad precio de la demanda (una mayor reacción por parte de los consumidores), implicaría una mayor pérdida de ventas ante un incremento en el precio y, por lo tanto, una mayor pérdida real. </w:t>
      </w:r>
    </w:p>
    <w:p w14:paraId="18FB29E6" w14:textId="77777777" w:rsidR="00BE0D80" w:rsidRPr="009B6F6C" w:rsidRDefault="00BE0D80" w:rsidP="00BE0D80">
      <w:pPr>
        <w:spacing w:after="0"/>
        <w:jc w:val="both"/>
        <w:rPr>
          <w:rFonts w:ascii="Arial" w:hAnsi="Arial" w:cs="Arial"/>
        </w:rPr>
      </w:pPr>
    </w:p>
    <w:p w14:paraId="76830A1C" w14:textId="77777777" w:rsidR="00BE0D80" w:rsidRPr="009B6F6C" w:rsidRDefault="00BE0D80" w:rsidP="00BE0D80">
      <w:pPr>
        <w:spacing w:after="0"/>
        <w:jc w:val="both"/>
        <w:rPr>
          <w:rFonts w:ascii="Arial" w:hAnsi="Arial" w:cs="Arial"/>
        </w:rPr>
      </w:pPr>
      <w:r w:rsidRPr="009B6F6C">
        <w:rPr>
          <w:rFonts w:ascii="Arial" w:hAnsi="Arial" w:cs="Arial"/>
        </w:rPr>
        <w:t xml:space="preserve">Paso 3. Se compara la pérdida real esperada con la pérdida crítica. Si la pérdida real esperada es mayor que la pérdida crítica, el SSNIP no sería rentable, lo que implica que el conjunto de productos analizado debe expandirse para incluir más productos candidatos. </w:t>
      </w:r>
    </w:p>
    <w:p w14:paraId="1C27BECC" w14:textId="77777777" w:rsidR="00BE0D80" w:rsidRPr="009B6F6C" w:rsidRDefault="00BE0D80" w:rsidP="00BE0D80">
      <w:pPr>
        <w:spacing w:after="0"/>
        <w:jc w:val="both"/>
        <w:rPr>
          <w:rFonts w:ascii="Arial" w:hAnsi="Arial" w:cs="Arial"/>
        </w:rPr>
      </w:pPr>
    </w:p>
    <w:p w14:paraId="3BCF5DDE" w14:textId="77777777" w:rsidR="00BE0D80" w:rsidRPr="009B6F6C" w:rsidRDefault="00BE0D80" w:rsidP="00BE0D80">
      <w:pPr>
        <w:spacing w:after="0"/>
        <w:jc w:val="both"/>
        <w:rPr>
          <w:rFonts w:ascii="Arial" w:hAnsi="Arial" w:cs="Arial"/>
        </w:rPr>
      </w:pPr>
      <w:r w:rsidRPr="009B6F6C">
        <w:rPr>
          <w:rFonts w:ascii="Arial" w:hAnsi="Arial" w:cs="Arial"/>
        </w:rPr>
        <w:t>Este ejercicio se repite hasta que la pérdida real esperada se encuentre por debajo de la pérdida crítica.</w:t>
      </w:r>
    </w:p>
    <w:p w14:paraId="1D50EB9C" w14:textId="77777777" w:rsidR="00BE0D80" w:rsidRPr="009B6F6C" w:rsidRDefault="00BE0D80" w:rsidP="00BE0D80">
      <w:pPr>
        <w:tabs>
          <w:tab w:val="left" w:pos="5929"/>
        </w:tabs>
        <w:spacing w:after="0"/>
        <w:jc w:val="both"/>
        <w:rPr>
          <w:rFonts w:ascii="Arial" w:hAnsi="Arial" w:cs="Arial"/>
        </w:rPr>
      </w:pPr>
    </w:p>
    <w:p w14:paraId="446B90F8" w14:textId="77777777" w:rsidR="00BE0D80" w:rsidRPr="009B6F6C" w:rsidRDefault="00BE0D80" w:rsidP="00BE0D80">
      <w:pPr>
        <w:tabs>
          <w:tab w:val="left" w:pos="5929"/>
        </w:tabs>
        <w:spacing w:after="0"/>
        <w:jc w:val="both"/>
        <w:rPr>
          <w:rFonts w:ascii="Arial" w:hAnsi="Arial" w:cs="Arial"/>
        </w:rPr>
      </w:pPr>
      <w:r w:rsidRPr="009B6F6C">
        <w:rPr>
          <w:rFonts w:ascii="Arial" w:hAnsi="Arial" w:cs="Arial"/>
        </w:rPr>
        <w:t xml:space="preserve">Por otra parte, en la aplicación de la Prueba SSNIP, tanto de manera cualitativa como cuantitativa, se </w:t>
      </w:r>
      <w:r>
        <w:rPr>
          <w:rFonts w:ascii="Arial" w:hAnsi="Arial" w:cs="Arial"/>
        </w:rPr>
        <w:t xml:space="preserve">podrá </w:t>
      </w:r>
      <w:r w:rsidRPr="009B6F6C">
        <w:rPr>
          <w:rFonts w:ascii="Arial" w:hAnsi="Arial" w:cs="Arial"/>
        </w:rPr>
        <w:t xml:space="preserve">tomar en consideración, como parte de la evaluación integral para determinar el MR, que hay casos en los que es posible que </w:t>
      </w:r>
      <w:r>
        <w:rPr>
          <w:rFonts w:ascii="Arial" w:hAnsi="Arial" w:cs="Arial"/>
        </w:rPr>
        <w:t xml:space="preserve">los precios u otras condiciones de mercado hayan sido determinados en ausencia de un grado suficiente de competencia o en presencia de </w:t>
      </w:r>
      <w:r w:rsidRPr="009B6F6C">
        <w:rPr>
          <w:rFonts w:ascii="Arial" w:hAnsi="Arial" w:cs="Arial"/>
        </w:rPr>
        <w:t xml:space="preserve">prácticas anticompetitivas </w:t>
      </w:r>
      <w:r>
        <w:rPr>
          <w:rFonts w:ascii="Arial" w:hAnsi="Arial" w:cs="Arial"/>
        </w:rPr>
        <w:t xml:space="preserve">u </w:t>
      </w:r>
      <w:r w:rsidRPr="009B6F6C">
        <w:rPr>
          <w:rFonts w:ascii="Arial" w:hAnsi="Arial" w:cs="Arial"/>
        </w:rPr>
        <w:t>otro</w:t>
      </w:r>
      <w:r>
        <w:rPr>
          <w:rFonts w:ascii="Arial" w:hAnsi="Arial" w:cs="Arial"/>
        </w:rPr>
        <w:t>s</w:t>
      </w:r>
      <w:r w:rsidRPr="009B6F6C">
        <w:rPr>
          <w:rFonts w:ascii="Arial" w:hAnsi="Arial" w:cs="Arial"/>
        </w:rPr>
        <w:t xml:space="preserve"> factor</w:t>
      </w:r>
      <w:r>
        <w:rPr>
          <w:rFonts w:ascii="Arial" w:hAnsi="Arial" w:cs="Arial"/>
        </w:rPr>
        <w:t>es que, al</w:t>
      </w:r>
      <w:r w:rsidRPr="009B6F6C">
        <w:rPr>
          <w:rFonts w:ascii="Arial" w:hAnsi="Arial" w:cs="Arial"/>
        </w:rPr>
        <w:t xml:space="preserve"> distorsion</w:t>
      </w:r>
      <w:r>
        <w:rPr>
          <w:rFonts w:ascii="Arial" w:hAnsi="Arial" w:cs="Arial"/>
        </w:rPr>
        <w:t>ar</w:t>
      </w:r>
      <w:r w:rsidRPr="009B6F6C">
        <w:rPr>
          <w:rFonts w:ascii="Arial" w:hAnsi="Arial" w:cs="Arial"/>
        </w:rPr>
        <w:t xml:space="preserve"> los patrones de sustitución </w:t>
      </w:r>
      <w:r>
        <w:rPr>
          <w:rFonts w:ascii="Arial" w:hAnsi="Arial" w:cs="Arial"/>
        </w:rPr>
        <w:t xml:space="preserve">observados, implican que estos </w:t>
      </w:r>
      <w:r w:rsidRPr="009B6F6C">
        <w:rPr>
          <w:rFonts w:ascii="Arial" w:hAnsi="Arial" w:cs="Arial"/>
        </w:rPr>
        <w:t>podrían no ser una buena aproximación de lo que ocurriría en un mercado competitivo.</w:t>
      </w:r>
      <w:r>
        <w:rPr>
          <w:rStyle w:val="Refdenotaalpie"/>
          <w:rFonts w:ascii="Arial" w:hAnsi="Arial" w:cs="Arial"/>
        </w:rPr>
        <w:footnoteReference w:id="39"/>
      </w:r>
    </w:p>
    <w:p w14:paraId="6DA55701" w14:textId="77777777" w:rsidR="00BE0D80" w:rsidRPr="009B6F6C" w:rsidRDefault="00BE0D80" w:rsidP="00BE0D80">
      <w:pPr>
        <w:tabs>
          <w:tab w:val="left" w:pos="5929"/>
        </w:tabs>
        <w:spacing w:after="0"/>
        <w:jc w:val="both"/>
        <w:rPr>
          <w:rFonts w:ascii="Arial" w:hAnsi="Arial" w:cs="Arial"/>
        </w:rPr>
      </w:pPr>
    </w:p>
    <w:p w14:paraId="7B07A431" w14:textId="77777777" w:rsidR="00BE0D80" w:rsidRPr="009B6F6C" w:rsidRDefault="00BE0D80" w:rsidP="00BE0D80">
      <w:pPr>
        <w:spacing w:after="0"/>
        <w:jc w:val="both"/>
        <w:rPr>
          <w:rFonts w:ascii="Arial" w:hAnsi="Arial" w:cs="Arial"/>
        </w:rPr>
      </w:pPr>
      <w:r w:rsidRPr="009B6F6C">
        <w:rPr>
          <w:rFonts w:ascii="Arial" w:hAnsi="Arial" w:cs="Arial"/>
          <w:lang w:eastAsia="es-MX"/>
        </w:rPr>
        <w:t>En esos casos</w:t>
      </w:r>
      <w:r w:rsidRPr="009B6F6C">
        <w:rPr>
          <w:rFonts w:ascii="Arial" w:hAnsi="Arial" w:cs="Arial"/>
        </w:rPr>
        <w:t xml:space="preserve">, se </w:t>
      </w:r>
      <w:r>
        <w:rPr>
          <w:rFonts w:ascii="Arial" w:hAnsi="Arial" w:cs="Arial"/>
        </w:rPr>
        <w:t xml:space="preserve">podrá </w:t>
      </w:r>
      <w:r w:rsidRPr="009B6F6C">
        <w:rPr>
          <w:rFonts w:ascii="Arial" w:hAnsi="Arial" w:cs="Arial"/>
        </w:rPr>
        <w:t>consider</w:t>
      </w:r>
      <w:r>
        <w:rPr>
          <w:rFonts w:ascii="Arial" w:hAnsi="Arial" w:cs="Arial"/>
        </w:rPr>
        <w:t>ar</w:t>
      </w:r>
      <w:r w:rsidRPr="009B6F6C">
        <w:rPr>
          <w:rFonts w:ascii="Arial" w:hAnsi="Arial" w:cs="Arial"/>
        </w:rPr>
        <w:t xml:space="preserve"> la posibilidad de que los precios de referencia se ubiquen por encima del nivel de precios de un mercado en competencia, por lo que existe el riesgo de </w:t>
      </w:r>
      <w:r w:rsidRPr="009B6F6C">
        <w:rPr>
          <w:rFonts w:ascii="Arial" w:hAnsi="Arial" w:cs="Arial"/>
          <w:lang w:eastAsia="es-MX"/>
        </w:rPr>
        <w:t>definir mercados demasiado amplios (es decir, se podrían</w:t>
      </w:r>
      <w:r w:rsidRPr="009B6F6C">
        <w:rPr>
          <w:rFonts w:ascii="Arial" w:hAnsi="Arial" w:cs="Arial"/>
        </w:rPr>
        <w:t xml:space="preserve"> encontrar indicios de sustitución hacia productos que los consumidores no considerarían sustitutos cercanos en un entorno más competitivo).</w:t>
      </w:r>
      <w:r w:rsidRPr="009B6F6C">
        <w:rPr>
          <w:rStyle w:val="Refdenotaalpie"/>
          <w:rFonts w:ascii="Arial" w:hAnsi="Arial" w:cs="Arial"/>
          <w:lang w:eastAsia="es-MX"/>
        </w:rPr>
        <w:t xml:space="preserve"> </w:t>
      </w:r>
      <w:r w:rsidRPr="009B6F6C">
        <w:rPr>
          <w:rFonts w:ascii="Arial" w:hAnsi="Arial" w:cs="Arial"/>
          <w:lang w:eastAsia="es-MX"/>
        </w:rPr>
        <w:t xml:space="preserve"> Por el contrario, cuando el caso involucre</w:t>
      </w:r>
      <w:r w:rsidRPr="009B6F6C">
        <w:rPr>
          <w:rFonts w:ascii="Arial" w:hAnsi="Arial" w:cs="Arial"/>
        </w:rPr>
        <w:t xml:space="preserve"> precios de referencia que se ubican por debajo de costos (por ejemplo, cuando los productos analizados están subsidiados), existe el riesgo de definir un MR demasiado estrecho. </w:t>
      </w:r>
    </w:p>
    <w:p w14:paraId="6F32DC1E" w14:textId="77777777" w:rsidR="00BE0D80" w:rsidRPr="00965BE9" w:rsidRDefault="00BE0D80" w:rsidP="00BE0D80">
      <w:pPr>
        <w:tabs>
          <w:tab w:val="left" w:pos="5929"/>
        </w:tabs>
        <w:spacing w:after="0"/>
        <w:jc w:val="both"/>
        <w:rPr>
          <w:rFonts w:ascii="Arial" w:hAnsi="Arial" w:cs="Arial"/>
          <w:highlight w:val="cyan"/>
        </w:rPr>
      </w:pPr>
    </w:p>
    <w:p w14:paraId="0D334F88" w14:textId="77777777" w:rsidR="00BE0D80" w:rsidRPr="009B6F6C" w:rsidRDefault="00BE0D80" w:rsidP="00BE0D80">
      <w:pPr>
        <w:spacing w:after="0"/>
        <w:jc w:val="both"/>
        <w:rPr>
          <w:rFonts w:ascii="Arial" w:hAnsi="Arial" w:cs="Arial"/>
        </w:rPr>
      </w:pPr>
      <w:r w:rsidRPr="009B6F6C">
        <w:rPr>
          <w:rFonts w:ascii="Arial" w:hAnsi="Arial" w:cs="Arial"/>
        </w:rPr>
        <w:t xml:space="preserve">Finalmente, con el objetivo de no dejar fuera del MR a productos que son sustitutos, la </w:t>
      </w:r>
      <w:r>
        <w:rPr>
          <w:rFonts w:ascii="Arial" w:hAnsi="Arial" w:cs="Arial"/>
        </w:rPr>
        <w:t>P</w:t>
      </w:r>
      <w:r w:rsidRPr="009B6F6C">
        <w:rPr>
          <w:rFonts w:ascii="Arial" w:hAnsi="Arial" w:cs="Arial"/>
        </w:rPr>
        <w:t>rueba SSNIP se centrará en el análisis de los consumidores marginales</w:t>
      </w:r>
      <w:r w:rsidRPr="009B6F6C">
        <w:rPr>
          <w:rStyle w:val="Refdenotaalpie"/>
          <w:rFonts w:ascii="Arial" w:hAnsi="Arial" w:cs="Arial"/>
        </w:rPr>
        <w:footnoteReference w:id="40"/>
      </w:r>
      <w:r w:rsidRPr="009B6F6C">
        <w:rPr>
          <w:rFonts w:ascii="Arial" w:hAnsi="Arial" w:cs="Arial"/>
        </w:rPr>
        <w:t>, ya que para evitar que un SSNIP sea rentable no es necesario que todos o incluso la mayoría de los consumidores estén dispuestos a cambiarse; basta con que esté dispuesto a hacerlo un grupo suficientemente grande de ellos.</w:t>
      </w:r>
    </w:p>
    <w:p w14:paraId="047EC5CA" w14:textId="77777777" w:rsidR="00BE0D80" w:rsidRPr="009B6F6C" w:rsidRDefault="00BE0D80" w:rsidP="00BE0D80">
      <w:pPr>
        <w:spacing w:after="0"/>
        <w:jc w:val="both"/>
        <w:rPr>
          <w:rFonts w:ascii="Arial" w:hAnsi="Arial" w:cs="Arial"/>
        </w:rPr>
      </w:pPr>
    </w:p>
    <w:p w14:paraId="0E767E66" w14:textId="77777777" w:rsidR="00BE0D80" w:rsidRPr="009B6F6C" w:rsidRDefault="00BE0D80" w:rsidP="00BE0D80">
      <w:pPr>
        <w:numPr>
          <w:ilvl w:val="0"/>
          <w:numId w:val="23"/>
        </w:numPr>
        <w:spacing w:after="0"/>
        <w:ind w:hanging="578"/>
        <w:jc w:val="both"/>
        <w:rPr>
          <w:rFonts w:ascii="Arial" w:hAnsi="Arial" w:cs="Arial"/>
          <w:b/>
        </w:rPr>
      </w:pPr>
      <w:r w:rsidRPr="009B6F6C">
        <w:rPr>
          <w:rFonts w:ascii="Arial" w:hAnsi="Arial" w:cs="Arial"/>
          <w:b/>
        </w:rPr>
        <w:t>Información de encuestas o estudios sobre las preferencias de los consumidores y su disposición a sustituir los productos</w:t>
      </w:r>
      <w:r>
        <w:rPr>
          <w:rFonts w:ascii="Arial" w:hAnsi="Arial" w:cs="Arial"/>
          <w:b/>
        </w:rPr>
        <w:t xml:space="preserve"> analizados</w:t>
      </w:r>
    </w:p>
    <w:p w14:paraId="72DBC261" w14:textId="77777777" w:rsidR="00BE0D80" w:rsidRPr="009B6F6C" w:rsidRDefault="00BE0D80" w:rsidP="00BE0D80">
      <w:pPr>
        <w:spacing w:after="0"/>
        <w:jc w:val="both"/>
        <w:rPr>
          <w:rFonts w:ascii="Arial" w:hAnsi="Arial" w:cs="Arial"/>
        </w:rPr>
      </w:pPr>
    </w:p>
    <w:p w14:paraId="73BCED55" w14:textId="77777777" w:rsidR="00BE0D80" w:rsidRPr="009B6F6C" w:rsidRDefault="00BE0D80" w:rsidP="00BE0D80">
      <w:pPr>
        <w:spacing w:after="0"/>
        <w:jc w:val="both"/>
        <w:rPr>
          <w:rFonts w:ascii="Arial" w:hAnsi="Arial" w:cs="Arial"/>
        </w:rPr>
      </w:pPr>
      <w:r w:rsidRPr="009B6F6C">
        <w:rPr>
          <w:rFonts w:ascii="Arial" w:hAnsi="Arial" w:cs="Arial"/>
        </w:rPr>
        <w:t>El Instituto podrá usar encuestas y estudios para obtener información sobre los hábitos de consumo y preferencias de los consumidores, así como encuestas y estudios diseñados específicamente para evaluar la disposición de los consumidores para sustituir distintos productos ante un SSNIP.</w:t>
      </w:r>
    </w:p>
    <w:p w14:paraId="31E9DDE0" w14:textId="77777777" w:rsidR="00BE0D80" w:rsidRPr="009B6F6C" w:rsidRDefault="00BE0D80" w:rsidP="00BE0D80">
      <w:pPr>
        <w:spacing w:after="0"/>
        <w:jc w:val="both"/>
        <w:rPr>
          <w:rFonts w:ascii="Arial" w:hAnsi="Arial" w:cs="Arial"/>
        </w:rPr>
      </w:pPr>
      <w:r w:rsidRPr="009B6F6C">
        <w:rPr>
          <w:rFonts w:ascii="Arial" w:hAnsi="Arial" w:cs="Arial"/>
        </w:rPr>
        <w:t xml:space="preserve"> </w:t>
      </w:r>
    </w:p>
    <w:p w14:paraId="73F1A7EC" w14:textId="77777777" w:rsidR="00BE0D80" w:rsidRPr="009B6F6C" w:rsidRDefault="00BE0D80" w:rsidP="00BE0D80">
      <w:pPr>
        <w:spacing w:after="0"/>
        <w:jc w:val="both"/>
        <w:rPr>
          <w:rFonts w:ascii="Arial" w:hAnsi="Arial" w:cs="Arial"/>
        </w:rPr>
      </w:pPr>
      <w:r w:rsidRPr="009B6F6C">
        <w:rPr>
          <w:rFonts w:ascii="Arial" w:hAnsi="Arial" w:cs="Arial"/>
        </w:rPr>
        <w:t>La información de estas encuestas y estudios es útil para conocer el comportamiento y las preferencias ante las alternativas que tienen disponibles los consumidores. Por ejemplo, al delimitar el MR en su dimensión producto, en el expediente AI/DC-002-2019,</w:t>
      </w:r>
      <w:r w:rsidRPr="009B6F6C">
        <w:rPr>
          <w:rStyle w:val="Refdenotaalpie"/>
          <w:rFonts w:ascii="Arial" w:hAnsi="Arial" w:cs="Arial"/>
        </w:rPr>
        <w:footnoteReference w:id="41"/>
      </w:r>
      <w:r w:rsidRPr="009B6F6C">
        <w:rPr>
          <w:rFonts w:ascii="Arial" w:hAnsi="Arial" w:cs="Arial"/>
        </w:rPr>
        <w:t xml:space="preserve"> el Instituto consideró, entre otros elementos, encuestas que revelaban los patrones de consumo de los usuarios del STAR, de donde se observó que: i) 60.4% de los usuarios de Servicios OTT de contenido audiovisual también tienen contratado el STAR y ii) los usuarios adquieren el STAR en distintas modalidades de empaquetamiento sin que exista un patrón específico de contratación, además de que una proporción importante de usuarios contratan los servicios de manera individual y construyen paquetes sintéticos.</w:t>
      </w:r>
    </w:p>
    <w:p w14:paraId="18C408DD" w14:textId="77777777" w:rsidR="00BE0D80" w:rsidRPr="009B6F6C" w:rsidRDefault="00BE0D80" w:rsidP="00BE0D80">
      <w:pPr>
        <w:spacing w:after="0"/>
        <w:jc w:val="both"/>
        <w:rPr>
          <w:rFonts w:ascii="Arial" w:hAnsi="Arial" w:cs="Arial"/>
        </w:rPr>
      </w:pPr>
    </w:p>
    <w:p w14:paraId="3394D124" w14:textId="77777777" w:rsidR="00BE0D80" w:rsidRPr="009B6F6C" w:rsidRDefault="00BE0D80" w:rsidP="00BE0D80">
      <w:pPr>
        <w:spacing w:after="0"/>
        <w:jc w:val="both"/>
        <w:rPr>
          <w:rFonts w:ascii="Arial" w:hAnsi="Arial" w:cs="Arial"/>
        </w:rPr>
      </w:pPr>
      <w:r w:rsidRPr="009B6F6C">
        <w:rPr>
          <w:rFonts w:ascii="Arial" w:hAnsi="Arial" w:cs="Arial"/>
        </w:rPr>
        <w:lastRenderedPageBreak/>
        <w:t xml:space="preserve">De acuerdo a lo anterior, la información de encuestas o estudios </w:t>
      </w:r>
      <w:r>
        <w:rPr>
          <w:rFonts w:ascii="Arial" w:hAnsi="Arial" w:cs="Arial"/>
        </w:rPr>
        <w:t>es</w:t>
      </w:r>
      <w:r w:rsidRPr="009B6F6C">
        <w:rPr>
          <w:rFonts w:ascii="Arial" w:hAnsi="Arial" w:cs="Arial"/>
        </w:rPr>
        <w:t xml:space="preserve"> </w:t>
      </w:r>
      <w:r>
        <w:rPr>
          <w:rFonts w:ascii="Arial" w:hAnsi="Arial" w:cs="Arial"/>
        </w:rPr>
        <w:t>ú</w:t>
      </w:r>
      <w:r w:rsidRPr="009B6F6C">
        <w:rPr>
          <w:rFonts w:ascii="Arial" w:hAnsi="Arial" w:cs="Arial"/>
        </w:rPr>
        <w:t>til para evaluar la sensibilidad y reacciones probables de los usuarios ante cambios en los precios u otras variables de competencia como la calidad.</w:t>
      </w:r>
    </w:p>
    <w:p w14:paraId="6F281729" w14:textId="77777777" w:rsidR="00BE0D80" w:rsidRPr="009B6F6C" w:rsidRDefault="00BE0D80" w:rsidP="00BE0D80">
      <w:pPr>
        <w:spacing w:after="0"/>
        <w:jc w:val="both"/>
        <w:rPr>
          <w:rFonts w:ascii="Arial" w:hAnsi="Arial" w:cs="Arial"/>
        </w:rPr>
      </w:pPr>
    </w:p>
    <w:p w14:paraId="700D6BDD" w14:textId="77777777" w:rsidR="00BE0D80" w:rsidRPr="009B6F6C" w:rsidRDefault="00BE0D80" w:rsidP="00BE0D80">
      <w:pPr>
        <w:keepNext/>
        <w:numPr>
          <w:ilvl w:val="0"/>
          <w:numId w:val="23"/>
        </w:numPr>
        <w:spacing w:after="0"/>
        <w:ind w:hanging="578"/>
        <w:jc w:val="both"/>
        <w:rPr>
          <w:rFonts w:ascii="Arial" w:hAnsi="Arial" w:cs="Arial"/>
          <w:b/>
        </w:rPr>
      </w:pPr>
      <w:r w:rsidRPr="009B6F6C">
        <w:rPr>
          <w:rFonts w:ascii="Arial" w:hAnsi="Arial" w:cs="Arial"/>
          <w:b/>
        </w:rPr>
        <w:t>Pruebas cuantitativas, por ejemplo, pruebas sobre la elasticidad de la demanda, evolución de pre</w:t>
      </w:r>
      <w:r>
        <w:rPr>
          <w:rFonts w:ascii="Arial" w:hAnsi="Arial" w:cs="Arial"/>
          <w:b/>
        </w:rPr>
        <w:t>cios y relaciones de causalidad</w:t>
      </w:r>
    </w:p>
    <w:p w14:paraId="4DEFF3BF" w14:textId="77777777" w:rsidR="00BE0D80" w:rsidRPr="009B6F6C" w:rsidRDefault="00BE0D80" w:rsidP="00BE0D80">
      <w:pPr>
        <w:keepNext/>
        <w:spacing w:after="0"/>
        <w:jc w:val="both"/>
        <w:rPr>
          <w:rFonts w:ascii="Arial" w:hAnsi="Arial" w:cs="Arial"/>
        </w:rPr>
      </w:pPr>
    </w:p>
    <w:p w14:paraId="0966C6F9" w14:textId="77777777" w:rsidR="00BE0D80" w:rsidRPr="009B6F6C" w:rsidRDefault="00BE0D80" w:rsidP="00BE0D80">
      <w:pPr>
        <w:spacing w:after="0"/>
        <w:jc w:val="both"/>
        <w:rPr>
          <w:rFonts w:ascii="Arial" w:hAnsi="Arial" w:cs="Arial"/>
        </w:rPr>
      </w:pPr>
      <w:r w:rsidRPr="009B6F6C">
        <w:rPr>
          <w:rFonts w:ascii="Arial" w:hAnsi="Arial" w:cs="Arial"/>
        </w:rPr>
        <w:t>Cuando el Instituto cuente con los datos suficientes para la aplicación de técnicas estadísticas o econométricas para estimar elasticidades de demanda, realizar análisis de correlación o causalidad, o evaluar los resultados de experimentos naturales, entre otros, el Instituto podrá utilizar estas herramientas como parte del análisis integral para determinar el MR, para apoyar la evidencia cualitativa de la que disponga.</w:t>
      </w:r>
    </w:p>
    <w:p w14:paraId="46EBF71A" w14:textId="77777777" w:rsidR="00BE0D80" w:rsidRPr="009B6F6C" w:rsidRDefault="00BE0D80" w:rsidP="00BE0D80">
      <w:pPr>
        <w:spacing w:after="0"/>
        <w:jc w:val="both"/>
        <w:rPr>
          <w:rFonts w:ascii="Arial" w:hAnsi="Arial" w:cs="Arial"/>
        </w:rPr>
      </w:pPr>
    </w:p>
    <w:p w14:paraId="65738692" w14:textId="6FF18746" w:rsidR="00BE0D80" w:rsidRPr="009B6F6C" w:rsidRDefault="00BE0D80" w:rsidP="00BE0D80">
      <w:pPr>
        <w:spacing w:after="0"/>
        <w:jc w:val="both"/>
        <w:rPr>
          <w:rFonts w:ascii="Arial" w:hAnsi="Arial" w:cs="Arial"/>
        </w:rPr>
      </w:pPr>
      <w:r w:rsidRPr="009B6F6C">
        <w:rPr>
          <w:rFonts w:ascii="Arial" w:hAnsi="Arial" w:cs="Arial"/>
        </w:rPr>
        <w:t xml:space="preserve">Por ejemplo, las elasticidades de la demanda son medidas cuantitativas del grado de sensibilidad o respuesta de la cantidad que se demanda de un producto ante un cambio en su propio precio (elasticidad precio de la demanda) o ante un cambio en el precio de otro </w:t>
      </w:r>
      <w:r>
        <w:rPr>
          <w:rFonts w:ascii="Arial" w:hAnsi="Arial" w:cs="Arial"/>
        </w:rPr>
        <w:t>producto</w:t>
      </w:r>
      <w:r w:rsidRPr="009B6F6C">
        <w:rPr>
          <w:rFonts w:ascii="Arial" w:hAnsi="Arial" w:cs="Arial"/>
        </w:rPr>
        <w:t xml:space="preserve"> (elasticidad precio cruzada)</w:t>
      </w:r>
      <w:r>
        <w:rPr>
          <w:rFonts w:ascii="Arial" w:hAnsi="Arial" w:cs="Arial"/>
        </w:rPr>
        <w:t>. A mayor abundamiento,</w:t>
      </w:r>
      <w:r w:rsidRPr="009B6F6C">
        <w:rPr>
          <w:rFonts w:ascii="Arial" w:hAnsi="Arial" w:cs="Arial"/>
        </w:rPr>
        <w:t xml:space="preserve"> cuando se observa un valor absoluto alto en la elasticidad precio de la demanda, significa que pequeños incrementos en el precio implican una caída importante de la cantidad demandada, lo cual puede deberse a la existencia de productos sustitutos</w:t>
      </w:r>
      <w:r>
        <w:rPr>
          <w:rFonts w:ascii="Arial" w:hAnsi="Arial" w:cs="Arial"/>
        </w:rPr>
        <w:t xml:space="preserve"> </w:t>
      </w:r>
      <w:r w:rsidRPr="00523952">
        <w:rPr>
          <w:rFonts w:ascii="Arial" w:hAnsi="Arial" w:cs="Arial"/>
        </w:rPr>
        <w:t>(en este sentido, la elasticidad precio propio de la demanda proporciona indicios respecto al grado en el que un monopolista hipotético del producto analizado podría incrementar los precios de manera rentable</w:t>
      </w:r>
      <w:r>
        <w:rPr>
          <w:rFonts w:ascii="Arial" w:hAnsi="Arial" w:cs="Arial"/>
        </w:rPr>
        <w:t>)</w:t>
      </w:r>
      <w:r w:rsidRPr="009B6F6C">
        <w:rPr>
          <w:rFonts w:ascii="Arial" w:hAnsi="Arial" w:cs="Arial"/>
        </w:rPr>
        <w:t xml:space="preserve">. Asimismo, una alta y positiva elasticidad precio cruzada con algún otro producto específico representa un indicio de que ese producto es un sustituto del </w:t>
      </w:r>
      <w:r>
        <w:rPr>
          <w:rFonts w:ascii="Arial" w:hAnsi="Arial" w:cs="Arial"/>
        </w:rPr>
        <w:t>producto</w:t>
      </w:r>
      <w:r w:rsidRPr="009B6F6C">
        <w:rPr>
          <w:rFonts w:ascii="Arial" w:hAnsi="Arial" w:cs="Arial"/>
        </w:rPr>
        <w:t xml:space="preserve"> cuyo precio cambió y, por lo tanto, debería incluirse en el MR</w:t>
      </w:r>
      <w:r>
        <w:rPr>
          <w:rFonts w:ascii="Arial" w:hAnsi="Arial" w:cs="Arial"/>
        </w:rPr>
        <w:t xml:space="preserve"> </w:t>
      </w:r>
      <w:r w:rsidRPr="00523952">
        <w:rPr>
          <w:rFonts w:ascii="Arial" w:hAnsi="Arial" w:cs="Arial"/>
        </w:rPr>
        <w:t>(en este sentido, la elasticidad precio cruzada resulta útil para analizar la sustitución entre dos productos)</w:t>
      </w:r>
      <w:r w:rsidRPr="009B6F6C">
        <w:rPr>
          <w:rFonts w:ascii="Arial" w:hAnsi="Arial" w:cs="Arial"/>
        </w:rPr>
        <w:t xml:space="preserve">. </w:t>
      </w:r>
    </w:p>
    <w:p w14:paraId="1BFE7EFC" w14:textId="77777777" w:rsidR="00BE0D80" w:rsidRPr="009B6F6C" w:rsidRDefault="00BE0D80" w:rsidP="00BE0D80">
      <w:pPr>
        <w:spacing w:after="0"/>
        <w:jc w:val="both"/>
        <w:rPr>
          <w:rFonts w:ascii="Arial" w:hAnsi="Arial" w:cs="Arial"/>
        </w:rPr>
      </w:pPr>
    </w:p>
    <w:p w14:paraId="0D5A4B43" w14:textId="08C8175C" w:rsidR="00BE0D80" w:rsidRPr="009B6F6C" w:rsidRDefault="00BE0D80" w:rsidP="00BE0D80">
      <w:pPr>
        <w:spacing w:after="0"/>
        <w:jc w:val="both"/>
        <w:rPr>
          <w:rFonts w:ascii="Arial" w:hAnsi="Arial" w:cs="Arial"/>
        </w:rPr>
      </w:pPr>
      <w:r w:rsidRPr="009B6F6C">
        <w:rPr>
          <w:rFonts w:ascii="Arial" w:hAnsi="Arial" w:cs="Arial"/>
        </w:rPr>
        <w:t>Los análisis basados en la similitud de los niveles de precios y de su evolución o convergencia (análisis de correlación, pruebas de causalidad y/o pruebas de cointegración) se sustentan en la premisa de que, cuando dos productos son sustitutos, sus precios se encuentran relacionados.</w:t>
      </w:r>
      <w:r w:rsidRPr="009B6F6C">
        <w:rPr>
          <w:rStyle w:val="Refdenotaalpie"/>
          <w:rFonts w:ascii="Arial" w:hAnsi="Arial" w:cs="Arial"/>
        </w:rPr>
        <w:t xml:space="preserve"> </w:t>
      </w:r>
      <w:r w:rsidRPr="009B6F6C">
        <w:rPr>
          <w:rStyle w:val="Refdenotaalpie"/>
          <w:rFonts w:ascii="Arial" w:hAnsi="Arial" w:cs="Arial"/>
        </w:rPr>
        <w:footnoteReference w:id="42"/>
      </w:r>
      <w:r w:rsidRPr="009B6F6C">
        <w:rPr>
          <w:rFonts w:ascii="Arial" w:hAnsi="Arial" w:cs="Arial"/>
        </w:rPr>
        <w:t xml:space="preserve"> </w:t>
      </w:r>
    </w:p>
    <w:p w14:paraId="57D12BB9" w14:textId="77777777" w:rsidR="00C21851" w:rsidRDefault="00C21851" w:rsidP="00BE0D80">
      <w:pPr>
        <w:spacing w:after="0"/>
        <w:jc w:val="both"/>
        <w:rPr>
          <w:rFonts w:ascii="Arial" w:hAnsi="Arial" w:cs="Arial"/>
        </w:rPr>
      </w:pPr>
    </w:p>
    <w:p w14:paraId="5C060847" w14:textId="16DCABA6" w:rsidR="00BE0D80" w:rsidRPr="009B6F6C" w:rsidRDefault="00BE0D80" w:rsidP="00BE0D80">
      <w:pPr>
        <w:spacing w:after="0"/>
        <w:jc w:val="both"/>
        <w:rPr>
          <w:rFonts w:ascii="Arial" w:hAnsi="Arial" w:cs="Arial"/>
        </w:rPr>
      </w:pPr>
      <w:r w:rsidRPr="009B6F6C">
        <w:rPr>
          <w:rFonts w:ascii="Arial" w:hAnsi="Arial" w:cs="Arial"/>
        </w:rPr>
        <w:t xml:space="preserve">Se reitera que este tipo de evidencia cuantitativa </w:t>
      </w:r>
      <w:r>
        <w:rPr>
          <w:rFonts w:ascii="Arial" w:hAnsi="Arial" w:cs="Arial"/>
        </w:rPr>
        <w:t xml:space="preserve">podrá </w:t>
      </w:r>
      <w:r w:rsidRPr="009B6F6C">
        <w:rPr>
          <w:rFonts w:ascii="Arial" w:hAnsi="Arial" w:cs="Arial"/>
        </w:rPr>
        <w:t>forma</w:t>
      </w:r>
      <w:r>
        <w:rPr>
          <w:rFonts w:ascii="Arial" w:hAnsi="Arial" w:cs="Arial"/>
        </w:rPr>
        <w:t>r</w:t>
      </w:r>
      <w:r w:rsidRPr="009B6F6C">
        <w:rPr>
          <w:rFonts w:ascii="Arial" w:hAnsi="Arial" w:cs="Arial"/>
        </w:rPr>
        <w:t xml:space="preserve"> parte del análisis integral para determinar el MR</w:t>
      </w:r>
      <w:r>
        <w:rPr>
          <w:rFonts w:ascii="Arial" w:hAnsi="Arial" w:cs="Arial"/>
        </w:rPr>
        <w:t xml:space="preserve"> y</w:t>
      </w:r>
      <w:r w:rsidRPr="009B6F6C">
        <w:rPr>
          <w:rFonts w:ascii="Arial" w:hAnsi="Arial" w:cs="Arial"/>
        </w:rPr>
        <w:t xml:space="preserve"> apoyar la evidencia cualitativa de la que se disponga, </w:t>
      </w:r>
      <w:r w:rsidR="007E44D9">
        <w:rPr>
          <w:rFonts w:ascii="Arial" w:hAnsi="Arial" w:cs="Arial"/>
        </w:rPr>
        <w:t>aunque como parte del análisis se tomará en consideración</w:t>
      </w:r>
      <w:r w:rsidRPr="009B6F6C">
        <w:rPr>
          <w:rFonts w:ascii="Arial" w:hAnsi="Arial" w:cs="Arial"/>
        </w:rPr>
        <w:t xml:space="preserve"> que estas pruebas pueden dar lugar a apreciaciones erróneas cuando, por ejemplo, la evolución de los precios que se analizan se encuentra fuertemente influenciada por algún factor externo común. </w:t>
      </w:r>
    </w:p>
    <w:p w14:paraId="6E787BCF" w14:textId="77777777" w:rsidR="00BE0D80" w:rsidRPr="009B6F6C" w:rsidRDefault="00BE0D80" w:rsidP="00BE0D80">
      <w:pPr>
        <w:spacing w:after="0"/>
        <w:jc w:val="both"/>
        <w:rPr>
          <w:rFonts w:ascii="Arial" w:hAnsi="Arial" w:cs="Arial"/>
        </w:rPr>
      </w:pPr>
    </w:p>
    <w:p w14:paraId="1F32A33F" w14:textId="77777777" w:rsidR="00BE0D80" w:rsidRPr="009B6F6C" w:rsidRDefault="00BE0D80" w:rsidP="00BE0D80">
      <w:pPr>
        <w:numPr>
          <w:ilvl w:val="0"/>
          <w:numId w:val="23"/>
        </w:numPr>
        <w:spacing w:after="0"/>
        <w:ind w:hanging="578"/>
        <w:jc w:val="both"/>
        <w:rPr>
          <w:rFonts w:ascii="Arial" w:hAnsi="Arial" w:cs="Arial"/>
          <w:b/>
        </w:rPr>
      </w:pPr>
      <w:r w:rsidRPr="009B6F6C">
        <w:rPr>
          <w:rFonts w:ascii="Arial" w:hAnsi="Arial" w:cs="Arial"/>
          <w:b/>
        </w:rPr>
        <w:lastRenderedPageBreak/>
        <w:t>Evidencia del pasado reciente (a través de registros de los AE, estudios de mercado o encuestas) respecto a la sustitución, de los consumidores, en respuesta a cambios en precios u otras variables de competencia</w:t>
      </w:r>
    </w:p>
    <w:p w14:paraId="74AD62DA" w14:textId="77777777" w:rsidR="00BE0D80" w:rsidRPr="009B6F6C" w:rsidRDefault="00BE0D80" w:rsidP="00BE0D80">
      <w:pPr>
        <w:spacing w:after="0"/>
        <w:jc w:val="both"/>
        <w:rPr>
          <w:rFonts w:ascii="Arial" w:hAnsi="Arial" w:cs="Arial"/>
        </w:rPr>
      </w:pPr>
    </w:p>
    <w:p w14:paraId="3AB64386" w14:textId="77777777" w:rsidR="00BE0D80" w:rsidRPr="009B6F6C" w:rsidRDefault="00BE0D80" w:rsidP="00BE0D80">
      <w:pPr>
        <w:spacing w:after="0"/>
        <w:jc w:val="both"/>
        <w:rPr>
          <w:rFonts w:ascii="Arial" w:hAnsi="Arial" w:cs="Arial"/>
        </w:rPr>
      </w:pPr>
      <w:r w:rsidRPr="009B6F6C">
        <w:rPr>
          <w:rFonts w:ascii="Arial" w:hAnsi="Arial" w:cs="Arial"/>
        </w:rPr>
        <w:t>El Instituto podrá emplear información contenida en documentos o registros internos que proporcionen los propios AE, estudios de mercado, encuestas u otros documentos sobre el comportamiento reciente de los consumidores ante cambios en los precios u otras variables de competencia, para identificar: i) los productos que son vistos como sustitutos por los consumidores y ii) la variación de las demandas de los productos ante cambios relativos en el precio u otras variables.</w:t>
      </w:r>
    </w:p>
    <w:p w14:paraId="7D494F1B" w14:textId="77777777" w:rsidR="00BE0D80" w:rsidRPr="009B6F6C" w:rsidRDefault="00BE0D80" w:rsidP="00BE0D80">
      <w:pPr>
        <w:spacing w:after="0"/>
        <w:jc w:val="both"/>
        <w:rPr>
          <w:rFonts w:ascii="Arial" w:hAnsi="Arial" w:cs="Arial"/>
        </w:rPr>
      </w:pPr>
    </w:p>
    <w:p w14:paraId="006CC070" w14:textId="77777777" w:rsidR="00BE0D80" w:rsidRPr="009B6F6C" w:rsidRDefault="00BE0D80" w:rsidP="00BE0D80">
      <w:pPr>
        <w:spacing w:after="0"/>
        <w:jc w:val="both"/>
        <w:rPr>
          <w:rFonts w:ascii="Arial" w:hAnsi="Arial" w:cs="Arial"/>
        </w:rPr>
      </w:pPr>
      <w:r w:rsidRPr="009B6F6C">
        <w:rPr>
          <w:rFonts w:ascii="Arial" w:hAnsi="Arial" w:cs="Arial"/>
        </w:rPr>
        <w:t xml:space="preserve">En particular, la evidencia de que una proporción significativa de usuarios ha cambiado </w:t>
      </w:r>
      <w:r>
        <w:rPr>
          <w:rFonts w:ascii="Arial" w:hAnsi="Arial" w:cs="Arial"/>
        </w:rPr>
        <w:t xml:space="preserve">del producto analizado </w:t>
      </w:r>
      <w:r w:rsidRPr="009B6F6C">
        <w:rPr>
          <w:rFonts w:ascii="Arial" w:hAnsi="Arial" w:cs="Arial"/>
        </w:rPr>
        <w:t>a otro producto ante una variación en el precio u otras variables de competencia del producto analizado, es un indicio de que ambos productos son sustitutos.</w:t>
      </w:r>
    </w:p>
    <w:p w14:paraId="671F4574" w14:textId="77777777" w:rsidR="00BE0D80" w:rsidRPr="009B6F6C" w:rsidRDefault="00BE0D80" w:rsidP="00BE0D80">
      <w:pPr>
        <w:spacing w:after="0"/>
        <w:jc w:val="both"/>
        <w:rPr>
          <w:rFonts w:ascii="Arial" w:hAnsi="Arial" w:cs="Arial"/>
        </w:rPr>
      </w:pPr>
    </w:p>
    <w:p w14:paraId="35B858E5" w14:textId="77777777" w:rsidR="00BE0D80" w:rsidRPr="00725954" w:rsidRDefault="00BE0D80" w:rsidP="00BE0D80">
      <w:pPr>
        <w:spacing w:after="0"/>
        <w:jc w:val="both"/>
        <w:rPr>
          <w:rFonts w:ascii="Arial" w:hAnsi="Arial" w:cs="Arial"/>
        </w:rPr>
      </w:pPr>
      <w:r w:rsidRPr="009B6F6C">
        <w:rPr>
          <w:rFonts w:ascii="Arial" w:hAnsi="Arial" w:cs="Arial"/>
        </w:rPr>
        <w:t xml:space="preserve">Se advierte que, al analizar la evidencia sobre el comportamiento de los consumidores en el pasado reciente, el Instituto </w:t>
      </w:r>
      <w:r>
        <w:rPr>
          <w:rFonts w:ascii="Arial" w:hAnsi="Arial" w:cs="Arial"/>
        </w:rPr>
        <w:t xml:space="preserve">podrá </w:t>
      </w:r>
      <w:r w:rsidRPr="009B6F6C">
        <w:rPr>
          <w:rFonts w:ascii="Arial" w:hAnsi="Arial" w:cs="Arial"/>
        </w:rPr>
        <w:t>ten</w:t>
      </w:r>
      <w:r>
        <w:rPr>
          <w:rFonts w:ascii="Arial" w:hAnsi="Arial" w:cs="Arial"/>
        </w:rPr>
        <w:t>er</w:t>
      </w:r>
      <w:r w:rsidRPr="009B6F6C">
        <w:rPr>
          <w:rFonts w:ascii="Arial" w:hAnsi="Arial" w:cs="Arial"/>
        </w:rPr>
        <w:t xml:space="preserve"> en cuenta que dicho comportamiento ocurrió con los precios y condiciones vigentes en ese momento, mismos que no necesariamente reflejan niveles competitivos y pueden cambiar en el tiempo, sobre todo considerando el continuo desarrollo en los sectores de TyR.</w:t>
      </w:r>
    </w:p>
    <w:p w14:paraId="7C3721C1" w14:textId="77777777" w:rsidR="00BE0D80" w:rsidRPr="00725954" w:rsidRDefault="00BE0D80" w:rsidP="00BE0D80">
      <w:pPr>
        <w:spacing w:after="0"/>
        <w:jc w:val="both"/>
        <w:rPr>
          <w:rFonts w:ascii="Arial" w:hAnsi="Arial" w:cs="Arial"/>
        </w:rPr>
      </w:pPr>
    </w:p>
    <w:p w14:paraId="6A16DDC6" w14:textId="77777777" w:rsidR="00BE0D80" w:rsidRPr="00725954" w:rsidRDefault="00BE0D80" w:rsidP="00C21851">
      <w:pPr>
        <w:pStyle w:val="Prrafodelista"/>
        <w:keepNext/>
        <w:numPr>
          <w:ilvl w:val="0"/>
          <w:numId w:val="23"/>
        </w:numPr>
        <w:spacing w:after="0"/>
        <w:ind w:hanging="578"/>
        <w:contextualSpacing w:val="0"/>
        <w:jc w:val="both"/>
        <w:rPr>
          <w:rFonts w:ascii="Arial" w:hAnsi="Arial" w:cs="Arial"/>
          <w:b/>
        </w:rPr>
      </w:pPr>
      <w:r w:rsidRPr="00725954">
        <w:rPr>
          <w:rFonts w:ascii="Arial" w:hAnsi="Arial" w:cs="Arial"/>
          <w:b/>
        </w:rPr>
        <w:t>Estrategias comerciales de los oferentes (incluyendo costos de cambio</w:t>
      </w:r>
      <w:r>
        <w:rPr>
          <w:rFonts w:ascii="Arial" w:hAnsi="Arial" w:cs="Arial"/>
          <w:b/>
        </w:rPr>
        <w:t>,</w:t>
      </w:r>
      <w:r w:rsidRPr="00725954">
        <w:rPr>
          <w:rFonts w:ascii="Arial" w:hAnsi="Arial" w:cs="Arial"/>
          <w:b/>
        </w:rPr>
        <w:t xml:space="preserve"> posibilidad de hacer portabilidad</w:t>
      </w:r>
      <w:r>
        <w:rPr>
          <w:rFonts w:ascii="Arial" w:hAnsi="Arial" w:cs="Arial"/>
          <w:b/>
        </w:rPr>
        <w:t>,</w:t>
      </w:r>
      <w:r w:rsidRPr="00725954">
        <w:rPr>
          <w:rFonts w:ascii="Arial" w:hAnsi="Arial" w:cs="Arial"/>
          <w:b/>
        </w:rPr>
        <w:t xml:space="preserve"> o </w:t>
      </w:r>
      <w:r w:rsidRPr="00725954">
        <w:rPr>
          <w:rFonts w:ascii="Arial" w:hAnsi="Arial" w:cs="Arial"/>
          <w:b/>
          <w:i/>
        </w:rPr>
        <w:t>multi-homing</w:t>
      </w:r>
      <w:r>
        <w:rPr>
          <w:rFonts w:ascii="Arial" w:hAnsi="Arial" w:cs="Arial"/>
          <w:b/>
          <w:i/>
        </w:rPr>
        <w:t>,</w:t>
      </w:r>
      <w:r w:rsidRPr="00B115F7">
        <w:rPr>
          <w:rFonts w:ascii="Arial" w:hAnsi="Arial" w:cs="Arial"/>
          <w:b/>
        </w:rPr>
        <w:t xml:space="preserve"> y </w:t>
      </w:r>
      <w:r w:rsidRPr="00725954">
        <w:rPr>
          <w:rFonts w:ascii="Arial" w:hAnsi="Arial" w:cs="Arial"/>
          <w:b/>
        </w:rPr>
        <w:t xml:space="preserve">discriminación </w:t>
      </w:r>
      <w:r>
        <w:rPr>
          <w:rFonts w:ascii="Arial" w:hAnsi="Arial" w:cs="Arial"/>
          <w:b/>
        </w:rPr>
        <w:t>de</w:t>
      </w:r>
      <w:r w:rsidRPr="00725954">
        <w:rPr>
          <w:rFonts w:ascii="Arial" w:hAnsi="Arial" w:cs="Arial"/>
          <w:b/>
        </w:rPr>
        <w:t xml:space="preserve"> precios u otras condiciones de comercialización enfocada</w:t>
      </w:r>
      <w:r>
        <w:rPr>
          <w:rFonts w:ascii="Arial" w:hAnsi="Arial" w:cs="Arial"/>
          <w:b/>
        </w:rPr>
        <w:t>s</w:t>
      </w:r>
      <w:r w:rsidRPr="00725954">
        <w:rPr>
          <w:rFonts w:ascii="Arial" w:hAnsi="Arial" w:cs="Arial"/>
          <w:b/>
        </w:rPr>
        <w:t xml:space="preserve"> en grupos de usuarios</w:t>
      </w:r>
      <w:r>
        <w:rPr>
          <w:rFonts w:ascii="Arial" w:hAnsi="Arial" w:cs="Arial"/>
          <w:b/>
        </w:rPr>
        <w:t>)</w:t>
      </w:r>
    </w:p>
    <w:p w14:paraId="0A46EE18" w14:textId="77777777" w:rsidR="00BE0D80" w:rsidRPr="00725954" w:rsidRDefault="00BE0D80" w:rsidP="00C21851">
      <w:pPr>
        <w:keepNext/>
        <w:spacing w:after="0"/>
        <w:jc w:val="both"/>
        <w:rPr>
          <w:rFonts w:ascii="Arial" w:hAnsi="Arial" w:cs="Arial"/>
          <w:i/>
        </w:rPr>
      </w:pPr>
    </w:p>
    <w:p w14:paraId="5E28B72E" w14:textId="77777777" w:rsidR="00BE0D80" w:rsidRPr="003C04FC" w:rsidRDefault="00BE0D80" w:rsidP="00BE0D80">
      <w:pPr>
        <w:spacing w:after="0"/>
        <w:jc w:val="both"/>
        <w:rPr>
          <w:rFonts w:ascii="Arial" w:hAnsi="Arial" w:cs="Arial"/>
        </w:rPr>
      </w:pPr>
      <w:r w:rsidRPr="003C04FC">
        <w:rPr>
          <w:rFonts w:ascii="Arial" w:hAnsi="Arial" w:cs="Arial"/>
        </w:rPr>
        <w:t xml:space="preserve">El Instituto </w:t>
      </w:r>
      <w:r>
        <w:rPr>
          <w:rFonts w:ascii="Arial" w:hAnsi="Arial" w:cs="Arial"/>
        </w:rPr>
        <w:t>podrá</w:t>
      </w:r>
      <w:r w:rsidRPr="003C04FC">
        <w:rPr>
          <w:rFonts w:ascii="Arial" w:hAnsi="Arial" w:cs="Arial"/>
        </w:rPr>
        <w:t xml:space="preserve"> tomar en cuenta la existencia de estrategias, por parte de los oferentes, que disminuyan la posibilidad de que los consumidores efectivamente sustituyan un producto por otro. Entre dichas estrategias se encuentran aquellas que elevan los costos explícitos e </w:t>
      </w:r>
      <w:bookmarkStart w:id="49" w:name="_Hlk83629534"/>
      <w:r w:rsidRPr="003C04FC">
        <w:rPr>
          <w:rFonts w:ascii="Arial" w:hAnsi="Arial" w:cs="Arial"/>
        </w:rPr>
        <w:t>implícitos que enfrenta un consumidor al cambiar de un proveedor a otro,</w:t>
      </w:r>
      <w:bookmarkEnd w:id="49"/>
      <w:r w:rsidRPr="003C04FC">
        <w:rPr>
          <w:rFonts w:ascii="Arial" w:hAnsi="Arial" w:cs="Arial"/>
        </w:rPr>
        <w:t xml:space="preserve"> por ejemplo, debido al establecimiento de plazos contractuales muy extensos (“</w:t>
      </w:r>
      <w:r w:rsidRPr="003C04FC">
        <w:rPr>
          <w:rFonts w:ascii="Arial" w:hAnsi="Arial" w:cs="Arial"/>
          <w:i/>
        </w:rPr>
        <w:t>plazos forzosos</w:t>
      </w:r>
      <w:r w:rsidRPr="003C04FC">
        <w:rPr>
          <w:rFonts w:ascii="Arial" w:hAnsi="Arial" w:cs="Arial"/>
        </w:rPr>
        <w:t>”)</w:t>
      </w:r>
      <w:r>
        <w:rPr>
          <w:rFonts w:ascii="Arial" w:hAnsi="Arial" w:cs="Arial"/>
        </w:rPr>
        <w:t>,</w:t>
      </w:r>
      <w:r w:rsidRPr="003C04FC">
        <w:rPr>
          <w:rFonts w:ascii="Arial" w:hAnsi="Arial" w:cs="Arial"/>
        </w:rPr>
        <w:t xml:space="preserve"> penalizaciones por terminación anticipada de contratos, obstáculos a la portabilidad, falta de información sobre proveedores alternativos o incluso, el empaquetamiento de servicios. </w:t>
      </w:r>
      <w:r w:rsidRPr="000A0D17">
        <w:rPr>
          <w:rFonts w:ascii="Arial" w:hAnsi="Arial" w:cs="Arial"/>
        </w:rPr>
        <w:t>Al respecto, como ejemplos de costos implícitos pueden considerarse el tiempo que el consumidor necesitaría para aprender a usar un nuevo producto, los costos de haber adquirido productos complementarios que no sean compatibles con el posible sustituto, la p</w:t>
      </w:r>
      <w:r>
        <w:rPr>
          <w:rFonts w:ascii="Arial" w:hAnsi="Arial" w:cs="Arial"/>
        </w:rPr>
        <w:t>é</w:t>
      </w:r>
      <w:r w:rsidRPr="000A0D17">
        <w:rPr>
          <w:rFonts w:ascii="Arial" w:hAnsi="Arial" w:cs="Arial"/>
        </w:rPr>
        <w:t>rdida de beneficios derivados de programas de lealtad, entre otros.</w:t>
      </w:r>
    </w:p>
    <w:p w14:paraId="5B083CD8" w14:textId="77777777" w:rsidR="00BE0D80" w:rsidRPr="003C04FC" w:rsidRDefault="00BE0D80" w:rsidP="00BE0D80">
      <w:pPr>
        <w:spacing w:after="0"/>
        <w:jc w:val="both"/>
        <w:rPr>
          <w:rFonts w:ascii="Arial" w:hAnsi="Arial" w:cs="Arial"/>
        </w:rPr>
      </w:pPr>
    </w:p>
    <w:p w14:paraId="66132234" w14:textId="77777777" w:rsidR="00BE0D80" w:rsidRPr="003C04FC" w:rsidRDefault="00BE0D80" w:rsidP="00BE0D80">
      <w:pPr>
        <w:spacing w:after="0"/>
        <w:jc w:val="both"/>
        <w:rPr>
          <w:rFonts w:ascii="Arial" w:hAnsi="Arial" w:cs="Arial"/>
        </w:rPr>
      </w:pPr>
      <w:r w:rsidRPr="003C04FC">
        <w:rPr>
          <w:rFonts w:ascii="Arial" w:hAnsi="Arial" w:cs="Arial"/>
        </w:rPr>
        <w:t xml:space="preserve">Asimismo, el Instituto </w:t>
      </w:r>
      <w:r>
        <w:rPr>
          <w:rFonts w:ascii="Arial" w:hAnsi="Arial" w:cs="Arial"/>
        </w:rPr>
        <w:t xml:space="preserve">podrá </w:t>
      </w:r>
      <w:r w:rsidRPr="003C04FC">
        <w:rPr>
          <w:rFonts w:ascii="Arial" w:hAnsi="Arial" w:cs="Arial"/>
        </w:rPr>
        <w:t>considerar que la imposibilidad o el costo elevado de que los consumidores utilicen varios productos que compiten entre sí (</w:t>
      </w:r>
      <w:r w:rsidRPr="003C04FC">
        <w:rPr>
          <w:rFonts w:ascii="Arial" w:hAnsi="Arial" w:cs="Arial"/>
          <w:i/>
        </w:rPr>
        <w:t>multi-homing</w:t>
      </w:r>
      <w:r w:rsidRPr="003C04FC">
        <w:rPr>
          <w:rFonts w:ascii="Arial" w:hAnsi="Arial" w:cs="Arial"/>
        </w:rPr>
        <w:t xml:space="preserve">), como es el caso de las plataformas que conectan distintos tipos de usuarios, puede dificultar la sustitución de un </w:t>
      </w:r>
      <w:r>
        <w:rPr>
          <w:rFonts w:ascii="Arial" w:hAnsi="Arial" w:cs="Arial"/>
        </w:rPr>
        <w:t>producto</w:t>
      </w:r>
      <w:r w:rsidRPr="003C04FC">
        <w:rPr>
          <w:rFonts w:ascii="Arial" w:hAnsi="Arial" w:cs="Arial"/>
        </w:rPr>
        <w:t xml:space="preserve"> por otro, lo que apuntaría a una definición de mercado más estrecha.</w:t>
      </w:r>
    </w:p>
    <w:p w14:paraId="55410545" w14:textId="77777777" w:rsidR="00F64582" w:rsidRDefault="00F64582" w:rsidP="00BE0D80">
      <w:pPr>
        <w:spacing w:after="0"/>
        <w:jc w:val="both"/>
        <w:rPr>
          <w:rFonts w:ascii="Arial" w:hAnsi="Arial" w:cs="Arial"/>
        </w:rPr>
      </w:pPr>
    </w:p>
    <w:p w14:paraId="071408C6" w14:textId="3FD7CF85" w:rsidR="00BE0D80" w:rsidRPr="003C04FC" w:rsidRDefault="00BE0D80" w:rsidP="00BE0D80">
      <w:pPr>
        <w:spacing w:after="0"/>
        <w:jc w:val="both"/>
        <w:rPr>
          <w:rFonts w:ascii="Arial" w:hAnsi="Arial" w:cs="Arial"/>
        </w:rPr>
      </w:pPr>
      <w:r w:rsidRPr="003C04FC">
        <w:rPr>
          <w:rFonts w:ascii="Arial" w:hAnsi="Arial" w:cs="Arial"/>
        </w:rPr>
        <w:t>En cuanto a la capacidad de los oferentes para discriminar en precios u otras condiciones de comercialización entre grupos de usuarios, ésta puede implicar una dinámica de competencia distinta para cada grupo de usuarios, pues si un grupo tiene pocas posibilidades de acceder a precios más bajos o a mejores condiciones que se ofrecen a otros grupos (en particular, si no existe la posibilidad de arbitraje), entonces los productos que se ofrecen a los distintos grupos no representarán presiones competitivas entre sí.</w:t>
      </w:r>
    </w:p>
    <w:p w14:paraId="26A14C47" w14:textId="77777777" w:rsidR="00BE0D80" w:rsidRPr="003C04FC" w:rsidRDefault="00BE0D80" w:rsidP="00BE0D80">
      <w:pPr>
        <w:spacing w:after="0"/>
        <w:jc w:val="both"/>
        <w:rPr>
          <w:rFonts w:ascii="Arial" w:hAnsi="Arial" w:cs="Arial"/>
        </w:rPr>
      </w:pPr>
    </w:p>
    <w:p w14:paraId="14F80A0D" w14:textId="77777777" w:rsidR="00BE0D80" w:rsidRPr="003C04FC" w:rsidRDefault="00BE0D80" w:rsidP="00BE0D80">
      <w:pPr>
        <w:spacing w:after="0"/>
        <w:jc w:val="both"/>
        <w:rPr>
          <w:rFonts w:ascii="Arial" w:hAnsi="Arial" w:cs="Arial"/>
        </w:rPr>
      </w:pPr>
      <w:r w:rsidRPr="003C04FC">
        <w:rPr>
          <w:rFonts w:ascii="Arial" w:hAnsi="Arial" w:cs="Arial"/>
        </w:rPr>
        <w:t>En esos casos, una delimitación del MR que incluya todos los productos que se ofrecen a los distintos grupos de usuarios no capturará de forma adecuada las presiones competitivas derivadas de la sustitución por el lado de la demanda e implicará una delimitación demasiado amplia del MR. Por lo tanto, cuando exista evidencia de discriminación de precios u ofertas y se tengan indicios de que la dinámica o condiciones de competencia difieren entre los distintos grupos, el Instituto podrá determinar MR para cada uno de los diversos grupos de consumidores delimitados por las condiciones de discriminación.</w:t>
      </w:r>
    </w:p>
    <w:p w14:paraId="0AA6486D" w14:textId="77777777" w:rsidR="00BE0D80" w:rsidRPr="003C04FC" w:rsidRDefault="00BE0D80" w:rsidP="00BE0D80">
      <w:pPr>
        <w:spacing w:after="0"/>
        <w:jc w:val="both"/>
        <w:rPr>
          <w:rFonts w:ascii="Arial" w:hAnsi="Arial" w:cs="Arial"/>
        </w:rPr>
      </w:pPr>
    </w:p>
    <w:p w14:paraId="28353DD0" w14:textId="77777777" w:rsidR="00BE0D80" w:rsidRPr="003C04FC" w:rsidRDefault="00BE0D80" w:rsidP="00BE0D80">
      <w:pPr>
        <w:pStyle w:val="Prrafodelista"/>
        <w:keepNext/>
        <w:numPr>
          <w:ilvl w:val="0"/>
          <w:numId w:val="23"/>
        </w:numPr>
        <w:spacing w:after="0"/>
        <w:ind w:hanging="578"/>
        <w:contextualSpacing w:val="0"/>
        <w:jc w:val="both"/>
        <w:rPr>
          <w:rFonts w:ascii="Arial" w:hAnsi="Arial" w:cs="Arial"/>
          <w:b/>
          <w:i/>
        </w:rPr>
      </w:pPr>
      <w:r w:rsidRPr="003C04FC">
        <w:rPr>
          <w:rFonts w:ascii="Arial" w:hAnsi="Arial" w:cs="Arial"/>
          <w:b/>
        </w:rPr>
        <w:t>Requisitos normativos de carácter federal, local o internacional</w:t>
      </w:r>
      <w:r w:rsidRPr="003C04FC">
        <w:rPr>
          <w:rFonts w:ascii="Arial" w:eastAsia="Calibri" w:hAnsi="Arial" w:cs="Arial"/>
          <w:b/>
        </w:rPr>
        <w:t xml:space="preserve"> que limiten el acceso de consumidores a fuentes de abasto alternativas</w:t>
      </w:r>
    </w:p>
    <w:p w14:paraId="1D912197" w14:textId="77777777" w:rsidR="00BE0D80" w:rsidRPr="003C04FC" w:rsidRDefault="00BE0D80" w:rsidP="00BE0D80">
      <w:pPr>
        <w:keepNext/>
        <w:spacing w:after="0"/>
        <w:jc w:val="both"/>
        <w:rPr>
          <w:rFonts w:ascii="Arial" w:hAnsi="Arial" w:cs="Arial"/>
          <w:i/>
        </w:rPr>
      </w:pPr>
    </w:p>
    <w:p w14:paraId="63C26D34" w14:textId="77777777" w:rsidR="00BE0D80" w:rsidRPr="003C04FC" w:rsidRDefault="00BE0D80" w:rsidP="00BE0D80">
      <w:pPr>
        <w:spacing w:after="0"/>
        <w:jc w:val="both"/>
        <w:rPr>
          <w:rFonts w:ascii="Arial" w:hAnsi="Arial" w:cs="Arial"/>
        </w:rPr>
      </w:pPr>
      <w:r w:rsidRPr="003C04FC">
        <w:rPr>
          <w:rFonts w:ascii="Arial" w:hAnsi="Arial" w:cs="Arial"/>
        </w:rPr>
        <w:t xml:space="preserve">El Instituto podrá analizar la existencia de disposiciones normativas que disminuyan las posibilidades de los consumidores para sustituir el producto analizado por otros. </w:t>
      </w:r>
    </w:p>
    <w:p w14:paraId="34E44B71" w14:textId="77777777" w:rsidR="00BE0D80" w:rsidRPr="003C04FC" w:rsidRDefault="00BE0D80" w:rsidP="00BE0D80">
      <w:pPr>
        <w:spacing w:after="0"/>
        <w:jc w:val="both"/>
        <w:rPr>
          <w:rFonts w:ascii="Arial" w:hAnsi="Arial" w:cs="Arial"/>
        </w:rPr>
      </w:pPr>
      <w:r w:rsidRPr="003C04FC">
        <w:rPr>
          <w:rFonts w:ascii="Arial" w:hAnsi="Arial" w:cs="Arial"/>
        </w:rPr>
        <w:t>Por ejemplo, se podrán analizar las disposiciones legales que establecen requerimientos para obtener autorizaciones, cumplir con estándares específicos, obtener certificaciones, o pagar impuestos para acceder o usar determinados productos, ya que podrían incrementar los costos de cambio de los consumidores y limitar el acceso a fuentes de abasto alternativas.</w:t>
      </w:r>
    </w:p>
    <w:p w14:paraId="352F08F1" w14:textId="77777777" w:rsidR="00BE0D80" w:rsidRPr="003C04FC" w:rsidRDefault="00BE0D80" w:rsidP="00BE0D80">
      <w:pPr>
        <w:spacing w:after="0"/>
        <w:jc w:val="both"/>
        <w:rPr>
          <w:rFonts w:ascii="Arial" w:hAnsi="Arial" w:cs="Arial"/>
        </w:rPr>
      </w:pPr>
    </w:p>
    <w:p w14:paraId="6876C5B0" w14:textId="77777777" w:rsidR="00BE0D80" w:rsidRPr="003C04FC" w:rsidRDefault="00BE0D80" w:rsidP="00BE0D8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Evidencia, opiniones, estrategias y comportamiento de los consumidores respecto a sus posibilidades y disposición (en términos de tiempo y costos) para adquirir otros productos ante incrementos en el precio del producto analizado (por ejemplo, del 5%-10%) o variaciones en otras variables de competencia, por ejemplo, la calidad</w:t>
      </w:r>
    </w:p>
    <w:p w14:paraId="2F8ADD5C" w14:textId="77777777" w:rsidR="00BE0D80" w:rsidRPr="003C04FC" w:rsidRDefault="00BE0D80" w:rsidP="00BE0D80">
      <w:pPr>
        <w:spacing w:after="0"/>
        <w:jc w:val="both"/>
        <w:rPr>
          <w:rFonts w:ascii="Arial" w:hAnsi="Arial" w:cs="Arial"/>
        </w:rPr>
      </w:pPr>
    </w:p>
    <w:p w14:paraId="7D5AE5E3" w14:textId="77777777" w:rsidR="00BE0D80" w:rsidRPr="003C04FC" w:rsidRDefault="00BE0D80" w:rsidP="00BE0D80">
      <w:pPr>
        <w:spacing w:after="0"/>
        <w:jc w:val="both"/>
        <w:rPr>
          <w:rFonts w:ascii="Arial" w:hAnsi="Arial" w:cs="Arial"/>
        </w:rPr>
      </w:pPr>
      <w:r w:rsidRPr="003C04FC">
        <w:rPr>
          <w:rFonts w:ascii="Arial" w:hAnsi="Arial" w:cs="Arial"/>
        </w:rPr>
        <w:t xml:space="preserve">El Instituto podrá tomar en consideración evidencia sobre el comportamiento y las preferencias de los consumidores para sustituir un producto por otro, así como sobre la asequibilidad de los productos en cuestión. En particular, aspectos como la falta de disponibilidad de dispositivos idóneos para hacer uso de ciertos servicios, el nivel de precios, la existencia de ciertos requisitos por parte de los proveedores, o la preferencia de los consumidores en razón de aspectos como la marca, podrían limitar las posibilidades o los incentivos para que un número suficiente de consumidores elijan un producto alternativo al analizado. </w:t>
      </w:r>
    </w:p>
    <w:p w14:paraId="23324302" w14:textId="77777777" w:rsidR="00BE0D80" w:rsidRPr="003C04FC" w:rsidRDefault="00BE0D80" w:rsidP="00BE0D80">
      <w:pPr>
        <w:spacing w:after="0"/>
        <w:jc w:val="both"/>
        <w:rPr>
          <w:rFonts w:ascii="Arial" w:hAnsi="Arial" w:cs="Arial"/>
        </w:rPr>
      </w:pPr>
    </w:p>
    <w:p w14:paraId="5A415BD9" w14:textId="77777777" w:rsidR="00BE0D80" w:rsidRPr="003C04FC" w:rsidRDefault="00BE0D80" w:rsidP="00BE0D8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La existencia de cadenas de sustitución y diferenciación de productos</w:t>
      </w:r>
    </w:p>
    <w:p w14:paraId="186D6F8C" w14:textId="77777777" w:rsidR="00BE0D80" w:rsidRPr="003C04FC" w:rsidRDefault="00BE0D80" w:rsidP="00BE0D80">
      <w:pPr>
        <w:spacing w:after="0"/>
        <w:jc w:val="both"/>
        <w:rPr>
          <w:rFonts w:ascii="Arial" w:hAnsi="Arial" w:cs="Arial"/>
        </w:rPr>
      </w:pPr>
    </w:p>
    <w:p w14:paraId="395D0DEC" w14:textId="77777777" w:rsidR="00BE0D80" w:rsidRPr="003C04FC" w:rsidRDefault="00BE0D80" w:rsidP="00BE0D80">
      <w:pPr>
        <w:spacing w:after="0"/>
        <w:jc w:val="both"/>
        <w:rPr>
          <w:rFonts w:ascii="Arial" w:hAnsi="Arial" w:cs="Arial"/>
        </w:rPr>
      </w:pPr>
      <w:r w:rsidRPr="003C04FC">
        <w:rPr>
          <w:rFonts w:ascii="Arial" w:hAnsi="Arial" w:cs="Arial"/>
        </w:rPr>
        <w:t xml:space="preserve">El Instituto podrá considerar que, en algunos casos, a pesar de que ciertos productos no son directamente sustitutos (por ejemplo, </w:t>
      </w:r>
      <w:r w:rsidRPr="003C04FC">
        <w:rPr>
          <w:rFonts w:ascii="Arial" w:hAnsi="Arial" w:cs="Arial"/>
          <w:i/>
        </w:rPr>
        <w:t>A</w:t>
      </w:r>
      <w:r w:rsidRPr="003C04FC">
        <w:rPr>
          <w:rFonts w:ascii="Arial" w:hAnsi="Arial" w:cs="Arial"/>
        </w:rPr>
        <w:t xml:space="preserve"> y </w:t>
      </w:r>
      <w:r w:rsidRPr="003C04FC">
        <w:rPr>
          <w:rFonts w:ascii="Arial" w:hAnsi="Arial" w:cs="Arial"/>
          <w:i/>
        </w:rPr>
        <w:t>C</w:t>
      </w:r>
      <w:r w:rsidRPr="003C04FC">
        <w:rPr>
          <w:rFonts w:ascii="Arial" w:hAnsi="Arial" w:cs="Arial"/>
        </w:rPr>
        <w:t xml:space="preserve">), otro producto (por ejemplo, </w:t>
      </w:r>
      <w:r w:rsidRPr="003C04FC">
        <w:rPr>
          <w:rFonts w:ascii="Arial" w:hAnsi="Arial" w:cs="Arial"/>
          <w:i/>
        </w:rPr>
        <w:t>B</w:t>
      </w:r>
      <w:r w:rsidRPr="003C04FC">
        <w:rPr>
          <w:rFonts w:ascii="Arial" w:hAnsi="Arial" w:cs="Arial"/>
        </w:rPr>
        <w:t>) es un producto sustituto de ambos productos (</w:t>
      </w:r>
      <w:r w:rsidRPr="003C04FC">
        <w:rPr>
          <w:rFonts w:ascii="Arial" w:hAnsi="Arial" w:cs="Arial"/>
          <w:i/>
        </w:rPr>
        <w:t>B</w:t>
      </w:r>
      <w:r w:rsidRPr="003C04FC">
        <w:rPr>
          <w:rFonts w:ascii="Arial" w:hAnsi="Arial" w:cs="Arial"/>
        </w:rPr>
        <w:t xml:space="preserve"> sustituye a </w:t>
      </w:r>
      <w:r w:rsidRPr="003C04FC">
        <w:rPr>
          <w:rFonts w:ascii="Arial" w:hAnsi="Arial" w:cs="Arial"/>
          <w:i/>
        </w:rPr>
        <w:t>A</w:t>
      </w:r>
      <w:r w:rsidRPr="003C04FC">
        <w:rPr>
          <w:rFonts w:ascii="Arial" w:hAnsi="Arial" w:cs="Arial"/>
        </w:rPr>
        <w:t xml:space="preserve"> y a C), de tal modo que existe una cadena de sustitución, tal que los productos (</w:t>
      </w:r>
      <w:r w:rsidRPr="003C04FC">
        <w:rPr>
          <w:rFonts w:ascii="Arial" w:hAnsi="Arial" w:cs="Arial"/>
          <w:i/>
        </w:rPr>
        <w:t>A</w:t>
      </w:r>
      <w:r w:rsidRPr="003C04FC">
        <w:rPr>
          <w:rFonts w:ascii="Arial" w:hAnsi="Arial" w:cs="Arial"/>
        </w:rPr>
        <w:t xml:space="preserve">, </w:t>
      </w:r>
      <w:r w:rsidRPr="003C04FC">
        <w:rPr>
          <w:rFonts w:ascii="Arial" w:hAnsi="Arial" w:cs="Arial"/>
          <w:i/>
        </w:rPr>
        <w:t>B</w:t>
      </w:r>
      <w:r w:rsidRPr="003C04FC">
        <w:rPr>
          <w:rFonts w:ascii="Arial" w:hAnsi="Arial" w:cs="Arial"/>
        </w:rPr>
        <w:t xml:space="preserve"> y </w:t>
      </w:r>
      <w:r w:rsidRPr="003C04FC">
        <w:rPr>
          <w:rFonts w:ascii="Arial" w:hAnsi="Arial" w:cs="Arial"/>
          <w:i/>
        </w:rPr>
        <w:t>C</w:t>
      </w:r>
      <w:r w:rsidRPr="003C04FC">
        <w:rPr>
          <w:rFonts w:ascii="Arial" w:hAnsi="Arial" w:cs="Arial"/>
        </w:rPr>
        <w:t xml:space="preserve">) pueden pertenecer al mismo MR si sus precios respectivos ejercen presiones entre sí. </w:t>
      </w:r>
    </w:p>
    <w:p w14:paraId="41EBFC30" w14:textId="77777777" w:rsidR="00BE0D80" w:rsidRPr="003C04FC" w:rsidRDefault="00BE0D80" w:rsidP="00BE0D80">
      <w:pPr>
        <w:spacing w:after="0"/>
        <w:jc w:val="both"/>
        <w:rPr>
          <w:rFonts w:ascii="Arial" w:hAnsi="Arial" w:cs="Arial"/>
        </w:rPr>
      </w:pPr>
    </w:p>
    <w:p w14:paraId="15369508" w14:textId="77777777" w:rsidR="00BE0D80" w:rsidRPr="00725954" w:rsidRDefault="00BE0D80" w:rsidP="00BE0D80">
      <w:pPr>
        <w:spacing w:after="0"/>
        <w:jc w:val="both"/>
        <w:rPr>
          <w:rStyle w:val="Refdecomentario"/>
          <w:rFonts w:ascii="Arial" w:hAnsi="Arial" w:cs="Arial"/>
        </w:rPr>
      </w:pPr>
      <w:r w:rsidRPr="003C04FC">
        <w:rPr>
          <w:rFonts w:ascii="Arial" w:hAnsi="Arial" w:cs="Arial"/>
        </w:rPr>
        <w:t>Para corroborar la existencia de cadenas de sustitución, el Instituto podrá utilizar evidencia “</w:t>
      </w:r>
      <w:r w:rsidRPr="003C04FC">
        <w:rPr>
          <w:rFonts w:ascii="Arial" w:hAnsi="Arial" w:cs="Arial"/>
          <w:i/>
        </w:rPr>
        <w:t>relacionada con la interdependencia de precios en los extremos de las cadenas de sustitución</w:t>
      </w:r>
      <w:r w:rsidRPr="003C04FC">
        <w:rPr>
          <w:rFonts w:ascii="Arial" w:hAnsi="Arial" w:cs="Arial"/>
        </w:rPr>
        <w:t>",</w:t>
      </w:r>
      <w:r w:rsidRPr="003C04FC">
        <w:rPr>
          <w:rFonts w:ascii="Arial" w:hAnsi="Arial" w:cs="Arial"/>
          <w:vertAlign w:val="superscript"/>
        </w:rPr>
        <w:footnoteReference w:id="43"/>
      </w:r>
      <w:r w:rsidRPr="003C04FC">
        <w:rPr>
          <w:rFonts w:ascii="Arial" w:hAnsi="Arial" w:cs="Arial"/>
        </w:rPr>
        <w:t xml:space="preserve"> el traslape o coincidencia de precios entre los productos, las diferencias en los costos incrementales de cada producto y la sustitución entre los productos adyacentes en la cadena</w:t>
      </w:r>
      <w:r w:rsidRPr="003C04FC">
        <w:rPr>
          <w:rStyle w:val="Refdecomentario"/>
          <w:rFonts w:ascii="Arial" w:hAnsi="Arial" w:cs="Arial"/>
        </w:rPr>
        <w:t>.</w:t>
      </w:r>
    </w:p>
    <w:p w14:paraId="6A001458" w14:textId="77777777" w:rsidR="00BE0D80" w:rsidRDefault="00BE0D80" w:rsidP="00BE0D80">
      <w:pPr>
        <w:spacing w:after="0"/>
        <w:jc w:val="both"/>
        <w:rPr>
          <w:rFonts w:ascii="Arial" w:hAnsi="Arial" w:cs="Arial"/>
        </w:rPr>
      </w:pPr>
    </w:p>
    <w:p w14:paraId="201955E7" w14:textId="77777777" w:rsidR="00BE0D80" w:rsidRPr="003C04FC" w:rsidRDefault="00BE0D80" w:rsidP="00BE0D80">
      <w:pPr>
        <w:spacing w:after="0"/>
        <w:jc w:val="both"/>
        <w:rPr>
          <w:rFonts w:ascii="Arial" w:hAnsi="Arial" w:cs="Arial"/>
        </w:rPr>
      </w:pPr>
      <w:r w:rsidRPr="003C04FC">
        <w:rPr>
          <w:rFonts w:ascii="Arial" w:hAnsi="Arial" w:cs="Arial"/>
        </w:rPr>
        <w:t>Respecto a la diferenciación de productos, en la sección 9.4 se hace una explicación detallada</w:t>
      </w:r>
      <w:r>
        <w:rPr>
          <w:rFonts w:ascii="Arial" w:hAnsi="Arial" w:cs="Arial"/>
        </w:rPr>
        <w:t xml:space="preserve"> y se presentan</w:t>
      </w:r>
      <w:r w:rsidRPr="003C04FC">
        <w:rPr>
          <w:rFonts w:ascii="Arial" w:hAnsi="Arial" w:cs="Arial"/>
        </w:rPr>
        <w:t xml:space="preserve"> los criterios que el Instituto podrá considerar para determinar el MR en presencia de productos diferenciados.</w:t>
      </w:r>
    </w:p>
    <w:p w14:paraId="070141E8" w14:textId="77777777" w:rsidR="00BE0D80" w:rsidRPr="003C04FC" w:rsidRDefault="00BE0D80" w:rsidP="00BE0D80">
      <w:pPr>
        <w:spacing w:after="0"/>
        <w:jc w:val="both"/>
        <w:rPr>
          <w:rFonts w:ascii="Arial" w:hAnsi="Arial" w:cs="Arial"/>
        </w:rPr>
      </w:pPr>
    </w:p>
    <w:p w14:paraId="564A2397" w14:textId="77777777" w:rsidR="00BE0D80" w:rsidRPr="003C04FC" w:rsidRDefault="00BE0D80" w:rsidP="00BE0D80">
      <w:pPr>
        <w:pStyle w:val="Prrafodelista"/>
        <w:keepNext/>
        <w:numPr>
          <w:ilvl w:val="0"/>
          <w:numId w:val="23"/>
        </w:numPr>
        <w:spacing w:after="0"/>
        <w:ind w:hanging="578"/>
        <w:contextualSpacing w:val="0"/>
        <w:jc w:val="both"/>
        <w:rPr>
          <w:rFonts w:ascii="Arial" w:hAnsi="Arial" w:cs="Arial"/>
          <w:b/>
        </w:rPr>
      </w:pPr>
      <w:r w:rsidRPr="003C04FC">
        <w:rPr>
          <w:rFonts w:ascii="Arial" w:hAnsi="Arial" w:cs="Arial"/>
          <w:b/>
        </w:rPr>
        <w:t>Cocientes de desvío, que miden la proporción de ventas que se desviaría de un producto a otro(s), en caso de un aumento en el precio del primero</w:t>
      </w:r>
    </w:p>
    <w:p w14:paraId="75444E8A" w14:textId="77777777" w:rsidR="00BE0D80" w:rsidRPr="003C04FC" w:rsidRDefault="00BE0D80" w:rsidP="00BE0D80">
      <w:pPr>
        <w:keepNext/>
        <w:spacing w:after="0"/>
        <w:jc w:val="both"/>
        <w:rPr>
          <w:rFonts w:ascii="Arial" w:hAnsi="Arial" w:cs="Arial"/>
        </w:rPr>
      </w:pPr>
    </w:p>
    <w:p w14:paraId="5885F98B" w14:textId="77777777" w:rsidR="00BE0D80" w:rsidRPr="003C04FC" w:rsidRDefault="00BE0D80" w:rsidP="00BE0D80">
      <w:pPr>
        <w:spacing w:after="0"/>
        <w:jc w:val="both"/>
        <w:rPr>
          <w:rFonts w:ascii="Arial" w:hAnsi="Arial" w:cs="Arial"/>
        </w:rPr>
      </w:pPr>
      <w:r w:rsidRPr="003C04FC">
        <w:rPr>
          <w:rFonts w:ascii="Arial" w:hAnsi="Arial" w:cs="Arial"/>
        </w:rPr>
        <w:t>El Instituto podrá utilizar información sobre cocientes de desvío para identificar y ordenar sustitutos del producto analizado, en términos de su importancia, cuando dicha información se encuentre disponible.</w:t>
      </w:r>
    </w:p>
    <w:p w14:paraId="26C33B9D" w14:textId="77777777" w:rsidR="00BE0D80" w:rsidRPr="003C04FC" w:rsidRDefault="00BE0D80" w:rsidP="00BE0D80">
      <w:pPr>
        <w:spacing w:after="0"/>
        <w:jc w:val="both"/>
        <w:rPr>
          <w:rFonts w:ascii="Arial" w:hAnsi="Arial" w:cs="Arial"/>
        </w:rPr>
      </w:pPr>
    </w:p>
    <w:p w14:paraId="2AD2C204" w14:textId="77777777" w:rsidR="00BE0D80" w:rsidRPr="003C04FC" w:rsidRDefault="00BE0D80" w:rsidP="00BE0D80">
      <w:pPr>
        <w:spacing w:after="0"/>
        <w:jc w:val="both"/>
        <w:rPr>
          <w:rFonts w:ascii="Arial" w:hAnsi="Arial" w:cs="Arial"/>
        </w:rPr>
      </w:pPr>
      <w:r w:rsidRPr="003C04FC">
        <w:rPr>
          <w:rFonts w:ascii="Arial" w:hAnsi="Arial" w:cs="Arial"/>
        </w:rPr>
        <w:t xml:space="preserve">Por ejemplo, si los datos indican que ante un SSNIP del producto </w:t>
      </w:r>
      <w:r w:rsidRPr="003C04FC">
        <w:rPr>
          <w:rFonts w:ascii="Arial" w:hAnsi="Arial" w:cs="Arial"/>
          <w:i/>
        </w:rPr>
        <w:t>A</w:t>
      </w:r>
      <w:r w:rsidRPr="003C04FC">
        <w:rPr>
          <w:rFonts w:ascii="Arial" w:hAnsi="Arial" w:cs="Arial"/>
        </w:rPr>
        <w:t xml:space="preserve">, se pierden ventas por 100 unidades, y 20 de éstas son capturadas por el producto </w:t>
      </w:r>
      <w:r w:rsidRPr="003C04FC">
        <w:rPr>
          <w:rFonts w:ascii="Arial" w:hAnsi="Arial" w:cs="Arial"/>
          <w:i/>
        </w:rPr>
        <w:t>B</w:t>
      </w:r>
      <w:r w:rsidRPr="003C04FC">
        <w:rPr>
          <w:rFonts w:ascii="Arial" w:hAnsi="Arial" w:cs="Arial"/>
        </w:rPr>
        <w:t xml:space="preserve"> y 80 por el producto </w:t>
      </w:r>
      <w:r w:rsidRPr="003C04FC">
        <w:rPr>
          <w:rFonts w:ascii="Arial" w:hAnsi="Arial" w:cs="Arial"/>
          <w:i/>
        </w:rPr>
        <w:t>C</w:t>
      </w:r>
      <w:r w:rsidRPr="003C04FC">
        <w:rPr>
          <w:rFonts w:ascii="Arial" w:hAnsi="Arial" w:cs="Arial"/>
        </w:rPr>
        <w:t xml:space="preserve">, el cociente de desvío de </w:t>
      </w:r>
      <w:r w:rsidRPr="003C04FC">
        <w:rPr>
          <w:rFonts w:ascii="Arial" w:hAnsi="Arial" w:cs="Arial"/>
          <w:i/>
        </w:rPr>
        <w:t>A</w:t>
      </w:r>
      <w:r w:rsidRPr="003C04FC">
        <w:rPr>
          <w:rFonts w:ascii="Arial" w:hAnsi="Arial" w:cs="Arial"/>
        </w:rPr>
        <w:t xml:space="preserve"> a </w:t>
      </w:r>
      <w:r w:rsidRPr="003C04FC">
        <w:rPr>
          <w:rFonts w:ascii="Arial" w:hAnsi="Arial" w:cs="Arial"/>
          <w:i/>
        </w:rPr>
        <w:t>B</w:t>
      </w:r>
      <w:r w:rsidRPr="003C04FC">
        <w:rPr>
          <w:rFonts w:ascii="Arial" w:hAnsi="Arial" w:cs="Arial"/>
        </w:rPr>
        <w:t xml:space="preserve"> es 20% y el cociente de desvío de </w:t>
      </w:r>
      <w:r w:rsidRPr="003C04FC">
        <w:rPr>
          <w:rFonts w:ascii="Arial" w:hAnsi="Arial" w:cs="Arial"/>
          <w:i/>
        </w:rPr>
        <w:t>A</w:t>
      </w:r>
      <w:r w:rsidRPr="003C04FC">
        <w:rPr>
          <w:rFonts w:ascii="Arial" w:hAnsi="Arial" w:cs="Arial"/>
        </w:rPr>
        <w:t xml:space="preserve"> a </w:t>
      </w:r>
      <w:r w:rsidRPr="003C04FC">
        <w:rPr>
          <w:rFonts w:ascii="Arial" w:hAnsi="Arial" w:cs="Arial"/>
          <w:i/>
        </w:rPr>
        <w:t>C</w:t>
      </w:r>
      <w:r w:rsidRPr="003C04FC">
        <w:rPr>
          <w:rFonts w:ascii="Arial" w:hAnsi="Arial" w:cs="Arial"/>
        </w:rPr>
        <w:t xml:space="preserve"> es 80%. Estos cocientes indican que </w:t>
      </w:r>
      <w:r w:rsidRPr="003C04FC">
        <w:rPr>
          <w:rFonts w:ascii="Arial" w:hAnsi="Arial" w:cs="Arial"/>
          <w:i/>
        </w:rPr>
        <w:t>C</w:t>
      </w:r>
      <w:r w:rsidRPr="003C04FC">
        <w:rPr>
          <w:rFonts w:ascii="Arial" w:hAnsi="Arial" w:cs="Arial"/>
        </w:rPr>
        <w:t xml:space="preserve"> es un sustituto más cercano de </w:t>
      </w:r>
      <w:r w:rsidRPr="003C04FC">
        <w:rPr>
          <w:rFonts w:ascii="Arial" w:hAnsi="Arial" w:cs="Arial"/>
          <w:i/>
        </w:rPr>
        <w:t>A</w:t>
      </w:r>
      <w:r w:rsidRPr="003C04FC">
        <w:rPr>
          <w:rFonts w:ascii="Arial" w:hAnsi="Arial" w:cs="Arial"/>
        </w:rPr>
        <w:t xml:space="preserve"> que </w:t>
      </w:r>
      <w:r w:rsidRPr="003C04FC">
        <w:rPr>
          <w:rFonts w:ascii="Arial" w:hAnsi="Arial" w:cs="Arial"/>
          <w:i/>
        </w:rPr>
        <w:t>B</w:t>
      </w:r>
      <w:r w:rsidRPr="003C04FC">
        <w:rPr>
          <w:rFonts w:ascii="Arial" w:hAnsi="Arial" w:cs="Arial"/>
        </w:rPr>
        <w:t>. Es decir, entre más alto sea el cociente de desvío entre productos, indica un mayor grado de sustitución entre ellos. La estimación de cocientes de desvío puede realizarse directamente si se cuenta con información sobre la elasticidad precio de la demanda y la elasticidad cruzada de la demanda, o a partir de encuestas o estudios de demanda.</w:t>
      </w:r>
    </w:p>
    <w:p w14:paraId="7269CDF8" w14:textId="77777777" w:rsidR="00BE0D80" w:rsidRPr="003C04FC" w:rsidRDefault="00BE0D80" w:rsidP="00BE0D80">
      <w:pPr>
        <w:spacing w:after="0"/>
        <w:jc w:val="both"/>
        <w:rPr>
          <w:rFonts w:ascii="Arial" w:hAnsi="Arial" w:cs="Arial"/>
        </w:rPr>
      </w:pPr>
    </w:p>
    <w:p w14:paraId="600F9DF9" w14:textId="77777777" w:rsidR="00BE0D80" w:rsidRPr="003C04FC" w:rsidRDefault="00BE0D80" w:rsidP="00BE0D8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En el contexto de una integración vertical, la influencia de la competencia en mercados aguas abajo y aguas arriba</w:t>
      </w:r>
    </w:p>
    <w:p w14:paraId="522C5576" w14:textId="77777777" w:rsidR="00BE0D80" w:rsidRPr="003C04FC" w:rsidRDefault="00BE0D80" w:rsidP="00BE0D80">
      <w:pPr>
        <w:spacing w:after="0"/>
        <w:jc w:val="both"/>
        <w:rPr>
          <w:rFonts w:ascii="Arial" w:hAnsi="Arial" w:cs="Arial"/>
        </w:rPr>
      </w:pPr>
    </w:p>
    <w:p w14:paraId="09D78150" w14:textId="77777777" w:rsidR="00BE0D80" w:rsidRDefault="00BE0D80" w:rsidP="00BE0D80">
      <w:pPr>
        <w:spacing w:after="0"/>
        <w:jc w:val="both"/>
        <w:rPr>
          <w:rFonts w:ascii="Arial" w:hAnsi="Arial" w:cs="Arial"/>
        </w:rPr>
      </w:pPr>
      <w:r w:rsidRPr="003C04FC">
        <w:rPr>
          <w:rFonts w:ascii="Arial" w:hAnsi="Arial" w:cs="Arial"/>
        </w:rPr>
        <w:t>En la sección 9.</w:t>
      </w:r>
      <w:r>
        <w:rPr>
          <w:rFonts w:ascii="Arial" w:hAnsi="Arial" w:cs="Arial"/>
        </w:rPr>
        <w:t>1</w:t>
      </w:r>
      <w:r w:rsidRPr="003C04FC">
        <w:rPr>
          <w:rFonts w:ascii="Arial" w:hAnsi="Arial" w:cs="Arial"/>
        </w:rPr>
        <w:t xml:space="preserve"> se presentan los criterios que el Instituto podrá considerar para determinar el MR en presencia de integraciones verticales.</w:t>
      </w:r>
    </w:p>
    <w:p w14:paraId="2B888DB1" w14:textId="77777777" w:rsidR="00BE0D80" w:rsidRPr="00725954" w:rsidRDefault="00BE0D80" w:rsidP="00BE0D80">
      <w:pPr>
        <w:spacing w:after="0"/>
        <w:jc w:val="both"/>
        <w:rPr>
          <w:rFonts w:ascii="Arial" w:hAnsi="Arial" w:cs="Arial"/>
        </w:rPr>
      </w:pPr>
    </w:p>
    <w:p w14:paraId="30B0788C" w14:textId="77777777" w:rsidR="00BE0D80" w:rsidRPr="00B451E2" w:rsidRDefault="00BE0D80" w:rsidP="00BE0D80">
      <w:pPr>
        <w:pStyle w:val="Ttulo4"/>
        <w:keepLines w:val="0"/>
        <w:numPr>
          <w:ilvl w:val="3"/>
          <w:numId w:val="5"/>
        </w:numPr>
        <w:spacing w:before="0" w:after="0" w:line="276" w:lineRule="auto"/>
        <w:ind w:left="2268"/>
        <w:rPr>
          <w:rFonts w:ascii="Arial" w:eastAsia="Times New Roman" w:hAnsi="Arial" w:cs="Arial"/>
          <w:b w:val="0"/>
          <w:i/>
          <w:lang w:eastAsia="es-MX"/>
        </w:rPr>
      </w:pPr>
      <w:r>
        <w:rPr>
          <w:rFonts w:ascii="Arial" w:eastAsia="Times New Roman" w:hAnsi="Arial" w:cs="Arial"/>
          <w:lang w:eastAsia="es-MX"/>
        </w:rPr>
        <w:lastRenderedPageBreak/>
        <w:t>Sustitución p</w:t>
      </w:r>
      <w:r w:rsidRPr="00B451E2">
        <w:rPr>
          <w:rFonts w:ascii="Arial" w:eastAsia="Times New Roman" w:hAnsi="Arial" w:cs="Arial"/>
          <w:lang w:eastAsia="es-MX"/>
        </w:rPr>
        <w:t>or el lado de la oferta</w:t>
      </w:r>
    </w:p>
    <w:p w14:paraId="7D0D6401" w14:textId="77777777" w:rsidR="00BE0D80" w:rsidRDefault="00BE0D80" w:rsidP="00BE0D80">
      <w:pPr>
        <w:keepNext/>
        <w:spacing w:after="0"/>
        <w:jc w:val="both"/>
        <w:rPr>
          <w:rFonts w:ascii="Arial" w:hAnsi="Arial" w:cs="Arial"/>
        </w:rPr>
      </w:pPr>
    </w:p>
    <w:p w14:paraId="05C26FB4" w14:textId="1BD6F02E" w:rsidR="00BE0D80" w:rsidRDefault="00BE0D80" w:rsidP="00BE0D80">
      <w:pPr>
        <w:spacing w:after="0"/>
        <w:jc w:val="both"/>
        <w:rPr>
          <w:rFonts w:ascii="Arial" w:hAnsi="Arial" w:cs="Arial"/>
        </w:rPr>
      </w:pPr>
      <w:r w:rsidRPr="00A732BD">
        <w:rPr>
          <w:rFonts w:ascii="Arial" w:hAnsi="Arial" w:cs="Arial"/>
        </w:rPr>
        <w:t>El análisis de sustitución por el lado de la oferta consiste en evaluar la capacidad que tienen los oferentes que pudieran tener incentivos para proveer el producto analizado</w:t>
      </w:r>
      <w:r>
        <w:rPr>
          <w:rFonts w:ascii="Arial" w:hAnsi="Arial" w:cs="Arial"/>
        </w:rPr>
        <w:t xml:space="preserve">, para hacerlo </w:t>
      </w:r>
      <w:r w:rsidRPr="00A732BD">
        <w:rPr>
          <w:rFonts w:ascii="Arial" w:hAnsi="Arial" w:cs="Arial"/>
        </w:rPr>
        <w:t>de manera eficaz e inmediata</w:t>
      </w:r>
      <w:r>
        <w:rPr>
          <w:rFonts w:ascii="Arial" w:hAnsi="Arial" w:cs="Arial"/>
        </w:rPr>
        <w:t xml:space="preserve">, </w:t>
      </w:r>
      <w:r w:rsidRPr="00A732BD">
        <w:rPr>
          <w:rFonts w:ascii="Arial" w:hAnsi="Arial" w:cs="Arial"/>
        </w:rPr>
        <w:t xml:space="preserve">en respuesta a pequeñas variaciones </w:t>
      </w:r>
      <w:r>
        <w:rPr>
          <w:rFonts w:ascii="Arial" w:hAnsi="Arial" w:cs="Arial"/>
        </w:rPr>
        <w:t>no transitorias</w:t>
      </w:r>
      <w:r w:rsidRPr="00A732BD">
        <w:rPr>
          <w:rFonts w:ascii="Arial" w:hAnsi="Arial" w:cs="Arial"/>
        </w:rPr>
        <w:t xml:space="preserve"> en los precios relativos</w:t>
      </w:r>
      <w:r>
        <w:rPr>
          <w:rFonts w:ascii="Arial" w:hAnsi="Arial" w:cs="Arial"/>
        </w:rPr>
        <w:t xml:space="preserve"> u otras variables relevantes</w:t>
      </w:r>
      <w:r w:rsidRPr="00A732BD">
        <w:rPr>
          <w:rFonts w:ascii="Arial" w:hAnsi="Arial" w:cs="Arial"/>
        </w:rPr>
        <w:t>.</w:t>
      </w:r>
    </w:p>
    <w:p w14:paraId="1FC8C963" w14:textId="77777777" w:rsidR="00FD65BF" w:rsidRDefault="00FD65BF" w:rsidP="00BE0D80">
      <w:pPr>
        <w:spacing w:after="0"/>
        <w:jc w:val="both"/>
        <w:rPr>
          <w:rFonts w:ascii="Arial" w:hAnsi="Arial" w:cs="Arial"/>
        </w:rPr>
      </w:pPr>
    </w:p>
    <w:p w14:paraId="0F441141" w14:textId="77777777" w:rsidR="00BE0D80" w:rsidRDefault="00BE0D80" w:rsidP="00BE0D80">
      <w:pPr>
        <w:spacing w:after="0"/>
        <w:jc w:val="both"/>
        <w:rPr>
          <w:rFonts w:ascii="Arial" w:hAnsi="Arial" w:cs="Arial"/>
        </w:rPr>
      </w:pPr>
      <w:r w:rsidRPr="003C04FC">
        <w:rPr>
          <w:rFonts w:ascii="Arial" w:hAnsi="Arial" w:cs="Arial"/>
        </w:rPr>
        <w:t xml:space="preserve">Cuando esto ocurre, esta oferta adicional puede restringir el comportamiento de los competidores y tener efectos equivalentes a los de la sustitución por el lado de la demanda. De esta manera, el análisis de sustitución por el lado de la oferta puede ampliar la dimensión </w:t>
      </w:r>
      <w:r>
        <w:rPr>
          <w:rFonts w:ascii="Arial" w:hAnsi="Arial" w:cs="Arial"/>
        </w:rPr>
        <w:t>producto</w:t>
      </w:r>
      <w:r w:rsidRPr="003C04FC">
        <w:rPr>
          <w:rFonts w:ascii="Arial" w:hAnsi="Arial" w:cs="Arial"/>
        </w:rPr>
        <w:t xml:space="preserve"> del MR. </w:t>
      </w:r>
    </w:p>
    <w:p w14:paraId="41569B51" w14:textId="77777777" w:rsidR="00BE0D80" w:rsidRPr="003C04FC" w:rsidRDefault="00BE0D80" w:rsidP="00BE0D80">
      <w:pPr>
        <w:spacing w:after="0"/>
        <w:jc w:val="both"/>
        <w:rPr>
          <w:rFonts w:ascii="Arial" w:hAnsi="Arial" w:cs="Arial"/>
        </w:rPr>
      </w:pPr>
    </w:p>
    <w:p w14:paraId="32914ED0" w14:textId="77777777" w:rsidR="00BE0D80" w:rsidRDefault="00BE0D80" w:rsidP="00BE0D80">
      <w:pPr>
        <w:spacing w:after="0"/>
        <w:jc w:val="both"/>
        <w:rPr>
          <w:rFonts w:ascii="Arial" w:hAnsi="Arial" w:cs="Arial"/>
        </w:rPr>
      </w:pPr>
      <w:r w:rsidRPr="003C04FC">
        <w:rPr>
          <w:rFonts w:ascii="Arial" w:hAnsi="Arial" w:cs="Arial"/>
        </w:rPr>
        <w:t>Conforme la sustitución por el lado de la oferta implique que los proveedores de bienes y servicios deban ajustar de manera significativa los activos materiales e inmateriales existentes, las inversiones, las decisiones estratégicas o los plazos, el análisis de sustitución po</w:t>
      </w:r>
      <w:r>
        <w:rPr>
          <w:rFonts w:ascii="Arial" w:hAnsi="Arial" w:cs="Arial"/>
        </w:rPr>
        <w:t>r el lado de la oferta no tiene</w:t>
      </w:r>
      <w:r w:rsidRPr="003C04FC">
        <w:rPr>
          <w:rFonts w:ascii="Arial" w:hAnsi="Arial" w:cs="Arial"/>
        </w:rPr>
        <w:t xml:space="preserve"> incidencia en la delimitación del MR.</w:t>
      </w:r>
    </w:p>
    <w:p w14:paraId="007DA187" w14:textId="77777777" w:rsidR="00C21851" w:rsidRDefault="00C21851" w:rsidP="00BE0D80">
      <w:pPr>
        <w:spacing w:after="0"/>
        <w:jc w:val="both"/>
        <w:rPr>
          <w:rFonts w:ascii="Arial" w:hAnsi="Arial" w:cs="Arial"/>
        </w:rPr>
      </w:pPr>
    </w:p>
    <w:p w14:paraId="0B8959FB" w14:textId="6A274B38" w:rsidR="00BE0D80" w:rsidRPr="003C04FC" w:rsidRDefault="00BE0D80" w:rsidP="00BE0D80">
      <w:pPr>
        <w:spacing w:after="0"/>
        <w:jc w:val="both"/>
        <w:rPr>
          <w:rFonts w:ascii="Arial" w:hAnsi="Arial" w:cs="Arial"/>
        </w:rPr>
      </w:pPr>
      <w:r w:rsidRPr="003C04FC">
        <w:rPr>
          <w:rFonts w:ascii="Arial" w:hAnsi="Arial" w:cs="Arial"/>
        </w:rPr>
        <w:t xml:space="preserve">Para llevar a cabo el análisis de sustitución por el lado de la oferta, el Instituto </w:t>
      </w:r>
      <w:r>
        <w:rPr>
          <w:rFonts w:ascii="Arial" w:hAnsi="Arial" w:cs="Arial"/>
        </w:rPr>
        <w:t xml:space="preserve">podrá </w:t>
      </w:r>
      <w:r w:rsidRPr="003C04FC">
        <w:rPr>
          <w:rFonts w:ascii="Arial" w:hAnsi="Arial" w:cs="Arial"/>
        </w:rPr>
        <w:t>considerar los siguientes elementos.</w:t>
      </w:r>
    </w:p>
    <w:p w14:paraId="2F4DB28C" w14:textId="77777777" w:rsidR="00BE0D80" w:rsidRPr="00725954" w:rsidRDefault="00BE0D80" w:rsidP="00BE0D80">
      <w:pPr>
        <w:keepNext/>
        <w:spacing w:after="0"/>
        <w:jc w:val="both"/>
        <w:rPr>
          <w:rFonts w:ascii="Arial" w:hAnsi="Arial" w:cs="Arial"/>
        </w:rPr>
      </w:pPr>
    </w:p>
    <w:p w14:paraId="52C77FD2" w14:textId="77777777" w:rsidR="00BE0D80" w:rsidRPr="003C04FC" w:rsidRDefault="00BE0D80" w:rsidP="00C21851">
      <w:pPr>
        <w:pStyle w:val="Prrafodelista"/>
        <w:keepNext/>
        <w:numPr>
          <w:ilvl w:val="0"/>
          <w:numId w:val="12"/>
        </w:numPr>
        <w:spacing w:after="0"/>
        <w:ind w:hanging="578"/>
        <w:contextualSpacing w:val="0"/>
        <w:jc w:val="both"/>
        <w:rPr>
          <w:rFonts w:ascii="Arial" w:hAnsi="Arial" w:cs="Arial"/>
          <w:b/>
          <w:i/>
        </w:rPr>
      </w:pPr>
      <w:r w:rsidRPr="00EB3009">
        <w:rPr>
          <w:rFonts w:ascii="Arial" w:hAnsi="Arial" w:cs="Arial"/>
          <w:b/>
        </w:rPr>
        <w:t xml:space="preserve">Requisitos </w:t>
      </w:r>
      <w:r w:rsidRPr="003C04FC">
        <w:rPr>
          <w:rFonts w:ascii="Arial" w:hAnsi="Arial" w:cs="Arial"/>
          <w:b/>
        </w:rPr>
        <w:t xml:space="preserve">normativos de carácter federal, local o internacional, como concesiones, permisos o autorizaciones, </w:t>
      </w:r>
      <w:r w:rsidRPr="003C04FC">
        <w:rPr>
          <w:rFonts w:ascii="Arial" w:eastAsia="Calibri" w:hAnsi="Arial" w:cs="Arial"/>
          <w:b/>
        </w:rPr>
        <w:t>que limiten el acceso de prov</w:t>
      </w:r>
      <w:r>
        <w:rPr>
          <w:rFonts w:ascii="Arial" w:eastAsia="Calibri" w:hAnsi="Arial" w:cs="Arial"/>
          <w:b/>
        </w:rPr>
        <w:t>eedores a clientes alternativos</w:t>
      </w:r>
    </w:p>
    <w:p w14:paraId="4A7F88C2" w14:textId="77777777" w:rsidR="00BE0D80" w:rsidRPr="003C04FC" w:rsidRDefault="00BE0D80" w:rsidP="00C21851">
      <w:pPr>
        <w:keepNext/>
        <w:spacing w:after="0"/>
        <w:jc w:val="both"/>
        <w:rPr>
          <w:rFonts w:ascii="Arial" w:hAnsi="Arial" w:cs="Arial"/>
        </w:rPr>
      </w:pPr>
    </w:p>
    <w:p w14:paraId="19AE62C8" w14:textId="77777777" w:rsidR="00BE0D80" w:rsidRPr="003C04FC" w:rsidRDefault="00BE0D80" w:rsidP="00BE0D80">
      <w:pPr>
        <w:tabs>
          <w:tab w:val="left" w:pos="3828"/>
        </w:tabs>
        <w:spacing w:after="0"/>
        <w:jc w:val="both"/>
        <w:rPr>
          <w:rFonts w:ascii="Arial" w:hAnsi="Arial" w:cs="Arial"/>
        </w:rPr>
      </w:pPr>
      <w:r w:rsidRPr="003C04FC">
        <w:rPr>
          <w:rFonts w:ascii="Arial" w:hAnsi="Arial" w:cs="Arial"/>
        </w:rPr>
        <w:t>El Instituto podrá analizar la existencia de requisitos normativos de carácter federal, local o internacional que limiten la capacidad o disposición de proveedores para adecuar sus sistemas productivos, o modelos de negocio, y ofrecer el producto analizado.</w:t>
      </w:r>
    </w:p>
    <w:p w14:paraId="52104023" w14:textId="77777777" w:rsidR="00BE0D80" w:rsidRPr="003C04FC" w:rsidRDefault="00BE0D80" w:rsidP="00BE0D80">
      <w:pPr>
        <w:tabs>
          <w:tab w:val="left" w:pos="3828"/>
        </w:tabs>
        <w:spacing w:after="0"/>
        <w:jc w:val="both"/>
        <w:rPr>
          <w:rFonts w:ascii="Arial" w:hAnsi="Arial" w:cs="Arial"/>
        </w:rPr>
      </w:pPr>
    </w:p>
    <w:p w14:paraId="5479625E" w14:textId="77777777" w:rsidR="00BE0D80" w:rsidRPr="003C04FC" w:rsidRDefault="00BE0D80" w:rsidP="00BE0D80">
      <w:pPr>
        <w:tabs>
          <w:tab w:val="left" w:pos="3828"/>
        </w:tabs>
        <w:spacing w:after="0"/>
        <w:jc w:val="both"/>
        <w:rPr>
          <w:rFonts w:ascii="Arial" w:hAnsi="Arial" w:cs="Arial"/>
        </w:rPr>
      </w:pPr>
      <w:r w:rsidRPr="003C04FC">
        <w:rPr>
          <w:rFonts w:ascii="Arial" w:hAnsi="Arial" w:cs="Arial"/>
        </w:rPr>
        <w:t xml:space="preserve">Por ejemplo, el Instituto </w:t>
      </w:r>
      <w:r>
        <w:rPr>
          <w:rFonts w:ascii="Arial" w:hAnsi="Arial" w:cs="Arial"/>
        </w:rPr>
        <w:t xml:space="preserve">podrá </w:t>
      </w:r>
      <w:r w:rsidRPr="003C04FC">
        <w:rPr>
          <w:rFonts w:ascii="Arial" w:hAnsi="Arial" w:cs="Arial"/>
        </w:rPr>
        <w:t xml:space="preserve">considerar requisitos como: i) la necesidad de obtener concesiones, permisos o autorizaciones, ii) la existencia de derechos exclusivos a algunos proveedores para prestar servicios u ofrecer bienes, iii) las restricciones regulatorias que impidan que ciertos agentes ofrezcan determinados productos o iv) la necesidad de cumplir con estándares específicos. </w:t>
      </w:r>
    </w:p>
    <w:p w14:paraId="4FBFA051" w14:textId="77777777" w:rsidR="00BE0D80" w:rsidRPr="003C04FC" w:rsidRDefault="00BE0D80" w:rsidP="00BE0D80">
      <w:pPr>
        <w:spacing w:after="0"/>
        <w:jc w:val="both"/>
        <w:rPr>
          <w:rFonts w:ascii="Arial" w:hAnsi="Arial" w:cs="Arial"/>
        </w:rPr>
      </w:pPr>
    </w:p>
    <w:p w14:paraId="05761A0C" w14:textId="77777777" w:rsidR="00BE0D80" w:rsidRPr="00EB3009" w:rsidRDefault="00BE0D80" w:rsidP="00BE0D80">
      <w:pPr>
        <w:spacing w:after="0"/>
        <w:jc w:val="both"/>
        <w:rPr>
          <w:rFonts w:ascii="Arial" w:hAnsi="Arial" w:cs="Arial"/>
        </w:rPr>
      </w:pPr>
      <w:r w:rsidRPr="003C04FC">
        <w:rPr>
          <w:rFonts w:ascii="Arial" w:hAnsi="Arial" w:cs="Arial"/>
        </w:rPr>
        <w:t>Algunas limitaciones relacionadas con aspectos normativos pueden ser implícitas, es decir, restringir la entrada de las empresas de manera indirecta. Por ejemplo</w:t>
      </w:r>
      <w:r>
        <w:rPr>
          <w:rFonts w:ascii="Arial" w:hAnsi="Arial" w:cs="Arial"/>
        </w:rPr>
        <w:t>,</w:t>
      </w:r>
      <w:r w:rsidRPr="003C04FC">
        <w:rPr>
          <w:rFonts w:ascii="Arial" w:hAnsi="Arial" w:cs="Arial"/>
        </w:rPr>
        <w:t xml:space="preserve"> cuando en ciertas circunstancias, la ausencia de regulación a las empresas establecidas para compartir su red con las entrantes podría implicar una perspectiva de negocios más incierta para un AE entrante y rival potencial.</w:t>
      </w:r>
      <w:r w:rsidRPr="003C04FC">
        <w:rPr>
          <w:rStyle w:val="Refdenotaalpie"/>
          <w:rFonts w:ascii="Arial" w:hAnsi="Arial" w:cs="Arial"/>
        </w:rPr>
        <w:footnoteReference w:id="44"/>
      </w:r>
    </w:p>
    <w:p w14:paraId="1ED1F0F0" w14:textId="77777777" w:rsidR="00BE0D80" w:rsidRPr="00EB3009" w:rsidRDefault="00BE0D80" w:rsidP="00BE0D80">
      <w:pPr>
        <w:spacing w:after="0"/>
        <w:jc w:val="both"/>
        <w:rPr>
          <w:rFonts w:ascii="Arial" w:hAnsi="Arial" w:cs="Arial"/>
        </w:rPr>
      </w:pPr>
    </w:p>
    <w:p w14:paraId="7714F1F7" w14:textId="77777777" w:rsidR="00BE0D80" w:rsidRPr="00EB3009" w:rsidRDefault="00BE0D80" w:rsidP="00BE0D80">
      <w:pPr>
        <w:pStyle w:val="Prrafodelista"/>
        <w:keepNext/>
        <w:numPr>
          <w:ilvl w:val="0"/>
          <w:numId w:val="23"/>
        </w:numPr>
        <w:spacing w:after="0"/>
        <w:ind w:hanging="578"/>
        <w:contextualSpacing w:val="0"/>
        <w:jc w:val="both"/>
        <w:rPr>
          <w:rFonts w:ascii="Arial" w:hAnsi="Arial" w:cs="Arial"/>
          <w:b/>
        </w:rPr>
      </w:pPr>
      <w:r w:rsidRPr="00EB3009">
        <w:rPr>
          <w:rFonts w:ascii="Arial" w:hAnsi="Arial" w:cs="Arial"/>
          <w:b/>
        </w:rPr>
        <w:lastRenderedPageBreak/>
        <w:t xml:space="preserve">Evidencia, opiniones, estrategias y comportamiento de proveedores respecto a sus posibilidades y disposición (en términos de tiempo, costos e incentivos) para </w:t>
      </w:r>
      <w:r>
        <w:rPr>
          <w:rFonts w:ascii="Arial" w:hAnsi="Arial" w:cs="Arial"/>
          <w:b/>
        </w:rPr>
        <w:t>proveer el producto analizado</w:t>
      </w:r>
      <w:r w:rsidRPr="00EB3009">
        <w:rPr>
          <w:rFonts w:ascii="Arial" w:hAnsi="Arial" w:cs="Arial"/>
          <w:b/>
        </w:rPr>
        <w:t xml:space="preserve"> ante incrementos en el precio (por ejemplo, del 5%-10%) </w:t>
      </w:r>
      <w:r>
        <w:rPr>
          <w:rFonts w:ascii="Arial" w:hAnsi="Arial" w:cs="Arial"/>
          <w:b/>
        </w:rPr>
        <w:t>o</w:t>
      </w:r>
      <w:r w:rsidRPr="00EB3009">
        <w:rPr>
          <w:rFonts w:ascii="Arial" w:hAnsi="Arial" w:cs="Arial"/>
          <w:b/>
        </w:rPr>
        <w:t xml:space="preserve"> </w:t>
      </w:r>
      <w:r>
        <w:rPr>
          <w:rFonts w:ascii="Arial" w:hAnsi="Arial" w:cs="Arial"/>
          <w:b/>
        </w:rPr>
        <w:t>variaciones en</w:t>
      </w:r>
      <w:r w:rsidRPr="00EB3009">
        <w:rPr>
          <w:rFonts w:ascii="Arial" w:hAnsi="Arial" w:cs="Arial"/>
          <w:b/>
        </w:rPr>
        <w:t xml:space="preserve"> otras variables de competencia</w:t>
      </w:r>
      <w:r>
        <w:rPr>
          <w:rFonts w:ascii="Arial" w:hAnsi="Arial" w:cs="Arial"/>
          <w:b/>
        </w:rPr>
        <w:t xml:space="preserve"> (</w:t>
      </w:r>
      <w:r w:rsidRPr="00725954">
        <w:rPr>
          <w:rFonts w:ascii="Arial" w:hAnsi="Arial" w:cs="Arial"/>
          <w:b/>
        </w:rPr>
        <w:t xml:space="preserve">por ejemplo, </w:t>
      </w:r>
      <w:r>
        <w:rPr>
          <w:rFonts w:ascii="Arial" w:hAnsi="Arial" w:cs="Arial"/>
          <w:b/>
        </w:rPr>
        <w:t xml:space="preserve">disminuciones en </w:t>
      </w:r>
      <w:r w:rsidRPr="00725954">
        <w:rPr>
          <w:rFonts w:ascii="Arial" w:hAnsi="Arial" w:cs="Arial"/>
          <w:b/>
        </w:rPr>
        <w:t>la calidad</w:t>
      </w:r>
      <w:r>
        <w:rPr>
          <w:rFonts w:ascii="Arial" w:hAnsi="Arial" w:cs="Arial"/>
          <w:b/>
        </w:rPr>
        <w:t>)</w:t>
      </w:r>
    </w:p>
    <w:p w14:paraId="79937535" w14:textId="77777777" w:rsidR="00BE0D80" w:rsidRPr="00EB3009" w:rsidRDefault="00BE0D80" w:rsidP="00BE0D80">
      <w:pPr>
        <w:keepNext/>
        <w:spacing w:after="0"/>
        <w:jc w:val="both"/>
        <w:rPr>
          <w:rFonts w:ascii="Arial" w:hAnsi="Arial" w:cs="Arial"/>
          <w:b/>
        </w:rPr>
      </w:pPr>
    </w:p>
    <w:p w14:paraId="2904626C" w14:textId="77777777" w:rsidR="00BE0D80" w:rsidRPr="003C04FC" w:rsidRDefault="00BE0D80" w:rsidP="00BE0D80">
      <w:pPr>
        <w:spacing w:after="0"/>
        <w:jc w:val="both"/>
        <w:rPr>
          <w:rFonts w:ascii="Arial" w:hAnsi="Arial" w:cs="Arial"/>
        </w:rPr>
      </w:pPr>
      <w:r w:rsidRPr="003C04FC">
        <w:rPr>
          <w:rFonts w:ascii="Arial" w:hAnsi="Arial" w:cs="Arial"/>
        </w:rPr>
        <w:t xml:space="preserve">El Instituto podrá evaluar la evidencia histórica sobre proveedores que hayan ajustado sus procesos productivos para proveer el producto analizado, incluyendo información sobre los incentivos, costos y el tiempo requeridos. Entre menor sea el costo y tiempo que se requiere para </w:t>
      </w:r>
      <w:r>
        <w:rPr>
          <w:rFonts w:ascii="Arial" w:hAnsi="Arial" w:cs="Arial"/>
        </w:rPr>
        <w:t>comenzar a proveer el producto analizado</w:t>
      </w:r>
      <w:r w:rsidRPr="003C04FC">
        <w:rPr>
          <w:rFonts w:ascii="Arial" w:hAnsi="Arial" w:cs="Arial"/>
        </w:rPr>
        <w:t xml:space="preserve"> ante incrementos </w:t>
      </w:r>
      <w:r>
        <w:rPr>
          <w:rFonts w:ascii="Arial" w:hAnsi="Arial" w:cs="Arial"/>
        </w:rPr>
        <w:t>su</w:t>
      </w:r>
      <w:r w:rsidRPr="003C04FC">
        <w:rPr>
          <w:rFonts w:ascii="Arial" w:hAnsi="Arial" w:cs="Arial"/>
        </w:rPr>
        <w:t xml:space="preserve"> precio o </w:t>
      </w:r>
      <w:r>
        <w:rPr>
          <w:rFonts w:ascii="Arial" w:hAnsi="Arial" w:cs="Arial"/>
        </w:rPr>
        <w:t>ante el cambio en otras variables de competencia</w:t>
      </w:r>
      <w:r w:rsidRPr="003C04FC">
        <w:rPr>
          <w:rFonts w:ascii="Arial" w:hAnsi="Arial" w:cs="Arial"/>
        </w:rPr>
        <w:t>, las restricciones competitivas para los proveedores de dicho producto</w:t>
      </w:r>
      <w:r>
        <w:rPr>
          <w:rFonts w:ascii="Arial" w:hAnsi="Arial" w:cs="Arial"/>
        </w:rPr>
        <w:t xml:space="preserve"> son mayores</w:t>
      </w:r>
      <w:r w:rsidRPr="003C04FC">
        <w:rPr>
          <w:rFonts w:ascii="Arial" w:hAnsi="Arial" w:cs="Arial"/>
        </w:rPr>
        <w:t>, lo que sugeriría la necesidad de ampliar el MR.</w:t>
      </w:r>
    </w:p>
    <w:p w14:paraId="28409FEE" w14:textId="77777777" w:rsidR="00BE0D80" w:rsidRPr="003C04FC" w:rsidRDefault="00BE0D80" w:rsidP="00BE0D80">
      <w:pPr>
        <w:spacing w:after="0"/>
        <w:jc w:val="both"/>
        <w:rPr>
          <w:rFonts w:ascii="Arial" w:hAnsi="Arial" w:cs="Arial"/>
        </w:rPr>
      </w:pPr>
    </w:p>
    <w:p w14:paraId="52442701" w14:textId="77777777" w:rsidR="00BE0D80" w:rsidRPr="003C04FC" w:rsidRDefault="00BE0D80" w:rsidP="00BE0D80">
      <w:pPr>
        <w:spacing w:after="0"/>
        <w:jc w:val="both"/>
        <w:rPr>
          <w:rFonts w:ascii="Arial" w:hAnsi="Arial" w:cs="Arial"/>
        </w:rPr>
      </w:pPr>
      <w:r w:rsidRPr="003C04FC">
        <w:rPr>
          <w:rFonts w:ascii="Arial" w:hAnsi="Arial" w:cs="Arial"/>
        </w:rPr>
        <w:t>Además, se podrá</w:t>
      </w:r>
      <w:r>
        <w:rPr>
          <w:rFonts w:ascii="Arial" w:hAnsi="Arial" w:cs="Arial"/>
        </w:rPr>
        <w:t>n</w:t>
      </w:r>
      <w:r w:rsidRPr="003C04FC">
        <w:rPr>
          <w:rFonts w:ascii="Arial" w:hAnsi="Arial" w:cs="Arial"/>
        </w:rPr>
        <w:t xml:space="preserve"> tomar en consideración la opinión, las estrategias de expansión o el comportamiento de oferentes que pudieran tener incentivos para proveer el producto analizado</w:t>
      </w:r>
      <w:r>
        <w:rPr>
          <w:rFonts w:ascii="Arial" w:hAnsi="Arial" w:cs="Arial"/>
        </w:rPr>
        <w:t>. Esto, con el objetivo de obtener información</w:t>
      </w:r>
      <w:r w:rsidRPr="003C04FC">
        <w:rPr>
          <w:rFonts w:ascii="Arial" w:hAnsi="Arial" w:cs="Arial"/>
        </w:rPr>
        <w:t xml:space="preserve"> respecto a si existe una posibilidad real de que </w:t>
      </w:r>
      <w:r>
        <w:rPr>
          <w:rFonts w:ascii="Arial" w:hAnsi="Arial" w:cs="Arial"/>
        </w:rPr>
        <w:t xml:space="preserve">dichos proveedores </w:t>
      </w:r>
      <w:r w:rsidRPr="003C04FC">
        <w:rPr>
          <w:rFonts w:ascii="Arial" w:hAnsi="Arial" w:cs="Arial"/>
        </w:rPr>
        <w:t>comiencen a ofrecer el producto analizado de manera eficaz e inmediata ante incrementos en el precio de dicho producto (por ejemplo, del 5%-10%) o modificaciones en otras variables de competencia (por ejemplo, disminuciones en la calidad).</w:t>
      </w:r>
    </w:p>
    <w:p w14:paraId="1B993E63" w14:textId="77777777" w:rsidR="00BE0D80" w:rsidRPr="003C04FC" w:rsidRDefault="00BE0D80" w:rsidP="00BE0D80">
      <w:pPr>
        <w:spacing w:after="0"/>
        <w:jc w:val="both"/>
        <w:rPr>
          <w:rFonts w:ascii="Arial" w:hAnsi="Arial" w:cs="Arial"/>
        </w:rPr>
      </w:pPr>
    </w:p>
    <w:p w14:paraId="60FB1A74" w14:textId="77777777" w:rsidR="00BE0D80" w:rsidRPr="003C04FC" w:rsidRDefault="00BE0D80" w:rsidP="00BE0D8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La posibilidad, incentivos y costos de acceder a insumos y de extender o cambiar los sistemas de producción y distribución; la capacidad excedente y los contratos de largo plazo que puedan limitar la capacidad de re-direccionar la producción hacia el producto analizado</w:t>
      </w:r>
    </w:p>
    <w:p w14:paraId="1C32C0B7" w14:textId="77777777" w:rsidR="00BE0D80" w:rsidRPr="003C04FC" w:rsidRDefault="00BE0D80" w:rsidP="00BE0D80">
      <w:pPr>
        <w:spacing w:after="0"/>
        <w:jc w:val="both"/>
        <w:rPr>
          <w:rFonts w:ascii="Arial" w:hAnsi="Arial" w:cs="Arial"/>
        </w:rPr>
      </w:pPr>
    </w:p>
    <w:p w14:paraId="6217E786" w14:textId="77777777" w:rsidR="00BE0D80" w:rsidRPr="003C04FC" w:rsidRDefault="00BE0D80" w:rsidP="00BE0D80">
      <w:pPr>
        <w:spacing w:after="0"/>
        <w:jc w:val="both"/>
        <w:rPr>
          <w:rFonts w:ascii="Arial" w:hAnsi="Arial" w:cs="Arial"/>
        </w:rPr>
      </w:pPr>
      <w:r w:rsidRPr="003C04FC">
        <w:rPr>
          <w:rFonts w:ascii="Arial" w:hAnsi="Arial" w:cs="Arial"/>
        </w:rPr>
        <w:t>El Instituto podrá analizar la posibilidad y los costos en que incurrirían oferentes que pudieran tener incentivos para proveer el producto analizado, ya sea para acceder a los insumos necesarios, o para modificar sus sistemas de producción y distribución; la sustitución por el lado de la oferta es más probable cuando los costos hundidos y el tiempo son reducidos, y los incentivos son altos.</w:t>
      </w:r>
    </w:p>
    <w:p w14:paraId="4A19DE9D" w14:textId="77777777" w:rsidR="00BE0D80" w:rsidRPr="003C04FC" w:rsidRDefault="00BE0D80" w:rsidP="00BE0D80">
      <w:pPr>
        <w:spacing w:after="0"/>
        <w:jc w:val="both"/>
        <w:rPr>
          <w:rFonts w:ascii="Arial" w:hAnsi="Arial" w:cs="Arial"/>
        </w:rPr>
      </w:pPr>
    </w:p>
    <w:p w14:paraId="5D7E0C31" w14:textId="77777777" w:rsidR="00BE0D80" w:rsidRPr="003C04FC" w:rsidRDefault="00BE0D80" w:rsidP="00BE0D80">
      <w:pPr>
        <w:spacing w:after="0"/>
        <w:jc w:val="both"/>
        <w:rPr>
          <w:rFonts w:ascii="Arial" w:hAnsi="Arial" w:cs="Arial"/>
        </w:rPr>
      </w:pPr>
      <w:r w:rsidRPr="003C04FC">
        <w:rPr>
          <w:rFonts w:ascii="Arial" w:hAnsi="Arial" w:cs="Arial"/>
        </w:rPr>
        <w:t xml:space="preserve">Uno de los elementos a tomar en cuenta es si el cambio en los sistemas de producción y distribución es factible con la tecnología actual o si se requiere llevar a cabo un cambio tecnológico. Por ejemplo, la convergencia tecnológica y la digitalización podrían permitir a nuevos proveedores ofrecer servicios similares haciendo uso de una plataforma diferente o comenzar a proveer el producto analizado a partir de su infraestructura y capacidad instalada, lo que reduciría el tiempo y los costos necesarios para tal efecto, especialmente cuando existen economías de alcance. </w:t>
      </w:r>
    </w:p>
    <w:p w14:paraId="47A6A7DD" w14:textId="77777777" w:rsidR="00BE0D80" w:rsidRPr="00E26FF0" w:rsidRDefault="00BE0D80" w:rsidP="00BE0D80">
      <w:pPr>
        <w:spacing w:after="0"/>
        <w:jc w:val="both"/>
        <w:rPr>
          <w:rFonts w:ascii="Arial" w:hAnsi="Arial" w:cs="Arial"/>
          <w:highlight w:val="cyan"/>
        </w:rPr>
      </w:pPr>
    </w:p>
    <w:p w14:paraId="5F82B0FC" w14:textId="77777777" w:rsidR="00BE0D80" w:rsidRPr="003C04FC" w:rsidRDefault="00BE0D80" w:rsidP="00BE0D80">
      <w:pPr>
        <w:spacing w:after="0"/>
        <w:jc w:val="both"/>
        <w:rPr>
          <w:rFonts w:ascii="Arial" w:hAnsi="Arial" w:cs="Arial"/>
        </w:rPr>
      </w:pPr>
      <w:r w:rsidRPr="003C04FC">
        <w:rPr>
          <w:rFonts w:ascii="Arial" w:hAnsi="Arial" w:cs="Arial"/>
        </w:rPr>
        <w:t xml:space="preserve">Las posibilidades de los oferentes que pudieran tener incentivos para proveer el producto analizado también dependen de que puedan destinar, de manera eficaz e inmediata, capacidad </w:t>
      </w:r>
      <w:r w:rsidRPr="003C04FC">
        <w:rPr>
          <w:rFonts w:ascii="Arial" w:hAnsi="Arial" w:cs="Arial"/>
        </w:rPr>
        <w:lastRenderedPageBreak/>
        <w:t xml:space="preserve">de producción hacia el producto en cuestión. Es posible que algunos oferentes tengan suficiente capacidad instalada, pero tengan pocas posibilidades de destinar dicha capacidad para producir el producto analizado en el corto plazo. Por ejemplo, los oferentes pueden enfrentar altos costos asociados al re-direccionamiento de su producción o estar sujetos a contratos de suministro de largo plazo. Es decir, aunque para dichos proveedores es viable modificar sus procesos productivos para proveer el producto analizado, podrían enfrentar restricciones que les impidan hacerlo de manera inmediata y sin incurrir en costos hundidos apreciables. </w:t>
      </w:r>
    </w:p>
    <w:p w14:paraId="33CC9C5F" w14:textId="77777777" w:rsidR="00BE0D80" w:rsidRPr="003C04FC" w:rsidRDefault="00BE0D80" w:rsidP="00BE0D80">
      <w:pPr>
        <w:spacing w:after="0"/>
        <w:jc w:val="both"/>
        <w:rPr>
          <w:rFonts w:ascii="Arial" w:hAnsi="Arial" w:cs="Arial"/>
        </w:rPr>
      </w:pPr>
    </w:p>
    <w:p w14:paraId="4B97C6C5" w14:textId="77777777" w:rsidR="00BE0D80" w:rsidRPr="003C04FC" w:rsidRDefault="00BE0D80" w:rsidP="00BE0D80">
      <w:pPr>
        <w:spacing w:after="0"/>
        <w:jc w:val="both"/>
        <w:rPr>
          <w:rFonts w:ascii="Arial" w:hAnsi="Arial" w:cs="Arial"/>
        </w:rPr>
      </w:pPr>
      <w:r w:rsidRPr="003C04FC">
        <w:rPr>
          <w:rFonts w:ascii="Arial" w:hAnsi="Arial" w:cs="Arial"/>
        </w:rPr>
        <w:t xml:space="preserve">En este sentido, el Instituto podrá considerar elementos indicativos de las posibilidades y disposición de proveedores </w:t>
      </w:r>
      <w:r>
        <w:rPr>
          <w:rFonts w:ascii="Arial" w:hAnsi="Arial" w:cs="Arial"/>
        </w:rPr>
        <w:t>alternativo</w:t>
      </w:r>
      <w:r w:rsidRPr="003C04FC">
        <w:rPr>
          <w:rFonts w:ascii="Arial" w:hAnsi="Arial" w:cs="Arial"/>
        </w:rPr>
        <w:t>s para destinar su capacidad instalada excedente o en uso a la producción del producto analizado, incluyendo: i) la existencia de contratos de largo plazo que limiten sus posibilidades de re-direccionar su capacidad en uso y ii) las posibilidades para acceder a insumos o canales de distribución.</w:t>
      </w:r>
    </w:p>
    <w:p w14:paraId="18B160BD" w14:textId="77777777" w:rsidR="00BE0D80" w:rsidRPr="003C04FC" w:rsidRDefault="00BE0D80" w:rsidP="00BE0D80">
      <w:pPr>
        <w:spacing w:after="0"/>
        <w:jc w:val="both"/>
        <w:rPr>
          <w:rFonts w:ascii="Arial" w:hAnsi="Arial" w:cs="Arial"/>
        </w:rPr>
      </w:pPr>
    </w:p>
    <w:p w14:paraId="67D8FF16" w14:textId="77777777" w:rsidR="00BE0D80" w:rsidRPr="00EB3009" w:rsidRDefault="00BE0D80" w:rsidP="00BE0D80">
      <w:pPr>
        <w:spacing w:after="0"/>
        <w:jc w:val="both"/>
        <w:rPr>
          <w:rFonts w:ascii="Arial" w:hAnsi="Arial" w:cs="Arial"/>
        </w:rPr>
      </w:pPr>
      <w:r w:rsidRPr="003C04FC">
        <w:rPr>
          <w:rFonts w:ascii="Arial" w:hAnsi="Arial" w:cs="Arial"/>
        </w:rPr>
        <w:t xml:space="preserve">También cabe señalar que, en los sectores de TyR, la necesidad de acceder a RPT, contenidos o frecuencias del espectro radioeléctrico específicas, puede elevar los costos y el tiempo de acceso a insumos necesarios para proveer el producto analizado. </w:t>
      </w:r>
    </w:p>
    <w:p w14:paraId="0ABED353" w14:textId="77777777" w:rsidR="00BE0D80" w:rsidRPr="00EB3009" w:rsidRDefault="00BE0D80" w:rsidP="00BE0D80">
      <w:pPr>
        <w:spacing w:after="0"/>
        <w:jc w:val="both"/>
        <w:rPr>
          <w:rFonts w:ascii="Arial" w:hAnsi="Arial" w:cs="Arial"/>
          <w:highlight w:val="cyan"/>
        </w:rPr>
      </w:pPr>
    </w:p>
    <w:p w14:paraId="55BDD2F2" w14:textId="77777777" w:rsidR="00BE0D80" w:rsidRPr="00EB3009" w:rsidRDefault="00BE0D80" w:rsidP="00BE0D80">
      <w:pPr>
        <w:keepNext/>
        <w:numPr>
          <w:ilvl w:val="0"/>
          <w:numId w:val="23"/>
        </w:numPr>
        <w:spacing w:after="0"/>
        <w:jc w:val="both"/>
        <w:rPr>
          <w:rFonts w:ascii="Arial" w:hAnsi="Arial" w:cs="Arial"/>
          <w:b/>
        </w:rPr>
      </w:pPr>
      <w:r w:rsidRPr="00EB3009">
        <w:rPr>
          <w:rFonts w:ascii="Arial" w:hAnsi="Arial" w:cs="Arial"/>
          <w:b/>
        </w:rPr>
        <w:t>La escala de operación de oferentes</w:t>
      </w:r>
      <w:r>
        <w:rPr>
          <w:rFonts w:ascii="Arial" w:hAnsi="Arial" w:cs="Arial"/>
          <w:b/>
        </w:rPr>
        <w:t xml:space="preserve"> </w:t>
      </w:r>
      <w:r w:rsidRPr="007B2840">
        <w:rPr>
          <w:rFonts w:ascii="Arial" w:hAnsi="Arial" w:cs="Arial"/>
          <w:b/>
        </w:rPr>
        <w:t>que pudieran tener incentivos para proveer el producto analizado</w:t>
      </w:r>
    </w:p>
    <w:p w14:paraId="6E5265CD" w14:textId="77777777" w:rsidR="00BE0D80" w:rsidRPr="00EB3009" w:rsidRDefault="00BE0D80" w:rsidP="00BE0D80">
      <w:pPr>
        <w:keepNext/>
        <w:spacing w:after="0"/>
        <w:jc w:val="both"/>
        <w:rPr>
          <w:rFonts w:ascii="Arial" w:hAnsi="Arial" w:cs="Arial"/>
        </w:rPr>
      </w:pPr>
    </w:p>
    <w:p w14:paraId="6A186C25" w14:textId="3BEDDD08" w:rsidR="00BE0D80" w:rsidRPr="00A01E15" w:rsidRDefault="00BE0D80" w:rsidP="00BE0D80">
      <w:pPr>
        <w:spacing w:after="0"/>
        <w:jc w:val="both"/>
        <w:rPr>
          <w:rFonts w:ascii="Arial" w:hAnsi="Arial" w:cs="Arial"/>
        </w:rPr>
      </w:pPr>
      <w:r w:rsidRPr="00A01E15">
        <w:rPr>
          <w:rFonts w:ascii="Arial" w:hAnsi="Arial" w:cs="Arial"/>
        </w:rPr>
        <w:t xml:space="preserve">La escala de operación necesaria puede representar limitaciones para competir en la provisión del producto analizado, por ejemplo, debido a: i) la presencia </w:t>
      </w:r>
      <w:r w:rsidR="009E5FFF">
        <w:rPr>
          <w:rFonts w:ascii="Arial" w:hAnsi="Arial" w:cs="Arial"/>
        </w:rPr>
        <w:t xml:space="preserve">de </w:t>
      </w:r>
      <w:r w:rsidRPr="00A01E15">
        <w:rPr>
          <w:rFonts w:ascii="Arial" w:hAnsi="Arial" w:cs="Arial"/>
        </w:rPr>
        <w:t xml:space="preserve">efectos </w:t>
      </w:r>
      <w:r>
        <w:rPr>
          <w:rFonts w:ascii="Arial" w:hAnsi="Arial" w:cs="Arial"/>
        </w:rPr>
        <w:t>directos</w:t>
      </w:r>
      <w:r w:rsidRPr="00A01E15">
        <w:rPr>
          <w:rFonts w:ascii="Arial" w:hAnsi="Arial" w:cs="Arial"/>
        </w:rPr>
        <w:t xml:space="preserve"> de red</w:t>
      </w:r>
      <w:r>
        <w:rPr>
          <w:rStyle w:val="Refdenotaalpie"/>
          <w:rFonts w:ascii="Arial" w:hAnsi="Arial" w:cs="Arial"/>
        </w:rPr>
        <w:footnoteReference w:id="45"/>
      </w:r>
      <w:r w:rsidRPr="00A01E15">
        <w:rPr>
          <w:rFonts w:ascii="Arial" w:hAnsi="Arial" w:cs="Arial"/>
        </w:rPr>
        <w:t xml:space="preserve"> que benefician a los operadores con mayor escala, ii) la capacidad económica que podría limitar las posibilidades de acceso a fuentes de financiamiento y mercados de capitales, o la capacidad para formular ofertas competitivas. </w:t>
      </w:r>
    </w:p>
    <w:p w14:paraId="45F9BF40" w14:textId="77777777" w:rsidR="00BE0D80" w:rsidRPr="00A01E15" w:rsidRDefault="00BE0D80" w:rsidP="00BE0D80">
      <w:pPr>
        <w:spacing w:after="0"/>
        <w:jc w:val="both"/>
        <w:rPr>
          <w:rFonts w:ascii="Arial" w:hAnsi="Arial" w:cs="Arial"/>
        </w:rPr>
      </w:pPr>
    </w:p>
    <w:p w14:paraId="192AE51A" w14:textId="77777777" w:rsidR="00BE0D80" w:rsidRPr="00A01E15" w:rsidRDefault="00BE0D80" w:rsidP="00BE0D80">
      <w:pPr>
        <w:spacing w:after="0"/>
        <w:jc w:val="both"/>
        <w:rPr>
          <w:rFonts w:ascii="Arial" w:hAnsi="Arial" w:cs="Arial"/>
        </w:rPr>
      </w:pPr>
      <w:r w:rsidRPr="00A01E15">
        <w:rPr>
          <w:rFonts w:ascii="Arial" w:hAnsi="Arial" w:cs="Arial"/>
        </w:rPr>
        <w:t xml:space="preserve">El Instituto podrá </w:t>
      </w:r>
      <w:r>
        <w:rPr>
          <w:rFonts w:ascii="Arial" w:hAnsi="Arial" w:cs="Arial"/>
        </w:rPr>
        <w:t>evaluar</w:t>
      </w:r>
      <w:r w:rsidRPr="00A01E15">
        <w:rPr>
          <w:rFonts w:ascii="Arial" w:hAnsi="Arial" w:cs="Arial"/>
        </w:rPr>
        <w:t xml:space="preserve"> si la escala de operación necesaria restringe las posibilidades para responder oportunamente a cambios relativos en los precios y competir en la provisión del producto analizado. Por ejemplo, se podrá considerar que la pertenencia a grupos económicos de mayor tamaño o la participación en distintos eslabones de la cadena de valor, aumentan las posibilidades de los oferentes que pudieran tener incentivos para proveer el producto analizado, para efectivamente comenzar su provisión.</w:t>
      </w:r>
    </w:p>
    <w:p w14:paraId="1DA3CAAC" w14:textId="77777777" w:rsidR="00BE0D80" w:rsidRPr="00A01E15" w:rsidRDefault="00BE0D80" w:rsidP="00BE0D80">
      <w:pPr>
        <w:spacing w:after="0"/>
        <w:jc w:val="both"/>
        <w:rPr>
          <w:rFonts w:ascii="Arial" w:hAnsi="Arial" w:cs="Arial"/>
        </w:rPr>
      </w:pPr>
    </w:p>
    <w:p w14:paraId="2FA2F31D" w14:textId="77777777" w:rsidR="00BE0D80" w:rsidRPr="00A01E15" w:rsidRDefault="00BE0D80" w:rsidP="00BE0D80">
      <w:pPr>
        <w:keepNext/>
        <w:numPr>
          <w:ilvl w:val="0"/>
          <w:numId w:val="23"/>
        </w:numPr>
        <w:spacing w:after="0"/>
        <w:ind w:hanging="578"/>
        <w:jc w:val="both"/>
        <w:rPr>
          <w:rFonts w:ascii="Arial" w:hAnsi="Arial" w:cs="Arial"/>
          <w:b/>
        </w:rPr>
      </w:pPr>
      <w:r w:rsidRPr="00A01E15">
        <w:rPr>
          <w:rFonts w:ascii="Arial" w:hAnsi="Arial" w:cs="Arial"/>
          <w:b/>
        </w:rPr>
        <w:t>Características técnicas de la infraestructura neces</w:t>
      </w:r>
      <w:r>
        <w:rPr>
          <w:rFonts w:ascii="Arial" w:hAnsi="Arial" w:cs="Arial"/>
          <w:b/>
        </w:rPr>
        <w:t xml:space="preserve">aria para ofrecer los productos </w:t>
      </w:r>
    </w:p>
    <w:p w14:paraId="19557614" w14:textId="77777777" w:rsidR="00BE0D80" w:rsidRPr="00A01E15" w:rsidRDefault="00BE0D80" w:rsidP="00BE0D80">
      <w:pPr>
        <w:keepNext/>
        <w:spacing w:after="0"/>
        <w:jc w:val="both"/>
        <w:rPr>
          <w:rFonts w:ascii="Arial" w:hAnsi="Arial" w:cs="Arial"/>
        </w:rPr>
      </w:pPr>
    </w:p>
    <w:p w14:paraId="7E9FAF3C" w14:textId="77777777" w:rsidR="00BE0D80" w:rsidRPr="00A01E15" w:rsidRDefault="00BE0D80" w:rsidP="00BE0D80">
      <w:pPr>
        <w:spacing w:after="0"/>
        <w:jc w:val="both"/>
        <w:rPr>
          <w:rFonts w:ascii="Arial" w:hAnsi="Arial" w:cs="Arial"/>
        </w:rPr>
      </w:pPr>
      <w:r w:rsidRPr="00A01E15">
        <w:rPr>
          <w:rFonts w:ascii="Arial" w:hAnsi="Arial" w:cs="Arial"/>
        </w:rPr>
        <w:t xml:space="preserve">El Instituto podrá tomar en cuenta las características técnicas de la infraestructura necesaria para ofrecer el producto analizado, a fin de determinar si los oferentes que pudieran tener incentivos </w:t>
      </w:r>
      <w:r w:rsidRPr="00A01E15">
        <w:rPr>
          <w:rFonts w:ascii="Arial" w:hAnsi="Arial" w:cs="Arial"/>
        </w:rPr>
        <w:lastRenderedPageBreak/>
        <w:t>para proveerlo cuentan con los medios para acceder a dicha tecnología, o bien</w:t>
      </w:r>
      <w:r>
        <w:rPr>
          <w:rFonts w:ascii="Arial" w:hAnsi="Arial" w:cs="Arial"/>
        </w:rPr>
        <w:t>,</w:t>
      </w:r>
      <w:r w:rsidRPr="00A01E15">
        <w:rPr>
          <w:rFonts w:ascii="Arial" w:hAnsi="Arial" w:cs="Arial"/>
        </w:rPr>
        <w:t xml:space="preserve"> para replicarla oportunamente y sin incurrir en costos significativos.</w:t>
      </w:r>
    </w:p>
    <w:p w14:paraId="4F12860F" w14:textId="77777777" w:rsidR="00BE0D80" w:rsidRPr="00A01E15" w:rsidRDefault="00BE0D80" w:rsidP="00BE0D80">
      <w:pPr>
        <w:spacing w:after="0"/>
        <w:jc w:val="both"/>
        <w:rPr>
          <w:rFonts w:ascii="Arial" w:hAnsi="Arial" w:cs="Arial"/>
        </w:rPr>
      </w:pPr>
    </w:p>
    <w:p w14:paraId="14ADD1A2" w14:textId="77777777" w:rsidR="00BE0D80" w:rsidRPr="00A01E15" w:rsidRDefault="00BE0D80" w:rsidP="00BE0D80">
      <w:pPr>
        <w:numPr>
          <w:ilvl w:val="0"/>
          <w:numId w:val="23"/>
        </w:numPr>
        <w:spacing w:after="0"/>
        <w:jc w:val="both"/>
        <w:rPr>
          <w:rFonts w:ascii="Arial" w:hAnsi="Arial" w:cs="Arial"/>
          <w:b/>
        </w:rPr>
      </w:pPr>
      <w:r w:rsidRPr="00A01E15">
        <w:rPr>
          <w:rFonts w:ascii="Arial" w:hAnsi="Arial" w:cs="Arial"/>
          <w:b/>
        </w:rPr>
        <w:t>Opiniones de los usuarios sobre si existen razones para no elegir los productos de oferentes que pudieran tener incentivos para proveer el producto analizado</w:t>
      </w:r>
    </w:p>
    <w:p w14:paraId="6B4FE1B5" w14:textId="77777777" w:rsidR="00BE0D80" w:rsidRPr="00A01E15" w:rsidRDefault="00BE0D80" w:rsidP="00BE0D80">
      <w:pPr>
        <w:spacing w:after="0"/>
        <w:jc w:val="both"/>
        <w:rPr>
          <w:rFonts w:ascii="Arial" w:hAnsi="Arial" w:cs="Arial"/>
        </w:rPr>
      </w:pPr>
    </w:p>
    <w:p w14:paraId="7292BCE2" w14:textId="77777777" w:rsidR="00BE0D80" w:rsidRPr="00A01E15" w:rsidRDefault="00BE0D80" w:rsidP="00BE0D80">
      <w:pPr>
        <w:spacing w:after="0"/>
        <w:jc w:val="both"/>
        <w:rPr>
          <w:rFonts w:ascii="Arial" w:hAnsi="Arial" w:cs="Arial"/>
        </w:rPr>
      </w:pPr>
      <w:r w:rsidRPr="00A01E15">
        <w:rPr>
          <w:rFonts w:ascii="Arial" w:hAnsi="Arial" w:cs="Arial"/>
        </w:rPr>
        <w:t>El Instituto podrá analizar información disponible sobre las opiniones y puntos de vista de los usuarios respecto a su disposición para sustituir el producto analizado por productos provistos por oferentes que pudieran tener incentivos para proveer el producto analizado.</w:t>
      </w:r>
    </w:p>
    <w:p w14:paraId="02652C1B" w14:textId="77777777" w:rsidR="00BE0D80" w:rsidRPr="00A01E15" w:rsidRDefault="00BE0D80" w:rsidP="00BE0D80">
      <w:pPr>
        <w:spacing w:after="0"/>
        <w:jc w:val="both"/>
        <w:rPr>
          <w:rFonts w:ascii="Arial" w:hAnsi="Arial" w:cs="Arial"/>
        </w:rPr>
      </w:pPr>
    </w:p>
    <w:p w14:paraId="7E59C0FA" w14:textId="77777777" w:rsidR="00BE0D80" w:rsidRPr="00A01E15" w:rsidRDefault="00BE0D80" w:rsidP="00BE0D80">
      <w:pPr>
        <w:spacing w:after="0"/>
        <w:jc w:val="both"/>
        <w:rPr>
          <w:rFonts w:ascii="Arial" w:hAnsi="Arial" w:cs="Arial"/>
        </w:rPr>
      </w:pPr>
      <w:r w:rsidRPr="00A01E15">
        <w:rPr>
          <w:rFonts w:ascii="Arial" w:hAnsi="Arial" w:cs="Arial"/>
        </w:rPr>
        <w:t>Por ejemplo, el Instituto podrá analizar si existen factores por los que los usuarios no elegirían los productos de oferentes alternativos, tales como lealtad hacia ciertas marcas establecidas o conocimiento y reputación de los productos y sus proveedores.</w:t>
      </w:r>
    </w:p>
    <w:p w14:paraId="544D275D" w14:textId="77777777" w:rsidR="00BE0D80" w:rsidRPr="00A01E15" w:rsidRDefault="00BE0D80" w:rsidP="00BE0D80">
      <w:pPr>
        <w:spacing w:after="0"/>
        <w:jc w:val="both"/>
        <w:rPr>
          <w:rFonts w:ascii="Arial" w:hAnsi="Arial" w:cs="Arial"/>
        </w:rPr>
      </w:pPr>
    </w:p>
    <w:p w14:paraId="2EEC04F6" w14:textId="77777777" w:rsidR="00BE0D80" w:rsidRPr="00A01E15" w:rsidRDefault="00BE0D80" w:rsidP="00BE0D80">
      <w:pPr>
        <w:spacing w:after="0"/>
        <w:jc w:val="both"/>
        <w:rPr>
          <w:rFonts w:ascii="Arial" w:hAnsi="Arial" w:cs="Arial"/>
        </w:rPr>
      </w:pPr>
      <w:r w:rsidRPr="00A01E15">
        <w:rPr>
          <w:rFonts w:ascii="Arial" w:hAnsi="Arial" w:cs="Arial"/>
        </w:rPr>
        <w:t>Este análisis permit</w:t>
      </w:r>
      <w:r>
        <w:rPr>
          <w:rFonts w:ascii="Arial" w:hAnsi="Arial" w:cs="Arial"/>
        </w:rPr>
        <w:t>e</w:t>
      </w:r>
      <w:r w:rsidRPr="00A01E15">
        <w:rPr>
          <w:rFonts w:ascii="Arial" w:hAnsi="Arial" w:cs="Arial"/>
        </w:rPr>
        <w:t xml:space="preserve"> </w:t>
      </w:r>
      <w:r>
        <w:rPr>
          <w:rFonts w:ascii="Arial" w:hAnsi="Arial" w:cs="Arial"/>
        </w:rPr>
        <w:t xml:space="preserve">la </w:t>
      </w:r>
      <w:r w:rsidRPr="00A01E15">
        <w:rPr>
          <w:rFonts w:ascii="Arial" w:hAnsi="Arial" w:cs="Arial"/>
        </w:rPr>
        <w:t>identifica</w:t>
      </w:r>
      <w:r>
        <w:rPr>
          <w:rFonts w:ascii="Arial" w:hAnsi="Arial" w:cs="Arial"/>
        </w:rPr>
        <w:t>ción de</w:t>
      </w:r>
      <w:r w:rsidRPr="00A01E15">
        <w:rPr>
          <w:rFonts w:ascii="Arial" w:hAnsi="Arial" w:cs="Arial"/>
        </w:rPr>
        <w:t xml:space="preserve"> productos y oferentes que, </w:t>
      </w:r>
      <w:r w:rsidRPr="00A01E15">
        <w:rPr>
          <w:rFonts w:ascii="Arial" w:hAnsi="Arial" w:cs="Arial"/>
          <w:i/>
        </w:rPr>
        <w:t>a priori,</w:t>
      </w:r>
      <w:r w:rsidRPr="00A01E15">
        <w:rPr>
          <w:rFonts w:ascii="Arial" w:hAnsi="Arial" w:cs="Arial"/>
        </w:rPr>
        <w:t xml:space="preserve"> podrían constituir sustitutos por el lado de la oferta, pero que no serían adquiridos por los consumidores. Por lo cual, en tales casos, en función de la evidencia obtenida, el Instituto podría descartarlos como sustitutos del producto analizado. </w:t>
      </w:r>
    </w:p>
    <w:p w14:paraId="2F87139B" w14:textId="77777777" w:rsidR="00BE0D80" w:rsidRPr="00A01E15" w:rsidRDefault="00BE0D80" w:rsidP="00BE0D80">
      <w:pPr>
        <w:spacing w:after="0"/>
        <w:jc w:val="both"/>
        <w:rPr>
          <w:rFonts w:ascii="Arial" w:hAnsi="Arial" w:cs="Arial"/>
        </w:rPr>
      </w:pPr>
    </w:p>
    <w:p w14:paraId="6C07EAA9" w14:textId="77777777" w:rsidR="00BE0D80" w:rsidRPr="00A01E15" w:rsidRDefault="00BE0D80" w:rsidP="00BE0D80">
      <w:pPr>
        <w:numPr>
          <w:ilvl w:val="0"/>
          <w:numId w:val="23"/>
        </w:numPr>
        <w:spacing w:after="0"/>
        <w:ind w:hanging="578"/>
        <w:jc w:val="both"/>
        <w:rPr>
          <w:rFonts w:ascii="Arial" w:hAnsi="Arial" w:cs="Arial"/>
          <w:b/>
        </w:rPr>
      </w:pPr>
      <w:r w:rsidRPr="00A01E15">
        <w:rPr>
          <w:rFonts w:ascii="Arial" w:hAnsi="Arial" w:cs="Arial"/>
          <w:b/>
        </w:rPr>
        <w:t>Opiniones de expertos en la industria y en la tecnología</w:t>
      </w:r>
      <w:r w:rsidRPr="00A01E15">
        <w:rPr>
          <w:rFonts w:ascii="Arial" w:hAnsi="Arial" w:cs="Arial"/>
          <w:b/>
          <w:u w:val="single"/>
        </w:rPr>
        <w:t xml:space="preserve"> específica de los productos</w:t>
      </w:r>
      <w:r>
        <w:rPr>
          <w:rFonts w:ascii="Arial" w:hAnsi="Arial" w:cs="Arial"/>
          <w:b/>
          <w:u w:val="single"/>
        </w:rPr>
        <w:t xml:space="preserve"> analizados</w:t>
      </w:r>
    </w:p>
    <w:p w14:paraId="06C24EEF" w14:textId="77777777" w:rsidR="00BE0D80" w:rsidRPr="00A01E15" w:rsidRDefault="00BE0D80" w:rsidP="00BE0D80">
      <w:pPr>
        <w:spacing w:after="0"/>
        <w:jc w:val="both"/>
        <w:rPr>
          <w:rFonts w:ascii="Arial" w:eastAsiaTheme="majorEastAsia" w:hAnsi="Arial" w:cs="Arial"/>
          <w:b/>
        </w:rPr>
      </w:pPr>
    </w:p>
    <w:p w14:paraId="675ACBE9" w14:textId="77777777" w:rsidR="00BE0D80" w:rsidRPr="00A01E15" w:rsidRDefault="00BE0D80" w:rsidP="00BE0D80">
      <w:pPr>
        <w:spacing w:after="0"/>
        <w:jc w:val="both"/>
        <w:rPr>
          <w:rFonts w:ascii="Arial" w:eastAsiaTheme="majorEastAsia" w:hAnsi="Arial" w:cs="Arial"/>
          <w:b/>
        </w:rPr>
      </w:pPr>
      <w:r w:rsidRPr="00A01E15">
        <w:rPr>
          <w:rFonts w:ascii="Arial" w:hAnsi="Arial" w:cs="Arial"/>
        </w:rPr>
        <w:t>El Instituto podrá consultar a expertos en la industria y en la tecnología específica del producto analizado para obtener información y evidencia sobre la capacidad de ciertos oferentes para comenzar a proveer el producto analizado en el corto plazo y sin incurrir en costos significativos. En particular, la opinión de expertos puede ser necesaria cuando se analice un producto con una alta especificidad, con un alto grado de innovación tecnológica, o de reciente entrada al mercado.</w:t>
      </w:r>
    </w:p>
    <w:p w14:paraId="214DA67A" w14:textId="77777777" w:rsidR="00BE0D80" w:rsidRPr="00A01E15" w:rsidRDefault="00BE0D80" w:rsidP="00BE0D80">
      <w:pPr>
        <w:spacing w:after="0"/>
        <w:jc w:val="both"/>
        <w:rPr>
          <w:rFonts w:ascii="Arial" w:eastAsiaTheme="majorEastAsia" w:hAnsi="Arial" w:cs="Arial"/>
          <w:b/>
          <w:szCs w:val="32"/>
        </w:rPr>
      </w:pPr>
    </w:p>
    <w:p w14:paraId="3AF86153" w14:textId="77777777" w:rsidR="00BE0D80" w:rsidRPr="00931D46" w:rsidRDefault="00BE0D80" w:rsidP="00BE0D80">
      <w:pPr>
        <w:pStyle w:val="Ttulo1"/>
        <w:numPr>
          <w:ilvl w:val="0"/>
          <w:numId w:val="5"/>
        </w:numPr>
        <w:spacing w:line="276" w:lineRule="auto"/>
        <w:jc w:val="both"/>
        <w:rPr>
          <w:rFonts w:ascii="Arial" w:hAnsi="Arial" w:cs="Arial"/>
          <w:b w:val="0"/>
          <w:sz w:val="26"/>
          <w:szCs w:val="26"/>
        </w:rPr>
      </w:pPr>
      <w:bookmarkStart w:id="50" w:name="_Toc85473320"/>
      <w:r w:rsidRPr="00931D46">
        <w:rPr>
          <w:rFonts w:ascii="Arial" w:hAnsi="Arial" w:cs="Arial"/>
          <w:sz w:val="26"/>
          <w:szCs w:val="26"/>
        </w:rPr>
        <w:t>Determinación de la dimensión geográfica</w:t>
      </w:r>
      <w:bookmarkEnd w:id="50"/>
    </w:p>
    <w:p w14:paraId="65BA802C" w14:textId="77777777" w:rsidR="00BE0D80" w:rsidRPr="00931D46" w:rsidRDefault="00BE0D80" w:rsidP="00BE0D80">
      <w:pPr>
        <w:keepNext/>
        <w:spacing w:after="0"/>
        <w:jc w:val="both"/>
        <w:rPr>
          <w:rFonts w:ascii="Arial" w:eastAsiaTheme="majorEastAsia" w:hAnsi="Arial" w:cs="Arial"/>
          <w:b/>
          <w:szCs w:val="32"/>
        </w:rPr>
      </w:pPr>
    </w:p>
    <w:p w14:paraId="3ED3FBB7"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51" w:name="_Toc45628325"/>
      <w:bookmarkStart w:id="52" w:name="_Toc85473321"/>
      <w:r w:rsidRPr="00931D46">
        <w:rPr>
          <w:rFonts w:ascii="Arial" w:eastAsia="Times New Roman" w:hAnsi="Arial" w:cs="Arial"/>
          <w:sz w:val="26"/>
          <w:lang w:eastAsia="es-MX"/>
        </w:rPr>
        <w:t>Precedentes decisorios del Instituto</w:t>
      </w:r>
      <w:bookmarkEnd w:id="51"/>
      <w:bookmarkEnd w:id="52"/>
    </w:p>
    <w:p w14:paraId="1A3F26C0" w14:textId="77777777" w:rsidR="00C21851" w:rsidRPr="00C21851" w:rsidRDefault="00C21851" w:rsidP="00C21851">
      <w:pPr>
        <w:spacing w:after="0"/>
        <w:jc w:val="both"/>
        <w:rPr>
          <w:rFonts w:ascii="Arial" w:eastAsiaTheme="majorEastAsia" w:hAnsi="Arial" w:cs="Arial"/>
          <w:b/>
          <w:szCs w:val="32"/>
        </w:rPr>
      </w:pPr>
    </w:p>
    <w:p w14:paraId="656C6C40" w14:textId="6EAA6705" w:rsidR="00BE0D80" w:rsidRDefault="00BE0D80" w:rsidP="00BE0D80">
      <w:pPr>
        <w:jc w:val="both"/>
        <w:rPr>
          <w:rFonts w:ascii="Arial" w:hAnsi="Arial" w:cs="Arial"/>
        </w:rPr>
      </w:pPr>
      <w:r w:rsidRPr="00931D46">
        <w:rPr>
          <w:rFonts w:ascii="Arial" w:hAnsi="Arial" w:cs="Arial"/>
        </w:rPr>
        <w:t xml:space="preserve">Conforme a precedentes decisorios del Instituto, se identifica que la dimensión geográfica se ha determinado considerando elementos por el lado de la demanda y </w:t>
      </w:r>
      <w:r>
        <w:rPr>
          <w:rFonts w:ascii="Arial" w:hAnsi="Arial" w:cs="Arial"/>
        </w:rPr>
        <w:t>por el lado de la oferta, como:</w:t>
      </w:r>
      <w:r w:rsidRPr="00D20B68">
        <w:rPr>
          <w:rFonts w:ascii="Arial" w:eastAsia="Times New Roman" w:hAnsi="Arial" w:cs="Arial"/>
          <w:vertAlign w:val="superscript"/>
          <w:lang w:eastAsia="es-MX"/>
        </w:rPr>
        <w:footnoteReference w:id="46"/>
      </w:r>
    </w:p>
    <w:p w14:paraId="0B81CC1D" w14:textId="77777777" w:rsidR="00BE0D80" w:rsidRDefault="00BE0D80" w:rsidP="00BE0D80">
      <w:pPr>
        <w:pStyle w:val="Prrafodelista"/>
        <w:numPr>
          <w:ilvl w:val="0"/>
          <w:numId w:val="30"/>
        </w:numPr>
        <w:spacing w:after="0"/>
        <w:ind w:left="709" w:hanging="567"/>
        <w:contextualSpacing w:val="0"/>
        <w:jc w:val="both"/>
        <w:rPr>
          <w:rFonts w:ascii="Arial" w:hAnsi="Arial" w:cs="Arial"/>
        </w:rPr>
      </w:pPr>
      <w:r>
        <w:rPr>
          <w:rFonts w:ascii="Arial" w:hAnsi="Arial" w:cs="Arial"/>
        </w:rPr>
        <w:lastRenderedPageBreak/>
        <w:t>Por el lado de la demanda, a</w:t>
      </w:r>
      <w:r w:rsidRPr="00931D46">
        <w:rPr>
          <w:rFonts w:ascii="Arial" w:hAnsi="Arial" w:cs="Arial"/>
        </w:rPr>
        <w:t>nálisis de equivalencia funcional, de las características</w:t>
      </w:r>
      <w:r>
        <w:rPr>
          <w:rFonts w:ascii="Arial" w:hAnsi="Arial" w:cs="Arial"/>
        </w:rPr>
        <w:t xml:space="preserve">, </w:t>
      </w:r>
      <w:r w:rsidRPr="00931D46">
        <w:rPr>
          <w:rFonts w:ascii="Arial" w:hAnsi="Arial" w:cs="Arial"/>
        </w:rPr>
        <w:t xml:space="preserve">atributos </w:t>
      </w:r>
      <w:r>
        <w:rPr>
          <w:rFonts w:ascii="Arial" w:hAnsi="Arial" w:cs="Arial"/>
        </w:rPr>
        <w:t xml:space="preserve">y usos de los productos que se proveen en diferentes zonas geográficas; patrones de adquisición y consumo; la </w:t>
      </w:r>
      <w:r w:rsidRPr="000D44AA">
        <w:rPr>
          <w:rFonts w:ascii="Arial" w:hAnsi="Arial" w:cs="Arial"/>
        </w:rPr>
        <w:t xml:space="preserve">capacidad de los oferentes para diferenciar sus </w:t>
      </w:r>
      <w:r>
        <w:rPr>
          <w:rFonts w:ascii="Arial" w:hAnsi="Arial" w:cs="Arial"/>
        </w:rPr>
        <w:t>productos</w:t>
      </w:r>
      <w:r w:rsidRPr="000D44AA">
        <w:rPr>
          <w:rFonts w:ascii="Arial" w:hAnsi="Arial" w:cs="Arial"/>
        </w:rPr>
        <w:t xml:space="preserve"> entre zonas geográficas</w:t>
      </w:r>
      <w:r>
        <w:rPr>
          <w:rFonts w:ascii="Arial" w:hAnsi="Arial" w:cs="Arial"/>
        </w:rPr>
        <w:t xml:space="preserve">, así como la </w:t>
      </w:r>
      <w:r w:rsidRPr="000D44AA">
        <w:rPr>
          <w:rFonts w:ascii="Arial" w:hAnsi="Arial" w:cs="Arial"/>
        </w:rPr>
        <w:t>posibilidad y los costos que enfrentarían los consumidores para acudir a otros mercados</w:t>
      </w:r>
      <w:r>
        <w:rPr>
          <w:rFonts w:ascii="Arial" w:eastAsiaTheme="majorEastAsia" w:hAnsi="Arial" w:cs="Arial"/>
        </w:rPr>
        <w:t>.</w:t>
      </w:r>
    </w:p>
    <w:p w14:paraId="0D80277D" w14:textId="77777777" w:rsidR="00BE0D80" w:rsidRDefault="00BE0D80" w:rsidP="00BE0D80">
      <w:pPr>
        <w:pStyle w:val="Prrafodelista"/>
        <w:spacing w:after="0"/>
        <w:ind w:left="709"/>
        <w:contextualSpacing w:val="0"/>
        <w:jc w:val="both"/>
        <w:rPr>
          <w:rFonts w:ascii="Arial" w:hAnsi="Arial" w:cs="Arial"/>
        </w:rPr>
      </w:pPr>
    </w:p>
    <w:p w14:paraId="58A8002F" w14:textId="6B1C9E99" w:rsidR="00570B49" w:rsidRDefault="00BE0D80" w:rsidP="00BE0D80">
      <w:pPr>
        <w:pStyle w:val="Prrafodelista"/>
        <w:numPr>
          <w:ilvl w:val="0"/>
          <w:numId w:val="30"/>
        </w:numPr>
        <w:spacing w:after="0"/>
        <w:ind w:left="709" w:hanging="567"/>
        <w:contextualSpacing w:val="0"/>
        <w:jc w:val="both"/>
        <w:rPr>
          <w:rFonts w:ascii="Arial" w:hAnsi="Arial" w:cs="Arial"/>
        </w:rPr>
      </w:pPr>
      <w:r w:rsidRPr="00F725B9">
        <w:rPr>
          <w:rFonts w:ascii="Arial" w:hAnsi="Arial" w:cs="Arial"/>
        </w:rPr>
        <w:t xml:space="preserve">Por el lado de la oferta, </w:t>
      </w:r>
      <w:r w:rsidR="00570B49">
        <w:rPr>
          <w:rFonts w:ascii="Arial" w:hAnsi="Arial" w:cs="Arial"/>
        </w:rPr>
        <w:t xml:space="preserve">los </w:t>
      </w:r>
      <w:r w:rsidR="00570B49" w:rsidRPr="00570B49">
        <w:rPr>
          <w:rFonts w:ascii="Arial" w:hAnsi="Arial" w:cs="Arial"/>
        </w:rPr>
        <w:t>costos asociados a distribución nacional o del extranjero, fletes, seguros, aranceles y restricciones no arancelarias</w:t>
      </w:r>
      <w:r w:rsidR="00570B49">
        <w:rPr>
          <w:rFonts w:ascii="Arial" w:hAnsi="Arial" w:cs="Arial"/>
        </w:rPr>
        <w:t>;</w:t>
      </w:r>
      <w:r w:rsidR="00570B49" w:rsidRPr="00570B49">
        <w:rPr>
          <w:rFonts w:ascii="Arial" w:hAnsi="Arial" w:cs="Arial"/>
        </w:rPr>
        <w:t xml:space="preserve"> las restricciones impuestas por los agentes económicos o por sus asociaciones</w:t>
      </w:r>
      <w:r w:rsidR="00570B49">
        <w:rPr>
          <w:rFonts w:ascii="Arial" w:hAnsi="Arial" w:cs="Arial"/>
        </w:rPr>
        <w:t>;</w:t>
      </w:r>
      <w:r w:rsidR="00570B49" w:rsidRPr="00570B49">
        <w:rPr>
          <w:rFonts w:ascii="Arial" w:hAnsi="Arial" w:cs="Arial"/>
        </w:rPr>
        <w:t xml:space="preserve"> el tiempo requerido para abastecer el mercado desde esas regione</w:t>
      </w:r>
      <w:r w:rsidR="00570B49">
        <w:rPr>
          <w:rFonts w:ascii="Arial" w:hAnsi="Arial" w:cs="Arial"/>
        </w:rPr>
        <w:t xml:space="preserve">s, así como </w:t>
      </w:r>
      <w:r>
        <w:rPr>
          <w:rFonts w:ascii="Arial" w:hAnsi="Arial" w:cs="Arial"/>
        </w:rPr>
        <w:t>la zona</w:t>
      </w:r>
      <w:r w:rsidRPr="00F725B9">
        <w:rPr>
          <w:rFonts w:ascii="Arial" w:hAnsi="Arial" w:cs="Arial"/>
        </w:rPr>
        <w:t xml:space="preserve"> de cobertura autorizada en los títulos de concesión, l</w:t>
      </w:r>
      <w:r w:rsidRPr="005E349F">
        <w:rPr>
          <w:rFonts w:ascii="Arial" w:hAnsi="Arial" w:cs="Arial"/>
        </w:rPr>
        <w:t xml:space="preserve">a </w:t>
      </w:r>
      <w:r>
        <w:rPr>
          <w:rFonts w:ascii="Arial" w:hAnsi="Arial" w:cs="Arial"/>
        </w:rPr>
        <w:t xml:space="preserve">zona de </w:t>
      </w:r>
      <w:r w:rsidRPr="005E349F">
        <w:rPr>
          <w:rFonts w:ascii="Arial" w:hAnsi="Arial" w:cs="Arial"/>
        </w:rPr>
        <w:t xml:space="preserve">cobertura </w:t>
      </w:r>
      <w:r>
        <w:rPr>
          <w:rFonts w:ascii="Arial" w:hAnsi="Arial" w:cs="Arial"/>
        </w:rPr>
        <w:t>real</w:t>
      </w:r>
      <w:r w:rsidRPr="005E349F">
        <w:rPr>
          <w:rFonts w:ascii="Arial" w:hAnsi="Arial" w:cs="Arial"/>
        </w:rPr>
        <w:t xml:space="preserve"> de los servicios, </w:t>
      </w:r>
      <w:r w:rsidR="00570B49">
        <w:rPr>
          <w:rFonts w:ascii="Arial" w:hAnsi="Arial" w:cs="Arial"/>
        </w:rPr>
        <w:t>y las</w:t>
      </w:r>
      <w:r>
        <w:rPr>
          <w:rFonts w:ascii="Arial" w:hAnsi="Arial" w:cs="Arial"/>
        </w:rPr>
        <w:t xml:space="preserve"> </w:t>
      </w:r>
      <w:r w:rsidRPr="000D44AA">
        <w:rPr>
          <w:rFonts w:ascii="Arial" w:hAnsi="Arial" w:cs="Arial"/>
        </w:rPr>
        <w:t>restricciones normativas</w:t>
      </w:r>
      <w:r>
        <w:rPr>
          <w:rFonts w:ascii="Arial" w:hAnsi="Arial" w:cs="Arial"/>
        </w:rPr>
        <w:t>.</w:t>
      </w:r>
    </w:p>
    <w:p w14:paraId="4F7B2889" w14:textId="77777777" w:rsidR="00570B49" w:rsidRPr="00570B49" w:rsidRDefault="00570B49" w:rsidP="00570B49">
      <w:pPr>
        <w:spacing w:after="0"/>
        <w:jc w:val="both"/>
        <w:rPr>
          <w:rFonts w:ascii="Arial" w:hAnsi="Arial" w:cs="Arial"/>
        </w:rPr>
      </w:pPr>
    </w:p>
    <w:p w14:paraId="40532A3D" w14:textId="0D2BEC82" w:rsidR="00BE0D80" w:rsidRDefault="00BE0D80" w:rsidP="003926CD">
      <w:pPr>
        <w:spacing w:after="0"/>
        <w:jc w:val="both"/>
        <w:rPr>
          <w:rFonts w:ascii="Arial" w:hAnsi="Arial" w:cs="Arial"/>
        </w:rPr>
      </w:pPr>
      <w:r w:rsidRPr="00931D46">
        <w:rPr>
          <w:rFonts w:ascii="Arial" w:hAnsi="Arial" w:cs="Arial"/>
        </w:rPr>
        <w:t>En el mismo sentido, la Guía de Concentraciones señala que, para determinar el MR en su dimensión geográfica, se analiza la ubicación y las coberturas territoriales de las concesiones de radiodifusión y/o de telecomunicaciones que detenten los AE involucrados</w:t>
      </w:r>
      <w:r w:rsidR="003926CD">
        <w:rPr>
          <w:rFonts w:ascii="Arial" w:hAnsi="Arial" w:cs="Arial"/>
        </w:rPr>
        <w:t>; l</w:t>
      </w:r>
      <w:r w:rsidR="003926CD" w:rsidRPr="003926CD">
        <w:rPr>
          <w:rFonts w:ascii="Arial" w:hAnsi="Arial" w:cs="Arial"/>
        </w:rPr>
        <w:t>os costos de distribución d</w:t>
      </w:r>
      <w:r w:rsidR="003926CD">
        <w:rPr>
          <w:rFonts w:ascii="Arial" w:hAnsi="Arial" w:cs="Arial"/>
        </w:rPr>
        <w:t xml:space="preserve">e </w:t>
      </w:r>
      <w:r w:rsidR="003926CD" w:rsidRPr="003926CD">
        <w:rPr>
          <w:rFonts w:ascii="Arial" w:hAnsi="Arial" w:cs="Arial"/>
        </w:rPr>
        <w:t>los biene</w:t>
      </w:r>
      <w:r w:rsidR="003926CD">
        <w:rPr>
          <w:rFonts w:ascii="Arial" w:hAnsi="Arial" w:cs="Arial"/>
        </w:rPr>
        <w:t>s</w:t>
      </w:r>
      <w:r w:rsidR="003926CD" w:rsidRPr="003926CD">
        <w:rPr>
          <w:rFonts w:ascii="Arial" w:hAnsi="Arial" w:cs="Arial"/>
        </w:rPr>
        <w:t xml:space="preserve"> o se</w:t>
      </w:r>
      <w:r w:rsidR="003926CD">
        <w:rPr>
          <w:rFonts w:ascii="Arial" w:hAnsi="Arial" w:cs="Arial"/>
        </w:rPr>
        <w:t>rv</w:t>
      </w:r>
      <w:r w:rsidR="003926CD" w:rsidRPr="003926CD">
        <w:rPr>
          <w:rFonts w:ascii="Arial" w:hAnsi="Arial" w:cs="Arial"/>
        </w:rPr>
        <w:t xml:space="preserve">icios ofrecidos por los </w:t>
      </w:r>
      <w:r w:rsidR="003926CD">
        <w:rPr>
          <w:rFonts w:ascii="Arial" w:hAnsi="Arial" w:cs="Arial"/>
        </w:rPr>
        <w:t xml:space="preserve">agentes </w:t>
      </w:r>
      <w:r w:rsidR="003926CD" w:rsidRPr="003926CD">
        <w:rPr>
          <w:rFonts w:ascii="Arial" w:hAnsi="Arial" w:cs="Arial"/>
        </w:rPr>
        <w:t>económicos involucrados; los costos de sus insumos-relevantes; los costos de</w:t>
      </w:r>
      <w:r w:rsidR="003926CD">
        <w:rPr>
          <w:rFonts w:ascii="Arial" w:hAnsi="Arial" w:cs="Arial"/>
        </w:rPr>
        <w:t xml:space="preserve"> </w:t>
      </w:r>
      <w:r w:rsidR="003926CD" w:rsidRPr="003926CD">
        <w:rPr>
          <w:rFonts w:ascii="Arial" w:hAnsi="Arial" w:cs="Arial"/>
        </w:rPr>
        <w:t>sus complementos y de sustitutos desde otras regiones y del extranjero,</w:t>
      </w:r>
      <w:r w:rsidR="003926CD">
        <w:rPr>
          <w:rFonts w:ascii="Arial" w:hAnsi="Arial" w:cs="Arial"/>
        </w:rPr>
        <w:t xml:space="preserve"> </w:t>
      </w:r>
      <w:r w:rsidR="003926CD" w:rsidRPr="003926CD">
        <w:rPr>
          <w:rFonts w:ascii="Arial" w:hAnsi="Arial" w:cs="Arial"/>
        </w:rPr>
        <w:t>teniendo en cuenta fletes, seguros, aranceles y restricciones no ar</w:t>
      </w:r>
      <w:r w:rsidR="003926CD">
        <w:rPr>
          <w:rFonts w:ascii="Arial" w:hAnsi="Arial" w:cs="Arial"/>
        </w:rPr>
        <w:t>a</w:t>
      </w:r>
      <w:r w:rsidR="003926CD" w:rsidRPr="003926CD">
        <w:rPr>
          <w:rFonts w:ascii="Arial" w:hAnsi="Arial" w:cs="Arial"/>
        </w:rPr>
        <w:t>ncelarias;</w:t>
      </w:r>
      <w:r w:rsidR="003926CD">
        <w:rPr>
          <w:rFonts w:ascii="Arial" w:hAnsi="Arial" w:cs="Arial"/>
        </w:rPr>
        <w:t xml:space="preserve"> </w:t>
      </w:r>
      <w:r w:rsidR="003926CD" w:rsidRPr="003926CD">
        <w:rPr>
          <w:rFonts w:ascii="Arial" w:hAnsi="Arial" w:cs="Arial"/>
        </w:rPr>
        <w:t>las restricciones impuestas por los agentes económicos o por sus</w:t>
      </w:r>
      <w:r w:rsidR="003926CD">
        <w:rPr>
          <w:rFonts w:ascii="Arial" w:hAnsi="Arial" w:cs="Arial"/>
        </w:rPr>
        <w:t xml:space="preserve"> a</w:t>
      </w:r>
      <w:r w:rsidR="003926CD" w:rsidRPr="003926CD">
        <w:rPr>
          <w:rFonts w:ascii="Arial" w:hAnsi="Arial" w:cs="Arial"/>
        </w:rPr>
        <w:t>sociaciones</w:t>
      </w:r>
      <w:r w:rsidR="003926CD">
        <w:rPr>
          <w:rFonts w:ascii="Arial" w:hAnsi="Arial" w:cs="Arial"/>
        </w:rPr>
        <w:t>;</w:t>
      </w:r>
      <w:r w:rsidR="003926CD" w:rsidRPr="003926CD">
        <w:rPr>
          <w:rFonts w:ascii="Arial" w:hAnsi="Arial" w:cs="Arial"/>
        </w:rPr>
        <w:t xml:space="preserve"> el tiempo requerido para abastecer el mercado desde e</w:t>
      </w:r>
      <w:r w:rsidR="003926CD">
        <w:rPr>
          <w:rFonts w:ascii="Arial" w:hAnsi="Arial" w:cs="Arial"/>
        </w:rPr>
        <w:t>s</w:t>
      </w:r>
      <w:r w:rsidR="003926CD" w:rsidRPr="003926CD">
        <w:rPr>
          <w:rFonts w:ascii="Arial" w:hAnsi="Arial" w:cs="Arial"/>
        </w:rPr>
        <w:t>as</w:t>
      </w:r>
      <w:r w:rsidR="003926CD">
        <w:rPr>
          <w:rFonts w:ascii="Arial" w:hAnsi="Arial" w:cs="Arial"/>
        </w:rPr>
        <w:t xml:space="preserve"> </w:t>
      </w:r>
      <w:r w:rsidR="003926CD" w:rsidRPr="003926CD">
        <w:rPr>
          <w:rFonts w:ascii="Arial" w:hAnsi="Arial" w:cs="Arial"/>
        </w:rPr>
        <w:t>regiones</w:t>
      </w:r>
      <w:r w:rsidR="003926CD">
        <w:rPr>
          <w:rFonts w:ascii="Arial" w:hAnsi="Arial" w:cs="Arial"/>
        </w:rPr>
        <w:t>; l</w:t>
      </w:r>
      <w:r w:rsidR="003926CD" w:rsidRPr="003926CD">
        <w:rPr>
          <w:rFonts w:ascii="Arial" w:hAnsi="Arial" w:cs="Arial"/>
        </w:rPr>
        <w:t>os costos que enfrentan los usuarios o consumidores para acudir a otros</w:t>
      </w:r>
      <w:r w:rsidR="003926CD">
        <w:rPr>
          <w:rFonts w:ascii="Arial" w:hAnsi="Arial" w:cs="Arial"/>
        </w:rPr>
        <w:t xml:space="preserve"> </w:t>
      </w:r>
      <w:r w:rsidR="003926CD" w:rsidRPr="003926CD">
        <w:rPr>
          <w:rFonts w:ascii="Arial" w:hAnsi="Arial" w:cs="Arial"/>
        </w:rPr>
        <w:t>mercados</w:t>
      </w:r>
      <w:r w:rsidR="003926CD">
        <w:rPr>
          <w:rFonts w:ascii="Arial" w:hAnsi="Arial" w:cs="Arial"/>
        </w:rPr>
        <w:t>, así como l</w:t>
      </w:r>
      <w:r w:rsidR="003926CD" w:rsidRPr="003926CD">
        <w:rPr>
          <w:rFonts w:ascii="Arial" w:hAnsi="Arial" w:cs="Arial"/>
        </w:rPr>
        <w:t xml:space="preserve">as restricciones normativas de </w:t>
      </w:r>
      <w:r w:rsidR="003926CD" w:rsidRPr="003926CD">
        <w:rPr>
          <w:rFonts w:ascii="Arial" w:hAnsi="Arial" w:cs="Arial"/>
        </w:rPr>
        <w:lastRenderedPageBreak/>
        <w:t>carácter local, federal o internacional que</w:t>
      </w:r>
      <w:r w:rsidR="003926CD">
        <w:rPr>
          <w:rFonts w:ascii="Arial" w:hAnsi="Arial" w:cs="Arial"/>
        </w:rPr>
        <w:t xml:space="preserve"> </w:t>
      </w:r>
      <w:r w:rsidR="003926CD" w:rsidRPr="003926CD">
        <w:rPr>
          <w:rFonts w:ascii="Arial" w:hAnsi="Arial" w:cs="Arial"/>
        </w:rPr>
        <w:t xml:space="preserve">limiten el acceso de usuarios o consumidores a fuentes de </w:t>
      </w:r>
      <w:r w:rsidR="003926CD">
        <w:rPr>
          <w:rFonts w:ascii="Arial" w:hAnsi="Arial" w:cs="Arial"/>
        </w:rPr>
        <w:t>a</w:t>
      </w:r>
      <w:r w:rsidR="003926CD" w:rsidRPr="003926CD">
        <w:rPr>
          <w:rFonts w:ascii="Arial" w:hAnsi="Arial" w:cs="Arial"/>
        </w:rPr>
        <w:t>basto</w:t>
      </w:r>
      <w:r w:rsidR="003926CD">
        <w:rPr>
          <w:rFonts w:ascii="Arial" w:hAnsi="Arial" w:cs="Arial"/>
        </w:rPr>
        <w:t xml:space="preserve"> </w:t>
      </w:r>
      <w:r w:rsidR="003926CD" w:rsidRPr="003926CD">
        <w:rPr>
          <w:rFonts w:ascii="Arial" w:hAnsi="Arial" w:cs="Arial"/>
        </w:rPr>
        <w:t>alternativas, o el acceso de los proveedores a clientes alternativos</w:t>
      </w:r>
      <w:r w:rsidRPr="00931D46">
        <w:rPr>
          <w:rFonts w:ascii="Arial" w:hAnsi="Arial" w:cs="Arial"/>
        </w:rPr>
        <w:t>.</w:t>
      </w:r>
      <w:r w:rsidRPr="00931D46">
        <w:rPr>
          <w:rStyle w:val="Refdenotaalpie"/>
          <w:rFonts w:ascii="Arial" w:hAnsi="Arial" w:cs="Arial"/>
        </w:rPr>
        <w:footnoteReference w:id="47"/>
      </w:r>
    </w:p>
    <w:p w14:paraId="51884AA3" w14:textId="77777777" w:rsidR="00BE0D80" w:rsidRPr="00931D46" w:rsidRDefault="00BE0D80" w:rsidP="00BE0D80">
      <w:pPr>
        <w:spacing w:after="0"/>
        <w:jc w:val="both"/>
        <w:rPr>
          <w:rFonts w:ascii="Arial" w:hAnsi="Arial" w:cs="Arial"/>
        </w:rPr>
      </w:pPr>
    </w:p>
    <w:p w14:paraId="74A43F4E" w14:textId="77777777" w:rsidR="00BE0D80"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53" w:name="_Toc45628326"/>
      <w:bookmarkStart w:id="54" w:name="_Toc85473322"/>
      <w:r w:rsidRPr="00931D46">
        <w:rPr>
          <w:rFonts w:ascii="Arial" w:eastAsia="Times New Roman" w:hAnsi="Arial" w:cs="Arial"/>
          <w:sz w:val="26"/>
          <w:lang w:eastAsia="es-MX"/>
        </w:rPr>
        <w:t>Experiencia internacional</w:t>
      </w:r>
      <w:bookmarkEnd w:id="53"/>
      <w:bookmarkEnd w:id="54"/>
    </w:p>
    <w:p w14:paraId="5C1D8959" w14:textId="77777777" w:rsidR="00BE0D80" w:rsidRDefault="00BE0D80" w:rsidP="00BE0D80">
      <w:pPr>
        <w:spacing w:after="0"/>
        <w:jc w:val="both"/>
        <w:rPr>
          <w:lang w:eastAsia="es-MX"/>
        </w:rPr>
      </w:pPr>
    </w:p>
    <w:p w14:paraId="742AF877" w14:textId="77777777" w:rsidR="00BE0D80" w:rsidRPr="00931D46" w:rsidRDefault="00BE0D80" w:rsidP="00BE0D80">
      <w:pPr>
        <w:spacing w:after="0"/>
        <w:jc w:val="both"/>
        <w:rPr>
          <w:rFonts w:ascii="Arial" w:hAnsi="Arial" w:cs="Arial"/>
          <w:color w:val="000000"/>
        </w:rPr>
      </w:pPr>
      <w:r>
        <w:rPr>
          <w:rFonts w:ascii="Arial" w:hAnsi="Arial" w:cs="Arial"/>
        </w:rPr>
        <w:t>L</w:t>
      </w:r>
      <w:r w:rsidRPr="00931D46">
        <w:rPr>
          <w:rFonts w:ascii="Arial" w:hAnsi="Arial" w:cs="Arial"/>
        </w:rPr>
        <w:t xml:space="preserve">os </w:t>
      </w:r>
      <w:r w:rsidRPr="005E0282">
        <w:rPr>
          <w:rFonts w:ascii="Arial" w:hAnsi="Arial" w:cs="Arial"/>
        </w:rPr>
        <w:t xml:space="preserve">principales elementos que </w:t>
      </w:r>
      <w:r>
        <w:rPr>
          <w:rFonts w:ascii="Arial" w:hAnsi="Arial" w:cs="Arial"/>
        </w:rPr>
        <w:t>consideran</w:t>
      </w:r>
      <w:r w:rsidRPr="005E0282">
        <w:rPr>
          <w:rFonts w:ascii="Arial" w:hAnsi="Arial" w:cs="Arial"/>
        </w:rPr>
        <w:t xml:space="preserve"> las autoridades de competencia de la Unión Europea,</w:t>
      </w:r>
      <w:r w:rsidRPr="005E0282">
        <w:rPr>
          <w:rStyle w:val="Refdenotaalpie"/>
          <w:rFonts w:ascii="Arial" w:hAnsi="Arial" w:cs="Arial"/>
          <w:lang w:eastAsia="es-MX"/>
        </w:rPr>
        <w:footnoteReference w:id="48"/>
      </w:r>
      <w:r w:rsidRPr="005E0282">
        <w:rPr>
          <w:rFonts w:ascii="Arial" w:hAnsi="Arial" w:cs="Arial"/>
        </w:rPr>
        <w:t xml:space="preserve"> Reino Unido,</w:t>
      </w:r>
      <w:r w:rsidRPr="005E0282">
        <w:rPr>
          <w:rStyle w:val="Refdenotaalpie"/>
          <w:rFonts w:ascii="Arial" w:hAnsi="Arial" w:cs="Arial"/>
        </w:rPr>
        <w:footnoteReference w:id="49"/>
      </w:r>
      <w:r w:rsidRPr="005E0282">
        <w:rPr>
          <w:rFonts w:ascii="Arial" w:hAnsi="Arial" w:cs="Arial"/>
        </w:rPr>
        <w:t xml:space="preserve"> Canadá,</w:t>
      </w:r>
      <w:r w:rsidRPr="005E0282">
        <w:rPr>
          <w:rFonts w:ascii="Arial" w:eastAsia="Times New Roman" w:hAnsi="Arial" w:cs="Arial"/>
          <w:vertAlign w:val="superscript"/>
          <w:lang w:eastAsia="es-MX"/>
        </w:rPr>
        <w:footnoteReference w:id="50"/>
      </w:r>
      <w:r w:rsidRPr="005E0282">
        <w:rPr>
          <w:rFonts w:ascii="Arial" w:hAnsi="Arial" w:cs="Arial"/>
        </w:rPr>
        <w:t xml:space="preserve"> Australia,</w:t>
      </w:r>
      <w:r w:rsidRPr="005E0282">
        <w:rPr>
          <w:rFonts w:ascii="Arial" w:eastAsia="Times New Roman" w:hAnsi="Arial" w:cs="Arial"/>
          <w:vertAlign w:val="superscript"/>
          <w:lang w:eastAsia="es-MX"/>
        </w:rPr>
        <w:footnoteReference w:id="51"/>
      </w:r>
      <w:r w:rsidRPr="005E0282">
        <w:rPr>
          <w:rFonts w:ascii="Arial" w:hAnsi="Arial" w:cs="Arial"/>
        </w:rPr>
        <w:t xml:space="preserve"> Portugal,</w:t>
      </w:r>
      <w:r w:rsidRPr="005E0282">
        <w:rPr>
          <w:rFonts w:ascii="Arial" w:eastAsia="Times New Roman" w:hAnsi="Arial" w:cs="Arial"/>
          <w:vertAlign w:val="superscript"/>
          <w:lang w:eastAsia="es-MX"/>
        </w:rPr>
        <w:footnoteReference w:id="52"/>
      </w:r>
      <w:r w:rsidRPr="005E0282">
        <w:rPr>
          <w:rFonts w:ascii="Arial" w:hAnsi="Arial" w:cs="Arial"/>
        </w:rPr>
        <w:t xml:space="preserve"> Estados Unidos de América</w:t>
      </w:r>
      <w:r w:rsidRPr="005E0282">
        <w:rPr>
          <w:rFonts w:ascii="Arial" w:eastAsia="Times New Roman" w:hAnsi="Arial" w:cs="Arial"/>
          <w:vertAlign w:val="superscript"/>
          <w:lang w:eastAsia="es-MX"/>
        </w:rPr>
        <w:footnoteReference w:id="53"/>
      </w:r>
      <w:r w:rsidRPr="005E0282">
        <w:rPr>
          <w:rFonts w:ascii="Arial" w:hAnsi="Arial" w:cs="Arial"/>
        </w:rPr>
        <w:t xml:space="preserve"> y China</w:t>
      </w:r>
      <w:r w:rsidRPr="005E0282">
        <w:rPr>
          <w:rFonts w:ascii="Arial" w:eastAsia="Times New Roman" w:hAnsi="Arial" w:cs="Arial"/>
          <w:vertAlign w:val="superscript"/>
          <w:lang w:eastAsia="es-MX"/>
        </w:rPr>
        <w:footnoteReference w:id="54"/>
      </w:r>
      <w:r w:rsidRPr="005E0282">
        <w:rPr>
          <w:rFonts w:ascii="Arial" w:hAnsi="Arial" w:cs="Arial"/>
        </w:rPr>
        <w:t>, así como</w:t>
      </w:r>
      <w:r w:rsidRPr="00931D46">
        <w:rPr>
          <w:rFonts w:ascii="Arial" w:hAnsi="Arial" w:cs="Arial"/>
        </w:rPr>
        <w:t xml:space="preserve"> los señalados por la OCDE,</w:t>
      </w:r>
      <w:r w:rsidRPr="00931D46">
        <w:rPr>
          <w:rFonts w:ascii="Arial" w:eastAsia="Times New Roman" w:hAnsi="Arial" w:cs="Arial"/>
          <w:vertAlign w:val="superscript"/>
          <w:lang w:eastAsia="es-MX"/>
        </w:rPr>
        <w:footnoteReference w:id="55"/>
      </w:r>
      <w:r w:rsidRPr="00931D46">
        <w:rPr>
          <w:rFonts w:ascii="Arial" w:hAnsi="Arial" w:cs="Arial"/>
        </w:rPr>
        <w:t xml:space="preserve"> para la </w:t>
      </w:r>
      <w:r w:rsidRPr="00931D46">
        <w:rPr>
          <w:rFonts w:ascii="Arial" w:hAnsi="Arial" w:cs="Arial"/>
          <w:color w:val="000000"/>
        </w:rPr>
        <w:t xml:space="preserve">delimitación geográfica del MR, </w:t>
      </w:r>
      <w:r>
        <w:rPr>
          <w:rFonts w:ascii="Arial" w:hAnsi="Arial" w:cs="Arial"/>
          <w:color w:val="000000"/>
        </w:rPr>
        <w:t>son</w:t>
      </w:r>
      <w:r w:rsidRPr="00931D46">
        <w:rPr>
          <w:rFonts w:ascii="Arial" w:hAnsi="Arial" w:cs="Arial"/>
          <w:color w:val="000000"/>
        </w:rPr>
        <w:t xml:space="preserve"> básicamente los mismos principios del análisis de sustitución que se </w:t>
      </w:r>
      <w:r>
        <w:rPr>
          <w:rFonts w:ascii="Arial" w:hAnsi="Arial" w:cs="Arial"/>
          <w:color w:val="000000"/>
        </w:rPr>
        <w:t>consideran</w:t>
      </w:r>
      <w:r w:rsidRPr="00931D46">
        <w:rPr>
          <w:rFonts w:ascii="Arial" w:hAnsi="Arial" w:cs="Arial"/>
          <w:color w:val="000000"/>
        </w:rPr>
        <w:t xml:space="preserve"> en la delimitación de </w:t>
      </w:r>
      <w:r>
        <w:rPr>
          <w:rFonts w:ascii="Arial" w:hAnsi="Arial" w:cs="Arial"/>
          <w:color w:val="000000"/>
        </w:rPr>
        <w:t>la dimensión producto</w:t>
      </w:r>
      <w:r w:rsidRPr="00931D46">
        <w:rPr>
          <w:rFonts w:ascii="Arial" w:hAnsi="Arial" w:cs="Arial"/>
          <w:color w:val="000000"/>
        </w:rPr>
        <w:t>, además de elementos como los siguientes:</w:t>
      </w:r>
    </w:p>
    <w:p w14:paraId="2F8AE4F8" w14:textId="77777777" w:rsidR="00BE0D80" w:rsidRPr="00931D46" w:rsidRDefault="00BE0D80" w:rsidP="00BE0D80">
      <w:pPr>
        <w:spacing w:after="0"/>
        <w:jc w:val="both"/>
        <w:rPr>
          <w:rFonts w:ascii="Arial" w:hAnsi="Arial" w:cs="Arial"/>
          <w:color w:val="000000"/>
        </w:rPr>
      </w:pPr>
    </w:p>
    <w:p w14:paraId="7E7EBBC2" w14:textId="77777777" w:rsidR="00BE0D80" w:rsidRPr="00931D46" w:rsidRDefault="00BE0D80" w:rsidP="00C21851">
      <w:pPr>
        <w:keepNext/>
        <w:spacing w:after="0"/>
        <w:jc w:val="both"/>
        <w:rPr>
          <w:rFonts w:ascii="Arial" w:hAnsi="Arial" w:cs="Arial"/>
        </w:rPr>
      </w:pPr>
      <w:bookmarkStart w:id="55" w:name="_Hlk84602106"/>
      <w:r w:rsidRPr="00931D46">
        <w:rPr>
          <w:rFonts w:ascii="Arial" w:hAnsi="Arial" w:cs="Arial"/>
          <w:b/>
          <w:color w:val="000000"/>
        </w:rPr>
        <w:t>Por el lado de la demanda</w:t>
      </w:r>
      <w:r w:rsidRPr="00931D46">
        <w:rPr>
          <w:rFonts w:ascii="Arial" w:hAnsi="Arial" w:cs="Arial"/>
          <w:color w:val="000000"/>
        </w:rPr>
        <w:t>:</w:t>
      </w:r>
    </w:p>
    <w:bookmarkEnd w:id="55"/>
    <w:p w14:paraId="5EF5EE1F" w14:textId="77777777" w:rsidR="00BE0D80" w:rsidRDefault="00BE0D80" w:rsidP="00C21851">
      <w:pPr>
        <w:pStyle w:val="Prrafodelista"/>
        <w:keepNext/>
        <w:spacing w:after="0"/>
        <w:ind w:left="709"/>
        <w:contextualSpacing w:val="0"/>
        <w:jc w:val="both"/>
        <w:rPr>
          <w:rFonts w:ascii="Arial" w:hAnsi="Arial" w:cs="Arial"/>
        </w:rPr>
      </w:pPr>
    </w:p>
    <w:p w14:paraId="1BBD03CA" w14:textId="77777777" w:rsidR="00BE0D80"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 xml:space="preserve">La posibilidad de importar el </w:t>
      </w:r>
      <w:r>
        <w:rPr>
          <w:rFonts w:ascii="Arial" w:hAnsi="Arial" w:cs="Arial"/>
        </w:rPr>
        <w:t>producto</w:t>
      </w:r>
      <w:r w:rsidRPr="00931D46">
        <w:rPr>
          <w:rFonts w:ascii="Arial" w:hAnsi="Arial" w:cs="Arial"/>
        </w:rPr>
        <w:t xml:space="preserve"> desde otras regiones, considerando costos de búsqueda y transporte, barreras comerciales y preferencias de los consumidores</w:t>
      </w:r>
      <w:r>
        <w:rPr>
          <w:rFonts w:ascii="Arial" w:hAnsi="Arial" w:cs="Arial"/>
        </w:rPr>
        <w:t xml:space="preserve">, </w:t>
      </w:r>
      <w:r w:rsidRPr="00931D46">
        <w:rPr>
          <w:rFonts w:ascii="Arial" w:hAnsi="Arial" w:cs="Arial"/>
        </w:rPr>
        <w:t>para abastecerse en otras zonas geográficas;</w:t>
      </w:r>
    </w:p>
    <w:p w14:paraId="3D471EC5" w14:textId="77777777" w:rsidR="00BE0D80" w:rsidRDefault="00BE0D80" w:rsidP="00BE0D80">
      <w:pPr>
        <w:pStyle w:val="Prrafodelista"/>
        <w:spacing w:after="0"/>
        <w:ind w:left="709"/>
        <w:contextualSpacing w:val="0"/>
        <w:jc w:val="both"/>
        <w:rPr>
          <w:rFonts w:ascii="Arial" w:hAnsi="Arial" w:cs="Arial"/>
        </w:rPr>
      </w:pPr>
    </w:p>
    <w:p w14:paraId="6C7442DB" w14:textId="77777777" w:rsidR="00BE0D80" w:rsidRPr="00E55BD9" w:rsidRDefault="00BE0D80" w:rsidP="00BE0D80">
      <w:pPr>
        <w:pStyle w:val="Prrafodelista"/>
        <w:numPr>
          <w:ilvl w:val="0"/>
          <w:numId w:val="11"/>
        </w:numPr>
        <w:spacing w:after="0"/>
        <w:ind w:left="709" w:hanging="567"/>
        <w:contextualSpacing w:val="0"/>
        <w:jc w:val="both"/>
        <w:rPr>
          <w:rFonts w:ascii="Arial" w:hAnsi="Arial" w:cs="Arial"/>
        </w:rPr>
      </w:pPr>
      <w:r w:rsidRPr="00E55BD9">
        <w:rPr>
          <w:rFonts w:ascii="Arial" w:hAnsi="Arial" w:cs="Arial"/>
        </w:rPr>
        <w:t xml:space="preserve">Localización geográfica de las compras y flujos comerciales entre zonas (porcentaje de ventas hechas por empresas ubicadas dentro de la zona </w:t>
      </w:r>
      <w:r>
        <w:rPr>
          <w:rFonts w:ascii="Arial" w:hAnsi="Arial" w:cs="Arial"/>
        </w:rPr>
        <w:t>analizada</w:t>
      </w:r>
      <w:r w:rsidRPr="00E55BD9">
        <w:rPr>
          <w:rFonts w:ascii="Arial" w:hAnsi="Arial" w:cs="Arial"/>
        </w:rPr>
        <w:t xml:space="preserve"> y a consumidores ubicados en la zona </w:t>
      </w:r>
      <w:r>
        <w:rPr>
          <w:rFonts w:ascii="Arial" w:hAnsi="Arial" w:cs="Arial"/>
        </w:rPr>
        <w:t>analizada</w:t>
      </w:r>
      <w:r w:rsidRPr="00E55BD9">
        <w:rPr>
          <w:rFonts w:ascii="Arial" w:hAnsi="Arial" w:cs="Arial"/>
        </w:rPr>
        <w:t>);</w:t>
      </w:r>
      <w:r w:rsidRPr="00931D46">
        <w:rPr>
          <w:rStyle w:val="Refdenotaalpie"/>
          <w:rFonts w:ascii="Arial" w:hAnsi="Arial" w:cs="Arial"/>
        </w:rPr>
        <w:footnoteReference w:id="56"/>
      </w:r>
    </w:p>
    <w:p w14:paraId="4335BCDA" w14:textId="77777777" w:rsidR="00BE0D80" w:rsidRPr="00777DBE" w:rsidRDefault="00BE0D80" w:rsidP="00BE0D80">
      <w:pPr>
        <w:spacing w:after="0"/>
        <w:jc w:val="both"/>
        <w:rPr>
          <w:rFonts w:ascii="Arial" w:hAnsi="Arial" w:cs="Arial"/>
        </w:rPr>
      </w:pPr>
    </w:p>
    <w:p w14:paraId="7F9AC33E" w14:textId="77777777" w:rsidR="00BE0D80" w:rsidRPr="00931D46"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 xml:space="preserve">La posibilidad de los operadores de discriminar precios con base en la ubicación de los consumidores; </w:t>
      </w:r>
    </w:p>
    <w:p w14:paraId="6F412FBC" w14:textId="77777777" w:rsidR="00BE0D80" w:rsidRDefault="00BE0D80" w:rsidP="00BE0D80">
      <w:pPr>
        <w:pStyle w:val="Prrafodelista"/>
        <w:spacing w:after="0"/>
        <w:ind w:left="709"/>
        <w:contextualSpacing w:val="0"/>
        <w:jc w:val="both"/>
        <w:rPr>
          <w:rFonts w:ascii="Arial" w:hAnsi="Arial" w:cs="Arial"/>
        </w:rPr>
      </w:pPr>
    </w:p>
    <w:p w14:paraId="32D13636" w14:textId="77777777" w:rsidR="00BE0D80" w:rsidRPr="000D44AA" w:rsidRDefault="00BE0D80" w:rsidP="00BE0D80">
      <w:pPr>
        <w:pStyle w:val="Prrafodelista"/>
        <w:numPr>
          <w:ilvl w:val="0"/>
          <w:numId w:val="11"/>
        </w:numPr>
        <w:spacing w:after="0"/>
        <w:ind w:left="709" w:hanging="567"/>
        <w:contextualSpacing w:val="0"/>
        <w:jc w:val="both"/>
        <w:rPr>
          <w:rFonts w:ascii="Arial" w:hAnsi="Arial" w:cs="Arial"/>
        </w:rPr>
      </w:pPr>
      <w:r w:rsidRPr="000D44AA">
        <w:rPr>
          <w:rFonts w:ascii="Arial" w:hAnsi="Arial" w:cs="Arial"/>
        </w:rPr>
        <w:t>Preferencias del consumidor</w:t>
      </w:r>
      <w:r w:rsidRPr="000D44AA">
        <w:rPr>
          <w:rFonts w:ascii="Arial" w:eastAsiaTheme="majorEastAsia" w:hAnsi="Arial" w:cs="Arial"/>
        </w:rPr>
        <w:t xml:space="preserve">, por ejemplo, por </w:t>
      </w:r>
      <w:r>
        <w:rPr>
          <w:rFonts w:ascii="Arial" w:eastAsiaTheme="majorEastAsia" w:hAnsi="Arial" w:cs="Arial"/>
        </w:rPr>
        <w:t>productos</w:t>
      </w:r>
      <w:r w:rsidRPr="000D44AA">
        <w:rPr>
          <w:rFonts w:ascii="Arial" w:eastAsiaTheme="majorEastAsia" w:hAnsi="Arial" w:cs="Arial"/>
        </w:rPr>
        <w:t xml:space="preserve"> nacionales o locales, por la marca, el idioma, la cultura y el estilo de vida o la necesidad de una presencia local</w:t>
      </w:r>
      <w:r>
        <w:rPr>
          <w:rFonts w:ascii="Arial" w:eastAsiaTheme="majorEastAsia" w:hAnsi="Arial" w:cs="Arial"/>
        </w:rPr>
        <w:t>;</w:t>
      </w:r>
    </w:p>
    <w:p w14:paraId="1F197349" w14:textId="77777777" w:rsidR="00BE0D80" w:rsidRDefault="00BE0D80" w:rsidP="00BE0D80">
      <w:pPr>
        <w:pStyle w:val="Prrafodelista"/>
        <w:spacing w:after="0"/>
        <w:ind w:left="709"/>
        <w:contextualSpacing w:val="0"/>
        <w:jc w:val="both"/>
        <w:rPr>
          <w:rFonts w:ascii="Arial" w:hAnsi="Arial" w:cs="Arial"/>
        </w:rPr>
      </w:pPr>
    </w:p>
    <w:p w14:paraId="2E687DCE" w14:textId="77777777" w:rsidR="00BE0D80" w:rsidRPr="000C70DC"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Herramientas econométricas y estadísticas, así como análisis basados en la similitud de los niveles de precios y su evolución o convergencia, entre zonas geográficas</w:t>
      </w:r>
      <w:r>
        <w:rPr>
          <w:rFonts w:ascii="Arial" w:hAnsi="Arial" w:cs="Arial"/>
        </w:rPr>
        <w:t>;</w:t>
      </w:r>
    </w:p>
    <w:p w14:paraId="79AF09D8" w14:textId="77777777" w:rsidR="00BE0D80" w:rsidRDefault="00BE0D80" w:rsidP="00BE0D80">
      <w:pPr>
        <w:pStyle w:val="Prrafodelista"/>
        <w:spacing w:after="0"/>
        <w:ind w:left="709"/>
        <w:contextualSpacing w:val="0"/>
        <w:jc w:val="both"/>
        <w:rPr>
          <w:rFonts w:ascii="Arial" w:hAnsi="Arial" w:cs="Arial"/>
        </w:rPr>
      </w:pPr>
    </w:p>
    <w:p w14:paraId="4B19A4A5" w14:textId="77777777" w:rsidR="00BE0D80"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Comportamiento reciente de los consumidores ante variaciones de los precios relativos entre las distintas zonas geográficas</w:t>
      </w:r>
      <w:r>
        <w:rPr>
          <w:rFonts w:ascii="Arial" w:hAnsi="Arial" w:cs="Arial"/>
        </w:rPr>
        <w:t>;</w:t>
      </w:r>
    </w:p>
    <w:p w14:paraId="31CE2D7A" w14:textId="77777777" w:rsidR="00BE0D80" w:rsidRDefault="00BE0D80" w:rsidP="00BE0D80">
      <w:pPr>
        <w:pStyle w:val="Prrafodelista"/>
        <w:spacing w:after="0"/>
        <w:ind w:left="709"/>
        <w:contextualSpacing w:val="0"/>
        <w:jc w:val="both"/>
        <w:rPr>
          <w:rFonts w:ascii="Arial" w:hAnsi="Arial" w:cs="Arial"/>
        </w:rPr>
      </w:pPr>
    </w:p>
    <w:p w14:paraId="4DB36B80" w14:textId="77777777" w:rsidR="00BE0D80" w:rsidRPr="00931D46"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 xml:space="preserve">Opiniones de los principales clientes sobre lo que ocurriría ante un incremento (5%-10%) de los precios relativos de los </w:t>
      </w:r>
      <w:r>
        <w:rPr>
          <w:rFonts w:ascii="Arial" w:hAnsi="Arial" w:cs="Arial"/>
        </w:rPr>
        <w:t>productos</w:t>
      </w:r>
      <w:r w:rsidRPr="00931D46">
        <w:rPr>
          <w:rFonts w:ascii="Arial" w:hAnsi="Arial" w:cs="Arial"/>
        </w:rPr>
        <w:t xml:space="preserve"> considerados entre zonas geográficas.</w:t>
      </w:r>
    </w:p>
    <w:p w14:paraId="772FE098" w14:textId="77777777" w:rsidR="00BE0D80" w:rsidRDefault="00BE0D80" w:rsidP="00BE0D80">
      <w:pPr>
        <w:pStyle w:val="Prrafodelista"/>
        <w:spacing w:after="0"/>
        <w:ind w:left="709"/>
        <w:contextualSpacing w:val="0"/>
        <w:jc w:val="both"/>
        <w:rPr>
          <w:rFonts w:ascii="Arial" w:hAnsi="Arial" w:cs="Arial"/>
        </w:rPr>
      </w:pPr>
    </w:p>
    <w:p w14:paraId="02C811EC" w14:textId="77777777" w:rsidR="00BE0D80" w:rsidRPr="00931D46"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Encuestas, opiniones y estrategias de proveedores, y</w:t>
      </w:r>
    </w:p>
    <w:p w14:paraId="50643106" w14:textId="77777777" w:rsidR="00BE0D80" w:rsidRDefault="00BE0D80" w:rsidP="00BE0D80">
      <w:pPr>
        <w:pStyle w:val="Prrafodelista"/>
        <w:spacing w:after="0"/>
        <w:ind w:left="709"/>
        <w:contextualSpacing w:val="0"/>
        <w:jc w:val="both"/>
        <w:rPr>
          <w:rFonts w:ascii="Arial" w:hAnsi="Arial" w:cs="Arial"/>
        </w:rPr>
      </w:pPr>
    </w:p>
    <w:p w14:paraId="2EB9860E" w14:textId="77777777" w:rsidR="00BE0D80" w:rsidRPr="00931D46"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La existencia de cadenas de sustitución entre zonas geográficas.</w:t>
      </w:r>
    </w:p>
    <w:p w14:paraId="1E588D85" w14:textId="77777777" w:rsidR="00BE0D80" w:rsidRDefault="00BE0D80" w:rsidP="00BE0D80">
      <w:pPr>
        <w:spacing w:after="0"/>
        <w:jc w:val="both"/>
        <w:rPr>
          <w:rFonts w:ascii="Arial" w:hAnsi="Arial" w:cs="Arial"/>
        </w:rPr>
      </w:pPr>
    </w:p>
    <w:p w14:paraId="4639F744" w14:textId="77777777" w:rsidR="00BE0D80" w:rsidRPr="00931D46" w:rsidRDefault="00BE0D80" w:rsidP="00BE0D80">
      <w:pPr>
        <w:keepNext/>
        <w:spacing w:after="0"/>
        <w:jc w:val="both"/>
        <w:rPr>
          <w:rFonts w:ascii="Arial" w:hAnsi="Arial" w:cs="Arial"/>
          <w:b/>
        </w:rPr>
      </w:pPr>
      <w:r w:rsidRPr="00931D46">
        <w:rPr>
          <w:rFonts w:ascii="Arial" w:hAnsi="Arial" w:cs="Arial"/>
          <w:b/>
        </w:rPr>
        <w:t>Por el lado de la oferta:</w:t>
      </w:r>
    </w:p>
    <w:p w14:paraId="38CFBE46" w14:textId="77777777" w:rsidR="00BE0D80" w:rsidRDefault="00BE0D80" w:rsidP="00BE0D80">
      <w:pPr>
        <w:pStyle w:val="Prrafodelista"/>
        <w:spacing w:after="0"/>
        <w:ind w:left="709"/>
        <w:contextualSpacing w:val="0"/>
        <w:jc w:val="both"/>
        <w:rPr>
          <w:rFonts w:ascii="Arial" w:hAnsi="Arial" w:cs="Arial"/>
        </w:rPr>
      </w:pPr>
    </w:p>
    <w:p w14:paraId="14C363B7" w14:textId="77777777" w:rsidR="00BE0D80" w:rsidRPr="00931D46"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La cobertura de las redes de los operadores;</w:t>
      </w:r>
    </w:p>
    <w:p w14:paraId="26D5269E" w14:textId="77777777" w:rsidR="00BE0D80" w:rsidRDefault="00BE0D80" w:rsidP="00BE0D80">
      <w:pPr>
        <w:pStyle w:val="Prrafodelista"/>
        <w:spacing w:after="0"/>
        <w:ind w:left="709"/>
        <w:contextualSpacing w:val="0"/>
        <w:jc w:val="both"/>
        <w:rPr>
          <w:rFonts w:ascii="Arial" w:hAnsi="Arial" w:cs="Arial"/>
        </w:rPr>
      </w:pPr>
    </w:p>
    <w:p w14:paraId="5A374BA5" w14:textId="77777777" w:rsidR="00BE0D80" w:rsidRPr="00931D46"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 xml:space="preserve">La existencia de instrumentos </w:t>
      </w:r>
      <w:r>
        <w:rPr>
          <w:rFonts w:ascii="Arial" w:hAnsi="Arial" w:cs="Arial"/>
        </w:rPr>
        <w:t xml:space="preserve">comerciales, legales o </w:t>
      </w:r>
      <w:r w:rsidRPr="00931D46">
        <w:rPr>
          <w:rFonts w:ascii="Arial" w:hAnsi="Arial" w:cs="Arial"/>
        </w:rPr>
        <w:t xml:space="preserve">regulatorios que </w:t>
      </w:r>
      <w:r>
        <w:rPr>
          <w:rFonts w:ascii="Arial" w:hAnsi="Arial" w:cs="Arial"/>
        </w:rPr>
        <w:t xml:space="preserve">limiten la entrada en ciertas zonas geográficas (por ejemplo, </w:t>
      </w:r>
      <w:r w:rsidRPr="00931D46">
        <w:rPr>
          <w:rFonts w:ascii="Arial" w:hAnsi="Arial" w:cs="Arial"/>
        </w:rPr>
        <w:t>la necesidad de contar con concesiones, permisos o autorizaciones</w:t>
      </w:r>
      <w:r>
        <w:rPr>
          <w:rFonts w:ascii="Arial" w:hAnsi="Arial" w:cs="Arial"/>
        </w:rPr>
        <w:t>)</w:t>
      </w:r>
      <w:r w:rsidRPr="00931D46">
        <w:rPr>
          <w:rFonts w:ascii="Arial" w:hAnsi="Arial" w:cs="Arial"/>
        </w:rPr>
        <w:t xml:space="preserve">; </w:t>
      </w:r>
    </w:p>
    <w:p w14:paraId="165DE763" w14:textId="77777777" w:rsidR="00BE0D80" w:rsidRDefault="00BE0D80" w:rsidP="00BE0D80">
      <w:pPr>
        <w:pStyle w:val="Prrafodelista"/>
        <w:spacing w:after="0"/>
        <w:ind w:left="709"/>
        <w:contextualSpacing w:val="0"/>
        <w:jc w:val="both"/>
        <w:rPr>
          <w:rFonts w:ascii="Arial" w:hAnsi="Arial" w:cs="Arial"/>
        </w:rPr>
      </w:pPr>
    </w:p>
    <w:p w14:paraId="2B8290C4" w14:textId="77777777" w:rsidR="00BE0D80" w:rsidRPr="00931D46"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Los costos de extender o cambiar los sistemas de producción y distribución para abastecer a los clientes en regiones alternativas,</w:t>
      </w:r>
    </w:p>
    <w:p w14:paraId="4AF873D6" w14:textId="77777777" w:rsidR="00BE0D80" w:rsidRDefault="00BE0D80" w:rsidP="00BE0D80">
      <w:pPr>
        <w:pStyle w:val="Prrafodelista"/>
        <w:spacing w:after="0"/>
        <w:ind w:left="709"/>
        <w:contextualSpacing w:val="0"/>
        <w:jc w:val="both"/>
        <w:rPr>
          <w:rFonts w:ascii="Arial" w:hAnsi="Arial" w:cs="Arial"/>
        </w:rPr>
      </w:pPr>
    </w:p>
    <w:p w14:paraId="3880C145" w14:textId="77777777" w:rsidR="00BE0D80" w:rsidRDefault="00BE0D80" w:rsidP="00BE0D8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La homogeneidad (o heterogeneidad) de las condiciones de competencia entre regiones.</w:t>
      </w:r>
    </w:p>
    <w:p w14:paraId="3E833674" w14:textId="77777777" w:rsidR="00BE0D80" w:rsidRPr="00A92633" w:rsidRDefault="00BE0D80" w:rsidP="00BE0D80">
      <w:pPr>
        <w:pStyle w:val="Prrafodelista"/>
        <w:spacing w:after="0"/>
        <w:ind w:left="709"/>
        <w:contextualSpacing w:val="0"/>
        <w:jc w:val="both"/>
        <w:rPr>
          <w:rFonts w:ascii="Arial" w:hAnsi="Arial" w:cs="Arial"/>
        </w:rPr>
      </w:pPr>
    </w:p>
    <w:p w14:paraId="4ACCD76F" w14:textId="77777777" w:rsidR="00BE0D80" w:rsidRDefault="00BE0D80" w:rsidP="00BE0D80">
      <w:pPr>
        <w:pStyle w:val="Prrafodelista"/>
        <w:numPr>
          <w:ilvl w:val="0"/>
          <w:numId w:val="11"/>
        </w:numPr>
        <w:spacing w:after="0"/>
        <w:ind w:left="709" w:hanging="567"/>
        <w:contextualSpacing w:val="0"/>
        <w:jc w:val="both"/>
        <w:rPr>
          <w:rFonts w:ascii="Arial" w:hAnsi="Arial" w:cs="Arial"/>
        </w:rPr>
      </w:pPr>
      <w:r w:rsidRPr="00E55BD9">
        <w:rPr>
          <w:rFonts w:ascii="Arial" w:hAnsi="Arial" w:cs="Arial"/>
          <w:szCs w:val="24"/>
        </w:rPr>
        <w:t xml:space="preserve">Si </w:t>
      </w:r>
      <w:r w:rsidRPr="00E55BD9">
        <w:rPr>
          <w:rFonts w:ascii="Arial" w:hAnsi="Arial" w:cs="Arial"/>
        </w:rPr>
        <w:t xml:space="preserve">los oferentes requieren tener presencia cerca de los usuarios para proveer el </w:t>
      </w:r>
      <w:r>
        <w:rPr>
          <w:rFonts w:ascii="Arial" w:hAnsi="Arial" w:cs="Arial"/>
        </w:rPr>
        <w:t>producto</w:t>
      </w:r>
      <w:r w:rsidRPr="00E55BD9">
        <w:rPr>
          <w:rFonts w:ascii="Arial" w:hAnsi="Arial" w:cs="Arial"/>
        </w:rPr>
        <w:t xml:space="preserve"> y atención al cliente</w:t>
      </w:r>
      <w:r>
        <w:rPr>
          <w:rFonts w:ascii="Arial" w:hAnsi="Arial" w:cs="Arial"/>
        </w:rPr>
        <w:t>, y</w:t>
      </w:r>
    </w:p>
    <w:p w14:paraId="2F718841" w14:textId="77777777" w:rsidR="00BE0D80" w:rsidRDefault="00BE0D80" w:rsidP="00BE0D80">
      <w:pPr>
        <w:pStyle w:val="Prrafodelista"/>
        <w:spacing w:after="0"/>
        <w:ind w:left="709"/>
        <w:contextualSpacing w:val="0"/>
        <w:jc w:val="both"/>
        <w:rPr>
          <w:rFonts w:ascii="Arial" w:hAnsi="Arial" w:cs="Arial"/>
        </w:rPr>
      </w:pPr>
    </w:p>
    <w:p w14:paraId="3184F1AB" w14:textId="22E35723" w:rsidR="00BE0D80" w:rsidRDefault="00BE0D80" w:rsidP="00BE0D80">
      <w:pPr>
        <w:pStyle w:val="Prrafodelista"/>
        <w:numPr>
          <w:ilvl w:val="0"/>
          <w:numId w:val="11"/>
        </w:numPr>
        <w:spacing w:after="0"/>
        <w:ind w:left="709" w:hanging="567"/>
        <w:contextualSpacing w:val="0"/>
        <w:jc w:val="both"/>
        <w:rPr>
          <w:rFonts w:ascii="Arial" w:hAnsi="Arial" w:cs="Arial"/>
        </w:rPr>
      </w:pPr>
      <w:r w:rsidRPr="005E0282">
        <w:rPr>
          <w:rFonts w:ascii="Arial" w:hAnsi="Arial" w:cs="Arial"/>
        </w:rPr>
        <w:t>Evidencia respecto a si la</w:t>
      </w:r>
      <w:r>
        <w:rPr>
          <w:rFonts w:ascii="Arial" w:hAnsi="Arial" w:cs="Arial"/>
        </w:rPr>
        <w:t>s</w:t>
      </w:r>
      <w:r w:rsidRPr="005E0282">
        <w:rPr>
          <w:rFonts w:ascii="Arial" w:hAnsi="Arial" w:cs="Arial"/>
        </w:rPr>
        <w:t xml:space="preserve"> estrat</w:t>
      </w:r>
      <w:r>
        <w:rPr>
          <w:rFonts w:ascii="Arial" w:hAnsi="Arial" w:cs="Arial"/>
        </w:rPr>
        <w:t>egias</w:t>
      </w:r>
      <w:r w:rsidRPr="005E0282">
        <w:rPr>
          <w:rFonts w:ascii="Arial" w:hAnsi="Arial" w:cs="Arial"/>
        </w:rPr>
        <w:t xml:space="preserve"> de los proveedores considera</w:t>
      </w:r>
      <w:r>
        <w:rPr>
          <w:rFonts w:ascii="Arial" w:hAnsi="Arial" w:cs="Arial"/>
        </w:rPr>
        <w:t>n</w:t>
      </w:r>
      <w:r w:rsidRPr="005E0282">
        <w:rPr>
          <w:rFonts w:ascii="Arial" w:hAnsi="Arial" w:cs="Arial"/>
        </w:rPr>
        <w:t xml:space="preserve"> </w:t>
      </w:r>
      <w:r>
        <w:rPr>
          <w:rFonts w:ascii="Arial" w:hAnsi="Arial" w:cs="Arial"/>
        </w:rPr>
        <w:t xml:space="preserve">la </w:t>
      </w:r>
      <w:r w:rsidRPr="005E0282">
        <w:rPr>
          <w:rFonts w:ascii="Arial" w:hAnsi="Arial" w:cs="Arial"/>
        </w:rPr>
        <w:t xml:space="preserve">posibilidad de </w:t>
      </w:r>
      <w:r>
        <w:rPr>
          <w:rFonts w:ascii="Arial" w:hAnsi="Arial" w:cs="Arial"/>
        </w:rPr>
        <w:t xml:space="preserve">los </w:t>
      </w:r>
      <w:r w:rsidRPr="005E0282">
        <w:rPr>
          <w:rFonts w:ascii="Arial" w:hAnsi="Arial" w:cs="Arial"/>
        </w:rPr>
        <w:t xml:space="preserve">usuarios de abastecerse del producto en otras </w:t>
      </w:r>
      <w:r>
        <w:rPr>
          <w:rFonts w:ascii="Arial" w:hAnsi="Arial" w:cs="Arial"/>
        </w:rPr>
        <w:t>zonas</w:t>
      </w:r>
      <w:r w:rsidRPr="005E0282">
        <w:rPr>
          <w:rFonts w:ascii="Arial" w:hAnsi="Arial" w:cs="Arial"/>
        </w:rPr>
        <w:t xml:space="preserve"> geográficas</w:t>
      </w:r>
      <w:r>
        <w:rPr>
          <w:rFonts w:ascii="Arial" w:hAnsi="Arial" w:cs="Arial"/>
        </w:rPr>
        <w:t>.</w:t>
      </w:r>
    </w:p>
    <w:p w14:paraId="0692A5FF" w14:textId="77777777" w:rsidR="00C21851" w:rsidRPr="00C21851" w:rsidRDefault="00C21851" w:rsidP="00C21851">
      <w:pPr>
        <w:spacing w:after="0"/>
        <w:jc w:val="both"/>
        <w:rPr>
          <w:rFonts w:ascii="Arial" w:hAnsi="Arial" w:cs="Arial"/>
        </w:rPr>
      </w:pPr>
    </w:p>
    <w:p w14:paraId="5437EE9C"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56" w:name="_Toc64495271"/>
      <w:bookmarkStart w:id="57" w:name="_Toc45628327"/>
      <w:bookmarkStart w:id="58" w:name="_Toc85473323"/>
      <w:bookmarkEnd w:id="56"/>
      <w:r>
        <w:rPr>
          <w:rFonts w:ascii="Arial" w:eastAsia="Times New Roman" w:hAnsi="Arial" w:cs="Arial"/>
          <w:sz w:val="26"/>
          <w:lang w:eastAsia="es-MX"/>
        </w:rPr>
        <w:lastRenderedPageBreak/>
        <w:t>E</w:t>
      </w:r>
      <w:r w:rsidRPr="00931D46">
        <w:rPr>
          <w:rFonts w:ascii="Arial" w:eastAsia="Times New Roman" w:hAnsi="Arial" w:cs="Arial"/>
          <w:sz w:val="26"/>
          <w:lang w:eastAsia="es-MX"/>
        </w:rPr>
        <w:t>lementos para determinar la dimensión geográfica</w:t>
      </w:r>
      <w:bookmarkEnd w:id="57"/>
      <w:bookmarkEnd w:id="58"/>
    </w:p>
    <w:p w14:paraId="00C9A713" w14:textId="77777777" w:rsidR="00BE0D80" w:rsidRPr="00931D46" w:rsidRDefault="00BE0D80" w:rsidP="00BE0D80">
      <w:pPr>
        <w:keepNext/>
        <w:spacing w:after="0"/>
        <w:jc w:val="both"/>
        <w:rPr>
          <w:rFonts w:ascii="Arial" w:eastAsiaTheme="majorEastAsia" w:hAnsi="Arial" w:cs="Arial"/>
          <w:b/>
          <w:szCs w:val="32"/>
          <w:highlight w:val="green"/>
        </w:rPr>
      </w:pPr>
    </w:p>
    <w:p w14:paraId="531B338E" w14:textId="77777777" w:rsidR="00BE0D80" w:rsidRPr="00331845"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r>
        <w:rPr>
          <w:rFonts w:ascii="Arial" w:eastAsia="Times New Roman" w:hAnsi="Arial" w:cs="Arial"/>
          <w:sz w:val="26"/>
          <w:szCs w:val="26"/>
          <w:lang w:eastAsia="es-MX"/>
        </w:rPr>
        <w:t>Zona geográfica</w:t>
      </w:r>
      <w:r w:rsidRPr="00331845">
        <w:rPr>
          <w:rFonts w:ascii="Arial" w:eastAsia="Times New Roman" w:hAnsi="Arial" w:cs="Arial"/>
          <w:sz w:val="26"/>
          <w:szCs w:val="26"/>
          <w:lang w:eastAsia="es-MX"/>
        </w:rPr>
        <w:t xml:space="preserve"> focal</w:t>
      </w:r>
    </w:p>
    <w:p w14:paraId="5595BC82" w14:textId="77777777" w:rsidR="00BE0D80" w:rsidRDefault="00BE0D80" w:rsidP="00BE0D80">
      <w:pPr>
        <w:keepNext/>
        <w:spacing w:after="0"/>
        <w:jc w:val="both"/>
        <w:rPr>
          <w:rFonts w:ascii="Arial" w:hAnsi="Arial" w:cs="Arial"/>
        </w:rPr>
      </w:pPr>
    </w:p>
    <w:p w14:paraId="6C6D9812" w14:textId="77777777" w:rsidR="00BE0D80" w:rsidRPr="00FF19F1" w:rsidRDefault="00BE0D80" w:rsidP="00BE0D80">
      <w:pPr>
        <w:jc w:val="both"/>
        <w:rPr>
          <w:rFonts w:ascii="Arial" w:hAnsi="Arial" w:cs="Arial"/>
          <w:lang w:eastAsia="es-MX"/>
        </w:rPr>
      </w:pPr>
      <w:r w:rsidRPr="00D27126">
        <w:rPr>
          <w:rFonts w:ascii="Arial" w:hAnsi="Arial" w:cs="Arial"/>
        </w:rPr>
        <w:t xml:space="preserve">Con base en los precedentes decisorios del Instituto y la experiencia internacional, para delimitar el mercado relevante en su dimensión geográfica, el Instituto iniciará con la identificación de la </w:t>
      </w:r>
      <w:r w:rsidRPr="00D27126">
        <w:rPr>
          <w:rFonts w:ascii="Arial" w:hAnsi="Arial" w:cs="Arial"/>
          <w:b/>
        </w:rPr>
        <w:t>zona geográfica de interés</w:t>
      </w:r>
      <w:r w:rsidRPr="00D27126">
        <w:rPr>
          <w:rFonts w:ascii="Arial" w:hAnsi="Arial" w:cs="Arial"/>
        </w:rPr>
        <w:t xml:space="preserve"> (zona geográfica focal), para lo cual </w:t>
      </w:r>
      <w:r w:rsidRPr="00D27126">
        <w:rPr>
          <w:rFonts w:ascii="Arial" w:hAnsi="Arial" w:cs="Arial"/>
          <w:lang w:eastAsia="es-MX"/>
        </w:rPr>
        <w:t>podrá considerar</w:t>
      </w:r>
      <w:r w:rsidRPr="00FF19F1">
        <w:rPr>
          <w:rFonts w:ascii="Arial" w:hAnsi="Arial" w:cs="Arial"/>
          <w:lang w:eastAsia="es-MX"/>
        </w:rPr>
        <w:t>:</w:t>
      </w:r>
    </w:p>
    <w:p w14:paraId="436FEA5E" w14:textId="77777777" w:rsidR="00BE0D80" w:rsidRPr="00FF19F1" w:rsidRDefault="00BE0D80" w:rsidP="00BE0D80">
      <w:pPr>
        <w:pStyle w:val="Prrafodelista"/>
        <w:numPr>
          <w:ilvl w:val="0"/>
          <w:numId w:val="32"/>
        </w:numPr>
        <w:spacing w:after="0"/>
        <w:ind w:left="709" w:hanging="567"/>
        <w:contextualSpacing w:val="0"/>
        <w:jc w:val="both"/>
        <w:rPr>
          <w:rFonts w:ascii="Arial" w:hAnsi="Arial" w:cs="Arial"/>
        </w:rPr>
      </w:pPr>
      <w:r w:rsidRPr="00FF19F1">
        <w:rPr>
          <w:rFonts w:ascii="Arial" w:hAnsi="Arial" w:cs="Arial"/>
        </w:rPr>
        <w:t>Las coincidencias en la provisión de los productos de los agentes económicos involucrados en una concentración o cesión de derechos de concesiones, y</w:t>
      </w:r>
    </w:p>
    <w:p w14:paraId="377EED7E" w14:textId="77777777" w:rsidR="00BE0D80" w:rsidRDefault="00BE0D80" w:rsidP="00BE0D80">
      <w:pPr>
        <w:pStyle w:val="Prrafodelista"/>
        <w:spacing w:after="0"/>
        <w:ind w:left="709"/>
        <w:contextualSpacing w:val="0"/>
        <w:jc w:val="both"/>
        <w:rPr>
          <w:rFonts w:ascii="Arial" w:hAnsi="Arial" w:cs="Arial"/>
        </w:rPr>
      </w:pPr>
    </w:p>
    <w:p w14:paraId="1B69D058" w14:textId="77777777" w:rsidR="00BE0D80" w:rsidRDefault="00BE0D80" w:rsidP="00BE0D80">
      <w:pPr>
        <w:pStyle w:val="Prrafodelista"/>
        <w:numPr>
          <w:ilvl w:val="0"/>
          <w:numId w:val="32"/>
        </w:numPr>
        <w:spacing w:after="0"/>
        <w:ind w:left="709" w:hanging="567"/>
        <w:contextualSpacing w:val="0"/>
        <w:jc w:val="both"/>
        <w:rPr>
          <w:rFonts w:ascii="Arial" w:hAnsi="Arial" w:cs="Arial"/>
        </w:rPr>
      </w:pPr>
      <w:r w:rsidRPr="00FF19F1">
        <w:rPr>
          <w:rFonts w:ascii="Arial" w:hAnsi="Arial" w:cs="Arial"/>
        </w:rPr>
        <w:t>La zona geográfica donde se investiga una PMR, la existencia de un insumo esencial, barreras a la competencia, condiciones de competencia efectiva o PSM.</w:t>
      </w:r>
    </w:p>
    <w:p w14:paraId="456A8414" w14:textId="77777777" w:rsidR="00BE0D80" w:rsidRPr="00FF19F1" w:rsidRDefault="00BE0D80" w:rsidP="00BE0D80">
      <w:pPr>
        <w:pStyle w:val="Prrafodelista"/>
        <w:spacing w:after="0"/>
        <w:ind w:left="709"/>
        <w:jc w:val="both"/>
        <w:rPr>
          <w:rFonts w:ascii="Arial" w:hAnsi="Arial" w:cs="Arial"/>
        </w:rPr>
      </w:pPr>
    </w:p>
    <w:p w14:paraId="2259D161" w14:textId="77777777" w:rsidR="00BE0D80" w:rsidRPr="00884AE9"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r w:rsidRPr="00884AE9">
        <w:rPr>
          <w:rFonts w:ascii="Arial" w:eastAsia="Times New Roman" w:hAnsi="Arial" w:cs="Arial"/>
          <w:sz w:val="26"/>
          <w:szCs w:val="26"/>
          <w:lang w:eastAsia="es-MX"/>
        </w:rPr>
        <w:t>Zonas geográficas candidatas</w:t>
      </w:r>
    </w:p>
    <w:p w14:paraId="6AC22F1B" w14:textId="77777777" w:rsidR="00BE0D80" w:rsidRPr="00884AE9" w:rsidRDefault="00BE0D80" w:rsidP="00BE0D80">
      <w:pPr>
        <w:keepNext/>
        <w:spacing w:after="0"/>
        <w:jc w:val="both"/>
        <w:rPr>
          <w:rFonts w:ascii="Arial" w:hAnsi="Arial" w:cs="Arial"/>
        </w:rPr>
      </w:pPr>
    </w:p>
    <w:p w14:paraId="369619D7" w14:textId="77777777" w:rsidR="00BE0D80" w:rsidRPr="00884AE9" w:rsidRDefault="00BE0D80" w:rsidP="00BE0D80">
      <w:pPr>
        <w:spacing w:after="0"/>
        <w:jc w:val="both"/>
        <w:rPr>
          <w:rFonts w:ascii="Arial" w:hAnsi="Arial" w:cs="Arial"/>
        </w:rPr>
      </w:pPr>
      <w:r w:rsidRPr="00884AE9">
        <w:rPr>
          <w:rFonts w:ascii="Arial" w:hAnsi="Arial" w:cs="Arial"/>
        </w:rPr>
        <w:t xml:space="preserve">A partir de un análisis de equivalencia funcional e intercambiabilidad con base en las características, atributos y usos del producto analizado que se provee en la zona geográfica focal, incluyendo precios, modelos de negocio, condiciones de comercialización, calidad y requerimientos (incluyendo el tiempo) para tener acceso a él, se </w:t>
      </w:r>
      <w:r>
        <w:rPr>
          <w:rFonts w:ascii="Arial" w:hAnsi="Arial" w:cs="Arial"/>
        </w:rPr>
        <w:t xml:space="preserve">podrán </w:t>
      </w:r>
      <w:r w:rsidRPr="00884AE9">
        <w:rPr>
          <w:rFonts w:ascii="Arial" w:hAnsi="Arial" w:cs="Arial"/>
        </w:rPr>
        <w:t xml:space="preserve">identificar, de manera preliminar, las </w:t>
      </w:r>
      <w:r w:rsidRPr="00884AE9">
        <w:rPr>
          <w:rFonts w:ascii="Arial" w:hAnsi="Arial" w:cs="Arial"/>
          <w:b/>
        </w:rPr>
        <w:t>zonas geográficas candidatas a sustitutos</w:t>
      </w:r>
      <w:r w:rsidRPr="00884AE9">
        <w:rPr>
          <w:rFonts w:ascii="Arial" w:hAnsi="Arial" w:cs="Arial"/>
        </w:rPr>
        <w:t xml:space="preserve"> o desde las cuales se podría ejercer presión competitiva sobre la provisión del producto analizado en la zona geográfica focal.</w:t>
      </w:r>
    </w:p>
    <w:p w14:paraId="376A30B0" w14:textId="77777777" w:rsidR="00BE0D80" w:rsidRPr="00884AE9" w:rsidRDefault="00BE0D80" w:rsidP="00BE0D80">
      <w:pPr>
        <w:spacing w:after="0"/>
        <w:jc w:val="both"/>
        <w:rPr>
          <w:rFonts w:ascii="Arial" w:hAnsi="Arial" w:cs="Arial"/>
        </w:rPr>
      </w:pPr>
    </w:p>
    <w:p w14:paraId="7FDA92C5" w14:textId="77777777" w:rsidR="00BE0D80" w:rsidRPr="00884AE9" w:rsidRDefault="00BE0D80" w:rsidP="00C21851">
      <w:pPr>
        <w:pStyle w:val="Ttulo3"/>
        <w:keepNext/>
        <w:numPr>
          <w:ilvl w:val="2"/>
          <w:numId w:val="5"/>
        </w:numPr>
        <w:ind w:left="1701"/>
        <w:contextualSpacing w:val="0"/>
        <w:rPr>
          <w:rFonts w:ascii="Arial" w:eastAsia="Times New Roman" w:hAnsi="Arial" w:cs="Arial"/>
          <w:b w:val="0"/>
          <w:sz w:val="26"/>
          <w:szCs w:val="26"/>
          <w:lang w:eastAsia="es-MX"/>
        </w:rPr>
      </w:pPr>
      <w:r w:rsidRPr="00884AE9">
        <w:rPr>
          <w:rFonts w:ascii="Arial" w:eastAsia="Times New Roman" w:hAnsi="Arial" w:cs="Arial"/>
          <w:sz w:val="26"/>
          <w:szCs w:val="26"/>
          <w:lang w:eastAsia="es-MX"/>
        </w:rPr>
        <w:t>Análisis de sustitución</w:t>
      </w:r>
    </w:p>
    <w:p w14:paraId="7F3D90AA" w14:textId="77777777" w:rsidR="00BE0D80" w:rsidRPr="00884AE9" w:rsidRDefault="00BE0D80" w:rsidP="00C21851">
      <w:pPr>
        <w:keepNext/>
        <w:spacing w:after="0"/>
        <w:jc w:val="both"/>
        <w:rPr>
          <w:lang w:eastAsia="es-MX"/>
        </w:rPr>
      </w:pPr>
    </w:p>
    <w:p w14:paraId="77E3C8C2" w14:textId="77777777" w:rsidR="00BE0D80" w:rsidRDefault="00BE0D80" w:rsidP="00BE0D80">
      <w:pPr>
        <w:spacing w:after="0"/>
        <w:jc w:val="both"/>
        <w:rPr>
          <w:rFonts w:ascii="Arial" w:hAnsi="Arial" w:cs="Arial"/>
        </w:rPr>
      </w:pPr>
      <w:r w:rsidRPr="00884AE9">
        <w:rPr>
          <w:rFonts w:ascii="Arial" w:hAnsi="Arial" w:cs="Arial"/>
        </w:rPr>
        <w:t xml:space="preserve">A partir de la zona geográfica de interés y para cada una de las zonas geográficas candidatas identificadas, se </w:t>
      </w:r>
      <w:r>
        <w:rPr>
          <w:rFonts w:ascii="Arial" w:hAnsi="Arial" w:cs="Arial"/>
        </w:rPr>
        <w:t xml:space="preserve">podrá </w:t>
      </w:r>
      <w:r w:rsidRPr="00884AE9">
        <w:rPr>
          <w:rFonts w:ascii="Arial" w:hAnsi="Arial" w:cs="Arial"/>
        </w:rPr>
        <w:t>realizar un análisis de sustitución por el lado de la demanda y por el lado de la oferta de acuerdo con los criterios establecidos en el artículo 58 de la LFCE, para lo cual se podrán considerar, entre otros, los elementos y las herramientas de análisis que se presentan a continuación, sin orden de importancia o prelación en su aplicación y conforme la información disponible lo permita.</w:t>
      </w:r>
    </w:p>
    <w:p w14:paraId="7899B62E" w14:textId="77777777" w:rsidR="00BE0D80" w:rsidRDefault="00BE0D80" w:rsidP="00BE0D80">
      <w:pPr>
        <w:spacing w:after="0"/>
        <w:jc w:val="both"/>
        <w:rPr>
          <w:rFonts w:ascii="Arial" w:hAnsi="Arial" w:cs="Arial"/>
        </w:rPr>
      </w:pPr>
    </w:p>
    <w:p w14:paraId="3BEEFEB8" w14:textId="77777777" w:rsidR="00BE0D80" w:rsidRDefault="00BE0D80" w:rsidP="00BE0D80">
      <w:pPr>
        <w:spacing w:after="0"/>
        <w:jc w:val="both"/>
        <w:rPr>
          <w:rFonts w:ascii="Arial" w:eastAsiaTheme="majorEastAsia" w:hAnsi="Arial" w:cs="Arial"/>
          <w:szCs w:val="32"/>
        </w:rPr>
      </w:pPr>
      <w:r w:rsidRPr="00884AE9">
        <w:rPr>
          <w:rFonts w:ascii="Arial" w:hAnsi="Arial" w:cs="Arial"/>
        </w:rPr>
        <w:t xml:space="preserve">En todo caso, </w:t>
      </w:r>
      <w:r w:rsidRPr="00884AE9">
        <w:rPr>
          <w:rFonts w:ascii="Arial" w:eastAsiaTheme="majorEastAsia" w:hAnsi="Arial" w:cs="Arial"/>
          <w:szCs w:val="32"/>
        </w:rPr>
        <w:t>la dimensión geográfica deberá ser suficientemente pequeña para evitar variaciones significativas de las características estructurales de los mercados que incidan sobre las condiciones de competencia de cada zona geográfica, pero suficientemente grande para evitar microanálisis onerosos y exigentes en recursos que podrían conducir a la fragmentación del mercado y a las mismas conclusiones en relación con los efectos o condiciones de competencia en el caso sujeto de análisis.</w:t>
      </w:r>
    </w:p>
    <w:p w14:paraId="5AAEA3FF" w14:textId="77777777" w:rsidR="00BE0D80" w:rsidRPr="00931D46" w:rsidRDefault="00BE0D80" w:rsidP="00BE0D80">
      <w:pPr>
        <w:spacing w:after="0"/>
        <w:jc w:val="both"/>
        <w:rPr>
          <w:rFonts w:ascii="Arial" w:hAnsi="Arial" w:cs="Arial"/>
        </w:rPr>
      </w:pPr>
    </w:p>
    <w:p w14:paraId="78D64E97" w14:textId="77777777" w:rsidR="00BE0D80" w:rsidRPr="00884AE9" w:rsidRDefault="00BE0D80" w:rsidP="00BE0D80">
      <w:pPr>
        <w:pStyle w:val="Ttulo4"/>
        <w:keepLines w:val="0"/>
        <w:numPr>
          <w:ilvl w:val="3"/>
          <w:numId w:val="5"/>
        </w:numPr>
        <w:spacing w:before="0" w:after="0" w:line="276" w:lineRule="auto"/>
        <w:ind w:left="2268"/>
        <w:rPr>
          <w:rFonts w:ascii="Arial" w:eastAsia="Times New Roman" w:hAnsi="Arial" w:cs="Arial"/>
          <w:b w:val="0"/>
          <w:i/>
          <w:lang w:eastAsia="es-MX"/>
        </w:rPr>
      </w:pPr>
      <w:r w:rsidRPr="00884AE9">
        <w:rPr>
          <w:rFonts w:ascii="Arial" w:eastAsia="Times New Roman" w:hAnsi="Arial" w:cs="Arial"/>
          <w:lang w:eastAsia="es-MX"/>
        </w:rPr>
        <w:lastRenderedPageBreak/>
        <w:t>Sustitución por el lado de la demanda</w:t>
      </w:r>
    </w:p>
    <w:p w14:paraId="5091F8B5" w14:textId="77777777" w:rsidR="00BE0D80" w:rsidRPr="00884AE9" w:rsidRDefault="00BE0D80" w:rsidP="00BE0D80">
      <w:pPr>
        <w:keepNext/>
        <w:spacing w:after="0"/>
        <w:jc w:val="both"/>
        <w:rPr>
          <w:rFonts w:ascii="Arial" w:hAnsi="Arial" w:cs="Arial"/>
          <w:b/>
        </w:rPr>
      </w:pPr>
    </w:p>
    <w:p w14:paraId="0AFF095B" w14:textId="77777777" w:rsidR="00BE0D80" w:rsidRPr="00A92633" w:rsidRDefault="00BE0D80" w:rsidP="00BE0D80">
      <w:pPr>
        <w:spacing w:after="0"/>
        <w:jc w:val="both"/>
        <w:rPr>
          <w:rFonts w:ascii="Arial" w:hAnsi="Arial" w:cs="Arial"/>
        </w:rPr>
      </w:pPr>
      <w:r w:rsidRPr="00884AE9">
        <w:rPr>
          <w:rFonts w:ascii="Arial" w:hAnsi="Arial" w:cs="Arial"/>
        </w:rPr>
        <w:t xml:space="preserve">El análisis de sustitución por el lado de la demanda consiste en evaluar la capacidad que tienen los demandantes de recurrir a oferentes ubicados en otras zonas geográficas para abastecerse del producto analizado, en respuesta a pequeñas variaciones no transitorias en los precios relativos u otras variables relevantes. Para llevarlo a cabo el Instituto </w:t>
      </w:r>
      <w:r>
        <w:rPr>
          <w:rFonts w:ascii="Arial" w:hAnsi="Arial" w:cs="Arial"/>
        </w:rPr>
        <w:t>podrá</w:t>
      </w:r>
      <w:r w:rsidRPr="00884AE9">
        <w:rPr>
          <w:rFonts w:ascii="Arial" w:hAnsi="Arial" w:cs="Arial"/>
        </w:rPr>
        <w:t xml:space="preserve"> considerar los </w:t>
      </w:r>
      <w:r w:rsidRPr="00A92633">
        <w:rPr>
          <w:rFonts w:ascii="Arial" w:hAnsi="Arial" w:cs="Arial"/>
        </w:rPr>
        <w:t>siguientes elementos.</w:t>
      </w:r>
    </w:p>
    <w:p w14:paraId="7516941D" w14:textId="77777777" w:rsidR="00BE0D80" w:rsidRPr="00A92633" w:rsidRDefault="00BE0D80" w:rsidP="00BE0D80">
      <w:pPr>
        <w:spacing w:after="0"/>
        <w:jc w:val="both"/>
        <w:rPr>
          <w:rFonts w:ascii="Arial" w:hAnsi="Arial" w:cs="Arial"/>
        </w:rPr>
      </w:pPr>
    </w:p>
    <w:p w14:paraId="7E3D153E" w14:textId="77777777" w:rsidR="00BE0D80" w:rsidRPr="00A92633" w:rsidRDefault="00BE0D80" w:rsidP="00BE0D80">
      <w:pPr>
        <w:pStyle w:val="Prrafodelista"/>
        <w:numPr>
          <w:ilvl w:val="0"/>
          <w:numId w:val="32"/>
        </w:numPr>
        <w:spacing w:after="0"/>
        <w:ind w:left="1077"/>
        <w:contextualSpacing w:val="0"/>
        <w:jc w:val="both"/>
        <w:rPr>
          <w:rFonts w:ascii="Arial" w:hAnsi="Arial" w:cs="Arial"/>
          <w:b/>
        </w:rPr>
      </w:pPr>
      <w:r w:rsidRPr="00A92633">
        <w:rPr>
          <w:rFonts w:ascii="Arial" w:hAnsi="Arial" w:cs="Arial"/>
          <w:b/>
        </w:rPr>
        <w:t>La Prueba SSNIP</w:t>
      </w:r>
    </w:p>
    <w:p w14:paraId="0864DD58" w14:textId="77777777" w:rsidR="00BE0D80" w:rsidRPr="00A92633" w:rsidRDefault="00BE0D80" w:rsidP="00BE0D80">
      <w:pPr>
        <w:pStyle w:val="Prrafodelista"/>
        <w:spacing w:after="0"/>
        <w:ind w:left="1077"/>
        <w:contextualSpacing w:val="0"/>
        <w:jc w:val="both"/>
        <w:rPr>
          <w:rFonts w:ascii="Arial" w:hAnsi="Arial" w:cs="Arial"/>
          <w:b/>
        </w:rPr>
      </w:pPr>
    </w:p>
    <w:p w14:paraId="208C2926" w14:textId="77777777" w:rsidR="00BE0D80" w:rsidRDefault="00BE0D80" w:rsidP="00BE0D80">
      <w:pPr>
        <w:keepNext/>
        <w:spacing w:after="0"/>
        <w:jc w:val="both"/>
        <w:rPr>
          <w:rFonts w:ascii="Arial" w:hAnsi="Arial" w:cs="Arial"/>
        </w:rPr>
      </w:pPr>
      <w:r w:rsidRPr="00A92633">
        <w:rPr>
          <w:rFonts w:ascii="Arial" w:hAnsi="Arial" w:cs="Arial"/>
        </w:rPr>
        <w:t xml:space="preserve">En caso de contar con la información suficiente, el IFT </w:t>
      </w:r>
      <w:r>
        <w:rPr>
          <w:rFonts w:ascii="Arial" w:hAnsi="Arial" w:cs="Arial"/>
        </w:rPr>
        <w:t>podrá</w:t>
      </w:r>
      <w:r w:rsidRPr="00A92633">
        <w:rPr>
          <w:rFonts w:ascii="Arial" w:hAnsi="Arial" w:cs="Arial"/>
        </w:rPr>
        <w:t xml:space="preserve"> llevar a cabo la </w:t>
      </w:r>
      <w:r>
        <w:rPr>
          <w:rFonts w:ascii="Arial" w:hAnsi="Arial" w:cs="Arial"/>
          <w:b/>
        </w:rPr>
        <w:t>P</w:t>
      </w:r>
      <w:r w:rsidRPr="00A92633">
        <w:rPr>
          <w:rFonts w:ascii="Arial" w:hAnsi="Arial" w:cs="Arial"/>
          <w:b/>
        </w:rPr>
        <w:t>rueba SSNIP</w:t>
      </w:r>
      <w:r w:rsidRPr="00A92633">
        <w:rPr>
          <w:rStyle w:val="Refdenotaalpie"/>
          <w:rFonts w:ascii="Arial" w:hAnsi="Arial" w:cs="Arial"/>
        </w:rPr>
        <w:footnoteReference w:id="57"/>
      </w:r>
      <w:r w:rsidRPr="00A92633" w:rsidDel="003D2F8F">
        <w:rPr>
          <w:rFonts w:ascii="Arial" w:hAnsi="Arial" w:cs="Arial"/>
        </w:rPr>
        <w:t xml:space="preserve"> </w:t>
      </w:r>
      <w:r w:rsidRPr="00A92633">
        <w:rPr>
          <w:rFonts w:ascii="Arial" w:hAnsi="Arial" w:cs="Arial"/>
        </w:rPr>
        <w:t>para delimitar</w:t>
      </w:r>
      <w:r w:rsidRPr="00884AE9">
        <w:rPr>
          <w:rFonts w:ascii="Arial" w:hAnsi="Arial" w:cs="Arial"/>
        </w:rPr>
        <w:t xml:space="preserve"> la dimensión geográfica del MR. En este caso, la prueba se inicia</w:t>
      </w:r>
      <w:r>
        <w:rPr>
          <w:rFonts w:ascii="Arial" w:hAnsi="Arial" w:cs="Arial"/>
        </w:rPr>
        <w:t>rá</w:t>
      </w:r>
      <w:r w:rsidRPr="00884AE9">
        <w:rPr>
          <w:rFonts w:ascii="Arial" w:hAnsi="Arial" w:cs="Arial"/>
        </w:rPr>
        <w:t xml:space="preserve"> considerando como zona geográfica focal una zona geográfica estrecha y se evalúa si un monopolista hipotético podría incrementar los precios de manera pequeña, pero significativa y no transitoria, rentablemente. Si el incremento en precios no le resulta rentable, significa que, ante dicha acción, los demandantes del producto acuden a proveedores alternativos situados en zonas geográficas vecinas. En este caso, se añaden zonas vecinas al MR y se repite el análisis antes descrito para otras zonas geográficas candidatas hasta identificar la zona geográfica más pequeña en la que la imposición del SSNIP por parte del monopolista hipotético sea rentable (para mayor detalle respecto a la prueba, refiérase a la sección 5.3.3.1. de la presente guía). </w:t>
      </w:r>
    </w:p>
    <w:p w14:paraId="4CAFC373" w14:textId="77777777" w:rsidR="00C21851" w:rsidRDefault="00C21851" w:rsidP="00BE0D80">
      <w:pPr>
        <w:keepNext/>
        <w:spacing w:after="0"/>
        <w:jc w:val="both"/>
        <w:rPr>
          <w:rFonts w:ascii="Arial" w:hAnsi="Arial" w:cs="Arial"/>
        </w:rPr>
      </w:pPr>
    </w:p>
    <w:p w14:paraId="3C1368C7" w14:textId="6D0AA6D9" w:rsidR="00BE0D80" w:rsidRPr="00884AE9" w:rsidRDefault="00BE0D80" w:rsidP="00BE0D80">
      <w:pPr>
        <w:keepNext/>
        <w:spacing w:after="0"/>
        <w:jc w:val="both"/>
        <w:rPr>
          <w:rFonts w:ascii="Arial" w:hAnsi="Arial" w:cs="Arial"/>
        </w:rPr>
      </w:pPr>
      <w:r>
        <w:rPr>
          <w:rFonts w:ascii="Arial" w:hAnsi="Arial" w:cs="Arial"/>
        </w:rPr>
        <w:t>Como parte de este elemento, el Instituto podrá utilizar cualquier información que refleje las</w:t>
      </w:r>
      <w:r w:rsidRPr="00931D46">
        <w:rPr>
          <w:rFonts w:ascii="Arial" w:hAnsi="Arial" w:cs="Arial"/>
        </w:rPr>
        <w:t xml:space="preserve"> posibilidades y disposición (en términos de tiempo y costos) </w:t>
      </w:r>
      <w:r>
        <w:rPr>
          <w:rFonts w:ascii="Arial" w:hAnsi="Arial" w:cs="Arial"/>
        </w:rPr>
        <w:t xml:space="preserve">de los consumidores </w:t>
      </w:r>
      <w:r w:rsidRPr="00931D46">
        <w:rPr>
          <w:rFonts w:ascii="Arial" w:hAnsi="Arial" w:cs="Arial"/>
        </w:rPr>
        <w:t xml:space="preserve">para acudir a otras </w:t>
      </w:r>
      <w:r>
        <w:rPr>
          <w:rFonts w:ascii="Arial" w:hAnsi="Arial" w:cs="Arial"/>
        </w:rPr>
        <w:t>zonas</w:t>
      </w:r>
      <w:r w:rsidRPr="00931D46">
        <w:rPr>
          <w:rFonts w:ascii="Arial" w:hAnsi="Arial" w:cs="Arial"/>
        </w:rPr>
        <w:t xml:space="preserve"> geográficas ante incrementos en el precio del producto en </w:t>
      </w:r>
      <w:r>
        <w:rPr>
          <w:rFonts w:ascii="Arial" w:hAnsi="Arial" w:cs="Arial"/>
        </w:rPr>
        <w:t>la zona geográfica de interés</w:t>
      </w:r>
      <w:r w:rsidRPr="00931D46">
        <w:rPr>
          <w:rFonts w:ascii="Arial" w:hAnsi="Arial" w:cs="Arial"/>
        </w:rPr>
        <w:t xml:space="preserve"> (por ejemplo, del 5%-10%) u otras variables de competencia</w:t>
      </w:r>
      <w:r>
        <w:rPr>
          <w:rFonts w:ascii="Arial" w:hAnsi="Arial" w:cs="Arial"/>
        </w:rPr>
        <w:t>, entre otra evidencia.</w:t>
      </w:r>
    </w:p>
    <w:p w14:paraId="4FA76931" w14:textId="77777777" w:rsidR="00BE0D80" w:rsidRPr="00884AE9" w:rsidRDefault="00BE0D80" w:rsidP="00BE0D80">
      <w:pPr>
        <w:keepNext/>
        <w:spacing w:after="0"/>
        <w:jc w:val="both"/>
        <w:rPr>
          <w:rFonts w:ascii="Arial" w:hAnsi="Arial" w:cs="Arial"/>
        </w:rPr>
      </w:pPr>
    </w:p>
    <w:p w14:paraId="647B60E7" w14:textId="77777777" w:rsidR="00BE0D80" w:rsidRPr="00884AE9" w:rsidRDefault="00BE0D80" w:rsidP="00BE0D80">
      <w:pPr>
        <w:pStyle w:val="Prrafodelista"/>
        <w:numPr>
          <w:ilvl w:val="0"/>
          <w:numId w:val="32"/>
        </w:numPr>
        <w:spacing w:after="0"/>
        <w:ind w:left="1077"/>
        <w:contextualSpacing w:val="0"/>
        <w:jc w:val="both"/>
        <w:rPr>
          <w:rFonts w:ascii="Arial" w:hAnsi="Arial" w:cs="Arial"/>
          <w:b/>
        </w:rPr>
      </w:pPr>
      <w:r w:rsidRPr="00884AE9">
        <w:rPr>
          <w:rFonts w:ascii="Arial" w:hAnsi="Arial" w:cs="Arial"/>
          <w:b/>
        </w:rPr>
        <w:t>Pruebas cuantitativas, por ejemplo, pruebas sobre la elasticidad de la demanda y evolución de precios</w:t>
      </w:r>
    </w:p>
    <w:p w14:paraId="6C417188" w14:textId="77777777" w:rsidR="00BE0D80" w:rsidRPr="00884AE9" w:rsidRDefault="00BE0D80" w:rsidP="00BE0D80">
      <w:pPr>
        <w:pStyle w:val="Prrafodelista"/>
        <w:spacing w:after="0"/>
        <w:ind w:left="1077"/>
        <w:contextualSpacing w:val="0"/>
        <w:jc w:val="both"/>
        <w:rPr>
          <w:rFonts w:ascii="Arial" w:hAnsi="Arial" w:cs="Arial"/>
          <w:b/>
        </w:rPr>
      </w:pPr>
    </w:p>
    <w:p w14:paraId="25AD52AA" w14:textId="77777777" w:rsidR="00BE0D80"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métodos cuantitativos tales como el </w:t>
      </w:r>
      <w:r w:rsidRPr="00884AE9">
        <w:rPr>
          <w:rFonts w:ascii="Arial" w:hAnsi="Arial" w:cs="Arial"/>
          <w:b/>
        </w:rPr>
        <w:t>análisis de correlación de precios y el cálculo de elasticidades de la demanda</w:t>
      </w:r>
      <w:r w:rsidRPr="00884AE9">
        <w:rPr>
          <w:rFonts w:ascii="Arial" w:hAnsi="Arial" w:cs="Arial"/>
        </w:rPr>
        <w:t>. En primer lugar, si los precios de un producto en dos zonas geográficas presentan el mismo patrón de cambio a través del tiempo (correlación positiva) esto puede ser un indicio de que ambas zonas geográficas pertenecen al mismo MR. La racionalidad económica detrás de esta prueba es que si dos zonas geográficas están en el mismo MR, sus precios tenderían a moverse en la misma dirección a través del tiempo.</w:t>
      </w:r>
      <w:r w:rsidRPr="00884AE9">
        <w:rPr>
          <w:rStyle w:val="Refdenotaalpie"/>
          <w:rFonts w:ascii="Arial" w:hAnsi="Arial" w:cs="Arial"/>
        </w:rPr>
        <w:footnoteReference w:id="58"/>
      </w:r>
      <w:r w:rsidRPr="00884AE9">
        <w:rPr>
          <w:rFonts w:ascii="Arial" w:hAnsi="Arial" w:cs="Arial"/>
        </w:rPr>
        <w:t xml:space="preserve"> En segundo lugar, se pueden calcular ecuaciones de demanda que permitan estimar el cambio en las cantidades demandadas en las distintas zonas geográficas ante un choque en los niveles de precios (elasticidades y elasticidades precio cruzado) para lo cual se requiere suficiente </w:t>
      </w:r>
      <w:r w:rsidRPr="00884AE9">
        <w:rPr>
          <w:rFonts w:ascii="Arial" w:hAnsi="Arial" w:cs="Arial"/>
        </w:rPr>
        <w:lastRenderedPageBreak/>
        <w:t>información sobre las cantidades demandadas del producto en diferentes zonas geográficas, así como de sus precios y otras características observables del producto y de los demandantes.</w:t>
      </w:r>
    </w:p>
    <w:p w14:paraId="0548F8BC" w14:textId="77777777" w:rsidR="00BE0D80" w:rsidRPr="00884AE9" w:rsidRDefault="00BE0D80" w:rsidP="00BE0D80">
      <w:pPr>
        <w:spacing w:after="0"/>
        <w:jc w:val="both"/>
        <w:rPr>
          <w:rFonts w:ascii="Arial" w:hAnsi="Arial" w:cs="Arial"/>
        </w:rPr>
      </w:pPr>
    </w:p>
    <w:p w14:paraId="5B7B07E1" w14:textId="77777777" w:rsidR="00BE0D80" w:rsidRPr="00884AE9" w:rsidRDefault="00BE0D80" w:rsidP="00BE0D80">
      <w:pPr>
        <w:pStyle w:val="Prrafodelista"/>
        <w:numPr>
          <w:ilvl w:val="0"/>
          <w:numId w:val="32"/>
        </w:numPr>
        <w:spacing w:after="0"/>
        <w:ind w:left="1077"/>
        <w:contextualSpacing w:val="0"/>
        <w:jc w:val="both"/>
        <w:rPr>
          <w:rFonts w:ascii="Arial" w:hAnsi="Arial" w:cs="Arial"/>
        </w:rPr>
      </w:pPr>
      <w:r w:rsidRPr="00884AE9">
        <w:rPr>
          <w:rFonts w:ascii="Arial" w:hAnsi="Arial" w:cs="Arial"/>
          <w:b/>
        </w:rPr>
        <w:t>Evidencia sobre los costos y el tiempo que enfrentarían los consumidores al acudir a otras zonas geográficas para abastecerse del producto</w:t>
      </w:r>
    </w:p>
    <w:p w14:paraId="19EA3CCD" w14:textId="77777777" w:rsidR="00BE0D80" w:rsidRPr="00884AE9" w:rsidRDefault="00BE0D80" w:rsidP="00BE0D80">
      <w:pPr>
        <w:pStyle w:val="Prrafodelista"/>
        <w:spacing w:after="0"/>
        <w:ind w:left="1077"/>
        <w:contextualSpacing w:val="0"/>
        <w:jc w:val="both"/>
        <w:rPr>
          <w:rFonts w:ascii="Arial" w:hAnsi="Arial" w:cs="Arial"/>
        </w:rPr>
      </w:pPr>
    </w:p>
    <w:p w14:paraId="4A2B33D4"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los </w:t>
      </w:r>
      <w:r w:rsidRPr="00884AE9">
        <w:rPr>
          <w:rFonts w:ascii="Arial" w:hAnsi="Arial" w:cs="Arial"/>
          <w:b/>
        </w:rPr>
        <w:t>costos y el tiempo que enfrentarían los consumidores al acudir a otras zonas geográficas para abastecerse del producto</w:t>
      </w:r>
      <w:r w:rsidRPr="00884AE9">
        <w:rPr>
          <w:rFonts w:ascii="Arial" w:hAnsi="Arial" w:cs="Arial"/>
        </w:rPr>
        <w:t xml:space="preserve">. Entre los costos en los que puede incurrir un consumidor por acudir a otra zona geográfica se encuentran los costos de búsqueda y los costos de transporte. Conforme estos costos sean mayores y representen un porcentaje mayor con respecto al valor del producto, el MR tenderá a definirse de manera más estrecha. Por ejemplo, considere el servicio de venta minorista de recarga de minutos de tiempo aire para el servicio de telefonía móvil que se hace a través de puntos de venta como tiendas de autoservicio o cajeros automáticos. En este caso, para determinar la dimensión geográfica del MR el Instituto puede intentar determinar </w:t>
      </w:r>
      <w:r>
        <w:rPr>
          <w:rFonts w:ascii="Arial" w:hAnsi="Arial" w:cs="Arial"/>
        </w:rPr>
        <w:t>la zona</w:t>
      </w:r>
      <w:r w:rsidRPr="00884AE9">
        <w:rPr>
          <w:rFonts w:ascii="Arial" w:hAnsi="Arial" w:cs="Arial"/>
        </w:rPr>
        <w:t xml:space="preserve"> de influencia de dichos puntos de venta para lo cual puede considerar el tiempo y los costos de transporte en los que incurren los demandantes para llegar a dichos puntos de venta.</w:t>
      </w:r>
    </w:p>
    <w:p w14:paraId="76701E0F" w14:textId="77777777" w:rsidR="00BE0D80" w:rsidRPr="00884AE9" w:rsidRDefault="00BE0D80" w:rsidP="00BE0D80">
      <w:pPr>
        <w:spacing w:after="0"/>
        <w:jc w:val="both"/>
        <w:rPr>
          <w:rFonts w:ascii="Arial" w:hAnsi="Arial" w:cs="Arial"/>
        </w:rPr>
      </w:pPr>
    </w:p>
    <w:p w14:paraId="463E21AE" w14:textId="77777777" w:rsidR="00BE0D80" w:rsidRPr="00884AE9" w:rsidRDefault="00BE0D80" w:rsidP="00BE0D80">
      <w:pPr>
        <w:pStyle w:val="Prrafodelista"/>
        <w:numPr>
          <w:ilvl w:val="0"/>
          <w:numId w:val="32"/>
        </w:numPr>
        <w:spacing w:after="0"/>
        <w:contextualSpacing w:val="0"/>
        <w:jc w:val="both"/>
        <w:rPr>
          <w:rFonts w:ascii="Arial" w:hAnsi="Arial" w:cs="Arial"/>
        </w:rPr>
      </w:pPr>
      <w:r w:rsidRPr="00884AE9">
        <w:rPr>
          <w:rFonts w:ascii="Arial" w:hAnsi="Arial" w:cs="Arial"/>
          <w:b/>
        </w:rPr>
        <w:t>Capacidad de los oferentes de discriminar con base en la zona geográfica, y de los demandantes para evitar esta discriminación mediante arbitraje</w:t>
      </w:r>
    </w:p>
    <w:p w14:paraId="589EF058" w14:textId="77777777" w:rsidR="00BE0D80" w:rsidRPr="00884AE9" w:rsidRDefault="00BE0D80" w:rsidP="00BE0D80">
      <w:pPr>
        <w:pStyle w:val="Prrafodelista"/>
        <w:spacing w:after="0"/>
        <w:ind w:left="1080"/>
        <w:contextualSpacing w:val="0"/>
        <w:jc w:val="both"/>
        <w:rPr>
          <w:rFonts w:ascii="Arial" w:hAnsi="Arial" w:cs="Arial"/>
        </w:rPr>
      </w:pPr>
    </w:p>
    <w:p w14:paraId="64773B87" w14:textId="77777777" w:rsidR="00BE0D80"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la </w:t>
      </w:r>
      <w:r w:rsidRPr="00884AE9">
        <w:rPr>
          <w:rFonts w:ascii="Arial" w:hAnsi="Arial" w:cs="Arial"/>
          <w:b/>
        </w:rPr>
        <w:t>capacidad de los oferentes del producto de discriminar con base en la zona geográfica</w:t>
      </w:r>
      <w:r w:rsidRPr="00884AE9">
        <w:rPr>
          <w:rFonts w:ascii="Arial" w:hAnsi="Arial" w:cs="Arial"/>
        </w:rPr>
        <w:t xml:space="preserve">, así como la </w:t>
      </w:r>
      <w:r w:rsidRPr="00884AE9">
        <w:rPr>
          <w:rFonts w:ascii="Arial" w:hAnsi="Arial" w:cs="Arial"/>
          <w:b/>
        </w:rPr>
        <w:t>capacidad de los demandantes del producto para evitar esta discriminación mediante arbitraje</w:t>
      </w:r>
      <w:r w:rsidRPr="00884AE9">
        <w:rPr>
          <w:rFonts w:ascii="Arial" w:hAnsi="Arial" w:cs="Arial"/>
        </w:rPr>
        <w:t>. Al respecto, conforme los oferentes puedan vender su producto con diferente precio o calidad de acuerdo a la zona geográfica en que se ubiquen los consumidores, y estos últimos no puedan hacer frente a esta discriminación acudiendo</w:t>
      </w:r>
      <w:r>
        <w:rPr>
          <w:rFonts w:ascii="Arial" w:hAnsi="Arial" w:cs="Arial"/>
        </w:rPr>
        <w:t xml:space="preserve"> directamente</w:t>
      </w:r>
      <w:r w:rsidRPr="00884AE9">
        <w:rPr>
          <w:rFonts w:ascii="Arial" w:hAnsi="Arial" w:cs="Arial"/>
        </w:rPr>
        <w:t xml:space="preserve"> a otras zonas geográficas para abastecerse del producto</w:t>
      </w:r>
      <w:r>
        <w:rPr>
          <w:rFonts w:ascii="Arial" w:hAnsi="Arial" w:cs="Arial"/>
        </w:rPr>
        <w:t xml:space="preserve"> o hacerlo mediante arbitraje</w:t>
      </w:r>
      <w:r w:rsidRPr="00884AE9">
        <w:rPr>
          <w:rFonts w:ascii="Arial" w:hAnsi="Arial" w:cs="Arial"/>
        </w:rPr>
        <w:t xml:space="preserve">, el MR tenderá a </w:t>
      </w:r>
      <w:r>
        <w:rPr>
          <w:rFonts w:ascii="Arial" w:hAnsi="Arial" w:cs="Arial"/>
        </w:rPr>
        <w:t>delimitarse</w:t>
      </w:r>
      <w:r w:rsidRPr="00884AE9">
        <w:rPr>
          <w:rFonts w:ascii="Arial" w:hAnsi="Arial" w:cs="Arial"/>
        </w:rPr>
        <w:t xml:space="preserve"> en función de la ubicación de los consumidores. </w:t>
      </w:r>
    </w:p>
    <w:p w14:paraId="4D33A8E5" w14:textId="77777777" w:rsidR="00BE0D80" w:rsidRDefault="00BE0D80" w:rsidP="00BE0D80">
      <w:pPr>
        <w:spacing w:after="0"/>
        <w:jc w:val="both"/>
        <w:rPr>
          <w:rFonts w:ascii="Arial" w:hAnsi="Arial" w:cs="Arial"/>
        </w:rPr>
      </w:pPr>
    </w:p>
    <w:p w14:paraId="51E346E3" w14:textId="77777777" w:rsidR="00BE0D80" w:rsidRPr="00B21459" w:rsidRDefault="00BE0D80" w:rsidP="00BE0D80">
      <w:pPr>
        <w:spacing w:after="0"/>
        <w:jc w:val="both"/>
        <w:rPr>
          <w:rFonts w:ascii="Arial" w:hAnsi="Arial" w:cs="Arial"/>
        </w:rPr>
      </w:pPr>
      <w:r w:rsidRPr="00B21459">
        <w:rPr>
          <w:rFonts w:ascii="Arial" w:hAnsi="Arial" w:cs="Arial"/>
        </w:rPr>
        <w:t>Asimismo, cuando la discriminación sea factible con base en la zona geográfica y</w:t>
      </w:r>
      <w:r w:rsidRPr="00B21459">
        <w:rPr>
          <w:rFonts w:ascii="Arial" w:eastAsiaTheme="majorEastAsia" w:hAnsi="Arial" w:cs="Arial"/>
          <w:szCs w:val="32"/>
        </w:rPr>
        <w:t xml:space="preserve"> los proveedores entreguen el producto en el domicilio del usuario, </w:t>
      </w:r>
      <w:r w:rsidRPr="00B21459">
        <w:rPr>
          <w:rFonts w:ascii="Arial" w:hAnsi="Arial" w:cs="Arial"/>
        </w:rPr>
        <w:t xml:space="preserve">la delimitación </w:t>
      </w:r>
      <w:r>
        <w:rPr>
          <w:rFonts w:ascii="Arial" w:hAnsi="Arial" w:cs="Arial"/>
        </w:rPr>
        <w:t>del MR tenderá</w:t>
      </w:r>
      <w:r w:rsidRPr="00B21459">
        <w:rPr>
          <w:rFonts w:ascii="Arial" w:hAnsi="Arial" w:cs="Arial"/>
        </w:rPr>
        <w:t xml:space="preserve"> </w:t>
      </w:r>
      <w:r>
        <w:rPr>
          <w:rFonts w:ascii="Arial" w:hAnsi="Arial" w:cs="Arial"/>
        </w:rPr>
        <w:t xml:space="preserve">a </w:t>
      </w:r>
      <w:r w:rsidRPr="00B21459">
        <w:rPr>
          <w:rFonts w:ascii="Arial" w:hAnsi="Arial" w:cs="Arial"/>
        </w:rPr>
        <w:t>basar</w:t>
      </w:r>
      <w:r>
        <w:rPr>
          <w:rFonts w:ascii="Arial" w:hAnsi="Arial" w:cs="Arial"/>
        </w:rPr>
        <w:t>se</w:t>
      </w:r>
      <w:r w:rsidRPr="00B21459">
        <w:rPr>
          <w:rFonts w:ascii="Arial" w:hAnsi="Arial" w:cs="Arial"/>
        </w:rPr>
        <w:t xml:space="preserve"> en la ubicación de los usuarios</w:t>
      </w:r>
      <w:r>
        <w:rPr>
          <w:rFonts w:ascii="Arial" w:hAnsi="Arial" w:cs="Arial"/>
        </w:rPr>
        <w:t>.</w:t>
      </w:r>
    </w:p>
    <w:p w14:paraId="1723494F" w14:textId="77777777" w:rsidR="00BE0D80" w:rsidRPr="00884AE9" w:rsidRDefault="00BE0D80" w:rsidP="00BE0D80">
      <w:pPr>
        <w:spacing w:after="0"/>
        <w:jc w:val="both"/>
        <w:rPr>
          <w:rFonts w:ascii="Arial" w:hAnsi="Arial" w:cs="Arial"/>
        </w:rPr>
      </w:pPr>
    </w:p>
    <w:p w14:paraId="3FC0232E" w14:textId="77777777" w:rsidR="00BE0D80" w:rsidRPr="00884AE9" w:rsidRDefault="00BE0D80" w:rsidP="00BE0D80">
      <w:pPr>
        <w:pStyle w:val="Prrafodelista"/>
        <w:numPr>
          <w:ilvl w:val="0"/>
          <w:numId w:val="32"/>
        </w:numPr>
        <w:spacing w:after="0"/>
        <w:contextualSpacing w:val="0"/>
        <w:jc w:val="both"/>
        <w:rPr>
          <w:rFonts w:ascii="Arial" w:hAnsi="Arial" w:cs="Arial"/>
        </w:rPr>
      </w:pPr>
      <w:r w:rsidRPr="00884AE9">
        <w:rPr>
          <w:rFonts w:ascii="Arial" w:hAnsi="Arial" w:cs="Arial"/>
          <w:b/>
        </w:rPr>
        <w:t>Evidencia sobre las estrategias comerciales de los oferentes que puedan incrementar los costos de los demandantes de acudir a oferentes ubicados en otras zonas geográficas</w:t>
      </w:r>
    </w:p>
    <w:p w14:paraId="4912807D" w14:textId="77777777" w:rsidR="00BE0D80" w:rsidRPr="00884AE9" w:rsidRDefault="00BE0D80" w:rsidP="00BE0D80">
      <w:pPr>
        <w:pStyle w:val="Prrafodelista"/>
        <w:spacing w:after="0"/>
        <w:ind w:left="1080"/>
        <w:contextualSpacing w:val="0"/>
        <w:jc w:val="both"/>
        <w:rPr>
          <w:rFonts w:ascii="Arial" w:hAnsi="Arial" w:cs="Arial"/>
        </w:rPr>
      </w:pPr>
    </w:p>
    <w:p w14:paraId="65D82103"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las </w:t>
      </w:r>
      <w:r w:rsidRPr="00884AE9">
        <w:rPr>
          <w:rFonts w:ascii="Arial" w:hAnsi="Arial" w:cs="Arial"/>
          <w:b/>
        </w:rPr>
        <w:t>estrategias comerciales de los oferentes que puedan incrementar los costos de los demandantes de acudir a oferentes ubicados en otras zonas geográficas</w:t>
      </w:r>
      <w:r w:rsidRPr="00884AE9">
        <w:rPr>
          <w:rFonts w:ascii="Arial" w:hAnsi="Arial" w:cs="Arial"/>
        </w:rPr>
        <w:t xml:space="preserve">. Por ejemplo, conforme los contratos celebrados entre los proveedores y los usuarios en determinadas zonas geográficas establezcan plazos forzosos y mayores </w:t>
      </w:r>
      <w:r w:rsidRPr="00884AE9">
        <w:rPr>
          <w:rFonts w:ascii="Arial" w:hAnsi="Arial" w:cs="Arial"/>
        </w:rPr>
        <w:lastRenderedPageBreak/>
        <w:t xml:space="preserve">penalizaciones por la terminación anticipada de los servicios por parte de los usuarios, se limita la capacidad de estos últimos a acudir a proveedores ubicados en otras zonas geográficas, por lo cual se tenderá a definir un MR geográfico más estrecho. </w:t>
      </w:r>
    </w:p>
    <w:p w14:paraId="2F77559E" w14:textId="77777777" w:rsidR="00BE0D80" w:rsidRPr="00884AE9" w:rsidRDefault="00BE0D80" w:rsidP="00BE0D80">
      <w:pPr>
        <w:spacing w:after="0"/>
        <w:jc w:val="both"/>
        <w:rPr>
          <w:rFonts w:ascii="Arial" w:hAnsi="Arial" w:cs="Arial"/>
        </w:rPr>
      </w:pPr>
    </w:p>
    <w:p w14:paraId="101C6CF6" w14:textId="77777777" w:rsidR="00BE0D80" w:rsidRPr="00884AE9" w:rsidRDefault="00BE0D80" w:rsidP="00BE0D80">
      <w:pPr>
        <w:pStyle w:val="Prrafodelista"/>
        <w:keepNext/>
        <w:numPr>
          <w:ilvl w:val="0"/>
          <w:numId w:val="32"/>
        </w:numPr>
        <w:spacing w:after="0"/>
        <w:ind w:left="1077"/>
        <w:contextualSpacing w:val="0"/>
        <w:jc w:val="both"/>
        <w:rPr>
          <w:rFonts w:ascii="Arial" w:hAnsi="Arial" w:cs="Arial"/>
          <w:b/>
        </w:rPr>
      </w:pPr>
      <w:r w:rsidRPr="00884AE9">
        <w:rPr>
          <w:rFonts w:ascii="Arial" w:hAnsi="Arial" w:cs="Arial"/>
          <w:b/>
        </w:rPr>
        <w:t>Evidencia sobre las preferencias de los consumidores en distintas zonas geográficas</w:t>
      </w:r>
    </w:p>
    <w:p w14:paraId="2D8CD5B0" w14:textId="77777777" w:rsidR="00BE0D80" w:rsidRPr="00884AE9" w:rsidRDefault="00BE0D80" w:rsidP="00BE0D80">
      <w:pPr>
        <w:pStyle w:val="Prrafodelista"/>
        <w:keepNext/>
        <w:spacing w:after="0"/>
        <w:ind w:left="1077"/>
        <w:contextualSpacing w:val="0"/>
        <w:jc w:val="both"/>
        <w:rPr>
          <w:rFonts w:ascii="Arial" w:hAnsi="Arial" w:cs="Arial"/>
          <w:b/>
        </w:rPr>
      </w:pPr>
    </w:p>
    <w:p w14:paraId="0EEE7CE2"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información respecto a las </w:t>
      </w:r>
      <w:r w:rsidRPr="00884AE9">
        <w:rPr>
          <w:rFonts w:ascii="Arial" w:hAnsi="Arial" w:cs="Arial"/>
          <w:b/>
        </w:rPr>
        <w:t>diferencias en las preferencias de los demandantes del producto en distintas zonas geográficas</w:t>
      </w:r>
      <w:r w:rsidRPr="00884AE9">
        <w:rPr>
          <w:rFonts w:ascii="Arial" w:hAnsi="Arial" w:cs="Arial"/>
        </w:rPr>
        <w:t xml:space="preserve">. Al respecto, conforme las preferencias de los demandantes del producto difieran de una zona geográfica a otra, es más probable que las zonas no formen parte del mismo MR. En este sentido, el Instituto </w:t>
      </w:r>
      <w:r>
        <w:rPr>
          <w:rFonts w:ascii="Arial" w:hAnsi="Arial" w:cs="Arial"/>
        </w:rPr>
        <w:t>podrá</w:t>
      </w:r>
      <w:r w:rsidRPr="00884AE9">
        <w:rPr>
          <w:rFonts w:ascii="Arial" w:hAnsi="Arial" w:cs="Arial"/>
        </w:rPr>
        <w:t xml:space="preserve"> considerar diferencias en idioma, cultura y estilos de vida en las zonas geográficas analizadas, así como información de encuestas o estudios que provean información respecto a la disposición de los usuarios de sustituir los productos analizados desde otras zonas geográficas.</w:t>
      </w:r>
    </w:p>
    <w:p w14:paraId="6E39A990" w14:textId="77777777" w:rsidR="00BE0D80" w:rsidRPr="00884AE9" w:rsidRDefault="00BE0D80" w:rsidP="00BE0D80">
      <w:pPr>
        <w:spacing w:after="0"/>
        <w:jc w:val="both"/>
        <w:rPr>
          <w:rFonts w:ascii="Arial" w:hAnsi="Arial" w:cs="Arial"/>
        </w:rPr>
      </w:pPr>
    </w:p>
    <w:p w14:paraId="352AF3BF" w14:textId="77777777" w:rsidR="00BE0D80" w:rsidRPr="00884AE9" w:rsidRDefault="00BE0D80" w:rsidP="00BE0D80">
      <w:pPr>
        <w:pStyle w:val="Prrafodelista"/>
        <w:numPr>
          <w:ilvl w:val="0"/>
          <w:numId w:val="32"/>
        </w:numPr>
        <w:spacing w:after="0"/>
        <w:contextualSpacing w:val="0"/>
        <w:jc w:val="both"/>
        <w:rPr>
          <w:rFonts w:ascii="Arial" w:hAnsi="Arial" w:cs="Arial"/>
          <w:b/>
        </w:rPr>
      </w:pPr>
      <w:r w:rsidRPr="00884AE9">
        <w:rPr>
          <w:rFonts w:ascii="Arial" w:hAnsi="Arial" w:cs="Arial"/>
          <w:b/>
        </w:rPr>
        <w:t>Evidencia sobre heterogeneidad en las condiciones de competencia entre distintas zonas geográficas</w:t>
      </w:r>
    </w:p>
    <w:p w14:paraId="4BD5B8BC" w14:textId="77777777" w:rsidR="00BE0D80" w:rsidRPr="00884AE9" w:rsidRDefault="00BE0D80" w:rsidP="00BE0D80">
      <w:pPr>
        <w:pStyle w:val="Prrafodelista"/>
        <w:spacing w:after="0"/>
        <w:ind w:left="1080"/>
        <w:contextualSpacing w:val="0"/>
        <w:jc w:val="both"/>
        <w:rPr>
          <w:rFonts w:ascii="Arial" w:hAnsi="Arial" w:cs="Arial"/>
          <w:b/>
        </w:rPr>
      </w:pPr>
    </w:p>
    <w:p w14:paraId="611CCFAC"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w:t>
      </w:r>
      <w:r w:rsidRPr="00884AE9">
        <w:rPr>
          <w:rFonts w:ascii="Arial" w:hAnsi="Arial" w:cs="Arial"/>
          <w:b/>
        </w:rPr>
        <w:t>diferencias en las estructuras de mercado y otros elementos que indiquen la existencia de heterogeneidad en las condiciones de competencia en las zonas geográficas analizadas</w:t>
      </w:r>
      <w:r w:rsidRPr="00884AE9">
        <w:rPr>
          <w:rFonts w:ascii="Arial" w:hAnsi="Arial" w:cs="Arial"/>
        </w:rPr>
        <w:t xml:space="preserve">. Por ejemplo, se puede evaluar si los oferentes varían de una zona geográfica a otra, o si varían las ofertas comerciales en cuanto a precio, </w:t>
      </w:r>
      <w:r>
        <w:rPr>
          <w:rFonts w:ascii="Arial" w:hAnsi="Arial" w:cs="Arial"/>
        </w:rPr>
        <w:t>cantidades</w:t>
      </w:r>
      <w:r w:rsidRPr="00884AE9">
        <w:rPr>
          <w:rFonts w:ascii="Arial" w:hAnsi="Arial" w:cs="Arial"/>
        </w:rPr>
        <w:t>, o en la disponibilidad de ofertas que permitan adquirir el servicio de manera individual o en paquete con otros servicios. El hecho de que las condiciones de competencia sean heterogéneas en</w:t>
      </w:r>
      <w:r>
        <w:rPr>
          <w:rFonts w:ascii="Arial" w:hAnsi="Arial" w:cs="Arial"/>
        </w:rPr>
        <w:t>tre</w:t>
      </w:r>
      <w:r w:rsidRPr="00884AE9">
        <w:rPr>
          <w:rFonts w:ascii="Arial" w:hAnsi="Arial" w:cs="Arial"/>
        </w:rPr>
        <w:t xml:space="preserve"> la</w:t>
      </w:r>
      <w:r>
        <w:rPr>
          <w:rFonts w:ascii="Arial" w:hAnsi="Arial" w:cs="Arial"/>
        </w:rPr>
        <w:t>s</w:t>
      </w:r>
      <w:r w:rsidRPr="00884AE9">
        <w:rPr>
          <w:rFonts w:ascii="Arial" w:hAnsi="Arial" w:cs="Arial"/>
        </w:rPr>
        <w:t xml:space="preserve"> zona</w:t>
      </w:r>
      <w:r>
        <w:rPr>
          <w:rFonts w:ascii="Arial" w:hAnsi="Arial" w:cs="Arial"/>
        </w:rPr>
        <w:t>s</w:t>
      </w:r>
      <w:r w:rsidRPr="00884AE9">
        <w:rPr>
          <w:rFonts w:ascii="Arial" w:hAnsi="Arial" w:cs="Arial"/>
        </w:rPr>
        <w:t xml:space="preserve"> geográfica</w:t>
      </w:r>
      <w:r>
        <w:rPr>
          <w:rFonts w:ascii="Arial" w:hAnsi="Arial" w:cs="Arial"/>
        </w:rPr>
        <w:t>s</w:t>
      </w:r>
      <w:r w:rsidRPr="00884AE9">
        <w:rPr>
          <w:rFonts w:ascii="Arial" w:hAnsi="Arial" w:cs="Arial"/>
        </w:rPr>
        <w:t xml:space="preserve"> analizada</w:t>
      </w:r>
      <w:r>
        <w:rPr>
          <w:rFonts w:ascii="Arial" w:hAnsi="Arial" w:cs="Arial"/>
        </w:rPr>
        <w:t>s</w:t>
      </w:r>
      <w:r w:rsidRPr="00884AE9">
        <w:rPr>
          <w:rFonts w:ascii="Arial" w:hAnsi="Arial" w:cs="Arial"/>
        </w:rPr>
        <w:t xml:space="preserve"> puede ser un indicio de que </w:t>
      </w:r>
      <w:r>
        <w:rPr>
          <w:rFonts w:ascii="Arial" w:hAnsi="Arial" w:cs="Arial"/>
        </w:rPr>
        <w:t>dichas zonas no pertenecen al mismo MR</w:t>
      </w:r>
      <w:r w:rsidRPr="00884AE9">
        <w:rPr>
          <w:rFonts w:ascii="Arial" w:hAnsi="Arial" w:cs="Arial"/>
        </w:rPr>
        <w:t xml:space="preserve">. </w:t>
      </w:r>
    </w:p>
    <w:p w14:paraId="2957EF59" w14:textId="77777777" w:rsidR="00BE0D80" w:rsidRPr="00884AE9" w:rsidRDefault="00BE0D80" w:rsidP="00BE0D80">
      <w:pPr>
        <w:spacing w:after="0"/>
        <w:jc w:val="both"/>
        <w:rPr>
          <w:rFonts w:ascii="Arial" w:hAnsi="Arial" w:cs="Arial"/>
        </w:rPr>
      </w:pPr>
    </w:p>
    <w:p w14:paraId="2D85F875" w14:textId="77777777" w:rsidR="00BE0D80" w:rsidRPr="00884AE9" w:rsidRDefault="00BE0D80" w:rsidP="00BE0D80">
      <w:pPr>
        <w:pStyle w:val="Prrafodelista"/>
        <w:keepNext/>
        <w:numPr>
          <w:ilvl w:val="0"/>
          <w:numId w:val="32"/>
        </w:numPr>
        <w:spacing w:after="0"/>
        <w:ind w:left="1077"/>
        <w:contextualSpacing w:val="0"/>
        <w:jc w:val="both"/>
        <w:rPr>
          <w:rFonts w:ascii="Arial" w:hAnsi="Arial" w:cs="Arial"/>
          <w:b/>
        </w:rPr>
      </w:pPr>
      <w:r w:rsidRPr="00884AE9">
        <w:rPr>
          <w:rFonts w:ascii="Arial" w:hAnsi="Arial" w:cs="Arial"/>
          <w:b/>
        </w:rPr>
        <w:t>Requisitos normativos de carácter federal, local o internacional que limiten el acceso de consumidores a fuentes de abasto alternativas</w:t>
      </w:r>
    </w:p>
    <w:p w14:paraId="6232BA8D" w14:textId="77777777" w:rsidR="00C21851" w:rsidRDefault="00C21851" w:rsidP="00BE0D80">
      <w:pPr>
        <w:spacing w:after="0"/>
        <w:jc w:val="both"/>
        <w:rPr>
          <w:rFonts w:ascii="Arial" w:hAnsi="Arial" w:cs="Arial"/>
        </w:rPr>
      </w:pPr>
    </w:p>
    <w:p w14:paraId="07997327" w14:textId="0DE9ECEB"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si existen</w:t>
      </w:r>
      <w:r w:rsidRPr="00884AE9">
        <w:rPr>
          <w:rFonts w:ascii="Arial" w:hAnsi="Arial" w:cs="Arial"/>
          <w:b/>
        </w:rPr>
        <w:t xml:space="preserve"> normas o disposiciones jurídicas emitidas por cualquier orden de gobierno</w:t>
      </w:r>
      <w:r w:rsidRPr="00884AE9" w:rsidDel="00B34BFA">
        <w:rPr>
          <w:rFonts w:ascii="Arial" w:hAnsi="Arial" w:cs="Arial"/>
          <w:b/>
        </w:rPr>
        <w:t xml:space="preserve"> </w:t>
      </w:r>
      <w:r w:rsidRPr="00884AE9">
        <w:rPr>
          <w:rFonts w:ascii="Arial" w:hAnsi="Arial" w:cs="Arial"/>
        </w:rPr>
        <w:t>que restrinjan la capacidad de los consumidores de abastecerse a través de proveedores ubicados en otras zonas geográficas. La existencia de este tipo de restricciones normativas puede propiciar que se defina un MR geográfico más estrecho.</w:t>
      </w:r>
    </w:p>
    <w:p w14:paraId="24E3600F" w14:textId="77777777" w:rsidR="00BE0D80" w:rsidRPr="00884AE9" w:rsidRDefault="00BE0D80" w:rsidP="00BE0D80">
      <w:pPr>
        <w:spacing w:after="0"/>
        <w:jc w:val="both"/>
        <w:rPr>
          <w:rFonts w:ascii="Arial" w:hAnsi="Arial" w:cs="Arial"/>
        </w:rPr>
      </w:pPr>
    </w:p>
    <w:p w14:paraId="41E8DE77" w14:textId="77777777" w:rsidR="00BE0D80" w:rsidRPr="00884AE9" w:rsidRDefault="00BE0D80" w:rsidP="00BE0D80">
      <w:pPr>
        <w:pStyle w:val="Ttulo4"/>
        <w:keepLines w:val="0"/>
        <w:numPr>
          <w:ilvl w:val="3"/>
          <w:numId w:val="5"/>
        </w:numPr>
        <w:spacing w:before="0" w:after="0" w:line="276" w:lineRule="auto"/>
        <w:ind w:left="2268"/>
        <w:rPr>
          <w:rFonts w:ascii="Arial" w:eastAsia="Times New Roman" w:hAnsi="Arial" w:cs="Arial"/>
          <w:b w:val="0"/>
          <w:i/>
          <w:lang w:eastAsia="es-MX"/>
        </w:rPr>
      </w:pPr>
      <w:r w:rsidRPr="00884AE9">
        <w:rPr>
          <w:rFonts w:ascii="Arial" w:eastAsia="Times New Roman" w:hAnsi="Arial" w:cs="Arial"/>
          <w:lang w:eastAsia="es-MX"/>
        </w:rPr>
        <w:t xml:space="preserve">Sustitución por el lado de la oferta </w:t>
      </w:r>
    </w:p>
    <w:p w14:paraId="1DAB4BDB" w14:textId="77777777" w:rsidR="00BE0D80" w:rsidRPr="00884AE9" w:rsidRDefault="00BE0D80" w:rsidP="00BE0D80">
      <w:pPr>
        <w:keepNext/>
        <w:spacing w:after="0"/>
        <w:jc w:val="both"/>
        <w:rPr>
          <w:rFonts w:ascii="Arial" w:hAnsi="Arial" w:cs="Arial"/>
        </w:rPr>
      </w:pPr>
    </w:p>
    <w:p w14:paraId="4F89D51E" w14:textId="77777777" w:rsidR="00BE0D80" w:rsidRPr="00884AE9" w:rsidRDefault="00BE0D80" w:rsidP="00BE0D80">
      <w:pPr>
        <w:spacing w:after="0"/>
        <w:jc w:val="both"/>
        <w:rPr>
          <w:rFonts w:ascii="Arial" w:hAnsi="Arial" w:cs="Arial"/>
        </w:rPr>
      </w:pPr>
      <w:r w:rsidRPr="00884AE9">
        <w:rPr>
          <w:rFonts w:ascii="Arial" w:hAnsi="Arial" w:cs="Arial"/>
        </w:rPr>
        <w:t xml:space="preserve">El análisis de sustitución por el lado de la oferta consiste en evaluar la capacidad que tienen los oferentes que pudieran tener incentivos para abastecer la zona geográfica analizada, para hacerlo de manera eficaz e inmediata, en respuesta a pequeñas variaciones no transitorias en los precios relativos u otras variables relevantes. Cuando esto ocurre, esta oferta adicional puede </w:t>
      </w:r>
      <w:r w:rsidRPr="00884AE9">
        <w:rPr>
          <w:rFonts w:ascii="Arial" w:hAnsi="Arial" w:cs="Arial"/>
        </w:rPr>
        <w:lastRenderedPageBreak/>
        <w:t xml:space="preserve">restringir el comportamiento de los competidores y tener efectos equivalentes a los de la sustitución por el lado de la demanda. De esta manera, el análisis de sustitución por el lado de la oferta puede ampliar la dimensión geográfica del MR. </w:t>
      </w:r>
    </w:p>
    <w:p w14:paraId="75C1C174" w14:textId="77777777" w:rsidR="00BE0D80" w:rsidRPr="00884AE9" w:rsidRDefault="00BE0D80" w:rsidP="00BE0D80">
      <w:pPr>
        <w:spacing w:after="0"/>
        <w:jc w:val="both"/>
        <w:rPr>
          <w:rFonts w:ascii="Arial" w:hAnsi="Arial" w:cs="Arial"/>
        </w:rPr>
      </w:pPr>
    </w:p>
    <w:p w14:paraId="25276C03" w14:textId="77777777" w:rsidR="00BE0D80" w:rsidRPr="00884AE9" w:rsidRDefault="00BE0D80" w:rsidP="00BE0D80">
      <w:pPr>
        <w:spacing w:after="0"/>
        <w:jc w:val="both"/>
        <w:rPr>
          <w:rFonts w:ascii="Arial" w:hAnsi="Arial" w:cs="Arial"/>
        </w:rPr>
      </w:pPr>
      <w:r w:rsidRPr="00884AE9">
        <w:rPr>
          <w:rFonts w:ascii="Arial" w:hAnsi="Arial" w:cs="Arial"/>
        </w:rPr>
        <w:t>Conforme la sustitución por el lado de la oferta implique que los proveedores de bienes y servicios deban ajustar de manera significativa los activos materiales e inmateriales existentes, las inversiones, las decisiones estratégicas o los plazos, el análisis de sustitución por el lado de la oferta no t</w:t>
      </w:r>
      <w:r>
        <w:rPr>
          <w:rFonts w:ascii="Arial" w:hAnsi="Arial" w:cs="Arial"/>
        </w:rPr>
        <w:t>iene</w:t>
      </w:r>
      <w:r w:rsidRPr="00884AE9">
        <w:rPr>
          <w:rFonts w:ascii="Arial" w:hAnsi="Arial" w:cs="Arial"/>
        </w:rPr>
        <w:t xml:space="preserve"> incidencia en la delimitación del MR.</w:t>
      </w:r>
    </w:p>
    <w:p w14:paraId="74678614" w14:textId="77777777" w:rsidR="00BE0D80" w:rsidRPr="00884AE9" w:rsidRDefault="00BE0D80" w:rsidP="00BE0D80">
      <w:pPr>
        <w:spacing w:after="0"/>
        <w:jc w:val="both"/>
        <w:rPr>
          <w:rFonts w:ascii="Arial" w:hAnsi="Arial" w:cs="Arial"/>
        </w:rPr>
      </w:pPr>
    </w:p>
    <w:p w14:paraId="428FA90C" w14:textId="77777777" w:rsidR="00BE0D80" w:rsidRPr="00884AE9" w:rsidRDefault="00BE0D80" w:rsidP="00BE0D80">
      <w:pPr>
        <w:spacing w:after="0"/>
        <w:jc w:val="both"/>
        <w:rPr>
          <w:rFonts w:ascii="Arial" w:hAnsi="Arial" w:cs="Arial"/>
        </w:rPr>
      </w:pPr>
      <w:r w:rsidRPr="00884AE9">
        <w:rPr>
          <w:rFonts w:ascii="Arial" w:hAnsi="Arial" w:cs="Arial"/>
        </w:rPr>
        <w:t>Para llevar a cabo el análisis de sustitución por el lado de la oferta, el Instituto puede considerar los siguientes elementos.</w:t>
      </w:r>
    </w:p>
    <w:p w14:paraId="1C550DE6" w14:textId="77777777" w:rsidR="00BE0D80" w:rsidRPr="00884AE9" w:rsidRDefault="00BE0D80" w:rsidP="00BE0D80">
      <w:pPr>
        <w:spacing w:after="0"/>
        <w:jc w:val="both"/>
        <w:rPr>
          <w:rFonts w:ascii="Arial" w:hAnsi="Arial" w:cs="Arial"/>
        </w:rPr>
      </w:pPr>
    </w:p>
    <w:p w14:paraId="0602F08C" w14:textId="77777777" w:rsidR="00BE0D80" w:rsidRPr="00884AE9" w:rsidRDefault="00BE0D80" w:rsidP="00BE0D80">
      <w:pPr>
        <w:pStyle w:val="Prrafodelista"/>
        <w:numPr>
          <w:ilvl w:val="0"/>
          <w:numId w:val="32"/>
        </w:numPr>
        <w:spacing w:after="0"/>
        <w:contextualSpacing w:val="0"/>
        <w:jc w:val="both"/>
        <w:rPr>
          <w:rFonts w:ascii="Arial" w:hAnsi="Arial" w:cs="Arial"/>
        </w:rPr>
      </w:pPr>
      <w:r w:rsidRPr="00884AE9">
        <w:rPr>
          <w:rFonts w:ascii="Arial" w:hAnsi="Arial" w:cs="Arial"/>
          <w:b/>
        </w:rPr>
        <w:t>Evidencia sobre los costos de distribución del producto analizado, de sus sustitutos y complementos entre zonas geográficas, así como de sus insumos relevantes</w:t>
      </w:r>
    </w:p>
    <w:p w14:paraId="39D2E2FB" w14:textId="77777777" w:rsidR="00BE0D80" w:rsidRPr="00884AE9" w:rsidRDefault="00BE0D80" w:rsidP="00BE0D80">
      <w:pPr>
        <w:pStyle w:val="Prrafodelista"/>
        <w:spacing w:after="0"/>
        <w:ind w:left="1080"/>
        <w:contextualSpacing w:val="0"/>
        <w:jc w:val="both"/>
        <w:rPr>
          <w:rFonts w:ascii="Arial" w:hAnsi="Arial" w:cs="Arial"/>
        </w:rPr>
      </w:pPr>
    </w:p>
    <w:p w14:paraId="6A5A92E5"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los </w:t>
      </w:r>
      <w:r w:rsidRPr="00884AE9">
        <w:rPr>
          <w:rFonts w:ascii="Arial" w:hAnsi="Arial" w:cs="Arial"/>
          <w:b/>
        </w:rPr>
        <w:t>costos de distribución</w:t>
      </w:r>
      <w:r w:rsidRPr="00884AE9">
        <w:rPr>
          <w:rFonts w:ascii="Arial" w:hAnsi="Arial" w:cs="Arial"/>
        </w:rPr>
        <w:t xml:space="preserve"> </w:t>
      </w:r>
      <w:r w:rsidRPr="00884AE9">
        <w:rPr>
          <w:rFonts w:ascii="Arial" w:hAnsi="Arial" w:cs="Arial"/>
          <w:b/>
        </w:rPr>
        <w:t>del producto analizado, de sus sustitutos y complementos entre zonas geográficas, así como de sus insumos relevantes</w:t>
      </w:r>
      <w:r w:rsidRPr="00884AE9">
        <w:rPr>
          <w:rFonts w:ascii="Arial" w:hAnsi="Arial" w:cs="Arial"/>
        </w:rPr>
        <w:t xml:space="preserve">. Conforme los costos de distribución de un producto sean bajos y representen una proporción baja respecto al valor del producto, mayores serán los incentivos y la capacidad de los oferentes ubicados fuera de la zona geográfica analizada, para comenzar a proveer el producto en el corto plazo en dicha zona, por lo que la dimensión geográfica del MR tenderá a ser más amplia. </w:t>
      </w:r>
    </w:p>
    <w:p w14:paraId="2FC2419F" w14:textId="77777777" w:rsidR="00BE0D80" w:rsidRPr="00884AE9" w:rsidRDefault="00BE0D80" w:rsidP="00BE0D80">
      <w:pPr>
        <w:spacing w:after="0"/>
        <w:jc w:val="both"/>
        <w:rPr>
          <w:rFonts w:ascii="Arial" w:hAnsi="Arial" w:cs="Arial"/>
        </w:rPr>
      </w:pPr>
    </w:p>
    <w:p w14:paraId="26686E55" w14:textId="77777777" w:rsidR="00B755DD" w:rsidRDefault="00BE0D80" w:rsidP="00B755DD">
      <w:pPr>
        <w:spacing w:after="0"/>
        <w:jc w:val="both"/>
        <w:rPr>
          <w:rFonts w:ascii="Arial" w:hAnsi="Arial" w:cs="Arial"/>
        </w:rPr>
      </w:pPr>
      <w:r w:rsidRPr="00884AE9">
        <w:rPr>
          <w:rFonts w:ascii="Arial" w:hAnsi="Arial" w:cs="Arial"/>
        </w:rPr>
        <w:t>Los costos de distribución en los que incurre un proveedor de servicios de telecomunicaciones para ofertar sus servicios en una zona geográfica determinada pueden incluir, entre otros, aquellos relacionados con los costos de despliegue, mantenimiento o arrendamiento de elementos de infraestructura de RPT que resultan necesarios para proveer servicios de telecomunicaciones en dicha zona. Por ejemplo, conforme los proveedores de servicios de telecomunicaciones pueden arrendar la infraestructura de terceros, de manera inmediata y sin incurrir en costos significativos, en localidades en las que no cuenten con infraestructura propia, se puede incrementar la sustitución por el lado de la oferta y, en su caso, ampliar la dimensión geográfica del MR.</w:t>
      </w:r>
      <w:r w:rsidR="00FB0CA9">
        <w:rPr>
          <w:rFonts w:ascii="Arial" w:hAnsi="Arial" w:cs="Arial"/>
        </w:rPr>
        <w:t xml:space="preserve"> </w:t>
      </w:r>
    </w:p>
    <w:p w14:paraId="0FDE63B2" w14:textId="77777777" w:rsidR="00B755DD" w:rsidRDefault="00B755DD" w:rsidP="00B755DD">
      <w:pPr>
        <w:spacing w:after="0"/>
        <w:jc w:val="both"/>
        <w:rPr>
          <w:rFonts w:ascii="Arial" w:hAnsi="Arial" w:cs="Arial"/>
        </w:rPr>
      </w:pPr>
    </w:p>
    <w:p w14:paraId="4A5C2FDA" w14:textId="3F95A1F5" w:rsidR="00BE0D80" w:rsidRPr="00884AE9" w:rsidRDefault="00B755DD" w:rsidP="00B755DD">
      <w:pPr>
        <w:spacing w:after="0"/>
        <w:jc w:val="both"/>
        <w:rPr>
          <w:rFonts w:ascii="Arial" w:hAnsi="Arial" w:cs="Arial"/>
        </w:rPr>
      </w:pPr>
      <w:r>
        <w:rPr>
          <w:rFonts w:ascii="Arial" w:hAnsi="Arial" w:cs="Arial"/>
        </w:rPr>
        <w:t>Por su parte,</w:t>
      </w:r>
      <w:r w:rsidR="00FB0CA9">
        <w:rPr>
          <w:rFonts w:ascii="Arial" w:hAnsi="Arial" w:cs="Arial"/>
        </w:rPr>
        <w:t xml:space="preserve"> </w:t>
      </w:r>
      <w:r w:rsidRPr="00B755DD">
        <w:rPr>
          <w:rFonts w:ascii="Arial" w:hAnsi="Arial" w:cs="Arial"/>
        </w:rPr>
        <w:t>los proveedores</w:t>
      </w:r>
      <w:r>
        <w:rPr>
          <w:rFonts w:ascii="Arial" w:hAnsi="Arial" w:cs="Arial"/>
        </w:rPr>
        <w:t xml:space="preserve"> </w:t>
      </w:r>
      <w:r w:rsidRPr="00B755DD">
        <w:rPr>
          <w:rFonts w:ascii="Arial" w:hAnsi="Arial" w:cs="Arial"/>
        </w:rPr>
        <w:t xml:space="preserve">de servicios OTT </w:t>
      </w:r>
      <w:r w:rsidR="00A05CB0">
        <w:rPr>
          <w:rFonts w:ascii="Arial" w:hAnsi="Arial" w:cs="Arial"/>
        </w:rPr>
        <w:t>pueden requerir</w:t>
      </w:r>
      <w:r w:rsidRPr="00B755DD">
        <w:rPr>
          <w:rFonts w:ascii="Arial" w:hAnsi="Arial" w:cs="Arial"/>
        </w:rPr>
        <w:t xml:space="preserve"> de</w:t>
      </w:r>
      <w:r>
        <w:rPr>
          <w:rFonts w:ascii="Arial" w:hAnsi="Arial" w:cs="Arial"/>
        </w:rPr>
        <w:t xml:space="preserve"> insumos tales como</w:t>
      </w:r>
      <w:r w:rsidRPr="00B755DD">
        <w:rPr>
          <w:rFonts w:ascii="Arial" w:hAnsi="Arial" w:cs="Arial"/>
        </w:rPr>
        <w:t xml:space="preserve"> infraestructura de almacenamiento y procesamiento de datos (incluyendo centros</w:t>
      </w:r>
      <w:r>
        <w:rPr>
          <w:rFonts w:ascii="Arial" w:hAnsi="Arial" w:cs="Arial"/>
        </w:rPr>
        <w:t xml:space="preserve"> </w:t>
      </w:r>
      <w:r w:rsidRPr="00B755DD">
        <w:rPr>
          <w:rFonts w:ascii="Arial" w:hAnsi="Arial" w:cs="Arial"/>
        </w:rPr>
        <w:t>de datos y servicios administrados), servicios de analítica de datos para clasificar y ordenar información (mediante</w:t>
      </w:r>
      <w:r w:rsidR="00DC6F1A">
        <w:rPr>
          <w:rFonts w:ascii="Arial" w:hAnsi="Arial" w:cs="Arial"/>
        </w:rPr>
        <w:t xml:space="preserve"> </w:t>
      </w:r>
      <w:r w:rsidRPr="00B755DD">
        <w:rPr>
          <w:rFonts w:ascii="Arial" w:hAnsi="Arial" w:cs="Arial"/>
        </w:rPr>
        <w:t xml:space="preserve">el uso de algoritmos, </w:t>
      </w:r>
      <w:r w:rsidRPr="00967FAA">
        <w:rPr>
          <w:rFonts w:ascii="Arial" w:hAnsi="Arial" w:cs="Arial"/>
          <w:i/>
        </w:rPr>
        <w:t>Big Data</w:t>
      </w:r>
      <w:r w:rsidRPr="00B755DD">
        <w:rPr>
          <w:rFonts w:ascii="Arial" w:hAnsi="Arial" w:cs="Arial"/>
        </w:rPr>
        <w:t>, modelos matemáticos, entre otros), así como el desarrollo de aplicaciones,</w:t>
      </w:r>
      <w:r>
        <w:rPr>
          <w:rFonts w:ascii="Arial" w:hAnsi="Arial" w:cs="Arial"/>
        </w:rPr>
        <w:t xml:space="preserve"> </w:t>
      </w:r>
      <w:r w:rsidRPr="00B755DD">
        <w:rPr>
          <w:rFonts w:ascii="Arial" w:hAnsi="Arial" w:cs="Arial"/>
        </w:rPr>
        <w:t>programas e interfaces para proveer sus servicios.</w:t>
      </w:r>
    </w:p>
    <w:p w14:paraId="4DA495C9" w14:textId="77777777" w:rsidR="00BE0D80" w:rsidRPr="00884AE9" w:rsidRDefault="00BE0D80" w:rsidP="00BE0D80">
      <w:pPr>
        <w:spacing w:after="0"/>
        <w:jc w:val="both"/>
        <w:rPr>
          <w:rFonts w:ascii="Arial" w:hAnsi="Arial" w:cs="Arial"/>
        </w:rPr>
      </w:pPr>
    </w:p>
    <w:p w14:paraId="3E1326D2" w14:textId="77777777" w:rsidR="00BE0D80" w:rsidRPr="00884AE9" w:rsidRDefault="00BE0D80" w:rsidP="00BE0D80">
      <w:pPr>
        <w:pStyle w:val="Prrafodelista"/>
        <w:numPr>
          <w:ilvl w:val="0"/>
          <w:numId w:val="32"/>
        </w:numPr>
        <w:spacing w:after="0"/>
        <w:contextualSpacing w:val="0"/>
        <w:jc w:val="both"/>
        <w:rPr>
          <w:rFonts w:ascii="Arial" w:hAnsi="Arial" w:cs="Arial"/>
          <w:b/>
        </w:rPr>
      </w:pPr>
      <w:r w:rsidRPr="00884AE9">
        <w:rPr>
          <w:rFonts w:ascii="Arial" w:hAnsi="Arial" w:cs="Arial"/>
          <w:b/>
        </w:rPr>
        <w:t>Información sobre la cobertura real de las RPT de los proveedores</w:t>
      </w:r>
    </w:p>
    <w:p w14:paraId="7FC52837" w14:textId="77777777" w:rsidR="00BE0D80" w:rsidRPr="00884AE9" w:rsidRDefault="00BE0D80" w:rsidP="00BE0D80">
      <w:pPr>
        <w:pStyle w:val="Prrafodelista"/>
        <w:spacing w:after="0"/>
        <w:ind w:left="1080"/>
        <w:contextualSpacing w:val="0"/>
        <w:jc w:val="both"/>
        <w:rPr>
          <w:rFonts w:ascii="Arial" w:hAnsi="Arial" w:cs="Arial"/>
          <w:b/>
        </w:rPr>
      </w:pPr>
    </w:p>
    <w:p w14:paraId="49A4D5B1" w14:textId="71AF5C0F" w:rsidR="00BE0D80" w:rsidRPr="00884AE9" w:rsidRDefault="00BE0D80" w:rsidP="00BE0D80">
      <w:pPr>
        <w:spacing w:after="0"/>
        <w:jc w:val="both"/>
        <w:rPr>
          <w:rFonts w:ascii="Arial" w:hAnsi="Arial" w:cs="Arial"/>
        </w:rPr>
      </w:pPr>
      <w:r w:rsidRPr="00884AE9">
        <w:rPr>
          <w:rFonts w:ascii="Arial" w:hAnsi="Arial" w:cs="Arial"/>
        </w:rPr>
        <w:lastRenderedPageBreak/>
        <w:t xml:space="preserve">El Instituto </w:t>
      </w:r>
      <w:r>
        <w:rPr>
          <w:rFonts w:ascii="Arial" w:hAnsi="Arial" w:cs="Arial"/>
        </w:rPr>
        <w:t>podrá</w:t>
      </w:r>
      <w:r w:rsidRPr="00884AE9">
        <w:rPr>
          <w:rFonts w:ascii="Arial" w:hAnsi="Arial" w:cs="Arial"/>
        </w:rPr>
        <w:t xml:space="preserve"> considerar </w:t>
      </w:r>
      <w:r w:rsidRPr="00884AE9">
        <w:rPr>
          <w:rFonts w:ascii="Arial" w:hAnsi="Arial" w:cs="Arial"/>
          <w:b/>
        </w:rPr>
        <w:t>la cobertura real de las RPT de los proveedores</w:t>
      </w:r>
      <w:r w:rsidRPr="00884AE9">
        <w:rPr>
          <w:rFonts w:ascii="Arial" w:hAnsi="Arial" w:cs="Arial"/>
        </w:rPr>
        <w:t xml:space="preserve">, es decir, las zonas geográficas en las que, al momento de hacer el análisis para determinar el MR, efectivamente los proveedores cuentan con la infraestructura y tecnología necesarias para prestar sus servicios. Por ejemplo, considere el caso de un proveedor de servicios de </w:t>
      </w:r>
      <w:r>
        <w:rPr>
          <w:rFonts w:ascii="Arial" w:hAnsi="Arial" w:cs="Arial"/>
        </w:rPr>
        <w:t xml:space="preserve">acceso a Internet </w:t>
      </w:r>
      <w:r w:rsidRPr="00884AE9">
        <w:rPr>
          <w:rFonts w:ascii="Arial" w:hAnsi="Arial" w:cs="Arial"/>
        </w:rPr>
        <w:t>fij</w:t>
      </w:r>
      <w:r>
        <w:rPr>
          <w:rFonts w:ascii="Arial" w:hAnsi="Arial" w:cs="Arial"/>
        </w:rPr>
        <w:t>o</w:t>
      </w:r>
      <w:r w:rsidRPr="00884AE9">
        <w:rPr>
          <w:rFonts w:ascii="Arial" w:hAnsi="Arial" w:cs="Arial"/>
        </w:rPr>
        <w:t xml:space="preserve"> que provee el servicio a través de fibra óptica en la zona geográfica A y desea comenzar a proveerlo en la zona geográfica B. En caso de que dicho proveedor de servicios cuente con una RPT desplegada en la zona geográfica B, es posible que entre a proveer servicios en dicha zona geográfica en el corto plazo y sin incurrir en costos apreciables, por lo tanto, la presión competitiva que ejercería dicho proveedor sobre los proveedores de la zona geográfica B podría ser alta.</w:t>
      </w:r>
    </w:p>
    <w:p w14:paraId="53A6D020" w14:textId="77777777" w:rsidR="00BE0D80" w:rsidRPr="00884AE9" w:rsidRDefault="00BE0D80" w:rsidP="00BE0D80">
      <w:pPr>
        <w:spacing w:after="0"/>
        <w:jc w:val="both"/>
        <w:rPr>
          <w:rFonts w:ascii="Arial" w:hAnsi="Arial" w:cs="Arial"/>
        </w:rPr>
      </w:pPr>
      <w:r w:rsidRPr="00884AE9" w:rsidDel="002501ED">
        <w:rPr>
          <w:rFonts w:ascii="Arial" w:hAnsi="Arial" w:cs="Arial"/>
        </w:rPr>
        <w:t xml:space="preserve"> </w:t>
      </w:r>
    </w:p>
    <w:p w14:paraId="418B39E3" w14:textId="77777777" w:rsidR="00BE0D80" w:rsidRPr="00884AE9" w:rsidRDefault="00BE0D80" w:rsidP="00BE0D80">
      <w:pPr>
        <w:pStyle w:val="Prrafodelista"/>
        <w:keepNext/>
        <w:numPr>
          <w:ilvl w:val="0"/>
          <w:numId w:val="32"/>
        </w:numPr>
        <w:spacing w:after="0"/>
        <w:ind w:left="1077"/>
        <w:contextualSpacing w:val="0"/>
        <w:jc w:val="both"/>
        <w:rPr>
          <w:rFonts w:ascii="Arial" w:hAnsi="Arial" w:cs="Arial"/>
        </w:rPr>
      </w:pPr>
      <w:r w:rsidRPr="00884AE9">
        <w:rPr>
          <w:rFonts w:ascii="Arial" w:hAnsi="Arial" w:cs="Arial"/>
          <w:b/>
        </w:rPr>
        <w:t>Evidencia respecto a la capacidad e incentivos de los proveedores de otras zonas geográficas para comenzar a proveer el producto en la zona geográfica analizada</w:t>
      </w:r>
    </w:p>
    <w:p w14:paraId="15388046" w14:textId="77777777" w:rsidR="00BE0D80" w:rsidRPr="00884AE9" w:rsidRDefault="00BE0D80" w:rsidP="00BE0D80">
      <w:pPr>
        <w:pStyle w:val="Prrafodelista"/>
        <w:keepNext/>
        <w:spacing w:after="0"/>
        <w:ind w:left="1077"/>
        <w:contextualSpacing w:val="0"/>
        <w:jc w:val="both"/>
        <w:rPr>
          <w:rFonts w:ascii="Arial" w:hAnsi="Arial" w:cs="Arial"/>
        </w:rPr>
      </w:pPr>
    </w:p>
    <w:p w14:paraId="339DC9DC"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la </w:t>
      </w:r>
      <w:r w:rsidRPr="00884AE9">
        <w:rPr>
          <w:rFonts w:ascii="Arial" w:hAnsi="Arial" w:cs="Arial"/>
          <w:b/>
        </w:rPr>
        <w:t xml:space="preserve">evidencia respecto a la capacidad e incentivos de los proveedores de otras zonas geográficas para comenzar a proveer el producto en la zona geográfica analizada </w:t>
      </w:r>
      <w:r w:rsidRPr="00884AE9">
        <w:rPr>
          <w:rFonts w:ascii="Arial" w:hAnsi="Arial" w:cs="Arial"/>
        </w:rPr>
        <w:t xml:space="preserve">ante modificaciones en variables de competencia, tales como incrementos en el precio. Al respecto, el Instituto puede analizar estudios económicos o estudios de mercado realizados por los proveedores que tengan o hayan tenido la intención de abastecer la zona geográfica analizada. Asimismo, el Instituto también puede tomar en cuenta información histórica respecto a proveedores que hayan ajustado sus procesos productivos para abastecer la zona geográfica analizada a razón de cambios en variables de competencia. </w:t>
      </w:r>
    </w:p>
    <w:p w14:paraId="58058B7F" w14:textId="77777777" w:rsidR="00C21851" w:rsidRDefault="00C21851" w:rsidP="00BE0D80">
      <w:pPr>
        <w:spacing w:after="0"/>
        <w:jc w:val="both"/>
        <w:rPr>
          <w:rFonts w:ascii="Arial" w:hAnsi="Arial" w:cs="Arial"/>
        </w:rPr>
      </w:pPr>
    </w:p>
    <w:p w14:paraId="4755BAE3" w14:textId="4F2BA27E" w:rsidR="00BE0D80" w:rsidRPr="00884AE9" w:rsidRDefault="00BE0D80" w:rsidP="00BE0D80">
      <w:pPr>
        <w:spacing w:after="0"/>
        <w:jc w:val="both"/>
        <w:rPr>
          <w:rFonts w:ascii="Arial" w:hAnsi="Arial" w:cs="Arial"/>
        </w:rPr>
      </w:pPr>
      <w:r w:rsidRPr="00884AE9">
        <w:rPr>
          <w:rFonts w:ascii="Arial" w:hAnsi="Arial" w:cs="Arial"/>
        </w:rPr>
        <w:t xml:space="preserve">En caso de que los estudios o la evidencia analizada indiquen que los proveedores de otras zonas geográficas tienen poca capacidad o disposición para abastecer la zona geográfica analizada, la dimensión geográfica del MR tenderá a ser más estrecha. Por ejemplo, es posible que una empresa que provee un producto en la zona geográfica A pueda ajustar su proceso productivo en corto tiempo y sin incurrir en costos hundidos significativos de tal manera que pueda comenzar a proveer el producto en la zona geográfica B. No obstante, si dicha empresa obtiene mayores márgenes de ganancia por la provisión del producto en la zona geográfica A en comparación a los que podría obtener al abastecer ambas zonas geográficas, es posible que la empresa no tenga incentivos económicos para comenzar a proveer el </w:t>
      </w:r>
      <w:r>
        <w:rPr>
          <w:rFonts w:ascii="Arial" w:hAnsi="Arial" w:cs="Arial"/>
        </w:rPr>
        <w:t>producto</w:t>
      </w:r>
      <w:r w:rsidRPr="00884AE9">
        <w:rPr>
          <w:rFonts w:ascii="Arial" w:hAnsi="Arial" w:cs="Arial"/>
        </w:rPr>
        <w:t xml:space="preserve"> en la zona geográfica B.</w:t>
      </w:r>
    </w:p>
    <w:p w14:paraId="3EEF789F" w14:textId="77777777" w:rsidR="00BE0D80" w:rsidRPr="00884AE9" w:rsidRDefault="00BE0D80" w:rsidP="00BE0D80">
      <w:pPr>
        <w:spacing w:after="0"/>
        <w:jc w:val="both"/>
        <w:rPr>
          <w:rFonts w:ascii="Arial" w:hAnsi="Arial" w:cs="Arial"/>
        </w:rPr>
      </w:pPr>
    </w:p>
    <w:p w14:paraId="03F343A8" w14:textId="77777777" w:rsidR="00BE0D80" w:rsidRPr="00884AE9" w:rsidRDefault="00BE0D80" w:rsidP="00BE0D80">
      <w:pPr>
        <w:pStyle w:val="Prrafodelista"/>
        <w:numPr>
          <w:ilvl w:val="0"/>
          <w:numId w:val="32"/>
        </w:numPr>
        <w:spacing w:after="0"/>
        <w:contextualSpacing w:val="0"/>
        <w:jc w:val="both"/>
        <w:rPr>
          <w:rFonts w:ascii="Arial" w:hAnsi="Arial" w:cs="Arial"/>
          <w:b/>
        </w:rPr>
      </w:pPr>
      <w:r w:rsidRPr="00884AE9">
        <w:rPr>
          <w:rFonts w:ascii="Arial" w:hAnsi="Arial" w:cs="Arial"/>
          <w:b/>
        </w:rPr>
        <w:t>Restricciones impuestas por otros agentes económicos que limiten la capacidad de oferentes ubicados fuera de la zona geográfica analizada, para abastecer dicha zona</w:t>
      </w:r>
    </w:p>
    <w:p w14:paraId="267739FB" w14:textId="77777777" w:rsidR="00BE0D80" w:rsidRPr="00884AE9" w:rsidRDefault="00BE0D80" w:rsidP="00BE0D80">
      <w:pPr>
        <w:pStyle w:val="Prrafodelista"/>
        <w:spacing w:after="0"/>
        <w:ind w:left="1080"/>
        <w:contextualSpacing w:val="0"/>
        <w:jc w:val="both"/>
        <w:rPr>
          <w:rFonts w:ascii="Arial" w:hAnsi="Arial" w:cs="Arial"/>
          <w:b/>
        </w:rPr>
      </w:pPr>
    </w:p>
    <w:p w14:paraId="46F823A1"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considerar las </w:t>
      </w:r>
      <w:r w:rsidRPr="00884AE9">
        <w:rPr>
          <w:rFonts w:ascii="Arial" w:hAnsi="Arial" w:cs="Arial"/>
          <w:b/>
        </w:rPr>
        <w:t xml:space="preserve">restricciones impuestas por otros agentes económicos </w:t>
      </w:r>
      <w:r w:rsidRPr="00884AE9">
        <w:rPr>
          <w:rFonts w:ascii="Arial" w:hAnsi="Arial" w:cs="Arial"/>
        </w:rPr>
        <w:t xml:space="preserve">que limitan la capacidad o los incentivos de que oferentes, ubicados fuera de la zona geográfica analizada, comiencen a proveer el producto en dicha zona de manera eficaz e inmediata. Por </w:t>
      </w:r>
      <w:r w:rsidRPr="00884AE9">
        <w:rPr>
          <w:rFonts w:ascii="Arial" w:hAnsi="Arial" w:cs="Arial"/>
        </w:rPr>
        <w:lastRenderedPageBreak/>
        <w:t>ejemplo, suponga que la Empresa 1 necesita de un enlace dedicado mayorista que conecte las localidades A y B para poder proveer servicios de telecomunicaciones minoristas en la localidad A y que únicamente la Empresa 2 cuenta con la infraestructura necesaria para proveer dicho enlace dedicado mayorista. Si la Empresa 2 también provee servicios de telecomunicaciones minoristas en la localidad A puede tener los incentivos y la capacidad para retrasar deliberadamente las negociaciones para proveer el enlace dedicado mayorista o para imponer condiciones que sean poco favorables para la Empresa 1. En este sentido, las restricciones impuestas por otros agentes económicos pueden limitar la sustitución por el lado de la oferta.</w:t>
      </w:r>
    </w:p>
    <w:p w14:paraId="387BC256" w14:textId="77777777" w:rsidR="00BE0D80" w:rsidRPr="00884AE9" w:rsidRDefault="00BE0D80" w:rsidP="00BE0D80">
      <w:pPr>
        <w:spacing w:after="0"/>
        <w:jc w:val="both"/>
        <w:rPr>
          <w:rFonts w:ascii="Arial" w:hAnsi="Arial" w:cs="Arial"/>
        </w:rPr>
      </w:pPr>
    </w:p>
    <w:p w14:paraId="7EDB37D4" w14:textId="77777777" w:rsidR="00BE0D80" w:rsidRPr="00884AE9" w:rsidRDefault="00BE0D80" w:rsidP="00BE0D80">
      <w:pPr>
        <w:pStyle w:val="Prrafodelista"/>
        <w:numPr>
          <w:ilvl w:val="0"/>
          <w:numId w:val="32"/>
        </w:numPr>
        <w:spacing w:after="0"/>
        <w:contextualSpacing w:val="0"/>
        <w:jc w:val="both"/>
        <w:rPr>
          <w:rFonts w:ascii="Arial" w:hAnsi="Arial" w:cs="Arial"/>
          <w:b/>
        </w:rPr>
      </w:pPr>
      <w:r w:rsidRPr="00884AE9">
        <w:rPr>
          <w:rFonts w:ascii="Arial" w:hAnsi="Arial" w:cs="Arial"/>
          <w:b/>
        </w:rPr>
        <w:t>La posibilidad, incentivos y costos de extender o cambiar los sistemas de producción y distribución; la capacidad excedente y los contratos de largo plazo que puedan limitar la capacidad de re-direccionar la producción para abastecer la zona geográfica analizada</w:t>
      </w:r>
    </w:p>
    <w:p w14:paraId="1BAD16E8" w14:textId="77777777" w:rsidR="00C21851" w:rsidRDefault="00C21851" w:rsidP="00BE0D80">
      <w:pPr>
        <w:spacing w:after="0"/>
        <w:jc w:val="both"/>
        <w:rPr>
          <w:rFonts w:ascii="Arial" w:hAnsi="Arial" w:cs="Arial"/>
        </w:rPr>
      </w:pPr>
    </w:p>
    <w:p w14:paraId="3AF9B102" w14:textId="67C56B2A"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considerar </w:t>
      </w:r>
      <w:r w:rsidRPr="00884AE9">
        <w:rPr>
          <w:rFonts w:ascii="Arial" w:hAnsi="Arial" w:cs="Arial"/>
          <w:b/>
        </w:rPr>
        <w:t>la ausencia de restricciones de capacidad</w:t>
      </w:r>
      <w:r w:rsidRPr="00884AE9">
        <w:rPr>
          <w:rFonts w:ascii="Arial" w:hAnsi="Arial" w:cs="Arial"/>
        </w:rPr>
        <w:t xml:space="preserve"> y/o de </w:t>
      </w:r>
      <w:r w:rsidRPr="00884AE9">
        <w:rPr>
          <w:rFonts w:ascii="Arial" w:hAnsi="Arial" w:cs="Arial"/>
          <w:b/>
        </w:rPr>
        <w:t>contratos de largo plazo que comprometan dicha capacidad</w:t>
      </w:r>
      <w:r w:rsidRPr="00884AE9">
        <w:rPr>
          <w:rFonts w:ascii="Arial" w:hAnsi="Arial" w:cs="Arial"/>
        </w:rPr>
        <w:t xml:space="preserve">, al evaluar si los agentes económicos tienen la </w:t>
      </w:r>
      <w:r>
        <w:rPr>
          <w:rFonts w:ascii="Arial" w:hAnsi="Arial" w:cs="Arial"/>
        </w:rPr>
        <w:t>posibilidad de</w:t>
      </w:r>
      <w:r w:rsidRPr="00884AE9">
        <w:rPr>
          <w:rFonts w:ascii="Arial" w:hAnsi="Arial" w:cs="Arial"/>
        </w:rPr>
        <w:t xml:space="preserve"> comenzar a proveer el producto en la zona geográfica analizada de manera eficaz e inmediata. Por ejemplo, es posible que un proveedor tenga incentivos económicos para comenzar a proveer un producto en la zona geográfica analizada y, además, no cuente con acuerdos comerciales mediante los cuales comprometa la totalidad de su capacidad productiva para atender la demanda en otras zonas geográficas. En este caso, la ausencia de restricciones de capacidad y/o contratos de largo plazo son un indicio de que dicho agente económico puede proveer el producto en el mercado analizado en un periodo corto de tiempo sin incurrir en costos significativos.</w:t>
      </w:r>
    </w:p>
    <w:p w14:paraId="18087046" w14:textId="77777777" w:rsidR="00BE0D80" w:rsidRPr="00884AE9" w:rsidRDefault="00BE0D80" w:rsidP="00BE0D80">
      <w:pPr>
        <w:spacing w:after="0"/>
        <w:jc w:val="both"/>
        <w:rPr>
          <w:rFonts w:ascii="Arial" w:hAnsi="Arial" w:cs="Arial"/>
        </w:rPr>
      </w:pPr>
    </w:p>
    <w:p w14:paraId="16C7D90A" w14:textId="77777777" w:rsidR="00BE0D80" w:rsidRPr="00884AE9" w:rsidRDefault="00BE0D80" w:rsidP="00C21851">
      <w:pPr>
        <w:pStyle w:val="Prrafodelista"/>
        <w:keepNext/>
        <w:numPr>
          <w:ilvl w:val="0"/>
          <w:numId w:val="32"/>
        </w:numPr>
        <w:spacing w:after="0"/>
        <w:ind w:left="1077"/>
        <w:contextualSpacing w:val="0"/>
        <w:jc w:val="both"/>
        <w:rPr>
          <w:rFonts w:ascii="Arial" w:hAnsi="Arial" w:cs="Arial"/>
          <w:b/>
        </w:rPr>
      </w:pPr>
      <w:r w:rsidRPr="00884AE9">
        <w:rPr>
          <w:rFonts w:ascii="Arial" w:hAnsi="Arial" w:cs="Arial"/>
          <w:b/>
        </w:rPr>
        <w:t>Requisitos normativos que limiten el acceso de proveedores a zonas geográficas alternativas</w:t>
      </w:r>
    </w:p>
    <w:p w14:paraId="0BDE2389" w14:textId="77777777" w:rsidR="00BE0D80" w:rsidRPr="00884AE9" w:rsidRDefault="00BE0D80" w:rsidP="00C21851">
      <w:pPr>
        <w:pStyle w:val="Prrafodelista"/>
        <w:keepNext/>
        <w:spacing w:after="0"/>
        <w:ind w:left="1077"/>
        <w:contextualSpacing w:val="0"/>
        <w:jc w:val="both"/>
        <w:rPr>
          <w:rFonts w:ascii="Arial" w:hAnsi="Arial" w:cs="Arial"/>
          <w:b/>
        </w:rPr>
      </w:pPr>
    </w:p>
    <w:p w14:paraId="6405FC82" w14:textId="77777777" w:rsidR="00BE0D80" w:rsidRPr="00884AE9" w:rsidRDefault="00BE0D80" w:rsidP="00BE0D80">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los </w:t>
      </w:r>
      <w:r w:rsidRPr="00884AE9">
        <w:rPr>
          <w:rFonts w:ascii="Arial" w:hAnsi="Arial" w:cs="Arial"/>
          <w:b/>
        </w:rPr>
        <w:t>requisitos normativos como concesiones, permisos o autorizaciones a nivel federal, estatal o municipal</w:t>
      </w:r>
      <w:r w:rsidRPr="00884AE9">
        <w:rPr>
          <w:rFonts w:ascii="Arial" w:hAnsi="Arial" w:cs="Arial"/>
        </w:rPr>
        <w:t xml:space="preserve"> que limiten la capacidad y disposición de proveedores para abastecer a zonas geográficas alternativas. Por ejemplo, considere el caso de que un agente económico que provee el servicio en la zona geográfica A y que desea proveer dicho servicio en la zona geográfica B. Si el marco regulatorio local o municipal de la zona geográfica B prevé numerosos trámites para desplegar la infraestructura </w:t>
      </w:r>
      <w:r>
        <w:rPr>
          <w:rFonts w:ascii="Arial" w:hAnsi="Arial" w:cs="Arial"/>
        </w:rPr>
        <w:t xml:space="preserve">necesaria </w:t>
      </w:r>
      <w:r w:rsidRPr="00884AE9">
        <w:rPr>
          <w:rFonts w:ascii="Arial" w:hAnsi="Arial" w:cs="Arial"/>
        </w:rPr>
        <w:t>que resulten costosos, tardados o complejos, los costos del proveedor para comenzar a abastecer la zona geográfica B podrían elevarse a tal grado que disminuiría su capacidad e incentivos para llevarlo a cabo. Así, entre mayores sean los requisitos normativos, así como el tiempo y los costos asociados a estos, la dimensión geográfica del MR tenderá a ser más pequeña.</w:t>
      </w:r>
    </w:p>
    <w:p w14:paraId="54B4FAD7" w14:textId="77777777" w:rsidR="00BE0D80" w:rsidRPr="00884AE9" w:rsidRDefault="00BE0D80" w:rsidP="00BE0D80">
      <w:pPr>
        <w:spacing w:after="0"/>
        <w:jc w:val="both"/>
        <w:rPr>
          <w:rFonts w:ascii="Arial" w:hAnsi="Arial" w:cs="Arial"/>
        </w:rPr>
      </w:pPr>
    </w:p>
    <w:p w14:paraId="3E07EE5C" w14:textId="77777777" w:rsidR="00BE0D80" w:rsidRPr="00884AE9" w:rsidRDefault="00BE0D80" w:rsidP="00BE0D80">
      <w:pPr>
        <w:spacing w:after="0"/>
        <w:jc w:val="both"/>
        <w:rPr>
          <w:rFonts w:ascii="Arial" w:hAnsi="Arial" w:cs="Arial"/>
        </w:rPr>
      </w:pPr>
      <w:r w:rsidRPr="00884AE9">
        <w:rPr>
          <w:rFonts w:ascii="Arial" w:hAnsi="Arial" w:cs="Arial"/>
        </w:rPr>
        <w:t xml:space="preserve">En relación con lo anterior, el Instituto también </w:t>
      </w:r>
      <w:r>
        <w:rPr>
          <w:rFonts w:ascii="Arial" w:hAnsi="Arial" w:cs="Arial"/>
        </w:rPr>
        <w:t>podrá</w:t>
      </w:r>
      <w:r w:rsidRPr="00884AE9">
        <w:rPr>
          <w:rFonts w:ascii="Arial" w:hAnsi="Arial" w:cs="Arial"/>
        </w:rPr>
        <w:t xml:space="preserve"> considerar </w:t>
      </w:r>
      <w:r w:rsidRPr="00C00343">
        <w:rPr>
          <w:rFonts w:ascii="Arial" w:hAnsi="Arial" w:cs="Arial"/>
          <w:b/>
        </w:rPr>
        <w:t xml:space="preserve">la </w:t>
      </w:r>
      <w:r w:rsidRPr="00AC774A">
        <w:rPr>
          <w:rFonts w:ascii="Arial" w:hAnsi="Arial" w:cs="Arial"/>
          <w:b/>
        </w:rPr>
        <w:t>zona</w:t>
      </w:r>
      <w:r w:rsidRPr="00884AE9">
        <w:rPr>
          <w:rFonts w:ascii="Arial" w:hAnsi="Arial" w:cs="Arial"/>
          <w:b/>
        </w:rPr>
        <w:t xml:space="preserve"> de cobertura autorizada en los títulos de concesión de los proveedores</w:t>
      </w:r>
      <w:r w:rsidRPr="00884AE9">
        <w:rPr>
          <w:rFonts w:ascii="Arial" w:hAnsi="Arial" w:cs="Arial"/>
        </w:rPr>
        <w:t xml:space="preserve"> de servicios de telecomunicaciones o </w:t>
      </w:r>
      <w:r w:rsidRPr="00884AE9">
        <w:rPr>
          <w:rFonts w:ascii="Arial" w:hAnsi="Arial" w:cs="Arial"/>
        </w:rPr>
        <w:lastRenderedPageBreak/>
        <w:t xml:space="preserve">radiodifusión, ya que esta delimita las zonas geográficas en las cuales los proveedores pueden prestar sus servicios. </w:t>
      </w:r>
    </w:p>
    <w:p w14:paraId="51501A9C" w14:textId="77777777" w:rsidR="00BE0D80" w:rsidRPr="00931D46" w:rsidRDefault="00BE0D80" w:rsidP="00BE0D80">
      <w:pPr>
        <w:tabs>
          <w:tab w:val="left" w:pos="2480"/>
        </w:tabs>
        <w:spacing w:after="0"/>
        <w:jc w:val="both"/>
        <w:rPr>
          <w:rFonts w:ascii="Arial" w:hAnsi="Arial" w:cs="Arial"/>
        </w:rPr>
      </w:pPr>
    </w:p>
    <w:p w14:paraId="0919AEB0" w14:textId="77777777" w:rsidR="00BE0D80" w:rsidRPr="008C46AC" w:rsidRDefault="00BE0D80" w:rsidP="00BE0D80">
      <w:pPr>
        <w:pStyle w:val="Ttulo1"/>
        <w:numPr>
          <w:ilvl w:val="0"/>
          <w:numId w:val="5"/>
        </w:numPr>
        <w:spacing w:line="276" w:lineRule="auto"/>
        <w:jc w:val="both"/>
        <w:rPr>
          <w:rFonts w:ascii="Arial" w:hAnsi="Arial" w:cs="Arial"/>
          <w:b w:val="0"/>
          <w:sz w:val="26"/>
          <w:szCs w:val="26"/>
        </w:rPr>
      </w:pPr>
      <w:bookmarkStart w:id="59" w:name="_Toc41649749"/>
      <w:bookmarkStart w:id="60" w:name="_Toc41649890"/>
      <w:bookmarkStart w:id="61" w:name="_Toc45216575"/>
      <w:bookmarkStart w:id="62" w:name="_Toc45628328"/>
      <w:bookmarkStart w:id="63" w:name="_Toc85473324"/>
      <w:r w:rsidRPr="008C46AC">
        <w:rPr>
          <w:rFonts w:ascii="Arial" w:hAnsi="Arial" w:cs="Arial"/>
          <w:sz w:val="26"/>
          <w:szCs w:val="26"/>
        </w:rPr>
        <w:t>Exhaustividad en la delimitación del MR</w:t>
      </w:r>
      <w:bookmarkEnd w:id="59"/>
      <w:bookmarkEnd w:id="60"/>
      <w:bookmarkEnd w:id="61"/>
      <w:bookmarkEnd w:id="62"/>
      <w:bookmarkEnd w:id="63"/>
    </w:p>
    <w:p w14:paraId="394F4B83" w14:textId="77777777" w:rsidR="00BE0D80" w:rsidRPr="008E225A" w:rsidRDefault="00BE0D80" w:rsidP="00BE0D80">
      <w:pPr>
        <w:keepNext/>
        <w:spacing w:after="0"/>
        <w:jc w:val="both"/>
        <w:rPr>
          <w:rFonts w:ascii="Arial" w:eastAsiaTheme="majorEastAsia" w:hAnsi="Arial" w:cs="Arial"/>
          <w:b/>
          <w:szCs w:val="32"/>
          <w:highlight w:val="yellow"/>
        </w:rPr>
      </w:pPr>
    </w:p>
    <w:p w14:paraId="3210B58F" w14:textId="77777777" w:rsidR="00BE0D80" w:rsidRPr="00507FDD" w:rsidRDefault="00BE0D80" w:rsidP="00BE0D80">
      <w:pPr>
        <w:spacing w:after="0"/>
        <w:jc w:val="both"/>
        <w:rPr>
          <w:rFonts w:ascii="Arial" w:hAnsi="Arial" w:cs="Arial"/>
        </w:rPr>
      </w:pPr>
      <w:r w:rsidRPr="00507FDD">
        <w:rPr>
          <w:rFonts w:ascii="Arial" w:hAnsi="Arial" w:cs="Arial"/>
        </w:rPr>
        <w:t xml:space="preserve">Como se señaló previamente, </w:t>
      </w:r>
      <w:r w:rsidRPr="00507FDD">
        <w:rPr>
          <w:rFonts w:ascii="Arial" w:eastAsia="Times New Roman" w:hAnsi="Arial" w:cs="Arial"/>
          <w:bCs/>
          <w:kern w:val="1"/>
          <w:lang w:eastAsia="ar-SA"/>
        </w:rPr>
        <w:t>la determinación del MR no es un fin en sí mismo, sino una herramienta para establecer un marco de referencia en el que se realiza la evaluación de poder sustancial de mercado, condiciones de competencia o condiciones de competencia efectiva, así como de los efectos de una conducta u operación</w:t>
      </w:r>
      <w:r w:rsidRPr="00507FDD">
        <w:rPr>
          <w:rFonts w:ascii="Arial" w:hAnsi="Arial" w:cs="Arial"/>
        </w:rPr>
        <w:t xml:space="preserve">. En ese sentido, el análisis e implementación de los criterios señalados en el artículo 58 de la LFCE y en la presente Guía debe hacerse tomando en cuenta las circunstancias particulares del caso sujeto de análisis y considerando que el objetivo principal es la </w:t>
      </w:r>
      <w:r w:rsidRPr="00507FDD">
        <w:rPr>
          <w:rFonts w:ascii="Arial" w:eastAsia="Times New Roman" w:hAnsi="Arial" w:cs="Arial"/>
          <w:bCs/>
          <w:kern w:val="1"/>
          <w:lang w:eastAsia="ar-SA"/>
        </w:rPr>
        <w:t xml:space="preserve">evaluación de la existencia de poder sustancial de mercado, condiciones de competencia o condiciones de competencia efectiva y no la delimitación del MR </w:t>
      </w:r>
      <w:r w:rsidRPr="00507FDD">
        <w:rPr>
          <w:rFonts w:ascii="Arial" w:eastAsia="Times New Roman" w:hAnsi="Arial" w:cs="Arial"/>
          <w:bCs/>
          <w:i/>
          <w:kern w:val="1"/>
          <w:lang w:eastAsia="ar-SA"/>
        </w:rPr>
        <w:t xml:space="preserve">per </w:t>
      </w:r>
      <w:r>
        <w:rPr>
          <w:rFonts w:ascii="Arial" w:eastAsia="Times New Roman" w:hAnsi="Arial" w:cs="Arial"/>
          <w:bCs/>
          <w:i/>
          <w:kern w:val="1"/>
          <w:lang w:eastAsia="ar-SA"/>
        </w:rPr>
        <w:t>se</w:t>
      </w:r>
      <w:r w:rsidRPr="00507FDD">
        <w:rPr>
          <w:rFonts w:ascii="Arial" w:hAnsi="Arial" w:cs="Arial"/>
        </w:rPr>
        <w:t>.</w:t>
      </w:r>
    </w:p>
    <w:p w14:paraId="4612080A" w14:textId="77777777" w:rsidR="00BE0D80" w:rsidRPr="00507FDD" w:rsidRDefault="00BE0D80" w:rsidP="00BE0D80">
      <w:pPr>
        <w:spacing w:after="0"/>
        <w:jc w:val="both"/>
        <w:rPr>
          <w:rFonts w:ascii="Arial" w:hAnsi="Arial" w:cs="Arial"/>
        </w:rPr>
      </w:pPr>
    </w:p>
    <w:p w14:paraId="3CCB4059" w14:textId="77777777" w:rsidR="00BE0D80" w:rsidRPr="00507FDD" w:rsidRDefault="00BE0D80" w:rsidP="00BE0D80">
      <w:pPr>
        <w:spacing w:after="0"/>
        <w:jc w:val="both"/>
        <w:rPr>
          <w:rFonts w:ascii="Arial" w:hAnsi="Arial" w:cs="Arial"/>
        </w:rPr>
      </w:pPr>
      <w:r w:rsidRPr="00507FDD">
        <w:rPr>
          <w:rFonts w:ascii="Arial" w:hAnsi="Arial" w:cs="Arial"/>
        </w:rPr>
        <w:t>En el caso particular de las concentraciones que se señalan en el artículo 92 de la LFCE o las que cumplen con lo señalado en el artículo 6 del Criterio Técnico</w:t>
      </w:r>
      <w:r w:rsidRPr="00507FDD">
        <w:rPr>
          <w:rStyle w:val="Refdenotaalpie"/>
          <w:rFonts w:ascii="Arial" w:hAnsi="Arial" w:cs="Arial"/>
        </w:rPr>
        <w:footnoteReference w:id="59"/>
      </w:r>
      <w:r w:rsidRPr="00507FDD">
        <w:rPr>
          <w:rFonts w:ascii="Arial" w:hAnsi="Arial" w:cs="Arial"/>
        </w:rPr>
        <w:t xml:space="preserve"> y no se encuentran en los supuestos del artículo 7 del mismo ordenamiento,</w:t>
      </w:r>
      <w:r w:rsidRPr="00507FDD">
        <w:rPr>
          <w:rStyle w:val="Refdenotaalpie"/>
          <w:rFonts w:ascii="Arial" w:hAnsi="Arial" w:cs="Arial"/>
        </w:rPr>
        <w:footnoteReference w:id="60"/>
      </w:r>
      <w:r w:rsidRPr="00507FDD">
        <w:rPr>
          <w:rFonts w:ascii="Arial" w:hAnsi="Arial" w:cs="Arial"/>
        </w:rPr>
        <w:t xml:space="preserve"> un análisis preliminar permite concluir que los efectos de la operación no implican afectaciones a la competencia y libre concurrencia.</w:t>
      </w:r>
    </w:p>
    <w:p w14:paraId="5C707291" w14:textId="77777777" w:rsidR="00BE0D80" w:rsidRPr="00507FDD" w:rsidRDefault="00BE0D80" w:rsidP="00BE0D80">
      <w:pPr>
        <w:spacing w:after="0"/>
        <w:jc w:val="both"/>
        <w:rPr>
          <w:rFonts w:ascii="Arial" w:hAnsi="Arial" w:cs="Arial"/>
        </w:rPr>
      </w:pPr>
    </w:p>
    <w:p w14:paraId="60E81584" w14:textId="77777777" w:rsidR="00BE0D80" w:rsidRPr="00507FDD" w:rsidRDefault="00BE0D80" w:rsidP="00BE0D80">
      <w:pPr>
        <w:spacing w:after="0"/>
        <w:jc w:val="both"/>
        <w:rPr>
          <w:rFonts w:ascii="Arial" w:hAnsi="Arial" w:cs="Arial"/>
        </w:rPr>
      </w:pPr>
      <w:r w:rsidRPr="00507FDD">
        <w:rPr>
          <w:rFonts w:ascii="Arial" w:hAnsi="Arial" w:cs="Arial"/>
        </w:rPr>
        <w:t xml:space="preserve">En este sentido, la Guía de Concentraciones señala que: </w:t>
      </w:r>
      <w:r w:rsidRPr="00507FDD">
        <w:rPr>
          <w:rFonts w:ascii="Arial" w:hAnsi="Arial" w:cs="Arial"/>
          <w:i/>
        </w:rPr>
        <w:t xml:space="preserve">“(…) Los datos de participaciones que los agentes económicos presenten no necesariamente corresponden al mercado relevante o mercados relacionados en los que tiene efectos la concentración (…) Sin embargo, pueden ser utilizados de forma razonable para tratar de construir diferentes escenarios de agregación, entre los cuales se podría ubicar el mercado relevante y los mercados relacionados correspondientes. </w:t>
      </w:r>
      <w:r w:rsidRPr="00507FDD">
        <w:rPr>
          <w:rFonts w:ascii="Arial" w:hAnsi="Arial" w:cs="Arial"/>
          <w:b/>
          <w:i/>
        </w:rPr>
        <w:t>Si bajo ninguno de esos escenarios de agregación, se identifica que ésta pudiera obstaculizar, disminuir, dañar o impedir la libre concurrencia y competencia económica, entonces el IFT considerará finalizado su análisis de efectos</w:t>
      </w:r>
      <w:r w:rsidRPr="00507FDD">
        <w:rPr>
          <w:rFonts w:ascii="Arial" w:hAnsi="Arial" w:cs="Arial"/>
          <w:i/>
        </w:rPr>
        <w:t xml:space="preserve"> (…).”</w:t>
      </w:r>
      <w:r w:rsidRPr="00507FDD">
        <w:rPr>
          <w:rStyle w:val="Refdenotaalpie"/>
          <w:rFonts w:ascii="Arial" w:hAnsi="Arial" w:cs="Arial"/>
        </w:rPr>
        <w:footnoteReference w:id="61"/>
      </w:r>
    </w:p>
    <w:p w14:paraId="428E57EC" w14:textId="77777777" w:rsidR="00BE0D80" w:rsidRPr="00507FDD" w:rsidRDefault="00BE0D80" w:rsidP="00BE0D80">
      <w:pPr>
        <w:spacing w:after="0"/>
        <w:jc w:val="both"/>
        <w:rPr>
          <w:rFonts w:ascii="Arial" w:hAnsi="Arial" w:cs="Arial"/>
        </w:rPr>
      </w:pPr>
    </w:p>
    <w:p w14:paraId="69CFD2F2" w14:textId="77777777" w:rsidR="00BE0D80" w:rsidRPr="00507FDD" w:rsidRDefault="00BE0D80" w:rsidP="00BE0D80">
      <w:pPr>
        <w:spacing w:after="0"/>
        <w:jc w:val="both"/>
        <w:rPr>
          <w:rFonts w:ascii="Arial" w:hAnsi="Arial" w:cs="Arial"/>
        </w:rPr>
      </w:pPr>
      <w:r w:rsidRPr="00507FDD">
        <w:rPr>
          <w:rFonts w:ascii="Arial" w:hAnsi="Arial" w:cs="Arial"/>
        </w:rPr>
        <w:lastRenderedPageBreak/>
        <w:t xml:space="preserve">Por su parte, la OCDE señala que </w:t>
      </w:r>
      <w:r w:rsidRPr="00507FDD">
        <w:rPr>
          <w:rFonts w:ascii="Arial" w:hAnsi="Arial" w:cs="Arial"/>
          <w:i/>
        </w:rPr>
        <w:t>“cuando se revisan casos para los que no existen problemas de competencia, independientemente del alcance geográfico de un mercado, el enfoque que a menudo adoptan los tribunales y las autoridades de competencia es mantener abierta la definición del mercado geográfico”</w:t>
      </w:r>
      <w:r w:rsidRPr="00507FDD">
        <w:rPr>
          <w:rFonts w:ascii="Arial" w:hAnsi="Arial" w:cs="Arial"/>
        </w:rPr>
        <w:t>, pues ello permite ahorrar tiempo y recursos, así como evitar que se llegue a una definición innecesaria que puede afectar casos futuros.</w:t>
      </w:r>
      <w:r w:rsidRPr="00507FDD">
        <w:rPr>
          <w:rStyle w:val="Refdenotaalpie"/>
          <w:rFonts w:ascii="Arial" w:hAnsi="Arial" w:cs="Arial"/>
          <w:szCs w:val="26"/>
        </w:rPr>
        <w:footnoteReference w:id="62"/>
      </w:r>
    </w:p>
    <w:p w14:paraId="64DC826D" w14:textId="77777777" w:rsidR="00BE0D80" w:rsidRPr="00507FDD" w:rsidRDefault="00BE0D80" w:rsidP="00BE0D80">
      <w:pPr>
        <w:spacing w:after="0"/>
        <w:jc w:val="both"/>
        <w:rPr>
          <w:rFonts w:ascii="Arial" w:hAnsi="Arial" w:cs="Arial"/>
        </w:rPr>
      </w:pPr>
    </w:p>
    <w:p w14:paraId="7A847ABE" w14:textId="77777777" w:rsidR="00BE0D80" w:rsidRPr="00507FDD" w:rsidRDefault="00BE0D80" w:rsidP="00BE0D80">
      <w:pPr>
        <w:spacing w:after="0"/>
        <w:jc w:val="both"/>
        <w:rPr>
          <w:rFonts w:ascii="Arial" w:hAnsi="Arial" w:cs="Arial"/>
        </w:rPr>
      </w:pPr>
      <w:r w:rsidRPr="00507FDD">
        <w:rPr>
          <w:rFonts w:ascii="Arial" w:hAnsi="Arial" w:cs="Arial"/>
        </w:rPr>
        <w:t xml:space="preserve">Por lo tanto, en los casos </w:t>
      </w:r>
      <w:r>
        <w:rPr>
          <w:rFonts w:ascii="Arial" w:hAnsi="Arial" w:cs="Arial"/>
        </w:rPr>
        <w:t xml:space="preserve">de concentraciones </w:t>
      </w:r>
      <w:r w:rsidRPr="00507FDD">
        <w:rPr>
          <w:rFonts w:ascii="Arial" w:hAnsi="Arial" w:cs="Arial"/>
        </w:rPr>
        <w:t>descritos, no es necesario llevar a cabo una delimitación exhaustiva del MR aplicando todos y cada uno de los criterios establecidos en el artículo 58 de la LFCE y en la presente Guía, pues hacerlo implicaría llegar a la misma conclusión respecto a los efectos o condiciones de competencia y libre concurrencia, pero en un tiempo mayor de análisis y el consecuente costo por parte de los AE y el Instituto.</w:t>
      </w:r>
    </w:p>
    <w:p w14:paraId="4765C17C" w14:textId="77777777" w:rsidR="00BE0D80" w:rsidRPr="00507FDD" w:rsidRDefault="00BE0D80" w:rsidP="00BE0D80">
      <w:pPr>
        <w:spacing w:after="0"/>
        <w:jc w:val="both"/>
        <w:rPr>
          <w:rFonts w:ascii="Arial" w:hAnsi="Arial" w:cs="Arial"/>
        </w:rPr>
      </w:pPr>
    </w:p>
    <w:p w14:paraId="25BC92A2" w14:textId="77777777" w:rsidR="00BE0D80" w:rsidRPr="00507FDD"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64" w:name="_Toc45216576"/>
      <w:bookmarkStart w:id="65" w:name="_Toc45628329"/>
      <w:bookmarkStart w:id="66" w:name="_Toc85473325"/>
      <w:r w:rsidRPr="00507FDD">
        <w:rPr>
          <w:rFonts w:ascii="Arial" w:eastAsia="Times New Roman" w:hAnsi="Arial" w:cs="Arial"/>
          <w:sz w:val="26"/>
          <w:lang w:eastAsia="es-MX"/>
        </w:rPr>
        <w:t>Precedentes decisorios del Instituto</w:t>
      </w:r>
      <w:bookmarkEnd w:id="64"/>
      <w:bookmarkEnd w:id="65"/>
      <w:bookmarkEnd w:id="66"/>
    </w:p>
    <w:p w14:paraId="4E52097F" w14:textId="77777777" w:rsidR="00BE0D80" w:rsidRPr="00507FDD" w:rsidRDefault="00BE0D80" w:rsidP="00BE0D80">
      <w:pPr>
        <w:keepNext/>
        <w:spacing w:after="0"/>
        <w:jc w:val="both"/>
        <w:rPr>
          <w:rFonts w:ascii="Arial" w:hAnsi="Arial" w:cs="Arial"/>
        </w:rPr>
      </w:pPr>
    </w:p>
    <w:p w14:paraId="3C433344" w14:textId="77777777" w:rsidR="00BE0D80" w:rsidRPr="00CA42B1" w:rsidRDefault="00BE0D80" w:rsidP="00BE0D80">
      <w:pPr>
        <w:spacing w:after="0"/>
        <w:jc w:val="both"/>
        <w:rPr>
          <w:rFonts w:ascii="Arial" w:hAnsi="Arial" w:cs="Arial"/>
        </w:rPr>
      </w:pPr>
      <w:r w:rsidRPr="00507FDD">
        <w:rPr>
          <w:rFonts w:ascii="Arial" w:hAnsi="Arial" w:cs="Arial"/>
        </w:rPr>
        <w:t xml:space="preserve">Conforme a precedentes decisorios del Instituto, se identifican las siguientes situaciones en las cuales se ha dejado </w:t>
      </w:r>
      <w:r w:rsidRPr="00507FDD">
        <w:rPr>
          <w:rFonts w:ascii="Arial" w:hAnsi="Arial" w:cs="Arial"/>
          <w:lang w:eastAsia="es-MX"/>
        </w:rPr>
        <w:t>abierta la delimitación precisa del MR, es decir, sin necesidad de aplicar de manera exhaustiva</w:t>
      </w:r>
      <w:r w:rsidRPr="00507FDD">
        <w:rPr>
          <w:rFonts w:ascii="Arial" w:hAnsi="Arial" w:cs="Arial"/>
        </w:rPr>
        <w:t xml:space="preserve"> todos y cada uno de los criterios establecidos en el artículo 58 de la LFCE, el artículo 5 de las DRLFCE y la presente Guía:</w:t>
      </w:r>
      <w:r w:rsidRPr="00507FDD">
        <w:rPr>
          <w:rFonts w:ascii="Arial" w:eastAsia="Times New Roman" w:hAnsi="Arial" w:cs="Arial"/>
          <w:vertAlign w:val="superscript"/>
          <w:lang w:eastAsia="es-MX"/>
        </w:rPr>
        <w:footnoteReference w:id="63"/>
      </w:r>
    </w:p>
    <w:p w14:paraId="79128148" w14:textId="77777777" w:rsidR="00BE0D80" w:rsidRPr="00507FDD" w:rsidRDefault="00BE0D80" w:rsidP="00BE0D8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t>Cuando, con base en un análisis preliminar, existen pocas probabilidades de afectar la competencia debido a que la participación de las partes involucradas en la operación es no significativa;</w:t>
      </w:r>
    </w:p>
    <w:p w14:paraId="55F68F3B" w14:textId="77777777" w:rsidR="00BE0D80" w:rsidRDefault="00BE0D80" w:rsidP="00BE0D80">
      <w:pPr>
        <w:pStyle w:val="Prrafodelista"/>
        <w:spacing w:after="0"/>
        <w:ind w:left="709"/>
        <w:contextualSpacing w:val="0"/>
        <w:jc w:val="both"/>
        <w:rPr>
          <w:rFonts w:ascii="Arial" w:hAnsi="Arial" w:cs="Arial"/>
        </w:rPr>
      </w:pPr>
    </w:p>
    <w:p w14:paraId="6EE1AFCF" w14:textId="77777777" w:rsidR="00BE0D80" w:rsidRPr="00507FDD" w:rsidRDefault="00BE0D80" w:rsidP="00BE0D8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t>Cuando, la operación no implica la transferencia de una porción de mercado alguno;</w:t>
      </w:r>
    </w:p>
    <w:p w14:paraId="63228F2F" w14:textId="77777777" w:rsidR="00BE0D80" w:rsidRDefault="00BE0D80" w:rsidP="00BE0D80">
      <w:pPr>
        <w:pStyle w:val="Prrafodelista"/>
        <w:spacing w:after="0"/>
        <w:ind w:left="709"/>
        <w:contextualSpacing w:val="0"/>
        <w:jc w:val="both"/>
        <w:rPr>
          <w:rFonts w:ascii="Arial" w:hAnsi="Arial" w:cs="Arial"/>
        </w:rPr>
      </w:pPr>
    </w:p>
    <w:p w14:paraId="3FDBE8FF" w14:textId="77777777" w:rsidR="00BE0D80" w:rsidRPr="00507FDD" w:rsidRDefault="00BE0D80" w:rsidP="00BE0D8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lastRenderedPageBreak/>
        <w:t>Cuando, bajo cualquiera de las posibles dimensiones de producto y geográficas, no se identifican elementos por los que la operación pudiera tener por objeto o efecto dañar la competencia y libre concurrencia</w:t>
      </w:r>
      <w:r>
        <w:rPr>
          <w:rFonts w:ascii="Arial" w:hAnsi="Arial" w:cs="Arial"/>
        </w:rPr>
        <w:t>, y</w:t>
      </w:r>
    </w:p>
    <w:p w14:paraId="72866031" w14:textId="77777777" w:rsidR="00BE0D80" w:rsidRDefault="00BE0D80" w:rsidP="00BE0D80">
      <w:pPr>
        <w:pStyle w:val="Prrafodelista"/>
        <w:spacing w:after="0"/>
        <w:ind w:left="709"/>
        <w:contextualSpacing w:val="0"/>
        <w:jc w:val="both"/>
        <w:rPr>
          <w:rFonts w:ascii="Arial" w:hAnsi="Arial" w:cs="Arial"/>
        </w:rPr>
      </w:pPr>
    </w:p>
    <w:p w14:paraId="282524AC" w14:textId="77777777" w:rsidR="00BE0D80" w:rsidRPr="00507FDD" w:rsidRDefault="00BE0D80" w:rsidP="00BE0D8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t>Si la operación cumple con lo establecido en el artículo 92 de la LFCE, es decir, notoriamente no tiene por objeto o efecto disminuir, dañar o impedir la libre concurrencia y la competencia económica.</w:t>
      </w:r>
    </w:p>
    <w:p w14:paraId="33FCB17A" w14:textId="77777777" w:rsidR="00BE0D80" w:rsidRPr="00507FDD" w:rsidRDefault="00BE0D80" w:rsidP="00BE0D80">
      <w:pPr>
        <w:spacing w:after="0"/>
        <w:jc w:val="both"/>
        <w:rPr>
          <w:rFonts w:ascii="Arial" w:hAnsi="Arial" w:cs="Arial"/>
        </w:rPr>
      </w:pPr>
    </w:p>
    <w:p w14:paraId="00316ABE" w14:textId="77777777" w:rsidR="00BE0D80" w:rsidRDefault="00BE0D80" w:rsidP="00BE0D80">
      <w:pPr>
        <w:spacing w:after="0"/>
        <w:jc w:val="both"/>
        <w:rPr>
          <w:rFonts w:ascii="Arial" w:hAnsi="Arial" w:cs="Arial"/>
          <w:i/>
        </w:rPr>
      </w:pPr>
      <w:r w:rsidRPr="00507FDD">
        <w:rPr>
          <w:rFonts w:ascii="Arial" w:hAnsi="Arial" w:cs="Arial"/>
        </w:rPr>
        <w:t xml:space="preserve">En el mismo sentido, la Guía de Concentraciones señala que: </w:t>
      </w:r>
      <w:r w:rsidRPr="00507FDD">
        <w:rPr>
          <w:rFonts w:ascii="Arial" w:hAnsi="Arial" w:cs="Arial"/>
          <w:i/>
        </w:rPr>
        <w:t>“Si bajo ninguno de esos escenarios de agregación [entre los cuales se podría ubicar el mercado relevante y los mercados relacionados correspondientes], se identifica que [la concentración] pudiera obstaculizar, disminuir, dañar o impedir la libre concurrencia y competencia económica, entonces el IFT considerará finalizado su análisis de efectos (…).”</w:t>
      </w:r>
      <w:r w:rsidRPr="00507FDD">
        <w:rPr>
          <w:rStyle w:val="Refdenotaalpie"/>
          <w:rFonts w:ascii="Arial" w:hAnsi="Arial" w:cs="Arial"/>
        </w:rPr>
        <w:footnoteReference w:id="64"/>
      </w:r>
    </w:p>
    <w:p w14:paraId="02D8B133" w14:textId="77777777" w:rsidR="00BE0D80" w:rsidRPr="00507FDD" w:rsidRDefault="00BE0D80" w:rsidP="00BE0D80">
      <w:pPr>
        <w:spacing w:after="0"/>
        <w:jc w:val="both"/>
        <w:rPr>
          <w:rFonts w:ascii="Arial" w:hAnsi="Arial" w:cs="Arial"/>
        </w:rPr>
      </w:pPr>
    </w:p>
    <w:p w14:paraId="4E12B184" w14:textId="77777777" w:rsidR="00BE0D80" w:rsidRPr="00507FDD"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67" w:name="_Toc45216577"/>
      <w:bookmarkStart w:id="68" w:name="_Toc45628334"/>
      <w:bookmarkStart w:id="69" w:name="_Toc85473326"/>
      <w:r w:rsidRPr="00507FDD">
        <w:rPr>
          <w:rFonts w:ascii="Arial" w:eastAsia="Times New Roman" w:hAnsi="Arial" w:cs="Arial"/>
          <w:sz w:val="26"/>
          <w:lang w:eastAsia="es-MX"/>
        </w:rPr>
        <w:t>Experiencia internacional</w:t>
      </w:r>
      <w:bookmarkEnd w:id="67"/>
      <w:bookmarkEnd w:id="68"/>
      <w:bookmarkEnd w:id="69"/>
    </w:p>
    <w:p w14:paraId="3E3101D0" w14:textId="77777777" w:rsidR="00BE0D80" w:rsidRPr="00507FDD" w:rsidRDefault="00BE0D80" w:rsidP="00BE0D80">
      <w:pPr>
        <w:keepNext/>
        <w:spacing w:after="0"/>
        <w:jc w:val="both"/>
        <w:rPr>
          <w:rFonts w:ascii="Arial" w:hAnsi="Arial" w:cs="Arial"/>
          <w:lang w:val="en-US"/>
        </w:rPr>
      </w:pPr>
    </w:p>
    <w:p w14:paraId="791F5F8D" w14:textId="77777777" w:rsidR="00BE0D80" w:rsidRPr="00507FDD" w:rsidRDefault="00BE0D80" w:rsidP="00BE0D80">
      <w:pPr>
        <w:spacing w:after="0"/>
        <w:jc w:val="both"/>
        <w:rPr>
          <w:rFonts w:ascii="Arial" w:hAnsi="Arial" w:cs="Arial"/>
        </w:rPr>
      </w:pPr>
      <w:r w:rsidRPr="00507FDD">
        <w:rPr>
          <w:rFonts w:ascii="Arial" w:hAnsi="Arial" w:cs="Arial"/>
        </w:rPr>
        <w:t>La ICN</w:t>
      </w:r>
      <w:r w:rsidRPr="00507FDD">
        <w:rPr>
          <w:rStyle w:val="Refdenotaalpie"/>
          <w:rFonts w:ascii="Arial" w:hAnsi="Arial" w:cs="Arial"/>
        </w:rPr>
        <w:footnoteReference w:id="65"/>
      </w:r>
      <w:r w:rsidRPr="00507FDD">
        <w:rPr>
          <w:rFonts w:ascii="Arial" w:hAnsi="Arial" w:cs="Arial"/>
        </w:rPr>
        <w:t xml:space="preserve"> y la OCDE</w:t>
      </w:r>
      <w:r w:rsidRPr="00507FDD">
        <w:rPr>
          <w:rStyle w:val="Refdenotaalpie"/>
          <w:rFonts w:ascii="Arial" w:hAnsi="Arial" w:cs="Arial"/>
        </w:rPr>
        <w:footnoteReference w:id="66"/>
      </w:r>
      <w:r w:rsidRPr="00507FDD">
        <w:rPr>
          <w:rFonts w:ascii="Arial" w:hAnsi="Arial" w:cs="Arial"/>
        </w:rPr>
        <w:t>, así como las autoridades de competencia de Estados Unidos de América,</w:t>
      </w:r>
      <w:r w:rsidRPr="00507FDD">
        <w:rPr>
          <w:rFonts w:ascii="Arial" w:eastAsia="Times New Roman" w:hAnsi="Arial" w:cs="Arial"/>
          <w:vertAlign w:val="superscript"/>
          <w:lang w:val="en-US" w:eastAsia="es-MX"/>
        </w:rPr>
        <w:footnoteReference w:id="67"/>
      </w:r>
      <w:r w:rsidRPr="00507FDD">
        <w:rPr>
          <w:rFonts w:ascii="Arial" w:hAnsi="Arial" w:cs="Arial"/>
        </w:rPr>
        <w:t xml:space="preserve"> la Unión Europea,</w:t>
      </w:r>
      <w:r w:rsidRPr="00507FDD">
        <w:rPr>
          <w:rStyle w:val="Refdenotaalpie"/>
          <w:rFonts w:ascii="Arial" w:eastAsia="Times New Roman" w:hAnsi="Arial" w:cs="Arial"/>
          <w:bCs/>
          <w:kern w:val="1"/>
          <w:lang w:eastAsia="ar-SA"/>
        </w:rPr>
        <w:footnoteReference w:id="68"/>
      </w:r>
      <w:r w:rsidRPr="00507FDD">
        <w:rPr>
          <w:rFonts w:ascii="Arial" w:hAnsi="Arial" w:cs="Arial"/>
        </w:rPr>
        <w:t xml:space="preserve"> Australia,</w:t>
      </w:r>
      <w:r w:rsidRPr="00507FDD">
        <w:rPr>
          <w:rStyle w:val="Refdenotaalpie"/>
          <w:rFonts w:ascii="Arial" w:hAnsi="Arial" w:cs="Arial"/>
        </w:rPr>
        <w:footnoteReference w:id="69"/>
      </w:r>
      <w:r w:rsidRPr="00507FDD">
        <w:rPr>
          <w:rFonts w:ascii="Arial" w:hAnsi="Arial" w:cs="Arial"/>
        </w:rPr>
        <w:t xml:space="preserve"> Portugal</w:t>
      </w:r>
      <w:r w:rsidRPr="00507FDD">
        <w:rPr>
          <w:rStyle w:val="Refdenotaalpie"/>
          <w:rFonts w:ascii="Arial" w:hAnsi="Arial" w:cs="Arial"/>
        </w:rPr>
        <w:footnoteReference w:id="70"/>
      </w:r>
      <w:r w:rsidRPr="00507FDD">
        <w:rPr>
          <w:rFonts w:ascii="Arial" w:hAnsi="Arial" w:cs="Arial"/>
        </w:rPr>
        <w:t xml:space="preserve"> y Canadá,</w:t>
      </w:r>
      <w:r w:rsidRPr="00507FDD">
        <w:rPr>
          <w:rFonts w:ascii="Arial" w:eastAsia="Times New Roman" w:hAnsi="Arial" w:cs="Arial"/>
          <w:vertAlign w:val="superscript"/>
          <w:lang w:eastAsia="es-MX"/>
        </w:rPr>
        <w:footnoteReference w:id="71"/>
      </w:r>
      <w:r w:rsidRPr="00507FDD">
        <w:rPr>
          <w:rFonts w:ascii="Arial" w:hAnsi="Arial" w:cs="Arial"/>
        </w:rPr>
        <w:t xml:space="preserve"> coinciden en que no </w:t>
      </w:r>
      <w:r>
        <w:rPr>
          <w:rFonts w:ascii="Arial" w:hAnsi="Arial" w:cs="Arial"/>
        </w:rPr>
        <w:t>es</w:t>
      </w:r>
      <w:r w:rsidRPr="00507FDD">
        <w:rPr>
          <w:rFonts w:ascii="Arial" w:hAnsi="Arial" w:cs="Arial"/>
        </w:rPr>
        <w:t xml:space="preserve"> necesario realizar una delimitación exhaustiva del MR en las siguientes situaciones:</w:t>
      </w:r>
    </w:p>
    <w:p w14:paraId="43A1A001" w14:textId="77777777" w:rsidR="00BE0D80" w:rsidRDefault="00BE0D80" w:rsidP="00BE0D80">
      <w:pPr>
        <w:pStyle w:val="Prrafodelista"/>
        <w:spacing w:after="0"/>
        <w:contextualSpacing w:val="0"/>
        <w:jc w:val="both"/>
        <w:rPr>
          <w:rFonts w:ascii="Arial" w:hAnsi="Arial" w:cs="Arial"/>
        </w:rPr>
      </w:pPr>
    </w:p>
    <w:p w14:paraId="2A8422E7" w14:textId="77777777" w:rsidR="00BE0D80" w:rsidRPr="00507FDD" w:rsidRDefault="00BE0D80" w:rsidP="00BE0D80">
      <w:pPr>
        <w:pStyle w:val="Prrafodelista"/>
        <w:numPr>
          <w:ilvl w:val="0"/>
          <w:numId w:val="22"/>
        </w:numPr>
        <w:spacing w:after="0"/>
        <w:ind w:hanging="578"/>
        <w:contextualSpacing w:val="0"/>
        <w:jc w:val="both"/>
        <w:rPr>
          <w:rFonts w:ascii="Arial" w:hAnsi="Arial" w:cs="Arial"/>
        </w:rPr>
      </w:pPr>
      <w:r w:rsidRPr="00507FDD">
        <w:rPr>
          <w:rFonts w:ascii="Arial" w:hAnsi="Arial" w:cs="Arial"/>
        </w:rPr>
        <w:t>Es posible descartar la existencia de posibles daños a la competencia bajo cualquiera de las posibles definiciones alternativas de MR;</w:t>
      </w:r>
    </w:p>
    <w:p w14:paraId="2A3BB7E9" w14:textId="77777777" w:rsidR="00BE0D80" w:rsidRDefault="00BE0D80" w:rsidP="00BE0D80">
      <w:pPr>
        <w:pStyle w:val="Prrafodelista"/>
        <w:spacing w:after="0"/>
        <w:contextualSpacing w:val="0"/>
        <w:jc w:val="both"/>
        <w:rPr>
          <w:rFonts w:ascii="Arial" w:hAnsi="Arial" w:cs="Arial"/>
        </w:rPr>
      </w:pPr>
    </w:p>
    <w:p w14:paraId="500B1DC4" w14:textId="77777777" w:rsidR="00BE0D80" w:rsidRPr="00507FDD" w:rsidRDefault="00BE0D80" w:rsidP="00BE0D80">
      <w:pPr>
        <w:pStyle w:val="Prrafodelista"/>
        <w:numPr>
          <w:ilvl w:val="0"/>
          <w:numId w:val="22"/>
        </w:numPr>
        <w:spacing w:after="0"/>
        <w:ind w:hanging="578"/>
        <w:contextualSpacing w:val="0"/>
        <w:jc w:val="both"/>
        <w:rPr>
          <w:rFonts w:ascii="Arial" w:hAnsi="Arial" w:cs="Arial"/>
        </w:rPr>
      </w:pPr>
      <w:r w:rsidRPr="00507FDD">
        <w:rPr>
          <w:rFonts w:ascii="Arial" w:hAnsi="Arial" w:cs="Arial"/>
        </w:rPr>
        <w:t>Es viable evaluar los posibles efectos competitivos de una concentración o práctica sin delimitar de manera precisas los límites del MR;</w:t>
      </w:r>
    </w:p>
    <w:p w14:paraId="5581C3EA" w14:textId="77777777" w:rsidR="00BE0D80" w:rsidRDefault="00BE0D80" w:rsidP="00BE0D80">
      <w:pPr>
        <w:pStyle w:val="Prrafodelista"/>
        <w:spacing w:after="0"/>
        <w:contextualSpacing w:val="0"/>
        <w:jc w:val="both"/>
        <w:rPr>
          <w:rFonts w:ascii="Arial" w:hAnsi="Arial" w:cs="Arial"/>
        </w:rPr>
      </w:pPr>
    </w:p>
    <w:p w14:paraId="6E45CE6F" w14:textId="77777777" w:rsidR="00BE0D80" w:rsidRPr="00507FDD" w:rsidRDefault="00BE0D80" w:rsidP="00BE0D80">
      <w:pPr>
        <w:pStyle w:val="Prrafodelista"/>
        <w:numPr>
          <w:ilvl w:val="0"/>
          <w:numId w:val="22"/>
        </w:numPr>
        <w:spacing w:after="0"/>
        <w:ind w:hanging="578"/>
        <w:contextualSpacing w:val="0"/>
        <w:jc w:val="both"/>
        <w:rPr>
          <w:rFonts w:ascii="Arial" w:hAnsi="Arial" w:cs="Arial"/>
        </w:rPr>
      </w:pPr>
      <w:r w:rsidRPr="00507FDD">
        <w:rPr>
          <w:rFonts w:ascii="Arial" w:hAnsi="Arial" w:cs="Arial"/>
        </w:rPr>
        <w:t xml:space="preserve">Si bajo una definición estrecha del mercado resulta poco probable que la concentración disminuya la competencia, ya que también será poco probable que disminuya la competencia en un producto y </w:t>
      </w:r>
      <w:r>
        <w:rPr>
          <w:rFonts w:ascii="Arial" w:hAnsi="Arial" w:cs="Arial"/>
        </w:rPr>
        <w:t>zona</w:t>
      </w:r>
      <w:r w:rsidRPr="00507FDD">
        <w:rPr>
          <w:rFonts w:ascii="Arial" w:hAnsi="Arial" w:cs="Arial"/>
        </w:rPr>
        <w:t xml:space="preserve"> geográfica más amplios;</w:t>
      </w:r>
    </w:p>
    <w:p w14:paraId="070D5DC8" w14:textId="77777777" w:rsidR="00BE0D80" w:rsidRDefault="00BE0D80" w:rsidP="00BE0D80">
      <w:pPr>
        <w:pStyle w:val="Prrafodelista"/>
        <w:spacing w:after="0"/>
        <w:contextualSpacing w:val="0"/>
        <w:jc w:val="both"/>
        <w:rPr>
          <w:rFonts w:ascii="Arial" w:hAnsi="Arial" w:cs="Arial"/>
        </w:rPr>
      </w:pPr>
    </w:p>
    <w:p w14:paraId="26D37309" w14:textId="77777777" w:rsidR="00BE0D80" w:rsidRPr="00507FDD" w:rsidRDefault="00BE0D80" w:rsidP="00BE0D80">
      <w:pPr>
        <w:pStyle w:val="Prrafodelista"/>
        <w:numPr>
          <w:ilvl w:val="0"/>
          <w:numId w:val="22"/>
        </w:numPr>
        <w:spacing w:after="0"/>
        <w:ind w:hanging="578"/>
        <w:contextualSpacing w:val="0"/>
        <w:jc w:val="both"/>
        <w:rPr>
          <w:rFonts w:ascii="Arial" w:hAnsi="Arial" w:cs="Arial"/>
        </w:rPr>
      </w:pPr>
      <w:r w:rsidRPr="00507FDD">
        <w:rPr>
          <w:rFonts w:ascii="Arial" w:hAnsi="Arial" w:cs="Arial"/>
        </w:rPr>
        <w:lastRenderedPageBreak/>
        <w:t>Las conclusiones sobre los efectos en materia de competencia son independientes de los límites del MR que pudiera asumirse.</w:t>
      </w:r>
    </w:p>
    <w:p w14:paraId="18F0EEA6" w14:textId="77777777" w:rsidR="00BE0D80" w:rsidRPr="00507FDD" w:rsidRDefault="00BE0D80" w:rsidP="00BE0D80">
      <w:pPr>
        <w:spacing w:after="0"/>
        <w:jc w:val="both"/>
        <w:rPr>
          <w:rFonts w:ascii="Arial" w:hAnsi="Arial" w:cs="Arial"/>
        </w:rPr>
      </w:pPr>
    </w:p>
    <w:p w14:paraId="6E0009A1" w14:textId="77777777" w:rsidR="00BE0D80" w:rsidRPr="00507FDD"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70" w:name="_Toc64495276"/>
      <w:bookmarkStart w:id="71" w:name="_Toc45216578"/>
      <w:bookmarkStart w:id="72" w:name="_Toc45628339"/>
      <w:bookmarkStart w:id="73" w:name="_Toc85473327"/>
      <w:bookmarkEnd w:id="70"/>
      <w:r>
        <w:rPr>
          <w:rFonts w:ascii="Arial" w:eastAsia="Times New Roman" w:hAnsi="Arial" w:cs="Arial"/>
          <w:sz w:val="26"/>
          <w:lang w:eastAsia="es-MX"/>
        </w:rPr>
        <w:t>A</w:t>
      </w:r>
      <w:r w:rsidRPr="00507FDD">
        <w:rPr>
          <w:rFonts w:ascii="Arial" w:eastAsia="Times New Roman" w:hAnsi="Arial" w:cs="Arial"/>
          <w:sz w:val="26"/>
          <w:lang w:eastAsia="es-MX"/>
        </w:rPr>
        <w:t>plicación de criterios</w:t>
      </w:r>
      <w:bookmarkEnd w:id="71"/>
      <w:bookmarkEnd w:id="72"/>
      <w:bookmarkEnd w:id="73"/>
      <w:r w:rsidRPr="00507FDD">
        <w:rPr>
          <w:rFonts w:ascii="Arial" w:eastAsia="Times New Roman" w:hAnsi="Arial" w:cs="Arial"/>
          <w:sz w:val="26"/>
          <w:lang w:eastAsia="es-MX"/>
        </w:rPr>
        <w:t xml:space="preserve"> </w:t>
      </w:r>
    </w:p>
    <w:p w14:paraId="127E4F97" w14:textId="77777777" w:rsidR="00BE0D80" w:rsidRPr="00507FDD" w:rsidRDefault="00BE0D80" w:rsidP="00BE0D80">
      <w:pPr>
        <w:keepNext/>
        <w:spacing w:after="0"/>
        <w:jc w:val="both"/>
        <w:rPr>
          <w:rFonts w:ascii="Arial" w:hAnsi="Arial" w:cs="Arial"/>
        </w:rPr>
      </w:pPr>
    </w:p>
    <w:p w14:paraId="12C00F20" w14:textId="77777777" w:rsidR="00BE0D80" w:rsidRPr="00507FDD" w:rsidRDefault="00BE0D80" w:rsidP="00BE0D80">
      <w:pPr>
        <w:spacing w:after="0"/>
        <w:jc w:val="both"/>
        <w:rPr>
          <w:rFonts w:ascii="Arial" w:hAnsi="Arial" w:cs="Arial"/>
          <w:lang w:eastAsia="es-MX"/>
        </w:rPr>
      </w:pPr>
      <w:r w:rsidRPr="00507FDD">
        <w:rPr>
          <w:rFonts w:ascii="Arial" w:hAnsi="Arial" w:cs="Arial"/>
          <w:lang w:eastAsia="es-MX"/>
        </w:rPr>
        <w:t>El Instituto podrá dejar abierta la delimitación precisa del MR, sin necesidad de aplicar de manera exhaustiva</w:t>
      </w:r>
      <w:r w:rsidRPr="00507FDD">
        <w:rPr>
          <w:rFonts w:ascii="Arial" w:hAnsi="Arial" w:cs="Arial"/>
        </w:rPr>
        <w:t xml:space="preserve"> todos y cada uno de los criterios establecidos en el artículo 58 de la LFCE, el artículo 5 de las DRLFCE y la presente Guía, cuando:</w:t>
      </w:r>
    </w:p>
    <w:p w14:paraId="6D110C19" w14:textId="77777777" w:rsidR="00BE0D80" w:rsidRDefault="00BE0D80" w:rsidP="00BE0D80">
      <w:pPr>
        <w:pStyle w:val="Prrafodelista"/>
        <w:spacing w:after="0"/>
        <w:ind w:left="709"/>
        <w:contextualSpacing w:val="0"/>
        <w:jc w:val="both"/>
        <w:rPr>
          <w:rFonts w:ascii="Arial" w:hAnsi="Arial" w:cs="Arial"/>
          <w:lang w:eastAsia="es-MX"/>
        </w:rPr>
      </w:pPr>
    </w:p>
    <w:p w14:paraId="420A143E" w14:textId="77777777" w:rsidR="00BE0D80" w:rsidRPr="00507FDD" w:rsidRDefault="00BE0D80" w:rsidP="00BE0D8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lang w:eastAsia="es-MX"/>
        </w:rPr>
        <w:t>En la operación analizada, el adquirente no sea competidor actual o potencial del adquirido en la provisión de productos involucrados en la operación y/o mercados relacionados y, además, la concentración no conlleve la modificación de relaciones de control de algún AE ni en la estructura de dichos mercados</w:t>
      </w:r>
      <w:r w:rsidRPr="00507FDD">
        <w:rPr>
          <w:rFonts w:ascii="Arial" w:hAnsi="Arial" w:cs="Arial"/>
        </w:rPr>
        <w:t>.</w:t>
      </w:r>
    </w:p>
    <w:p w14:paraId="17B75D6D" w14:textId="77777777" w:rsidR="00BE0D80" w:rsidRPr="00507FDD" w:rsidRDefault="00BE0D80" w:rsidP="00BE0D80">
      <w:pPr>
        <w:pStyle w:val="Prrafodelista"/>
        <w:spacing w:after="0"/>
        <w:ind w:left="709"/>
        <w:contextualSpacing w:val="0"/>
        <w:jc w:val="both"/>
        <w:rPr>
          <w:rFonts w:ascii="Arial" w:hAnsi="Arial" w:cs="Arial"/>
          <w:lang w:eastAsia="es-MX"/>
        </w:rPr>
      </w:pPr>
    </w:p>
    <w:p w14:paraId="7087DC56" w14:textId="77777777" w:rsidR="00BE0D80" w:rsidRPr="00507FDD" w:rsidRDefault="00BE0D80" w:rsidP="00BE0D8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lang w:eastAsia="es-MX"/>
        </w:rPr>
        <w:t xml:space="preserve">Bajo cualquiera de las posibles delimitaciones alternativas del mercado, la operación </w:t>
      </w:r>
      <w:r w:rsidRPr="00507FDD">
        <w:rPr>
          <w:rFonts w:ascii="Arial" w:hAnsi="Arial" w:cs="Arial"/>
        </w:rPr>
        <w:t>cumpla con lo señalado en el artículo 6</w:t>
      </w:r>
      <w:r w:rsidRPr="00507FDD">
        <w:rPr>
          <w:rStyle w:val="Refdenotaalpie"/>
          <w:rFonts w:ascii="Arial" w:hAnsi="Arial" w:cs="Arial"/>
        </w:rPr>
        <w:footnoteReference w:id="72"/>
      </w:r>
      <w:r w:rsidRPr="00507FDD">
        <w:rPr>
          <w:rFonts w:ascii="Arial" w:hAnsi="Arial" w:cs="Arial"/>
        </w:rPr>
        <w:t xml:space="preserve"> del Criterio Técnico y no se encuentre en los supuestos del artículo 7 del mismo ordenamiento.</w:t>
      </w:r>
      <w:r w:rsidRPr="00507FDD">
        <w:rPr>
          <w:rStyle w:val="Refdenotaalpie"/>
          <w:rFonts w:ascii="Arial" w:hAnsi="Arial" w:cs="Arial"/>
        </w:rPr>
        <w:footnoteReference w:id="73"/>
      </w:r>
    </w:p>
    <w:p w14:paraId="271CC2DC" w14:textId="77777777" w:rsidR="00BE0D80" w:rsidRPr="00A92633" w:rsidRDefault="00BE0D80" w:rsidP="00BE0D80">
      <w:pPr>
        <w:pStyle w:val="Prrafodelista"/>
        <w:spacing w:after="0"/>
        <w:ind w:left="709"/>
        <w:contextualSpacing w:val="0"/>
        <w:jc w:val="both"/>
        <w:rPr>
          <w:rFonts w:ascii="Arial" w:hAnsi="Arial" w:cs="Arial"/>
          <w:lang w:eastAsia="es-MX"/>
        </w:rPr>
      </w:pPr>
    </w:p>
    <w:p w14:paraId="156C2FE4" w14:textId="77777777" w:rsidR="00BE0D80" w:rsidRPr="00507FDD" w:rsidRDefault="00BE0D80" w:rsidP="00BE0D8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szCs w:val="26"/>
        </w:rPr>
        <w:t xml:space="preserve">Bajo </w:t>
      </w:r>
      <w:r w:rsidRPr="00507FDD">
        <w:rPr>
          <w:rFonts w:ascii="Arial" w:hAnsi="Arial" w:cs="Arial"/>
          <w:lang w:eastAsia="es-MX"/>
        </w:rPr>
        <w:t>cualquiera de las posibles delimitaciones alternativas del mercado</w:t>
      </w:r>
      <w:r w:rsidRPr="00507FDD">
        <w:rPr>
          <w:rFonts w:ascii="Arial" w:hAnsi="Arial" w:cs="Arial"/>
          <w:szCs w:val="26"/>
        </w:rPr>
        <w:t xml:space="preserve">, sea posible descartar </w:t>
      </w:r>
      <w:r w:rsidRPr="00507FDD">
        <w:rPr>
          <w:rFonts w:ascii="Arial" w:hAnsi="Arial" w:cs="Arial"/>
        </w:rPr>
        <w:t>afectaciones a la competencia y libre concurrencia</w:t>
      </w:r>
      <w:r w:rsidRPr="00507FDD">
        <w:rPr>
          <w:rFonts w:ascii="Arial" w:hAnsi="Arial" w:cs="Arial"/>
          <w:szCs w:val="26"/>
        </w:rPr>
        <w:t xml:space="preserve"> o existencia,</w:t>
      </w:r>
      <w:r w:rsidRPr="00507FDD">
        <w:rPr>
          <w:rFonts w:ascii="Arial" w:hAnsi="Arial" w:cs="Arial"/>
        </w:rPr>
        <w:t xml:space="preserve"> adquisición o reforzamiento</w:t>
      </w:r>
      <w:r w:rsidRPr="00507FDD">
        <w:rPr>
          <w:rFonts w:ascii="Arial" w:hAnsi="Arial" w:cs="Arial"/>
          <w:szCs w:val="26"/>
        </w:rPr>
        <w:t xml:space="preserve"> de PSM derivados de la operación evaluada. </w:t>
      </w:r>
    </w:p>
    <w:p w14:paraId="7275F99E" w14:textId="77777777" w:rsidR="00BE0D80" w:rsidRDefault="00BE0D80" w:rsidP="00BE0D80">
      <w:pPr>
        <w:pStyle w:val="Prrafodelista"/>
        <w:spacing w:after="0"/>
        <w:ind w:left="709"/>
        <w:contextualSpacing w:val="0"/>
        <w:rPr>
          <w:rFonts w:ascii="Arial" w:hAnsi="Arial" w:cs="Arial"/>
          <w:lang w:eastAsia="es-MX"/>
        </w:rPr>
      </w:pPr>
    </w:p>
    <w:p w14:paraId="32F620A7" w14:textId="77777777" w:rsidR="00BE0D80" w:rsidRPr="00507FDD" w:rsidRDefault="00BE0D80" w:rsidP="00BE0D8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rPr>
        <w:t>Bajo una delimitación estrecha del mercado, sea posible descartar afectaciones a la competencia y libre concurrencia</w:t>
      </w:r>
      <w:r w:rsidRPr="00507FDD">
        <w:rPr>
          <w:rFonts w:ascii="Arial" w:hAnsi="Arial" w:cs="Arial"/>
          <w:szCs w:val="26"/>
        </w:rPr>
        <w:t xml:space="preserve"> o existencia, </w:t>
      </w:r>
      <w:r w:rsidRPr="00507FDD">
        <w:rPr>
          <w:rFonts w:ascii="Arial" w:hAnsi="Arial" w:cs="Arial"/>
        </w:rPr>
        <w:t>adquisición o reforzamiento</w:t>
      </w:r>
      <w:r w:rsidRPr="00507FDD">
        <w:rPr>
          <w:rFonts w:ascii="Arial" w:hAnsi="Arial" w:cs="Arial"/>
          <w:szCs w:val="26"/>
        </w:rPr>
        <w:t xml:space="preserve"> de PSM derivados de la operación evaluada</w:t>
      </w:r>
      <w:r w:rsidRPr="00507FDD">
        <w:rPr>
          <w:rFonts w:ascii="Arial" w:hAnsi="Arial" w:cs="Arial"/>
        </w:rPr>
        <w:t xml:space="preserve">. </w:t>
      </w:r>
    </w:p>
    <w:p w14:paraId="274F830E" w14:textId="77777777" w:rsidR="00BE0D80" w:rsidRDefault="00BE0D80" w:rsidP="00BE0D80">
      <w:pPr>
        <w:spacing w:after="0"/>
        <w:ind w:left="142"/>
        <w:jc w:val="both"/>
        <w:rPr>
          <w:rFonts w:ascii="Arial" w:hAnsi="Arial" w:cs="Arial"/>
          <w:lang w:eastAsia="es-MX"/>
        </w:rPr>
      </w:pPr>
    </w:p>
    <w:p w14:paraId="30638881" w14:textId="77777777" w:rsidR="00BE0D80" w:rsidRPr="008F2EB6" w:rsidRDefault="00BE0D80" w:rsidP="00BE0D80">
      <w:pPr>
        <w:spacing w:after="0"/>
        <w:ind w:left="142"/>
        <w:jc w:val="both"/>
        <w:rPr>
          <w:rFonts w:ascii="Arial" w:hAnsi="Arial" w:cs="Arial"/>
          <w:lang w:eastAsia="es-MX"/>
        </w:rPr>
      </w:pPr>
      <w:bookmarkStart w:id="74" w:name="_Hlk84504573"/>
      <w:r w:rsidRPr="008F2EB6">
        <w:rPr>
          <w:rFonts w:ascii="Arial" w:hAnsi="Arial" w:cs="Arial"/>
        </w:rPr>
        <w:t xml:space="preserve">Asimismo, la Autoridad Investigadora del Instituto, en los casos en los que analice las PMR a las que refiere el artículo 54 de la LFCE, podrá omitir la delimitación del MR conforme al artículo 58 de la LFCE, el artículo 5 de las DRLFCE y la presente Guía cuando la conducta analizada no encuadre en alguno de los supuestos a los que se refiere el artículo 56 de la LFCE. </w:t>
      </w:r>
      <w:bookmarkEnd w:id="74"/>
      <w:r w:rsidRPr="008F2EB6">
        <w:rPr>
          <w:rFonts w:ascii="Arial" w:hAnsi="Arial" w:cs="Arial"/>
        </w:rPr>
        <w:t xml:space="preserve">Lo </w:t>
      </w:r>
      <w:r w:rsidRPr="008F2EB6">
        <w:rPr>
          <w:rFonts w:ascii="Arial" w:hAnsi="Arial" w:cs="Arial"/>
        </w:rPr>
        <w:lastRenderedPageBreak/>
        <w:t>anterior es así, toda vez que, si no se actualiza alguna conducta prevista en el artículo 56 de la LFCE, continuar con el análisis de MR y PSM no conduce a demostrar la responsabilidad del agente económico en la comisión de dicha conducta</w:t>
      </w:r>
      <w:r w:rsidRPr="008F2EB6">
        <w:rPr>
          <w:rFonts w:ascii="Arial" w:hAnsi="Arial" w:cs="Arial"/>
          <w:lang w:eastAsia="es-MX"/>
        </w:rPr>
        <w:t>.</w:t>
      </w:r>
    </w:p>
    <w:p w14:paraId="75787D39" w14:textId="77777777" w:rsidR="00BE0D80" w:rsidRPr="00931D46" w:rsidRDefault="00BE0D80" w:rsidP="00BE0D80">
      <w:pPr>
        <w:spacing w:after="0"/>
        <w:jc w:val="both"/>
        <w:rPr>
          <w:rFonts w:ascii="Arial" w:hAnsi="Arial" w:cs="Arial"/>
        </w:rPr>
      </w:pPr>
    </w:p>
    <w:p w14:paraId="2A68F509" w14:textId="77777777" w:rsidR="00BE0D80" w:rsidRPr="001047F7" w:rsidRDefault="00BE0D80" w:rsidP="00BE0D80">
      <w:pPr>
        <w:pStyle w:val="Ttulo1"/>
        <w:numPr>
          <w:ilvl w:val="0"/>
          <w:numId w:val="5"/>
        </w:numPr>
        <w:spacing w:line="276" w:lineRule="auto"/>
        <w:jc w:val="both"/>
        <w:rPr>
          <w:rFonts w:ascii="Arial" w:hAnsi="Arial" w:cs="Arial"/>
          <w:b w:val="0"/>
          <w:sz w:val="26"/>
          <w:szCs w:val="26"/>
        </w:rPr>
      </w:pPr>
      <w:bookmarkStart w:id="75" w:name="_Toc45216579"/>
      <w:bookmarkStart w:id="76" w:name="_Toc45628340"/>
      <w:bookmarkStart w:id="77" w:name="_Toc85473328"/>
      <w:r w:rsidRPr="001047F7">
        <w:rPr>
          <w:rFonts w:ascii="Arial" w:hAnsi="Arial" w:cs="Arial"/>
          <w:sz w:val="26"/>
          <w:szCs w:val="26"/>
        </w:rPr>
        <w:t>Mercados relacionados</w:t>
      </w:r>
      <w:bookmarkEnd w:id="42"/>
      <w:bookmarkEnd w:id="43"/>
      <w:bookmarkEnd w:id="75"/>
      <w:bookmarkEnd w:id="76"/>
      <w:bookmarkEnd w:id="77"/>
    </w:p>
    <w:p w14:paraId="178D2187" w14:textId="77777777" w:rsidR="00BE0D80" w:rsidRPr="00931D46" w:rsidRDefault="00BE0D80" w:rsidP="00BE0D80">
      <w:pPr>
        <w:keepNext/>
        <w:spacing w:after="0"/>
        <w:jc w:val="both"/>
        <w:rPr>
          <w:rFonts w:ascii="Arial" w:hAnsi="Arial" w:cs="Arial"/>
        </w:rPr>
      </w:pPr>
    </w:p>
    <w:p w14:paraId="1C4C07EB" w14:textId="77777777" w:rsidR="00BE0D80" w:rsidRPr="00507FDD" w:rsidRDefault="00BE0D80" w:rsidP="00BE0D80">
      <w:pPr>
        <w:spacing w:after="0"/>
        <w:jc w:val="both"/>
        <w:rPr>
          <w:rFonts w:ascii="Arial" w:hAnsi="Arial" w:cs="Arial"/>
        </w:rPr>
      </w:pPr>
      <w:r w:rsidRPr="00507FDD">
        <w:rPr>
          <w:rFonts w:ascii="Arial" w:hAnsi="Arial" w:cs="Arial"/>
        </w:rPr>
        <w:t>Aunque la LFCE no contempla una definición para el concepto de mercados relacionados ni contiene criterios que permitan caracterizarlo, prevé la evaluación de éstos en el análisis de PMR (artículo 54) y de concentraciones (artículos 63, 64 y 92 de la LFCE y artículos 7 y 8 del Criterio Técnico).</w:t>
      </w:r>
    </w:p>
    <w:p w14:paraId="2BD88DFA" w14:textId="77777777" w:rsidR="00BE0D80" w:rsidRPr="00507FDD" w:rsidRDefault="00BE0D80" w:rsidP="00BE0D80">
      <w:pPr>
        <w:spacing w:after="0"/>
        <w:jc w:val="both"/>
        <w:rPr>
          <w:rFonts w:ascii="Arial" w:hAnsi="Arial" w:cs="Arial"/>
        </w:rPr>
      </w:pPr>
    </w:p>
    <w:p w14:paraId="2DCB6DDD" w14:textId="77777777" w:rsidR="00BE0D80" w:rsidRPr="00507FDD" w:rsidRDefault="00BE0D80" w:rsidP="00BE0D80">
      <w:pPr>
        <w:spacing w:after="0"/>
        <w:jc w:val="both"/>
        <w:rPr>
          <w:rFonts w:ascii="Arial" w:hAnsi="Arial" w:cs="Arial"/>
        </w:rPr>
      </w:pPr>
      <w:r w:rsidRPr="00507FDD">
        <w:rPr>
          <w:rFonts w:ascii="Arial" w:hAnsi="Arial" w:cs="Arial"/>
        </w:rPr>
        <w:t>Para estos efectos, el artículo 6 de las DRLFCE establece una definición de mercado relacionado y ciertos criterios que podrá considerar el Instituto para su determinación.</w:t>
      </w:r>
    </w:p>
    <w:p w14:paraId="70427A0B" w14:textId="77777777" w:rsidR="00BE0D80" w:rsidRPr="00507FDD" w:rsidRDefault="00BE0D80" w:rsidP="00BE0D80">
      <w:pPr>
        <w:pStyle w:val="Cita"/>
      </w:pPr>
    </w:p>
    <w:p w14:paraId="4150F221" w14:textId="77777777" w:rsidR="00BE0D80" w:rsidRPr="00507FDD" w:rsidRDefault="00BE0D80" w:rsidP="00BE0D80">
      <w:pPr>
        <w:pStyle w:val="Cita"/>
      </w:pPr>
      <w:r w:rsidRPr="00507FDD">
        <w:t xml:space="preserve">“Artículo 6. </w:t>
      </w:r>
      <w:r w:rsidRPr="00507FDD">
        <w:rPr>
          <w:b/>
        </w:rPr>
        <w:t>Son mercados relacionados aquellos que involucran bienes, servicios o áreas geográficas distintas a las que forman parte del mercado relevante</w:t>
      </w:r>
      <w:r w:rsidRPr="00507FDD">
        <w:t>, pero que inciden en o son influidos por las condiciones de competencia y libre concurrencia imperantes en el mismo.</w:t>
      </w:r>
    </w:p>
    <w:p w14:paraId="29C2B8CA" w14:textId="77777777" w:rsidR="008F2EB6" w:rsidRDefault="00BE0D80" w:rsidP="00BE0D80">
      <w:pPr>
        <w:pStyle w:val="Cita"/>
      </w:pPr>
      <w:r w:rsidRPr="00507FDD">
        <w:t xml:space="preserve">Para determinar los mercados relacionados </w:t>
      </w:r>
      <w:r w:rsidRPr="00507FDD">
        <w:rPr>
          <w:b/>
        </w:rPr>
        <w:t>podrán considerarse los bienes o servicios que sean insumos en la cadena de producción, distribución o comercialización; los que sean bienes o servicios complementarios</w:t>
      </w:r>
      <w:r w:rsidRPr="00507FDD">
        <w:t xml:space="preserve"> y, en general, aquellas actividades económicas que incidan o influyan en las condiciones de competencia y libre concurrencia del mercado relevante, o viceversa.” </w:t>
      </w:r>
    </w:p>
    <w:p w14:paraId="5965B8D3" w14:textId="2DC2EB1E" w:rsidR="00BE0D80" w:rsidRPr="00507FDD" w:rsidRDefault="00BE0D80" w:rsidP="00BE0D80">
      <w:pPr>
        <w:pStyle w:val="Cita"/>
        <w:rPr>
          <w:i w:val="0"/>
        </w:rPr>
      </w:pPr>
      <w:r w:rsidRPr="00507FDD">
        <w:rPr>
          <w:i w:val="0"/>
        </w:rPr>
        <w:t>[Énfasis añadido]</w:t>
      </w:r>
    </w:p>
    <w:p w14:paraId="2E705284" w14:textId="77777777" w:rsidR="00BE0D80" w:rsidRPr="00507FDD" w:rsidRDefault="00BE0D80" w:rsidP="00BE0D80">
      <w:pPr>
        <w:spacing w:after="0"/>
        <w:jc w:val="both"/>
        <w:rPr>
          <w:rFonts w:ascii="Arial" w:hAnsi="Arial" w:cs="Arial"/>
        </w:rPr>
      </w:pPr>
    </w:p>
    <w:p w14:paraId="261A5FF5" w14:textId="77777777" w:rsidR="00BE0D80" w:rsidRPr="00507FDD" w:rsidRDefault="00BE0D80" w:rsidP="00BE0D80">
      <w:pPr>
        <w:spacing w:after="0"/>
        <w:jc w:val="both"/>
        <w:rPr>
          <w:rFonts w:ascii="Arial" w:hAnsi="Arial" w:cs="Arial"/>
        </w:rPr>
      </w:pPr>
      <w:r w:rsidRPr="00507FDD">
        <w:rPr>
          <w:rFonts w:ascii="Arial" w:hAnsi="Arial" w:cs="Arial"/>
        </w:rPr>
        <w:t>De acuerdo con lo anterior, en términos generales, los mercados relacionados son aquellos que i) son distintos al MR y ii) se encuentran vinculados con el (los) MR de tal manera que es necesario considerarlos para llevar a cabo una evaluación integral de los efectos en materia de competencia de la práctica u operación analizada.</w:t>
      </w:r>
      <w:r w:rsidRPr="00507FDD" w:rsidDel="00FB0463">
        <w:rPr>
          <w:rFonts w:ascii="Arial" w:hAnsi="Arial" w:cs="Arial"/>
        </w:rPr>
        <w:t xml:space="preserve"> </w:t>
      </w:r>
    </w:p>
    <w:p w14:paraId="5CDFF0DA" w14:textId="77777777" w:rsidR="00BE0D80" w:rsidRPr="00507FDD" w:rsidRDefault="00BE0D80" w:rsidP="00BE0D80">
      <w:pPr>
        <w:spacing w:after="0"/>
        <w:jc w:val="both"/>
        <w:rPr>
          <w:rFonts w:ascii="Arial" w:hAnsi="Arial" w:cs="Arial"/>
        </w:rPr>
      </w:pPr>
    </w:p>
    <w:p w14:paraId="1627B38A" w14:textId="77777777" w:rsidR="00BE0D80" w:rsidRPr="00507FDD"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78" w:name="_Toc38377304"/>
      <w:bookmarkStart w:id="79" w:name="_Toc41649753"/>
      <w:bookmarkStart w:id="80" w:name="_Toc41649894"/>
      <w:bookmarkStart w:id="81" w:name="_Toc42534263"/>
      <w:bookmarkStart w:id="82" w:name="_Toc45216582"/>
      <w:bookmarkStart w:id="83" w:name="_Toc45628343"/>
      <w:bookmarkStart w:id="84" w:name="_Toc85473329"/>
      <w:r w:rsidRPr="00507FDD">
        <w:rPr>
          <w:rFonts w:ascii="Arial" w:eastAsia="Times New Roman" w:hAnsi="Arial" w:cs="Arial"/>
          <w:sz w:val="26"/>
          <w:lang w:eastAsia="es-MX"/>
        </w:rPr>
        <w:t>Precedentes decisorios del Instituto</w:t>
      </w:r>
      <w:bookmarkEnd w:id="78"/>
      <w:bookmarkEnd w:id="79"/>
      <w:bookmarkEnd w:id="80"/>
      <w:bookmarkEnd w:id="81"/>
      <w:bookmarkEnd w:id="82"/>
      <w:bookmarkEnd w:id="83"/>
      <w:bookmarkEnd w:id="84"/>
    </w:p>
    <w:p w14:paraId="0C1F6E88" w14:textId="77777777" w:rsidR="00BE0D80" w:rsidRPr="00507FDD" w:rsidRDefault="00BE0D80" w:rsidP="00BE0D80">
      <w:pPr>
        <w:keepNext/>
        <w:spacing w:after="0"/>
        <w:jc w:val="both"/>
        <w:rPr>
          <w:rFonts w:ascii="Arial" w:hAnsi="Arial" w:cs="Arial"/>
        </w:rPr>
      </w:pPr>
    </w:p>
    <w:p w14:paraId="2CE01021" w14:textId="77777777" w:rsidR="00BE0D80" w:rsidRPr="00507FDD" w:rsidRDefault="00BE0D80" w:rsidP="00BE0D80">
      <w:pPr>
        <w:spacing w:after="0"/>
        <w:jc w:val="both"/>
        <w:rPr>
          <w:rFonts w:ascii="Arial" w:hAnsi="Arial" w:cs="Arial"/>
        </w:rPr>
      </w:pPr>
      <w:r w:rsidRPr="00507FDD">
        <w:rPr>
          <w:rFonts w:ascii="Arial" w:hAnsi="Arial" w:cs="Arial"/>
        </w:rPr>
        <w:t>Se identifica que el Instituto ha determinado los mercados relacionados considerando: i) los productos que son complementos o insumos en la c</w:t>
      </w:r>
      <w:r>
        <w:rPr>
          <w:rFonts w:ascii="Arial" w:hAnsi="Arial" w:cs="Arial"/>
        </w:rPr>
        <w:t xml:space="preserve">adena de producción, distribución y </w:t>
      </w:r>
      <w:r w:rsidRPr="00507FDD">
        <w:rPr>
          <w:rFonts w:ascii="Arial" w:hAnsi="Arial" w:cs="Arial"/>
        </w:rPr>
        <w:t>comercialización de los productos que pertenecen al MR, y ii) las actividades económicas en las que participan los AE, que inciden en las condiciones de competencia y libre concurrencia del MR, o viceversa.</w:t>
      </w:r>
      <w:r w:rsidRPr="00507FDD">
        <w:rPr>
          <w:rFonts w:ascii="Arial" w:eastAsia="Times New Roman" w:hAnsi="Arial" w:cs="Arial"/>
          <w:vertAlign w:val="superscript"/>
          <w:lang w:eastAsia="es-MX"/>
        </w:rPr>
        <w:footnoteReference w:id="74"/>
      </w:r>
    </w:p>
    <w:p w14:paraId="2AD788B9" w14:textId="77777777" w:rsidR="00BE0D80" w:rsidRPr="00507FDD" w:rsidRDefault="00BE0D80" w:rsidP="00BE0D80">
      <w:pPr>
        <w:spacing w:after="0"/>
        <w:jc w:val="both"/>
        <w:rPr>
          <w:rFonts w:ascii="Arial" w:hAnsi="Arial" w:cs="Arial"/>
        </w:rPr>
      </w:pPr>
    </w:p>
    <w:p w14:paraId="29A4E6AB" w14:textId="77777777" w:rsidR="00BE0D80" w:rsidRPr="00507FDD"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85" w:name="_Toc38377305"/>
      <w:bookmarkStart w:id="86" w:name="_Toc41649758"/>
      <w:bookmarkStart w:id="87" w:name="_Toc41649899"/>
      <w:bookmarkStart w:id="88" w:name="_Toc42534264"/>
      <w:bookmarkStart w:id="89" w:name="_Toc45216583"/>
      <w:bookmarkStart w:id="90" w:name="_Toc45628348"/>
      <w:bookmarkStart w:id="91" w:name="_Toc85473330"/>
      <w:r w:rsidRPr="00507FDD">
        <w:rPr>
          <w:rFonts w:ascii="Arial" w:eastAsia="Times New Roman" w:hAnsi="Arial" w:cs="Arial"/>
          <w:sz w:val="26"/>
          <w:lang w:eastAsia="es-MX"/>
        </w:rPr>
        <w:t>Experiencia internacional</w:t>
      </w:r>
      <w:bookmarkEnd w:id="85"/>
      <w:bookmarkEnd w:id="86"/>
      <w:bookmarkEnd w:id="87"/>
      <w:bookmarkEnd w:id="88"/>
      <w:bookmarkEnd w:id="89"/>
      <w:bookmarkEnd w:id="90"/>
      <w:bookmarkEnd w:id="91"/>
    </w:p>
    <w:p w14:paraId="3631F035" w14:textId="77777777" w:rsidR="00BE0D80" w:rsidRPr="00507FDD" w:rsidRDefault="00BE0D80" w:rsidP="00BE0D80">
      <w:pPr>
        <w:pStyle w:val="Prrafodelista"/>
        <w:keepNext/>
        <w:spacing w:after="0"/>
        <w:ind w:left="0"/>
        <w:contextualSpacing w:val="0"/>
        <w:jc w:val="both"/>
        <w:rPr>
          <w:rFonts w:ascii="Arial" w:hAnsi="Arial" w:cs="Arial"/>
        </w:rPr>
      </w:pPr>
    </w:p>
    <w:p w14:paraId="34D90309" w14:textId="77777777" w:rsidR="00BE0D80" w:rsidRPr="00507FDD" w:rsidRDefault="00BE0D80" w:rsidP="00BE0D80">
      <w:pPr>
        <w:pStyle w:val="Prrafodelista"/>
        <w:spacing w:after="0"/>
        <w:ind w:left="0"/>
        <w:contextualSpacing w:val="0"/>
        <w:jc w:val="both"/>
        <w:rPr>
          <w:rFonts w:ascii="Arial" w:hAnsi="Arial" w:cs="Arial"/>
        </w:rPr>
      </w:pPr>
      <w:r w:rsidRPr="00507FDD">
        <w:rPr>
          <w:rFonts w:ascii="Arial" w:hAnsi="Arial" w:cs="Arial"/>
        </w:rPr>
        <w:t>Los principales criterios considerados por las autoridades de competencia de la Unión Europea,</w:t>
      </w:r>
      <w:r w:rsidRPr="00507FDD">
        <w:rPr>
          <w:rStyle w:val="Refdenotaalpie"/>
          <w:rFonts w:ascii="Arial" w:hAnsi="Arial" w:cs="Arial"/>
        </w:rPr>
        <w:footnoteReference w:id="75"/>
      </w:r>
      <w:r w:rsidRPr="00507FDD">
        <w:rPr>
          <w:rFonts w:ascii="Arial" w:hAnsi="Arial" w:cs="Arial"/>
        </w:rPr>
        <w:t xml:space="preserve"> Alemania</w:t>
      </w:r>
      <w:r w:rsidRPr="00507FDD">
        <w:rPr>
          <w:rFonts w:ascii="Arial" w:hAnsi="Arial" w:cs="Arial"/>
          <w:vertAlign w:val="superscript"/>
        </w:rPr>
        <w:footnoteReference w:id="76"/>
      </w:r>
      <w:r w:rsidRPr="00507FDD">
        <w:rPr>
          <w:rFonts w:ascii="Arial" w:hAnsi="Arial" w:cs="Arial"/>
        </w:rPr>
        <w:t xml:space="preserve"> y Estados Unidos de América</w:t>
      </w:r>
      <w:r w:rsidRPr="00507FDD">
        <w:rPr>
          <w:rFonts w:ascii="Arial" w:eastAsia="Times New Roman" w:hAnsi="Arial" w:cs="Arial"/>
          <w:vertAlign w:val="superscript"/>
          <w:lang w:eastAsia="es-MX"/>
        </w:rPr>
        <w:footnoteReference w:id="77"/>
      </w:r>
      <w:r w:rsidRPr="00507FDD">
        <w:rPr>
          <w:rFonts w:ascii="Arial" w:hAnsi="Arial" w:cs="Arial"/>
        </w:rPr>
        <w:t xml:space="preserve"> para identificar mercados relacionados, son los siguientes:</w:t>
      </w:r>
    </w:p>
    <w:p w14:paraId="04564BB0" w14:textId="77777777" w:rsidR="00BE0D80" w:rsidRDefault="00BE0D80" w:rsidP="00BE0D80">
      <w:pPr>
        <w:pStyle w:val="Prrafodelista"/>
        <w:spacing w:after="0"/>
        <w:ind w:left="709"/>
        <w:contextualSpacing w:val="0"/>
        <w:jc w:val="both"/>
        <w:rPr>
          <w:rFonts w:ascii="Arial" w:hAnsi="Arial" w:cs="Arial"/>
        </w:rPr>
      </w:pPr>
    </w:p>
    <w:p w14:paraId="7DA24320" w14:textId="77777777" w:rsidR="00BE0D80" w:rsidRPr="00507FDD" w:rsidRDefault="00BE0D80" w:rsidP="00BE0D80">
      <w:pPr>
        <w:pStyle w:val="Prrafodelista"/>
        <w:numPr>
          <w:ilvl w:val="0"/>
          <w:numId w:val="33"/>
        </w:numPr>
        <w:spacing w:after="0"/>
        <w:ind w:left="709" w:hanging="567"/>
        <w:contextualSpacing w:val="0"/>
        <w:jc w:val="both"/>
        <w:rPr>
          <w:rFonts w:ascii="Arial" w:hAnsi="Arial" w:cs="Arial"/>
        </w:rPr>
      </w:pPr>
      <w:r w:rsidRPr="00507FDD">
        <w:rPr>
          <w:rFonts w:ascii="Arial" w:hAnsi="Arial" w:cs="Arial"/>
        </w:rPr>
        <w:t xml:space="preserve">Los productos complementarios o que forman parte de la cadena de valor de los productos que forman parte del MR, por ejemplo, insumos, canales de distribución y puntos de venta. </w:t>
      </w:r>
    </w:p>
    <w:p w14:paraId="54F61890" w14:textId="77777777" w:rsidR="00BE0D80" w:rsidRDefault="00BE0D80" w:rsidP="00BE0D80">
      <w:pPr>
        <w:pStyle w:val="Prrafodelista"/>
        <w:spacing w:after="0"/>
        <w:ind w:left="709"/>
        <w:contextualSpacing w:val="0"/>
        <w:jc w:val="both"/>
        <w:rPr>
          <w:rFonts w:ascii="Arial" w:hAnsi="Arial" w:cs="Arial"/>
        </w:rPr>
      </w:pPr>
    </w:p>
    <w:p w14:paraId="0019228F" w14:textId="77777777" w:rsidR="00BE0D80" w:rsidRDefault="00BE0D80" w:rsidP="00BE0D80">
      <w:pPr>
        <w:pStyle w:val="Prrafodelista"/>
        <w:numPr>
          <w:ilvl w:val="0"/>
          <w:numId w:val="33"/>
        </w:numPr>
        <w:spacing w:after="0"/>
        <w:ind w:left="709" w:hanging="567"/>
        <w:contextualSpacing w:val="0"/>
        <w:jc w:val="both"/>
        <w:rPr>
          <w:rFonts w:ascii="Arial" w:hAnsi="Arial" w:cs="Arial"/>
        </w:rPr>
      </w:pPr>
      <w:r w:rsidRPr="00507FDD">
        <w:rPr>
          <w:rFonts w:ascii="Arial" w:hAnsi="Arial" w:cs="Arial"/>
        </w:rPr>
        <w:t>Productos que pueden ser considerados, por parte de la oferta o la demanda, como complementos o sustitutos imperfectos del producto del MR.</w:t>
      </w:r>
    </w:p>
    <w:p w14:paraId="5F4F7E0C" w14:textId="77777777" w:rsidR="00BE0D80" w:rsidRPr="00507FDD" w:rsidRDefault="00BE0D80" w:rsidP="00BE0D80">
      <w:pPr>
        <w:pStyle w:val="Prrafodelista"/>
        <w:spacing w:after="0"/>
        <w:ind w:left="709"/>
        <w:contextualSpacing w:val="0"/>
        <w:jc w:val="both"/>
        <w:rPr>
          <w:rFonts w:ascii="Arial" w:hAnsi="Arial" w:cs="Arial"/>
        </w:rPr>
      </w:pPr>
    </w:p>
    <w:p w14:paraId="07A371C0" w14:textId="77777777" w:rsidR="00BE0D80" w:rsidRPr="00507FDD" w:rsidRDefault="00BE0D80" w:rsidP="00BE0D80">
      <w:pPr>
        <w:spacing w:after="0"/>
        <w:jc w:val="both"/>
        <w:rPr>
          <w:rFonts w:ascii="Arial" w:hAnsi="Arial" w:cs="Arial"/>
        </w:rPr>
      </w:pPr>
      <w:r w:rsidRPr="00507FDD">
        <w:rPr>
          <w:rFonts w:ascii="Arial" w:hAnsi="Arial" w:cs="Arial"/>
        </w:rPr>
        <w:t>No se identifica que en la determinación de los mercados relacionados se sigan criterios distintos a los que se siguen para determinar el MR.</w:t>
      </w:r>
    </w:p>
    <w:p w14:paraId="244F7645" w14:textId="77777777" w:rsidR="00BE0D80" w:rsidRPr="00507FDD" w:rsidRDefault="00BE0D80" w:rsidP="00BE0D80">
      <w:pPr>
        <w:spacing w:after="0"/>
        <w:jc w:val="both"/>
        <w:rPr>
          <w:rFonts w:ascii="Arial" w:hAnsi="Arial" w:cs="Arial"/>
        </w:rPr>
      </w:pPr>
    </w:p>
    <w:p w14:paraId="1778EC4B" w14:textId="77777777" w:rsidR="00BE0D80" w:rsidRPr="00507FDD"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92" w:name="_Toc64495281"/>
      <w:bookmarkStart w:id="93" w:name="_Toc64495282"/>
      <w:bookmarkStart w:id="94" w:name="_Toc41649762"/>
      <w:bookmarkStart w:id="95" w:name="_Toc41649903"/>
      <w:bookmarkStart w:id="96" w:name="_Toc42534265"/>
      <w:bookmarkStart w:id="97" w:name="_Toc45216584"/>
      <w:bookmarkStart w:id="98" w:name="_Toc45628353"/>
      <w:bookmarkStart w:id="99" w:name="_Toc85473331"/>
      <w:bookmarkEnd w:id="92"/>
      <w:bookmarkEnd w:id="93"/>
      <w:r>
        <w:rPr>
          <w:rFonts w:ascii="Arial" w:eastAsia="Times New Roman" w:hAnsi="Arial" w:cs="Arial"/>
          <w:sz w:val="26"/>
          <w:lang w:eastAsia="es-MX"/>
        </w:rPr>
        <w:t>E</w:t>
      </w:r>
      <w:r w:rsidRPr="00507FDD">
        <w:rPr>
          <w:rFonts w:ascii="Arial" w:eastAsia="Times New Roman" w:hAnsi="Arial" w:cs="Arial"/>
          <w:sz w:val="26"/>
          <w:lang w:eastAsia="es-MX"/>
        </w:rPr>
        <w:t>lementos para determinar mercados relacionados</w:t>
      </w:r>
      <w:bookmarkEnd w:id="94"/>
      <w:bookmarkEnd w:id="95"/>
      <w:bookmarkEnd w:id="96"/>
      <w:bookmarkEnd w:id="97"/>
      <w:bookmarkEnd w:id="98"/>
      <w:bookmarkEnd w:id="99"/>
    </w:p>
    <w:p w14:paraId="150DA7B4" w14:textId="77777777" w:rsidR="00BE0D80" w:rsidRPr="00507FDD" w:rsidRDefault="00BE0D80" w:rsidP="00BE0D80">
      <w:pPr>
        <w:keepNext/>
        <w:spacing w:after="0"/>
        <w:jc w:val="both"/>
        <w:rPr>
          <w:rFonts w:ascii="Arial" w:hAnsi="Arial" w:cs="Arial"/>
        </w:rPr>
      </w:pPr>
    </w:p>
    <w:p w14:paraId="47E76F8B" w14:textId="77777777" w:rsidR="00BE0D80" w:rsidRPr="00507FDD" w:rsidRDefault="00BE0D80" w:rsidP="00BE0D80">
      <w:pPr>
        <w:spacing w:after="0"/>
        <w:jc w:val="both"/>
        <w:rPr>
          <w:rFonts w:ascii="Arial" w:hAnsi="Arial" w:cs="Arial"/>
        </w:rPr>
      </w:pPr>
      <w:r w:rsidRPr="00507FDD">
        <w:rPr>
          <w:rFonts w:ascii="Arial" w:hAnsi="Arial" w:cs="Arial"/>
        </w:rPr>
        <w:t>El Instituto podrá considerar como mercados relacionados aquellos que comprendan:</w:t>
      </w:r>
    </w:p>
    <w:p w14:paraId="14AF0875" w14:textId="77777777" w:rsidR="00BE0D80" w:rsidRDefault="00BE0D80" w:rsidP="00BE0D80">
      <w:pPr>
        <w:pStyle w:val="Prrafodelista"/>
        <w:spacing w:after="0"/>
        <w:contextualSpacing w:val="0"/>
        <w:jc w:val="both"/>
        <w:rPr>
          <w:rFonts w:ascii="Arial" w:hAnsi="Arial" w:cs="Arial"/>
        </w:rPr>
      </w:pPr>
    </w:p>
    <w:p w14:paraId="19E425A1" w14:textId="77777777" w:rsidR="00BE0D80" w:rsidRPr="00507FDD" w:rsidRDefault="00BE0D80" w:rsidP="00BE0D80">
      <w:pPr>
        <w:pStyle w:val="Prrafodelista"/>
        <w:numPr>
          <w:ilvl w:val="0"/>
          <w:numId w:val="8"/>
        </w:numPr>
        <w:spacing w:after="0"/>
        <w:ind w:hanging="578"/>
        <w:contextualSpacing w:val="0"/>
        <w:jc w:val="both"/>
        <w:rPr>
          <w:rFonts w:ascii="Arial" w:hAnsi="Arial" w:cs="Arial"/>
        </w:rPr>
      </w:pPr>
      <w:r w:rsidRPr="00507FDD">
        <w:rPr>
          <w:rFonts w:ascii="Arial" w:hAnsi="Arial" w:cs="Arial"/>
        </w:rPr>
        <w:t xml:space="preserve">Productos que sean insumos en la cadena de producción, distribución o comercialización asociada a un MR; </w:t>
      </w:r>
    </w:p>
    <w:p w14:paraId="60846302" w14:textId="77777777" w:rsidR="00BE0D80" w:rsidRDefault="00BE0D80" w:rsidP="00BE0D80">
      <w:pPr>
        <w:pStyle w:val="Prrafodelista"/>
        <w:spacing w:after="0"/>
        <w:contextualSpacing w:val="0"/>
        <w:jc w:val="both"/>
        <w:rPr>
          <w:rFonts w:ascii="Arial" w:hAnsi="Arial" w:cs="Arial"/>
        </w:rPr>
      </w:pPr>
    </w:p>
    <w:p w14:paraId="51D7358B" w14:textId="77777777" w:rsidR="00BE0D80" w:rsidRPr="00507FDD" w:rsidRDefault="00BE0D80" w:rsidP="00BE0D80">
      <w:pPr>
        <w:pStyle w:val="Prrafodelista"/>
        <w:numPr>
          <w:ilvl w:val="0"/>
          <w:numId w:val="8"/>
        </w:numPr>
        <w:spacing w:after="0"/>
        <w:ind w:hanging="578"/>
        <w:contextualSpacing w:val="0"/>
        <w:jc w:val="both"/>
        <w:rPr>
          <w:rFonts w:ascii="Arial" w:hAnsi="Arial" w:cs="Arial"/>
        </w:rPr>
      </w:pPr>
      <w:r w:rsidRPr="00507FDD">
        <w:rPr>
          <w:rFonts w:ascii="Arial" w:hAnsi="Arial" w:cs="Arial"/>
        </w:rPr>
        <w:t>Productos complementarios a los productos que forman parte del MR;</w:t>
      </w:r>
    </w:p>
    <w:p w14:paraId="482DEBF7" w14:textId="77777777" w:rsidR="00BE0D80" w:rsidRDefault="00BE0D80" w:rsidP="00BE0D80">
      <w:pPr>
        <w:pStyle w:val="Prrafodelista"/>
        <w:spacing w:after="0"/>
        <w:contextualSpacing w:val="0"/>
        <w:jc w:val="both"/>
        <w:rPr>
          <w:rFonts w:ascii="Arial" w:hAnsi="Arial" w:cs="Arial"/>
        </w:rPr>
      </w:pPr>
    </w:p>
    <w:p w14:paraId="24C22DBC" w14:textId="77777777" w:rsidR="00BE0D80" w:rsidRPr="00507FDD" w:rsidRDefault="00BE0D80" w:rsidP="00BE0D80">
      <w:pPr>
        <w:pStyle w:val="Prrafodelista"/>
        <w:numPr>
          <w:ilvl w:val="0"/>
          <w:numId w:val="8"/>
        </w:numPr>
        <w:spacing w:after="0"/>
        <w:ind w:hanging="578"/>
        <w:contextualSpacing w:val="0"/>
        <w:jc w:val="both"/>
        <w:rPr>
          <w:rFonts w:ascii="Arial" w:hAnsi="Arial" w:cs="Arial"/>
        </w:rPr>
      </w:pPr>
      <w:r w:rsidRPr="00507FDD">
        <w:rPr>
          <w:rFonts w:ascii="Arial" w:hAnsi="Arial" w:cs="Arial"/>
        </w:rPr>
        <w:t>Actividades económicas que incidan o influyan en las condiciones de competencia y libre concurrencia del MR, o viceversa.</w:t>
      </w:r>
    </w:p>
    <w:p w14:paraId="48615851" w14:textId="77777777" w:rsidR="00BE0D80" w:rsidRDefault="00BE0D80" w:rsidP="00BE0D80">
      <w:pPr>
        <w:spacing w:after="0"/>
        <w:jc w:val="both"/>
        <w:rPr>
          <w:rFonts w:ascii="Arial" w:hAnsi="Arial" w:cs="Arial"/>
        </w:rPr>
      </w:pPr>
    </w:p>
    <w:p w14:paraId="5985FF27" w14:textId="77777777" w:rsidR="00BE0D80" w:rsidRPr="00777DBE" w:rsidRDefault="00BE0D80" w:rsidP="00BE0D80">
      <w:pPr>
        <w:spacing w:after="0"/>
        <w:jc w:val="both"/>
        <w:rPr>
          <w:rFonts w:ascii="Arial" w:hAnsi="Arial" w:cs="Arial"/>
        </w:rPr>
      </w:pPr>
      <w:r w:rsidRPr="00777DBE">
        <w:rPr>
          <w:rFonts w:ascii="Arial" w:hAnsi="Arial" w:cs="Arial"/>
        </w:rPr>
        <w:t>Cuando se considere necesario definir mercados relacionados en un procedimiento particular, se podrán delimitar tomando en consideración los mismos criterios que para la determinación de MR.</w:t>
      </w:r>
    </w:p>
    <w:p w14:paraId="049A724F" w14:textId="77777777" w:rsidR="00BE0D80" w:rsidRPr="00931D46" w:rsidRDefault="00BE0D80" w:rsidP="00BE0D80">
      <w:pPr>
        <w:pStyle w:val="Ttulo1"/>
        <w:numPr>
          <w:ilvl w:val="0"/>
          <w:numId w:val="5"/>
        </w:numPr>
        <w:spacing w:line="276" w:lineRule="auto"/>
        <w:jc w:val="both"/>
        <w:rPr>
          <w:rFonts w:ascii="Arial" w:hAnsi="Arial" w:cs="Arial"/>
          <w:b w:val="0"/>
          <w:sz w:val="26"/>
          <w:szCs w:val="26"/>
        </w:rPr>
      </w:pPr>
      <w:bookmarkStart w:id="100" w:name="_Toc41649767"/>
      <w:bookmarkStart w:id="101" w:name="_Toc41649908"/>
      <w:bookmarkStart w:id="102" w:name="_Toc45216585"/>
      <w:bookmarkStart w:id="103" w:name="_Toc45628354"/>
      <w:bookmarkStart w:id="104" w:name="_Toc85473332"/>
      <w:r w:rsidRPr="00931D46">
        <w:rPr>
          <w:rFonts w:ascii="Arial" w:hAnsi="Arial" w:cs="Arial"/>
          <w:sz w:val="26"/>
          <w:szCs w:val="26"/>
        </w:rPr>
        <w:t xml:space="preserve">Temas </w:t>
      </w:r>
      <w:r>
        <w:rPr>
          <w:rFonts w:ascii="Arial" w:hAnsi="Arial" w:cs="Arial"/>
          <w:sz w:val="26"/>
          <w:szCs w:val="26"/>
        </w:rPr>
        <w:t>recurrentes en</w:t>
      </w:r>
      <w:r w:rsidRPr="00931D46">
        <w:rPr>
          <w:rFonts w:ascii="Arial" w:hAnsi="Arial" w:cs="Arial"/>
          <w:sz w:val="26"/>
          <w:szCs w:val="26"/>
        </w:rPr>
        <w:t xml:space="preserve"> los sectores de TyR</w:t>
      </w:r>
      <w:bookmarkEnd w:id="100"/>
      <w:bookmarkEnd w:id="101"/>
      <w:bookmarkEnd w:id="102"/>
      <w:bookmarkEnd w:id="103"/>
      <w:bookmarkEnd w:id="104"/>
    </w:p>
    <w:p w14:paraId="341FECD5" w14:textId="77777777" w:rsidR="00BE0D80" w:rsidRPr="00931D46" w:rsidRDefault="00BE0D80" w:rsidP="00BE0D80">
      <w:pPr>
        <w:keepNext/>
        <w:spacing w:after="0"/>
        <w:jc w:val="both"/>
        <w:rPr>
          <w:rFonts w:ascii="Arial" w:hAnsi="Arial" w:cs="Arial"/>
        </w:rPr>
      </w:pPr>
    </w:p>
    <w:p w14:paraId="47CD80B1"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105" w:name="_Toc41649769"/>
      <w:bookmarkStart w:id="106" w:name="_Toc41649910"/>
      <w:bookmarkStart w:id="107" w:name="_Toc45216587"/>
      <w:bookmarkStart w:id="108" w:name="_Toc45628360"/>
      <w:bookmarkStart w:id="109" w:name="_Toc85473333"/>
      <w:r w:rsidRPr="00931D46">
        <w:rPr>
          <w:rFonts w:ascii="Arial" w:eastAsia="Times New Roman" w:hAnsi="Arial" w:cs="Arial"/>
          <w:sz w:val="26"/>
          <w:lang w:eastAsia="es-MX"/>
        </w:rPr>
        <w:t>Integración vertical</w:t>
      </w:r>
      <w:bookmarkEnd w:id="105"/>
      <w:bookmarkEnd w:id="106"/>
      <w:bookmarkEnd w:id="107"/>
      <w:bookmarkEnd w:id="108"/>
      <w:bookmarkEnd w:id="109"/>
    </w:p>
    <w:p w14:paraId="31CEF3EC" w14:textId="77777777" w:rsidR="00BE0D80" w:rsidRPr="005F4E08" w:rsidRDefault="00BE0D80" w:rsidP="00BE0D80">
      <w:pPr>
        <w:keepNext/>
        <w:spacing w:after="0"/>
        <w:jc w:val="both"/>
        <w:rPr>
          <w:rFonts w:ascii="Arial" w:hAnsi="Arial" w:cs="Arial"/>
        </w:rPr>
      </w:pPr>
      <w:bookmarkStart w:id="110" w:name="_Toc41649782"/>
      <w:bookmarkStart w:id="111" w:name="_Toc41649915"/>
    </w:p>
    <w:p w14:paraId="6B70749B" w14:textId="2466F4F7" w:rsidR="00BE0D80" w:rsidRPr="0007382E" w:rsidRDefault="00BE0D80" w:rsidP="00BE0D80">
      <w:pPr>
        <w:spacing w:after="0"/>
        <w:jc w:val="both"/>
        <w:rPr>
          <w:rFonts w:ascii="Arial" w:hAnsi="Arial" w:cs="Arial"/>
        </w:rPr>
      </w:pPr>
      <w:r w:rsidRPr="0007382E">
        <w:rPr>
          <w:rFonts w:ascii="Arial" w:hAnsi="Arial" w:cs="Arial"/>
        </w:rPr>
        <w:t>En los sectores de TyR es común observar mercados en los que un AE provee algún insumo (aguas arriba), para él mismo (autoabastecimiento) y/o para que otros AE lo utilicen para pr</w:t>
      </w:r>
      <w:r>
        <w:rPr>
          <w:rFonts w:ascii="Arial" w:hAnsi="Arial" w:cs="Arial"/>
        </w:rPr>
        <w:t>oveer un producto</w:t>
      </w:r>
      <w:r w:rsidRPr="0007382E">
        <w:rPr>
          <w:rFonts w:ascii="Arial" w:hAnsi="Arial" w:cs="Arial"/>
        </w:rPr>
        <w:t xml:space="preserve"> en una fase posterior de la cadena de valor (aguas abajo).</w:t>
      </w:r>
      <w:r w:rsidRPr="0007382E">
        <w:rPr>
          <w:rStyle w:val="Refdenotaalpie"/>
          <w:rFonts w:ascii="Arial" w:hAnsi="Arial" w:cs="Arial"/>
        </w:rPr>
        <w:footnoteReference w:id="78"/>
      </w:r>
      <w:r w:rsidRPr="0007382E">
        <w:rPr>
          <w:rFonts w:ascii="Arial" w:hAnsi="Arial" w:cs="Arial"/>
        </w:rPr>
        <w:t xml:space="preserve"> Estos mercados ascendentes y descendentes, también conocidos como mayoristas y minoristas, respectivamente, se relacionan de diversas maneras</w:t>
      </w:r>
      <w:r w:rsidR="00125789">
        <w:rPr>
          <w:rFonts w:ascii="Arial" w:hAnsi="Arial" w:cs="Arial"/>
        </w:rPr>
        <w:t>.</w:t>
      </w:r>
      <w:r w:rsidRPr="0007382E">
        <w:rPr>
          <w:rFonts w:ascii="Arial" w:hAnsi="Arial" w:cs="Arial"/>
        </w:rPr>
        <w:t xml:space="preserve"> </w:t>
      </w:r>
      <w:r w:rsidR="00125789">
        <w:rPr>
          <w:rFonts w:ascii="Arial" w:hAnsi="Arial" w:cs="Arial"/>
        </w:rPr>
        <w:t>P</w:t>
      </w:r>
      <w:r w:rsidRPr="0007382E">
        <w:rPr>
          <w:rFonts w:ascii="Arial" w:hAnsi="Arial" w:cs="Arial"/>
        </w:rPr>
        <w:t>or ejemplo, un solo mercado mayorista puede proporcionar insumos a varios mercados minoristas y los mercados minoristas pueden requerir insumos de varios mercados mayoristas. La OCDE ha señalado que la demanda aguas arriba es una demanda derivada de la demanda del producto aguas abajo.</w:t>
      </w:r>
      <w:r w:rsidRPr="0007382E">
        <w:rPr>
          <w:rStyle w:val="Refdenotaalpie"/>
          <w:rFonts w:ascii="Arial" w:hAnsi="Arial" w:cs="Arial"/>
        </w:rPr>
        <w:footnoteReference w:id="79"/>
      </w:r>
    </w:p>
    <w:p w14:paraId="54365046" w14:textId="77777777" w:rsidR="00BE0D80" w:rsidRDefault="00BE0D80" w:rsidP="00BE0D80">
      <w:pPr>
        <w:spacing w:after="0"/>
        <w:jc w:val="both"/>
        <w:rPr>
          <w:rFonts w:ascii="Arial" w:hAnsi="Arial" w:cs="Arial"/>
        </w:rPr>
      </w:pPr>
    </w:p>
    <w:p w14:paraId="7AAF4F85" w14:textId="77777777" w:rsidR="00BE0D80" w:rsidRPr="0007382E" w:rsidRDefault="00BE0D80" w:rsidP="00BE0D80">
      <w:pPr>
        <w:spacing w:after="0"/>
        <w:jc w:val="both"/>
        <w:rPr>
          <w:rFonts w:ascii="Arial" w:hAnsi="Arial" w:cs="Arial"/>
        </w:rPr>
      </w:pPr>
      <w:r w:rsidRPr="0007382E">
        <w:rPr>
          <w:rFonts w:ascii="Arial" w:hAnsi="Arial" w:cs="Arial"/>
        </w:rPr>
        <w:t xml:space="preserve">Cuando un AE participa tanto en mercados aguas arriba como en mercados aguas abajo, se dice que está integrado verticalmente. La ICN define las concentraciones verticales como operaciones entre </w:t>
      </w:r>
      <w:r w:rsidRPr="0007382E">
        <w:rPr>
          <w:rFonts w:ascii="Arial" w:hAnsi="Arial" w:cs="Arial"/>
          <w:i/>
        </w:rPr>
        <w:t>“una empresa que opera aguas arriba y aguas abajo en diferentes niveles de la cadena de suministro de un mismo bien o servicio.”</w:t>
      </w:r>
      <w:r w:rsidRPr="0007382E">
        <w:rPr>
          <w:rFonts w:ascii="Arial" w:hAnsi="Arial" w:cs="Arial"/>
          <w:vertAlign w:val="superscript"/>
        </w:rPr>
        <w:t xml:space="preserve"> </w:t>
      </w:r>
      <w:r w:rsidRPr="0007382E">
        <w:rPr>
          <w:rFonts w:ascii="Arial" w:hAnsi="Arial" w:cs="Arial"/>
          <w:vertAlign w:val="superscript"/>
          <w:lang w:val="en-US"/>
        </w:rPr>
        <w:footnoteReference w:id="80"/>
      </w:r>
      <w:r w:rsidRPr="0007382E">
        <w:rPr>
          <w:rFonts w:ascii="Arial" w:hAnsi="Arial" w:cs="Arial"/>
        </w:rPr>
        <w:t xml:space="preserve"> </w:t>
      </w:r>
    </w:p>
    <w:p w14:paraId="328AA4BE" w14:textId="77777777" w:rsidR="00BE0D80" w:rsidRPr="0007382E" w:rsidRDefault="00BE0D80" w:rsidP="00BE0D80">
      <w:pPr>
        <w:spacing w:after="0"/>
        <w:jc w:val="both"/>
        <w:rPr>
          <w:rFonts w:ascii="Arial" w:hAnsi="Arial" w:cs="Arial"/>
        </w:rPr>
      </w:pPr>
    </w:p>
    <w:p w14:paraId="0BDED795" w14:textId="77777777" w:rsidR="00BE0D80" w:rsidRPr="0007382E" w:rsidRDefault="00BE0D80" w:rsidP="00BE0D80">
      <w:pPr>
        <w:spacing w:after="0"/>
        <w:jc w:val="both"/>
        <w:rPr>
          <w:rFonts w:ascii="Arial" w:hAnsi="Arial" w:cs="Arial"/>
        </w:rPr>
      </w:pPr>
      <w:r w:rsidRPr="0007382E">
        <w:rPr>
          <w:rFonts w:ascii="Arial" w:hAnsi="Arial" w:cs="Arial"/>
        </w:rPr>
        <w:t>Cuando un AE está integrado verticalmente, internaliza el control de las decisiones de producción y distribución de una misma cadena de valor</w:t>
      </w:r>
      <w:r w:rsidRPr="0007382E">
        <w:rPr>
          <w:rFonts w:ascii="Arial" w:hAnsi="Arial" w:cs="Arial"/>
          <w:iCs/>
        </w:rPr>
        <w:t>.</w:t>
      </w:r>
      <w:r w:rsidRPr="0007382E">
        <w:rPr>
          <w:rStyle w:val="Refdenotaalpie"/>
          <w:rFonts w:ascii="Arial" w:hAnsi="Arial" w:cs="Arial"/>
          <w:color w:val="000000"/>
        </w:rPr>
        <w:footnoteReference w:id="81"/>
      </w:r>
      <w:r w:rsidRPr="0007382E">
        <w:rPr>
          <w:rFonts w:ascii="Arial" w:hAnsi="Arial" w:cs="Arial"/>
          <w:iCs/>
        </w:rPr>
        <w:t xml:space="preserve"> </w:t>
      </w:r>
      <w:r w:rsidRPr="0007382E">
        <w:rPr>
          <w:rFonts w:ascii="Arial" w:hAnsi="Arial" w:cs="Arial"/>
        </w:rPr>
        <w:t xml:space="preserve">En consecuencia, una integración vertical puede impactar la competencia en distintas fases de una misma cadena de valor, por lo que su evaluación debe considerar sus efectos en, al menos, cada una de las distintas fases en las que tiene efectos. </w:t>
      </w:r>
    </w:p>
    <w:p w14:paraId="7F011856" w14:textId="77777777" w:rsidR="00BE0D80" w:rsidRPr="0007382E" w:rsidRDefault="00BE0D80" w:rsidP="00BE0D80">
      <w:pPr>
        <w:spacing w:after="0"/>
        <w:jc w:val="both"/>
        <w:rPr>
          <w:rFonts w:ascii="Arial" w:hAnsi="Arial" w:cs="Arial"/>
        </w:rPr>
      </w:pPr>
    </w:p>
    <w:p w14:paraId="680F97B2" w14:textId="77777777" w:rsidR="00BE0D80" w:rsidRPr="00931D46" w:rsidRDefault="00BE0D80" w:rsidP="00BE0D80">
      <w:pPr>
        <w:spacing w:after="0"/>
        <w:jc w:val="both"/>
        <w:rPr>
          <w:rFonts w:ascii="Arial" w:hAnsi="Arial" w:cs="Arial"/>
        </w:rPr>
      </w:pPr>
      <w:r w:rsidRPr="0007382E">
        <w:rPr>
          <w:rFonts w:ascii="Arial" w:hAnsi="Arial" w:cs="Arial"/>
        </w:rPr>
        <w:t>Para ello, en la práctica de competencia nacional e internacional usualmente se definen distintos MR, los cuales id</w:t>
      </w:r>
      <w:r>
        <w:rPr>
          <w:rFonts w:ascii="Arial" w:hAnsi="Arial" w:cs="Arial"/>
        </w:rPr>
        <w:t xml:space="preserve">entifican la fase de producción o </w:t>
      </w:r>
      <w:r w:rsidRPr="0007382E">
        <w:rPr>
          <w:rFonts w:ascii="Arial" w:hAnsi="Arial" w:cs="Arial"/>
        </w:rPr>
        <w:t>distribución a la que corresponden; comprenden mercados aguas arriba (provisión de insumos, mercados mayoristas) y mercado</w:t>
      </w:r>
      <w:r>
        <w:rPr>
          <w:rFonts w:ascii="Arial" w:hAnsi="Arial" w:cs="Arial"/>
        </w:rPr>
        <w:t xml:space="preserve">s aguas abajo (venta a usuarios o </w:t>
      </w:r>
      <w:r w:rsidRPr="0007382E">
        <w:rPr>
          <w:rFonts w:ascii="Arial" w:hAnsi="Arial" w:cs="Arial"/>
        </w:rPr>
        <w:t xml:space="preserve">consumidores finales, mercados minoristas). Asimismo, se identifica que la </w:t>
      </w:r>
      <w:r w:rsidRPr="0007382E">
        <w:rPr>
          <w:rFonts w:ascii="Arial" w:hAnsi="Arial" w:cs="Arial"/>
        </w:rPr>
        <w:lastRenderedPageBreak/>
        <w:t xml:space="preserve">delimitación de los MR minoristas puede tener un impacto en la delimitación de los MR mayoristas (restricciones indirectas). </w:t>
      </w:r>
    </w:p>
    <w:p w14:paraId="393B7CA1" w14:textId="77777777" w:rsidR="00BE0D80" w:rsidRPr="00931D46" w:rsidRDefault="00BE0D80" w:rsidP="00BE0D80">
      <w:pPr>
        <w:spacing w:after="0"/>
        <w:jc w:val="both"/>
        <w:rPr>
          <w:rFonts w:ascii="Arial" w:hAnsi="Arial" w:cs="Arial"/>
        </w:rPr>
      </w:pPr>
    </w:p>
    <w:p w14:paraId="3A28F4B8"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12" w:name="_Toc41649771"/>
      <w:bookmarkStart w:id="113" w:name="_Toc41649912"/>
      <w:bookmarkStart w:id="114" w:name="_Toc45628362"/>
      <w:bookmarkStart w:id="115" w:name="_Toc39855719"/>
      <w:r w:rsidRPr="00931D46">
        <w:rPr>
          <w:rFonts w:ascii="Arial" w:eastAsia="Times New Roman" w:hAnsi="Arial" w:cs="Arial"/>
          <w:sz w:val="26"/>
          <w:szCs w:val="26"/>
          <w:lang w:eastAsia="es-MX"/>
        </w:rPr>
        <w:t>Precedentes decisorios del Instituto</w:t>
      </w:r>
      <w:bookmarkEnd w:id="112"/>
      <w:bookmarkEnd w:id="113"/>
      <w:bookmarkEnd w:id="114"/>
      <w:r w:rsidRPr="00931D46">
        <w:rPr>
          <w:rFonts w:ascii="Arial" w:eastAsia="Times New Roman" w:hAnsi="Arial" w:cs="Arial"/>
          <w:sz w:val="26"/>
          <w:szCs w:val="26"/>
          <w:lang w:eastAsia="es-MX"/>
        </w:rPr>
        <w:t xml:space="preserve"> </w:t>
      </w:r>
      <w:bookmarkEnd w:id="115"/>
    </w:p>
    <w:p w14:paraId="50411494" w14:textId="77777777" w:rsidR="00BE0D80" w:rsidRPr="00931D46" w:rsidRDefault="00BE0D80" w:rsidP="00BE0D80">
      <w:pPr>
        <w:keepNext/>
        <w:spacing w:after="0"/>
        <w:jc w:val="both"/>
        <w:rPr>
          <w:rFonts w:ascii="Arial" w:hAnsi="Arial" w:cs="Arial"/>
        </w:rPr>
      </w:pPr>
    </w:p>
    <w:p w14:paraId="6BBF5485" w14:textId="77777777" w:rsidR="00BE0D80" w:rsidRPr="00931D46" w:rsidRDefault="00BE0D80" w:rsidP="00BE0D80">
      <w:pPr>
        <w:spacing w:after="0"/>
        <w:jc w:val="both"/>
        <w:rPr>
          <w:rFonts w:ascii="Arial" w:hAnsi="Arial" w:cs="Arial"/>
        </w:rPr>
      </w:pPr>
      <w:r>
        <w:rPr>
          <w:rFonts w:ascii="Arial" w:hAnsi="Arial" w:cs="Arial"/>
        </w:rPr>
        <w:t>E</w:t>
      </w:r>
      <w:r w:rsidRPr="00931D46">
        <w:rPr>
          <w:rFonts w:ascii="Arial" w:hAnsi="Arial" w:cs="Arial"/>
        </w:rPr>
        <w:t>l Instituto</w:t>
      </w:r>
      <w:r>
        <w:rPr>
          <w:rFonts w:ascii="Arial" w:hAnsi="Arial" w:cs="Arial"/>
        </w:rPr>
        <w:t xml:space="preserve"> ha analizado diversos casos</w:t>
      </w:r>
      <w:r w:rsidRPr="0043538A">
        <w:rPr>
          <w:rFonts w:ascii="Arial" w:eastAsia="Times New Roman" w:hAnsi="Arial" w:cs="Arial"/>
          <w:vertAlign w:val="superscript"/>
          <w:lang w:eastAsia="es-MX"/>
        </w:rPr>
        <w:footnoteReference w:id="82"/>
      </w:r>
      <w:r>
        <w:rPr>
          <w:rFonts w:ascii="Arial" w:hAnsi="Arial" w:cs="Arial"/>
        </w:rPr>
        <w:t xml:space="preserve"> que involucran integraciones verticales. E</w:t>
      </w:r>
      <w:r w:rsidRPr="00931D46">
        <w:rPr>
          <w:rFonts w:ascii="Arial" w:hAnsi="Arial" w:cs="Arial"/>
        </w:rPr>
        <w:t xml:space="preserve">l análisis </w:t>
      </w:r>
      <w:r>
        <w:rPr>
          <w:rFonts w:ascii="Arial" w:hAnsi="Arial" w:cs="Arial"/>
        </w:rPr>
        <w:t xml:space="preserve">en dichos casos </w:t>
      </w:r>
      <w:r w:rsidRPr="00931D46">
        <w:rPr>
          <w:rFonts w:ascii="Arial" w:hAnsi="Arial" w:cs="Arial"/>
        </w:rPr>
        <w:t xml:space="preserve">se </w:t>
      </w:r>
      <w:r>
        <w:rPr>
          <w:rFonts w:ascii="Arial" w:hAnsi="Arial" w:cs="Arial"/>
        </w:rPr>
        <w:t xml:space="preserve">ha </w:t>
      </w:r>
      <w:r w:rsidRPr="00931D46">
        <w:rPr>
          <w:rFonts w:ascii="Arial" w:hAnsi="Arial" w:cs="Arial"/>
        </w:rPr>
        <w:t>centra</w:t>
      </w:r>
      <w:r>
        <w:rPr>
          <w:rFonts w:ascii="Arial" w:hAnsi="Arial" w:cs="Arial"/>
        </w:rPr>
        <w:t>do</w:t>
      </w:r>
      <w:r w:rsidRPr="00931D46">
        <w:rPr>
          <w:rFonts w:ascii="Arial" w:hAnsi="Arial" w:cs="Arial"/>
        </w:rPr>
        <w:t xml:space="preserve"> en identificar la cadena de valor y observar la posición relativa que tienen los AE en alguno de los mercados que la integran, a fin de evaluar cómo puede influir dicha situación en otros mercados que forman parte de la misma cadena de valor, en los que también participan.</w:t>
      </w:r>
    </w:p>
    <w:p w14:paraId="261A5B98" w14:textId="77777777" w:rsidR="00BE0D80" w:rsidRPr="00931D46" w:rsidRDefault="00BE0D80" w:rsidP="00BE0D80">
      <w:pPr>
        <w:spacing w:after="0"/>
        <w:jc w:val="both"/>
        <w:rPr>
          <w:rFonts w:ascii="Arial" w:hAnsi="Arial" w:cs="Arial"/>
        </w:rPr>
      </w:pPr>
    </w:p>
    <w:p w14:paraId="5C3891A3"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16" w:name="_Toc39855722"/>
      <w:bookmarkStart w:id="117" w:name="_Toc41649774"/>
      <w:bookmarkStart w:id="118" w:name="_Toc41649913"/>
      <w:bookmarkStart w:id="119" w:name="_Toc45628363"/>
      <w:r w:rsidRPr="00931D46">
        <w:rPr>
          <w:rFonts w:ascii="Arial" w:eastAsia="Times New Roman" w:hAnsi="Arial" w:cs="Arial"/>
          <w:sz w:val="26"/>
          <w:szCs w:val="26"/>
          <w:lang w:eastAsia="es-MX"/>
        </w:rPr>
        <w:t>Experiencia Internacional</w:t>
      </w:r>
      <w:bookmarkEnd w:id="116"/>
      <w:bookmarkEnd w:id="117"/>
      <w:bookmarkEnd w:id="118"/>
      <w:bookmarkEnd w:id="119"/>
    </w:p>
    <w:p w14:paraId="0137F5A2" w14:textId="77777777" w:rsidR="00BE0D80" w:rsidRPr="00931D46" w:rsidRDefault="00BE0D80" w:rsidP="00BE0D80">
      <w:pPr>
        <w:keepNext/>
        <w:spacing w:after="0"/>
        <w:jc w:val="both"/>
        <w:rPr>
          <w:rFonts w:ascii="Arial" w:hAnsi="Arial" w:cs="Arial"/>
        </w:rPr>
      </w:pPr>
    </w:p>
    <w:p w14:paraId="5AD6EC0A" w14:textId="77777777" w:rsidR="00BE0D80" w:rsidRPr="00931D46" w:rsidRDefault="00BE0D80" w:rsidP="00BE0D80">
      <w:pPr>
        <w:spacing w:after="0"/>
        <w:jc w:val="both"/>
        <w:rPr>
          <w:rFonts w:ascii="Arial" w:hAnsi="Arial" w:cs="Arial"/>
        </w:rPr>
      </w:pPr>
      <w:r>
        <w:rPr>
          <w:rFonts w:ascii="Arial" w:hAnsi="Arial" w:cs="Arial"/>
        </w:rPr>
        <w:t>L</w:t>
      </w:r>
      <w:r w:rsidRPr="00931D46">
        <w:rPr>
          <w:rFonts w:ascii="Arial" w:hAnsi="Arial" w:cs="Arial"/>
        </w:rPr>
        <w:t>os principales criterios referidos por la ICN</w:t>
      </w:r>
      <w:r w:rsidRPr="00931D46">
        <w:rPr>
          <w:rFonts w:ascii="Arial" w:hAnsi="Arial" w:cs="Arial"/>
          <w:vertAlign w:val="superscript"/>
          <w:lang w:val="en-US"/>
        </w:rPr>
        <w:footnoteReference w:id="83"/>
      </w:r>
      <w:r w:rsidRPr="00931D46">
        <w:rPr>
          <w:rFonts w:ascii="Arial" w:hAnsi="Arial" w:cs="Arial"/>
        </w:rPr>
        <w:t xml:space="preserve"> y la OCDE</w:t>
      </w:r>
      <w:r w:rsidRPr="009001AD">
        <w:rPr>
          <w:rFonts w:ascii="Arial" w:eastAsia="Times New Roman" w:hAnsi="Arial" w:cs="Arial"/>
          <w:vertAlign w:val="superscript"/>
        </w:rPr>
        <w:footnoteReference w:id="84"/>
      </w:r>
      <w:r w:rsidRPr="00931D46">
        <w:rPr>
          <w:rFonts w:ascii="Arial" w:hAnsi="Arial" w:cs="Arial"/>
        </w:rPr>
        <w:t xml:space="preserve">, así como aquellos </w:t>
      </w:r>
      <w:r>
        <w:rPr>
          <w:rFonts w:ascii="Arial" w:hAnsi="Arial" w:cs="Arial"/>
        </w:rPr>
        <w:t>considerados</w:t>
      </w:r>
      <w:r w:rsidRPr="00931D46">
        <w:rPr>
          <w:rFonts w:ascii="Arial" w:hAnsi="Arial" w:cs="Arial"/>
        </w:rPr>
        <w:t xml:space="preserve"> 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Style w:val="Refdenotaalpie"/>
          <w:rFonts w:ascii="Arial" w:hAnsi="Arial" w:cs="Arial"/>
        </w:rPr>
        <w:footnoteReference w:id="85"/>
      </w:r>
      <w:r w:rsidRPr="00931D46">
        <w:rPr>
          <w:rFonts w:ascii="Arial" w:hAnsi="Arial" w:cs="Arial"/>
        </w:rPr>
        <w:t xml:space="preserve"> Estados Unidos de América,</w:t>
      </w:r>
      <w:r w:rsidRPr="00931D46">
        <w:rPr>
          <w:rStyle w:val="Refdenotaalpie"/>
          <w:rFonts w:ascii="Arial" w:hAnsi="Arial" w:cs="Arial"/>
        </w:rPr>
        <w:footnoteReference w:id="86"/>
      </w:r>
      <w:r w:rsidRPr="00931D46">
        <w:rPr>
          <w:rFonts w:ascii="Arial" w:hAnsi="Arial" w:cs="Arial"/>
        </w:rPr>
        <w:t xml:space="preserve"> Australia</w:t>
      </w:r>
      <w:r w:rsidRPr="00FA500F">
        <w:rPr>
          <w:rFonts w:ascii="Arial" w:eastAsia="Times New Roman" w:hAnsi="Arial" w:cs="Arial"/>
          <w:vertAlign w:val="superscript"/>
          <w:lang w:eastAsia="es-MX"/>
        </w:rPr>
        <w:footnoteReference w:id="87"/>
      </w:r>
      <w:r w:rsidRPr="00931D46">
        <w:rPr>
          <w:rFonts w:ascii="Arial" w:hAnsi="Arial" w:cs="Arial"/>
        </w:rPr>
        <w:t xml:space="preserve"> y Canadá</w:t>
      </w:r>
      <w:r w:rsidRPr="00931D46">
        <w:rPr>
          <w:rFonts w:ascii="Arial" w:hAnsi="Arial" w:cs="Arial"/>
          <w:color w:val="000000"/>
          <w:vertAlign w:val="superscript"/>
        </w:rPr>
        <w:footnoteReference w:id="88"/>
      </w:r>
      <w:r w:rsidRPr="00931D46">
        <w:rPr>
          <w:rFonts w:ascii="Arial" w:hAnsi="Arial" w:cs="Arial"/>
        </w:rPr>
        <w:t xml:space="preserve"> para determinar MR en presencia de integraciones verticales, </w:t>
      </w:r>
      <w:r>
        <w:rPr>
          <w:rFonts w:ascii="Arial" w:hAnsi="Arial" w:cs="Arial"/>
        </w:rPr>
        <w:t xml:space="preserve">consisten en </w:t>
      </w:r>
      <w:r w:rsidRPr="00931D46">
        <w:rPr>
          <w:rFonts w:ascii="Arial" w:hAnsi="Arial" w:cs="Arial"/>
        </w:rPr>
        <w:t>delimita</w:t>
      </w:r>
      <w:r>
        <w:rPr>
          <w:rFonts w:ascii="Arial" w:hAnsi="Arial" w:cs="Arial"/>
        </w:rPr>
        <w:t>r</w:t>
      </w:r>
      <w:r w:rsidRPr="00931D46">
        <w:rPr>
          <w:rFonts w:ascii="Arial" w:hAnsi="Arial" w:cs="Arial"/>
        </w:rPr>
        <w:t xml:space="preserve"> primero el mercado aguas abajo y, con base en la relación de insumo-</w:t>
      </w:r>
      <w:r>
        <w:rPr>
          <w:rFonts w:ascii="Arial" w:hAnsi="Arial" w:cs="Arial"/>
        </w:rPr>
        <w:t>producto</w:t>
      </w:r>
      <w:r w:rsidRPr="00931D46">
        <w:rPr>
          <w:rFonts w:ascii="Arial" w:hAnsi="Arial" w:cs="Arial"/>
        </w:rPr>
        <w:t>, defin</w:t>
      </w:r>
      <w:r>
        <w:rPr>
          <w:rFonts w:ascii="Arial" w:hAnsi="Arial" w:cs="Arial"/>
        </w:rPr>
        <w:t>ir</w:t>
      </w:r>
      <w:r w:rsidRPr="00931D46">
        <w:rPr>
          <w:rFonts w:ascii="Arial" w:hAnsi="Arial" w:cs="Arial"/>
        </w:rPr>
        <w:t xml:space="preserve"> el </w:t>
      </w:r>
      <w:r w:rsidRPr="0007382E">
        <w:rPr>
          <w:rFonts w:ascii="Arial" w:hAnsi="Arial" w:cs="Arial"/>
        </w:rPr>
        <w:t>mercado aguas arriba; asimismo, se advierte que las autoridades evalúan las restricciones directas e indirectas bajo un análisis caso por caso,</w:t>
      </w:r>
      <w:r w:rsidRPr="0007382E">
        <w:rPr>
          <w:rFonts w:ascii="Arial" w:hAnsi="Arial" w:cs="Arial"/>
          <w:vertAlign w:val="superscript"/>
        </w:rPr>
        <w:footnoteReference w:id="89"/>
      </w:r>
      <w:r w:rsidRPr="0007382E">
        <w:rPr>
          <w:rFonts w:ascii="Arial" w:hAnsi="Arial" w:cs="Arial"/>
        </w:rPr>
        <w:t xml:space="preserve"> pudiendo dar lugar a un único</w:t>
      </w:r>
      <w:r w:rsidRPr="00931D46">
        <w:rPr>
          <w:rFonts w:ascii="Arial" w:hAnsi="Arial" w:cs="Arial"/>
        </w:rPr>
        <w:t xml:space="preserve"> MR mayorista que </w:t>
      </w:r>
      <w:r w:rsidRPr="00931D46">
        <w:rPr>
          <w:rFonts w:ascii="Arial" w:hAnsi="Arial" w:cs="Arial"/>
        </w:rPr>
        <w:lastRenderedPageBreak/>
        <w:t>integre a ambos eslabones de la cadena de valor, o a mercados separados (un MR minorista y un MR mayorista).</w:t>
      </w:r>
    </w:p>
    <w:p w14:paraId="022A3193" w14:textId="77777777" w:rsidR="00BE0D80" w:rsidRPr="00931D46" w:rsidRDefault="00BE0D80" w:rsidP="00BE0D80">
      <w:pPr>
        <w:spacing w:after="0"/>
        <w:jc w:val="both"/>
        <w:rPr>
          <w:rFonts w:ascii="Arial" w:hAnsi="Arial" w:cs="Arial"/>
          <w:lang w:eastAsia="es-MX"/>
        </w:rPr>
      </w:pPr>
    </w:p>
    <w:p w14:paraId="27BC8F99"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20" w:name="_Toc39855729"/>
      <w:bookmarkStart w:id="121" w:name="_Toc41649781"/>
      <w:bookmarkStart w:id="122" w:name="_Toc41649914"/>
      <w:bookmarkStart w:id="123" w:name="_Toc45628364"/>
      <w:r>
        <w:rPr>
          <w:rFonts w:ascii="Arial" w:eastAsia="Times New Roman" w:hAnsi="Arial" w:cs="Arial"/>
          <w:sz w:val="26"/>
          <w:szCs w:val="26"/>
          <w:lang w:eastAsia="es-MX"/>
        </w:rPr>
        <w:t>E</w:t>
      </w:r>
      <w:r w:rsidRPr="00931D46">
        <w:rPr>
          <w:rFonts w:ascii="Arial" w:eastAsia="Times New Roman" w:hAnsi="Arial" w:cs="Arial"/>
          <w:sz w:val="26"/>
          <w:szCs w:val="26"/>
          <w:lang w:eastAsia="es-MX"/>
        </w:rPr>
        <w:t>lementos para de</w:t>
      </w:r>
      <w:r>
        <w:rPr>
          <w:rFonts w:ascii="Arial" w:eastAsia="Times New Roman" w:hAnsi="Arial" w:cs="Arial"/>
          <w:sz w:val="26"/>
          <w:szCs w:val="26"/>
          <w:lang w:eastAsia="es-MX"/>
        </w:rPr>
        <w:t>terminar</w:t>
      </w:r>
      <w:r w:rsidRPr="00931D46">
        <w:rPr>
          <w:rFonts w:ascii="Arial" w:eastAsia="Times New Roman" w:hAnsi="Arial" w:cs="Arial"/>
          <w:sz w:val="26"/>
          <w:szCs w:val="26"/>
          <w:lang w:eastAsia="es-MX"/>
        </w:rPr>
        <w:t xml:space="preserve"> MR</w:t>
      </w:r>
      <w:bookmarkEnd w:id="120"/>
      <w:r w:rsidRPr="00931D46">
        <w:rPr>
          <w:rFonts w:ascii="Arial" w:eastAsia="Times New Roman" w:hAnsi="Arial" w:cs="Arial"/>
          <w:sz w:val="26"/>
          <w:szCs w:val="26"/>
          <w:lang w:eastAsia="es-MX"/>
        </w:rPr>
        <w:t xml:space="preserve"> en presencia de integración vertical</w:t>
      </w:r>
      <w:bookmarkEnd w:id="121"/>
      <w:bookmarkEnd w:id="122"/>
      <w:bookmarkEnd w:id="123"/>
    </w:p>
    <w:p w14:paraId="07DDA718" w14:textId="77777777" w:rsidR="00BE0D80" w:rsidRPr="00931D46" w:rsidRDefault="00BE0D80" w:rsidP="00BE0D80">
      <w:pPr>
        <w:spacing w:after="0"/>
        <w:jc w:val="both"/>
        <w:rPr>
          <w:rFonts w:ascii="Arial" w:hAnsi="Arial" w:cs="Arial"/>
        </w:rPr>
      </w:pPr>
    </w:p>
    <w:p w14:paraId="5D600B46" w14:textId="77777777" w:rsidR="00BE0D80" w:rsidRPr="00931D46" w:rsidRDefault="00BE0D80" w:rsidP="00BE0D80">
      <w:pPr>
        <w:spacing w:after="0"/>
        <w:jc w:val="both"/>
        <w:rPr>
          <w:rFonts w:ascii="Arial" w:hAnsi="Arial" w:cs="Arial"/>
        </w:rPr>
      </w:pPr>
      <w:r>
        <w:rPr>
          <w:rFonts w:ascii="Arial" w:hAnsi="Arial" w:cs="Arial"/>
        </w:rPr>
        <w:t>E</w:t>
      </w:r>
      <w:r w:rsidRPr="00931D46">
        <w:rPr>
          <w:rFonts w:ascii="Arial" w:hAnsi="Arial" w:cs="Arial"/>
        </w:rPr>
        <w:t xml:space="preserve">n presencia de integraciones verticales, el Instituto </w:t>
      </w:r>
      <w:r>
        <w:rPr>
          <w:rFonts w:ascii="Arial" w:hAnsi="Arial" w:cs="Arial"/>
        </w:rPr>
        <w:t xml:space="preserve">podrá </w:t>
      </w:r>
      <w:r w:rsidRPr="00931D46">
        <w:rPr>
          <w:rFonts w:ascii="Arial" w:hAnsi="Arial" w:cs="Arial"/>
        </w:rPr>
        <w:t xml:space="preserve">identificar la cadena de valor del </w:t>
      </w:r>
      <w:r>
        <w:rPr>
          <w:rFonts w:ascii="Arial" w:hAnsi="Arial" w:cs="Arial"/>
        </w:rPr>
        <w:t>producto</w:t>
      </w:r>
      <w:r w:rsidRPr="00931D46">
        <w:rPr>
          <w:rFonts w:ascii="Arial" w:hAnsi="Arial" w:cs="Arial"/>
        </w:rPr>
        <w:t xml:space="preserve"> involucrado y los eslabones en los que intervienen las partes involucradas en la operación o conducta bajo análisis.</w:t>
      </w:r>
      <w:r w:rsidRPr="00D94207">
        <w:t xml:space="preserve"> </w:t>
      </w:r>
      <w:r w:rsidRPr="00D94207">
        <w:rPr>
          <w:rFonts w:ascii="Arial" w:hAnsi="Arial" w:cs="Arial"/>
        </w:rPr>
        <w:t>En este sentido, la definición de MR mayoristas o minoristas se hará tomando en consideración los criterios que se presentan a lo largo de esta Guía, así como siguientes elementos:</w:t>
      </w:r>
    </w:p>
    <w:p w14:paraId="489D682D" w14:textId="77777777" w:rsidR="00BE0D80" w:rsidRPr="00931D46" w:rsidRDefault="00BE0D80" w:rsidP="00BE0D80">
      <w:pPr>
        <w:spacing w:after="0"/>
        <w:jc w:val="both"/>
        <w:rPr>
          <w:rFonts w:ascii="Arial" w:hAnsi="Arial" w:cs="Arial"/>
        </w:rPr>
      </w:pPr>
    </w:p>
    <w:p w14:paraId="59B267D4" w14:textId="77777777" w:rsidR="00BE0D80" w:rsidRPr="002E7ABE" w:rsidRDefault="00BE0D80" w:rsidP="000D5517">
      <w:pPr>
        <w:pStyle w:val="Prrafodelista"/>
        <w:numPr>
          <w:ilvl w:val="0"/>
          <w:numId w:val="37"/>
        </w:numPr>
        <w:spacing w:after="0"/>
        <w:jc w:val="both"/>
        <w:rPr>
          <w:rFonts w:ascii="Arial" w:hAnsi="Arial" w:cs="Arial"/>
        </w:rPr>
      </w:pPr>
      <w:r w:rsidRPr="0067516C">
        <w:rPr>
          <w:rFonts w:ascii="Arial" w:hAnsi="Arial" w:cs="Arial"/>
        </w:rPr>
        <w:t>En la determinación de MR mayoristas, el Instituto</w:t>
      </w:r>
      <w:r w:rsidRPr="00265B83">
        <w:rPr>
          <w:rFonts w:ascii="Arial" w:hAnsi="Arial" w:cs="Arial"/>
        </w:rPr>
        <w:t xml:space="preserve"> podrá</w:t>
      </w:r>
      <w:r w:rsidRPr="00FD70A9">
        <w:rPr>
          <w:rFonts w:ascii="Arial" w:hAnsi="Arial" w:cs="Arial"/>
        </w:rPr>
        <w:t xml:space="preserve"> tomar en cuenta las presiones competitivas </w:t>
      </w:r>
      <w:r w:rsidRPr="00C30AD1">
        <w:rPr>
          <w:rFonts w:ascii="Arial" w:hAnsi="Arial" w:cs="Arial"/>
        </w:rPr>
        <w:t>directas e indirectas bajo un análisis caso por caso, y cuando las presiones indirectas no sean sufici</w:t>
      </w:r>
      <w:r w:rsidRPr="004A249E">
        <w:rPr>
          <w:rFonts w:ascii="Arial" w:hAnsi="Arial" w:cs="Arial"/>
        </w:rPr>
        <w:t xml:space="preserve">entemente fuertes para ampliar el MR, estas </w:t>
      </w:r>
      <w:r w:rsidRPr="001C2DDB">
        <w:rPr>
          <w:rFonts w:ascii="Arial" w:hAnsi="Arial" w:cs="Arial"/>
        </w:rPr>
        <w:t>podrán considerarse en la fase de evaluación de efectos o condiciones de competencia.</w:t>
      </w:r>
    </w:p>
    <w:p w14:paraId="2C4615EB" w14:textId="77777777" w:rsidR="00BE0D80" w:rsidRPr="0007382E" w:rsidRDefault="00BE0D80" w:rsidP="00BE0D80">
      <w:pPr>
        <w:spacing w:after="0"/>
        <w:jc w:val="both"/>
        <w:rPr>
          <w:rFonts w:ascii="Arial" w:hAnsi="Arial" w:cs="Arial"/>
        </w:rPr>
      </w:pPr>
    </w:p>
    <w:p w14:paraId="17C3B369" w14:textId="77777777" w:rsidR="00BE0D80" w:rsidRPr="0007382E" w:rsidRDefault="00BE0D80" w:rsidP="000D5517">
      <w:pPr>
        <w:pStyle w:val="Prrafodelista"/>
        <w:numPr>
          <w:ilvl w:val="0"/>
          <w:numId w:val="37"/>
        </w:numPr>
        <w:spacing w:after="0"/>
        <w:jc w:val="both"/>
        <w:rPr>
          <w:rFonts w:ascii="Arial" w:hAnsi="Arial" w:cs="Arial"/>
        </w:rPr>
      </w:pPr>
      <w:r w:rsidRPr="0067516C">
        <w:rPr>
          <w:rFonts w:ascii="Arial" w:hAnsi="Arial" w:cs="Arial"/>
        </w:rPr>
        <w:t>En la determinación de restricciones (presiones) competitivas indirectas, el Instituto podrá considerar, entre otros elemento</w:t>
      </w:r>
      <w:r w:rsidRPr="00FD70A9">
        <w:rPr>
          <w:rFonts w:ascii="Arial" w:hAnsi="Arial" w:cs="Arial"/>
        </w:rPr>
        <w:t>s, i) el cociente entre los precios de los mercados mayorista y minorista; ii) el nivel de competencia en el mercado minorista; y iii) la sensibilidad de los consumidores en el mercado minorista al precio u otras características de los productos.</w:t>
      </w:r>
    </w:p>
    <w:p w14:paraId="49C69138" w14:textId="77777777" w:rsidR="00BE0D80" w:rsidRPr="00777DBE" w:rsidRDefault="00BE0D80" w:rsidP="00BE0D80">
      <w:pPr>
        <w:spacing w:after="0"/>
        <w:jc w:val="both"/>
        <w:rPr>
          <w:rFonts w:ascii="Arial" w:hAnsi="Arial" w:cs="Arial"/>
        </w:rPr>
      </w:pPr>
    </w:p>
    <w:p w14:paraId="61BDF585" w14:textId="77777777" w:rsidR="00BE0D80" w:rsidRPr="0007382E" w:rsidRDefault="00BE0D80" w:rsidP="00BE0D80">
      <w:pPr>
        <w:spacing w:after="0"/>
        <w:jc w:val="both"/>
        <w:rPr>
          <w:rFonts w:ascii="Arial" w:hAnsi="Arial" w:cs="Arial"/>
        </w:rPr>
      </w:pPr>
      <w:r w:rsidRPr="00D94207">
        <w:rPr>
          <w:rFonts w:ascii="Arial" w:hAnsi="Arial" w:cs="Arial"/>
        </w:rPr>
        <w:t>No obstante, lo anterior no implica, necesariamente, que en todos los casos en los que se presenten integraciones verticales se requiera definir varios MR a lo largo de la cadena de valor identificada.</w:t>
      </w:r>
    </w:p>
    <w:p w14:paraId="4F80E9E6" w14:textId="77777777" w:rsidR="00BE0D80" w:rsidRPr="0007382E" w:rsidRDefault="00BE0D80" w:rsidP="00BE0D80">
      <w:pPr>
        <w:spacing w:after="0"/>
        <w:jc w:val="both"/>
        <w:rPr>
          <w:rFonts w:ascii="Arial" w:hAnsi="Arial" w:cs="Arial"/>
        </w:rPr>
      </w:pPr>
    </w:p>
    <w:p w14:paraId="1F99FCB1" w14:textId="77777777" w:rsidR="00BE0D80" w:rsidRPr="0007382E"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124" w:name="_Toc45216588"/>
      <w:bookmarkStart w:id="125" w:name="_Toc45628365"/>
      <w:bookmarkStart w:id="126" w:name="_Toc85473334"/>
      <w:r w:rsidRPr="0007382E">
        <w:rPr>
          <w:rFonts w:ascii="Arial" w:eastAsia="Times New Roman" w:hAnsi="Arial" w:cs="Arial"/>
          <w:sz w:val="26"/>
          <w:lang w:eastAsia="es-MX"/>
        </w:rPr>
        <w:lastRenderedPageBreak/>
        <w:t>Sustitución asimétrica</w:t>
      </w:r>
      <w:bookmarkEnd w:id="110"/>
      <w:bookmarkEnd w:id="111"/>
      <w:bookmarkEnd w:id="124"/>
      <w:bookmarkEnd w:id="125"/>
      <w:bookmarkEnd w:id="126"/>
      <w:r w:rsidRPr="0007382E">
        <w:rPr>
          <w:rFonts w:ascii="Arial" w:eastAsia="Times New Roman" w:hAnsi="Arial" w:cs="Arial"/>
          <w:sz w:val="26"/>
          <w:lang w:eastAsia="es-MX"/>
        </w:rPr>
        <w:t xml:space="preserve"> </w:t>
      </w:r>
    </w:p>
    <w:p w14:paraId="717FC77F" w14:textId="77777777" w:rsidR="00BE0D80" w:rsidRPr="0007382E" w:rsidRDefault="00BE0D80" w:rsidP="00BE0D80">
      <w:pPr>
        <w:keepNext/>
        <w:spacing w:after="0"/>
        <w:jc w:val="both"/>
        <w:rPr>
          <w:rFonts w:ascii="Arial" w:eastAsia="Times New Roman" w:hAnsi="Arial" w:cs="Arial"/>
          <w:b/>
          <w:szCs w:val="26"/>
          <w:lang w:eastAsia="es-MX"/>
        </w:rPr>
      </w:pPr>
    </w:p>
    <w:p w14:paraId="4E1551FD" w14:textId="77777777" w:rsidR="00BE0D80" w:rsidRPr="0007382E" w:rsidRDefault="00BE0D80" w:rsidP="00BE0D80">
      <w:pPr>
        <w:spacing w:after="0"/>
        <w:jc w:val="both"/>
        <w:rPr>
          <w:rFonts w:ascii="Arial" w:hAnsi="Arial" w:cs="Arial"/>
        </w:rPr>
      </w:pPr>
      <w:r w:rsidRPr="0007382E">
        <w:rPr>
          <w:rFonts w:ascii="Arial" w:hAnsi="Arial" w:cs="Arial"/>
        </w:rPr>
        <w:t>La sustitución asimétrica puede definirse como la sustitución entre dos productos que ocurre en una sola dirección.</w:t>
      </w:r>
      <w:r w:rsidRPr="0007382E">
        <w:rPr>
          <w:rStyle w:val="Refdenotaalpie"/>
          <w:rFonts w:ascii="Arial" w:hAnsi="Arial" w:cs="Arial"/>
        </w:rPr>
        <w:footnoteReference w:id="90"/>
      </w:r>
      <w:r w:rsidRPr="0007382E">
        <w:rPr>
          <w:rFonts w:ascii="Arial" w:hAnsi="Arial" w:cs="Arial"/>
        </w:rPr>
        <w:t xml:space="preserve"> En otras palabras, un producto </w:t>
      </w:r>
      <w:r w:rsidRPr="0007382E">
        <w:rPr>
          <w:rFonts w:ascii="Arial" w:hAnsi="Arial" w:cs="Arial"/>
          <w:i/>
        </w:rPr>
        <w:t>A</w:t>
      </w:r>
      <w:r w:rsidRPr="0007382E">
        <w:rPr>
          <w:rFonts w:ascii="Arial" w:hAnsi="Arial" w:cs="Arial"/>
        </w:rPr>
        <w:t xml:space="preserve"> puede sustituir</w:t>
      </w:r>
      <w:r w:rsidRPr="00931D46">
        <w:rPr>
          <w:rFonts w:ascii="Arial" w:hAnsi="Arial" w:cs="Arial"/>
        </w:rPr>
        <w:t xml:space="preserve"> al </w:t>
      </w:r>
      <w:r>
        <w:rPr>
          <w:rFonts w:ascii="Arial" w:hAnsi="Arial" w:cs="Arial"/>
        </w:rPr>
        <w:t>producto</w:t>
      </w:r>
      <w:r w:rsidRPr="00931D46">
        <w:rPr>
          <w:rFonts w:ascii="Arial" w:hAnsi="Arial" w:cs="Arial"/>
        </w:rPr>
        <w:t xml:space="preserve"> </w:t>
      </w:r>
      <w:r w:rsidRPr="0084256A">
        <w:rPr>
          <w:rFonts w:ascii="Arial" w:hAnsi="Arial" w:cs="Arial"/>
          <w:i/>
        </w:rPr>
        <w:t>B</w:t>
      </w:r>
      <w:r w:rsidRPr="00931D46">
        <w:rPr>
          <w:rFonts w:ascii="Arial" w:hAnsi="Arial" w:cs="Arial"/>
        </w:rPr>
        <w:t xml:space="preserve">, pero el </w:t>
      </w:r>
      <w:r>
        <w:rPr>
          <w:rFonts w:ascii="Arial" w:hAnsi="Arial" w:cs="Arial"/>
        </w:rPr>
        <w:t>producto</w:t>
      </w:r>
      <w:r w:rsidRPr="00931D46">
        <w:rPr>
          <w:rFonts w:ascii="Arial" w:hAnsi="Arial" w:cs="Arial"/>
        </w:rPr>
        <w:t xml:space="preserve"> </w:t>
      </w:r>
      <w:r w:rsidRPr="0084256A">
        <w:rPr>
          <w:rFonts w:ascii="Arial" w:hAnsi="Arial" w:cs="Arial"/>
          <w:i/>
        </w:rPr>
        <w:t>B</w:t>
      </w:r>
      <w:r w:rsidRPr="00931D46">
        <w:rPr>
          <w:rFonts w:ascii="Arial" w:hAnsi="Arial" w:cs="Arial"/>
        </w:rPr>
        <w:t xml:space="preserve">, debido a características físicas, técnicas o funcionales (por ejemplo, calidad inferior, funcionalidades más limitadas o especializadas, o que el </w:t>
      </w:r>
      <w:r w:rsidRPr="0007382E">
        <w:rPr>
          <w:rFonts w:ascii="Arial" w:hAnsi="Arial" w:cs="Arial"/>
        </w:rPr>
        <w:t xml:space="preserve">producto </w:t>
      </w:r>
      <w:r w:rsidRPr="0007382E">
        <w:rPr>
          <w:rFonts w:ascii="Arial" w:hAnsi="Arial" w:cs="Arial"/>
          <w:i/>
        </w:rPr>
        <w:t>A</w:t>
      </w:r>
      <w:r w:rsidRPr="0007382E">
        <w:rPr>
          <w:rFonts w:ascii="Arial" w:hAnsi="Arial" w:cs="Arial"/>
        </w:rPr>
        <w:t xml:space="preserve"> sea un paquete que incluye al </w:t>
      </w:r>
      <w:r>
        <w:rPr>
          <w:rFonts w:ascii="Arial" w:hAnsi="Arial" w:cs="Arial"/>
        </w:rPr>
        <w:t>producto</w:t>
      </w:r>
      <w:r w:rsidRPr="0007382E">
        <w:rPr>
          <w:rFonts w:ascii="Arial" w:hAnsi="Arial" w:cs="Arial"/>
        </w:rPr>
        <w:t xml:space="preserve"> </w:t>
      </w:r>
      <w:r w:rsidRPr="0007382E">
        <w:rPr>
          <w:rFonts w:ascii="Arial" w:hAnsi="Arial" w:cs="Arial"/>
          <w:i/>
        </w:rPr>
        <w:t>B</w:t>
      </w:r>
      <w:r w:rsidRPr="0007382E">
        <w:rPr>
          <w:rFonts w:ascii="Arial" w:hAnsi="Arial" w:cs="Arial"/>
        </w:rPr>
        <w:t xml:space="preserve">), no puede sustituir al producto </w:t>
      </w:r>
      <w:r w:rsidRPr="0007382E">
        <w:rPr>
          <w:rFonts w:ascii="Arial" w:hAnsi="Arial" w:cs="Arial"/>
          <w:i/>
        </w:rPr>
        <w:t>A</w:t>
      </w:r>
      <w:r w:rsidRPr="0007382E">
        <w:rPr>
          <w:rFonts w:ascii="Arial" w:hAnsi="Arial" w:cs="Arial"/>
        </w:rPr>
        <w:t>. En este sentido, la sustitución asimétrica tiene implicaciones importantes para la determinación del MR, pues éste podría ser distinto dependiendo del producto focal con el que se inicie el análisis de sustitución. Asimismo, se identifican dos posibilidades para tratarla: i) incluir en el mismo MR a los productos que sustituyan asimétricamente al producto focal, o ii) sin importar la dirección de la sustitución, determinar MR separados para el producto focal y para los productos alternativos, y considerar la presión competitiva que ejerzan entre sí en etapas posteriores del análisis de competencia.</w:t>
      </w:r>
    </w:p>
    <w:p w14:paraId="22F744AF" w14:textId="77777777" w:rsidR="00BE0D80" w:rsidRPr="0007382E" w:rsidRDefault="00BE0D80" w:rsidP="00BE0D80">
      <w:pPr>
        <w:spacing w:after="0"/>
        <w:jc w:val="both"/>
        <w:rPr>
          <w:rFonts w:ascii="Arial" w:hAnsi="Arial" w:cs="Arial"/>
        </w:rPr>
      </w:pPr>
    </w:p>
    <w:p w14:paraId="0312A506" w14:textId="77777777" w:rsidR="00BE0D80" w:rsidRPr="00931D46" w:rsidRDefault="00BE0D80" w:rsidP="00BE0D80">
      <w:pPr>
        <w:spacing w:after="0"/>
        <w:jc w:val="both"/>
        <w:rPr>
          <w:rFonts w:ascii="Arial" w:hAnsi="Arial" w:cs="Arial"/>
        </w:rPr>
      </w:pPr>
      <w:r w:rsidRPr="0007382E">
        <w:rPr>
          <w:rFonts w:ascii="Arial" w:hAnsi="Arial" w:cs="Arial"/>
        </w:rPr>
        <w:t>En el caso particular de servicios de telecomunicaciones, la sustitución asimétrica puede darse, por ejemplo, en situaciones de transición tecnológica en las que un nuevo desarrollo tecnológico incluye las características del desarrollo anterior, pero incorpora nuevas características o funcionalidades que son valoradas por los consumidores; o entre servicios individuales frente a paquetes de servicios, en el que los usuarios no están dispuestos a sustituir un paquete por un servicio individual, pero sí están dispuestos a sustituir un servicio individual por un paquete.</w:t>
      </w:r>
      <w:r w:rsidRPr="0007382E">
        <w:rPr>
          <w:rStyle w:val="Refdenotaalpie"/>
          <w:rFonts w:ascii="Arial" w:hAnsi="Arial" w:cs="Arial"/>
        </w:rPr>
        <w:footnoteReference w:id="91"/>
      </w:r>
      <w:r w:rsidRPr="0007382E">
        <w:rPr>
          <w:rFonts w:ascii="Arial" w:hAnsi="Arial" w:cs="Arial"/>
        </w:rPr>
        <w:t xml:space="preserve"> En este escenario, el paquete representaría una presión competitiva sobre el servicio individual pero lo inverso no ocurre, por lo que el paquete podría incluirse en el MR si se elige el servicio individual como producto focal, pero el servicio individual podría no incluirse en el MR si el producto focal es el paquete.</w:t>
      </w:r>
      <w:r w:rsidRPr="0007382E">
        <w:rPr>
          <w:rStyle w:val="Refdenotaalpie"/>
          <w:rFonts w:ascii="Arial" w:hAnsi="Arial" w:cs="Arial"/>
        </w:rPr>
        <w:footnoteReference w:id="92"/>
      </w:r>
    </w:p>
    <w:p w14:paraId="7D519A89" w14:textId="77777777" w:rsidR="00BE0D80" w:rsidRPr="00931D46" w:rsidRDefault="00BE0D80" w:rsidP="00BE0D80">
      <w:pPr>
        <w:spacing w:after="0"/>
        <w:jc w:val="both"/>
        <w:rPr>
          <w:rFonts w:ascii="Arial" w:hAnsi="Arial" w:cs="Arial"/>
        </w:rPr>
      </w:pPr>
    </w:p>
    <w:p w14:paraId="3EA2854A" w14:textId="77777777" w:rsidR="00BE0D80" w:rsidRPr="00931D46" w:rsidRDefault="00BE0D80" w:rsidP="00BE0D80">
      <w:pPr>
        <w:spacing w:after="0"/>
        <w:jc w:val="both"/>
        <w:rPr>
          <w:rFonts w:ascii="Arial" w:hAnsi="Arial" w:cs="Arial"/>
        </w:rPr>
      </w:pPr>
      <w:r w:rsidRPr="00931D46">
        <w:rPr>
          <w:rFonts w:ascii="Arial" w:hAnsi="Arial" w:cs="Arial"/>
        </w:rPr>
        <w:t xml:space="preserve">La sustitución asimétrica se ha observado entre servicios de telecomunicaciones como el acceso a Internet fijo y móvil; servicios de telecomunicaciones ofrecidos de manera individual y en paquetes </w:t>
      </w:r>
      <w:r w:rsidRPr="00931D46">
        <w:rPr>
          <w:rFonts w:ascii="Arial" w:hAnsi="Arial" w:cs="Arial"/>
          <w:i/>
        </w:rPr>
        <w:t>doble play</w:t>
      </w:r>
      <w:r w:rsidRPr="00931D46">
        <w:rPr>
          <w:rFonts w:ascii="Arial" w:hAnsi="Arial" w:cs="Arial"/>
        </w:rPr>
        <w:t xml:space="preserve"> y </w:t>
      </w:r>
      <w:r w:rsidRPr="00931D46">
        <w:rPr>
          <w:rFonts w:ascii="Arial" w:hAnsi="Arial" w:cs="Arial"/>
          <w:i/>
        </w:rPr>
        <w:t>triple play</w:t>
      </w:r>
      <w:r w:rsidRPr="00931D46">
        <w:rPr>
          <w:rFonts w:ascii="Arial" w:hAnsi="Arial" w:cs="Arial"/>
        </w:rPr>
        <w:t>; así como los servicios de acceso a Internet de alta velocidad frente a los de baja velocidad.</w:t>
      </w:r>
      <w:r w:rsidRPr="00931D46">
        <w:rPr>
          <w:rStyle w:val="Refdenotaalpie"/>
          <w:rFonts w:ascii="Arial" w:hAnsi="Arial" w:cs="Arial"/>
        </w:rPr>
        <w:footnoteReference w:id="93"/>
      </w:r>
      <w:r w:rsidRPr="00931D46">
        <w:rPr>
          <w:rFonts w:ascii="Arial" w:hAnsi="Arial" w:cs="Arial"/>
        </w:rPr>
        <w:t xml:space="preserve"> </w:t>
      </w:r>
    </w:p>
    <w:p w14:paraId="7BE03AAD" w14:textId="77777777" w:rsidR="00BE0D80" w:rsidRPr="00931D46" w:rsidRDefault="00BE0D80" w:rsidP="00BE0D80">
      <w:pPr>
        <w:spacing w:after="0"/>
        <w:jc w:val="both"/>
        <w:rPr>
          <w:rFonts w:ascii="Arial" w:hAnsi="Arial" w:cs="Arial"/>
        </w:rPr>
      </w:pPr>
    </w:p>
    <w:p w14:paraId="6437F409"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27" w:name="_Toc45628367"/>
      <w:r w:rsidRPr="00931D46">
        <w:rPr>
          <w:rFonts w:ascii="Arial" w:eastAsia="Times New Roman" w:hAnsi="Arial" w:cs="Arial"/>
          <w:sz w:val="26"/>
          <w:szCs w:val="26"/>
          <w:lang w:eastAsia="es-MX"/>
        </w:rPr>
        <w:lastRenderedPageBreak/>
        <w:t>Precedentes decisorios del Instituto</w:t>
      </w:r>
      <w:bookmarkEnd w:id="127"/>
    </w:p>
    <w:p w14:paraId="5199DA68" w14:textId="77777777" w:rsidR="00BE0D80" w:rsidRPr="00931D46" w:rsidRDefault="00BE0D80" w:rsidP="00BE0D80">
      <w:pPr>
        <w:keepNext/>
        <w:spacing w:after="0"/>
        <w:jc w:val="both"/>
        <w:rPr>
          <w:rFonts w:ascii="Arial" w:hAnsi="Arial" w:cs="Arial"/>
        </w:rPr>
      </w:pPr>
    </w:p>
    <w:p w14:paraId="165C9928" w14:textId="77777777" w:rsidR="00BE0D80" w:rsidRPr="00931D46" w:rsidRDefault="00BE0D80" w:rsidP="00BE0D80">
      <w:pPr>
        <w:spacing w:after="0"/>
        <w:jc w:val="both"/>
        <w:rPr>
          <w:rFonts w:ascii="Arial" w:hAnsi="Arial" w:cs="Arial"/>
          <w:lang w:eastAsia="es-MX"/>
        </w:rPr>
      </w:pPr>
      <w:r w:rsidRPr="00931D46">
        <w:rPr>
          <w:rFonts w:ascii="Arial" w:hAnsi="Arial" w:cs="Arial"/>
        </w:rPr>
        <w:t xml:space="preserve">Dentro de los precedentes decisorios del Instituto, </w:t>
      </w:r>
      <w:r>
        <w:rPr>
          <w:rFonts w:ascii="Arial" w:hAnsi="Arial" w:cs="Arial"/>
        </w:rPr>
        <w:t>existen</w:t>
      </w:r>
      <w:r w:rsidRPr="00931D46">
        <w:rPr>
          <w:rFonts w:ascii="Arial" w:hAnsi="Arial" w:cs="Arial"/>
        </w:rPr>
        <w:t xml:space="preserve"> casos</w:t>
      </w:r>
      <w:r w:rsidRPr="004F4000">
        <w:rPr>
          <w:rFonts w:ascii="Arial" w:eastAsia="Times New Roman" w:hAnsi="Arial" w:cs="Arial"/>
          <w:vertAlign w:val="superscript"/>
          <w:lang w:val="en-US"/>
        </w:rPr>
        <w:footnoteReference w:id="94"/>
      </w:r>
      <w:r w:rsidRPr="00931D46">
        <w:rPr>
          <w:rFonts w:ascii="Arial" w:hAnsi="Arial" w:cs="Arial"/>
        </w:rPr>
        <w:t xml:space="preserve"> en los que se </w:t>
      </w:r>
      <w:r>
        <w:rPr>
          <w:rFonts w:ascii="Arial" w:hAnsi="Arial" w:cs="Arial"/>
        </w:rPr>
        <w:t xml:space="preserve">ha </w:t>
      </w:r>
      <w:r w:rsidRPr="00931D46">
        <w:rPr>
          <w:rFonts w:ascii="Arial" w:hAnsi="Arial" w:cs="Arial"/>
        </w:rPr>
        <w:t>incorpora</w:t>
      </w:r>
      <w:r>
        <w:rPr>
          <w:rFonts w:ascii="Arial" w:hAnsi="Arial" w:cs="Arial"/>
        </w:rPr>
        <w:t>do</w:t>
      </w:r>
      <w:r w:rsidRPr="00931D46">
        <w:rPr>
          <w:rFonts w:ascii="Arial" w:hAnsi="Arial" w:cs="Arial"/>
        </w:rPr>
        <w:t xml:space="preserve"> en la determinación de MR el concepto de sustitución asimétrica, y otros en los que se ha reconocido la relevancia de incorporar dicho concepto al análisis de sustitución.</w:t>
      </w:r>
    </w:p>
    <w:p w14:paraId="796C510B" w14:textId="77777777" w:rsidR="00BE0D80" w:rsidRPr="00931D46" w:rsidRDefault="00BE0D80" w:rsidP="00BE0D80">
      <w:pPr>
        <w:spacing w:after="0"/>
        <w:jc w:val="both"/>
        <w:rPr>
          <w:rFonts w:ascii="Arial" w:hAnsi="Arial" w:cs="Arial"/>
          <w:lang w:eastAsia="es-MX"/>
        </w:rPr>
      </w:pPr>
    </w:p>
    <w:p w14:paraId="4B6E1812"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28" w:name="_Toc45628368"/>
      <w:r w:rsidRPr="00931D46">
        <w:rPr>
          <w:rFonts w:ascii="Arial" w:eastAsia="Times New Roman" w:hAnsi="Arial" w:cs="Arial"/>
          <w:sz w:val="26"/>
          <w:szCs w:val="26"/>
          <w:lang w:eastAsia="es-MX"/>
        </w:rPr>
        <w:t>Experiencia internacional</w:t>
      </w:r>
      <w:bookmarkEnd w:id="128"/>
      <w:r w:rsidRPr="00931D46">
        <w:rPr>
          <w:rFonts w:ascii="Arial" w:eastAsia="Times New Roman" w:hAnsi="Arial" w:cs="Arial"/>
          <w:sz w:val="26"/>
          <w:szCs w:val="26"/>
          <w:lang w:eastAsia="es-MX"/>
        </w:rPr>
        <w:t xml:space="preserve"> </w:t>
      </w:r>
    </w:p>
    <w:p w14:paraId="599E34CB" w14:textId="77777777" w:rsidR="00BE0D80" w:rsidRPr="00931D46" w:rsidRDefault="00BE0D80" w:rsidP="00BE0D80">
      <w:pPr>
        <w:keepNext/>
        <w:spacing w:after="0"/>
        <w:jc w:val="both"/>
        <w:rPr>
          <w:rFonts w:ascii="Arial" w:hAnsi="Arial" w:cs="Arial"/>
        </w:rPr>
      </w:pPr>
    </w:p>
    <w:p w14:paraId="255C29D0" w14:textId="77777777" w:rsidR="00BE0D80" w:rsidRDefault="00BE0D80" w:rsidP="00BE0D80">
      <w:pPr>
        <w:spacing w:after="0"/>
        <w:jc w:val="both"/>
        <w:rPr>
          <w:rFonts w:ascii="Arial" w:hAnsi="Arial" w:cs="Arial"/>
          <w:lang w:eastAsia="es-MX"/>
        </w:rPr>
      </w:pPr>
      <w:r>
        <w:rPr>
          <w:rFonts w:ascii="Arial" w:hAnsi="Arial" w:cs="Arial"/>
        </w:rPr>
        <w:t>L</w:t>
      </w:r>
      <w:r w:rsidRPr="00931D46">
        <w:rPr>
          <w:rFonts w:ascii="Arial" w:hAnsi="Arial" w:cs="Arial"/>
        </w:rPr>
        <w:t xml:space="preserve">os principales criterios </w:t>
      </w:r>
      <w:r>
        <w:rPr>
          <w:rFonts w:ascii="Arial" w:hAnsi="Arial" w:cs="Arial"/>
        </w:rPr>
        <w:t>considerados</w:t>
      </w:r>
      <w:r w:rsidRPr="00931D46">
        <w:rPr>
          <w:rFonts w:ascii="Arial" w:hAnsi="Arial" w:cs="Arial"/>
        </w:rPr>
        <w:t xml:space="preserve"> 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Fonts w:ascii="Arial" w:eastAsia="Times New Roman" w:hAnsi="Arial" w:cs="Arial"/>
          <w:vertAlign w:val="superscript"/>
          <w:lang w:val="en-US" w:eastAsia="es-MX"/>
        </w:rPr>
        <w:footnoteReference w:id="95"/>
      </w:r>
      <w:r w:rsidRPr="00931D46">
        <w:rPr>
          <w:rFonts w:ascii="Arial" w:hAnsi="Arial" w:cs="Arial"/>
        </w:rPr>
        <w:t xml:space="preserve"> Estados Unidos de América,</w:t>
      </w:r>
      <w:r w:rsidRPr="00931D46">
        <w:rPr>
          <w:rStyle w:val="Refdenotaalpie"/>
          <w:rFonts w:ascii="Arial" w:hAnsi="Arial" w:cs="Arial"/>
          <w:lang w:eastAsia="es-MX"/>
        </w:rPr>
        <w:footnoteReference w:id="96"/>
      </w:r>
      <w:r w:rsidRPr="00931D46">
        <w:rPr>
          <w:rFonts w:ascii="Arial" w:hAnsi="Arial" w:cs="Arial"/>
        </w:rPr>
        <w:t xml:space="preserve"> Portugal</w:t>
      </w:r>
      <w:r w:rsidRPr="00931D46">
        <w:rPr>
          <w:rStyle w:val="Refdenotaalpie"/>
          <w:rFonts w:ascii="Arial" w:hAnsi="Arial" w:cs="Arial"/>
        </w:rPr>
        <w:footnoteReference w:id="97"/>
      </w:r>
      <w:r w:rsidRPr="00931D46">
        <w:rPr>
          <w:rFonts w:ascii="Arial" w:hAnsi="Arial" w:cs="Arial"/>
        </w:rPr>
        <w:t xml:space="preserve"> y Reino Unido</w:t>
      </w:r>
      <w:r w:rsidRPr="00931D46">
        <w:rPr>
          <w:rStyle w:val="Refdenotaalpie"/>
          <w:rFonts w:ascii="Arial" w:hAnsi="Arial" w:cs="Arial"/>
        </w:rPr>
        <w:footnoteReference w:id="98"/>
      </w:r>
      <w:r w:rsidRPr="00931D46">
        <w:rPr>
          <w:rFonts w:ascii="Arial" w:hAnsi="Arial" w:cs="Arial"/>
        </w:rPr>
        <w:t xml:space="preserve"> para determinar MR en presencia de sustitución asimétrica, </w:t>
      </w:r>
      <w:r>
        <w:rPr>
          <w:rFonts w:ascii="Arial" w:hAnsi="Arial" w:cs="Arial"/>
        </w:rPr>
        <w:t xml:space="preserve">han resultado en </w:t>
      </w:r>
      <w:r w:rsidRPr="00931D46">
        <w:rPr>
          <w:rFonts w:ascii="Arial" w:hAnsi="Arial" w:cs="Arial"/>
          <w:lang w:eastAsia="es-MX"/>
        </w:rPr>
        <w:t xml:space="preserve">dos enfoques para determinar el MR: i) incluir en el MR a los </w:t>
      </w:r>
      <w:r>
        <w:rPr>
          <w:rFonts w:ascii="Arial" w:hAnsi="Arial" w:cs="Arial"/>
          <w:lang w:eastAsia="es-MX"/>
        </w:rPr>
        <w:t>productos</w:t>
      </w:r>
      <w:r w:rsidRPr="00931D46">
        <w:rPr>
          <w:rFonts w:ascii="Arial" w:hAnsi="Arial" w:cs="Arial"/>
          <w:lang w:eastAsia="es-MX"/>
        </w:rPr>
        <w:t xml:space="preserve"> que sustituyan asimétricamente al </w:t>
      </w:r>
      <w:r>
        <w:rPr>
          <w:rFonts w:ascii="Arial" w:hAnsi="Arial" w:cs="Arial"/>
          <w:lang w:eastAsia="es-MX"/>
        </w:rPr>
        <w:t>producto</w:t>
      </w:r>
      <w:r w:rsidRPr="00931D46">
        <w:rPr>
          <w:rFonts w:ascii="Arial" w:hAnsi="Arial" w:cs="Arial"/>
          <w:lang w:eastAsia="es-MX"/>
        </w:rPr>
        <w:t xml:space="preserve"> focal y ii) sin importar la dirección de la sustitución, determinar MR separados para el </w:t>
      </w:r>
      <w:r>
        <w:rPr>
          <w:rFonts w:ascii="Arial" w:hAnsi="Arial" w:cs="Arial"/>
          <w:lang w:eastAsia="es-MX"/>
        </w:rPr>
        <w:t>producto</w:t>
      </w:r>
      <w:r w:rsidRPr="00931D46">
        <w:rPr>
          <w:rFonts w:ascii="Arial" w:hAnsi="Arial" w:cs="Arial"/>
          <w:lang w:eastAsia="es-MX"/>
        </w:rPr>
        <w:t xml:space="preserve"> focal y para los </w:t>
      </w:r>
      <w:r>
        <w:rPr>
          <w:rFonts w:ascii="Arial" w:hAnsi="Arial" w:cs="Arial"/>
          <w:lang w:eastAsia="es-MX"/>
        </w:rPr>
        <w:t>productos</w:t>
      </w:r>
      <w:r w:rsidRPr="00931D46">
        <w:rPr>
          <w:rFonts w:ascii="Arial" w:hAnsi="Arial" w:cs="Arial"/>
          <w:lang w:eastAsia="es-MX"/>
        </w:rPr>
        <w:t xml:space="preserve"> alternativos, y considerar la</w:t>
      </w:r>
      <w:r>
        <w:rPr>
          <w:rFonts w:ascii="Arial" w:hAnsi="Arial" w:cs="Arial"/>
          <w:lang w:eastAsia="es-MX"/>
        </w:rPr>
        <w:t>s</w:t>
      </w:r>
      <w:r w:rsidRPr="00931D46">
        <w:rPr>
          <w:rFonts w:ascii="Arial" w:hAnsi="Arial" w:cs="Arial"/>
          <w:lang w:eastAsia="es-MX"/>
        </w:rPr>
        <w:t xml:space="preserve"> presi</w:t>
      </w:r>
      <w:r>
        <w:rPr>
          <w:rFonts w:ascii="Arial" w:hAnsi="Arial" w:cs="Arial"/>
          <w:lang w:eastAsia="es-MX"/>
        </w:rPr>
        <w:t>o</w:t>
      </w:r>
      <w:r w:rsidRPr="00931D46">
        <w:rPr>
          <w:rFonts w:ascii="Arial" w:hAnsi="Arial" w:cs="Arial"/>
          <w:lang w:eastAsia="es-MX"/>
        </w:rPr>
        <w:t>n</w:t>
      </w:r>
      <w:r>
        <w:rPr>
          <w:rFonts w:ascii="Arial" w:hAnsi="Arial" w:cs="Arial"/>
          <w:lang w:eastAsia="es-MX"/>
        </w:rPr>
        <w:t>es</w:t>
      </w:r>
      <w:r w:rsidRPr="00931D46">
        <w:rPr>
          <w:rFonts w:ascii="Arial" w:hAnsi="Arial" w:cs="Arial"/>
          <w:lang w:eastAsia="es-MX"/>
        </w:rPr>
        <w:t xml:space="preserve"> competitiva</w:t>
      </w:r>
      <w:r>
        <w:rPr>
          <w:rFonts w:ascii="Arial" w:hAnsi="Arial" w:cs="Arial"/>
          <w:lang w:eastAsia="es-MX"/>
        </w:rPr>
        <w:t>s</w:t>
      </w:r>
      <w:r w:rsidRPr="00931D46">
        <w:rPr>
          <w:rFonts w:ascii="Arial" w:hAnsi="Arial" w:cs="Arial"/>
          <w:lang w:eastAsia="es-MX"/>
        </w:rPr>
        <w:t xml:space="preserve"> que ejerzan </w:t>
      </w:r>
      <w:r>
        <w:rPr>
          <w:rFonts w:ascii="Arial" w:hAnsi="Arial" w:cs="Arial"/>
          <w:lang w:eastAsia="es-MX"/>
        </w:rPr>
        <w:t xml:space="preserve">entre sí </w:t>
      </w:r>
      <w:r w:rsidRPr="00931D46">
        <w:rPr>
          <w:rFonts w:ascii="Arial" w:hAnsi="Arial" w:cs="Arial"/>
          <w:lang w:eastAsia="es-MX"/>
        </w:rPr>
        <w:t>en etapas posteriores del análisis de competencia.</w:t>
      </w:r>
    </w:p>
    <w:p w14:paraId="5BBCD0C6" w14:textId="77777777" w:rsidR="00BE0D80" w:rsidRPr="00931D46" w:rsidRDefault="00BE0D80" w:rsidP="00BE0D80">
      <w:pPr>
        <w:spacing w:after="0"/>
        <w:jc w:val="both"/>
        <w:rPr>
          <w:rFonts w:ascii="Arial" w:hAnsi="Arial" w:cs="Arial"/>
          <w:lang w:eastAsia="es-MX"/>
        </w:rPr>
      </w:pPr>
    </w:p>
    <w:p w14:paraId="75A22F51"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29" w:name="_Toc45628369"/>
      <w:r>
        <w:rPr>
          <w:rFonts w:ascii="Arial" w:eastAsia="Times New Roman" w:hAnsi="Arial" w:cs="Arial"/>
          <w:sz w:val="26"/>
          <w:szCs w:val="26"/>
          <w:lang w:eastAsia="es-MX"/>
        </w:rPr>
        <w:lastRenderedPageBreak/>
        <w:t>E</w:t>
      </w:r>
      <w:r w:rsidRPr="00931D46">
        <w:rPr>
          <w:rFonts w:ascii="Arial" w:eastAsia="Times New Roman" w:hAnsi="Arial" w:cs="Arial"/>
          <w:sz w:val="26"/>
          <w:szCs w:val="26"/>
          <w:lang w:eastAsia="es-MX"/>
        </w:rPr>
        <w:t>lementos para determinar MR en presencia de sustitución asimétrica</w:t>
      </w:r>
      <w:bookmarkEnd w:id="129"/>
    </w:p>
    <w:p w14:paraId="69FE2C23" w14:textId="77777777" w:rsidR="00BE0D80" w:rsidRPr="00931D46" w:rsidRDefault="00BE0D80" w:rsidP="00BE0D80">
      <w:pPr>
        <w:keepNext/>
        <w:spacing w:after="0"/>
        <w:jc w:val="both"/>
        <w:rPr>
          <w:rFonts w:ascii="Arial" w:hAnsi="Arial" w:cs="Arial"/>
          <w:lang w:eastAsia="es-MX"/>
        </w:rPr>
      </w:pPr>
    </w:p>
    <w:p w14:paraId="56F02257" w14:textId="77777777" w:rsidR="00BE0D80" w:rsidRPr="00931D46" w:rsidRDefault="00BE0D80" w:rsidP="00BE0D80">
      <w:pPr>
        <w:spacing w:after="0"/>
        <w:jc w:val="both"/>
        <w:rPr>
          <w:rFonts w:ascii="Arial" w:hAnsi="Arial" w:cs="Arial"/>
        </w:rPr>
      </w:pPr>
      <w:r>
        <w:rPr>
          <w:rFonts w:ascii="Arial" w:hAnsi="Arial" w:cs="Arial"/>
        </w:rPr>
        <w:t>E</w:t>
      </w:r>
      <w:r w:rsidRPr="00931D46">
        <w:rPr>
          <w:rFonts w:ascii="Arial" w:hAnsi="Arial" w:cs="Arial"/>
        </w:rPr>
        <w:t xml:space="preserve">l Instituto </w:t>
      </w:r>
      <w:r>
        <w:rPr>
          <w:rFonts w:ascii="Arial" w:hAnsi="Arial" w:cs="Arial"/>
        </w:rPr>
        <w:t xml:space="preserve">podrá </w:t>
      </w:r>
      <w:r w:rsidRPr="00931D46">
        <w:rPr>
          <w:rFonts w:ascii="Arial" w:hAnsi="Arial" w:cs="Arial"/>
          <w:lang w:eastAsia="es-MX"/>
        </w:rPr>
        <w:t xml:space="preserve">identificar el </w:t>
      </w:r>
      <w:r>
        <w:rPr>
          <w:rFonts w:ascii="Arial" w:hAnsi="Arial" w:cs="Arial"/>
          <w:lang w:eastAsia="es-MX"/>
        </w:rPr>
        <w:t>producto</w:t>
      </w:r>
      <w:r w:rsidRPr="00931D46">
        <w:rPr>
          <w:rFonts w:ascii="Arial" w:hAnsi="Arial" w:cs="Arial"/>
          <w:lang w:eastAsia="es-MX"/>
        </w:rPr>
        <w:t xml:space="preserve"> focal conforme a lo señalado en </w:t>
      </w:r>
      <w:r w:rsidRPr="00A50D8E">
        <w:rPr>
          <w:rFonts w:ascii="Arial" w:hAnsi="Arial" w:cs="Arial"/>
          <w:lang w:eastAsia="es-MX"/>
        </w:rPr>
        <w:t>la sección 5.3.1</w:t>
      </w:r>
      <w:r>
        <w:rPr>
          <w:rFonts w:ascii="Arial" w:hAnsi="Arial" w:cs="Arial"/>
          <w:lang w:eastAsia="es-MX"/>
        </w:rPr>
        <w:t xml:space="preserve"> y realizar el análisis de sustitución haciendo uso de los elementos y herramientas de análisis descritos en la sección 5.3.3.</w:t>
      </w:r>
      <w:r w:rsidRPr="00A50D8E">
        <w:rPr>
          <w:rFonts w:ascii="Arial" w:hAnsi="Arial" w:cs="Arial"/>
          <w:lang w:eastAsia="es-MX"/>
        </w:rPr>
        <w:t xml:space="preserve"> </w:t>
      </w:r>
    </w:p>
    <w:p w14:paraId="55624576" w14:textId="77777777" w:rsidR="00BE0D80" w:rsidRPr="00931D46" w:rsidRDefault="00BE0D80" w:rsidP="00BE0D80">
      <w:pPr>
        <w:spacing w:after="0"/>
        <w:jc w:val="both"/>
        <w:rPr>
          <w:rFonts w:ascii="Arial" w:hAnsi="Arial" w:cs="Arial"/>
          <w:b/>
          <w:lang w:eastAsia="es-MX"/>
        </w:rPr>
      </w:pPr>
    </w:p>
    <w:p w14:paraId="360FA240" w14:textId="73610003" w:rsidR="00BE0D80" w:rsidRPr="00931D46" w:rsidRDefault="00BE0D80" w:rsidP="00BE0D80">
      <w:pPr>
        <w:spacing w:after="0"/>
        <w:jc w:val="both"/>
        <w:rPr>
          <w:rFonts w:ascii="Arial" w:hAnsi="Arial" w:cs="Arial"/>
          <w:b/>
          <w:lang w:eastAsia="es-MX"/>
        </w:rPr>
      </w:pPr>
      <w:r w:rsidRPr="00931D46">
        <w:rPr>
          <w:rFonts w:ascii="Arial" w:hAnsi="Arial" w:cs="Arial"/>
          <w:lang w:eastAsia="es-MX"/>
        </w:rPr>
        <w:t>C</w:t>
      </w:r>
      <w:r>
        <w:rPr>
          <w:rFonts w:ascii="Arial" w:hAnsi="Arial" w:cs="Arial"/>
          <w:lang w:eastAsia="es-MX"/>
        </w:rPr>
        <w:t>omo resultado de este análisis, c</w:t>
      </w:r>
      <w:r w:rsidRPr="00931D46">
        <w:rPr>
          <w:rFonts w:ascii="Arial" w:hAnsi="Arial" w:cs="Arial"/>
          <w:lang w:eastAsia="es-MX"/>
        </w:rPr>
        <w:t xml:space="preserve">uando </w:t>
      </w:r>
      <w:r>
        <w:rPr>
          <w:rFonts w:ascii="Arial" w:hAnsi="Arial" w:cs="Arial"/>
          <w:lang w:eastAsia="es-MX"/>
        </w:rPr>
        <w:t>se identifique que algún producto es sustituto del producto analizado, ambos</w:t>
      </w:r>
      <w:r w:rsidRPr="00931D46">
        <w:rPr>
          <w:rFonts w:ascii="Arial" w:hAnsi="Arial" w:cs="Arial"/>
          <w:lang w:eastAsia="es-MX"/>
        </w:rPr>
        <w:t xml:space="preserve"> </w:t>
      </w:r>
      <w:r>
        <w:rPr>
          <w:rFonts w:ascii="Arial" w:hAnsi="Arial" w:cs="Arial"/>
          <w:lang w:eastAsia="es-MX"/>
        </w:rPr>
        <w:t>productos formarán parte del MR, aun cuando el producto analizado no sustituya al producto alternativo</w:t>
      </w:r>
      <w:r w:rsidRPr="00931D46">
        <w:rPr>
          <w:rFonts w:ascii="Arial" w:hAnsi="Arial" w:cs="Arial"/>
          <w:lang w:eastAsia="es-MX"/>
        </w:rPr>
        <w:t xml:space="preserve">. </w:t>
      </w:r>
    </w:p>
    <w:p w14:paraId="10D037B0" w14:textId="77777777" w:rsidR="00BE0D80" w:rsidRPr="00931D46" w:rsidRDefault="00BE0D80" w:rsidP="00BE0D80">
      <w:pPr>
        <w:spacing w:after="0"/>
        <w:jc w:val="both"/>
        <w:rPr>
          <w:rFonts w:ascii="Arial" w:hAnsi="Arial" w:cs="Arial"/>
          <w:lang w:eastAsia="es-MX"/>
        </w:rPr>
      </w:pPr>
    </w:p>
    <w:p w14:paraId="1EF50486"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130" w:name="_Toc41649783"/>
      <w:bookmarkStart w:id="131" w:name="_Toc41649916"/>
      <w:bookmarkStart w:id="132" w:name="_Toc45216589"/>
      <w:bookmarkStart w:id="133" w:name="_Toc45628370"/>
      <w:bookmarkStart w:id="134" w:name="_Toc85473335"/>
      <w:r w:rsidRPr="00931D46">
        <w:rPr>
          <w:rFonts w:ascii="Arial" w:eastAsia="Times New Roman" w:hAnsi="Arial" w:cs="Arial"/>
          <w:sz w:val="26"/>
          <w:lang w:eastAsia="es-MX"/>
        </w:rPr>
        <w:t xml:space="preserve">Diferenciación de </w:t>
      </w:r>
      <w:bookmarkEnd w:id="130"/>
      <w:bookmarkEnd w:id="131"/>
      <w:bookmarkEnd w:id="132"/>
      <w:bookmarkEnd w:id="133"/>
      <w:r>
        <w:rPr>
          <w:rFonts w:ascii="Arial" w:eastAsia="Times New Roman" w:hAnsi="Arial" w:cs="Arial"/>
          <w:sz w:val="26"/>
          <w:lang w:eastAsia="es-MX"/>
        </w:rPr>
        <w:t>productos</w:t>
      </w:r>
      <w:bookmarkEnd w:id="134"/>
      <w:r w:rsidRPr="00931D46">
        <w:rPr>
          <w:rFonts w:ascii="Arial" w:eastAsia="Times New Roman" w:hAnsi="Arial" w:cs="Arial"/>
          <w:sz w:val="26"/>
          <w:lang w:eastAsia="es-MX"/>
        </w:rPr>
        <w:t xml:space="preserve"> </w:t>
      </w:r>
    </w:p>
    <w:p w14:paraId="38BB5B40" w14:textId="77777777" w:rsidR="00BE0D80" w:rsidRPr="00931D46" w:rsidRDefault="00BE0D80" w:rsidP="00BE0D80">
      <w:pPr>
        <w:keepNext/>
        <w:spacing w:after="0"/>
        <w:jc w:val="both"/>
        <w:rPr>
          <w:rFonts w:ascii="Arial" w:eastAsiaTheme="majorEastAsia" w:hAnsi="Arial" w:cs="Arial"/>
        </w:rPr>
      </w:pPr>
      <w:bookmarkStart w:id="135" w:name="_Toc41649794"/>
      <w:bookmarkStart w:id="136" w:name="_Toc41649921"/>
    </w:p>
    <w:p w14:paraId="06A88689" w14:textId="77777777" w:rsidR="00BE0D80" w:rsidRPr="00931D46" w:rsidRDefault="00BE0D80" w:rsidP="00BE0D80">
      <w:pPr>
        <w:spacing w:after="0"/>
        <w:jc w:val="both"/>
        <w:rPr>
          <w:rFonts w:ascii="Arial" w:hAnsi="Arial" w:cs="Arial"/>
        </w:rPr>
      </w:pPr>
      <w:r w:rsidRPr="00931D46">
        <w:rPr>
          <w:rFonts w:ascii="Arial" w:hAnsi="Arial" w:cs="Arial"/>
        </w:rPr>
        <w:t xml:space="preserve">La literatura y la práctica en materia de competencia económica señala que </w:t>
      </w:r>
      <w:r w:rsidRPr="00931D46">
        <w:rPr>
          <w:rFonts w:ascii="Arial" w:hAnsi="Arial" w:cs="Arial"/>
          <w:i/>
        </w:rPr>
        <w:t xml:space="preserve">“los productos destinados a usos similares, pero con características bastante diferentes se denominan </w:t>
      </w:r>
      <w:r w:rsidRPr="00931D46">
        <w:rPr>
          <w:rFonts w:ascii="Arial" w:hAnsi="Arial" w:cs="Arial"/>
          <w:b/>
          <w:i/>
        </w:rPr>
        <w:t>productos diferenciados</w:t>
      </w:r>
      <w:r w:rsidRPr="00931D46">
        <w:rPr>
          <w:rFonts w:ascii="Arial" w:hAnsi="Arial" w:cs="Arial"/>
          <w:i/>
        </w:rPr>
        <w:t xml:space="preserve"> […] Los mercados diferenciados generalmente se caracterizan por un continuo de sustitución y una intensidad variable de la interacción competitiva entre los productos en cuestión”.</w:t>
      </w:r>
      <w:r w:rsidRPr="00931D46">
        <w:rPr>
          <w:rFonts w:ascii="Arial" w:hAnsi="Arial" w:cs="Arial"/>
          <w:vertAlign w:val="superscript"/>
        </w:rPr>
        <w:footnoteReference w:id="99"/>
      </w:r>
      <w:r w:rsidRPr="00931D46">
        <w:rPr>
          <w:rFonts w:ascii="Arial" w:hAnsi="Arial" w:cs="Arial"/>
        </w:rPr>
        <w:t xml:space="preserve"> La diferenciación de </w:t>
      </w:r>
      <w:r>
        <w:rPr>
          <w:rFonts w:ascii="Arial" w:hAnsi="Arial" w:cs="Arial"/>
        </w:rPr>
        <w:t>productos</w:t>
      </w:r>
      <w:r w:rsidRPr="00931D46">
        <w:rPr>
          <w:rFonts w:ascii="Arial" w:hAnsi="Arial" w:cs="Arial"/>
        </w:rPr>
        <w:t xml:space="preserve"> puede ser horizontal o vertical:</w:t>
      </w:r>
      <w:r w:rsidRPr="00931D46">
        <w:rPr>
          <w:rStyle w:val="Refdenotaalpie"/>
          <w:rFonts w:ascii="Arial" w:hAnsi="Arial" w:cs="Arial"/>
        </w:rPr>
        <w:footnoteReference w:id="100"/>
      </w:r>
      <w:r w:rsidRPr="00931D46">
        <w:rPr>
          <w:rFonts w:ascii="Arial" w:hAnsi="Arial" w:cs="Arial"/>
        </w:rPr>
        <w:t xml:space="preserve"> </w:t>
      </w:r>
    </w:p>
    <w:p w14:paraId="0A3DF8E9" w14:textId="77777777" w:rsidR="00BE0D80" w:rsidRPr="00A92633" w:rsidRDefault="00BE0D80" w:rsidP="00BE0D80">
      <w:pPr>
        <w:pStyle w:val="Prrafodelista"/>
        <w:spacing w:after="0"/>
        <w:ind w:left="714"/>
        <w:contextualSpacing w:val="0"/>
        <w:jc w:val="both"/>
        <w:rPr>
          <w:rFonts w:ascii="Arial" w:eastAsiaTheme="majorEastAsia" w:hAnsi="Arial" w:cs="Arial"/>
        </w:rPr>
      </w:pPr>
    </w:p>
    <w:p w14:paraId="0682AC89" w14:textId="77777777" w:rsidR="00BE0D80" w:rsidRPr="00931D46" w:rsidRDefault="00BE0D80" w:rsidP="00BE0D80">
      <w:pPr>
        <w:pStyle w:val="Prrafodelista"/>
        <w:numPr>
          <w:ilvl w:val="0"/>
          <w:numId w:val="6"/>
        </w:numPr>
        <w:spacing w:after="0"/>
        <w:ind w:left="714" w:hanging="572"/>
        <w:contextualSpacing w:val="0"/>
        <w:jc w:val="both"/>
        <w:rPr>
          <w:rFonts w:ascii="Arial" w:eastAsiaTheme="majorEastAsia" w:hAnsi="Arial" w:cs="Arial"/>
        </w:rPr>
      </w:pPr>
      <w:r w:rsidRPr="00931D46">
        <w:rPr>
          <w:rFonts w:ascii="Arial" w:eastAsiaTheme="majorEastAsia" w:hAnsi="Arial" w:cs="Arial"/>
          <w:b/>
        </w:rPr>
        <w:t>Diferenciación vertical</w:t>
      </w:r>
      <w:r w:rsidRPr="00931D46">
        <w:rPr>
          <w:rFonts w:ascii="Arial" w:eastAsiaTheme="majorEastAsia" w:hAnsi="Arial" w:cs="Arial"/>
        </w:rPr>
        <w:t xml:space="preserve">. Se encuentra asociada a atributos de calidad, es decir, se presenta cuando el </w:t>
      </w:r>
      <w:r>
        <w:rPr>
          <w:rFonts w:ascii="Arial" w:eastAsiaTheme="majorEastAsia" w:hAnsi="Arial" w:cs="Arial"/>
        </w:rPr>
        <w:t>producto</w:t>
      </w:r>
      <w:r w:rsidRPr="00931D46">
        <w:rPr>
          <w:rFonts w:ascii="Arial" w:eastAsiaTheme="majorEastAsia" w:hAnsi="Arial" w:cs="Arial"/>
        </w:rPr>
        <w:t xml:space="preserve"> tiene atributos que lo hacen más valorado ante los consumidores en general. Esto significa que, si se enfrentan al mismo precio, todos los consumidores preferirán el </w:t>
      </w:r>
      <w:r>
        <w:rPr>
          <w:rFonts w:ascii="Arial" w:eastAsiaTheme="majorEastAsia" w:hAnsi="Arial" w:cs="Arial"/>
        </w:rPr>
        <w:t>producto</w:t>
      </w:r>
      <w:r w:rsidRPr="00931D46">
        <w:rPr>
          <w:rFonts w:ascii="Arial" w:eastAsiaTheme="majorEastAsia" w:hAnsi="Arial" w:cs="Arial"/>
        </w:rPr>
        <w:t xml:space="preserve"> de mayor calidad, mientras que el </w:t>
      </w:r>
      <w:r>
        <w:rPr>
          <w:rFonts w:ascii="Arial" w:eastAsiaTheme="majorEastAsia" w:hAnsi="Arial" w:cs="Arial"/>
        </w:rPr>
        <w:t>producto</w:t>
      </w:r>
      <w:r w:rsidRPr="00931D46">
        <w:rPr>
          <w:rFonts w:ascii="Arial" w:eastAsiaTheme="majorEastAsia" w:hAnsi="Arial" w:cs="Arial"/>
        </w:rPr>
        <w:t xml:space="preserve"> de menor calidad sólo sería adquirido si se ofrece a menor precio, aunque tenga las mismas funcionalidades.</w:t>
      </w:r>
    </w:p>
    <w:p w14:paraId="5E21A57C" w14:textId="77777777" w:rsidR="00BE0D80" w:rsidRPr="00A92633" w:rsidRDefault="00BE0D80" w:rsidP="00BE0D80">
      <w:pPr>
        <w:pStyle w:val="Prrafodelista"/>
        <w:spacing w:after="0"/>
        <w:ind w:left="714"/>
        <w:contextualSpacing w:val="0"/>
        <w:jc w:val="both"/>
        <w:rPr>
          <w:rFonts w:ascii="Arial" w:eastAsiaTheme="majorEastAsia" w:hAnsi="Arial" w:cs="Arial"/>
        </w:rPr>
      </w:pPr>
    </w:p>
    <w:p w14:paraId="4BD67C35" w14:textId="77777777" w:rsidR="00BE0D80" w:rsidRPr="00931D46" w:rsidRDefault="00BE0D80" w:rsidP="00BE0D80">
      <w:pPr>
        <w:pStyle w:val="Prrafodelista"/>
        <w:numPr>
          <w:ilvl w:val="0"/>
          <w:numId w:val="6"/>
        </w:numPr>
        <w:spacing w:after="0"/>
        <w:ind w:left="714" w:hanging="572"/>
        <w:contextualSpacing w:val="0"/>
        <w:jc w:val="both"/>
        <w:rPr>
          <w:rFonts w:ascii="Arial" w:eastAsiaTheme="majorEastAsia" w:hAnsi="Arial" w:cs="Arial"/>
        </w:rPr>
      </w:pPr>
      <w:r w:rsidRPr="00931D46">
        <w:rPr>
          <w:rFonts w:ascii="Arial" w:eastAsiaTheme="majorEastAsia" w:hAnsi="Arial" w:cs="Arial"/>
          <w:b/>
        </w:rPr>
        <w:t>Diferenciación horizontal</w:t>
      </w:r>
      <w:r w:rsidRPr="00931D46">
        <w:rPr>
          <w:rFonts w:ascii="Arial" w:eastAsiaTheme="majorEastAsia" w:hAnsi="Arial" w:cs="Arial"/>
        </w:rPr>
        <w:t xml:space="preserve">. Se presenta cuando los </w:t>
      </w:r>
      <w:r>
        <w:rPr>
          <w:rFonts w:ascii="Arial" w:eastAsiaTheme="majorEastAsia" w:hAnsi="Arial" w:cs="Arial"/>
        </w:rPr>
        <w:t>productos</w:t>
      </w:r>
      <w:r w:rsidRPr="00931D46">
        <w:rPr>
          <w:rFonts w:ascii="Arial" w:eastAsiaTheme="majorEastAsia" w:hAnsi="Arial" w:cs="Arial"/>
        </w:rPr>
        <w:t xml:space="preserve"> exhiben diferencias en atributos (se diferencian en variedad) de forma que cada variante no es considerada de manera general como mejor o peor que otra, sino que responde a las preferencias particulares de los distintos consumidores. Esto implica que, en igualdad de precios, dos </w:t>
      </w:r>
      <w:r>
        <w:rPr>
          <w:rFonts w:ascii="Arial" w:eastAsiaTheme="majorEastAsia" w:hAnsi="Arial" w:cs="Arial"/>
        </w:rPr>
        <w:t>productos</w:t>
      </w:r>
      <w:r w:rsidRPr="00931D46">
        <w:rPr>
          <w:rFonts w:ascii="Arial" w:eastAsiaTheme="majorEastAsia" w:hAnsi="Arial" w:cs="Arial"/>
        </w:rPr>
        <w:t xml:space="preserve"> diferenciados horizontalmente serán adquiridos por distintos grupos de consumidores. </w:t>
      </w:r>
    </w:p>
    <w:p w14:paraId="7E67E83F" w14:textId="77777777" w:rsidR="00BE0D80" w:rsidRPr="00931D46" w:rsidRDefault="00BE0D80" w:rsidP="00BE0D80">
      <w:pPr>
        <w:spacing w:after="0"/>
        <w:jc w:val="both"/>
        <w:rPr>
          <w:rFonts w:ascii="Arial" w:hAnsi="Arial" w:cs="Arial"/>
        </w:rPr>
      </w:pPr>
    </w:p>
    <w:p w14:paraId="7345C7C6" w14:textId="77777777" w:rsidR="00BE0D80" w:rsidRPr="00931D46" w:rsidRDefault="00BE0D80" w:rsidP="00BE0D80">
      <w:pPr>
        <w:spacing w:after="0"/>
        <w:jc w:val="both"/>
        <w:rPr>
          <w:rFonts w:ascii="Arial" w:hAnsi="Arial" w:cs="Arial"/>
        </w:rPr>
      </w:pPr>
      <w:r w:rsidRPr="00931D46">
        <w:rPr>
          <w:rFonts w:ascii="Arial" w:eastAsiaTheme="majorEastAsia" w:hAnsi="Arial" w:cs="Arial"/>
        </w:rPr>
        <w:t xml:space="preserve">En </w:t>
      </w:r>
      <w:r w:rsidRPr="00931D46">
        <w:rPr>
          <w:rFonts w:ascii="Arial" w:hAnsi="Arial" w:cs="Arial"/>
        </w:rPr>
        <w:t xml:space="preserve">los sectores de TyR, </w:t>
      </w:r>
      <w:r w:rsidRPr="00931D46">
        <w:rPr>
          <w:rFonts w:ascii="Arial" w:eastAsiaTheme="majorEastAsia" w:hAnsi="Arial" w:cs="Arial"/>
        </w:rPr>
        <w:t>muchos de</w:t>
      </w:r>
      <w:r w:rsidRPr="00931D46">
        <w:rPr>
          <w:rFonts w:ascii="Arial" w:hAnsi="Arial" w:cs="Arial"/>
        </w:rPr>
        <w:t xml:space="preserve"> los productos que se proveen son diferenciados, ya sea como resultado de las decisiones estratégicas de los proveedores (por ejemplo, servicios de precio cero que se diferencian en calidad u otros elementos) o de la continua innovación que caracteriza a </w:t>
      </w:r>
      <w:r w:rsidRPr="00931D46">
        <w:rPr>
          <w:rFonts w:ascii="Arial" w:hAnsi="Arial" w:cs="Arial"/>
        </w:rPr>
        <w:lastRenderedPageBreak/>
        <w:t>los mercados en estos sectores,</w:t>
      </w:r>
      <w:r w:rsidRPr="00931D46">
        <w:rPr>
          <w:rFonts w:ascii="Arial" w:hAnsi="Arial" w:cs="Arial"/>
          <w:vertAlign w:val="superscript"/>
        </w:rPr>
        <w:footnoteReference w:id="101"/>
      </w:r>
      <w:r w:rsidRPr="00931D46">
        <w:rPr>
          <w:rFonts w:ascii="Arial" w:hAnsi="Arial" w:cs="Arial"/>
        </w:rPr>
        <w:t xml:space="preserve"> tales como la convergencia tecnológica, surgimiento de nuevas tecnologías, digitalización y constante surgimiento de nuevos modelos de negocio.</w:t>
      </w:r>
    </w:p>
    <w:p w14:paraId="570DDFC1" w14:textId="77777777" w:rsidR="00BE0D80" w:rsidRPr="00931D46" w:rsidRDefault="00BE0D80" w:rsidP="00BE0D80">
      <w:pPr>
        <w:spacing w:after="0"/>
        <w:jc w:val="both"/>
        <w:rPr>
          <w:rFonts w:ascii="Arial" w:hAnsi="Arial" w:cs="Arial"/>
        </w:rPr>
      </w:pPr>
    </w:p>
    <w:p w14:paraId="4A4DCD73" w14:textId="77777777" w:rsidR="00BE0D80" w:rsidRPr="00931D46" w:rsidRDefault="00BE0D80" w:rsidP="00BE0D80">
      <w:pPr>
        <w:spacing w:after="0"/>
        <w:jc w:val="both"/>
        <w:rPr>
          <w:rFonts w:ascii="Arial" w:hAnsi="Arial" w:cs="Arial"/>
        </w:rPr>
      </w:pPr>
      <w:r w:rsidRPr="00931D46">
        <w:rPr>
          <w:rFonts w:ascii="Arial" w:eastAsiaTheme="majorEastAsia" w:hAnsi="Arial" w:cs="Arial"/>
        </w:rPr>
        <w:t xml:space="preserve">Para efectos de la delimitación del MR en presencia de </w:t>
      </w:r>
      <w:r>
        <w:rPr>
          <w:rFonts w:ascii="Arial" w:eastAsiaTheme="majorEastAsia" w:hAnsi="Arial" w:cs="Arial"/>
        </w:rPr>
        <w:t>productos</w:t>
      </w:r>
      <w:r w:rsidRPr="00931D46">
        <w:rPr>
          <w:rFonts w:ascii="Arial" w:eastAsiaTheme="majorEastAsia" w:hAnsi="Arial" w:cs="Arial"/>
        </w:rPr>
        <w:t xml:space="preserve"> </w:t>
      </w:r>
      <w:r w:rsidRPr="0007382E">
        <w:rPr>
          <w:rFonts w:ascii="Arial" w:eastAsiaTheme="majorEastAsia" w:hAnsi="Arial" w:cs="Arial"/>
        </w:rPr>
        <w:t xml:space="preserve">diferenciados, la determinación precisa de los límites del MR puede representar un desafío, pues los productos, </w:t>
      </w:r>
      <w:r w:rsidRPr="0007382E">
        <w:rPr>
          <w:rFonts w:ascii="Arial" w:hAnsi="Arial" w:cs="Arial"/>
        </w:rPr>
        <w:t>sin ser sustitutos perfectos, pueden pertenecer a un mismo MR, principalmente si se comprueba la existencia de cadenas de sustitución; y también puede haber situaciones en las que,</w:t>
      </w:r>
      <w:r w:rsidRPr="0007382E">
        <w:rPr>
          <w:rFonts w:ascii="Arial" w:eastAsiaTheme="majorEastAsia" w:hAnsi="Arial" w:cs="Arial"/>
        </w:rPr>
        <w:t xml:space="preserve"> </w:t>
      </w:r>
      <w:r w:rsidRPr="0007382E">
        <w:rPr>
          <w:rFonts w:ascii="Arial" w:hAnsi="Arial" w:cs="Arial"/>
        </w:rPr>
        <w:t>aun cuando los productos tengan</w:t>
      </w:r>
      <w:r w:rsidRPr="00931D46">
        <w:rPr>
          <w:rFonts w:ascii="Arial" w:hAnsi="Arial" w:cs="Arial"/>
        </w:rPr>
        <w:t xml:space="preserve"> usos semejantes o pudieran ser provistos por el mismo AE, pueden no pertenecer al mismo MR. Ello dependerá de la presión competitiva que </w:t>
      </w:r>
      <w:r>
        <w:rPr>
          <w:rFonts w:ascii="Arial" w:hAnsi="Arial" w:cs="Arial"/>
        </w:rPr>
        <w:t>ejerzan</w:t>
      </w:r>
      <w:r w:rsidRPr="00931D46">
        <w:rPr>
          <w:rFonts w:ascii="Arial" w:hAnsi="Arial" w:cs="Arial"/>
        </w:rPr>
        <w:t xml:space="preserve"> entre sí.</w:t>
      </w:r>
    </w:p>
    <w:p w14:paraId="25CF828E" w14:textId="77777777" w:rsidR="00BE0D80" w:rsidRPr="00931D46" w:rsidRDefault="00BE0D80" w:rsidP="00BE0D80">
      <w:pPr>
        <w:spacing w:after="0"/>
        <w:jc w:val="both"/>
        <w:rPr>
          <w:rFonts w:ascii="Arial" w:hAnsi="Arial" w:cs="Arial"/>
        </w:rPr>
      </w:pPr>
    </w:p>
    <w:p w14:paraId="24D049E5"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37" w:name="_Toc41643459"/>
      <w:bookmarkStart w:id="138" w:name="_Toc41643552"/>
      <w:bookmarkStart w:id="139" w:name="_Toc41643648"/>
      <w:bookmarkStart w:id="140" w:name="_Toc41649785"/>
      <w:bookmarkStart w:id="141" w:name="_Toc41649918"/>
      <w:bookmarkStart w:id="142" w:name="_Toc45628372"/>
      <w:r w:rsidRPr="00931D46">
        <w:rPr>
          <w:rFonts w:ascii="Arial" w:eastAsia="Times New Roman" w:hAnsi="Arial" w:cs="Arial"/>
          <w:sz w:val="26"/>
          <w:szCs w:val="26"/>
          <w:lang w:eastAsia="es-MX"/>
        </w:rPr>
        <w:t>Precedentes decisorios del Instituto</w:t>
      </w:r>
      <w:bookmarkEnd w:id="137"/>
      <w:bookmarkEnd w:id="138"/>
      <w:bookmarkEnd w:id="139"/>
      <w:bookmarkEnd w:id="140"/>
      <w:bookmarkEnd w:id="141"/>
      <w:bookmarkEnd w:id="142"/>
    </w:p>
    <w:p w14:paraId="65AF9488" w14:textId="77777777" w:rsidR="00BE0D80" w:rsidRPr="00931D46" w:rsidRDefault="00BE0D80" w:rsidP="00BE0D80">
      <w:pPr>
        <w:keepNext/>
        <w:spacing w:after="0"/>
        <w:jc w:val="both"/>
        <w:rPr>
          <w:rFonts w:ascii="Arial" w:hAnsi="Arial" w:cs="Arial"/>
        </w:rPr>
      </w:pPr>
    </w:p>
    <w:p w14:paraId="1BE2040B" w14:textId="77777777" w:rsidR="00BE0D80" w:rsidRDefault="00BE0D80" w:rsidP="00BE0D80">
      <w:pPr>
        <w:spacing w:after="0"/>
        <w:jc w:val="both"/>
        <w:rPr>
          <w:rFonts w:ascii="Arial" w:hAnsi="Arial" w:cs="Arial"/>
        </w:rPr>
      </w:pPr>
      <w:r w:rsidRPr="00931D46">
        <w:rPr>
          <w:rFonts w:ascii="Arial" w:hAnsi="Arial" w:cs="Arial"/>
        </w:rPr>
        <w:t>Conforme a precedentes decisorios del Instituto,</w:t>
      </w:r>
      <w:r w:rsidRPr="002C3B4F">
        <w:rPr>
          <w:rFonts w:ascii="Arial" w:eastAsia="Times New Roman" w:hAnsi="Arial" w:cs="Arial"/>
          <w:szCs w:val="26"/>
          <w:vertAlign w:val="superscript"/>
          <w:lang w:eastAsia="es-MX"/>
        </w:rPr>
        <w:footnoteReference w:id="102"/>
      </w:r>
      <w:r w:rsidRPr="00931D46">
        <w:rPr>
          <w:rFonts w:ascii="Arial" w:hAnsi="Arial" w:cs="Arial"/>
        </w:rPr>
        <w:t xml:space="preserve"> se identifica que, en presencia de </w:t>
      </w:r>
      <w:r>
        <w:rPr>
          <w:rFonts w:ascii="Arial" w:hAnsi="Arial" w:cs="Arial"/>
        </w:rPr>
        <w:t>productos</w:t>
      </w:r>
      <w:r w:rsidRPr="00931D46">
        <w:rPr>
          <w:rFonts w:ascii="Arial" w:hAnsi="Arial" w:cs="Arial"/>
        </w:rPr>
        <w:t xml:space="preserve"> diferenciados, </w:t>
      </w:r>
      <w:r>
        <w:rPr>
          <w:rFonts w:ascii="Arial" w:hAnsi="Arial" w:cs="Arial"/>
        </w:rPr>
        <w:t xml:space="preserve">se </w:t>
      </w:r>
      <w:r w:rsidRPr="00931D46">
        <w:rPr>
          <w:rFonts w:ascii="Arial" w:hAnsi="Arial" w:cs="Arial"/>
        </w:rPr>
        <w:t>ha</w:t>
      </w:r>
      <w:r>
        <w:rPr>
          <w:rFonts w:ascii="Arial" w:hAnsi="Arial" w:cs="Arial"/>
        </w:rPr>
        <w:t>n</w:t>
      </w:r>
      <w:r w:rsidRPr="00931D46">
        <w:rPr>
          <w:rFonts w:ascii="Arial" w:hAnsi="Arial" w:cs="Arial"/>
        </w:rPr>
        <w:t xml:space="preserve"> considerado los siguientes elementos</w:t>
      </w:r>
      <w:r w:rsidRPr="00942671">
        <w:rPr>
          <w:rFonts w:ascii="Arial" w:hAnsi="Arial" w:cs="Arial"/>
        </w:rPr>
        <w:t xml:space="preserve"> </w:t>
      </w:r>
      <w:r>
        <w:rPr>
          <w:rFonts w:ascii="Arial" w:hAnsi="Arial" w:cs="Arial"/>
        </w:rPr>
        <w:t xml:space="preserve">para </w:t>
      </w:r>
      <w:r w:rsidRPr="00931D46">
        <w:rPr>
          <w:rFonts w:ascii="Arial" w:hAnsi="Arial" w:cs="Arial"/>
        </w:rPr>
        <w:t>la determinación del MR:</w:t>
      </w:r>
    </w:p>
    <w:p w14:paraId="48C1DD48" w14:textId="77777777" w:rsidR="00BE0D80" w:rsidRDefault="00BE0D80" w:rsidP="00BE0D80">
      <w:pPr>
        <w:pStyle w:val="Prrafodelista"/>
        <w:spacing w:after="0"/>
        <w:ind w:left="709"/>
        <w:contextualSpacing w:val="0"/>
        <w:jc w:val="both"/>
        <w:rPr>
          <w:rFonts w:ascii="Arial" w:hAnsi="Arial" w:cs="Arial"/>
        </w:rPr>
      </w:pPr>
    </w:p>
    <w:p w14:paraId="5052F157" w14:textId="77777777" w:rsidR="00BE0D80" w:rsidRDefault="00BE0D80" w:rsidP="00BE0D8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 xml:space="preserve">as características de los </w:t>
      </w:r>
      <w:r>
        <w:rPr>
          <w:rFonts w:ascii="Arial" w:hAnsi="Arial" w:cs="Arial"/>
        </w:rPr>
        <w:t>productos</w:t>
      </w:r>
      <w:r w:rsidRPr="002C3B4F">
        <w:rPr>
          <w:rFonts w:ascii="Arial" w:hAnsi="Arial" w:cs="Arial"/>
        </w:rPr>
        <w:t>,</w:t>
      </w:r>
    </w:p>
    <w:p w14:paraId="19017CCF" w14:textId="77777777" w:rsidR="00BE0D80" w:rsidRDefault="00BE0D80" w:rsidP="00BE0D80">
      <w:pPr>
        <w:pStyle w:val="Prrafodelista"/>
        <w:spacing w:after="0"/>
        <w:ind w:left="709"/>
        <w:contextualSpacing w:val="0"/>
        <w:jc w:val="both"/>
        <w:rPr>
          <w:rFonts w:ascii="Arial" w:hAnsi="Arial" w:cs="Arial"/>
        </w:rPr>
      </w:pPr>
    </w:p>
    <w:p w14:paraId="691DE1BF" w14:textId="77777777" w:rsidR="00BE0D80" w:rsidRDefault="00BE0D80" w:rsidP="00BE0D8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as preferencias de los usuarios,</w:t>
      </w:r>
    </w:p>
    <w:p w14:paraId="3A6A4057" w14:textId="77777777" w:rsidR="00BE0D80" w:rsidRDefault="00BE0D80" w:rsidP="00BE0D80">
      <w:pPr>
        <w:pStyle w:val="Prrafodelista"/>
        <w:spacing w:after="0"/>
        <w:ind w:left="709"/>
        <w:contextualSpacing w:val="0"/>
        <w:jc w:val="both"/>
        <w:rPr>
          <w:rFonts w:ascii="Arial" w:hAnsi="Arial" w:cs="Arial"/>
        </w:rPr>
      </w:pPr>
    </w:p>
    <w:p w14:paraId="19332F49" w14:textId="77777777" w:rsidR="00BE0D80" w:rsidRDefault="00BE0D80" w:rsidP="00BE0D8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os usos y funcionalidades de los productos, y/o</w:t>
      </w:r>
    </w:p>
    <w:p w14:paraId="5BA9C9A7" w14:textId="77777777" w:rsidR="00BE0D80" w:rsidRDefault="00BE0D80" w:rsidP="00BE0D80">
      <w:pPr>
        <w:pStyle w:val="Prrafodelista"/>
        <w:spacing w:after="0"/>
        <w:ind w:left="709"/>
        <w:contextualSpacing w:val="0"/>
        <w:jc w:val="both"/>
        <w:rPr>
          <w:rFonts w:ascii="Arial" w:hAnsi="Arial" w:cs="Arial"/>
        </w:rPr>
      </w:pPr>
    </w:p>
    <w:p w14:paraId="1BA9E61C" w14:textId="77777777" w:rsidR="00BE0D80" w:rsidRDefault="00BE0D80" w:rsidP="00BE0D8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 xml:space="preserve">os precios y su evolución. </w:t>
      </w:r>
    </w:p>
    <w:p w14:paraId="5FED7CDD" w14:textId="77777777" w:rsidR="00BE0D80" w:rsidRDefault="00BE0D80" w:rsidP="00BE0D80">
      <w:pPr>
        <w:spacing w:after="0"/>
        <w:jc w:val="both"/>
        <w:rPr>
          <w:rFonts w:ascii="Arial" w:hAnsi="Arial" w:cs="Arial"/>
        </w:rPr>
      </w:pPr>
    </w:p>
    <w:p w14:paraId="34DC0912" w14:textId="77777777" w:rsidR="00BE0D80" w:rsidRDefault="00BE0D80" w:rsidP="00BE0D80">
      <w:pPr>
        <w:spacing w:after="0"/>
        <w:jc w:val="both"/>
        <w:rPr>
          <w:rFonts w:ascii="Arial" w:hAnsi="Arial" w:cs="Arial"/>
        </w:rPr>
      </w:pPr>
      <w:r w:rsidRPr="002C3B4F">
        <w:rPr>
          <w:rFonts w:ascii="Arial" w:hAnsi="Arial" w:cs="Arial"/>
        </w:rPr>
        <w:t xml:space="preserve">Asimismo, de acuerdo con la experiencia nacional, es posible determinar distintos MR cuando se demuestra que los </w:t>
      </w:r>
      <w:r>
        <w:rPr>
          <w:rFonts w:ascii="Arial" w:hAnsi="Arial" w:cs="Arial"/>
        </w:rPr>
        <w:t>productos</w:t>
      </w:r>
      <w:r w:rsidRPr="002C3B4F">
        <w:rPr>
          <w:rFonts w:ascii="Arial" w:hAnsi="Arial" w:cs="Arial"/>
        </w:rPr>
        <w:t xml:space="preserve"> no ejercen suficiente presión competitiva entre sí, aun cuando tengan usos semejantes o pudieran ser provistos por el mismo AE.</w:t>
      </w:r>
    </w:p>
    <w:p w14:paraId="7854C8C2" w14:textId="77777777" w:rsidR="00BE0D80" w:rsidRPr="002C3B4F" w:rsidRDefault="00BE0D80" w:rsidP="00BE0D80">
      <w:pPr>
        <w:spacing w:after="0"/>
        <w:jc w:val="both"/>
        <w:rPr>
          <w:rFonts w:ascii="Arial" w:hAnsi="Arial" w:cs="Arial"/>
        </w:rPr>
      </w:pPr>
    </w:p>
    <w:p w14:paraId="67A6B6C8"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43" w:name="_Toc41643462"/>
      <w:bookmarkStart w:id="144" w:name="_Toc41643555"/>
      <w:bookmarkStart w:id="145" w:name="_Toc41643651"/>
      <w:bookmarkStart w:id="146" w:name="_Toc41649788"/>
      <w:bookmarkStart w:id="147" w:name="_Toc41649919"/>
      <w:bookmarkStart w:id="148" w:name="_Toc45628373"/>
      <w:r w:rsidRPr="00931D46">
        <w:rPr>
          <w:rFonts w:ascii="Arial" w:eastAsia="Times New Roman" w:hAnsi="Arial" w:cs="Arial"/>
          <w:sz w:val="26"/>
          <w:szCs w:val="26"/>
          <w:lang w:eastAsia="es-MX"/>
        </w:rPr>
        <w:lastRenderedPageBreak/>
        <w:t>Experiencia Internacional</w:t>
      </w:r>
      <w:bookmarkEnd w:id="143"/>
      <w:bookmarkEnd w:id="144"/>
      <w:bookmarkEnd w:id="145"/>
      <w:bookmarkEnd w:id="146"/>
      <w:bookmarkEnd w:id="147"/>
      <w:bookmarkEnd w:id="148"/>
    </w:p>
    <w:p w14:paraId="01BEFDB0" w14:textId="77777777" w:rsidR="00BE0D80" w:rsidRPr="00931D46" w:rsidRDefault="00BE0D80" w:rsidP="00BE0D80">
      <w:pPr>
        <w:keepNext/>
        <w:spacing w:after="0"/>
        <w:jc w:val="both"/>
        <w:rPr>
          <w:rFonts w:ascii="Arial" w:hAnsi="Arial" w:cs="Arial"/>
        </w:rPr>
      </w:pPr>
    </w:p>
    <w:p w14:paraId="1716F30D" w14:textId="77777777" w:rsidR="00BE0D80" w:rsidRDefault="00BE0D80" w:rsidP="00BE0D80">
      <w:pPr>
        <w:spacing w:after="0"/>
        <w:jc w:val="both"/>
        <w:rPr>
          <w:rFonts w:ascii="Arial" w:hAnsi="Arial" w:cs="Arial"/>
        </w:rPr>
      </w:pPr>
      <w:r>
        <w:rPr>
          <w:rFonts w:ascii="Arial" w:hAnsi="Arial" w:cs="Arial"/>
        </w:rPr>
        <w:t>L</w:t>
      </w:r>
      <w:r w:rsidRPr="00931D46">
        <w:rPr>
          <w:rFonts w:ascii="Arial" w:hAnsi="Arial" w:cs="Arial"/>
        </w:rPr>
        <w:t xml:space="preserve">os principales </w:t>
      </w:r>
      <w:r>
        <w:rPr>
          <w:rFonts w:ascii="Arial" w:hAnsi="Arial" w:cs="Arial"/>
        </w:rPr>
        <w:t xml:space="preserve">criterios </w:t>
      </w:r>
      <w:r w:rsidRPr="00931D46">
        <w:rPr>
          <w:rFonts w:ascii="Arial" w:hAnsi="Arial" w:cs="Arial"/>
        </w:rPr>
        <w:t>referidos por la OCDE,</w:t>
      </w:r>
      <w:r w:rsidRPr="00931D46">
        <w:rPr>
          <w:rStyle w:val="Refdenotaalpie"/>
          <w:rFonts w:ascii="Arial" w:hAnsi="Arial" w:cs="Arial"/>
        </w:rPr>
        <w:footnoteReference w:id="103"/>
      </w:r>
      <w:r w:rsidRPr="00931D46">
        <w:rPr>
          <w:rFonts w:ascii="Arial" w:hAnsi="Arial" w:cs="Arial"/>
        </w:rPr>
        <w:t xml:space="preserve"> así como </w:t>
      </w:r>
      <w:r>
        <w:rPr>
          <w:rFonts w:ascii="Arial" w:hAnsi="Arial" w:cs="Arial"/>
        </w:rPr>
        <w:t xml:space="preserve">aquellos considerados </w:t>
      </w:r>
      <w:r w:rsidRPr="00931D46">
        <w:rPr>
          <w:rFonts w:ascii="Arial" w:hAnsi="Arial" w:cs="Arial"/>
        </w:rPr>
        <w:t>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Style w:val="Refdenotaalpie"/>
          <w:rFonts w:ascii="Arial" w:hAnsi="Arial" w:cs="Arial"/>
        </w:rPr>
        <w:footnoteReference w:id="104"/>
      </w:r>
      <w:r w:rsidRPr="00931D46">
        <w:rPr>
          <w:rFonts w:ascii="Arial" w:hAnsi="Arial" w:cs="Arial"/>
        </w:rPr>
        <w:t xml:space="preserve"> Francia,</w:t>
      </w:r>
      <w:r w:rsidRPr="00931D46">
        <w:rPr>
          <w:rFonts w:ascii="Arial" w:hAnsi="Arial" w:cs="Arial"/>
          <w:vertAlign w:val="superscript"/>
        </w:rPr>
        <w:footnoteReference w:id="105"/>
      </w:r>
      <w:r w:rsidRPr="00931D46">
        <w:rPr>
          <w:rFonts w:ascii="Arial" w:hAnsi="Arial" w:cs="Arial"/>
        </w:rPr>
        <w:t xml:space="preserve"> Reino Unido</w:t>
      </w:r>
      <w:r w:rsidRPr="00464C29">
        <w:rPr>
          <w:rStyle w:val="Refdenotaalpie"/>
          <w:rFonts w:ascii="Arial" w:hAnsi="Arial" w:cs="Arial"/>
        </w:rPr>
        <w:footnoteReference w:id="106"/>
      </w:r>
      <w:r w:rsidRPr="00931D46">
        <w:rPr>
          <w:rFonts w:ascii="Arial" w:hAnsi="Arial" w:cs="Arial"/>
        </w:rPr>
        <w:t xml:space="preserve"> y Canadá</w:t>
      </w:r>
      <w:r w:rsidRPr="00931D46">
        <w:rPr>
          <w:rStyle w:val="Refdenotaalpie"/>
          <w:rFonts w:ascii="Arial" w:hAnsi="Arial" w:cs="Arial"/>
        </w:rPr>
        <w:footnoteReference w:id="107"/>
      </w:r>
      <w:r>
        <w:rPr>
          <w:rFonts w:ascii="Arial" w:hAnsi="Arial" w:cs="Arial"/>
        </w:rPr>
        <w:t xml:space="preserve"> </w:t>
      </w:r>
      <w:r w:rsidRPr="00931D46">
        <w:rPr>
          <w:rFonts w:ascii="Arial" w:hAnsi="Arial" w:cs="Arial"/>
        </w:rPr>
        <w:t xml:space="preserve">para determinar MR en presencia de </w:t>
      </w:r>
      <w:r>
        <w:rPr>
          <w:rFonts w:ascii="Arial" w:hAnsi="Arial" w:cs="Arial"/>
        </w:rPr>
        <w:t>productos</w:t>
      </w:r>
      <w:r w:rsidRPr="00931D46">
        <w:rPr>
          <w:rFonts w:ascii="Arial" w:hAnsi="Arial" w:cs="Arial"/>
        </w:rPr>
        <w:t xml:space="preserve"> diferenciados, </w:t>
      </w:r>
      <w:r>
        <w:rPr>
          <w:rFonts w:ascii="Arial" w:hAnsi="Arial" w:cs="Arial"/>
        </w:rPr>
        <w:t xml:space="preserve">consisten en analizar </w:t>
      </w:r>
      <w:r w:rsidRPr="00931D46">
        <w:rPr>
          <w:rFonts w:ascii="Arial" w:hAnsi="Arial" w:cs="Arial"/>
        </w:rPr>
        <w:t>los siguientes aspectos:</w:t>
      </w:r>
    </w:p>
    <w:p w14:paraId="6676F059" w14:textId="77777777" w:rsidR="00BE0D80" w:rsidRDefault="00BE0D80" w:rsidP="00BE0D80">
      <w:pPr>
        <w:pStyle w:val="Prrafodelista"/>
        <w:spacing w:after="0"/>
        <w:ind w:left="709"/>
        <w:contextualSpacing w:val="0"/>
        <w:jc w:val="both"/>
        <w:rPr>
          <w:rFonts w:ascii="Arial" w:hAnsi="Arial" w:cs="Arial"/>
        </w:rPr>
      </w:pPr>
    </w:p>
    <w:p w14:paraId="7BEF60C4" w14:textId="77777777" w:rsidR="00BE0D80" w:rsidRDefault="00BE0D80" w:rsidP="00BE0D80">
      <w:pPr>
        <w:pStyle w:val="Prrafodelista"/>
        <w:numPr>
          <w:ilvl w:val="2"/>
          <w:numId w:val="35"/>
        </w:numPr>
        <w:spacing w:after="0"/>
        <w:ind w:left="709" w:hanging="567"/>
        <w:contextualSpacing w:val="0"/>
        <w:jc w:val="both"/>
        <w:rPr>
          <w:rFonts w:ascii="Arial" w:hAnsi="Arial" w:cs="Arial"/>
        </w:rPr>
      </w:pPr>
      <w:r>
        <w:rPr>
          <w:rFonts w:ascii="Arial" w:hAnsi="Arial" w:cs="Arial"/>
        </w:rPr>
        <w:t>L</w:t>
      </w:r>
      <w:r w:rsidRPr="002E2349">
        <w:rPr>
          <w:rFonts w:ascii="Arial" w:hAnsi="Arial" w:cs="Arial"/>
        </w:rPr>
        <w:t xml:space="preserve">as funcionalidades y el uso de los </w:t>
      </w:r>
      <w:r>
        <w:rPr>
          <w:rFonts w:ascii="Arial" w:hAnsi="Arial" w:cs="Arial"/>
        </w:rPr>
        <w:t xml:space="preserve">productos </w:t>
      </w:r>
      <w:r w:rsidRPr="002E2349">
        <w:rPr>
          <w:rFonts w:ascii="Arial" w:hAnsi="Arial" w:cs="Arial"/>
        </w:rPr>
        <w:t>por parte de los usuarios,</w:t>
      </w:r>
    </w:p>
    <w:p w14:paraId="296048A0" w14:textId="77777777" w:rsidR="00BE0D80" w:rsidRDefault="00BE0D80" w:rsidP="00BE0D80">
      <w:pPr>
        <w:pStyle w:val="Prrafodelista"/>
        <w:spacing w:after="0"/>
        <w:ind w:left="709"/>
        <w:contextualSpacing w:val="0"/>
        <w:jc w:val="both"/>
        <w:rPr>
          <w:rFonts w:ascii="Arial" w:hAnsi="Arial" w:cs="Arial"/>
        </w:rPr>
      </w:pPr>
    </w:p>
    <w:p w14:paraId="6DCEDAB2" w14:textId="77777777" w:rsidR="00BE0D80" w:rsidRDefault="00BE0D80" w:rsidP="00BE0D80">
      <w:pPr>
        <w:pStyle w:val="Prrafodelista"/>
        <w:numPr>
          <w:ilvl w:val="2"/>
          <w:numId w:val="35"/>
        </w:numPr>
        <w:spacing w:after="0"/>
        <w:ind w:left="709" w:hanging="567"/>
        <w:contextualSpacing w:val="0"/>
        <w:jc w:val="both"/>
        <w:rPr>
          <w:rFonts w:ascii="Arial" w:hAnsi="Arial" w:cs="Arial"/>
        </w:rPr>
      </w:pPr>
      <w:r>
        <w:rPr>
          <w:rFonts w:ascii="Arial" w:hAnsi="Arial" w:cs="Arial"/>
        </w:rPr>
        <w:t>L</w:t>
      </w:r>
      <w:r w:rsidRPr="002E2349">
        <w:rPr>
          <w:rFonts w:ascii="Arial" w:hAnsi="Arial" w:cs="Arial"/>
        </w:rPr>
        <w:t xml:space="preserve">os precios, </w:t>
      </w:r>
    </w:p>
    <w:p w14:paraId="33A8BDD3" w14:textId="77777777" w:rsidR="00BE0D80" w:rsidRDefault="00BE0D80" w:rsidP="00BE0D80">
      <w:pPr>
        <w:pStyle w:val="Prrafodelista"/>
        <w:spacing w:after="0"/>
        <w:ind w:left="709"/>
        <w:contextualSpacing w:val="0"/>
        <w:jc w:val="both"/>
        <w:rPr>
          <w:rFonts w:ascii="Arial" w:hAnsi="Arial" w:cs="Arial"/>
        </w:rPr>
      </w:pPr>
    </w:p>
    <w:p w14:paraId="6B871580" w14:textId="77777777" w:rsidR="00BE0D80" w:rsidRPr="0007382E" w:rsidRDefault="00BE0D80" w:rsidP="00BE0D80">
      <w:pPr>
        <w:pStyle w:val="Prrafodelista"/>
        <w:numPr>
          <w:ilvl w:val="2"/>
          <w:numId w:val="35"/>
        </w:numPr>
        <w:spacing w:after="0"/>
        <w:ind w:left="709" w:hanging="567"/>
        <w:contextualSpacing w:val="0"/>
        <w:jc w:val="both"/>
        <w:rPr>
          <w:rFonts w:ascii="Arial" w:hAnsi="Arial" w:cs="Arial"/>
        </w:rPr>
      </w:pPr>
      <w:r w:rsidRPr="0007382E">
        <w:rPr>
          <w:rFonts w:ascii="Arial" w:hAnsi="Arial" w:cs="Arial"/>
        </w:rPr>
        <w:t>Las características de los productos (por ejemplo, en CA, se han considerado i) la variedad de programación; ii) la calidad de la imagen; iii) la cantidad de publicidad que incluyen; iv) la duración o disponibilidad temporal de los programas, entre otros); y, en caso necesario,</w:t>
      </w:r>
    </w:p>
    <w:p w14:paraId="3850C523" w14:textId="77777777" w:rsidR="00BE0D80" w:rsidRDefault="00BE0D80" w:rsidP="00BE0D80">
      <w:pPr>
        <w:pStyle w:val="Prrafodelista"/>
        <w:spacing w:after="0"/>
        <w:ind w:left="709"/>
        <w:contextualSpacing w:val="0"/>
        <w:jc w:val="both"/>
        <w:rPr>
          <w:rFonts w:ascii="Arial" w:hAnsi="Arial" w:cs="Arial"/>
        </w:rPr>
      </w:pPr>
    </w:p>
    <w:p w14:paraId="0DA7B073" w14:textId="77777777" w:rsidR="00BE0D80" w:rsidRPr="0007382E" w:rsidRDefault="00BE0D80" w:rsidP="00BE0D80">
      <w:pPr>
        <w:pStyle w:val="Prrafodelista"/>
        <w:numPr>
          <w:ilvl w:val="2"/>
          <w:numId w:val="35"/>
        </w:numPr>
        <w:spacing w:after="0"/>
        <w:ind w:left="709" w:hanging="567"/>
        <w:contextualSpacing w:val="0"/>
        <w:jc w:val="both"/>
        <w:rPr>
          <w:rFonts w:ascii="Arial" w:hAnsi="Arial" w:cs="Arial"/>
        </w:rPr>
      </w:pPr>
      <w:r w:rsidRPr="0007382E">
        <w:rPr>
          <w:rFonts w:ascii="Arial" w:hAnsi="Arial" w:cs="Arial"/>
        </w:rPr>
        <w:t>La existencia de cadenas de sustitución.</w:t>
      </w:r>
    </w:p>
    <w:p w14:paraId="7528F25B" w14:textId="77777777" w:rsidR="00BE0D80" w:rsidRPr="0007382E" w:rsidRDefault="00BE0D80" w:rsidP="00BE0D80">
      <w:pPr>
        <w:spacing w:after="0"/>
        <w:jc w:val="both"/>
        <w:rPr>
          <w:rFonts w:ascii="Arial" w:hAnsi="Arial" w:cs="Arial"/>
        </w:rPr>
      </w:pPr>
    </w:p>
    <w:p w14:paraId="3EE6914F" w14:textId="77777777" w:rsidR="00BE0D80" w:rsidRPr="002E2349" w:rsidRDefault="00BE0D80" w:rsidP="00BE0D80">
      <w:pPr>
        <w:spacing w:after="0"/>
        <w:jc w:val="both"/>
        <w:rPr>
          <w:rFonts w:ascii="Arial" w:hAnsi="Arial" w:cs="Arial"/>
        </w:rPr>
      </w:pPr>
      <w:r w:rsidRPr="0007382E">
        <w:rPr>
          <w:rFonts w:ascii="Arial" w:hAnsi="Arial" w:cs="Arial"/>
        </w:rPr>
        <w:t>Es de resaltar que no se identifica que el análisis comprenda todos los aspectos señalados, ni hay una prelación para su análisis, aunque algunos elementos, como la funcionalidad, han tenido un peso importante en las decisiones de las autoridades.</w:t>
      </w:r>
    </w:p>
    <w:p w14:paraId="2E614E1B" w14:textId="77777777" w:rsidR="00BE0D80" w:rsidRPr="00931D46" w:rsidRDefault="00BE0D80" w:rsidP="00BE0D80">
      <w:pPr>
        <w:spacing w:after="0"/>
        <w:jc w:val="both"/>
        <w:rPr>
          <w:rFonts w:ascii="Arial" w:hAnsi="Arial" w:cs="Arial"/>
        </w:rPr>
      </w:pPr>
    </w:p>
    <w:p w14:paraId="65FE2372" w14:textId="77777777" w:rsidR="00BE0D80" w:rsidRPr="00931D46" w:rsidRDefault="00BE0D80" w:rsidP="00BE0D80">
      <w:pPr>
        <w:spacing w:after="0"/>
        <w:jc w:val="both"/>
        <w:rPr>
          <w:rFonts w:ascii="Arial" w:hAnsi="Arial" w:cs="Arial"/>
        </w:rPr>
      </w:pPr>
      <w:r w:rsidRPr="00931D46">
        <w:rPr>
          <w:rFonts w:ascii="Arial" w:hAnsi="Arial" w:cs="Arial"/>
        </w:rPr>
        <w:t xml:space="preserve">Asimismo, de acuerdo con la experiencia internacional, es posible determinar que </w:t>
      </w:r>
      <w:r>
        <w:rPr>
          <w:rFonts w:ascii="Arial" w:hAnsi="Arial" w:cs="Arial"/>
        </w:rPr>
        <w:t>2 (</w:t>
      </w:r>
      <w:r w:rsidRPr="00931D46">
        <w:rPr>
          <w:rFonts w:ascii="Arial" w:hAnsi="Arial" w:cs="Arial"/>
        </w:rPr>
        <w:t>dos</w:t>
      </w:r>
      <w:r>
        <w:rPr>
          <w:rFonts w:ascii="Arial" w:hAnsi="Arial" w:cs="Arial"/>
        </w:rPr>
        <w:t>)</w:t>
      </w:r>
      <w:r w:rsidRPr="00931D46">
        <w:rPr>
          <w:rFonts w:ascii="Arial" w:hAnsi="Arial" w:cs="Arial"/>
        </w:rPr>
        <w:t xml:space="preserve"> o más </w:t>
      </w:r>
      <w:r>
        <w:rPr>
          <w:rFonts w:ascii="Arial" w:hAnsi="Arial" w:cs="Arial"/>
        </w:rPr>
        <w:t>productos</w:t>
      </w:r>
      <w:r w:rsidRPr="00931D46">
        <w:rPr>
          <w:rFonts w:ascii="Arial" w:hAnsi="Arial" w:cs="Arial"/>
        </w:rPr>
        <w:t xml:space="preserve"> forman parte del mismo MR cuando se demuestra que éstos ejercen suficiente presión competitiva entre sí, aun cuando difieran en algunas de sus características, por ejemplo, la tecnología de provisión.</w:t>
      </w:r>
    </w:p>
    <w:p w14:paraId="61A2AABF" w14:textId="77777777" w:rsidR="00BE0D80" w:rsidRPr="00931D46" w:rsidRDefault="00BE0D80" w:rsidP="00BE0D80">
      <w:pPr>
        <w:spacing w:after="0"/>
        <w:jc w:val="both"/>
        <w:rPr>
          <w:rFonts w:ascii="Arial" w:hAnsi="Arial" w:cs="Arial"/>
        </w:rPr>
      </w:pPr>
    </w:p>
    <w:p w14:paraId="387D5587"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49" w:name="_Toc39855365"/>
      <w:bookmarkStart w:id="150" w:name="_Toc39855367"/>
      <w:bookmarkStart w:id="151" w:name="_Toc41643467"/>
      <w:bookmarkStart w:id="152" w:name="_Toc41643560"/>
      <w:bookmarkStart w:id="153" w:name="_Toc41643656"/>
      <w:bookmarkStart w:id="154" w:name="_Toc41649793"/>
      <w:bookmarkStart w:id="155" w:name="_Toc41649920"/>
      <w:bookmarkStart w:id="156" w:name="_Toc45628374"/>
      <w:bookmarkEnd w:id="149"/>
      <w:bookmarkEnd w:id="150"/>
      <w:r>
        <w:rPr>
          <w:rFonts w:ascii="Arial" w:eastAsia="Times New Roman" w:hAnsi="Arial" w:cs="Arial"/>
          <w:sz w:val="26"/>
          <w:szCs w:val="26"/>
          <w:lang w:eastAsia="es-MX"/>
        </w:rPr>
        <w:lastRenderedPageBreak/>
        <w:t>E</w:t>
      </w:r>
      <w:r w:rsidRPr="00931D46">
        <w:rPr>
          <w:rFonts w:ascii="Arial" w:eastAsia="Times New Roman" w:hAnsi="Arial" w:cs="Arial"/>
          <w:sz w:val="26"/>
          <w:szCs w:val="26"/>
          <w:lang w:eastAsia="es-MX"/>
        </w:rPr>
        <w:t>lementos para determinar MR</w:t>
      </w:r>
      <w:bookmarkEnd w:id="151"/>
      <w:bookmarkEnd w:id="152"/>
      <w:bookmarkEnd w:id="153"/>
      <w:r w:rsidRPr="00931D46">
        <w:rPr>
          <w:rFonts w:ascii="Arial" w:eastAsia="Times New Roman" w:hAnsi="Arial" w:cs="Arial"/>
          <w:sz w:val="26"/>
          <w:szCs w:val="26"/>
          <w:lang w:eastAsia="es-MX"/>
        </w:rPr>
        <w:t xml:space="preserve"> en presencia de diferenciación de </w:t>
      </w:r>
      <w:bookmarkEnd w:id="154"/>
      <w:bookmarkEnd w:id="155"/>
      <w:bookmarkEnd w:id="156"/>
      <w:r>
        <w:rPr>
          <w:rFonts w:ascii="Arial" w:eastAsia="Times New Roman" w:hAnsi="Arial" w:cs="Arial"/>
          <w:sz w:val="26"/>
          <w:szCs w:val="26"/>
          <w:lang w:eastAsia="es-MX"/>
        </w:rPr>
        <w:t>productos</w:t>
      </w:r>
    </w:p>
    <w:p w14:paraId="3B46E459" w14:textId="77777777" w:rsidR="00BE0D80" w:rsidRPr="00931D46" w:rsidRDefault="00BE0D80" w:rsidP="00BE0D80">
      <w:pPr>
        <w:keepNext/>
        <w:spacing w:after="0"/>
        <w:jc w:val="both"/>
        <w:rPr>
          <w:rFonts w:ascii="Arial" w:hAnsi="Arial" w:cs="Arial"/>
        </w:rPr>
      </w:pPr>
    </w:p>
    <w:p w14:paraId="29B30F0A" w14:textId="77777777" w:rsidR="00BE0D80" w:rsidRPr="0007382E" w:rsidRDefault="00BE0D80" w:rsidP="00BE0D80">
      <w:pPr>
        <w:spacing w:after="0"/>
        <w:jc w:val="both"/>
        <w:rPr>
          <w:rFonts w:ascii="Arial" w:hAnsi="Arial" w:cs="Arial"/>
        </w:rPr>
      </w:pPr>
      <w:r>
        <w:rPr>
          <w:rFonts w:ascii="Arial" w:hAnsi="Arial" w:cs="Arial"/>
        </w:rPr>
        <w:t>P</w:t>
      </w:r>
      <w:r w:rsidRPr="00931D46">
        <w:rPr>
          <w:rFonts w:ascii="Arial" w:hAnsi="Arial" w:cs="Arial"/>
        </w:rPr>
        <w:t xml:space="preserve">ara determinar el MR en presencia de </w:t>
      </w:r>
      <w:r>
        <w:rPr>
          <w:rFonts w:ascii="Arial" w:hAnsi="Arial" w:cs="Arial"/>
        </w:rPr>
        <w:t>productos</w:t>
      </w:r>
      <w:r w:rsidRPr="00931D46">
        <w:rPr>
          <w:rFonts w:ascii="Arial" w:hAnsi="Arial" w:cs="Arial"/>
        </w:rPr>
        <w:t xml:space="preserve"> diferenciados, el Instituto </w:t>
      </w:r>
      <w:r w:rsidRPr="0007382E">
        <w:rPr>
          <w:rFonts w:ascii="Arial" w:hAnsi="Arial" w:cs="Arial"/>
        </w:rPr>
        <w:t>podrá considerar los siguientes elementos, sin orden de importancia o prelación en su aplicación:</w:t>
      </w:r>
    </w:p>
    <w:p w14:paraId="5554AAE7" w14:textId="77777777" w:rsidR="00BE0D80" w:rsidRDefault="00BE0D80" w:rsidP="00BE0D80">
      <w:pPr>
        <w:spacing w:after="0"/>
        <w:ind w:left="720"/>
        <w:jc w:val="both"/>
        <w:rPr>
          <w:rFonts w:ascii="Arial" w:hAnsi="Arial" w:cs="Arial"/>
        </w:rPr>
      </w:pPr>
    </w:p>
    <w:p w14:paraId="2C2D4992" w14:textId="77777777" w:rsidR="00BE0D80" w:rsidRPr="0007382E" w:rsidRDefault="00BE0D80" w:rsidP="00BE0D80">
      <w:pPr>
        <w:numPr>
          <w:ilvl w:val="0"/>
          <w:numId w:val="9"/>
        </w:numPr>
        <w:spacing w:after="0"/>
        <w:ind w:hanging="578"/>
        <w:jc w:val="both"/>
        <w:rPr>
          <w:rFonts w:ascii="Arial" w:hAnsi="Arial" w:cs="Arial"/>
        </w:rPr>
      </w:pPr>
      <w:r w:rsidRPr="0007382E">
        <w:rPr>
          <w:rFonts w:ascii="Arial" w:hAnsi="Arial" w:cs="Arial"/>
        </w:rPr>
        <w:t>La funcionalidad y uso de los productos, así como sus características, objetivas o percibidas, incluyendo la calidad, tomando en consideración las preferencias de los usuarios.</w:t>
      </w:r>
    </w:p>
    <w:p w14:paraId="606C1DDC" w14:textId="77777777" w:rsidR="00BE0D80" w:rsidRDefault="00BE0D80" w:rsidP="00BE0D80">
      <w:pPr>
        <w:spacing w:after="0"/>
        <w:ind w:left="720"/>
        <w:jc w:val="both"/>
        <w:rPr>
          <w:rFonts w:ascii="Arial" w:hAnsi="Arial" w:cs="Arial"/>
        </w:rPr>
      </w:pPr>
    </w:p>
    <w:p w14:paraId="2EC26720" w14:textId="77777777" w:rsidR="00BE0D80" w:rsidRPr="0007382E" w:rsidRDefault="00BE0D80" w:rsidP="00BE0D80">
      <w:pPr>
        <w:numPr>
          <w:ilvl w:val="0"/>
          <w:numId w:val="9"/>
        </w:numPr>
        <w:spacing w:after="0"/>
        <w:ind w:hanging="578"/>
        <w:jc w:val="both"/>
        <w:rPr>
          <w:rFonts w:ascii="Arial" w:hAnsi="Arial" w:cs="Arial"/>
        </w:rPr>
      </w:pPr>
      <w:r w:rsidRPr="0007382E">
        <w:rPr>
          <w:rFonts w:ascii="Arial" w:hAnsi="Arial" w:cs="Arial"/>
        </w:rPr>
        <w:t>Los precios y su evolución, así como las relaciones precio-calidad.</w:t>
      </w:r>
    </w:p>
    <w:p w14:paraId="72FB072C" w14:textId="77777777" w:rsidR="00BE0D80" w:rsidRDefault="00BE0D80" w:rsidP="00BE0D80">
      <w:pPr>
        <w:pStyle w:val="Prrafodelista"/>
        <w:spacing w:after="0"/>
        <w:contextualSpacing w:val="0"/>
        <w:jc w:val="both"/>
        <w:rPr>
          <w:rFonts w:ascii="Arial" w:hAnsi="Arial" w:cs="Arial"/>
        </w:rPr>
      </w:pPr>
    </w:p>
    <w:p w14:paraId="234F06F1" w14:textId="77777777" w:rsidR="00BE0D80" w:rsidRPr="0007382E" w:rsidRDefault="00BE0D80" w:rsidP="00BE0D80">
      <w:pPr>
        <w:pStyle w:val="Prrafodelista"/>
        <w:numPr>
          <w:ilvl w:val="0"/>
          <w:numId w:val="9"/>
        </w:numPr>
        <w:spacing w:after="0"/>
        <w:ind w:hanging="578"/>
        <w:contextualSpacing w:val="0"/>
        <w:jc w:val="both"/>
        <w:rPr>
          <w:rFonts w:ascii="Arial" w:hAnsi="Arial" w:cs="Arial"/>
        </w:rPr>
      </w:pPr>
      <w:r w:rsidRPr="0007382E">
        <w:rPr>
          <w:rFonts w:ascii="Arial" w:hAnsi="Arial" w:cs="Arial"/>
        </w:rPr>
        <w:t>La existencia de cadenas de sustitución, para lo cual se podrá analizar evidencia que permita demostrar la interdependencia entre los productos de la cadena, tal como el traslape o coincidencia de precios entre los productos, las diferencias en los costos incrementales de cada producto y la sustitución entre los productos adyacentes en la cadena.</w:t>
      </w:r>
    </w:p>
    <w:p w14:paraId="29CA0B04" w14:textId="77777777" w:rsidR="00BE0D80" w:rsidRDefault="00BE0D80" w:rsidP="00BE0D80">
      <w:pPr>
        <w:pStyle w:val="Prrafodelista"/>
        <w:spacing w:after="0"/>
        <w:contextualSpacing w:val="0"/>
        <w:jc w:val="both"/>
        <w:rPr>
          <w:rFonts w:ascii="Arial" w:hAnsi="Arial" w:cs="Arial"/>
        </w:rPr>
      </w:pPr>
    </w:p>
    <w:p w14:paraId="47156C86" w14:textId="77777777" w:rsidR="00BE0D80" w:rsidRPr="0007382E" w:rsidRDefault="00BE0D80" w:rsidP="00BE0D80">
      <w:pPr>
        <w:pStyle w:val="Prrafodelista"/>
        <w:numPr>
          <w:ilvl w:val="0"/>
          <w:numId w:val="9"/>
        </w:numPr>
        <w:spacing w:after="0"/>
        <w:ind w:hanging="578"/>
        <w:contextualSpacing w:val="0"/>
        <w:jc w:val="both"/>
        <w:rPr>
          <w:rFonts w:ascii="Arial" w:hAnsi="Arial" w:cs="Arial"/>
        </w:rPr>
      </w:pPr>
      <w:r w:rsidRPr="0007382E">
        <w:rPr>
          <w:rFonts w:ascii="Arial" w:hAnsi="Arial" w:cs="Arial"/>
        </w:rPr>
        <w:t xml:space="preserve">Las nuevas variables de diferenciación, resultado de la innovación tecnológica y los nuevos modelos de negocio. </w:t>
      </w:r>
    </w:p>
    <w:p w14:paraId="1BF122E1" w14:textId="77777777" w:rsidR="00BE0D80" w:rsidRPr="00931D46" w:rsidRDefault="00BE0D80" w:rsidP="00BE0D80">
      <w:pPr>
        <w:spacing w:after="0"/>
        <w:jc w:val="both"/>
        <w:rPr>
          <w:rFonts w:ascii="Arial" w:hAnsi="Arial" w:cs="Arial"/>
        </w:rPr>
      </w:pPr>
    </w:p>
    <w:p w14:paraId="0CD3CF2F" w14:textId="77777777" w:rsidR="00BE0D80" w:rsidRPr="00931D46" w:rsidRDefault="00BE0D80" w:rsidP="00BE0D80">
      <w:pPr>
        <w:spacing w:after="0"/>
        <w:jc w:val="both"/>
        <w:rPr>
          <w:rFonts w:ascii="Arial" w:hAnsi="Arial" w:cs="Arial"/>
        </w:rPr>
      </w:pPr>
      <w:r w:rsidRPr="00931D46">
        <w:rPr>
          <w:rFonts w:ascii="Arial" w:hAnsi="Arial" w:cs="Arial"/>
        </w:rPr>
        <w:t xml:space="preserve">La conclusión respecto a la sustitución entre dos </w:t>
      </w:r>
      <w:r>
        <w:rPr>
          <w:rFonts w:ascii="Arial" w:hAnsi="Arial" w:cs="Arial"/>
        </w:rPr>
        <w:t>productos</w:t>
      </w:r>
      <w:r w:rsidRPr="00931D46">
        <w:rPr>
          <w:rFonts w:ascii="Arial" w:hAnsi="Arial" w:cs="Arial"/>
        </w:rPr>
        <w:t xml:space="preserve"> dependerá de la presión competitiva que </w:t>
      </w:r>
      <w:r>
        <w:rPr>
          <w:rFonts w:ascii="Arial" w:hAnsi="Arial" w:cs="Arial"/>
        </w:rPr>
        <w:t>ejerzan</w:t>
      </w:r>
      <w:r w:rsidRPr="00931D46">
        <w:rPr>
          <w:rFonts w:ascii="Arial" w:hAnsi="Arial" w:cs="Arial"/>
        </w:rPr>
        <w:t xml:space="preserve"> entre sí.</w:t>
      </w:r>
    </w:p>
    <w:p w14:paraId="34BFEF74" w14:textId="77777777" w:rsidR="00BE0D80" w:rsidRPr="00931D46" w:rsidRDefault="00BE0D80" w:rsidP="00BE0D80">
      <w:pPr>
        <w:spacing w:after="0"/>
        <w:jc w:val="both"/>
        <w:rPr>
          <w:rFonts w:ascii="Arial" w:hAnsi="Arial" w:cs="Arial"/>
        </w:rPr>
      </w:pPr>
    </w:p>
    <w:p w14:paraId="42520384" w14:textId="77777777" w:rsidR="00BE0D80" w:rsidRPr="00931D46"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157" w:name="_Toc45216590"/>
      <w:bookmarkStart w:id="158" w:name="_Toc45628375"/>
      <w:bookmarkStart w:id="159" w:name="_Toc85473336"/>
      <w:r w:rsidRPr="00931D46">
        <w:rPr>
          <w:rFonts w:ascii="Arial" w:eastAsia="Times New Roman" w:hAnsi="Arial" w:cs="Arial"/>
          <w:sz w:val="26"/>
          <w:lang w:eastAsia="es-MX"/>
        </w:rPr>
        <w:t>Empaquetamiento</w:t>
      </w:r>
      <w:bookmarkEnd w:id="135"/>
      <w:bookmarkEnd w:id="136"/>
      <w:bookmarkEnd w:id="157"/>
      <w:bookmarkEnd w:id="158"/>
      <w:r w:rsidRPr="00931D46">
        <w:rPr>
          <w:rFonts w:ascii="Arial" w:eastAsia="Times New Roman" w:hAnsi="Arial" w:cs="Arial"/>
          <w:sz w:val="26"/>
          <w:lang w:eastAsia="es-MX"/>
        </w:rPr>
        <w:t xml:space="preserve"> de servicios</w:t>
      </w:r>
      <w:bookmarkEnd w:id="159"/>
    </w:p>
    <w:p w14:paraId="5F5DB8A4" w14:textId="77777777" w:rsidR="00BE0D80" w:rsidRPr="00931D46" w:rsidRDefault="00BE0D80" w:rsidP="00BE0D80">
      <w:pPr>
        <w:keepNext/>
        <w:spacing w:after="0"/>
        <w:jc w:val="both"/>
        <w:rPr>
          <w:rFonts w:ascii="Arial" w:hAnsi="Arial" w:cs="Arial"/>
        </w:rPr>
      </w:pPr>
    </w:p>
    <w:p w14:paraId="298155AE" w14:textId="77777777" w:rsidR="00BE0D80" w:rsidRPr="00931D46" w:rsidRDefault="00BE0D80" w:rsidP="00BE0D80">
      <w:pPr>
        <w:spacing w:after="0"/>
        <w:jc w:val="both"/>
        <w:rPr>
          <w:rFonts w:ascii="Arial" w:hAnsi="Arial" w:cs="Arial"/>
          <w:szCs w:val="20"/>
        </w:rPr>
      </w:pPr>
      <w:r w:rsidRPr="00931D46">
        <w:rPr>
          <w:rFonts w:ascii="Arial" w:hAnsi="Arial" w:cs="Arial"/>
        </w:rPr>
        <w:t>La convergencia tecnológica</w:t>
      </w:r>
      <w:r w:rsidRPr="00931D46" w:rsidDel="00FE2FE2">
        <w:rPr>
          <w:rFonts w:ascii="Arial" w:hAnsi="Arial" w:cs="Arial"/>
        </w:rPr>
        <w:t xml:space="preserve"> </w:t>
      </w:r>
      <w:r w:rsidRPr="00931D46">
        <w:rPr>
          <w:rFonts w:ascii="Arial" w:hAnsi="Arial" w:cs="Arial"/>
        </w:rPr>
        <w:t xml:space="preserve">y el incremento en la capacidad y velocidad de transmisión de información de las redes de telecomunicaciones de nueva generación permiten ofrecer múltiples servicios (como STF, STAR, SBAF, entre otros), los cuales, dependiendo de las </w:t>
      </w:r>
      <w:r w:rsidRPr="00931D46">
        <w:rPr>
          <w:rFonts w:ascii="Arial" w:hAnsi="Arial" w:cs="Arial"/>
          <w:bCs/>
        </w:rPr>
        <w:t xml:space="preserve">prácticas de comercialización de los proveedores, pueden </w:t>
      </w:r>
      <w:r w:rsidRPr="00931D46">
        <w:rPr>
          <w:rFonts w:ascii="Arial" w:hAnsi="Arial" w:cs="Arial"/>
        </w:rPr>
        <w:t>ofrecerse</w:t>
      </w:r>
      <w:r w:rsidRPr="00931D46" w:rsidDel="00EB7EF2">
        <w:rPr>
          <w:rFonts w:ascii="Arial" w:hAnsi="Arial" w:cs="Arial"/>
        </w:rPr>
        <w:t xml:space="preserve"> </w:t>
      </w:r>
      <w:r w:rsidRPr="00931D46">
        <w:rPr>
          <w:rFonts w:ascii="Arial" w:hAnsi="Arial" w:cs="Arial"/>
        </w:rPr>
        <w:t xml:space="preserve">empaquetados. </w:t>
      </w:r>
    </w:p>
    <w:p w14:paraId="61C0AF7A" w14:textId="77777777" w:rsidR="00BE0D80" w:rsidRPr="00931D46" w:rsidRDefault="00BE0D80" w:rsidP="00BE0D80">
      <w:pPr>
        <w:spacing w:after="0"/>
        <w:jc w:val="both"/>
        <w:rPr>
          <w:rFonts w:ascii="Arial" w:hAnsi="Arial" w:cs="Arial"/>
        </w:rPr>
      </w:pPr>
    </w:p>
    <w:p w14:paraId="3818CF29" w14:textId="77777777" w:rsidR="00BE0D80" w:rsidRPr="00931D46" w:rsidRDefault="00BE0D80" w:rsidP="00BE0D80">
      <w:pPr>
        <w:spacing w:after="0"/>
        <w:jc w:val="both"/>
        <w:rPr>
          <w:rFonts w:ascii="Arial" w:hAnsi="Arial" w:cs="Arial"/>
        </w:rPr>
      </w:pPr>
      <w:r w:rsidRPr="00931D46">
        <w:rPr>
          <w:rFonts w:ascii="Arial" w:hAnsi="Arial" w:cs="Arial"/>
        </w:rPr>
        <w:t xml:space="preserve">El empaquetamiento puede ser i) </w:t>
      </w:r>
      <w:r w:rsidRPr="00931D46">
        <w:rPr>
          <w:rFonts w:ascii="Arial" w:hAnsi="Arial" w:cs="Arial"/>
          <w:b/>
        </w:rPr>
        <w:t>puro</w:t>
      </w:r>
      <w:r w:rsidRPr="00931D46">
        <w:rPr>
          <w:rFonts w:ascii="Arial" w:hAnsi="Arial" w:cs="Arial"/>
        </w:rPr>
        <w:t xml:space="preserve">, cuando la venta de </w:t>
      </w:r>
      <w:r>
        <w:rPr>
          <w:rFonts w:ascii="Arial" w:hAnsi="Arial" w:cs="Arial"/>
        </w:rPr>
        <w:t>servicios</w:t>
      </w:r>
      <w:r w:rsidRPr="00931D46">
        <w:rPr>
          <w:rFonts w:ascii="Arial" w:hAnsi="Arial" w:cs="Arial"/>
        </w:rPr>
        <w:t xml:space="preserve"> se realiza únicamente en paquete, sin que sus componentes puedan ser adquiridos por separado; o ii) </w:t>
      </w:r>
      <w:r w:rsidRPr="00931D46">
        <w:rPr>
          <w:rFonts w:ascii="Arial" w:hAnsi="Arial" w:cs="Arial"/>
          <w:b/>
        </w:rPr>
        <w:t>mixto,</w:t>
      </w:r>
      <w:r w:rsidRPr="00931D46">
        <w:rPr>
          <w:rFonts w:ascii="Arial" w:hAnsi="Arial" w:cs="Arial"/>
        </w:rPr>
        <w:t xml:space="preserve"> cuando los </w:t>
      </w:r>
      <w:r>
        <w:rPr>
          <w:rFonts w:ascii="Arial" w:hAnsi="Arial" w:cs="Arial"/>
        </w:rPr>
        <w:t>servicios</w:t>
      </w:r>
      <w:r w:rsidRPr="00931D46">
        <w:rPr>
          <w:rFonts w:ascii="Arial" w:hAnsi="Arial" w:cs="Arial"/>
        </w:rPr>
        <w:t xml:space="preserve"> ofrecidos a los usuarios están disponibles tanto en paquete como de forma separada. </w:t>
      </w:r>
    </w:p>
    <w:p w14:paraId="2AD02AB1" w14:textId="77777777" w:rsidR="00BE0D80" w:rsidRPr="00931D46" w:rsidRDefault="00BE0D80" w:rsidP="00BE0D80">
      <w:pPr>
        <w:spacing w:after="0"/>
        <w:jc w:val="both"/>
        <w:rPr>
          <w:rFonts w:ascii="Arial" w:hAnsi="Arial" w:cs="Arial"/>
          <w:szCs w:val="20"/>
        </w:rPr>
      </w:pPr>
    </w:p>
    <w:p w14:paraId="0F029721" w14:textId="77777777" w:rsidR="00BE0D80" w:rsidRDefault="00BE0D80" w:rsidP="00BE0D80">
      <w:pPr>
        <w:spacing w:after="0"/>
        <w:jc w:val="both"/>
        <w:rPr>
          <w:rFonts w:ascii="Arial" w:hAnsi="Arial" w:cs="Arial"/>
          <w:szCs w:val="20"/>
        </w:rPr>
      </w:pPr>
      <w:r w:rsidRPr="00931D46">
        <w:rPr>
          <w:rFonts w:ascii="Arial" w:hAnsi="Arial" w:cs="Arial"/>
          <w:szCs w:val="20"/>
        </w:rPr>
        <w:t xml:space="preserve">En presencia de empaquetamiento de servicios, la delimitación de la dimensión </w:t>
      </w:r>
      <w:r>
        <w:rPr>
          <w:rFonts w:ascii="Arial" w:hAnsi="Arial" w:cs="Arial"/>
          <w:szCs w:val="20"/>
        </w:rPr>
        <w:t>producto</w:t>
      </w:r>
      <w:r w:rsidRPr="00931D46">
        <w:rPr>
          <w:rFonts w:ascii="Arial" w:hAnsi="Arial" w:cs="Arial"/>
          <w:szCs w:val="20"/>
        </w:rPr>
        <w:t xml:space="preserve"> del MR puede enfrentar retos</w:t>
      </w:r>
      <w:r>
        <w:rPr>
          <w:rFonts w:ascii="Arial" w:hAnsi="Arial" w:cs="Arial"/>
          <w:szCs w:val="20"/>
        </w:rPr>
        <w:t>,</w:t>
      </w:r>
      <w:r w:rsidRPr="00931D46">
        <w:rPr>
          <w:rFonts w:ascii="Arial" w:hAnsi="Arial" w:cs="Arial"/>
          <w:szCs w:val="20"/>
        </w:rPr>
        <w:t xml:space="preserve"> como señala la OCDE:</w:t>
      </w:r>
      <w:r w:rsidRPr="00931D46">
        <w:rPr>
          <w:rStyle w:val="Refdenotaalpie"/>
          <w:rFonts w:ascii="Arial" w:hAnsi="Arial" w:cs="Arial"/>
        </w:rPr>
        <w:footnoteReference w:id="108"/>
      </w:r>
    </w:p>
    <w:p w14:paraId="716C83C2" w14:textId="77777777" w:rsidR="00BE0D80" w:rsidRPr="00931D46" w:rsidRDefault="00BE0D80" w:rsidP="00BE0D80">
      <w:pPr>
        <w:spacing w:after="0"/>
        <w:jc w:val="both"/>
        <w:rPr>
          <w:rFonts w:ascii="Arial" w:hAnsi="Arial" w:cs="Arial"/>
          <w:szCs w:val="20"/>
        </w:rPr>
      </w:pPr>
    </w:p>
    <w:p w14:paraId="6B07A136" w14:textId="77777777" w:rsidR="00BE0D80" w:rsidRPr="00931D46" w:rsidRDefault="00BE0D80" w:rsidP="00BE0D80">
      <w:pPr>
        <w:pStyle w:val="Prrafodelista"/>
        <w:numPr>
          <w:ilvl w:val="0"/>
          <w:numId w:val="17"/>
        </w:numPr>
        <w:spacing w:after="0"/>
        <w:ind w:hanging="578"/>
        <w:contextualSpacing w:val="0"/>
        <w:jc w:val="both"/>
        <w:rPr>
          <w:rFonts w:ascii="Arial" w:hAnsi="Arial" w:cs="Arial"/>
          <w:szCs w:val="20"/>
        </w:rPr>
      </w:pPr>
      <w:r w:rsidRPr="00931D46">
        <w:rPr>
          <w:rFonts w:ascii="Arial" w:hAnsi="Arial" w:cs="Arial"/>
          <w:szCs w:val="20"/>
        </w:rPr>
        <w:lastRenderedPageBreak/>
        <w:t>A medida que los paquetes son cada vez más comunes, evaluar los efectos que tienen sobre la competencia se vuelve un reto cada vez más desafiante e importante para las autoridades reguladoras y de competencia.</w:t>
      </w:r>
    </w:p>
    <w:p w14:paraId="1EC078A6" w14:textId="77777777" w:rsidR="00BE0D80" w:rsidRDefault="00BE0D80" w:rsidP="00BE0D80">
      <w:pPr>
        <w:pStyle w:val="Prrafodelista"/>
        <w:spacing w:after="0"/>
        <w:contextualSpacing w:val="0"/>
        <w:jc w:val="both"/>
        <w:rPr>
          <w:rFonts w:ascii="Arial" w:hAnsi="Arial" w:cs="Arial"/>
          <w:szCs w:val="20"/>
        </w:rPr>
      </w:pPr>
    </w:p>
    <w:p w14:paraId="58E13EA9" w14:textId="77777777" w:rsidR="00BE0D80" w:rsidRPr="00931D46" w:rsidRDefault="00BE0D80" w:rsidP="00BE0D80">
      <w:pPr>
        <w:pStyle w:val="Prrafodelista"/>
        <w:numPr>
          <w:ilvl w:val="0"/>
          <w:numId w:val="17"/>
        </w:numPr>
        <w:spacing w:after="0"/>
        <w:ind w:hanging="578"/>
        <w:contextualSpacing w:val="0"/>
        <w:jc w:val="both"/>
        <w:rPr>
          <w:rFonts w:ascii="Arial" w:hAnsi="Arial" w:cs="Arial"/>
          <w:szCs w:val="20"/>
        </w:rPr>
      </w:pPr>
      <w:r w:rsidRPr="00931D46">
        <w:rPr>
          <w:rFonts w:ascii="Arial" w:hAnsi="Arial" w:cs="Arial"/>
          <w:szCs w:val="20"/>
        </w:rPr>
        <w:t>Las autoridades deben cuestionarse en qué medida la determinación del MR debería continuar considerando solo servicios independientes o si, en algunos casos, los paquetes podrían llegar a conformar el MR.</w:t>
      </w:r>
    </w:p>
    <w:p w14:paraId="542DC8BD" w14:textId="77777777" w:rsidR="00BE0D80" w:rsidRPr="00931D46" w:rsidRDefault="00BE0D80" w:rsidP="00BE0D80">
      <w:pPr>
        <w:spacing w:after="0"/>
        <w:jc w:val="both"/>
        <w:rPr>
          <w:rFonts w:ascii="Arial" w:hAnsi="Arial" w:cs="Arial"/>
          <w:szCs w:val="20"/>
        </w:rPr>
      </w:pPr>
    </w:p>
    <w:p w14:paraId="7B7AD159" w14:textId="5CB27730" w:rsidR="00BE0D80" w:rsidRPr="0007382E" w:rsidRDefault="00BE0D80" w:rsidP="00BE0D80">
      <w:pPr>
        <w:spacing w:after="0"/>
        <w:jc w:val="both"/>
        <w:rPr>
          <w:rFonts w:ascii="Arial" w:hAnsi="Arial" w:cs="Arial"/>
          <w:szCs w:val="20"/>
        </w:rPr>
      </w:pPr>
      <w:r w:rsidRPr="0007382E">
        <w:rPr>
          <w:rFonts w:ascii="Arial" w:hAnsi="Arial" w:cs="Arial"/>
          <w:bCs/>
        </w:rPr>
        <w:t xml:space="preserve">Para poder dilucidar si se trata de un mercado de paquetes o mercados de servicios individuales, es necesario analizar si existe sustitución asimétrica (ver </w:t>
      </w:r>
      <w:r w:rsidRPr="0007382E">
        <w:rPr>
          <w:rFonts w:ascii="Arial" w:hAnsi="Arial" w:cs="Arial"/>
        </w:rPr>
        <w:t>sección 9.</w:t>
      </w:r>
      <w:r>
        <w:rPr>
          <w:rFonts w:ascii="Arial" w:hAnsi="Arial" w:cs="Arial"/>
        </w:rPr>
        <w:t>2</w:t>
      </w:r>
      <w:r w:rsidRPr="0007382E">
        <w:rPr>
          <w:rFonts w:ascii="Arial" w:hAnsi="Arial" w:cs="Arial"/>
          <w:bCs/>
        </w:rPr>
        <w:t>) en el sentido de que los paquetes pueden sustituir a los servicios individuales, pero no viceversa</w:t>
      </w:r>
      <w:r w:rsidR="00900013">
        <w:rPr>
          <w:rFonts w:ascii="Arial" w:hAnsi="Arial" w:cs="Arial"/>
          <w:bCs/>
        </w:rPr>
        <w:t>.</w:t>
      </w:r>
      <w:r w:rsidRPr="0007382E">
        <w:rPr>
          <w:rFonts w:ascii="Arial" w:hAnsi="Arial" w:cs="Arial"/>
          <w:bCs/>
        </w:rPr>
        <w:t xml:space="preserve"> </w:t>
      </w:r>
      <w:r w:rsidR="00900013">
        <w:rPr>
          <w:rFonts w:ascii="Arial" w:hAnsi="Arial" w:cs="Arial"/>
          <w:bCs/>
        </w:rPr>
        <w:t>E</w:t>
      </w:r>
      <w:r w:rsidRPr="0007382E">
        <w:rPr>
          <w:rFonts w:ascii="Arial" w:hAnsi="Arial" w:cs="Arial"/>
          <w:bCs/>
        </w:rPr>
        <w:t xml:space="preserve">sta característica es importante porque afecta el análisis dependiendo de si el </w:t>
      </w:r>
      <w:r>
        <w:rPr>
          <w:rFonts w:ascii="Arial" w:hAnsi="Arial" w:cs="Arial"/>
          <w:bCs/>
        </w:rPr>
        <w:t>product</w:t>
      </w:r>
      <w:r w:rsidRPr="0007382E">
        <w:rPr>
          <w:rFonts w:ascii="Arial" w:hAnsi="Arial" w:cs="Arial"/>
          <w:bCs/>
        </w:rPr>
        <w:t>o focal con el que se inicia el análisis de sustitución es un paquete de servicios o es un servicio individual.</w:t>
      </w:r>
      <w:r w:rsidRPr="0007382E">
        <w:rPr>
          <w:rFonts w:ascii="Arial" w:hAnsi="Arial" w:cs="Arial"/>
          <w:szCs w:val="20"/>
        </w:rPr>
        <w:t xml:space="preserve"> </w:t>
      </w:r>
    </w:p>
    <w:p w14:paraId="31BE499B" w14:textId="77777777" w:rsidR="00BE0D80" w:rsidRPr="0007382E" w:rsidRDefault="00BE0D80" w:rsidP="00BE0D80">
      <w:pPr>
        <w:spacing w:after="0"/>
        <w:jc w:val="both"/>
        <w:rPr>
          <w:rFonts w:ascii="Arial" w:hAnsi="Arial" w:cs="Arial"/>
          <w:szCs w:val="20"/>
        </w:rPr>
      </w:pPr>
    </w:p>
    <w:p w14:paraId="6C1A85F7" w14:textId="77777777" w:rsidR="00BE0D80" w:rsidRPr="0007382E" w:rsidRDefault="00BE0D80" w:rsidP="00BE0D80">
      <w:pPr>
        <w:spacing w:after="0"/>
        <w:jc w:val="both"/>
        <w:rPr>
          <w:rFonts w:ascii="Arial" w:hAnsi="Arial" w:cs="Arial"/>
          <w:szCs w:val="20"/>
        </w:rPr>
      </w:pPr>
      <w:r w:rsidRPr="0007382E">
        <w:rPr>
          <w:rFonts w:ascii="Arial" w:hAnsi="Arial" w:cs="Arial"/>
          <w:szCs w:val="20"/>
        </w:rPr>
        <w:t xml:space="preserve">También es importante señalar que, cuando se analizan </w:t>
      </w:r>
      <w:r>
        <w:rPr>
          <w:rFonts w:ascii="Arial" w:hAnsi="Arial" w:cs="Arial"/>
          <w:szCs w:val="20"/>
        </w:rPr>
        <w:t>servicios</w:t>
      </w:r>
      <w:r w:rsidRPr="0007382E">
        <w:rPr>
          <w:rFonts w:ascii="Arial" w:hAnsi="Arial" w:cs="Arial"/>
          <w:szCs w:val="20"/>
        </w:rPr>
        <w:t xml:space="preserve"> empaquetados, la aplicación de la Prueba SSNIP es teóricamente la misma y el resultado variará de acuerdo al producto focal del que se parta, así como del grado de sustitución entre los </w:t>
      </w:r>
      <w:r>
        <w:rPr>
          <w:rFonts w:ascii="Arial" w:hAnsi="Arial" w:cs="Arial"/>
          <w:szCs w:val="20"/>
        </w:rPr>
        <w:t>servicios</w:t>
      </w:r>
      <w:r w:rsidRPr="0007382E">
        <w:rPr>
          <w:rFonts w:ascii="Arial" w:hAnsi="Arial" w:cs="Arial"/>
          <w:szCs w:val="20"/>
        </w:rPr>
        <w:t xml:space="preserve"> individuales y los paquetes.</w:t>
      </w:r>
    </w:p>
    <w:p w14:paraId="50923995" w14:textId="77777777" w:rsidR="00BE0D80" w:rsidRPr="0007382E" w:rsidRDefault="00BE0D80" w:rsidP="00BE0D80">
      <w:pPr>
        <w:spacing w:after="0"/>
        <w:jc w:val="both"/>
        <w:rPr>
          <w:rFonts w:ascii="Arial" w:hAnsi="Arial" w:cs="Arial"/>
          <w:szCs w:val="20"/>
        </w:rPr>
      </w:pPr>
    </w:p>
    <w:p w14:paraId="14B7F5DA" w14:textId="77777777" w:rsidR="00BE0D80" w:rsidRPr="00931D46" w:rsidRDefault="00BE0D80" w:rsidP="00BE0D80">
      <w:pPr>
        <w:spacing w:after="0"/>
        <w:jc w:val="both"/>
        <w:rPr>
          <w:rFonts w:ascii="Arial" w:hAnsi="Arial" w:cs="Arial"/>
          <w:szCs w:val="20"/>
        </w:rPr>
      </w:pPr>
      <w:r w:rsidRPr="0007382E">
        <w:rPr>
          <w:rFonts w:ascii="Arial" w:hAnsi="Arial" w:cs="Arial"/>
          <w:szCs w:val="20"/>
        </w:rPr>
        <w:t xml:space="preserve">Respecto la delimitación del MR, pueden resultar diversos escenarios. Por ejemplo, si se analizaran 2 (dos) servicios que se venden de manera individual y empaquetada, podrían existir los siguientes MR: i) 2 (dos) MR separados, uno para cada servicio individual; ii) 1 (un) MR que incluya el paquete de los dos servicios; iii) 3 (tres) MR separados:  2 (dos) para los </w:t>
      </w:r>
      <w:r>
        <w:rPr>
          <w:rFonts w:ascii="Arial" w:hAnsi="Arial" w:cs="Arial"/>
          <w:szCs w:val="20"/>
        </w:rPr>
        <w:t>servicios</w:t>
      </w:r>
      <w:r w:rsidRPr="0007382E">
        <w:rPr>
          <w:rFonts w:ascii="Arial" w:hAnsi="Arial" w:cs="Arial"/>
          <w:szCs w:val="20"/>
        </w:rPr>
        <w:t xml:space="preserve"> individuales y 1 (uno) para el paquete; iv) 1 (un) MR que incluya el paquete y los servicios individuales y, v) 2 (dos) MR, cada uno compuesto por el servicio empaquetado y el servicio individual correspondiente. </w:t>
      </w:r>
    </w:p>
    <w:p w14:paraId="705F752C" w14:textId="77777777" w:rsidR="00BE0D80" w:rsidRPr="00931D46" w:rsidRDefault="00BE0D80" w:rsidP="00BE0D80">
      <w:pPr>
        <w:spacing w:after="0"/>
        <w:jc w:val="both"/>
        <w:rPr>
          <w:rFonts w:ascii="Arial" w:hAnsi="Arial" w:cs="Arial"/>
        </w:rPr>
      </w:pPr>
    </w:p>
    <w:p w14:paraId="191F160B"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60" w:name="_Toc43117679"/>
      <w:bookmarkStart w:id="161" w:name="_Toc43985859"/>
      <w:bookmarkStart w:id="162" w:name="_Toc44057907"/>
      <w:bookmarkStart w:id="163" w:name="_Toc44072031"/>
      <w:bookmarkStart w:id="164" w:name="_Toc44074709"/>
      <w:bookmarkStart w:id="165" w:name="_Toc44077120"/>
      <w:bookmarkStart w:id="166" w:name="_Toc44078319"/>
      <w:bookmarkStart w:id="167" w:name="_Toc44078587"/>
      <w:bookmarkStart w:id="168" w:name="_Toc42167323"/>
      <w:bookmarkStart w:id="169" w:name="_Toc42256671"/>
      <w:bookmarkStart w:id="170" w:name="_Toc42766336"/>
      <w:bookmarkStart w:id="171" w:name="_Toc42794204"/>
      <w:r w:rsidRPr="00931D46">
        <w:rPr>
          <w:rFonts w:ascii="Arial" w:eastAsia="Times New Roman" w:hAnsi="Arial" w:cs="Arial"/>
          <w:sz w:val="26"/>
          <w:szCs w:val="26"/>
          <w:lang w:eastAsia="es-MX"/>
        </w:rPr>
        <w:t>Precedentes decisorios del Instituto</w:t>
      </w:r>
      <w:bookmarkEnd w:id="160"/>
      <w:bookmarkEnd w:id="161"/>
      <w:bookmarkEnd w:id="162"/>
      <w:bookmarkEnd w:id="163"/>
      <w:bookmarkEnd w:id="164"/>
      <w:bookmarkEnd w:id="165"/>
      <w:bookmarkEnd w:id="166"/>
      <w:bookmarkEnd w:id="167"/>
      <w:bookmarkEnd w:id="168"/>
      <w:bookmarkEnd w:id="169"/>
      <w:bookmarkEnd w:id="170"/>
      <w:bookmarkEnd w:id="171"/>
    </w:p>
    <w:p w14:paraId="589D5D9D" w14:textId="77777777" w:rsidR="00BE0D80" w:rsidRPr="00931D46" w:rsidRDefault="00BE0D80" w:rsidP="00BE0D80">
      <w:pPr>
        <w:keepNext/>
        <w:spacing w:after="0"/>
        <w:jc w:val="both"/>
        <w:rPr>
          <w:rFonts w:ascii="Arial" w:hAnsi="Arial" w:cs="Arial"/>
        </w:rPr>
      </w:pPr>
    </w:p>
    <w:p w14:paraId="281D4407" w14:textId="77777777" w:rsidR="00BE0D80" w:rsidRPr="00931D46" w:rsidRDefault="00BE0D80" w:rsidP="00BE0D80">
      <w:pPr>
        <w:spacing w:after="0"/>
        <w:jc w:val="both"/>
        <w:rPr>
          <w:rFonts w:ascii="Arial" w:hAnsi="Arial" w:cs="Arial"/>
        </w:rPr>
      </w:pPr>
      <w:r>
        <w:rPr>
          <w:rFonts w:ascii="Arial" w:hAnsi="Arial" w:cs="Arial"/>
        </w:rPr>
        <w:t>E</w:t>
      </w:r>
      <w:r w:rsidRPr="00931D46">
        <w:rPr>
          <w:rFonts w:ascii="Arial" w:hAnsi="Arial" w:cs="Arial"/>
        </w:rPr>
        <w:t xml:space="preserve">l Instituto ha evaluado </w:t>
      </w:r>
      <w:r>
        <w:rPr>
          <w:rFonts w:ascii="Arial" w:hAnsi="Arial" w:cs="Arial"/>
        </w:rPr>
        <w:t>distintos casos</w:t>
      </w:r>
      <w:r w:rsidRPr="00464C29">
        <w:rPr>
          <w:rFonts w:ascii="Arial" w:eastAsia="Times New Roman" w:hAnsi="Arial" w:cs="Arial"/>
          <w:vertAlign w:val="superscript"/>
          <w:lang w:val="en-US" w:eastAsia="es-MX"/>
        </w:rPr>
        <w:footnoteReference w:id="109"/>
      </w:r>
      <w:r>
        <w:rPr>
          <w:rFonts w:ascii="Arial" w:hAnsi="Arial" w:cs="Arial"/>
        </w:rPr>
        <w:t xml:space="preserve"> que involucran </w:t>
      </w:r>
      <w:r w:rsidRPr="00931D46">
        <w:rPr>
          <w:rFonts w:ascii="Arial" w:hAnsi="Arial" w:cs="Arial"/>
        </w:rPr>
        <w:t xml:space="preserve">el empaquetamiento de servicios al determinar el MR, </w:t>
      </w:r>
      <w:r>
        <w:rPr>
          <w:rFonts w:ascii="Arial" w:hAnsi="Arial" w:cs="Arial"/>
        </w:rPr>
        <w:t>en</w:t>
      </w:r>
      <w:r w:rsidRPr="00931D46">
        <w:rPr>
          <w:rFonts w:ascii="Arial" w:hAnsi="Arial" w:cs="Arial"/>
        </w:rPr>
        <w:t xml:space="preserve"> los cuales se han considerado, entre otros, los siguientes elementos: </w:t>
      </w:r>
    </w:p>
    <w:p w14:paraId="05C77AEA" w14:textId="77777777" w:rsidR="00BE0D80" w:rsidRDefault="00BE0D80" w:rsidP="00BE0D80">
      <w:pPr>
        <w:pStyle w:val="Prrafodelista"/>
        <w:spacing w:after="0"/>
        <w:contextualSpacing w:val="0"/>
        <w:jc w:val="both"/>
        <w:rPr>
          <w:rFonts w:ascii="Arial" w:hAnsi="Arial" w:cs="Arial"/>
        </w:rPr>
      </w:pPr>
    </w:p>
    <w:p w14:paraId="50C32997" w14:textId="77777777" w:rsidR="00BE0D80" w:rsidRPr="00931D46" w:rsidRDefault="00BE0D80" w:rsidP="00BE0D80">
      <w:pPr>
        <w:pStyle w:val="Prrafodelista"/>
        <w:numPr>
          <w:ilvl w:val="0"/>
          <w:numId w:val="16"/>
        </w:numPr>
        <w:spacing w:after="0"/>
        <w:ind w:hanging="578"/>
        <w:contextualSpacing w:val="0"/>
        <w:jc w:val="both"/>
        <w:rPr>
          <w:rFonts w:ascii="Arial" w:hAnsi="Arial" w:cs="Arial"/>
        </w:rPr>
      </w:pPr>
      <w:r w:rsidRPr="00931D46">
        <w:rPr>
          <w:rFonts w:ascii="Arial" w:hAnsi="Arial" w:cs="Arial"/>
        </w:rPr>
        <w:t>La capacidad de los proveedores para conformar ofertas de paquetes,</w:t>
      </w:r>
    </w:p>
    <w:p w14:paraId="6A1F63BD" w14:textId="77777777" w:rsidR="00BE0D80" w:rsidRDefault="00BE0D80" w:rsidP="00BE0D80">
      <w:pPr>
        <w:pStyle w:val="Prrafodelista"/>
        <w:spacing w:after="0"/>
        <w:contextualSpacing w:val="0"/>
        <w:jc w:val="both"/>
        <w:rPr>
          <w:rFonts w:ascii="Arial" w:hAnsi="Arial" w:cs="Arial"/>
        </w:rPr>
      </w:pPr>
    </w:p>
    <w:p w14:paraId="51423A5A" w14:textId="77777777" w:rsidR="00BE0D80" w:rsidRDefault="00BE0D80" w:rsidP="00BE0D80">
      <w:pPr>
        <w:pStyle w:val="Prrafodelista"/>
        <w:numPr>
          <w:ilvl w:val="0"/>
          <w:numId w:val="16"/>
        </w:numPr>
        <w:spacing w:after="0"/>
        <w:ind w:hanging="578"/>
        <w:contextualSpacing w:val="0"/>
        <w:jc w:val="both"/>
        <w:rPr>
          <w:rFonts w:ascii="Arial" w:hAnsi="Arial" w:cs="Arial"/>
        </w:rPr>
      </w:pPr>
      <w:r w:rsidRPr="00931D46">
        <w:rPr>
          <w:rFonts w:ascii="Arial" w:hAnsi="Arial" w:cs="Arial"/>
        </w:rPr>
        <w:t xml:space="preserve">Las posibilidades que tienen los usuarios finales de contratar servicios </w:t>
      </w:r>
      <w:r w:rsidRPr="00931D46">
        <w:rPr>
          <w:rFonts w:ascii="Arial" w:eastAsiaTheme="majorEastAsia" w:hAnsi="Arial" w:cs="Arial"/>
          <w:bCs/>
        </w:rPr>
        <w:t>en forma individual y en distintas formas de empaquetamiento</w:t>
      </w:r>
      <w:r w:rsidRPr="00931D46">
        <w:rPr>
          <w:rFonts w:ascii="Arial" w:hAnsi="Arial" w:cs="Arial"/>
        </w:rPr>
        <w:t>, tomando en cuenta la disponibilidad, los precios y otras características de los servicios</w:t>
      </w:r>
      <w:r w:rsidRPr="00931D46" w:rsidDel="000D0EFD">
        <w:rPr>
          <w:rFonts w:ascii="Arial" w:hAnsi="Arial" w:cs="Arial"/>
        </w:rPr>
        <w:t>,</w:t>
      </w:r>
      <w:r w:rsidRPr="00931D46">
        <w:rPr>
          <w:rFonts w:ascii="Arial" w:hAnsi="Arial" w:cs="Arial"/>
        </w:rPr>
        <w:t xml:space="preserve"> </w:t>
      </w:r>
    </w:p>
    <w:p w14:paraId="74C56FB9" w14:textId="77777777" w:rsidR="00BE0D80" w:rsidRPr="00A92633" w:rsidRDefault="00BE0D80" w:rsidP="00BE0D80">
      <w:pPr>
        <w:pStyle w:val="Prrafodelista"/>
        <w:jc w:val="both"/>
        <w:rPr>
          <w:rFonts w:ascii="Arial" w:hAnsi="Arial" w:cs="Arial"/>
        </w:rPr>
      </w:pPr>
    </w:p>
    <w:p w14:paraId="555C1506" w14:textId="77777777" w:rsidR="00BE0D80" w:rsidRPr="00931D46" w:rsidRDefault="00BE0D80" w:rsidP="00BE0D80">
      <w:pPr>
        <w:pStyle w:val="Prrafodelista"/>
        <w:numPr>
          <w:ilvl w:val="0"/>
          <w:numId w:val="16"/>
        </w:numPr>
        <w:spacing w:after="0"/>
        <w:ind w:hanging="578"/>
        <w:contextualSpacing w:val="0"/>
        <w:jc w:val="both"/>
        <w:rPr>
          <w:rFonts w:ascii="Arial" w:hAnsi="Arial" w:cs="Arial"/>
        </w:rPr>
      </w:pPr>
      <w:r w:rsidRPr="00931D46">
        <w:rPr>
          <w:rFonts w:ascii="Arial" w:hAnsi="Arial" w:cs="Arial"/>
        </w:rPr>
        <w:t xml:space="preserve">La evidencia sobre la contratación de las distintas modalidades de empaquetamiento y servicios desagregados por parte de los usuarios, y </w:t>
      </w:r>
    </w:p>
    <w:p w14:paraId="489F7B18" w14:textId="77777777" w:rsidR="00BE0D80" w:rsidRDefault="00BE0D80" w:rsidP="00BE0D80">
      <w:pPr>
        <w:pStyle w:val="Prrafodelista"/>
        <w:spacing w:after="0"/>
        <w:contextualSpacing w:val="0"/>
        <w:jc w:val="both"/>
        <w:rPr>
          <w:rFonts w:ascii="Arial" w:hAnsi="Arial" w:cs="Arial"/>
        </w:rPr>
      </w:pPr>
    </w:p>
    <w:p w14:paraId="2942217C" w14:textId="77777777" w:rsidR="00BE0D80" w:rsidRPr="00931D46" w:rsidRDefault="00BE0D80" w:rsidP="00BE0D80">
      <w:pPr>
        <w:pStyle w:val="Prrafodelista"/>
        <w:numPr>
          <w:ilvl w:val="0"/>
          <w:numId w:val="16"/>
        </w:numPr>
        <w:spacing w:after="0"/>
        <w:ind w:hanging="578"/>
        <w:contextualSpacing w:val="0"/>
        <w:jc w:val="both"/>
        <w:rPr>
          <w:rFonts w:ascii="Arial" w:hAnsi="Arial" w:cs="Arial"/>
        </w:rPr>
      </w:pPr>
      <w:r w:rsidRPr="00931D46">
        <w:rPr>
          <w:rFonts w:ascii="Arial" w:hAnsi="Arial" w:cs="Arial"/>
        </w:rPr>
        <w:t xml:space="preserve">La existencia de sustitución asimétrica entre el paquete y sus componentes.  </w:t>
      </w:r>
    </w:p>
    <w:p w14:paraId="690B5CC0" w14:textId="77777777" w:rsidR="00BE0D80" w:rsidRPr="00931D46" w:rsidRDefault="00BE0D80" w:rsidP="00BE0D80">
      <w:pPr>
        <w:spacing w:after="0"/>
        <w:jc w:val="both"/>
        <w:rPr>
          <w:rFonts w:ascii="Arial" w:hAnsi="Arial" w:cs="Arial"/>
          <w:bCs/>
        </w:rPr>
      </w:pPr>
    </w:p>
    <w:p w14:paraId="73F20F42"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72" w:name="_Toc42167325"/>
      <w:bookmarkStart w:id="173" w:name="_Toc42256673"/>
      <w:bookmarkStart w:id="174" w:name="_Toc42766338"/>
      <w:bookmarkStart w:id="175" w:name="_Toc42794206"/>
      <w:bookmarkStart w:id="176" w:name="_Toc43117681"/>
      <w:bookmarkStart w:id="177" w:name="_Toc43985862"/>
      <w:bookmarkStart w:id="178" w:name="_Toc44057911"/>
      <w:bookmarkStart w:id="179" w:name="_Toc44072036"/>
      <w:bookmarkStart w:id="180" w:name="_Toc44074713"/>
      <w:bookmarkStart w:id="181" w:name="_Toc44077124"/>
      <w:bookmarkStart w:id="182" w:name="_Toc44078323"/>
      <w:bookmarkStart w:id="183" w:name="_Toc44078591"/>
      <w:r w:rsidRPr="00931D46">
        <w:rPr>
          <w:rFonts w:ascii="Arial" w:eastAsia="Times New Roman" w:hAnsi="Arial" w:cs="Arial"/>
          <w:sz w:val="26"/>
          <w:szCs w:val="26"/>
          <w:lang w:eastAsia="es-MX"/>
        </w:rPr>
        <w:t>Experiencia Internacional</w:t>
      </w:r>
      <w:bookmarkEnd w:id="172"/>
      <w:bookmarkEnd w:id="173"/>
      <w:bookmarkEnd w:id="174"/>
      <w:bookmarkEnd w:id="175"/>
      <w:bookmarkEnd w:id="176"/>
      <w:bookmarkEnd w:id="177"/>
      <w:bookmarkEnd w:id="178"/>
      <w:bookmarkEnd w:id="179"/>
      <w:bookmarkEnd w:id="180"/>
      <w:bookmarkEnd w:id="181"/>
      <w:bookmarkEnd w:id="182"/>
      <w:bookmarkEnd w:id="183"/>
    </w:p>
    <w:p w14:paraId="303A23BD" w14:textId="77777777" w:rsidR="008F2EB6" w:rsidRDefault="008F2EB6" w:rsidP="00BE0D80">
      <w:pPr>
        <w:spacing w:after="0"/>
        <w:jc w:val="both"/>
        <w:rPr>
          <w:rFonts w:ascii="Arial" w:hAnsi="Arial" w:cs="Arial"/>
        </w:rPr>
      </w:pPr>
      <w:bookmarkStart w:id="184" w:name="_Toc42167326"/>
      <w:bookmarkStart w:id="185" w:name="_Toc42256674"/>
      <w:bookmarkStart w:id="186" w:name="_Toc42766339"/>
      <w:bookmarkStart w:id="187" w:name="_Toc42794207"/>
      <w:bookmarkEnd w:id="184"/>
      <w:bookmarkEnd w:id="185"/>
      <w:bookmarkEnd w:id="186"/>
      <w:bookmarkEnd w:id="187"/>
    </w:p>
    <w:p w14:paraId="28404B31" w14:textId="2E37DD86" w:rsidR="00BE0D80" w:rsidRPr="00931D46" w:rsidRDefault="00BE0D80" w:rsidP="00BE0D80">
      <w:pPr>
        <w:spacing w:after="0"/>
        <w:jc w:val="both"/>
        <w:rPr>
          <w:rFonts w:ascii="Arial" w:hAnsi="Arial" w:cs="Arial"/>
        </w:rPr>
      </w:pPr>
      <w:r>
        <w:rPr>
          <w:rFonts w:ascii="Arial" w:hAnsi="Arial" w:cs="Arial"/>
        </w:rPr>
        <w:t>L</w:t>
      </w:r>
      <w:r w:rsidRPr="00931D46">
        <w:rPr>
          <w:rFonts w:ascii="Arial" w:hAnsi="Arial" w:cs="Arial"/>
        </w:rPr>
        <w:t xml:space="preserve">os principales criterios </w:t>
      </w:r>
      <w:r>
        <w:rPr>
          <w:rFonts w:ascii="Arial" w:hAnsi="Arial" w:cs="Arial"/>
        </w:rPr>
        <w:t>considerados</w:t>
      </w:r>
      <w:r w:rsidRPr="00931D46">
        <w:rPr>
          <w:rFonts w:ascii="Arial" w:hAnsi="Arial" w:cs="Arial"/>
        </w:rPr>
        <w:t xml:space="preserve"> 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Fonts w:ascii="Arial" w:eastAsia="Times New Roman" w:hAnsi="Arial" w:cs="Arial"/>
          <w:vertAlign w:val="superscript"/>
          <w:lang w:eastAsia="es-MX"/>
        </w:rPr>
        <w:footnoteReference w:id="110"/>
      </w:r>
      <w:r w:rsidRPr="00931D46">
        <w:rPr>
          <w:rFonts w:ascii="Arial" w:hAnsi="Arial" w:cs="Arial"/>
        </w:rPr>
        <w:t xml:space="preserve"> Portugal,</w:t>
      </w:r>
      <w:r w:rsidRPr="00931D46">
        <w:rPr>
          <w:rStyle w:val="Refdenotaalpie"/>
          <w:rFonts w:ascii="Arial" w:hAnsi="Arial" w:cs="Arial"/>
        </w:rPr>
        <w:footnoteReference w:id="111"/>
      </w:r>
      <w:r w:rsidRPr="00931D46">
        <w:rPr>
          <w:rFonts w:ascii="Arial" w:hAnsi="Arial" w:cs="Arial"/>
        </w:rPr>
        <w:t xml:space="preserve"> y Reino Unido</w:t>
      </w:r>
      <w:r w:rsidRPr="00940133">
        <w:rPr>
          <w:rFonts w:ascii="Arial" w:eastAsia="Times New Roman" w:hAnsi="Arial" w:cs="Arial"/>
          <w:vertAlign w:val="superscript"/>
          <w:lang w:eastAsia="es-MX"/>
        </w:rPr>
        <w:footnoteReference w:id="112"/>
      </w:r>
      <w:r w:rsidRPr="00931D46">
        <w:rPr>
          <w:rFonts w:ascii="Arial" w:hAnsi="Arial" w:cs="Arial"/>
        </w:rPr>
        <w:t>, así como los criterios y recomendaciones señalados por la OCDE</w:t>
      </w:r>
      <w:r w:rsidRPr="00931D46">
        <w:rPr>
          <w:rFonts w:ascii="Arial" w:eastAsia="Times New Roman" w:hAnsi="Arial" w:cs="Arial"/>
          <w:vertAlign w:val="superscript"/>
          <w:lang w:eastAsia="es-MX"/>
        </w:rPr>
        <w:footnoteReference w:id="113"/>
      </w:r>
      <w:r>
        <w:rPr>
          <w:rFonts w:ascii="Arial" w:hAnsi="Arial" w:cs="Arial"/>
        </w:rPr>
        <w:t xml:space="preserve"> </w:t>
      </w:r>
      <w:r w:rsidRPr="00931D46">
        <w:rPr>
          <w:rFonts w:ascii="Arial" w:hAnsi="Arial" w:cs="Arial"/>
        </w:rPr>
        <w:t>para determinar el MR en presencia de paquetes de servicios,</w:t>
      </w:r>
      <w:r>
        <w:rPr>
          <w:rFonts w:ascii="Arial" w:hAnsi="Arial" w:cs="Arial"/>
        </w:rPr>
        <w:t xml:space="preserve"> consisten en </w:t>
      </w:r>
      <w:r w:rsidRPr="00931D46">
        <w:rPr>
          <w:rFonts w:ascii="Arial" w:hAnsi="Arial" w:cs="Arial"/>
        </w:rPr>
        <w:t>analiza</w:t>
      </w:r>
      <w:r>
        <w:rPr>
          <w:rFonts w:ascii="Arial" w:hAnsi="Arial" w:cs="Arial"/>
        </w:rPr>
        <w:t>r</w:t>
      </w:r>
      <w:r w:rsidRPr="00931D46">
        <w:rPr>
          <w:rFonts w:ascii="Arial" w:hAnsi="Arial" w:cs="Arial"/>
        </w:rPr>
        <w:t xml:space="preserve"> y eval</w:t>
      </w:r>
      <w:r>
        <w:rPr>
          <w:rFonts w:ascii="Arial" w:hAnsi="Arial" w:cs="Arial"/>
        </w:rPr>
        <w:t>uar</w:t>
      </w:r>
      <w:r w:rsidRPr="00931D46">
        <w:rPr>
          <w:rFonts w:ascii="Arial" w:hAnsi="Arial" w:cs="Arial"/>
        </w:rPr>
        <w:t xml:space="preserve"> elementos como:</w:t>
      </w:r>
    </w:p>
    <w:p w14:paraId="45916626" w14:textId="77777777" w:rsidR="00BE0D80" w:rsidRDefault="00BE0D80" w:rsidP="00BE0D80">
      <w:pPr>
        <w:pStyle w:val="Prrafodelista"/>
        <w:spacing w:after="0"/>
        <w:contextualSpacing w:val="0"/>
        <w:jc w:val="both"/>
        <w:rPr>
          <w:rFonts w:ascii="Arial" w:hAnsi="Arial" w:cs="Arial"/>
        </w:rPr>
      </w:pPr>
    </w:p>
    <w:p w14:paraId="7608A75A"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La Prueba SSNIP aplicada a los servicios individuales y/o a los paquetes de servicios.</w:t>
      </w:r>
    </w:p>
    <w:p w14:paraId="450928F2" w14:textId="77777777" w:rsidR="00BE0D80" w:rsidRPr="00A92633" w:rsidRDefault="00BE0D80" w:rsidP="00BE0D80">
      <w:pPr>
        <w:pStyle w:val="Prrafodelista"/>
        <w:spacing w:after="0"/>
        <w:contextualSpacing w:val="0"/>
        <w:jc w:val="both"/>
        <w:rPr>
          <w:rFonts w:ascii="Arial" w:hAnsi="Arial" w:cs="Arial"/>
        </w:rPr>
      </w:pPr>
    </w:p>
    <w:p w14:paraId="0B74B27F"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color w:val="000000"/>
        </w:rPr>
        <w:t>La existencia de proveedores de servicios individuales.</w:t>
      </w:r>
      <w:r w:rsidRPr="00931D46" w:rsidDel="00F16FC4">
        <w:rPr>
          <w:rFonts w:ascii="Arial" w:hAnsi="Arial" w:cs="Arial"/>
        </w:rPr>
        <w:t xml:space="preserve"> </w:t>
      </w:r>
    </w:p>
    <w:p w14:paraId="16F058CD" w14:textId="77777777" w:rsidR="00BE0D80" w:rsidRPr="00A92633" w:rsidRDefault="00BE0D80" w:rsidP="00BE0D80">
      <w:pPr>
        <w:pStyle w:val="Prrafodelista"/>
        <w:spacing w:after="0"/>
        <w:contextualSpacing w:val="0"/>
        <w:jc w:val="both"/>
        <w:rPr>
          <w:rFonts w:ascii="Arial" w:hAnsi="Arial" w:cs="Arial"/>
        </w:rPr>
      </w:pPr>
    </w:p>
    <w:p w14:paraId="1D8B7FD3"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szCs w:val="20"/>
        </w:rPr>
        <w:t xml:space="preserve">La disponibilidad de </w:t>
      </w:r>
      <w:r>
        <w:rPr>
          <w:rFonts w:ascii="Arial" w:hAnsi="Arial" w:cs="Arial"/>
          <w:szCs w:val="20"/>
        </w:rPr>
        <w:t>servicios</w:t>
      </w:r>
      <w:r w:rsidRPr="00931D46">
        <w:rPr>
          <w:rFonts w:ascii="Arial" w:hAnsi="Arial" w:cs="Arial"/>
          <w:szCs w:val="20"/>
        </w:rPr>
        <w:t xml:space="preserve"> individuales.</w:t>
      </w:r>
    </w:p>
    <w:p w14:paraId="0BB382D8" w14:textId="77777777" w:rsidR="00BE0D80" w:rsidRDefault="00BE0D80" w:rsidP="00BE0D80">
      <w:pPr>
        <w:pStyle w:val="Prrafodelista"/>
        <w:spacing w:after="0"/>
        <w:contextualSpacing w:val="0"/>
        <w:jc w:val="both"/>
        <w:rPr>
          <w:rFonts w:ascii="Arial" w:hAnsi="Arial" w:cs="Arial"/>
        </w:rPr>
      </w:pPr>
    </w:p>
    <w:p w14:paraId="00AF4CFF"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 xml:space="preserve">La </w:t>
      </w:r>
      <w:r w:rsidRPr="00931D46">
        <w:rPr>
          <w:rFonts w:ascii="Arial" w:hAnsi="Arial" w:cs="Arial"/>
          <w:color w:val="000000"/>
        </w:rPr>
        <w:t>presencia de economías de alcance y ahorros en costos de transacción en la provisión de paquetes.</w:t>
      </w:r>
    </w:p>
    <w:p w14:paraId="602992C6" w14:textId="77777777" w:rsidR="00BE0D80" w:rsidRDefault="00BE0D80" w:rsidP="00BE0D80">
      <w:pPr>
        <w:pStyle w:val="Prrafodelista"/>
        <w:spacing w:after="0"/>
        <w:contextualSpacing w:val="0"/>
        <w:jc w:val="both"/>
        <w:rPr>
          <w:rFonts w:ascii="Arial" w:hAnsi="Arial" w:cs="Arial"/>
        </w:rPr>
      </w:pPr>
    </w:p>
    <w:p w14:paraId="35F0A25A"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Los precios relativos de los paquetes y de los servicios individuales, así como las diferencias en calidad.</w:t>
      </w:r>
    </w:p>
    <w:p w14:paraId="6B9135A1" w14:textId="77777777" w:rsidR="00BE0D80" w:rsidRDefault="00BE0D80" w:rsidP="00BE0D80">
      <w:pPr>
        <w:pStyle w:val="Prrafodelista"/>
        <w:spacing w:after="0"/>
        <w:contextualSpacing w:val="0"/>
        <w:jc w:val="both"/>
        <w:rPr>
          <w:rFonts w:ascii="Arial" w:hAnsi="Arial" w:cs="Arial"/>
        </w:rPr>
      </w:pPr>
    </w:p>
    <w:p w14:paraId="3CC340A6"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Las necesidades de los usuarios y sus preferencias en la contratación de servicios con uno o más proveedores.</w:t>
      </w:r>
    </w:p>
    <w:p w14:paraId="2993EE28" w14:textId="77777777" w:rsidR="00BE0D80" w:rsidRDefault="00BE0D80" w:rsidP="00BE0D80">
      <w:pPr>
        <w:pStyle w:val="Prrafodelista"/>
        <w:spacing w:after="0"/>
        <w:contextualSpacing w:val="0"/>
        <w:jc w:val="both"/>
        <w:rPr>
          <w:rFonts w:ascii="Arial" w:hAnsi="Arial" w:cs="Arial"/>
        </w:rPr>
      </w:pPr>
    </w:p>
    <w:p w14:paraId="2B2443CF"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Evidencia respecto a si</w:t>
      </w:r>
      <w:r w:rsidRPr="00931D46">
        <w:rPr>
          <w:rFonts w:ascii="Arial" w:hAnsi="Arial" w:cs="Arial"/>
          <w:szCs w:val="20"/>
        </w:rPr>
        <w:t xml:space="preserve"> los usuarios han cambiado de paquetes a servicios individuales, o viceversa, como resultado de cambios en los precios.</w:t>
      </w:r>
    </w:p>
    <w:p w14:paraId="294A166C" w14:textId="77777777" w:rsidR="00BE0D80" w:rsidRPr="00A92633" w:rsidRDefault="00BE0D80" w:rsidP="00BE0D80">
      <w:pPr>
        <w:pStyle w:val="Prrafodelista"/>
        <w:spacing w:after="0"/>
        <w:contextualSpacing w:val="0"/>
        <w:jc w:val="both"/>
        <w:rPr>
          <w:rFonts w:ascii="Arial" w:hAnsi="Arial" w:cs="Arial"/>
        </w:rPr>
      </w:pPr>
    </w:p>
    <w:p w14:paraId="1A4AE5E2"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szCs w:val="20"/>
        </w:rPr>
        <w:t>L</w:t>
      </w:r>
      <w:r w:rsidRPr="00931D46">
        <w:rPr>
          <w:rFonts w:ascii="Arial" w:hAnsi="Arial" w:cs="Arial"/>
        </w:rPr>
        <w:t xml:space="preserve">os costos </w:t>
      </w:r>
      <w:r w:rsidRPr="00931D46">
        <w:rPr>
          <w:rFonts w:ascii="Arial" w:hAnsi="Arial" w:cs="Arial"/>
          <w:szCs w:val="20"/>
        </w:rPr>
        <w:t>de cambio entre el paquete y los servicios individuales.</w:t>
      </w:r>
    </w:p>
    <w:p w14:paraId="4661CEDE"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La proporción de usuarios que contrata paquetes y la proporción que contrata servicios individuales.</w:t>
      </w:r>
    </w:p>
    <w:p w14:paraId="3149E43B" w14:textId="77777777" w:rsidR="00BE0D80" w:rsidRDefault="00BE0D80" w:rsidP="00BE0D80">
      <w:pPr>
        <w:pStyle w:val="Prrafodelista"/>
        <w:spacing w:after="0"/>
        <w:contextualSpacing w:val="0"/>
        <w:jc w:val="both"/>
        <w:rPr>
          <w:rFonts w:ascii="Arial" w:hAnsi="Arial" w:cs="Arial"/>
        </w:rPr>
      </w:pPr>
    </w:p>
    <w:p w14:paraId="7AC56D24"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La existencia de sustitución asimétrica entre el paquete y sus componentes individuales.</w:t>
      </w:r>
    </w:p>
    <w:p w14:paraId="02F909C0" w14:textId="77777777" w:rsidR="00BE0D80" w:rsidRPr="00931D46" w:rsidRDefault="00BE0D80" w:rsidP="00BE0D80">
      <w:pPr>
        <w:spacing w:after="0"/>
        <w:jc w:val="both"/>
        <w:rPr>
          <w:rFonts w:ascii="Arial" w:hAnsi="Arial" w:cs="Arial"/>
        </w:rPr>
      </w:pPr>
    </w:p>
    <w:p w14:paraId="26F7AE0B" w14:textId="77777777" w:rsidR="00BE0D80" w:rsidRPr="00931D46" w:rsidRDefault="00BE0D80" w:rsidP="00BE0D80">
      <w:pPr>
        <w:pStyle w:val="Ttulo3"/>
        <w:keepNext/>
        <w:numPr>
          <w:ilvl w:val="2"/>
          <w:numId w:val="5"/>
        </w:numPr>
        <w:ind w:left="1701"/>
        <w:contextualSpacing w:val="0"/>
        <w:rPr>
          <w:rFonts w:ascii="Arial" w:eastAsia="Times New Roman" w:hAnsi="Arial" w:cs="Arial"/>
          <w:b w:val="0"/>
          <w:sz w:val="26"/>
          <w:szCs w:val="26"/>
          <w:lang w:eastAsia="es-MX"/>
        </w:rPr>
      </w:pPr>
      <w:bookmarkStart w:id="188" w:name="_Toc44077083"/>
      <w:bookmarkStart w:id="189" w:name="_Toc44077104"/>
      <w:bookmarkStart w:id="190" w:name="_Toc44077192"/>
      <w:bookmarkStart w:id="191" w:name="_Toc44077203"/>
      <w:bookmarkStart w:id="192" w:name="_Toc44077221"/>
      <w:bookmarkStart w:id="193" w:name="_Toc44077255"/>
      <w:bookmarkStart w:id="194" w:name="_Toc44077276"/>
      <w:bookmarkStart w:id="195" w:name="_Toc44077322"/>
      <w:bookmarkStart w:id="196" w:name="_Toc44077373"/>
      <w:bookmarkStart w:id="197" w:name="_Toc44077391"/>
      <w:bookmarkStart w:id="198" w:name="_Toc44077490"/>
      <w:bookmarkStart w:id="199" w:name="_Toc44077512"/>
      <w:bookmarkStart w:id="200" w:name="_Toc44077553"/>
      <w:bookmarkStart w:id="201" w:name="_Toc44077713"/>
      <w:bookmarkStart w:id="202" w:name="_Toc44077734"/>
      <w:bookmarkStart w:id="203" w:name="_Toc44077778"/>
      <w:bookmarkStart w:id="204" w:name="_Toc44077898"/>
      <w:bookmarkStart w:id="205" w:name="_Toc44078100"/>
      <w:bookmarkStart w:id="206" w:name="_Toc44078003"/>
      <w:bookmarkStart w:id="207" w:name="_Toc44078028"/>
      <w:bookmarkStart w:id="208" w:name="_Toc44078121"/>
      <w:bookmarkStart w:id="209" w:name="_Toc44078147"/>
      <w:bookmarkStart w:id="210" w:name="_Toc44078168"/>
      <w:bookmarkStart w:id="211" w:name="_Toc44078324"/>
      <w:bookmarkStart w:id="212" w:name="_Toc44078592"/>
      <w:bookmarkStart w:id="213" w:name="_Toc44077556"/>
      <w:bookmarkStart w:id="214" w:name="_Toc44077716"/>
      <w:bookmarkStart w:id="215" w:name="_Toc44077901"/>
      <w:bookmarkStart w:id="216" w:name="_Toc44078103"/>
      <w:bookmarkStart w:id="217" w:name="_Toc44078006"/>
      <w:bookmarkStart w:id="218" w:name="_Toc44078031"/>
      <w:bookmarkStart w:id="219" w:name="_Toc44078150"/>
      <w:bookmarkStart w:id="220" w:name="_Toc44078327"/>
      <w:bookmarkStart w:id="221" w:name="_Toc44078595"/>
      <w:bookmarkStart w:id="222" w:name="_Toc44077557"/>
      <w:bookmarkStart w:id="223" w:name="_Toc44077717"/>
      <w:bookmarkStart w:id="224" w:name="_Toc44077902"/>
      <w:bookmarkStart w:id="225" w:name="_Toc44078104"/>
      <w:bookmarkStart w:id="226" w:name="_Toc44078007"/>
      <w:bookmarkStart w:id="227" w:name="_Toc44078032"/>
      <w:bookmarkStart w:id="228" w:name="_Toc44078151"/>
      <w:bookmarkStart w:id="229" w:name="_Toc44078328"/>
      <w:bookmarkStart w:id="230" w:name="_Toc44078596"/>
      <w:bookmarkStart w:id="231" w:name="_Toc44077558"/>
      <w:bookmarkStart w:id="232" w:name="_Toc44077718"/>
      <w:bookmarkStart w:id="233" w:name="_Toc44077903"/>
      <w:bookmarkStart w:id="234" w:name="_Toc44078105"/>
      <w:bookmarkStart w:id="235" w:name="_Toc44078008"/>
      <w:bookmarkStart w:id="236" w:name="_Toc44078033"/>
      <w:bookmarkStart w:id="237" w:name="_Toc44078152"/>
      <w:bookmarkStart w:id="238" w:name="_Toc44078329"/>
      <w:bookmarkStart w:id="239" w:name="_Toc44078597"/>
      <w:bookmarkStart w:id="240" w:name="_Toc43117682"/>
      <w:bookmarkStart w:id="241" w:name="_Toc43985863"/>
      <w:bookmarkStart w:id="242" w:name="_Toc44057912"/>
      <w:bookmarkStart w:id="243" w:name="_Toc44072037"/>
      <w:bookmarkStart w:id="244" w:name="_Toc44074714"/>
      <w:bookmarkStart w:id="245" w:name="_Toc44077132"/>
      <w:bookmarkStart w:id="246" w:name="_Toc44078334"/>
      <w:bookmarkStart w:id="247" w:name="_Toc44078602"/>
      <w:bookmarkStart w:id="248" w:name="_Toc42167329"/>
      <w:bookmarkStart w:id="249" w:name="_Toc42256678"/>
      <w:bookmarkStart w:id="250" w:name="_Toc42766343"/>
      <w:bookmarkStart w:id="251" w:name="_Toc4279421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ascii="Arial" w:eastAsia="Times New Roman" w:hAnsi="Arial" w:cs="Arial"/>
          <w:sz w:val="26"/>
          <w:szCs w:val="26"/>
          <w:lang w:eastAsia="es-MX"/>
        </w:rPr>
        <w:t>E</w:t>
      </w:r>
      <w:r w:rsidRPr="00931D46">
        <w:rPr>
          <w:rFonts w:ascii="Arial" w:eastAsia="Times New Roman" w:hAnsi="Arial" w:cs="Arial"/>
          <w:sz w:val="26"/>
          <w:szCs w:val="26"/>
          <w:lang w:eastAsia="es-MX"/>
        </w:rPr>
        <w:t xml:space="preserve">lementos para determinar MR en presencia de paquetes de </w:t>
      </w:r>
      <w:bookmarkEnd w:id="240"/>
      <w:bookmarkEnd w:id="241"/>
      <w:bookmarkEnd w:id="242"/>
      <w:bookmarkEnd w:id="243"/>
      <w:bookmarkEnd w:id="244"/>
      <w:bookmarkEnd w:id="245"/>
      <w:bookmarkEnd w:id="246"/>
      <w:bookmarkEnd w:id="247"/>
      <w:bookmarkEnd w:id="248"/>
      <w:bookmarkEnd w:id="249"/>
      <w:bookmarkEnd w:id="250"/>
      <w:bookmarkEnd w:id="251"/>
      <w:r>
        <w:rPr>
          <w:rFonts w:ascii="Arial" w:eastAsia="Times New Roman" w:hAnsi="Arial" w:cs="Arial"/>
          <w:sz w:val="26"/>
          <w:szCs w:val="26"/>
          <w:lang w:eastAsia="es-MX"/>
        </w:rPr>
        <w:t>servicios</w:t>
      </w:r>
    </w:p>
    <w:p w14:paraId="7B252229" w14:textId="77777777" w:rsidR="008F2EB6" w:rsidRDefault="008F2EB6" w:rsidP="00BE0D80">
      <w:pPr>
        <w:shd w:val="clear" w:color="auto" w:fill="FFFFFF" w:themeFill="background1"/>
        <w:spacing w:after="0"/>
        <w:jc w:val="both"/>
        <w:rPr>
          <w:rFonts w:ascii="Arial" w:hAnsi="Arial" w:cs="Arial"/>
        </w:rPr>
      </w:pPr>
    </w:p>
    <w:p w14:paraId="06DCA4AF" w14:textId="4179DD21" w:rsidR="00BE0D80" w:rsidRPr="00931D46" w:rsidRDefault="00BE0D80" w:rsidP="00BE0D80">
      <w:pPr>
        <w:shd w:val="clear" w:color="auto" w:fill="FFFFFF" w:themeFill="background1"/>
        <w:spacing w:after="0"/>
        <w:jc w:val="both"/>
        <w:rPr>
          <w:rFonts w:ascii="Arial" w:hAnsi="Arial" w:cs="Arial"/>
        </w:rPr>
      </w:pPr>
      <w:r>
        <w:rPr>
          <w:rFonts w:ascii="Arial" w:hAnsi="Arial" w:cs="Arial"/>
        </w:rPr>
        <w:t>P</w:t>
      </w:r>
      <w:r w:rsidRPr="00931D46">
        <w:rPr>
          <w:rFonts w:ascii="Arial" w:hAnsi="Arial" w:cs="Arial"/>
        </w:rPr>
        <w:t xml:space="preserve">ara determinar el MR en presencia de paquetes de </w:t>
      </w:r>
      <w:r>
        <w:rPr>
          <w:rFonts w:ascii="Arial" w:hAnsi="Arial" w:cs="Arial"/>
        </w:rPr>
        <w:t>servicios</w:t>
      </w:r>
      <w:r w:rsidRPr="00931D46">
        <w:rPr>
          <w:rFonts w:ascii="Arial" w:hAnsi="Arial" w:cs="Arial"/>
        </w:rPr>
        <w:t>, el Instituto podrá considerar las herramientas y elementos de evidencia que se presentan a continuación, sin orden de importancia o prelación en su aplicación:</w:t>
      </w:r>
    </w:p>
    <w:p w14:paraId="59A67908" w14:textId="77777777" w:rsidR="00BE0D80" w:rsidRDefault="00BE0D80" w:rsidP="00BE0D80">
      <w:pPr>
        <w:pStyle w:val="Prrafodelista"/>
        <w:shd w:val="clear" w:color="auto" w:fill="FFFFFF" w:themeFill="background1"/>
        <w:spacing w:after="0"/>
        <w:contextualSpacing w:val="0"/>
        <w:jc w:val="both"/>
        <w:rPr>
          <w:rFonts w:ascii="Arial" w:hAnsi="Arial" w:cs="Arial"/>
        </w:rPr>
      </w:pPr>
    </w:p>
    <w:p w14:paraId="627E0F3B" w14:textId="77777777" w:rsidR="00BE0D80" w:rsidRPr="00931D46"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rPr>
        <w:t xml:space="preserve">La Prueba SSNIP aplicada a </w:t>
      </w:r>
      <w:r>
        <w:rPr>
          <w:rFonts w:ascii="Arial" w:hAnsi="Arial" w:cs="Arial"/>
        </w:rPr>
        <w:t>servicios</w:t>
      </w:r>
      <w:r w:rsidRPr="00931D46">
        <w:rPr>
          <w:rFonts w:ascii="Arial" w:hAnsi="Arial" w:cs="Arial"/>
        </w:rPr>
        <w:t xml:space="preserve"> individuales y paquetes de servicios.</w:t>
      </w:r>
    </w:p>
    <w:p w14:paraId="191B36C8" w14:textId="77777777" w:rsidR="00BE0D80" w:rsidRDefault="00BE0D80" w:rsidP="00BE0D80">
      <w:pPr>
        <w:pStyle w:val="Prrafodelista"/>
        <w:shd w:val="clear" w:color="auto" w:fill="FFFFFF" w:themeFill="background1"/>
        <w:spacing w:after="0"/>
        <w:contextualSpacing w:val="0"/>
        <w:jc w:val="both"/>
        <w:rPr>
          <w:rFonts w:ascii="Arial" w:hAnsi="Arial" w:cs="Arial"/>
          <w:szCs w:val="20"/>
        </w:rPr>
      </w:pPr>
    </w:p>
    <w:p w14:paraId="44116328" w14:textId="77777777" w:rsidR="00BE0D80" w:rsidRPr="0007382E"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931D46">
        <w:rPr>
          <w:rFonts w:ascii="Arial" w:hAnsi="Arial" w:cs="Arial"/>
          <w:szCs w:val="20"/>
        </w:rPr>
        <w:t xml:space="preserve">La </w:t>
      </w:r>
      <w:r w:rsidRPr="0007382E">
        <w:rPr>
          <w:rFonts w:ascii="Arial" w:hAnsi="Arial" w:cs="Arial"/>
          <w:szCs w:val="20"/>
        </w:rPr>
        <w:t xml:space="preserve">existencia de alternativas de </w:t>
      </w:r>
      <w:r>
        <w:rPr>
          <w:rFonts w:ascii="Arial" w:hAnsi="Arial" w:cs="Arial"/>
          <w:szCs w:val="20"/>
        </w:rPr>
        <w:t>servicios</w:t>
      </w:r>
      <w:r w:rsidRPr="0007382E">
        <w:rPr>
          <w:rFonts w:ascii="Arial" w:hAnsi="Arial" w:cs="Arial"/>
          <w:szCs w:val="20"/>
        </w:rPr>
        <w:t xml:space="preserve"> y proveedores que los ofrezcan, de manera empaquetada y desagregada.</w:t>
      </w:r>
    </w:p>
    <w:p w14:paraId="6A15E0D4" w14:textId="77777777" w:rsidR="00BE0D80" w:rsidRDefault="00BE0D80" w:rsidP="00BE0D80">
      <w:pPr>
        <w:pStyle w:val="Prrafodelista"/>
        <w:shd w:val="clear" w:color="auto" w:fill="FFFFFF" w:themeFill="background1"/>
        <w:spacing w:after="0"/>
        <w:contextualSpacing w:val="0"/>
        <w:jc w:val="both"/>
        <w:rPr>
          <w:rFonts w:ascii="Arial" w:hAnsi="Arial" w:cs="Arial"/>
          <w:szCs w:val="20"/>
        </w:rPr>
      </w:pPr>
    </w:p>
    <w:p w14:paraId="645F030C" w14:textId="77777777" w:rsidR="00BE0D80" w:rsidRPr="0007382E"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07382E">
        <w:rPr>
          <w:rFonts w:ascii="Arial" w:hAnsi="Arial" w:cs="Arial"/>
          <w:szCs w:val="20"/>
        </w:rPr>
        <w:t xml:space="preserve">La capacidad de los oferentes para conformar ofertas de paquetes de </w:t>
      </w:r>
      <w:r>
        <w:rPr>
          <w:rFonts w:ascii="Arial" w:hAnsi="Arial" w:cs="Arial"/>
          <w:szCs w:val="20"/>
        </w:rPr>
        <w:t>servicios</w:t>
      </w:r>
      <w:r w:rsidRPr="0007382E">
        <w:rPr>
          <w:rFonts w:ascii="Arial" w:hAnsi="Arial" w:cs="Arial"/>
          <w:szCs w:val="20"/>
        </w:rPr>
        <w:t>.</w:t>
      </w:r>
    </w:p>
    <w:p w14:paraId="2C04E1FD" w14:textId="77777777" w:rsidR="00BE0D80" w:rsidRDefault="00BE0D80" w:rsidP="00BE0D80">
      <w:pPr>
        <w:pStyle w:val="Prrafodelista"/>
        <w:shd w:val="clear" w:color="auto" w:fill="FFFFFF" w:themeFill="background1"/>
        <w:spacing w:after="0"/>
        <w:contextualSpacing w:val="0"/>
        <w:jc w:val="both"/>
        <w:rPr>
          <w:rFonts w:ascii="Arial" w:hAnsi="Arial" w:cs="Arial"/>
          <w:szCs w:val="20"/>
        </w:rPr>
      </w:pPr>
    </w:p>
    <w:p w14:paraId="525E7FB3" w14:textId="77777777" w:rsidR="00BE0D80" w:rsidRPr="0007382E"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07382E">
        <w:rPr>
          <w:rFonts w:ascii="Arial" w:hAnsi="Arial" w:cs="Arial"/>
          <w:szCs w:val="20"/>
        </w:rPr>
        <w:t xml:space="preserve">La capacidad de los usuarios para conformar paquetes sintéticos a través de ofertas de </w:t>
      </w:r>
      <w:r>
        <w:rPr>
          <w:rFonts w:ascii="Arial" w:hAnsi="Arial" w:cs="Arial"/>
          <w:szCs w:val="20"/>
        </w:rPr>
        <w:t xml:space="preserve">paquetes o </w:t>
      </w:r>
      <w:r w:rsidRPr="0007382E">
        <w:rPr>
          <w:rFonts w:ascii="Arial" w:hAnsi="Arial" w:cs="Arial"/>
          <w:szCs w:val="20"/>
        </w:rPr>
        <w:t xml:space="preserve">servicios individuales. </w:t>
      </w:r>
    </w:p>
    <w:p w14:paraId="0E55D93C" w14:textId="77777777" w:rsidR="00BE0D80" w:rsidRPr="00A92633" w:rsidRDefault="00BE0D80" w:rsidP="00BE0D80">
      <w:pPr>
        <w:pStyle w:val="Prrafodelista"/>
        <w:shd w:val="clear" w:color="auto" w:fill="FFFFFF" w:themeFill="background1"/>
        <w:spacing w:after="0"/>
        <w:contextualSpacing w:val="0"/>
        <w:jc w:val="both"/>
        <w:rPr>
          <w:rFonts w:ascii="Arial" w:hAnsi="Arial" w:cs="Arial"/>
          <w:szCs w:val="20"/>
        </w:rPr>
      </w:pPr>
    </w:p>
    <w:p w14:paraId="0E7B9928" w14:textId="77777777" w:rsidR="00BE0D80" w:rsidRPr="0007382E"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07382E">
        <w:rPr>
          <w:rFonts w:ascii="Arial" w:hAnsi="Arial" w:cs="Arial"/>
        </w:rPr>
        <w:t xml:space="preserve">Los patrones de consumo de los usuarios, por ejemplo, la proporción de usuarios que contrata paquetes puros, paquetes sintéticos y </w:t>
      </w:r>
      <w:r>
        <w:rPr>
          <w:rFonts w:ascii="Arial" w:hAnsi="Arial" w:cs="Arial"/>
        </w:rPr>
        <w:t>servicios</w:t>
      </w:r>
      <w:r w:rsidRPr="0007382E">
        <w:rPr>
          <w:rFonts w:ascii="Arial" w:hAnsi="Arial" w:cs="Arial"/>
        </w:rPr>
        <w:t xml:space="preserve"> individuales</w:t>
      </w:r>
      <w:r w:rsidRPr="0007382E">
        <w:rPr>
          <w:rFonts w:ascii="Arial" w:hAnsi="Arial" w:cs="Arial"/>
          <w:szCs w:val="20"/>
        </w:rPr>
        <w:t xml:space="preserve">. </w:t>
      </w:r>
    </w:p>
    <w:p w14:paraId="36AF5C83" w14:textId="77777777" w:rsidR="00BE0D80" w:rsidRDefault="00BE0D80" w:rsidP="00BE0D80">
      <w:pPr>
        <w:pStyle w:val="Prrafodelista"/>
        <w:spacing w:after="0"/>
        <w:contextualSpacing w:val="0"/>
        <w:jc w:val="both"/>
        <w:rPr>
          <w:rFonts w:ascii="Arial" w:hAnsi="Arial" w:cs="Arial"/>
        </w:rPr>
      </w:pPr>
    </w:p>
    <w:p w14:paraId="007CE449" w14:textId="77777777" w:rsidR="00BE0D80" w:rsidRPr="0007382E" w:rsidRDefault="00BE0D80" w:rsidP="00BE0D80">
      <w:pPr>
        <w:pStyle w:val="Prrafodelista"/>
        <w:numPr>
          <w:ilvl w:val="0"/>
          <w:numId w:val="15"/>
        </w:numPr>
        <w:spacing w:after="0"/>
        <w:ind w:hanging="578"/>
        <w:contextualSpacing w:val="0"/>
        <w:jc w:val="both"/>
        <w:rPr>
          <w:rFonts w:ascii="Arial" w:hAnsi="Arial" w:cs="Arial"/>
        </w:rPr>
      </w:pPr>
      <w:r w:rsidRPr="0007382E">
        <w:rPr>
          <w:rFonts w:ascii="Arial" w:hAnsi="Arial" w:cs="Arial"/>
        </w:rPr>
        <w:t xml:space="preserve">Los precios relativos de los paquetes y de los </w:t>
      </w:r>
      <w:r>
        <w:rPr>
          <w:rFonts w:ascii="Arial" w:hAnsi="Arial" w:cs="Arial"/>
        </w:rPr>
        <w:t>servicios</w:t>
      </w:r>
      <w:r w:rsidRPr="0007382E">
        <w:rPr>
          <w:rFonts w:ascii="Arial" w:hAnsi="Arial" w:cs="Arial"/>
        </w:rPr>
        <w:t xml:space="preserve"> individuales, </w:t>
      </w:r>
      <w:r w:rsidRPr="00952F7D">
        <w:rPr>
          <w:rFonts w:ascii="Arial" w:hAnsi="Arial" w:cs="Arial"/>
        </w:rPr>
        <w:t>incluyendo el otorgamiento de descuentos sobre los servicios empaquetados,</w:t>
      </w:r>
      <w:r w:rsidRPr="0007382E">
        <w:rPr>
          <w:rFonts w:ascii="Arial" w:hAnsi="Arial" w:cs="Arial"/>
        </w:rPr>
        <w:t xml:space="preserve"> así como las diferencias en calidad.</w:t>
      </w:r>
    </w:p>
    <w:p w14:paraId="524E7E10" w14:textId="77777777" w:rsidR="00BE0D80" w:rsidRDefault="00BE0D80" w:rsidP="00BE0D80">
      <w:pPr>
        <w:pStyle w:val="Prrafodelista"/>
        <w:spacing w:after="0"/>
        <w:contextualSpacing w:val="0"/>
        <w:jc w:val="both"/>
        <w:rPr>
          <w:rFonts w:ascii="Arial" w:hAnsi="Arial" w:cs="Arial"/>
        </w:rPr>
      </w:pPr>
    </w:p>
    <w:p w14:paraId="284718D6"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La presencia de economías de alcance específicas del cliente y ahorros en costos de transacción en la provisión de paquetes.</w:t>
      </w:r>
    </w:p>
    <w:p w14:paraId="4A9093B2" w14:textId="77777777" w:rsidR="00BE0D80" w:rsidRDefault="00BE0D80" w:rsidP="00BE0D80">
      <w:pPr>
        <w:pStyle w:val="Prrafodelista"/>
        <w:spacing w:after="0"/>
        <w:contextualSpacing w:val="0"/>
        <w:jc w:val="both"/>
        <w:rPr>
          <w:rFonts w:ascii="Arial" w:hAnsi="Arial" w:cs="Arial"/>
        </w:rPr>
      </w:pPr>
    </w:p>
    <w:p w14:paraId="277EF838" w14:textId="77777777" w:rsidR="00BE0D80" w:rsidRPr="00931D46" w:rsidRDefault="00BE0D80" w:rsidP="00BE0D80">
      <w:pPr>
        <w:pStyle w:val="Prrafodelista"/>
        <w:numPr>
          <w:ilvl w:val="0"/>
          <w:numId w:val="15"/>
        </w:numPr>
        <w:spacing w:after="0"/>
        <w:ind w:hanging="578"/>
        <w:contextualSpacing w:val="0"/>
        <w:jc w:val="both"/>
        <w:rPr>
          <w:rFonts w:ascii="Arial" w:hAnsi="Arial" w:cs="Arial"/>
        </w:rPr>
      </w:pPr>
      <w:r w:rsidRPr="00931D46">
        <w:rPr>
          <w:rFonts w:ascii="Arial" w:hAnsi="Arial" w:cs="Arial"/>
        </w:rPr>
        <w:t xml:space="preserve">Las necesidades de los usuarios y sus preferencias en la contratación de </w:t>
      </w:r>
      <w:r>
        <w:rPr>
          <w:rFonts w:ascii="Arial" w:hAnsi="Arial" w:cs="Arial"/>
        </w:rPr>
        <w:t>servicios</w:t>
      </w:r>
      <w:r w:rsidRPr="00931D46">
        <w:rPr>
          <w:rFonts w:ascii="Arial" w:hAnsi="Arial" w:cs="Arial"/>
        </w:rPr>
        <w:t xml:space="preserve"> con uno o más proveedores.</w:t>
      </w:r>
    </w:p>
    <w:p w14:paraId="4D054D0B" w14:textId="77777777" w:rsidR="00BE0D80" w:rsidRPr="00A92633" w:rsidRDefault="00BE0D80" w:rsidP="00BE0D80">
      <w:pPr>
        <w:pStyle w:val="Prrafodelista"/>
        <w:shd w:val="clear" w:color="auto" w:fill="FFFFFF" w:themeFill="background1"/>
        <w:spacing w:after="0"/>
        <w:contextualSpacing w:val="0"/>
        <w:jc w:val="both"/>
        <w:rPr>
          <w:rFonts w:ascii="Arial" w:hAnsi="Arial" w:cs="Arial"/>
        </w:rPr>
      </w:pPr>
    </w:p>
    <w:p w14:paraId="5F696A86" w14:textId="77777777" w:rsidR="00BE0D80" w:rsidRPr="00931D46"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szCs w:val="20"/>
        </w:rPr>
        <w:t>L</w:t>
      </w:r>
      <w:r w:rsidRPr="00931D46">
        <w:rPr>
          <w:rFonts w:ascii="Arial" w:hAnsi="Arial" w:cs="Arial"/>
        </w:rPr>
        <w:t xml:space="preserve">os costos </w:t>
      </w:r>
      <w:r w:rsidRPr="00931D46">
        <w:rPr>
          <w:rFonts w:ascii="Arial" w:hAnsi="Arial" w:cs="Arial"/>
          <w:szCs w:val="20"/>
        </w:rPr>
        <w:t xml:space="preserve">de cambio entre los paquetes y los </w:t>
      </w:r>
      <w:r>
        <w:rPr>
          <w:rFonts w:ascii="Arial" w:hAnsi="Arial" w:cs="Arial"/>
          <w:szCs w:val="20"/>
        </w:rPr>
        <w:t>servicios</w:t>
      </w:r>
      <w:r w:rsidRPr="00931D46">
        <w:rPr>
          <w:rFonts w:ascii="Arial" w:hAnsi="Arial" w:cs="Arial"/>
          <w:szCs w:val="20"/>
        </w:rPr>
        <w:t xml:space="preserve"> individuales.</w:t>
      </w:r>
    </w:p>
    <w:p w14:paraId="6A28741D" w14:textId="77777777" w:rsidR="00BE0D80" w:rsidRDefault="00BE0D80" w:rsidP="00BE0D80">
      <w:pPr>
        <w:pStyle w:val="Prrafodelista"/>
        <w:shd w:val="clear" w:color="auto" w:fill="FFFFFF" w:themeFill="background1"/>
        <w:spacing w:after="0"/>
        <w:contextualSpacing w:val="0"/>
        <w:jc w:val="both"/>
        <w:rPr>
          <w:rFonts w:ascii="Arial" w:hAnsi="Arial" w:cs="Arial"/>
        </w:rPr>
      </w:pPr>
    </w:p>
    <w:p w14:paraId="2CFB69C8" w14:textId="77777777" w:rsidR="00BE0D80" w:rsidRPr="00931D46"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rPr>
        <w:lastRenderedPageBreak/>
        <w:t xml:space="preserve">La evidencia respecto a si </w:t>
      </w:r>
      <w:r w:rsidRPr="00931D46">
        <w:rPr>
          <w:rFonts w:ascii="Arial" w:hAnsi="Arial" w:cs="Arial"/>
          <w:szCs w:val="20"/>
        </w:rPr>
        <w:t xml:space="preserve">los usuarios han cambiado de paquetes a </w:t>
      </w:r>
      <w:r>
        <w:rPr>
          <w:rFonts w:ascii="Arial" w:hAnsi="Arial" w:cs="Arial"/>
          <w:szCs w:val="20"/>
        </w:rPr>
        <w:t>servicios</w:t>
      </w:r>
      <w:r w:rsidRPr="00931D46">
        <w:rPr>
          <w:rFonts w:ascii="Arial" w:hAnsi="Arial" w:cs="Arial"/>
          <w:szCs w:val="20"/>
        </w:rPr>
        <w:t xml:space="preserve"> individuales, o viceversa, como resultado de cambios en los precios.</w:t>
      </w:r>
    </w:p>
    <w:p w14:paraId="4415F10D" w14:textId="77777777" w:rsidR="00BE0D80" w:rsidRPr="00A92633" w:rsidRDefault="00BE0D80" w:rsidP="00BE0D80">
      <w:pPr>
        <w:pStyle w:val="Prrafodelista"/>
        <w:shd w:val="clear" w:color="auto" w:fill="FFFFFF" w:themeFill="background1"/>
        <w:spacing w:after="0"/>
        <w:contextualSpacing w:val="0"/>
        <w:jc w:val="both"/>
        <w:rPr>
          <w:rFonts w:ascii="Arial" w:hAnsi="Arial" w:cs="Arial"/>
        </w:rPr>
      </w:pPr>
    </w:p>
    <w:p w14:paraId="18CD5FEF" w14:textId="77777777" w:rsidR="00BE0D80" w:rsidRPr="00A92633" w:rsidRDefault="00BE0D80" w:rsidP="00BE0D8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szCs w:val="20"/>
        </w:rPr>
        <w:t>La existencia de sustitución asimétrica entre los paquetes y sus componentes individuales.</w:t>
      </w:r>
    </w:p>
    <w:p w14:paraId="19E60FFF" w14:textId="77777777" w:rsidR="00BE0D80" w:rsidRPr="0066406A" w:rsidRDefault="00BE0D80" w:rsidP="00BE0D80">
      <w:pPr>
        <w:shd w:val="clear" w:color="auto" w:fill="FFFFFF" w:themeFill="background1"/>
        <w:spacing w:after="0"/>
        <w:jc w:val="both"/>
        <w:rPr>
          <w:rFonts w:ascii="Arial" w:hAnsi="Arial" w:cs="Arial"/>
        </w:rPr>
      </w:pPr>
    </w:p>
    <w:p w14:paraId="2A0057A5" w14:textId="77777777" w:rsidR="00BE0D80" w:rsidRDefault="00BE0D80" w:rsidP="00BE0D80">
      <w:pPr>
        <w:pStyle w:val="Ttulo2"/>
        <w:keepLines w:val="0"/>
        <w:numPr>
          <w:ilvl w:val="1"/>
          <w:numId w:val="5"/>
        </w:numPr>
        <w:autoSpaceDE/>
        <w:autoSpaceDN/>
        <w:adjustRightInd/>
        <w:spacing w:after="0"/>
        <w:rPr>
          <w:rFonts w:ascii="Arial" w:eastAsia="Times New Roman" w:hAnsi="Arial" w:cs="Arial"/>
          <w:sz w:val="26"/>
          <w:lang w:eastAsia="es-MX"/>
        </w:rPr>
      </w:pPr>
      <w:bookmarkStart w:id="252" w:name="_Toc85473337"/>
      <w:r w:rsidRPr="00E16068">
        <w:rPr>
          <w:rFonts w:ascii="Arial" w:eastAsia="Times New Roman" w:hAnsi="Arial" w:cs="Arial"/>
          <w:sz w:val="26"/>
          <w:lang w:eastAsia="es-MX"/>
        </w:rPr>
        <w:t>Mercados de múltiples lados</w:t>
      </w:r>
      <w:bookmarkEnd w:id="252"/>
    </w:p>
    <w:p w14:paraId="6A2F1CA5" w14:textId="77777777" w:rsidR="00BE0D80" w:rsidRPr="008F2EB6" w:rsidRDefault="00BE0D80" w:rsidP="008F2EB6">
      <w:pPr>
        <w:shd w:val="clear" w:color="auto" w:fill="FFFFFF" w:themeFill="background1"/>
        <w:spacing w:after="0"/>
        <w:jc w:val="both"/>
        <w:rPr>
          <w:rFonts w:ascii="Arial" w:hAnsi="Arial" w:cs="Arial"/>
        </w:rPr>
      </w:pPr>
    </w:p>
    <w:p w14:paraId="2C6ADFA0" w14:textId="77777777" w:rsidR="00BE0D80" w:rsidRDefault="00BE0D80" w:rsidP="00BE0D80">
      <w:pPr>
        <w:shd w:val="clear" w:color="auto" w:fill="FFFFFF" w:themeFill="background1"/>
        <w:spacing w:after="0"/>
        <w:jc w:val="both"/>
        <w:rPr>
          <w:rFonts w:ascii="Arial" w:hAnsi="Arial" w:cs="Arial"/>
        </w:rPr>
      </w:pPr>
      <w:r w:rsidRPr="00E16068">
        <w:rPr>
          <w:rFonts w:ascii="Arial" w:hAnsi="Arial" w:cs="Arial"/>
        </w:rPr>
        <w:t xml:space="preserve">Los mercados de múltiples lados son aquellos en los que, actuando como una plataforma, los AE ofrecen diferentes productos a diferentes grupos de usuarios con demandas interdependientes entre sí, y existen </w:t>
      </w:r>
      <w:r>
        <w:rPr>
          <w:rFonts w:ascii="Arial" w:hAnsi="Arial" w:cs="Arial"/>
        </w:rPr>
        <w:t xml:space="preserve">efectos o </w:t>
      </w:r>
      <w:r w:rsidRPr="00E16068">
        <w:rPr>
          <w:rFonts w:ascii="Arial" w:hAnsi="Arial" w:cs="Arial"/>
        </w:rPr>
        <w:t>externalidades indirectas de red.</w:t>
      </w:r>
      <w:r>
        <w:rPr>
          <w:rStyle w:val="Refdenotaalpie"/>
          <w:rFonts w:ascii="Arial" w:hAnsi="Arial" w:cs="Arial"/>
        </w:rPr>
        <w:footnoteReference w:id="114"/>
      </w:r>
      <w:r w:rsidRPr="00E16068">
        <w:rPr>
          <w:rFonts w:ascii="Arial" w:hAnsi="Arial" w:cs="Arial"/>
        </w:rPr>
        <w:t xml:space="preserve"> La presencia de efectos indirectos de red afecta los mecanismos de fijación de precios y la manera en la que compiten los agentes económicos en estos mercados</w:t>
      </w:r>
      <w:r>
        <w:rPr>
          <w:rFonts w:ascii="Arial" w:hAnsi="Arial" w:cs="Arial"/>
        </w:rPr>
        <w:t>, así como la delimitación del MR</w:t>
      </w:r>
      <w:r w:rsidRPr="00E16068">
        <w:rPr>
          <w:rFonts w:ascii="Arial" w:hAnsi="Arial" w:cs="Arial"/>
        </w:rPr>
        <w:t>.</w:t>
      </w:r>
      <w:r w:rsidRPr="004A249E">
        <w:rPr>
          <w:rFonts w:ascii="Arial" w:hAnsi="Arial" w:cs="Arial"/>
        </w:rPr>
        <w:t xml:space="preserve"> </w:t>
      </w:r>
      <w:r w:rsidRPr="00E16068">
        <w:rPr>
          <w:rFonts w:ascii="Arial" w:hAnsi="Arial" w:cs="Arial"/>
        </w:rPr>
        <w:t>Como ejemplos de este tipo de mercados se encuentran los servicios de TV Abierta y Radio Sonora, el STAR y algunos servicios OTT.</w:t>
      </w:r>
    </w:p>
    <w:p w14:paraId="1B11D65E" w14:textId="77777777" w:rsidR="00BE0D80" w:rsidRPr="00E16068" w:rsidRDefault="00BE0D80" w:rsidP="00BE0D80">
      <w:pPr>
        <w:shd w:val="clear" w:color="auto" w:fill="FFFFFF" w:themeFill="background1"/>
        <w:spacing w:after="0"/>
        <w:jc w:val="both"/>
        <w:rPr>
          <w:rFonts w:ascii="Arial" w:hAnsi="Arial" w:cs="Arial"/>
        </w:rPr>
      </w:pPr>
    </w:p>
    <w:p w14:paraId="16599471" w14:textId="77777777" w:rsidR="00BE0D80" w:rsidRDefault="00BE0D80" w:rsidP="00BE0D80">
      <w:pPr>
        <w:shd w:val="clear" w:color="auto" w:fill="FFFFFF" w:themeFill="background1"/>
        <w:spacing w:after="0"/>
        <w:jc w:val="both"/>
        <w:rPr>
          <w:rFonts w:ascii="Arial" w:hAnsi="Arial" w:cs="Arial"/>
        </w:rPr>
      </w:pPr>
      <w:r>
        <w:rPr>
          <w:rFonts w:ascii="Arial" w:hAnsi="Arial" w:cs="Arial"/>
        </w:rPr>
        <w:t xml:space="preserve">La </w:t>
      </w:r>
      <w:r w:rsidRPr="00CC75DD">
        <w:rPr>
          <w:rFonts w:ascii="Arial" w:hAnsi="Arial" w:cs="Arial"/>
        </w:rPr>
        <w:t>OCDE sugiere clasificar los mercados de múltiples lados o plataformas en función de la capacidad del proveedor de servicios para observar las transacciones que ocurren entre los grupos de usuarios de la plataforma, a saber:</w:t>
      </w:r>
      <w:r>
        <w:rPr>
          <w:rStyle w:val="Refdenotaalpie"/>
          <w:rFonts w:ascii="Arial" w:hAnsi="Arial" w:cs="Arial"/>
        </w:rPr>
        <w:footnoteReference w:id="115"/>
      </w:r>
      <w:r w:rsidRPr="00CC75DD">
        <w:rPr>
          <w:rFonts w:ascii="Arial" w:hAnsi="Arial" w:cs="Arial"/>
        </w:rPr>
        <w:t xml:space="preserve"> </w:t>
      </w:r>
    </w:p>
    <w:p w14:paraId="05A060B0" w14:textId="77777777" w:rsidR="00BE0D80" w:rsidRDefault="00BE0D80" w:rsidP="00BE0D80">
      <w:pPr>
        <w:shd w:val="clear" w:color="auto" w:fill="FFFFFF" w:themeFill="background1"/>
        <w:spacing w:after="0"/>
        <w:jc w:val="both"/>
        <w:rPr>
          <w:rFonts w:ascii="Arial" w:hAnsi="Arial" w:cs="Arial"/>
        </w:rPr>
      </w:pPr>
    </w:p>
    <w:p w14:paraId="74A9E4CD" w14:textId="77777777" w:rsidR="00BE0D80" w:rsidRDefault="00BE0D80" w:rsidP="000D5517">
      <w:pPr>
        <w:pStyle w:val="Prrafodelista"/>
        <w:numPr>
          <w:ilvl w:val="0"/>
          <w:numId w:val="39"/>
        </w:numPr>
        <w:shd w:val="clear" w:color="auto" w:fill="FFFFFF" w:themeFill="background1"/>
        <w:spacing w:after="0"/>
        <w:jc w:val="both"/>
        <w:rPr>
          <w:rFonts w:ascii="Arial" w:hAnsi="Arial" w:cs="Arial"/>
        </w:rPr>
      </w:pPr>
      <w:r w:rsidRPr="00901A6A">
        <w:rPr>
          <w:rFonts w:ascii="Arial" w:hAnsi="Arial" w:cs="Arial"/>
          <w:b/>
          <w:bCs/>
        </w:rPr>
        <w:t>Plataformas transaccionales</w:t>
      </w:r>
      <w:r w:rsidRPr="00777DBE">
        <w:rPr>
          <w:rFonts w:ascii="Arial" w:hAnsi="Arial" w:cs="Arial"/>
        </w:rPr>
        <w:t>. Son aquellas en las que el proveedor del servicio tiene como objetivo permitir transacciones directas entre dos grupos de usuarios distintos y las puede observar, lo cual le permite cobrar una comisión por cada transacción, además de los cargos que, en su caso, establezca por el acceso a la plataforma. En este sentido, ambos grupos de usuarios comparten el mismo objetivo, es decir, realizar una transacción (como la comercialización de un producto) con la otra parte respectiva. En este caso, hay efectos de red indirectos bilaterales positivos entre los dos grupos de usuarios que son internalizados por la plataforma. Además, en estos casos, ambos lados de la plataforma son necesarios para que</w:t>
      </w:r>
      <w:r>
        <w:rPr>
          <w:rFonts w:ascii="Arial" w:hAnsi="Arial" w:cs="Arial"/>
        </w:rPr>
        <w:t xml:space="preserve"> esta</w:t>
      </w:r>
      <w:r w:rsidRPr="00777DBE">
        <w:rPr>
          <w:rFonts w:ascii="Arial" w:hAnsi="Arial" w:cs="Arial"/>
        </w:rPr>
        <w:t xml:space="preserve"> funcione (esto es, para que ocurra la transacción). </w:t>
      </w:r>
    </w:p>
    <w:p w14:paraId="34BB7466" w14:textId="77777777" w:rsidR="00BE0D80" w:rsidRDefault="00BE0D80" w:rsidP="00BE0D80">
      <w:pPr>
        <w:pStyle w:val="Prrafodelista"/>
        <w:shd w:val="clear" w:color="auto" w:fill="FFFFFF" w:themeFill="background1"/>
        <w:spacing w:after="0"/>
        <w:jc w:val="both"/>
        <w:rPr>
          <w:rFonts w:ascii="Arial" w:hAnsi="Arial" w:cs="Arial"/>
        </w:rPr>
      </w:pPr>
    </w:p>
    <w:p w14:paraId="166D4480" w14:textId="77777777" w:rsidR="00BE0D80" w:rsidRPr="00777DBE" w:rsidRDefault="00BE0D80" w:rsidP="000D5517">
      <w:pPr>
        <w:pStyle w:val="Prrafodelista"/>
        <w:numPr>
          <w:ilvl w:val="0"/>
          <w:numId w:val="39"/>
        </w:numPr>
        <w:shd w:val="clear" w:color="auto" w:fill="FFFFFF" w:themeFill="background1"/>
        <w:spacing w:after="0"/>
        <w:jc w:val="both"/>
        <w:rPr>
          <w:rFonts w:ascii="Arial" w:hAnsi="Arial" w:cs="Arial"/>
        </w:rPr>
      </w:pPr>
      <w:r w:rsidRPr="00901A6A">
        <w:rPr>
          <w:rFonts w:ascii="Arial" w:hAnsi="Arial" w:cs="Arial"/>
          <w:b/>
          <w:bCs/>
        </w:rPr>
        <w:t>Plataformas no transaccionales</w:t>
      </w:r>
      <w:r w:rsidRPr="00777DBE">
        <w:rPr>
          <w:rFonts w:ascii="Arial" w:hAnsi="Arial" w:cs="Arial"/>
        </w:rPr>
        <w:t xml:space="preserve">. Son aquellas en las que el proveedor media entre los grupos de usuarios o consumidores que llevan a cabo un tipo de interacción no transaccional y no necesariamente exhiben efectos de red positivos bilaterales. Algunas plataformas no transaccionales pueden </w:t>
      </w:r>
      <w:r>
        <w:rPr>
          <w:rFonts w:ascii="Arial" w:hAnsi="Arial" w:cs="Arial"/>
        </w:rPr>
        <w:t>surgir</w:t>
      </w:r>
      <w:r w:rsidRPr="00777DBE">
        <w:rPr>
          <w:rFonts w:ascii="Arial" w:hAnsi="Arial" w:cs="Arial"/>
        </w:rPr>
        <w:t xml:space="preserve"> con un solo lado y el segundo lado puede agregarse en una etapa posterior. En este tipo de plataformas se incluyen la TV Abierta y </w:t>
      </w:r>
      <w:r w:rsidRPr="00777DBE">
        <w:rPr>
          <w:rFonts w:ascii="Arial" w:hAnsi="Arial" w:cs="Arial"/>
        </w:rPr>
        <w:lastRenderedPageBreak/>
        <w:t>Radio Sonora, las redes sociales y los servicios de audio o audio y video por Internet respaldados por publicidad.</w:t>
      </w:r>
    </w:p>
    <w:p w14:paraId="78E99500" w14:textId="77777777" w:rsidR="00BE0D80" w:rsidRDefault="00BE0D80" w:rsidP="00BE0D80">
      <w:pPr>
        <w:shd w:val="clear" w:color="auto" w:fill="FFFFFF" w:themeFill="background1"/>
        <w:spacing w:after="0"/>
        <w:jc w:val="both"/>
        <w:rPr>
          <w:rFonts w:ascii="Arial" w:hAnsi="Arial" w:cs="Arial"/>
        </w:rPr>
      </w:pPr>
    </w:p>
    <w:p w14:paraId="34060B2D" w14:textId="77777777" w:rsidR="00BE0D80" w:rsidRDefault="00BE0D80" w:rsidP="00BE0D80">
      <w:pPr>
        <w:shd w:val="clear" w:color="auto" w:fill="FFFFFF" w:themeFill="background1"/>
        <w:spacing w:after="0"/>
        <w:jc w:val="both"/>
        <w:rPr>
          <w:rFonts w:ascii="Arial" w:hAnsi="Arial" w:cs="Arial"/>
        </w:rPr>
      </w:pPr>
      <w:r>
        <w:rPr>
          <w:rFonts w:ascii="Arial" w:hAnsi="Arial" w:cs="Arial"/>
        </w:rPr>
        <w:t>L</w:t>
      </w:r>
      <w:r w:rsidRPr="00CC75DD">
        <w:rPr>
          <w:rFonts w:ascii="Arial" w:hAnsi="Arial" w:cs="Arial"/>
        </w:rPr>
        <w:t xml:space="preserve">a delimitación del MR en estas situaciones presenta como principales retos, </w:t>
      </w:r>
      <w:r>
        <w:rPr>
          <w:rFonts w:ascii="Arial" w:hAnsi="Arial" w:cs="Arial"/>
        </w:rPr>
        <w:t>los siguientes</w:t>
      </w:r>
      <w:r w:rsidRPr="00CC75DD">
        <w:rPr>
          <w:rFonts w:ascii="Arial" w:hAnsi="Arial" w:cs="Arial"/>
        </w:rPr>
        <w:t>:</w:t>
      </w:r>
    </w:p>
    <w:p w14:paraId="66E77FA8" w14:textId="77777777" w:rsidR="00BE0D80" w:rsidRPr="00CC75DD" w:rsidRDefault="00BE0D80" w:rsidP="00BE0D80">
      <w:pPr>
        <w:shd w:val="clear" w:color="auto" w:fill="FFFFFF" w:themeFill="background1"/>
        <w:spacing w:after="0"/>
        <w:jc w:val="both"/>
        <w:rPr>
          <w:rFonts w:ascii="Arial" w:hAnsi="Arial" w:cs="Arial"/>
        </w:rPr>
      </w:pPr>
    </w:p>
    <w:p w14:paraId="5A1946B7" w14:textId="77777777" w:rsidR="00BE0D80" w:rsidRDefault="00BE0D80" w:rsidP="000D5517">
      <w:pPr>
        <w:pStyle w:val="Prrafodelista"/>
        <w:numPr>
          <w:ilvl w:val="0"/>
          <w:numId w:val="42"/>
        </w:numPr>
        <w:shd w:val="clear" w:color="auto" w:fill="FFFFFF" w:themeFill="background1"/>
        <w:spacing w:after="0"/>
        <w:ind w:left="709" w:hanging="567"/>
        <w:jc w:val="both"/>
        <w:rPr>
          <w:rFonts w:ascii="Arial" w:hAnsi="Arial" w:cs="Arial"/>
        </w:rPr>
      </w:pPr>
      <w:r>
        <w:rPr>
          <w:rFonts w:ascii="Arial" w:hAnsi="Arial" w:cs="Arial"/>
        </w:rPr>
        <w:t>C</w:t>
      </w:r>
      <w:r w:rsidRPr="00777DBE">
        <w:rPr>
          <w:rFonts w:ascii="Arial" w:hAnsi="Arial" w:cs="Arial"/>
        </w:rPr>
        <w:t>orroborar si efectivamente se trata de un mercado de múltiples lados, para lo cual se deben identificar y caracterizar los efectos indirectos de red que ligan las demandas de los lados de la plataforma y evaluar si dichos efectos son positivos o negativos</w:t>
      </w:r>
      <w:r>
        <w:rPr>
          <w:rFonts w:ascii="Arial" w:hAnsi="Arial" w:cs="Arial"/>
        </w:rPr>
        <w:t>.</w:t>
      </w:r>
      <w:r w:rsidRPr="00777DBE">
        <w:rPr>
          <w:rFonts w:ascii="Arial" w:hAnsi="Arial" w:cs="Arial"/>
        </w:rPr>
        <w:t xml:space="preserve"> </w:t>
      </w:r>
    </w:p>
    <w:p w14:paraId="16BACFE5" w14:textId="77777777" w:rsidR="00BE0D80" w:rsidRDefault="00BE0D80" w:rsidP="008F2EB6">
      <w:pPr>
        <w:pStyle w:val="Prrafodelista"/>
        <w:shd w:val="clear" w:color="auto" w:fill="FFFFFF" w:themeFill="background1"/>
        <w:spacing w:after="0"/>
        <w:ind w:left="709" w:hanging="567"/>
        <w:jc w:val="both"/>
        <w:rPr>
          <w:rFonts w:ascii="Arial" w:hAnsi="Arial" w:cs="Arial"/>
        </w:rPr>
      </w:pPr>
    </w:p>
    <w:p w14:paraId="17C64FDF" w14:textId="77777777" w:rsidR="00BE0D80" w:rsidRDefault="00BE0D80" w:rsidP="000D5517">
      <w:pPr>
        <w:pStyle w:val="Prrafodelista"/>
        <w:numPr>
          <w:ilvl w:val="0"/>
          <w:numId w:val="42"/>
        </w:numPr>
        <w:shd w:val="clear" w:color="auto" w:fill="FFFFFF" w:themeFill="background1"/>
        <w:spacing w:after="0"/>
        <w:ind w:left="709" w:hanging="567"/>
        <w:jc w:val="both"/>
        <w:rPr>
          <w:rFonts w:ascii="Arial" w:hAnsi="Arial" w:cs="Arial"/>
        </w:rPr>
      </w:pPr>
      <w:r>
        <w:rPr>
          <w:rFonts w:ascii="Arial" w:hAnsi="Arial" w:cs="Arial"/>
        </w:rPr>
        <w:t>D</w:t>
      </w:r>
      <w:r w:rsidRPr="00777DBE">
        <w:rPr>
          <w:rFonts w:ascii="Arial" w:hAnsi="Arial" w:cs="Arial"/>
        </w:rPr>
        <w:t>eterminar si existen límites a la fijación bilateral de precios entre usuarios de los diferentes lados, esto es, si la plataforma puede limitar la capacidad de los diferentes grupos de usuarios de traspasar costos o “</w:t>
      </w:r>
      <w:r w:rsidRPr="00777DBE">
        <w:rPr>
          <w:rFonts w:ascii="Arial" w:hAnsi="Arial" w:cs="Arial"/>
          <w:i/>
          <w:iCs/>
        </w:rPr>
        <w:t>pass-through</w:t>
      </w:r>
      <w:r w:rsidRPr="00777DBE">
        <w:rPr>
          <w:rFonts w:ascii="Arial" w:hAnsi="Arial" w:cs="Arial"/>
        </w:rPr>
        <w:t>”, por su término en inglés</w:t>
      </w:r>
      <w:r>
        <w:rPr>
          <w:rFonts w:ascii="Arial" w:hAnsi="Arial" w:cs="Arial"/>
        </w:rPr>
        <w:t>.</w:t>
      </w:r>
      <w:r w:rsidRPr="00777DBE">
        <w:rPr>
          <w:rFonts w:ascii="Arial" w:hAnsi="Arial" w:cs="Arial"/>
        </w:rPr>
        <w:t xml:space="preserve"> </w:t>
      </w:r>
    </w:p>
    <w:p w14:paraId="2DF2E306" w14:textId="77777777" w:rsidR="00BE0D80" w:rsidRPr="00777DBE" w:rsidRDefault="00BE0D80" w:rsidP="008F2EB6">
      <w:pPr>
        <w:shd w:val="clear" w:color="auto" w:fill="FFFFFF" w:themeFill="background1"/>
        <w:spacing w:after="0"/>
        <w:ind w:left="709" w:hanging="567"/>
        <w:jc w:val="both"/>
        <w:rPr>
          <w:rFonts w:ascii="Arial" w:hAnsi="Arial" w:cs="Arial"/>
        </w:rPr>
      </w:pPr>
    </w:p>
    <w:p w14:paraId="59FC1BD2" w14:textId="77777777" w:rsidR="00BE0D80" w:rsidRPr="00777DBE" w:rsidRDefault="00BE0D80" w:rsidP="000D5517">
      <w:pPr>
        <w:pStyle w:val="Prrafodelista"/>
        <w:numPr>
          <w:ilvl w:val="0"/>
          <w:numId w:val="42"/>
        </w:numPr>
        <w:shd w:val="clear" w:color="auto" w:fill="FFFFFF" w:themeFill="background1"/>
        <w:spacing w:after="0"/>
        <w:ind w:left="709" w:hanging="567"/>
        <w:jc w:val="both"/>
        <w:rPr>
          <w:rFonts w:ascii="Arial" w:hAnsi="Arial" w:cs="Arial"/>
        </w:rPr>
      </w:pPr>
      <w:r>
        <w:rPr>
          <w:rFonts w:ascii="Arial" w:hAnsi="Arial" w:cs="Arial"/>
        </w:rPr>
        <w:t>D</w:t>
      </w:r>
      <w:r w:rsidRPr="00777DBE">
        <w:rPr>
          <w:rFonts w:ascii="Arial" w:hAnsi="Arial" w:cs="Arial"/>
        </w:rPr>
        <w:t>efinir la manera más adecuada para representar la estructura del mercado de la plataforma, esto es</w:t>
      </w:r>
      <w:r>
        <w:rPr>
          <w:rFonts w:ascii="Arial" w:hAnsi="Arial" w:cs="Arial"/>
        </w:rPr>
        <w:t>,</w:t>
      </w:r>
      <w:r w:rsidRPr="00777DBE">
        <w:rPr>
          <w:rFonts w:ascii="Arial" w:hAnsi="Arial" w:cs="Arial"/>
        </w:rPr>
        <w:t xml:space="preserve"> si se analizan MR separados para cada uno de los lados o si la plataforma y sus distintos lados conforman un mismo MR.</w:t>
      </w:r>
    </w:p>
    <w:p w14:paraId="37C41B6F" w14:textId="77777777" w:rsidR="00BE0D80" w:rsidRPr="00CC75DD" w:rsidRDefault="00BE0D80" w:rsidP="00BE0D80">
      <w:pPr>
        <w:shd w:val="clear" w:color="auto" w:fill="FFFFFF" w:themeFill="background1"/>
        <w:spacing w:after="0"/>
        <w:jc w:val="both"/>
        <w:rPr>
          <w:rFonts w:ascii="Arial" w:hAnsi="Arial" w:cs="Arial"/>
        </w:rPr>
      </w:pPr>
    </w:p>
    <w:p w14:paraId="795D4A7C" w14:textId="77777777" w:rsidR="00BE0D80" w:rsidRDefault="00BE0D80" w:rsidP="008F2EB6">
      <w:pPr>
        <w:shd w:val="clear" w:color="auto" w:fill="FFFFFF" w:themeFill="background1"/>
        <w:spacing w:after="0"/>
        <w:jc w:val="both"/>
        <w:rPr>
          <w:rFonts w:ascii="Arial" w:hAnsi="Arial" w:cs="Arial"/>
        </w:rPr>
      </w:pPr>
      <w:r w:rsidRPr="00CC75DD">
        <w:rPr>
          <w:rFonts w:ascii="Arial" w:hAnsi="Arial" w:cs="Arial"/>
        </w:rPr>
        <w:t>Otra cuestión a considerar en los mercados de múltiples lados es la presencia de precio cero o pago en especie en alguno de los lados, es decir, cuando el proveedor del servicio no establece cargos por el acceso o uso de la plataforma. En ciertos casos, los usuarios del servicio pueden, a cambio, prestar su atención a publicidad o proporcionar acceso a sus datos. Esta característica, como se verá más adelante, tiene implicaciones en la aplicación de la Prueba SSNIP para determinar el MR.</w:t>
      </w:r>
    </w:p>
    <w:p w14:paraId="0AFF7D19" w14:textId="77777777" w:rsidR="00BE0D80" w:rsidRDefault="00BE0D80" w:rsidP="008F2EB6">
      <w:pPr>
        <w:shd w:val="clear" w:color="auto" w:fill="FFFFFF" w:themeFill="background1"/>
        <w:spacing w:after="0"/>
        <w:jc w:val="both"/>
        <w:rPr>
          <w:rFonts w:ascii="Arial" w:hAnsi="Arial" w:cs="Arial"/>
        </w:rPr>
      </w:pPr>
    </w:p>
    <w:p w14:paraId="066ED9EA" w14:textId="77777777" w:rsidR="00BE0D80" w:rsidRPr="00931D46" w:rsidRDefault="00BE0D80" w:rsidP="008F2EB6">
      <w:pPr>
        <w:pStyle w:val="Ttulo3"/>
        <w:keepNext/>
        <w:numPr>
          <w:ilvl w:val="2"/>
          <w:numId w:val="5"/>
        </w:numPr>
        <w:ind w:left="1701"/>
        <w:contextualSpacing w:val="0"/>
        <w:rPr>
          <w:rFonts w:ascii="Arial" w:eastAsia="Times New Roman" w:hAnsi="Arial" w:cs="Arial"/>
          <w:b w:val="0"/>
          <w:sz w:val="26"/>
          <w:szCs w:val="26"/>
          <w:lang w:eastAsia="es-MX"/>
        </w:rPr>
      </w:pPr>
      <w:r w:rsidRPr="00931D46">
        <w:rPr>
          <w:rFonts w:ascii="Arial" w:eastAsia="Times New Roman" w:hAnsi="Arial" w:cs="Arial"/>
          <w:sz w:val="26"/>
          <w:szCs w:val="26"/>
          <w:lang w:eastAsia="es-MX"/>
        </w:rPr>
        <w:t>Precedentes decisorios del Instituto</w:t>
      </w:r>
    </w:p>
    <w:p w14:paraId="15515B76" w14:textId="77777777" w:rsidR="008F2EB6" w:rsidRPr="008F2EB6" w:rsidRDefault="008F2EB6" w:rsidP="008F2EB6">
      <w:pPr>
        <w:keepNext/>
        <w:shd w:val="clear" w:color="auto" w:fill="FFFFFF" w:themeFill="background1"/>
        <w:spacing w:after="0"/>
        <w:jc w:val="both"/>
        <w:rPr>
          <w:rFonts w:ascii="Arial" w:hAnsi="Arial" w:cs="Arial"/>
        </w:rPr>
      </w:pPr>
    </w:p>
    <w:p w14:paraId="65AA9177" w14:textId="1E787042" w:rsidR="00BE0D80" w:rsidRPr="00FA49D8" w:rsidRDefault="00BE0D80" w:rsidP="008F2EB6">
      <w:pPr>
        <w:spacing w:after="0"/>
        <w:jc w:val="both"/>
        <w:rPr>
          <w:rFonts w:ascii="Arial" w:hAnsi="Arial" w:cs="Arial"/>
        </w:rPr>
      </w:pPr>
      <w:r w:rsidRPr="00185CBA">
        <w:rPr>
          <w:rFonts w:ascii="Arial" w:hAnsi="Arial" w:cs="Arial"/>
        </w:rPr>
        <w:t>El Instituto ha analizado la Radio Sonora comercial,</w:t>
      </w:r>
      <w:r>
        <w:rPr>
          <w:rStyle w:val="Refdenotaalpie"/>
          <w:rFonts w:ascii="Arial" w:hAnsi="Arial" w:cs="Arial"/>
        </w:rPr>
        <w:footnoteReference w:id="116"/>
      </w:r>
      <w:r w:rsidRPr="00185CBA">
        <w:rPr>
          <w:rFonts w:ascii="Arial" w:hAnsi="Arial" w:cs="Arial"/>
        </w:rPr>
        <w:t xml:space="preserve"> la TV Abierta comercial</w:t>
      </w:r>
      <w:r>
        <w:rPr>
          <w:rStyle w:val="Refdenotaalpie"/>
          <w:rFonts w:ascii="Arial" w:hAnsi="Arial" w:cs="Arial"/>
        </w:rPr>
        <w:footnoteReference w:id="117"/>
      </w:r>
      <w:r w:rsidRPr="00185CBA">
        <w:rPr>
          <w:rFonts w:ascii="Arial" w:hAnsi="Arial" w:cs="Arial"/>
        </w:rPr>
        <w:t xml:space="preserve"> y el STAR</w:t>
      </w:r>
      <w:r>
        <w:rPr>
          <w:rStyle w:val="Refdenotaalpie"/>
          <w:rFonts w:ascii="Arial" w:hAnsi="Arial" w:cs="Arial"/>
        </w:rPr>
        <w:footnoteReference w:id="118"/>
      </w:r>
      <w:r>
        <w:rPr>
          <w:rFonts w:ascii="Arial" w:hAnsi="Arial" w:cs="Arial"/>
        </w:rPr>
        <w:t xml:space="preserve"> </w:t>
      </w:r>
      <w:r w:rsidRPr="00185CBA">
        <w:rPr>
          <w:rFonts w:ascii="Arial" w:hAnsi="Arial" w:cs="Arial"/>
        </w:rPr>
        <w:t xml:space="preserve">como mercados de dos lados; en todos los casos señalados se analizó la estrategia de precios </w:t>
      </w:r>
      <w:r w:rsidRPr="00185CBA">
        <w:rPr>
          <w:rFonts w:ascii="Arial" w:hAnsi="Arial" w:cs="Arial"/>
        </w:rPr>
        <w:lastRenderedPageBreak/>
        <w:t>de la plataforma en cada lado y la interdependencia de las demandas de los dos grupos de usuarios.</w:t>
      </w:r>
      <w:r>
        <w:rPr>
          <w:rFonts w:ascii="Arial" w:hAnsi="Arial" w:cs="Arial"/>
        </w:rPr>
        <w:t xml:space="preserve"> </w:t>
      </w:r>
      <w:r w:rsidRPr="00FA49D8">
        <w:rPr>
          <w:rFonts w:ascii="Arial" w:hAnsi="Arial" w:cs="Arial"/>
        </w:rPr>
        <w:t>Además, el Instituto ha colaborado a nivel internacional en el desarrollo de elementos y recomendaciones para el análisis de competencia económica de las plataformas digitales, entre los cuales destacan: i) la relevancia de considerar el impacto de los efectos indirectos de red como una característica económica clave de las plataformas digitales, ii) la importancia de considerar el modelo de negocios de la plataforma, iii) la posibilidad de hacer uso simultáneo de más de una plataforma (“</w:t>
      </w:r>
      <w:r w:rsidRPr="00FA49D8">
        <w:rPr>
          <w:rFonts w:ascii="Arial" w:hAnsi="Arial" w:cs="Arial"/>
          <w:i/>
          <w:iCs/>
        </w:rPr>
        <w:t>multi-homming</w:t>
      </w:r>
      <w:r w:rsidRPr="00FA49D8">
        <w:rPr>
          <w:rFonts w:ascii="Arial" w:hAnsi="Arial" w:cs="Arial"/>
        </w:rPr>
        <w:t>”) y iv) la existencia de variables no monetarias como la calidad y la privacidad, en la definición del MR.</w:t>
      </w:r>
      <w:r w:rsidRPr="00FA49D8">
        <w:rPr>
          <w:rStyle w:val="Refdenotaalpie"/>
          <w:rFonts w:ascii="Arial" w:hAnsi="Arial" w:cs="Arial"/>
        </w:rPr>
        <w:footnoteReference w:id="119"/>
      </w:r>
    </w:p>
    <w:p w14:paraId="23B927B6" w14:textId="77777777" w:rsidR="00F5104D" w:rsidRDefault="00F5104D" w:rsidP="00F5104D">
      <w:pPr>
        <w:spacing w:after="0"/>
        <w:jc w:val="both"/>
        <w:rPr>
          <w:rFonts w:ascii="Arial" w:hAnsi="Arial" w:cs="Arial"/>
        </w:rPr>
      </w:pPr>
    </w:p>
    <w:p w14:paraId="7FB21B6A" w14:textId="055A419C" w:rsidR="00F5104D" w:rsidRDefault="004211FA" w:rsidP="00F5104D">
      <w:pPr>
        <w:spacing w:after="0"/>
        <w:jc w:val="both"/>
        <w:rPr>
          <w:rFonts w:ascii="Arial" w:hAnsi="Arial" w:cs="Arial"/>
        </w:rPr>
      </w:pPr>
      <w:r w:rsidRPr="004211FA">
        <w:rPr>
          <w:rFonts w:ascii="Arial" w:hAnsi="Arial" w:cs="Arial"/>
        </w:rPr>
        <w:t>Asimismo, el Instituto ha analizado plataformas digitales, ya sea como mercados relevantes o como mercados relacionados, que se encuentran en los sectores de telecomunicaciones y radiodifusión</w:t>
      </w:r>
      <w:r w:rsidR="00A77616" w:rsidRPr="00346FD8">
        <w:rPr>
          <w:rFonts w:ascii="Arial" w:hAnsi="Arial" w:cs="Arial"/>
        </w:rPr>
        <w:t>.</w:t>
      </w:r>
      <w:r w:rsidR="00346FD8" w:rsidRPr="00346FD8">
        <w:rPr>
          <w:rStyle w:val="Refdenotaalpie"/>
          <w:rFonts w:ascii="Arial" w:hAnsi="Arial" w:cs="Arial"/>
        </w:rPr>
        <w:footnoteReference w:id="120"/>
      </w:r>
    </w:p>
    <w:p w14:paraId="5B9B698E" w14:textId="77777777" w:rsidR="00BE0D80" w:rsidRDefault="00BE0D80" w:rsidP="008F2EB6">
      <w:pPr>
        <w:shd w:val="clear" w:color="auto" w:fill="FFFFFF" w:themeFill="background1"/>
        <w:spacing w:after="0"/>
        <w:jc w:val="both"/>
        <w:rPr>
          <w:rFonts w:ascii="Arial" w:hAnsi="Arial" w:cs="Arial"/>
        </w:rPr>
      </w:pPr>
    </w:p>
    <w:p w14:paraId="742D58EE" w14:textId="77777777" w:rsidR="00BE0D80" w:rsidRPr="00931D46" w:rsidRDefault="00BE0D80" w:rsidP="008F2EB6">
      <w:pPr>
        <w:pStyle w:val="Ttulo3"/>
        <w:keepNext/>
        <w:numPr>
          <w:ilvl w:val="2"/>
          <w:numId w:val="5"/>
        </w:numPr>
        <w:ind w:left="1701"/>
        <w:contextualSpacing w:val="0"/>
        <w:rPr>
          <w:rFonts w:ascii="Arial" w:eastAsia="Times New Roman" w:hAnsi="Arial" w:cs="Arial"/>
          <w:b w:val="0"/>
          <w:sz w:val="26"/>
          <w:szCs w:val="26"/>
          <w:lang w:eastAsia="es-MX"/>
        </w:rPr>
      </w:pPr>
      <w:r>
        <w:rPr>
          <w:rFonts w:ascii="Arial" w:eastAsia="Times New Roman" w:hAnsi="Arial" w:cs="Arial"/>
          <w:sz w:val="26"/>
          <w:szCs w:val="26"/>
          <w:lang w:eastAsia="es-MX"/>
        </w:rPr>
        <w:t>Experiencia Internacional</w:t>
      </w:r>
    </w:p>
    <w:p w14:paraId="0AB99554" w14:textId="77777777" w:rsidR="00BE0D80" w:rsidRDefault="00BE0D80" w:rsidP="008F2EB6">
      <w:pPr>
        <w:keepNext/>
        <w:shd w:val="clear" w:color="auto" w:fill="FFFFFF" w:themeFill="background1"/>
        <w:spacing w:after="0"/>
        <w:jc w:val="both"/>
        <w:rPr>
          <w:rFonts w:ascii="Arial" w:hAnsi="Arial" w:cs="Arial"/>
        </w:rPr>
      </w:pPr>
    </w:p>
    <w:p w14:paraId="0CA27C87" w14:textId="77777777" w:rsidR="00BE0D80" w:rsidRDefault="00BE0D80" w:rsidP="008F2EB6">
      <w:pPr>
        <w:shd w:val="clear" w:color="auto" w:fill="FFFFFF" w:themeFill="background1"/>
        <w:spacing w:after="0"/>
        <w:jc w:val="both"/>
        <w:rPr>
          <w:rFonts w:ascii="Arial" w:hAnsi="Arial" w:cs="Arial"/>
        </w:rPr>
      </w:pPr>
      <w:r w:rsidRPr="00585452">
        <w:rPr>
          <w:rFonts w:ascii="Arial" w:hAnsi="Arial" w:cs="Arial"/>
        </w:rPr>
        <w:t>Los principales criterios referidos por la OCDE,</w:t>
      </w:r>
      <w:r>
        <w:rPr>
          <w:rStyle w:val="Refdenotaalpie"/>
          <w:rFonts w:ascii="Arial" w:hAnsi="Arial" w:cs="Arial"/>
        </w:rPr>
        <w:footnoteReference w:id="121"/>
      </w:r>
      <w:r>
        <w:rPr>
          <w:rFonts w:ascii="Arial" w:hAnsi="Arial" w:cs="Arial"/>
        </w:rPr>
        <w:t xml:space="preserve"> </w:t>
      </w:r>
      <w:r w:rsidRPr="00585452">
        <w:rPr>
          <w:rFonts w:ascii="Arial" w:hAnsi="Arial" w:cs="Arial"/>
        </w:rPr>
        <w:t>así como aquellos considerados por las autoridades de competencia de la Unión Europea,</w:t>
      </w:r>
      <w:r>
        <w:rPr>
          <w:rStyle w:val="Refdenotaalpie"/>
          <w:rFonts w:ascii="Arial" w:hAnsi="Arial" w:cs="Arial"/>
        </w:rPr>
        <w:footnoteReference w:id="122"/>
      </w:r>
      <w:r>
        <w:rPr>
          <w:rFonts w:ascii="Arial" w:hAnsi="Arial" w:cs="Arial"/>
        </w:rPr>
        <w:t xml:space="preserve"> </w:t>
      </w:r>
      <w:r w:rsidRPr="00585452">
        <w:rPr>
          <w:rFonts w:ascii="Arial" w:hAnsi="Arial" w:cs="Arial"/>
        </w:rPr>
        <w:t>Alemania,</w:t>
      </w:r>
      <w:r>
        <w:rPr>
          <w:rStyle w:val="Refdenotaalpie"/>
          <w:rFonts w:ascii="Arial" w:hAnsi="Arial" w:cs="Arial"/>
        </w:rPr>
        <w:footnoteReference w:id="123"/>
      </w:r>
      <w:r w:rsidRPr="00585452">
        <w:rPr>
          <w:rFonts w:ascii="Arial" w:hAnsi="Arial" w:cs="Arial"/>
        </w:rPr>
        <w:t xml:space="preserve">   Australia,</w:t>
      </w:r>
      <w:r>
        <w:rPr>
          <w:rStyle w:val="Refdenotaalpie"/>
          <w:rFonts w:ascii="Arial" w:hAnsi="Arial" w:cs="Arial"/>
        </w:rPr>
        <w:footnoteReference w:id="124"/>
      </w:r>
      <w:r w:rsidRPr="00585452">
        <w:rPr>
          <w:rFonts w:ascii="Arial" w:hAnsi="Arial" w:cs="Arial"/>
        </w:rPr>
        <w:t xml:space="preserve"> China</w:t>
      </w:r>
      <w:r>
        <w:rPr>
          <w:rStyle w:val="Refdenotaalpie"/>
          <w:rFonts w:ascii="Arial" w:hAnsi="Arial" w:cs="Arial"/>
        </w:rPr>
        <w:footnoteReference w:id="125"/>
      </w:r>
      <w:r w:rsidRPr="00585452">
        <w:rPr>
          <w:rFonts w:ascii="Arial" w:hAnsi="Arial" w:cs="Arial"/>
        </w:rPr>
        <w:t xml:space="preserve"> </w:t>
      </w:r>
      <w:r>
        <w:rPr>
          <w:rFonts w:ascii="Arial" w:hAnsi="Arial" w:cs="Arial"/>
        </w:rPr>
        <w:t>y Chile</w:t>
      </w:r>
      <w:r>
        <w:rPr>
          <w:rStyle w:val="Refdenotaalpie"/>
          <w:rFonts w:ascii="Arial" w:hAnsi="Arial" w:cs="Arial"/>
        </w:rPr>
        <w:footnoteReference w:id="126"/>
      </w:r>
      <w:r>
        <w:rPr>
          <w:rFonts w:ascii="Arial" w:hAnsi="Arial" w:cs="Arial"/>
        </w:rPr>
        <w:t xml:space="preserve"> </w:t>
      </w:r>
      <w:r w:rsidRPr="00585452">
        <w:rPr>
          <w:rFonts w:ascii="Arial" w:hAnsi="Arial" w:cs="Arial"/>
        </w:rPr>
        <w:t>para determinar MR en presencia de mercados de múltiples lados, consisten en analizar:</w:t>
      </w:r>
    </w:p>
    <w:p w14:paraId="509005AF" w14:textId="77777777" w:rsidR="00BE0D80" w:rsidRPr="00585452" w:rsidRDefault="00BE0D80" w:rsidP="008F2EB6">
      <w:pPr>
        <w:shd w:val="clear" w:color="auto" w:fill="FFFFFF" w:themeFill="background1"/>
        <w:spacing w:after="0"/>
        <w:jc w:val="both"/>
        <w:rPr>
          <w:rFonts w:ascii="Arial" w:hAnsi="Arial" w:cs="Arial"/>
        </w:rPr>
      </w:pPr>
    </w:p>
    <w:p w14:paraId="4036DEB8" w14:textId="77777777" w:rsidR="00BE0D80" w:rsidRDefault="00BE0D80" w:rsidP="000D5517">
      <w:pPr>
        <w:pStyle w:val="Prrafodelista"/>
        <w:numPr>
          <w:ilvl w:val="0"/>
          <w:numId w:val="43"/>
        </w:numPr>
        <w:shd w:val="clear" w:color="auto" w:fill="FFFFFF" w:themeFill="background1"/>
        <w:spacing w:after="0"/>
        <w:contextualSpacing w:val="0"/>
        <w:jc w:val="both"/>
        <w:rPr>
          <w:rFonts w:ascii="Arial" w:hAnsi="Arial" w:cs="Arial"/>
        </w:rPr>
      </w:pPr>
      <w:r w:rsidRPr="00777DBE">
        <w:rPr>
          <w:rFonts w:ascii="Arial" w:hAnsi="Arial" w:cs="Arial"/>
        </w:rPr>
        <w:lastRenderedPageBreak/>
        <w:t>El modelo de negocios de la plataforma, en particular, si es transaccional o no transaccional; generalmente, en mercados no transaccionales se definen MR interrelacionados, mientras que en mercados transaccionales se define solo un MR que incluye todos los lados de la plataforma,</w:t>
      </w:r>
    </w:p>
    <w:p w14:paraId="140B1203" w14:textId="77777777" w:rsidR="00BE0D80" w:rsidRDefault="00BE0D80" w:rsidP="008F2EB6">
      <w:pPr>
        <w:pStyle w:val="Prrafodelista"/>
        <w:shd w:val="clear" w:color="auto" w:fill="FFFFFF" w:themeFill="background1"/>
        <w:spacing w:after="0"/>
        <w:contextualSpacing w:val="0"/>
        <w:jc w:val="both"/>
        <w:rPr>
          <w:rFonts w:ascii="Arial" w:hAnsi="Arial" w:cs="Arial"/>
        </w:rPr>
      </w:pPr>
    </w:p>
    <w:p w14:paraId="07BEB66A" w14:textId="77777777" w:rsidR="00BE0D80" w:rsidRDefault="00BE0D80" w:rsidP="000D5517">
      <w:pPr>
        <w:pStyle w:val="Prrafodelista"/>
        <w:numPr>
          <w:ilvl w:val="0"/>
          <w:numId w:val="43"/>
        </w:numPr>
        <w:shd w:val="clear" w:color="auto" w:fill="FFFFFF" w:themeFill="background1"/>
        <w:spacing w:after="0"/>
        <w:contextualSpacing w:val="0"/>
        <w:jc w:val="both"/>
        <w:rPr>
          <w:rFonts w:ascii="Arial" w:hAnsi="Arial" w:cs="Arial"/>
        </w:rPr>
      </w:pPr>
      <w:r w:rsidRPr="00777DBE">
        <w:rPr>
          <w:rFonts w:ascii="Arial" w:hAnsi="Arial" w:cs="Arial"/>
        </w:rPr>
        <w:t>Los efectos indirectos de red que subyacen en la interacción entre los distintos grupos de usuarios, lo cual orienta sobre la determinación de uno o más MR. Para evaluar la interdependencia, se han utilizado estudios de mercado, información de ventas, esquemas de contratación y encuestas a usuarios y participantes de la industria.</w:t>
      </w:r>
    </w:p>
    <w:p w14:paraId="3A68B243" w14:textId="77777777" w:rsidR="00BE0D80" w:rsidRPr="00777DBE" w:rsidRDefault="00BE0D80" w:rsidP="008F2EB6">
      <w:pPr>
        <w:pStyle w:val="Prrafodelista"/>
        <w:spacing w:after="0"/>
        <w:contextualSpacing w:val="0"/>
        <w:rPr>
          <w:rFonts w:ascii="Arial" w:hAnsi="Arial" w:cs="Arial"/>
        </w:rPr>
      </w:pPr>
    </w:p>
    <w:p w14:paraId="5D8B7F31" w14:textId="77777777" w:rsidR="00BE0D80" w:rsidRPr="00777DBE" w:rsidRDefault="00BE0D80" w:rsidP="000D5517">
      <w:pPr>
        <w:pStyle w:val="Prrafodelista"/>
        <w:numPr>
          <w:ilvl w:val="0"/>
          <w:numId w:val="43"/>
        </w:numPr>
        <w:shd w:val="clear" w:color="auto" w:fill="FFFFFF" w:themeFill="background1"/>
        <w:spacing w:after="0"/>
        <w:contextualSpacing w:val="0"/>
        <w:jc w:val="both"/>
        <w:rPr>
          <w:rFonts w:ascii="Arial" w:hAnsi="Arial" w:cs="Arial"/>
        </w:rPr>
      </w:pPr>
      <w:r w:rsidRPr="00777DBE">
        <w:rPr>
          <w:rFonts w:ascii="Arial" w:hAnsi="Arial" w:cs="Arial"/>
        </w:rPr>
        <w:t>Respecto a la Prueba SSNIP, se identifica que se aplica con ciertas modificaciones para considerar la interdependencia entre las demandas y de los precios entre los distintos lados, así como la existencia de precios cero</w:t>
      </w:r>
      <w:r>
        <w:rPr>
          <w:rStyle w:val="Refdenotaalpie"/>
          <w:rFonts w:ascii="Arial" w:hAnsi="Arial" w:cs="Arial"/>
        </w:rPr>
        <w:footnoteReference w:id="127"/>
      </w:r>
      <w:r w:rsidRPr="00777DBE">
        <w:rPr>
          <w:rFonts w:ascii="Arial" w:hAnsi="Arial" w:cs="Arial"/>
        </w:rPr>
        <w:t xml:space="preserve"> o atributos específicos en ciertos lados de un mercado.</w:t>
      </w:r>
    </w:p>
    <w:p w14:paraId="4B9B663F" w14:textId="77777777" w:rsidR="00BE0D80" w:rsidRDefault="00BE0D80" w:rsidP="008F2EB6">
      <w:pPr>
        <w:shd w:val="clear" w:color="auto" w:fill="FFFFFF" w:themeFill="background1"/>
        <w:spacing w:after="0"/>
        <w:jc w:val="both"/>
        <w:rPr>
          <w:rFonts w:ascii="Arial" w:hAnsi="Arial" w:cs="Arial"/>
        </w:rPr>
      </w:pPr>
    </w:p>
    <w:p w14:paraId="23AE6ADC" w14:textId="45936659" w:rsidR="00BE0D80" w:rsidRPr="00931D46" w:rsidRDefault="009E5FFF" w:rsidP="008F2EB6">
      <w:pPr>
        <w:pStyle w:val="Ttulo3"/>
        <w:keepNext/>
        <w:numPr>
          <w:ilvl w:val="2"/>
          <w:numId w:val="5"/>
        </w:numPr>
        <w:ind w:left="1701"/>
        <w:contextualSpacing w:val="0"/>
        <w:rPr>
          <w:rFonts w:ascii="Arial" w:eastAsia="Times New Roman" w:hAnsi="Arial" w:cs="Arial"/>
          <w:b w:val="0"/>
          <w:sz w:val="26"/>
          <w:szCs w:val="26"/>
          <w:lang w:eastAsia="es-MX"/>
        </w:rPr>
      </w:pPr>
      <w:r>
        <w:rPr>
          <w:rFonts w:ascii="Arial" w:eastAsia="Times New Roman" w:hAnsi="Arial" w:cs="Arial"/>
          <w:sz w:val="26"/>
          <w:szCs w:val="26"/>
          <w:lang w:eastAsia="es-MX"/>
        </w:rPr>
        <w:t>E</w:t>
      </w:r>
      <w:r w:rsidR="00BE0D80" w:rsidRPr="00CC75DD">
        <w:rPr>
          <w:rFonts w:ascii="Arial" w:eastAsia="Times New Roman" w:hAnsi="Arial" w:cs="Arial"/>
          <w:sz w:val="26"/>
          <w:szCs w:val="26"/>
          <w:lang w:eastAsia="es-MX"/>
        </w:rPr>
        <w:t>lementos para determinar MR en presencia de múltiples lados</w:t>
      </w:r>
    </w:p>
    <w:p w14:paraId="754649F1" w14:textId="77777777" w:rsidR="00BE0D80" w:rsidRDefault="00BE0D80" w:rsidP="008F2EB6">
      <w:pPr>
        <w:shd w:val="clear" w:color="auto" w:fill="FFFFFF" w:themeFill="background1"/>
        <w:spacing w:after="0"/>
        <w:jc w:val="both"/>
        <w:rPr>
          <w:rFonts w:ascii="Arial" w:hAnsi="Arial" w:cs="Arial"/>
        </w:rPr>
      </w:pPr>
    </w:p>
    <w:p w14:paraId="248FA275" w14:textId="77777777" w:rsidR="00BE0D80" w:rsidRPr="00585452" w:rsidRDefault="00BE0D80" w:rsidP="008F2EB6">
      <w:pPr>
        <w:shd w:val="clear" w:color="auto" w:fill="FFFFFF" w:themeFill="background1"/>
        <w:spacing w:after="0"/>
        <w:jc w:val="both"/>
        <w:rPr>
          <w:rFonts w:ascii="Arial" w:hAnsi="Arial" w:cs="Arial"/>
        </w:rPr>
      </w:pPr>
      <w:r w:rsidRPr="00585452">
        <w:rPr>
          <w:rFonts w:ascii="Arial" w:hAnsi="Arial" w:cs="Arial"/>
        </w:rPr>
        <w:t>Para determinar el MR en presencia de proveedores de servicios que atienden a diferentes grupos de usuarios, el Instituto en primer lugar podrá evaluar las interacciones o relaciones entre los distintos tipos de usuarios, en virtud de que la existencia de efectos indirectos de red podría indicar que estos proveedores de servicios configuran una plataforma de múltiples lados.</w:t>
      </w:r>
    </w:p>
    <w:p w14:paraId="35581861" w14:textId="77777777" w:rsidR="00BE0D80" w:rsidRPr="00585452" w:rsidRDefault="00BE0D80" w:rsidP="008F2EB6">
      <w:pPr>
        <w:shd w:val="clear" w:color="auto" w:fill="FFFFFF" w:themeFill="background1"/>
        <w:spacing w:after="0"/>
        <w:jc w:val="both"/>
        <w:rPr>
          <w:rFonts w:ascii="Arial" w:hAnsi="Arial" w:cs="Arial"/>
        </w:rPr>
      </w:pPr>
    </w:p>
    <w:p w14:paraId="0FAC0BB8" w14:textId="77777777" w:rsidR="00BE0D80" w:rsidRPr="00585452" w:rsidRDefault="00BE0D80" w:rsidP="008F2EB6">
      <w:pPr>
        <w:shd w:val="clear" w:color="auto" w:fill="FFFFFF" w:themeFill="background1"/>
        <w:spacing w:after="0"/>
        <w:jc w:val="both"/>
        <w:rPr>
          <w:rFonts w:ascii="Arial" w:hAnsi="Arial" w:cs="Arial"/>
        </w:rPr>
      </w:pPr>
      <w:r w:rsidRPr="00585452">
        <w:rPr>
          <w:rFonts w:ascii="Arial" w:hAnsi="Arial" w:cs="Arial"/>
        </w:rPr>
        <w:t>De existir efectos indirectos de red, el instituto podrá determinar la manera más adecuada para representar la estructura del mercado de la plataforma, es</w:t>
      </w:r>
      <w:r>
        <w:rPr>
          <w:rFonts w:ascii="Arial" w:hAnsi="Arial" w:cs="Arial"/>
        </w:rPr>
        <w:t xml:space="preserve"> decir</w:t>
      </w:r>
      <w:r w:rsidRPr="00585452">
        <w:rPr>
          <w:rFonts w:ascii="Arial" w:hAnsi="Arial" w:cs="Arial"/>
        </w:rPr>
        <w:t>, si se analizan MR separados para cada uno de los lados o si la plataforma y sus distintos lados se analizan como un mismo MR. Para esto, el Instituto podrá considerar los siguientes criterios, sin orden de importancia o prelación en su aplicación:</w:t>
      </w:r>
    </w:p>
    <w:p w14:paraId="564A5A73" w14:textId="77777777" w:rsidR="00BE0D80" w:rsidRPr="00585452" w:rsidRDefault="00BE0D80" w:rsidP="008F2EB6">
      <w:pPr>
        <w:shd w:val="clear" w:color="auto" w:fill="FFFFFF" w:themeFill="background1"/>
        <w:spacing w:after="0"/>
        <w:jc w:val="both"/>
        <w:rPr>
          <w:rFonts w:ascii="Arial" w:hAnsi="Arial" w:cs="Arial"/>
        </w:rPr>
      </w:pPr>
    </w:p>
    <w:p w14:paraId="7D7CC7FD" w14:textId="77777777" w:rsidR="00BE0D80" w:rsidRPr="00777DBE" w:rsidRDefault="00BE0D80" w:rsidP="000D5517">
      <w:pPr>
        <w:pStyle w:val="Prrafodelista"/>
        <w:numPr>
          <w:ilvl w:val="0"/>
          <w:numId w:val="44"/>
        </w:numPr>
        <w:shd w:val="clear" w:color="auto" w:fill="FFFFFF" w:themeFill="background1"/>
        <w:spacing w:after="0"/>
        <w:contextualSpacing w:val="0"/>
        <w:jc w:val="both"/>
        <w:rPr>
          <w:rFonts w:ascii="Arial" w:hAnsi="Arial" w:cs="Arial"/>
        </w:rPr>
      </w:pPr>
      <w:r w:rsidRPr="00777DBE">
        <w:rPr>
          <w:rFonts w:ascii="Arial" w:hAnsi="Arial" w:cs="Arial"/>
        </w:rPr>
        <w:t>El modelo de negocios de la plataforma (por ejemplo, se identificará si la plataforma es transaccional o no transaccional).</w:t>
      </w:r>
    </w:p>
    <w:p w14:paraId="3711296D" w14:textId="77777777" w:rsidR="00BE0D80" w:rsidRPr="00585452" w:rsidRDefault="00BE0D80" w:rsidP="008F2EB6">
      <w:pPr>
        <w:shd w:val="clear" w:color="auto" w:fill="FFFFFF" w:themeFill="background1"/>
        <w:spacing w:after="0"/>
        <w:jc w:val="both"/>
        <w:rPr>
          <w:rFonts w:ascii="Arial" w:hAnsi="Arial" w:cs="Arial"/>
        </w:rPr>
      </w:pPr>
    </w:p>
    <w:p w14:paraId="286EFF75" w14:textId="77777777" w:rsidR="00BE0D80" w:rsidRPr="00777DBE" w:rsidRDefault="00BE0D80" w:rsidP="000D5517">
      <w:pPr>
        <w:pStyle w:val="Prrafodelista"/>
        <w:numPr>
          <w:ilvl w:val="0"/>
          <w:numId w:val="44"/>
        </w:numPr>
        <w:shd w:val="clear" w:color="auto" w:fill="FFFFFF" w:themeFill="background1"/>
        <w:spacing w:after="0"/>
        <w:contextualSpacing w:val="0"/>
        <w:jc w:val="both"/>
        <w:rPr>
          <w:rFonts w:ascii="Arial" w:hAnsi="Arial" w:cs="Arial"/>
        </w:rPr>
      </w:pPr>
      <w:r w:rsidRPr="00777DBE">
        <w:rPr>
          <w:rFonts w:ascii="Arial" w:hAnsi="Arial" w:cs="Arial"/>
        </w:rPr>
        <w:t>La estructura</w:t>
      </w:r>
      <w:r>
        <w:rPr>
          <w:rStyle w:val="Refdenotaalpie"/>
          <w:rFonts w:ascii="Arial" w:hAnsi="Arial" w:cs="Arial"/>
        </w:rPr>
        <w:footnoteReference w:id="128"/>
      </w:r>
      <w:r w:rsidRPr="00777DBE">
        <w:rPr>
          <w:rFonts w:ascii="Arial" w:hAnsi="Arial" w:cs="Arial"/>
        </w:rPr>
        <w:t xml:space="preserve"> y el nivel los precios que el proveedor de la plataforma cobra a cada uno de los lados.</w:t>
      </w:r>
    </w:p>
    <w:p w14:paraId="454B0292" w14:textId="77777777" w:rsidR="00BE0D80" w:rsidRPr="00585452" w:rsidRDefault="00BE0D80" w:rsidP="008F2EB6">
      <w:pPr>
        <w:shd w:val="clear" w:color="auto" w:fill="FFFFFF" w:themeFill="background1"/>
        <w:spacing w:after="0"/>
        <w:jc w:val="both"/>
        <w:rPr>
          <w:rFonts w:ascii="Arial" w:hAnsi="Arial" w:cs="Arial"/>
        </w:rPr>
      </w:pPr>
    </w:p>
    <w:p w14:paraId="69AE776C" w14:textId="77777777" w:rsidR="00BE0D80" w:rsidRDefault="00BE0D80" w:rsidP="000D5517">
      <w:pPr>
        <w:pStyle w:val="Prrafodelista"/>
        <w:numPr>
          <w:ilvl w:val="0"/>
          <w:numId w:val="44"/>
        </w:numPr>
        <w:shd w:val="clear" w:color="auto" w:fill="FFFFFF" w:themeFill="background1"/>
        <w:spacing w:after="0"/>
        <w:contextualSpacing w:val="0"/>
        <w:jc w:val="both"/>
        <w:rPr>
          <w:rFonts w:ascii="Arial" w:hAnsi="Arial" w:cs="Arial"/>
        </w:rPr>
      </w:pPr>
      <w:r w:rsidRPr="00777DBE">
        <w:rPr>
          <w:rFonts w:ascii="Arial" w:hAnsi="Arial" w:cs="Arial"/>
        </w:rPr>
        <w:t>La relevancia de los efectos indirectos de red que subyacen en la interacción entre los distintos grupos de usuarios, así como la capacidad de estos de traspasar los costos (“</w:t>
      </w:r>
      <w:r w:rsidRPr="00777DBE">
        <w:rPr>
          <w:rFonts w:ascii="Arial" w:hAnsi="Arial" w:cs="Arial"/>
          <w:i/>
          <w:iCs/>
        </w:rPr>
        <w:t>pass-through</w:t>
      </w:r>
      <w:r w:rsidRPr="00777DBE">
        <w:rPr>
          <w:rFonts w:ascii="Arial" w:hAnsi="Arial" w:cs="Arial"/>
        </w:rPr>
        <w:t xml:space="preserve">”) o realizar </w:t>
      </w:r>
      <w:r w:rsidRPr="00777DBE">
        <w:rPr>
          <w:rFonts w:ascii="Arial" w:hAnsi="Arial" w:cs="Arial"/>
          <w:i/>
          <w:iCs/>
        </w:rPr>
        <w:t>multi-homming</w:t>
      </w:r>
      <w:r w:rsidRPr="00777DBE">
        <w:rPr>
          <w:rFonts w:ascii="Arial" w:hAnsi="Arial" w:cs="Arial"/>
        </w:rPr>
        <w:t xml:space="preserve">. </w:t>
      </w:r>
    </w:p>
    <w:p w14:paraId="65286903" w14:textId="77777777" w:rsidR="00BE0D80" w:rsidRPr="001C1A63" w:rsidRDefault="00BE0D80" w:rsidP="008F2EB6">
      <w:pPr>
        <w:pStyle w:val="Prrafodelista"/>
        <w:spacing w:after="0"/>
        <w:contextualSpacing w:val="0"/>
        <w:rPr>
          <w:rFonts w:ascii="Arial" w:hAnsi="Arial" w:cs="Arial"/>
        </w:rPr>
      </w:pPr>
    </w:p>
    <w:p w14:paraId="5A517ED1" w14:textId="77777777" w:rsidR="00BE0D80" w:rsidRPr="00777DBE" w:rsidRDefault="00BE0D80" w:rsidP="000D5517">
      <w:pPr>
        <w:pStyle w:val="Prrafodelista"/>
        <w:numPr>
          <w:ilvl w:val="0"/>
          <w:numId w:val="44"/>
        </w:numPr>
        <w:shd w:val="clear" w:color="auto" w:fill="FFFFFF" w:themeFill="background1"/>
        <w:spacing w:after="0"/>
        <w:contextualSpacing w:val="0"/>
        <w:jc w:val="both"/>
        <w:rPr>
          <w:rFonts w:ascii="Arial" w:hAnsi="Arial" w:cs="Arial"/>
        </w:rPr>
      </w:pPr>
      <w:r w:rsidRPr="00777DBE">
        <w:rPr>
          <w:rFonts w:ascii="Arial" w:hAnsi="Arial" w:cs="Arial"/>
        </w:rPr>
        <w:t>Las características técnicas y funcionales de los productos ofrecidos a los diferentes grupos de usuarios de la plataforma.</w:t>
      </w:r>
    </w:p>
    <w:p w14:paraId="037AF2E5" w14:textId="77777777" w:rsidR="00BE0D80" w:rsidRPr="00585452" w:rsidRDefault="00BE0D80" w:rsidP="008F2EB6">
      <w:pPr>
        <w:shd w:val="clear" w:color="auto" w:fill="FFFFFF" w:themeFill="background1"/>
        <w:spacing w:after="0"/>
        <w:jc w:val="both"/>
        <w:rPr>
          <w:rFonts w:ascii="Arial" w:hAnsi="Arial" w:cs="Arial"/>
        </w:rPr>
      </w:pPr>
    </w:p>
    <w:p w14:paraId="1EC4DBF0" w14:textId="77777777" w:rsidR="00BE0D80" w:rsidRPr="00777DBE" w:rsidRDefault="00BE0D80" w:rsidP="000D5517">
      <w:pPr>
        <w:pStyle w:val="Prrafodelista"/>
        <w:numPr>
          <w:ilvl w:val="0"/>
          <w:numId w:val="44"/>
        </w:numPr>
        <w:shd w:val="clear" w:color="auto" w:fill="FFFFFF" w:themeFill="background1"/>
        <w:spacing w:after="0"/>
        <w:contextualSpacing w:val="0"/>
        <w:jc w:val="both"/>
        <w:rPr>
          <w:rFonts w:ascii="Arial" w:hAnsi="Arial" w:cs="Arial"/>
        </w:rPr>
      </w:pPr>
      <w:r w:rsidRPr="00777DBE">
        <w:rPr>
          <w:rFonts w:ascii="Arial" w:hAnsi="Arial" w:cs="Arial"/>
        </w:rPr>
        <w:t>Las presiones competitivas, tanto por el lado de la oferta como de la demanda, que enfrenta la plataforma en los diversos lados que la conforman, para lo cual podrá considerar los elementos presentados en las secciones 5 y 6 de la presente guía.</w:t>
      </w:r>
    </w:p>
    <w:p w14:paraId="01364821" w14:textId="77777777" w:rsidR="00BE0D80" w:rsidRPr="00585452" w:rsidRDefault="00BE0D80" w:rsidP="008F2EB6">
      <w:pPr>
        <w:shd w:val="clear" w:color="auto" w:fill="FFFFFF" w:themeFill="background1"/>
        <w:spacing w:after="0"/>
        <w:jc w:val="both"/>
        <w:rPr>
          <w:rFonts w:ascii="Arial" w:hAnsi="Arial" w:cs="Arial"/>
        </w:rPr>
      </w:pPr>
    </w:p>
    <w:p w14:paraId="1A79C779" w14:textId="77777777" w:rsidR="00BE0D80" w:rsidRPr="00777DBE" w:rsidRDefault="00BE0D80" w:rsidP="000D5517">
      <w:pPr>
        <w:pStyle w:val="Prrafodelista"/>
        <w:numPr>
          <w:ilvl w:val="0"/>
          <w:numId w:val="44"/>
        </w:numPr>
        <w:shd w:val="clear" w:color="auto" w:fill="FFFFFF" w:themeFill="background1"/>
        <w:spacing w:after="0"/>
        <w:contextualSpacing w:val="0"/>
        <w:jc w:val="both"/>
        <w:rPr>
          <w:rFonts w:ascii="Arial" w:hAnsi="Arial" w:cs="Arial"/>
        </w:rPr>
      </w:pPr>
      <w:r w:rsidRPr="00777DBE">
        <w:rPr>
          <w:rFonts w:ascii="Arial" w:hAnsi="Arial" w:cs="Arial"/>
        </w:rPr>
        <w:t>La existencia de diferenciación en los productos que se ofrecen en los distintos lados y sus implicaciones sobre las estrategias de precios y las decisiones de los consumidores en cada uno de los lados.</w:t>
      </w:r>
    </w:p>
    <w:p w14:paraId="4CE62A40" w14:textId="77777777" w:rsidR="00BE0D80" w:rsidRPr="00585452" w:rsidRDefault="00BE0D80" w:rsidP="008F2EB6">
      <w:pPr>
        <w:shd w:val="clear" w:color="auto" w:fill="FFFFFF" w:themeFill="background1"/>
        <w:spacing w:after="0"/>
        <w:jc w:val="both"/>
        <w:rPr>
          <w:rFonts w:ascii="Arial" w:hAnsi="Arial" w:cs="Arial"/>
        </w:rPr>
      </w:pPr>
    </w:p>
    <w:p w14:paraId="34EFAE8F" w14:textId="77777777" w:rsidR="00BE0D80" w:rsidRPr="00777DBE" w:rsidRDefault="00BE0D80" w:rsidP="000D5517">
      <w:pPr>
        <w:pStyle w:val="Prrafodelista"/>
        <w:numPr>
          <w:ilvl w:val="0"/>
          <w:numId w:val="44"/>
        </w:numPr>
        <w:shd w:val="clear" w:color="auto" w:fill="FFFFFF" w:themeFill="background1"/>
        <w:spacing w:after="0"/>
        <w:contextualSpacing w:val="0"/>
        <w:jc w:val="both"/>
        <w:rPr>
          <w:rFonts w:ascii="Arial" w:hAnsi="Arial" w:cs="Arial"/>
        </w:rPr>
      </w:pPr>
      <w:r w:rsidRPr="00777DBE">
        <w:rPr>
          <w:rFonts w:ascii="Arial" w:hAnsi="Arial" w:cs="Arial"/>
        </w:rPr>
        <w:t>Si resulta factible su implementación, la Prueba SSNIP, en su caso, adaptada para reflejar las interdependencias entre los precios y las demandas entre los distintos lados del mercado. Particularmente, en presencia de precios cero podrán evaluarse variables distintas al precio, tales como la calidad del servicio.</w:t>
      </w:r>
    </w:p>
    <w:p w14:paraId="6A0862E3" w14:textId="77777777" w:rsidR="00BE0D80" w:rsidRDefault="00BE0D80" w:rsidP="008F2EB6">
      <w:pPr>
        <w:shd w:val="clear" w:color="auto" w:fill="FFFFFF" w:themeFill="background1"/>
        <w:spacing w:after="0"/>
        <w:jc w:val="center"/>
        <w:rPr>
          <w:rFonts w:ascii="Arial" w:hAnsi="Arial" w:cs="Arial"/>
        </w:rPr>
      </w:pPr>
    </w:p>
    <w:p w14:paraId="5D6F23E9" w14:textId="20E29326" w:rsidR="00BE0D80" w:rsidRPr="00BE0D80" w:rsidRDefault="00BE0D80" w:rsidP="00BE0D80">
      <w:pPr>
        <w:shd w:val="clear" w:color="auto" w:fill="FFFFFF" w:themeFill="background1"/>
        <w:spacing w:after="0"/>
        <w:jc w:val="center"/>
        <w:rPr>
          <w:rFonts w:ascii="Arial" w:hAnsi="Arial" w:cs="Arial"/>
        </w:rPr>
      </w:pPr>
      <w:r>
        <w:rPr>
          <w:rFonts w:ascii="Arial" w:hAnsi="Arial" w:cs="Arial"/>
        </w:rPr>
        <w:t>***</w:t>
      </w:r>
      <w:bookmarkEnd w:id="0"/>
      <w:bookmarkEnd w:id="1"/>
      <w:bookmarkEnd w:id="2"/>
      <w:bookmarkEnd w:id="3"/>
      <w:bookmarkEnd w:id="4"/>
      <w:bookmarkEnd w:id="5"/>
      <w:bookmarkEnd w:id="6"/>
      <w:bookmarkEnd w:id="7"/>
    </w:p>
    <w:sectPr w:rsidR="00BE0D80" w:rsidRPr="00BE0D80" w:rsidSect="004F41C6">
      <w:headerReference w:type="even" r:id="rId11"/>
      <w:headerReference w:type="default" r:id="rId12"/>
      <w:footerReference w:type="even" r:id="rId13"/>
      <w:footerReference w:type="default" r:id="rId14"/>
      <w:headerReference w:type="first" r:id="rId15"/>
      <w:footerReference w:type="first" r:id="rId16"/>
      <w:pgSz w:w="12240" w:h="15840"/>
      <w:pgMar w:top="209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D6DB" w14:textId="77777777" w:rsidR="00E92449" w:rsidRDefault="00E92449" w:rsidP="008A39CF">
      <w:pPr>
        <w:spacing w:after="0" w:line="240" w:lineRule="auto"/>
      </w:pPr>
      <w:r>
        <w:separator/>
      </w:r>
    </w:p>
  </w:endnote>
  <w:endnote w:type="continuationSeparator" w:id="0">
    <w:p w14:paraId="5EC1D4EF" w14:textId="77777777" w:rsidR="00E92449" w:rsidRDefault="00E92449" w:rsidP="008A39CF">
      <w:pPr>
        <w:spacing w:after="0" w:line="240" w:lineRule="auto"/>
      </w:pPr>
      <w:r>
        <w:continuationSeparator/>
      </w:r>
    </w:p>
  </w:endnote>
  <w:endnote w:type="continuationNotice" w:id="1">
    <w:p w14:paraId="643E9956" w14:textId="77777777" w:rsidR="00E92449" w:rsidRDefault="00E92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umanst521 BT">
    <w:altName w:val="Cambria"/>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E2B4" w14:textId="77777777" w:rsidR="004C0860" w:rsidRDefault="004C0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274058"/>
      <w:docPartObj>
        <w:docPartGallery w:val="Page Numbers (Bottom of Page)"/>
        <w:docPartUnique/>
      </w:docPartObj>
    </w:sdtPr>
    <w:sdtEndPr/>
    <w:sdtContent>
      <w:sdt>
        <w:sdtPr>
          <w:id w:val="-1769616900"/>
          <w:docPartObj>
            <w:docPartGallery w:val="Page Numbers (Top of Page)"/>
            <w:docPartUnique/>
          </w:docPartObj>
        </w:sdtPr>
        <w:sdtEndPr/>
        <w:sdtContent>
          <w:p w14:paraId="3CE573E0" w14:textId="5E5302A6" w:rsidR="00A457CE" w:rsidRDefault="00A457CE">
            <w:pPr>
              <w:pStyle w:val="Piedepgina"/>
              <w:jc w:val="right"/>
            </w:pPr>
            <w:r w:rsidRPr="00D47DA6">
              <w:rPr>
                <w:rFonts w:ascii="Arial" w:hAnsi="Arial" w:cs="Arial"/>
                <w:sz w:val="18"/>
                <w:szCs w:val="18"/>
                <w:lang w:val="es-ES"/>
              </w:rPr>
              <w:t xml:space="preserve">Página </w:t>
            </w:r>
            <w:r w:rsidRPr="00D47DA6">
              <w:rPr>
                <w:rFonts w:ascii="Arial" w:hAnsi="Arial" w:cs="Arial"/>
                <w:sz w:val="18"/>
                <w:szCs w:val="18"/>
              </w:rPr>
              <w:fldChar w:fldCharType="begin"/>
            </w:r>
            <w:r w:rsidRPr="00D47DA6">
              <w:rPr>
                <w:rFonts w:ascii="Arial" w:hAnsi="Arial" w:cs="Arial"/>
                <w:sz w:val="18"/>
                <w:szCs w:val="18"/>
              </w:rPr>
              <w:instrText>PAGE</w:instrText>
            </w:r>
            <w:r w:rsidRPr="00D47DA6">
              <w:rPr>
                <w:rFonts w:ascii="Arial" w:hAnsi="Arial" w:cs="Arial"/>
                <w:sz w:val="18"/>
                <w:szCs w:val="18"/>
              </w:rPr>
              <w:fldChar w:fldCharType="separate"/>
            </w:r>
            <w:r w:rsidRPr="00D47DA6">
              <w:rPr>
                <w:rFonts w:ascii="Arial" w:hAnsi="Arial" w:cs="Arial"/>
                <w:sz w:val="18"/>
                <w:szCs w:val="18"/>
                <w:lang w:val="es-ES"/>
              </w:rPr>
              <w:t>2</w:t>
            </w:r>
            <w:r w:rsidRPr="00D47DA6">
              <w:rPr>
                <w:rFonts w:ascii="Arial" w:hAnsi="Arial" w:cs="Arial"/>
                <w:sz w:val="18"/>
                <w:szCs w:val="18"/>
              </w:rPr>
              <w:fldChar w:fldCharType="end"/>
            </w:r>
            <w:r w:rsidRPr="00D47DA6">
              <w:rPr>
                <w:rFonts w:ascii="Arial" w:hAnsi="Arial" w:cs="Arial"/>
                <w:sz w:val="18"/>
                <w:szCs w:val="18"/>
                <w:lang w:val="es-ES"/>
              </w:rPr>
              <w:t xml:space="preserve"> de </w:t>
            </w:r>
            <w:r w:rsidRPr="00D47DA6">
              <w:rPr>
                <w:rFonts w:ascii="Arial" w:hAnsi="Arial" w:cs="Arial"/>
                <w:sz w:val="18"/>
                <w:szCs w:val="18"/>
              </w:rPr>
              <w:fldChar w:fldCharType="begin"/>
            </w:r>
            <w:r w:rsidRPr="00D47DA6">
              <w:rPr>
                <w:rFonts w:ascii="Arial" w:hAnsi="Arial" w:cs="Arial"/>
                <w:sz w:val="18"/>
                <w:szCs w:val="18"/>
              </w:rPr>
              <w:instrText>NUMPAGES</w:instrText>
            </w:r>
            <w:r w:rsidRPr="00D47DA6">
              <w:rPr>
                <w:rFonts w:ascii="Arial" w:hAnsi="Arial" w:cs="Arial"/>
                <w:sz w:val="18"/>
                <w:szCs w:val="18"/>
              </w:rPr>
              <w:fldChar w:fldCharType="separate"/>
            </w:r>
            <w:r w:rsidRPr="00D47DA6">
              <w:rPr>
                <w:rFonts w:ascii="Arial" w:hAnsi="Arial" w:cs="Arial"/>
                <w:sz w:val="18"/>
                <w:szCs w:val="18"/>
                <w:lang w:val="es-ES"/>
              </w:rPr>
              <w:t>2</w:t>
            </w:r>
            <w:r w:rsidRPr="00D47DA6">
              <w:rPr>
                <w:rFonts w:ascii="Arial" w:hAnsi="Arial" w:cs="Arial"/>
                <w:sz w:val="18"/>
                <w:szCs w:val="18"/>
              </w:rPr>
              <w:fldChar w:fldCharType="end"/>
            </w:r>
          </w:p>
        </w:sdtContent>
      </w:sdt>
    </w:sdtContent>
  </w:sdt>
  <w:p w14:paraId="55650D31" w14:textId="1C1A6D72" w:rsidR="00A457CE" w:rsidRPr="0080602B" w:rsidRDefault="00A457CE" w:rsidP="00AC0CF7">
    <w:pPr>
      <w:pStyle w:val="Piedepgina"/>
      <w:spacing w:before="200"/>
      <w:jc w:val="right"/>
      <w:rPr>
        <w:rFonts w:ascii="ITC Avant Garde" w:hAnsi="ITC Avant Garde"/>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3195" w14:textId="77777777" w:rsidR="004C0860" w:rsidRDefault="004C0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A387" w14:textId="77777777" w:rsidR="00E92449" w:rsidRDefault="00E92449" w:rsidP="008A39CF">
      <w:pPr>
        <w:spacing w:after="0" w:line="240" w:lineRule="auto"/>
      </w:pPr>
      <w:r>
        <w:separator/>
      </w:r>
    </w:p>
  </w:footnote>
  <w:footnote w:type="continuationSeparator" w:id="0">
    <w:p w14:paraId="36AB5A7D" w14:textId="77777777" w:rsidR="00E92449" w:rsidRDefault="00E92449" w:rsidP="008A39CF">
      <w:pPr>
        <w:spacing w:after="0" w:line="240" w:lineRule="auto"/>
      </w:pPr>
      <w:r>
        <w:continuationSeparator/>
      </w:r>
    </w:p>
  </w:footnote>
  <w:footnote w:type="continuationNotice" w:id="1">
    <w:p w14:paraId="359E627B" w14:textId="77777777" w:rsidR="00E92449" w:rsidRDefault="00E92449">
      <w:pPr>
        <w:spacing w:after="0" w:line="240" w:lineRule="auto"/>
      </w:pPr>
    </w:p>
  </w:footnote>
  <w:footnote w:id="2">
    <w:p w14:paraId="0254F3BB"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Los términos y acrónimos presentados tienen el único objeto de facilitar la lectura y su aplicación se limita a este documento. La agrupación de empresas y personas en este documento no prejuzga sobre la dimensión e integrantes de Agentes Económicos en decisiones o resoluciones emitidas por el Instituto.</w:t>
      </w:r>
    </w:p>
  </w:footnote>
  <w:footnote w:id="3">
    <w:p w14:paraId="101707C1" w14:textId="77777777" w:rsidR="00A457CE" w:rsidRPr="008F2EB6" w:rsidRDefault="00A457CE" w:rsidP="008F2EB6">
      <w:pPr>
        <w:pStyle w:val="NotaPie"/>
        <w:rPr>
          <w:lang w:val="es-ES"/>
        </w:rPr>
      </w:pPr>
      <w:r w:rsidRPr="008F2EB6">
        <w:rPr>
          <w:rStyle w:val="Refdenotaalpie"/>
        </w:rPr>
        <w:footnoteRef/>
      </w:r>
      <w:r w:rsidRPr="008F2EB6">
        <w:t xml:space="preserve"> </w:t>
      </w:r>
      <w:r w:rsidRPr="008F2EB6">
        <w:rPr>
          <w:lang w:val="es-ES"/>
        </w:rPr>
        <w:t xml:space="preserve">Disponible en: </w:t>
      </w:r>
      <w:hyperlink r:id="rId1" w:history="1">
        <w:r w:rsidRPr="008F2EB6">
          <w:rPr>
            <w:rStyle w:val="Hipervnculo"/>
            <w:lang w:val="es-ES"/>
          </w:rPr>
          <w:t>http://www.dof.gob.mx/nota_detalle.php?codigo=5432595&amp;fecha=11/04/2016</w:t>
        </w:r>
      </w:hyperlink>
    </w:p>
  </w:footnote>
  <w:footnote w:id="4">
    <w:p w14:paraId="5E914125"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Disponible en: </w:t>
      </w:r>
      <w:hyperlink r:id="rId2" w:history="1">
        <w:r w:rsidRPr="008F2EB6">
          <w:rPr>
            <w:rStyle w:val="Hipervnculo"/>
            <w:rFonts w:ascii="Arial" w:hAnsi="Arial" w:cs="Arial"/>
            <w:sz w:val="14"/>
            <w:szCs w:val="14"/>
          </w:rPr>
          <w:t>http://www.ift.org.mx/sites/default/files/industria/temasrelevantes/9195/documentos/pift280617368.pdf</w:t>
        </w:r>
      </w:hyperlink>
    </w:p>
  </w:footnote>
  <w:footnote w:id="5">
    <w:p w14:paraId="057D049B"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fr-FR"/>
        </w:rPr>
        <w:t xml:space="preserve"> Motta, M. (2004). </w:t>
      </w:r>
      <w:r w:rsidRPr="008F2EB6">
        <w:rPr>
          <w:rFonts w:ascii="Arial" w:hAnsi="Arial" w:cs="Arial"/>
          <w:i/>
          <w:sz w:val="14"/>
          <w:szCs w:val="14"/>
          <w:lang w:val="fr-FR"/>
        </w:rPr>
        <w:t xml:space="preserve">Competition Policy. </w:t>
      </w:r>
      <w:r w:rsidRPr="008F2EB6">
        <w:rPr>
          <w:rFonts w:ascii="Arial" w:hAnsi="Arial" w:cs="Arial"/>
          <w:i/>
          <w:sz w:val="14"/>
          <w:szCs w:val="14"/>
          <w:lang w:val="en-GB"/>
        </w:rPr>
        <w:t>Theory and Practice</w:t>
      </w:r>
      <w:r w:rsidRPr="008F2EB6">
        <w:rPr>
          <w:rFonts w:ascii="Arial" w:hAnsi="Arial" w:cs="Arial"/>
          <w:sz w:val="14"/>
          <w:szCs w:val="14"/>
          <w:lang w:val="en-GB"/>
        </w:rPr>
        <w:t xml:space="preserve">, capítulo 3, pp. 1 y 2. </w:t>
      </w:r>
      <w:r w:rsidRPr="008F2EB6">
        <w:rPr>
          <w:rFonts w:ascii="Arial" w:hAnsi="Arial" w:cs="Arial"/>
          <w:sz w:val="14"/>
          <w:szCs w:val="14"/>
        </w:rPr>
        <w:t>Cambridge University Press.</w:t>
      </w:r>
    </w:p>
  </w:footnote>
  <w:footnote w:id="6">
    <w:p w14:paraId="282671D2" w14:textId="77777777" w:rsidR="00A457CE" w:rsidRPr="008F2EB6" w:rsidRDefault="00A457CE" w:rsidP="008F2EB6">
      <w:pPr>
        <w:pStyle w:val="Notaalpie"/>
      </w:pPr>
      <w:r w:rsidRPr="008F2EB6">
        <w:rPr>
          <w:rStyle w:val="Refdenotaalpie"/>
        </w:rPr>
        <w:footnoteRef/>
      </w:r>
      <w:r w:rsidRPr="008F2EB6">
        <w:t xml:space="preserve"> SCJN (2008). </w:t>
      </w:r>
      <w:r w:rsidRPr="008F2EB6">
        <w:rPr>
          <w:i/>
        </w:rPr>
        <w:t>Mercado Relevante. Su Concepto en Materia de Competencia Económica</w:t>
      </w:r>
      <w:r w:rsidRPr="008F2EB6">
        <w:t xml:space="preserve">. Tesis I.4o.A. J/75. Tribunales Colegiados de Circuito. Semanario Judicial de la Federación y su Gaceta. Tomo XXVIII, octubre de 2008. Novena Época. Pág. 2225. </w:t>
      </w:r>
    </w:p>
  </w:footnote>
  <w:footnote w:id="7">
    <w:p w14:paraId="65E95203"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42FC3D4B"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CE (1997). </w:t>
      </w:r>
      <w:r w:rsidRPr="008F2EB6">
        <w:rPr>
          <w:rFonts w:ascii="Arial" w:hAnsi="Arial" w:cs="Arial"/>
          <w:i/>
          <w:sz w:val="14"/>
          <w:szCs w:val="14"/>
        </w:rPr>
        <w:t>COMUNICACIÓN DE LA COMISIÓN relativa a la definición de mercado de referencia a efectos de la normativa comunitaria en materia de competencia.</w:t>
      </w:r>
      <w:r w:rsidRPr="008F2EB6">
        <w:rPr>
          <w:rFonts w:ascii="Arial" w:hAnsi="Arial" w:cs="Arial"/>
          <w:sz w:val="14"/>
          <w:szCs w:val="14"/>
        </w:rPr>
        <w:t xml:space="preserve"> Disponible en </w:t>
      </w:r>
      <w:hyperlink r:id="rId3" w:history="1">
        <w:r w:rsidRPr="008F2EB6">
          <w:rPr>
            <w:rStyle w:val="Hipervnculo"/>
            <w:rFonts w:ascii="Arial" w:hAnsi="Arial" w:cs="Arial"/>
            <w:sz w:val="14"/>
            <w:szCs w:val="14"/>
          </w:rPr>
          <w:t>https://eur-lex.europa.eu/legal-content/ES/TXT/PDF/?uri=CELEX:31997Y1209(01)&amp;from=EN</w:t>
        </w:r>
      </w:hyperlink>
    </w:p>
    <w:p w14:paraId="61C837EB"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DOJ y FTC (2010). </w:t>
      </w:r>
      <w:r w:rsidRPr="008F2EB6">
        <w:rPr>
          <w:rFonts w:ascii="Arial" w:hAnsi="Arial" w:cs="Arial"/>
          <w:i/>
          <w:sz w:val="14"/>
          <w:szCs w:val="14"/>
        </w:rPr>
        <w:t>Horizontal Merger Guidelines</w:t>
      </w:r>
      <w:r w:rsidRPr="008F2EB6">
        <w:rPr>
          <w:rFonts w:ascii="Arial" w:hAnsi="Arial" w:cs="Arial"/>
          <w:sz w:val="14"/>
          <w:szCs w:val="14"/>
        </w:rPr>
        <w:t xml:space="preserve">. Disponible en </w:t>
      </w:r>
      <w:hyperlink r:id="rId4" w:history="1">
        <w:r w:rsidRPr="008F2EB6">
          <w:rPr>
            <w:rStyle w:val="Hipervnculo"/>
            <w:rFonts w:ascii="Arial" w:hAnsi="Arial" w:cs="Arial"/>
            <w:sz w:val="14"/>
            <w:szCs w:val="14"/>
          </w:rPr>
          <w:t>https://www.ftc.gov/sites/default/files/attachments/merger-review/100819hmg.pdf</w:t>
        </w:r>
      </w:hyperlink>
    </w:p>
    <w:p w14:paraId="59160BC2"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en-US"/>
        </w:rPr>
        <w:t xml:space="preserve">CMA/OFT (2010). </w:t>
      </w:r>
      <w:r w:rsidRPr="008F2EB6">
        <w:rPr>
          <w:rFonts w:ascii="Arial" w:hAnsi="Arial" w:cs="Arial"/>
          <w:i/>
          <w:sz w:val="14"/>
          <w:szCs w:val="14"/>
          <w:lang w:val="en-US"/>
        </w:rPr>
        <w:t>Merger Assessment Guidelines.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5" w:history="1">
        <w:r w:rsidRPr="008F2EB6">
          <w:rPr>
            <w:rStyle w:val="Hipervnculo"/>
            <w:rFonts w:ascii="Arial" w:hAnsi="Arial" w:cs="Arial"/>
            <w:sz w:val="14"/>
            <w:szCs w:val="14"/>
          </w:rPr>
          <w:t>https://assets.publishing.service.gov.uk/government/uploads/system/uploads/attachment_data/file/284449/OFT1254.pdf</w:t>
        </w:r>
      </w:hyperlink>
    </w:p>
    <w:p w14:paraId="3DCE0611"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fr-FR"/>
        </w:rPr>
        <w:t xml:space="preserve">CBC (2011). </w:t>
      </w:r>
      <w:r w:rsidRPr="008F2EB6">
        <w:rPr>
          <w:rFonts w:ascii="Arial" w:hAnsi="Arial" w:cs="Arial"/>
          <w:i/>
          <w:sz w:val="14"/>
          <w:szCs w:val="14"/>
          <w:lang w:val="fr-FR"/>
        </w:rPr>
        <w:t>Merger Enforcement Guidelines.</w:t>
      </w:r>
      <w:r w:rsidRPr="008F2EB6">
        <w:rPr>
          <w:rFonts w:ascii="Arial" w:hAnsi="Arial" w:cs="Arial"/>
          <w:sz w:val="14"/>
          <w:szCs w:val="14"/>
          <w:lang w:val="fr-FR"/>
        </w:rPr>
        <w:t xml:space="preserve"> Disponible en: </w:t>
      </w:r>
      <w:hyperlink r:id="rId6" w:history="1">
        <w:r w:rsidRPr="008F2EB6">
          <w:rPr>
            <w:rStyle w:val="Hipervnculo"/>
            <w:rFonts w:ascii="Arial" w:hAnsi="Arial" w:cs="Arial"/>
            <w:sz w:val="14"/>
            <w:szCs w:val="14"/>
            <w:lang w:val="fr-FR"/>
          </w:rPr>
          <w:t>https://www.competitionbureau.gc.ca/eic/site/cb-bc.nsf/vwapj/cb-meg-2011-e.pdf/$FILE/cb-meg-2011-e.pdf</w:t>
        </w:r>
      </w:hyperlink>
    </w:p>
    <w:p w14:paraId="23CB85EE"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ACCC (2008). </w:t>
      </w:r>
      <w:r w:rsidRPr="008F2EB6">
        <w:rPr>
          <w:rFonts w:ascii="Arial" w:hAnsi="Arial" w:cs="Arial"/>
          <w:i/>
          <w:sz w:val="14"/>
          <w:szCs w:val="14"/>
        </w:rPr>
        <w:t xml:space="preserve">Merger Guidelines </w:t>
      </w:r>
      <w:r w:rsidRPr="008F2EB6">
        <w:rPr>
          <w:rFonts w:ascii="Arial" w:hAnsi="Arial" w:cs="Arial"/>
          <w:color w:val="000000"/>
          <w:sz w:val="14"/>
          <w:szCs w:val="14"/>
          <w:shd w:val="clear" w:color="auto" w:fill="FFFFFF"/>
        </w:rPr>
        <w:t>(actualización 2017)</w:t>
      </w:r>
      <w:r w:rsidRPr="008F2EB6">
        <w:rPr>
          <w:rFonts w:ascii="Arial" w:hAnsi="Arial" w:cs="Arial"/>
          <w:sz w:val="14"/>
          <w:szCs w:val="14"/>
        </w:rPr>
        <w:t xml:space="preserve">. Disponible en: </w:t>
      </w:r>
      <w:hyperlink r:id="rId7" w:history="1">
        <w:r w:rsidRPr="008F2EB6">
          <w:rPr>
            <w:rStyle w:val="Hipervnculo"/>
            <w:rFonts w:ascii="Arial" w:hAnsi="Arial" w:cs="Arial"/>
            <w:sz w:val="14"/>
            <w:szCs w:val="14"/>
          </w:rPr>
          <w:t>https://www.accc.gov.au/system/files/Merger%20guidelines%20-%20Final.PDF</w:t>
        </w:r>
      </w:hyperlink>
    </w:p>
    <w:p w14:paraId="51DDC770"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CE (2012). </w:t>
      </w:r>
      <w:r w:rsidRPr="008F2EB6">
        <w:rPr>
          <w:rFonts w:ascii="Arial" w:hAnsi="Arial" w:cs="Arial"/>
          <w:i/>
          <w:sz w:val="14"/>
          <w:szCs w:val="14"/>
          <w:lang w:val="en-US"/>
        </w:rPr>
        <w:t>Roundtable on market definition. Note by the delegation of the European Union</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8" w:history="1">
        <w:r w:rsidRPr="008F2EB6">
          <w:rPr>
            <w:rStyle w:val="Hipervnculo"/>
            <w:rFonts w:ascii="Arial" w:hAnsi="Arial" w:cs="Arial"/>
            <w:sz w:val="14"/>
            <w:szCs w:val="14"/>
          </w:rPr>
          <w:t>https://ec.europa.eu/competition/international/multilateral/2012_jun_market_definition_en.pdf</w:t>
        </w:r>
      </w:hyperlink>
    </w:p>
  </w:footnote>
  <w:footnote w:id="8">
    <w:p w14:paraId="4438F492"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La delimitación temporal a la que se refiere la tesis del PJF, generalmente se aborda en la experiencia internacional como parte de la dimensión producto y no como una dimensión independiente. Por ejemplo, la CMA/OFT han señalado que “</w:t>
      </w:r>
      <w:r w:rsidRPr="008F2EB6">
        <w:rPr>
          <w:rFonts w:ascii="Arial" w:hAnsi="Arial" w:cs="Arial"/>
          <w:i/>
          <w:sz w:val="14"/>
          <w:szCs w:val="14"/>
        </w:rPr>
        <w:t>Hasta cierto punto, la dimensión temporal es simplemente una extensión de la dimensión producto: es decir, el producto puede definirse como la oferta de servicios ferroviarios a determinada hora del día</w:t>
      </w:r>
      <w:r w:rsidRPr="008F2EB6">
        <w:rPr>
          <w:rFonts w:ascii="Arial" w:hAnsi="Arial" w:cs="Arial"/>
          <w:sz w:val="14"/>
          <w:szCs w:val="14"/>
        </w:rPr>
        <w:t xml:space="preserve">”. CMA/OFT (2004). </w:t>
      </w:r>
      <w:r w:rsidRPr="008F2EB6">
        <w:rPr>
          <w:rFonts w:ascii="Arial" w:hAnsi="Arial" w:cs="Arial"/>
          <w:i/>
          <w:sz w:val="14"/>
          <w:szCs w:val="14"/>
        </w:rPr>
        <w:t>Market definition, Understanding competition law.</w:t>
      </w:r>
      <w:r w:rsidRPr="008F2EB6">
        <w:rPr>
          <w:rFonts w:ascii="Arial" w:hAnsi="Arial" w:cs="Arial"/>
          <w:sz w:val="14"/>
          <w:szCs w:val="14"/>
        </w:rPr>
        <w:t xml:space="preserve"> p. 18. Un ejemplo de cómo la dimensión temporal podría considerarse al delimitar la dimensión producto del MR en los sectores de TyR, es el análisis de contenidos audiovisuales que se transmiten en la televisión radiodifundida o en el servicio de televisión y audio restringidos, ya que el grado de novedad puede ser un factor importante para determinar si un contenido audiovisual es un sustituto de otro. Por lo tanto, podría determinarse una ventana de tiempo en la que el contenido analizado sería considerado como “</w:t>
      </w:r>
      <w:r w:rsidRPr="008F2EB6">
        <w:rPr>
          <w:rFonts w:ascii="Arial" w:hAnsi="Arial" w:cs="Arial"/>
          <w:i/>
          <w:iCs/>
          <w:sz w:val="14"/>
          <w:szCs w:val="14"/>
        </w:rPr>
        <w:t>novedoso</w:t>
      </w:r>
      <w:r w:rsidRPr="008F2EB6">
        <w:rPr>
          <w:rFonts w:ascii="Arial" w:hAnsi="Arial" w:cs="Arial"/>
          <w:sz w:val="14"/>
          <w:szCs w:val="14"/>
        </w:rPr>
        <w:t>”, lo que impactaría la delimitación de la dimensión producto del MR.</w:t>
      </w:r>
    </w:p>
  </w:footnote>
  <w:footnote w:id="9">
    <w:p w14:paraId="580B598F"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fr-FR"/>
        </w:rPr>
        <w:t xml:space="preserve"> OCDE (2012). </w:t>
      </w:r>
      <w:r w:rsidRPr="008F2EB6">
        <w:rPr>
          <w:rFonts w:ascii="Arial" w:hAnsi="Arial" w:cs="Arial"/>
          <w:i/>
          <w:sz w:val="14"/>
          <w:szCs w:val="14"/>
          <w:lang w:val="fr-FR"/>
        </w:rPr>
        <w:t>Market Definition</w:t>
      </w:r>
      <w:r w:rsidRPr="008F2EB6">
        <w:rPr>
          <w:rFonts w:ascii="Arial" w:hAnsi="Arial" w:cs="Arial"/>
          <w:sz w:val="14"/>
          <w:szCs w:val="14"/>
          <w:lang w:val="fr-FR"/>
        </w:rPr>
        <w:t xml:space="preserve">. Disponible en: </w:t>
      </w:r>
      <w:hyperlink r:id="rId9" w:history="1">
        <w:r w:rsidRPr="008F2EB6">
          <w:rPr>
            <w:rStyle w:val="Hipervnculo"/>
            <w:rFonts w:ascii="Arial" w:hAnsi="Arial" w:cs="Arial"/>
            <w:sz w:val="14"/>
            <w:szCs w:val="14"/>
            <w:lang w:val="fr-FR"/>
          </w:rPr>
          <w:t>http://www.oecd.org/daf/competition/Marketdefinition2012.pdf</w:t>
        </w:r>
      </w:hyperlink>
      <w:r w:rsidRPr="008F2EB6">
        <w:rPr>
          <w:rFonts w:ascii="Arial" w:hAnsi="Arial" w:cs="Arial"/>
          <w:sz w:val="14"/>
          <w:szCs w:val="14"/>
          <w:lang w:val="fr-FR"/>
        </w:rPr>
        <w:t xml:space="preserve">  </w:t>
      </w:r>
    </w:p>
  </w:footnote>
  <w:footnote w:id="10">
    <w:p w14:paraId="46779898" w14:textId="77777777" w:rsidR="00A457CE" w:rsidRPr="008F2EB6" w:rsidRDefault="00A457CE" w:rsidP="008F2EB6">
      <w:pPr>
        <w:pStyle w:val="Notaalpie"/>
      </w:pPr>
      <w:r w:rsidRPr="008F2EB6">
        <w:rPr>
          <w:rStyle w:val="Refdenotaalpie"/>
        </w:rPr>
        <w:footnoteRef/>
      </w:r>
      <w:r w:rsidRPr="008F2EB6">
        <w:t xml:space="preserve"> SCJN (2008). </w:t>
      </w:r>
      <w:r w:rsidRPr="008F2EB6">
        <w:rPr>
          <w:i/>
        </w:rPr>
        <w:t>Mercado Relevante. Su Concepto en Materia de Competencia Económica</w:t>
      </w:r>
      <w:r w:rsidRPr="008F2EB6">
        <w:t>. Tesis I.4o.A. J/75. Tribunales Colegiados de Circuito. Semanario Judicial de la Federación y su Gaceta. Tomo XXVIII, octubre de 2008. Novena Época. Pág. 2225.</w:t>
      </w:r>
    </w:p>
  </w:footnote>
  <w:footnote w:id="11">
    <w:p w14:paraId="7525CA4B"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45CE9F99" w14:textId="77777777" w:rsidR="00A457CE" w:rsidRPr="008F2EB6" w:rsidRDefault="00A457CE" w:rsidP="008F2EB6">
      <w:pPr>
        <w:pStyle w:val="Textonotapie"/>
        <w:numPr>
          <w:ilvl w:val="0"/>
          <w:numId w:val="28"/>
        </w:numPr>
        <w:jc w:val="both"/>
        <w:rPr>
          <w:rStyle w:val="Hipervnculo"/>
          <w:rFonts w:ascii="Arial" w:hAnsi="Arial" w:cs="Arial"/>
          <w:sz w:val="14"/>
          <w:szCs w:val="14"/>
          <w:lang w:val="fr-FR"/>
        </w:rPr>
      </w:pPr>
      <w:r w:rsidRPr="008F2EB6">
        <w:rPr>
          <w:rFonts w:ascii="Arial" w:hAnsi="Arial" w:cs="Arial"/>
          <w:sz w:val="14"/>
          <w:szCs w:val="14"/>
          <w:lang w:val="en-US"/>
        </w:rPr>
        <w:t xml:space="preserve">ICN (2006). </w:t>
      </w:r>
      <w:r w:rsidRPr="008F2EB6">
        <w:rPr>
          <w:rFonts w:ascii="Arial" w:hAnsi="Arial" w:cs="Arial"/>
          <w:i/>
          <w:sz w:val="14"/>
          <w:szCs w:val="14"/>
          <w:lang w:val="en-US"/>
        </w:rPr>
        <w:t>ICN Merger Guidelines Workbook.</w:t>
      </w:r>
      <w:r w:rsidRPr="008F2EB6">
        <w:rPr>
          <w:rFonts w:ascii="Arial" w:hAnsi="Arial" w:cs="Arial"/>
          <w:sz w:val="14"/>
          <w:szCs w:val="14"/>
          <w:lang w:val="en-US"/>
        </w:rPr>
        <w:t xml:space="preserve"> pp. 15-20. </w:t>
      </w:r>
      <w:r w:rsidRPr="008F2EB6">
        <w:rPr>
          <w:rFonts w:ascii="Arial" w:hAnsi="Arial" w:cs="Arial"/>
          <w:sz w:val="14"/>
          <w:szCs w:val="14"/>
          <w:lang w:val="fr-FR"/>
        </w:rPr>
        <w:t xml:space="preserve">Disponible en: </w:t>
      </w:r>
      <w:r w:rsidRPr="008F2EB6">
        <w:rPr>
          <w:rStyle w:val="Hipervnculo"/>
          <w:rFonts w:ascii="Arial" w:hAnsi="Arial" w:cs="Arial"/>
          <w:sz w:val="14"/>
          <w:szCs w:val="14"/>
          <w:lang w:val="fr-FR"/>
        </w:rPr>
        <w:t xml:space="preserve"> </w:t>
      </w:r>
      <w:hyperlink r:id="rId10" w:history="1">
        <w:r w:rsidRPr="008F2EB6">
          <w:rPr>
            <w:rStyle w:val="Hipervnculo"/>
            <w:rFonts w:ascii="Arial" w:hAnsi="Arial" w:cs="Arial"/>
            <w:sz w:val="14"/>
            <w:szCs w:val="14"/>
            <w:lang w:val="fr-FR"/>
          </w:rPr>
          <w:t>https://www.internationalcompetitionnetwork.org/wp-content/uploads/2018/05/MWG_MergerGuidelinesWorkbook.pdf</w:t>
        </w:r>
      </w:hyperlink>
    </w:p>
    <w:p w14:paraId="22CD9044"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fr-FR"/>
        </w:rPr>
        <w:t xml:space="preserve">OCDE (2012). </w:t>
      </w:r>
      <w:r w:rsidRPr="008F2EB6">
        <w:rPr>
          <w:rFonts w:ascii="Arial" w:hAnsi="Arial" w:cs="Arial"/>
          <w:i/>
          <w:sz w:val="14"/>
          <w:szCs w:val="14"/>
          <w:lang w:val="fr-FR"/>
        </w:rPr>
        <w:t>Market Definition</w:t>
      </w:r>
      <w:r w:rsidRPr="008F2EB6">
        <w:rPr>
          <w:rFonts w:ascii="Arial" w:hAnsi="Arial" w:cs="Arial"/>
          <w:sz w:val="14"/>
          <w:szCs w:val="14"/>
          <w:lang w:val="fr-FR"/>
        </w:rPr>
        <w:t>. p. 29.</w:t>
      </w:r>
    </w:p>
    <w:p w14:paraId="432458D2"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en-US"/>
        </w:rPr>
        <w:t xml:space="preserve">CE (2012). </w:t>
      </w:r>
      <w:r w:rsidRPr="008F2EB6">
        <w:rPr>
          <w:rFonts w:ascii="Arial" w:hAnsi="Arial" w:cs="Arial"/>
          <w:i/>
          <w:sz w:val="14"/>
          <w:szCs w:val="14"/>
          <w:lang w:val="en-US"/>
        </w:rPr>
        <w:t>Roundtable on market definition. Note by the delegation of the European Union. p. 2</w:t>
      </w:r>
      <w:r w:rsidRPr="008F2EB6">
        <w:rPr>
          <w:rFonts w:ascii="Arial" w:hAnsi="Arial" w:cs="Arial"/>
          <w:sz w:val="14"/>
          <w:szCs w:val="14"/>
          <w:lang w:val="en-US"/>
        </w:rPr>
        <w:t xml:space="preserve">.  </w:t>
      </w:r>
    </w:p>
    <w:p w14:paraId="64703B24" w14:textId="77777777" w:rsidR="00A457CE" w:rsidRPr="008F2EB6" w:rsidRDefault="00A457CE" w:rsidP="008F2EB6">
      <w:pPr>
        <w:pStyle w:val="Textonotapie"/>
        <w:numPr>
          <w:ilvl w:val="0"/>
          <w:numId w:val="28"/>
        </w:numPr>
        <w:jc w:val="both"/>
        <w:rPr>
          <w:rStyle w:val="Hipervnculo"/>
          <w:rFonts w:ascii="Arial" w:hAnsi="Arial" w:cs="Arial"/>
          <w:sz w:val="14"/>
          <w:szCs w:val="14"/>
          <w:lang w:val="fr-FR"/>
        </w:rPr>
      </w:pPr>
      <w:bookmarkStart w:id="24" w:name="_Hlk87773579"/>
      <w:r w:rsidRPr="008F2EB6">
        <w:rPr>
          <w:rFonts w:ascii="Arial" w:hAnsi="Arial" w:cs="Arial"/>
          <w:sz w:val="14"/>
          <w:szCs w:val="14"/>
          <w:lang w:val="en-US"/>
        </w:rPr>
        <w:t xml:space="preserve">CMA/OFT (2004). </w:t>
      </w:r>
      <w:r w:rsidRPr="008F2EB6">
        <w:rPr>
          <w:rFonts w:ascii="Arial" w:hAnsi="Arial" w:cs="Arial"/>
          <w:i/>
          <w:sz w:val="14"/>
          <w:szCs w:val="14"/>
          <w:lang w:val="en-US"/>
        </w:rPr>
        <w:t>Market definition, Understanding competition law.</w:t>
      </w:r>
      <w:r w:rsidRPr="008F2EB6">
        <w:rPr>
          <w:rFonts w:ascii="Arial" w:hAnsi="Arial" w:cs="Arial"/>
          <w:sz w:val="14"/>
          <w:szCs w:val="14"/>
          <w:lang w:val="en-US"/>
        </w:rPr>
        <w:t xml:space="preserve"> pp. 7-8. </w:t>
      </w:r>
      <w:r w:rsidRPr="008F2EB6">
        <w:rPr>
          <w:rFonts w:ascii="Arial" w:hAnsi="Arial" w:cs="Arial"/>
          <w:sz w:val="14"/>
          <w:szCs w:val="14"/>
        </w:rPr>
        <w:t xml:space="preserve">Disponible en: </w:t>
      </w:r>
      <w:hyperlink r:id="rId11" w:history="1">
        <w:r w:rsidRPr="008F2EB6">
          <w:rPr>
            <w:rStyle w:val="Hipervnculo"/>
            <w:rFonts w:ascii="Arial" w:hAnsi="Arial" w:cs="Arial"/>
            <w:sz w:val="14"/>
            <w:szCs w:val="14"/>
          </w:rPr>
          <w:t>https://assets.publishing.service.gov.uk/government/uploads/system/uploads/attachment_data/file/284423/oft403.pdf</w:t>
        </w:r>
      </w:hyperlink>
    </w:p>
    <w:bookmarkEnd w:id="24"/>
    <w:p w14:paraId="4099BF87"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en-US"/>
        </w:rPr>
        <w:t xml:space="preserve">DOJ y FTC (2010). </w:t>
      </w:r>
      <w:r w:rsidRPr="008F2EB6">
        <w:rPr>
          <w:rFonts w:ascii="Arial" w:hAnsi="Arial" w:cs="Arial"/>
          <w:i/>
          <w:sz w:val="14"/>
          <w:szCs w:val="14"/>
          <w:lang w:val="en-US"/>
        </w:rPr>
        <w:t>Horizontal Merger Guidelines.</w:t>
      </w:r>
    </w:p>
    <w:p w14:paraId="655563A6"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en-US"/>
        </w:rPr>
        <w:t xml:space="preserve">CBC (2011). </w:t>
      </w:r>
      <w:r w:rsidRPr="008F2EB6">
        <w:rPr>
          <w:rFonts w:ascii="Arial" w:hAnsi="Arial" w:cs="Arial"/>
          <w:i/>
          <w:sz w:val="14"/>
          <w:szCs w:val="14"/>
          <w:lang w:val="en-US"/>
        </w:rPr>
        <w:t>Merger Enforcement Guidelines</w:t>
      </w:r>
      <w:r w:rsidRPr="008F2EB6">
        <w:rPr>
          <w:rFonts w:ascii="Arial" w:hAnsi="Arial" w:cs="Arial"/>
          <w:sz w:val="14"/>
          <w:szCs w:val="14"/>
          <w:lang w:val="en-US"/>
        </w:rPr>
        <w:t>. p. 9.</w:t>
      </w:r>
    </w:p>
    <w:p w14:paraId="17DCCDB2"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color w:val="000000"/>
          <w:sz w:val="14"/>
          <w:szCs w:val="14"/>
          <w:shd w:val="clear" w:color="auto" w:fill="FFFFFF"/>
        </w:rPr>
        <w:t xml:space="preserve">ACCC (2008). </w:t>
      </w:r>
      <w:r w:rsidRPr="008F2EB6">
        <w:rPr>
          <w:rFonts w:ascii="Arial" w:hAnsi="Arial" w:cs="Arial"/>
          <w:i/>
          <w:color w:val="000000"/>
          <w:sz w:val="14"/>
          <w:szCs w:val="14"/>
          <w:shd w:val="clear" w:color="auto" w:fill="FFFFFF"/>
        </w:rPr>
        <w:t>Merger Guidelines</w:t>
      </w:r>
      <w:r w:rsidRPr="008F2EB6">
        <w:rPr>
          <w:rFonts w:ascii="Arial" w:hAnsi="Arial" w:cs="Arial"/>
          <w:color w:val="000000"/>
          <w:sz w:val="14"/>
          <w:szCs w:val="14"/>
          <w:shd w:val="clear" w:color="auto" w:fill="FFFFFF"/>
        </w:rPr>
        <w:t xml:space="preserve"> (actualización 2017). pp. 20-21.</w:t>
      </w:r>
    </w:p>
  </w:footnote>
  <w:footnote w:id="12">
    <w:p w14:paraId="0CCBD8D8" w14:textId="77777777" w:rsidR="00A457CE" w:rsidRPr="008F2EB6" w:rsidRDefault="00A457CE" w:rsidP="008F2EB6">
      <w:pPr>
        <w:pStyle w:val="Notaalpie"/>
      </w:pPr>
      <w:r w:rsidRPr="008F2EB6">
        <w:rPr>
          <w:rStyle w:val="Refdenotaalpie"/>
        </w:rPr>
        <w:footnoteRef/>
      </w:r>
      <w:r w:rsidRPr="008F2EB6">
        <w:t xml:space="preserve"> SCJN (2008). </w:t>
      </w:r>
      <w:r w:rsidRPr="008F2EB6">
        <w:rPr>
          <w:i/>
        </w:rPr>
        <w:t>Mercado Relevante. Su Concepto en Materia de Competencia Económica</w:t>
      </w:r>
      <w:r w:rsidRPr="008F2EB6">
        <w:t xml:space="preserve">. Tesis I.4o.A. J/75. Tribunales Colegiados de Circuito. Semanario Judicial de la Federación y su Gaceta. Tomo XXVIII, octubre de 2008. Novena Época. Pág. 2225. </w:t>
      </w:r>
    </w:p>
  </w:footnote>
  <w:footnote w:id="13">
    <w:p w14:paraId="034A8C45"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5DF3F693"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xml:space="preserve">. p. 4. Disponible en: </w:t>
      </w:r>
      <w:hyperlink r:id="rId12" w:history="1">
        <w:r w:rsidRPr="008F2EB6">
          <w:rPr>
            <w:rStyle w:val="Hipervnculo"/>
            <w:rFonts w:ascii="Arial" w:hAnsi="Arial" w:cs="Arial"/>
            <w:sz w:val="14"/>
            <w:szCs w:val="14"/>
          </w:rPr>
          <w:t>https://eur-lex.europa.eu/legal-content/ES/TXT/PDF/?uri=CELEX:52018XC0507(01)&amp;from=HU</w:t>
        </w:r>
      </w:hyperlink>
    </w:p>
    <w:p w14:paraId="7347587E"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DOJ y FTC (2010). </w:t>
      </w:r>
      <w:r w:rsidRPr="008F2EB6">
        <w:rPr>
          <w:rFonts w:ascii="Arial" w:hAnsi="Arial" w:cs="Arial"/>
          <w:i/>
          <w:sz w:val="14"/>
          <w:szCs w:val="14"/>
          <w:lang w:val="en-US"/>
        </w:rPr>
        <w:t>Horizontal Merger Guidelines</w:t>
      </w:r>
      <w:r w:rsidRPr="008F2EB6">
        <w:rPr>
          <w:rFonts w:ascii="Arial" w:hAnsi="Arial" w:cs="Arial"/>
          <w:sz w:val="14"/>
          <w:szCs w:val="14"/>
          <w:lang w:val="en-US"/>
        </w:rPr>
        <w:t>.</w:t>
      </w:r>
    </w:p>
    <w:p w14:paraId="131ACA9E"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CMA/OFT (2010). Merger Assessment Guidelines. </w:t>
      </w:r>
    </w:p>
    <w:p w14:paraId="05DBD828"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CMA/OFT (2004). </w:t>
      </w:r>
      <w:r w:rsidRPr="008F2EB6">
        <w:rPr>
          <w:rFonts w:ascii="Arial" w:hAnsi="Arial" w:cs="Arial"/>
          <w:i/>
          <w:sz w:val="14"/>
          <w:szCs w:val="14"/>
          <w:lang w:val="en-US"/>
        </w:rPr>
        <w:t>Market definition, Understanding competition law.</w:t>
      </w:r>
      <w:r w:rsidRPr="008F2EB6">
        <w:rPr>
          <w:rFonts w:ascii="Arial" w:hAnsi="Arial" w:cs="Arial"/>
          <w:sz w:val="14"/>
          <w:szCs w:val="14"/>
          <w:lang w:val="en-US"/>
        </w:rPr>
        <w:t xml:space="preserve"> pp. 7-8.</w:t>
      </w:r>
    </w:p>
    <w:p w14:paraId="5E003851"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en-US"/>
        </w:rPr>
        <w:t xml:space="preserve">ACCC (2018). Guidelines on Misuse of Market Power. pp. 4-5. </w:t>
      </w:r>
      <w:r w:rsidRPr="008F2EB6">
        <w:rPr>
          <w:rFonts w:ascii="Arial" w:hAnsi="Arial" w:cs="Arial"/>
          <w:sz w:val="14"/>
          <w:szCs w:val="14"/>
          <w:lang w:val="fr-FR"/>
        </w:rPr>
        <w:t>Disponible en:</w:t>
      </w:r>
      <w:r w:rsidRPr="008F2EB6">
        <w:rPr>
          <w:rFonts w:ascii="Arial" w:hAnsi="Arial" w:cs="Arial"/>
          <w:b/>
          <w:sz w:val="14"/>
          <w:szCs w:val="14"/>
          <w:lang w:val="fr-FR"/>
        </w:rPr>
        <w:t xml:space="preserve"> </w:t>
      </w:r>
      <w:hyperlink r:id="rId13" w:history="1">
        <w:r w:rsidRPr="008F2EB6">
          <w:rPr>
            <w:rStyle w:val="Hipervnculo"/>
            <w:rFonts w:ascii="Arial" w:hAnsi="Arial" w:cs="Arial"/>
            <w:sz w:val="14"/>
            <w:szCs w:val="14"/>
            <w:lang w:val="fr-FR"/>
          </w:rPr>
          <w:t>https://www.accc.gov.au/system/files/Updated%20Guidelines%20on%20Misuse%20of%20Market%20Power.pdf</w:t>
        </w:r>
      </w:hyperlink>
    </w:p>
    <w:p w14:paraId="497D67B2"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fr-FR"/>
        </w:rPr>
        <w:t xml:space="preserve">OCDE (2012). </w:t>
      </w:r>
      <w:r w:rsidRPr="008F2EB6">
        <w:rPr>
          <w:rFonts w:ascii="Arial" w:hAnsi="Arial" w:cs="Arial"/>
          <w:i/>
          <w:sz w:val="14"/>
          <w:szCs w:val="14"/>
          <w:lang w:val="fr-FR"/>
        </w:rPr>
        <w:t>Market Definition</w:t>
      </w:r>
      <w:r w:rsidRPr="008F2EB6">
        <w:rPr>
          <w:rFonts w:ascii="Arial" w:hAnsi="Arial" w:cs="Arial"/>
          <w:sz w:val="14"/>
          <w:szCs w:val="14"/>
          <w:lang w:val="fr-FR"/>
        </w:rPr>
        <w:t>.</w:t>
      </w:r>
    </w:p>
    <w:p w14:paraId="6B00038F"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 xml:space="preserve">. pp. 7 y 13. </w:t>
      </w:r>
      <w:r w:rsidRPr="008F2EB6">
        <w:rPr>
          <w:rFonts w:ascii="Arial" w:hAnsi="Arial" w:cs="Arial"/>
          <w:sz w:val="14"/>
          <w:szCs w:val="14"/>
        </w:rPr>
        <w:t xml:space="preserve">Disponible en: </w:t>
      </w:r>
      <w:hyperlink r:id="rId14" w:history="1">
        <w:r w:rsidRPr="008F2EB6">
          <w:rPr>
            <w:rStyle w:val="Hipervnculo"/>
            <w:rFonts w:ascii="Arial" w:hAnsi="Arial" w:cs="Arial"/>
            <w:sz w:val="14"/>
            <w:szCs w:val="14"/>
          </w:rPr>
          <w:t>https://www.oecd.org/daf/competition/Defining_Relevant_Market_in_Telecommunications_web.pdf</w:t>
        </w:r>
      </w:hyperlink>
    </w:p>
  </w:footnote>
  <w:footnote w:id="14">
    <w:p w14:paraId="7A95745D"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Style w:val="Refdenotaalpie"/>
          <w:rFonts w:ascii="Arial" w:hAnsi="Arial" w:cs="Arial"/>
          <w:sz w:val="14"/>
          <w:szCs w:val="14"/>
        </w:rPr>
        <w:t xml:space="preserve"> </w:t>
      </w:r>
      <w:r w:rsidRPr="008F2EB6">
        <w:rPr>
          <w:rFonts w:ascii="Arial" w:hAnsi="Arial" w:cs="Arial"/>
          <w:sz w:val="14"/>
          <w:szCs w:val="14"/>
        </w:rPr>
        <w:t xml:space="preserve">La diferencia entre competencia potencial y sustitución desde el punto de vista de la oferta reside en que esta última responde con presteza a un aumento de los precios, mientras que los entrantes potenciales pueden necesitar más tiempo para empezar a suministrar el mercado. Asimismo, la sustitución desde el punto de vista de la oferta implica costos adicionales menores a los relacionados con la entrada potencial. Con base en CE (2018). </w:t>
      </w:r>
      <w:r w:rsidRPr="008F2EB6">
        <w:rPr>
          <w:rFonts w:ascii="Arial" w:hAnsi="Arial" w:cs="Arial"/>
          <w:i/>
          <w:iCs/>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párrafo 28, p5.</w:t>
      </w:r>
    </w:p>
  </w:footnote>
  <w:footnote w:id="15">
    <w:p w14:paraId="529E17E2"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 xml:space="preserve">. p. 11; </w:t>
      </w:r>
      <w:r w:rsidRPr="008F2EB6">
        <w:rPr>
          <w:rFonts w:ascii="Arial" w:hAnsi="Arial" w:cs="Arial"/>
          <w:sz w:val="14"/>
          <w:szCs w:val="14"/>
          <w:lang w:val="en-GB"/>
        </w:rPr>
        <w:t xml:space="preserve">DOJ y FTC (2010). </w:t>
      </w:r>
      <w:r w:rsidRPr="008F2EB6">
        <w:rPr>
          <w:rFonts w:ascii="Arial" w:hAnsi="Arial" w:cs="Arial"/>
          <w:i/>
          <w:sz w:val="14"/>
          <w:szCs w:val="14"/>
        </w:rPr>
        <w:t>Horizontal Merger Guidelines</w:t>
      </w:r>
      <w:r w:rsidRPr="008F2EB6">
        <w:rPr>
          <w:rFonts w:ascii="Arial" w:hAnsi="Arial" w:cs="Arial"/>
          <w:sz w:val="14"/>
          <w:szCs w:val="14"/>
        </w:rPr>
        <w:t>. p. 7.</w:t>
      </w:r>
    </w:p>
  </w:footnote>
  <w:footnote w:id="16">
    <w:p w14:paraId="16071BEF"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Al respecto, las guías de la Comisión Europea señalan que “</w:t>
      </w:r>
      <w:r w:rsidRPr="008F2EB6">
        <w:rPr>
          <w:rFonts w:ascii="Arial" w:hAnsi="Arial" w:cs="Arial"/>
          <w:i/>
          <w:sz w:val="14"/>
          <w:szCs w:val="14"/>
        </w:rPr>
        <w:t>la sustituibilidad de la oferta también puede tenerse en cuenta al definir mercados en los casos en que sus efectos son equivalentes a los de la sustituibilidad de la demanda en términos de eficacia y de respuesta inmediata</w:t>
      </w:r>
      <w:r w:rsidRPr="008F2EB6">
        <w:rPr>
          <w:rFonts w:ascii="Arial" w:hAnsi="Arial" w:cs="Arial"/>
          <w:sz w:val="14"/>
          <w:szCs w:val="14"/>
        </w:rPr>
        <w:t xml:space="preserve">”. CE (1997). </w:t>
      </w:r>
      <w:r w:rsidRPr="008F2EB6">
        <w:rPr>
          <w:rFonts w:ascii="Arial" w:hAnsi="Arial" w:cs="Arial"/>
          <w:i/>
          <w:sz w:val="14"/>
          <w:szCs w:val="14"/>
        </w:rPr>
        <w:t xml:space="preserve">COMUNICACIÓN DE LA COMISIÓN relativa a la definición de mercado de referencia a efectos de la normativa comunitaria en materia de competencia. </w:t>
      </w:r>
      <w:r w:rsidRPr="008F2EB6">
        <w:rPr>
          <w:rFonts w:ascii="Arial" w:hAnsi="Arial" w:cs="Arial"/>
          <w:sz w:val="14"/>
          <w:szCs w:val="14"/>
        </w:rPr>
        <w:t>p. 7,</w:t>
      </w:r>
    </w:p>
  </w:footnote>
  <w:footnote w:id="17">
    <w:p w14:paraId="29C769B5"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CE (1997). </w:t>
      </w:r>
      <w:r w:rsidRPr="008F2EB6">
        <w:rPr>
          <w:rFonts w:ascii="Arial" w:hAnsi="Arial" w:cs="Arial"/>
          <w:i/>
          <w:sz w:val="14"/>
          <w:szCs w:val="14"/>
        </w:rPr>
        <w:t xml:space="preserve">COMUNICACIÓN DE LA COMISIÓN relativa a la definición de mercado de referencia a efectos de la normativa comunitaria en materia de competencia. </w:t>
      </w:r>
      <w:r w:rsidRPr="008F2EB6">
        <w:rPr>
          <w:rFonts w:ascii="Arial" w:hAnsi="Arial" w:cs="Arial"/>
          <w:sz w:val="14"/>
          <w:szCs w:val="14"/>
        </w:rPr>
        <w:t xml:space="preserve">pp. 6-8, y 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párrafo 28.</w:t>
      </w:r>
    </w:p>
    <w:p w14:paraId="622EFBF9" w14:textId="77777777" w:rsidR="00A457CE" w:rsidRPr="008F2EB6" w:rsidRDefault="00A457CE" w:rsidP="008F2EB6">
      <w:pPr>
        <w:pStyle w:val="Textonotapie"/>
        <w:jc w:val="both"/>
        <w:rPr>
          <w:rFonts w:ascii="Arial" w:hAnsi="Arial" w:cs="Arial"/>
          <w:sz w:val="14"/>
          <w:szCs w:val="14"/>
        </w:rPr>
      </w:pPr>
      <w:r w:rsidRPr="008F2EB6">
        <w:rPr>
          <w:rFonts w:ascii="Arial" w:hAnsi="Arial" w:cs="Arial"/>
          <w:sz w:val="14"/>
          <w:szCs w:val="14"/>
        </w:rPr>
        <w:t xml:space="preserve">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párrafo 28.</w:t>
      </w:r>
    </w:p>
    <w:p w14:paraId="3F857AA4" w14:textId="77777777" w:rsidR="00A457CE" w:rsidRPr="008F2EB6" w:rsidRDefault="00A457CE" w:rsidP="008F2EB6">
      <w:pPr>
        <w:pStyle w:val="Textonotapie"/>
        <w:jc w:val="both"/>
        <w:rPr>
          <w:rFonts w:ascii="Arial" w:hAnsi="Arial" w:cs="Arial"/>
          <w:sz w:val="14"/>
          <w:szCs w:val="14"/>
        </w:rPr>
      </w:pPr>
      <w:r w:rsidRPr="008F2EB6">
        <w:rPr>
          <w:rFonts w:ascii="Arial" w:hAnsi="Arial" w:cs="Arial"/>
          <w:sz w:val="14"/>
          <w:szCs w:val="14"/>
        </w:rPr>
        <w:t xml:space="preserve">CE (1992). </w:t>
      </w:r>
      <w:r w:rsidRPr="008F2EB6">
        <w:rPr>
          <w:rFonts w:ascii="Arial" w:hAnsi="Arial" w:cs="Arial"/>
          <w:i/>
          <w:sz w:val="14"/>
          <w:szCs w:val="14"/>
        </w:rPr>
        <w:t>Case No IV/M.166 - TORRAS / SARRIO.</w:t>
      </w:r>
      <w:r w:rsidRPr="008F2EB6">
        <w:rPr>
          <w:rFonts w:ascii="Arial" w:hAnsi="Arial" w:cs="Arial"/>
          <w:sz w:val="14"/>
          <w:szCs w:val="14"/>
        </w:rPr>
        <w:t xml:space="preserve"> Disponible en </w:t>
      </w:r>
      <w:hyperlink r:id="rId15" w:history="1">
        <w:r w:rsidRPr="008F2EB6">
          <w:rPr>
            <w:rStyle w:val="Hipervnculo"/>
            <w:rFonts w:ascii="Arial" w:hAnsi="Arial" w:cs="Arial"/>
            <w:sz w:val="14"/>
            <w:szCs w:val="14"/>
          </w:rPr>
          <w:t>https://ec.europa.eu/competition/mergers/cases/decisions/m166_en.pdf</w:t>
        </w:r>
      </w:hyperlink>
      <w:r w:rsidRPr="008F2EB6">
        <w:rPr>
          <w:rFonts w:ascii="Arial" w:hAnsi="Arial" w:cs="Arial"/>
          <w:sz w:val="14"/>
          <w:szCs w:val="14"/>
        </w:rPr>
        <w:t>.</w:t>
      </w:r>
    </w:p>
  </w:footnote>
  <w:footnote w:id="18">
    <w:p w14:paraId="7EBEB0BA"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DOJ y FTC (2010). </w:t>
      </w:r>
      <w:r w:rsidRPr="008F2EB6">
        <w:rPr>
          <w:rFonts w:ascii="Arial" w:hAnsi="Arial" w:cs="Arial"/>
          <w:i/>
          <w:sz w:val="14"/>
          <w:szCs w:val="14"/>
        </w:rPr>
        <w:t>Horizontal Merger Guidelines</w:t>
      </w:r>
      <w:r w:rsidRPr="008F2EB6">
        <w:rPr>
          <w:rFonts w:ascii="Arial" w:hAnsi="Arial" w:cs="Arial"/>
          <w:sz w:val="14"/>
          <w:szCs w:val="14"/>
        </w:rPr>
        <w:t>. p. 7 y 15-16.</w:t>
      </w:r>
    </w:p>
  </w:footnote>
  <w:footnote w:id="19">
    <w:p w14:paraId="53FF9AA0" w14:textId="77777777" w:rsidR="00A457CE" w:rsidRDefault="00A457CE" w:rsidP="008C105D">
      <w:pPr>
        <w:pStyle w:val="Textonotapie"/>
        <w:jc w:val="both"/>
      </w:pPr>
      <w:r w:rsidRPr="000310A5">
        <w:rPr>
          <w:rStyle w:val="Refdenotaalpie"/>
          <w:rFonts w:ascii="Arial" w:hAnsi="Arial" w:cs="Arial"/>
          <w:sz w:val="14"/>
          <w:szCs w:val="14"/>
        </w:rPr>
        <w:footnoteRef/>
      </w:r>
      <w:r w:rsidRPr="000310A5">
        <w:rPr>
          <w:rStyle w:val="Refdenotaalpie"/>
          <w:rFonts w:ascii="Arial" w:hAnsi="Arial" w:cs="Arial"/>
          <w:sz w:val="14"/>
          <w:szCs w:val="14"/>
          <w:lang w:val="en-US"/>
        </w:rPr>
        <w:t xml:space="preserve"> </w:t>
      </w:r>
      <w:r w:rsidRPr="000310A5">
        <w:rPr>
          <w:rFonts w:ascii="Arial" w:hAnsi="Arial" w:cs="Arial"/>
          <w:sz w:val="14"/>
          <w:szCs w:val="14"/>
          <w:lang w:val="en-US"/>
        </w:rPr>
        <w:t>Ver CMA/OFT (2004). Market definition, Understanding competition law. p.</w:t>
      </w:r>
      <w:r>
        <w:rPr>
          <w:rFonts w:ascii="Arial" w:hAnsi="Arial" w:cs="Arial"/>
          <w:sz w:val="14"/>
          <w:szCs w:val="14"/>
          <w:lang w:val="en-US"/>
        </w:rPr>
        <w:t xml:space="preserve"> 13</w:t>
      </w:r>
      <w:r w:rsidRPr="000310A5">
        <w:rPr>
          <w:rFonts w:ascii="Arial" w:hAnsi="Arial" w:cs="Arial"/>
          <w:sz w:val="14"/>
          <w:szCs w:val="14"/>
          <w:lang w:val="en-US"/>
        </w:rPr>
        <w:t xml:space="preserve">. </w:t>
      </w:r>
      <w:r w:rsidRPr="000310A5">
        <w:rPr>
          <w:rFonts w:ascii="Arial" w:hAnsi="Arial" w:cs="Arial"/>
          <w:sz w:val="14"/>
          <w:szCs w:val="14"/>
        </w:rPr>
        <w:t>Disponible en: https://assets.publishing.service.gov.uk/government/uploads/system/uploads/attachment_data/file/284423/oft403.pdf</w:t>
      </w:r>
    </w:p>
  </w:footnote>
  <w:footnote w:id="20">
    <w:p w14:paraId="748ED6E3"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Esto es, la existencia de competencia potencial se tomará en cuenta, una vez definido el MR, al analizar si uno o varios AE en conjunto, tienen poder sustancial, o bien, para resolver sobre condiciones de competencia, competencia efectiva, existencia de poder sustancial en el MR u otras cuestiones relativas al proceso de competencia o libre concurrencia conforme al artículo 59 de la LFCE.</w:t>
      </w:r>
    </w:p>
  </w:footnote>
  <w:footnote w:id="21">
    <w:p w14:paraId="26D6C478" w14:textId="77777777" w:rsidR="00A457CE" w:rsidRPr="008F2EB6" w:rsidRDefault="00A457CE" w:rsidP="008F2EB6">
      <w:pPr>
        <w:pStyle w:val="Textonotapie"/>
        <w:jc w:val="both"/>
        <w:rPr>
          <w:rFonts w:ascii="Arial" w:hAnsi="Arial" w:cs="Arial"/>
          <w:i/>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La Prueba SSNIP consiste en analizar si para un monopolista hipotético sería rentable hacer pequeños pero significativos incrementos en los precios de manera no transitoria. Véase la sección 5.3.3.1. para mayor detalle respecto a la Prueba SSNIP.</w:t>
      </w:r>
      <w:r w:rsidRPr="008F2EB6">
        <w:rPr>
          <w:rFonts w:ascii="Arial" w:hAnsi="Arial" w:cs="Arial"/>
          <w:i/>
          <w:sz w:val="14"/>
          <w:szCs w:val="14"/>
        </w:rPr>
        <w:t xml:space="preserve"> </w:t>
      </w:r>
    </w:p>
    <w:p w14:paraId="183BE8C4" w14:textId="77777777" w:rsidR="00A457CE" w:rsidRPr="008F2EB6" w:rsidRDefault="00A457CE" w:rsidP="008F2EB6">
      <w:pPr>
        <w:pStyle w:val="Textonotapie"/>
        <w:jc w:val="both"/>
        <w:rPr>
          <w:rFonts w:ascii="Arial" w:hAnsi="Arial" w:cs="Arial"/>
          <w:sz w:val="14"/>
          <w:szCs w:val="14"/>
        </w:rPr>
      </w:pPr>
      <w:r w:rsidRPr="008F2EB6">
        <w:rPr>
          <w:rFonts w:ascii="Arial" w:hAnsi="Arial" w:cs="Arial"/>
          <w:sz w:val="14"/>
          <w:szCs w:val="14"/>
        </w:rPr>
        <w:t xml:space="preserve">Se ha desarrollado, aunque rara vez se ha aplicado, una alternativa a la Prueba SSNIP adaptada a la variable calidad, denominada prueba de pequeños pero significativos no transitorios decrementos en la calidad o SSNDQ (por sus siglas en inglés </w:t>
      </w:r>
      <w:r w:rsidRPr="008F2EB6">
        <w:rPr>
          <w:rFonts w:ascii="Arial" w:hAnsi="Arial" w:cs="Arial"/>
          <w:i/>
          <w:sz w:val="14"/>
          <w:szCs w:val="14"/>
        </w:rPr>
        <w:t>Small-butsignificant non-transitory decrease in quality test).</w:t>
      </w:r>
      <w:r w:rsidRPr="008F2EB6">
        <w:rPr>
          <w:rFonts w:ascii="Arial" w:hAnsi="Arial" w:cs="Arial"/>
          <w:sz w:val="14"/>
          <w:szCs w:val="14"/>
        </w:rPr>
        <w:t xml:space="preserve"> </w:t>
      </w:r>
      <w:r w:rsidRPr="008F2EB6">
        <w:rPr>
          <w:rFonts w:ascii="Arial" w:hAnsi="Arial" w:cs="Arial"/>
          <w:sz w:val="14"/>
          <w:szCs w:val="14"/>
          <w:lang w:val="en-US"/>
        </w:rPr>
        <w:t xml:space="preserve">Ver OCDE (2018). </w:t>
      </w:r>
      <w:r w:rsidRPr="008F2EB6">
        <w:rPr>
          <w:rFonts w:ascii="Arial" w:hAnsi="Arial" w:cs="Arial"/>
          <w:i/>
          <w:sz w:val="14"/>
          <w:szCs w:val="14"/>
          <w:lang w:val="en-US"/>
        </w:rPr>
        <w:t>Quality considerations in digital zero-price markets</w:t>
      </w:r>
      <w:r w:rsidRPr="008F2EB6">
        <w:rPr>
          <w:rFonts w:ascii="Arial" w:hAnsi="Arial" w:cs="Arial"/>
          <w:sz w:val="14"/>
          <w:szCs w:val="14"/>
          <w:lang w:val="en-US"/>
        </w:rPr>
        <w:t xml:space="preserve">. </w:t>
      </w:r>
      <w:r w:rsidRPr="008F2EB6">
        <w:rPr>
          <w:rFonts w:ascii="Arial" w:hAnsi="Arial" w:cs="Arial"/>
          <w:i/>
          <w:sz w:val="14"/>
          <w:szCs w:val="14"/>
          <w:lang w:val="en-US"/>
        </w:rPr>
        <w:t>Background note by the Secretariat</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6" w:history="1">
        <w:r w:rsidRPr="008F2EB6">
          <w:rPr>
            <w:rStyle w:val="Hipervnculo"/>
            <w:rFonts w:ascii="Arial" w:hAnsi="Arial" w:cs="Arial"/>
            <w:sz w:val="14"/>
            <w:szCs w:val="14"/>
          </w:rPr>
          <w:t>https://one.oecd.org/document/DAF/COMP(2018)14/en/pdf</w:t>
        </w:r>
      </w:hyperlink>
    </w:p>
  </w:footnote>
  <w:footnote w:id="22">
    <w:p w14:paraId="4D5D7162"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(2012). </w:t>
      </w:r>
      <w:r w:rsidRPr="008F2EB6">
        <w:rPr>
          <w:rFonts w:ascii="Arial" w:hAnsi="Arial" w:cs="Arial"/>
          <w:i/>
          <w:sz w:val="14"/>
          <w:szCs w:val="14"/>
          <w:lang w:val="en-US"/>
        </w:rPr>
        <w:t>Market Definition</w:t>
      </w:r>
      <w:r w:rsidRPr="008F2EB6">
        <w:rPr>
          <w:rFonts w:ascii="Arial" w:hAnsi="Arial" w:cs="Arial"/>
          <w:sz w:val="14"/>
          <w:szCs w:val="14"/>
          <w:lang w:val="en-US"/>
        </w:rPr>
        <w:t xml:space="preserve">.; DOJ y FTC (2010). </w:t>
      </w:r>
      <w:r w:rsidRPr="008F2EB6">
        <w:rPr>
          <w:rFonts w:ascii="Arial" w:hAnsi="Arial" w:cs="Arial"/>
          <w:i/>
          <w:sz w:val="14"/>
          <w:szCs w:val="14"/>
        </w:rPr>
        <w:t>Horizontal Merger Guidelines</w:t>
      </w:r>
      <w:r w:rsidRPr="008F2EB6">
        <w:rPr>
          <w:rFonts w:ascii="Arial" w:hAnsi="Arial" w:cs="Arial"/>
          <w:sz w:val="14"/>
          <w:szCs w:val="14"/>
        </w:rPr>
        <w:t>; y OCDE (2016).</w:t>
      </w:r>
      <w:r w:rsidRPr="008F2EB6">
        <w:rPr>
          <w:rFonts w:ascii="Arial" w:hAnsi="Arial" w:cs="Arial"/>
          <w:i/>
          <w:sz w:val="14"/>
          <w:szCs w:val="14"/>
        </w:rPr>
        <w:t xml:space="preserve"> Exámenes de mercado en México: Un manual del secretariado de la OCDE</w:t>
      </w:r>
      <w:r w:rsidRPr="008F2EB6">
        <w:rPr>
          <w:rFonts w:ascii="Arial" w:hAnsi="Arial" w:cs="Arial"/>
          <w:sz w:val="14"/>
          <w:szCs w:val="14"/>
        </w:rPr>
        <w:t xml:space="preserve">. </w:t>
      </w:r>
      <w:r w:rsidRPr="008F2EB6">
        <w:rPr>
          <w:rFonts w:ascii="Arial" w:hAnsi="Arial" w:cs="Arial"/>
          <w:sz w:val="14"/>
          <w:szCs w:val="14"/>
          <w:lang w:val="fr-FR"/>
        </w:rPr>
        <w:t xml:space="preserve">Disponible en: </w:t>
      </w:r>
      <w:hyperlink r:id="rId17" w:history="1">
        <w:r w:rsidRPr="008F2EB6">
          <w:rPr>
            <w:rStyle w:val="Hipervnculo"/>
            <w:rFonts w:ascii="Arial" w:hAnsi="Arial" w:cs="Arial"/>
            <w:sz w:val="14"/>
            <w:szCs w:val="14"/>
            <w:lang w:val="fr-FR"/>
          </w:rPr>
          <w:t>http://www.oecd.org/daf/competition/Examenes-de-mercado-en-Mexico-Manual-2016.pdf</w:t>
        </w:r>
      </w:hyperlink>
    </w:p>
  </w:footnote>
  <w:footnote w:id="23">
    <w:p w14:paraId="504DAC6B" w14:textId="1E66A9FA"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SCJN (2016). </w:t>
      </w:r>
      <w:r w:rsidRPr="008F2EB6">
        <w:rPr>
          <w:rFonts w:ascii="Arial" w:hAnsi="Arial" w:cs="Arial"/>
          <w:b/>
          <w:i/>
          <w:sz w:val="14"/>
          <w:szCs w:val="14"/>
        </w:rPr>
        <w:t>MERCADO RELEVANTE. CARACTERÍSTICAS Y UTILIDAD DE LA PRUEBA DE ELASTICIDAD CRUZADA DE LA DEMANDA Y DE LA OFERTA PARA DETERMINARLO</w:t>
      </w:r>
      <w:r w:rsidRPr="008F2EB6">
        <w:rPr>
          <w:rFonts w:ascii="Arial" w:hAnsi="Arial" w:cs="Arial"/>
          <w:i/>
          <w:sz w:val="14"/>
          <w:szCs w:val="14"/>
        </w:rPr>
        <w:t>.</w:t>
      </w:r>
      <w:r w:rsidRPr="008F2EB6">
        <w:rPr>
          <w:rFonts w:ascii="Arial" w:hAnsi="Arial" w:cs="Arial"/>
          <w:sz w:val="14"/>
          <w:szCs w:val="14"/>
        </w:rPr>
        <w:t xml:space="preserve"> Tesis: I.1o.A.E.121 A (10a.). Gaceta del Semanario Judicial de la Federación, Décima Época, Tribunales Colegiados de Circuito. Libro 27, Febrero de 2016, Tomo III. Pag. 2097. Disponible en </w:t>
      </w:r>
      <w:hyperlink r:id="rId18" w:history="1">
        <w:r w:rsidRPr="00DB7A42">
          <w:rPr>
            <w:rStyle w:val="Hipervnculo"/>
            <w:rFonts w:ascii="Arial" w:hAnsi="Arial" w:cs="Arial"/>
            <w:sz w:val="14"/>
            <w:szCs w:val="14"/>
          </w:rPr>
          <w:t>https://www.scjn.gob.mx/sites/default/files/gaceta/documentos/tomos/2016-12/libro27t3.pdf</w:t>
        </w:r>
      </w:hyperlink>
    </w:p>
  </w:footnote>
  <w:footnote w:id="24">
    <w:p w14:paraId="133C8A5D" w14:textId="77777777" w:rsidR="00A457CE" w:rsidRPr="000630E5"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0630E5">
        <w:rPr>
          <w:rFonts w:ascii="Arial" w:hAnsi="Arial" w:cs="Arial"/>
          <w:sz w:val="14"/>
          <w:szCs w:val="14"/>
        </w:rPr>
        <w:t xml:space="preserve"> Ver:</w:t>
      </w:r>
    </w:p>
    <w:p w14:paraId="1494DE71"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ICN (2006), </w:t>
      </w:r>
      <w:r w:rsidRPr="008F2EB6">
        <w:rPr>
          <w:rFonts w:ascii="Arial" w:hAnsi="Arial" w:cs="Arial"/>
          <w:i/>
          <w:sz w:val="14"/>
          <w:szCs w:val="14"/>
          <w:lang w:val="en-US"/>
        </w:rPr>
        <w:t>ICN Merger Guidelines Workbook</w:t>
      </w:r>
      <w:r w:rsidRPr="008F2EB6">
        <w:rPr>
          <w:rFonts w:ascii="Arial" w:hAnsi="Arial" w:cs="Arial"/>
          <w:sz w:val="14"/>
          <w:szCs w:val="14"/>
          <w:lang w:val="en-US"/>
        </w:rPr>
        <w:t>. p. 20; CE (1997).</w:t>
      </w:r>
    </w:p>
    <w:p w14:paraId="2E26418F"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i/>
          <w:sz w:val="14"/>
          <w:szCs w:val="14"/>
        </w:rPr>
        <w:t>COMUNICACIÓN DE LA COMISIÓN relativa a la definición de mercado de referencia a efectos de la normativa comunitaria en materia de competencia.</w:t>
      </w:r>
      <w:r w:rsidRPr="008F2EB6">
        <w:rPr>
          <w:rFonts w:ascii="Arial" w:hAnsi="Arial" w:cs="Arial"/>
          <w:sz w:val="14"/>
          <w:szCs w:val="14"/>
        </w:rPr>
        <w:t xml:space="preserve"> p. 7;</w:t>
      </w:r>
    </w:p>
    <w:p w14:paraId="0CADE0BF"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DOJ y FTC (2010). </w:t>
      </w:r>
      <w:r w:rsidRPr="008F2EB6">
        <w:rPr>
          <w:rFonts w:ascii="Arial" w:hAnsi="Arial" w:cs="Arial"/>
          <w:i/>
          <w:sz w:val="14"/>
          <w:szCs w:val="14"/>
        </w:rPr>
        <w:t xml:space="preserve">Horizontal Merger Guidelines. </w:t>
      </w:r>
      <w:r w:rsidRPr="008F2EB6">
        <w:rPr>
          <w:rFonts w:ascii="Arial" w:hAnsi="Arial" w:cs="Arial"/>
          <w:sz w:val="14"/>
          <w:szCs w:val="14"/>
        </w:rPr>
        <w:t>pp. 10 y 12;</w:t>
      </w:r>
    </w:p>
    <w:p w14:paraId="0593B20B"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rPr>
        <w:t xml:space="preserve">ACCC (2008). </w:t>
      </w:r>
      <w:r w:rsidRPr="008F2EB6">
        <w:rPr>
          <w:rFonts w:ascii="Arial" w:hAnsi="Arial" w:cs="Arial"/>
          <w:i/>
          <w:sz w:val="14"/>
          <w:szCs w:val="14"/>
        </w:rPr>
        <w:t xml:space="preserve">Merger Guidelines </w:t>
      </w:r>
      <w:r w:rsidRPr="008F2EB6">
        <w:rPr>
          <w:rFonts w:ascii="Arial" w:hAnsi="Arial" w:cs="Arial"/>
          <w:color w:val="000000"/>
          <w:sz w:val="14"/>
          <w:szCs w:val="14"/>
          <w:shd w:val="clear" w:color="auto" w:fill="FFFFFF"/>
        </w:rPr>
        <w:t>(actualización 2017). p.16;</w:t>
      </w:r>
    </w:p>
    <w:p w14:paraId="0E21FB62"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color w:val="000000"/>
          <w:sz w:val="14"/>
          <w:szCs w:val="14"/>
          <w:shd w:val="clear" w:color="auto" w:fill="FFFFFF"/>
          <w:lang w:val="en-US"/>
        </w:rPr>
        <w:t>CMA/</w:t>
      </w:r>
      <w:r w:rsidRPr="008F2EB6">
        <w:rPr>
          <w:rFonts w:ascii="Arial" w:hAnsi="Arial" w:cs="Arial"/>
          <w:sz w:val="14"/>
          <w:szCs w:val="14"/>
          <w:lang w:val="en-GB"/>
        </w:rPr>
        <w:t xml:space="preserve">OFT (2004). </w:t>
      </w:r>
      <w:r w:rsidRPr="008F2EB6">
        <w:rPr>
          <w:rFonts w:ascii="Arial" w:hAnsi="Arial" w:cs="Arial"/>
          <w:i/>
          <w:sz w:val="14"/>
          <w:szCs w:val="14"/>
          <w:lang w:val="en-US"/>
        </w:rPr>
        <w:t>Market definition, Understanding competition law.</w:t>
      </w:r>
      <w:r w:rsidRPr="008F2EB6">
        <w:rPr>
          <w:rFonts w:ascii="Arial" w:hAnsi="Arial" w:cs="Arial"/>
          <w:sz w:val="14"/>
          <w:szCs w:val="14"/>
          <w:lang w:val="en-US"/>
        </w:rPr>
        <w:t xml:space="preserve"> p. 4, y </w:t>
      </w:r>
      <w:r w:rsidRPr="008F2EB6">
        <w:rPr>
          <w:rFonts w:ascii="Arial" w:hAnsi="Arial" w:cs="Arial"/>
          <w:sz w:val="14"/>
          <w:szCs w:val="14"/>
          <w:lang w:val="en-GB"/>
        </w:rPr>
        <w:t xml:space="preserve">CBC (2011). </w:t>
      </w:r>
      <w:r w:rsidRPr="008F2EB6">
        <w:rPr>
          <w:rFonts w:ascii="Arial" w:hAnsi="Arial" w:cs="Arial"/>
          <w:i/>
          <w:sz w:val="14"/>
          <w:szCs w:val="14"/>
          <w:lang w:val="fr-FR"/>
        </w:rPr>
        <w:t>Merger Enforcement Guidelines</w:t>
      </w:r>
      <w:r w:rsidRPr="008F2EB6">
        <w:rPr>
          <w:rFonts w:ascii="Arial" w:hAnsi="Arial" w:cs="Arial"/>
          <w:sz w:val="14"/>
          <w:szCs w:val="14"/>
          <w:lang w:val="fr-FR"/>
        </w:rPr>
        <w:t>. p. 13.</w:t>
      </w:r>
    </w:p>
    <w:p w14:paraId="48B59899"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fr-FR"/>
        </w:rPr>
        <w:t xml:space="preserve">CBC (2011). </w:t>
      </w:r>
      <w:r w:rsidRPr="008F2EB6">
        <w:rPr>
          <w:rFonts w:ascii="Arial" w:hAnsi="Arial" w:cs="Arial"/>
          <w:i/>
          <w:sz w:val="14"/>
          <w:szCs w:val="14"/>
          <w:lang w:val="fr-FR"/>
        </w:rPr>
        <w:t xml:space="preserve">Merger Enforcement Guidelines. </w:t>
      </w:r>
      <w:r w:rsidRPr="008F2EB6">
        <w:rPr>
          <w:rFonts w:ascii="Arial" w:hAnsi="Arial" w:cs="Arial"/>
          <w:sz w:val="14"/>
          <w:szCs w:val="14"/>
          <w:lang w:val="fr-FR"/>
        </w:rPr>
        <w:t>pp. 10 y 13.</w:t>
      </w:r>
    </w:p>
    <w:p w14:paraId="79ABEFAF"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rPr>
        <w:t xml:space="preserve">Instituto (2020). </w:t>
      </w:r>
      <w:r w:rsidRPr="008F2EB6">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F2EB6">
        <w:rPr>
          <w:rFonts w:ascii="Arial" w:hAnsi="Arial" w:cs="Arial"/>
          <w:sz w:val="14"/>
          <w:szCs w:val="14"/>
        </w:rPr>
        <w:t xml:space="preserve">. Acuerdo P/IFT/181120/436. Disponible en: </w:t>
      </w:r>
      <w:hyperlink r:id="rId19" w:history="1">
        <w:r w:rsidRPr="008F2EB6">
          <w:rPr>
            <w:rStyle w:val="Hipervnculo"/>
            <w:rFonts w:ascii="Arial" w:hAnsi="Arial" w:cs="Arial"/>
            <w:sz w:val="14"/>
            <w:szCs w:val="14"/>
          </w:rPr>
          <w:t>http://www.ift.org.mx/sites/default/files/conocenos/pleno/sesiones/acuerdoliga/vp181120436.pdf</w:t>
        </w:r>
      </w:hyperlink>
    </w:p>
  </w:footnote>
  <w:footnote w:id="25">
    <w:p w14:paraId="5416FF10"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1143F7A2"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Instituto (2015).</w:t>
      </w:r>
      <w:r w:rsidRPr="008F2EB6">
        <w:rPr>
          <w:rFonts w:ascii="Arial" w:hAnsi="Arial" w:cs="Arial"/>
          <w:i/>
          <w:sz w:val="14"/>
          <w:szCs w:val="14"/>
        </w:rPr>
        <w:t xml:space="preserve"> RESOLUCIÓN MEDIANTE LA CUAL EL PLENO DEL INSTITUTO FEDERAL DE TELECOMUNICACIONES AUTORIZA QUE SE REALICE LA CONCENTRACIÓN RADICADA BAJO EL EXPEDIENTE NO. UCE/CNC-002-2015, NOTIFICADA POR NOKIA CORPORATION Y ALCATEL-LUCENT</w:t>
      </w:r>
      <w:r w:rsidRPr="008F2EB6">
        <w:rPr>
          <w:rFonts w:ascii="Arial" w:hAnsi="Arial" w:cs="Arial"/>
          <w:sz w:val="14"/>
          <w:szCs w:val="14"/>
        </w:rPr>
        <w:t xml:space="preserve">. Acuerdo P/IFT/201015/152. pp. 23-26. Disponible en: </w:t>
      </w:r>
      <w:hyperlink r:id="rId20" w:history="1">
        <w:r w:rsidRPr="008F2EB6">
          <w:rPr>
            <w:rStyle w:val="Hipervnculo"/>
            <w:rFonts w:ascii="Arial" w:hAnsi="Arial" w:cs="Arial"/>
            <w:sz w:val="14"/>
            <w:szCs w:val="14"/>
          </w:rPr>
          <w:t>http://apps.ift.org.mx/publicdata/Version_Publica_UCE_P_IFT_EXT_201015_152.pdf</w:t>
        </w:r>
      </w:hyperlink>
      <w:r w:rsidRPr="008F2EB6">
        <w:rPr>
          <w:rStyle w:val="Hipervnculo"/>
          <w:rFonts w:ascii="Arial" w:hAnsi="Arial" w:cs="Arial"/>
          <w:sz w:val="14"/>
          <w:szCs w:val="14"/>
        </w:rPr>
        <w:t>.</w:t>
      </w:r>
    </w:p>
    <w:p w14:paraId="777FCE20"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(2017). Acuerdo </w:t>
      </w:r>
      <w:r w:rsidRPr="008F2EB6">
        <w:rPr>
          <w:rFonts w:ascii="Arial" w:hAnsi="Arial" w:cs="Arial"/>
          <w:color w:val="000000"/>
          <w:sz w:val="14"/>
          <w:szCs w:val="14"/>
          <w:shd w:val="clear" w:color="auto" w:fill="FFFFFF"/>
        </w:rPr>
        <w:t>P/IFT/260617/356</w:t>
      </w:r>
      <w:r w:rsidRPr="008F2EB6">
        <w:rPr>
          <w:rFonts w:ascii="Arial" w:hAnsi="Arial" w:cs="Arial"/>
          <w:b/>
          <w:color w:val="000000"/>
          <w:sz w:val="14"/>
          <w:szCs w:val="14"/>
          <w:shd w:val="clear" w:color="auto" w:fill="FFFFFF"/>
        </w:rPr>
        <w:t>.</w:t>
      </w:r>
      <w:r w:rsidRPr="008F2EB6">
        <w:rPr>
          <w:rFonts w:ascii="Arial" w:hAnsi="Arial" w:cs="Arial"/>
          <w:color w:val="000000"/>
          <w:sz w:val="14"/>
          <w:szCs w:val="14"/>
          <w:shd w:val="clear" w:color="auto" w:fill="FFFFFF"/>
        </w:rPr>
        <w:t xml:space="preserve"> p. 228.</w:t>
      </w:r>
      <w:r w:rsidRPr="008F2EB6">
        <w:rPr>
          <w:rFonts w:ascii="Arial" w:hAnsi="Arial" w:cs="Arial"/>
          <w:b/>
          <w:color w:val="000000"/>
          <w:sz w:val="14"/>
          <w:szCs w:val="14"/>
          <w:shd w:val="clear" w:color="auto" w:fill="FFFFFF"/>
        </w:rPr>
        <w:t xml:space="preserve"> </w:t>
      </w:r>
      <w:r w:rsidRPr="008F2EB6">
        <w:rPr>
          <w:rFonts w:ascii="Arial" w:hAnsi="Arial" w:cs="Arial"/>
          <w:sz w:val="14"/>
          <w:szCs w:val="14"/>
        </w:rPr>
        <w:t>Disponible en:</w:t>
      </w:r>
      <w:r w:rsidRPr="008F2EB6" w:rsidDel="003A64E7">
        <w:rPr>
          <w:rFonts w:ascii="Arial" w:hAnsi="Arial" w:cs="Arial"/>
          <w:sz w:val="14"/>
          <w:szCs w:val="14"/>
        </w:rPr>
        <w:t xml:space="preserve"> </w:t>
      </w:r>
      <w:hyperlink r:id="rId21" w:history="1">
        <w:r w:rsidRPr="008F2EB6">
          <w:rPr>
            <w:rStyle w:val="Hipervnculo"/>
            <w:rFonts w:ascii="Arial" w:hAnsi="Arial" w:cs="Arial"/>
            <w:sz w:val="14"/>
            <w:szCs w:val="14"/>
          </w:rPr>
          <w:t>http://apps.ift.org.mx/publicdata/VP_P_IFT_260617_356.pdf</w:t>
        </w:r>
      </w:hyperlink>
      <w:r w:rsidRPr="008F2EB6">
        <w:rPr>
          <w:rStyle w:val="Hipervnculo"/>
          <w:rFonts w:ascii="Arial" w:hAnsi="Arial" w:cs="Arial"/>
          <w:sz w:val="14"/>
          <w:szCs w:val="14"/>
        </w:rPr>
        <w:t>.</w:t>
      </w:r>
    </w:p>
    <w:p w14:paraId="7D139E61"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(2015). </w:t>
      </w:r>
      <w:r w:rsidRPr="008F2EB6">
        <w:rPr>
          <w:rFonts w:ascii="Arial" w:hAnsi="Arial" w:cs="Arial"/>
          <w:i/>
          <w:sz w:val="14"/>
          <w:szCs w:val="14"/>
        </w:rPr>
        <w:t xml:space="preserve">RESOLUCIÓN MEDIANTE LA CUAL EL PLENO DEL INSTITUTO FEDERAL DE TELECOMUNICACIONES AUTORIZA QUE SE REALICE LA CONCENTRACIÓN RADICADA BAJO EL EXPEDIENTE NO. </w:t>
      </w:r>
      <w:r w:rsidRPr="008F2EB6">
        <w:rPr>
          <w:rFonts w:ascii="Arial" w:hAnsi="Arial" w:cs="Arial"/>
          <w:i/>
          <w:sz w:val="14"/>
          <w:szCs w:val="14"/>
          <w:lang w:val="en-US"/>
        </w:rPr>
        <w:t xml:space="preserve">UCE/CNC-001-2015, NOTIFICADA POR AT&amp;T, INC. Y NII HOLDINGS, INC. </w:t>
      </w:r>
      <w:r w:rsidRPr="008F2EB6">
        <w:rPr>
          <w:rFonts w:ascii="Arial" w:hAnsi="Arial" w:cs="Arial"/>
          <w:sz w:val="14"/>
          <w:szCs w:val="14"/>
        </w:rPr>
        <w:t xml:space="preserve">Acuerdo P/IFT/EXT/290415/86. Disponible en: </w:t>
      </w:r>
      <w:hyperlink r:id="rId22" w:history="1">
        <w:r w:rsidRPr="008F2EB6">
          <w:rPr>
            <w:rStyle w:val="Hipervnculo"/>
            <w:rFonts w:ascii="Arial" w:hAnsi="Arial" w:cs="Arial"/>
            <w:sz w:val="14"/>
            <w:szCs w:val="14"/>
          </w:rPr>
          <w:t>http://apps.ift.org.mx/publicdata/VP2_P_IFT_EXT_290415_86.pdf</w:t>
        </w:r>
      </w:hyperlink>
    </w:p>
    <w:p w14:paraId="74AFD9B5"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(2013). </w:t>
      </w:r>
      <w:r w:rsidRPr="008F2EB6">
        <w:rPr>
          <w:rFonts w:ascii="Arial" w:hAnsi="Arial" w:cs="Arial"/>
          <w:i/>
          <w:caps/>
          <w:sz w:val="14"/>
          <w:szCs w:val="14"/>
        </w:rPr>
        <w:t>Resolución mediante la cual el Pleno del Instituto Federal de Telecomunicaciones autoriza que se realice la concentración radicada bajo el expediente No. E-IFT/DGCCC/CNC/0002/2013, notificada por Satmex International CoÖperatieve U.A., Intenal Mexicana, S.A.P.I. de C.V., Alejandro SÁinz Orantes, Centerbridge Capital Partners SBS (Cayman), L.P., Eja Holdings LTD, Satmex International B.V., Holdsat México, S.A.P.I. de C.V., Satélites Mexicanos, S.A. de C.V. y Eutelsat, S.A.</w:t>
      </w:r>
      <w:r w:rsidRPr="008F2EB6">
        <w:rPr>
          <w:rFonts w:ascii="Arial" w:hAnsi="Arial" w:cs="Arial"/>
          <w:sz w:val="14"/>
          <w:szCs w:val="14"/>
        </w:rPr>
        <w:t xml:space="preserve"> Acuerdo P/IFT/271113/20. Disponible en: </w:t>
      </w:r>
      <w:hyperlink r:id="rId23" w:history="1">
        <w:r w:rsidRPr="008F2EB6">
          <w:rPr>
            <w:rStyle w:val="Hipervnculo"/>
            <w:rFonts w:ascii="Arial" w:hAnsi="Arial" w:cs="Arial"/>
            <w:sz w:val="14"/>
            <w:szCs w:val="14"/>
          </w:rPr>
          <w:t>http://apps.ift.org.mx/publicdata/P_IFT_271113_20_Version_Publica_Hoja.pdf</w:t>
        </w:r>
      </w:hyperlink>
    </w:p>
    <w:p w14:paraId="193FF94E"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(2017).</w:t>
      </w:r>
      <w:r w:rsidRPr="008F2EB6">
        <w:rPr>
          <w:rFonts w:ascii="Arial" w:hAnsi="Arial" w:cs="Arial"/>
          <w:b/>
          <w:bCs/>
          <w:sz w:val="14"/>
          <w:szCs w:val="14"/>
        </w:rPr>
        <w:t xml:space="preserve"> </w:t>
      </w:r>
      <w:r w:rsidRPr="008F2EB6">
        <w:rPr>
          <w:rFonts w:ascii="Arial" w:hAnsi="Arial" w:cs="Arial"/>
          <w:i/>
          <w:sz w:val="14"/>
          <w:szCs w:val="14"/>
        </w:rPr>
        <w:t xml:space="preserve">RESOLUCIÓN MEDIANTE LA CUAL EL PLENO DEL INSTITUTO FEDERAL DE TELECOMUNICACIONES AUTORIZA LLEVAR A CABO LA CONCENTRACIÓN RADICADA BAJO EL EXPEDIENTE NO. </w:t>
      </w:r>
      <w:r w:rsidRPr="008F2EB6">
        <w:rPr>
          <w:rFonts w:ascii="Arial" w:hAnsi="Arial" w:cs="Arial"/>
          <w:i/>
          <w:sz w:val="14"/>
          <w:szCs w:val="14"/>
          <w:lang w:val="en-US"/>
        </w:rPr>
        <w:t xml:space="preserve">UCE/CNC-004-2016, NOTIFICADA POR AT&amp;T INC., WEST MERGER SUB INC. </w:t>
      </w:r>
      <w:r w:rsidRPr="008F2EB6">
        <w:rPr>
          <w:rFonts w:ascii="Arial" w:hAnsi="Arial" w:cs="Arial"/>
          <w:i/>
          <w:sz w:val="14"/>
          <w:szCs w:val="14"/>
        </w:rPr>
        <w:t>Y TIME WARNER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P/IFT/150817/487. D</w:t>
      </w:r>
      <w:r w:rsidRPr="008F2EB6">
        <w:rPr>
          <w:rFonts w:ascii="Arial" w:hAnsi="Arial" w:cs="Arial"/>
          <w:sz w:val="14"/>
          <w:szCs w:val="14"/>
        </w:rPr>
        <w:t xml:space="preserve">isponible en: </w:t>
      </w:r>
      <w:hyperlink r:id="rId24" w:history="1">
        <w:r w:rsidRPr="008F2EB6">
          <w:rPr>
            <w:rStyle w:val="Hipervnculo"/>
            <w:rFonts w:ascii="Arial" w:hAnsi="Arial" w:cs="Arial"/>
            <w:sz w:val="14"/>
            <w:szCs w:val="14"/>
          </w:rPr>
          <w:t>http://apps.ift.org.mx/publicdata/VP_P_IFT_150817_487.pdf</w:t>
        </w:r>
      </w:hyperlink>
    </w:p>
    <w:p w14:paraId="464BE540"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(2019). </w:t>
      </w:r>
      <w:r w:rsidRPr="008F2EB6">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P/IFT/110319/122. D</w:t>
      </w:r>
      <w:r w:rsidRPr="008F2EB6">
        <w:rPr>
          <w:rFonts w:ascii="Arial" w:hAnsi="Arial" w:cs="Arial"/>
          <w:sz w:val="14"/>
          <w:szCs w:val="14"/>
        </w:rPr>
        <w:t xml:space="preserve">isponible en: </w:t>
      </w:r>
      <w:hyperlink r:id="rId25" w:history="1">
        <w:r w:rsidRPr="008F2EB6">
          <w:rPr>
            <w:rStyle w:val="Hipervnculo"/>
            <w:rFonts w:ascii="Arial" w:hAnsi="Arial" w:cs="Arial"/>
            <w:sz w:val="14"/>
            <w:szCs w:val="14"/>
          </w:rPr>
          <w:t>http://www.ift.org.mx/sites/default/files/conocenos/pleno/sesiones/acuerdoliga/verpubpift110319122canxuce.pdf</w:t>
        </w:r>
      </w:hyperlink>
    </w:p>
    <w:p w14:paraId="68A69FC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(2015). </w:t>
      </w:r>
      <w:r w:rsidRPr="008F2EB6">
        <w:rPr>
          <w:rFonts w:ascii="Arial" w:hAnsi="Arial" w:cs="Arial"/>
          <w:i/>
          <w:sz w:val="14"/>
          <w:szCs w:val="14"/>
        </w:rPr>
        <w:t xml:space="preserve">RESOLUCIÓN MEDIANTE LA CUAL EL PLENO DEL INSTITUTO FEDERAL DE TELECOMUNICACIONES AUTORIZA QUE SE REALICE LA CONCENTRACIÓN RADICADA BAJO EL EXPEDIENTE NO. </w:t>
      </w:r>
      <w:r w:rsidRPr="008F2EB6">
        <w:rPr>
          <w:rFonts w:ascii="Arial" w:hAnsi="Arial" w:cs="Arial"/>
          <w:i/>
          <w:sz w:val="14"/>
          <w:szCs w:val="14"/>
          <w:lang w:val="en-US"/>
        </w:rPr>
        <w:t xml:space="preserve">UCE/CNC-001-2015, NOTIFICADA POR AT&amp;T, INC. Y NII HOLDINGS, INC. </w:t>
      </w:r>
      <w:r w:rsidRPr="008F2EB6">
        <w:rPr>
          <w:rFonts w:ascii="Arial" w:hAnsi="Arial" w:cs="Arial"/>
          <w:sz w:val="14"/>
          <w:szCs w:val="14"/>
        </w:rPr>
        <w:t xml:space="preserve">Acuerdo P/IFT/EXT/290415/86. </w:t>
      </w:r>
    </w:p>
    <w:p w14:paraId="5B4C020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(2017). </w:t>
      </w:r>
      <w:r w:rsidRPr="008F2EB6">
        <w:rPr>
          <w:rFonts w:ascii="Arial" w:hAnsi="Arial" w:cs="Arial"/>
          <w:i/>
          <w:sz w:val="14"/>
          <w:szCs w:val="14"/>
        </w:rPr>
        <w:t xml:space="preserve">Resolución mediante la cual el Pleno del Instituto Federal de Telecomunicaciones autoriza llevar a cabo la concentración radicada bajo el expediente No. UCE/CNC-003-2016, notificada por Utrera, S.A. de C.V., Grupo MVS, S.A. de C.V., el C. XXXXXXXXXXXXXXXXXXXX, Radiomóvil Dipsa, S.A. de C.V. y AMOV IV, S.A. de C.V. </w:t>
      </w:r>
      <w:r w:rsidRPr="008F2EB6">
        <w:rPr>
          <w:rFonts w:ascii="Arial" w:hAnsi="Arial" w:cs="Arial"/>
          <w:sz w:val="14"/>
          <w:szCs w:val="14"/>
        </w:rPr>
        <w:t xml:space="preserve">Acuerdo P/IFT/270417/221. Disponible en: </w:t>
      </w:r>
      <w:hyperlink r:id="rId26" w:history="1">
        <w:r w:rsidRPr="008F2EB6">
          <w:rPr>
            <w:rStyle w:val="Hipervnculo"/>
            <w:rFonts w:ascii="Arial" w:hAnsi="Arial" w:cs="Arial"/>
            <w:sz w:val="14"/>
            <w:szCs w:val="14"/>
          </w:rPr>
          <w:t>http://apps.ift.org.mx/publicdata/Version_Publica_UCE_270417_221.pdf</w:t>
        </w:r>
      </w:hyperlink>
      <w:r w:rsidRPr="008F2EB6">
        <w:rPr>
          <w:rStyle w:val="Hipervnculo"/>
          <w:rFonts w:ascii="Arial" w:hAnsi="Arial" w:cs="Arial"/>
          <w:sz w:val="14"/>
          <w:szCs w:val="14"/>
        </w:rPr>
        <w:t>.</w:t>
      </w:r>
      <w:r w:rsidRPr="008F2EB6">
        <w:rPr>
          <w:rFonts w:ascii="Arial" w:hAnsi="Arial" w:cs="Arial"/>
          <w:sz w:val="14"/>
          <w:szCs w:val="14"/>
        </w:rPr>
        <w:t xml:space="preserve">  </w:t>
      </w:r>
    </w:p>
    <w:p w14:paraId="0DF6F953"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(2018). Acuerdo P/IFT/220818/511. p. 185. Disponible en: </w:t>
      </w:r>
      <w:hyperlink r:id="rId27" w:history="1">
        <w:r w:rsidRPr="008F2EB6">
          <w:rPr>
            <w:rStyle w:val="Hipervnculo"/>
            <w:rFonts w:ascii="Arial" w:eastAsiaTheme="majorEastAsia" w:hAnsi="Arial" w:cs="Arial"/>
            <w:sz w:val="14"/>
            <w:szCs w:val="14"/>
          </w:rPr>
          <w:t>http://www.ift.org.mx/sites/default/files/conocenos/pleno/sesiones/acuerdoliga/vppift220818511noct_1.pdf</w:t>
        </w:r>
      </w:hyperlink>
    </w:p>
    <w:p w14:paraId="56C7A7C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(2014). RESOLUCIÓN MEDIANTE LA CUAL EL PLENO DEL INSTITUTO FEDERAL DE TELECOMUNICACIONES AUTORIZA QUE SE REALICE LA CONCENTRACION RADICADA BAJO EL EXPEDIENTE NO. UCE/CNC-006-2014, NOTIFICADA POR AT&amp;T, INC. Y GRUPO SALINAS TELECOM. S.A. DE C.V. Acuerdo P/IFT/EXT/181214/282. Disponible en: </w:t>
      </w:r>
      <w:hyperlink r:id="rId28" w:history="1">
        <w:r w:rsidRPr="008F2EB6">
          <w:rPr>
            <w:rStyle w:val="Hipervnculo"/>
            <w:rFonts w:ascii="Arial" w:hAnsi="Arial" w:cs="Arial"/>
            <w:sz w:val="14"/>
            <w:szCs w:val="14"/>
          </w:rPr>
          <w:t>http://apps.ift.org.mx/publicdata/P_IFT_EXT_181214_282_Version_Publica.pdf</w:t>
        </w:r>
      </w:hyperlink>
      <w:r w:rsidRPr="008F2EB6">
        <w:rPr>
          <w:rStyle w:val="Hipervnculo"/>
          <w:rFonts w:ascii="Arial" w:hAnsi="Arial" w:cs="Arial"/>
          <w:sz w:val="14"/>
          <w:szCs w:val="14"/>
        </w:rPr>
        <w:t>.</w:t>
      </w:r>
    </w:p>
    <w:p w14:paraId="447BD009"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Instituto (2017). Acuerdo P/IFT/230117/8</w:t>
      </w:r>
      <w:r w:rsidRPr="008F2EB6">
        <w:rPr>
          <w:rFonts w:ascii="Arial" w:hAnsi="Arial" w:cs="Arial"/>
          <w:i/>
          <w:sz w:val="14"/>
          <w:szCs w:val="14"/>
        </w:rPr>
        <w:t>.</w:t>
      </w:r>
      <w:r w:rsidRPr="008F2EB6">
        <w:rPr>
          <w:rFonts w:ascii="Arial" w:hAnsi="Arial" w:cs="Arial"/>
          <w:sz w:val="14"/>
          <w:szCs w:val="14"/>
        </w:rPr>
        <w:t xml:space="preserve"> pp. 41-51. Disponible en: </w:t>
      </w:r>
      <w:hyperlink r:id="rId29" w:history="1">
        <w:r w:rsidRPr="008F2EB6">
          <w:rPr>
            <w:rStyle w:val="Hipervnculo"/>
            <w:rFonts w:ascii="Arial" w:hAnsi="Arial" w:cs="Arial"/>
            <w:sz w:val="14"/>
            <w:szCs w:val="14"/>
          </w:rPr>
          <w:t>http://apps.ift.org.mx/publicdata/Version_Publica_AI_P_IFT_230117_8.pdf</w:t>
        </w:r>
      </w:hyperlink>
      <w:r w:rsidRPr="008F2EB6">
        <w:rPr>
          <w:rStyle w:val="Hipervnculo"/>
          <w:rFonts w:ascii="Arial" w:hAnsi="Arial" w:cs="Arial"/>
          <w:sz w:val="14"/>
          <w:szCs w:val="14"/>
        </w:rPr>
        <w:t>.</w:t>
      </w:r>
    </w:p>
    <w:p w14:paraId="5CE8CE32"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(2020). </w:t>
      </w:r>
      <w:r w:rsidRPr="008F2EB6">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F2EB6">
        <w:rPr>
          <w:rFonts w:ascii="Arial" w:hAnsi="Arial" w:cs="Arial"/>
          <w:sz w:val="14"/>
          <w:szCs w:val="14"/>
        </w:rPr>
        <w:t>. Acuerdo P/IFT/181120/436.</w:t>
      </w:r>
    </w:p>
    <w:p w14:paraId="6A3B47B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(2014). </w:t>
      </w:r>
      <w:r w:rsidRPr="008F2EB6">
        <w:rPr>
          <w:rFonts w:ascii="Arial" w:hAnsi="Arial" w:cs="Arial"/>
          <w:i/>
          <w:sz w:val="14"/>
          <w:szCs w:val="14"/>
        </w:rPr>
        <w:t>Bases de la Licitación IFT-1.</w:t>
      </w:r>
      <w:r w:rsidRPr="008F2EB6">
        <w:rPr>
          <w:rFonts w:ascii="Arial" w:hAnsi="Arial" w:cs="Arial"/>
          <w:sz w:val="14"/>
          <w:szCs w:val="14"/>
        </w:rPr>
        <w:t xml:space="preserve"> Disponibles en: </w:t>
      </w:r>
      <w:hyperlink r:id="rId30" w:history="1">
        <w:r w:rsidRPr="008F2EB6">
          <w:rPr>
            <w:rStyle w:val="Hipervnculo"/>
            <w:rFonts w:ascii="Arial" w:hAnsi="Arial" w:cs="Arial"/>
            <w:sz w:val="14"/>
            <w:szCs w:val="14"/>
          </w:rPr>
          <w:t>http://www.ift.org.mx/industria/espectro-radioelectrico/radiodifusion/2014/ift-1-licitacion-de-dos-cadenas-de-television-radiodifundida-digital</w:t>
        </w:r>
      </w:hyperlink>
      <w:r w:rsidRPr="008F2EB6">
        <w:rPr>
          <w:rFonts w:ascii="Arial" w:hAnsi="Arial" w:cs="Arial"/>
          <w:sz w:val="14"/>
          <w:szCs w:val="14"/>
        </w:rPr>
        <w:t xml:space="preserve">, e </w:t>
      </w:r>
    </w:p>
    <w:p w14:paraId="7F3AA1AC"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(2014). </w:t>
      </w:r>
      <w:r w:rsidRPr="008F2EB6">
        <w:rPr>
          <w:rFonts w:ascii="Arial" w:hAnsi="Arial" w:cs="Arial"/>
          <w:i/>
          <w:sz w:val="14"/>
          <w:szCs w:val="14"/>
        </w:rPr>
        <w:t>Opiniones en materia de competencia económica emitidas por el Instituto en la Licitación IFT-1.</w:t>
      </w:r>
      <w:r w:rsidRPr="008F2EB6">
        <w:rPr>
          <w:rFonts w:ascii="Arial" w:hAnsi="Arial" w:cs="Arial"/>
          <w:sz w:val="14"/>
          <w:szCs w:val="14"/>
        </w:rPr>
        <w:t xml:space="preserve"> Disponibles en: </w:t>
      </w:r>
      <w:hyperlink r:id="rId31" w:anchor="overlay-context=pagina-de-inicio/apendices" w:history="1">
        <w:r w:rsidRPr="008F2EB6">
          <w:rPr>
            <w:rStyle w:val="Hipervnculo"/>
            <w:rFonts w:ascii="Arial" w:hAnsi="Arial" w:cs="Arial"/>
            <w:sz w:val="14"/>
            <w:szCs w:val="14"/>
          </w:rPr>
          <w:t>http://www.ift.org.mx/pagina-de-inicio/opiniones-en-materia-de-competencia-economica#overlay-context=pagina-de-inicio/apendices</w:t>
        </w:r>
      </w:hyperlink>
      <w:r w:rsidRPr="008F2EB6">
        <w:rPr>
          <w:rStyle w:val="Hipervnculo"/>
          <w:rFonts w:ascii="Arial" w:hAnsi="Arial" w:cs="Arial"/>
          <w:sz w:val="14"/>
          <w:szCs w:val="14"/>
        </w:rPr>
        <w:t>.</w:t>
      </w:r>
    </w:p>
    <w:p w14:paraId="0759492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(2016). </w:t>
      </w:r>
      <w:r w:rsidRPr="008F2EB6">
        <w:rPr>
          <w:rFonts w:ascii="Arial" w:hAnsi="Arial" w:cs="Arial"/>
          <w:i/>
          <w:sz w:val="14"/>
          <w:szCs w:val="14"/>
        </w:rPr>
        <w:t>Bases de la Licitación IFT-6.</w:t>
      </w:r>
      <w:r w:rsidRPr="008F2EB6">
        <w:rPr>
          <w:rFonts w:ascii="Arial" w:hAnsi="Arial" w:cs="Arial"/>
          <w:sz w:val="14"/>
          <w:szCs w:val="14"/>
        </w:rPr>
        <w:t xml:space="preserve"> Disponibles en: </w:t>
      </w:r>
      <w:hyperlink r:id="rId32" w:history="1">
        <w:r w:rsidRPr="008F2EB6">
          <w:rPr>
            <w:rStyle w:val="Hipervnculo"/>
            <w:rFonts w:ascii="Arial" w:hAnsi="Arial" w:cs="Arial"/>
            <w:sz w:val="14"/>
            <w:szCs w:val="14"/>
          </w:rPr>
          <w:t>http://www.ift.org.mx/industria/espectro-radioelectrico/television/2016/licitacion-no-ift-6-television-radiodifundida-digital</w:t>
        </w:r>
      </w:hyperlink>
      <w:r w:rsidRPr="008F2EB6">
        <w:rPr>
          <w:rFonts w:ascii="Arial" w:hAnsi="Arial" w:cs="Arial"/>
          <w:sz w:val="14"/>
          <w:szCs w:val="14"/>
        </w:rPr>
        <w:t>.</w:t>
      </w:r>
    </w:p>
    <w:p w14:paraId="07585F2C"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(2016).</w:t>
      </w:r>
      <w:r w:rsidRPr="008F2EB6">
        <w:rPr>
          <w:rFonts w:ascii="Arial" w:hAnsi="Arial" w:cs="Arial"/>
          <w:b/>
          <w:bCs/>
          <w:sz w:val="14"/>
          <w:szCs w:val="14"/>
        </w:rPr>
        <w:t xml:space="preserve"> </w:t>
      </w:r>
      <w:r w:rsidRPr="008F2EB6">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F2EB6">
        <w:rPr>
          <w:rFonts w:ascii="Arial" w:hAnsi="Arial" w:cs="Arial"/>
          <w:sz w:val="14"/>
          <w:szCs w:val="14"/>
        </w:rPr>
        <w:t xml:space="preserve">. Acuerdo </w:t>
      </w:r>
      <w:r w:rsidRPr="008F2EB6">
        <w:rPr>
          <w:rFonts w:ascii="Arial" w:hAnsi="Arial" w:cs="Arial"/>
          <w:bCs/>
          <w:sz w:val="14"/>
          <w:szCs w:val="14"/>
        </w:rPr>
        <w:t>P/IFT/EXT/190216/7. D</w:t>
      </w:r>
      <w:r w:rsidRPr="008F2EB6">
        <w:rPr>
          <w:rFonts w:ascii="Arial" w:hAnsi="Arial" w:cs="Arial"/>
          <w:sz w:val="14"/>
          <w:szCs w:val="14"/>
        </w:rPr>
        <w:t xml:space="preserve">isponible en: </w:t>
      </w:r>
      <w:hyperlink r:id="rId33" w:history="1">
        <w:r w:rsidRPr="008F2EB6">
          <w:rPr>
            <w:rStyle w:val="Hipervnculo"/>
            <w:rFonts w:ascii="Arial" w:hAnsi="Arial" w:cs="Arial"/>
            <w:sz w:val="14"/>
            <w:szCs w:val="14"/>
          </w:rPr>
          <w:t>http://apps.ift.org.mx/publicdata/Version_Publica_P_IFT_EXT_190216_7.pdf</w:t>
        </w:r>
      </w:hyperlink>
      <w:r w:rsidRPr="008F2EB6">
        <w:rPr>
          <w:rFonts w:ascii="Arial" w:hAnsi="Arial" w:cs="Arial"/>
          <w:sz w:val="14"/>
          <w:szCs w:val="14"/>
        </w:rPr>
        <w:t xml:space="preserve"> </w:t>
      </w:r>
    </w:p>
    <w:p w14:paraId="6447D41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(2016).</w:t>
      </w:r>
      <w:r w:rsidRPr="008F2EB6">
        <w:rPr>
          <w:rFonts w:ascii="Arial" w:hAnsi="Arial" w:cs="Arial"/>
          <w:b/>
          <w:bCs/>
          <w:sz w:val="14"/>
          <w:szCs w:val="14"/>
        </w:rPr>
        <w:t xml:space="preserve"> </w:t>
      </w:r>
      <w:r w:rsidRPr="008F2EB6">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F2EB6">
        <w:rPr>
          <w:rFonts w:ascii="Arial" w:hAnsi="Arial" w:cs="Arial"/>
          <w:sz w:val="14"/>
          <w:szCs w:val="14"/>
        </w:rPr>
        <w:t xml:space="preserve">. Acuerdo </w:t>
      </w:r>
      <w:r w:rsidRPr="008F2EB6">
        <w:rPr>
          <w:rFonts w:ascii="Arial" w:hAnsi="Arial" w:cs="Arial"/>
          <w:bCs/>
          <w:sz w:val="14"/>
          <w:szCs w:val="14"/>
        </w:rPr>
        <w:t>P/IFT/EXT/190216/7.</w:t>
      </w:r>
    </w:p>
    <w:p w14:paraId="329FECD7"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(2018). Acuerdo P/IFT/121218/948. </w:t>
      </w:r>
      <w:r w:rsidRPr="008F2EB6">
        <w:rPr>
          <w:rFonts w:ascii="Arial" w:hAnsi="Arial" w:cs="Arial"/>
          <w:color w:val="000000" w:themeColor="text1"/>
          <w:sz w:val="14"/>
          <w:szCs w:val="14"/>
        </w:rPr>
        <w:t xml:space="preserve">Disponible en: </w:t>
      </w:r>
      <w:hyperlink r:id="rId34" w:anchor="P/IFT/121218/948" w:history="1">
        <w:r w:rsidRPr="008F2EB6">
          <w:rPr>
            <w:rStyle w:val="Hipervnculo"/>
            <w:rFonts w:ascii="Arial" w:hAnsi="Arial" w:cs="Arial"/>
            <w:sz w:val="14"/>
            <w:szCs w:val="14"/>
          </w:rPr>
          <w:t>http://www.ift.org.mx/sites/default/files/conocenos/pleno/sesiones/acuerdoliga/pift121218948.pdf#P/IFT/121218/948</w:t>
        </w:r>
      </w:hyperlink>
      <w:r w:rsidRPr="008F2EB6">
        <w:rPr>
          <w:rFonts w:ascii="Arial" w:hAnsi="Arial" w:cs="Arial"/>
          <w:sz w:val="14"/>
          <w:szCs w:val="14"/>
          <w:u w:val="single"/>
        </w:rPr>
        <w:t xml:space="preserve"> </w:t>
      </w:r>
      <w:r w:rsidRPr="008F2EB6">
        <w:rPr>
          <w:rFonts w:ascii="Arial" w:hAnsi="Arial" w:cs="Arial"/>
          <w:sz w:val="14"/>
          <w:szCs w:val="14"/>
        </w:rPr>
        <w:t xml:space="preserve">y Versión pública del Dictamen Preliminar emitido en el Expediente AC/DC-004-2018, disponible en: </w:t>
      </w:r>
      <w:hyperlink r:id="rId35" w:history="1">
        <w:r w:rsidRPr="008F2EB6">
          <w:rPr>
            <w:rStyle w:val="Hipervnculo"/>
            <w:rFonts w:ascii="Arial" w:hAnsi="Arial" w:cs="Arial"/>
            <w:sz w:val="14"/>
            <w:szCs w:val="14"/>
          </w:rPr>
          <w:t>http://www.ift.org.mx/sites/default/files/contenidogeneral/autoridad-investigadora/vpai-dc-004-2018.pdf</w:t>
        </w:r>
      </w:hyperlink>
    </w:p>
  </w:footnote>
  <w:footnote w:id="26">
    <w:p w14:paraId="3C4DCB53"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Guía de Concentraciones. p. 31.</w:t>
      </w:r>
    </w:p>
  </w:footnote>
  <w:footnote w:id="27">
    <w:p w14:paraId="0F7DF31E"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fr-FR"/>
        </w:rPr>
        <w:t xml:space="preserve"> Ver :</w:t>
      </w:r>
    </w:p>
    <w:p w14:paraId="6DE46FB5"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fr-FR"/>
        </w:rPr>
        <w:t xml:space="preserve">CE (1997). </w:t>
      </w:r>
      <w:r w:rsidRPr="008F2EB6">
        <w:rPr>
          <w:rFonts w:ascii="Arial" w:hAnsi="Arial" w:cs="Arial"/>
          <w:i/>
          <w:sz w:val="14"/>
          <w:szCs w:val="14"/>
        </w:rPr>
        <w:t>COMUNICACIÓN DE LA COMISIÓN relativa a la definición de mercado de referencia a efectos de la normativa comunitaria en materia de competencia</w:t>
      </w:r>
      <w:r w:rsidRPr="008F2EB6">
        <w:rPr>
          <w:rFonts w:ascii="Arial" w:hAnsi="Arial" w:cs="Arial"/>
          <w:sz w:val="14"/>
          <w:szCs w:val="14"/>
        </w:rPr>
        <w:t xml:space="preserve">. </w:t>
      </w:r>
    </w:p>
    <w:p w14:paraId="6F9E5A3A"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p>
    <w:p w14:paraId="28F85D6E"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CE (2013). </w:t>
      </w:r>
      <w:r w:rsidRPr="008F2EB6">
        <w:rPr>
          <w:rFonts w:ascii="Arial" w:hAnsi="Arial" w:cs="Arial"/>
          <w:i/>
          <w:sz w:val="14"/>
          <w:szCs w:val="14"/>
        </w:rPr>
        <w:t>Case No COMP/M.6880 - LIBERTY GLOBAL/ VIRGIN MEDIA</w:t>
      </w:r>
      <w:r w:rsidRPr="008F2EB6">
        <w:rPr>
          <w:rFonts w:ascii="Arial" w:hAnsi="Arial" w:cs="Arial"/>
          <w:sz w:val="14"/>
          <w:szCs w:val="14"/>
        </w:rPr>
        <w:t xml:space="preserve">, párrafos 42 a 50. Disponible en: </w:t>
      </w:r>
      <w:hyperlink r:id="rId36" w:history="1">
        <w:r w:rsidRPr="008F2EB6">
          <w:rPr>
            <w:rStyle w:val="Hipervnculo"/>
            <w:rFonts w:ascii="Arial" w:hAnsi="Arial" w:cs="Arial"/>
            <w:sz w:val="14"/>
            <w:szCs w:val="14"/>
          </w:rPr>
          <w:t>https://ec.europa.eu/competition/mergers/cases/decisions/m6880_410_2.pdf</w:t>
        </w:r>
      </w:hyperlink>
      <w:r w:rsidRPr="008F2EB6">
        <w:rPr>
          <w:rStyle w:val="Hipervnculo"/>
          <w:rFonts w:ascii="Arial" w:hAnsi="Arial" w:cs="Arial"/>
          <w:sz w:val="14"/>
          <w:szCs w:val="14"/>
        </w:rPr>
        <w:t>.</w:t>
      </w:r>
    </w:p>
    <w:p w14:paraId="5B25104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fr-FR"/>
        </w:rPr>
        <w:t xml:space="preserve">CE (2019). </w:t>
      </w:r>
      <w:r w:rsidRPr="008F2EB6">
        <w:rPr>
          <w:rFonts w:ascii="Arial" w:hAnsi="Arial" w:cs="Arial"/>
          <w:i/>
          <w:sz w:val="14"/>
          <w:szCs w:val="14"/>
          <w:lang w:val="fr-FR"/>
        </w:rPr>
        <w:t>Case M.8864 - Vodafone / Certain Liberty Global Assets</w:t>
      </w:r>
      <w:r w:rsidRPr="008F2EB6">
        <w:rPr>
          <w:rFonts w:ascii="Arial" w:hAnsi="Arial" w:cs="Arial"/>
          <w:sz w:val="14"/>
          <w:szCs w:val="14"/>
          <w:lang w:val="fr-FR"/>
        </w:rPr>
        <w:t xml:space="preserve">, párrafos 49 a 67. Disponible en: </w:t>
      </w:r>
      <w:hyperlink r:id="rId37" w:history="1">
        <w:r w:rsidRPr="008F2EB6">
          <w:rPr>
            <w:rStyle w:val="Hipervnculo"/>
            <w:rFonts w:ascii="Arial" w:hAnsi="Arial" w:cs="Arial"/>
            <w:sz w:val="14"/>
            <w:szCs w:val="14"/>
            <w:lang w:val="fr-FR"/>
          </w:rPr>
          <w:t>https://ec.europa.eu/competition/mergers/cases/decisions/m8864_7363_3.pdf</w:t>
        </w:r>
      </w:hyperlink>
    </w:p>
  </w:footnote>
  <w:footnote w:id="28">
    <w:p w14:paraId="37EDC93C"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384DD60B"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en-US"/>
        </w:rPr>
        <w:t xml:space="preserve">CMA/OFT (2004). </w:t>
      </w:r>
      <w:r w:rsidRPr="008F2EB6">
        <w:rPr>
          <w:rFonts w:ascii="Arial" w:hAnsi="Arial" w:cs="Arial"/>
          <w:i/>
          <w:sz w:val="14"/>
          <w:szCs w:val="14"/>
          <w:lang w:val="en-US"/>
        </w:rPr>
        <w:t>Market definition, Understanding competition law</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38" w:history="1">
        <w:r w:rsidRPr="008F2EB6">
          <w:rPr>
            <w:rStyle w:val="Hipervnculo"/>
            <w:rFonts w:ascii="Arial" w:hAnsi="Arial" w:cs="Arial"/>
            <w:sz w:val="14"/>
            <w:szCs w:val="14"/>
          </w:rPr>
          <w:t>https://assets.publishing.service.gov.uk/government/uploads/system/uploads/attachment_data/file/284423/oft403.pdf</w:t>
        </w:r>
      </w:hyperlink>
      <w:r w:rsidRPr="008F2EB6">
        <w:rPr>
          <w:rStyle w:val="Hipervnculo"/>
          <w:rFonts w:ascii="Arial" w:hAnsi="Arial" w:cs="Arial"/>
          <w:sz w:val="14"/>
          <w:szCs w:val="14"/>
        </w:rPr>
        <w:t>.</w:t>
      </w:r>
    </w:p>
    <w:p w14:paraId="1D193645"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CMA (2020). </w:t>
      </w:r>
      <w:r w:rsidRPr="008F2EB6">
        <w:rPr>
          <w:rFonts w:ascii="Arial" w:hAnsi="Arial" w:cs="Arial"/>
          <w:bCs/>
          <w:i/>
          <w:sz w:val="14"/>
          <w:szCs w:val="14"/>
          <w:lang w:val="en-US"/>
        </w:rPr>
        <w:t>Bauer Media Group merger inquiry</w:t>
      </w:r>
      <w:r w:rsidRPr="008F2EB6">
        <w:rPr>
          <w:rFonts w:ascii="Arial" w:hAnsi="Arial" w:cs="Arial"/>
          <w:b/>
          <w:bCs/>
          <w:i/>
          <w:sz w:val="14"/>
          <w:szCs w:val="14"/>
          <w:lang w:val="en-US"/>
        </w:rPr>
        <w:t xml:space="preserve">. </w:t>
      </w:r>
      <w:r w:rsidRPr="008F2EB6">
        <w:rPr>
          <w:rFonts w:ascii="Arial" w:hAnsi="Arial" w:cs="Arial"/>
          <w:i/>
          <w:sz w:val="14"/>
          <w:szCs w:val="14"/>
          <w:lang w:val="en-US"/>
        </w:rPr>
        <w:t>Completed acquisitions by Bauer Media Group of certain businesses of Celador Entertainment Limited, Lincs FM Group Limited and Wireless Group Limited, as well as the entire business of UKRD Group Limited.</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39" w:history="1">
        <w:r w:rsidRPr="008F2EB6">
          <w:rPr>
            <w:rStyle w:val="Hipervnculo"/>
            <w:rFonts w:ascii="Arial" w:hAnsi="Arial" w:cs="Arial"/>
            <w:sz w:val="14"/>
            <w:szCs w:val="14"/>
          </w:rPr>
          <w:t>https://www.gov.uk/cma-cases/bauer-media-group-merger-inquiry</w:t>
        </w:r>
      </w:hyperlink>
    </w:p>
  </w:footnote>
  <w:footnote w:id="29">
    <w:p w14:paraId="6B43B979"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DOJ y FTC (2010). </w:t>
      </w:r>
      <w:r w:rsidRPr="008F2EB6">
        <w:rPr>
          <w:rFonts w:ascii="Arial" w:hAnsi="Arial" w:cs="Arial"/>
          <w:i/>
          <w:sz w:val="14"/>
          <w:szCs w:val="14"/>
        </w:rPr>
        <w:t>Horizontal Merger Guidelines</w:t>
      </w:r>
      <w:r w:rsidRPr="008F2EB6">
        <w:rPr>
          <w:rFonts w:ascii="Arial" w:hAnsi="Arial" w:cs="Arial"/>
          <w:sz w:val="14"/>
          <w:szCs w:val="14"/>
        </w:rPr>
        <w:t xml:space="preserve">. </w:t>
      </w:r>
    </w:p>
    <w:p w14:paraId="61CEEC40" w14:textId="6E55F048" w:rsidR="00A457CE" w:rsidRPr="008F2EB6" w:rsidRDefault="00A457CE" w:rsidP="008F2EB6">
      <w:pPr>
        <w:pStyle w:val="Textonotapie"/>
        <w:jc w:val="both"/>
        <w:rPr>
          <w:rFonts w:ascii="Arial" w:hAnsi="Arial" w:cs="Arial"/>
          <w:sz w:val="14"/>
          <w:szCs w:val="14"/>
          <w:lang w:val="fr-FR"/>
        </w:rPr>
      </w:pPr>
      <w:r w:rsidRPr="00961EDF">
        <w:rPr>
          <w:rFonts w:ascii="Arial" w:hAnsi="Arial" w:cs="Arial"/>
          <w:sz w:val="14"/>
          <w:szCs w:val="14"/>
        </w:rPr>
        <w:t xml:space="preserve">DOJ y FTC (2010). </w:t>
      </w:r>
      <w:r w:rsidRPr="008F2EB6">
        <w:rPr>
          <w:rFonts w:ascii="Arial" w:hAnsi="Arial" w:cs="Arial"/>
          <w:i/>
          <w:sz w:val="14"/>
          <w:szCs w:val="14"/>
          <w:lang w:val="fr-FR"/>
        </w:rPr>
        <w:t>Product Market Definition</w:t>
      </w:r>
      <w:r w:rsidRPr="008F2EB6">
        <w:rPr>
          <w:rFonts w:ascii="Arial" w:hAnsi="Arial" w:cs="Arial"/>
          <w:sz w:val="14"/>
          <w:szCs w:val="14"/>
          <w:lang w:val="fr-FR"/>
        </w:rPr>
        <w:t xml:space="preserve">. Disponible en: </w:t>
      </w:r>
      <w:hyperlink r:id="rId40" w:history="1">
        <w:r w:rsidRPr="00DB7A42">
          <w:rPr>
            <w:rStyle w:val="Hipervnculo"/>
            <w:rFonts w:ascii="Arial" w:hAnsi="Arial" w:cs="Arial"/>
            <w:sz w:val="14"/>
            <w:szCs w:val="14"/>
          </w:rPr>
          <w:t>https://www.justice.gov/atr/horizontal-merger-guidelines-08192010</w:t>
        </w:r>
      </w:hyperlink>
    </w:p>
  </w:footnote>
  <w:footnote w:id="30">
    <w:p w14:paraId="5240FC4D"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fr-FR"/>
        </w:rPr>
        <w:t xml:space="preserve"> Ver :</w:t>
      </w:r>
    </w:p>
    <w:p w14:paraId="221BEC24"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fr-FR"/>
        </w:rPr>
        <w:t xml:space="preserve">CBC (2011). </w:t>
      </w:r>
      <w:r w:rsidRPr="008F2EB6">
        <w:rPr>
          <w:rFonts w:ascii="Arial" w:hAnsi="Arial" w:cs="Arial"/>
          <w:i/>
          <w:sz w:val="14"/>
          <w:szCs w:val="14"/>
          <w:lang w:val="fr-FR"/>
        </w:rPr>
        <w:t>Merger Enforcement Guidelines</w:t>
      </w:r>
      <w:r w:rsidRPr="008F2EB6">
        <w:rPr>
          <w:rFonts w:ascii="Arial" w:hAnsi="Arial" w:cs="Arial"/>
          <w:sz w:val="14"/>
          <w:szCs w:val="14"/>
          <w:lang w:val="fr-FR"/>
        </w:rPr>
        <w:t>.</w:t>
      </w:r>
      <w:r w:rsidRPr="008F2EB6" w:rsidDel="00442204">
        <w:rPr>
          <w:rFonts w:ascii="Arial" w:hAnsi="Arial" w:cs="Arial"/>
          <w:sz w:val="14"/>
          <w:szCs w:val="14"/>
          <w:lang w:val="fr-FR"/>
        </w:rPr>
        <w:t xml:space="preserve"> </w:t>
      </w:r>
    </w:p>
    <w:p w14:paraId="243EF69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fr-FR"/>
        </w:rPr>
        <w:t xml:space="preserve">CRTC (2011). </w:t>
      </w:r>
      <w:r w:rsidRPr="008F2EB6">
        <w:rPr>
          <w:rFonts w:ascii="Arial" w:hAnsi="Arial" w:cs="Arial"/>
          <w:i/>
          <w:sz w:val="14"/>
          <w:szCs w:val="14"/>
          <w:lang w:val="en-US"/>
        </w:rPr>
        <w:t>Market Definition Issues for Audio and Audio-Visual Distribution Products and Services in a Digital Environment</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41" w:anchor="a6" w:history="1">
        <w:r w:rsidRPr="008F2EB6">
          <w:rPr>
            <w:rStyle w:val="Hipervnculo"/>
            <w:rFonts w:ascii="Arial" w:hAnsi="Arial" w:cs="Arial"/>
            <w:sz w:val="14"/>
            <w:szCs w:val="14"/>
          </w:rPr>
          <w:t>https://crtc.gc.ca/eng/publications/reports/rp110215.htm?_ga=2.166625598.140085912.1596486262-181080644.1596486262#a6</w:t>
        </w:r>
      </w:hyperlink>
    </w:p>
    <w:p w14:paraId="1E86228C"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en-US"/>
        </w:rPr>
        <w:t xml:space="preserve">CBC (2017). </w:t>
      </w:r>
      <w:r w:rsidRPr="008F2EB6">
        <w:rPr>
          <w:rFonts w:ascii="Arial" w:hAnsi="Arial" w:cs="Arial"/>
          <w:i/>
          <w:sz w:val="14"/>
          <w:szCs w:val="14"/>
          <w:lang w:val="en-US"/>
        </w:rPr>
        <w:t>Competition Bureau statement regarding Bell’s acquisition of MTS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42" w:history="1">
        <w:r w:rsidRPr="008F2EB6">
          <w:rPr>
            <w:rStyle w:val="Hipervnculo"/>
            <w:rFonts w:ascii="Arial" w:hAnsi="Arial" w:cs="Arial"/>
            <w:sz w:val="14"/>
            <w:szCs w:val="14"/>
          </w:rPr>
          <w:t>https://www.competitionbureau.gc.ca/eic/site/cb-bc.nsf/eng/04200.html</w:t>
        </w:r>
      </w:hyperlink>
    </w:p>
  </w:footnote>
  <w:footnote w:id="31">
    <w:p w14:paraId="1AE810BB"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53D68E6E"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color w:val="000000"/>
          <w:sz w:val="14"/>
          <w:szCs w:val="14"/>
          <w:shd w:val="clear" w:color="auto" w:fill="FFFFFF"/>
        </w:rPr>
        <w:t xml:space="preserve">ACCC (2008). </w:t>
      </w:r>
      <w:r w:rsidRPr="008F2EB6">
        <w:rPr>
          <w:rFonts w:ascii="Arial" w:hAnsi="Arial" w:cs="Arial"/>
          <w:i/>
          <w:color w:val="000000"/>
          <w:sz w:val="14"/>
          <w:szCs w:val="14"/>
          <w:shd w:val="clear" w:color="auto" w:fill="FFFFFF"/>
        </w:rPr>
        <w:t>Merger Guidelines (actualización 2017).</w:t>
      </w:r>
      <w:r w:rsidRPr="008F2EB6">
        <w:rPr>
          <w:rFonts w:ascii="Arial" w:hAnsi="Arial" w:cs="Arial"/>
          <w:color w:val="000000"/>
          <w:sz w:val="14"/>
          <w:szCs w:val="14"/>
          <w:shd w:val="clear" w:color="auto" w:fill="FFFFFF"/>
        </w:rPr>
        <w:t xml:space="preserve"> pp. 13-14, 16-17. </w:t>
      </w:r>
    </w:p>
    <w:p w14:paraId="6922EA26"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ACCC (2018). </w:t>
      </w:r>
      <w:r w:rsidRPr="008F2EB6">
        <w:rPr>
          <w:rFonts w:ascii="Arial" w:hAnsi="Arial" w:cs="Arial"/>
          <w:i/>
          <w:sz w:val="14"/>
          <w:szCs w:val="14"/>
          <w:lang w:val="en-US"/>
        </w:rPr>
        <w:t>Guidelines on misuse of market power</w:t>
      </w:r>
      <w:r w:rsidRPr="008F2EB6">
        <w:rPr>
          <w:rFonts w:ascii="Arial" w:hAnsi="Arial" w:cs="Arial"/>
          <w:sz w:val="14"/>
          <w:szCs w:val="14"/>
          <w:lang w:val="en-US"/>
        </w:rPr>
        <w:t xml:space="preserve">. </w:t>
      </w:r>
    </w:p>
    <w:p w14:paraId="7B7DABFD"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ACCC (2015). </w:t>
      </w:r>
      <w:r w:rsidRPr="008F2EB6">
        <w:rPr>
          <w:rFonts w:ascii="Arial" w:hAnsi="Arial" w:cs="Arial"/>
          <w:i/>
          <w:sz w:val="14"/>
          <w:szCs w:val="14"/>
          <w:lang w:val="en-US"/>
        </w:rPr>
        <w:t>TPG Telecom Limited – proposed acquisition of iiNet Limited.</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43" w:history="1">
        <w:r w:rsidRPr="008F2EB6">
          <w:rPr>
            <w:rStyle w:val="Hipervnculo"/>
            <w:rFonts w:ascii="Arial" w:hAnsi="Arial" w:cs="Arial"/>
            <w:sz w:val="14"/>
            <w:szCs w:val="14"/>
          </w:rPr>
          <w:t>https://www.accc.gov.au/system/files/public-registers/documents/MER15%2B13662.pdf</w:t>
        </w:r>
      </w:hyperlink>
    </w:p>
  </w:footnote>
  <w:footnote w:id="32">
    <w:p w14:paraId="1F3BF03D"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597C1A38"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en-US"/>
        </w:rPr>
        <w:t xml:space="preserve">RTR (2008). </w:t>
      </w:r>
      <w:r w:rsidRPr="008F2EB6">
        <w:rPr>
          <w:rFonts w:ascii="Arial" w:hAnsi="Arial" w:cs="Arial"/>
          <w:i/>
          <w:sz w:val="14"/>
          <w:szCs w:val="14"/>
          <w:lang w:val="en-US"/>
        </w:rPr>
        <w:t>TKMV 2008 and explanatory remarks.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44" w:history="1">
        <w:r w:rsidRPr="008F2EB6">
          <w:rPr>
            <w:rStyle w:val="Hipervnculo"/>
            <w:rFonts w:ascii="Arial" w:hAnsi="Arial" w:cs="Arial"/>
            <w:sz w:val="14"/>
            <w:szCs w:val="14"/>
          </w:rPr>
          <w:t>https://www.rtr.at/en/tk/TKMV_2008</w:t>
        </w:r>
      </w:hyperlink>
      <w:r w:rsidRPr="008F2EB6">
        <w:rPr>
          <w:rStyle w:val="Hipervnculo"/>
          <w:rFonts w:ascii="Arial" w:hAnsi="Arial" w:cs="Arial"/>
          <w:sz w:val="14"/>
          <w:szCs w:val="14"/>
        </w:rPr>
        <w:t>.</w:t>
      </w:r>
    </w:p>
    <w:p w14:paraId="0906A9D1"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CE (2009).</w:t>
      </w:r>
      <w:r w:rsidRPr="008F2EB6">
        <w:rPr>
          <w:rFonts w:ascii="Arial" w:hAnsi="Arial" w:cs="Arial"/>
          <w:sz w:val="14"/>
          <w:szCs w:val="14"/>
          <w:lang w:val="en-GB"/>
        </w:rPr>
        <w:t xml:space="preserve"> Telecoms: Commission endorses amended version of Austrian broadband access market definition. </w:t>
      </w:r>
      <w:r w:rsidRPr="008F2EB6">
        <w:rPr>
          <w:rFonts w:ascii="Arial" w:hAnsi="Arial" w:cs="Arial"/>
          <w:sz w:val="14"/>
          <w:szCs w:val="14"/>
        </w:rPr>
        <w:t xml:space="preserve">Disponible en: </w:t>
      </w:r>
      <w:hyperlink r:id="rId45" w:history="1">
        <w:r w:rsidRPr="008F2EB6">
          <w:rPr>
            <w:rStyle w:val="Hipervnculo"/>
            <w:rFonts w:ascii="Arial" w:hAnsi="Arial" w:cs="Arial"/>
            <w:sz w:val="14"/>
            <w:szCs w:val="14"/>
          </w:rPr>
          <w:t>https://ec.europa.eu/commission/presscorner/detail/en/IP_09_1888</w:t>
        </w:r>
      </w:hyperlink>
      <w:r w:rsidRPr="008F2EB6">
        <w:rPr>
          <w:rFonts w:ascii="Arial" w:hAnsi="Arial" w:cs="Arial"/>
          <w:sz w:val="14"/>
          <w:szCs w:val="14"/>
        </w:rPr>
        <w:t xml:space="preserve"> </w:t>
      </w:r>
    </w:p>
  </w:footnote>
  <w:footnote w:id="33">
    <w:p w14:paraId="5FAD77BD"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Autoridad de Competencia (2013). </w:t>
      </w:r>
      <w:r w:rsidRPr="008F2EB6">
        <w:rPr>
          <w:rFonts w:ascii="Arial" w:hAnsi="Arial" w:cs="Arial"/>
          <w:i/>
          <w:sz w:val="14"/>
          <w:szCs w:val="14"/>
        </w:rPr>
        <w:t xml:space="preserve">Ccent. 5/2013 Kento*Unitel*Sonaecom/ZON*Optimus. </w:t>
      </w:r>
      <w:r w:rsidRPr="008F2EB6">
        <w:rPr>
          <w:rFonts w:ascii="Arial" w:hAnsi="Arial" w:cs="Arial"/>
          <w:sz w:val="14"/>
          <w:szCs w:val="14"/>
        </w:rPr>
        <w:t xml:space="preserve">Disponible en: </w:t>
      </w:r>
      <w:r w:rsidRPr="008F2EB6">
        <w:rPr>
          <w:rStyle w:val="Hipervnculo"/>
          <w:rFonts w:ascii="Arial" w:hAnsi="Arial" w:cs="Arial"/>
          <w:sz w:val="14"/>
          <w:szCs w:val="14"/>
        </w:rPr>
        <w:t>https://www.concorrencia.pt/sites/default/files/processos/ccent/AdC-CCENT_2013_05-Decisao-VNC-final-net.pdf</w:t>
      </w:r>
    </w:p>
  </w:footnote>
  <w:footnote w:id="34">
    <w:p w14:paraId="1CD76C13"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fr-FR"/>
        </w:rPr>
        <w:t xml:space="preserve"> OCDE (2012). </w:t>
      </w:r>
      <w:r w:rsidRPr="008F2EB6">
        <w:rPr>
          <w:rFonts w:ascii="Arial" w:hAnsi="Arial" w:cs="Arial"/>
          <w:i/>
          <w:sz w:val="14"/>
          <w:szCs w:val="14"/>
          <w:lang w:val="fr-FR"/>
        </w:rPr>
        <w:t>Market Definition</w:t>
      </w:r>
      <w:r w:rsidRPr="008F2EB6">
        <w:rPr>
          <w:rFonts w:ascii="Arial" w:hAnsi="Arial" w:cs="Arial"/>
          <w:sz w:val="14"/>
          <w:szCs w:val="14"/>
          <w:lang w:val="fr-FR"/>
        </w:rPr>
        <w:t>. pp. 30-36.</w:t>
      </w:r>
      <w:r w:rsidRPr="008F2EB6">
        <w:rPr>
          <w:rFonts w:ascii="Arial" w:hAnsi="Arial" w:cs="Arial"/>
          <w:i/>
          <w:sz w:val="14"/>
          <w:szCs w:val="14"/>
          <w:lang w:val="fr-FR"/>
        </w:rPr>
        <w:t xml:space="preserve"> </w:t>
      </w:r>
    </w:p>
  </w:footnote>
  <w:footnote w:id="35">
    <w:p w14:paraId="0F59C349"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Si un usuario puede utilizar únicamente una plataforma para un servicio específico, por lo general se considera como </w:t>
      </w:r>
      <w:r w:rsidRPr="008F2EB6">
        <w:rPr>
          <w:rFonts w:ascii="Arial" w:hAnsi="Arial" w:cs="Arial"/>
          <w:i/>
          <w:sz w:val="14"/>
          <w:szCs w:val="14"/>
        </w:rPr>
        <w:t>single-homing</w:t>
      </w:r>
      <w:r w:rsidRPr="008F2EB6">
        <w:rPr>
          <w:rFonts w:ascii="Arial" w:hAnsi="Arial" w:cs="Arial"/>
          <w:sz w:val="14"/>
          <w:szCs w:val="14"/>
        </w:rPr>
        <w:t xml:space="preserve">. Cuando se pueden utilizar múltiples plataformas, se dice que es </w:t>
      </w:r>
      <w:r w:rsidRPr="008F2EB6">
        <w:rPr>
          <w:rFonts w:ascii="Arial" w:hAnsi="Arial" w:cs="Arial"/>
          <w:i/>
          <w:sz w:val="14"/>
          <w:szCs w:val="14"/>
        </w:rPr>
        <w:t>multi-homing</w:t>
      </w:r>
      <w:r w:rsidRPr="008F2EB6">
        <w:rPr>
          <w:rFonts w:ascii="Arial" w:hAnsi="Arial" w:cs="Arial"/>
          <w:sz w:val="14"/>
          <w:szCs w:val="14"/>
        </w:rPr>
        <w:t xml:space="preserve">. </w:t>
      </w:r>
      <w:r w:rsidRPr="008F2EB6">
        <w:rPr>
          <w:rFonts w:ascii="Arial" w:hAnsi="Arial" w:cs="Arial"/>
          <w:sz w:val="14"/>
          <w:szCs w:val="14"/>
          <w:lang w:val="en-US"/>
        </w:rPr>
        <w:t xml:space="preserve">OCDE (2018). </w:t>
      </w:r>
      <w:r w:rsidRPr="008F2EB6">
        <w:rPr>
          <w:rFonts w:ascii="Arial" w:hAnsi="Arial" w:cs="Arial"/>
          <w:i/>
          <w:sz w:val="14"/>
          <w:szCs w:val="14"/>
          <w:lang w:val="en-US"/>
        </w:rPr>
        <w:t>Rethinking Antitrust Tools for Multi-Sided Platforms.</w:t>
      </w:r>
      <w:r w:rsidRPr="008F2EB6">
        <w:rPr>
          <w:rFonts w:ascii="Arial" w:hAnsi="Arial" w:cs="Arial"/>
          <w:sz w:val="14"/>
          <w:szCs w:val="14"/>
          <w:lang w:val="en-US"/>
        </w:rPr>
        <w:t xml:space="preserve"> p. 19, y OCDE (2018). </w:t>
      </w:r>
      <w:r w:rsidRPr="008F2EB6">
        <w:rPr>
          <w:rFonts w:ascii="Arial" w:hAnsi="Arial" w:cs="Arial"/>
          <w:i/>
          <w:sz w:val="14"/>
          <w:szCs w:val="14"/>
        </w:rPr>
        <w:t>Plataformas digitales y competencia en México</w:t>
      </w:r>
      <w:r w:rsidRPr="008F2EB6">
        <w:rPr>
          <w:rFonts w:ascii="Arial" w:hAnsi="Arial" w:cs="Arial"/>
          <w:sz w:val="14"/>
          <w:szCs w:val="14"/>
        </w:rPr>
        <w:t xml:space="preserve">, pp. 9 y 10. Disponible en: </w:t>
      </w:r>
      <w:hyperlink r:id="rId46" w:history="1">
        <w:r w:rsidRPr="008F2EB6">
          <w:rPr>
            <w:rStyle w:val="Hipervnculo"/>
            <w:rFonts w:ascii="Arial" w:hAnsi="Arial" w:cs="Arial"/>
            <w:sz w:val="14"/>
            <w:szCs w:val="14"/>
          </w:rPr>
          <w:t>https://www.oecd.org/daf/competition/esp-plataformas-digitales-y-competencia-en-mexico.pdf</w:t>
        </w:r>
      </w:hyperlink>
      <w:r w:rsidRPr="008F2EB6">
        <w:rPr>
          <w:rFonts w:ascii="Arial" w:hAnsi="Arial" w:cs="Arial"/>
          <w:sz w:val="14"/>
          <w:szCs w:val="14"/>
        </w:rPr>
        <w:t xml:space="preserve"> </w:t>
      </w:r>
    </w:p>
  </w:footnote>
  <w:footnote w:id="36">
    <w:p w14:paraId="01A58BB5"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 xml:space="preserve"> p. 20.</w:t>
      </w:r>
    </w:p>
  </w:footnote>
  <w:footnote w:id="37">
    <w:p w14:paraId="46ED5D78"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Instituto (2016). Acuerdo P/IFT/290216/71, p. 206. Disponible en: </w:t>
      </w:r>
      <w:hyperlink r:id="rId47" w:history="1">
        <w:r w:rsidRPr="008F2EB6">
          <w:rPr>
            <w:rStyle w:val="Hipervnculo"/>
            <w:rFonts w:ascii="Arial" w:hAnsi="Arial" w:cs="Arial"/>
            <w:sz w:val="14"/>
            <w:szCs w:val="14"/>
          </w:rPr>
          <w:t>http://apps.ift.org.mx/publicdata/Version_Publica_UCE_P_IFT_290216_71_c_AnexoyDR.pdf</w:t>
        </w:r>
      </w:hyperlink>
      <w:r w:rsidRPr="008F2EB6">
        <w:rPr>
          <w:rFonts w:ascii="Arial" w:hAnsi="Arial" w:cs="Arial"/>
          <w:sz w:val="14"/>
          <w:szCs w:val="14"/>
        </w:rPr>
        <w:t xml:space="preserve"> </w:t>
      </w:r>
    </w:p>
  </w:footnote>
  <w:footnote w:id="38">
    <w:p w14:paraId="1B279FB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En la práctica internacional, usualmente se considera un aumento de entre 5% y 10% en el precio en un periodo de por lo menos 1 año. OCDE (2012). </w:t>
      </w:r>
      <w:r w:rsidRPr="008F2EB6">
        <w:rPr>
          <w:rFonts w:ascii="Arial" w:hAnsi="Arial" w:cs="Arial"/>
          <w:i/>
          <w:sz w:val="14"/>
          <w:szCs w:val="14"/>
        </w:rPr>
        <w:t>Market Definition</w:t>
      </w:r>
      <w:r w:rsidRPr="008F2EB6">
        <w:rPr>
          <w:rFonts w:ascii="Arial" w:hAnsi="Arial" w:cs="Arial"/>
          <w:sz w:val="14"/>
          <w:szCs w:val="14"/>
        </w:rPr>
        <w:t xml:space="preserve">. p. 30; CE (1997). </w:t>
      </w:r>
      <w:r w:rsidRPr="008F2EB6">
        <w:rPr>
          <w:rFonts w:ascii="Arial" w:hAnsi="Arial" w:cs="Arial"/>
          <w:i/>
          <w:sz w:val="14"/>
          <w:szCs w:val="14"/>
        </w:rPr>
        <w:t>COMUNICACIÓN DE LA COMISIÓN relativa a la definición de mercado de referencia a efectos de la normativa comunitaria en materia de competencia;</w:t>
      </w:r>
      <w:r w:rsidRPr="008F2EB6">
        <w:rPr>
          <w:rFonts w:ascii="Arial" w:hAnsi="Arial" w:cs="Arial"/>
          <w:sz w:val="14"/>
          <w:szCs w:val="14"/>
        </w:rPr>
        <w:t xml:space="preserve"> CBC (2011). </w:t>
      </w:r>
      <w:r w:rsidRPr="008F2EB6">
        <w:rPr>
          <w:rFonts w:ascii="Arial" w:hAnsi="Arial" w:cs="Arial"/>
          <w:i/>
          <w:sz w:val="14"/>
          <w:szCs w:val="14"/>
        </w:rPr>
        <w:t>Merger Enforcement Guidelines</w:t>
      </w:r>
      <w:r w:rsidRPr="008F2EB6">
        <w:rPr>
          <w:rFonts w:ascii="Arial" w:hAnsi="Arial" w:cs="Arial"/>
          <w:sz w:val="14"/>
          <w:szCs w:val="14"/>
        </w:rPr>
        <w:t xml:space="preserve">. p. 11, y CE (2018). </w:t>
      </w:r>
      <w:r w:rsidRPr="008F2EB6">
        <w:rPr>
          <w:rFonts w:ascii="Arial" w:hAnsi="Arial" w:cs="Arial"/>
          <w:i/>
          <w:sz w:val="14"/>
          <w:szCs w:val="14"/>
        </w:rPr>
        <w:t xml:space="preserve">Directrices sobre análisis del mercado y evaluación del peso significativo en el mercado dentro del marco regulador de las redes y los servicios de comunicaciones electrónicas de la UE, </w:t>
      </w:r>
      <w:r w:rsidRPr="008F2EB6">
        <w:rPr>
          <w:rFonts w:ascii="Arial" w:hAnsi="Arial" w:cs="Arial"/>
          <w:sz w:val="14"/>
          <w:szCs w:val="14"/>
        </w:rPr>
        <w:t xml:space="preserve">párrafo 29. No obstante, la CBC también ha señalado que pueden utilizarse parámetros distintos para la duración o porcentaje, si el caso lo amerita. CBC (2011). </w:t>
      </w:r>
      <w:r w:rsidRPr="008F2EB6">
        <w:rPr>
          <w:rFonts w:ascii="Arial" w:hAnsi="Arial" w:cs="Arial"/>
          <w:i/>
          <w:sz w:val="14"/>
          <w:szCs w:val="14"/>
        </w:rPr>
        <w:t>Merger Enforcement Guidelines</w:t>
      </w:r>
      <w:r w:rsidRPr="008F2EB6">
        <w:rPr>
          <w:rFonts w:ascii="Arial" w:hAnsi="Arial" w:cs="Arial"/>
          <w:sz w:val="14"/>
          <w:szCs w:val="14"/>
        </w:rPr>
        <w:t>. p. 11.</w:t>
      </w:r>
    </w:p>
  </w:footnote>
  <w:footnote w:id="39">
    <w:p w14:paraId="5A26C343"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Esta situación se denomina “Falacia del Celofán”, en la cual, los precios de referencia sobre los que se aplica la Prueba SSNIP se ubican por encima del nivel de precios de un mercado en competencia, lo que implica que al aplicar la prueba se podrían encontrar indicios de sustitución hacia productos que los consumidores no consideran sustitutos cercanos en un entorno más competitivo y, por lo tanto, se podrían definir mercados demasiado amplios. Se le denomina así a partir del caso de la Suprema Corte de los Estados Unidos de América contra Du Pont de Nemours &amp; Co en 1956. </w:t>
      </w:r>
      <w:r w:rsidRPr="008F2EB6">
        <w:rPr>
          <w:rFonts w:ascii="Arial" w:hAnsi="Arial" w:cs="Arial"/>
          <w:sz w:val="14"/>
          <w:szCs w:val="14"/>
          <w:lang w:val="en-GB"/>
        </w:rPr>
        <w:t xml:space="preserve">Véase: OCDE (2012). Market Definition. pp. 40, 329 y OCDE (1996). </w:t>
      </w:r>
      <w:r w:rsidRPr="008F2EB6">
        <w:rPr>
          <w:rFonts w:ascii="Arial" w:hAnsi="Arial" w:cs="Arial"/>
          <w:sz w:val="14"/>
          <w:szCs w:val="14"/>
          <w:lang w:val="en-US"/>
        </w:rPr>
        <w:t xml:space="preserve">Abuse of Dominance and Monopolisation. </w:t>
      </w:r>
      <w:r w:rsidRPr="008F2EB6">
        <w:rPr>
          <w:rFonts w:ascii="Arial" w:hAnsi="Arial" w:cs="Arial"/>
          <w:sz w:val="14"/>
          <w:szCs w:val="14"/>
        </w:rPr>
        <w:t>Disponible en: https://www.oecd.org/competition/abuse/2379408.pdf</w:t>
      </w:r>
    </w:p>
  </w:footnote>
  <w:footnote w:id="40">
    <w:p w14:paraId="1C1DB962" w14:textId="77777777" w:rsidR="00A457CE" w:rsidRPr="008F2EB6" w:rsidRDefault="00A457CE" w:rsidP="008F2EB6">
      <w:pPr>
        <w:pStyle w:val="Textonotapie"/>
        <w:jc w:val="both"/>
        <w:rPr>
          <w:rFonts w:ascii="Arial" w:hAnsi="Arial" w:cs="Arial"/>
          <w:sz w:val="14"/>
          <w:szCs w:val="14"/>
        </w:rPr>
      </w:pPr>
      <w:r w:rsidRPr="008F2EB6">
        <w:rPr>
          <w:rFonts w:ascii="Arial" w:hAnsi="Arial" w:cs="Arial"/>
          <w:sz w:val="14"/>
          <w:szCs w:val="14"/>
          <w:vertAlign w:val="superscript"/>
        </w:rPr>
        <w:footnoteRef/>
      </w:r>
      <w:r w:rsidRPr="008F2EB6">
        <w:rPr>
          <w:rFonts w:ascii="Arial" w:hAnsi="Arial" w:cs="Arial"/>
          <w:sz w:val="14"/>
          <w:szCs w:val="14"/>
        </w:rPr>
        <w:t xml:space="preserve"> El consumidor marginal es aquél que es simplemente indiferente entre comprar el producto y prescindir de él, dado el precio de mercado. </w:t>
      </w:r>
      <w:r w:rsidRPr="008F2EB6">
        <w:rPr>
          <w:rFonts w:ascii="Arial" w:hAnsi="Arial" w:cs="Arial"/>
          <w:sz w:val="14"/>
          <w:szCs w:val="14"/>
          <w:lang w:val="en-US"/>
        </w:rPr>
        <w:t xml:space="preserve">En: Keith N. Hylton (2003). </w:t>
      </w:r>
      <w:r w:rsidRPr="008F2EB6">
        <w:rPr>
          <w:rFonts w:ascii="Arial" w:hAnsi="Arial" w:cs="Arial"/>
          <w:i/>
          <w:sz w:val="14"/>
          <w:szCs w:val="14"/>
          <w:lang w:val="en-US"/>
        </w:rPr>
        <w:t>Antitrust Law: Economic Theory and Common Law Evolution</w:t>
      </w:r>
      <w:r w:rsidRPr="008F2EB6">
        <w:rPr>
          <w:rFonts w:ascii="Arial" w:hAnsi="Arial" w:cs="Arial"/>
          <w:sz w:val="14"/>
          <w:szCs w:val="14"/>
          <w:lang w:val="en-US"/>
        </w:rPr>
        <w:t xml:space="preserve">. </w:t>
      </w:r>
      <w:r w:rsidRPr="008F2EB6">
        <w:rPr>
          <w:rFonts w:ascii="Arial" w:hAnsi="Arial" w:cs="Arial"/>
          <w:sz w:val="14"/>
          <w:szCs w:val="14"/>
        </w:rPr>
        <w:t>Cambridge University Press.</w:t>
      </w:r>
    </w:p>
  </w:footnote>
  <w:footnote w:id="41">
    <w:p w14:paraId="3B5DA87D"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Instituto (2020). </w:t>
      </w:r>
      <w:r w:rsidRPr="008F2EB6">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F2EB6">
        <w:rPr>
          <w:rFonts w:ascii="Arial" w:hAnsi="Arial" w:cs="Arial"/>
          <w:sz w:val="14"/>
          <w:szCs w:val="14"/>
        </w:rPr>
        <w:t xml:space="preserve">. Acuerdo P/IFT/181120/436. </w:t>
      </w:r>
    </w:p>
  </w:footnote>
  <w:footnote w:id="42">
    <w:p w14:paraId="13158C9E"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rPr>
        <w:t xml:space="preserve"> En cuanto a las pruebas de correlación de precios, Motta (2004), señala que “</w:t>
      </w:r>
      <w:r w:rsidRPr="008F2EB6">
        <w:rPr>
          <w:rFonts w:ascii="Arial" w:hAnsi="Arial" w:cs="Arial"/>
          <w:i/>
          <w:sz w:val="14"/>
          <w:szCs w:val="14"/>
        </w:rPr>
        <w:t>hay que tener cuidado al sacar conclusiones cuando dos productos muestran una correlación muy alta de precios, y analizar otras pruebas antes de llegar a la conclusión de que están en el mismo mercado</w:t>
      </w:r>
      <w:r w:rsidRPr="008F2EB6">
        <w:rPr>
          <w:rFonts w:ascii="Arial" w:hAnsi="Arial" w:cs="Arial"/>
          <w:sz w:val="14"/>
          <w:szCs w:val="14"/>
        </w:rPr>
        <w:t>”.  En ese sentido, advierte que estas pruebas proporcionan “</w:t>
      </w:r>
      <w:r w:rsidRPr="008F2EB6">
        <w:rPr>
          <w:rFonts w:ascii="Arial" w:hAnsi="Arial" w:cs="Arial"/>
          <w:i/>
          <w:sz w:val="14"/>
          <w:szCs w:val="14"/>
        </w:rPr>
        <w:t>un mecanismo de filtro (screening) muy útil para señalar productos que no forman parte de mismo mercado, en lugar de productos que se encuentran en el mismo mercado. Por ejemplo, un coeficiente de correlación entre las series de precios de los productos A y B que se estima que está por debajo de un determinado umbral (que puede ser, por ejemplo, 0.8) nos dará una firme suposición de que estos dos productos no están en el mismo mercado</w:t>
      </w:r>
      <w:r w:rsidRPr="008F2EB6">
        <w:rPr>
          <w:rFonts w:ascii="Arial" w:hAnsi="Arial" w:cs="Arial"/>
          <w:sz w:val="14"/>
          <w:szCs w:val="14"/>
        </w:rPr>
        <w:t xml:space="preserve">”. Motta (2018). Política de competencia, teoría y práctica, pp. 145 y 146; edición en español de Motta (2004). </w:t>
      </w:r>
      <w:r w:rsidRPr="008F2EB6">
        <w:rPr>
          <w:rFonts w:ascii="Arial" w:hAnsi="Arial" w:cs="Arial"/>
          <w:i/>
          <w:sz w:val="14"/>
          <w:szCs w:val="14"/>
          <w:lang w:val="en-US"/>
        </w:rPr>
        <w:t>Competition Policy: Theory and Practice</w:t>
      </w:r>
      <w:r w:rsidRPr="008F2EB6">
        <w:rPr>
          <w:rFonts w:ascii="Arial" w:hAnsi="Arial" w:cs="Arial"/>
          <w:sz w:val="14"/>
          <w:szCs w:val="14"/>
          <w:lang w:val="en-US"/>
        </w:rPr>
        <w:t>.</w:t>
      </w:r>
    </w:p>
  </w:footnote>
  <w:footnote w:id="43">
    <w:p w14:paraId="3CC04EA2"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 xml:space="preserve"> p. 20.</w:t>
      </w:r>
    </w:p>
  </w:footnote>
  <w:footnote w:id="44">
    <w:p w14:paraId="3895706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OCDE (2011). Herramientas para la evaluación de la competencia. Volumen II: Guía., p. 41. Disponible en: </w:t>
      </w:r>
      <w:hyperlink r:id="rId48" w:history="1">
        <w:r w:rsidRPr="008F2EB6">
          <w:rPr>
            <w:rStyle w:val="Hipervnculo"/>
            <w:rFonts w:ascii="Arial" w:hAnsi="Arial" w:cs="Arial"/>
            <w:sz w:val="14"/>
            <w:szCs w:val="14"/>
          </w:rPr>
          <w:t>https://www.oecd.org/daf/competition/98765433.pdf</w:t>
        </w:r>
      </w:hyperlink>
      <w:r w:rsidRPr="008F2EB6">
        <w:rPr>
          <w:rFonts w:ascii="Arial" w:hAnsi="Arial" w:cs="Arial"/>
          <w:sz w:val="14"/>
          <w:szCs w:val="14"/>
        </w:rPr>
        <w:t>.</w:t>
      </w:r>
    </w:p>
  </w:footnote>
  <w:footnote w:id="45">
    <w:p w14:paraId="5805C0D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La demanda se caracteriza por un efecto o externalidad de red directa cuando la disposición de los consumidores a pagar por un producto depende del número de otros consumidores (o de la cantidad comprada) del mismo producto. </w:t>
      </w:r>
    </w:p>
    <w:p w14:paraId="6FC3AC07" w14:textId="77777777" w:rsidR="00A457CE" w:rsidRPr="008F2EB6" w:rsidRDefault="00A457CE" w:rsidP="008F2EB6">
      <w:pPr>
        <w:pStyle w:val="Textonotapie"/>
        <w:jc w:val="both"/>
        <w:rPr>
          <w:rFonts w:ascii="Arial" w:hAnsi="Arial" w:cs="Arial"/>
          <w:sz w:val="14"/>
          <w:szCs w:val="14"/>
        </w:rPr>
      </w:pPr>
      <w:r w:rsidRPr="008F2EB6">
        <w:rPr>
          <w:rFonts w:ascii="Arial" w:hAnsi="Arial" w:cs="Arial"/>
          <w:sz w:val="14"/>
          <w:szCs w:val="14"/>
          <w:lang w:val="en-US"/>
        </w:rPr>
        <w:t xml:space="preserve">OCDE (2018). </w:t>
      </w:r>
      <w:r w:rsidRPr="008F2EB6">
        <w:rPr>
          <w:rFonts w:ascii="Arial" w:hAnsi="Arial" w:cs="Arial"/>
          <w:i/>
          <w:iCs/>
          <w:sz w:val="14"/>
          <w:szCs w:val="14"/>
          <w:lang w:val="en-US"/>
        </w:rPr>
        <w:t>Rethinking Antitrust Tools for Multi-sided Platforms</w:t>
      </w:r>
      <w:r w:rsidRPr="008F2EB6">
        <w:rPr>
          <w:rFonts w:ascii="Arial" w:hAnsi="Arial" w:cs="Arial"/>
          <w:sz w:val="14"/>
          <w:szCs w:val="14"/>
          <w:lang w:val="en-US"/>
        </w:rPr>
        <w:t xml:space="preserve">. </w:t>
      </w:r>
      <w:r w:rsidRPr="008F2EB6">
        <w:rPr>
          <w:rFonts w:ascii="Arial" w:hAnsi="Arial" w:cs="Arial"/>
          <w:sz w:val="14"/>
          <w:szCs w:val="14"/>
        </w:rPr>
        <w:t>Disponible en: https://www.oecd.org/daf/competition/Rethinking-antitrust-tools-for-multi-sided-platforms-2018.pdf.(Nota 3)</w:t>
      </w:r>
    </w:p>
  </w:footnote>
  <w:footnote w:id="46">
    <w:p w14:paraId="40AB840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0EF4C136"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(2014). Acuerdo P/IFT/EXT/181214/282.</w:t>
      </w:r>
    </w:p>
    <w:p w14:paraId="5EA4DEBA"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(2017). Acuerdo P/IFT/230117/8</w:t>
      </w:r>
      <w:r w:rsidRPr="008F2EB6">
        <w:rPr>
          <w:rFonts w:ascii="Arial" w:hAnsi="Arial" w:cs="Arial"/>
          <w:i/>
          <w:sz w:val="14"/>
          <w:szCs w:val="14"/>
        </w:rPr>
        <w:t>.</w:t>
      </w:r>
      <w:r w:rsidRPr="008F2EB6">
        <w:rPr>
          <w:rFonts w:ascii="Arial" w:hAnsi="Arial" w:cs="Arial"/>
          <w:sz w:val="14"/>
          <w:szCs w:val="14"/>
        </w:rPr>
        <w:t xml:space="preserve"> </w:t>
      </w:r>
    </w:p>
    <w:p w14:paraId="7601628E"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(2020). </w:t>
      </w:r>
      <w:r w:rsidRPr="008F2EB6">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F2EB6">
        <w:rPr>
          <w:rFonts w:ascii="Arial" w:hAnsi="Arial" w:cs="Arial"/>
          <w:sz w:val="14"/>
          <w:szCs w:val="14"/>
        </w:rPr>
        <w:t xml:space="preserve">. Acuerdo P/IFT/181120/436.  </w:t>
      </w:r>
    </w:p>
    <w:p w14:paraId="2E2ECB6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(2014). Acuerdo P/IFT/160414/92. Disponible en: </w:t>
      </w:r>
      <w:hyperlink r:id="rId49" w:history="1">
        <w:r w:rsidRPr="008F2EB6">
          <w:rPr>
            <w:rStyle w:val="Hipervnculo"/>
            <w:rFonts w:ascii="Arial" w:hAnsi="Arial" w:cs="Arial"/>
            <w:sz w:val="14"/>
            <w:szCs w:val="14"/>
          </w:rPr>
          <w:t>http://apps.ift.org.mx/publicdata/VP_P_IFT_160414_92.pdf</w:t>
        </w:r>
      </w:hyperlink>
    </w:p>
    <w:p w14:paraId="543D5AB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(2017). Acuerdo P/IFT/181017/651. Disponible en: </w:t>
      </w:r>
      <w:hyperlink r:id="rId50" w:history="1">
        <w:r w:rsidRPr="008F2EB6">
          <w:rPr>
            <w:rStyle w:val="Hipervnculo"/>
            <w:rFonts w:ascii="Arial" w:hAnsi="Arial" w:cs="Arial"/>
            <w:sz w:val="14"/>
            <w:szCs w:val="14"/>
          </w:rPr>
          <w:t>http://apps.ift.org.mx/publicdata/VP_P_IFT_181017_651.pdf</w:t>
        </w:r>
      </w:hyperlink>
    </w:p>
    <w:p w14:paraId="50CE492B"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(2019). Acuerdo P/IFT/131119/737. Disponible en: </w:t>
      </w:r>
      <w:hyperlink r:id="rId51" w:history="1">
        <w:r w:rsidRPr="008F2EB6">
          <w:rPr>
            <w:rStyle w:val="Hipervnculo"/>
            <w:rFonts w:ascii="Arial" w:hAnsi="Arial" w:cs="Arial"/>
            <w:sz w:val="14"/>
            <w:szCs w:val="14"/>
          </w:rPr>
          <w:t>http://apps.ift.org.mx/publicdata/VP_P_IFT_131119_737_Acc.pdf</w:t>
        </w:r>
      </w:hyperlink>
      <w:r w:rsidRPr="008F2EB6">
        <w:rPr>
          <w:rFonts w:ascii="Arial" w:hAnsi="Arial" w:cs="Arial"/>
          <w:sz w:val="14"/>
          <w:szCs w:val="14"/>
        </w:rPr>
        <w:t xml:space="preserve"> </w:t>
      </w:r>
    </w:p>
    <w:p w14:paraId="14D9C7EC"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(2017).</w:t>
      </w:r>
      <w:r w:rsidRPr="008F2EB6">
        <w:rPr>
          <w:rFonts w:ascii="Arial" w:hAnsi="Arial" w:cs="Arial"/>
          <w:b/>
          <w:bCs/>
          <w:sz w:val="14"/>
          <w:szCs w:val="14"/>
        </w:rPr>
        <w:t xml:space="preserve"> </w:t>
      </w:r>
      <w:r w:rsidRPr="008F2EB6">
        <w:rPr>
          <w:rFonts w:ascii="Arial" w:hAnsi="Arial" w:cs="Arial"/>
          <w:i/>
          <w:sz w:val="14"/>
          <w:szCs w:val="14"/>
        </w:rPr>
        <w:t xml:space="preserve">RESOLUCIÓN MEDIANTE LA CUAL EL PLENO DEL INSTITUTO FEDERAL DE TELECOMUNICACIONES AUTORIZA LLEVAR A CABO LA CONCENTRACIÓN RADICADA BAJO EL EXPEDIENTE NO. </w:t>
      </w:r>
      <w:r w:rsidRPr="008F2EB6">
        <w:rPr>
          <w:rFonts w:ascii="Arial" w:hAnsi="Arial" w:cs="Arial"/>
          <w:i/>
          <w:sz w:val="14"/>
          <w:szCs w:val="14"/>
          <w:lang w:val="en-US"/>
        </w:rPr>
        <w:t xml:space="preserve">UCE/CNC-004-2016, NOTIFICADA POR AT&amp;T INC., WEST MERGER SUB INC. </w:t>
      </w:r>
      <w:r w:rsidRPr="008F2EB6">
        <w:rPr>
          <w:rFonts w:ascii="Arial" w:hAnsi="Arial" w:cs="Arial"/>
          <w:i/>
          <w:sz w:val="14"/>
          <w:szCs w:val="14"/>
        </w:rPr>
        <w:t>Y TIME WARNER INC SUJETA AL CUMPLIMIENTO DE CONDICIONES</w:t>
      </w:r>
      <w:r w:rsidRPr="008F2EB6">
        <w:rPr>
          <w:rFonts w:ascii="Arial" w:hAnsi="Arial" w:cs="Arial"/>
          <w:sz w:val="14"/>
          <w:szCs w:val="14"/>
        </w:rPr>
        <w:t xml:space="preserve">. Acuerdo </w:t>
      </w:r>
      <w:r w:rsidRPr="008F2EB6">
        <w:rPr>
          <w:rFonts w:ascii="Arial" w:hAnsi="Arial" w:cs="Arial"/>
          <w:bCs/>
          <w:sz w:val="14"/>
          <w:szCs w:val="14"/>
        </w:rPr>
        <w:t xml:space="preserve">P/IFT/150817/487. </w:t>
      </w:r>
    </w:p>
    <w:p w14:paraId="01D75F4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(2019). </w:t>
      </w:r>
      <w:r w:rsidRPr="008F2EB6">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P/IFT/110319/122.</w:t>
      </w:r>
    </w:p>
    <w:p w14:paraId="3E6F2FFD"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(2014). </w:t>
      </w:r>
      <w:r w:rsidRPr="008F2EB6">
        <w:rPr>
          <w:rFonts w:ascii="Arial" w:hAnsi="Arial" w:cs="Arial"/>
          <w:i/>
          <w:sz w:val="14"/>
          <w:szCs w:val="14"/>
        </w:rPr>
        <w:t>Bases de la Licitación IFT-1.</w:t>
      </w:r>
      <w:r w:rsidRPr="008F2EB6">
        <w:rPr>
          <w:rFonts w:ascii="Arial" w:hAnsi="Arial" w:cs="Arial"/>
          <w:sz w:val="14"/>
          <w:szCs w:val="14"/>
        </w:rPr>
        <w:t xml:space="preserve"> Disponibles en: </w:t>
      </w:r>
      <w:hyperlink r:id="rId52" w:history="1">
        <w:r w:rsidRPr="008F2EB6">
          <w:rPr>
            <w:rStyle w:val="Hipervnculo"/>
            <w:rFonts w:ascii="Arial" w:hAnsi="Arial" w:cs="Arial"/>
            <w:sz w:val="14"/>
            <w:szCs w:val="14"/>
          </w:rPr>
          <w:t>http://www.ift.org.mx/industria/espectro-radioelectrico/radiodifusion/2014/ift-1-licitacion-de-dos-cadenas-de-television-radiodifundida-digital</w:t>
        </w:r>
      </w:hyperlink>
      <w:r w:rsidRPr="008F2EB6">
        <w:rPr>
          <w:rFonts w:ascii="Arial" w:hAnsi="Arial" w:cs="Arial"/>
          <w:sz w:val="14"/>
          <w:szCs w:val="14"/>
        </w:rPr>
        <w:t xml:space="preserve">. </w:t>
      </w:r>
    </w:p>
    <w:p w14:paraId="4A90C6CB"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(2014). </w:t>
      </w:r>
      <w:r w:rsidRPr="008F2EB6">
        <w:rPr>
          <w:rFonts w:ascii="Arial" w:hAnsi="Arial" w:cs="Arial"/>
          <w:i/>
          <w:sz w:val="14"/>
          <w:szCs w:val="14"/>
        </w:rPr>
        <w:t>Opiniones en materia de competencia económica emitidas por el Instituto en la Licitación IFT-1.</w:t>
      </w:r>
      <w:r w:rsidRPr="008F2EB6">
        <w:rPr>
          <w:rFonts w:ascii="Arial" w:hAnsi="Arial" w:cs="Arial"/>
          <w:sz w:val="14"/>
          <w:szCs w:val="14"/>
        </w:rPr>
        <w:t xml:space="preserve"> Disponibles en: </w:t>
      </w:r>
      <w:hyperlink r:id="rId53" w:anchor="overlay-context=pagina-de-inicio/apendices" w:history="1">
        <w:r w:rsidRPr="008F2EB6">
          <w:rPr>
            <w:rStyle w:val="Hipervnculo"/>
            <w:rFonts w:ascii="Arial" w:hAnsi="Arial" w:cs="Arial"/>
            <w:sz w:val="14"/>
            <w:szCs w:val="14"/>
          </w:rPr>
          <w:t>http://www.ift.org.mx/pagina-de-inicio/opiniones-en-materia-de-competencia-economica#overlay-context=pagina-de-inicio/apendices</w:t>
        </w:r>
      </w:hyperlink>
    </w:p>
    <w:p w14:paraId="2F2727F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(2016). </w:t>
      </w:r>
      <w:r w:rsidRPr="008F2EB6">
        <w:rPr>
          <w:rFonts w:ascii="Arial" w:hAnsi="Arial" w:cs="Arial"/>
          <w:i/>
          <w:sz w:val="14"/>
          <w:szCs w:val="14"/>
        </w:rPr>
        <w:t>Bases de la Licitación IFT-6</w:t>
      </w:r>
      <w:r w:rsidRPr="008F2EB6">
        <w:rPr>
          <w:rFonts w:ascii="Arial" w:hAnsi="Arial" w:cs="Arial"/>
          <w:sz w:val="14"/>
          <w:szCs w:val="14"/>
        </w:rPr>
        <w:t xml:space="preserve">. Disponibles en: </w:t>
      </w:r>
      <w:hyperlink r:id="rId54" w:history="1">
        <w:r w:rsidRPr="008F2EB6">
          <w:rPr>
            <w:rStyle w:val="Hipervnculo"/>
            <w:rFonts w:ascii="Arial" w:hAnsi="Arial" w:cs="Arial"/>
            <w:sz w:val="14"/>
            <w:szCs w:val="14"/>
          </w:rPr>
          <w:t>http://www.ift.org.mx/industria/espectro-radioelectrico/television/2016/licitacion-no-ift-6-television-radiodifundida-digital</w:t>
        </w:r>
      </w:hyperlink>
      <w:r w:rsidRPr="008F2EB6">
        <w:rPr>
          <w:rFonts w:ascii="Arial" w:hAnsi="Arial" w:cs="Arial"/>
          <w:sz w:val="14"/>
          <w:szCs w:val="14"/>
        </w:rPr>
        <w:t>.</w:t>
      </w:r>
    </w:p>
    <w:p w14:paraId="0C354737"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(2016).</w:t>
      </w:r>
      <w:r w:rsidRPr="008F2EB6">
        <w:rPr>
          <w:rFonts w:ascii="Arial" w:hAnsi="Arial" w:cs="Arial"/>
          <w:b/>
          <w:bCs/>
          <w:sz w:val="14"/>
          <w:szCs w:val="14"/>
        </w:rPr>
        <w:t xml:space="preserve"> </w:t>
      </w:r>
      <w:r w:rsidRPr="008F2EB6">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F2EB6">
        <w:rPr>
          <w:rFonts w:ascii="Arial" w:hAnsi="Arial" w:cs="Arial"/>
          <w:sz w:val="14"/>
          <w:szCs w:val="14"/>
        </w:rPr>
        <w:t xml:space="preserve">. Acuerdo </w:t>
      </w:r>
      <w:r w:rsidRPr="008F2EB6">
        <w:rPr>
          <w:rFonts w:ascii="Arial" w:hAnsi="Arial" w:cs="Arial"/>
          <w:bCs/>
          <w:sz w:val="14"/>
          <w:szCs w:val="14"/>
        </w:rPr>
        <w:t>P/IFT/EXT/190216/7.</w:t>
      </w:r>
    </w:p>
    <w:p w14:paraId="72F9AE97"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(2016). </w:t>
      </w:r>
      <w:r w:rsidRPr="008F2EB6">
        <w:rPr>
          <w:rFonts w:ascii="Arial" w:hAnsi="Arial" w:cs="Arial"/>
          <w:i/>
          <w:sz w:val="14"/>
          <w:szCs w:val="14"/>
        </w:rPr>
        <w:t>Bases de la Licitación IFT-4</w:t>
      </w:r>
      <w:r w:rsidRPr="008F2EB6">
        <w:rPr>
          <w:rFonts w:ascii="Arial" w:hAnsi="Arial" w:cs="Arial"/>
          <w:sz w:val="14"/>
          <w:szCs w:val="14"/>
        </w:rPr>
        <w:t xml:space="preserve">. Disponible en: </w:t>
      </w:r>
      <w:hyperlink r:id="rId55" w:history="1">
        <w:r w:rsidRPr="008F2EB6">
          <w:rPr>
            <w:rStyle w:val="Hipervnculo"/>
            <w:rFonts w:ascii="Arial" w:hAnsi="Arial" w:cs="Arial"/>
            <w:sz w:val="14"/>
            <w:szCs w:val="14"/>
          </w:rPr>
          <w:t>http://www.ift.org.mx/sites/default/files/industria/espectro-radioelectrico/radiodifusion/2016/4/basesift-4_1.pdf</w:t>
        </w:r>
      </w:hyperlink>
      <w:r w:rsidRPr="008F2EB6">
        <w:rPr>
          <w:rFonts w:ascii="Arial" w:hAnsi="Arial" w:cs="Arial"/>
          <w:sz w:val="14"/>
          <w:szCs w:val="14"/>
        </w:rPr>
        <w:t>. Ver el numeral “6. Limitantes de participación en la Licitación”.</w:t>
      </w:r>
    </w:p>
    <w:p w14:paraId="6FABDE1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(2018). Acuerdo P/IFT/121218/948 y Dictamen Preliminar emitido en el Expediente AC/DC-004-2018.</w:t>
      </w:r>
    </w:p>
    <w:p w14:paraId="2F74600A"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(2013). </w:t>
      </w:r>
      <w:r w:rsidRPr="008F2EB6">
        <w:rPr>
          <w:rFonts w:ascii="Arial" w:hAnsi="Arial" w:cs="Arial"/>
          <w:i/>
          <w:caps/>
          <w:sz w:val="14"/>
          <w:szCs w:val="14"/>
        </w:rPr>
        <w:t>Resolución mediante la cual el Pleno del Instituto Federal de Telecomunicaciones autoriza que se realice la concentración radicada bajo el expediente No. E- IFT/DGCCC/CNC/0002/2013, notificada por Satmex lnternational Coperatieve U.A., lntenal Mexicana, S.A.P.l. de C.V. Alejandro Sainz Orantes, Centerbridge Capital Partners SBS (Cayman). L.P., Eja Holdings LTD, Satmex lnternational B.V., Holdsat México, S.A.P.I. de C.V., Satélites Mexicanos, S.A. de C.V. y Eutelsat. S.A.</w:t>
      </w:r>
      <w:r w:rsidRPr="008F2EB6">
        <w:rPr>
          <w:rFonts w:ascii="Arial" w:hAnsi="Arial" w:cs="Arial"/>
          <w:sz w:val="14"/>
          <w:szCs w:val="14"/>
        </w:rPr>
        <w:t xml:space="preserve"> Acuerdo P/IFT/271113/20.</w:t>
      </w:r>
      <w:r w:rsidRPr="008F2EB6" w:rsidDel="00A9480E">
        <w:rPr>
          <w:rFonts w:ascii="Arial" w:hAnsi="Arial" w:cs="Arial"/>
          <w:sz w:val="14"/>
          <w:szCs w:val="14"/>
        </w:rPr>
        <w:t xml:space="preserve"> </w:t>
      </w:r>
    </w:p>
    <w:p w14:paraId="1E953C52"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(2015). </w:t>
      </w:r>
      <w:r w:rsidRPr="008F2EB6">
        <w:rPr>
          <w:rFonts w:ascii="Arial" w:hAnsi="Arial" w:cs="Arial"/>
          <w:i/>
          <w:sz w:val="14"/>
          <w:szCs w:val="14"/>
        </w:rPr>
        <w:t xml:space="preserve">RESOLUCIÓN MEDIANTE LA CUAL EL PLENO DEL INSTITUTO FEDERAL DE TELECOMUNICACIONES AUTORIZA QUE SE REALICE LA CONCENTRACIÓN RADICADA BAJO EL EXPEDIENTE NO. </w:t>
      </w:r>
      <w:r w:rsidRPr="008F2EB6">
        <w:rPr>
          <w:rFonts w:ascii="Arial" w:hAnsi="Arial" w:cs="Arial"/>
          <w:i/>
          <w:sz w:val="14"/>
          <w:szCs w:val="14"/>
          <w:lang w:val="en-US"/>
        </w:rPr>
        <w:t xml:space="preserve">UCE/CNC-001-2015, NOTIFICADA POR AT&amp;T, INC. Y NII HOLDINGS, INC. </w:t>
      </w:r>
      <w:r w:rsidRPr="008F2EB6">
        <w:rPr>
          <w:rFonts w:ascii="Arial" w:hAnsi="Arial" w:cs="Arial"/>
          <w:sz w:val="14"/>
          <w:szCs w:val="14"/>
        </w:rPr>
        <w:t xml:space="preserve">Acuerdo P/IFT/EXT/290415/86. </w:t>
      </w:r>
    </w:p>
    <w:p w14:paraId="5E37E3B7" w14:textId="77777777" w:rsidR="00A457CE" w:rsidRPr="008F2EB6" w:rsidRDefault="00A457CE" w:rsidP="008F2EB6">
      <w:pPr>
        <w:pStyle w:val="Textonotapie"/>
        <w:numPr>
          <w:ilvl w:val="0"/>
          <w:numId w:val="28"/>
        </w:numPr>
        <w:jc w:val="both"/>
        <w:rPr>
          <w:rFonts w:ascii="Arial" w:hAnsi="Arial" w:cs="Arial"/>
          <w:sz w:val="14"/>
          <w:szCs w:val="14"/>
        </w:rPr>
      </w:pPr>
      <w:r w:rsidRPr="008F2EB6">
        <w:rPr>
          <w:rStyle w:val="Refdenotaalpie"/>
          <w:rFonts w:ascii="Arial" w:hAnsi="Arial" w:cs="Arial"/>
          <w:sz w:val="14"/>
          <w:szCs w:val="14"/>
        </w:rPr>
        <w:t>I</w:t>
      </w:r>
      <w:r w:rsidRPr="008F2EB6">
        <w:rPr>
          <w:rFonts w:ascii="Arial" w:hAnsi="Arial" w:cs="Arial"/>
          <w:sz w:val="14"/>
          <w:szCs w:val="14"/>
        </w:rPr>
        <w:t>nstituto (2018).</w:t>
      </w:r>
      <w:r w:rsidRPr="008F2EB6">
        <w:rPr>
          <w:rStyle w:val="Refdenotaalpie"/>
          <w:rFonts w:ascii="Arial" w:hAnsi="Arial" w:cs="Arial"/>
          <w:sz w:val="14"/>
          <w:szCs w:val="14"/>
        </w:rPr>
        <w:t xml:space="preserve"> </w:t>
      </w:r>
      <w:r w:rsidRPr="008F2EB6">
        <w:rPr>
          <w:rFonts w:ascii="Arial" w:hAnsi="Arial" w:cs="Arial"/>
          <w:sz w:val="14"/>
          <w:szCs w:val="14"/>
        </w:rPr>
        <w:t>Acuerdo P/IFT/220818/511.</w:t>
      </w:r>
    </w:p>
  </w:footnote>
  <w:footnote w:id="47">
    <w:p w14:paraId="2127B9BA"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Guía de Concentraciones. p. 31.</w:t>
      </w:r>
    </w:p>
  </w:footnote>
  <w:footnote w:id="48">
    <w:p w14:paraId="0C0CCAAC"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61C7E181"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CE (1997). </w:t>
      </w:r>
      <w:r w:rsidRPr="008F2EB6">
        <w:rPr>
          <w:rFonts w:ascii="Arial" w:hAnsi="Arial" w:cs="Arial"/>
          <w:i/>
          <w:sz w:val="14"/>
          <w:szCs w:val="14"/>
        </w:rPr>
        <w:t>COMUNICACIÓN DE LA COMISIÓN relativa a la definición de mercado de referencia a efectos de la normativa comunitaria en materia de competencia</w:t>
      </w:r>
      <w:r w:rsidRPr="008F2EB6">
        <w:rPr>
          <w:rFonts w:ascii="Arial" w:hAnsi="Arial" w:cs="Arial"/>
          <w:sz w:val="14"/>
          <w:szCs w:val="14"/>
        </w:rPr>
        <w:t xml:space="preserve">. </w:t>
      </w:r>
    </w:p>
    <w:p w14:paraId="4C22F478"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xml:space="preserve">. p. 8. </w:t>
      </w:r>
    </w:p>
    <w:p w14:paraId="74097AEE"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párrafo 43.</w:t>
      </w:r>
    </w:p>
    <w:p w14:paraId="2ABDE66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CE (2007). </w:t>
      </w:r>
      <w:r w:rsidRPr="008F2EB6">
        <w:rPr>
          <w:rFonts w:ascii="Arial" w:hAnsi="Arial" w:cs="Arial"/>
          <w:i/>
          <w:sz w:val="14"/>
          <w:szCs w:val="14"/>
        </w:rPr>
        <w:t>Case No COMP/M.4439 – Ryanair / Aer Lingus</w:t>
      </w:r>
      <w:r w:rsidRPr="008F2EB6">
        <w:rPr>
          <w:rFonts w:ascii="Arial" w:hAnsi="Arial" w:cs="Arial"/>
          <w:sz w:val="14"/>
          <w:szCs w:val="14"/>
        </w:rPr>
        <w:t xml:space="preserve">. Disponible en </w:t>
      </w:r>
      <w:hyperlink r:id="rId56" w:history="1">
        <w:r w:rsidRPr="008F2EB6">
          <w:rPr>
            <w:rStyle w:val="Hipervnculo"/>
            <w:rFonts w:ascii="Arial" w:hAnsi="Arial" w:cs="Arial"/>
            <w:sz w:val="14"/>
            <w:szCs w:val="14"/>
          </w:rPr>
          <w:t>https://ec.europa.eu/competition/mergers/cases/decisions/m4439_20070627_20610_en.pdf</w:t>
        </w:r>
      </w:hyperlink>
    </w:p>
    <w:p w14:paraId="523D1DFD" w14:textId="77777777" w:rsidR="00A457CE" w:rsidRPr="008F2EB6" w:rsidRDefault="00A457CE" w:rsidP="008F2EB6">
      <w:pPr>
        <w:pStyle w:val="Textonotapie"/>
        <w:numPr>
          <w:ilvl w:val="0"/>
          <w:numId w:val="28"/>
        </w:numPr>
        <w:jc w:val="both"/>
        <w:rPr>
          <w:rFonts w:ascii="Arial" w:hAnsi="Arial" w:cs="Arial"/>
          <w:sz w:val="14"/>
          <w:szCs w:val="14"/>
        </w:rPr>
      </w:pPr>
    </w:p>
  </w:footnote>
  <w:footnote w:id="49">
    <w:p w14:paraId="0DB45691"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5A69C27B"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CMA/OFT (2004). </w:t>
      </w:r>
      <w:r w:rsidRPr="008F2EB6">
        <w:rPr>
          <w:rFonts w:ascii="Arial" w:hAnsi="Arial" w:cs="Arial"/>
          <w:i/>
          <w:sz w:val="14"/>
          <w:szCs w:val="14"/>
          <w:lang w:val="en-US"/>
        </w:rPr>
        <w:t>Market definition, Understanding competition law</w:t>
      </w:r>
      <w:r w:rsidRPr="008F2EB6">
        <w:rPr>
          <w:rFonts w:ascii="Arial" w:hAnsi="Arial" w:cs="Arial"/>
          <w:sz w:val="14"/>
          <w:szCs w:val="14"/>
          <w:lang w:val="en-US"/>
        </w:rPr>
        <w:t xml:space="preserve">. </w:t>
      </w:r>
    </w:p>
    <w:p w14:paraId="2656BF4D"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Ofcom (2019). </w:t>
      </w:r>
      <w:r w:rsidRPr="008F2EB6">
        <w:rPr>
          <w:rFonts w:ascii="Arial" w:hAnsi="Arial" w:cs="Arial"/>
          <w:i/>
          <w:sz w:val="14"/>
          <w:szCs w:val="14"/>
          <w:lang w:val="en-US"/>
        </w:rPr>
        <w:t>Promoting competition and investment in fibre networks: review of the physical infrastructure and business connectivity markets</w:t>
      </w:r>
      <w:r w:rsidRPr="008F2EB6">
        <w:rPr>
          <w:rFonts w:ascii="Arial" w:hAnsi="Arial" w:cs="Arial"/>
          <w:sz w:val="14"/>
          <w:szCs w:val="14"/>
          <w:lang w:val="en-US"/>
        </w:rPr>
        <w:t xml:space="preserve">. </w:t>
      </w:r>
      <w:r w:rsidRPr="008F2EB6">
        <w:rPr>
          <w:rFonts w:ascii="Arial" w:hAnsi="Arial" w:cs="Arial"/>
          <w:sz w:val="14"/>
          <w:szCs w:val="14"/>
        </w:rPr>
        <w:t xml:space="preserve">Volumen 2. Disponible en: </w:t>
      </w:r>
      <w:hyperlink r:id="rId57" w:history="1">
        <w:r w:rsidRPr="008F2EB6">
          <w:rPr>
            <w:rStyle w:val="Hipervnculo"/>
            <w:rFonts w:ascii="Arial" w:hAnsi="Arial" w:cs="Arial"/>
            <w:sz w:val="14"/>
            <w:szCs w:val="14"/>
          </w:rPr>
          <w:t>https://www.ofcom.org.uk/__data/assets/pdf_file/0025/154591/volume-2-bcmr-final-statement.pdf</w:t>
        </w:r>
      </w:hyperlink>
    </w:p>
  </w:footnote>
  <w:footnote w:id="50">
    <w:p w14:paraId="68F5C5E9"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CBC (2011). </w:t>
      </w:r>
      <w:r w:rsidRPr="008F2EB6">
        <w:rPr>
          <w:rFonts w:ascii="Arial" w:hAnsi="Arial" w:cs="Arial"/>
          <w:i/>
          <w:sz w:val="14"/>
          <w:szCs w:val="14"/>
          <w:lang w:val="en-US"/>
        </w:rPr>
        <w:t>Merger Enforcement Guidelines</w:t>
      </w:r>
      <w:r w:rsidRPr="008F2EB6">
        <w:rPr>
          <w:rFonts w:ascii="Arial" w:hAnsi="Arial" w:cs="Arial"/>
          <w:sz w:val="14"/>
          <w:szCs w:val="14"/>
          <w:lang w:val="en-US"/>
        </w:rPr>
        <w:t xml:space="preserve">. </w:t>
      </w:r>
    </w:p>
  </w:footnote>
  <w:footnote w:id="51">
    <w:p w14:paraId="37B66CC9"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w:t>
      </w:r>
      <w:r w:rsidRPr="008F2EB6">
        <w:rPr>
          <w:rFonts w:ascii="Arial" w:hAnsi="Arial" w:cs="Arial"/>
          <w:color w:val="000000"/>
          <w:sz w:val="14"/>
          <w:szCs w:val="14"/>
          <w:shd w:val="clear" w:color="auto" w:fill="FFFFFF"/>
          <w:lang w:val="en-US"/>
        </w:rPr>
        <w:t xml:space="preserve">ACCC (2008). </w:t>
      </w:r>
      <w:r w:rsidRPr="008F2EB6">
        <w:rPr>
          <w:rFonts w:ascii="Arial" w:hAnsi="Arial" w:cs="Arial"/>
          <w:i/>
          <w:color w:val="000000"/>
          <w:sz w:val="14"/>
          <w:szCs w:val="14"/>
          <w:shd w:val="clear" w:color="auto" w:fill="FFFFFF"/>
        </w:rPr>
        <w:t>Merger Guidelines</w:t>
      </w:r>
      <w:r w:rsidRPr="008F2EB6">
        <w:rPr>
          <w:rFonts w:ascii="Arial" w:hAnsi="Arial" w:cs="Arial"/>
          <w:color w:val="000000"/>
          <w:sz w:val="14"/>
          <w:szCs w:val="14"/>
          <w:shd w:val="clear" w:color="auto" w:fill="FFFFFF"/>
        </w:rPr>
        <w:t xml:space="preserve"> (actualización 2017). pp. 13-14, 16-17. </w:t>
      </w:r>
    </w:p>
  </w:footnote>
  <w:footnote w:id="52">
    <w:p w14:paraId="6C783F7F"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rPr>
        <w:t xml:space="preserve"> Autoridad de Competencia (2013). </w:t>
      </w:r>
      <w:r w:rsidRPr="008F2EB6">
        <w:rPr>
          <w:rFonts w:ascii="Arial" w:hAnsi="Arial" w:cs="Arial"/>
          <w:i/>
          <w:sz w:val="14"/>
          <w:szCs w:val="14"/>
          <w:lang w:val="en-US"/>
        </w:rPr>
        <w:t xml:space="preserve">Ccent. 5/2013 Kento*Unitel*Sonaecom/ZON*Optimus. </w:t>
      </w:r>
    </w:p>
  </w:footnote>
  <w:footnote w:id="53">
    <w:p w14:paraId="22C363D6" w14:textId="6DAB4806"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DOJ y FTC (2010). </w:t>
      </w:r>
      <w:r w:rsidRPr="008F2EB6">
        <w:rPr>
          <w:rFonts w:ascii="Arial" w:hAnsi="Arial" w:cs="Arial"/>
          <w:i/>
          <w:sz w:val="14"/>
          <w:szCs w:val="14"/>
        </w:rPr>
        <w:t>Horizontal Merger Guidelines</w:t>
      </w:r>
      <w:r w:rsidRPr="008F2EB6">
        <w:rPr>
          <w:rFonts w:ascii="Arial" w:hAnsi="Arial" w:cs="Arial"/>
          <w:sz w:val="14"/>
          <w:szCs w:val="14"/>
        </w:rPr>
        <w:t xml:space="preserve">. Disponible en: </w:t>
      </w:r>
      <w:hyperlink r:id="rId58" w:history="1">
        <w:r w:rsidRPr="00DB7A42">
          <w:rPr>
            <w:rStyle w:val="Hipervnculo"/>
            <w:rFonts w:ascii="Arial" w:hAnsi="Arial" w:cs="Arial"/>
            <w:sz w:val="14"/>
            <w:szCs w:val="14"/>
          </w:rPr>
          <w:t>https://www.justice.gov/atr/horizontal-merger-guidelines-08192010</w:t>
        </w:r>
      </w:hyperlink>
    </w:p>
  </w:footnote>
  <w:footnote w:id="54">
    <w:p w14:paraId="266F361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Charles River Associates (2015). </w:t>
      </w:r>
      <w:r w:rsidRPr="008F2EB6">
        <w:rPr>
          <w:rFonts w:ascii="Arial" w:hAnsi="Arial" w:cs="Arial"/>
          <w:i/>
          <w:sz w:val="14"/>
          <w:szCs w:val="14"/>
          <w:lang w:val="en-US"/>
        </w:rPr>
        <w:t xml:space="preserve">Qihoo v. Tencent: economic analysis of the first Chinese Supreme Court decision under Anti-Monopoly Law. </w:t>
      </w:r>
      <w:r w:rsidRPr="008F2EB6">
        <w:rPr>
          <w:rFonts w:ascii="Arial" w:hAnsi="Arial" w:cs="Arial"/>
          <w:i/>
          <w:sz w:val="14"/>
          <w:szCs w:val="14"/>
        </w:rPr>
        <w:t>China Highligts.</w:t>
      </w:r>
      <w:r w:rsidRPr="008F2EB6">
        <w:rPr>
          <w:rFonts w:ascii="Arial" w:hAnsi="Arial" w:cs="Arial"/>
          <w:sz w:val="14"/>
          <w:szCs w:val="14"/>
        </w:rPr>
        <w:t xml:space="preserve"> Disponible en: </w:t>
      </w:r>
      <w:hyperlink r:id="rId59" w:history="1">
        <w:r w:rsidRPr="008F2EB6">
          <w:rPr>
            <w:rStyle w:val="Hipervnculo"/>
            <w:rFonts w:ascii="Arial" w:hAnsi="Arial" w:cs="Arial"/>
            <w:sz w:val="14"/>
            <w:szCs w:val="14"/>
          </w:rPr>
          <w:t>https://www.crai.com/sites/default/files/publications/China-Highlights-Qihoo-360-v-Tencent-0215_0.pdf</w:t>
        </w:r>
      </w:hyperlink>
    </w:p>
  </w:footnote>
  <w:footnote w:id="55">
    <w:p w14:paraId="137AA0B1"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627370B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OCDE (2012). </w:t>
      </w:r>
      <w:r w:rsidRPr="008F2EB6">
        <w:rPr>
          <w:rFonts w:ascii="Arial" w:hAnsi="Arial" w:cs="Arial"/>
          <w:i/>
          <w:sz w:val="14"/>
          <w:szCs w:val="14"/>
        </w:rPr>
        <w:t>Market Definition</w:t>
      </w:r>
      <w:r w:rsidRPr="008F2EB6">
        <w:rPr>
          <w:rFonts w:ascii="Arial" w:hAnsi="Arial" w:cs="Arial"/>
          <w:sz w:val="14"/>
          <w:szCs w:val="14"/>
        </w:rPr>
        <w:t>. pp. 30-36.</w:t>
      </w:r>
    </w:p>
    <w:p w14:paraId="01B79165"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GB"/>
        </w:rPr>
        <w:t xml:space="preserve">OCDE (2016). </w:t>
      </w:r>
      <w:r w:rsidRPr="008F2EB6">
        <w:rPr>
          <w:rFonts w:ascii="Arial" w:hAnsi="Arial" w:cs="Arial"/>
          <w:i/>
          <w:sz w:val="14"/>
          <w:szCs w:val="14"/>
          <w:lang w:val="en-GB"/>
        </w:rPr>
        <w:t xml:space="preserve">Defining Geographic Markets Across National Borders. </w:t>
      </w:r>
      <w:r w:rsidRPr="008F2EB6">
        <w:rPr>
          <w:rFonts w:ascii="Arial" w:hAnsi="Arial" w:cs="Arial"/>
          <w:i/>
          <w:sz w:val="14"/>
          <w:szCs w:val="14"/>
        </w:rPr>
        <w:t>Background Paper by the Secretariat</w:t>
      </w:r>
      <w:r w:rsidRPr="008F2EB6">
        <w:rPr>
          <w:rFonts w:ascii="Arial" w:hAnsi="Arial" w:cs="Arial"/>
          <w:sz w:val="14"/>
          <w:szCs w:val="14"/>
        </w:rPr>
        <w:t>. pp. 6-17.</w:t>
      </w:r>
    </w:p>
  </w:footnote>
  <w:footnote w:id="56">
    <w:p w14:paraId="7A5187A9"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Se puede aplicar la prueba de Elzinga-Hogarty, la cual consiste en analizar el porcentaje de ventas hechas por empresas ubicadas dentro de la zona focal y a consumidores ubicados en la zona focal; si dichos porcentajes son altos, generalmente entre 75% y 90%, indican que las zonas geográficas analizadas pertenecen al mismo MR. No obstante, una preocupación general al aplicar esta prueba es que el límite numérico considerado no está directamente relacionado con la Prueba SSNIP y normalmente parte de la experiencia o sentido crítico del investigador. Por lo tanto, constituye un método indirecto, que proporciona evidencia cuantitativa útil para complementar el análisis de la dimensión geográfica del MR.</w:t>
      </w:r>
    </w:p>
    <w:p w14:paraId="24CE528A" w14:textId="77777777" w:rsidR="00A457CE" w:rsidRPr="008F2EB6" w:rsidRDefault="00A457CE" w:rsidP="008F2EB6">
      <w:pPr>
        <w:pStyle w:val="Textonotapie"/>
        <w:jc w:val="both"/>
        <w:rPr>
          <w:rFonts w:ascii="Arial" w:hAnsi="Arial" w:cs="Arial"/>
          <w:sz w:val="14"/>
          <w:szCs w:val="14"/>
        </w:rPr>
      </w:pPr>
      <w:r w:rsidRPr="008F2EB6">
        <w:rPr>
          <w:rFonts w:ascii="Arial" w:hAnsi="Arial" w:cs="Arial"/>
          <w:sz w:val="14"/>
          <w:szCs w:val="14"/>
        </w:rPr>
        <w:t>Cuando se analice información de importaciones, se debe tener cuidado debido a que la existencia de importaciones no siempre significa que el mercado es internacional, por varias razones: i) las importaciones pueden provenir solo de operaciones internacionales de proveedores nacionales; ii) los proveedores internacionales pueden requerir inversiones sustanciales para establecer redes de distribución o marcas de sus productos en el país de destino; y iii) puede haber limitantes al volumen de importaciones en el país de destino. Estos factores pueden significar que los proveedores internaciones no representan una restricción suficiente para los proveedores nacionales. Asimismo, la falta de importaciones no significa necesariamente que el mercado no puede ser internacional, pues el potencial para las importaciones puede ser una fuente importante de sustitución si los precios se incrementan.</w:t>
      </w:r>
    </w:p>
  </w:footnote>
  <w:footnote w:id="57">
    <w:p w14:paraId="1A413128"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Por sus siglas en inglés "</w:t>
      </w:r>
      <w:r w:rsidRPr="008F2EB6">
        <w:rPr>
          <w:rFonts w:ascii="Arial" w:hAnsi="Arial" w:cs="Arial"/>
          <w:i/>
          <w:sz w:val="14"/>
          <w:szCs w:val="14"/>
          <w:lang w:val="en-US"/>
        </w:rPr>
        <w:t>Small but Significant Non-Transitory Increase in Price</w:t>
      </w:r>
      <w:r w:rsidRPr="008F2EB6">
        <w:rPr>
          <w:rFonts w:ascii="Arial" w:hAnsi="Arial" w:cs="Arial"/>
          <w:sz w:val="14"/>
          <w:szCs w:val="14"/>
          <w:lang w:val="en-US"/>
        </w:rPr>
        <w:t>”.</w:t>
      </w:r>
    </w:p>
  </w:footnote>
  <w:footnote w:id="58">
    <w:p w14:paraId="520787C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Cabe señalar que la alta correlación positiva en los precios de un producto en dos zonas geográficas no es evidencia suficiente para concluir que ambas zonas geográficas pertenecen al mismo MR. No obstante, si la correlación entre los precios de dos zonas geográficas es negativa o poco significativa, es un indicio fuerte de que las zonas geográficas no pertenecen al mismo MR.</w:t>
      </w:r>
    </w:p>
  </w:footnote>
  <w:footnote w:id="59">
    <w:p w14:paraId="05F09245" w14:textId="77777777" w:rsidR="00A457CE" w:rsidRPr="008F2EB6" w:rsidRDefault="00A457CE" w:rsidP="008F2EB6">
      <w:pPr>
        <w:pStyle w:val="Textonotapie"/>
        <w:jc w:val="both"/>
        <w:rPr>
          <w:rFonts w:ascii="Arial" w:hAnsi="Arial" w:cs="Arial"/>
          <w:i/>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w:t>
      </w:r>
      <w:r w:rsidRPr="008F2EB6">
        <w:rPr>
          <w:rFonts w:ascii="Arial" w:hAnsi="Arial" w:cs="Arial"/>
          <w:b/>
          <w:i/>
          <w:sz w:val="14"/>
          <w:szCs w:val="14"/>
        </w:rPr>
        <w:t>Artículo 6.</w:t>
      </w:r>
      <w:r w:rsidRPr="008F2EB6">
        <w:rPr>
          <w:rFonts w:ascii="Arial" w:hAnsi="Arial" w:cs="Arial"/>
          <w:i/>
          <w:sz w:val="14"/>
          <w:szCs w:val="14"/>
        </w:rPr>
        <w:t xml:space="preserve"> El Instituto considerará que es poco probable que una concentración tiene por objeto o efecto obstaculizar, disminuir, dañar o impedir la competencia y la libre concurrencia, cuando posteriormente a ésta suceda alguna de las siguientes situaciones:</w:t>
      </w:r>
    </w:p>
    <w:p w14:paraId="792824A6" w14:textId="77777777" w:rsidR="00A457CE" w:rsidRPr="008F2EB6" w:rsidRDefault="00A457CE" w:rsidP="008F2EB6">
      <w:pPr>
        <w:pStyle w:val="Textonotapie"/>
        <w:numPr>
          <w:ilvl w:val="0"/>
          <w:numId w:val="13"/>
        </w:numPr>
        <w:jc w:val="both"/>
        <w:rPr>
          <w:rFonts w:ascii="Arial" w:hAnsi="Arial" w:cs="Arial"/>
          <w:i/>
          <w:sz w:val="14"/>
          <w:szCs w:val="14"/>
        </w:rPr>
      </w:pPr>
      <w:r w:rsidRPr="008F2EB6">
        <w:rPr>
          <w:rFonts w:ascii="Arial" w:hAnsi="Arial" w:cs="Arial"/>
          <w:i/>
          <w:sz w:val="14"/>
          <w:szCs w:val="14"/>
        </w:rPr>
        <w:t xml:space="preserve">IHH </w:t>
      </w:r>
      <m:oMath>
        <m:r>
          <w:rPr>
            <w:rFonts w:ascii="Cambria Math" w:hAnsi="Cambria Math" w:cs="Arial"/>
            <w:sz w:val="14"/>
            <w:szCs w:val="14"/>
          </w:rPr>
          <m:t>≤</m:t>
        </m:r>
      </m:oMath>
      <w:r w:rsidRPr="008F2EB6">
        <w:rPr>
          <w:rFonts w:ascii="Arial" w:hAnsi="Arial" w:cs="Arial"/>
          <w:i/>
          <w:sz w:val="14"/>
          <w:szCs w:val="14"/>
        </w:rPr>
        <w:t xml:space="preserve"> 2,000 puntos;</w:t>
      </w:r>
    </w:p>
    <w:p w14:paraId="1412EE5E" w14:textId="77777777" w:rsidR="00A457CE" w:rsidRPr="008F2EB6" w:rsidRDefault="00A457CE" w:rsidP="008F2EB6">
      <w:pPr>
        <w:pStyle w:val="Textonotapie"/>
        <w:numPr>
          <w:ilvl w:val="0"/>
          <w:numId w:val="13"/>
        </w:numPr>
        <w:jc w:val="both"/>
        <w:rPr>
          <w:rFonts w:ascii="Arial" w:hAnsi="Arial" w:cs="Arial"/>
          <w:i/>
          <w:sz w:val="14"/>
          <w:szCs w:val="14"/>
        </w:rPr>
      </w:pPr>
      <w:r w:rsidRPr="008F2EB6">
        <w:rPr>
          <w:rFonts w:ascii="Arial" w:hAnsi="Arial" w:cs="Arial"/>
          <w:i/>
          <w:sz w:val="14"/>
          <w:szCs w:val="14"/>
        </w:rPr>
        <w:t xml:space="preserve">2,000 </w:t>
      </w:r>
      <m:oMath>
        <m:r>
          <w:rPr>
            <w:rFonts w:ascii="Cambria Math" w:hAnsi="Cambria Math" w:cs="Arial"/>
            <w:sz w:val="14"/>
            <w:szCs w:val="14"/>
          </w:rPr>
          <m:t>&lt;</m:t>
        </m:r>
      </m:oMath>
      <w:r w:rsidRPr="008F2EB6">
        <w:rPr>
          <w:rFonts w:ascii="Arial" w:eastAsiaTheme="minorEastAsia" w:hAnsi="Arial" w:cs="Arial"/>
          <w:i/>
          <w:sz w:val="14"/>
          <w:szCs w:val="14"/>
        </w:rPr>
        <w:t xml:space="preserve"> IHH </w:t>
      </w:r>
      <m:oMath>
        <m:r>
          <w:rPr>
            <w:rFonts w:ascii="Cambria Math" w:hAnsi="Cambria Math" w:cs="Arial"/>
            <w:sz w:val="14"/>
            <w:szCs w:val="14"/>
          </w:rPr>
          <m:t>≤</m:t>
        </m:r>
      </m:oMath>
      <w:r w:rsidRPr="008F2EB6">
        <w:rPr>
          <w:rFonts w:ascii="Arial" w:eastAsiaTheme="minorEastAsia" w:hAnsi="Arial" w:cs="Arial"/>
          <w:i/>
          <w:sz w:val="14"/>
          <w:szCs w:val="14"/>
        </w:rPr>
        <w:t xml:space="preserve"> 3,000 y </w:t>
      </w:r>
      <m:oMath>
        <m:r>
          <w:rPr>
            <w:rFonts w:ascii="Cambria Math" w:eastAsiaTheme="minorEastAsia" w:hAnsi="Cambria Math" w:cs="Arial"/>
            <w:sz w:val="14"/>
            <w:szCs w:val="14"/>
          </w:rPr>
          <m:t>∆</m:t>
        </m:r>
      </m:oMath>
      <w:r w:rsidRPr="008F2EB6">
        <w:rPr>
          <w:rFonts w:ascii="Arial" w:eastAsiaTheme="minorEastAsia" w:hAnsi="Arial" w:cs="Arial"/>
          <w:i/>
          <w:sz w:val="14"/>
          <w:szCs w:val="14"/>
        </w:rPr>
        <w:t xml:space="preserve">HH </w:t>
      </w:r>
      <m:oMath>
        <m:r>
          <w:rPr>
            <w:rFonts w:ascii="Cambria Math" w:hAnsi="Cambria Math" w:cs="Arial"/>
            <w:sz w:val="14"/>
            <w:szCs w:val="14"/>
          </w:rPr>
          <m:t>≤</m:t>
        </m:r>
      </m:oMath>
      <w:r w:rsidRPr="008F2EB6">
        <w:rPr>
          <w:rFonts w:ascii="Arial" w:eastAsiaTheme="minorEastAsia" w:hAnsi="Arial" w:cs="Arial"/>
          <w:i/>
          <w:sz w:val="14"/>
          <w:szCs w:val="14"/>
        </w:rPr>
        <w:t xml:space="preserve"> 150 puntos; o</w:t>
      </w:r>
    </w:p>
    <w:p w14:paraId="354F3B94" w14:textId="77777777" w:rsidR="00A457CE" w:rsidRPr="008F2EB6" w:rsidRDefault="00A457CE" w:rsidP="008F2EB6">
      <w:pPr>
        <w:pStyle w:val="Textonotapie"/>
        <w:numPr>
          <w:ilvl w:val="0"/>
          <w:numId w:val="13"/>
        </w:numPr>
        <w:jc w:val="both"/>
        <w:rPr>
          <w:rFonts w:ascii="Arial" w:hAnsi="Arial" w:cs="Arial"/>
          <w:i/>
          <w:sz w:val="14"/>
          <w:szCs w:val="14"/>
        </w:rPr>
      </w:pPr>
      <w:r w:rsidRPr="008F2EB6">
        <w:rPr>
          <w:rFonts w:ascii="Arial" w:hAnsi="Arial" w:cs="Arial"/>
          <w:i/>
          <w:sz w:val="14"/>
          <w:szCs w:val="14"/>
        </w:rPr>
        <w:t xml:space="preserve">IHH </w:t>
      </w:r>
      <m:oMath>
        <m:r>
          <w:rPr>
            <w:rFonts w:ascii="Cambria Math" w:hAnsi="Cambria Math" w:cs="Arial"/>
            <w:sz w:val="14"/>
            <w:szCs w:val="14"/>
          </w:rPr>
          <m:t>&gt;</m:t>
        </m:r>
      </m:oMath>
      <w:r w:rsidRPr="008F2EB6">
        <w:rPr>
          <w:rFonts w:ascii="Arial" w:eastAsiaTheme="minorEastAsia" w:hAnsi="Arial" w:cs="Arial"/>
          <w:i/>
          <w:sz w:val="14"/>
          <w:szCs w:val="14"/>
        </w:rPr>
        <w:t xml:space="preserve">3,000 y </w:t>
      </w:r>
      <m:oMath>
        <m:r>
          <w:rPr>
            <w:rFonts w:ascii="Cambria Math" w:eastAsiaTheme="minorEastAsia" w:hAnsi="Cambria Math" w:cs="Arial"/>
            <w:sz w:val="14"/>
            <w:szCs w:val="14"/>
          </w:rPr>
          <m:t>∆</m:t>
        </m:r>
      </m:oMath>
      <w:r w:rsidRPr="008F2EB6">
        <w:rPr>
          <w:rFonts w:ascii="Arial" w:eastAsiaTheme="minorEastAsia" w:hAnsi="Arial" w:cs="Arial"/>
          <w:i/>
          <w:sz w:val="14"/>
          <w:szCs w:val="14"/>
        </w:rPr>
        <w:t xml:space="preserve">HH </w:t>
      </w:r>
      <m:oMath>
        <m:r>
          <w:rPr>
            <w:rFonts w:ascii="Cambria Math" w:hAnsi="Cambria Math" w:cs="Arial"/>
            <w:sz w:val="14"/>
            <w:szCs w:val="14"/>
          </w:rPr>
          <m:t>≤</m:t>
        </m:r>
      </m:oMath>
      <w:r w:rsidRPr="008F2EB6">
        <w:rPr>
          <w:rFonts w:ascii="Arial" w:eastAsiaTheme="minorEastAsia" w:hAnsi="Arial" w:cs="Arial"/>
          <w:i/>
          <w:sz w:val="14"/>
          <w:szCs w:val="14"/>
        </w:rPr>
        <w:t xml:space="preserve"> 100 puntos.</w:t>
      </w:r>
    </w:p>
  </w:footnote>
  <w:footnote w:id="60">
    <w:p w14:paraId="3BAD75C8" w14:textId="77777777" w:rsidR="00A457CE" w:rsidRPr="008F2EB6" w:rsidRDefault="00A457CE" w:rsidP="008F2EB6">
      <w:pPr>
        <w:pStyle w:val="Textonotapie"/>
        <w:jc w:val="both"/>
        <w:rPr>
          <w:rFonts w:ascii="Arial" w:hAnsi="Arial" w:cs="Arial"/>
          <w:i/>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w:t>
      </w:r>
      <w:r w:rsidRPr="008F2EB6">
        <w:rPr>
          <w:rFonts w:ascii="Arial" w:hAnsi="Arial" w:cs="Arial"/>
          <w:b/>
          <w:i/>
          <w:sz w:val="14"/>
          <w:szCs w:val="14"/>
        </w:rPr>
        <w:t xml:space="preserve">Artículo 7. </w:t>
      </w:r>
      <w:r w:rsidRPr="008F2EB6">
        <w:rPr>
          <w:rFonts w:ascii="Arial" w:hAnsi="Arial" w:cs="Arial"/>
          <w:i/>
          <w:sz w:val="14"/>
          <w:szCs w:val="14"/>
        </w:rPr>
        <w:t xml:space="preserve">Aun cuando una concentración implique valores de IHH y de la </w:t>
      </w:r>
      <m:oMath>
        <m:r>
          <w:rPr>
            <w:rFonts w:ascii="Cambria Math" w:eastAsiaTheme="minorEastAsia" w:hAnsi="Cambria Math" w:cs="Arial"/>
            <w:sz w:val="14"/>
            <w:szCs w:val="14"/>
          </w:rPr>
          <m:t>∆</m:t>
        </m:r>
      </m:oMath>
      <w:r w:rsidRPr="008F2EB6">
        <w:rPr>
          <w:rFonts w:ascii="Arial" w:eastAsiaTheme="minorEastAsia" w:hAnsi="Arial" w:cs="Arial"/>
          <w:i/>
          <w:sz w:val="14"/>
          <w:szCs w:val="14"/>
        </w:rPr>
        <w:t xml:space="preserve">HH se ubiquen dentro de los umbrales establecidos en el numeral anterior, </w:t>
      </w:r>
      <w:r w:rsidRPr="008F2EB6">
        <w:rPr>
          <w:rFonts w:ascii="Arial" w:hAnsi="Arial" w:cs="Arial"/>
          <w:i/>
          <w:sz w:val="14"/>
          <w:szCs w:val="14"/>
        </w:rPr>
        <w:t>el Instituto podrá considerar que existen potenciales riesgos de que ésta tiene por objeto o efecto obstaculizar, disminuir, dañar o impedir la competencia y la libre concurrencia, si sucede una o varias de las siguientes circunstancias:</w:t>
      </w:r>
    </w:p>
    <w:p w14:paraId="088C4B68" w14:textId="77777777" w:rsidR="00A457CE" w:rsidRPr="008F2EB6" w:rsidRDefault="00A457CE" w:rsidP="008F2EB6">
      <w:pPr>
        <w:pStyle w:val="Default"/>
        <w:numPr>
          <w:ilvl w:val="0"/>
          <w:numId w:val="14"/>
        </w:numPr>
        <w:jc w:val="both"/>
        <w:rPr>
          <w:rFonts w:ascii="Arial" w:hAnsi="Arial" w:cs="Arial"/>
          <w:i/>
          <w:sz w:val="14"/>
          <w:szCs w:val="14"/>
        </w:rPr>
      </w:pPr>
      <w:r w:rsidRPr="008F2EB6">
        <w:rPr>
          <w:rFonts w:ascii="Arial" w:hAnsi="Arial" w:cs="Arial"/>
          <w:i/>
          <w:sz w:val="14"/>
          <w:szCs w:val="14"/>
        </w:rPr>
        <w:t xml:space="preserve">Los agentes económicos involucrados en la concentración tengan o puedan llegar a adquirir poder sustancial en mercados relacionados; </w:t>
      </w:r>
    </w:p>
    <w:p w14:paraId="09358EC8" w14:textId="77777777" w:rsidR="00A457CE" w:rsidRPr="008F2EB6" w:rsidRDefault="00A457CE" w:rsidP="008F2EB6">
      <w:pPr>
        <w:pStyle w:val="Default"/>
        <w:numPr>
          <w:ilvl w:val="0"/>
          <w:numId w:val="14"/>
        </w:numPr>
        <w:jc w:val="both"/>
        <w:rPr>
          <w:rFonts w:ascii="Arial" w:hAnsi="Arial" w:cs="Arial"/>
          <w:i/>
          <w:sz w:val="14"/>
          <w:szCs w:val="14"/>
        </w:rPr>
      </w:pPr>
      <w:r w:rsidRPr="008F2EB6">
        <w:rPr>
          <w:rFonts w:ascii="Arial" w:hAnsi="Arial" w:cs="Arial"/>
          <w:i/>
          <w:sz w:val="14"/>
          <w:szCs w:val="14"/>
        </w:rPr>
        <w:t xml:space="preserve">Los agentes económicos involucrados en la concentración alcancen una participación superior al treinta y cinco por ciento; </w:t>
      </w:r>
    </w:p>
    <w:p w14:paraId="66B33265" w14:textId="77777777" w:rsidR="00A457CE" w:rsidRPr="008F2EB6" w:rsidRDefault="00A457CE" w:rsidP="008F2EB6">
      <w:pPr>
        <w:pStyle w:val="Default"/>
        <w:numPr>
          <w:ilvl w:val="0"/>
          <w:numId w:val="14"/>
        </w:numPr>
        <w:jc w:val="both"/>
        <w:rPr>
          <w:rFonts w:ascii="Arial" w:hAnsi="Arial" w:cs="Arial"/>
          <w:i/>
          <w:sz w:val="14"/>
          <w:szCs w:val="14"/>
        </w:rPr>
      </w:pPr>
      <w:r w:rsidRPr="008F2EB6">
        <w:rPr>
          <w:rFonts w:ascii="Arial" w:hAnsi="Arial" w:cs="Arial"/>
          <w:i/>
          <w:sz w:val="14"/>
          <w:szCs w:val="14"/>
        </w:rPr>
        <w:t xml:space="preserve">El agente económico adquirido es un agente económico disruptivo (conocido como </w:t>
      </w:r>
      <w:r w:rsidRPr="008F2EB6">
        <w:rPr>
          <w:rFonts w:ascii="Arial" w:hAnsi="Arial" w:cs="Arial"/>
          <w:i/>
          <w:iCs/>
          <w:sz w:val="14"/>
          <w:szCs w:val="14"/>
        </w:rPr>
        <w:t xml:space="preserve">maverick </w:t>
      </w:r>
      <w:r w:rsidRPr="008F2EB6">
        <w:rPr>
          <w:rFonts w:ascii="Arial" w:hAnsi="Arial" w:cs="Arial"/>
          <w:i/>
          <w:sz w:val="14"/>
          <w:szCs w:val="14"/>
        </w:rPr>
        <w:t xml:space="preserve">en inglés) que se distinga, por ejemplo, por introducir o desarrollar nuevas tecnologías o modelos de negocios o que pueda disciplinar los precios con base en su habilidad e incentivos a expandirse rápidamente; </w:t>
      </w:r>
    </w:p>
    <w:p w14:paraId="03A13F30" w14:textId="77777777" w:rsidR="00A457CE" w:rsidRPr="008F2EB6" w:rsidRDefault="00A457CE" w:rsidP="008F2EB6">
      <w:pPr>
        <w:pStyle w:val="Default"/>
        <w:numPr>
          <w:ilvl w:val="0"/>
          <w:numId w:val="14"/>
        </w:numPr>
        <w:jc w:val="both"/>
        <w:rPr>
          <w:rFonts w:ascii="Arial" w:hAnsi="Arial" w:cs="Arial"/>
          <w:i/>
          <w:sz w:val="14"/>
          <w:szCs w:val="14"/>
        </w:rPr>
      </w:pPr>
      <w:r w:rsidRPr="008F2EB6">
        <w:rPr>
          <w:rFonts w:ascii="Arial" w:hAnsi="Arial" w:cs="Arial"/>
          <w:i/>
          <w:sz w:val="14"/>
          <w:szCs w:val="14"/>
        </w:rPr>
        <w:t xml:space="preserve">Uno o más de los agentes económicos involucrados en la concentración haya participado dentro de los últimos cinco años en operaciones previas en el mismo mercado y que consideradas en conjunto con la concentración analizada, rebasen los umbrales referidos en el Artículo 6 del presente Criterio Técnico; </w:t>
      </w:r>
    </w:p>
    <w:p w14:paraId="5C01B687" w14:textId="77777777" w:rsidR="00A457CE" w:rsidRPr="008F2EB6" w:rsidRDefault="00A457CE" w:rsidP="008F2EB6">
      <w:pPr>
        <w:pStyle w:val="Default"/>
        <w:numPr>
          <w:ilvl w:val="0"/>
          <w:numId w:val="14"/>
        </w:numPr>
        <w:jc w:val="both"/>
        <w:rPr>
          <w:rFonts w:ascii="Arial" w:hAnsi="Arial" w:cs="Arial"/>
          <w:i/>
          <w:sz w:val="14"/>
          <w:szCs w:val="14"/>
        </w:rPr>
      </w:pPr>
      <w:r w:rsidRPr="008F2EB6">
        <w:rPr>
          <w:rFonts w:ascii="Arial" w:hAnsi="Arial" w:cs="Arial"/>
          <w:i/>
          <w:sz w:val="14"/>
          <w:szCs w:val="14"/>
        </w:rPr>
        <w:t>La concentración pueda generar incentivos o facilitar la coordinación entre los agentes económicos que participen en el mercado analizado o mercados relacionados;</w:t>
      </w:r>
    </w:p>
  </w:footnote>
  <w:footnote w:id="61">
    <w:p w14:paraId="48C44BAF"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Guía de Concentraciones. p. 65. </w:t>
      </w:r>
    </w:p>
  </w:footnote>
  <w:footnote w:id="62">
    <w:p w14:paraId="2D984EF8"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OCDE (2016). </w:t>
      </w:r>
      <w:r w:rsidRPr="008F2EB6">
        <w:rPr>
          <w:rFonts w:ascii="Arial" w:hAnsi="Arial" w:cs="Arial"/>
          <w:i/>
          <w:sz w:val="14"/>
          <w:szCs w:val="14"/>
          <w:lang w:val="en-US"/>
        </w:rPr>
        <w:t>Defining Geographic Markets Across National Borders.</w:t>
      </w:r>
      <w:r w:rsidRPr="008F2EB6">
        <w:rPr>
          <w:rFonts w:ascii="Arial" w:hAnsi="Arial" w:cs="Arial"/>
          <w:sz w:val="14"/>
          <w:szCs w:val="14"/>
          <w:lang w:val="en-US"/>
        </w:rPr>
        <w:t xml:space="preserve"> </w:t>
      </w:r>
      <w:r w:rsidRPr="008F2EB6">
        <w:rPr>
          <w:rFonts w:ascii="Arial" w:hAnsi="Arial" w:cs="Arial"/>
          <w:i/>
          <w:sz w:val="14"/>
          <w:szCs w:val="14"/>
        </w:rPr>
        <w:t>Background Paper by the Secretariat.</w:t>
      </w:r>
      <w:r w:rsidRPr="008F2EB6">
        <w:rPr>
          <w:rFonts w:ascii="Arial" w:hAnsi="Arial" w:cs="Arial"/>
          <w:sz w:val="14"/>
          <w:szCs w:val="14"/>
        </w:rPr>
        <w:t xml:space="preserve"> p. 6.</w:t>
      </w:r>
    </w:p>
  </w:footnote>
  <w:footnote w:id="63">
    <w:p w14:paraId="471A4421"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55B47D21" w14:textId="77777777" w:rsidR="00A457CE" w:rsidRPr="008F2EB6" w:rsidRDefault="00A457CE" w:rsidP="008F2EB6">
      <w:pPr>
        <w:pStyle w:val="Textonotapie"/>
        <w:numPr>
          <w:ilvl w:val="0"/>
          <w:numId w:val="28"/>
        </w:numPr>
        <w:jc w:val="both"/>
        <w:rPr>
          <w:rStyle w:val="Refdenotaalpie"/>
          <w:rFonts w:ascii="Arial" w:hAnsi="Arial" w:cs="Arial"/>
          <w:sz w:val="14"/>
          <w:szCs w:val="14"/>
        </w:rPr>
      </w:pPr>
      <w:r w:rsidRPr="008F2EB6">
        <w:rPr>
          <w:rFonts w:ascii="Arial" w:hAnsi="Arial" w:cs="Arial"/>
          <w:sz w:val="14"/>
          <w:szCs w:val="14"/>
        </w:rPr>
        <w:t xml:space="preserve">Instituto (2014). </w:t>
      </w:r>
      <w:r w:rsidRPr="008F2EB6">
        <w:rPr>
          <w:rFonts w:ascii="Arial" w:hAnsi="Arial" w:cs="Arial"/>
          <w:i/>
          <w:sz w:val="14"/>
          <w:szCs w:val="14"/>
        </w:rPr>
        <w:t>RESOLUCIÓN MEDIANTE LA CUAL EL PLENO DEL INSTITUTO FEDERAL DE TELECOMUNICACIONES AUTORIZA QUE SE REALICE LA CONCENTRACIÓN RADICADA BAJO El EXPEDIENTE NO. UCE/CNC-004-2014, NOTIFICADA POR SIXSIGMA NETWORKS MÉXICO, S.A. DE C.V. Y METRO NET, S.A.P.I. DE C.V.</w:t>
      </w:r>
      <w:r w:rsidRPr="008F2EB6">
        <w:rPr>
          <w:rFonts w:ascii="Arial" w:hAnsi="Arial" w:cs="Arial"/>
          <w:sz w:val="14"/>
          <w:szCs w:val="14"/>
        </w:rPr>
        <w:t xml:space="preserve"> Acuerdo P/IFT/011014/332, disponible en: </w:t>
      </w:r>
      <w:hyperlink r:id="rId60" w:history="1">
        <w:r w:rsidRPr="008F2EB6">
          <w:rPr>
            <w:rStyle w:val="Hipervnculo"/>
            <w:rFonts w:ascii="Arial" w:hAnsi="Arial" w:cs="Arial"/>
            <w:color w:val="0563C1"/>
            <w:sz w:val="14"/>
            <w:szCs w:val="14"/>
          </w:rPr>
          <w:t>http</w:t>
        </w:r>
        <w:r w:rsidRPr="008F2EB6">
          <w:rPr>
            <w:rStyle w:val="Hipervnculo"/>
            <w:rFonts w:ascii="Arial" w:hAnsi="Arial" w:cs="Arial"/>
            <w:sz w:val="14"/>
            <w:szCs w:val="14"/>
          </w:rPr>
          <w:t>://apps.ift.org.mx/publicdata/P_IFT_011014_332_Version_Publica_UCE.pdf</w:t>
        </w:r>
      </w:hyperlink>
      <w:r w:rsidRPr="008F2EB6">
        <w:rPr>
          <w:rStyle w:val="Refdenotaalpie"/>
          <w:rFonts w:ascii="Arial" w:hAnsi="Arial" w:cs="Arial"/>
          <w:i/>
          <w:sz w:val="14"/>
          <w:szCs w:val="14"/>
        </w:rPr>
        <w:t>.</w:t>
      </w:r>
    </w:p>
    <w:p w14:paraId="08313E5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(2015). </w:t>
      </w:r>
      <w:r w:rsidRPr="008F2EB6">
        <w:rPr>
          <w:rFonts w:ascii="Arial" w:hAnsi="Arial" w:cs="Arial"/>
          <w:i/>
          <w:sz w:val="14"/>
          <w:szCs w:val="14"/>
        </w:rPr>
        <w:t xml:space="preserve">RESOLUCIÓN MEDIANTE LA CUAL EL PLENO DEL INSTITUTO FEDERAL DE TELECOMUNICACIONES AUTORIZA QUE SE REALICE LA CONCENTRACIÓN RADICADA BAJO EL EXPEDIENTE NO. UCE/CNC-007-2014, NOTIFICADA POR MEXICO TOWER PARTNERS, S.A.P.I. DE C.V. Y TGA TOWER VENTURES, S.A. DE C.V. </w:t>
      </w:r>
      <w:r w:rsidRPr="008F2EB6">
        <w:rPr>
          <w:rFonts w:ascii="Arial" w:hAnsi="Arial" w:cs="Arial"/>
          <w:sz w:val="14"/>
          <w:szCs w:val="14"/>
        </w:rPr>
        <w:t xml:space="preserve">Acuerdo P/IFT/180315/93, disponible en: </w:t>
      </w:r>
      <w:hyperlink r:id="rId61" w:history="1">
        <w:r w:rsidRPr="008F2EB6">
          <w:rPr>
            <w:rStyle w:val="Hipervnculo"/>
            <w:rFonts w:ascii="Arial" w:hAnsi="Arial" w:cs="Arial"/>
            <w:sz w:val="14"/>
            <w:szCs w:val="14"/>
          </w:rPr>
          <w:t>http://apps.ift.org.mx/publicdata/vppift18031593.pdf</w:t>
        </w:r>
      </w:hyperlink>
      <w:r w:rsidRPr="008F2EB6">
        <w:rPr>
          <w:rFonts w:ascii="Arial" w:hAnsi="Arial" w:cs="Arial"/>
          <w:sz w:val="14"/>
          <w:szCs w:val="14"/>
        </w:rPr>
        <w:t xml:space="preserve">  </w:t>
      </w:r>
    </w:p>
    <w:p w14:paraId="64318A4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(2017).</w:t>
      </w:r>
      <w:r w:rsidRPr="008F2EB6">
        <w:rPr>
          <w:rFonts w:ascii="Arial" w:hAnsi="Arial" w:cs="Arial"/>
          <w:b/>
          <w:bCs/>
          <w:sz w:val="14"/>
          <w:szCs w:val="14"/>
        </w:rPr>
        <w:t xml:space="preserve"> </w:t>
      </w:r>
      <w:r w:rsidRPr="008F2EB6">
        <w:rPr>
          <w:rFonts w:ascii="Arial" w:hAnsi="Arial" w:cs="Arial"/>
          <w:i/>
          <w:sz w:val="14"/>
          <w:szCs w:val="14"/>
        </w:rPr>
        <w:t xml:space="preserve">RESOLUCIÓN MEDIANTE LA CUAL EL PLENO DEL INSTITUTO FEDERAL DE TELECOMUNICACIONES AUTORIZA LLEVAR A CABO LA CONCENTRACIÓN RADICADA BAJO EL EXPEDIENTE NO. </w:t>
      </w:r>
      <w:r w:rsidRPr="008F2EB6">
        <w:rPr>
          <w:rFonts w:ascii="Arial" w:hAnsi="Arial" w:cs="Arial"/>
          <w:i/>
          <w:sz w:val="14"/>
          <w:szCs w:val="14"/>
          <w:lang w:val="en-US"/>
        </w:rPr>
        <w:t xml:space="preserve">UCE/CNC-004-2016, NOTIFICADA POR AT&amp;T INC., WEST MERGER SUB INC. </w:t>
      </w:r>
      <w:r w:rsidRPr="008F2EB6">
        <w:rPr>
          <w:rFonts w:ascii="Arial" w:hAnsi="Arial" w:cs="Arial"/>
          <w:i/>
          <w:sz w:val="14"/>
          <w:szCs w:val="14"/>
        </w:rPr>
        <w:t>Y TIME WARNER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P/IFT/150817/487.</w:t>
      </w:r>
      <w:r w:rsidRPr="008F2EB6" w:rsidDel="000C0367">
        <w:rPr>
          <w:rFonts w:ascii="Arial" w:hAnsi="Arial" w:cs="Arial"/>
          <w:bCs/>
          <w:sz w:val="14"/>
          <w:szCs w:val="14"/>
        </w:rPr>
        <w:t xml:space="preserve"> </w:t>
      </w:r>
    </w:p>
    <w:p w14:paraId="5B921371"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(2017). </w:t>
      </w:r>
      <w:r w:rsidRPr="008F2EB6">
        <w:rPr>
          <w:rFonts w:ascii="Arial" w:hAnsi="Arial" w:cs="Arial"/>
          <w:i/>
          <w:sz w:val="14"/>
          <w:szCs w:val="14"/>
        </w:rPr>
        <w:t xml:space="preserve">Resolución mediante la cual el Pleno del Instituto Federal de Telecomunicaciones autoriza llevar a cabo la concentración radicada bajo el expediente No. UCE/CNC-003-2016, notificada por Utrera, S.A. de C.V., Grupo MVS, S.A. de C.V., el C. XXXXXXXXXXXXXXXXXXXX, Radiomóvil Dipsa, S.A. de C.V. y AMOV IV, S.A. de C.V. </w:t>
      </w:r>
      <w:r w:rsidRPr="008F2EB6">
        <w:rPr>
          <w:rFonts w:ascii="Arial" w:hAnsi="Arial" w:cs="Arial"/>
          <w:sz w:val="14"/>
          <w:szCs w:val="14"/>
        </w:rPr>
        <w:t xml:space="preserve">Acuerdo P/IFT/270417/221.  </w:t>
      </w:r>
    </w:p>
    <w:p w14:paraId="0E00AD7F"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(2019). </w:t>
      </w:r>
      <w:r w:rsidRPr="008F2EB6">
        <w:rPr>
          <w:rFonts w:ascii="Arial" w:hAnsi="Arial" w:cs="Arial"/>
          <w:i/>
          <w:sz w:val="14"/>
          <w:szCs w:val="14"/>
        </w:rPr>
        <w:t xml:space="preserve">RESOLUCIÓN MEDIANTE LA CUAL EL PLENO DEL INSTITUTO FEDERAL DE TELECOMUNICACIONES RESUELVE SOBRE LA CONCENTRACIÓN RADICADA BAJO EL EXPEDIENTE NO. UCE/CNC-001-2019, NOTIFICADA POR COMMSCOPE HOLDING COMPANY, INC. Y ARRIS INTERNÁTIONAL PLC. </w:t>
      </w:r>
      <w:r w:rsidRPr="008F2EB6">
        <w:rPr>
          <w:rFonts w:ascii="Arial" w:hAnsi="Arial" w:cs="Arial"/>
          <w:sz w:val="14"/>
          <w:szCs w:val="14"/>
        </w:rPr>
        <w:t>Acuerdo P/IFT/030419/169. Disponible en:</w:t>
      </w:r>
    </w:p>
    <w:p w14:paraId="4B0C93A3" w14:textId="77777777" w:rsidR="00A457CE" w:rsidRPr="008F2EB6" w:rsidRDefault="00E92449" w:rsidP="008F2EB6">
      <w:pPr>
        <w:pStyle w:val="Textonotapie"/>
        <w:numPr>
          <w:ilvl w:val="0"/>
          <w:numId w:val="28"/>
        </w:numPr>
        <w:jc w:val="both"/>
        <w:rPr>
          <w:rFonts w:ascii="Arial" w:hAnsi="Arial" w:cs="Arial"/>
          <w:sz w:val="14"/>
          <w:szCs w:val="14"/>
        </w:rPr>
      </w:pPr>
      <w:hyperlink r:id="rId62" w:history="1">
        <w:r w:rsidR="00A457CE" w:rsidRPr="008F2EB6">
          <w:rPr>
            <w:rStyle w:val="Hipervnculo"/>
            <w:rFonts w:ascii="Arial" w:hAnsi="Arial" w:cs="Arial"/>
            <w:sz w:val="14"/>
            <w:szCs w:val="14"/>
          </w:rPr>
          <w:t>http://www.ift.org.mx/sites/default/files/conocenos/pleno/sesiones/acuerdoliga/vppift030419169noct.pdf</w:t>
        </w:r>
      </w:hyperlink>
      <w:r w:rsidR="00A457CE" w:rsidRPr="008F2EB6">
        <w:rPr>
          <w:rFonts w:ascii="Arial" w:hAnsi="Arial" w:cs="Arial"/>
          <w:sz w:val="14"/>
          <w:szCs w:val="14"/>
        </w:rPr>
        <w:t xml:space="preserve">  </w:t>
      </w:r>
    </w:p>
    <w:p w14:paraId="3C88BE6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(2019). </w:t>
      </w:r>
      <w:r w:rsidRPr="008F2EB6">
        <w:rPr>
          <w:rFonts w:ascii="Arial" w:hAnsi="Arial" w:cs="Arial"/>
          <w:i/>
          <w:sz w:val="14"/>
          <w:szCs w:val="14"/>
        </w:rPr>
        <w:t>RESOLUCIÓN MEDIANTE LA CUAL EL PLENO DEL INSTITUTO FEDERAL DE TELECOMUNICACIONES AUTORIZA QUE SE REALICE LA CONCENTRACIÓN RADICADA BAJO EL EXPEDIENTE NO. UCE/CNC-003-2019, NOTIFICADA POR GRUPO TELEVISA S.A.B., PROMO-INDUSTRIAS METROPOLITANAS, S.A. DE C.V., EMILIO FERNANDO AZCÁRRAGA JEAN, CORPORATIVO CORAL S.A. DE C.V., CADENA RADIÓPOLIS, S.A DE C.V., RADIOTELEVISORA DE MEXICALI, S.A. DE C.V., CADENA RADIODIFUSORA MEXICANA S.A. DE C.V., RADIO MELODÍA. S.A., RADIO TAPATIA. S.A. DE C.V., XEZZ S.A DE C.V. Y SISTEMA RADIÓPOLIS, S.A. DE C.V., CONFORME AL PROCEDIMIENTO PREVISTO EN EL ARTICULO 92 DE LA LEY FEDERAL DE COMPETENCIA ECONÓMICA</w:t>
      </w:r>
      <w:r w:rsidRPr="008F2EB6">
        <w:rPr>
          <w:rFonts w:ascii="Arial" w:hAnsi="Arial" w:cs="Arial"/>
          <w:sz w:val="14"/>
          <w:szCs w:val="14"/>
        </w:rPr>
        <w:t xml:space="preserve">. Acuerdo P/IFT/210819/432. Disponible en: </w:t>
      </w:r>
      <w:hyperlink r:id="rId63" w:history="1">
        <w:r w:rsidRPr="008F2EB6">
          <w:rPr>
            <w:rStyle w:val="Hipervnculo"/>
            <w:rFonts w:ascii="Arial" w:hAnsi="Arial" w:cs="Arial"/>
            <w:sz w:val="14"/>
            <w:szCs w:val="14"/>
          </w:rPr>
          <w:t>http://apps.ift.org.mx/publicdata/VP_P_IFT_210819_432.pdf</w:t>
        </w:r>
      </w:hyperlink>
    </w:p>
  </w:footnote>
  <w:footnote w:id="64">
    <w:p w14:paraId="64FCC490"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Guía de Concentraciones. p. 65. </w:t>
      </w:r>
    </w:p>
  </w:footnote>
  <w:footnote w:id="65">
    <w:p w14:paraId="500DB808"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Style w:val="Refdenotaalpie"/>
          <w:rFonts w:ascii="Arial" w:hAnsi="Arial" w:cs="Arial"/>
          <w:sz w:val="14"/>
          <w:szCs w:val="14"/>
        </w:rPr>
        <w:t xml:space="preserve"> </w:t>
      </w:r>
      <w:r w:rsidRPr="008F2EB6">
        <w:rPr>
          <w:rFonts w:ascii="Arial" w:hAnsi="Arial" w:cs="Arial"/>
          <w:sz w:val="14"/>
          <w:szCs w:val="14"/>
        </w:rPr>
        <w:t xml:space="preserve">ICN (2006). </w:t>
      </w:r>
      <w:r w:rsidRPr="008F2EB6">
        <w:rPr>
          <w:rFonts w:ascii="Arial" w:hAnsi="Arial" w:cs="Arial"/>
          <w:i/>
          <w:sz w:val="14"/>
          <w:szCs w:val="14"/>
          <w:lang w:val="en-US"/>
        </w:rPr>
        <w:t xml:space="preserve">ICN Merger Guidelines Workbook. </w:t>
      </w:r>
      <w:r w:rsidRPr="008F2EB6">
        <w:rPr>
          <w:rFonts w:ascii="Arial" w:hAnsi="Arial" w:cs="Arial"/>
          <w:sz w:val="14"/>
          <w:szCs w:val="14"/>
          <w:lang w:val="en-US"/>
        </w:rPr>
        <w:t>pp. 15 - 20</w:t>
      </w:r>
      <w:r w:rsidRPr="008F2EB6" w:rsidDel="0036275B">
        <w:rPr>
          <w:rFonts w:ascii="Arial" w:hAnsi="Arial" w:cs="Arial"/>
          <w:sz w:val="14"/>
          <w:szCs w:val="14"/>
          <w:lang w:val="en-US"/>
        </w:rPr>
        <w:t xml:space="preserve"> </w:t>
      </w:r>
    </w:p>
  </w:footnote>
  <w:footnote w:id="66">
    <w:p w14:paraId="3959DE14"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(2016). </w:t>
      </w:r>
      <w:r w:rsidRPr="008F2EB6">
        <w:rPr>
          <w:rFonts w:ascii="Arial" w:hAnsi="Arial" w:cs="Arial"/>
          <w:i/>
          <w:sz w:val="14"/>
          <w:szCs w:val="14"/>
          <w:lang w:val="en-US"/>
        </w:rPr>
        <w:t>Defining Geographic Markets Across National Borders.</w:t>
      </w:r>
      <w:r w:rsidRPr="008F2EB6">
        <w:rPr>
          <w:rFonts w:ascii="Arial" w:hAnsi="Arial" w:cs="Arial"/>
          <w:sz w:val="14"/>
          <w:szCs w:val="14"/>
          <w:lang w:val="en-US"/>
        </w:rPr>
        <w:t xml:space="preserve"> </w:t>
      </w:r>
      <w:r w:rsidRPr="008F2EB6">
        <w:rPr>
          <w:rFonts w:ascii="Arial" w:hAnsi="Arial" w:cs="Arial"/>
          <w:i/>
          <w:sz w:val="14"/>
          <w:szCs w:val="14"/>
          <w:lang w:val="en-US"/>
        </w:rPr>
        <w:t>Background Paper by the Secretariat.</w:t>
      </w:r>
      <w:r w:rsidRPr="008F2EB6">
        <w:rPr>
          <w:rFonts w:ascii="Arial" w:hAnsi="Arial" w:cs="Arial"/>
          <w:sz w:val="14"/>
          <w:szCs w:val="14"/>
          <w:lang w:val="en-US"/>
        </w:rPr>
        <w:t xml:space="preserve"> p. 6.</w:t>
      </w:r>
    </w:p>
  </w:footnote>
  <w:footnote w:id="67">
    <w:p w14:paraId="26FBD6C4" w14:textId="5E84AEBC"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DOJ y FTC (2010). </w:t>
      </w:r>
      <w:r w:rsidRPr="008F2EB6">
        <w:rPr>
          <w:rFonts w:ascii="Arial" w:hAnsi="Arial" w:cs="Arial"/>
          <w:i/>
          <w:sz w:val="14"/>
          <w:szCs w:val="14"/>
          <w:lang w:val="en-US"/>
        </w:rPr>
        <w:t>Horizontal Merger Guidelines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64" w:history="1">
        <w:r w:rsidRPr="00DB7A42">
          <w:rPr>
            <w:rStyle w:val="Hipervnculo"/>
            <w:rFonts w:ascii="Arial" w:eastAsiaTheme="minorHAnsi" w:hAnsi="Arial" w:cs="Arial"/>
            <w:sz w:val="14"/>
            <w:szCs w:val="14"/>
          </w:rPr>
          <w:t>https://www.justice.gov/atr/horizontal-merger-guidelines-08192010</w:t>
        </w:r>
      </w:hyperlink>
    </w:p>
  </w:footnote>
  <w:footnote w:id="68">
    <w:p w14:paraId="4A505992"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CE (1997). </w:t>
      </w:r>
      <w:r w:rsidRPr="008F2EB6">
        <w:rPr>
          <w:rFonts w:ascii="Arial" w:hAnsi="Arial" w:cs="Arial"/>
          <w:i/>
          <w:sz w:val="14"/>
          <w:szCs w:val="14"/>
        </w:rPr>
        <w:t>COMUNICACIÓN DE LA COMISIÓN relativa a la definición de mercado de referencia a efectos de la normativa comunitaria en materia de competencia.</w:t>
      </w:r>
      <w:r w:rsidRPr="008F2EB6">
        <w:rPr>
          <w:rFonts w:ascii="Arial" w:hAnsi="Arial" w:cs="Arial"/>
          <w:sz w:val="14"/>
          <w:szCs w:val="14"/>
        </w:rPr>
        <w:t xml:space="preserve"> </w:t>
      </w:r>
    </w:p>
  </w:footnote>
  <w:footnote w:id="69">
    <w:p w14:paraId="0789094A"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2F3607CB"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ACCC (2017). </w:t>
      </w:r>
      <w:r w:rsidRPr="008F2EB6">
        <w:rPr>
          <w:rFonts w:ascii="Arial" w:hAnsi="Arial" w:cs="Arial"/>
          <w:i/>
          <w:sz w:val="14"/>
          <w:szCs w:val="14"/>
        </w:rPr>
        <w:t>Media Merger Guidelines</w:t>
      </w:r>
      <w:r w:rsidRPr="008F2EB6">
        <w:rPr>
          <w:rFonts w:ascii="Arial" w:hAnsi="Arial" w:cs="Arial"/>
          <w:sz w:val="14"/>
          <w:szCs w:val="14"/>
        </w:rPr>
        <w:t xml:space="preserve">. p. 4. Disponible en </w:t>
      </w:r>
      <w:hyperlink r:id="rId65" w:history="1">
        <w:r w:rsidRPr="008F2EB6">
          <w:rPr>
            <w:rStyle w:val="Hipervnculo"/>
            <w:rFonts w:ascii="Arial" w:hAnsi="Arial" w:cs="Arial"/>
            <w:sz w:val="14"/>
            <w:szCs w:val="14"/>
          </w:rPr>
          <w:t>https://www.accc.gov.au/system/files/Media%20Merger%20Guidelines%202017_0.pdf</w:t>
        </w:r>
      </w:hyperlink>
    </w:p>
    <w:p w14:paraId="46D5BB28"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color w:val="000000"/>
          <w:sz w:val="14"/>
          <w:szCs w:val="14"/>
          <w:shd w:val="clear" w:color="auto" w:fill="FFFFFF"/>
        </w:rPr>
        <w:t xml:space="preserve">ACCC (2008). </w:t>
      </w:r>
      <w:r w:rsidRPr="008F2EB6">
        <w:rPr>
          <w:rFonts w:ascii="Arial" w:hAnsi="Arial" w:cs="Arial"/>
          <w:i/>
          <w:color w:val="000000"/>
          <w:sz w:val="14"/>
          <w:szCs w:val="14"/>
          <w:shd w:val="clear" w:color="auto" w:fill="FFFFFF"/>
        </w:rPr>
        <w:t>Merger Guidelines</w:t>
      </w:r>
      <w:r w:rsidRPr="008F2EB6">
        <w:rPr>
          <w:rFonts w:ascii="Arial" w:hAnsi="Arial" w:cs="Arial"/>
          <w:color w:val="000000"/>
          <w:sz w:val="14"/>
          <w:szCs w:val="14"/>
          <w:shd w:val="clear" w:color="auto" w:fill="FFFFFF"/>
        </w:rPr>
        <w:t xml:space="preserve"> (actualización 2017). </w:t>
      </w:r>
      <w:r w:rsidRPr="008F2EB6">
        <w:rPr>
          <w:rFonts w:ascii="Arial" w:hAnsi="Arial" w:cs="Arial"/>
          <w:sz w:val="14"/>
          <w:szCs w:val="14"/>
        </w:rPr>
        <w:t xml:space="preserve">p. 13. </w:t>
      </w:r>
    </w:p>
  </w:footnote>
  <w:footnote w:id="70">
    <w:p w14:paraId="1079C128" w14:textId="77777777" w:rsidR="00A457CE" w:rsidRPr="008F2EB6" w:rsidRDefault="00A457CE" w:rsidP="008F2EB6">
      <w:pPr>
        <w:spacing w:after="0" w:line="240" w:lineRule="auto"/>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29F3C3EB" w14:textId="77777777" w:rsidR="00A457CE" w:rsidRPr="008F2EB6" w:rsidRDefault="00A457CE" w:rsidP="008F2EB6">
      <w:pPr>
        <w:pStyle w:val="Prrafodelista"/>
        <w:numPr>
          <w:ilvl w:val="0"/>
          <w:numId w:val="28"/>
        </w:numPr>
        <w:spacing w:after="0" w:line="240" w:lineRule="auto"/>
        <w:contextualSpacing w:val="0"/>
        <w:jc w:val="both"/>
        <w:rPr>
          <w:rFonts w:ascii="Arial" w:hAnsi="Arial" w:cs="Arial"/>
          <w:sz w:val="14"/>
          <w:szCs w:val="14"/>
        </w:rPr>
      </w:pPr>
      <w:r w:rsidRPr="008F2EB6">
        <w:rPr>
          <w:rFonts w:ascii="Arial" w:hAnsi="Arial" w:cs="Arial"/>
          <w:sz w:val="14"/>
          <w:szCs w:val="14"/>
        </w:rPr>
        <w:t xml:space="preserve">Autoridad de Competencia. </w:t>
      </w:r>
      <w:r w:rsidRPr="008F2EB6">
        <w:rPr>
          <w:rFonts w:ascii="Arial" w:hAnsi="Arial" w:cs="Arial"/>
          <w:i/>
          <w:sz w:val="14"/>
          <w:szCs w:val="14"/>
        </w:rPr>
        <w:t>Linhas de Orientação para a Análise Económica de Operações de Concentração Horizontais</w:t>
      </w:r>
      <w:r w:rsidRPr="008F2EB6">
        <w:rPr>
          <w:rFonts w:ascii="Arial" w:hAnsi="Arial" w:cs="Arial"/>
          <w:sz w:val="14"/>
          <w:szCs w:val="14"/>
        </w:rPr>
        <w:t xml:space="preserve">. p. 2. Disponible en: </w:t>
      </w:r>
      <w:hyperlink r:id="rId66" w:history="1">
        <w:r w:rsidRPr="008F2EB6">
          <w:rPr>
            <w:rStyle w:val="Hipervnculo"/>
            <w:rFonts w:ascii="Arial" w:hAnsi="Arial" w:cs="Arial"/>
            <w:sz w:val="14"/>
            <w:szCs w:val="14"/>
          </w:rPr>
          <w:t>https://www.concorrencia.pt/sites/default/files/imported-magazines/Linhas%2520de%2520Orienta%C3%A7%C3%A3o%2520para%2520a%2520An%C3%A1lise%2520Econ%C3%B3mica%2520de%2520Opera%C3%A7%C3%B5es%2520de%2520Concentra%C3%A7%C3%A3o%2520Horizontais.pdf</w:t>
        </w:r>
      </w:hyperlink>
      <w:r w:rsidRPr="008F2EB6">
        <w:rPr>
          <w:rFonts w:ascii="Arial" w:hAnsi="Arial" w:cs="Arial"/>
          <w:sz w:val="14"/>
          <w:szCs w:val="14"/>
        </w:rPr>
        <w:t xml:space="preserve"> </w:t>
      </w:r>
    </w:p>
    <w:p w14:paraId="07AFE48B" w14:textId="77777777" w:rsidR="00A457CE" w:rsidRPr="008F2EB6" w:rsidRDefault="00A457CE" w:rsidP="008F2EB6">
      <w:pPr>
        <w:pStyle w:val="Prrafodelista"/>
        <w:numPr>
          <w:ilvl w:val="0"/>
          <w:numId w:val="28"/>
        </w:numPr>
        <w:spacing w:after="0" w:line="240" w:lineRule="auto"/>
        <w:contextualSpacing w:val="0"/>
        <w:jc w:val="both"/>
        <w:rPr>
          <w:rFonts w:ascii="Arial" w:hAnsi="Arial" w:cs="Arial"/>
          <w:sz w:val="14"/>
          <w:szCs w:val="14"/>
        </w:rPr>
      </w:pPr>
      <w:r w:rsidRPr="008F2EB6">
        <w:rPr>
          <w:rFonts w:ascii="Arial" w:hAnsi="Arial" w:cs="Arial"/>
          <w:sz w:val="14"/>
          <w:szCs w:val="14"/>
        </w:rPr>
        <w:t xml:space="preserve">Autoridad de Competencia (2013). </w:t>
      </w:r>
      <w:r w:rsidRPr="008F2EB6">
        <w:rPr>
          <w:rFonts w:ascii="Arial" w:hAnsi="Arial" w:cs="Arial"/>
          <w:i/>
          <w:sz w:val="14"/>
          <w:szCs w:val="14"/>
        </w:rPr>
        <w:t>Ccent. 5/2013 Kento*Unitel*Sonaecom/ZON*Optimus.</w:t>
      </w:r>
    </w:p>
  </w:footnote>
  <w:footnote w:id="71">
    <w:p w14:paraId="01DF57A1"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CBC (2011). </w:t>
      </w:r>
      <w:r w:rsidRPr="008F2EB6">
        <w:rPr>
          <w:rFonts w:ascii="Arial" w:hAnsi="Arial" w:cs="Arial"/>
          <w:i/>
          <w:sz w:val="14"/>
          <w:szCs w:val="14"/>
        </w:rPr>
        <w:t>Merger Enforcement Guidelines</w:t>
      </w:r>
      <w:r w:rsidRPr="008F2EB6">
        <w:rPr>
          <w:rFonts w:ascii="Arial" w:hAnsi="Arial" w:cs="Arial"/>
          <w:sz w:val="14"/>
          <w:szCs w:val="14"/>
        </w:rPr>
        <w:t xml:space="preserve">. </w:t>
      </w:r>
    </w:p>
  </w:footnote>
  <w:footnote w:id="72">
    <w:p w14:paraId="703178A1" w14:textId="77777777" w:rsidR="00A457CE" w:rsidRPr="008F2EB6" w:rsidRDefault="00A457CE" w:rsidP="008F2EB6">
      <w:pPr>
        <w:pStyle w:val="Textonotapie"/>
        <w:jc w:val="both"/>
        <w:rPr>
          <w:rFonts w:ascii="Arial" w:hAnsi="Arial" w:cs="Arial"/>
          <w:i/>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w:t>
      </w:r>
      <w:r w:rsidRPr="008F2EB6">
        <w:rPr>
          <w:rFonts w:ascii="Arial" w:hAnsi="Arial" w:cs="Arial"/>
          <w:b/>
          <w:i/>
          <w:sz w:val="14"/>
          <w:szCs w:val="14"/>
        </w:rPr>
        <w:t>Artículo 6.</w:t>
      </w:r>
      <w:r w:rsidRPr="008F2EB6">
        <w:rPr>
          <w:rFonts w:ascii="Arial" w:hAnsi="Arial" w:cs="Arial"/>
          <w:i/>
          <w:sz w:val="14"/>
          <w:szCs w:val="14"/>
        </w:rPr>
        <w:t xml:space="preserve"> El Instituto considerará que es poco probable que una concentración tiene por objeto o efecto obstaculizar, disminuir, dañar o impedir la competencia y la libre concurrencia, cuando posteriormente a ésta suceda alguna de las siguientes situaciones:</w:t>
      </w:r>
    </w:p>
    <w:p w14:paraId="34ED9AB9" w14:textId="77777777" w:rsidR="00A457CE" w:rsidRPr="008F2EB6" w:rsidRDefault="00A457CE" w:rsidP="008F2EB6">
      <w:pPr>
        <w:pStyle w:val="Textonotapie"/>
        <w:numPr>
          <w:ilvl w:val="0"/>
          <w:numId w:val="25"/>
        </w:numPr>
        <w:jc w:val="both"/>
        <w:rPr>
          <w:rFonts w:ascii="Arial" w:hAnsi="Arial" w:cs="Arial"/>
          <w:i/>
          <w:sz w:val="14"/>
          <w:szCs w:val="14"/>
        </w:rPr>
      </w:pPr>
      <w:r w:rsidRPr="008F2EB6">
        <w:rPr>
          <w:rFonts w:ascii="Arial" w:hAnsi="Arial" w:cs="Arial"/>
          <w:i/>
          <w:sz w:val="14"/>
          <w:szCs w:val="14"/>
        </w:rPr>
        <w:t xml:space="preserve">IHH </w:t>
      </w:r>
      <m:oMath>
        <m:r>
          <w:rPr>
            <w:rFonts w:ascii="Cambria Math" w:hAnsi="Cambria Math" w:cs="Arial"/>
            <w:sz w:val="14"/>
            <w:szCs w:val="14"/>
          </w:rPr>
          <m:t>≤</m:t>
        </m:r>
      </m:oMath>
      <w:r w:rsidRPr="008F2EB6">
        <w:rPr>
          <w:rFonts w:ascii="Arial" w:hAnsi="Arial" w:cs="Arial"/>
          <w:i/>
          <w:sz w:val="14"/>
          <w:szCs w:val="14"/>
        </w:rPr>
        <w:t xml:space="preserve"> 2,000 puntos;</w:t>
      </w:r>
    </w:p>
    <w:p w14:paraId="1A557AB5" w14:textId="77777777" w:rsidR="00A457CE" w:rsidRPr="008F2EB6" w:rsidRDefault="00A457CE" w:rsidP="008F2EB6">
      <w:pPr>
        <w:pStyle w:val="Textonotapie"/>
        <w:numPr>
          <w:ilvl w:val="0"/>
          <w:numId w:val="25"/>
        </w:numPr>
        <w:jc w:val="both"/>
        <w:rPr>
          <w:rFonts w:ascii="Arial" w:hAnsi="Arial" w:cs="Arial"/>
          <w:i/>
          <w:sz w:val="14"/>
          <w:szCs w:val="14"/>
        </w:rPr>
      </w:pPr>
      <w:r w:rsidRPr="008F2EB6">
        <w:rPr>
          <w:rFonts w:ascii="Arial" w:hAnsi="Arial" w:cs="Arial"/>
          <w:i/>
          <w:sz w:val="14"/>
          <w:szCs w:val="14"/>
        </w:rPr>
        <w:t xml:space="preserve">2,000 </w:t>
      </w:r>
      <m:oMath>
        <m:r>
          <w:rPr>
            <w:rFonts w:ascii="Cambria Math" w:hAnsi="Cambria Math" w:cs="Arial"/>
            <w:sz w:val="14"/>
            <w:szCs w:val="14"/>
          </w:rPr>
          <m:t>&lt;</m:t>
        </m:r>
      </m:oMath>
      <w:r w:rsidRPr="008F2EB6">
        <w:rPr>
          <w:rFonts w:ascii="Arial" w:eastAsiaTheme="minorEastAsia" w:hAnsi="Arial" w:cs="Arial"/>
          <w:i/>
          <w:sz w:val="14"/>
          <w:szCs w:val="14"/>
        </w:rPr>
        <w:t xml:space="preserve"> IHH </w:t>
      </w:r>
      <m:oMath>
        <m:r>
          <w:rPr>
            <w:rFonts w:ascii="Cambria Math" w:hAnsi="Cambria Math" w:cs="Arial"/>
            <w:sz w:val="14"/>
            <w:szCs w:val="14"/>
          </w:rPr>
          <m:t>≤</m:t>
        </m:r>
      </m:oMath>
      <w:r w:rsidRPr="008F2EB6">
        <w:rPr>
          <w:rFonts w:ascii="Arial" w:eastAsiaTheme="minorEastAsia" w:hAnsi="Arial" w:cs="Arial"/>
          <w:i/>
          <w:sz w:val="14"/>
          <w:szCs w:val="14"/>
        </w:rPr>
        <w:t xml:space="preserve"> 3,000 y </w:t>
      </w:r>
      <m:oMath>
        <m:r>
          <w:rPr>
            <w:rFonts w:ascii="Cambria Math" w:eastAsiaTheme="minorEastAsia" w:hAnsi="Cambria Math" w:cs="Arial"/>
            <w:sz w:val="14"/>
            <w:szCs w:val="14"/>
          </w:rPr>
          <m:t>∆</m:t>
        </m:r>
      </m:oMath>
      <w:r w:rsidRPr="008F2EB6">
        <w:rPr>
          <w:rFonts w:ascii="Arial" w:eastAsiaTheme="minorEastAsia" w:hAnsi="Arial" w:cs="Arial"/>
          <w:i/>
          <w:sz w:val="14"/>
          <w:szCs w:val="14"/>
        </w:rPr>
        <w:t xml:space="preserve">HH </w:t>
      </w:r>
      <m:oMath>
        <m:r>
          <w:rPr>
            <w:rFonts w:ascii="Cambria Math" w:hAnsi="Cambria Math" w:cs="Arial"/>
            <w:sz w:val="14"/>
            <w:szCs w:val="14"/>
          </w:rPr>
          <m:t>≤</m:t>
        </m:r>
      </m:oMath>
      <w:r w:rsidRPr="008F2EB6">
        <w:rPr>
          <w:rFonts w:ascii="Arial" w:eastAsiaTheme="minorEastAsia" w:hAnsi="Arial" w:cs="Arial"/>
          <w:i/>
          <w:sz w:val="14"/>
          <w:szCs w:val="14"/>
        </w:rPr>
        <w:t xml:space="preserve"> 150 puntos; o</w:t>
      </w:r>
    </w:p>
    <w:p w14:paraId="5C5140E0" w14:textId="77777777" w:rsidR="00A457CE" w:rsidRPr="008F2EB6" w:rsidRDefault="00A457CE" w:rsidP="008F2EB6">
      <w:pPr>
        <w:pStyle w:val="Textonotapie"/>
        <w:numPr>
          <w:ilvl w:val="0"/>
          <w:numId w:val="25"/>
        </w:numPr>
        <w:jc w:val="both"/>
        <w:rPr>
          <w:rFonts w:ascii="Arial" w:hAnsi="Arial" w:cs="Arial"/>
          <w:i/>
          <w:sz w:val="14"/>
          <w:szCs w:val="14"/>
        </w:rPr>
      </w:pPr>
      <w:r w:rsidRPr="008F2EB6">
        <w:rPr>
          <w:rFonts w:ascii="Arial" w:hAnsi="Arial" w:cs="Arial"/>
          <w:i/>
          <w:sz w:val="14"/>
          <w:szCs w:val="14"/>
        </w:rPr>
        <w:t xml:space="preserve">IHH </w:t>
      </w:r>
      <m:oMath>
        <m:r>
          <w:rPr>
            <w:rFonts w:ascii="Cambria Math" w:hAnsi="Cambria Math" w:cs="Arial"/>
            <w:sz w:val="14"/>
            <w:szCs w:val="14"/>
          </w:rPr>
          <m:t>&gt;</m:t>
        </m:r>
      </m:oMath>
      <w:r w:rsidRPr="008F2EB6">
        <w:rPr>
          <w:rFonts w:ascii="Arial" w:eastAsiaTheme="minorEastAsia" w:hAnsi="Arial" w:cs="Arial"/>
          <w:i/>
          <w:sz w:val="14"/>
          <w:szCs w:val="14"/>
        </w:rPr>
        <w:t xml:space="preserve">3,000 y </w:t>
      </w:r>
      <m:oMath>
        <m:r>
          <w:rPr>
            <w:rFonts w:ascii="Cambria Math" w:eastAsiaTheme="minorEastAsia" w:hAnsi="Cambria Math" w:cs="Arial"/>
            <w:sz w:val="14"/>
            <w:szCs w:val="14"/>
          </w:rPr>
          <m:t>∆</m:t>
        </m:r>
      </m:oMath>
      <w:r w:rsidRPr="008F2EB6">
        <w:rPr>
          <w:rFonts w:ascii="Arial" w:eastAsiaTheme="minorEastAsia" w:hAnsi="Arial" w:cs="Arial"/>
          <w:i/>
          <w:sz w:val="14"/>
          <w:szCs w:val="14"/>
        </w:rPr>
        <w:t xml:space="preserve">HH </w:t>
      </w:r>
      <m:oMath>
        <m:r>
          <w:rPr>
            <w:rFonts w:ascii="Cambria Math" w:hAnsi="Cambria Math" w:cs="Arial"/>
            <w:sz w:val="14"/>
            <w:szCs w:val="14"/>
          </w:rPr>
          <m:t>≤</m:t>
        </m:r>
      </m:oMath>
      <w:r w:rsidRPr="008F2EB6">
        <w:rPr>
          <w:rFonts w:ascii="Arial" w:eastAsiaTheme="minorEastAsia" w:hAnsi="Arial" w:cs="Arial"/>
          <w:i/>
          <w:sz w:val="14"/>
          <w:szCs w:val="14"/>
        </w:rPr>
        <w:t xml:space="preserve"> 100 puntos.</w:t>
      </w:r>
    </w:p>
  </w:footnote>
  <w:footnote w:id="73">
    <w:p w14:paraId="3432CA63" w14:textId="77777777" w:rsidR="00A457CE" w:rsidRPr="008F2EB6" w:rsidRDefault="00A457CE" w:rsidP="008F2EB6">
      <w:pPr>
        <w:pStyle w:val="Textonotapie"/>
        <w:jc w:val="both"/>
        <w:rPr>
          <w:rFonts w:ascii="Arial" w:hAnsi="Arial" w:cs="Arial"/>
          <w:i/>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w:t>
      </w:r>
      <w:r w:rsidRPr="008F2EB6">
        <w:rPr>
          <w:rFonts w:ascii="Arial" w:hAnsi="Arial" w:cs="Arial"/>
          <w:b/>
          <w:i/>
          <w:sz w:val="14"/>
          <w:szCs w:val="14"/>
        </w:rPr>
        <w:t xml:space="preserve">Artículo 7. </w:t>
      </w:r>
      <w:r w:rsidRPr="008F2EB6">
        <w:rPr>
          <w:rFonts w:ascii="Arial" w:hAnsi="Arial" w:cs="Arial"/>
          <w:i/>
          <w:sz w:val="14"/>
          <w:szCs w:val="14"/>
        </w:rPr>
        <w:t xml:space="preserve">Aun cuando una concentración implique valores de IHH y de la </w:t>
      </w:r>
      <m:oMath>
        <m:r>
          <w:rPr>
            <w:rFonts w:ascii="Cambria Math" w:eastAsiaTheme="minorEastAsia" w:hAnsi="Cambria Math" w:cs="Arial"/>
            <w:sz w:val="14"/>
            <w:szCs w:val="14"/>
          </w:rPr>
          <m:t>∆</m:t>
        </m:r>
      </m:oMath>
      <w:r w:rsidRPr="008F2EB6">
        <w:rPr>
          <w:rFonts w:ascii="Arial" w:eastAsiaTheme="minorEastAsia" w:hAnsi="Arial" w:cs="Arial"/>
          <w:i/>
          <w:sz w:val="14"/>
          <w:szCs w:val="14"/>
        </w:rPr>
        <w:t xml:space="preserve">HH se ubiquen dentro de los umbrales establecidos en el numeral anterior, </w:t>
      </w:r>
      <w:r w:rsidRPr="008F2EB6">
        <w:rPr>
          <w:rFonts w:ascii="Arial" w:hAnsi="Arial" w:cs="Arial"/>
          <w:i/>
          <w:sz w:val="14"/>
          <w:szCs w:val="14"/>
        </w:rPr>
        <w:t>el Instituto podrá considerar que existen potenciales riesgos de que ésta tiene por objeto o efecto obstaculizar, disminuir, dañar o impedir la competencia y la libre concurrencia, si sucede una o varias de las siguientes circunstancias:</w:t>
      </w:r>
    </w:p>
    <w:p w14:paraId="1B8AF8DB" w14:textId="77777777" w:rsidR="00A457CE" w:rsidRPr="008F2EB6" w:rsidRDefault="00A457CE" w:rsidP="008F2EB6">
      <w:pPr>
        <w:pStyle w:val="Default"/>
        <w:numPr>
          <w:ilvl w:val="0"/>
          <w:numId w:val="26"/>
        </w:numPr>
        <w:jc w:val="both"/>
        <w:rPr>
          <w:rFonts w:ascii="Arial" w:hAnsi="Arial" w:cs="Arial"/>
          <w:i/>
          <w:sz w:val="14"/>
          <w:szCs w:val="14"/>
        </w:rPr>
      </w:pPr>
      <w:r w:rsidRPr="008F2EB6">
        <w:rPr>
          <w:rFonts w:ascii="Arial" w:hAnsi="Arial" w:cs="Arial"/>
          <w:i/>
          <w:sz w:val="14"/>
          <w:szCs w:val="14"/>
        </w:rPr>
        <w:t xml:space="preserve">Los agentes económicos involucrados en la concentración tengan o puedan llegar a adquirir poder sustancial en mercados relacionados; </w:t>
      </w:r>
    </w:p>
    <w:p w14:paraId="3D79A893" w14:textId="77777777" w:rsidR="00A457CE" w:rsidRPr="008F2EB6" w:rsidRDefault="00A457CE" w:rsidP="008F2EB6">
      <w:pPr>
        <w:pStyle w:val="Default"/>
        <w:numPr>
          <w:ilvl w:val="0"/>
          <w:numId w:val="26"/>
        </w:numPr>
        <w:jc w:val="both"/>
        <w:rPr>
          <w:rFonts w:ascii="Arial" w:hAnsi="Arial" w:cs="Arial"/>
          <w:i/>
          <w:sz w:val="14"/>
          <w:szCs w:val="14"/>
        </w:rPr>
      </w:pPr>
      <w:r w:rsidRPr="008F2EB6">
        <w:rPr>
          <w:rFonts w:ascii="Arial" w:hAnsi="Arial" w:cs="Arial"/>
          <w:i/>
          <w:sz w:val="14"/>
          <w:szCs w:val="14"/>
        </w:rPr>
        <w:t xml:space="preserve">Los agentes económicos involucrados en la concentración alcancen una participación superior al treinta y cinco por ciento; </w:t>
      </w:r>
    </w:p>
    <w:p w14:paraId="7F44E006" w14:textId="77777777" w:rsidR="00A457CE" w:rsidRPr="008F2EB6" w:rsidRDefault="00A457CE" w:rsidP="008F2EB6">
      <w:pPr>
        <w:pStyle w:val="Default"/>
        <w:numPr>
          <w:ilvl w:val="0"/>
          <w:numId w:val="26"/>
        </w:numPr>
        <w:jc w:val="both"/>
        <w:rPr>
          <w:rFonts w:ascii="Arial" w:hAnsi="Arial" w:cs="Arial"/>
          <w:i/>
          <w:sz w:val="14"/>
          <w:szCs w:val="14"/>
        </w:rPr>
      </w:pPr>
      <w:r w:rsidRPr="008F2EB6">
        <w:rPr>
          <w:rFonts w:ascii="Arial" w:hAnsi="Arial" w:cs="Arial"/>
          <w:i/>
          <w:sz w:val="14"/>
          <w:szCs w:val="14"/>
        </w:rPr>
        <w:t xml:space="preserve">El agente económico adquirido es un agente económico disruptivo (conocido como </w:t>
      </w:r>
      <w:r w:rsidRPr="008F2EB6">
        <w:rPr>
          <w:rFonts w:ascii="Arial" w:hAnsi="Arial" w:cs="Arial"/>
          <w:i/>
          <w:iCs/>
          <w:sz w:val="14"/>
          <w:szCs w:val="14"/>
        </w:rPr>
        <w:t xml:space="preserve">maverick </w:t>
      </w:r>
      <w:r w:rsidRPr="008F2EB6">
        <w:rPr>
          <w:rFonts w:ascii="Arial" w:hAnsi="Arial" w:cs="Arial"/>
          <w:i/>
          <w:sz w:val="14"/>
          <w:szCs w:val="14"/>
        </w:rPr>
        <w:t xml:space="preserve">en inglés) que se distinga, por ejemplo, por introducir o desarrollar nuevas tecnologías o modelos de negocios o que pueda disciplinar los precios con base en su habilidad e incentivos a expandirse rápidamente; </w:t>
      </w:r>
    </w:p>
    <w:p w14:paraId="1053311B" w14:textId="77777777" w:rsidR="00A457CE" w:rsidRPr="008F2EB6" w:rsidRDefault="00A457CE" w:rsidP="008F2EB6">
      <w:pPr>
        <w:pStyle w:val="Default"/>
        <w:numPr>
          <w:ilvl w:val="0"/>
          <w:numId w:val="26"/>
        </w:numPr>
        <w:jc w:val="both"/>
        <w:rPr>
          <w:rFonts w:ascii="Arial" w:hAnsi="Arial" w:cs="Arial"/>
          <w:i/>
          <w:sz w:val="14"/>
          <w:szCs w:val="14"/>
        </w:rPr>
      </w:pPr>
      <w:r w:rsidRPr="008F2EB6">
        <w:rPr>
          <w:rFonts w:ascii="Arial" w:hAnsi="Arial" w:cs="Arial"/>
          <w:i/>
          <w:sz w:val="14"/>
          <w:szCs w:val="14"/>
        </w:rPr>
        <w:t xml:space="preserve">Uno o más de los agentes económicos involucrados en la concentración haya participado dentro de los últimos cinco años en operaciones previas en el mismo mercado y que consideradas en conjunto con la concentración analizada, rebasen los umbrales referidos en el Artículo 6 del presente Criterio Técnico; </w:t>
      </w:r>
    </w:p>
    <w:p w14:paraId="628F9413" w14:textId="77777777" w:rsidR="00A457CE" w:rsidRPr="008F2EB6" w:rsidRDefault="00A457CE" w:rsidP="008F2EB6">
      <w:pPr>
        <w:pStyle w:val="Default"/>
        <w:numPr>
          <w:ilvl w:val="0"/>
          <w:numId w:val="26"/>
        </w:numPr>
        <w:jc w:val="both"/>
        <w:rPr>
          <w:rFonts w:ascii="Arial" w:hAnsi="Arial" w:cs="Arial"/>
          <w:i/>
          <w:sz w:val="14"/>
          <w:szCs w:val="14"/>
        </w:rPr>
      </w:pPr>
      <w:r w:rsidRPr="008F2EB6">
        <w:rPr>
          <w:rFonts w:ascii="Arial" w:hAnsi="Arial" w:cs="Arial"/>
          <w:i/>
          <w:sz w:val="14"/>
          <w:szCs w:val="14"/>
        </w:rPr>
        <w:t>La concentración pueda generar incentivos o facilitar la coordinación entre los agentes económicos que participen en el mercado analizado o mercados relacionados;</w:t>
      </w:r>
    </w:p>
  </w:footnote>
  <w:footnote w:id="74">
    <w:p w14:paraId="393090BE"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172D9BD2"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(2017).</w:t>
      </w:r>
      <w:r w:rsidRPr="008F2EB6">
        <w:rPr>
          <w:rFonts w:ascii="Arial" w:hAnsi="Arial" w:cs="Arial"/>
          <w:b/>
          <w:bCs/>
          <w:sz w:val="14"/>
          <w:szCs w:val="14"/>
        </w:rPr>
        <w:t xml:space="preserve"> </w:t>
      </w:r>
      <w:r w:rsidRPr="008F2EB6">
        <w:rPr>
          <w:rFonts w:ascii="Arial" w:hAnsi="Arial" w:cs="Arial"/>
          <w:i/>
          <w:sz w:val="14"/>
          <w:szCs w:val="14"/>
        </w:rPr>
        <w:t xml:space="preserve">RESOLUCIÓN MEDIANTE LA CUAL EL PLENO DEL INSTITUTO FEDERAL DE TELECOMUNICACIONES AUTORIZA LLEVAR A CABO LA CONCENTRACIÓN RADICADA BAJO EL EXPEDIENTE NO. </w:t>
      </w:r>
      <w:r w:rsidRPr="008F2EB6">
        <w:rPr>
          <w:rFonts w:ascii="Arial" w:hAnsi="Arial" w:cs="Arial"/>
          <w:i/>
          <w:sz w:val="14"/>
          <w:szCs w:val="14"/>
          <w:lang w:val="en-US"/>
        </w:rPr>
        <w:t xml:space="preserve">UCE/CNC-004-2016, NOTIFICADA POR AT&amp;T INC., WEST MERGER SUB INC. </w:t>
      </w:r>
      <w:r w:rsidRPr="008F2EB6">
        <w:rPr>
          <w:rFonts w:ascii="Arial" w:hAnsi="Arial" w:cs="Arial"/>
          <w:i/>
          <w:sz w:val="14"/>
          <w:szCs w:val="14"/>
        </w:rPr>
        <w:t>Y TIME WARNER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P/IFT/150817/487</w:t>
      </w:r>
    </w:p>
    <w:p w14:paraId="4BBF961D"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(2019). </w:t>
      </w:r>
      <w:r w:rsidRPr="008F2EB6">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P/IFT/110319/122</w:t>
      </w:r>
      <w:r w:rsidRPr="008F2EB6">
        <w:rPr>
          <w:rFonts w:ascii="Arial" w:hAnsi="Arial" w:cs="Arial"/>
          <w:sz w:val="14"/>
          <w:szCs w:val="14"/>
        </w:rPr>
        <w:t xml:space="preserve"> </w:t>
      </w:r>
    </w:p>
    <w:p w14:paraId="0FEEB3AD"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(2016).</w:t>
      </w:r>
      <w:r w:rsidRPr="008F2EB6">
        <w:rPr>
          <w:rFonts w:ascii="Arial" w:hAnsi="Arial" w:cs="Arial"/>
          <w:b/>
          <w:bCs/>
          <w:sz w:val="14"/>
          <w:szCs w:val="14"/>
        </w:rPr>
        <w:t xml:space="preserve"> </w:t>
      </w:r>
      <w:r w:rsidRPr="008F2EB6">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F2EB6">
        <w:rPr>
          <w:rFonts w:ascii="Arial" w:hAnsi="Arial" w:cs="Arial"/>
          <w:sz w:val="14"/>
          <w:szCs w:val="14"/>
        </w:rPr>
        <w:t xml:space="preserve">. Acuerdo </w:t>
      </w:r>
      <w:r w:rsidRPr="008F2EB6">
        <w:rPr>
          <w:rFonts w:ascii="Arial" w:hAnsi="Arial" w:cs="Arial"/>
          <w:bCs/>
          <w:sz w:val="14"/>
          <w:szCs w:val="14"/>
        </w:rPr>
        <w:t>P/IFT/EXT/190216/7.</w:t>
      </w:r>
      <w:r w:rsidRPr="008F2EB6" w:rsidDel="002C7ED0">
        <w:rPr>
          <w:rFonts w:ascii="Arial" w:hAnsi="Arial" w:cs="Arial"/>
          <w:bCs/>
          <w:sz w:val="14"/>
          <w:szCs w:val="14"/>
        </w:rPr>
        <w:t xml:space="preserve"> </w:t>
      </w:r>
    </w:p>
    <w:p w14:paraId="536F9EDB"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(2018). </w:t>
      </w:r>
      <w:r w:rsidRPr="008F2EB6">
        <w:rPr>
          <w:rFonts w:ascii="Arial" w:hAnsi="Arial" w:cs="Arial"/>
          <w:i/>
          <w:sz w:val="14"/>
          <w:szCs w:val="14"/>
        </w:rPr>
        <w:t xml:space="preserve">RESOLUCIÓN MEDIANTE LA CUAL EL PLENO DEL INSTITUTO FEDERAL DE TELECOMUNICACIONES RESUELVE SOBRE LA PRÁCTICA MONOPÓLICA RELATIVA PREVISTA EN EL ARTÍCULO 10, FRACCIÓN VIII, DE LA LEY FEDERAL DE COMPETENCIA ECONÓMICA, IMPUTADA A AMÉRICA MÓVIL, S.A.B. DE C.V. Y RADIOMÓVIL DIPSA, S.A. DE C.V. EN EL EXPEDIENTE E-IFT/UCE/DGIPM/PMR/0006/2013. </w:t>
      </w:r>
      <w:r w:rsidRPr="008F2EB6">
        <w:rPr>
          <w:rFonts w:ascii="Arial" w:hAnsi="Arial" w:cs="Arial"/>
          <w:sz w:val="14"/>
          <w:szCs w:val="14"/>
        </w:rPr>
        <w:t xml:space="preserve">Acuerdo </w:t>
      </w:r>
      <w:r w:rsidRPr="008F2EB6">
        <w:rPr>
          <w:rFonts w:ascii="Arial" w:hAnsi="Arial" w:cs="Arial"/>
          <w:bCs/>
          <w:sz w:val="14"/>
          <w:szCs w:val="14"/>
        </w:rPr>
        <w:t>P/IFT/120418/293</w:t>
      </w:r>
      <w:r w:rsidRPr="008F2EB6">
        <w:rPr>
          <w:rFonts w:ascii="Arial" w:hAnsi="Arial" w:cs="Arial"/>
          <w:b/>
          <w:bCs/>
          <w:sz w:val="14"/>
          <w:szCs w:val="14"/>
        </w:rPr>
        <w:t xml:space="preserve">, </w:t>
      </w:r>
      <w:r w:rsidRPr="008F2EB6">
        <w:rPr>
          <w:rFonts w:ascii="Arial" w:hAnsi="Arial" w:cs="Arial"/>
          <w:sz w:val="14"/>
          <w:szCs w:val="14"/>
        </w:rPr>
        <w:t xml:space="preserve">disponible en: </w:t>
      </w:r>
      <w:hyperlink r:id="rId67" w:history="1">
        <w:r w:rsidRPr="008F2EB6">
          <w:rPr>
            <w:rStyle w:val="Hipervnculo"/>
            <w:rFonts w:ascii="Arial" w:hAnsi="Arial" w:cs="Arial"/>
            <w:sz w:val="14"/>
            <w:szCs w:val="14"/>
          </w:rPr>
          <w:t>http://www.ift.org.mx/sites/default/files/conocenos/pleno/sesiones/acuerdoliga/vppift120418293noct.pdf</w:t>
        </w:r>
      </w:hyperlink>
    </w:p>
  </w:footnote>
  <w:footnote w:id="75">
    <w:p w14:paraId="7C2E1B6F"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0FDF7666" w14:textId="77777777" w:rsidR="00A457CE" w:rsidRPr="008F2EB6" w:rsidRDefault="00A457CE" w:rsidP="008F2EB6">
      <w:pPr>
        <w:pStyle w:val="Textonotapie"/>
        <w:numPr>
          <w:ilvl w:val="0"/>
          <w:numId w:val="28"/>
        </w:numPr>
        <w:jc w:val="both"/>
        <w:rPr>
          <w:rStyle w:val="Hipervnculo"/>
          <w:rFonts w:ascii="Arial" w:hAnsi="Arial" w:cs="Arial"/>
          <w:sz w:val="14"/>
          <w:szCs w:val="14"/>
          <w:lang w:val="fr-FR"/>
        </w:rPr>
      </w:pPr>
      <w:r w:rsidRPr="008F2EB6">
        <w:rPr>
          <w:rFonts w:ascii="Arial" w:hAnsi="Arial" w:cs="Arial"/>
          <w:sz w:val="14"/>
          <w:szCs w:val="14"/>
          <w:lang w:val="en-US"/>
        </w:rPr>
        <w:t xml:space="preserve">CE (2008). </w:t>
      </w:r>
      <w:r w:rsidRPr="008F2EB6">
        <w:rPr>
          <w:rFonts w:ascii="Arial" w:hAnsi="Arial" w:cs="Arial"/>
          <w:i/>
          <w:sz w:val="14"/>
          <w:szCs w:val="14"/>
          <w:lang w:val="en-US"/>
        </w:rPr>
        <w:t>Guidelines on the assessment of non-horizontal mergers under the Council Regulation on the control of concentrations between undertakings.</w:t>
      </w:r>
      <w:r w:rsidRPr="008F2EB6">
        <w:rPr>
          <w:rFonts w:ascii="Arial" w:hAnsi="Arial" w:cs="Arial"/>
          <w:sz w:val="14"/>
          <w:szCs w:val="14"/>
          <w:lang w:val="en-US"/>
        </w:rPr>
        <w:t xml:space="preserve"> </w:t>
      </w:r>
      <w:r w:rsidRPr="008F2EB6">
        <w:rPr>
          <w:rFonts w:ascii="Arial" w:hAnsi="Arial" w:cs="Arial"/>
          <w:sz w:val="14"/>
          <w:szCs w:val="14"/>
        </w:rPr>
        <w:t>Se refiere a mercados “estrechamente relacionados” como mercados de productos complementarios o que pertenecen “a la misma gama de productos”, párrafo 5.</w:t>
      </w:r>
      <w:r w:rsidRPr="008F2EB6">
        <w:rPr>
          <w:rFonts w:ascii="Arial" w:hAnsi="Arial" w:cs="Arial"/>
          <w:sz w:val="14"/>
          <w:szCs w:val="14"/>
          <w:lang w:val="fr-FR"/>
        </w:rPr>
        <w:t xml:space="preserve">Disponible en: </w:t>
      </w:r>
      <w:hyperlink r:id="rId68" w:history="1">
        <w:r w:rsidRPr="008F2EB6">
          <w:rPr>
            <w:rStyle w:val="Hipervnculo"/>
            <w:rFonts w:ascii="Arial" w:hAnsi="Arial" w:cs="Arial"/>
            <w:sz w:val="14"/>
            <w:szCs w:val="14"/>
            <w:lang w:val="fr-FR"/>
          </w:rPr>
          <w:t>https://eur-lex.europa.eu/legal-content/EN/TXT/PDF/?uri=CELEX:52008XC1018(03)&amp;from=EN</w:t>
        </w:r>
      </w:hyperlink>
    </w:p>
    <w:p w14:paraId="0ACDF150"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fr-FR"/>
        </w:rPr>
        <w:t xml:space="preserve">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p. 4. Se refiere a la definición de mercados mayoristas correspondientes al mercado minorista en el que se identifican problemas de competencia.</w:t>
      </w:r>
    </w:p>
    <w:p w14:paraId="19AF3DC4"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rPr>
        <w:t>CE (2010).</w:t>
      </w:r>
      <w:r w:rsidRPr="008F2EB6">
        <w:rPr>
          <w:rFonts w:ascii="Arial" w:hAnsi="Arial" w:cs="Arial"/>
          <w:i/>
          <w:sz w:val="14"/>
          <w:szCs w:val="14"/>
        </w:rPr>
        <w:t xml:space="preserve"> Asunto n° COMP/M.5748 - Prisa/ Telefónica/ Telecinco/ Digital+</w:t>
      </w:r>
      <w:r w:rsidRPr="008F2EB6">
        <w:rPr>
          <w:rFonts w:ascii="Arial" w:hAnsi="Arial" w:cs="Arial"/>
          <w:sz w:val="14"/>
          <w:szCs w:val="14"/>
        </w:rPr>
        <w:t xml:space="preserve">. </w:t>
      </w:r>
      <w:r w:rsidRPr="008F2EB6">
        <w:rPr>
          <w:rFonts w:ascii="Arial" w:hAnsi="Arial" w:cs="Arial"/>
          <w:sz w:val="14"/>
          <w:szCs w:val="14"/>
          <w:lang w:val="fr-FR"/>
        </w:rPr>
        <w:t xml:space="preserve">Disponible en: </w:t>
      </w:r>
      <w:hyperlink r:id="rId69" w:history="1">
        <w:r w:rsidRPr="008F2EB6">
          <w:rPr>
            <w:rStyle w:val="Hipervnculo"/>
            <w:rFonts w:ascii="Arial" w:hAnsi="Arial" w:cs="Arial"/>
            <w:sz w:val="14"/>
            <w:szCs w:val="14"/>
            <w:lang w:val="fr-FR"/>
          </w:rPr>
          <w:t>https://ec.europa.eu/competition/mergers/cases/decisions/M5748_20100311_201220_254185_ES.pdf</w:t>
        </w:r>
      </w:hyperlink>
    </w:p>
    <w:p w14:paraId="72E1486A"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fr-FR"/>
        </w:rPr>
        <w:t>CE (2013).</w:t>
      </w:r>
      <w:r w:rsidRPr="008F2EB6">
        <w:rPr>
          <w:rFonts w:ascii="Arial" w:hAnsi="Arial" w:cs="Arial"/>
          <w:i/>
          <w:sz w:val="14"/>
          <w:szCs w:val="14"/>
          <w:lang w:val="fr-FR"/>
        </w:rPr>
        <w:t xml:space="preserve"> </w:t>
      </w:r>
      <w:r w:rsidRPr="008F2EB6">
        <w:rPr>
          <w:rFonts w:ascii="Arial" w:hAnsi="Arial" w:cs="Arial"/>
          <w:i/>
          <w:sz w:val="14"/>
          <w:szCs w:val="14"/>
        </w:rPr>
        <w:t>Case No COMP/M.6956 - TELEFONICA/ CAIXABANK/ BANCO SANTANDER / JV</w:t>
      </w:r>
      <w:r w:rsidRPr="008F2EB6">
        <w:rPr>
          <w:rFonts w:ascii="Arial" w:hAnsi="Arial" w:cs="Arial"/>
          <w:sz w:val="14"/>
          <w:szCs w:val="14"/>
        </w:rPr>
        <w:t xml:space="preserve">. Disponible en: </w:t>
      </w:r>
      <w:hyperlink r:id="rId70" w:history="1">
        <w:r w:rsidRPr="008F2EB6">
          <w:rPr>
            <w:rStyle w:val="Hipervnculo"/>
            <w:rFonts w:ascii="Arial" w:hAnsi="Arial" w:cs="Arial"/>
            <w:sz w:val="14"/>
            <w:szCs w:val="14"/>
          </w:rPr>
          <w:t>https://ec.europa.eu/competition/mergers/cases/decisions/m6956_235_2.pdf</w:t>
        </w:r>
      </w:hyperlink>
    </w:p>
  </w:footnote>
  <w:footnote w:id="76">
    <w:p w14:paraId="47A3FDE6" w14:textId="77777777" w:rsidR="00A457CE" w:rsidRPr="008F2EB6" w:rsidRDefault="00A457CE" w:rsidP="008F2EB6">
      <w:pPr>
        <w:pStyle w:val="NotaPie"/>
        <w:rPr>
          <w:lang w:val="fr-FR"/>
        </w:rPr>
      </w:pPr>
      <w:r w:rsidRPr="008F2EB6">
        <w:rPr>
          <w:rStyle w:val="Refdenotaalpie"/>
        </w:rPr>
        <w:footnoteRef/>
      </w:r>
      <w:r w:rsidRPr="008F2EB6">
        <w:rPr>
          <w:lang w:val="fr-FR"/>
        </w:rPr>
        <w:t xml:space="preserve"> Bundeskartellamt (2012). </w:t>
      </w:r>
      <w:r w:rsidRPr="008F2EB6">
        <w:rPr>
          <w:i/>
          <w:lang w:val="fr-FR"/>
        </w:rPr>
        <w:t>Guidance on Substantive Merger Control</w:t>
      </w:r>
      <w:r w:rsidRPr="008F2EB6">
        <w:rPr>
          <w:lang w:val="fr-FR"/>
        </w:rPr>
        <w:t xml:space="preserve">. Disponible en: </w:t>
      </w:r>
      <w:hyperlink r:id="rId71" w:history="1">
        <w:r w:rsidRPr="008F2EB6">
          <w:rPr>
            <w:rStyle w:val="Hipervnculo"/>
            <w:lang w:val="fr-FR"/>
          </w:rPr>
          <w:t>https://www.bundeskartellamt.de/SharedDocs/Publikation/EN/Leitlinien/Guidance%20-%20Substantive%20Merger%20Control.pdf?__blob=publicationFile&amp;v=6</w:t>
        </w:r>
      </w:hyperlink>
    </w:p>
  </w:footnote>
  <w:footnote w:id="77">
    <w:p w14:paraId="79502FE7" w14:textId="77777777" w:rsidR="00A457CE" w:rsidRPr="008F2EB6" w:rsidRDefault="00A457CE" w:rsidP="008F2EB6">
      <w:pPr>
        <w:pStyle w:val="NotaPie"/>
      </w:pPr>
      <w:r w:rsidRPr="008F2EB6">
        <w:rPr>
          <w:rStyle w:val="Refdenotaalpie"/>
        </w:rPr>
        <w:footnoteRef/>
      </w:r>
      <w:r w:rsidRPr="008F2EB6">
        <w:rPr>
          <w:lang w:val="en-US"/>
        </w:rPr>
        <w:t xml:space="preserve"> FTC y DOJ (2000). Antitrust Guidelines for Collaborations Among Competitors. </w:t>
      </w:r>
      <w:r w:rsidRPr="008F2EB6">
        <w:t>Disponible en:</w:t>
      </w:r>
    </w:p>
    <w:p w14:paraId="144A9879" w14:textId="77777777" w:rsidR="00A457CE" w:rsidRPr="008F2EB6" w:rsidRDefault="00E92449" w:rsidP="008F2EB6">
      <w:pPr>
        <w:pStyle w:val="NotaPie"/>
      </w:pPr>
      <w:hyperlink r:id="rId72" w:history="1">
        <w:r w:rsidR="00A457CE" w:rsidRPr="008F2EB6">
          <w:rPr>
            <w:rStyle w:val="Hipervnculo"/>
          </w:rPr>
          <w:t>https://www.ftc.gov/sites/default/files/documents/public_events/joint-venture-hearings-antitrust-guidelines-collaboration-among-competitors/ftcdojguidelines-2.pdf</w:t>
        </w:r>
      </w:hyperlink>
    </w:p>
  </w:footnote>
  <w:footnote w:id="78">
    <w:p w14:paraId="0CC80EA3" w14:textId="77777777" w:rsidR="00A457CE" w:rsidRPr="008F2EB6" w:rsidRDefault="00A457CE" w:rsidP="008F2EB6">
      <w:pPr>
        <w:pStyle w:val="Textonotapie"/>
        <w:jc w:val="both"/>
        <w:rPr>
          <w:rFonts w:ascii="Arial" w:hAnsi="Arial" w:cs="Arial"/>
          <w:sz w:val="14"/>
          <w:szCs w:val="14"/>
          <w:lang w:val="es-ES"/>
        </w:rPr>
      </w:pPr>
      <w:r w:rsidRPr="008F2EB6">
        <w:rPr>
          <w:rStyle w:val="Refdenotaalpie"/>
          <w:rFonts w:ascii="Arial" w:hAnsi="Arial" w:cs="Arial"/>
          <w:sz w:val="14"/>
          <w:szCs w:val="14"/>
        </w:rPr>
        <w:footnoteRef/>
      </w:r>
      <w:r w:rsidRPr="008F2EB6">
        <w:rPr>
          <w:rFonts w:ascii="Arial" w:hAnsi="Arial" w:cs="Arial"/>
          <w:sz w:val="14"/>
          <w:szCs w:val="14"/>
        </w:rPr>
        <w:t xml:space="preserve"> Asimismo, se advierte que en la actualidad la cadena de valor de los sectores de TyR se ha extendido sustancialmente no solamente de manera vertical sino también en forma conglomerada, por ejemplo: un proveedor del servicio de búsqueda como Google también posee infraestructura de interconexión.</w:t>
      </w:r>
    </w:p>
  </w:footnote>
  <w:footnote w:id="79">
    <w:p w14:paraId="71E62AED"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w:t>
      </w:r>
    </w:p>
  </w:footnote>
  <w:footnote w:id="80">
    <w:p w14:paraId="2609AA47"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en-US"/>
        </w:rPr>
        <w:t xml:space="preserve"> ICN (2018). ICN </w:t>
      </w:r>
      <w:r w:rsidRPr="008F2EB6">
        <w:rPr>
          <w:rFonts w:ascii="Arial" w:hAnsi="Arial" w:cs="Arial"/>
          <w:i/>
          <w:sz w:val="14"/>
          <w:szCs w:val="14"/>
          <w:lang w:val="en-US"/>
        </w:rPr>
        <w:t>Vertical Mergers Survey Report.</w:t>
      </w:r>
      <w:r w:rsidRPr="008F2EB6">
        <w:rPr>
          <w:rFonts w:ascii="Arial" w:hAnsi="Arial" w:cs="Arial"/>
          <w:sz w:val="14"/>
          <w:szCs w:val="14"/>
          <w:lang w:val="en-US"/>
        </w:rPr>
        <w:t xml:space="preserve"> </w:t>
      </w:r>
      <w:r w:rsidRPr="008F2EB6">
        <w:rPr>
          <w:rFonts w:ascii="Arial" w:hAnsi="Arial" w:cs="Arial"/>
          <w:sz w:val="14"/>
          <w:szCs w:val="14"/>
          <w:lang w:val="fr-FR"/>
        </w:rPr>
        <w:t xml:space="preserve">Disponible en: </w:t>
      </w:r>
      <w:hyperlink r:id="rId73" w:history="1">
        <w:r w:rsidRPr="008F2EB6">
          <w:rPr>
            <w:rStyle w:val="Hipervnculo"/>
            <w:rFonts w:ascii="Arial" w:hAnsi="Arial" w:cs="Arial"/>
            <w:sz w:val="14"/>
            <w:szCs w:val="14"/>
            <w:lang w:val="fr-FR"/>
          </w:rPr>
          <w:t>https://www.internationalcompetitionnetwork.org/wp-content/uploads/2018/10/MWG_SurveyreportVerticalMergers2018.pdf</w:t>
        </w:r>
      </w:hyperlink>
      <w:r w:rsidRPr="008F2EB6">
        <w:rPr>
          <w:rFonts w:ascii="Arial" w:hAnsi="Arial" w:cs="Arial"/>
          <w:sz w:val="14"/>
          <w:szCs w:val="14"/>
          <w:lang w:val="fr-FR"/>
        </w:rPr>
        <w:t xml:space="preserve"> </w:t>
      </w:r>
    </w:p>
  </w:footnote>
  <w:footnote w:id="81">
    <w:p w14:paraId="5BD63A1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fr-FR"/>
        </w:rPr>
        <w:t xml:space="preserve"> 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p>
  </w:footnote>
  <w:footnote w:id="82">
    <w:p w14:paraId="447F4518"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618A812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(2017).</w:t>
      </w:r>
      <w:r w:rsidRPr="008F2EB6">
        <w:rPr>
          <w:rFonts w:ascii="Arial" w:hAnsi="Arial" w:cs="Arial"/>
          <w:b/>
          <w:bCs/>
          <w:sz w:val="14"/>
          <w:szCs w:val="14"/>
        </w:rPr>
        <w:t xml:space="preserve"> </w:t>
      </w:r>
      <w:r w:rsidRPr="008F2EB6">
        <w:rPr>
          <w:rFonts w:ascii="Arial" w:hAnsi="Arial" w:cs="Arial"/>
          <w:i/>
          <w:sz w:val="14"/>
          <w:szCs w:val="14"/>
        </w:rPr>
        <w:t xml:space="preserve">RESOLUCIÓN MEDIANTE LA CUAL EL PLENO DEL INSTITUTO FEDERAL DE TELECOMUNICACIONES AUTORIZA LLEVAR A CABO LA CONCENTRACIÓN RADICADA BAJO EL EXPEDIENTE NO. </w:t>
      </w:r>
      <w:r w:rsidRPr="008F2EB6">
        <w:rPr>
          <w:rFonts w:ascii="Arial" w:hAnsi="Arial" w:cs="Arial"/>
          <w:i/>
          <w:sz w:val="14"/>
          <w:szCs w:val="14"/>
          <w:lang w:val="en-US"/>
        </w:rPr>
        <w:t xml:space="preserve">UCE/CNC-004-2016, NOTIFICADA POR AT&amp;T INC., WEST MERGER SUB INC. </w:t>
      </w:r>
      <w:r w:rsidRPr="008F2EB6">
        <w:rPr>
          <w:rFonts w:ascii="Arial" w:hAnsi="Arial" w:cs="Arial"/>
          <w:i/>
          <w:sz w:val="14"/>
          <w:szCs w:val="14"/>
        </w:rPr>
        <w:t>Y TIME WARNER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P/IFT/150817/487.</w:t>
      </w:r>
      <w:r w:rsidRPr="008F2EB6">
        <w:rPr>
          <w:rFonts w:ascii="Arial" w:hAnsi="Arial" w:cs="Arial"/>
          <w:sz w:val="14"/>
          <w:szCs w:val="14"/>
        </w:rPr>
        <w:t xml:space="preserve"> </w:t>
      </w:r>
    </w:p>
    <w:p w14:paraId="1989DAC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(2014).</w:t>
      </w:r>
      <w:r w:rsidRPr="008F2EB6">
        <w:rPr>
          <w:rFonts w:ascii="Arial" w:hAnsi="Arial" w:cs="Arial"/>
          <w:b/>
          <w:sz w:val="14"/>
          <w:szCs w:val="14"/>
        </w:rPr>
        <w:t xml:space="preserve"> </w:t>
      </w:r>
      <w:r w:rsidRPr="008F2EB6">
        <w:rPr>
          <w:rFonts w:ascii="Arial" w:hAnsi="Arial" w:cs="Arial"/>
          <w:i/>
          <w:sz w:val="14"/>
          <w:szCs w:val="14"/>
        </w:rPr>
        <w:t xml:space="preserve">RESOLUCIÓN MEDIANTE LA CUAL EL PLENO DEL INSTITUTO FEDERAL DE TELECOMUNICACIONES AUTORIZA QUE SE REALICE LA CONCENTRACIÓN RADICADA BAJO El EXPEDIENTE NO. UCE/CNC-004-2014, NOTIFICADA POR SIXSIGMA NETWORKS MÉXICO, S.A. DE C.V. Y METRO NET, S.A.P.I. DE C.V. </w:t>
      </w:r>
      <w:r w:rsidRPr="008F2EB6">
        <w:rPr>
          <w:rFonts w:ascii="Arial" w:hAnsi="Arial" w:cs="Arial"/>
          <w:sz w:val="14"/>
          <w:szCs w:val="14"/>
        </w:rPr>
        <w:t>Acuerdo P/IFT/011014/332.</w:t>
      </w:r>
      <w:r w:rsidRPr="008F2EB6" w:rsidDel="008345F9">
        <w:rPr>
          <w:rFonts w:ascii="Arial" w:hAnsi="Arial" w:cs="Arial"/>
          <w:sz w:val="14"/>
          <w:szCs w:val="14"/>
        </w:rPr>
        <w:t xml:space="preserve"> </w:t>
      </w:r>
    </w:p>
    <w:p w14:paraId="589A2EA6"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(2013). </w:t>
      </w:r>
      <w:r w:rsidRPr="008F2EB6">
        <w:rPr>
          <w:rFonts w:ascii="Arial" w:hAnsi="Arial" w:cs="Arial"/>
          <w:i/>
          <w:caps/>
          <w:sz w:val="14"/>
          <w:szCs w:val="14"/>
        </w:rPr>
        <w:t>Resolución mediante la cual el Pleno del Instituto Federal de Telecomunicaciones autoriza que se realice la concentración radicada bajo el expediente No. E- IFT/DGCCC/CNC/0002/2013, notificada por Satmex lnternational Coperatieve U.A., lntenal Mexicana, S.A.P.l. de C.V. Alejandro Sainz Orantes, Centerbridge Capital Partners SBS (Cayman). L.P., Eja Holdings LTD, Satmex lnternational B.V., Holdsat México, S.A.P.I. de C.V., Satélites Mexicanos, S.A. de C.V. y Eutelsat. S.A.</w:t>
      </w:r>
      <w:r w:rsidRPr="008F2EB6">
        <w:rPr>
          <w:rFonts w:ascii="Arial" w:hAnsi="Arial" w:cs="Arial"/>
          <w:sz w:val="14"/>
          <w:szCs w:val="14"/>
        </w:rPr>
        <w:t xml:space="preserve"> Acuerdo P/IFT/271113/20</w:t>
      </w:r>
    </w:p>
  </w:footnote>
  <w:footnote w:id="83">
    <w:p w14:paraId="2DFC7EE8"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fr-FR"/>
        </w:rPr>
        <w:t xml:space="preserve"> ICN</w:t>
      </w:r>
      <w:r w:rsidRPr="008F2EB6">
        <w:rPr>
          <w:rFonts w:ascii="Arial" w:hAnsi="Arial" w:cs="Arial"/>
          <w:i/>
          <w:sz w:val="14"/>
          <w:szCs w:val="14"/>
          <w:lang w:val="fr-FR"/>
        </w:rPr>
        <w:t xml:space="preserve"> </w:t>
      </w:r>
      <w:r w:rsidRPr="008F2EB6">
        <w:rPr>
          <w:rFonts w:ascii="Arial" w:hAnsi="Arial" w:cs="Arial"/>
          <w:sz w:val="14"/>
          <w:szCs w:val="14"/>
          <w:lang w:val="fr-FR"/>
        </w:rPr>
        <w:t xml:space="preserve">(2019). </w:t>
      </w:r>
      <w:r w:rsidRPr="008F2EB6">
        <w:rPr>
          <w:rFonts w:ascii="Arial" w:hAnsi="Arial" w:cs="Arial"/>
          <w:i/>
          <w:sz w:val="14"/>
          <w:szCs w:val="14"/>
          <w:lang w:val="fr-FR"/>
        </w:rPr>
        <w:t>ICN Vertical Mergers Comparison Study</w:t>
      </w:r>
      <w:r w:rsidRPr="008F2EB6">
        <w:rPr>
          <w:rFonts w:ascii="Arial" w:hAnsi="Arial" w:cs="Arial"/>
          <w:sz w:val="14"/>
          <w:szCs w:val="14"/>
          <w:lang w:val="fr-FR"/>
        </w:rPr>
        <w:t xml:space="preserve">. Disponible en: </w:t>
      </w:r>
      <w:hyperlink r:id="rId74" w:history="1">
        <w:r w:rsidRPr="008F2EB6">
          <w:rPr>
            <w:rStyle w:val="Hipervnculo"/>
            <w:rFonts w:ascii="Arial" w:hAnsi="Arial" w:cs="Arial"/>
            <w:sz w:val="14"/>
            <w:szCs w:val="14"/>
            <w:lang w:val="fr-FR"/>
          </w:rPr>
          <w:t>https://www.internationalcompetitionnetwork.org/wp-content/uploads/2019/05/MWG-Vertical-Mergers-Comparison-Study.pdf</w:t>
        </w:r>
      </w:hyperlink>
    </w:p>
  </w:footnote>
  <w:footnote w:id="84">
    <w:p w14:paraId="4A9D53A3"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109E676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OCDE (2019). </w:t>
      </w:r>
      <w:r w:rsidRPr="008F2EB6">
        <w:rPr>
          <w:rFonts w:ascii="Arial" w:hAnsi="Arial" w:cs="Arial"/>
          <w:i/>
          <w:sz w:val="14"/>
          <w:szCs w:val="14"/>
          <w:lang w:val="en-US"/>
        </w:rPr>
        <w:t>Vertical Mergers in the Technology, Media and Telecom Sector</w:t>
      </w:r>
      <w:r w:rsidRPr="008F2EB6">
        <w:rPr>
          <w:rFonts w:ascii="Arial" w:hAnsi="Arial" w:cs="Arial"/>
          <w:sz w:val="14"/>
          <w:szCs w:val="14"/>
          <w:lang w:val="en-US"/>
        </w:rPr>
        <w:t xml:space="preserve">. p. 18. </w:t>
      </w:r>
      <w:r w:rsidRPr="008F2EB6">
        <w:rPr>
          <w:rFonts w:ascii="Arial" w:hAnsi="Arial" w:cs="Arial"/>
          <w:sz w:val="14"/>
          <w:szCs w:val="14"/>
        </w:rPr>
        <w:t xml:space="preserve">Disponible en: </w:t>
      </w:r>
      <w:hyperlink r:id="rId75" w:history="1">
        <w:r w:rsidRPr="008F2EB6">
          <w:rPr>
            <w:rStyle w:val="Hipervnculo"/>
            <w:rFonts w:ascii="Arial" w:hAnsi="Arial" w:cs="Arial"/>
            <w:sz w:val="14"/>
            <w:szCs w:val="14"/>
          </w:rPr>
          <w:t>https://one.oecd.org/document/DAF/COMP(2019)5/en/pdf</w:t>
        </w:r>
      </w:hyperlink>
      <w:r w:rsidRPr="008F2EB6">
        <w:rPr>
          <w:rFonts w:ascii="Arial" w:hAnsi="Arial" w:cs="Arial"/>
          <w:sz w:val="14"/>
          <w:szCs w:val="14"/>
        </w:rPr>
        <w:t>.</w:t>
      </w:r>
    </w:p>
    <w:p w14:paraId="27F10C45"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 pp. 14-18.</w:t>
      </w:r>
    </w:p>
  </w:footnote>
  <w:footnote w:id="85">
    <w:p w14:paraId="65707B98"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27426FD4"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rPr>
        <w:t xml:space="preserve">CE (2010). </w:t>
      </w:r>
      <w:r w:rsidRPr="008F2EB6">
        <w:rPr>
          <w:rFonts w:ascii="Arial" w:hAnsi="Arial" w:cs="Arial"/>
          <w:i/>
          <w:sz w:val="14"/>
          <w:szCs w:val="14"/>
        </w:rPr>
        <w:t>Directrices relativas a las restricciones verticales.</w:t>
      </w:r>
      <w:r w:rsidRPr="008F2EB6">
        <w:rPr>
          <w:rFonts w:ascii="Arial" w:hAnsi="Arial" w:cs="Arial"/>
          <w:sz w:val="14"/>
          <w:szCs w:val="14"/>
        </w:rPr>
        <w:t xml:space="preserve"> </w:t>
      </w:r>
      <w:r w:rsidRPr="008F2EB6">
        <w:rPr>
          <w:rFonts w:ascii="Arial" w:hAnsi="Arial" w:cs="Arial"/>
          <w:sz w:val="14"/>
          <w:szCs w:val="14"/>
          <w:lang w:val="fr-FR"/>
        </w:rPr>
        <w:t xml:space="preserve">Disponible en: </w:t>
      </w:r>
      <w:hyperlink r:id="rId76" w:history="1">
        <w:r w:rsidRPr="008F2EB6">
          <w:rPr>
            <w:rStyle w:val="Hipervnculo"/>
            <w:rFonts w:ascii="Arial" w:hAnsi="Arial" w:cs="Arial"/>
            <w:sz w:val="14"/>
            <w:szCs w:val="14"/>
            <w:lang w:val="fr-FR"/>
          </w:rPr>
          <w:t>https://eur-lex.europa.eu/legal-content/ES/TXT/PDF/?uri=CELEX:52010XC0519(04)&amp;from=ES</w:t>
        </w:r>
      </w:hyperlink>
      <w:r w:rsidRPr="008F2EB6">
        <w:rPr>
          <w:rFonts w:ascii="Arial" w:hAnsi="Arial" w:cs="Arial"/>
          <w:sz w:val="14"/>
          <w:szCs w:val="14"/>
          <w:lang w:val="fr-FR"/>
        </w:rPr>
        <w:t xml:space="preserve"> </w:t>
      </w:r>
    </w:p>
    <w:p w14:paraId="3AC8EA4A"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fr-FR"/>
        </w:rPr>
        <w:t xml:space="preserve">CE (2018). </w:t>
      </w:r>
      <w:r w:rsidRPr="008F2EB6">
        <w:rPr>
          <w:rFonts w:ascii="Arial" w:hAnsi="Arial" w:cs="Arial"/>
          <w:i/>
          <w:sz w:val="14"/>
          <w:szCs w:val="14"/>
        </w:rPr>
        <w:t>Directrices sobre análisis del mercado y evaluación de poder significativo de mercado en el marco regulatorio de la UE para redes y servicios de comunicaciones electrónicas.</w:t>
      </w:r>
      <w:r w:rsidRPr="008F2EB6">
        <w:rPr>
          <w:rFonts w:ascii="Arial" w:hAnsi="Arial" w:cs="Arial"/>
          <w:sz w:val="14"/>
          <w:szCs w:val="14"/>
        </w:rPr>
        <w:t xml:space="preserve"> pp. 2-4 y 10. </w:t>
      </w:r>
    </w:p>
    <w:p w14:paraId="48D0DD4B"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en-US"/>
        </w:rPr>
        <w:t xml:space="preserve">CE (2013). </w:t>
      </w:r>
      <w:r w:rsidRPr="008F2EB6">
        <w:rPr>
          <w:rFonts w:ascii="Arial" w:hAnsi="Arial" w:cs="Arial"/>
          <w:i/>
          <w:sz w:val="14"/>
          <w:szCs w:val="14"/>
          <w:lang w:val="en-US"/>
        </w:rPr>
        <w:t>Case No COMP/M.6880 - LIBERTY GLOBAL/ VIRGIN MEDIA.</w:t>
      </w:r>
      <w:r w:rsidRPr="008F2EB6">
        <w:rPr>
          <w:rFonts w:ascii="Arial" w:hAnsi="Arial" w:cs="Arial"/>
          <w:sz w:val="14"/>
          <w:szCs w:val="14"/>
          <w:lang w:val="en-US"/>
        </w:rPr>
        <w:t xml:space="preserve"> </w:t>
      </w:r>
    </w:p>
    <w:p w14:paraId="0FC659DF" w14:textId="77777777" w:rsidR="00A457CE" w:rsidRPr="008F2EB6" w:rsidRDefault="00A457CE" w:rsidP="008F2EB6">
      <w:pPr>
        <w:pStyle w:val="Textonotapie"/>
        <w:numPr>
          <w:ilvl w:val="0"/>
          <w:numId w:val="28"/>
        </w:numPr>
        <w:jc w:val="both"/>
        <w:rPr>
          <w:rFonts w:ascii="Arial" w:hAnsi="Arial" w:cs="Arial"/>
          <w:sz w:val="14"/>
          <w:szCs w:val="14"/>
          <w:lang w:val="fr-FR"/>
        </w:rPr>
      </w:pPr>
      <w:r w:rsidRPr="008F2EB6">
        <w:rPr>
          <w:rFonts w:ascii="Arial" w:hAnsi="Arial" w:cs="Arial"/>
          <w:sz w:val="14"/>
          <w:szCs w:val="14"/>
          <w:lang w:val="en-US"/>
        </w:rPr>
        <w:t xml:space="preserve">BEREC (2010). </w:t>
      </w:r>
      <w:r w:rsidRPr="008F2EB6">
        <w:rPr>
          <w:rFonts w:ascii="Arial" w:hAnsi="Arial" w:cs="Arial"/>
          <w:i/>
          <w:sz w:val="14"/>
          <w:szCs w:val="14"/>
          <w:lang w:val="en-US"/>
        </w:rPr>
        <w:t>BEREC report on self-supply</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77" w:history="1">
        <w:r w:rsidRPr="008F2EB6">
          <w:rPr>
            <w:rStyle w:val="Hipervnculo"/>
            <w:rFonts w:ascii="Arial" w:hAnsi="Arial" w:cs="Arial"/>
            <w:sz w:val="14"/>
            <w:szCs w:val="14"/>
          </w:rPr>
          <w:t>https://berec.europa.eu/eng/document_register/subject_matter/berec/reports/171-berec-report-on-self-supply</w:t>
        </w:r>
      </w:hyperlink>
    </w:p>
  </w:footnote>
  <w:footnote w:id="86">
    <w:p w14:paraId="4772686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0B1BE73A"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DOJ y FTC (2020).</w:t>
      </w:r>
      <w:r w:rsidRPr="008F2EB6">
        <w:rPr>
          <w:rFonts w:ascii="Arial" w:hAnsi="Arial" w:cs="Arial"/>
          <w:i/>
          <w:sz w:val="14"/>
          <w:szCs w:val="14"/>
        </w:rPr>
        <w:t xml:space="preserve"> Vertical Merger Guidelines.</w:t>
      </w:r>
      <w:r w:rsidRPr="008F2EB6">
        <w:rPr>
          <w:rFonts w:ascii="Arial" w:hAnsi="Arial" w:cs="Arial"/>
          <w:sz w:val="14"/>
          <w:szCs w:val="14"/>
        </w:rPr>
        <w:t xml:space="preserve"> Disponible en: </w:t>
      </w:r>
      <w:hyperlink r:id="rId78" w:history="1">
        <w:r w:rsidRPr="008F2EB6">
          <w:rPr>
            <w:rStyle w:val="Hipervnculo"/>
            <w:rFonts w:ascii="Arial" w:hAnsi="Arial" w:cs="Arial"/>
            <w:sz w:val="14"/>
            <w:szCs w:val="14"/>
          </w:rPr>
          <w:t>https://www.ftc.gov/system/files/documents/reports/us-department-justice-federal-trade-commission-vertical-merger-guidelines/vertical_merger_guidelines_6-30-20.pdf</w:t>
        </w:r>
      </w:hyperlink>
    </w:p>
    <w:p w14:paraId="48824B3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DOJ y FTC (1984). </w:t>
      </w:r>
      <w:r w:rsidRPr="008F2EB6">
        <w:rPr>
          <w:rFonts w:ascii="Arial" w:hAnsi="Arial" w:cs="Arial"/>
          <w:i/>
          <w:sz w:val="14"/>
          <w:szCs w:val="14"/>
        </w:rPr>
        <w:t>Non-Horizontal Merger Guidelines</w:t>
      </w:r>
      <w:r w:rsidRPr="008F2EB6">
        <w:rPr>
          <w:rFonts w:ascii="Arial" w:hAnsi="Arial" w:cs="Arial"/>
          <w:sz w:val="14"/>
          <w:szCs w:val="14"/>
        </w:rPr>
        <w:t xml:space="preserve">. pp. 23-30. Disponible en: </w:t>
      </w:r>
      <w:hyperlink r:id="rId79" w:history="1">
        <w:r w:rsidRPr="008F2EB6">
          <w:rPr>
            <w:rStyle w:val="Hipervnculo"/>
            <w:rFonts w:ascii="Arial" w:hAnsi="Arial" w:cs="Arial"/>
            <w:sz w:val="14"/>
            <w:szCs w:val="14"/>
          </w:rPr>
          <w:t>https://www.justice.gov/atr/page/file/1175141/download?mkwid=c</w:t>
        </w:r>
      </w:hyperlink>
    </w:p>
  </w:footnote>
  <w:footnote w:id="87">
    <w:p w14:paraId="498BC708"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125F602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color w:val="000000"/>
          <w:sz w:val="14"/>
          <w:szCs w:val="14"/>
          <w:shd w:val="clear" w:color="auto" w:fill="FFFFFF"/>
        </w:rPr>
        <w:t xml:space="preserve">ACCC (2008). </w:t>
      </w:r>
      <w:r w:rsidRPr="008F2EB6">
        <w:rPr>
          <w:rFonts w:ascii="Arial" w:hAnsi="Arial" w:cs="Arial"/>
          <w:i/>
          <w:color w:val="000000"/>
          <w:sz w:val="14"/>
          <w:szCs w:val="14"/>
          <w:shd w:val="clear" w:color="auto" w:fill="FFFFFF"/>
        </w:rPr>
        <w:t>Merger Guidelines</w:t>
      </w:r>
      <w:r w:rsidRPr="008F2EB6">
        <w:rPr>
          <w:rFonts w:ascii="Arial" w:hAnsi="Arial" w:cs="Arial"/>
          <w:color w:val="000000"/>
          <w:sz w:val="14"/>
          <w:szCs w:val="14"/>
          <w:shd w:val="clear" w:color="auto" w:fill="FFFFFF"/>
        </w:rPr>
        <w:t xml:space="preserve"> (actualización 2017).</w:t>
      </w:r>
    </w:p>
    <w:p w14:paraId="6FF7FD92"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ACCC (2015). </w:t>
      </w:r>
      <w:r w:rsidRPr="008F2EB6">
        <w:rPr>
          <w:rFonts w:ascii="Arial" w:hAnsi="Arial" w:cs="Arial"/>
          <w:i/>
          <w:sz w:val="14"/>
          <w:szCs w:val="14"/>
          <w:lang w:val="en-US"/>
        </w:rPr>
        <w:t>TPG Telecom Limited – proposed acquisition of iiNet Limited.</w:t>
      </w:r>
    </w:p>
  </w:footnote>
  <w:footnote w:id="88">
    <w:p w14:paraId="17C7C899"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CBC (2013). </w:t>
      </w:r>
      <w:r w:rsidRPr="008F2EB6">
        <w:rPr>
          <w:rFonts w:ascii="Arial" w:hAnsi="Arial" w:cs="Arial"/>
          <w:i/>
          <w:sz w:val="14"/>
          <w:szCs w:val="14"/>
          <w:lang w:val="en-US"/>
        </w:rPr>
        <w:t>Competition Bureau review of the proposed acquisition of Astral by Bell</w:t>
      </w:r>
      <w:r w:rsidRPr="008F2EB6">
        <w:rPr>
          <w:rFonts w:ascii="Arial" w:hAnsi="Arial" w:cs="Arial"/>
          <w:sz w:val="14"/>
          <w:szCs w:val="14"/>
          <w:lang w:val="en-US"/>
        </w:rPr>
        <w:t xml:space="preserve">. </w:t>
      </w:r>
      <w:r w:rsidRPr="008F2EB6">
        <w:rPr>
          <w:rFonts w:ascii="Arial" w:hAnsi="Arial" w:cs="Arial"/>
          <w:color w:val="000000"/>
          <w:sz w:val="14"/>
          <w:szCs w:val="14"/>
        </w:rPr>
        <w:t xml:space="preserve">Disponible en: </w:t>
      </w:r>
      <w:hyperlink r:id="rId80" w:anchor="background" w:history="1">
        <w:r w:rsidRPr="008F2EB6">
          <w:rPr>
            <w:rStyle w:val="Hipervnculo"/>
            <w:rFonts w:ascii="Arial" w:hAnsi="Arial" w:cs="Arial"/>
            <w:sz w:val="14"/>
            <w:szCs w:val="14"/>
          </w:rPr>
          <w:t>https://www.competitionbureau.gc.ca/eic/site/cb-bc.nsf/eng/03544.html#background</w:t>
        </w:r>
      </w:hyperlink>
    </w:p>
  </w:footnote>
  <w:footnote w:id="89">
    <w:p w14:paraId="6667411D"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En la experiencia internacional además de los citados, se destaca la experiencia referente al tema de autoabastecimiento de: </w:t>
      </w:r>
    </w:p>
    <w:p w14:paraId="2239E3D5" w14:textId="77777777" w:rsidR="00A457CE" w:rsidRPr="008F2EB6" w:rsidRDefault="00A457CE" w:rsidP="008F2EB6">
      <w:pPr>
        <w:pStyle w:val="Textonotapie"/>
        <w:jc w:val="both"/>
        <w:rPr>
          <w:rFonts w:ascii="Arial" w:hAnsi="Arial" w:cs="Arial"/>
          <w:sz w:val="14"/>
          <w:szCs w:val="14"/>
        </w:rPr>
      </w:pPr>
      <w:r w:rsidRPr="008F2EB6">
        <w:rPr>
          <w:rFonts w:ascii="Arial" w:hAnsi="Arial" w:cs="Arial"/>
          <w:sz w:val="14"/>
          <w:szCs w:val="14"/>
        </w:rPr>
        <w:t>i) España: “</w:t>
      </w:r>
      <w:r w:rsidRPr="008F2EB6">
        <w:rPr>
          <w:rFonts w:ascii="Arial" w:hAnsi="Arial" w:cs="Arial"/>
          <w:i/>
          <w:sz w:val="14"/>
          <w:szCs w:val="14"/>
        </w:rPr>
        <w:t>Resolución por la cual se aprueba la definición y análisis del mercado de acceso local al por mayor facilitado en una ubicación fija y los mercados de acceso de banda ancha al por mayor, la designación de operadores con poder significativo de mercado y la imposición de obligaciones específicas, y se acuerda su notificación a la comisión europea y al organismo de reguladores europeos de comunicaciones electrónicas (ORECE)</w:t>
      </w:r>
      <w:r w:rsidRPr="008F2EB6">
        <w:rPr>
          <w:rFonts w:ascii="Arial" w:hAnsi="Arial" w:cs="Arial"/>
          <w:sz w:val="14"/>
          <w:szCs w:val="14"/>
        </w:rPr>
        <w:t xml:space="preserve">”. Disponible en: </w:t>
      </w:r>
      <w:hyperlink r:id="rId81" w:history="1">
        <w:r w:rsidRPr="008F2EB6">
          <w:rPr>
            <w:rStyle w:val="Hipervnculo"/>
            <w:rFonts w:ascii="Arial" w:hAnsi="Arial" w:cs="Arial"/>
            <w:sz w:val="14"/>
            <w:szCs w:val="14"/>
          </w:rPr>
          <w:t>https://www.cnmc.es/sites/default/files/1511874_12.pdf</w:t>
        </w:r>
      </w:hyperlink>
      <w:r w:rsidRPr="008F2EB6">
        <w:rPr>
          <w:rFonts w:ascii="Arial" w:hAnsi="Arial" w:cs="Arial"/>
          <w:sz w:val="14"/>
          <w:szCs w:val="14"/>
        </w:rPr>
        <w:t>;</w:t>
      </w:r>
    </w:p>
    <w:p w14:paraId="21E6243E" w14:textId="77777777" w:rsidR="00A457CE" w:rsidRPr="008F2EB6" w:rsidRDefault="00A457CE" w:rsidP="008F2EB6">
      <w:pPr>
        <w:pStyle w:val="Textonotapie"/>
        <w:jc w:val="both"/>
        <w:rPr>
          <w:rFonts w:ascii="Arial" w:hAnsi="Arial" w:cs="Arial"/>
          <w:sz w:val="14"/>
          <w:szCs w:val="14"/>
          <w:lang w:val="en-US"/>
        </w:rPr>
      </w:pPr>
      <w:r w:rsidRPr="008F2EB6">
        <w:rPr>
          <w:rFonts w:ascii="Arial" w:hAnsi="Arial" w:cs="Arial"/>
          <w:sz w:val="14"/>
          <w:szCs w:val="14"/>
          <w:lang w:val="en-US"/>
        </w:rPr>
        <w:t xml:space="preserve">ii) Malta: MCA (2013). Market 5 – Wholesale Broadband Access Market, Disponible en: </w:t>
      </w:r>
    </w:p>
    <w:p w14:paraId="15092B67" w14:textId="77777777" w:rsidR="00A457CE" w:rsidRPr="008F2EB6" w:rsidRDefault="00A457CE" w:rsidP="008F2EB6">
      <w:pPr>
        <w:pStyle w:val="Textonotapie"/>
        <w:jc w:val="both"/>
        <w:rPr>
          <w:rFonts w:ascii="Arial" w:hAnsi="Arial" w:cs="Arial"/>
          <w:sz w:val="14"/>
          <w:szCs w:val="14"/>
          <w:lang w:val="en-US"/>
        </w:rPr>
      </w:pPr>
      <w:r w:rsidRPr="008F2EB6">
        <w:rPr>
          <w:rFonts w:ascii="Arial" w:hAnsi="Arial" w:cs="Arial"/>
          <w:sz w:val="14"/>
          <w:szCs w:val="14"/>
          <w:lang w:val="en-US"/>
        </w:rPr>
        <w:t>https://www.mca.org.mt/sites/default/files/attachments/decisions/2013/final-decision-market-analysis-of-the-wholesale-broadband-access-market-market-5-060313.pdf</w:t>
      </w:r>
    </w:p>
    <w:p w14:paraId="1BD2CFD5" w14:textId="77777777" w:rsidR="00A457CE" w:rsidRPr="008F2EB6" w:rsidRDefault="00A457CE" w:rsidP="008F2EB6">
      <w:pPr>
        <w:pStyle w:val="Textonotapie"/>
        <w:jc w:val="both"/>
        <w:rPr>
          <w:rFonts w:ascii="Arial" w:hAnsi="Arial" w:cs="Arial"/>
          <w:sz w:val="14"/>
          <w:szCs w:val="14"/>
          <w:lang w:val="es-ES"/>
        </w:rPr>
      </w:pPr>
      <w:r w:rsidRPr="008F2EB6">
        <w:rPr>
          <w:rFonts w:ascii="Arial" w:hAnsi="Arial" w:cs="Arial"/>
          <w:sz w:val="14"/>
          <w:szCs w:val="14"/>
          <w:lang w:val="en-US"/>
        </w:rPr>
        <w:t xml:space="preserve"> iii) Jordania. TRC (2010). “</w:t>
      </w:r>
      <w:r w:rsidRPr="008F2EB6">
        <w:rPr>
          <w:rFonts w:ascii="Arial" w:hAnsi="Arial" w:cs="Arial"/>
          <w:i/>
          <w:sz w:val="14"/>
          <w:szCs w:val="14"/>
          <w:lang w:val="en-US"/>
        </w:rPr>
        <w:t>Review of Telecommunications Markets: Public Consultation Document on Mobile Markets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82" w:history="1">
        <w:r w:rsidRPr="008F2EB6">
          <w:rPr>
            <w:rStyle w:val="Hipervnculo"/>
            <w:rFonts w:ascii="Arial" w:hAnsi="Arial" w:cs="Arial"/>
            <w:sz w:val="14"/>
            <w:szCs w:val="14"/>
          </w:rPr>
          <w:t>http://www.trc.gov.jo/EchoBusV3.0/SystemAssets/PDF/AR/%D8%A7%D8%B3%D8%AA%D8%B4%D8%A7%D8%B1%D8%A7%D8%AA/%D8%A7%D8%B3%D8%AA%D8%B4%D8%A7%D8%B1%D8%A7%D8%AA%20%D9%81%D9%8A%20%D9%82%D8%B7%D8%A7%D8%B9%20%D8%A7%D9%84%D8%A7%D8%AA%D8%B5%D8%A7%D9%84%D8%A7%D8%AA%20%D9%88%D8%AA%D9%83%D9%86%D9%84%D9%88%D8%AC%D9%8A%D8%A7%20%D8%A7%D9%84%D9%85%D8%B9%D9%84%D9%88%D9%85%D8%A7%D8%AA/%D8%A7%D8%B3%D8%AA%D8%B4%D8%A7%D8%B1%D8%A7%D8%AA%20%D8%B3%D8%A7%D8%A8%D9%82%D8%A9/%D9%85%D8%B1%D8%A7%D8%AC%D8%B9%D8%A9%20%D8%A3%D8%B3%D9%88%D8%A7%D9%82%20%D8%A7%D9%84%D8%A7%D8%AA%D8%B5%D8%A7%D9%84%D8%A7%D8%AA/MOBILE_CONSULTATION_DOC.pdf</w:t>
        </w:r>
      </w:hyperlink>
    </w:p>
  </w:footnote>
  <w:footnote w:id="90">
    <w:p w14:paraId="017BE7D0"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BEREC (2011). </w:t>
      </w:r>
      <w:r w:rsidRPr="008F2EB6">
        <w:rPr>
          <w:rFonts w:ascii="Arial" w:hAnsi="Arial" w:cs="Arial"/>
          <w:i/>
          <w:sz w:val="14"/>
          <w:szCs w:val="14"/>
          <w:lang w:val="en-US"/>
        </w:rPr>
        <w:t>Berec Report on Impact of Fixed-Mobile Substitution in Market Definition.</w:t>
      </w:r>
      <w:r w:rsidRPr="008F2EB6">
        <w:rPr>
          <w:rFonts w:ascii="Arial" w:hAnsi="Arial" w:cs="Arial"/>
          <w:sz w:val="14"/>
          <w:szCs w:val="14"/>
          <w:lang w:val="en-US"/>
        </w:rPr>
        <w:t xml:space="preserve"> p. 12. </w:t>
      </w:r>
      <w:r w:rsidRPr="008F2EB6">
        <w:rPr>
          <w:rFonts w:ascii="Arial" w:hAnsi="Arial" w:cs="Arial"/>
          <w:sz w:val="14"/>
          <w:szCs w:val="14"/>
        </w:rPr>
        <w:t xml:space="preserve">Disponible en: </w:t>
      </w:r>
      <w:hyperlink r:id="rId83" w:history="1">
        <w:r w:rsidRPr="008F2EB6">
          <w:rPr>
            <w:rStyle w:val="Hipervnculo"/>
            <w:rFonts w:ascii="Arial" w:hAnsi="Arial" w:cs="Arial"/>
            <w:sz w:val="14"/>
            <w:szCs w:val="14"/>
          </w:rPr>
          <w:t>https://berec.europa.eu/eng/document_register/subject_matter/berec/download/0/118-berec-draft-report-on-the-impact-of-fixed-mobile-substitution-in-market-definition_0.pdf</w:t>
        </w:r>
      </w:hyperlink>
      <w:r w:rsidRPr="008F2EB6">
        <w:rPr>
          <w:rFonts w:ascii="Arial" w:hAnsi="Arial" w:cs="Arial"/>
          <w:sz w:val="14"/>
          <w:szCs w:val="14"/>
        </w:rPr>
        <w:t xml:space="preserve"> </w:t>
      </w:r>
    </w:p>
  </w:footnote>
  <w:footnote w:id="91">
    <w:p w14:paraId="0978CA57"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Willington, M. (2010). </w:t>
      </w:r>
      <w:r w:rsidRPr="008F2EB6">
        <w:rPr>
          <w:rFonts w:ascii="Arial" w:hAnsi="Arial" w:cs="Arial"/>
          <w:i/>
          <w:sz w:val="14"/>
          <w:szCs w:val="14"/>
        </w:rPr>
        <w:t>Mercados Relevantes en el Sector de Telecomunicaciones: Enfoques de la FNE y el TDLC y Revisión Internacional. Trabajo realizado para la Fiscalía Nacional Económica.</w:t>
      </w:r>
      <w:r w:rsidRPr="008F2EB6">
        <w:rPr>
          <w:rFonts w:ascii="Arial" w:hAnsi="Arial" w:cs="Arial"/>
          <w:sz w:val="14"/>
          <w:szCs w:val="14"/>
        </w:rPr>
        <w:t xml:space="preserve"> Disponible en: </w:t>
      </w:r>
      <w:hyperlink r:id="rId84" w:history="1">
        <w:r w:rsidRPr="008F2EB6">
          <w:rPr>
            <w:rStyle w:val="Hipervnculo"/>
            <w:rFonts w:ascii="Arial" w:hAnsi="Arial" w:cs="Arial"/>
            <w:sz w:val="14"/>
            <w:szCs w:val="14"/>
          </w:rPr>
          <w:t>https://www.fne.gob.cl/wp-content/uploads/2011/03/estu_0003_2010.pdf</w:t>
        </w:r>
      </w:hyperlink>
    </w:p>
  </w:footnote>
  <w:footnote w:id="92">
    <w:p w14:paraId="79F732C9"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BEREC (2010). </w:t>
      </w:r>
      <w:r w:rsidRPr="008F2EB6">
        <w:rPr>
          <w:rFonts w:ascii="Arial" w:hAnsi="Arial" w:cs="Arial"/>
          <w:i/>
          <w:sz w:val="14"/>
          <w:szCs w:val="14"/>
          <w:lang w:val="en-US"/>
        </w:rPr>
        <w:t xml:space="preserve">BEREC report on impact of bundled offers in retail and wholesale market definition. </w:t>
      </w:r>
      <w:r w:rsidRPr="008F2EB6">
        <w:rPr>
          <w:rFonts w:ascii="Arial" w:hAnsi="Arial" w:cs="Arial"/>
          <w:sz w:val="14"/>
          <w:szCs w:val="14"/>
          <w:lang w:val="en-US"/>
        </w:rPr>
        <w:t xml:space="preserve">p. 16. </w:t>
      </w:r>
      <w:r w:rsidRPr="008F2EB6">
        <w:rPr>
          <w:rFonts w:ascii="Arial" w:hAnsi="Arial" w:cs="Arial"/>
          <w:sz w:val="14"/>
          <w:szCs w:val="14"/>
        </w:rPr>
        <w:t xml:space="preserve">Disponible en: </w:t>
      </w:r>
      <w:hyperlink r:id="rId85" w:history="1">
        <w:r w:rsidRPr="008F2EB6">
          <w:rPr>
            <w:rStyle w:val="Hipervnculo"/>
            <w:rFonts w:ascii="Arial" w:hAnsi="Arial" w:cs="Arial"/>
            <w:sz w:val="14"/>
            <w:szCs w:val="14"/>
          </w:rPr>
          <w:t>https://berec.europa.eu/eng/document_register/subject_matter/berec/reports/209-berec-report-on-impact-of-bundled-offers-in-retail-and-wholesale-market-definition</w:t>
        </w:r>
      </w:hyperlink>
    </w:p>
  </w:footnote>
  <w:footnote w:id="93">
    <w:p w14:paraId="1B6443CB" w14:textId="77777777" w:rsidR="00A457CE" w:rsidRPr="008F2EB6" w:rsidRDefault="00A457CE" w:rsidP="008F2EB6">
      <w:pPr>
        <w:pStyle w:val="Textonotapie"/>
        <w:jc w:val="both"/>
        <w:rPr>
          <w:rStyle w:val="Hipervnculo"/>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 xml:space="preserve">. </w:t>
      </w:r>
    </w:p>
    <w:p w14:paraId="70897ADD" w14:textId="77777777" w:rsidR="00A457CE" w:rsidRPr="008F2EB6" w:rsidRDefault="00A457CE" w:rsidP="008F2EB6">
      <w:pPr>
        <w:pStyle w:val="Textonotapie"/>
        <w:jc w:val="both"/>
        <w:rPr>
          <w:rFonts w:ascii="Arial" w:hAnsi="Arial" w:cs="Arial"/>
          <w:sz w:val="14"/>
          <w:szCs w:val="14"/>
        </w:rPr>
      </w:pPr>
      <w:r w:rsidRPr="008F2EB6">
        <w:rPr>
          <w:rStyle w:val="Hipervnculo"/>
          <w:rFonts w:ascii="Arial" w:hAnsi="Arial" w:cs="Arial"/>
          <w:sz w:val="14"/>
          <w:szCs w:val="14"/>
        </w:rPr>
        <w:t xml:space="preserve">UIT (2013). </w:t>
      </w:r>
      <w:r w:rsidRPr="008F2EB6">
        <w:rPr>
          <w:rStyle w:val="Hipervnculo"/>
          <w:rFonts w:ascii="Arial" w:hAnsi="Arial" w:cs="Arial"/>
          <w:i/>
          <w:sz w:val="14"/>
          <w:szCs w:val="14"/>
        </w:rPr>
        <w:t xml:space="preserve">Competencia y reglamentación en el mundo de la banda ancha y la convergencia. </w:t>
      </w:r>
      <w:r w:rsidRPr="008F2EB6">
        <w:rPr>
          <w:rStyle w:val="Hipervnculo"/>
          <w:rFonts w:ascii="Arial" w:hAnsi="Arial" w:cs="Arial"/>
          <w:sz w:val="14"/>
          <w:szCs w:val="14"/>
        </w:rPr>
        <w:t xml:space="preserve">Disponible en: </w:t>
      </w:r>
      <w:hyperlink r:id="rId86" w:history="1">
        <w:r w:rsidRPr="008F2EB6">
          <w:rPr>
            <w:rStyle w:val="Hipervnculo"/>
            <w:rFonts w:ascii="Arial" w:hAnsi="Arial" w:cs="Arial"/>
            <w:sz w:val="14"/>
            <w:szCs w:val="14"/>
          </w:rPr>
          <w:t>https://www.itu.int/ITU-D/treg/publications/SMP-S.pdf</w:t>
        </w:r>
      </w:hyperlink>
    </w:p>
  </w:footnote>
  <w:footnote w:id="94">
    <w:p w14:paraId="653B725C"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349F19DA"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(2017). Acuerdo P/IFT/240217/104. pp. 432-433, 465-466. Disponible en: </w:t>
      </w:r>
      <w:hyperlink r:id="rId87" w:history="1">
        <w:r w:rsidRPr="008F2EB6">
          <w:rPr>
            <w:rStyle w:val="Hipervnculo"/>
            <w:rFonts w:ascii="Arial" w:hAnsi="Arial" w:cs="Arial"/>
            <w:sz w:val="14"/>
            <w:szCs w:val="14"/>
          </w:rPr>
          <w:t>http://www.ift.org.mx/sites/default/files/conocenos/pleno/sesiones/acuerdoliga/versionpublicaucepift240217104_1.pdf</w:t>
        </w:r>
      </w:hyperlink>
    </w:p>
    <w:p w14:paraId="56AF7F49"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rPr>
        <w:t xml:space="preserve">Instituto (2017). Acuerdo P/IFT/060917/545. p. 167. Disponible en: </w:t>
      </w:r>
      <w:hyperlink r:id="rId88" w:history="1">
        <w:r w:rsidRPr="008F2EB6">
          <w:rPr>
            <w:rStyle w:val="Hipervnculo"/>
            <w:rFonts w:ascii="Arial" w:hAnsi="Arial" w:cs="Arial"/>
            <w:sz w:val="14"/>
            <w:szCs w:val="14"/>
          </w:rPr>
          <w:t>http://www.ift.org.mx/sites/default/files/conocenos/pleno/sesiones/acuerdoliga/vppift060917545.pdf</w:t>
        </w:r>
      </w:hyperlink>
    </w:p>
    <w:p w14:paraId="25B2EB1D"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(2020). </w:t>
      </w:r>
      <w:r w:rsidRPr="008F2EB6">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F2EB6">
        <w:rPr>
          <w:rFonts w:ascii="Arial" w:hAnsi="Arial" w:cs="Arial"/>
          <w:sz w:val="14"/>
          <w:szCs w:val="14"/>
        </w:rPr>
        <w:t xml:space="preserve">. </w:t>
      </w:r>
      <w:r w:rsidRPr="008F2EB6">
        <w:rPr>
          <w:rFonts w:ascii="Arial" w:hAnsi="Arial" w:cs="Arial"/>
          <w:sz w:val="14"/>
          <w:szCs w:val="14"/>
          <w:lang w:val="en-US"/>
        </w:rPr>
        <w:t>Acuerdo P/IFT/181120/436.</w:t>
      </w:r>
    </w:p>
  </w:footnote>
  <w:footnote w:id="95">
    <w:p w14:paraId="5BF277F9"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7FF16D62"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BEREC (2011). </w:t>
      </w:r>
      <w:r w:rsidRPr="008F2EB6">
        <w:rPr>
          <w:rFonts w:ascii="Arial" w:hAnsi="Arial" w:cs="Arial"/>
          <w:i/>
          <w:sz w:val="14"/>
          <w:szCs w:val="14"/>
          <w:lang w:val="en-US"/>
        </w:rPr>
        <w:t>Berec Report on Impact of Fixed-Mobile Substitution in Market Definition</w:t>
      </w:r>
      <w:r w:rsidRPr="008F2EB6">
        <w:rPr>
          <w:rFonts w:ascii="Arial" w:hAnsi="Arial" w:cs="Arial"/>
          <w:sz w:val="14"/>
          <w:szCs w:val="14"/>
          <w:lang w:val="en-US"/>
        </w:rPr>
        <w:t xml:space="preserve">. p. 12. </w:t>
      </w:r>
    </w:p>
    <w:p w14:paraId="6BFE5850"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CE (2003). </w:t>
      </w:r>
      <w:r w:rsidRPr="008F2EB6">
        <w:rPr>
          <w:rFonts w:ascii="Arial" w:hAnsi="Arial" w:cs="Arial"/>
          <w:i/>
          <w:sz w:val="14"/>
          <w:szCs w:val="14"/>
          <w:lang w:val="en-US"/>
        </w:rPr>
        <w:t>Case COMP/38.233 – Wanadoo Interactive</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89" w:history="1">
        <w:r w:rsidRPr="008F2EB6">
          <w:rPr>
            <w:rStyle w:val="Hipervnculo"/>
            <w:rFonts w:ascii="Arial" w:hAnsi="Arial" w:cs="Arial"/>
            <w:sz w:val="14"/>
            <w:szCs w:val="14"/>
          </w:rPr>
          <w:t>https://ec.europa.eu/competition/antitrust/cases/dec_docs/38233/38233_87_1.pdf</w:t>
        </w:r>
      </w:hyperlink>
      <w:r w:rsidRPr="008F2EB6">
        <w:rPr>
          <w:rStyle w:val="Hipervnculo"/>
          <w:rFonts w:ascii="Arial" w:hAnsi="Arial" w:cs="Arial"/>
          <w:sz w:val="14"/>
          <w:szCs w:val="14"/>
        </w:rPr>
        <w:t>.</w:t>
      </w:r>
    </w:p>
    <w:p w14:paraId="178EDDE4"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BEREC (2011). </w:t>
      </w:r>
      <w:r w:rsidRPr="008F2EB6">
        <w:rPr>
          <w:rFonts w:ascii="Arial" w:hAnsi="Arial" w:cs="Arial"/>
          <w:i/>
          <w:sz w:val="14"/>
          <w:szCs w:val="14"/>
          <w:lang w:val="en-US"/>
        </w:rPr>
        <w:t>Berec Report on Impact of Fixed-Mobile Substitution in Market Definition</w:t>
      </w:r>
      <w:r w:rsidRPr="008F2EB6">
        <w:rPr>
          <w:rFonts w:ascii="Arial" w:hAnsi="Arial" w:cs="Arial"/>
          <w:sz w:val="14"/>
          <w:szCs w:val="14"/>
          <w:lang w:val="en-US"/>
        </w:rPr>
        <w:t xml:space="preserve">. </w:t>
      </w:r>
    </w:p>
    <w:p w14:paraId="5EE32BCC"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Tribunal General (2012). </w:t>
      </w:r>
      <w:r w:rsidRPr="008F2EB6">
        <w:rPr>
          <w:rFonts w:ascii="Arial" w:hAnsi="Arial" w:cs="Arial"/>
          <w:i/>
          <w:sz w:val="14"/>
          <w:szCs w:val="14"/>
        </w:rPr>
        <w:t xml:space="preserve">SENTENCIA DEL TRIBUNAL GENERAL (Sala Octava) de 29 de marzo de 2012. Párrafo 140. </w:t>
      </w:r>
      <w:r w:rsidRPr="008F2EB6">
        <w:rPr>
          <w:rFonts w:ascii="Arial" w:hAnsi="Arial" w:cs="Arial"/>
          <w:sz w:val="14"/>
          <w:szCs w:val="14"/>
        </w:rPr>
        <w:t xml:space="preserve">Disponible en: </w:t>
      </w:r>
      <w:hyperlink r:id="rId90" w:history="1">
        <w:r w:rsidRPr="008F2EB6">
          <w:rPr>
            <w:rStyle w:val="Hipervnculo"/>
            <w:rFonts w:ascii="Arial" w:hAnsi="Arial" w:cs="Arial"/>
            <w:sz w:val="14"/>
            <w:szCs w:val="14"/>
          </w:rPr>
          <w:t>http://curia.europa.eu/juris/document/document.jsf;jsessionid=CDC36C791B5A503C86A5B8A543E2E569?text=&amp;docid=121143&amp;pageIndex=0&amp;doclang=ES&amp;mode=lst&amp;dir=&amp;occ=first&amp;part=1&amp;cid=4131947</w:t>
        </w:r>
      </w:hyperlink>
    </w:p>
  </w:footnote>
  <w:footnote w:id="96">
    <w:p w14:paraId="4C14253F"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3BE5D08E" w14:textId="77777777" w:rsidR="00A457CE" w:rsidRPr="008F2EB6" w:rsidRDefault="00A457CE" w:rsidP="008F2EB6">
      <w:pPr>
        <w:pStyle w:val="Textonotapie"/>
        <w:numPr>
          <w:ilvl w:val="0"/>
          <w:numId w:val="28"/>
        </w:numPr>
        <w:jc w:val="both"/>
        <w:rPr>
          <w:rStyle w:val="Hipervnculo"/>
          <w:rFonts w:ascii="Arial" w:hAnsi="Arial" w:cs="Arial"/>
          <w:sz w:val="14"/>
          <w:szCs w:val="14"/>
          <w:lang w:val="en-US"/>
        </w:rPr>
      </w:pPr>
      <w:r w:rsidRPr="008F2EB6">
        <w:rPr>
          <w:rFonts w:ascii="Arial" w:hAnsi="Arial" w:cs="Arial"/>
          <w:sz w:val="14"/>
          <w:szCs w:val="14"/>
          <w:lang w:val="en-US"/>
        </w:rPr>
        <w:t xml:space="preserve">DOJ (2011). </w:t>
      </w:r>
      <w:r w:rsidRPr="008F2EB6">
        <w:rPr>
          <w:rFonts w:ascii="Arial" w:hAnsi="Arial" w:cs="Arial"/>
          <w:i/>
          <w:sz w:val="14"/>
          <w:szCs w:val="14"/>
          <w:lang w:val="en-US"/>
        </w:rPr>
        <w:t>Complaint. United States of America v AT&amp;T Inc., T-Mobile USA, Inc. and Deutsche Telekom, AG.</w:t>
      </w:r>
      <w:r w:rsidRPr="008F2EB6">
        <w:rPr>
          <w:rFonts w:ascii="Arial" w:hAnsi="Arial" w:cs="Arial"/>
          <w:sz w:val="14"/>
          <w:szCs w:val="14"/>
          <w:lang w:val="en-US"/>
        </w:rPr>
        <w:t xml:space="preserve"> Disponible en: </w:t>
      </w:r>
      <w:hyperlink r:id="rId91" w:history="1">
        <w:r w:rsidRPr="008F2EB6">
          <w:rPr>
            <w:rStyle w:val="Hipervnculo"/>
            <w:rFonts w:ascii="Arial" w:hAnsi="Arial" w:cs="Arial"/>
            <w:sz w:val="14"/>
            <w:szCs w:val="14"/>
            <w:lang w:val="en-US"/>
          </w:rPr>
          <w:t>https://www.justice.gov/sites/default/files/opa/legacy/2011/08/31/Justice-ATT-TMobile-Complaint.pdf</w:t>
        </w:r>
      </w:hyperlink>
    </w:p>
    <w:p w14:paraId="7A7EBC49"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FCC (2004). </w:t>
      </w:r>
      <w:r w:rsidRPr="008F2EB6">
        <w:rPr>
          <w:rFonts w:ascii="Arial" w:hAnsi="Arial" w:cs="Arial"/>
          <w:i/>
          <w:sz w:val="14"/>
          <w:szCs w:val="14"/>
          <w:lang w:val="en-US"/>
        </w:rPr>
        <w:t>In the matter of Applications of AT&amp;T Wireless Services, Inc. and Cingular Wireless Corporation, et al.</w:t>
      </w:r>
      <w:r w:rsidRPr="008F2EB6">
        <w:rPr>
          <w:rFonts w:ascii="Arial" w:hAnsi="Arial" w:cs="Arial"/>
          <w:sz w:val="14"/>
          <w:szCs w:val="14"/>
          <w:lang w:val="en-US"/>
        </w:rPr>
        <w:t xml:space="preserve"> </w:t>
      </w:r>
      <w:r w:rsidRPr="008F2EB6">
        <w:rPr>
          <w:rFonts w:ascii="Arial" w:hAnsi="Arial" w:cs="Arial"/>
          <w:sz w:val="14"/>
          <w:szCs w:val="14"/>
        </w:rPr>
        <w:t xml:space="preserve">Nota al pie 267. Disponible en: </w:t>
      </w:r>
      <w:hyperlink r:id="rId92" w:history="1">
        <w:r w:rsidRPr="008F2EB6">
          <w:rPr>
            <w:rStyle w:val="Hipervnculo"/>
            <w:rFonts w:ascii="Arial" w:hAnsi="Arial" w:cs="Arial"/>
            <w:sz w:val="14"/>
            <w:szCs w:val="14"/>
          </w:rPr>
          <w:t>https://www.fcc.gov/document/matter-applications-att-wireless-services-inc-and-cingular</w:t>
        </w:r>
      </w:hyperlink>
    </w:p>
    <w:p w14:paraId="6B0A418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US"/>
        </w:rPr>
        <w:t xml:space="preserve">FCC (2019). </w:t>
      </w:r>
      <w:r w:rsidRPr="008F2EB6">
        <w:rPr>
          <w:rFonts w:ascii="Arial" w:hAnsi="Arial" w:cs="Arial"/>
          <w:i/>
          <w:sz w:val="14"/>
          <w:szCs w:val="14"/>
          <w:lang w:val="en-US"/>
        </w:rPr>
        <w:t>MEMORANDUM OPINION AND ORDER, DECLARATORY RULING, AND ORDER OF PROPOSED MODIFICATION. In the matter of Applications of T-Mobile US, Inc., and Sprint Corporation For Consent To Transfer Control of Licenses and Authorizations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93" w:history="1">
        <w:r w:rsidRPr="008F2EB6">
          <w:rPr>
            <w:rStyle w:val="Hipervnculo"/>
            <w:rFonts w:ascii="Arial" w:hAnsi="Arial" w:cs="Arial"/>
            <w:sz w:val="14"/>
            <w:szCs w:val="14"/>
          </w:rPr>
          <w:t>https://www.fcc.gov/document/fcc-approves-t-mobilesprint-transaction-conditions</w:t>
        </w:r>
      </w:hyperlink>
      <w:r w:rsidRPr="008F2EB6">
        <w:rPr>
          <w:rFonts w:ascii="Arial" w:hAnsi="Arial" w:cs="Arial"/>
          <w:sz w:val="14"/>
          <w:szCs w:val="14"/>
        </w:rPr>
        <w:t xml:space="preserve"> </w:t>
      </w:r>
    </w:p>
  </w:footnote>
  <w:footnote w:id="97">
    <w:p w14:paraId="03804EAE"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6C572813"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en-US"/>
        </w:rPr>
        <w:t xml:space="preserve">ANACOM (2009). </w:t>
      </w:r>
      <w:r w:rsidRPr="008F2EB6">
        <w:rPr>
          <w:rFonts w:ascii="Arial" w:hAnsi="Arial" w:cs="Arial"/>
          <w:i/>
          <w:sz w:val="14"/>
          <w:szCs w:val="14"/>
          <w:lang w:val="en-US"/>
        </w:rPr>
        <w:t>RETAIL MARKET AND WHOLESALE MARKETS OF TERMINATING AND TRUNK SEGMENTS OF LEASED LINES.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94" w:history="1">
        <w:r w:rsidRPr="008F2EB6">
          <w:rPr>
            <w:rStyle w:val="Hipervnculo"/>
            <w:rFonts w:ascii="Arial" w:hAnsi="Arial" w:cs="Arial"/>
            <w:sz w:val="14"/>
            <w:szCs w:val="14"/>
          </w:rPr>
          <w:t>https://www.anacom.pt/streaming/Determination28september2010_final_decision.pdf?contentId=1061287&amp;field=ATTACHED_FILE</w:t>
        </w:r>
      </w:hyperlink>
    </w:p>
    <w:p w14:paraId="66A949F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Autoridad de Competencia (2013). </w:t>
      </w:r>
      <w:r w:rsidRPr="008F2EB6">
        <w:rPr>
          <w:rFonts w:ascii="Arial" w:hAnsi="Arial" w:cs="Arial"/>
          <w:i/>
          <w:sz w:val="14"/>
          <w:szCs w:val="14"/>
        </w:rPr>
        <w:t>Ccent. 5/2013 Kento*Unitel*Sonaecom/ZON*Optimus.</w:t>
      </w:r>
    </w:p>
  </w:footnote>
  <w:footnote w:id="98">
    <w:p w14:paraId="0786E299"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Ofcom (2018). </w:t>
      </w:r>
      <w:r w:rsidRPr="008F2EB6">
        <w:rPr>
          <w:rFonts w:ascii="Arial" w:hAnsi="Arial" w:cs="Arial"/>
          <w:i/>
          <w:sz w:val="14"/>
          <w:szCs w:val="14"/>
          <w:lang w:val="en-US"/>
        </w:rPr>
        <w:t xml:space="preserve">Wholesale Broadband Access Market Review 2018. </w:t>
      </w:r>
      <w:r w:rsidRPr="008F2EB6">
        <w:rPr>
          <w:rFonts w:ascii="Arial" w:hAnsi="Arial" w:cs="Arial"/>
          <w:sz w:val="14"/>
          <w:szCs w:val="14"/>
        </w:rPr>
        <w:t xml:space="preserve">Disponible en: </w:t>
      </w:r>
      <w:hyperlink r:id="rId95" w:history="1">
        <w:r w:rsidRPr="008F2EB6">
          <w:rPr>
            <w:rStyle w:val="Hipervnculo"/>
            <w:rFonts w:ascii="Arial" w:hAnsi="Arial" w:cs="Arial"/>
            <w:sz w:val="14"/>
            <w:szCs w:val="14"/>
          </w:rPr>
          <w:t>https://www.ofcom.org.uk/__data/assets/pdf_file/0019/115138/Draft-statement-annexes-2-8-Wholesale-broadband-access-market-review-2018.pdf</w:t>
        </w:r>
      </w:hyperlink>
      <w:r w:rsidRPr="008F2EB6">
        <w:rPr>
          <w:rFonts w:ascii="Arial" w:hAnsi="Arial" w:cs="Arial"/>
          <w:sz w:val="14"/>
          <w:szCs w:val="14"/>
        </w:rPr>
        <w:t xml:space="preserve">   </w:t>
      </w:r>
    </w:p>
  </w:footnote>
  <w:footnote w:id="99">
    <w:p w14:paraId="5CAFA999"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 por ejemplo, CE (2012).</w:t>
      </w:r>
      <w:r w:rsidRPr="008F2EB6">
        <w:rPr>
          <w:rFonts w:ascii="Arial" w:hAnsi="Arial" w:cs="Arial"/>
          <w:i/>
          <w:sz w:val="14"/>
          <w:szCs w:val="14"/>
          <w:lang w:val="en-US"/>
        </w:rPr>
        <w:t xml:space="preserve">Roundtable on market definition. Note by the delegation of the European Union. </w:t>
      </w:r>
      <w:r w:rsidRPr="008F2EB6">
        <w:rPr>
          <w:rFonts w:ascii="Arial" w:hAnsi="Arial" w:cs="Arial"/>
          <w:sz w:val="14"/>
          <w:szCs w:val="14"/>
          <w:lang w:val="en-US"/>
        </w:rPr>
        <w:t xml:space="preserve"> p. 6. </w:t>
      </w:r>
    </w:p>
  </w:footnote>
  <w:footnote w:id="100">
    <w:p w14:paraId="5A0A3E41" w14:textId="77777777" w:rsidR="00A457CE" w:rsidRPr="008F2EB6" w:rsidRDefault="00A457CE" w:rsidP="008F2EB6">
      <w:pPr>
        <w:pStyle w:val="Textonotapie"/>
        <w:jc w:val="both"/>
        <w:rPr>
          <w:rFonts w:ascii="Arial" w:hAnsi="Arial" w:cs="Arial"/>
          <w:sz w:val="14"/>
          <w:szCs w:val="14"/>
          <w:lang w:val="fr-FR"/>
        </w:rPr>
      </w:pPr>
      <w:r w:rsidRPr="008F2EB6">
        <w:rPr>
          <w:rStyle w:val="Refdenotaalpie"/>
          <w:rFonts w:ascii="Arial" w:hAnsi="Arial" w:cs="Arial"/>
          <w:sz w:val="14"/>
          <w:szCs w:val="14"/>
        </w:rPr>
        <w:footnoteRef/>
      </w:r>
      <w:r w:rsidRPr="008F2EB6">
        <w:rPr>
          <w:rFonts w:ascii="Arial" w:hAnsi="Arial" w:cs="Arial"/>
          <w:sz w:val="14"/>
          <w:szCs w:val="14"/>
          <w:lang w:val="en-GB"/>
        </w:rPr>
        <w:t xml:space="preserve"> </w:t>
      </w:r>
      <w:r w:rsidRPr="008F2EB6">
        <w:rPr>
          <w:rFonts w:ascii="Arial" w:hAnsi="Arial" w:cs="Arial"/>
          <w:sz w:val="14"/>
          <w:szCs w:val="14"/>
          <w:lang w:val="en-US"/>
        </w:rPr>
        <w:t xml:space="preserve">OCDE (2017). </w:t>
      </w:r>
      <w:r w:rsidRPr="008F2EB6">
        <w:rPr>
          <w:rFonts w:ascii="Arial" w:hAnsi="Arial" w:cs="Arial"/>
          <w:i/>
          <w:sz w:val="14"/>
          <w:szCs w:val="14"/>
          <w:lang w:val="en-US"/>
        </w:rPr>
        <w:t>Market Definition in Multi-Sided Markets - Note by Dr Lapo Filistrucchi</w:t>
      </w:r>
      <w:r w:rsidRPr="008F2EB6">
        <w:rPr>
          <w:rFonts w:ascii="Arial" w:hAnsi="Arial" w:cs="Arial"/>
          <w:sz w:val="14"/>
          <w:szCs w:val="14"/>
          <w:lang w:val="en-US"/>
        </w:rPr>
        <w:t xml:space="preserve">. p. 10. </w:t>
      </w:r>
      <w:r w:rsidRPr="008F2EB6">
        <w:rPr>
          <w:rFonts w:ascii="Arial" w:hAnsi="Arial" w:cs="Arial"/>
          <w:sz w:val="14"/>
          <w:szCs w:val="14"/>
          <w:lang w:val="fr-FR"/>
        </w:rPr>
        <w:t xml:space="preserve">Disponible en: </w:t>
      </w:r>
      <w:hyperlink r:id="rId96" w:history="1">
        <w:r w:rsidRPr="008F2EB6">
          <w:rPr>
            <w:rStyle w:val="Hipervnculo"/>
            <w:rFonts w:ascii="Arial" w:hAnsi="Arial" w:cs="Arial"/>
            <w:sz w:val="14"/>
            <w:szCs w:val="14"/>
            <w:lang w:val="fr-FR"/>
          </w:rPr>
          <w:t>https://one.oecd.org/document/DAF/COMP/WD(2017)27/FINAL/en/pdf</w:t>
        </w:r>
      </w:hyperlink>
    </w:p>
  </w:footnote>
  <w:footnote w:id="101">
    <w:p w14:paraId="56031E20"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fr-FR"/>
        </w:rPr>
        <w:t xml:space="preserve"> 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xml:space="preserve"> </w:t>
      </w:r>
    </w:p>
  </w:footnote>
  <w:footnote w:id="102">
    <w:p w14:paraId="50A79BA6"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490B09F8"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(2019). </w:t>
      </w:r>
      <w:r w:rsidRPr="008F2EB6">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F2EB6">
        <w:rPr>
          <w:rFonts w:ascii="Arial" w:hAnsi="Arial" w:cs="Arial"/>
          <w:sz w:val="14"/>
          <w:szCs w:val="14"/>
        </w:rPr>
        <w:t xml:space="preserve"> Acuerdo </w:t>
      </w:r>
      <w:r w:rsidRPr="008F2EB6">
        <w:rPr>
          <w:rFonts w:ascii="Arial" w:hAnsi="Arial" w:cs="Arial"/>
          <w:bCs/>
          <w:sz w:val="14"/>
          <w:szCs w:val="14"/>
        </w:rPr>
        <w:t>P/IFT/110319/122</w:t>
      </w:r>
      <w:r w:rsidRPr="008F2EB6">
        <w:rPr>
          <w:rFonts w:ascii="Arial" w:hAnsi="Arial" w:cs="Arial"/>
          <w:sz w:val="14"/>
          <w:szCs w:val="14"/>
        </w:rPr>
        <w:t xml:space="preserve"> </w:t>
      </w:r>
    </w:p>
    <w:p w14:paraId="478A40B1"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(2015). </w:t>
      </w:r>
      <w:r w:rsidRPr="008F2EB6">
        <w:rPr>
          <w:rFonts w:ascii="Arial" w:hAnsi="Arial" w:cs="Arial"/>
          <w:i/>
          <w:sz w:val="14"/>
          <w:szCs w:val="14"/>
        </w:rPr>
        <w:t xml:space="preserve">RESOLUCIÓN MEDIANTE LA CUAL EL PLENO DEL INSTITUTO FEDERAL DE TELECOMUNICACIONES AUTORIZA QUE SE REALICE LA CONCENTRACIÓN RADICADA BAJO EL EXPEDIENTE NO. </w:t>
      </w:r>
      <w:r w:rsidRPr="008F2EB6">
        <w:rPr>
          <w:rFonts w:ascii="Arial" w:hAnsi="Arial" w:cs="Arial"/>
          <w:i/>
          <w:sz w:val="14"/>
          <w:szCs w:val="14"/>
          <w:lang w:val="en-US"/>
        </w:rPr>
        <w:t xml:space="preserve">UCE/CNC-001-2015, NOTIFICADA POR AT&amp;T, INC. Y NII HOLDINGS, INC. </w:t>
      </w:r>
      <w:r w:rsidRPr="008F2EB6">
        <w:rPr>
          <w:rFonts w:ascii="Arial" w:hAnsi="Arial" w:cs="Arial"/>
          <w:sz w:val="14"/>
          <w:szCs w:val="14"/>
          <w:lang w:val="en-US"/>
        </w:rPr>
        <w:t>Acuerdo P/IFT/EXT/290415/86</w:t>
      </w:r>
    </w:p>
  </w:footnote>
  <w:footnote w:id="103">
    <w:p w14:paraId="1DE098B9" w14:textId="77777777" w:rsidR="00A457CE" w:rsidRPr="008F2EB6" w:rsidRDefault="00A457CE" w:rsidP="008F2EB6">
      <w:pPr>
        <w:pStyle w:val="Textonotapie"/>
        <w:jc w:val="both"/>
        <w:rPr>
          <w:rFonts w:ascii="Arial" w:hAnsi="Arial" w:cs="Arial"/>
          <w:sz w:val="14"/>
          <w:szCs w:val="14"/>
          <w:lang w:val="en-US"/>
        </w:rPr>
      </w:pPr>
      <w:r w:rsidRPr="008F2EB6" w:rsidDel="00673A3A">
        <w:rPr>
          <w:rStyle w:val="Refdenotaalpie"/>
          <w:rFonts w:ascii="Arial" w:hAnsi="Arial" w:cs="Arial"/>
          <w:sz w:val="14"/>
          <w:szCs w:val="14"/>
        </w:rPr>
        <w:footnoteRef/>
      </w:r>
      <w:r w:rsidRPr="008F2EB6">
        <w:rPr>
          <w:rFonts w:ascii="Arial" w:hAnsi="Arial" w:cs="Arial"/>
          <w:sz w:val="14"/>
          <w:szCs w:val="14"/>
          <w:lang w:val="en-US"/>
        </w:rPr>
        <w:t xml:space="preserve"> Ver:</w:t>
      </w:r>
    </w:p>
    <w:p w14:paraId="4C4FC38E"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OCDE (2014).</w:t>
      </w:r>
      <w:r w:rsidRPr="008F2EB6" w:rsidDel="00673A3A">
        <w:rPr>
          <w:rFonts w:ascii="Arial" w:hAnsi="Arial" w:cs="Arial"/>
          <w:sz w:val="14"/>
          <w:szCs w:val="14"/>
          <w:lang w:val="en-US"/>
        </w:rPr>
        <w:t xml:space="preserve"> </w:t>
      </w:r>
      <w:r w:rsidRPr="008F2EB6" w:rsidDel="00673A3A">
        <w:rPr>
          <w:rFonts w:ascii="Arial" w:hAnsi="Arial" w:cs="Arial"/>
          <w:i/>
          <w:sz w:val="14"/>
          <w:szCs w:val="14"/>
          <w:lang w:val="en-US"/>
        </w:rPr>
        <w:t xml:space="preserve">Defining </w:t>
      </w:r>
      <w:r w:rsidRPr="008F2EB6">
        <w:rPr>
          <w:rFonts w:ascii="Arial" w:hAnsi="Arial" w:cs="Arial"/>
          <w:i/>
          <w:sz w:val="14"/>
          <w:szCs w:val="14"/>
          <w:lang w:val="en-US"/>
        </w:rPr>
        <w:t xml:space="preserve">the </w:t>
      </w:r>
      <w:r w:rsidRPr="008F2EB6" w:rsidDel="00673A3A">
        <w:rPr>
          <w:rFonts w:ascii="Arial" w:hAnsi="Arial" w:cs="Arial"/>
          <w:i/>
          <w:sz w:val="14"/>
          <w:szCs w:val="14"/>
          <w:lang w:val="en-US"/>
        </w:rPr>
        <w:t>Relevant Market in Telecommunications</w:t>
      </w:r>
      <w:r w:rsidRPr="008F2EB6">
        <w:rPr>
          <w:rFonts w:ascii="Arial" w:hAnsi="Arial" w:cs="Arial"/>
          <w:sz w:val="14"/>
          <w:szCs w:val="14"/>
          <w:lang w:val="en-US"/>
        </w:rPr>
        <w:t>.</w:t>
      </w:r>
      <w:r w:rsidRPr="008F2EB6" w:rsidDel="00673A3A">
        <w:rPr>
          <w:rFonts w:ascii="Arial" w:hAnsi="Arial" w:cs="Arial"/>
          <w:sz w:val="14"/>
          <w:szCs w:val="14"/>
          <w:lang w:val="en-US"/>
        </w:rPr>
        <w:t xml:space="preserve"> p. </w:t>
      </w:r>
      <w:r w:rsidRPr="008F2EB6">
        <w:rPr>
          <w:rFonts w:ascii="Arial" w:hAnsi="Arial" w:cs="Arial"/>
          <w:sz w:val="14"/>
          <w:szCs w:val="14"/>
          <w:lang w:val="en-US"/>
        </w:rPr>
        <w:t>19</w:t>
      </w:r>
      <w:r w:rsidRPr="008F2EB6" w:rsidDel="00673A3A">
        <w:rPr>
          <w:rFonts w:ascii="Arial" w:hAnsi="Arial" w:cs="Arial"/>
          <w:sz w:val="14"/>
          <w:szCs w:val="14"/>
          <w:lang w:val="en-US"/>
        </w:rPr>
        <w:t xml:space="preserve">. </w:t>
      </w:r>
    </w:p>
    <w:p w14:paraId="2B0DE9F7" w14:textId="77777777" w:rsidR="00A457CE" w:rsidRPr="008F2EB6" w:rsidDel="00673A3A"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GB"/>
        </w:rPr>
        <w:t xml:space="preserve">OCDE (2018). </w:t>
      </w:r>
      <w:r w:rsidRPr="008F2EB6">
        <w:rPr>
          <w:rFonts w:ascii="Arial" w:hAnsi="Arial" w:cs="Arial"/>
          <w:i/>
          <w:sz w:val="14"/>
          <w:szCs w:val="14"/>
          <w:lang w:val="en-GB"/>
        </w:rPr>
        <w:t>Rethinking Antitrust Tools for Multi-Sided Platforms</w:t>
      </w:r>
      <w:r w:rsidRPr="008F2EB6">
        <w:rPr>
          <w:rFonts w:ascii="Arial" w:hAnsi="Arial" w:cs="Arial"/>
          <w:sz w:val="14"/>
          <w:szCs w:val="14"/>
          <w:lang w:val="en-GB"/>
        </w:rPr>
        <w:t>. pp. 43, 44, 223 y 224.</w:t>
      </w:r>
    </w:p>
  </w:footnote>
  <w:footnote w:id="104">
    <w:p w14:paraId="4FD5783B"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4B723E8F" w14:textId="77777777" w:rsidR="00A457CE" w:rsidRPr="008F2EB6" w:rsidRDefault="00A457CE" w:rsidP="008F2EB6">
      <w:pPr>
        <w:pStyle w:val="Textonotapie"/>
        <w:numPr>
          <w:ilvl w:val="0"/>
          <w:numId w:val="28"/>
        </w:numPr>
        <w:jc w:val="both"/>
        <w:rPr>
          <w:rFonts w:ascii="Arial" w:hAnsi="Arial" w:cs="Arial"/>
          <w:sz w:val="14"/>
          <w:szCs w:val="14"/>
          <w:lang w:val="es-ES"/>
        </w:rPr>
      </w:pPr>
      <w:r w:rsidRPr="008F2EB6">
        <w:rPr>
          <w:rFonts w:ascii="Arial" w:hAnsi="Arial" w:cs="Arial"/>
          <w:sz w:val="14"/>
          <w:szCs w:val="14"/>
        </w:rPr>
        <w:t xml:space="preserve">CE (1997). </w:t>
      </w:r>
      <w:r w:rsidRPr="008F2EB6">
        <w:rPr>
          <w:rFonts w:ascii="Arial" w:hAnsi="Arial" w:cs="Arial"/>
          <w:i/>
          <w:sz w:val="14"/>
          <w:szCs w:val="14"/>
        </w:rPr>
        <w:t xml:space="preserve">Comunicación de la Comisión relativa a la definición de mercado de referencia a efectos de la normativa comunitaria en materia de competencia. </w:t>
      </w:r>
    </w:p>
    <w:p w14:paraId="78D6C698" w14:textId="77777777" w:rsidR="00A457CE" w:rsidRPr="008F2EB6" w:rsidRDefault="00A457CE" w:rsidP="008F2EB6">
      <w:pPr>
        <w:pStyle w:val="Textonotapie"/>
        <w:numPr>
          <w:ilvl w:val="0"/>
          <w:numId w:val="28"/>
        </w:numPr>
        <w:jc w:val="both"/>
        <w:rPr>
          <w:rFonts w:ascii="Arial" w:hAnsi="Arial" w:cs="Arial"/>
          <w:sz w:val="14"/>
          <w:szCs w:val="14"/>
          <w:lang w:val="es-ES"/>
        </w:rPr>
      </w:pPr>
      <w:r w:rsidRPr="008F2EB6">
        <w:rPr>
          <w:rFonts w:ascii="Arial" w:hAnsi="Arial" w:cs="Arial"/>
          <w:sz w:val="14"/>
          <w:szCs w:val="14"/>
        </w:rPr>
        <w:t xml:space="preserve">CE (2018). </w:t>
      </w:r>
      <w:r w:rsidRPr="008F2EB6">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F2EB6">
        <w:rPr>
          <w:rFonts w:ascii="Arial" w:hAnsi="Arial" w:cs="Arial"/>
          <w:sz w:val="14"/>
          <w:szCs w:val="14"/>
        </w:rPr>
        <w:t xml:space="preserve"> p. 7. </w:t>
      </w:r>
    </w:p>
    <w:p w14:paraId="628D9C78" w14:textId="77777777" w:rsidR="00A457CE" w:rsidRPr="008F2EB6" w:rsidRDefault="00A457CE" w:rsidP="008F2EB6">
      <w:pPr>
        <w:pStyle w:val="Textonotapie"/>
        <w:numPr>
          <w:ilvl w:val="0"/>
          <w:numId w:val="28"/>
        </w:numPr>
        <w:jc w:val="both"/>
        <w:rPr>
          <w:rFonts w:ascii="Arial" w:hAnsi="Arial" w:cs="Arial"/>
          <w:sz w:val="14"/>
          <w:szCs w:val="14"/>
          <w:lang w:val="es-ES"/>
        </w:rPr>
      </w:pPr>
      <w:r w:rsidRPr="008F2EB6">
        <w:rPr>
          <w:rFonts w:ascii="Arial" w:hAnsi="Arial" w:cs="Arial"/>
          <w:sz w:val="14"/>
          <w:szCs w:val="14"/>
        </w:rPr>
        <w:t xml:space="preserve">CE (2007). </w:t>
      </w:r>
      <w:r w:rsidRPr="008F2EB6">
        <w:rPr>
          <w:rFonts w:ascii="Arial" w:hAnsi="Arial" w:cs="Arial"/>
          <w:i/>
          <w:sz w:val="14"/>
          <w:szCs w:val="14"/>
        </w:rPr>
        <w:t>Caso COMP/38.784. Wanadoo España contra Telefónica</w:t>
      </w:r>
      <w:r w:rsidRPr="008F2EB6">
        <w:rPr>
          <w:rFonts w:ascii="Arial" w:hAnsi="Arial" w:cs="Arial"/>
          <w:sz w:val="14"/>
          <w:szCs w:val="14"/>
        </w:rPr>
        <w:t xml:space="preserve">. Disponible en: </w:t>
      </w:r>
      <w:hyperlink r:id="rId97" w:history="1">
        <w:r w:rsidRPr="008F2EB6">
          <w:rPr>
            <w:rStyle w:val="Hipervnculo"/>
            <w:rFonts w:ascii="Arial" w:hAnsi="Arial" w:cs="Arial"/>
            <w:sz w:val="14"/>
            <w:szCs w:val="14"/>
          </w:rPr>
          <w:t>https://ec.europa.eu/competition/antitrust/cases/dec_docs/38784/38784_437_4.pdf</w:t>
        </w:r>
      </w:hyperlink>
    </w:p>
  </w:footnote>
  <w:footnote w:id="105">
    <w:p w14:paraId="6DB88D1E"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5C0ABCD2"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en-US"/>
        </w:rPr>
        <w:t xml:space="preserve">Conseil de la concurrence (2005). </w:t>
      </w:r>
      <w:r w:rsidRPr="008F2EB6">
        <w:rPr>
          <w:rFonts w:ascii="Arial" w:hAnsi="Arial" w:cs="Arial"/>
          <w:i/>
          <w:sz w:val="14"/>
          <w:szCs w:val="14"/>
          <w:lang w:val="en-US"/>
        </w:rPr>
        <w:t>Opinion No. 05-A-05 of 16 February 2005 concerning market analysis of retail and wholesale fixed-line telephony.</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98" w:history="1">
        <w:r w:rsidRPr="008F2EB6">
          <w:rPr>
            <w:rStyle w:val="Hipervnculo"/>
            <w:rFonts w:ascii="Arial" w:hAnsi="Arial" w:cs="Arial"/>
            <w:sz w:val="14"/>
            <w:szCs w:val="14"/>
          </w:rPr>
          <w:t>https://www.autoritedelaconcurrence.fr/sites/default/files/commitments//05a05.pdf</w:t>
        </w:r>
      </w:hyperlink>
    </w:p>
    <w:p w14:paraId="22FAA71F"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lang w:val="en-GB"/>
        </w:rPr>
        <w:t xml:space="preserve">CE (2005). </w:t>
      </w:r>
      <w:r w:rsidRPr="008F2EB6">
        <w:rPr>
          <w:rFonts w:ascii="Arial" w:hAnsi="Arial" w:cs="Arial"/>
          <w:i/>
          <w:sz w:val="14"/>
          <w:szCs w:val="14"/>
          <w:lang w:val="en-GB"/>
        </w:rPr>
        <w:t>Voice over broadband in France: no regulation on internet telephony required.</w:t>
      </w:r>
      <w:r w:rsidRPr="008F2EB6">
        <w:rPr>
          <w:rFonts w:ascii="Arial" w:hAnsi="Arial" w:cs="Arial"/>
          <w:sz w:val="14"/>
          <w:szCs w:val="14"/>
          <w:lang w:val="en-GB"/>
        </w:rPr>
        <w:t xml:space="preserve"> </w:t>
      </w:r>
      <w:r w:rsidRPr="008F2EB6">
        <w:rPr>
          <w:rFonts w:ascii="Arial" w:hAnsi="Arial" w:cs="Arial"/>
          <w:sz w:val="14"/>
          <w:szCs w:val="14"/>
        </w:rPr>
        <w:t xml:space="preserve">Disponible en: </w:t>
      </w:r>
      <w:hyperlink r:id="rId99" w:history="1">
        <w:r w:rsidRPr="008F2EB6">
          <w:rPr>
            <w:rStyle w:val="Hipervnculo"/>
            <w:rFonts w:ascii="Arial" w:hAnsi="Arial" w:cs="Arial"/>
            <w:sz w:val="14"/>
            <w:szCs w:val="14"/>
          </w:rPr>
          <w:t>https://ec.europa.eu/commission/presscorner/detail/en/IP_05_1146</w:t>
        </w:r>
      </w:hyperlink>
    </w:p>
  </w:footnote>
  <w:footnote w:id="106">
    <w:p w14:paraId="04EA1A25"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CMA/OFT (2004). </w:t>
      </w:r>
      <w:r w:rsidRPr="008F2EB6">
        <w:rPr>
          <w:rFonts w:ascii="Arial" w:hAnsi="Arial" w:cs="Arial"/>
          <w:i/>
          <w:sz w:val="14"/>
          <w:szCs w:val="14"/>
          <w:lang w:val="en-US"/>
        </w:rPr>
        <w:t>Market definition, Understanding competition law</w:t>
      </w:r>
      <w:r w:rsidRPr="008F2EB6">
        <w:rPr>
          <w:rFonts w:ascii="Arial" w:hAnsi="Arial" w:cs="Arial"/>
          <w:sz w:val="14"/>
          <w:szCs w:val="14"/>
          <w:lang w:val="en-US"/>
        </w:rPr>
        <w:t xml:space="preserve">. </w:t>
      </w:r>
    </w:p>
  </w:footnote>
  <w:footnote w:id="107">
    <w:p w14:paraId="23F9B4AA"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3D94B294" w14:textId="77777777" w:rsidR="00A457CE" w:rsidRPr="008F2EB6" w:rsidRDefault="00A457CE" w:rsidP="008F2EB6">
      <w:pPr>
        <w:pStyle w:val="Textonotapie"/>
        <w:numPr>
          <w:ilvl w:val="0"/>
          <w:numId w:val="28"/>
        </w:numPr>
        <w:jc w:val="both"/>
        <w:rPr>
          <w:rStyle w:val="Hipervnculo"/>
          <w:rFonts w:ascii="Arial" w:hAnsi="Arial" w:cs="Arial"/>
          <w:bCs/>
          <w:sz w:val="14"/>
          <w:szCs w:val="14"/>
        </w:rPr>
      </w:pPr>
      <w:r w:rsidRPr="008F2EB6">
        <w:rPr>
          <w:rFonts w:ascii="Arial" w:hAnsi="Arial" w:cs="Arial"/>
          <w:sz w:val="14"/>
          <w:szCs w:val="14"/>
          <w:lang w:val="en-US"/>
        </w:rPr>
        <w:t xml:space="preserve">CBC (2014). </w:t>
      </w:r>
      <w:r w:rsidRPr="008F2EB6">
        <w:rPr>
          <w:rFonts w:ascii="Arial" w:hAnsi="Arial" w:cs="Arial"/>
          <w:bCs/>
          <w:i/>
          <w:sz w:val="14"/>
          <w:szCs w:val="14"/>
          <w:lang w:val="en-US"/>
        </w:rPr>
        <w:t>Economic analysis of retail mergers at the Competition Bureau.</w:t>
      </w:r>
      <w:r w:rsidRPr="008F2EB6">
        <w:rPr>
          <w:rFonts w:ascii="Arial" w:hAnsi="Arial" w:cs="Arial"/>
          <w:bCs/>
          <w:sz w:val="14"/>
          <w:szCs w:val="14"/>
          <w:lang w:val="en-US"/>
        </w:rPr>
        <w:t xml:space="preserve"> </w:t>
      </w:r>
      <w:r w:rsidRPr="008F2EB6">
        <w:rPr>
          <w:rFonts w:ascii="Arial" w:hAnsi="Arial" w:cs="Arial"/>
          <w:bCs/>
          <w:sz w:val="14"/>
          <w:szCs w:val="14"/>
        </w:rPr>
        <w:t xml:space="preserve">Disponible en: </w:t>
      </w:r>
      <w:hyperlink r:id="rId100" w:history="1">
        <w:r w:rsidRPr="008F2EB6">
          <w:rPr>
            <w:rStyle w:val="Hipervnculo"/>
            <w:rFonts w:ascii="Arial" w:hAnsi="Arial" w:cs="Arial"/>
            <w:bCs/>
            <w:sz w:val="14"/>
            <w:szCs w:val="14"/>
          </w:rPr>
          <w:t>https://www.competitionbureau.gc.ca/eic/site/cb-bc.nsf/eng/03796.html</w:t>
        </w:r>
      </w:hyperlink>
    </w:p>
    <w:p w14:paraId="0C93A2EC" w14:textId="77777777" w:rsidR="00A457CE" w:rsidRPr="008F2EB6" w:rsidRDefault="00A457CE" w:rsidP="008F2EB6">
      <w:pPr>
        <w:pStyle w:val="Textonotapie"/>
        <w:numPr>
          <w:ilvl w:val="0"/>
          <w:numId w:val="28"/>
        </w:numPr>
        <w:jc w:val="both"/>
        <w:rPr>
          <w:rFonts w:ascii="Arial" w:hAnsi="Arial" w:cs="Arial"/>
          <w:bCs/>
          <w:sz w:val="14"/>
          <w:szCs w:val="14"/>
        </w:rPr>
      </w:pPr>
      <w:r w:rsidRPr="008F2EB6">
        <w:rPr>
          <w:rFonts w:ascii="Arial" w:hAnsi="Arial" w:cs="Arial"/>
          <w:sz w:val="14"/>
          <w:szCs w:val="14"/>
          <w:lang w:val="en-US"/>
        </w:rPr>
        <w:t xml:space="preserve">CRTC (2011). </w:t>
      </w:r>
      <w:r w:rsidRPr="008F2EB6">
        <w:rPr>
          <w:rFonts w:ascii="Arial" w:hAnsi="Arial" w:cs="Arial"/>
          <w:i/>
          <w:sz w:val="14"/>
          <w:szCs w:val="14"/>
          <w:lang w:val="en-US"/>
        </w:rPr>
        <w:t>Market Definition Issues for Audio and Audio-Visual Distribution Products and Services in a Digital Environment</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01" w:history="1">
        <w:r w:rsidRPr="008F2EB6">
          <w:rPr>
            <w:rStyle w:val="Hipervnculo"/>
            <w:rFonts w:ascii="Arial" w:hAnsi="Arial" w:cs="Arial"/>
            <w:sz w:val="14"/>
            <w:szCs w:val="14"/>
          </w:rPr>
          <w:t>https://crtc.gc.ca/eng/publications/reports/rp110215.htm</w:t>
        </w:r>
      </w:hyperlink>
    </w:p>
  </w:footnote>
  <w:footnote w:id="108">
    <w:p w14:paraId="16DDF255"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(2015). </w:t>
      </w:r>
      <w:r w:rsidRPr="008F2EB6">
        <w:rPr>
          <w:rFonts w:ascii="Arial" w:hAnsi="Arial" w:cs="Arial"/>
          <w:i/>
          <w:sz w:val="14"/>
          <w:szCs w:val="14"/>
          <w:lang w:val="en-US"/>
        </w:rPr>
        <w:t>Triple and Quadruple Play Bundles of Communication Services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02" w:history="1">
        <w:r w:rsidRPr="008F2EB6">
          <w:rPr>
            <w:rStyle w:val="Hipervnculo"/>
            <w:rFonts w:ascii="Arial" w:hAnsi="Arial" w:cs="Arial"/>
            <w:sz w:val="14"/>
            <w:szCs w:val="14"/>
          </w:rPr>
          <w:t>https://www.oecd-ilibrary.org/docserver/5js04dp2q1jc-en.pdf?expires=1597095718&amp;id=id&amp;accname=guest&amp;checksum=A818045C7EED02B383CB10724AD048D9</w:t>
        </w:r>
      </w:hyperlink>
    </w:p>
  </w:footnote>
  <w:footnote w:id="109">
    <w:p w14:paraId="5BA65C00"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182463E3"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Instituto (2020). </w:t>
      </w:r>
      <w:r w:rsidRPr="008F2EB6">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F2EB6">
        <w:rPr>
          <w:rFonts w:ascii="Arial" w:hAnsi="Arial" w:cs="Arial"/>
          <w:sz w:val="14"/>
          <w:szCs w:val="14"/>
        </w:rPr>
        <w:t xml:space="preserve">. </w:t>
      </w:r>
      <w:r w:rsidRPr="008F2EB6">
        <w:rPr>
          <w:rFonts w:ascii="Arial" w:hAnsi="Arial" w:cs="Arial"/>
          <w:sz w:val="14"/>
          <w:szCs w:val="14"/>
          <w:lang w:val="en-US"/>
        </w:rPr>
        <w:t>Acuerdo P/IFT/181120/436</w:t>
      </w:r>
    </w:p>
    <w:p w14:paraId="4718C6EB"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Instituto (2017). Acuerdo P/IFT/060917/545</w:t>
      </w:r>
      <w:r w:rsidRPr="008F2EB6">
        <w:rPr>
          <w:rFonts w:ascii="Arial" w:hAnsi="Arial" w:cs="Arial"/>
          <w:i/>
          <w:sz w:val="14"/>
          <w:szCs w:val="14"/>
        </w:rPr>
        <w:t>.</w:t>
      </w:r>
      <w:r w:rsidRPr="008F2EB6">
        <w:rPr>
          <w:rFonts w:ascii="Arial" w:hAnsi="Arial" w:cs="Arial"/>
          <w:sz w:val="14"/>
          <w:szCs w:val="14"/>
        </w:rPr>
        <w:t xml:space="preserve"> </w:t>
      </w:r>
    </w:p>
  </w:footnote>
  <w:footnote w:id="110">
    <w:p w14:paraId="1C93FBD7"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7431321B" w14:textId="77777777" w:rsidR="00A457CE" w:rsidRPr="008F2EB6" w:rsidRDefault="00A457CE" w:rsidP="008F2EB6">
      <w:pPr>
        <w:pStyle w:val="Textonotapie"/>
        <w:numPr>
          <w:ilvl w:val="0"/>
          <w:numId w:val="28"/>
        </w:numPr>
        <w:jc w:val="both"/>
        <w:rPr>
          <w:rStyle w:val="Hipervnculo"/>
          <w:rFonts w:ascii="Arial" w:hAnsi="Arial" w:cs="Arial"/>
          <w:sz w:val="14"/>
          <w:szCs w:val="14"/>
        </w:rPr>
      </w:pPr>
      <w:r w:rsidRPr="008F2EB6">
        <w:rPr>
          <w:rFonts w:ascii="Arial" w:hAnsi="Arial" w:cs="Arial"/>
          <w:sz w:val="14"/>
          <w:szCs w:val="14"/>
          <w:lang w:val="en-US"/>
        </w:rPr>
        <w:t xml:space="preserve">CE (2018). </w:t>
      </w:r>
      <w:r w:rsidRPr="008F2EB6">
        <w:rPr>
          <w:rFonts w:ascii="Arial" w:hAnsi="Arial" w:cs="Arial"/>
          <w:i/>
          <w:sz w:val="14"/>
          <w:szCs w:val="14"/>
          <w:lang w:val="en-US"/>
        </w:rPr>
        <w:t>Commission Staff working document</w:t>
      </w:r>
      <w:r w:rsidRPr="008F2EB6">
        <w:rPr>
          <w:rFonts w:ascii="Arial" w:hAnsi="Arial" w:cs="Arial"/>
          <w:sz w:val="14"/>
          <w:szCs w:val="14"/>
          <w:lang w:val="en-US"/>
        </w:rPr>
        <w:t xml:space="preserve"> </w:t>
      </w:r>
      <w:r w:rsidRPr="008F2EB6">
        <w:rPr>
          <w:rFonts w:ascii="Arial" w:hAnsi="Arial" w:cs="Arial"/>
          <w:i/>
          <w:sz w:val="14"/>
          <w:szCs w:val="14"/>
          <w:lang w:val="en-US"/>
        </w:rPr>
        <w:t>accompanying the</w:t>
      </w:r>
      <w:r w:rsidRPr="008F2EB6">
        <w:rPr>
          <w:rFonts w:ascii="Arial" w:hAnsi="Arial" w:cs="Arial"/>
          <w:sz w:val="14"/>
          <w:szCs w:val="14"/>
          <w:lang w:val="en-US"/>
        </w:rPr>
        <w:t xml:space="preserve"> </w:t>
      </w:r>
      <w:r w:rsidRPr="008F2EB6">
        <w:rPr>
          <w:rFonts w:ascii="Arial" w:hAnsi="Arial" w:cs="Arial"/>
          <w:i/>
          <w:sz w:val="14"/>
          <w:szCs w:val="14"/>
          <w:lang w:val="en-US"/>
        </w:rPr>
        <w:t>Guidelines on market analysis and the assessment of significant market power under the EU regulatory framework for electronic communications networks and services</w:t>
      </w:r>
      <w:r w:rsidRPr="008F2EB6">
        <w:rPr>
          <w:rFonts w:ascii="Arial" w:hAnsi="Arial" w:cs="Arial"/>
          <w:sz w:val="14"/>
          <w:szCs w:val="14"/>
          <w:lang w:val="en-US"/>
        </w:rPr>
        <w:t xml:space="preserve">. pp. 12-13. </w:t>
      </w:r>
      <w:r w:rsidRPr="008F2EB6">
        <w:rPr>
          <w:rFonts w:ascii="Arial" w:hAnsi="Arial" w:cs="Arial"/>
          <w:sz w:val="14"/>
          <w:szCs w:val="14"/>
        </w:rPr>
        <w:t xml:space="preserve">Disponible en: </w:t>
      </w:r>
      <w:hyperlink r:id="rId103" w:history="1">
        <w:r w:rsidRPr="008F2EB6">
          <w:rPr>
            <w:rStyle w:val="Hipervnculo"/>
            <w:rFonts w:ascii="Arial" w:hAnsi="Arial" w:cs="Arial"/>
            <w:sz w:val="14"/>
            <w:szCs w:val="14"/>
          </w:rPr>
          <w:t>https://www.myecole.it/biblio/wp-content/uploads/2020/11/1_DB_13_MVC_2018-EU-Market-analysis.pdf</w:t>
        </w:r>
      </w:hyperlink>
      <w:r w:rsidRPr="008F2EB6">
        <w:rPr>
          <w:rFonts w:ascii="Arial" w:hAnsi="Arial" w:cs="Arial"/>
          <w:sz w:val="14"/>
          <w:szCs w:val="14"/>
        </w:rPr>
        <w:t xml:space="preserve"> </w:t>
      </w:r>
    </w:p>
    <w:p w14:paraId="1E5C2F32"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BEREC (2010). </w:t>
      </w:r>
      <w:r w:rsidRPr="008F2EB6">
        <w:rPr>
          <w:rFonts w:ascii="Arial" w:hAnsi="Arial" w:cs="Arial"/>
          <w:i/>
          <w:sz w:val="14"/>
          <w:szCs w:val="14"/>
          <w:lang w:val="en-US"/>
        </w:rPr>
        <w:t>BEREC report on impact of bundled offers in retail and wholesale market definition</w:t>
      </w:r>
      <w:r w:rsidRPr="008F2EB6">
        <w:rPr>
          <w:rFonts w:ascii="Arial" w:hAnsi="Arial" w:cs="Arial"/>
          <w:sz w:val="14"/>
          <w:szCs w:val="14"/>
          <w:lang w:val="en-US"/>
        </w:rPr>
        <w:t xml:space="preserve">. pp. 13-14 y 17. </w:t>
      </w:r>
    </w:p>
  </w:footnote>
  <w:footnote w:id="111">
    <w:p w14:paraId="518B4E88" w14:textId="77777777" w:rsidR="00A457CE" w:rsidRPr="008F2EB6" w:rsidRDefault="00A457CE" w:rsidP="008F2EB6">
      <w:pPr>
        <w:spacing w:after="0" w:line="240" w:lineRule="auto"/>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w:t>
      </w:r>
    </w:p>
    <w:p w14:paraId="6850882D" w14:textId="77777777" w:rsidR="00A457CE" w:rsidRPr="008F2EB6" w:rsidRDefault="00A457CE" w:rsidP="008F2EB6">
      <w:pPr>
        <w:pStyle w:val="Prrafodelista"/>
        <w:numPr>
          <w:ilvl w:val="0"/>
          <w:numId w:val="28"/>
        </w:numPr>
        <w:spacing w:after="0" w:line="240" w:lineRule="auto"/>
        <w:contextualSpacing w:val="0"/>
        <w:jc w:val="both"/>
        <w:rPr>
          <w:rFonts w:ascii="Arial" w:hAnsi="Arial" w:cs="Arial"/>
          <w:sz w:val="14"/>
          <w:szCs w:val="14"/>
        </w:rPr>
      </w:pPr>
      <w:r w:rsidRPr="008F2EB6">
        <w:rPr>
          <w:rFonts w:ascii="Arial" w:hAnsi="Arial" w:cs="Arial"/>
          <w:sz w:val="14"/>
          <w:szCs w:val="14"/>
        </w:rPr>
        <w:t xml:space="preserve">Autoridad de Competencia. </w:t>
      </w:r>
      <w:r w:rsidRPr="008F2EB6">
        <w:rPr>
          <w:rFonts w:ascii="Arial" w:hAnsi="Arial" w:cs="Arial"/>
          <w:i/>
          <w:sz w:val="14"/>
          <w:szCs w:val="14"/>
        </w:rPr>
        <w:t>Linhas de Orientação para a Análise Económica de Operações de Concentração Horizontais</w:t>
      </w:r>
      <w:r w:rsidRPr="008F2EB6">
        <w:rPr>
          <w:rFonts w:ascii="Arial" w:hAnsi="Arial" w:cs="Arial"/>
          <w:sz w:val="14"/>
          <w:szCs w:val="14"/>
        </w:rPr>
        <w:t xml:space="preserve">. pp. 36 y 37. Disponible en: </w:t>
      </w:r>
      <w:hyperlink r:id="rId104" w:history="1">
        <w:r w:rsidRPr="008F2EB6">
          <w:rPr>
            <w:rStyle w:val="Hipervnculo"/>
            <w:rFonts w:ascii="Arial" w:hAnsi="Arial" w:cs="Arial"/>
            <w:sz w:val="14"/>
            <w:szCs w:val="14"/>
          </w:rPr>
          <w:t>http://www.concorrencia.pt/vPT/Noticias_Eventos/ConsultasPublicas/Documents/Linhas%20de%20Orienta%C3%A7%C3%A3o%20para%20a%20An%C3%A1lise%20Econ%C3%B3mica%20de%20Opera%C3%A7%C3%B5es%20de%20Concentra%C3%A7%C3%A3o%20Horizontais.pdf</w:t>
        </w:r>
      </w:hyperlink>
      <w:r w:rsidRPr="008F2EB6">
        <w:rPr>
          <w:rFonts w:ascii="Arial" w:hAnsi="Arial" w:cs="Arial"/>
          <w:sz w:val="14"/>
          <w:szCs w:val="14"/>
        </w:rPr>
        <w:t xml:space="preserve"> </w:t>
      </w:r>
    </w:p>
    <w:p w14:paraId="74851F34" w14:textId="77777777" w:rsidR="00A457CE" w:rsidRPr="008F2EB6" w:rsidRDefault="00A457CE" w:rsidP="008F2EB6">
      <w:pPr>
        <w:pStyle w:val="Textonotapie"/>
        <w:numPr>
          <w:ilvl w:val="0"/>
          <w:numId w:val="28"/>
        </w:numPr>
        <w:jc w:val="both"/>
        <w:rPr>
          <w:rFonts w:ascii="Arial" w:hAnsi="Arial" w:cs="Arial"/>
          <w:sz w:val="14"/>
          <w:szCs w:val="14"/>
        </w:rPr>
      </w:pPr>
      <w:r w:rsidRPr="008F2EB6">
        <w:rPr>
          <w:rFonts w:ascii="Arial" w:hAnsi="Arial" w:cs="Arial"/>
          <w:sz w:val="14"/>
          <w:szCs w:val="14"/>
        </w:rPr>
        <w:t xml:space="preserve">Autoridad de Competencia (2013). </w:t>
      </w:r>
      <w:r w:rsidRPr="008F2EB6">
        <w:rPr>
          <w:rFonts w:ascii="Arial" w:hAnsi="Arial" w:cs="Arial"/>
          <w:i/>
          <w:sz w:val="14"/>
          <w:szCs w:val="14"/>
        </w:rPr>
        <w:t xml:space="preserve">Ccent. 5/2013 Kento*Unitel*Sonaecom/ZON*Optimus. </w:t>
      </w:r>
    </w:p>
  </w:footnote>
  <w:footnote w:id="112">
    <w:p w14:paraId="320B0D92"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CMA (2016). </w:t>
      </w:r>
      <w:r w:rsidRPr="008F2EB6">
        <w:rPr>
          <w:rFonts w:ascii="Arial" w:hAnsi="Arial" w:cs="Arial"/>
          <w:i/>
          <w:sz w:val="14"/>
          <w:szCs w:val="14"/>
          <w:lang w:val="en-US"/>
        </w:rPr>
        <w:t>A report on the anticipated acquisition by BT Grouo plc of EE Limited</w:t>
      </w:r>
      <w:r w:rsidRPr="008F2EB6">
        <w:rPr>
          <w:rFonts w:ascii="Arial" w:hAnsi="Arial" w:cs="Arial"/>
          <w:sz w:val="14"/>
          <w:szCs w:val="14"/>
          <w:lang w:val="en-US"/>
        </w:rPr>
        <w:t xml:space="preserve">. pp. 138-140. </w:t>
      </w:r>
      <w:r w:rsidRPr="008F2EB6">
        <w:rPr>
          <w:rFonts w:ascii="Arial" w:hAnsi="Arial" w:cs="Arial"/>
          <w:sz w:val="14"/>
          <w:szCs w:val="14"/>
        </w:rPr>
        <w:t xml:space="preserve">Disponible en: </w:t>
      </w:r>
      <w:hyperlink r:id="rId105" w:history="1">
        <w:r w:rsidRPr="008F2EB6">
          <w:rPr>
            <w:rStyle w:val="Hipervnculo"/>
            <w:rFonts w:ascii="Arial" w:hAnsi="Arial" w:cs="Arial"/>
            <w:sz w:val="14"/>
            <w:szCs w:val="14"/>
          </w:rPr>
          <w:t>https://assets.publishing.service.gov.uk/media/56992242ed915d4747000026/BT_EE_final_report.pdf</w:t>
        </w:r>
      </w:hyperlink>
    </w:p>
  </w:footnote>
  <w:footnote w:id="113">
    <w:p w14:paraId="6D14614B" w14:textId="77777777" w:rsidR="00A457CE" w:rsidRPr="008F2EB6" w:rsidRDefault="00A457CE" w:rsidP="008F2EB6">
      <w:pPr>
        <w:pStyle w:val="Textonotapie"/>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41E5707C"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OCDE (2015). </w:t>
      </w:r>
      <w:r w:rsidRPr="008F2EB6">
        <w:rPr>
          <w:rFonts w:ascii="Arial" w:hAnsi="Arial" w:cs="Arial"/>
          <w:i/>
          <w:sz w:val="14"/>
          <w:szCs w:val="14"/>
          <w:lang w:val="en-US"/>
        </w:rPr>
        <w:t>Triple and Quadruple Play Bundles of Communication Services</w:t>
      </w:r>
      <w:r w:rsidRPr="008F2EB6">
        <w:rPr>
          <w:rFonts w:ascii="Arial" w:hAnsi="Arial" w:cs="Arial"/>
          <w:sz w:val="14"/>
          <w:szCs w:val="14"/>
          <w:lang w:val="en-US"/>
        </w:rPr>
        <w:t xml:space="preserve">. pp. 5-13. </w:t>
      </w:r>
    </w:p>
    <w:p w14:paraId="1A1910CD" w14:textId="77777777" w:rsidR="00A457CE" w:rsidRPr="008F2EB6" w:rsidRDefault="00A457CE" w:rsidP="008F2EB6">
      <w:pPr>
        <w:pStyle w:val="Textonotapie"/>
        <w:numPr>
          <w:ilvl w:val="0"/>
          <w:numId w:val="28"/>
        </w:numPr>
        <w:jc w:val="both"/>
        <w:rPr>
          <w:rFonts w:ascii="Arial" w:hAnsi="Arial" w:cs="Arial"/>
          <w:sz w:val="14"/>
          <w:szCs w:val="14"/>
          <w:lang w:val="en-US"/>
        </w:rPr>
      </w:pPr>
      <w:r w:rsidRPr="008F2EB6">
        <w:rPr>
          <w:rFonts w:ascii="Arial" w:hAnsi="Arial" w:cs="Arial"/>
          <w:sz w:val="14"/>
          <w:szCs w:val="14"/>
          <w:lang w:val="en-US"/>
        </w:rPr>
        <w:t xml:space="preserve">OCDE (2014). </w:t>
      </w:r>
      <w:r w:rsidRPr="008F2EB6">
        <w:rPr>
          <w:rFonts w:ascii="Arial" w:hAnsi="Arial" w:cs="Arial"/>
          <w:i/>
          <w:sz w:val="14"/>
          <w:szCs w:val="14"/>
          <w:lang w:val="en-US"/>
        </w:rPr>
        <w:t>Defining the Relevant Market in Telecommunications</w:t>
      </w:r>
      <w:r w:rsidRPr="008F2EB6">
        <w:rPr>
          <w:rFonts w:ascii="Arial" w:hAnsi="Arial" w:cs="Arial"/>
          <w:sz w:val="14"/>
          <w:szCs w:val="14"/>
          <w:lang w:val="en-US"/>
        </w:rPr>
        <w:t>.</w:t>
      </w:r>
    </w:p>
  </w:footnote>
  <w:footnote w:id="114">
    <w:p w14:paraId="4EA65473"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Las externalidades indirectas de red suceden cuando el valor de la plataforma y la demanda de los usuarios de un lado del mercado depende del número de usuarios (o al uso que hacen) en otro de los lados de la plataforma. Para mayor referencia, ver:</w:t>
      </w:r>
    </w:p>
    <w:p w14:paraId="5E02A0A8" w14:textId="77777777" w:rsidR="00A457CE" w:rsidRPr="008F2EB6" w:rsidRDefault="00A457CE" w:rsidP="000D5517">
      <w:pPr>
        <w:pStyle w:val="Textonotapie"/>
        <w:numPr>
          <w:ilvl w:val="0"/>
          <w:numId w:val="38"/>
        </w:numPr>
        <w:jc w:val="both"/>
        <w:rPr>
          <w:rFonts w:ascii="Arial" w:hAnsi="Arial" w:cs="Arial"/>
          <w:sz w:val="14"/>
          <w:szCs w:val="14"/>
        </w:rPr>
      </w:pPr>
      <w:r w:rsidRPr="008F2EB6">
        <w:rPr>
          <w:rFonts w:ascii="Arial" w:hAnsi="Arial" w:cs="Arial"/>
          <w:sz w:val="14"/>
          <w:szCs w:val="14"/>
          <w:lang w:val="en-US"/>
        </w:rPr>
        <w:t xml:space="preserve">Evans, D. (2003). </w:t>
      </w:r>
      <w:r w:rsidRPr="008F2EB6">
        <w:rPr>
          <w:rFonts w:ascii="Arial" w:hAnsi="Arial" w:cs="Arial"/>
          <w:i/>
          <w:iCs/>
          <w:sz w:val="14"/>
          <w:szCs w:val="14"/>
          <w:lang w:val="en-US"/>
        </w:rPr>
        <w:t>The Antitrust Economics of Multi-Sided Platform Markets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06" w:history="1">
        <w:r w:rsidRPr="008F2EB6">
          <w:rPr>
            <w:rStyle w:val="Hipervnculo"/>
            <w:rFonts w:ascii="Arial" w:hAnsi="Arial" w:cs="Arial"/>
            <w:sz w:val="14"/>
            <w:szCs w:val="14"/>
          </w:rPr>
          <w:t>https://digitalcommons.law.yale.edu/cgi/viewcontent.cgi?article=1144&amp;context=yjreg</w:t>
        </w:r>
      </w:hyperlink>
      <w:r w:rsidRPr="008F2EB6">
        <w:rPr>
          <w:rFonts w:ascii="Arial" w:hAnsi="Arial" w:cs="Arial"/>
          <w:sz w:val="14"/>
          <w:szCs w:val="14"/>
        </w:rPr>
        <w:t xml:space="preserve">  </w:t>
      </w:r>
    </w:p>
    <w:p w14:paraId="25DA47EA" w14:textId="77777777" w:rsidR="00A457CE" w:rsidRPr="008F2EB6" w:rsidRDefault="00A457CE" w:rsidP="000D5517">
      <w:pPr>
        <w:pStyle w:val="Textonotapie"/>
        <w:numPr>
          <w:ilvl w:val="0"/>
          <w:numId w:val="38"/>
        </w:numPr>
        <w:jc w:val="both"/>
        <w:rPr>
          <w:rFonts w:ascii="Arial" w:hAnsi="Arial" w:cs="Arial"/>
          <w:sz w:val="14"/>
          <w:szCs w:val="14"/>
        </w:rPr>
      </w:pPr>
      <w:r w:rsidRPr="008F2EB6">
        <w:rPr>
          <w:rFonts w:ascii="Arial" w:hAnsi="Arial" w:cs="Arial"/>
          <w:sz w:val="14"/>
          <w:szCs w:val="14"/>
        </w:rPr>
        <w:t xml:space="preserve">Rochet, J-C y Tirole, J., (2006). </w:t>
      </w:r>
      <w:r w:rsidRPr="008F2EB6">
        <w:rPr>
          <w:rFonts w:ascii="Arial" w:hAnsi="Arial" w:cs="Arial"/>
          <w:i/>
          <w:iCs/>
          <w:sz w:val="14"/>
          <w:szCs w:val="14"/>
          <w:lang w:val="en-US"/>
        </w:rPr>
        <w:t>Two-sided markets: a progress report.</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07" w:history="1">
        <w:r w:rsidRPr="008F2EB6">
          <w:rPr>
            <w:rStyle w:val="Hipervnculo"/>
            <w:rFonts w:ascii="Arial" w:hAnsi="Arial" w:cs="Arial"/>
            <w:sz w:val="14"/>
            <w:szCs w:val="14"/>
          </w:rPr>
          <w:t>https://www.researchgate.net/publication/227651905_Two-sided_Markets_A_Progress_Report</w:t>
        </w:r>
      </w:hyperlink>
      <w:r w:rsidRPr="008F2EB6">
        <w:rPr>
          <w:rFonts w:ascii="Arial" w:hAnsi="Arial" w:cs="Arial"/>
          <w:sz w:val="14"/>
          <w:szCs w:val="14"/>
        </w:rPr>
        <w:t xml:space="preserve"> </w:t>
      </w:r>
    </w:p>
  </w:footnote>
  <w:footnote w:id="115">
    <w:p w14:paraId="4205B1A7"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(2018). </w:t>
      </w:r>
      <w:r w:rsidRPr="008F2EB6">
        <w:rPr>
          <w:rFonts w:ascii="Arial" w:hAnsi="Arial" w:cs="Arial"/>
          <w:i/>
          <w:iCs/>
          <w:sz w:val="14"/>
          <w:szCs w:val="14"/>
          <w:lang w:val="en-US"/>
        </w:rPr>
        <w:t>Rethinking antitrust tools for multi-sided platforms</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08" w:history="1">
        <w:r w:rsidRPr="008F2EB6">
          <w:rPr>
            <w:rStyle w:val="Hipervnculo"/>
            <w:rFonts w:ascii="Arial" w:hAnsi="Arial" w:cs="Arial"/>
            <w:sz w:val="14"/>
            <w:szCs w:val="14"/>
          </w:rPr>
          <w:t>http://www.oecd.org/daf/competition/Rethinking-antitrust-tools-for-multi-sided-platforms-2018.pdf</w:t>
        </w:r>
      </w:hyperlink>
      <w:r w:rsidRPr="008F2EB6">
        <w:rPr>
          <w:rFonts w:ascii="Arial" w:hAnsi="Arial" w:cs="Arial"/>
          <w:sz w:val="14"/>
          <w:szCs w:val="14"/>
        </w:rPr>
        <w:t xml:space="preserve">   </w:t>
      </w:r>
    </w:p>
  </w:footnote>
  <w:footnote w:id="116">
    <w:p w14:paraId="6F7D1EBE"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Ver resoluciones del Instituto correspondientes a los expedientes: E-IFT/UC/OCC/0001/2013, E-IFT/UC/OCC/0007/2013, E-IFT/UC/ONP/0012/2013, E-IFT/UC/ONP/0028/2013, Acuerdo P/IFT/EXT/190216/7 y el Dictamen Preliminar de Cierre del Expediente AI/DC-004-2018. Disponibles en:</w:t>
      </w:r>
    </w:p>
    <w:p w14:paraId="2E115F61" w14:textId="77777777" w:rsidR="00A457CE" w:rsidRPr="008F2EB6" w:rsidRDefault="00E92449" w:rsidP="008F2EB6">
      <w:pPr>
        <w:pStyle w:val="Textonotapie"/>
        <w:jc w:val="both"/>
        <w:rPr>
          <w:rFonts w:ascii="Arial" w:hAnsi="Arial" w:cs="Arial"/>
          <w:sz w:val="14"/>
          <w:szCs w:val="14"/>
        </w:rPr>
      </w:pPr>
      <w:hyperlink r:id="rId109" w:history="1">
        <w:r w:rsidR="00A457CE" w:rsidRPr="008F2EB6">
          <w:rPr>
            <w:rStyle w:val="Hipervnculo"/>
            <w:rFonts w:ascii="Arial" w:hAnsi="Arial" w:cs="Arial"/>
            <w:sz w:val="14"/>
            <w:szCs w:val="14"/>
          </w:rPr>
          <w:t>http://apps.ift.org.mx/publicdata/versionpublicapift18031590_1.pdf</w:t>
        </w:r>
      </w:hyperlink>
      <w:r w:rsidR="00A457CE" w:rsidRPr="008F2EB6">
        <w:rPr>
          <w:rFonts w:ascii="Arial" w:hAnsi="Arial" w:cs="Arial"/>
          <w:sz w:val="14"/>
          <w:szCs w:val="14"/>
        </w:rPr>
        <w:t xml:space="preserve">   </w:t>
      </w:r>
    </w:p>
    <w:p w14:paraId="6B84C58E" w14:textId="77777777" w:rsidR="00A457CE" w:rsidRPr="008F2EB6" w:rsidRDefault="00E92449" w:rsidP="008F2EB6">
      <w:pPr>
        <w:pStyle w:val="Textonotapie"/>
        <w:jc w:val="both"/>
        <w:rPr>
          <w:rFonts w:ascii="Arial" w:hAnsi="Arial" w:cs="Arial"/>
          <w:sz w:val="14"/>
          <w:szCs w:val="14"/>
        </w:rPr>
      </w:pPr>
      <w:hyperlink r:id="rId110" w:history="1">
        <w:r w:rsidR="00A457CE" w:rsidRPr="008F2EB6">
          <w:rPr>
            <w:rStyle w:val="Hipervnculo"/>
            <w:rFonts w:ascii="Arial" w:hAnsi="Arial" w:cs="Arial"/>
            <w:sz w:val="14"/>
            <w:szCs w:val="14"/>
          </w:rPr>
          <w:t>http://apps.ift.org.mx/publicdata/versionpublicapift18031591_2.pdf</w:t>
        </w:r>
      </w:hyperlink>
      <w:r w:rsidR="00A457CE" w:rsidRPr="008F2EB6">
        <w:rPr>
          <w:rFonts w:ascii="Arial" w:hAnsi="Arial" w:cs="Arial"/>
          <w:sz w:val="14"/>
          <w:szCs w:val="14"/>
        </w:rPr>
        <w:t xml:space="preserve">   </w:t>
      </w:r>
    </w:p>
    <w:p w14:paraId="5F9BD710" w14:textId="77777777" w:rsidR="00A457CE" w:rsidRPr="008F2EB6" w:rsidRDefault="00E92449" w:rsidP="008F2EB6">
      <w:pPr>
        <w:pStyle w:val="Textonotapie"/>
        <w:jc w:val="both"/>
        <w:rPr>
          <w:rFonts w:ascii="Arial" w:hAnsi="Arial" w:cs="Arial"/>
          <w:sz w:val="14"/>
          <w:szCs w:val="14"/>
        </w:rPr>
      </w:pPr>
      <w:hyperlink r:id="rId111" w:history="1">
        <w:r w:rsidR="00A457CE" w:rsidRPr="008F2EB6">
          <w:rPr>
            <w:rStyle w:val="Hipervnculo"/>
            <w:rFonts w:ascii="Arial" w:hAnsi="Arial" w:cs="Arial"/>
            <w:sz w:val="14"/>
            <w:szCs w:val="14"/>
          </w:rPr>
          <w:t>http://apps.ift.org.mx/publicdata/versionpublicapift18031592.pdf</w:t>
        </w:r>
      </w:hyperlink>
      <w:r w:rsidR="00A457CE" w:rsidRPr="008F2EB6">
        <w:rPr>
          <w:rFonts w:ascii="Arial" w:hAnsi="Arial" w:cs="Arial"/>
          <w:sz w:val="14"/>
          <w:szCs w:val="14"/>
        </w:rPr>
        <w:t xml:space="preserve">  </w:t>
      </w:r>
    </w:p>
    <w:p w14:paraId="78967207" w14:textId="77777777" w:rsidR="00A457CE" w:rsidRPr="008F2EB6" w:rsidRDefault="00E92449" w:rsidP="008F2EB6">
      <w:pPr>
        <w:pStyle w:val="Textonotapie"/>
        <w:jc w:val="both"/>
        <w:rPr>
          <w:rFonts w:ascii="Arial" w:hAnsi="Arial" w:cs="Arial"/>
          <w:sz w:val="14"/>
          <w:szCs w:val="14"/>
        </w:rPr>
      </w:pPr>
      <w:hyperlink r:id="rId112" w:history="1">
        <w:r w:rsidR="00A457CE" w:rsidRPr="008F2EB6">
          <w:rPr>
            <w:rStyle w:val="Hipervnculo"/>
            <w:rFonts w:ascii="Arial" w:hAnsi="Arial" w:cs="Arial"/>
            <w:sz w:val="14"/>
            <w:szCs w:val="14"/>
          </w:rPr>
          <w:t>http://apps.ift.org.mx/publicdata/P_IFT_011014_352_Version_Publica.pdf</w:t>
        </w:r>
      </w:hyperlink>
      <w:r w:rsidR="00A457CE" w:rsidRPr="008F2EB6">
        <w:rPr>
          <w:rFonts w:ascii="Arial" w:hAnsi="Arial" w:cs="Arial"/>
          <w:sz w:val="14"/>
          <w:szCs w:val="14"/>
        </w:rPr>
        <w:t xml:space="preserve">  </w:t>
      </w:r>
    </w:p>
    <w:p w14:paraId="3EA161FE" w14:textId="77777777" w:rsidR="00A457CE" w:rsidRPr="008F2EB6" w:rsidRDefault="00E92449" w:rsidP="008F2EB6">
      <w:pPr>
        <w:pStyle w:val="Textonotapie"/>
        <w:jc w:val="both"/>
        <w:rPr>
          <w:rFonts w:ascii="Arial" w:hAnsi="Arial" w:cs="Arial"/>
          <w:sz w:val="14"/>
          <w:szCs w:val="14"/>
        </w:rPr>
      </w:pPr>
      <w:hyperlink r:id="rId113" w:history="1">
        <w:r w:rsidR="00A457CE" w:rsidRPr="008F2EB6">
          <w:rPr>
            <w:rStyle w:val="Hipervnculo"/>
            <w:rFonts w:ascii="Arial" w:hAnsi="Arial" w:cs="Arial"/>
            <w:sz w:val="14"/>
            <w:szCs w:val="14"/>
          </w:rPr>
          <w:t>http://apps.ift.org.mx/publicdata/Version_Publica_P_IFT_EXT_190216_7.pdf</w:t>
        </w:r>
      </w:hyperlink>
      <w:r w:rsidR="00A457CE" w:rsidRPr="008F2EB6">
        <w:rPr>
          <w:rFonts w:ascii="Arial" w:hAnsi="Arial" w:cs="Arial"/>
          <w:sz w:val="14"/>
          <w:szCs w:val="14"/>
        </w:rPr>
        <w:t xml:space="preserve"> y</w:t>
      </w:r>
    </w:p>
    <w:p w14:paraId="50391308" w14:textId="77777777" w:rsidR="00A457CE" w:rsidRPr="008F2EB6" w:rsidRDefault="00E92449" w:rsidP="008F2EB6">
      <w:pPr>
        <w:pStyle w:val="Textonotapie"/>
        <w:jc w:val="both"/>
        <w:rPr>
          <w:rFonts w:ascii="Arial" w:hAnsi="Arial" w:cs="Arial"/>
          <w:sz w:val="14"/>
          <w:szCs w:val="14"/>
        </w:rPr>
      </w:pPr>
      <w:hyperlink r:id="rId114" w:history="1">
        <w:r w:rsidR="00A457CE" w:rsidRPr="008F2EB6">
          <w:rPr>
            <w:rStyle w:val="Hipervnculo"/>
            <w:rFonts w:ascii="Arial" w:hAnsi="Arial" w:cs="Arial"/>
            <w:sz w:val="14"/>
            <w:szCs w:val="14"/>
          </w:rPr>
          <w:t>http://www.ift.org.mx/sites/default/files/contenidogeneral/industria/dpdc-004-2018vpaccesiblefinal.pdf</w:t>
        </w:r>
      </w:hyperlink>
      <w:r w:rsidR="00A457CE" w:rsidRPr="008F2EB6">
        <w:rPr>
          <w:rFonts w:ascii="Arial" w:hAnsi="Arial" w:cs="Arial"/>
          <w:sz w:val="14"/>
          <w:szCs w:val="14"/>
        </w:rPr>
        <w:t xml:space="preserve"> </w:t>
      </w:r>
    </w:p>
  </w:footnote>
  <w:footnote w:id="117">
    <w:p w14:paraId="389BF7DE"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Para mayor referencia, ver resoluciones del Instituto correspondientes a los expedientes: UCE/OLC-002-2014 a UCE/OLC-009-2014 y Resolución P/IFT/EXT/190216/7. Disponibles en:</w:t>
      </w:r>
    </w:p>
    <w:p w14:paraId="5280D0F2" w14:textId="77777777" w:rsidR="00A457CE" w:rsidRPr="008F2EB6" w:rsidRDefault="00E92449" w:rsidP="008F2EB6">
      <w:pPr>
        <w:pStyle w:val="Textonotapie"/>
        <w:jc w:val="both"/>
        <w:rPr>
          <w:rFonts w:ascii="Arial" w:hAnsi="Arial" w:cs="Arial"/>
          <w:sz w:val="14"/>
          <w:szCs w:val="14"/>
        </w:rPr>
      </w:pPr>
      <w:hyperlink r:id="rId115" w:history="1">
        <w:r w:rsidR="00A457CE" w:rsidRPr="008F2EB6">
          <w:rPr>
            <w:rStyle w:val="Hipervnculo"/>
            <w:rFonts w:ascii="Arial" w:hAnsi="Arial" w:cs="Arial"/>
            <w:sz w:val="14"/>
            <w:szCs w:val="14"/>
          </w:rPr>
          <w:t>http://apps.ift.org.mx/publicdata/P_IFT_EXT_131114_217_Version_Publica.pdf</w:t>
        </w:r>
      </w:hyperlink>
      <w:r w:rsidR="00A457CE" w:rsidRPr="008F2EB6">
        <w:rPr>
          <w:rFonts w:ascii="Arial" w:hAnsi="Arial" w:cs="Arial"/>
          <w:sz w:val="14"/>
          <w:szCs w:val="14"/>
        </w:rPr>
        <w:t xml:space="preserve">  </w:t>
      </w:r>
    </w:p>
    <w:p w14:paraId="32DCB0D4" w14:textId="77777777" w:rsidR="00A457CE" w:rsidRPr="008F2EB6" w:rsidRDefault="00E92449" w:rsidP="008F2EB6">
      <w:pPr>
        <w:pStyle w:val="Textonotapie"/>
        <w:jc w:val="both"/>
        <w:rPr>
          <w:rFonts w:ascii="Arial" w:hAnsi="Arial" w:cs="Arial"/>
          <w:sz w:val="14"/>
          <w:szCs w:val="14"/>
        </w:rPr>
      </w:pPr>
      <w:hyperlink r:id="rId116" w:history="1">
        <w:r w:rsidR="00A457CE" w:rsidRPr="008F2EB6">
          <w:rPr>
            <w:rStyle w:val="Hipervnculo"/>
            <w:rFonts w:ascii="Arial" w:hAnsi="Arial" w:cs="Arial"/>
            <w:sz w:val="14"/>
            <w:szCs w:val="14"/>
          </w:rPr>
          <w:t>http://apps.ift.org.mx/publicdata/P_IFT_EXT_131114_218_Version_Publica.pdf</w:t>
        </w:r>
      </w:hyperlink>
      <w:r w:rsidR="00A457CE" w:rsidRPr="008F2EB6">
        <w:rPr>
          <w:rFonts w:ascii="Arial" w:hAnsi="Arial" w:cs="Arial"/>
          <w:sz w:val="14"/>
          <w:szCs w:val="14"/>
        </w:rPr>
        <w:t xml:space="preserve">  </w:t>
      </w:r>
    </w:p>
    <w:p w14:paraId="5778717B" w14:textId="77777777" w:rsidR="00A457CE" w:rsidRPr="008F2EB6" w:rsidRDefault="00E92449" w:rsidP="008F2EB6">
      <w:pPr>
        <w:pStyle w:val="Textonotapie"/>
        <w:jc w:val="both"/>
        <w:rPr>
          <w:rFonts w:ascii="Arial" w:hAnsi="Arial" w:cs="Arial"/>
          <w:sz w:val="14"/>
          <w:szCs w:val="14"/>
        </w:rPr>
      </w:pPr>
      <w:hyperlink r:id="rId117" w:history="1">
        <w:r w:rsidR="00A457CE" w:rsidRPr="008F2EB6">
          <w:rPr>
            <w:rStyle w:val="Hipervnculo"/>
            <w:rFonts w:ascii="Arial" w:hAnsi="Arial" w:cs="Arial"/>
            <w:sz w:val="14"/>
            <w:szCs w:val="14"/>
          </w:rPr>
          <w:t>http://apps.ift.org.mx/publicdata/P_IFT_EXT_131114_219_Version_Publica.pdf</w:t>
        </w:r>
      </w:hyperlink>
      <w:r w:rsidR="00A457CE" w:rsidRPr="008F2EB6">
        <w:rPr>
          <w:rFonts w:ascii="Arial" w:hAnsi="Arial" w:cs="Arial"/>
          <w:sz w:val="14"/>
          <w:szCs w:val="14"/>
        </w:rPr>
        <w:t xml:space="preserve">  </w:t>
      </w:r>
    </w:p>
    <w:p w14:paraId="42A66BED" w14:textId="77777777" w:rsidR="00A457CE" w:rsidRPr="008F2EB6" w:rsidRDefault="00E92449" w:rsidP="008F2EB6">
      <w:pPr>
        <w:pStyle w:val="Textonotapie"/>
        <w:jc w:val="both"/>
        <w:rPr>
          <w:rFonts w:ascii="Arial" w:hAnsi="Arial" w:cs="Arial"/>
          <w:sz w:val="14"/>
          <w:szCs w:val="14"/>
        </w:rPr>
      </w:pPr>
      <w:hyperlink r:id="rId118" w:history="1">
        <w:r w:rsidR="00A457CE" w:rsidRPr="008F2EB6">
          <w:rPr>
            <w:rStyle w:val="Hipervnculo"/>
            <w:rFonts w:ascii="Arial" w:hAnsi="Arial" w:cs="Arial"/>
            <w:sz w:val="14"/>
            <w:szCs w:val="14"/>
          </w:rPr>
          <w:t>http://apps.ift.org.mx/publicdata/P_IFT_EXT_131114_220_Version_Publica.pdf</w:t>
        </w:r>
      </w:hyperlink>
      <w:r w:rsidR="00A457CE" w:rsidRPr="008F2EB6">
        <w:rPr>
          <w:rFonts w:ascii="Arial" w:hAnsi="Arial" w:cs="Arial"/>
          <w:sz w:val="14"/>
          <w:szCs w:val="14"/>
        </w:rPr>
        <w:t xml:space="preserve">  </w:t>
      </w:r>
    </w:p>
    <w:p w14:paraId="058740B0" w14:textId="77777777" w:rsidR="00A457CE" w:rsidRPr="008F2EB6" w:rsidRDefault="00E92449" w:rsidP="008F2EB6">
      <w:pPr>
        <w:pStyle w:val="Textonotapie"/>
        <w:jc w:val="both"/>
        <w:rPr>
          <w:rFonts w:ascii="Arial" w:hAnsi="Arial" w:cs="Arial"/>
          <w:sz w:val="14"/>
          <w:szCs w:val="14"/>
        </w:rPr>
      </w:pPr>
      <w:hyperlink r:id="rId119" w:history="1">
        <w:r w:rsidR="00A457CE" w:rsidRPr="008F2EB6">
          <w:rPr>
            <w:rStyle w:val="Hipervnculo"/>
            <w:rFonts w:ascii="Arial" w:hAnsi="Arial" w:cs="Arial"/>
            <w:sz w:val="14"/>
            <w:szCs w:val="14"/>
          </w:rPr>
          <w:t>http://apps.ift.org.mx/publicdata/P_IFT_EXT_131114_221_Version_Publica.pdf</w:t>
        </w:r>
      </w:hyperlink>
      <w:r w:rsidR="00A457CE" w:rsidRPr="008F2EB6">
        <w:rPr>
          <w:rFonts w:ascii="Arial" w:hAnsi="Arial" w:cs="Arial"/>
          <w:sz w:val="14"/>
          <w:szCs w:val="14"/>
        </w:rPr>
        <w:t xml:space="preserve">  </w:t>
      </w:r>
    </w:p>
    <w:p w14:paraId="30C94E65" w14:textId="77777777" w:rsidR="00A457CE" w:rsidRPr="008F2EB6" w:rsidRDefault="00E92449" w:rsidP="008F2EB6">
      <w:pPr>
        <w:pStyle w:val="Textonotapie"/>
        <w:jc w:val="both"/>
        <w:rPr>
          <w:rFonts w:ascii="Arial" w:hAnsi="Arial" w:cs="Arial"/>
          <w:sz w:val="14"/>
          <w:szCs w:val="14"/>
        </w:rPr>
      </w:pPr>
      <w:hyperlink r:id="rId120" w:history="1">
        <w:r w:rsidR="00A457CE" w:rsidRPr="008F2EB6">
          <w:rPr>
            <w:rStyle w:val="Hipervnculo"/>
            <w:rFonts w:ascii="Arial" w:hAnsi="Arial" w:cs="Arial"/>
            <w:sz w:val="14"/>
            <w:szCs w:val="14"/>
          </w:rPr>
          <w:t>http://apps.ift.org.mx/publicdata/P_IFT_EXT_131114_222_Version_Publica.pdf</w:t>
        </w:r>
      </w:hyperlink>
      <w:r w:rsidR="00A457CE" w:rsidRPr="008F2EB6">
        <w:rPr>
          <w:rFonts w:ascii="Arial" w:hAnsi="Arial" w:cs="Arial"/>
          <w:sz w:val="14"/>
          <w:szCs w:val="14"/>
        </w:rPr>
        <w:t xml:space="preserve">  </w:t>
      </w:r>
    </w:p>
    <w:p w14:paraId="35D143D8" w14:textId="77777777" w:rsidR="00A457CE" w:rsidRPr="008F2EB6" w:rsidRDefault="00E92449" w:rsidP="008F2EB6">
      <w:pPr>
        <w:pStyle w:val="Textonotapie"/>
        <w:jc w:val="both"/>
        <w:rPr>
          <w:rFonts w:ascii="Arial" w:hAnsi="Arial" w:cs="Arial"/>
          <w:sz w:val="14"/>
          <w:szCs w:val="14"/>
        </w:rPr>
      </w:pPr>
      <w:hyperlink r:id="rId121" w:history="1">
        <w:r w:rsidR="00A457CE" w:rsidRPr="008F2EB6">
          <w:rPr>
            <w:rStyle w:val="Hipervnculo"/>
            <w:rFonts w:ascii="Arial" w:hAnsi="Arial" w:cs="Arial"/>
            <w:sz w:val="14"/>
            <w:szCs w:val="14"/>
          </w:rPr>
          <w:t>http://apps.ift.org.mx/publicdata/P_IFT_EXT_131114_223_Version_Publica.pdf</w:t>
        </w:r>
      </w:hyperlink>
      <w:r w:rsidR="00A457CE" w:rsidRPr="008F2EB6">
        <w:rPr>
          <w:rFonts w:ascii="Arial" w:hAnsi="Arial" w:cs="Arial"/>
          <w:sz w:val="14"/>
          <w:szCs w:val="14"/>
        </w:rPr>
        <w:t xml:space="preserve">  </w:t>
      </w:r>
    </w:p>
    <w:p w14:paraId="3824966D" w14:textId="77777777" w:rsidR="00A457CE" w:rsidRPr="008F2EB6" w:rsidRDefault="00E92449" w:rsidP="008F2EB6">
      <w:pPr>
        <w:pStyle w:val="Textonotapie"/>
        <w:jc w:val="both"/>
        <w:rPr>
          <w:rFonts w:ascii="Arial" w:hAnsi="Arial" w:cs="Arial"/>
          <w:sz w:val="14"/>
          <w:szCs w:val="14"/>
        </w:rPr>
      </w:pPr>
      <w:hyperlink r:id="rId122" w:history="1">
        <w:r w:rsidR="00A457CE" w:rsidRPr="008F2EB6">
          <w:rPr>
            <w:rStyle w:val="Hipervnculo"/>
            <w:rFonts w:ascii="Arial" w:hAnsi="Arial" w:cs="Arial"/>
            <w:sz w:val="14"/>
            <w:szCs w:val="14"/>
          </w:rPr>
          <w:t>http://apps.ift.org.mx/publicdata/P_IFT_EXT_131114_224_Version_Publica.pdf</w:t>
        </w:r>
      </w:hyperlink>
      <w:r w:rsidR="00A457CE" w:rsidRPr="008F2EB6">
        <w:rPr>
          <w:rFonts w:ascii="Arial" w:hAnsi="Arial" w:cs="Arial"/>
          <w:sz w:val="14"/>
          <w:szCs w:val="14"/>
        </w:rPr>
        <w:t xml:space="preserve">  y</w:t>
      </w:r>
    </w:p>
    <w:p w14:paraId="6EABAF15" w14:textId="77777777" w:rsidR="00A457CE" w:rsidRPr="008F2EB6" w:rsidRDefault="00E92449" w:rsidP="008F2EB6">
      <w:pPr>
        <w:pStyle w:val="Textonotapie"/>
        <w:jc w:val="both"/>
        <w:rPr>
          <w:rFonts w:ascii="Arial" w:hAnsi="Arial" w:cs="Arial"/>
          <w:sz w:val="14"/>
          <w:szCs w:val="14"/>
        </w:rPr>
      </w:pPr>
      <w:hyperlink r:id="rId123" w:history="1">
        <w:r w:rsidR="00A457CE" w:rsidRPr="008F2EB6">
          <w:rPr>
            <w:rStyle w:val="Hipervnculo"/>
            <w:rFonts w:ascii="Arial" w:hAnsi="Arial" w:cs="Arial"/>
            <w:sz w:val="14"/>
            <w:szCs w:val="14"/>
          </w:rPr>
          <w:t>http://apps.ift.org.mx/publicdata/Version_Publica_P_IFT_EXT_190216_7.pdf</w:t>
        </w:r>
      </w:hyperlink>
      <w:r w:rsidR="00A457CE" w:rsidRPr="008F2EB6">
        <w:rPr>
          <w:rFonts w:ascii="Arial" w:hAnsi="Arial" w:cs="Arial"/>
          <w:sz w:val="14"/>
          <w:szCs w:val="14"/>
        </w:rPr>
        <w:t xml:space="preserve"> </w:t>
      </w:r>
    </w:p>
  </w:footnote>
  <w:footnote w:id="118">
    <w:p w14:paraId="4B68B084"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Para mayor referencia, ver las siguientes resoluciones del Instituto: P/IFT/EXT/181214/282, P/IFT/150817/487, P/IFT/110319/122, P/1FT/EXT/300915/114 y P/IFT/181120/436. Disponibles en: </w:t>
      </w:r>
      <w:hyperlink r:id="rId124" w:history="1">
        <w:r w:rsidRPr="008F2EB6">
          <w:rPr>
            <w:rStyle w:val="Hipervnculo"/>
            <w:rFonts w:ascii="Arial" w:hAnsi="Arial" w:cs="Arial"/>
            <w:sz w:val="14"/>
            <w:szCs w:val="14"/>
          </w:rPr>
          <w:t>http://apps.ift.org.mx/publicdata/VP2_P_IFT_EXT_181214_282.pdf</w:t>
        </w:r>
      </w:hyperlink>
      <w:r w:rsidRPr="008F2EB6">
        <w:rPr>
          <w:rFonts w:ascii="Arial" w:hAnsi="Arial" w:cs="Arial"/>
          <w:sz w:val="14"/>
          <w:szCs w:val="14"/>
        </w:rPr>
        <w:t xml:space="preserve">  </w:t>
      </w:r>
    </w:p>
    <w:p w14:paraId="0A488369" w14:textId="77777777" w:rsidR="00A457CE" w:rsidRPr="008F2EB6" w:rsidRDefault="00E92449" w:rsidP="008F2EB6">
      <w:pPr>
        <w:pStyle w:val="Textonotapie"/>
        <w:jc w:val="both"/>
        <w:rPr>
          <w:rFonts w:ascii="Arial" w:hAnsi="Arial" w:cs="Arial"/>
          <w:sz w:val="14"/>
          <w:szCs w:val="14"/>
        </w:rPr>
      </w:pPr>
      <w:hyperlink r:id="rId125" w:history="1">
        <w:r w:rsidR="00A457CE" w:rsidRPr="008F2EB6">
          <w:rPr>
            <w:rStyle w:val="Hipervnculo"/>
            <w:rFonts w:ascii="Arial" w:hAnsi="Arial" w:cs="Arial"/>
            <w:sz w:val="14"/>
            <w:szCs w:val="14"/>
          </w:rPr>
          <w:t>http://apps.ift.org.mx/publicdata/VP_P_IFT_150817_487.pdf</w:t>
        </w:r>
      </w:hyperlink>
      <w:r w:rsidR="00A457CE" w:rsidRPr="008F2EB6">
        <w:rPr>
          <w:rFonts w:ascii="Arial" w:hAnsi="Arial" w:cs="Arial"/>
          <w:sz w:val="14"/>
          <w:szCs w:val="14"/>
        </w:rPr>
        <w:t xml:space="preserve">  </w:t>
      </w:r>
    </w:p>
    <w:p w14:paraId="1AE60340" w14:textId="77777777" w:rsidR="00A457CE" w:rsidRPr="008F2EB6" w:rsidRDefault="00E92449" w:rsidP="008F2EB6">
      <w:pPr>
        <w:pStyle w:val="Textonotapie"/>
        <w:jc w:val="both"/>
        <w:rPr>
          <w:rFonts w:ascii="Arial" w:hAnsi="Arial" w:cs="Arial"/>
          <w:sz w:val="14"/>
          <w:szCs w:val="14"/>
        </w:rPr>
      </w:pPr>
      <w:hyperlink r:id="rId126" w:history="1">
        <w:r w:rsidR="00A457CE" w:rsidRPr="008F2EB6">
          <w:rPr>
            <w:rStyle w:val="Hipervnculo"/>
            <w:rFonts w:ascii="Arial" w:hAnsi="Arial" w:cs="Arial"/>
            <w:sz w:val="14"/>
            <w:szCs w:val="14"/>
          </w:rPr>
          <w:t>http://www.ift.org.mx/sites/default/files/conocenos/pleno/sesiones/acuerdoliga/verpubpift110319122canxuce.pdf</w:t>
        </w:r>
      </w:hyperlink>
      <w:r w:rsidR="00A457CE" w:rsidRPr="008F2EB6">
        <w:rPr>
          <w:rFonts w:ascii="Arial" w:hAnsi="Arial" w:cs="Arial"/>
          <w:sz w:val="14"/>
          <w:szCs w:val="14"/>
        </w:rPr>
        <w:t xml:space="preserve">  </w:t>
      </w:r>
    </w:p>
    <w:p w14:paraId="05177942" w14:textId="77777777" w:rsidR="00A457CE" w:rsidRPr="008F2EB6" w:rsidRDefault="00E92449" w:rsidP="008F2EB6">
      <w:pPr>
        <w:pStyle w:val="Textonotapie"/>
        <w:jc w:val="both"/>
        <w:rPr>
          <w:rFonts w:ascii="Arial" w:hAnsi="Arial" w:cs="Arial"/>
          <w:sz w:val="14"/>
          <w:szCs w:val="14"/>
        </w:rPr>
      </w:pPr>
      <w:hyperlink r:id="rId127" w:history="1">
        <w:r w:rsidR="00A457CE" w:rsidRPr="008F2EB6">
          <w:rPr>
            <w:rStyle w:val="Hipervnculo"/>
            <w:rFonts w:ascii="Arial" w:hAnsi="Arial" w:cs="Arial"/>
            <w:sz w:val="14"/>
            <w:szCs w:val="14"/>
          </w:rPr>
          <w:t>http://apps.ift.org.mx/publicdata/Version_Publica_UCE_RescAnexos_P_IFT_EXT_300915_114_c_DOF.pdf</w:t>
        </w:r>
      </w:hyperlink>
      <w:r w:rsidR="00A457CE" w:rsidRPr="008F2EB6">
        <w:rPr>
          <w:rFonts w:ascii="Arial" w:hAnsi="Arial" w:cs="Arial"/>
          <w:sz w:val="14"/>
          <w:szCs w:val="14"/>
        </w:rPr>
        <w:t xml:space="preserve"> y </w:t>
      </w:r>
      <w:hyperlink r:id="rId128" w:history="1">
        <w:r w:rsidR="00A457CE" w:rsidRPr="008F2EB6">
          <w:rPr>
            <w:rStyle w:val="Hipervnculo"/>
            <w:rFonts w:ascii="Arial" w:hAnsi="Arial" w:cs="Arial"/>
            <w:sz w:val="14"/>
            <w:szCs w:val="14"/>
          </w:rPr>
          <w:t>http://www.ift.org.mx/sites/default/files/conocenos/pleno/sesiones/acuerdoliga/vp181120436.pdf</w:t>
        </w:r>
      </w:hyperlink>
      <w:r w:rsidR="00A457CE" w:rsidRPr="008F2EB6">
        <w:rPr>
          <w:rFonts w:ascii="Arial" w:hAnsi="Arial" w:cs="Arial"/>
          <w:sz w:val="14"/>
          <w:szCs w:val="14"/>
        </w:rPr>
        <w:t xml:space="preserve"> </w:t>
      </w:r>
    </w:p>
  </w:footnote>
  <w:footnote w:id="119">
    <w:p w14:paraId="709385A2"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APEC e Instituto (2019). Competition Policy for Regulating Online Platforms in the APEC Region. </w:t>
      </w:r>
      <w:r w:rsidRPr="008F2EB6">
        <w:rPr>
          <w:rFonts w:ascii="Arial" w:hAnsi="Arial" w:cs="Arial"/>
          <w:sz w:val="14"/>
          <w:szCs w:val="14"/>
        </w:rPr>
        <w:t xml:space="preserve">Disponible en: </w:t>
      </w:r>
      <w:hyperlink r:id="rId129" w:history="1">
        <w:r w:rsidRPr="008F2EB6">
          <w:rPr>
            <w:rStyle w:val="Hipervnculo"/>
            <w:rFonts w:ascii="Arial" w:hAnsi="Arial" w:cs="Arial"/>
            <w:sz w:val="14"/>
            <w:szCs w:val="14"/>
          </w:rPr>
          <w:t>https://www.apec.org/Publications/2019/08/Competition-Policy-for-Regulating-Online-Platforms-in-the-APEC-Region</w:t>
        </w:r>
      </w:hyperlink>
      <w:r w:rsidRPr="008F2EB6">
        <w:rPr>
          <w:rFonts w:ascii="Arial" w:hAnsi="Arial" w:cs="Arial"/>
          <w:sz w:val="14"/>
          <w:szCs w:val="14"/>
        </w:rPr>
        <w:t xml:space="preserve"> </w:t>
      </w:r>
    </w:p>
  </w:footnote>
  <w:footnote w:id="120">
    <w:p w14:paraId="68A11396" w14:textId="3FD486BE" w:rsidR="00A457CE" w:rsidRDefault="00A457CE" w:rsidP="00346FD8">
      <w:pPr>
        <w:pStyle w:val="Textonotapie"/>
        <w:jc w:val="both"/>
      </w:pPr>
      <w:r w:rsidRPr="00346FD8">
        <w:rPr>
          <w:rFonts w:ascii="Arial" w:hAnsi="Arial" w:cs="Arial"/>
          <w:sz w:val="14"/>
          <w:szCs w:val="14"/>
          <w:vertAlign w:val="superscript"/>
          <w:lang w:val="en-US"/>
        </w:rPr>
        <w:footnoteRef/>
      </w:r>
      <w:r w:rsidRPr="00267F43">
        <w:rPr>
          <w:rFonts w:ascii="Arial" w:hAnsi="Arial" w:cs="Arial"/>
          <w:sz w:val="14"/>
          <w:szCs w:val="14"/>
        </w:rPr>
        <w:t xml:space="preserve"> Para mayor referencia, véase los expedientes número UCE/DE-001-2014, AI/DE-002-2017, AI/DE-003-2018, AI/DC-001-2014, AI/DC-002-2014, AI/DC-001-2015, AI/DC-002-2015, AI/DC-002-2016, AI/DC-004-2018, AI/DC-002-2019, AI/DC-003-2019 y AI/DC-001-2020.</w:t>
      </w:r>
    </w:p>
  </w:footnote>
  <w:footnote w:id="121">
    <w:p w14:paraId="667A7B94" w14:textId="77777777" w:rsidR="00A457CE" w:rsidRPr="008F2EB6" w:rsidRDefault="00A457CE" w:rsidP="008F2EB6">
      <w:pPr>
        <w:pStyle w:val="Textonotapie"/>
        <w:jc w:val="both"/>
        <w:rPr>
          <w:rFonts w:ascii="Arial" w:hAnsi="Arial" w:cs="Arial"/>
          <w:sz w:val="14"/>
          <w:szCs w:val="14"/>
        </w:rPr>
      </w:pPr>
      <w:r w:rsidRPr="008F2EB6">
        <w:rPr>
          <w:rStyle w:val="Refdenotaalpie"/>
          <w:rFonts w:ascii="Arial" w:hAnsi="Arial" w:cs="Arial"/>
          <w:sz w:val="14"/>
          <w:szCs w:val="14"/>
        </w:rPr>
        <w:footnoteRef/>
      </w:r>
      <w:r w:rsidRPr="00EF3354">
        <w:rPr>
          <w:rFonts w:ascii="Arial" w:hAnsi="Arial" w:cs="Arial"/>
          <w:sz w:val="14"/>
          <w:szCs w:val="14"/>
          <w:lang w:val="en-US"/>
        </w:rPr>
        <w:t xml:space="preserve"> OCDE (2018). </w:t>
      </w:r>
      <w:r w:rsidRPr="008F2EB6">
        <w:rPr>
          <w:rFonts w:ascii="Arial" w:hAnsi="Arial" w:cs="Arial"/>
          <w:sz w:val="14"/>
          <w:szCs w:val="14"/>
          <w:lang w:val="en-US"/>
        </w:rPr>
        <w:t xml:space="preserve">Rethinking antitrust tools for multisided platforms. pp. 10-11, 39-44, 47-48. </w:t>
      </w:r>
      <w:r w:rsidRPr="008F2EB6">
        <w:rPr>
          <w:rFonts w:ascii="Arial" w:hAnsi="Arial" w:cs="Arial"/>
          <w:sz w:val="14"/>
          <w:szCs w:val="14"/>
        </w:rPr>
        <w:t xml:space="preserve">Disponible en: </w:t>
      </w:r>
      <w:hyperlink r:id="rId130" w:history="1">
        <w:r w:rsidRPr="008F2EB6">
          <w:rPr>
            <w:rStyle w:val="Hipervnculo"/>
            <w:rFonts w:ascii="Arial" w:hAnsi="Arial" w:cs="Arial"/>
            <w:sz w:val="14"/>
            <w:szCs w:val="14"/>
          </w:rPr>
          <w:t>http://www.oecd.org/daf/competition/Rethinking-antitrust-tools-for-multi-sided-platforms-2018.pdf</w:t>
        </w:r>
      </w:hyperlink>
      <w:r w:rsidRPr="008F2EB6">
        <w:rPr>
          <w:rFonts w:ascii="Arial" w:hAnsi="Arial" w:cs="Arial"/>
          <w:sz w:val="14"/>
          <w:szCs w:val="14"/>
        </w:rPr>
        <w:t xml:space="preserve">   </w:t>
      </w:r>
    </w:p>
  </w:footnote>
  <w:footnote w:id="122">
    <w:p w14:paraId="03E3D3FB" w14:textId="77777777" w:rsidR="00A457CE" w:rsidRPr="008F2EB6" w:rsidRDefault="00A457CE" w:rsidP="008F2EB6">
      <w:pPr>
        <w:spacing w:after="0" w:line="240" w:lineRule="auto"/>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 </w:t>
      </w:r>
    </w:p>
    <w:p w14:paraId="5647F749" w14:textId="77777777" w:rsidR="00A457CE" w:rsidRPr="008F2EB6" w:rsidRDefault="00A457CE" w:rsidP="000D5517">
      <w:pPr>
        <w:pStyle w:val="Prrafodelista"/>
        <w:numPr>
          <w:ilvl w:val="0"/>
          <w:numId w:val="40"/>
        </w:numPr>
        <w:spacing w:after="0" w:line="240" w:lineRule="auto"/>
        <w:contextualSpacing w:val="0"/>
        <w:jc w:val="both"/>
        <w:rPr>
          <w:rFonts w:ascii="Arial" w:hAnsi="Arial" w:cs="Arial"/>
          <w:sz w:val="14"/>
          <w:szCs w:val="14"/>
        </w:rPr>
      </w:pPr>
      <w:r w:rsidRPr="008F2EB6">
        <w:rPr>
          <w:rFonts w:ascii="Arial" w:hAnsi="Arial" w:cs="Arial"/>
          <w:sz w:val="14"/>
          <w:szCs w:val="14"/>
          <w:lang w:val="en-US"/>
        </w:rPr>
        <w:t xml:space="preserve">CE (2019). </w:t>
      </w:r>
      <w:r w:rsidRPr="008F2EB6">
        <w:rPr>
          <w:rFonts w:ascii="Arial" w:hAnsi="Arial" w:cs="Arial"/>
          <w:i/>
          <w:iCs/>
          <w:sz w:val="14"/>
          <w:szCs w:val="14"/>
          <w:lang w:val="en-US"/>
        </w:rPr>
        <w:t>CASE AT.40099 Google Android</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31" w:history="1">
        <w:r w:rsidRPr="008F2EB6">
          <w:rPr>
            <w:rStyle w:val="Hipervnculo"/>
            <w:rFonts w:ascii="Arial" w:hAnsi="Arial" w:cs="Arial"/>
            <w:sz w:val="14"/>
            <w:szCs w:val="14"/>
          </w:rPr>
          <w:t>https://ec.europa.eu/competition/antitrust/cases/dec_docs/40099/40099_9993_3.pdf</w:t>
        </w:r>
      </w:hyperlink>
      <w:r w:rsidRPr="008F2EB6">
        <w:rPr>
          <w:rFonts w:ascii="Arial" w:hAnsi="Arial" w:cs="Arial"/>
          <w:sz w:val="14"/>
          <w:szCs w:val="14"/>
        </w:rPr>
        <w:t xml:space="preserve"> </w:t>
      </w:r>
    </w:p>
    <w:p w14:paraId="21E680B7" w14:textId="04D96853" w:rsidR="00A457CE" w:rsidRPr="004C0860" w:rsidRDefault="00A457CE" w:rsidP="000D5517">
      <w:pPr>
        <w:pStyle w:val="Prrafodelista"/>
        <w:numPr>
          <w:ilvl w:val="0"/>
          <w:numId w:val="40"/>
        </w:numPr>
        <w:spacing w:after="0" w:line="240" w:lineRule="auto"/>
        <w:contextualSpacing w:val="0"/>
        <w:jc w:val="both"/>
        <w:rPr>
          <w:rFonts w:ascii="Arial" w:hAnsi="Arial" w:cs="Arial"/>
          <w:sz w:val="14"/>
          <w:szCs w:val="14"/>
          <w:lang w:val="en-US"/>
        </w:rPr>
      </w:pPr>
      <w:r w:rsidRPr="008F2EB6">
        <w:rPr>
          <w:rFonts w:ascii="Arial" w:hAnsi="Arial" w:cs="Arial"/>
          <w:sz w:val="14"/>
          <w:szCs w:val="14"/>
          <w:lang w:val="en-US"/>
        </w:rPr>
        <w:t xml:space="preserve">CE (2010). Concentración Yahoo Search Business / Microsoft. </w:t>
      </w:r>
      <w:r w:rsidRPr="008F2EB6">
        <w:rPr>
          <w:rFonts w:ascii="Arial" w:hAnsi="Arial" w:cs="Arial"/>
          <w:i/>
          <w:iCs/>
          <w:sz w:val="14"/>
          <w:szCs w:val="14"/>
          <w:lang w:val="en-US"/>
        </w:rPr>
        <w:t>Case No COMP/M.5727 -MICROSOFT/ YAHOO! SEARCH BUSINESS</w:t>
      </w:r>
      <w:r w:rsidRPr="008F2EB6">
        <w:rPr>
          <w:rFonts w:ascii="Arial" w:hAnsi="Arial" w:cs="Arial"/>
          <w:sz w:val="14"/>
          <w:szCs w:val="14"/>
          <w:lang w:val="en-US"/>
        </w:rPr>
        <w:t xml:space="preserve">. </w:t>
      </w:r>
      <w:r w:rsidRPr="004C0860">
        <w:rPr>
          <w:rFonts w:ascii="Arial" w:hAnsi="Arial" w:cs="Arial"/>
          <w:sz w:val="14"/>
          <w:szCs w:val="14"/>
          <w:lang w:val="en-US"/>
        </w:rPr>
        <w:t xml:space="preserve">Disponible en: </w:t>
      </w:r>
      <w:hyperlink r:id="rId132" w:history="1">
        <w:r w:rsidR="00961EDF" w:rsidRPr="004C0860">
          <w:rPr>
            <w:rStyle w:val="Hipervnculo"/>
            <w:rFonts w:ascii="Arial" w:hAnsi="Arial" w:cs="Arial"/>
            <w:sz w:val="14"/>
            <w:szCs w:val="14"/>
            <w:lang w:val="en-US"/>
          </w:rPr>
          <w:t>https://ec.europa.eu/competition/mergers/cases/decisions/M5727_20100218_20310_261202_EN.pdf</w:t>
        </w:r>
      </w:hyperlink>
      <w:r w:rsidRPr="004C0860">
        <w:rPr>
          <w:rFonts w:ascii="Arial" w:hAnsi="Arial" w:cs="Arial"/>
          <w:sz w:val="14"/>
          <w:szCs w:val="14"/>
          <w:highlight w:val="green"/>
          <w:lang w:val="en-US"/>
        </w:rPr>
        <w:t xml:space="preserve"> </w:t>
      </w:r>
    </w:p>
    <w:p w14:paraId="22E4B41D" w14:textId="77777777" w:rsidR="00A457CE" w:rsidRPr="008F2EB6" w:rsidRDefault="00A457CE" w:rsidP="000D5517">
      <w:pPr>
        <w:pStyle w:val="Prrafodelista"/>
        <w:numPr>
          <w:ilvl w:val="0"/>
          <w:numId w:val="40"/>
        </w:numPr>
        <w:spacing w:after="0" w:line="240" w:lineRule="auto"/>
        <w:contextualSpacing w:val="0"/>
        <w:jc w:val="both"/>
        <w:rPr>
          <w:rFonts w:ascii="Arial" w:hAnsi="Arial" w:cs="Arial"/>
          <w:sz w:val="14"/>
          <w:szCs w:val="14"/>
        </w:rPr>
      </w:pPr>
      <w:r w:rsidRPr="008F2EB6">
        <w:rPr>
          <w:rFonts w:ascii="Arial" w:hAnsi="Arial" w:cs="Arial"/>
          <w:sz w:val="14"/>
          <w:szCs w:val="14"/>
          <w:lang w:val="en-US"/>
        </w:rPr>
        <w:t xml:space="preserve">CE (2014). Concentración Facebook/WhatsApp. </w:t>
      </w:r>
      <w:r w:rsidRPr="008F2EB6">
        <w:rPr>
          <w:rFonts w:ascii="Arial" w:hAnsi="Arial" w:cs="Arial"/>
          <w:i/>
          <w:iCs/>
          <w:sz w:val="14"/>
          <w:szCs w:val="14"/>
          <w:lang w:val="en-US"/>
        </w:rPr>
        <w:t>Case No COMP/M.7217 - FACEBOOK/ WHATSAPP</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33" w:history="1">
        <w:r w:rsidRPr="008F2EB6">
          <w:rPr>
            <w:rStyle w:val="Hipervnculo"/>
            <w:rFonts w:ascii="Arial" w:hAnsi="Arial" w:cs="Arial"/>
            <w:sz w:val="14"/>
            <w:szCs w:val="14"/>
          </w:rPr>
          <w:t>https://ec.europa.eu/competition/mergers/cases/decisions/m7217_20141003_20310_3962132_EN.pdf</w:t>
        </w:r>
      </w:hyperlink>
      <w:r w:rsidRPr="008F2EB6">
        <w:rPr>
          <w:rFonts w:ascii="Arial" w:hAnsi="Arial" w:cs="Arial"/>
          <w:sz w:val="14"/>
          <w:szCs w:val="14"/>
        </w:rPr>
        <w:t xml:space="preserve">  </w:t>
      </w:r>
    </w:p>
    <w:p w14:paraId="3ADE88E3" w14:textId="77777777" w:rsidR="00A457CE" w:rsidRPr="008F2EB6" w:rsidRDefault="00A457CE" w:rsidP="000D5517">
      <w:pPr>
        <w:pStyle w:val="Prrafodelista"/>
        <w:numPr>
          <w:ilvl w:val="0"/>
          <w:numId w:val="40"/>
        </w:numPr>
        <w:spacing w:after="0" w:line="240" w:lineRule="auto"/>
        <w:contextualSpacing w:val="0"/>
        <w:jc w:val="both"/>
        <w:rPr>
          <w:rFonts w:ascii="Arial" w:hAnsi="Arial" w:cs="Arial"/>
          <w:sz w:val="14"/>
          <w:szCs w:val="14"/>
        </w:rPr>
      </w:pPr>
      <w:r w:rsidRPr="008F2EB6">
        <w:rPr>
          <w:rFonts w:ascii="Arial" w:hAnsi="Arial" w:cs="Arial"/>
          <w:sz w:val="14"/>
          <w:szCs w:val="14"/>
          <w:lang w:val="en-US"/>
        </w:rPr>
        <w:t xml:space="preserve">CE (2016). Concentración Microsoft/LinkedIn. </w:t>
      </w:r>
      <w:r w:rsidRPr="008F2EB6">
        <w:rPr>
          <w:rFonts w:ascii="Arial" w:hAnsi="Arial" w:cs="Arial"/>
          <w:i/>
          <w:iCs/>
          <w:sz w:val="14"/>
          <w:szCs w:val="14"/>
          <w:lang w:val="en-US"/>
        </w:rPr>
        <w:t>Case M.1824 – Microsoft /LinkedIn.</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34" w:history="1">
        <w:r w:rsidRPr="008F2EB6">
          <w:rPr>
            <w:rStyle w:val="Hipervnculo"/>
            <w:rFonts w:ascii="Arial" w:hAnsi="Arial" w:cs="Arial"/>
            <w:sz w:val="14"/>
            <w:szCs w:val="14"/>
          </w:rPr>
          <w:t>http://ec.europa.eu/competition/mergers/cases/decisions/m8124_1349_5.pdf</w:t>
        </w:r>
      </w:hyperlink>
      <w:r w:rsidRPr="008F2EB6">
        <w:rPr>
          <w:rFonts w:ascii="Arial" w:hAnsi="Arial" w:cs="Arial"/>
          <w:sz w:val="14"/>
          <w:szCs w:val="14"/>
        </w:rPr>
        <w:t xml:space="preserve"> </w:t>
      </w:r>
    </w:p>
    <w:p w14:paraId="063649D4" w14:textId="77777777" w:rsidR="00A457CE" w:rsidRPr="008F2EB6" w:rsidRDefault="00A457CE" w:rsidP="000D5517">
      <w:pPr>
        <w:pStyle w:val="Prrafodelista"/>
        <w:numPr>
          <w:ilvl w:val="0"/>
          <w:numId w:val="40"/>
        </w:numPr>
        <w:spacing w:after="0" w:line="240" w:lineRule="auto"/>
        <w:contextualSpacing w:val="0"/>
        <w:jc w:val="both"/>
        <w:rPr>
          <w:rFonts w:ascii="Arial" w:hAnsi="Arial" w:cs="Arial"/>
          <w:sz w:val="14"/>
          <w:szCs w:val="14"/>
        </w:rPr>
      </w:pPr>
      <w:r w:rsidRPr="008F2EB6">
        <w:rPr>
          <w:rFonts w:ascii="Arial" w:hAnsi="Arial" w:cs="Arial"/>
          <w:sz w:val="14"/>
          <w:szCs w:val="14"/>
          <w:lang w:val="en-US"/>
        </w:rPr>
        <w:t xml:space="preserve">CE (2008). Concentración Google/Double Click. </w:t>
      </w:r>
      <w:r w:rsidRPr="008F2EB6">
        <w:rPr>
          <w:rFonts w:ascii="Arial" w:hAnsi="Arial" w:cs="Arial"/>
          <w:i/>
          <w:iCs/>
          <w:sz w:val="14"/>
          <w:szCs w:val="14"/>
          <w:lang w:val="en-US"/>
        </w:rPr>
        <w:t>Case No COMP/M.4731 – Google/ DoubleClick</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35" w:history="1">
        <w:r w:rsidRPr="008F2EB6">
          <w:rPr>
            <w:rStyle w:val="Hipervnculo"/>
            <w:rFonts w:ascii="Arial" w:hAnsi="Arial" w:cs="Arial"/>
            <w:sz w:val="14"/>
            <w:szCs w:val="14"/>
          </w:rPr>
          <w:t>https://ec.europa.eu/competition/mergers/cases/decisions/m4731_20080311_20682_en.pdf</w:t>
        </w:r>
      </w:hyperlink>
      <w:r w:rsidRPr="008F2EB6">
        <w:rPr>
          <w:rFonts w:ascii="Arial" w:hAnsi="Arial" w:cs="Arial"/>
          <w:sz w:val="14"/>
          <w:szCs w:val="14"/>
        </w:rPr>
        <w:t xml:space="preserve"> </w:t>
      </w:r>
    </w:p>
    <w:p w14:paraId="6BBB09ED" w14:textId="77777777" w:rsidR="00A457CE" w:rsidRPr="008F2EB6" w:rsidRDefault="00A457CE" w:rsidP="000D5517">
      <w:pPr>
        <w:pStyle w:val="Prrafodelista"/>
        <w:numPr>
          <w:ilvl w:val="0"/>
          <w:numId w:val="40"/>
        </w:numPr>
        <w:spacing w:after="0" w:line="240" w:lineRule="auto"/>
        <w:contextualSpacing w:val="0"/>
        <w:jc w:val="both"/>
        <w:rPr>
          <w:rFonts w:ascii="Arial" w:hAnsi="Arial" w:cs="Arial"/>
          <w:sz w:val="14"/>
          <w:szCs w:val="14"/>
        </w:rPr>
      </w:pPr>
      <w:r w:rsidRPr="008F2EB6">
        <w:rPr>
          <w:rFonts w:ascii="Arial" w:hAnsi="Arial" w:cs="Arial"/>
          <w:sz w:val="14"/>
          <w:szCs w:val="14"/>
          <w:lang w:val="en-US"/>
        </w:rPr>
        <w:t xml:space="preserve">CE (2017). Investigación sobre Google Shopping. </w:t>
      </w:r>
      <w:r w:rsidRPr="008F2EB6">
        <w:rPr>
          <w:rFonts w:ascii="Arial" w:hAnsi="Arial" w:cs="Arial"/>
          <w:i/>
          <w:iCs/>
          <w:sz w:val="14"/>
          <w:szCs w:val="14"/>
          <w:lang w:val="en-US"/>
        </w:rPr>
        <w:t>CASE AT.39740 Google Search (Shopping).</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36" w:history="1">
        <w:r w:rsidRPr="008F2EB6">
          <w:rPr>
            <w:rStyle w:val="Hipervnculo"/>
            <w:rFonts w:ascii="Arial" w:hAnsi="Arial" w:cs="Arial"/>
            <w:sz w:val="14"/>
            <w:szCs w:val="14"/>
          </w:rPr>
          <w:t>https://ec.europa.eu/competition/antitrust/cases/dec_docs/39740/39740_14996_3.pdf</w:t>
        </w:r>
      </w:hyperlink>
      <w:r w:rsidRPr="008F2EB6">
        <w:rPr>
          <w:rFonts w:ascii="Arial" w:hAnsi="Arial" w:cs="Arial"/>
          <w:sz w:val="14"/>
          <w:szCs w:val="14"/>
        </w:rPr>
        <w:t xml:space="preserve"> </w:t>
      </w:r>
    </w:p>
    <w:p w14:paraId="0178C6FB" w14:textId="77777777" w:rsidR="00A457CE" w:rsidRPr="008F2EB6" w:rsidRDefault="00A457CE" w:rsidP="000D5517">
      <w:pPr>
        <w:pStyle w:val="Prrafodelista"/>
        <w:numPr>
          <w:ilvl w:val="0"/>
          <w:numId w:val="40"/>
        </w:numPr>
        <w:spacing w:after="0" w:line="240" w:lineRule="auto"/>
        <w:contextualSpacing w:val="0"/>
        <w:jc w:val="both"/>
        <w:rPr>
          <w:rFonts w:ascii="Arial" w:hAnsi="Arial" w:cs="Arial"/>
          <w:sz w:val="14"/>
          <w:szCs w:val="14"/>
          <w:lang w:val="en-US"/>
        </w:rPr>
      </w:pPr>
      <w:r w:rsidRPr="008F2EB6">
        <w:rPr>
          <w:rFonts w:ascii="Arial" w:hAnsi="Arial" w:cs="Arial"/>
          <w:sz w:val="14"/>
          <w:szCs w:val="14"/>
          <w:lang w:val="en-US"/>
        </w:rPr>
        <w:t xml:space="preserve">CE (2012). </w:t>
      </w:r>
      <w:r w:rsidRPr="008F2EB6">
        <w:rPr>
          <w:rFonts w:ascii="Arial" w:hAnsi="Arial" w:cs="Arial"/>
          <w:i/>
          <w:iCs/>
          <w:sz w:val="14"/>
          <w:szCs w:val="14"/>
          <w:lang w:val="en-US"/>
        </w:rPr>
        <w:t>Roundtable on market definition.</w:t>
      </w:r>
      <w:r w:rsidRPr="008F2EB6">
        <w:rPr>
          <w:rFonts w:ascii="Arial" w:hAnsi="Arial" w:cs="Arial"/>
          <w:sz w:val="14"/>
          <w:szCs w:val="14"/>
          <w:lang w:val="en-US"/>
        </w:rPr>
        <w:t xml:space="preserve"> </w:t>
      </w:r>
      <w:r w:rsidRPr="008F2EB6">
        <w:rPr>
          <w:rFonts w:ascii="Arial" w:hAnsi="Arial" w:cs="Arial"/>
          <w:i/>
          <w:iCs/>
          <w:sz w:val="14"/>
          <w:szCs w:val="14"/>
          <w:lang w:val="en-US"/>
        </w:rPr>
        <w:t>Note by the delegation of the European Union.</w:t>
      </w:r>
    </w:p>
  </w:footnote>
  <w:footnote w:id="123">
    <w:p w14:paraId="117644A8" w14:textId="77777777" w:rsidR="00A457CE" w:rsidRPr="008F2EB6" w:rsidRDefault="00A457CE" w:rsidP="008F2EB6">
      <w:pPr>
        <w:spacing w:after="0" w:line="240" w:lineRule="auto"/>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Ver:</w:t>
      </w:r>
    </w:p>
    <w:p w14:paraId="0134A0BA" w14:textId="77777777" w:rsidR="00A457CE" w:rsidRPr="008F2EB6" w:rsidRDefault="00A457CE" w:rsidP="000D5517">
      <w:pPr>
        <w:pStyle w:val="Prrafodelista"/>
        <w:numPr>
          <w:ilvl w:val="0"/>
          <w:numId w:val="41"/>
        </w:numPr>
        <w:spacing w:after="0" w:line="240" w:lineRule="auto"/>
        <w:contextualSpacing w:val="0"/>
        <w:jc w:val="both"/>
        <w:rPr>
          <w:rFonts w:ascii="Arial" w:hAnsi="Arial" w:cs="Arial"/>
          <w:sz w:val="14"/>
          <w:szCs w:val="14"/>
        </w:rPr>
      </w:pPr>
      <w:r w:rsidRPr="008F2EB6">
        <w:rPr>
          <w:rFonts w:ascii="Arial" w:hAnsi="Arial" w:cs="Arial"/>
          <w:sz w:val="14"/>
          <w:szCs w:val="14"/>
          <w:lang w:val="en-US"/>
        </w:rPr>
        <w:t xml:space="preserve">Bundeskartellamt (2016). </w:t>
      </w:r>
      <w:r w:rsidRPr="008F2EB6">
        <w:rPr>
          <w:rFonts w:ascii="Arial" w:hAnsi="Arial" w:cs="Arial"/>
          <w:i/>
          <w:iCs/>
          <w:sz w:val="14"/>
          <w:szCs w:val="14"/>
          <w:lang w:val="en-US"/>
        </w:rPr>
        <w:t>The Market Power of Platforms and Networks, Working Paper</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37" w:history="1">
        <w:r w:rsidRPr="008F2EB6">
          <w:rPr>
            <w:rStyle w:val="Hipervnculo"/>
            <w:rFonts w:ascii="Arial" w:hAnsi="Arial" w:cs="Arial"/>
            <w:sz w:val="14"/>
            <w:szCs w:val="14"/>
          </w:rPr>
          <w:t>https://www.bundeskartellamt.de/SharedDocs/Publikation/EN/Berichte/Think-Tank-Bericht-Zusammenfassung.pdf?__blob=publicationFile&amp;v=4</w:t>
        </w:r>
      </w:hyperlink>
      <w:r w:rsidRPr="008F2EB6">
        <w:rPr>
          <w:rFonts w:ascii="Arial" w:hAnsi="Arial" w:cs="Arial"/>
          <w:sz w:val="14"/>
          <w:szCs w:val="14"/>
        </w:rPr>
        <w:t xml:space="preserve"> </w:t>
      </w:r>
    </w:p>
    <w:p w14:paraId="5B06A752" w14:textId="77777777" w:rsidR="00A457CE" w:rsidRPr="008F2EB6" w:rsidRDefault="00A457CE" w:rsidP="000D5517">
      <w:pPr>
        <w:pStyle w:val="Prrafodelista"/>
        <w:numPr>
          <w:ilvl w:val="0"/>
          <w:numId w:val="41"/>
        </w:numPr>
        <w:spacing w:after="0" w:line="240" w:lineRule="auto"/>
        <w:contextualSpacing w:val="0"/>
        <w:jc w:val="both"/>
        <w:rPr>
          <w:rFonts w:ascii="Arial" w:hAnsi="Arial" w:cs="Arial"/>
          <w:sz w:val="14"/>
          <w:szCs w:val="14"/>
        </w:rPr>
      </w:pPr>
      <w:r w:rsidRPr="008F2EB6">
        <w:rPr>
          <w:rFonts w:ascii="Arial" w:hAnsi="Arial" w:cs="Arial"/>
          <w:sz w:val="14"/>
          <w:szCs w:val="14"/>
          <w:lang w:val="en-US"/>
        </w:rPr>
        <w:t xml:space="preserve">Bundeskartellamnt (2019). </w:t>
      </w:r>
      <w:r w:rsidRPr="008F2EB6">
        <w:rPr>
          <w:rFonts w:ascii="Arial" w:hAnsi="Arial" w:cs="Arial"/>
          <w:i/>
          <w:iCs/>
          <w:sz w:val="14"/>
          <w:szCs w:val="14"/>
          <w:lang w:val="en-US"/>
        </w:rPr>
        <w:t>Facebook, Exploitative business terms pursuant to Section 19(1) GWB for inadequate data processing</w:t>
      </w:r>
      <w:r w:rsidRPr="008F2EB6">
        <w:rPr>
          <w:rFonts w:ascii="Arial" w:hAnsi="Arial" w:cs="Arial"/>
          <w:sz w:val="14"/>
          <w:szCs w:val="14"/>
          <w:lang w:val="en-US"/>
        </w:rPr>
        <w:t xml:space="preserve">. </w:t>
      </w:r>
      <w:r w:rsidRPr="008F2EB6">
        <w:rPr>
          <w:rFonts w:ascii="Arial" w:hAnsi="Arial" w:cs="Arial"/>
          <w:sz w:val="14"/>
          <w:szCs w:val="14"/>
        </w:rPr>
        <w:t xml:space="preserve">Disponible en: </w:t>
      </w:r>
      <w:hyperlink r:id="rId138" w:history="1">
        <w:r w:rsidRPr="008F2EB6">
          <w:rPr>
            <w:rStyle w:val="Hipervnculo"/>
            <w:rFonts w:ascii="Arial" w:hAnsi="Arial" w:cs="Arial"/>
            <w:sz w:val="14"/>
            <w:szCs w:val="14"/>
          </w:rPr>
          <w:t>https://www.bundeskartellamt.de/SharedDocs/Entscheidung/EN/Entscheidungen/Missbrauchsaufsicht/2019/B6-22-16.pdf?__blob=publicationFile&amp;v=5</w:t>
        </w:r>
      </w:hyperlink>
    </w:p>
  </w:footnote>
  <w:footnote w:id="124">
    <w:p w14:paraId="294DC946" w14:textId="77777777" w:rsidR="00A457CE" w:rsidRPr="008F2EB6" w:rsidRDefault="00A457CE" w:rsidP="008F2EB6">
      <w:pPr>
        <w:spacing w:after="0" w:line="240" w:lineRule="auto"/>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ACCC (2019). </w:t>
      </w:r>
      <w:r w:rsidRPr="008F2EB6">
        <w:rPr>
          <w:rFonts w:ascii="Arial" w:hAnsi="Arial" w:cs="Arial"/>
          <w:i/>
          <w:iCs/>
          <w:sz w:val="14"/>
          <w:szCs w:val="14"/>
        </w:rPr>
        <w:t>Digital Platforms Inquiry Final Report</w:t>
      </w:r>
      <w:r w:rsidRPr="008F2EB6">
        <w:rPr>
          <w:rFonts w:ascii="Arial" w:hAnsi="Arial" w:cs="Arial"/>
          <w:sz w:val="14"/>
          <w:szCs w:val="14"/>
        </w:rPr>
        <w:t xml:space="preserve">. Disponible en: </w:t>
      </w:r>
      <w:hyperlink r:id="rId139" w:history="1">
        <w:r w:rsidRPr="008F2EB6">
          <w:rPr>
            <w:rStyle w:val="Hipervnculo"/>
            <w:rFonts w:ascii="Arial" w:hAnsi="Arial" w:cs="Arial"/>
            <w:sz w:val="14"/>
            <w:szCs w:val="14"/>
          </w:rPr>
          <w:t>https://www.accc.gov.au/system/files/Digital%20platforms%20inquiry%20-%20final%20report.pdf</w:t>
        </w:r>
      </w:hyperlink>
      <w:r w:rsidRPr="008F2EB6">
        <w:rPr>
          <w:rFonts w:ascii="Arial" w:hAnsi="Arial" w:cs="Arial"/>
          <w:sz w:val="14"/>
          <w:szCs w:val="14"/>
        </w:rPr>
        <w:t xml:space="preserve"> </w:t>
      </w:r>
    </w:p>
  </w:footnote>
  <w:footnote w:id="125">
    <w:p w14:paraId="282F4CE9" w14:textId="77777777" w:rsidR="00A457CE" w:rsidRPr="008F2EB6" w:rsidRDefault="00A457CE" w:rsidP="008F2EB6">
      <w:pPr>
        <w:spacing w:after="0" w:line="240" w:lineRule="auto"/>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lang w:val="en-US"/>
        </w:rPr>
        <w:t xml:space="preserve"> Charles River Associates (2015). </w:t>
      </w:r>
      <w:r w:rsidRPr="008F2EB6">
        <w:rPr>
          <w:rFonts w:ascii="Arial" w:hAnsi="Arial" w:cs="Arial"/>
          <w:i/>
          <w:iCs/>
          <w:sz w:val="14"/>
          <w:szCs w:val="14"/>
          <w:lang w:val="en-US"/>
        </w:rPr>
        <w:t>Qihoo v. Tencent: economic analysis of the first Chinese Supreme Court decision under Anti-Monopoly Law</w:t>
      </w:r>
      <w:r w:rsidRPr="008F2EB6">
        <w:rPr>
          <w:rFonts w:ascii="Arial" w:hAnsi="Arial" w:cs="Arial"/>
          <w:sz w:val="14"/>
          <w:szCs w:val="14"/>
          <w:lang w:val="en-US"/>
        </w:rPr>
        <w:t xml:space="preserve">. </w:t>
      </w:r>
      <w:r w:rsidRPr="008F2EB6">
        <w:rPr>
          <w:rFonts w:ascii="Arial" w:hAnsi="Arial" w:cs="Arial"/>
          <w:sz w:val="14"/>
          <w:szCs w:val="14"/>
        </w:rPr>
        <w:t xml:space="preserve">China Highligts. </w:t>
      </w:r>
    </w:p>
  </w:footnote>
  <w:footnote w:id="126">
    <w:p w14:paraId="39A64F40" w14:textId="77777777" w:rsidR="00A457CE" w:rsidRPr="008F2EB6" w:rsidRDefault="00A457CE" w:rsidP="008F2EB6">
      <w:pPr>
        <w:spacing w:after="0" w:line="240" w:lineRule="auto"/>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Fiscalía Nacional Económica (2021). Guía para el Análisis de Operaciones de Concentración Horizontales. Disponible en: </w:t>
      </w:r>
      <w:hyperlink r:id="rId140" w:history="1">
        <w:r w:rsidRPr="008F2EB6">
          <w:rPr>
            <w:rStyle w:val="Hipervnculo"/>
            <w:rFonts w:ascii="Arial" w:hAnsi="Arial" w:cs="Arial"/>
            <w:sz w:val="14"/>
            <w:szCs w:val="14"/>
          </w:rPr>
          <w:t>https://www.fne.gob.cl/wp-content/uploads/2021/05/Guia-para-el-Analisis-de-Operaciones-de-Concentracion-Horizontales-mayo-VF.pdf</w:t>
        </w:r>
      </w:hyperlink>
      <w:r w:rsidRPr="008F2EB6">
        <w:rPr>
          <w:rFonts w:ascii="Arial" w:hAnsi="Arial" w:cs="Arial"/>
          <w:sz w:val="14"/>
          <w:szCs w:val="14"/>
        </w:rPr>
        <w:t xml:space="preserve"> </w:t>
      </w:r>
    </w:p>
  </w:footnote>
  <w:footnote w:id="127">
    <w:p w14:paraId="3C3B2477" w14:textId="2DAEFF1B" w:rsidR="00A457CE" w:rsidRPr="004C0860" w:rsidRDefault="00A457CE" w:rsidP="008F2EB6">
      <w:pPr>
        <w:spacing w:after="0" w:line="240" w:lineRule="auto"/>
        <w:jc w:val="both"/>
        <w:rPr>
          <w:rFonts w:ascii="Arial" w:hAnsi="Arial" w:cs="Arial"/>
          <w:sz w:val="14"/>
          <w:szCs w:val="14"/>
          <w:lang w:val="en-US"/>
        </w:rPr>
      </w:pPr>
      <w:r w:rsidRPr="008F2EB6">
        <w:rPr>
          <w:rStyle w:val="Refdenotaalpie"/>
          <w:rFonts w:ascii="Arial" w:hAnsi="Arial" w:cs="Arial"/>
          <w:sz w:val="14"/>
          <w:szCs w:val="14"/>
        </w:rPr>
        <w:footnoteRef/>
      </w:r>
      <w:r w:rsidRPr="008F2EB6">
        <w:rPr>
          <w:rFonts w:ascii="Arial" w:hAnsi="Arial" w:cs="Arial"/>
          <w:sz w:val="14"/>
          <w:szCs w:val="14"/>
          <w:lang w:val="en-US"/>
        </w:rPr>
        <w:t xml:space="preserve"> OCDE (2018). </w:t>
      </w:r>
      <w:r w:rsidRPr="008F2EB6">
        <w:rPr>
          <w:rFonts w:ascii="Arial" w:hAnsi="Arial" w:cs="Arial"/>
          <w:i/>
          <w:iCs/>
          <w:sz w:val="14"/>
          <w:szCs w:val="14"/>
          <w:lang w:val="en-US"/>
        </w:rPr>
        <w:t>Quality considerations in digital zero-price markets</w:t>
      </w:r>
      <w:r w:rsidRPr="008F2EB6">
        <w:rPr>
          <w:rFonts w:ascii="Arial" w:hAnsi="Arial" w:cs="Arial"/>
          <w:sz w:val="14"/>
          <w:szCs w:val="14"/>
          <w:lang w:val="en-US"/>
        </w:rPr>
        <w:t xml:space="preserve">. Background note by the Secretariat. </w:t>
      </w:r>
      <w:r w:rsidRPr="004C0860">
        <w:rPr>
          <w:rFonts w:ascii="Arial" w:hAnsi="Arial" w:cs="Arial"/>
          <w:sz w:val="14"/>
          <w:szCs w:val="14"/>
          <w:lang w:val="en-US"/>
        </w:rPr>
        <w:t xml:space="preserve">Disponible en: </w:t>
      </w:r>
      <w:hyperlink r:id="rId141" w:history="1">
        <w:r w:rsidR="00961EDF" w:rsidRPr="004C0860">
          <w:rPr>
            <w:rStyle w:val="Hipervnculo"/>
            <w:rFonts w:ascii="Arial" w:hAnsi="Arial" w:cs="Arial"/>
            <w:sz w:val="14"/>
            <w:szCs w:val="14"/>
            <w:lang w:val="en-US"/>
          </w:rPr>
          <w:t>https://one.oecd.org/document/DAF/COMP(2018)14/en/pdf</w:t>
        </w:r>
      </w:hyperlink>
    </w:p>
  </w:footnote>
  <w:footnote w:id="128">
    <w:p w14:paraId="43F2B761" w14:textId="77777777" w:rsidR="00A457CE" w:rsidRPr="008F2EB6" w:rsidRDefault="00A457CE" w:rsidP="008F2EB6">
      <w:pPr>
        <w:spacing w:after="0" w:line="240" w:lineRule="auto"/>
        <w:jc w:val="both"/>
        <w:rPr>
          <w:rFonts w:ascii="Arial" w:hAnsi="Arial" w:cs="Arial"/>
          <w:sz w:val="14"/>
          <w:szCs w:val="14"/>
        </w:rPr>
      </w:pPr>
      <w:r w:rsidRPr="008F2EB6">
        <w:rPr>
          <w:rStyle w:val="Refdenotaalpie"/>
          <w:rFonts w:ascii="Arial" w:hAnsi="Arial" w:cs="Arial"/>
          <w:sz w:val="14"/>
          <w:szCs w:val="14"/>
        </w:rPr>
        <w:footnoteRef/>
      </w:r>
      <w:r w:rsidRPr="008F2EB6">
        <w:rPr>
          <w:rFonts w:ascii="Arial" w:hAnsi="Arial" w:cs="Arial"/>
          <w:sz w:val="14"/>
          <w:szCs w:val="14"/>
        </w:rPr>
        <w:t xml:space="preserve"> La estructura, es decir, la relación entre los precios de los lados solo puede afectar el volumen de las transacciones si el lado que paga más a la plataforma no puede trasladar esos costos al otro lado (</w:t>
      </w:r>
      <w:r w:rsidRPr="008F2EB6">
        <w:rPr>
          <w:rFonts w:ascii="Arial" w:hAnsi="Arial" w:cs="Arial"/>
          <w:i/>
          <w:iCs/>
          <w:sz w:val="14"/>
          <w:szCs w:val="14"/>
        </w:rPr>
        <w:t>pass-though</w:t>
      </w:r>
      <w:r w:rsidRPr="008F2EB6">
        <w:rPr>
          <w:rFonts w:ascii="Arial" w:hAnsi="Arial" w:cs="Arial"/>
          <w:sz w:val="14"/>
          <w:szCs w:val="14"/>
        </w:rPr>
        <w:t xml:space="preserve">) debido a que no existe una interacción o negociación directa entre ellos. OCDE (2018). </w:t>
      </w:r>
      <w:r w:rsidRPr="008F2EB6">
        <w:rPr>
          <w:rFonts w:ascii="Arial" w:hAnsi="Arial" w:cs="Arial"/>
          <w:i/>
          <w:iCs/>
          <w:sz w:val="14"/>
          <w:szCs w:val="14"/>
        </w:rPr>
        <w:t>Rethinking Antitrust Tools for Multi-Sided Platforms</w:t>
      </w:r>
      <w:r w:rsidRPr="008F2EB6">
        <w:rPr>
          <w:rFonts w:ascii="Arial" w:hAnsi="Arial" w:cs="Arial"/>
          <w:sz w:val="14"/>
          <w:szCs w:val="14"/>
        </w:rPr>
        <w:t xml:space="preserve">, p. 39.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ADA2" w14:textId="51F27AAC" w:rsidR="004C0860" w:rsidRDefault="00E92449">
    <w:pPr>
      <w:pStyle w:val="Encabezado"/>
    </w:pPr>
    <w:r>
      <w:rPr>
        <w:noProof/>
      </w:rPr>
      <w:pict w14:anchorId="59920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8266" o:spid="_x0000_s2058"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BD7C" w14:textId="07509911" w:rsidR="00A457CE" w:rsidRDefault="00E92449" w:rsidP="004C0860">
    <w:pPr>
      <w:pStyle w:val="Encabezado"/>
      <w:tabs>
        <w:tab w:val="clear" w:pos="4419"/>
        <w:tab w:val="clear" w:pos="8838"/>
        <w:tab w:val="right" w:pos="9404"/>
      </w:tabs>
      <w:rPr>
        <w:rFonts w:ascii="ITC Avant Garde" w:hAnsi="ITC Avant Garde"/>
        <w:b/>
      </w:rPr>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0" type="#_x0000_t75" alt="hoja membretada s dir-01" style="position:absolute;margin-left:-70.15pt;margin-top:-132.9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5E301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8267" o:spid="_x0000_s2059"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r w:rsidR="004C0860">
      <w:rPr>
        <w:rFonts w:ascii="ITC Avant Garde" w:hAnsi="ITC Avant Garde"/>
        <w:b/>
      </w:rPr>
      <w:tab/>
    </w:r>
  </w:p>
  <w:p w14:paraId="35B423CD" w14:textId="74583DDF" w:rsidR="00A457CE" w:rsidRDefault="00A457CE" w:rsidP="007508F7">
    <w:pPr>
      <w:pStyle w:val="Encabezado"/>
      <w:rPr>
        <w:rFonts w:ascii="ITC Avant Garde" w:hAnsi="ITC Avant Garde"/>
        <w:b/>
      </w:rPr>
    </w:pPr>
  </w:p>
  <w:p w14:paraId="5ACE3C93" w14:textId="77777777" w:rsidR="00A457CE" w:rsidRDefault="00A457CE" w:rsidP="007508F7">
    <w:pPr>
      <w:pStyle w:val="Encabezado"/>
      <w:rPr>
        <w:rFonts w:ascii="ITC Avant Garde" w:hAnsi="ITC Avant Garde"/>
        <w:b/>
      </w:rPr>
    </w:pPr>
  </w:p>
  <w:p w14:paraId="1ADCE693" w14:textId="77777777" w:rsidR="00A457CE" w:rsidRDefault="00A457CE" w:rsidP="007508F7">
    <w:pPr>
      <w:pStyle w:val="Encabezado"/>
      <w:rPr>
        <w:rFonts w:ascii="ITC Avant Garde" w:hAnsi="ITC Avant Garde"/>
        <w:b/>
      </w:rPr>
    </w:pPr>
  </w:p>
  <w:p w14:paraId="34F6A9B9" w14:textId="4820F7CF" w:rsidR="00A457CE" w:rsidRDefault="00A457CE" w:rsidP="007508F7">
    <w:pPr>
      <w:pStyle w:val="Encabezado"/>
      <w:tabs>
        <w:tab w:val="clear" w:pos="4419"/>
        <w:tab w:val="clear" w:pos="8838"/>
        <w:tab w:val="left" w:pos="6912"/>
      </w:tabs>
      <w:rPr>
        <w:rFonts w:ascii="ITC Avant Garde" w:hAnsi="ITC Avant Garde"/>
        <w:b/>
      </w:rPr>
    </w:pPr>
  </w:p>
  <w:p w14:paraId="240654B7" w14:textId="77777777" w:rsidR="00A457CE" w:rsidRPr="0068053A" w:rsidRDefault="00A457CE" w:rsidP="005232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C1FE" w14:textId="2E4B774C" w:rsidR="004C0860" w:rsidRDefault="00E92449">
    <w:pPr>
      <w:pStyle w:val="Encabezado"/>
    </w:pPr>
    <w:r>
      <w:rPr>
        <w:noProof/>
      </w:rPr>
      <w:pict w14:anchorId="7787C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8265" o:spid="_x0000_s2057"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5C4"/>
    <w:multiLevelType w:val="hybridMultilevel"/>
    <w:tmpl w:val="D5162F8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B7FD9"/>
    <w:multiLevelType w:val="hybridMultilevel"/>
    <w:tmpl w:val="F412F594"/>
    <w:lvl w:ilvl="0" w:tplc="08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44DF4"/>
    <w:multiLevelType w:val="hybridMultilevel"/>
    <w:tmpl w:val="899A72B8"/>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145D8"/>
    <w:multiLevelType w:val="hybridMultilevel"/>
    <w:tmpl w:val="072C7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F41B81"/>
    <w:multiLevelType w:val="hybridMultilevel"/>
    <w:tmpl w:val="0D92F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31694A"/>
    <w:multiLevelType w:val="multilevel"/>
    <w:tmpl w:val="2B1C2D00"/>
    <w:lvl w:ilvl="0">
      <w:start w:val="1"/>
      <w:numFmt w:val="decimal"/>
      <w:lvlText w:val="%1."/>
      <w:lvlJc w:val="left"/>
      <w:pPr>
        <w:ind w:left="567" w:hanging="360"/>
      </w:pPr>
      <w:rPr>
        <w:rFonts w:hint="default"/>
        <w:b/>
        <w:bCs w:val="0"/>
        <w:sz w:val="26"/>
        <w:szCs w:val="26"/>
      </w:rPr>
    </w:lvl>
    <w:lvl w:ilvl="1">
      <w:start w:val="1"/>
      <w:numFmt w:val="decimal"/>
      <w:isLgl/>
      <w:lvlText w:val="%1.%2."/>
      <w:lvlJc w:val="left"/>
      <w:pPr>
        <w:ind w:left="1134" w:hanging="720"/>
      </w:pPr>
      <w:rPr>
        <w:rFonts w:hint="default"/>
      </w:rPr>
    </w:lvl>
    <w:lvl w:ilvl="2">
      <w:start w:val="1"/>
      <w:numFmt w:val="decimal"/>
      <w:isLgl/>
      <w:lvlText w:val="%1.%2.%3."/>
      <w:lvlJc w:val="left"/>
      <w:pPr>
        <w:ind w:left="3556" w:hanging="720"/>
      </w:pPr>
      <w:rPr>
        <w:rFonts w:hint="default"/>
        <w:b/>
        <w:bCs/>
      </w:rPr>
    </w:lvl>
    <w:lvl w:ilvl="3">
      <w:start w:val="1"/>
      <w:numFmt w:val="decimal"/>
      <w:isLgl/>
      <w:lvlText w:val="%1.%2.%3.%4."/>
      <w:lvlJc w:val="left"/>
      <w:pPr>
        <w:ind w:left="1908" w:hanging="1080"/>
      </w:pPr>
      <w:rPr>
        <w:rFonts w:hint="default"/>
        <w:b/>
        <w:bCs/>
        <w:lang w:val="es-MX"/>
      </w:rPr>
    </w:lvl>
    <w:lvl w:ilvl="4">
      <w:start w:val="1"/>
      <w:numFmt w:val="decimal"/>
      <w:isLgl/>
      <w:lvlText w:val="%1.%2.%3.%4.%5."/>
      <w:lvlJc w:val="left"/>
      <w:pPr>
        <w:ind w:left="2115"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2889" w:hanging="1440"/>
      </w:pPr>
      <w:rPr>
        <w:rFonts w:hint="default"/>
      </w:rPr>
    </w:lvl>
    <w:lvl w:ilvl="7">
      <w:start w:val="1"/>
      <w:numFmt w:val="decimal"/>
      <w:isLgl/>
      <w:lvlText w:val="%1.%2.%3.%4.%5.%6.%7.%8."/>
      <w:lvlJc w:val="left"/>
      <w:pPr>
        <w:ind w:left="3456" w:hanging="1800"/>
      </w:pPr>
      <w:rPr>
        <w:rFonts w:hint="default"/>
      </w:rPr>
    </w:lvl>
    <w:lvl w:ilvl="8">
      <w:start w:val="1"/>
      <w:numFmt w:val="decimal"/>
      <w:isLgl/>
      <w:lvlText w:val="%1.%2.%3.%4.%5.%6.%7.%8.%9."/>
      <w:lvlJc w:val="left"/>
      <w:pPr>
        <w:ind w:left="3663" w:hanging="1800"/>
      </w:pPr>
      <w:rPr>
        <w:rFonts w:hint="default"/>
      </w:rPr>
    </w:lvl>
  </w:abstractNum>
  <w:abstractNum w:abstractNumId="6" w15:restartNumberingAfterBreak="0">
    <w:nsid w:val="1ECB1AEA"/>
    <w:multiLevelType w:val="hybridMultilevel"/>
    <w:tmpl w:val="9D266B9E"/>
    <w:lvl w:ilvl="0" w:tplc="E44263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F43CAB"/>
    <w:multiLevelType w:val="hybridMultilevel"/>
    <w:tmpl w:val="3EA82C4C"/>
    <w:lvl w:ilvl="0" w:tplc="A866E858">
      <w:start w:val="1"/>
      <w:numFmt w:val="decimal"/>
      <w:pStyle w:val="Ttulo3"/>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8056C"/>
    <w:multiLevelType w:val="hybridMultilevel"/>
    <w:tmpl w:val="98A67DDC"/>
    <w:lvl w:ilvl="0" w:tplc="EA56A04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1B2DB3"/>
    <w:multiLevelType w:val="hybridMultilevel"/>
    <w:tmpl w:val="2BACE008"/>
    <w:lvl w:ilvl="0" w:tplc="080A0001">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141D96"/>
    <w:multiLevelType w:val="hybridMultilevel"/>
    <w:tmpl w:val="5FD6F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87C6F"/>
    <w:multiLevelType w:val="hybridMultilevel"/>
    <w:tmpl w:val="E44A9A9C"/>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6D7740"/>
    <w:multiLevelType w:val="hybridMultilevel"/>
    <w:tmpl w:val="1406A332"/>
    <w:lvl w:ilvl="0" w:tplc="9FA4E4E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3F4FAD"/>
    <w:multiLevelType w:val="hybridMultilevel"/>
    <w:tmpl w:val="B552A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A2072D"/>
    <w:multiLevelType w:val="hybridMultilevel"/>
    <w:tmpl w:val="B5D2CB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D241E5"/>
    <w:multiLevelType w:val="hybridMultilevel"/>
    <w:tmpl w:val="4A0409EE"/>
    <w:lvl w:ilvl="0" w:tplc="40E62A2C">
      <w:start w:val="1"/>
      <w:numFmt w:val="decimal"/>
      <w:lvlText w:val="Figura %1."/>
      <w:lvlJc w:val="left"/>
      <w:pPr>
        <w:ind w:left="2160" w:hanging="360"/>
      </w:pPr>
      <w:rPr>
        <w:rFonts w:ascii="Arial" w:hAnsi="Arial" w:cs="Arial" w:hint="default"/>
        <w:b/>
        <w:i w:val="0"/>
        <w:color w:val="auto"/>
        <w:sz w:val="22"/>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15:restartNumberingAfterBreak="0">
    <w:nsid w:val="387355B1"/>
    <w:multiLevelType w:val="hybridMultilevel"/>
    <w:tmpl w:val="4DAE6C06"/>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CB7C6A"/>
    <w:multiLevelType w:val="hybridMultilevel"/>
    <w:tmpl w:val="CBF62A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812F03"/>
    <w:multiLevelType w:val="hybridMultilevel"/>
    <w:tmpl w:val="6B34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10D0"/>
    <w:multiLevelType w:val="hybridMultilevel"/>
    <w:tmpl w:val="5A3E6E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DC26F43"/>
    <w:multiLevelType w:val="hybridMultilevel"/>
    <w:tmpl w:val="41A6F01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C82FA6"/>
    <w:multiLevelType w:val="hybridMultilevel"/>
    <w:tmpl w:val="9D1E0E4E"/>
    <w:lvl w:ilvl="0" w:tplc="2DEE50E4">
      <w:start w:val="1"/>
      <w:numFmt w:val="lowerRoman"/>
      <w:lvlText w:val="%1)"/>
      <w:lvlJc w:val="left"/>
      <w:pPr>
        <w:ind w:left="3060" w:hanging="720"/>
      </w:pPr>
      <w:rPr>
        <w:rFonts w:hint="default"/>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22" w15:restartNumberingAfterBreak="0">
    <w:nsid w:val="3EF623D3"/>
    <w:multiLevelType w:val="hybridMultilevel"/>
    <w:tmpl w:val="697C589A"/>
    <w:lvl w:ilvl="0" w:tplc="87CC1ADA">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F56692"/>
    <w:multiLevelType w:val="hybridMultilevel"/>
    <w:tmpl w:val="9984C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046E99"/>
    <w:multiLevelType w:val="hybridMultilevel"/>
    <w:tmpl w:val="02C227B0"/>
    <w:lvl w:ilvl="0" w:tplc="A56463DA">
      <w:start w:val="1"/>
      <w:numFmt w:val="decimal"/>
      <w:pStyle w:val="Subtema"/>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79313A7"/>
    <w:multiLevelType w:val="hybridMultilevel"/>
    <w:tmpl w:val="3E3011D2"/>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A71632"/>
    <w:multiLevelType w:val="hybridMultilevel"/>
    <w:tmpl w:val="34BEC6C6"/>
    <w:lvl w:ilvl="0" w:tplc="2DEE50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B366F7"/>
    <w:multiLevelType w:val="hybridMultilevel"/>
    <w:tmpl w:val="E2883A56"/>
    <w:lvl w:ilvl="0" w:tplc="53F66C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CD14E0"/>
    <w:multiLevelType w:val="hybridMultilevel"/>
    <w:tmpl w:val="07800E62"/>
    <w:lvl w:ilvl="0" w:tplc="85A44DDA">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A15347"/>
    <w:multiLevelType w:val="hybridMultilevel"/>
    <w:tmpl w:val="491E64E4"/>
    <w:lvl w:ilvl="0" w:tplc="85A44DDA">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F35581"/>
    <w:multiLevelType w:val="hybridMultilevel"/>
    <w:tmpl w:val="DDC09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77273C"/>
    <w:multiLevelType w:val="hybridMultilevel"/>
    <w:tmpl w:val="7076E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5D188C"/>
    <w:multiLevelType w:val="hybridMultilevel"/>
    <w:tmpl w:val="CBF62A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9B6EC7"/>
    <w:multiLevelType w:val="hybridMultilevel"/>
    <w:tmpl w:val="8EA6D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487AD7"/>
    <w:multiLevelType w:val="hybridMultilevel"/>
    <w:tmpl w:val="A1DE7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AE505E"/>
    <w:multiLevelType w:val="hybridMultilevel"/>
    <w:tmpl w:val="CBDEB01C"/>
    <w:lvl w:ilvl="0" w:tplc="7834F5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7A3706"/>
    <w:multiLevelType w:val="hybridMultilevel"/>
    <w:tmpl w:val="2C6CAC70"/>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90487A"/>
    <w:multiLevelType w:val="hybridMultilevel"/>
    <w:tmpl w:val="993CFCD6"/>
    <w:lvl w:ilvl="0" w:tplc="E224357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FE7507"/>
    <w:multiLevelType w:val="hybridMultilevel"/>
    <w:tmpl w:val="AB3A5D4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0" w15:restartNumberingAfterBreak="0">
    <w:nsid w:val="6AF44F1E"/>
    <w:multiLevelType w:val="hybridMultilevel"/>
    <w:tmpl w:val="5600D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55743F"/>
    <w:multiLevelType w:val="hybridMultilevel"/>
    <w:tmpl w:val="B2A28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301581"/>
    <w:multiLevelType w:val="multilevel"/>
    <w:tmpl w:val="AE1CDBC2"/>
    <w:lvl w:ilvl="0">
      <w:start w:val="1"/>
      <w:numFmt w:val="bullet"/>
      <w:lvlText w:val=""/>
      <w:lvlJc w:val="left"/>
      <w:pPr>
        <w:ind w:left="644" w:hanging="360"/>
      </w:pPr>
      <w:rPr>
        <w:rFonts w:ascii="Symbol" w:hAnsi="Symbol" w:hint="default"/>
      </w:rPr>
    </w:lvl>
    <w:lvl w:ilvl="1">
      <w:start w:val="1"/>
      <w:numFmt w:val="bullet"/>
      <w:lvlText w:val="-"/>
      <w:lvlJc w:val="left"/>
      <w:pPr>
        <w:ind w:left="792" w:hanging="432"/>
      </w:pPr>
      <w:rPr>
        <w:rFonts w:ascii="Arial" w:eastAsiaTheme="minorHAnsi"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A61E94"/>
    <w:multiLevelType w:val="hybridMultilevel"/>
    <w:tmpl w:val="E44A9A9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167F21"/>
    <w:multiLevelType w:val="hybridMultilevel"/>
    <w:tmpl w:val="F6F49558"/>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7"/>
  </w:num>
  <w:num w:numId="3">
    <w:abstractNumId w:val="41"/>
  </w:num>
  <w:num w:numId="4">
    <w:abstractNumId w:val="24"/>
  </w:num>
  <w:num w:numId="5">
    <w:abstractNumId w:val="5"/>
  </w:num>
  <w:num w:numId="6">
    <w:abstractNumId w:val="22"/>
  </w:num>
  <w:num w:numId="7">
    <w:abstractNumId w:val="21"/>
  </w:num>
  <w:num w:numId="8">
    <w:abstractNumId w:val="1"/>
  </w:num>
  <w:num w:numId="9">
    <w:abstractNumId w:val="20"/>
  </w:num>
  <w:num w:numId="10">
    <w:abstractNumId w:val="42"/>
  </w:num>
  <w:num w:numId="11">
    <w:abstractNumId w:val="25"/>
  </w:num>
  <w:num w:numId="12">
    <w:abstractNumId w:val="0"/>
  </w:num>
  <w:num w:numId="13">
    <w:abstractNumId w:val="17"/>
  </w:num>
  <w:num w:numId="14">
    <w:abstractNumId w:val="11"/>
  </w:num>
  <w:num w:numId="15">
    <w:abstractNumId w:val="10"/>
  </w:num>
  <w:num w:numId="16">
    <w:abstractNumId w:val="12"/>
  </w:num>
  <w:num w:numId="17">
    <w:abstractNumId w:val="18"/>
  </w:num>
  <w:num w:numId="18">
    <w:abstractNumId w:val="26"/>
  </w:num>
  <w:num w:numId="19">
    <w:abstractNumId w:val="15"/>
  </w:num>
  <w:num w:numId="20">
    <w:abstractNumId w:val="14"/>
  </w:num>
  <w:num w:numId="21">
    <w:abstractNumId w:val="4"/>
  </w:num>
  <w:num w:numId="22">
    <w:abstractNumId w:val="13"/>
  </w:num>
  <w:num w:numId="23">
    <w:abstractNumId w:val="35"/>
  </w:num>
  <w:num w:numId="24">
    <w:abstractNumId w:val="9"/>
  </w:num>
  <w:num w:numId="25">
    <w:abstractNumId w:val="32"/>
  </w:num>
  <w:num w:numId="26">
    <w:abstractNumId w:val="43"/>
  </w:num>
  <w:num w:numId="27">
    <w:abstractNumId w:val="6"/>
  </w:num>
  <w:num w:numId="28">
    <w:abstractNumId w:val="8"/>
  </w:num>
  <w:num w:numId="29">
    <w:abstractNumId w:val="37"/>
  </w:num>
  <w:num w:numId="30">
    <w:abstractNumId w:val="16"/>
  </w:num>
  <w:num w:numId="31">
    <w:abstractNumId w:val="44"/>
  </w:num>
  <w:num w:numId="32">
    <w:abstractNumId w:val="2"/>
  </w:num>
  <w:num w:numId="33">
    <w:abstractNumId w:val="31"/>
  </w:num>
  <w:num w:numId="34">
    <w:abstractNumId w:val="39"/>
  </w:num>
  <w:num w:numId="35">
    <w:abstractNumId w:val="40"/>
  </w:num>
  <w:num w:numId="36">
    <w:abstractNumId w:val="27"/>
  </w:num>
  <w:num w:numId="37">
    <w:abstractNumId w:val="33"/>
  </w:num>
  <w:num w:numId="38">
    <w:abstractNumId w:val="34"/>
  </w:num>
  <w:num w:numId="39">
    <w:abstractNumId w:val="23"/>
  </w:num>
  <w:num w:numId="40">
    <w:abstractNumId w:val="29"/>
  </w:num>
  <w:num w:numId="41">
    <w:abstractNumId w:val="28"/>
  </w:num>
  <w:num w:numId="42">
    <w:abstractNumId w:val="38"/>
  </w:num>
  <w:num w:numId="43">
    <w:abstractNumId w:val="30"/>
  </w:num>
  <w:num w:numId="44">
    <w:abstractNumId w:val="3"/>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CF"/>
    <w:rsid w:val="00000DA5"/>
    <w:rsid w:val="0000247F"/>
    <w:rsid w:val="00002564"/>
    <w:rsid w:val="00002D91"/>
    <w:rsid w:val="000045E5"/>
    <w:rsid w:val="000047A3"/>
    <w:rsid w:val="00004848"/>
    <w:rsid w:val="00004BA6"/>
    <w:rsid w:val="00005A78"/>
    <w:rsid w:val="000070FF"/>
    <w:rsid w:val="00010D9D"/>
    <w:rsid w:val="00012092"/>
    <w:rsid w:val="00012384"/>
    <w:rsid w:val="000143BF"/>
    <w:rsid w:val="000146DA"/>
    <w:rsid w:val="00015008"/>
    <w:rsid w:val="00015B72"/>
    <w:rsid w:val="00016B01"/>
    <w:rsid w:val="00017215"/>
    <w:rsid w:val="00017765"/>
    <w:rsid w:val="00020039"/>
    <w:rsid w:val="00020900"/>
    <w:rsid w:val="000209AC"/>
    <w:rsid w:val="00021217"/>
    <w:rsid w:val="00022E5F"/>
    <w:rsid w:val="00023DB9"/>
    <w:rsid w:val="00024668"/>
    <w:rsid w:val="00024A45"/>
    <w:rsid w:val="00025632"/>
    <w:rsid w:val="00026067"/>
    <w:rsid w:val="000268BC"/>
    <w:rsid w:val="0003106F"/>
    <w:rsid w:val="000310A5"/>
    <w:rsid w:val="00033979"/>
    <w:rsid w:val="000339F7"/>
    <w:rsid w:val="00034263"/>
    <w:rsid w:val="0003473B"/>
    <w:rsid w:val="000349B1"/>
    <w:rsid w:val="00034B90"/>
    <w:rsid w:val="00035121"/>
    <w:rsid w:val="0003578B"/>
    <w:rsid w:val="00036D0E"/>
    <w:rsid w:val="0004084B"/>
    <w:rsid w:val="00041750"/>
    <w:rsid w:val="00042EE4"/>
    <w:rsid w:val="0004325F"/>
    <w:rsid w:val="00043AB9"/>
    <w:rsid w:val="00043AC9"/>
    <w:rsid w:val="00043E1D"/>
    <w:rsid w:val="00044064"/>
    <w:rsid w:val="00044784"/>
    <w:rsid w:val="0004667C"/>
    <w:rsid w:val="00047061"/>
    <w:rsid w:val="00047B8C"/>
    <w:rsid w:val="00047EA1"/>
    <w:rsid w:val="0005065C"/>
    <w:rsid w:val="00050838"/>
    <w:rsid w:val="0005283A"/>
    <w:rsid w:val="00053A24"/>
    <w:rsid w:val="00055ADA"/>
    <w:rsid w:val="00060F8B"/>
    <w:rsid w:val="000618D8"/>
    <w:rsid w:val="000620A9"/>
    <w:rsid w:val="000630E5"/>
    <w:rsid w:val="00064591"/>
    <w:rsid w:val="00070ADF"/>
    <w:rsid w:val="00072BD8"/>
    <w:rsid w:val="0007557E"/>
    <w:rsid w:val="00075839"/>
    <w:rsid w:val="000760C8"/>
    <w:rsid w:val="000765BB"/>
    <w:rsid w:val="000808AC"/>
    <w:rsid w:val="00080D06"/>
    <w:rsid w:val="000816B4"/>
    <w:rsid w:val="00083308"/>
    <w:rsid w:val="00084F1C"/>
    <w:rsid w:val="00084FF6"/>
    <w:rsid w:val="000872CE"/>
    <w:rsid w:val="00087C08"/>
    <w:rsid w:val="000902F7"/>
    <w:rsid w:val="0009059C"/>
    <w:rsid w:val="0009169B"/>
    <w:rsid w:val="00093FFB"/>
    <w:rsid w:val="00094E7B"/>
    <w:rsid w:val="00095198"/>
    <w:rsid w:val="000972D0"/>
    <w:rsid w:val="000A0635"/>
    <w:rsid w:val="000A0BE8"/>
    <w:rsid w:val="000A0D17"/>
    <w:rsid w:val="000A23BE"/>
    <w:rsid w:val="000A3631"/>
    <w:rsid w:val="000B00B2"/>
    <w:rsid w:val="000B0B43"/>
    <w:rsid w:val="000B0DAC"/>
    <w:rsid w:val="000B0DC3"/>
    <w:rsid w:val="000B2362"/>
    <w:rsid w:val="000B2D2D"/>
    <w:rsid w:val="000B3BE9"/>
    <w:rsid w:val="000B633D"/>
    <w:rsid w:val="000B671C"/>
    <w:rsid w:val="000B6C6B"/>
    <w:rsid w:val="000B6D54"/>
    <w:rsid w:val="000B7383"/>
    <w:rsid w:val="000C0DEA"/>
    <w:rsid w:val="000C11AB"/>
    <w:rsid w:val="000C1FE3"/>
    <w:rsid w:val="000C4BEE"/>
    <w:rsid w:val="000C5501"/>
    <w:rsid w:val="000C5E23"/>
    <w:rsid w:val="000C607A"/>
    <w:rsid w:val="000C623D"/>
    <w:rsid w:val="000C7327"/>
    <w:rsid w:val="000D4D74"/>
    <w:rsid w:val="000D5517"/>
    <w:rsid w:val="000D5C30"/>
    <w:rsid w:val="000D5EBF"/>
    <w:rsid w:val="000D6D49"/>
    <w:rsid w:val="000D6EAF"/>
    <w:rsid w:val="000D6F64"/>
    <w:rsid w:val="000D7361"/>
    <w:rsid w:val="000D7478"/>
    <w:rsid w:val="000D7D74"/>
    <w:rsid w:val="000E0978"/>
    <w:rsid w:val="000E234F"/>
    <w:rsid w:val="000E237C"/>
    <w:rsid w:val="000E366A"/>
    <w:rsid w:val="000E5026"/>
    <w:rsid w:val="000F03D0"/>
    <w:rsid w:val="000F0B6D"/>
    <w:rsid w:val="000F0E12"/>
    <w:rsid w:val="000F117A"/>
    <w:rsid w:val="000F164A"/>
    <w:rsid w:val="000F1BA9"/>
    <w:rsid w:val="000F2283"/>
    <w:rsid w:val="000F5DCE"/>
    <w:rsid w:val="000F619C"/>
    <w:rsid w:val="000F6258"/>
    <w:rsid w:val="000F6355"/>
    <w:rsid w:val="001001BA"/>
    <w:rsid w:val="00100C0E"/>
    <w:rsid w:val="001018A0"/>
    <w:rsid w:val="00101DFC"/>
    <w:rsid w:val="001022B7"/>
    <w:rsid w:val="0010434F"/>
    <w:rsid w:val="00104BB9"/>
    <w:rsid w:val="00105376"/>
    <w:rsid w:val="0010553E"/>
    <w:rsid w:val="00107B4A"/>
    <w:rsid w:val="001105DB"/>
    <w:rsid w:val="00110BEA"/>
    <w:rsid w:val="0011217F"/>
    <w:rsid w:val="00112FC4"/>
    <w:rsid w:val="00113CD9"/>
    <w:rsid w:val="00115A1C"/>
    <w:rsid w:val="0011656A"/>
    <w:rsid w:val="00116EB4"/>
    <w:rsid w:val="00116EC7"/>
    <w:rsid w:val="001173CC"/>
    <w:rsid w:val="001229D4"/>
    <w:rsid w:val="00122AB2"/>
    <w:rsid w:val="00123FA7"/>
    <w:rsid w:val="00124644"/>
    <w:rsid w:val="00124A0D"/>
    <w:rsid w:val="00125269"/>
    <w:rsid w:val="001252A0"/>
    <w:rsid w:val="0012549E"/>
    <w:rsid w:val="00125789"/>
    <w:rsid w:val="0012765F"/>
    <w:rsid w:val="001339C6"/>
    <w:rsid w:val="00133E5E"/>
    <w:rsid w:val="001346F2"/>
    <w:rsid w:val="00134726"/>
    <w:rsid w:val="00137437"/>
    <w:rsid w:val="00137CD6"/>
    <w:rsid w:val="00137EA6"/>
    <w:rsid w:val="00140AA5"/>
    <w:rsid w:val="00140E8E"/>
    <w:rsid w:val="001412B5"/>
    <w:rsid w:val="00141BEC"/>
    <w:rsid w:val="0014216B"/>
    <w:rsid w:val="00142A36"/>
    <w:rsid w:val="00143084"/>
    <w:rsid w:val="00144C0D"/>
    <w:rsid w:val="001463C2"/>
    <w:rsid w:val="001467B0"/>
    <w:rsid w:val="00146A74"/>
    <w:rsid w:val="00146FA2"/>
    <w:rsid w:val="0014752D"/>
    <w:rsid w:val="00152067"/>
    <w:rsid w:val="00153671"/>
    <w:rsid w:val="00154AAE"/>
    <w:rsid w:val="00162FE0"/>
    <w:rsid w:val="00163547"/>
    <w:rsid w:val="0016456B"/>
    <w:rsid w:val="0016484D"/>
    <w:rsid w:val="001653E5"/>
    <w:rsid w:val="0016728D"/>
    <w:rsid w:val="00167480"/>
    <w:rsid w:val="001677B1"/>
    <w:rsid w:val="00167815"/>
    <w:rsid w:val="00170028"/>
    <w:rsid w:val="001713F2"/>
    <w:rsid w:val="00172BCA"/>
    <w:rsid w:val="00173E7F"/>
    <w:rsid w:val="001756DD"/>
    <w:rsid w:val="00177445"/>
    <w:rsid w:val="001805F4"/>
    <w:rsid w:val="00181131"/>
    <w:rsid w:val="00181262"/>
    <w:rsid w:val="0018188D"/>
    <w:rsid w:val="00185679"/>
    <w:rsid w:val="00185A29"/>
    <w:rsid w:val="00185C1F"/>
    <w:rsid w:val="00185CBA"/>
    <w:rsid w:val="0018681D"/>
    <w:rsid w:val="00187045"/>
    <w:rsid w:val="00190292"/>
    <w:rsid w:val="00190F90"/>
    <w:rsid w:val="00192918"/>
    <w:rsid w:val="00192F26"/>
    <w:rsid w:val="00194D80"/>
    <w:rsid w:val="00194E7A"/>
    <w:rsid w:val="00195D59"/>
    <w:rsid w:val="00196602"/>
    <w:rsid w:val="00197335"/>
    <w:rsid w:val="0019789F"/>
    <w:rsid w:val="001A227F"/>
    <w:rsid w:val="001A3A60"/>
    <w:rsid w:val="001A5450"/>
    <w:rsid w:val="001A601C"/>
    <w:rsid w:val="001B142D"/>
    <w:rsid w:val="001B2F86"/>
    <w:rsid w:val="001B5DFE"/>
    <w:rsid w:val="001B61C0"/>
    <w:rsid w:val="001B6E24"/>
    <w:rsid w:val="001B7722"/>
    <w:rsid w:val="001C0BFF"/>
    <w:rsid w:val="001C190E"/>
    <w:rsid w:val="001C1A63"/>
    <w:rsid w:val="001C2DDB"/>
    <w:rsid w:val="001C3FC8"/>
    <w:rsid w:val="001C4455"/>
    <w:rsid w:val="001C5B2D"/>
    <w:rsid w:val="001C5E62"/>
    <w:rsid w:val="001C75B7"/>
    <w:rsid w:val="001D1435"/>
    <w:rsid w:val="001D1A7C"/>
    <w:rsid w:val="001D21CD"/>
    <w:rsid w:val="001D2781"/>
    <w:rsid w:val="001D390D"/>
    <w:rsid w:val="001D78CE"/>
    <w:rsid w:val="001E35CF"/>
    <w:rsid w:val="001E490D"/>
    <w:rsid w:val="001F0411"/>
    <w:rsid w:val="001F31E7"/>
    <w:rsid w:val="001F5A0F"/>
    <w:rsid w:val="001F7167"/>
    <w:rsid w:val="001F7981"/>
    <w:rsid w:val="00201F8F"/>
    <w:rsid w:val="00202231"/>
    <w:rsid w:val="002029E4"/>
    <w:rsid w:val="0020348D"/>
    <w:rsid w:val="002042E8"/>
    <w:rsid w:val="0020445A"/>
    <w:rsid w:val="00204B07"/>
    <w:rsid w:val="0020653D"/>
    <w:rsid w:val="00206A41"/>
    <w:rsid w:val="00211578"/>
    <w:rsid w:val="002128C4"/>
    <w:rsid w:val="00213B5C"/>
    <w:rsid w:val="002140D1"/>
    <w:rsid w:val="0021485D"/>
    <w:rsid w:val="00214C3C"/>
    <w:rsid w:val="002164C0"/>
    <w:rsid w:val="00220056"/>
    <w:rsid w:val="00221228"/>
    <w:rsid w:val="00222887"/>
    <w:rsid w:val="00222EFF"/>
    <w:rsid w:val="0022306A"/>
    <w:rsid w:val="002244B9"/>
    <w:rsid w:val="00225150"/>
    <w:rsid w:val="00225851"/>
    <w:rsid w:val="00225FA2"/>
    <w:rsid w:val="0022750A"/>
    <w:rsid w:val="00227A3C"/>
    <w:rsid w:val="00230016"/>
    <w:rsid w:val="00230441"/>
    <w:rsid w:val="00232D72"/>
    <w:rsid w:val="002346AF"/>
    <w:rsid w:val="00234859"/>
    <w:rsid w:val="00234E90"/>
    <w:rsid w:val="0023594D"/>
    <w:rsid w:val="00237988"/>
    <w:rsid w:val="00241E65"/>
    <w:rsid w:val="00242DFD"/>
    <w:rsid w:val="00243C9A"/>
    <w:rsid w:val="0024410E"/>
    <w:rsid w:val="0024471F"/>
    <w:rsid w:val="00244A6A"/>
    <w:rsid w:val="00245B0A"/>
    <w:rsid w:val="00245C5E"/>
    <w:rsid w:val="00247EFF"/>
    <w:rsid w:val="00250FD0"/>
    <w:rsid w:val="0025370F"/>
    <w:rsid w:val="00253EC5"/>
    <w:rsid w:val="002559DE"/>
    <w:rsid w:val="00255C09"/>
    <w:rsid w:val="00256127"/>
    <w:rsid w:val="00256C81"/>
    <w:rsid w:val="0025739B"/>
    <w:rsid w:val="00260675"/>
    <w:rsid w:val="00260CBE"/>
    <w:rsid w:val="00261EBE"/>
    <w:rsid w:val="00264E57"/>
    <w:rsid w:val="00265B83"/>
    <w:rsid w:val="00266A48"/>
    <w:rsid w:val="00266CC8"/>
    <w:rsid w:val="002673C4"/>
    <w:rsid w:val="00267520"/>
    <w:rsid w:val="00267F43"/>
    <w:rsid w:val="00270BF6"/>
    <w:rsid w:val="00271D7B"/>
    <w:rsid w:val="00272C67"/>
    <w:rsid w:val="00272C9B"/>
    <w:rsid w:val="00272CEF"/>
    <w:rsid w:val="0027455C"/>
    <w:rsid w:val="00274648"/>
    <w:rsid w:val="002761D5"/>
    <w:rsid w:val="0027644C"/>
    <w:rsid w:val="00277037"/>
    <w:rsid w:val="0027728B"/>
    <w:rsid w:val="00277FF5"/>
    <w:rsid w:val="002804B3"/>
    <w:rsid w:val="00280B81"/>
    <w:rsid w:val="0028117E"/>
    <w:rsid w:val="00282197"/>
    <w:rsid w:val="00282D6D"/>
    <w:rsid w:val="00283CB5"/>
    <w:rsid w:val="00285F37"/>
    <w:rsid w:val="002872B6"/>
    <w:rsid w:val="002902C5"/>
    <w:rsid w:val="00291BDC"/>
    <w:rsid w:val="00292354"/>
    <w:rsid w:val="002931E1"/>
    <w:rsid w:val="002940AC"/>
    <w:rsid w:val="002951CC"/>
    <w:rsid w:val="0029603D"/>
    <w:rsid w:val="002A064E"/>
    <w:rsid w:val="002A082E"/>
    <w:rsid w:val="002A120A"/>
    <w:rsid w:val="002A255C"/>
    <w:rsid w:val="002A4B73"/>
    <w:rsid w:val="002A4CC8"/>
    <w:rsid w:val="002A4F7D"/>
    <w:rsid w:val="002A5195"/>
    <w:rsid w:val="002A57BC"/>
    <w:rsid w:val="002A635E"/>
    <w:rsid w:val="002A6786"/>
    <w:rsid w:val="002A7B18"/>
    <w:rsid w:val="002A7B2A"/>
    <w:rsid w:val="002B07F1"/>
    <w:rsid w:val="002B09FC"/>
    <w:rsid w:val="002B1569"/>
    <w:rsid w:val="002B1E4A"/>
    <w:rsid w:val="002B3AE1"/>
    <w:rsid w:val="002B404D"/>
    <w:rsid w:val="002B5C9A"/>
    <w:rsid w:val="002B6E90"/>
    <w:rsid w:val="002B727C"/>
    <w:rsid w:val="002B7430"/>
    <w:rsid w:val="002B74EE"/>
    <w:rsid w:val="002C0E5D"/>
    <w:rsid w:val="002C0EF9"/>
    <w:rsid w:val="002C485A"/>
    <w:rsid w:val="002C5B83"/>
    <w:rsid w:val="002D19A5"/>
    <w:rsid w:val="002D3D3F"/>
    <w:rsid w:val="002D4058"/>
    <w:rsid w:val="002D443D"/>
    <w:rsid w:val="002D47F6"/>
    <w:rsid w:val="002D5B35"/>
    <w:rsid w:val="002D74E2"/>
    <w:rsid w:val="002E0E8D"/>
    <w:rsid w:val="002E263D"/>
    <w:rsid w:val="002E3596"/>
    <w:rsid w:val="002E436E"/>
    <w:rsid w:val="002E4582"/>
    <w:rsid w:val="002E4FF6"/>
    <w:rsid w:val="002E54CE"/>
    <w:rsid w:val="002E5A4D"/>
    <w:rsid w:val="002E6160"/>
    <w:rsid w:val="002E63B1"/>
    <w:rsid w:val="002E70AF"/>
    <w:rsid w:val="002E755C"/>
    <w:rsid w:val="002E7ABE"/>
    <w:rsid w:val="002F0954"/>
    <w:rsid w:val="002F22AE"/>
    <w:rsid w:val="002F3509"/>
    <w:rsid w:val="002F451B"/>
    <w:rsid w:val="002F560B"/>
    <w:rsid w:val="002F5C10"/>
    <w:rsid w:val="00300A23"/>
    <w:rsid w:val="00300A75"/>
    <w:rsid w:val="00303CA3"/>
    <w:rsid w:val="00303D29"/>
    <w:rsid w:val="0030602C"/>
    <w:rsid w:val="00306155"/>
    <w:rsid w:val="00307DE9"/>
    <w:rsid w:val="00310B56"/>
    <w:rsid w:val="0031115E"/>
    <w:rsid w:val="00313301"/>
    <w:rsid w:val="0031356D"/>
    <w:rsid w:val="003136DD"/>
    <w:rsid w:val="00314C1D"/>
    <w:rsid w:val="00314C30"/>
    <w:rsid w:val="00314E21"/>
    <w:rsid w:val="00315B10"/>
    <w:rsid w:val="003164E1"/>
    <w:rsid w:val="00322B6C"/>
    <w:rsid w:val="00324B04"/>
    <w:rsid w:val="00325A56"/>
    <w:rsid w:val="00327290"/>
    <w:rsid w:val="0032748D"/>
    <w:rsid w:val="0033078C"/>
    <w:rsid w:val="00331001"/>
    <w:rsid w:val="00332D6E"/>
    <w:rsid w:val="0033442A"/>
    <w:rsid w:val="0033564A"/>
    <w:rsid w:val="00335D03"/>
    <w:rsid w:val="00336F5E"/>
    <w:rsid w:val="00337C10"/>
    <w:rsid w:val="003400DB"/>
    <w:rsid w:val="0034139E"/>
    <w:rsid w:val="00341654"/>
    <w:rsid w:val="00342FE5"/>
    <w:rsid w:val="003431EB"/>
    <w:rsid w:val="0034471F"/>
    <w:rsid w:val="00345298"/>
    <w:rsid w:val="00345C6C"/>
    <w:rsid w:val="00346FD8"/>
    <w:rsid w:val="00347925"/>
    <w:rsid w:val="00350282"/>
    <w:rsid w:val="0035185E"/>
    <w:rsid w:val="00351B41"/>
    <w:rsid w:val="00351CE4"/>
    <w:rsid w:val="0035399C"/>
    <w:rsid w:val="003545C8"/>
    <w:rsid w:val="00355256"/>
    <w:rsid w:val="00355592"/>
    <w:rsid w:val="00357C22"/>
    <w:rsid w:val="003606DD"/>
    <w:rsid w:val="00362F92"/>
    <w:rsid w:val="00363C8D"/>
    <w:rsid w:val="00365044"/>
    <w:rsid w:val="003665C2"/>
    <w:rsid w:val="00367E87"/>
    <w:rsid w:val="0037075F"/>
    <w:rsid w:val="00371229"/>
    <w:rsid w:val="0037350D"/>
    <w:rsid w:val="00373D69"/>
    <w:rsid w:val="00374F47"/>
    <w:rsid w:val="003753CE"/>
    <w:rsid w:val="00376361"/>
    <w:rsid w:val="003768EE"/>
    <w:rsid w:val="00377728"/>
    <w:rsid w:val="00377883"/>
    <w:rsid w:val="00377E6A"/>
    <w:rsid w:val="003805F8"/>
    <w:rsid w:val="00380DAD"/>
    <w:rsid w:val="003819E1"/>
    <w:rsid w:val="00384004"/>
    <w:rsid w:val="00384554"/>
    <w:rsid w:val="003851EC"/>
    <w:rsid w:val="00385A57"/>
    <w:rsid w:val="00390C4A"/>
    <w:rsid w:val="0039184A"/>
    <w:rsid w:val="003926CD"/>
    <w:rsid w:val="003930D8"/>
    <w:rsid w:val="0039496F"/>
    <w:rsid w:val="00395D5D"/>
    <w:rsid w:val="003972C1"/>
    <w:rsid w:val="003979B2"/>
    <w:rsid w:val="003A0FE0"/>
    <w:rsid w:val="003A11E0"/>
    <w:rsid w:val="003A1438"/>
    <w:rsid w:val="003A2251"/>
    <w:rsid w:val="003A33AD"/>
    <w:rsid w:val="003A47DE"/>
    <w:rsid w:val="003A5746"/>
    <w:rsid w:val="003A605F"/>
    <w:rsid w:val="003A79DA"/>
    <w:rsid w:val="003B02C3"/>
    <w:rsid w:val="003B18B1"/>
    <w:rsid w:val="003B1B0E"/>
    <w:rsid w:val="003B4E70"/>
    <w:rsid w:val="003C0E86"/>
    <w:rsid w:val="003C0F29"/>
    <w:rsid w:val="003C11FA"/>
    <w:rsid w:val="003C17CD"/>
    <w:rsid w:val="003C246F"/>
    <w:rsid w:val="003C52BE"/>
    <w:rsid w:val="003C579C"/>
    <w:rsid w:val="003C5C35"/>
    <w:rsid w:val="003C5DCE"/>
    <w:rsid w:val="003C6C96"/>
    <w:rsid w:val="003C791C"/>
    <w:rsid w:val="003C7A7E"/>
    <w:rsid w:val="003D0B8E"/>
    <w:rsid w:val="003D2F73"/>
    <w:rsid w:val="003D44B7"/>
    <w:rsid w:val="003D5AA3"/>
    <w:rsid w:val="003D647B"/>
    <w:rsid w:val="003D68EF"/>
    <w:rsid w:val="003D6D2F"/>
    <w:rsid w:val="003E1FCE"/>
    <w:rsid w:val="003E5BB7"/>
    <w:rsid w:val="003E600A"/>
    <w:rsid w:val="003E6590"/>
    <w:rsid w:val="003E662A"/>
    <w:rsid w:val="003E67E8"/>
    <w:rsid w:val="003E68AE"/>
    <w:rsid w:val="003E6BBA"/>
    <w:rsid w:val="003E7B36"/>
    <w:rsid w:val="003F104F"/>
    <w:rsid w:val="003F15F1"/>
    <w:rsid w:val="003F1647"/>
    <w:rsid w:val="003F22F2"/>
    <w:rsid w:val="003F30B8"/>
    <w:rsid w:val="003F54FB"/>
    <w:rsid w:val="003F5D9B"/>
    <w:rsid w:val="003F5E71"/>
    <w:rsid w:val="003F6902"/>
    <w:rsid w:val="003F6E64"/>
    <w:rsid w:val="003F7676"/>
    <w:rsid w:val="003F7A6D"/>
    <w:rsid w:val="00400DB3"/>
    <w:rsid w:val="00401763"/>
    <w:rsid w:val="0040188F"/>
    <w:rsid w:val="004033D8"/>
    <w:rsid w:val="00407C0A"/>
    <w:rsid w:val="00412912"/>
    <w:rsid w:val="00413586"/>
    <w:rsid w:val="0041429B"/>
    <w:rsid w:val="004201AB"/>
    <w:rsid w:val="00420CA2"/>
    <w:rsid w:val="004211FA"/>
    <w:rsid w:val="0042161F"/>
    <w:rsid w:val="00421D08"/>
    <w:rsid w:val="004223DC"/>
    <w:rsid w:val="00425849"/>
    <w:rsid w:val="00425FA5"/>
    <w:rsid w:val="00426212"/>
    <w:rsid w:val="00426C4D"/>
    <w:rsid w:val="00427962"/>
    <w:rsid w:val="004329D2"/>
    <w:rsid w:val="00433421"/>
    <w:rsid w:val="004354DC"/>
    <w:rsid w:val="00435852"/>
    <w:rsid w:val="00440552"/>
    <w:rsid w:val="004414EC"/>
    <w:rsid w:val="004428AE"/>
    <w:rsid w:val="00442A49"/>
    <w:rsid w:val="00443905"/>
    <w:rsid w:val="00446512"/>
    <w:rsid w:val="00446C15"/>
    <w:rsid w:val="00451E55"/>
    <w:rsid w:val="004553B0"/>
    <w:rsid w:val="004562B3"/>
    <w:rsid w:val="004579DB"/>
    <w:rsid w:val="00460187"/>
    <w:rsid w:val="00460522"/>
    <w:rsid w:val="00462902"/>
    <w:rsid w:val="00462F03"/>
    <w:rsid w:val="004642D8"/>
    <w:rsid w:val="004665A5"/>
    <w:rsid w:val="00466926"/>
    <w:rsid w:val="0046744D"/>
    <w:rsid w:val="00467581"/>
    <w:rsid w:val="004724EC"/>
    <w:rsid w:val="0047285C"/>
    <w:rsid w:val="00473D5E"/>
    <w:rsid w:val="00474253"/>
    <w:rsid w:val="00474D16"/>
    <w:rsid w:val="004750BF"/>
    <w:rsid w:val="0047632A"/>
    <w:rsid w:val="00477A92"/>
    <w:rsid w:val="00477E52"/>
    <w:rsid w:val="00480FD2"/>
    <w:rsid w:val="00481F6F"/>
    <w:rsid w:val="0048238F"/>
    <w:rsid w:val="00484867"/>
    <w:rsid w:val="00487F2B"/>
    <w:rsid w:val="00490515"/>
    <w:rsid w:val="00491A70"/>
    <w:rsid w:val="0049566F"/>
    <w:rsid w:val="004966C2"/>
    <w:rsid w:val="004966E4"/>
    <w:rsid w:val="00496B3A"/>
    <w:rsid w:val="004A14AE"/>
    <w:rsid w:val="004A249E"/>
    <w:rsid w:val="004A446A"/>
    <w:rsid w:val="004A4EAD"/>
    <w:rsid w:val="004A50F3"/>
    <w:rsid w:val="004A6356"/>
    <w:rsid w:val="004B0036"/>
    <w:rsid w:val="004B194B"/>
    <w:rsid w:val="004B252A"/>
    <w:rsid w:val="004B28C8"/>
    <w:rsid w:val="004B2D32"/>
    <w:rsid w:val="004B4755"/>
    <w:rsid w:val="004B6918"/>
    <w:rsid w:val="004B6BF4"/>
    <w:rsid w:val="004B6E06"/>
    <w:rsid w:val="004B6E34"/>
    <w:rsid w:val="004B723D"/>
    <w:rsid w:val="004B760D"/>
    <w:rsid w:val="004B78E8"/>
    <w:rsid w:val="004C0069"/>
    <w:rsid w:val="004C0860"/>
    <w:rsid w:val="004C185C"/>
    <w:rsid w:val="004C22AF"/>
    <w:rsid w:val="004C3FE3"/>
    <w:rsid w:val="004C4791"/>
    <w:rsid w:val="004C7288"/>
    <w:rsid w:val="004C779B"/>
    <w:rsid w:val="004C7C11"/>
    <w:rsid w:val="004D0464"/>
    <w:rsid w:val="004D25C2"/>
    <w:rsid w:val="004D4D97"/>
    <w:rsid w:val="004D5605"/>
    <w:rsid w:val="004D56EE"/>
    <w:rsid w:val="004D6805"/>
    <w:rsid w:val="004D6CEE"/>
    <w:rsid w:val="004D78FE"/>
    <w:rsid w:val="004D79F8"/>
    <w:rsid w:val="004D7ED8"/>
    <w:rsid w:val="004E0610"/>
    <w:rsid w:val="004E2736"/>
    <w:rsid w:val="004E2C3A"/>
    <w:rsid w:val="004E3B72"/>
    <w:rsid w:val="004E3D60"/>
    <w:rsid w:val="004E4F5F"/>
    <w:rsid w:val="004E78CD"/>
    <w:rsid w:val="004F09A0"/>
    <w:rsid w:val="004F0CA1"/>
    <w:rsid w:val="004F1F55"/>
    <w:rsid w:val="004F3F78"/>
    <w:rsid w:val="004F41C6"/>
    <w:rsid w:val="004F555A"/>
    <w:rsid w:val="004F66CD"/>
    <w:rsid w:val="004F732C"/>
    <w:rsid w:val="004F7B08"/>
    <w:rsid w:val="00502CCB"/>
    <w:rsid w:val="005045A4"/>
    <w:rsid w:val="00504776"/>
    <w:rsid w:val="00504C49"/>
    <w:rsid w:val="005051B4"/>
    <w:rsid w:val="005067E4"/>
    <w:rsid w:val="00506D17"/>
    <w:rsid w:val="00510473"/>
    <w:rsid w:val="00514010"/>
    <w:rsid w:val="0051446F"/>
    <w:rsid w:val="00515DB3"/>
    <w:rsid w:val="00517EF9"/>
    <w:rsid w:val="005216CF"/>
    <w:rsid w:val="005226B1"/>
    <w:rsid w:val="00522B65"/>
    <w:rsid w:val="00523181"/>
    <w:rsid w:val="005232ED"/>
    <w:rsid w:val="00523952"/>
    <w:rsid w:val="00526313"/>
    <w:rsid w:val="00526EE1"/>
    <w:rsid w:val="0053008A"/>
    <w:rsid w:val="005303EE"/>
    <w:rsid w:val="00530FD9"/>
    <w:rsid w:val="0053170A"/>
    <w:rsid w:val="00532D7E"/>
    <w:rsid w:val="00534533"/>
    <w:rsid w:val="00535EE0"/>
    <w:rsid w:val="00540641"/>
    <w:rsid w:val="00540AB4"/>
    <w:rsid w:val="005412D8"/>
    <w:rsid w:val="0054253E"/>
    <w:rsid w:val="00543479"/>
    <w:rsid w:val="005438AF"/>
    <w:rsid w:val="00543EED"/>
    <w:rsid w:val="00544637"/>
    <w:rsid w:val="0054541C"/>
    <w:rsid w:val="00545966"/>
    <w:rsid w:val="00551DDB"/>
    <w:rsid w:val="00552E90"/>
    <w:rsid w:val="0055372F"/>
    <w:rsid w:val="00554170"/>
    <w:rsid w:val="00554360"/>
    <w:rsid w:val="00555308"/>
    <w:rsid w:val="00555D51"/>
    <w:rsid w:val="00555F70"/>
    <w:rsid w:val="00556B89"/>
    <w:rsid w:val="00556C4A"/>
    <w:rsid w:val="00556E5F"/>
    <w:rsid w:val="00560537"/>
    <w:rsid w:val="0056100F"/>
    <w:rsid w:val="0056192D"/>
    <w:rsid w:val="005623CB"/>
    <w:rsid w:val="00562759"/>
    <w:rsid w:val="00562B4A"/>
    <w:rsid w:val="0056317D"/>
    <w:rsid w:val="0056350B"/>
    <w:rsid w:val="00563782"/>
    <w:rsid w:val="00564679"/>
    <w:rsid w:val="00564D4C"/>
    <w:rsid w:val="00564DBB"/>
    <w:rsid w:val="0056549D"/>
    <w:rsid w:val="0056640C"/>
    <w:rsid w:val="005667FB"/>
    <w:rsid w:val="00566F27"/>
    <w:rsid w:val="005671DC"/>
    <w:rsid w:val="005678B7"/>
    <w:rsid w:val="00567D77"/>
    <w:rsid w:val="00567DCC"/>
    <w:rsid w:val="00570B49"/>
    <w:rsid w:val="00571DF0"/>
    <w:rsid w:val="00572AF5"/>
    <w:rsid w:val="00573260"/>
    <w:rsid w:val="00575C7D"/>
    <w:rsid w:val="005765C8"/>
    <w:rsid w:val="00577A56"/>
    <w:rsid w:val="00577B45"/>
    <w:rsid w:val="00577BC3"/>
    <w:rsid w:val="00577F2C"/>
    <w:rsid w:val="00581408"/>
    <w:rsid w:val="00581EB7"/>
    <w:rsid w:val="00582468"/>
    <w:rsid w:val="0058263F"/>
    <w:rsid w:val="00582EE1"/>
    <w:rsid w:val="005833FD"/>
    <w:rsid w:val="005847B5"/>
    <w:rsid w:val="00584E01"/>
    <w:rsid w:val="00584E71"/>
    <w:rsid w:val="00585452"/>
    <w:rsid w:val="00585CAE"/>
    <w:rsid w:val="0058642B"/>
    <w:rsid w:val="00592F76"/>
    <w:rsid w:val="005945E3"/>
    <w:rsid w:val="00594C79"/>
    <w:rsid w:val="0059783B"/>
    <w:rsid w:val="005A0422"/>
    <w:rsid w:val="005A05F2"/>
    <w:rsid w:val="005A1A28"/>
    <w:rsid w:val="005A2563"/>
    <w:rsid w:val="005A261B"/>
    <w:rsid w:val="005A31B9"/>
    <w:rsid w:val="005A3807"/>
    <w:rsid w:val="005A3A5D"/>
    <w:rsid w:val="005A3BEB"/>
    <w:rsid w:val="005A44BC"/>
    <w:rsid w:val="005A6361"/>
    <w:rsid w:val="005A6FFB"/>
    <w:rsid w:val="005A70B5"/>
    <w:rsid w:val="005A7728"/>
    <w:rsid w:val="005A79FB"/>
    <w:rsid w:val="005A7C0F"/>
    <w:rsid w:val="005A7D95"/>
    <w:rsid w:val="005B0E7D"/>
    <w:rsid w:val="005B0F2F"/>
    <w:rsid w:val="005B1B4D"/>
    <w:rsid w:val="005B3E9E"/>
    <w:rsid w:val="005B60AB"/>
    <w:rsid w:val="005B7C2F"/>
    <w:rsid w:val="005C0825"/>
    <w:rsid w:val="005C1EE9"/>
    <w:rsid w:val="005C3874"/>
    <w:rsid w:val="005C490B"/>
    <w:rsid w:val="005C4EAF"/>
    <w:rsid w:val="005C6D56"/>
    <w:rsid w:val="005D038D"/>
    <w:rsid w:val="005D1412"/>
    <w:rsid w:val="005D155A"/>
    <w:rsid w:val="005D1E2D"/>
    <w:rsid w:val="005D3D6D"/>
    <w:rsid w:val="005D4A1E"/>
    <w:rsid w:val="005D5E5C"/>
    <w:rsid w:val="005D614E"/>
    <w:rsid w:val="005D663E"/>
    <w:rsid w:val="005D7698"/>
    <w:rsid w:val="005E0E98"/>
    <w:rsid w:val="005E1B47"/>
    <w:rsid w:val="005E23E0"/>
    <w:rsid w:val="005E2708"/>
    <w:rsid w:val="005E378D"/>
    <w:rsid w:val="005E38DE"/>
    <w:rsid w:val="005E4D97"/>
    <w:rsid w:val="005E6C6E"/>
    <w:rsid w:val="005F0C85"/>
    <w:rsid w:val="005F237E"/>
    <w:rsid w:val="005F27DA"/>
    <w:rsid w:val="005F32FC"/>
    <w:rsid w:val="005F3C22"/>
    <w:rsid w:val="005F41B3"/>
    <w:rsid w:val="005F4FA0"/>
    <w:rsid w:val="005F55B3"/>
    <w:rsid w:val="0060122E"/>
    <w:rsid w:val="0060222B"/>
    <w:rsid w:val="006027E2"/>
    <w:rsid w:val="006060F7"/>
    <w:rsid w:val="0060727F"/>
    <w:rsid w:val="006075BD"/>
    <w:rsid w:val="006117E3"/>
    <w:rsid w:val="00611ECA"/>
    <w:rsid w:val="00612A31"/>
    <w:rsid w:val="0061349A"/>
    <w:rsid w:val="00613A3D"/>
    <w:rsid w:val="00614117"/>
    <w:rsid w:val="00616EDB"/>
    <w:rsid w:val="0062102C"/>
    <w:rsid w:val="0062147B"/>
    <w:rsid w:val="00622454"/>
    <w:rsid w:val="006235B7"/>
    <w:rsid w:val="0063052D"/>
    <w:rsid w:val="00632316"/>
    <w:rsid w:val="00634175"/>
    <w:rsid w:val="0063447B"/>
    <w:rsid w:val="0063539C"/>
    <w:rsid w:val="006363CE"/>
    <w:rsid w:val="00640BF6"/>
    <w:rsid w:val="006419F7"/>
    <w:rsid w:val="00641E15"/>
    <w:rsid w:val="00641E27"/>
    <w:rsid w:val="006420CB"/>
    <w:rsid w:val="006440B0"/>
    <w:rsid w:val="0064437D"/>
    <w:rsid w:val="00644A09"/>
    <w:rsid w:val="0064567F"/>
    <w:rsid w:val="00645D46"/>
    <w:rsid w:val="006461E8"/>
    <w:rsid w:val="006464DA"/>
    <w:rsid w:val="006470E3"/>
    <w:rsid w:val="006506E5"/>
    <w:rsid w:val="00651002"/>
    <w:rsid w:val="00651DCD"/>
    <w:rsid w:val="00652B8D"/>
    <w:rsid w:val="00654097"/>
    <w:rsid w:val="0065649C"/>
    <w:rsid w:val="00657DA0"/>
    <w:rsid w:val="006615C0"/>
    <w:rsid w:val="00662237"/>
    <w:rsid w:val="006633AE"/>
    <w:rsid w:val="0066406A"/>
    <w:rsid w:val="006656BC"/>
    <w:rsid w:val="00670A65"/>
    <w:rsid w:val="006716B3"/>
    <w:rsid w:val="00671B78"/>
    <w:rsid w:val="00672E99"/>
    <w:rsid w:val="00674655"/>
    <w:rsid w:val="006747BC"/>
    <w:rsid w:val="0067516C"/>
    <w:rsid w:val="00675D3B"/>
    <w:rsid w:val="00675EE0"/>
    <w:rsid w:val="0068053A"/>
    <w:rsid w:val="00680595"/>
    <w:rsid w:val="0068079D"/>
    <w:rsid w:val="00681543"/>
    <w:rsid w:val="0068154D"/>
    <w:rsid w:val="00682723"/>
    <w:rsid w:val="00682D55"/>
    <w:rsid w:val="006842B9"/>
    <w:rsid w:val="006861EA"/>
    <w:rsid w:val="00687234"/>
    <w:rsid w:val="0068753F"/>
    <w:rsid w:val="006924D7"/>
    <w:rsid w:val="006931C1"/>
    <w:rsid w:val="006940A9"/>
    <w:rsid w:val="00695750"/>
    <w:rsid w:val="0069673F"/>
    <w:rsid w:val="006968E8"/>
    <w:rsid w:val="00696BB6"/>
    <w:rsid w:val="00697D77"/>
    <w:rsid w:val="006A060B"/>
    <w:rsid w:val="006A0958"/>
    <w:rsid w:val="006A1085"/>
    <w:rsid w:val="006A1BFA"/>
    <w:rsid w:val="006A1D51"/>
    <w:rsid w:val="006A1E8E"/>
    <w:rsid w:val="006A23FC"/>
    <w:rsid w:val="006A2FBC"/>
    <w:rsid w:val="006A4710"/>
    <w:rsid w:val="006A50A9"/>
    <w:rsid w:val="006A62EB"/>
    <w:rsid w:val="006A67D1"/>
    <w:rsid w:val="006A69EF"/>
    <w:rsid w:val="006B18BD"/>
    <w:rsid w:val="006B2FE1"/>
    <w:rsid w:val="006B5232"/>
    <w:rsid w:val="006B68CB"/>
    <w:rsid w:val="006B6BE8"/>
    <w:rsid w:val="006C6090"/>
    <w:rsid w:val="006C6973"/>
    <w:rsid w:val="006C6AE8"/>
    <w:rsid w:val="006C6C0A"/>
    <w:rsid w:val="006C7FC6"/>
    <w:rsid w:val="006D082B"/>
    <w:rsid w:val="006D1FA0"/>
    <w:rsid w:val="006D2951"/>
    <w:rsid w:val="006D40DF"/>
    <w:rsid w:val="006D4342"/>
    <w:rsid w:val="006D48AC"/>
    <w:rsid w:val="006D5D73"/>
    <w:rsid w:val="006E0651"/>
    <w:rsid w:val="006E080A"/>
    <w:rsid w:val="006E25BC"/>
    <w:rsid w:val="006E4348"/>
    <w:rsid w:val="006E43C8"/>
    <w:rsid w:val="006E5D6C"/>
    <w:rsid w:val="006E5E53"/>
    <w:rsid w:val="006E7570"/>
    <w:rsid w:val="006F077D"/>
    <w:rsid w:val="006F07F7"/>
    <w:rsid w:val="006F3969"/>
    <w:rsid w:val="006F3C3B"/>
    <w:rsid w:val="006F3C76"/>
    <w:rsid w:val="006F4657"/>
    <w:rsid w:val="006F6620"/>
    <w:rsid w:val="006F7586"/>
    <w:rsid w:val="0070139E"/>
    <w:rsid w:val="0070220C"/>
    <w:rsid w:val="00702BC9"/>
    <w:rsid w:val="007040BA"/>
    <w:rsid w:val="00704F4B"/>
    <w:rsid w:val="007051F6"/>
    <w:rsid w:val="0070560C"/>
    <w:rsid w:val="0070629C"/>
    <w:rsid w:val="00706BF8"/>
    <w:rsid w:val="00707011"/>
    <w:rsid w:val="00710C91"/>
    <w:rsid w:val="00710E9C"/>
    <w:rsid w:val="00711C19"/>
    <w:rsid w:val="00711D82"/>
    <w:rsid w:val="007123DB"/>
    <w:rsid w:val="007125ED"/>
    <w:rsid w:val="00712C10"/>
    <w:rsid w:val="0071325C"/>
    <w:rsid w:val="00713D64"/>
    <w:rsid w:val="00715248"/>
    <w:rsid w:val="00716037"/>
    <w:rsid w:val="0071711A"/>
    <w:rsid w:val="00717909"/>
    <w:rsid w:val="007209D3"/>
    <w:rsid w:val="007212EB"/>
    <w:rsid w:val="00721857"/>
    <w:rsid w:val="007235B3"/>
    <w:rsid w:val="00725D6F"/>
    <w:rsid w:val="00725F47"/>
    <w:rsid w:val="007263A4"/>
    <w:rsid w:val="00731423"/>
    <w:rsid w:val="00731970"/>
    <w:rsid w:val="00732668"/>
    <w:rsid w:val="007326BD"/>
    <w:rsid w:val="007337D9"/>
    <w:rsid w:val="00737F68"/>
    <w:rsid w:val="007414AB"/>
    <w:rsid w:val="007443B8"/>
    <w:rsid w:val="00744B9E"/>
    <w:rsid w:val="00744F92"/>
    <w:rsid w:val="007455D7"/>
    <w:rsid w:val="00745FAD"/>
    <w:rsid w:val="00746490"/>
    <w:rsid w:val="007466BC"/>
    <w:rsid w:val="00746B27"/>
    <w:rsid w:val="00747051"/>
    <w:rsid w:val="00747B12"/>
    <w:rsid w:val="007508F7"/>
    <w:rsid w:val="00750E11"/>
    <w:rsid w:val="007512FD"/>
    <w:rsid w:val="00751C8D"/>
    <w:rsid w:val="00752371"/>
    <w:rsid w:val="00752E7E"/>
    <w:rsid w:val="00753051"/>
    <w:rsid w:val="007530F2"/>
    <w:rsid w:val="00753907"/>
    <w:rsid w:val="00755F90"/>
    <w:rsid w:val="00756626"/>
    <w:rsid w:val="00757AA5"/>
    <w:rsid w:val="0076150E"/>
    <w:rsid w:val="00762289"/>
    <w:rsid w:val="0076267B"/>
    <w:rsid w:val="00762DA2"/>
    <w:rsid w:val="00762EA6"/>
    <w:rsid w:val="007631E9"/>
    <w:rsid w:val="0076411D"/>
    <w:rsid w:val="007651B9"/>
    <w:rsid w:val="007658DB"/>
    <w:rsid w:val="007664E7"/>
    <w:rsid w:val="007673C0"/>
    <w:rsid w:val="00767E53"/>
    <w:rsid w:val="00772FFB"/>
    <w:rsid w:val="00773BCC"/>
    <w:rsid w:val="00774114"/>
    <w:rsid w:val="007744D0"/>
    <w:rsid w:val="007761E4"/>
    <w:rsid w:val="00776C27"/>
    <w:rsid w:val="00776F73"/>
    <w:rsid w:val="007779E5"/>
    <w:rsid w:val="00777DBE"/>
    <w:rsid w:val="00780145"/>
    <w:rsid w:val="00780701"/>
    <w:rsid w:val="007810C5"/>
    <w:rsid w:val="00781D14"/>
    <w:rsid w:val="00782649"/>
    <w:rsid w:val="00782746"/>
    <w:rsid w:val="0078478C"/>
    <w:rsid w:val="00784EF0"/>
    <w:rsid w:val="007852D3"/>
    <w:rsid w:val="00785996"/>
    <w:rsid w:val="00785A0E"/>
    <w:rsid w:val="00792103"/>
    <w:rsid w:val="007933D4"/>
    <w:rsid w:val="00793B67"/>
    <w:rsid w:val="00793D25"/>
    <w:rsid w:val="00794976"/>
    <w:rsid w:val="007955E1"/>
    <w:rsid w:val="00795633"/>
    <w:rsid w:val="007A174A"/>
    <w:rsid w:val="007A521A"/>
    <w:rsid w:val="007A74C3"/>
    <w:rsid w:val="007B1718"/>
    <w:rsid w:val="007B21FE"/>
    <w:rsid w:val="007B24F2"/>
    <w:rsid w:val="007B2854"/>
    <w:rsid w:val="007B29F5"/>
    <w:rsid w:val="007B2DFA"/>
    <w:rsid w:val="007B59D4"/>
    <w:rsid w:val="007B6F50"/>
    <w:rsid w:val="007B7543"/>
    <w:rsid w:val="007C026C"/>
    <w:rsid w:val="007C0A08"/>
    <w:rsid w:val="007C180B"/>
    <w:rsid w:val="007C1CA9"/>
    <w:rsid w:val="007C1F3A"/>
    <w:rsid w:val="007C37D3"/>
    <w:rsid w:val="007C4BDB"/>
    <w:rsid w:val="007C77E1"/>
    <w:rsid w:val="007C7C07"/>
    <w:rsid w:val="007D31B1"/>
    <w:rsid w:val="007D325B"/>
    <w:rsid w:val="007D39DE"/>
    <w:rsid w:val="007D4910"/>
    <w:rsid w:val="007D696A"/>
    <w:rsid w:val="007D7078"/>
    <w:rsid w:val="007D79CD"/>
    <w:rsid w:val="007E01D6"/>
    <w:rsid w:val="007E268F"/>
    <w:rsid w:val="007E385E"/>
    <w:rsid w:val="007E3F2F"/>
    <w:rsid w:val="007E44D9"/>
    <w:rsid w:val="007E4F05"/>
    <w:rsid w:val="007F0A41"/>
    <w:rsid w:val="007F2148"/>
    <w:rsid w:val="007F3DC1"/>
    <w:rsid w:val="007F5E2B"/>
    <w:rsid w:val="007F6FED"/>
    <w:rsid w:val="007F7E71"/>
    <w:rsid w:val="007F7F63"/>
    <w:rsid w:val="0080256B"/>
    <w:rsid w:val="00803669"/>
    <w:rsid w:val="00803BBB"/>
    <w:rsid w:val="00803F40"/>
    <w:rsid w:val="0080570B"/>
    <w:rsid w:val="00805E7D"/>
    <w:rsid w:val="00805FAB"/>
    <w:rsid w:val="0080602B"/>
    <w:rsid w:val="00806DE4"/>
    <w:rsid w:val="0080764C"/>
    <w:rsid w:val="00812373"/>
    <w:rsid w:val="0081416E"/>
    <w:rsid w:val="00814242"/>
    <w:rsid w:val="00815EB0"/>
    <w:rsid w:val="00815EBF"/>
    <w:rsid w:val="00816E29"/>
    <w:rsid w:val="0081726A"/>
    <w:rsid w:val="00817AE5"/>
    <w:rsid w:val="00820484"/>
    <w:rsid w:val="008204E3"/>
    <w:rsid w:val="00821327"/>
    <w:rsid w:val="00821DC5"/>
    <w:rsid w:val="00823DC3"/>
    <w:rsid w:val="00824C30"/>
    <w:rsid w:val="0082608A"/>
    <w:rsid w:val="00826363"/>
    <w:rsid w:val="00826EBE"/>
    <w:rsid w:val="008271B8"/>
    <w:rsid w:val="008307A4"/>
    <w:rsid w:val="0083311F"/>
    <w:rsid w:val="00833CB0"/>
    <w:rsid w:val="00834333"/>
    <w:rsid w:val="0083439F"/>
    <w:rsid w:val="00834965"/>
    <w:rsid w:val="008365BA"/>
    <w:rsid w:val="00836787"/>
    <w:rsid w:val="00837B2B"/>
    <w:rsid w:val="00837EF6"/>
    <w:rsid w:val="00840704"/>
    <w:rsid w:val="00840817"/>
    <w:rsid w:val="0084088E"/>
    <w:rsid w:val="00841C30"/>
    <w:rsid w:val="00844630"/>
    <w:rsid w:val="008450E0"/>
    <w:rsid w:val="00845290"/>
    <w:rsid w:val="0084642C"/>
    <w:rsid w:val="00846C93"/>
    <w:rsid w:val="00850CBC"/>
    <w:rsid w:val="00850F23"/>
    <w:rsid w:val="00851162"/>
    <w:rsid w:val="00851372"/>
    <w:rsid w:val="00851D76"/>
    <w:rsid w:val="00852798"/>
    <w:rsid w:val="00853144"/>
    <w:rsid w:val="0085650B"/>
    <w:rsid w:val="0085657F"/>
    <w:rsid w:val="0085708B"/>
    <w:rsid w:val="008601DC"/>
    <w:rsid w:val="0086032B"/>
    <w:rsid w:val="00860DAA"/>
    <w:rsid w:val="00862C87"/>
    <w:rsid w:val="00862DA8"/>
    <w:rsid w:val="00866A46"/>
    <w:rsid w:val="0086765B"/>
    <w:rsid w:val="008676DA"/>
    <w:rsid w:val="0087487F"/>
    <w:rsid w:val="008748FA"/>
    <w:rsid w:val="00874955"/>
    <w:rsid w:val="00875023"/>
    <w:rsid w:val="00880218"/>
    <w:rsid w:val="0088119A"/>
    <w:rsid w:val="00881351"/>
    <w:rsid w:val="008828CD"/>
    <w:rsid w:val="00882D3D"/>
    <w:rsid w:val="00882FAD"/>
    <w:rsid w:val="00883458"/>
    <w:rsid w:val="008839F8"/>
    <w:rsid w:val="0088441E"/>
    <w:rsid w:val="00884845"/>
    <w:rsid w:val="00887BE3"/>
    <w:rsid w:val="00887D04"/>
    <w:rsid w:val="00890242"/>
    <w:rsid w:val="00890A71"/>
    <w:rsid w:val="00890BA6"/>
    <w:rsid w:val="00892080"/>
    <w:rsid w:val="00893237"/>
    <w:rsid w:val="00894927"/>
    <w:rsid w:val="00894D99"/>
    <w:rsid w:val="00895217"/>
    <w:rsid w:val="00896249"/>
    <w:rsid w:val="00896B1B"/>
    <w:rsid w:val="00897DE1"/>
    <w:rsid w:val="008A03A5"/>
    <w:rsid w:val="008A1268"/>
    <w:rsid w:val="008A17AE"/>
    <w:rsid w:val="008A1D3A"/>
    <w:rsid w:val="008A39CF"/>
    <w:rsid w:val="008A43AB"/>
    <w:rsid w:val="008A55CC"/>
    <w:rsid w:val="008A5C82"/>
    <w:rsid w:val="008A68B5"/>
    <w:rsid w:val="008A7077"/>
    <w:rsid w:val="008B075B"/>
    <w:rsid w:val="008B08FD"/>
    <w:rsid w:val="008B266A"/>
    <w:rsid w:val="008B4136"/>
    <w:rsid w:val="008B4494"/>
    <w:rsid w:val="008B4D60"/>
    <w:rsid w:val="008B53E0"/>
    <w:rsid w:val="008B735D"/>
    <w:rsid w:val="008B75A5"/>
    <w:rsid w:val="008C034F"/>
    <w:rsid w:val="008C05B3"/>
    <w:rsid w:val="008C0B3C"/>
    <w:rsid w:val="008C105D"/>
    <w:rsid w:val="008C3831"/>
    <w:rsid w:val="008C6F86"/>
    <w:rsid w:val="008D10A8"/>
    <w:rsid w:val="008D1B59"/>
    <w:rsid w:val="008D1E40"/>
    <w:rsid w:val="008D2CCA"/>
    <w:rsid w:val="008D34D4"/>
    <w:rsid w:val="008D3647"/>
    <w:rsid w:val="008D49D9"/>
    <w:rsid w:val="008D55A4"/>
    <w:rsid w:val="008D5601"/>
    <w:rsid w:val="008D60CD"/>
    <w:rsid w:val="008E0EC8"/>
    <w:rsid w:val="008E1AA7"/>
    <w:rsid w:val="008E4A41"/>
    <w:rsid w:val="008E5BEE"/>
    <w:rsid w:val="008E5D8F"/>
    <w:rsid w:val="008E77D5"/>
    <w:rsid w:val="008E7F75"/>
    <w:rsid w:val="008F0AC8"/>
    <w:rsid w:val="008F0B5F"/>
    <w:rsid w:val="008F0C52"/>
    <w:rsid w:val="008F254B"/>
    <w:rsid w:val="008F2EB6"/>
    <w:rsid w:val="008F7487"/>
    <w:rsid w:val="00900013"/>
    <w:rsid w:val="009014A7"/>
    <w:rsid w:val="00901A6A"/>
    <w:rsid w:val="00902D05"/>
    <w:rsid w:val="00903D93"/>
    <w:rsid w:val="009044D4"/>
    <w:rsid w:val="00906529"/>
    <w:rsid w:val="00907272"/>
    <w:rsid w:val="00910806"/>
    <w:rsid w:val="00911634"/>
    <w:rsid w:val="00912969"/>
    <w:rsid w:val="00914C3C"/>
    <w:rsid w:val="00916C95"/>
    <w:rsid w:val="00916E6B"/>
    <w:rsid w:val="00920A51"/>
    <w:rsid w:val="00920CB0"/>
    <w:rsid w:val="00922905"/>
    <w:rsid w:val="00922EC9"/>
    <w:rsid w:val="0092327C"/>
    <w:rsid w:val="00923772"/>
    <w:rsid w:val="00926894"/>
    <w:rsid w:val="00930A12"/>
    <w:rsid w:val="0093171F"/>
    <w:rsid w:val="00935647"/>
    <w:rsid w:val="00935B1E"/>
    <w:rsid w:val="00937C26"/>
    <w:rsid w:val="00942B29"/>
    <w:rsid w:val="009445DF"/>
    <w:rsid w:val="0094528A"/>
    <w:rsid w:val="00947D3B"/>
    <w:rsid w:val="009504EF"/>
    <w:rsid w:val="009507C4"/>
    <w:rsid w:val="00952798"/>
    <w:rsid w:val="00952F7D"/>
    <w:rsid w:val="00953B2F"/>
    <w:rsid w:val="009551D5"/>
    <w:rsid w:val="00955650"/>
    <w:rsid w:val="0095608C"/>
    <w:rsid w:val="009572EF"/>
    <w:rsid w:val="00960E72"/>
    <w:rsid w:val="00961EDF"/>
    <w:rsid w:val="009623D2"/>
    <w:rsid w:val="009626D6"/>
    <w:rsid w:val="00962894"/>
    <w:rsid w:val="00962EC4"/>
    <w:rsid w:val="0096491A"/>
    <w:rsid w:val="00964D61"/>
    <w:rsid w:val="009650D6"/>
    <w:rsid w:val="009654CF"/>
    <w:rsid w:val="00966D29"/>
    <w:rsid w:val="00967661"/>
    <w:rsid w:val="009679A2"/>
    <w:rsid w:val="00967FAA"/>
    <w:rsid w:val="009724C4"/>
    <w:rsid w:val="00972723"/>
    <w:rsid w:val="009727DB"/>
    <w:rsid w:val="009730EE"/>
    <w:rsid w:val="0097358A"/>
    <w:rsid w:val="00973C1C"/>
    <w:rsid w:val="00974B5B"/>
    <w:rsid w:val="00974C70"/>
    <w:rsid w:val="00974D8D"/>
    <w:rsid w:val="0097652E"/>
    <w:rsid w:val="009768A8"/>
    <w:rsid w:val="00977E64"/>
    <w:rsid w:val="00980144"/>
    <w:rsid w:val="0098024F"/>
    <w:rsid w:val="00980D55"/>
    <w:rsid w:val="00982795"/>
    <w:rsid w:val="00982837"/>
    <w:rsid w:val="00982BB7"/>
    <w:rsid w:val="00983BE4"/>
    <w:rsid w:val="00985054"/>
    <w:rsid w:val="00985324"/>
    <w:rsid w:val="00986047"/>
    <w:rsid w:val="0098604A"/>
    <w:rsid w:val="009878D4"/>
    <w:rsid w:val="00987AF0"/>
    <w:rsid w:val="00990F00"/>
    <w:rsid w:val="00995896"/>
    <w:rsid w:val="00995D89"/>
    <w:rsid w:val="00997A3C"/>
    <w:rsid w:val="00997ACD"/>
    <w:rsid w:val="009A0943"/>
    <w:rsid w:val="009A0C2D"/>
    <w:rsid w:val="009A11E6"/>
    <w:rsid w:val="009A1FDF"/>
    <w:rsid w:val="009A210F"/>
    <w:rsid w:val="009A3172"/>
    <w:rsid w:val="009A3878"/>
    <w:rsid w:val="009A4C63"/>
    <w:rsid w:val="009A51AF"/>
    <w:rsid w:val="009A7E6A"/>
    <w:rsid w:val="009B0992"/>
    <w:rsid w:val="009B0D44"/>
    <w:rsid w:val="009B121E"/>
    <w:rsid w:val="009B1BD3"/>
    <w:rsid w:val="009B1C63"/>
    <w:rsid w:val="009B2C60"/>
    <w:rsid w:val="009B4412"/>
    <w:rsid w:val="009B469D"/>
    <w:rsid w:val="009B46B6"/>
    <w:rsid w:val="009B46C9"/>
    <w:rsid w:val="009B51F4"/>
    <w:rsid w:val="009B65C4"/>
    <w:rsid w:val="009B76DC"/>
    <w:rsid w:val="009C1649"/>
    <w:rsid w:val="009C2640"/>
    <w:rsid w:val="009C2A19"/>
    <w:rsid w:val="009C2C89"/>
    <w:rsid w:val="009C349F"/>
    <w:rsid w:val="009C5BDE"/>
    <w:rsid w:val="009C600B"/>
    <w:rsid w:val="009D040B"/>
    <w:rsid w:val="009D12FF"/>
    <w:rsid w:val="009D2B1B"/>
    <w:rsid w:val="009D2B79"/>
    <w:rsid w:val="009D32F2"/>
    <w:rsid w:val="009D4964"/>
    <w:rsid w:val="009D4E3A"/>
    <w:rsid w:val="009D5FCF"/>
    <w:rsid w:val="009D6334"/>
    <w:rsid w:val="009D7703"/>
    <w:rsid w:val="009E1A70"/>
    <w:rsid w:val="009E2124"/>
    <w:rsid w:val="009E255E"/>
    <w:rsid w:val="009E2FC2"/>
    <w:rsid w:val="009E37FF"/>
    <w:rsid w:val="009E4CD3"/>
    <w:rsid w:val="009E4D7D"/>
    <w:rsid w:val="009E4F94"/>
    <w:rsid w:val="009E5FFF"/>
    <w:rsid w:val="009F0466"/>
    <w:rsid w:val="009F162C"/>
    <w:rsid w:val="009F3D85"/>
    <w:rsid w:val="009F4297"/>
    <w:rsid w:val="009F49F3"/>
    <w:rsid w:val="009F4D26"/>
    <w:rsid w:val="00A00741"/>
    <w:rsid w:val="00A01E08"/>
    <w:rsid w:val="00A0256A"/>
    <w:rsid w:val="00A043CE"/>
    <w:rsid w:val="00A04D91"/>
    <w:rsid w:val="00A05CB0"/>
    <w:rsid w:val="00A062DE"/>
    <w:rsid w:val="00A06CC2"/>
    <w:rsid w:val="00A11B38"/>
    <w:rsid w:val="00A12A13"/>
    <w:rsid w:val="00A12F5A"/>
    <w:rsid w:val="00A12F63"/>
    <w:rsid w:val="00A13A76"/>
    <w:rsid w:val="00A13D50"/>
    <w:rsid w:val="00A16F9D"/>
    <w:rsid w:val="00A171C6"/>
    <w:rsid w:val="00A20FAB"/>
    <w:rsid w:val="00A23143"/>
    <w:rsid w:val="00A235DD"/>
    <w:rsid w:val="00A238A0"/>
    <w:rsid w:val="00A23AE1"/>
    <w:rsid w:val="00A242BC"/>
    <w:rsid w:val="00A24B88"/>
    <w:rsid w:val="00A24D3F"/>
    <w:rsid w:val="00A27177"/>
    <w:rsid w:val="00A278FD"/>
    <w:rsid w:val="00A27C48"/>
    <w:rsid w:val="00A30574"/>
    <w:rsid w:val="00A3122B"/>
    <w:rsid w:val="00A3170E"/>
    <w:rsid w:val="00A31C1A"/>
    <w:rsid w:val="00A326C9"/>
    <w:rsid w:val="00A33962"/>
    <w:rsid w:val="00A3548E"/>
    <w:rsid w:val="00A35AEE"/>
    <w:rsid w:val="00A35C53"/>
    <w:rsid w:val="00A365A0"/>
    <w:rsid w:val="00A37416"/>
    <w:rsid w:val="00A406BE"/>
    <w:rsid w:val="00A407A2"/>
    <w:rsid w:val="00A41C73"/>
    <w:rsid w:val="00A42D82"/>
    <w:rsid w:val="00A43E8D"/>
    <w:rsid w:val="00A44F3D"/>
    <w:rsid w:val="00A45545"/>
    <w:rsid w:val="00A457CE"/>
    <w:rsid w:val="00A4764B"/>
    <w:rsid w:val="00A47841"/>
    <w:rsid w:val="00A47F4B"/>
    <w:rsid w:val="00A5048A"/>
    <w:rsid w:val="00A5079D"/>
    <w:rsid w:val="00A508D3"/>
    <w:rsid w:val="00A51196"/>
    <w:rsid w:val="00A512B2"/>
    <w:rsid w:val="00A5149E"/>
    <w:rsid w:val="00A51720"/>
    <w:rsid w:val="00A51AE9"/>
    <w:rsid w:val="00A52077"/>
    <w:rsid w:val="00A52FBE"/>
    <w:rsid w:val="00A56321"/>
    <w:rsid w:val="00A57264"/>
    <w:rsid w:val="00A625A9"/>
    <w:rsid w:val="00A63D18"/>
    <w:rsid w:val="00A649BD"/>
    <w:rsid w:val="00A64A86"/>
    <w:rsid w:val="00A64C5F"/>
    <w:rsid w:val="00A65683"/>
    <w:rsid w:val="00A669AB"/>
    <w:rsid w:val="00A679BF"/>
    <w:rsid w:val="00A67F5D"/>
    <w:rsid w:val="00A70215"/>
    <w:rsid w:val="00A706D8"/>
    <w:rsid w:val="00A71A96"/>
    <w:rsid w:val="00A75B08"/>
    <w:rsid w:val="00A77616"/>
    <w:rsid w:val="00A77C2D"/>
    <w:rsid w:val="00A80931"/>
    <w:rsid w:val="00A81AD2"/>
    <w:rsid w:val="00A82646"/>
    <w:rsid w:val="00A8286A"/>
    <w:rsid w:val="00A837FB"/>
    <w:rsid w:val="00A8395E"/>
    <w:rsid w:val="00A85421"/>
    <w:rsid w:val="00A85B64"/>
    <w:rsid w:val="00A8609A"/>
    <w:rsid w:val="00A90004"/>
    <w:rsid w:val="00A92572"/>
    <w:rsid w:val="00A93F29"/>
    <w:rsid w:val="00A97064"/>
    <w:rsid w:val="00A9780A"/>
    <w:rsid w:val="00A978E3"/>
    <w:rsid w:val="00AA03F1"/>
    <w:rsid w:val="00AA2DDA"/>
    <w:rsid w:val="00AA490A"/>
    <w:rsid w:val="00AA4FD6"/>
    <w:rsid w:val="00AA7353"/>
    <w:rsid w:val="00AA75F1"/>
    <w:rsid w:val="00AB0511"/>
    <w:rsid w:val="00AB251D"/>
    <w:rsid w:val="00AB321B"/>
    <w:rsid w:val="00AB47B8"/>
    <w:rsid w:val="00AB4E7C"/>
    <w:rsid w:val="00AB6284"/>
    <w:rsid w:val="00AB7493"/>
    <w:rsid w:val="00AC0CF7"/>
    <w:rsid w:val="00AC2111"/>
    <w:rsid w:val="00AC35C8"/>
    <w:rsid w:val="00AC3BC7"/>
    <w:rsid w:val="00AC53A4"/>
    <w:rsid w:val="00AC69B9"/>
    <w:rsid w:val="00AC7155"/>
    <w:rsid w:val="00AD1008"/>
    <w:rsid w:val="00AD112A"/>
    <w:rsid w:val="00AD1842"/>
    <w:rsid w:val="00AD2808"/>
    <w:rsid w:val="00AD30ED"/>
    <w:rsid w:val="00AD3FD4"/>
    <w:rsid w:val="00AD4CAF"/>
    <w:rsid w:val="00AD5B35"/>
    <w:rsid w:val="00AD7872"/>
    <w:rsid w:val="00AD7E92"/>
    <w:rsid w:val="00AE1393"/>
    <w:rsid w:val="00AE2487"/>
    <w:rsid w:val="00AE36A6"/>
    <w:rsid w:val="00AE3E96"/>
    <w:rsid w:val="00AE4B4B"/>
    <w:rsid w:val="00AE542F"/>
    <w:rsid w:val="00AE55B4"/>
    <w:rsid w:val="00AE642D"/>
    <w:rsid w:val="00AE6BE2"/>
    <w:rsid w:val="00AF07DB"/>
    <w:rsid w:val="00AF0B78"/>
    <w:rsid w:val="00AF33B2"/>
    <w:rsid w:val="00AF395B"/>
    <w:rsid w:val="00AF4112"/>
    <w:rsid w:val="00AF74A5"/>
    <w:rsid w:val="00AF7B24"/>
    <w:rsid w:val="00B01F7D"/>
    <w:rsid w:val="00B0237D"/>
    <w:rsid w:val="00B0356D"/>
    <w:rsid w:val="00B04348"/>
    <w:rsid w:val="00B04429"/>
    <w:rsid w:val="00B05518"/>
    <w:rsid w:val="00B063BE"/>
    <w:rsid w:val="00B11C01"/>
    <w:rsid w:val="00B11ECC"/>
    <w:rsid w:val="00B132D2"/>
    <w:rsid w:val="00B137FD"/>
    <w:rsid w:val="00B13A4F"/>
    <w:rsid w:val="00B13B6D"/>
    <w:rsid w:val="00B143EF"/>
    <w:rsid w:val="00B148C6"/>
    <w:rsid w:val="00B1528A"/>
    <w:rsid w:val="00B15FB7"/>
    <w:rsid w:val="00B1627F"/>
    <w:rsid w:val="00B203F5"/>
    <w:rsid w:val="00B218AA"/>
    <w:rsid w:val="00B21D4B"/>
    <w:rsid w:val="00B22796"/>
    <w:rsid w:val="00B22FF8"/>
    <w:rsid w:val="00B2605A"/>
    <w:rsid w:val="00B275F2"/>
    <w:rsid w:val="00B27EFC"/>
    <w:rsid w:val="00B3059C"/>
    <w:rsid w:val="00B3250A"/>
    <w:rsid w:val="00B3570A"/>
    <w:rsid w:val="00B36580"/>
    <w:rsid w:val="00B407DC"/>
    <w:rsid w:val="00B40B5D"/>
    <w:rsid w:val="00B415BE"/>
    <w:rsid w:val="00B41E24"/>
    <w:rsid w:val="00B41EB8"/>
    <w:rsid w:val="00B436F4"/>
    <w:rsid w:val="00B442AF"/>
    <w:rsid w:val="00B45F15"/>
    <w:rsid w:val="00B46A9A"/>
    <w:rsid w:val="00B502FC"/>
    <w:rsid w:val="00B5073B"/>
    <w:rsid w:val="00B51DE5"/>
    <w:rsid w:val="00B51F07"/>
    <w:rsid w:val="00B527B2"/>
    <w:rsid w:val="00B52A7C"/>
    <w:rsid w:val="00B5426C"/>
    <w:rsid w:val="00B54791"/>
    <w:rsid w:val="00B55120"/>
    <w:rsid w:val="00B55920"/>
    <w:rsid w:val="00B56A61"/>
    <w:rsid w:val="00B56C5F"/>
    <w:rsid w:val="00B575EB"/>
    <w:rsid w:val="00B6383A"/>
    <w:rsid w:val="00B640BE"/>
    <w:rsid w:val="00B64169"/>
    <w:rsid w:val="00B64783"/>
    <w:rsid w:val="00B65529"/>
    <w:rsid w:val="00B65CBE"/>
    <w:rsid w:val="00B66155"/>
    <w:rsid w:val="00B669AB"/>
    <w:rsid w:val="00B66C2E"/>
    <w:rsid w:val="00B67A41"/>
    <w:rsid w:val="00B70684"/>
    <w:rsid w:val="00B70C17"/>
    <w:rsid w:val="00B73D23"/>
    <w:rsid w:val="00B752E0"/>
    <w:rsid w:val="00B755DD"/>
    <w:rsid w:val="00B7604B"/>
    <w:rsid w:val="00B772EA"/>
    <w:rsid w:val="00B777B1"/>
    <w:rsid w:val="00B77AC7"/>
    <w:rsid w:val="00B80AA2"/>
    <w:rsid w:val="00B81FB2"/>
    <w:rsid w:val="00B83AED"/>
    <w:rsid w:val="00B85085"/>
    <w:rsid w:val="00B85DCB"/>
    <w:rsid w:val="00B86A1B"/>
    <w:rsid w:val="00B87D2A"/>
    <w:rsid w:val="00B901A9"/>
    <w:rsid w:val="00B90D85"/>
    <w:rsid w:val="00B93137"/>
    <w:rsid w:val="00B9540A"/>
    <w:rsid w:val="00B96492"/>
    <w:rsid w:val="00B97900"/>
    <w:rsid w:val="00BA0382"/>
    <w:rsid w:val="00BA2369"/>
    <w:rsid w:val="00BA36A3"/>
    <w:rsid w:val="00BA41A3"/>
    <w:rsid w:val="00BA4701"/>
    <w:rsid w:val="00BA5098"/>
    <w:rsid w:val="00BA5E76"/>
    <w:rsid w:val="00BB0787"/>
    <w:rsid w:val="00BB07BC"/>
    <w:rsid w:val="00BB09C3"/>
    <w:rsid w:val="00BB220D"/>
    <w:rsid w:val="00BB51FC"/>
    <w:rsid w:val="00BB5E58"/>
    <w:rsid w:val="00BB6628"/>
    <w:rsid w:val="00BB6A6D"/>
    <w:rsid w:val="00BB6A86"/>
    <w:rsid w:val="00BB6FE5"/>
    <w:rsid w:val="00BC16B9"/>
    <w:rsid w:val="00BC17E9"/>
    <w:rsid w:val="00BC428F"/>
    <w:rsid w:val="00BC594F"/>
    <w:rsid w:val="00BD06AF"/>
    <w:rsid w:val="00BD0978"/>
    <w:rsid w:val="00BD0ACA"/>
    <w:rsid w:val="00BD3495"/>
    <w:rsid w:val="00BD4489"/>
    <w:rsid w:val="00BD609D"/>
    <w:rsid w:val="00BD6F40"/>
    <w:rsid w:val="00BE0A92"/>
    <w:rsid w:val="00BE0D80"/>
    <w:rsid w:val="00BE13BD"/>
    <w:rsid w:val="00BE21E3"/>
    <w:rsid w:val="00BE2DD2"/>
    <w:rsid w:val="00BE42E7"/>
    <w:rsid w:val="00BE4859"/>
    <w:rsid w:val="00BE6671"/>
    <w:rsid w:val="00BE766E"/>
    <w:rsid w:val="00BF0620"/>
    <w:rsid w:val="00BF2D74"/>
    <w:rsid w:val="00BF367E"/>
    <w:rsid w:val="00BF408A"/>
    <w:rsid w:val="00BF4CF4"/>
    <w:rsid w:val="00BF54FB"/>
    <w:rsid w:val="00C000E7"/>
    <w:rsid w:val="00C01433"/>
    <w:rsid w:val="00C0193D"/>
    <w:rsid w:val="00C02EF7"/>
    <w:rsid w:val="00C04A12"/>
    <w:rsid w:val="00C052D8"/>
    <w:rsid w:val="00C05F31"/>
    <w:rsid w:val="00C060F0"/>
    <w:rsid w:val="00C10818"/>
    <w:rsid w:val="00C1109A"/>
    <w:rsid w:val="00C11855"/>
    <w:rsid w:val="00C13756"/>
    <w:rsid w:val="00C13C35"/>
    <w:rsid w:val="00C17C9B"/>
    <w:rsid w:val="00C20C04"/>
    <w:rsid w:val="00C21851"/>
    <w:rsid w:val="00C22153"/>
    <w:rsid w:val="00C22FCD"/>
    <w:rsid w:val="00C234F6"/>
    <w:rsid w:val="00C240D1"/>
    <w:rsid w:val="00C26C32"/>
    <w:rsid w:val="00C301F6"/>
    <w:rsid w:val="00C3067C"/>
    <w:rsid w:val="00C30AD1"/>
    <w:rsid w:val="00C37196"/>
    <w:rsid w:val="00C40F0B"/>
    <w:rsid w:val="00C417A1"/>
    <w:rsid w:val="00C4182C"/>
    <w:rsid w:val="00C41BDB"/>
    <w:rsid w:val="00C47436"/>
    <w:rsid w:val="00C51C0D"/>
    <w:rsid w:val="00C53A83"/>
    <w:rsid w:val="00C545A5"/>
    <w:rsid w:val="00C5506E"/>
    <w:rsid w:val="00C56307"/>
    <w:rsid w:val="00C5757D"/>
    <w:rsid w:val="00C57A28"/>
    <w:rsid w:val="00C57E5A"/>
    <w:rsid w:val="00C6046B"/>
    <w:rsid w:val="00C6060B"/>
    <w:rsid w:val="00C62656"/>
    <w:rsid w:val="00C63357"/>
    <w:rsid w:val="00C63E44"/>
    <w:rsid w:val="00C659E5"/>
    <w:rsid w:val="00C65A25"/>
    <w:rsid w:val="00C66448"/>
    <w:rsid w:val="00C70983"/>
    <w:rsid w:val="00C70D9D"/>
    <w:rsid w:val="00C72540"/>
    <w:rsid w:val="00C72947"/>
    <w:rsid w:val="00C737EA"/>
    <w:rsid w:val="00C74D10"/>
    <w:rsid w:val="00C751C2"/>
    <w:rsid w:val="00C75BFB"/>
    <w:rsid w:val="00C771A4"/>
    <w:rsid w:val="00C816D0"/>
    <w:rsid w:val="00C82269"/>
    <w:rsid w:val="00C830FA"/>
    <w:rsid w:val="00C833DC"/>
    <w:rsid w:val="00C845ED"/>
    <w:rsid w:val="00C8492B"/>
    <w:rsid w:val="00C86818"/>
    <w:rsid w:val="00C86957"/>
    <w:rsid w:val="00C87206"/>
    <w:rsid w:val="00C91445"/>
    <w:rsid w:val="00C93D75"/>
    <w:rsid w:val="00C93F7B"/>
    <w:rsid w:val="00C94CB4"/>
    <w:rsid w:val="00C957F5"/>
    <w:rsid w:val="00C96DB7"/>
    <w:rsid w:val="00C97EE7"/>
    <w:rsid w:val="00CA16F7"/>
    <w:rsid w:val="00CA30AB"/>
    <w:rsid w:val="00CA3718"/>
    <w:rsid w:val="00CA42B1"/>
    <w:rsid w:val="00CA4DED"/>
    <w:rsid w:val="00CA4F86"/>
    <w:rsid w:val="00CA53E0"/>
    <w:rsid w:val="00CB01FE"/>
    <w:rsid w:val="00CB0F3D"/>
    <w:rsid w:val="00CB2A35"/>
    <w:rsid w:val="00CB2BDD"/>
    <w:rsid w:val="00CB3119"/>
    <w:rsid w:val="00CB34AB"/>
    <w:rsid w:val="00CB4544"/>
    <w:rsid w:val="00CB56D3"/>
    <w:rsid w:val="00CB5E52"/>
    <w:rsid w:val="00CB7D3B"/>
    <w:rsid w:val="00CC0949"/>
    <w:rsid w:val="00CC29AC"/>
    <w:rsid w:val="00CC2D1F"/>
    <w:rsid w:val="00CC4496"/>
    <w:rsid w:val="00CC4544"/>
    <w:rsid w:val="00CC4F2C"/>
    <w:rsid w:val="00CC65CB"/>
    <w:rsid w:val="00CC66DC"/>
    <w:rsid w:val="00CC75DD"/>
    <w:rsid w:val="00CC7F69"/>
    <w:rsid w:val="00CD2E6D"/>
    <w:rsid w:val="00CD3034"/>
    <w:rsid w:val="00CD334A"/>
    <w:rsid w:val="00CD469A"/>
    <w:rsid w:val="00CD5227"/>
    <w:rsid w:val="00CD7D69"/>
    <w:rsid w:val="00CE0866"/>
    <w:rsid w:val="00CE24EF"/>
    <w:rsid w:val="00CE3489"/>
    <w:rsid w:val="00CE67E7"/>
    <w:rsid w:val="00CF192B"/>
    <w:rsid w:val="00CF4B70"/>
    <w:rsid w:val="00CF4EA5"/>
    <w:rsid w:val="00CF5B96"/>
    <w:rsid w:val="00CF63C8"/>
    <w:rsid w:val="00CF673A"/>
    <w:rsid w:val="00CF676E"/>
    <w:rsid w:val="00CF6BFF"/>
    <w:rsid w:val="00D00E2F"/>
    <w:rsid w:val="00D021F9"/>
    <w:rsid w:val="00D02800"/>
    <w:rsid w:val="00D0438C"/>
    <w:rsid w:val="00D06A50"/>
    <w:rsid w:val="00D06C30"/>
    <w:rsid w:val="00D10C43"/>
    <w:rsid w:val="00D10F4A"/>
    <w:rsid w:val="00D110DB"/>
    <w:rsid w:val="00D1411F"/>
    <w:rsid w:val="00D14191"/>
    <w:rsid w:val="00D151A2"/>
    <w:rsid w:val="00D155DB"/>
    <w:rsid w:val="00D1615C"/>
    <w:rsid w:val="00D16ABE"/>
    <w:rsid w:val="00D17668"/>
    <w:rsid w:val="00D1771A"/>
    <w:rsid w:val="00D17A60"/>
    <w:rsid w:val="00D203A0"/>
    <w:rsid w:val="00D20DBB"/>
    <w:rsid w:val="00D2368D"/>
    <w:rsid w:val="00D23B58"/>
    <w:rsid w:val="00D23C3D"/>
    <w:rsid w:val="00D23CCF"/>
    <w:rsid w:val="00D246F6"/>
    <w:rsid w:val="00D25E69"/>
    <w:rsid w:val="00D265E4"/>
    <w:rsid w:val="00D278F7"/>
    <w:rsid w:val="00D27901"/>
    <w:rsid w:val="00D31628"/>
    <w:rsid w:val="00D32499"/>
    <w:rsid w:val="00D326BF"/>
    <w:rsid w:val="00D34195"/>
    <w:rsid w:val="00D35A6A"/>
    <w:rsid w:val="00D35F7C"/>
    <w:rsid w:val="00D371BC"/>
    <w:rsid w:val="00D3773F"/>
    <w:rsid w:val="00D37F23"/>
    <w:rsid w:val="00D40206"/>
    <w:rsid w:val="00D4067A"/>
    <w:rsid w:val="00D407E0"/>
    <w:rsid w:val="00D409D1"/>
    <w:rsid w:val="00D41840"/>
    <w:rsid w:val="00D435BB"/>
    <w:rsid w:val="00D4774D"/>
    <w:rsid w:val="00D47D8C"/>
    <w:rsid w:val="00D47DA6"/>
    <w:rsid w:val="00D50307"/>
    <w:rsid w:val="00D510E9"/>
    <w:rsid w:val="00D522CA"/>
    <w:rsid w:val="00D52EF9"/>
    <w:rsid w:val="00D5387F"/>
    <w:rsid w:val="00D548E6"/>
    <w:rsid w:val="00D55C2C"/>
    <w:rsid w:val="00D56E34"/>
    <w:rsid w:val="00D57409"/>
    <w:rsid w:val="00D57A96"/>
    <w:rsid w:val="00D61ACF"/>
    <w:rsid w:val="00D61F2B"/>
    <w:rsid w:val="00D6435F"/>
    <w:rsid w:val="00D64714"/>
    <w:rsid w:val="00D64F7A"/>
    <w:rsid w:val="00D654B9"/>
    <w:rsid w:val="00D663A3"/>
    <w:rsid w:val="00D71387"/>
    <w:rsid w:val="00D7289F"/>
    <w:rsid w:val="00D7302D"/>
    <w:rsid w:val="00D737C9"/>
    <w:rsid w:val="00D73F99"/>
    <w:rsid w:val="00D74486"/>
    <w:rsid w:val="00D74696"/>
    <w:rsid w:val="00D77B6C"/>
    <w:rsid w:val="00D80AB3"/>
    <w:rsid w:val="00D81087"/>
    <w:rsid w:val="00D81F75"/>
    <w:rsid w:val="00D81F93"/>
    <w:rsid w:val="00D820D5"/>
    <w:rsid w:val="00D859F1"/>
    <w:rsid w:val="00D863A7"/>
    <w:rsid w:val="00D86895"/>
    <w:rsid w:val="00D86F81"/>
    <w:rsid w:val="00D879CE"/>
    <w:rsid w:val="00D87F7F"/>
    <w:rsid w:val="00D90159"/>
    <w:rsid w:val="00D9153A"/>
    <w:rsid w:val="00D91ABE"/>
    <w:rsid w:val="00D94207"/>
    <w:rsid w:val="00D94FCC"/>
    <w:rsid w:val="00D95206"/>
    <w:rsid w:val="00D962C7"/>
    <w:rsid w:val="00D969F6"/>
    <w:rsid w:val="00D96DE7"/>
    <w:rsid w:val="00D97769"/>
    <w:rsid w:val="00DA035A"/>
    <w:rsid w:val="00DA0DC9"/>
    <w:rsid w:val="00DA0E7C"/>
    <w:rsid w:val="00DA12CD"/>
    <w:rsid w:val="00DA6894"/>
    <w:rsid w:val="00DB0E51"/>
    <w:rsid w:val="00DB18FB"/>
    <w:rsid w:val="00DB2E24"/>
    <w:rsid w:val="00DB5EF4"/>
    <w:rsid w:val="00DB6145"/>
    <w:rsid w:val="00DB6497"/>
    <w:rsid w:val="00DB73D8"/>
    <w:rsid w:val="00DB75F9"/>
    <w:rsid w:val="00DC28DF"/>
    <w:rsid w:val="00DC36DC"/>
    <w:rsid w:val="00DC3C31"/>
    <w:rsid w:val="00DC4EC6"/>
    <w:rsid w:val="00DC5C77"/>
    <w:rsid w:val="00DC6F1A"/>
    <w:rsid w:val="00DD0C18"/>
    <w:rsid w:val="00DD0D38"/>
    <w:rsid w:val="00DD1462"/>
    <w:rsid w:val="00DD2557"/>
    <w:rsid w:val="00DD256B"/>
    <w:rsid w:val="00DD2BF2"/>
    <w:rsid w:val="00DD46FE"/>
    <w:rsid w:val="00DD5245"/>
    <w:rsid w:val="00DD570E"/>
    <w:rsid w:val="00DE2296"/>
    <w:rsid w:val="00DE36D9"/>
    <w:rsid w:val="00DE3863"/>
    <w:rsid w:val="00DE3EB0"/>
    <w:rsid w:val="00DE4EBD"/>
    <w:rsid w:val="00DE5041"/>
    <w:rsid w:val="00DE5910"/>
    <w:rsid w:val="00DF2E11"/>
    <w:rsid w:val="00DF4CEF"/>
    <w:rsid w:val="00DF57C8"/>
    <w:rsid w:val="00DF7DB7"/>
    <w:rsid w:val="00E00DC4"/>
    <w:rsid w:val="00E021F9"/>
    <w:rsid w:val="00E026D5"/>
    <w:rsid w:val="00E0500B"/>
    <w:rsid w:val="00E052C9"/>
    <w:rsid w:val="00E05663"/>
    <w:rsid w:val="00E05721"/>
    <w:rsid w:val="00E0649A"/>
    <w:rsid w:val="00E071E0"/>
    <w:rsid w:val="00E072CB"/>
    <w:rsid w:val="00E073DA"/>
    <w:rsid w:val="00E1039D"/>
    <w:rsid w:val="00E11F27"/>
    <w:rsid w:val="00E13203"/>
    <w:rsid w:val="00E13F69"/>
    <w:rsid w:val="00E14B64"/>
    <w:rsid w:val="00E14BC6"/>
    <w:rsid w:val="00E16068"/>
    <w:rsid w:val="00E20B74"/>
    <w:rsid w:val="00E20C96"/>
    <w:rsid w:val="00E20F71"/>
    <w:rsid w:val="00E21B77"/>
    <w:rsid w:val="00E21CD6"/>
    <w:rsid w:val="00E22B88"/>
    <w:rsid w:val="00E232FB"/>
    <w:rsid w:val="00E23435"/>
    <w:rsid w:val="00E240E4"/>
    <w:rsid w:val="00E245A7"/>
    <w:rsid w:val="00E251E8"/>
    <w:rsid w:val="00E30987"/>
    <w:rsid w:val="00E30A23"/>
    <w:rsid w:val="00E30A75"/>
    <w:rsid w:val="00E321AD"/>
    <w:rsid w:val="00E33149"/>
    <w:rsid w:val="00E34064"/>
    <w:rsid w:val="00E34E6D"/>
    <w:rsid w:val="00E35FF3"/>
    <w:rsid w:val="00E362CE"/>
    <w:rsid w:val="00E36650"/>
    <w:rsid w:val="00E37A87"/>
    <w:rsid w:val="00E37B9A"/>
    <w:rsid w:val="00E40C96"/>
    <w:rsid w:val="00E40F73"/>
    <w:rsid w:val="00E41392"/>
    <w:rsid w:val="00E42AEC"/>
    <w:rsid w:val="00E42F3E"/>
    <w:rsid w:val="00E43426"/>
    <w:rsid w:val="00E444AA"/>
    <w:rsid w:val="00E449D9"/>
    <w:rsid w:val="00E44BDC"/>
    <w:rsid w:val="00E4509D"/>
    <w:rsid w:val="00E46620"/>
    <w:rsid w:val="00E475A6"/>
    <w:rsid w:val="00E505C1"/>
    <w:rsid w:val="00E53333"/>
    <w:rsid w:val="00E542FE"/>
    <w:rsid w:val="00E54DA0"/>
    <w:rsid w:val="00E555B4"/>
    <w:rsid w:val="00E5709C"/>
    <w:rsid w:val="00E575F8"/>
    <w:rsid w:val="00E57C15"/>
    <w:rsid w:val="00E57D52"/>
    <w:rsid w:val="00E6055F"/>
    <w:rsid w:val="00E62300"/>
    <w:rsid w:val="00E624EE"/>
    <w:rsid w:val="00E626E4"/>
    <w:rsid w:val="00E63347"/>
    <w:rsid w:val="00E63372"/>
    <w:rsid w:val="00E635FA"/>
    <w:rsid w:val="00E6402A"/>
    <w:rsid w:val="00E6435F"/>
    <w:rsid w:val="00E66074"/>
    <w:rsid w:val="00E669AA"/>
    <w:rsid w:val="00E7093D"/>
    <w:rsid w:val="00E70CCB"/>
    <w:rsid w:val="00E72B1C"/>
    <w:rsid w:val="00E812DA"/>
    <w:rsid w:val="00E8183B"/>
    <w:rsid w:val="00E81BE5"/>
    <w:rsid w:val="00E81C00"/>
    <w:rsid w:val="00E81C4B"/>
    <w:rsid w:val="00E82A76"/>
    <w:rsid w:val="00E832D4"/>
    <w:rsid w:val="00E850C4"/>
    <w:rsid w:val="00E8598C"/>
    <w:rsid w:val="00E85FF4"/>
    <w:rsid w:val="00E86141"/>
    <w:rsid w:val="00E861FF"/>
    <w:rsid w:val="00E878F4"/>
    <w:rsid w:val="00E8799F"/>
    <w:rsid w:val="00E9128E"/>
    <w:rsid w:val="00E92449"/>
    <w:rsid w:val="00E954E0"/>
    <w:rsid w:val="00E967B4"/>
    <w:rsid w:val="00E97456"/>
    <w:rsid w:val="00EA0142"/>
    <w:rsid w:val="00EA4648"/>
    <w:rsid w:val="00EA507C"/>
    <w:rsid w:val="00EA5F1F"/>
    <w:rsid w:val="00EA5FDD"/>
    <w:rsid w:val="00EA6306"/>
    <w:rsid w:val="00EA7243"/>
    <w:rsid w:val="00EA7856"/>
    <w:rsid w:val="00EA7B16"/>
    <w:rsid w:val="00EB01EC"/>
    <w:rsid w:val="00EB1742"/>
    <w:rsid w:val="00EB1888"/>
    <w:rsid w:val="00EB39A0"/>
    <w:rsid w:val="00EB3BAA"/>
    <w:rsid w:val="00EB475E"/>
    <w:rsid w:val="00EB58D5"/>
    <w:rsid w:val="00EB6867"/>
    <w:rsid w:val="00EB7733"/>
    <w:rsid w:val="00EC0134"/>
    <w:rsid w:val="00EC1929"/>
    <w:rsid w:val="00EC1C2E"/>
    <w:rsid w:val="00EC46BA"/>
    <w:rsid w:val="00EC79C4"/>
    <w:rsid w:val="00ED09DB"/>
    <w:rsid w:val="00ED0E68"/>
    <w:rsid w:val="00ED150A"/>
    <w:rsid w:val="00ED168C"/>
    <w:rsid w:val="00ED22BB"/>
    <w:rsid w:val="00ED4548"/>
    <w:rsid w:val="00ED6194"/>
    <w:rsid w:val="00ED61FA"/>
    <w:rsid w:val="00ED62EA"/>
    <w:rsid w:val="00ED635A"/>
    <w:rsid w:val="00ED6417"/>
    <w:rsid w:val="00ED6DEA"/>
    <w:rsid w:val="00EE265A"/>
    <w:rsid w:val="00EE30E8"/>
    <w:rsid w:val="00EE4070"/>
    <w:rsid w:val="00EE467F"/>
    <w:rsid w:val="00EE4B20"/>
    <w:rsid w:val="00EF010B"/>
    <w:rsid w:val="00EF03E9"/>
    <w:rsid w:val="00EF0609"/>
    <w:rsid w:val="00EF14F0"/>
    <w:rsid w:val="00EF1A5B"/>
    <w:rsid w:val="00EF3354"/>
    <w:rsid w:val="00EF362A"/>
    <w:rsid w:val="00EF4687"/>
    <w:rsid w:val="00EF4D98"/>
    <w:rsid w:val="00EF737D"/>
    <w:rsid w:val="00F004B2"/>
    <w:rsid w:val="00F009E4"/>
    <w:rsid w:val="00F02F44"/>
    <w:rsid w:val="00F044AF"/>
    <w:rsid w:val="00F049DE"/>
    <w:rsid w:val="00F0539F"/>
    <w:rsid w:val="00F06AD3"/>
    <w:rsid w:val="00F1034B"/>
    <w:rsid w:val="00F10E82"/>
    <w:rsid w:val="00F11A2C"/>
    <w:rsid w:val="00F11F20"/>
    <w:rsid w:val="00F11FAC"/>
    <w:rsid w:val="00F13950"/>
    <w:rsid w:val="00F15338"/>
    <w:rsid w:val="00F15480"/>
    <w:rsid w:val="00F166E7"/>
    <w:rsid w:val="00F176CF"/>
    <w:rsid w:val="00F17F58"/>
    <w:rsid w:val="00F20414"/>
    <w:rsid w:val="00F20978"/>
    <w:rsid w:val="00F22A1D"/>
    <w:rsid w:val="00F23AF4"/>
    <w:rsid w:val="00F23D6A"/>
    <w:rsid w:val="00F244D6"/>
    <w:rsid w:val="00F248B4"/>
    <w:rsid w:val="00F258E2"/>
    <w:rsid w:val="00F32190"/>
    <w:rsid w:val="00F32278"/>
    <w:rsid w:val="00F32401"/>
    <w:rsid w:val="00F32FFC"/>
    <w:rsid w:val="00F33313"/>
    <w:rsid w:val="00F3429E"/>
    <w:rsid w:val="00F357FB"/>
    <w:rsid w:val="00F35AB7"/>
    <w:rsid w:val="00F3603E"/>
    <w:rsid w:val="00F362C1"/>
    <w:rsid w:val="00F372CE"/>
    <w:rsid w:val="00F401E4"/>
    <w:rsid w:val="00F40A2C"/>
    <w:rsid w:val="00F41EDB"/>
    <w:rsid w:val="00F43257"/>
    <w:rsid w:val="00F44149"/>
    <w:rsid w:val="00F44ECB"/>
    <w:rsid w:val="00F45E02"/>
    <w:rsid w:val="00F47B05"/>
    <w:rsid w:val="00F47B6E"/>
    <w:rsid w:val="00F50C6F"/>
    <w:rsid w:val="00F5104D"/>
    <w:rsid w:val="00F5125A"/>
    <w:rsid w:val="00F51B92"/>
    <w:rsid w:val="00F51BA8"/>
    <w:rsid w:val="00F53B8D"/>
    <w:rsid w:val="00F579D2"/>
    <w:rsid w:val="00F57CB6"/>
    <w:rsid w:val="00F61121"/>
    <w:rsid w:val="00F6115C"/>
    <w:rsid w:val="00F61886"/>
    <w:rsid w:val="00F61F61"/>
    <w:rsid w:val="00F62DBA"/>
    <w:rsid w:val="00F63281"/>
    <w:rsid w:val="00F63527"/>
    <w:rsid w:val="00F63841"/>
    <w:rsid w:val="00F642F0"/>
    <w:rsid w:val="00F64582"/>
    <w:rsid w:val="00F65CDA"/>
    <w:rsid w:val="00F664B9"/>
    <w:rsid w:val="00F66619"/>
    <w:rsid w:val="00F70DCF"/>
    <w:rsid w:val="00F71209"/>
    <w:rsid w:val="00F72F31"/>
    <w:rsid w:val="00F732FA"/>
    <w:rsid w:val="00F73545"/>
    <w:rsid w:val="00F74D40"/>
    <w:rsid w:val="00F75F14"/>
    <w:rsid w:val="00F76467"/>
    <w:rsid w:val="00F7660F"/>
    <w:rsid w:val="00F76729"/>
    <w:rsid w:val="00F769E6"/>
    <w:rsid w:val="00F77E3C"/>
    <w:rsid w:val="00F80289"/>
    <w:rsid w:val="00F82E92"/>
    <w:rsid w:val="00F83951"/>
    <w:rsid w:val="00F84308"/>
    <w:rsid w:val="00F8455A"/>
    <w:rsid w:val="00F86218"/>
    <w:rsid w:val="00F91820"/>
    <w:rsid w:val="00F929CB"/>
    <w:rsid w:val="00F93FCA"/>
    <w:rsid w:val="00F94443"/>
    <w:rsid w:val="00F96F93"/>
    <w:rsid w:val="00F971FB"/>
    <w:rsid w:val="00F97769"/>
    <w:rsid w:val="00FA0A0E"/>
    <w:rsid w:val="00FA2EEC"/>
    <w:rsid w:val="00FA3C70"/>
    <w:rsid w:val="00FA49D8"/>
    <w:rsid w:val="00FA7080"/>
    <w:rsid w:val="00FB05E4"/>
    <w:rsid w:val="00FB0CA9"/>
    <w:rsid w:val="00FB13F6"/>
    <w:rsid w:val="00FB1909"/>
    <w:rsid w:val="00FB1E72"/>
    <w:rsid w:val="00FB2B3D"/>
    <w:rsid w:val="00FB3D7A"/>
    <w:rsid w:val="00FB4541"/>
    <w:rsid w:val="00FB48A4"/>
    <w:rsid w:val="00FB4CAE"/>
    <w:rsid w:val="00FB4FEC"/>
    <w:rsid w:val="00FC022F"/>
    <w:rsid w:val="00FC074A"/>
    <w:rsid w:val="00FC07FF"/>
    <w:rsid w:val="00FC1068"/>
    <w:rsid w:val="00FC2753"/>
    <w:rsid w:val="00FC293E"/>
    <w:rsid w:val="00FC34DF"/>
    <w:rsid w:val="00FC46D8"/>
    <w:rsid w:val="00FC6AE4"/>
    <w:rsid w:val="00FC70BA"/>
    <w:rsid w:val="00FD1C47"/>
    <w:rsid w:val="00FD22F2"/>
    <w:rsid w:val="00FD3FD5"/>
    <w:rsid w:val="00FD43D7"/>
    <w:rsid w:val="00FD48E7"/>
    <w:rsid w:val="00FD6552"/>
    <w:rsid w:val="00FD65BF"/>
    <w:rsid w:val="00FD70A9"/>
    <w:rsid w:val="00FD7F84"/>
    <w:rsid w:val="00FE073C"/>
    <w:rsid w:val="00FE1DD2"/>
    <w:rsid w:val="00FE38B7"/>
    <w:rsid w:val="00FE4B0A"/>
    <w:rsid w:val="00FE6228"/>
    <w:rsid w:val="00FE71B4"/>
    <w:rsid w:val="00FF03DC"/>
    <w:rsid w:val="00FF08F7"/>
    <w:rsid w:val="00FF4C49"/>
    <w:rsid w:val="00FF54E6"/>
    <w:rsid w:val="00FF5647"/>
    <w:rsid w:val="00FF57D8"/>
    <w:rsid w:val="00FF635E"/>
    <w:rsid w:val="00FF6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988995B"/>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9C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A39CF"/>
    <w:pPr>
      <w:keepNext/>
      <w:spacing w:after="0" w:line="240" w:lineRule="auto"/>
      <w:jc w:val="center"/>
      <w:outlineLvl w:val="0"/>
    </w:pPr>
    <w:rPr>
      <w:rFonts w:ascii="Times New Roman" w:eastAsia="Times New Roman" w:hAnsi="Times New Roman"/>
      <w:b/>
      <w:bCs/>
      <w:sz w:val="20"/>
      <w:szCs w:val="24"/>
      <w:lang w:eastAsia="es-ES"/>
    </w:rPr>
  </w:style>
  <w:style w:type="paragraph" w:styleId="Ttulo2">
    <w:name w:val="heading 2"/>
    <w:aliases w:val="Título Tema"/>
    <w:basedOn w:val="Normal"/>
    <w:next w:val="Normal"/>
    <w:link w:val="Ttulo2Car"/>
    <w:uiPriority w:val="9"/>
    <w:unhideWhenUsed/>
    <w:qFormat/>
    <w:rsid w:val="008A39CF"/>
    <w:pPr>
      <w:keepNext/>
      <w:keepLines/>
      <w:autoSpaceDE w:val="0"/>
      <w:autoSpaceDN w:val="0"/>
      <w:adjustRightInd w:val="0"/>
      <w:spacing w:after="120"/>
      <w:jc w:val="both"/>
      <w:outlineLvl w:val="1"/>
    </w:pPr>
    <w:rPr>
      <w:rFonts w:ascii="ITC Avant Garde" w:hAnsi="ITC Avant Garde"/>
      <w:b/>
    </w:rPr>
  </w:style>
  <w:style w:type="paragraph" w:styleId="Ttulo3">
    <w:name w:val="heading 3"/>
    <w:basedOn w:val="Normal"/>
    <w:next w:val="Normal"/>
    <w:link w:val="Ttulo3Car"/>
    <w:uiPriority w:val="9"/>
    <w:unhideWhenUsed/>
    <w:qFormat/>
    <w:rsid w:val="008A39CF"/>
    <w:pPr>
      <w:numPr>
        <w:numId w:val="2"/>
      </w:numPr>
      <w:spacing w:after="0"/>
      <w:contextualSpacing/>
      <w:jc w:val="both"/>
      <w:outlineLvl w:val="2"/>
    </w:pPr>
    <w:rPr>
      <w:rFonts w:ascii="ITC Avant Garde" w:hAnsi="ITC Avant Garde"/>
      <w:b/>
      <w:i/>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paragraph" w:styleId="Ttulo5">
    <w:name w:val="heading 5"/>
    <w:basedOn w:val="Normal"/>
    <w:next w:val="Normal"/>
    <w:link w:val="Ttulo5Car"/>
    <w:uiPriority w:val="9"/>
    <w:unhideWhenUsed/>
    <w:qFormat/>
    <w:rsid w:val="003545C8"/>
    <w:pPr>
      <w:keepNext/>
      <w:keepLines/>
      <w:spacing w:before="40" w:after="0"/>
      <w:jc w:val="both"/>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39CF"/>
    <w:rPr>
      <w:rFonts w:ascii="Times New Roman" w:eastAsia="Times New Roman" w:hAnsi="Times New Roman" w:cs="Times New Roman"/>
      <w:b/>
      <w:bCs/>
      <w:sz w:val="20"/>
      <w:szCs w:val="24"/>
      <w:lang w:eastAsia="es-ES"/>
    </w:rPr>
  </w:style>
  <w:style w:type="character" w:customStyle="1" w:styleId="Ttulo2Car">
    <w:name w:val="Título 2 Car"/>
    <w:aliases w:val="Título Tema Car"/>
    <w:basedOn w:val="Fuentedeprrafopredeter"/>
    <w:link w:val="Ttulo2"/>
    <w:uiPriority w:val="9"/>
    <w:rsid w:val="008A39CF"/>
    <w:rPr>
      <w:rFonts w:ascii="ITC Avant Garde" w:eastAsia="Calibri" w:hAnsi="ITC Avant Garde" w:cs="Times New Roman"/>
      <w:b/>
    </w:rPr>
  </w:style>
  <w:style w:type="character" w:customStyle="1" w:styleId="Ttulo3Car">
    <w:name w:val="Título 3 Car"/>
    <w:basedOn w:val="Fuentedeprrafopredeter"/>
    <w:link w:val="Ttulo3"/>
    <w:uiPriority w:val="9"/>
    <w:rsid w:val="008A39CF"/>
    <w:rPr>
      <w:rFonts w:ascii="ITC Avant Garde" w:eastAsia="Calibri" w:hAnsi="ITC Avant Garde" w:cs="Times New Roman"/>
      <w:b/>
      <w:i/>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Ref. de nota al pie 2,Footnotes refss,Texto de nota al pie"/>
    <w:basedOn w:val="Fuentedeprrafopredeter"/>
    <w:uiPriority w:val="99"/>
    <w:qFormat/>
    <w:rsid w:val="008A39CF"/>
    <w:rPr>
      <w:vertAlign w:val="superscript"/>
    </w:rPr>
  </w:style>
  <w:style w:type="paragraph" w:styleId="Prrafodelista">
    <w:name w:val="List Paragraph"/>
    <w:aliases w:val="Numeración 1,Bullet List,FooterText,numbered,List Paragraph1,Bulletr List Paragraph,列出段落,列出段落1,lp1,List Paragraph11,Lista vistosa - Énfasis 11,Listas,Paragraphe de liste1,Scitum normal,Contenido_1,Colorful List - Accent 11,4 Viñ 1nivel"/>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after="0" w:line="240" w:lineRule="auto"/>
      <w:jc w:val="both"/>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after="0" w:line="240" w:lineRule="auto"/>
      <w:ind w:left="708"/>
    </w:pPr>
    <w:rPr>
      <w:rFonts w:ascii="Arial" w:hAnsi="Arial"/>
    </w:r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rsid w:val="008A39CF"/>
    <w:rPr>
      <w:color w:val="0000FF"/>
      <w:u w:val="single"/>
    </w:rPr>
  </w:style>
  <w:style w:type="paragraph" w:styleId="Sinespaciado">
    <w:name w:val="No Spacing"/>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after="0" w:line="240" w:lineRule="auto"/>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aliases w:val="Numeración 1 Car,Bullet List Car,FooterText Car,numbered Car,List Paragraph1 Car,Bulletr List Paragraph Car,列出段落 Car,列出段落1 Car,lp1 Car,List Paragraph11 Car,Lista vistosa - Énfasis 11 Car,Listas Car,Paragraphe de liste1 Car"/>
    <w:link w:val="Prrafodelista"/>
    <w:uiPriority w:val="34"/>
    <w:qFormat/>
    <w:rsid w:val="008A39CF"/>
  </w:style>
  <w:style w:type="paragraph" w:customStyle="1" w:styleId="texto0">
    <w:name w:val="texto"/>
    <w:basedOn w:val="Normal"/>
    <w:rsid w:val="004F555A"/>
    <w:pPr>
      <w:spacing w:after="101" w:line="240" w:lineRule="auto"/>
      <w:ind w:firstLine="288"/>
      <w:jc w:val="both"/>
    </w:pPr>
    <w:rPr>
      <w:rFonts w:ascii="Times New Roman" w:eastAsia="Times New Roman" w:hAnsi="Times New Roman"/>
      <w:color w:val="2F2F2F"/>
      <w:sz w:val="18"/>
      <w:szCs w:val="18"/>
      <w:lang w:eastAsia="es-MX"/>
    </w:rPr>
  </w:style>
  <w:style w:type="paragraph" w:customStyle="1" w:styleId="Notaalpie">
    <w:name w:val="Nota al pie"/>
    <w:basedOn w:val="Textonotapie"/>
    <w:link w:val="NotaalpieCar"/>
    <w:autoRedefine/>
    <w:qFormat/>
    <w:rsid w:val="00B96492"/>
    <w:pPr>
      <w:jc w:val="both"/>
    </w:pPr>
    <w:rPr>
      <w:rFonts w:ascii="Arial" w:hAnsi="Arial" w:cs="Arial"/>
      <w:sz w:val="14"/>
      <w:szCs w:val="14"/>
    </w:rPr>
  </w:style>
  <w:style w:type="character" w:customStyle="1" w:styleId="NotaalpieCar">
    <w:name w:val="Nota al pie Car"/>
    <w:basedOn w:val="TextonotapieCar"/>
    <w:link w:val="Notaalpie"/>
    <w:rsid w:val="00B96492"/>
    <w:rPr>
      <w:rFonts w:ascii="Arial" w:eastAsia="Calibri" w:hAnsi="Arial" w:cs="Arial"/>
      <w:sz w:val="14"/>
      <w:szCs w:val="14"/>
    </w:rPr>
  </w:style>
  <w:style w:type="character" w:customStyle="1" w:styleId="Ttulo5Car">
    <w:name w:val="Título 5 Car"/>
    <w:basedOn w:val="Fuentedeprrafopredeter"/>
    <w:link w:val="Ttulo5"/>
    <w:uiPriority w:val="9"/>
    <w:rsid w:val="003545C8"/>
    <w:rPr>
      <w:rFonts w:asciiTheme="majorHAnsi" w:eastAsiaTheme="majorEastAsia" w:hAnsiTheme="majorHAnsi" w:cstheme="majorBidi"/>
      <w:color w:val="2E74B5" w:themeColor="accent1" w:themeShade="BF"/>
    </w:rPr>
  </w:style>
  <w:style w:type="paragraph" w:styleId="Cita">
    <w:name w:val="Quote"/>
    <w:aliases w:val="Cita_DGCE,Nota_Pie_DGCE"/>
    <w:basedOn w:val="Normal"/>
    <w:next w:val="Normal"/>
    <w:link w:val="CitaCar"/>
    <w:autoRedefine/>
    <w:uiPriority w:val="29"/>
    <w:qFormat/>
    <w:rsid w:val="003545C8"/>
    <w:pPr>
      <w:spacing w:after="0"/>
      <w:ind w:left="567"/>
      <w:jc w:val="both"/>
    </w:pPr>
    <w:rPr>
      <w:rFonts w:ascii="Arial" w:eastAsiaTheme="minorHAnsi" w:hAnsi="Arial" w:cs="Arial"/>
      <w:i/>
      <w:iCs/>
      <w:sz w:val="20"/>
    </w:rPr>
  </w:style>
  <w:style w:type="character" w:customStyle="1" w:styleId="CitaCar">
    <w:name w:val="Cita Car"/>
    <w:aliases w:val="Cita_DGCE Car,Nota_Pie_DGCE Car"/>
    <w:basedOn w:val="Fuentedeprrafopredeter"/>
    <w:link w:val="Cita"/>
    <w:uiPriority w:val="29"/>
    <w:rsid w:val="003545C8"/>
    <w:rPr>
      <w:rFonts w:ascii="Arial" w:hAnsi="Arial" w:cs="Arial"/>
      <w:i/>
      <w:iCs/>
      <w:sz w:val="20"/>
    </w:rPr>
  </w:style>
  <w:style w:type="paragraph" w:customStyle="1" w:styleId="Subtema">
    <w:name w:val="Subtema"/>
    <w:basedOn w:val="Ttulo2"/>
    <w:link w:val="SubtemaCar"/>
    <w:qFormat/>
    <w:rsid w:val="003545C8"/>
    <w:pPr>
      <w:numPr>
        <w:numId w:val="4"/>
      </w:numPr>
      <w:autoSpaceDE/>
      <w:autoSpaceDN/>
      <w:adjustRightInd/>
      <w:spacing w:before="360" w:after="0"/>
    </w:pPr>
    <w:rPr>
      <w:rFonts w:eastAsiaTheme="majorEastAsia" w:cstheme="majorBidi"/>
      <w:szCs w:val="26"/>
    </w:rPr>
  </w:style>
  <w:style w:type="character" w:customStyle="1" w:styleId="SubtemaCar">
    <w:name w:val="Subtema Car"/>
    <w:basedOn w:val="Ttulo2Car"/>
    <w:link w:val="Subtema"/>
    <w:rsid w:val="003545C8"/>
    <w:rPr>
      <w:rFonts w:ascii="ITC Avant Garde" w:eastAsiaTheme="majorEastAsia" w:hAnsi="ITC Avant Garde" w:cstheme="majorBidi"/>
      <w:b/>
      <w:szCs w:val="26"/>
    </w:rPr>
  </w:style>
  <w:style w:type="paragraph" w:customStyle="1" w:styleId="subsubtema">
    <w:name w:val="sub subtema"/>
    <w:basedOn w:val="Ttulo3"/>
    <w:link w:val="subsubtemaCar"/>
    <w:rsid w:val="003545C8"/>
    <w:pPr>
      <w:keepNext/>
      <w:keepLines/>
      <w:numPr>
        <w:numId w:val="0"/>
      </w:numPr>
      <w:spacing w:before="240" w:after="120"/>
      <w:ind w:left="1701" w:hanging="360"/>
      <w:contextualSpacing w:val="0"/>
    </w:pPr>
    <w:rPr>
      <w:rFonts w:eastAsiaTheme="majorEastAsia" w:cstheme="majorBidi"/>
      <w:i w:val="0"/>
      <w:szCs w:val="24"/>
    </w:rPr>
  </w:style>
  <w:style w:type="character" w:customStyle="1" w:styleId="subsubtemaCar">
    <w:name w:val="sub subtema Car"/>
    <w:basedOn w:val="Ttulo3Car"/>
    <w:link w:val="subsubtema"/>
    <w:rsid w:val="003545C8"/>
    <w:rPr>
      <w:rFonts w:ascii="ITC Avant Garde" w:eastAsiaTheme="majorEastAsia" w:hAnsi="ITC Avant Garde" w:cstheme="majorBidi"/>
      <w:b/>
      <w:i w:val="0"/>
      <w:szCs w:val="24"/>
    </w:rPr>
  </w:style>
  <w:style w:type="paragraph" w:styleId="TDC1">
    <w:name w:val="toc 1"/>
    <w:basedOn w:val="Normal"/>
    <w:next w:val="Normal"/>
    <w:autoRedefine/>
    <w:uiPriority w:val="39"/>
    <w:unhideWhenUsed/>
    <w:rsid w:val="00AF7B24"/>
    <w:pPr>
      <w:tabs>
        <w:tab w:val="left" w:pos="440"/>
        <w:tab w:val="right" w:leader="dot" w:pos="9394"/>
      </w:tabs>
      <w:spacing w:after="0"/>
      <w:jc w:val="both"/>
    </w:pPr>
    <w:rPr>
      <w:rFonts w:ascii="Arial" w:eastAsiaTheme="minorHAnsi" w:hAnsi="Arial" w:cs="Arial"/>
      <w:b/>
      <w:bCs/>
      <w:noProof/>
    </w:rPr>
  </w:style>
  <w:style w:type="paragraph" w:styleId="TDC2">
    <w:name w:val="toc 2"/>
    <w:basedOn w:val="Normal"/>
    <w:next w:val="Normal"/>
    <w:autoRedefine/>
    <w:uiPriority w:val="39"/>
    <w:unhideWhenUsed/>
    <w:rsid w:val="003545C8"/>
    <w:pPr>
      <w:spacing w:before="120" w:after="100"/>
      <w:ind w:left="220"/>
      <w:jc w:val="both"/>
    </w:pPr>
    <w:rPr>
      <w:rFonts w:ascii="Arial" w:eastAsiaTheme="minorHAnsi" w:hAnsi="Arial" w:cstheme="minorBidi"/>
    </w:rPr>
  </w:style>
  <w:style w:type="paragraph" w:customStyle="1" w:styleId="TablaTexto">
    <w:name w:val="TablaTexto"/>
    <w:link w:val="TablaTextoCar"/>
    <w:qFormat/>
    <w:rsid w:val="003545C8"/>
    <w:pPr>
      <w:spacing w:after="0" w:line="240" w:lineRule="auto"/>
      <w:jc w:val="both"/>
    </w:pPr>
    <w:rPr>
      <w:rFonts w:ascii="ITC Avant Garde" w:hAnsi="ITC Avant Garde"/>
    </w:rPr>
  </w:style>
  <w:style w:type="character" w:customStyle="1" w:styleId="TablaTextoCar">
    <w:name w:val="TablaTexto Car"/>
    <w:basedOn w:val="Fuentedeprrafopredeter"/>
    <w:link w:val="TablaTexto"/>
    <w:rsid w:val="003545C8"/>
    <w:rPr>
      <w:rFonts w:ascii="ITC Avant Garde" w:hAnsi="ITC Avant Garde"/>
    </w:rPr>
  </w:style>
  <w:style w:type="paragraph" w:customStyle="1" w:styleId="NotaPie">
    <w:name w:val="Nota_Pie"/>
    <w:autoRedefine/>
    <w:rsid w:val="003545C8"/>
    <w:pPr>
      <w:spacing w:after="0" w:line="240" w:lineRule="auto"/>
      <w:jc w:val="both"/>
    </w:pPr>
    <w:rPr>
      <w:rFonts w:ascii="Arial" w:hAnsi="Arial" w:cs="Arial"/>
      <w:sz w:val="14"/>
      <w:szCs w:val="14"/>
    </w:rPr>
  </w:style>
  <w:style w:type="table" w:customStyle="1" w:styleId="Tablaconcuadrcula1">
    <w:name w:val="Tabla con cuadrícula1"/>
    <w:basedOn w:val="Tablanormal"/>
    <w:next w:val="Tablaconcuadrcula"/>
    <w:uiPriority w:val="39"/>
    <w:rsid w:val="003545C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3545C8"/>
    <w:pPr>
      <w:spacing w:after="100" w:line="256" w:lineRule="auto"/>
      <w:ind w:left="440"/>
    </w:pPr>
    <w:rPr>
      <w:rFonts w:ascii="Arial" w:eastAsiaTheme="minorHAnsi" w:hAnsi="Arial" w:cstheme="minorBidi"/>
    </w:rPr>
  </w:style>
  <w:style w:type="paragraph" w:styleId="TDC4">
    <w:name w:val="toc 4"/>
    <w:basedOn w:val="Normal"/>
    <w:next w:val="Normal"/>
    <w:autoRedefine/>
    <w:uiPriority w:val="39"/>
    <w:unhideWhenUsed/>
    <w:rsid w:val="003545C8"/>
    <w:pPr>
      <w:spacing w:before="120" w:after="100"/>
      <w:ind w:left="660"/>
      <w:jc w:val="both"/>
    </w:pPr>
    <w:rPr>
      <w:rFonts w:ascii="Arial" w:eastAsiaTheme="minorHAnsi" w:hAnsi="Arial" w:cstheme="minorBidi"/>
    </w:rPr>
  </w:style>
  <w:style w:type="paragraph" w:customStyle="1" w:styleId="subSubtema0">
    <w:name w:val="sub_Subtema"/>
    <w:basedOn w:val="Ttulo3"/>
    <w:link w:val="subSubtemaCar0"/>
    <w:qFormat/>
    <w:rsid w:val="003545C8"/>
    <w:pPr>
      <w:keepNext/>
      <w:keepLines/>
      <w:numPr>
        <w:numId w:val="0"/>
      </w:numPr>
      <w:spacing w:before="240" w:after="120"/>
      <w:ind w:left="1701" w:hanging="720"/>
      <w:contextualSpacing w:val="0"/>
    </w:pPr>
    <w:rPr>
      <w:rFonts w:asciiTheme="majorHAnsi" w:eastAsiaTheme="majorEastAsia" w:hAnsiTheme="majorHAnsi" w:cstheme="majorBidi"/>
      <w:i w:val="0"/>
      <w:color w:val="1F4D78" w:themeColor="accent1" w:themeShade="7F"/>
      <w:sz w:val="24"/>
      <w:szCs w:val="24"/>
    </w:rPr>
  </w:style>
  <w:style w:type="character" w:customStyle="1" w:styleId="subSubtemaCar0">
    <w:name w:val="sub_Subtema Car"/>
    <w:basedOn w:val="Ttulo3Car"/>
    <w:link w:val="subSubtema0"/>
    <w:rsid w:val="003545C8"/>
    <w:rPr>
      <w:rFonts w:asciiTheme="majorHAnsi" w:eastAsiaTheme="majorEastAsia" w:hAnsiTheme="majorHAnsi" w:cstheme="majorBidi"/>
      <w:b/>
      <w:i w:val="0"/>
      <w:color w:val="1F4D78" w:themeColor="accent1" w:themeShade="7F"/>
      <w:sz w:val="24"/>
      <w:szCs w:val="24"/>
    </w:rPr>
  </w:style>
  <w:style w:type="paragraph" w:styleId="TtuloTDC">
    <w:name w:val="TOC Heading"/>
    <w:basedOn w:val="Ttulo1"/>
    <w:next w:val="Normal"/>
    <w:uiPriority w:val="39"/>
    <w:unhideWhenUsed/>
    <w:qFormat/>
    <w:rsid w:val="003545C8"/>
    <w:pPr>
      <w:keepLines/>
      <w:spacing w:before="240" w:line="259" w:lineRule="auto"/>
      <w:jc w:val="left"/>
      <w:outlineLvl w:val="9"/>
    </w:pPr>
    <w:rPr>
      <w:rFonts w:ascii="ITC Avant Garde" w:eastAsiaTheme="majorEastAsia" w:hAnsi="ITC Avant Garde" w:cstheme="majorBidi"/>
      <w:bCs w:val="0"/>
      <w:sz w:val="22"/>
      <w:szCs w:val="32"/>
      <w:lang w:eastAsia="es-MX"/>
    </w:rPr>
  </w:style>
  <w:style w:type="paragraph" w:styleId="Descripcin">
    <w:name w:val="caption"/>
    <w:basedOn w:val="Normal"/>
    <w:next w:val="Normal"/>
    <w:uiPriority w:val="35"/>
    <w:unhideWhenUsed/>
    <w:qFormat/>
    <w:rsid w:val="003545C8"/>
    <w:pPr>
      <w:spacing w:line="240" w:lineRule="auto"/>
      <w:jc w:val="both"/>
    </w:pPr>
    <w:rPr>
      <w:rFonts w:ascii="ITC Avant Garde" w:eastAsiaTheme="minorHAnsi" w:hAnsi="ITC Avant Garde" w:cstheme="minorBidi"/>
      <w:i/>
      <w:iCs/>
      <w:color w:val="44546A" w:themeColor="text2"/>
      <w:sz w:val="18"/>
      <w:szCs w:val="18"/>
    </w:rPr>
  </w:style>
  <w:style w:type="paragraph" w:customStyle="1" w:styleId="Pa8">
    <w:name w:val="Pa8"/>
    <w:basedOn w:val="Default"/>
    <w:next w:val="Default"/>
    <w:uiPriority w:val="99"/>
    <w:rsid w:val="003545C8"/>
    <w:pPr>
      <w:spacing w:line="241" w:lineRule="atLeast"/>
    </w:pPr>
    <w:rPr>
      <w:rFonts w:ascii="Humanst521 BT" w:eastAsiaTheme="minorHAnsi" w:hAnsi="Humanst521 BT" w:cstheme="minorBidi"/>
      <w:color w:val="auto"/>
      <w:lang w:eastAsia="en-US"/>
    </w:rPr>
  </w:style>
  <w:style w:type="paragraph" w:customStyle="1" w:styleId="Pa10">
    <w:name w:val="Pa10"/>
    <w:basedOn w:val="Default"/>
    <w:next w:val="Default"/>
    <w:uiPriority w:val="99"/>
    <w:rsid w:val="003545C8"/>
    <w:pPr>
      <w:spacing w:line="241" w:lineRule="atLeast"/>
    </w:pPr>
    <w:rPr>
      <w:rFonts w:ascii="Humanst521 BT" w:eastAsiaTheme="minorHAnsi" w:hAnsi="Humanst521 BT" w:cstheme="minorBidi"/>
      <w:color w:val="auto"/>
      <w:lang w:eastAsia="en-US"/>
    </w:rPr>
  </w:style>
  <w:style w:type="character" w:customStyle="1" w:styleId="A6">
    <w:name w:val="A6"/>
    <w:uiPriority w:val="99"/>
    <w:rsid w:val="003545C8"/>
    <w:rPr>
      <w:rFonts w:cs="Humanst521 BT"/>
      <w:color w:val="211D1E"/>
    </w:rPr>
  </w:style>
  <w:style w:type="character" w:customStyle="1" w:styleId="A1">
    <w:name w:val="A1"/>
    <w:uiPriority w:val="99"/>
    <w:rsid w:val="003545C8"/>
    <w:rPr>
      <w:rFonts w:cs="Humanst521 BT"/>
      <w:color w:val="0000FF"/>
      <w:u w:val="single"/>
    </w:rPr>
  </w:style>
  <w:style w:type="character" w:customStyle="1" w:styleId="Cuerpodeltexto">
    <w:name w:val="Cuerpo del texto_"/>
    <w:basedOn w:val="Fuentedeprrafopredeter"/>
    <w:link w:val="Cuerpodeltexto0"/>
    <w:rsid w:val="003545C8"/>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3545C8"/>
    <w:pPr>
      <w:widowControl w:val="0"/>
      <w:shd w:val="clear" w:color="auto" w:fill="FFFFFF"/>
      <w:spacing w:before="240" w:after="240" w:line="277" w:lineRule="exact"/>
      <w:jc w:val="both"/>
    </w:pPr>
    <w:rPr>
      <w:rFonts w:ascii="Arial" w:eastAsia="Arial" w:hAnsi="Arial" w:cs="Arial"/>
      <w:sz w:val="23"/>
      <w:szCs w:val="23"/>
    </w:rPr>
  </w:style>
  <w:style w:type="character" w:customStyle="1" w:styleId="pintarlink">
    <w:name w:val="pintarlink"/>
    <w:basedOn w:val="Fuentedeprrafopredeter"/>
    <w:rsid w:val="003545C8"/>
  </w:style>
  <w:style w:type="paragraph" w:styleId="HTMLconformatoprevio">
    <w:name w:val="HTML Preformatted"/>
    <w:basedOn w:val="Normal"/>
    <w:link w:val="HTMLconformatoprevioCar"/>
    <w:uiPriority w:val="99"/>
    <w:semiHidden/>
    <w:unhideWhenUsed/>
    <w:rsid w:val="00354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545C8"/>
    <w:rPr>
      <w:rFonts w:ascii="Courier New" w:eastAsia="Times New Roman" w:hAnsi="Courier New" w:cs="Courier New"/>
      <w:sz w:val="20"/>
      <w:szCs w:val="20"/>
      <w:lang w:eastAsia="es-MX"/>
    </w:rPr>
  </w:style>
  <w:style w:type="character" w:customStyle="1" w:styleId="Mencinsinresolver1">
    <w:name w:val="Mención sin resolver1"/>
    <w:basedOn w:val="Fuentedeprrafopredeter"/>
    <w:uiPriority w:val="99"/>
    <w:semiHidden/>
    <w:unhideWhenUsed/>
    <w:rsid w:val="003545C8"/>
    <w:rPr>
      <w:color w:val="605E5C"/>
      <w:shd w:val="clear" w:color="auto" w:fill="E1DFDD"/>
    </w:rPr>
  </w:style>
  <w:style w:type="character" w:styleId="Mencinsinresolver">
    <w:name w:val="Unresolved Mention"/>
    <w:basedOn w:val="Fuentedeprrafopredeter"/>
    <w:uiPriority w:val="99"/>
    <w:semiHidden/>
    <w:unhideWhenUsed/>
    <w:rsid w:val="00C30AD1"/>
    <w:rPr>
      <w:color w:val="605E5C"/>
      <w:shd w:val="clear" w:color="auto" w:fill="E1DFDD"/>
    </w:rPr>
  </w:style>
  <w:style w:type="paragraph" w:styleId="Sangradetextonormal">
    <w:name w:val="Body Text Indent"/>
    <w:basedOn w:val="Normal"/>
    <w:link w:val="SangradetextonormalCar"/>
    <w:uiPriority w:val="99"/>
    <w:semiHidden/>
    <w:unhideWhenUsed/>
    <w:rsid w:val="00C30AD1"/>
    <w:pPr>
      <w:spacing w:after="120"/>
      <w:ind w:left="283"/>
    </w:pPr>
  </w:style>
  <w:style w:type="character" w:customStyle="1" w:styleId="SangradetextonormalCar">
    <w:name w:val="Sangría de texto normal Car"/>
    <w:basedOn w:val="Fuentedeprrafopredeter"/>
    <w:link w:val="Sangradetextonormal"/>
    <w:uiPriority w:val="99"/>
    <w:semiHidden/>
    <w:rsid w:val="00C30A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16090358">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apps.ift.org.mx/publicdata/P_IFT_EXT_131114_219_Version_Publica.pdf" TargetMode="External"/><Relationship Id="rId21" Type="http://schemas.openxmlformats.org/officeDocument/2006/relationships/hyperlink" Target="http://apps.ift.org.mx/publicdata/VP_P_IFT_260617_356.pdf" TargetMode="External"/><Relationship Id="rId42" Type="http://schemas.openxmlformats.org/officeDocument/2006/relationships/hyperlink" Target="https://www.competitionbureau.gc.ca/eic/site/cb-bc.nsf/eng/04200.html" TargetMode="External"/><Relationship Id="rId63" Type="http://schemas.openxmlformats.org/officeDocument/2006/relationships/hyperlink" Target="http://apps.ift.org.mx/publicdata/VP_P_IFT_210819_432.pdf" TargetMode="External"/><Relationship Id="rId84" Type="http://schemas.openxmlformats.org/officeDocument/2006/relationships/hyperlink" Target="https://www.fne.gob.cl/wp-content/uploads/2011/03/estu_0003_2010.pdf" TargetMode="External"/><Relationship Id="rId138" Type="http://schemas.openxmlformats.org/officeDocument/2006/relationships/hyperlink" Target="https://www.bundeskartellamt.de/SharedDocs/Entscheidung/EN/Entscheidungen/Missbrauchsaufsicht/2019/B6-22-16.pdf?__blob=publicationFile&amp;v=5" TargetMode="External"/><Relationship Id="rId107" Type="http://schemas.openxmlformats.org/officeDocument/2006/relationships/hyperlink" Target="https://www.researchgate.net/publication/227651905_Two-sided_Markets_A_Progress_Report" TargetMode="External"/><Relationship Id="rId11" Type="http://schemas.openxmlformats.org/officeDocument/2006/relationships/hyperlink" Target="https://assets.publishing.service.gov.uk/government/uploads/system/uploads/attachment_data/file/284423/oft403.pdf" TargetMode="External"/><Relationship Id="rId32" Type="http://schemas.openxmlformats.org/officeDocument/2006/relationships/hyperlink" Target="http://www.ift.org.mx/industria/espectro-radioelectrico/television/2016/licitacion-no-ift-6-television-radiodifundida-digital" TargetMode="External"/><Relationship Id="rId37" Type="http://schemas.openxmlformats.org/officeDocument/2006/relationships/hyperlink" Target="https://ec.europa.eu/competition/mergers/cases/decisions/m8864_7363_3.pdf" TargetMode="External"/><Relationship Id="rId53" Type="http://schemas.openxmlformats.org/officeDocument/2006/relationships/hyperlink" Target="http://www.ift.org.mx/pagina-de-inicio/opiniones-en-materia-de-competencia-economica" TargetMode="External"/><Relationship Id="rId58" Type="http://schemas.openxmlformats.org/officeDocument/2006/relationships/hyperlink" Target="https://www.justice.gov/atr/horizontal-merger-guidelines-08192010" TargetMode="External"/><Relationship Id="rId74" Type="http://schemas.openxmlformats.org/officeDocument/2006/relationships/hyperlink" Target="https://www.internationalcompetitionnetwork.org/wp-content/uploads/2019/05/MWG-Vertical-Mergers-Comparison-Study.pdf" TargetMode="External"/><Relationship Id="rId79" Type="http://schemas.openxmlformats.org/officeDocument/2006/relationships/hyperlink" Target="https://www.justice.gov/atr/page/file/1175141/download?mkwid=c" TargetMode="External"/><Relationship Id="rId102" Type="http://schemas.openxmlformats.org/officeDocument/2006/relationships/hyperlink" Target="https://www.oecd-ilibrary.org/docserver/5js04dp2q1jc-en.pdf?expires=1597095718&amp;id=id&amp;accname=guest&amp;checksum=A818045C7EED02B383CB10724AD048D9" TargetMode="External"/><Relationship Id="rId123" Type="http://schemas.openxmlformats.org/officeDocument/2006/relationships/hyperlink" Target="http://apps.ift.org.mx/publicdata/Version_Publica_P_IFT_EXT_190216_7.pdf" TargetMode="External"/><Relationship Id="rId128" Type="http://schemas.openxmlformats.org/officeDocument/2006/relationships/hyperlink" Target="http://www.ift.org.mx/sites/default/files/conocenos/pleno/sesiones/acuerdoliga/vp181120436.pdf" TargetMode="External"/><Relationship Id="rId5" Type="http://schemas.openxmlformats.org/officeDocument/2006/relationships/hyperlink" Target="https://assets.publishing.service.gov.uk/government/uploads/system/uploads/attachment_data/file/284449/OFT1254.pdf" TargetMode="External"/><Relationship Id="rId90" Type="http://schemas.openxmlformats.org/officeDocument/2006/relationships/hyperlink" Target="http://curia.europa.eu/juris/document/document.jsf;jsessionid=CDC36C791B5A503C86A5B8A543E2E569?text=&amp;docid=121143&amp;pageIndex=0&amp;doclang=ES&amp;mode=lst&amp;dir=&amp;occ=first&amp;part=1&amp;cid=4131947" TargetMode="External"/><Relationship Id="rId95" Type="http://schemas.openxmlformats.org/officeDocument/2006/relationships/hyperlink" Target="https://www.ofcom.org.uk/__data/assets/pdf_file/0019/115138/Draft-statement-annexes-2-8-Wholesale-broadband-access-market-review-2018.pdf" TargetMode="External"/><Relationship Id="rId22" Type="http://schemas.openxmlformats.org/officeDocument/2006/relationships/hyperlink" Target="http://apps.ift.org.mx/publicdata/VP2_P_IFT_EXT_290415_86.pdf" TargetMode="External"/><Relationship Id="rId27" Type="http://schemas.openxmlformats.org/officeDocument/2006/relationships/hyperlink" Target="http://www.ift.org.mx/sites/default/files/conocenos/pleno/sesiones/acuerdoliga/vppift220818511noct_1.pdf" TargetMode="External"/><Relationship Id="rId43" Type="http://schemas.openxmlformats.org/officeDocument/2006/relationships/hyperlink" Target="https://www.accc.gov.au/system/files/public-registers/documents/MER15%2B13662.pdf" TargetMode="External"/><Relationship Id="rId48" Type="http://schemas.openxmlformats.org/officeDocument/2006/relationships/hyperlink" Target="https://www.oecd.org/daf/competition/98765433.pdf" TargetMode="External"/><Relationship Id="rId64" Type="http://schemas.openxmlformats.org/officeDocument/2006/relationships/hyperlink" Target="https://www.justice.gov/atr/horizontal-merger-guidelines-08192010" TargetMode="External"/><Relationship Id="rId69" Type="http://schemas.openxmlformats.org/officeDocument/2006/relationships/hyperlink" Target="https://ec.europa.eu/competition/mergers/cases/decisions/M5748_20100311_201220_254185_ES.pdf" TargetMode="External"/><Relationship Id="rId113" Type="http://schemas.openxmlformats.org/officeDocument/2006/relationships/hyperlink" Target="http://apps.ift.org.mx/publicdata/Version_Publica_P_IFT_EXT_190216_7.pdf" TargetMode="External"/><Relationship Id="rId118" Type="http://schemas.openxmlformats.org/officeDocument/2006/relationships/hyperlink" Target="http://apps.ift.org.mx/publicdata/P_IFT_EXT_131114_220_Version_Publica.pdf" TargetMode="External"/><Relationship Id="rId134" Type="http://schemas.openxmlformats.org/officeDocument/2006/relationships/hyperlink" Target="http://ec.europa.eu/competition/mergers/cases/decisions/m8124_1349_5.pdf" TargetMode="External"/><Relationship Id="rId139" Type="http://schemas.openxmlformats.org/officeDocument/2006/relationships/hyperlink" Target="https://www.accc.gov.au/system/files/Digital%20platforms%20inquiry%20-%20final%20report.pdf" TargetMode="External"/><Relationship Id="rId80" Type="http://schemas.openxmlformats.org/officeDocument/2006/relationships/hyperlink" Target="https://www.competitionbureau.gc.ca/eic/site/cb-bc.nsf/eng/03544.html" TargetMode="External"/><Relationship Id="rId85" Type="http://schemas.openxmlformats.org/officeDocument/2006/relationships/hyperlink" Target="https://berec.europa.eu/eng/document_register/subject_matter/berec/reports/209-berec-report-on-impact-of-bundled-offers-in-retail-and-wholesale-market-definition" TargetMode="External"/><Relationship Id="rId12" Type="http://schemas.openxmlformats.org/officeDocument/2006/relationships/hyperlink" Target="https://eur-lex.europa.eu/legal-content/ES/TXT/PDF/?uri=CELEX:52018XC0507(01)&amp;from=HU" TargetMode="External"/><Relationship Id="rId17" Type="http://schemas.openxmlformats.org/officeDocument/2006/relationships/hyperlink" Target="http://www.oecd.org/daf/competition/Examenes-de-mercado-en-Mexico-Manual-2016.pdf" TargetMode="External"/><Relationship Id="rId33" Type="http://schemas.openxmlformats.org/officeDocument/2006/relationships/hyperlink" Target="http://apps.ift.org.mx/publicdata/Version_Publica_P_IFT_EXT_190216_7.pdf" TargetMode="External"/><Relationship Id="rId38" Type="http://schemas.openxmlformats.org/officeDocument/2006/relationships/hyperlink" Target="https://assets.publishing.service.gov.uk/government/uploads/system/uploads/attachment_data/file/284423/oft403.pdf" TargetMode="External"/><Relationship Id="rId59" Type="http://schemas.openxmlformats.org/officeDocument/2006/relationships/hyperlink" Target="https://www.crai.com/sites/default/files/publications/China-Highlights-Qihoo-360-v-Tencent-0215_0.pdf" TargetMode="External"/><Relationship Id="rId103" Type="http://schemas.openxmlformats.org/officeDocument/2006/relationships/hyperlink" Target="https://www.myecole.it/biblio/wp-content/uploads/2020/11/1_DB_13_MVC_2018-EU-Market-analysis.pdf" TargetMode="External"/><Relationship Id="rId108" Type="http://schemas.openxmlformats.org/officeDocument/2006/relationships/hyperlink" Target="http://www.oecd.org/daf/competition/Rethinking-antitrust-tools-for-multi-sided-platforms-2018.pdf" TargetMode="External"/><Relationship Id="rId124" Type="http://schemas.openxmlformats.org/officeDocument/2006/relationships/hyperlink" Target="http://apps.ift.org.mx/publicdata/VP2_P_IFT_EXT_181214_282.pdf" TargetMode="External"/><Relationship Id="rId129" Type="http://schemas.openxmlformats.org/officeDocument/2006/relationships/hyperlink" Target="https://www.apec.org/Publications/2019/08/Competition-Policy-for-Regulating-Online-Platforms-in-the-APEC-Region" TargetMode="External"/><Relationship Id="rId54" Type="http://schemas.openxmlformats.org/officeDocument/2006/relationships/hyperlink" Target="http://www.ift.org.mx/industria/espectro-radioelectrico/television/2016/licitacion-no-ift-6-television-radiodifundida-digital" TargetMode="External"/><Relationship Id="rId70" Type="http://schemas.openxmlformats.org/officeDocument/2006/relationships/hyperlink" Target="https://ec.europa.eu/competition/mergers/cases/decisions/m6956_235_2.pdf" TargetMode="External"/><Relationship Id="rId75" Type="http://schemas.openxmlformats.org/officeDocument/2006/relationships/hyperlink" Target="https://one.oecd.org/document/DAF/COMP(2019)5/en/pdf" TargetMode="External"/><Relationship Id="rId91" Type="http://schemas.openxmlformats.org/officeDocument/2006/relationships/hyperlink" Target="https://www.justice.gov/sites/default/files/opa/legacy/2011/08/31/Justice-ATT-TMobile-Complaint.pdf" TargetMode="External"/><Relationship Id="rId96" Type="http://schemas.openxmlformats.org/officeDocument/2006/relationships/hyperlink" Target="https://one.oecd.org/document/DAF/COMP/WD(2017)27/FINAL/en/pdf" TargetMode="External"/><Relationship Id="rId140" Type="http://schemas.openxmlformats.org/officeDocument/2006/relationships/hyperlink" Target="https://www.fne.gob.cl/wp-content/uploads/2021/05/Guia-para-el-Analisis-de-Operaciones-de-Concentracion-Horizontales-mayo-VF.pdf" TargetMode="External"/><Relationship Id="rId1" Type="http://schemas.openxmlformats.org/officeDocument/2006/relationships/hyperlink" Target="http://www.dof.gob.mx/nota_detalle.php?codigo=5432595&amp;fecha=11/04/2016" TargetMode="External"/><Relationship Id="rId6" Type="http://schemas.openxmlformats.org/officeDocument/2006/relationships/hyperlink" Target="https://www.competitionbureau.gc.ca/eic/site/cb-bc.nsf/vwapj/cb-meg-2011-e.pdf/$FILE/cb-meg-2011-e.pdf" TargetMode="External"/><Relationship Id="rId23" Type="http://schemas.openxmlformats.org/officeDocument/2006/relationships/hyperlink" Target="http://apps.ift.org.mx/publicdata/P_IFT_271113_20_Version_Publica_Hoja.pdf" TargetMode="External"/><Relationship Id="rId28" Type="http://schemas.openxmlformats.org/officeDocument/2006/relationships/hyperlink" Target="http://apps.ift.org.mx/publicdata/P_IFT_EXT_181214_282_Version_Publica.pdf" TargetMode="External"/><Relationship Id="rId49" Type="http://schemas.openxmlformats.org/officeDocument/2006/relationships/hyperlink" Target="http://apps.ift.org.mx/publicdata/VP_P_IFT_160414_92.pdf" TargetMode="External"/><Relationship Id="rId114" Type="http://schemas.openxmlformats.org/officeDocument/2006/relationships/hyperlink" Target="http://www.ift.org.mx/sites/default/files/contenidogeneral/industria/dpdc-004-2018vpaccesiblefinal.pdf" TargetMode="External"/><Relationship Id="rId119" Type="http://schemas.openxmlformats.org/officeDocument/2006/relationships/hyperlink" Target="http://apps.ift.org.mx/publicdata/P_IFT_EXT_131114_221_Version_Publica.pdf" TargetMode="External"/><Relationship Id="rId44" Type="http://schemas.openxmlformats.org/officeDocument/2006/relationships/hyperlink" Target="https://www.rtr.at/en/tk/TKMV_2008" TargetMode="External"/><Relationship Id="rId60" Type="http://schemas.openxmlformats.org/officeDocument/2006/relationships/hyperlink" Target="http://apps.ift.org.mx/publicdata/P_IFT_011014_332_Version_Publica_UCE.pdf" TargetMode="External"/><Relationship Id="rId65" Type="http://schemas.openxmlformats.org/officeDocument/2006/relationships/hyperlink" Target="https://www.accc.gov.au/system/files/Media%20Merger%20Guidelines%202017_0.pdf" TargetMode="External"/><Relationship Id="rId81" Type="http://schemas.openxmlformats.org/officeDocument/2006/relationships/hyperlink" Target="https://www.cnmc.es/sites/default/files/1511874_12.pdf" TargetMode="External"/><Relationship Id="rId86" Type="http://schemas.openxmlformats.org/officeDocument/2006/relationships/hyperlink" Target="https://www.itu.int/ITU-D/treg/publications/SMP-S.pdf" TargetMode="External"/><Relationship Id="rId130" Type="http://schemas.openxmlformats.org/officeDocument/2006/relationships/hyperlink" Target="http://www.oecd.org/daf/competition/Rethinking-antitrust-tools-for-multi-sided-platforms-2018.pdf" TargetMode="External"/><Relationship Id="rId135" Type="http://schemas.openxmlformats.org/officeDocument/2006/relationships/hyperlink" Target="https://ec.europa.eu/competition/mergers/cases/decisions/m4731_20080311_20682_en.pdf" TargetMode="External"/><Relationship Id="rId13" Type="http://schemas.openxmlformats.org/officeDocument/2006/relationships/hyperlink" Target="https://www.accc.gov.au/system/files/Updated%20Guidelines%20on%20Misuse%20of%20Market%20Power.pdf" TargetMode="External"/><Relationship Id="rId18" Type="http://schemas.openxmlformats.org/officeDocument/2006/relationships/hyperlink" Target="https://www.scjn.gob.mx/sites/default/files/gaceta/documentos/tomos/2016-12/libro27t3.pdf" TargetMode="External"/><Relationship Id="rId39" Type="http://schemas.openxmlformats.org/officeDocument/2006/relationships/hyperlink" Target="https://www.gov.uk/cma-cases/bauer-media-group-merger-inquiry" TargetMode="External"/><Relationship Id="rId109" Type="http://schemas.openxmlformats.org/officeDocument/2006/relationships/hyperlink" Target="http://apps.ift.org.mx/publicdata/versionpublicapift18031590_1.pdf" TargetMode="External"/><Relationship Id="rId34" Type="http://schemas.openxmlformats.org/officeDocument/2006/relationships/hyperlink" Target="http://www.ift.org.mx/sites/default/files/conocenos/pleno/sesiones/acuerdoliga/pift121218948.pdf" TargetMode="External"/><Relationship Id="rId50" Type="http://schemas.openxmlformats.org/officeDocument/2006/relationships/hyperlink" Target="http://apps.ift.org.mx/publicdata/VP_P_IFT_181017_651.pdf" TargetMode="External"/><Relationship Id="rId55" Type="http://schemas.openxmlformats.org/officeDocument/2006/relationships/hyperlink" Target="http://www.ift.org.mx/sites/default/files/industria/espectro-radioelectrico/radiodifusion/2016/4/basesift-4_1.pdf" TargetMode="External"/><Relationship Id="rId76" Type="http://schemas.openxmlformats.org/officeDocument/2006/relationships/hyperlink" Target="https://eur-lex.europa.eu/legal-content/ES/TXT/PDF/?uri=CELEX:52010XC0519(04)&amp;from=ES" TargetMode="External"/><Relationship Id="rId97" Type="http://schemas.openxmlformats.org/officeDocument/2006/relationships/hyperlink" Target="https://ec.europa.eu/competition/antitrust/cases/dec_docs/38784/38784_437_4.pdf" TargetMode="External"/><Relationship Id="rId104" Type="http://schemas.openxmlformats.org/officeDocument/2006/relationships/hyperlink" Target="http://www.concorrencia.pt/vPT/Noticias_Eventos/ConsultasPublicas/Documents/Linhas%20de%20Orienta%C3%A7%C3%A3o%20para%20a%20An%C3%A1lise%20Econ%C3%B3mica%20de%20Opera%C3%A7%C3%B5es%20de%20Concentra%C3%A7%C3%A3o%20Horizontais.pdf" TargetMode="External"/><Relationship Id="rId120" Type="http://schemas.openxmlformats.org/officeDocument/2006/relationships/hyperlink" Target="http://apps.ift.org.mx/publicdata/P_IFT_EXT_131114_222_Version_Publica.pdf" TargetMode="External"/><Relationship Id="rId125" Type="http://schemas.openxmlformats.org/officeDocument/2006/relationships/hyperlink" Target="http://apps.ift.org.mx/publicdata/VP_P_IFT_150817_487.pdf" TargetMode="External"/><Relationship Id="rId141" Type="http://schemas.openxmlformats.org/officeDocument/2006/relationships/hyperlink" Target="https://one.oecd.org/document/DAF/COMP(2018)14/en/pdf" TargetMode="External"/><Relationship Id="rId7" Type="http://schemas.openxmlformats.org/officeDocument/2006/relationships/hyperlink" Target="https://www.accc.gov.au/system/files/Merger%20guidelines%20-%20Final.PDF" TargetMode="External"/><Relationship Id="rId71" Type="http://schemas.openxmlformats.org/officeDocument/2006/relationships/hyperlink" Target="https://www.bundeskartellamt.de/SharedDocs/Publikation/EN/Leitlinien/Guidance%20-%20Substantive%20Merger%20Control.pdf?__blob=publicationFile&amp;v=6" TargetMode="External"/><Relationship Id="rId92" Type="http://schemas.openxmlformats.org/officeDocument/2006/relationships/hyperlink" Target="https://www.fcc.gov/document/matter-applications-att-wireless-services-inc-and-cingular" TargetMode="External"/><Relationship Id="rId2" Type="http://schemas.openxmlformats.org/officeDocument/2006/relationships/hyperlink" Target="http://www.ift.org.mx/sites/default/files/industria/temasrelevantes/9195/documentos/pift280617368.pdf" TargetMode="External"/><Relationship Id="rId29" Type="http://schemas.openxmlformats.org/officeDocument/2006/relationships/hyperlink" Target="http://apps.ift.org.mx/publicdata/Version_Publica_AI_P_IFT_230117_8.pdf" TargetMode="External"/><Relationship Id="rId24" Type="http://schemas.openxmlformats.org/officeDocument/2006/relationships/hyperlink" Target="http://apps.ift.org.mx/publicdata/VP_P_IFT_150817_487.pdf" TargetMode="External"/><Relationship Id="rId40" Type="http://schemas.openxmlformats.org/officeDocument/2006/relationships/hyperlink" Target="https://www.justice.gov/atr/horizontal-merger-guidelines-08192010" TargetMode="External"/><Relationship Id="rId45" Type="http://schemas.openxmlformats.org/officeDocument/2006/relationships/hyperlink" Target="https://ec.europa.eu/commission/presscorner/detail/en/IP_09_1888" TargetMode="External"/><Relationship Id="rId66" Type="http://schemas.openxmlformats.org/officeDocument/2006/relationships/hyperlink" Target="https://www.concorrencia.pt/sites/default/files/imported-magazines/Linhas%2520de%2520Orienta%C3%A7%C3%A3o%2520para%2520a%2520An%C3%A1lise%2520Econ%C3%B3mica%2520de%2520Opera%C3%A7%C3%B5es%2520de%2520Concentra%C3%A7%C3%A3o%2520Horizontais.pdf" TargetMode="External"/><Relationship Id="rId87" Type="http://schemas.openxmlformats.org/officeDocument/2006/relationships/hyperlink" Target="http://www.ift.org.mx/sites/default/files/conocenos/pleno/sesiones/acuerdoliga/versionpublicaucepift240217104_1.pdf" TargetMode="External"/><Relationship Id="rId110" Type="http://schemas.openxmlformats.org/officeDocument/2006/relationships/hyperlink" Target="http://apps.ift.org.mx/publicdata/versionpublicapift18031591_2.pdf" TargetMode="External"/><Relationship Id="rId115" Type="http://schemas.openxmlformats.org/officeDocument/2006/relationships/hyperlink" Target="http://apps.ift.org.mx/publicdata/P_IFT_EXT_131114_217_Version_Publica.pdf" TargetMode="External"/><Relationship Id="rId131" Type="http://schemas.openxmlformats.org/officeDocument/2006/relationships/hyperlink" Target="https://ec.europa.eu/competition/antitrust/cases/dec_docs/40099/40099_9993_3.pdf" TargetMode="External"/><Relationship Id="rId136" Type="http://schemas.openxmlformats.org/officeDocument/2006/relationships/hyperlink" Target="https://ec.europa.eu/competition/antitrust/cases/dec_docs/39740/39740_14996_3.pdf" TargetMode="External"/><Relationship Id="rId61" Type="http://schemas.openxmlformats.org/officeDocument/2006/relationships/hyperlink" Target="http://apps.ift.org.mx/publicdata/vppift18031593.pdf" TargetMode="External"/><Relationship Id="rId82" Type="http://schemas.openxmlformats.org/officeDocument/2006/relationships/hyperlink" Target="http://www.trc.gov.jo/EchoBusV3.0/SystemAssets/PDF/AR/%D8%A7%D8%B3%D8%AA%D8%B4%D8%A7%D8%B1%D8%A7%D8%AA/%D8%A7%D8%B3%D8%AA%D8%B4%D8%A7%D8%B1%D8%A7%D8%AA%20%D9%81%D9%8A%20%D9%82%D8%B7%D8%A7%D8%B9%20%D8%A7%D9%84%D8%A7%D8%AA%D8%B5%D8%A7%D9%84%D8%A7%D8%AA%20%D9%88%D8%25A" TargetMode="External"/><Relationship Id="rId19" Type="http://schemas.openxmlformats.org/officeDocument/2006/relationships/hyperlink" Target="http://www.ift.org.mx/sites/default/files/conocenos/pleno/sesiones/acuerdoliga/vp181120436.pdf" TargetMode="External"/><Relationship Id="rId14" Type="http://schemas.openxmlformats.org/officeDocument/2006/relationships/hyperlink" Target="https://www.oecd.org/daf/competition/Defining_Relevant_Market_in_Telecommunications_web.pdf" TargetMode="External"/><Relationship Id="rId30" Type="http://schemas.openxmlformats.org/officeDocument/2006/relationships/hyperlink" Target="http://www.ift.org.mx/industria/espectro-radioelectrico/radiodifusion/2014/ift-1-licitacion-de-dos-cadenas-de-television-radiodifundida-digital" TargetMode="External"/><Relationship Id="rId35" Type="http://schemas.openxmlformats.org/officeDocument/2006/relationships/hyperlink" Target="http://www.ift.org.mx/sites/default/files/contenidogeneral/autoridad-investigadora/vpai-dc-004-2018.pdf" TargetMode="External"/><Relationship Id="rId56" Type="http://schemas.openxmlformats.org/officeDocument/2006/relationships/hyperlink" Target="https://ec.europa.eu/competition/mergers/cases/decisions/m4439_20070627_20610_en.pdf" TargetMode="External"/><Relationship Id="rId77" Type="http://schemas.openxmlformats.org/officeDocument/2006/relationships/hyperlink" Target="https://berec.europa.eu/eng/document_register/subject_matter/berec/reports/171-berec-report-on-self-supply" TargetMode="External"/><Relationship Id="rId100" Type="http://schemas.openxmlformats.org/officeDocument/2006/relationships/hyperlink" Target="https://www.competitionbureau.gc.ca/eic/site/cb-bc.nsf/eng/03796.html" TargetMode="External"/><Relationship Id="rId105" Type="http://schemas.openxmlformats.org/officeDocument/2006/relationships/hyperlink" Target="https://assets.publishing.service.gov.uk/media/56992242ed915d4747000026/BT_EE_final_report.pdf" TargetMode="External"/><Relationship Id="rId126" Type="http://schemas.openxmlformats.org/officeDocument/2006/relationships/hyperlink" Target="http://www.ift.org.mx/sites/default/files/conocenos/pleno/sesiones/acuerdoliga/verpubpift110319122canxuce.pdf" TargetMode="External"/><Relationship Id="rId8" Type="http://schemas.openxmlformats.org/officeDocument/2006/relationships/hyperlink" Target="https://ec.europa.eu/competition/international/multilateral/2012_jun_market_definition_en.pdf" TargetMode="External"/><Relationship Id="rId51" Type="http://schemas.openxmlformats.org/officeDocument/2006/relationships/hyperlink" Target="http://apps.ift.org.mx/publicdata/VP_P_IFT_131119_737_Acc.pdf" TargetMode="External"/><Relationship Id="rId72" Type="http://schemas.openxmlformats.org/officeDocument/2006/relationships/hyperlink" Target="https://www.ftc.gov/sites/default/files/documents/public_events/joint-venture-hearings-antitrust-guidelines-collaboration-among-competitors/ftcdojguidelines-2.pdf" TargetMode="External"/><Relationship Id="rId93" Type="http://schemas.openxmlformats.org/officeDocument/2006/relationships/hyperlink" Target="https://www.fcc.gov/document/fcc-approves-t-mobilesprint-transaction-conditions" TargetMode="External"/><Relationship Id="rId98" Type="http://schemas.openxmlformats.org/officeDocument/2006/relationships/hyperlink" Target="https://www.autoritedelaconcurrence.fr/sites/default/files/commitments/05a05.pdf" TargetMode="External"/><Relationship Id="rId121" Type="http://schemas.openxmlformats.org/officeDocument/2006/relationships/hyperlink" Target="http://apps.ift.org.mx/publicdata/P_IFT_EXT_131114_223_Version_Publica.pdf" TargetMode="External"/><Relationship Id="rId3" Type="http://schemas.openxmlformats.org/officeDocument/2006/relationships/hyperlink" Target="https://eur-lex.europa.eu/legal-content/ES/TXT/PDF/?uri=CELEX:31997Y1209(01)&amp;from=EN" TargetMode="External"/><Relationship Id="rId25" Type="http://schemas.openxmlformats.org/officeDocument/2006/relationships/hyperlink" Target="http://www.ift.org.mx/sites/default/files/conocenos/pleno/sesiones/acuerdoliga/verpubpift110319122canxuce.pdf" TargetMode="External"/><Relationship Id="rId46" Type="http://schemas.openxmlformats.org/officeDocument/2006/relationships/hyperlink" Target="https://www.oecd.org/daf/competition/esp-plataformas-digitales-y-competencia-en-mexico.pdf" TargetMode="External"/><Relationship Id="rId67" Type="http://schemas.openxmlformats.org/officeDocument/2006/relationships/hyperlink" Target="http://www.ift.org.mx/sites/default/files/conocenos/pleno/sesiones/acuerdoliga/vppift120418293noct.pdf" TargetMode="External"/><Relationship Id="rId116" Type="http://schemas.openxmlformats.org/officeDocument/2006/relationships/hyperlink" Target="http://apps.ift.org.mx/publicdata/P_IFT_EXT_131114_218_Version_Publica.pdf" TargetMode="External"/><Relationship Id="rId137" Type="http://schemas.openxmlformats.org/officeDocument/2006/relationships/hyperlink" Target="https://www.bundeskartellamt.de/SharedDocs/Publikation/EN/Berichte/Think-Tank-Bericht-Zusammenfassung.pdf?__blob=publicationFile&amp;v=4" TargetMode="External"/><Relationship Id="rId20" Type="http://schemas.openxmlformats.org/officeDocument/2006/relationships/hyperlink" Target="http://apps.ift.org.mx/publicdata/Version_Publica_UCE_P_IFT_EXT_201015_152.pdf" TargetMode="External"/><Relationship Id="rId41" Type="http://schemas.openxmlformats.org/officeDocument/2006/relationships/hyperlink" Target="https://crtc.gc.ca/eng/publications/reports/rp110215.htm?_ga=2.166625598.140085912.1596486262-181080644.1596486262" TargetMode="External"/><Relationship Id="rId62" Type="http://schemas.openxmlformats.org/officeDocument/2006/relationships/hyperlink" Target="http://www.ift.org.mx/sites/default/files/conocenos/pleno/sesiones/acuerdoliga/vppift030419169noct.pdf" TargetMode="External"/><Relationship Id="rId83" Type="http://schemas.openxmlformats.org/officeDocument/2006/relationships/hyperlink" Target="https://berec.europa.eu/eng/document_register/subject_matter/berec/download/0/118-berec-draft-report-on-the-impact-of-fixed-mobile-substitution-in-market-definition_0.pdf" TargetMode="External"/><Relationship Id="rId88" Type="http://schemas.openxmlformats.org/officeDocument/2006/relationships/hyperlink" Target="http://www.ift.org.mx/sites/default/files/conocenos/pleno/sesiones/acuerdoliga/vppift060917545.pdf" TargetMode="External"/><Relationship Id="rId111" Type="http://schemas.openxmlformats.org/officeDocument/2006/relationships/hyperlink" Target="http://apps.ift.org.mx/publicdata/versionpublicapift18031592.pdf" TargetMode="External"/><Relationship Id="rId132" Type="http://schemas.openxmlformats.org/officeDocument/2006/relationships/hyperlink" Target="https://ec.europa.eu/competition/mergers/cases/decisions/M5727_20100218_20310_261202_EN.pdf" TargetMode="External"/><Relationship Id="rId15" Type="http://schemas.openxmlformats.org/officeDocument/2006/relationships/hyperlink" Target="https://ec.europa.eu/competition/mergers/cases/decisions/m166_en.pdf" TargetMode="External"/><Relationship Id="rId36" Type="http://schemas.openxmlformats.org/officeDocument/2006/relationships/hyperlink" Target="https://ec.europa.eu/competition/mergers/cases/decisions/m6880_410_2.pdf" TargetMode="External"/><Relationship Id="rId57" Type="http://schemas.openxmlformats.org/officeDocument/2006/relationships/hyperlink" Target="https://www.ofcom.org.uk/__data/assets/pdf_file/0025/154591/volume-2-bcmr-final-statement.pdf" TargetMode="External"/><Relationship Id="rId106" Type="http://schemas.openxmlformats.org/officeDocument/2006/relationships/hyperlink" Target="https://digitalcommons.law.yale.edu/cgi/viewcontent.cgi?article=1144&amp;context=yjreg" TargetMode="External"/><Relationship Id="rId127" Type="http://schemas.openxmlformats.org/officeDocument/2006/relationships/hyperlink" Target="http://apps.ift.org.mx/publicdata/Version_Publica_UCE_RescAnexos_P_IFT_EXT_300915_114_c_DOF.pdf" TargetMode="External"/><Relationship Id="rId10" Type="http://schemas.openxmlformats.org/officeDocument/2006/relationships/hyperlink" Target="https://www.internationalcompetitionnetwork.org/wp-content/uploads/2018/05/MWG_MergerGuidelinesWorkbook.pdf" TargetMode="External"/><Relationship Id="rId31" Type="http://schemas.openxmlformats.org/officeDocument/2006/relationships/hyperlink" Target="http://www.ift.org.mx/pagina-de-inicio/opiniones-en-materia-de-competencia-economica" TargetMode="External"/><Relationship Id="rId52" Type="http://schemas.openxmlformats.org/officeDocument/2006/relationships/hyperlink" Target="http://www.ift.org.mx/industria/espectro-radioelectrico/radiodifusion/2014/ift-1-licitacion-de-dos-cadenas-de-television-radiodifundida-digital" TargetMode="External"/><Relationship Id="rId73" Type="http://schemas.openxmlformats.org/officeDocument/2006/relationships/hyperlink" Target="https://www.internationalcompetitionnetwork.org/wp-content/uploads/2018/10/MWG_SurveyreportVerticalMergers2018.pdf" TargetMode="External"/><Relationship Id="rId78" Type="http://schemas.openxmlformats.org/officeDocument/2006/relationships/hyperlink" Target="https://www.ftc.gov/system/files/documents/reports/us-department-justice-federal-trade-commission-vertical-merger-guidelines/vertical_merger_guidelines_6-30-20.pdf" TargetMode="External"/><Relationship Id="rId94" Type="http://schemas.openxmlformats.org/officeDocument/2006/relationships/hyperlink" Target="https://www.anacom.pt/streaming/Determination28september2010_final_decision.pdf?contentId=1061287&amp;field=ATTACHED_FILE" TargetMode="External"/><Relationship Id="rId99" Type="http://schemas.openxmlformats.org/officeDocument/2006/relationships/hyperlink" Target="https://ec.europa.eu/commission/presscorner/detail/en/IP_05_1146" TargetMode="External"/><Relationship Id="rId101" Type="http://schemas.openxmlformats.org/officeDocument/2006/relationships/hyperlink" Target="https://crtc.gc.ca/eng/publications/reports/rp110215.htm" TargetMode="External"/><Relationship Id="rId122" Type="http://schemas.openxmlformats.org/officeDocument/2006/relationships/hyperlink" Target="http://apps.ift.org.mx/publicdata/P_IFT_EXT_131114_224_Version_Publica.pdf" TargetMode="External"/><Relationship Id="rId4" Type="http://schemas.openxmlformats.org/officeDocument/2006/relationships/hyperlink" Target="https://www.ftc.gov/sites/default/files/attachments/merger-review/100819hmg.pdf" TargetMode="External"/><Relationship Id="rId9" Type="http://schemas.openxmlformats.org/officeDocument/2006/relationships/hyperlink" Target="http://www.oecd.org/daf/competition/Marketdefinition2012.pdf" TargetMode="External"/><Relationship Id="rId26" Type="http://schemas.openxmlformats.org/officeDocument/2006/relationships/hyperlink" Target="http://apps.ift.org.mx/publicdata/Version_Publica_UCE_270417_221.pdf" TargetMode="External"/><Relationship Id="rId47" Type="http://schemas.openxmlformats.org/officeDocument/2006/relationships/hyperlink" Target="http://apps.ift.org.mx/publicdata/Version_Publica_UCE_P_IFT_290216_71_c_AnexoyDR.pdf" TargetMode="External"/><Relationship Id="rId68" Type="http://schemas.openxmlformats.org/officeDocument/2006/relationships/hyperlink" Target="https://eur-lex.europa.eu/legal-content/EN/TXT/PDF/?uri=CELEX:52008XC1018(03)&amp;from=EN" TargetMode="External"/><Relationship Id="rId89" Type="http://schemas.openxmlformats.org/officeDocument/2006/relationships/hyperlink" Target="https://ec.europa.eu/competition/antitrust/cases/dec_docs/38233/38233_87_1.pdf" TargetMode="External"/><Relationship Id="rId112" Type="http://schemas.openxmlformats.org/officeDocument/2006/relationships/hyperlink" Target="http://apps.ift.org.mx/publicdata/P_IFT_011014_352_Version_Publica.pdf" TargetMode="External"/><Relationship Id="rId133" Type="http://schemas.openxmlformats.org/officeDocument/2006/relationships/hyperlink" Target="https://ec.europa.eu/competition/mergers/cases/decisions/m7217_20141003_20310_3962132_EN.pdf" TargetMode="External"/><Relationship Id="rId16" Type="http://schemas.openxmlformats.org/officeDocument/2006/relationships/hyperlink" Target="https://one.oecd.org/document/DAF/COMP(2018)14/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0D42ED0CC3CF4B8D528405130A43D4" ma:contentTypeVersion="0" ma:contentTypeDescription="Crear nuevo documento." ma:contentTypeScope="" ma:versionID="843033550e8e433e66dac43bfcd64ed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C191-56C9-4E34-81F4-2500F685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648B2-BD6C-42C7-A32E-BC7D73FB6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4.xml><?xml version="1.0" encoding="utf-8"?>
<ds:datastoreItem xmlns:ds="http://schemas.openxmlformats.org/officeDocument/2006/customXml" ds:itemID="{C680A128-E42D-45D5-9344-517E483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20383</Words>
  <Characters>112108</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Primitivo Ortiz Maldonado</cp:lastModifiedBy>
  <cp:revision>5</cp:revision>
  <cp:lastPrinted>2021-11-17T19:50:00Z</cp:lastPrinted>
  <dcterms:created xsi:type="dcterms:W3CDTF">2021-11-17T17:05:00Z</dcterms:created>
  <dcterms:modified xsi:type="dcterms:W3CDTF">2021-11-17T19:50:00Z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0x010100B60D42ED0CC3CF4B8D528405130A43D4</vt:lpwstr>
  </property>
</Properties>
</file>