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03AE8" w14:textId="3F54C288" w:rsidR="008639BE" w:rsidRPr="00DE6B98" w:rsidRDefault="008639BE" w:rsidP="00D00389">
      <w:pPr>
        <w:spacing w:after="0" w:line="240" w:lineRule="auto"/>
        <w:jc w:val="both"/>
        <w:rPr>
          <w:rFonts w:ascii="ITC Avant Garde Std Bk" w:hAnsi="ITC Avant Garde Std Bk" w:cs="Tahoma"/>
          <w:b/>
          <w:bCs/>
          <w:color w:val="000000"/>
          <w:szCs w:val="20"/>
        </w:rPr>
      </w:pPr>
      <w:r w:rsidRPr="004F6097">
        <w:rPr>
          <w:rFonts w:ascii="ITC Avant Garde Std Bk" w:hAnsi="ITC Avant Garde Std Bk" w:cs="Tahoma"/>
          <w:b/>
          <w:bCs/>
          <w:color w:val="000000"/>
          <w:szCs w:val="20"/>
        </w:rPr>
        <w:t xml:space="preserve">INFORME </w:t>
      </w:r>
      <w:r>
        <w:rPr>
          <w:rFonts w:ascii="ITC Avant Garde Std Bk" w:hAnsi="ITC Avant Garde Std Bk" w:cs="Tahoma"/>
          <w:b/>
          <w:bCs/>
          <w:color w:val="000000"/>
          <w:szCs w:val="20"/>
        </w:rPr>
        <w:t xml:space="preserve">DE CONSIDERACIONES A LA CONSULTA PÚBLICA </w:t>
      </w:r>
      <w:r w:rsidR="00E2766D">
        <w:rPr>
          <w:rFonts w:ascii="ITC Avant Garde Std Bk" w:hAnsi="ITC Avant Garde Std Bk" w:cs="Tahoma"/>
          <w:b/>
          <w:bCs/>
          <w:color w:val="000000"/>
          <w:szCs w:val="20"/>
        </w:rPr>
        <w:t>del</w:t>
      </w:r>
      <w:r w:rsidRPr="00EE1C7D">
        <w:rPr>
          <w:rFonts w:ascii="ITC Avant Garde Std Bk" w:hAnsi="ITC Avant Garde Std Bk" w:cs="Tahoma"/>
          <w:b/>
          <w:bCs/>
          <w:color w:val="000000"/>
          <w:szCs w:val="20"/>
        </w:rPr>
        <w:t xml:space="preserve"> “</w:t>
      </w:r>
      <w:r>
        <w:rPr>
          <w:rFonts w:ascii="ITC Avant Garde Std Bk" w:hAnsi="ITC Avant Garde Std Bk" w:cs="Tahoma"/>
          <w:b/>
          <w:bCs/>
          <w:color w:val="000000"/>
          <w:szCs w:val="20"/>
        </w:rPr>
        <w:t xml:space="preserve">Anteproyecto de Acuerdo </w:t>
      </w:r>
      <w:r w:rsidRPr="00DE6B98">
        <w:rPr>
          <w:rFonts w:ascii="ITC Avant Garde Std Bk" w:hAnsi="ITC Avant Garde Std Bk" w:cs="Tahoma"/>
          <w:b/>
          <w:bCs/>
          <w:color w:val="000000"/>
          <w:szCs w:val="20"/>
        </w:rPr>
        <w:t xml:space="preserve">mediante el cual se emiten los formatos que </w:t>
      </w:r>
      <w:r w:rsidR="00644119">
        <w:rPr>
          <w:rFonts w:ascii="ITC Avant Garde Std Bk" w:hAnsi="ITC Avant Garde Std Bk" w:cs="Tahoma"/>
          <w:b/>
          <w:bCs/>
          <w:color w:val="000000"/>
          <w:szCs w:val="20"/>
        </w:rPr>
        <w:t>podrá</w:t>
      </w:r>
      <w:r w:rsidRPr="00DE6B98">
        <w:rPr>
          <w:rFonts w:ascii="ITC Avant Garde Std Bk" w:hAnsi="ITC Avant Garde Std Bk" w:cs="Tahoma"/>
          <w:b/>
          <w:bCs/>
          <w:color w:val="000000"/>
          <w:szCs w:val="20"/>
        </w:rPr>
        <w:t>n utilizarse para realizar diversos trámites y servicios</w:t>
      </w:r>
      <w:r w:rsidR="00644119">
        <w:rPr>
          <w:rFonts w:ascii="ITC Avant Garde Std Bk" w:hAnsi="ITC Avant Garde Std Bk" w:cs="Tahoma"/>
          <w:b/>
          <w:bCs/>
          <w:color w:val="000000"/>
          <w:szCs w:val="20"/>
        </w:rPr>
        <w:t xml:space="preserve"> en materia de competencia económica</w:t>
      </w:r>
      <w:r w:rsidRPr="00DE6B98">
        <w:rPr>
          <w:rFonts w:ascii="ITC Avant Garde Std Bk" w:hAnsi="ITC Avant Garde Std Bk" w:cs="Tahoma"/>
          <w:b/>
          <w:bCs/>
          <w:color w:val="000000"/>
          <w:szCs w:val="20"/>
        </w:rPr>
        <w:t xml:space="preserve"> ante el </w:t>
      </w:r>
      <w:r>
        <w:rPr>
          <w:rFonts w:ascii="ITC Avant Garde Std Bk" w:hAnsi="ITC Avant Garde Std Bk" w:cs="Tahoma"/>
          <w:b/>
          <w:bCs/>
          <w:color w:val="000000"/>
          <w:szCs w:val="20"/>
        </w:rPr>
        <w:t>I</w:t>
      </w:r>
      <w:r w:rsidRPr="00DE6B98">
        <w:rPr>
          <w:rFonts w:ascii="ITC Avant Garde Std Bk" w:hAnsi="ITC Avant Garde Std Bk" w:cs="Tahoma"/>
          <w:b/>
          <w:bCs/>
          <w:color w:val="000000"/>
          <w:szCs w:val="20"/>
        </w:rPr>
        <w:t xml:space="preserve">nstituto </w:t>
      </w:r>
      <w:r>
        <w:rPr>
          <w:rFonts w:ascii="ITC Avant Garde Std Bk" w:hAnsi="ITC Avant Garde Std Bk" w:cs="Tahoma"/>
          <w:b/>
          <w:bCs/>
          <w:color w:val="000000"/>
          <w:szCs w:val="20"/>
        </w:rPr>
        <w:t>F</w:t>
      </w:r>
      <w:r w:rsidRPr="00DE6B98">
        <w:rPr>
          <w:rFonts w:ascii="ITC Avant Garde Std Bk" w:hAnsi="ITC Avant Garde Std Bk" w:cs="Tahoma"/>
          <w:b/>
          <w:bCs/>
          <w:color w:val="000000"/>
          <w:szCs w:val="20"/>
        </w:rPr>
        <w:t xml:space="preserve">ederal de </w:t>
      </w:r>
      <w:r>
        <w:rPr>
          <w:rFonts w:ascii="ITC Avant Garde Std Bk" w:hAnsi="ITC Avant Garde Std Bk" w:cs="Tahoma"/>
          <w:b/>
          <w:bCs/>
          <w:color w:val="000000"/>
          <w:szCs w:val="20"/>
        </w:rPr>
        <w:t>T</w:t>
      </w:r>
      <w:r w:rsidRPr="00DE6B98">
        <w:rPr>
          <w:rFonts w:ascii="ITC Avant Garde Std Bk" w:hAnsi="ITC Avant Garde Std Bk" w:cs="Tahoma"/>
          <w:b/>
          <w:bCs/>
          <w:color w:val="000000"/>
          <w:szCs w:val="20"/>
        </w:rPr>
        <w:t>elecomunicaciones</w:t>
      </w:r>
      <w:r w:rsidR="00644119">
        <w:rPr>
          <w:rFonts w:ascii="ITC Avant Garde Std Bk" w:hAnsi="ITC Avant Garde Std Bk" w:cs="Tahoma"/>
          <w:b/>
          <w:bCs/>
          <w:color w:val="000000"/>
          <w:szCs w:val="20"/>
        </w:rPr>
        <w:t>”</w:t>
      </w:r>
      <w:r w:rsidR="00BE1687">
        <w:rPr>
          <w:rFonts w:ascii="ITC Avant Garde Std Bk" w:hAnsi="ITC Avant Garde Std Bk" w:cs="Tahoma"/>
          <w:b/>
          <w:bCs/>
          <w:color w:val="000000"/>
          <w:szCs w:val="20"/>
        </w:rPr>
        <w:t>, realizado por la Coordinación General de Mejora Regulatoria</w:t>
      </w:r>
      <w:r w:rsidR="00256E53">
        <w:rPr>
          <w:rFonts w:ascii="ITC Avant Garde Std Bk" w:hAnsi="ITC Avant Garde Std Bk" w:cs="Tahoma"/>
          <w:b/>
          <w:bCs/>
          <w:color w:val="000000"/>
          <w:szCs w:val="20"/>
        </w:rPr>
        <w:t xml:space="preserve">, en coadyuvancia de </w:t>
      </w:r>
      <w:r w:rsidR="00BE1687">
        <w:rPr>
          <w:rFonts w:ascii="ITC Avant Garde Std Bk" w:hAnsi="ITC Avant Garde Std Bk" w:cs="Tahoma"/>
          <w:b/>
          <w:bCs/>
          <w:color w:val="000000"/>
          <w:szCs w:val="20"/>
        </w:rPr>
        <w:t>la Unidad de Competencia Económica</w:t>
      </w:r>
      <w:r>
        <w:rPr>
          <w:rFonts w:ascii="ITC Avant Garde Std Bk" w:hAnsi="ITC Avant Garde Std Bk" w:cs="Tahoma"/>
          <w:b/>
          <w:bCs/>
          <w:color w:val="000000"/>
          <w:szCs w:val="20"/>
        </w:rPr>
        <w:t>.</w:t>
      </w:r>
    </w:p>
    <w:p w14:paraId="4B50C83F" w14:textId="77777777" w:rsidR="008639BE" w:rsidRPr="00DE6B98" w:rsidRDefault="008639BE" w:rsidP="00D00389">
      <w:pPr>
        <w:spacing w:after="0" w:line="240" w:lineRule="auto"/>
        <w:jc w:val="center"/>
        <w:rPr>
          <w:rFonts w:ascii="ITC Avant Garde Std Bk" w:hAnsi="ITC Avant Garde Std Bk" w:cs="Tahoma"/>
          <w:b/>
          <w:bCs/>
          <w:color w:val="000000"/>
          <w:szCs w:val="20"/>
        </w:rPr>
      </w:pPr>
    </w:p>
    <w:p w14:paraId="751EFD5D" w14:textId="77777777" w:rsidR="008639BE" w:rsidRPr="00AF67AC" w:rsidRDefault="008639BE" w:rsidP="00D00389">
      <w:pPr>
        <w:spacing w:after="0" w:line="240" w:lineRule="auto"/>
        <w:jc w:val="center"/>
        <w:rPr>
          <w:rFonts w:ascii="ITC Avant Garde Std Bk" w:hAnsi="ITC Avant Garde Std Bk" w:cs="Tahoma"/>
          <w:bCs/>
          <w:color w:val="000000"/>
          <w:sz w:val="20"/>
          <w:szCs w:val="20"/>
        </w:rPr>
      </w:pPr>
    </w:p>
    <w:p w14:paraId="40EAC8E1" w14:textId="77777777" w:rsidR="008639BE" w:rsidRPr="004F6097"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4F6097">
        <w:rPr>
          <w:rFonts w:ascii="ITC Avant Garde Std Bk" w:eastAsia="Calibri" w:hAnsi="ITC Avant Garde Std Bk" w:cs="Tahoma"/>
          <w:b/>
          <w:bCs/>
          <w:color w:val="000000"/>
          <w:sz w:val="20"/>
          <w:szCs w:val="20"/>
        </w:rPr>
        <w:t>PRESENTACIÓN</w:t>
      </w:r>
    </w:p>
    <w:p w14:paraId="0A292F64" w14:textId="77777777" w:rsidR="008639BE" w:rsidRPr="00AF67AC" w:rsidRDefault="008639BE" w:rsidP="00D00389">
      <w:pPr>
        <w:pStyle w:val="Seccin"/>
        <w:spacing w:before="0" w:line="240" w:lineRule="auto"/>
        <w:rPr>
          <w:rFonts w:ascii="ITC Avant Garde Std Bk" w:eastAsia="Calibri" w:hAnsi="ITC Avant Garde Std Bk" w:cs="Tahoma"/>
          <w:b w:val="0"/>
          <w:bCs/>
          <w:smallCaps w:val="0"/>
          <w:color w:val="000000"/>
          <w:szCs w:val="20"/>
          <w:lang w:eastAsia="en-US"/>
        </w:rPr>
      </w:pPr>
    </w:p>
    <w:p w14:paraId="690BC606" w14:textId="35DFD952"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En la Ciudad de México</w:t>
      </w:r>
      <w:r w:rsidR="00D00389">
        <w:rPr>
          <w:rFonts w:ascii="ITC Avant Garde Std Bk" w:hAnsi="ITC Avant Garde Std Bk" w:cs="Tahoma"/>
          <w:bCs/>
          <w:color w:val="000000"/>
          <w:sz w:val="20"/>
          <w:szCs w:val="20"/>
        </w:rPr>
        <w:t>,</w:t>
      </w:r>
      <w:r w:rsidRPr="00AF67AC">
        <w:rPr>
          <w:rFonts w:ascii="ITC Avant Garde Std Bk" w:hAnsi="ITC Avant Garde Std Bk" w:cs="Tahoma"/>
          <w:bCs/>
          <w:color w:val="000000"/>
          <w:sz w:val="20"/>
          <w:szCs w:val="20"/>
        </w:rPr>
        <w:t xml:space="preserve"> </w:t>
      </w:r>
      <w:r w:rsidRPr="00BE1687">
        <w:rPr>
          <w:rFonts w:ascii="ITC Avant Garde Std Bk" w:hAnsi="ITC Avant Garde Std Bk" w:cs="Tahoma"/>
          <w:bCs/>
          <w:color w:val="000000"/>
          <w:sz w:val="20"/>
          <w:szCs w:val="20"/>
        </w:rPr>
        <w:t xml:space="preserve">a los </w:t>
      </w:r>
      <w:r w:rsidR="00BE1687">
        <w:rPr>
          <w:rFonts w:ascii="ITC Avant Garde Std Bk" w:hAnsi="ITC Avant Garde Std Bk" w:cs="Tahoma"/>
          <w:bCs/>
          <w:color w:val="000000"/>
          <w:sz w:val="20"/>
          <w:szCs w:val="20"/>
        </w:rPr>
        <w:t>s</w:t>
      </w:r>
      <w:r w:rsidR="00227066">
        <w:rPr>
          <w:rFonts w:ascii="ITC Avant Garde Std Bk" w:hAnsi="ITC Avant Garde Std Bk" w:cs="Tahoma"/>
          <w:bCs/>
          <w:color w:val="000000"/>
          <w:sz w:val="20"/>
          <w:szCs w:val="20"/>
        </w:rPr>
        <w:t>eis</w:t>
      </w:r>
      <w:r w:rsidR="009E7172" w:rsidRPr="00BE1687">
        <w:rPr>
          <w:rFonts w:ascii="ITC Avant Garde Std Bk" w:hAnsi="ITC Avant Garde Std Bk" w:cs="Tahoma"/>
          <w:bCs/>
          <w:color w:val="000000"/>
          <w:sz w:val="20"/>
          <w:szCs w:val="20"/>
        </w:rPr>
        <w:t xml:space="preserve"> </w:t>
      </w:r>
      <w:r w:rsidRPr="00BE1687">
        <w:rPr>
          <w:rFonts w:ascii="ITC Avant Garde Std Bk" w:hAnsi="ITC Avant Garde Std Bk" w:cs="Tahoma"/>
          <w:bCs/>
          <w:color w:val="000000"/>
          <w:sz w:val="20"/>
          <w:szCs w:val="20"/>
        </w:rPr>
        <w:t xml:space="preserve">días del mes de </w:t>
      </w:r>
      <w:r w:rsidR="00BE1687">
        <w:rPr>
          <w:rFonts w:ascii="ITC Avant Garde Std Bk" w:hAnsi="ITC Avant Garde Std Bk" w:cs="Tahoma"/>
          <w:bCs/>
          <w:color w:val="000000"/>
          <w:sz w:val="20"/>
          <w:szCs w:val="20"/>
        </w:rPr>
        <w:t>a</w:t>
      </w:r>
      <w:r w:rsidR="00227066">
        <w:rPr>
          <w:rFonts w:ascii="ITC Avant Garde Std Bk" w:hAnsi="ITC Avant Garde Std Bk" w:cs="Tahoma"/>
          <w:bCs/>
          <w:color w:val="000000"/>
          <w:sz w:val="20"/>
          <w:szCs w:val="20"/>
        </w:rPr>
        <w:t>gost</w:t>
      </w:r>
      <w:r w:rsidR="00BE1687">
        <w:rPr>
          <w:rFonts w:ascii="ITC Avant Garde Std Bk" w:hAnsi="ITC Avant Garde Std Bk" w:cs="Tahoma"/>
          <w:bCs/>
          <w:color w:val="000000"/>
          <w:sz w:val="20"/>
          <w:szCs w:val="20"/>
        </w:rPr>
        <w:t>o</w:t>
      </w:r>
      <w:r w:rsidR="00644119" w:rsidRPr="00BE1687">
        <w:rPr>
          <w:rFonts w:ascii="ITC Avant Garde Std Bk" w:hAnsi="ITC Avant Garde Std Bk" w:cs="Tahoma"/>
          <w:bCs/>
          <w:color w:val="000000"/>
          <w:sz w:val="20"/>
          <w:szCs w:val="20"/>
        </w:rPr>
        <w:t xml:space="preserve"> </w:t>
      </w:r>
      <w:r w:rsidRPr="00BE1687">
        <w:rPr>
          <w:rFonts w:ascii="ITC Avant Garde Std Bk" w:hAnsi="ITC Avant Garde Std Bk" w:cs="Tahoma"/>
          <w:bCs/>
          <w:color w:val="000000"/>
          <w:sz w:val="20"/>
          <w:szCs w:val="20"/>
        </w:rPr>
        <w:t>de dos mil veint</w:t>
      </w:r>
      <w:r w:rsidR="00644119" w:rsidRPr="00BE1687">
        <w:rPr>
          <w:rFonts w:ascii="ITC Avant Garde Std Bk" w:hAnsi="ITC Avant Garde Std Bk" w:cs="Tahoma"/>
          <w:bCs/>
          <w:color w:val="000000"/>
          <w:sz w:val="20"/>
          <w:szCs w:val="20"/>
        </w:rPr>
        <w:t>iuno</w:t>
      </w:r>
      <w:r w:rsidRPr="00E373B0">
        <w:rPr>
          <w:rFonts w:ascii="ITC Avant Garde Std Bk" w:hAnsi="ITC Avant Garde Std Bk" w:cs="Tahoma"/>
          <w:bCs/>
          <w:color w:val="000000"/>
          <w:sz w:val="20"/>
          <w:szCs w:val="20"/>
        </w:rPr>
        <w:t>,</w:t>
      </w:r>
      <w:r w:rsidRPr="00AF67AC">
        <w:rPr>
          <w:rFonts w:ascii="ITC Avant Garde Std Bk" w:hAnsi="ITC Avant Garde Std Bk" w:cs="Tahoma"/>
          <w:bCs/>
          <w:color w:val="000000"/>
          <w:sz w:val="20"/>
          <w:szCs w:val="20"/>
        </w:rPr>
        <w:t xml:space="preserve"> </w:t>
      </w:r>
      <w:r w:rsidRPr="00DA2247">
        <w:rPr>
          <w:rFonts w:ascii="ITC Avant Garde Std Bk" w:hAnsi="ITC Avant Garde Std Bk" w:cs="Tahoma"/>
          <w:bCs/>
          <w:color w:val="000000"/>
          <w:sz w:val="20"/>
          <w:szCs w:val="20"/>
        </w:rPr>
        <w:t xml:space="preserve">la </w:t>
      </w:r>
      <w:r w:rsidRPr="00AF67AC">
        <w:rPr>
          <w:rFonts w:ascii="ITC Avant Garde Std Bk" w:hAnsi="ITC Avant Garde Std Bk" w:cs="Tahoma"/>
          <w:bCs/>
          <w:color w:val="000000"/>
          <w:sz w:val="20"/>
          <w:szCs w:val="20"/>
        </w:rPr>
        <w:t>Coordinación G</w:t>
      </w:r>
      <w:r>
        <w:rPr>
          <w:rFonts w:ascii="ITC Avant Garde Std Bk" w:hAnsi="ITC Avant Garde Std Bk" w:cs="Tahoma"/>
          <w:bCs/>
          <w:color w:val="000000"/>
          <w:sz w:val="20"/>
          <w:szCs w:val="20"/>
        </w:rPr>
        <w:t>eneral de Mejora Regulatoria</w:t>
      </w:r>
      <w:r w:rsidRPr="00AF67AC">
        <w:rPr>
          <w:rFonts w:ascii="ITC Avant Garde Std Bk" w:hAnsi="ITC Avant Garde Std Bk" w:cs="Tahoma"/>
          <w:bCs/>
          <w:color w:val="000000"/>
          <w:sz w:val="20"/>
          <w:szCs w:val="20"/>
        </w:rPr>
        <w:t xml:space="preserve">, </w:t>
      </w:r>
      <w:r w:rsidR="00256E53">
        <w:rPr>
          <w:rFonts w:ascii="ITC Avant Garde Std Bk" w:hAnsi="ITC Avant Garde Std Bk" w:cs="Tahoma"/>
          <w:bCs/>
          <w:color w:val="000000"/>
          <w:sz w:val="20"/>
          <w:szCs w:val="20"/>
        </w:rPr>
        <w:t xml:space="preserve">con la coadyuvancia de la Unidad de Competencia Económica, </w:t>
      </w:r>
      <w:r w:rsidRPr="00AF67AC">
        <w:rPr>
          <w:rFonts w:ascii="ITC Avant Garde Std Bk" w:hAnsi="ITC Avant Garde Std Bk" w:cs="Tahoma"/>
          <w:bCs/>
          <w:color w:val="000000"/>
          <w:sz w:val="20"/>
          <w:szCs w:val="20"/>
        </w:rPr>
        <w:t>presenta</w:t>
      </w:r>
      <w:r>
        <w:rPr>
          <w:rFonts w:ascii="ITC Avant Garde Std Bk" w:hAnsi="ITC Avant Garde Std Bk" w:cs="Tahoma"/>
          <w:bCs/>
          <w:color w:val="000000"/>
          <w:sz w:val="20"/>
          <w:szCs w:val="20"/>
        </w:rPr>
        <w:t>n</w:t>
      </w:r>
      <w:r w:rsidRPr="00AF67AC">
        <w:rPr>
          <w:rFonts w:ascii="ITC Avant Garde Std Bk" w:hAnsi="ITC Avant Garde Std Bk" w:cs="Tahoma"/>
          <w:bCs/>
          <w:color w:val="000000"/>
          <w:sz w:val="20"/>
          <w:szCs w:val="20"/>
        </w:rPr>
        <w:t xml:space="preserve"> el siguiente informe que contiene un resumen de los comentarios recibidos</w:t>
      </w:r>
      <w:r>
        <w:rPr>
          <w:rFonts w:ascii="ITC Avant Garde Std Bk" w:hAnsi="ITC Avant Garde Std Bk" w:cs="Tahoma"/>
          <w:bCs/>
          <w:color w:val="000000"/>
          <w:sz w:val="20"/>
          <w:szCs w:val="20"/>
        </w:rPr>
        <w:t xml:space="preserve"> durante la </w:t>
      </w:r>
      <w:r w:rsidR="00256E53">
        <w:rPr>
          <w:rFonts w:ascii="ITC Avant Garde Std Bk" w:hAnsi="ITC Avant Garde Std Bk" w:cs="Tahoma"/>
          <w:bCs/>
          <w:color w:val="000000"/>
          <w:sz w:val="20"/>
          <w:szCs w:val="20"/>
        </w:rPr>
        <w:t>C</w:t>
      </w:r>
      <w:r>
        <w:rPr>
          <w:rFonts w:ascii="ITC Avant Garde Std Bk" w:hAnsi="ITC Avant Garde Std Bk" w:cs="Tahoma"/>
          <w:bCs/>
          <w:color w:val="000000"/>
          <w:sz w:val="20"/>
          <w:szCs w:val="20"/>
        </w:rPr>
        <w:t xml:space="preserve">onsulta </w:t>
      </w:r>
      <w:r w:rsidR="00256E53">
        <w:rPr>
          <w:rFonts w:ascii="ITC Avant Garde Std Bk" w:hAnsi="ITC Avant Garde Std Bk" w:cs="Tahoma"/>
          <w:bCs/>
          <w:color w:val="000000"/>
          <w:sz w:val="20"/>
          <w:szCs w:val="20"/>
        </w:rPr>
        <w:t>P</w:t>
      </w:r>
      <w:r>
        <w:rPr>
          <w:rFonts w:ascii="ITC Avant Garde Std Bk" w:hAnsi="ITC Avant Garde Std Bk" w:cs="Tahoma"/>
          <w:bCs/>
          <w:color w:val="000000"/>
          <w:sz w:val="20"/>
          <w:szCs w:val="20"/>
        </w:rPr>
        <w:t xml:space="preserve">ública del </w:t>
      </w:r>
      <w:r w:rsidRPr="00DE6B98">
        <w:rPr>
          <w:rFonts w:ascii="ITC Avant Garde Std Bk" w:hAnsi="ITC Avant Garde Std Bk" w:cs="Tahoma"/>
          <w:bCs/>
          <w:i/>
          <w:color w:val="000000"/>
          <w:sz w:val="20"/>
          <w:szCs w:val="20"/>
        </w:rPr>
        <w:t>“</w:t>
      </w:r>
      <w:r w:rsidR="00644119" w:rsidRPr="00644119">
        <w:rPr>
          <w:rFonts w:ascii="ITC Avant Garde Std Bk" w:hAnsi="ITC Avant Garde Std Bk" w:cs="Tahoma"/>
          <w:bCs/>
          <w:i/>
          <w:color w:val="000000"/>
          <w:sz w:val="20"/>
          <w:szCs w:val="20"/>
        </w:rPr>
        <w:t>Anteproyecto de Acuerdo mediante el cual se emiten los formatos que podrán utilizarse para realizar diversos trámites y servicios en materia de competencia económica ante el Instituto Federal de Telecomunicaciones</w:t>
      </w:r>
      <w:r w:rsidRPr="00DE6B98">
        <w:rPr>
          <w:rFonts w:ascii="ITC Avant Garde Std Bk" w:hAnsi="ITC Avant Garde Std Bk" w:cs="Tahoma"/>
          <w:bCs/>
          <w:i/>
          <w:color w:val="000000"/>
          <w:sz w:val="20"/>
          <w:szCs w:val="20"/>
        </w:rPr>
        <w:t>”</w:t>
      </w:r>
      <w:r w:rsidRPr="00AF67AC">
        <w:rPr>
          <w:rFonts w:ascii="ITC Avant Garde Std Bk" w:hAnsi="ITC Avant Garde Std Bk" w:cs="Tahoma"/>
          <w:bCs/>
          <w:color w:val="000000"/>
          <w:sz w:val="20"/>
          <w:szCs w:val="20"/>
        </w:rPr>
        <w:t>, así como sus respectivas consideraciones, mismo que se emite de conformidad con lo dispuesto en los artículos 51 de la Ley Federal de Tel</w:t>
      </w:r>
      <w:r>
        <w:rPr>
          <w:rFonts w:ascii="ITC Avant Garde Std Bk" w:hAnsi="ITC Avant Garde Std Bk" w:cs="Tahoma"/>
          <w:bCs/>
          <w:color w:val="000000"/>
          <w:sz w:val="20"/>
          <w:szCs w:val="20"/>
        </w:rPr>
        <w:t>ecomunicaciones y Radiodifusión y</w:t>
      </w:r>
      <w:r w:rsidRPr="00AF67AC">
        <w:rPr>
          <w:rFonts w:ascii="ITC Avant Garde Std Bk" w:hAnsi="ITC Avant Garde Std Bk" w:cs="Tahoma"/>
          <w:bCs/>
          <w:color w:val="000000"/>
          <w:sz w:val="20"/>
          <w:szCs w:val="20"/>
        </w:rPr>
        <w:t xml:space="preserve"> </w:t>
      </w:r>
      <w:r w:rsidRPr="000C7196">
        <w:rPr>
          <w:rFonts w:ascii="ITC Avant Garde Std Bk" w:hAnsi="ITC Avant Garde Std Bk" w:cs="Tahoma"/>
          <w:bCs/>
          <w:color w:val="000000"/>
          <w:sz w:val="20"/>
          <w:szCs w:val="20"/>
        </w:rPr>
        <w:t>75, fracciones V y X</w:t>
      </w:r>
      <w:r w:rsidRPr="00AF67AC">
        <w:rPr>
          <w:rFonts w:ascii="ITC Avant Garde Std Bk" w:hAnsi="ITC Avant Garde Std Bk" w:cs="Tahoma"/>
          <w:bCs/>
          <w:color w:val="000000"/>
          <w:sz w:val="20"/>
          <w:szCs w:val="20"/>
        </w:rPr>
        <w:t xml:space="preserve"> del Estatuto Orgánico del Instituto Federal de Telecomunicaciones</w:t>
      </w:r>
      <w:r w:rsidR="00847A35">
        <w:rPr>
          <w:rFonts w:ascii="ITC Avant Garde Std Bk" w:hAnsi="ITC Avant Garde Std Bk" w:cs="Tahoma"/>
          <w:bCs/>
          <w:color w:val="000000"/>
          <w:sz w:val="20"/>
          <w:szCs w:val="20"/>
        </w:rPr>
        <w:t xml:space="preserve">, así como en los </w:t>
      </w:r>
      <w:r w:rsidR="00847A35" w:rsidRPr="00A7159C">
        <w:rPr>
          <w:rFonts w:ascii="ITC Avant Garde Std Bk" w:hAnsi="ITC Avant Garde Std Bk" w:cs="Tahoma"/>
          <w:bCs/>
          <w:color w:val="000000"/>
          <w:sz w:val="20"/>
          <w:szCs w:val="20"/>
        </w:rPr>
        <w:t>lineamientos Noveno y Décimo Primero de los Lineamientos de Consulta Pública y Análisis</w:t>
      </w:r>
      <w:r w:rsidR="00847A35">
        <w:rPr>
          <w:rFonts w:ascii="ITC Avant Garde Std Bk" w:hAnsi="ITC Avant Garde Std Bk" w:cs="Tahoma"/>
          <w:bCs/>
          <w:color w:val="000000"/>
          <w:sz w:val="20"/>
          <w:szCs w:val="20"/>
        </w:rPr>
        <w:t xml:space="preserve"> de Impacto Regulatorio del Instituto Federal de Telecomunicaciones</w:t>
      </w:r>
      <w:r>
        <w:rPr>
          <w:rFonts w:ascii="ITC Avant Garde Std Bk" w:hAnsi="ITC Avant Garde Std Bk" w:cs="Tahoma"/>
          <w:bCs/>
          <w:color w:val="000000"/>
          <w:sz w:val="20"/>
          <w:szCs w:val="20"/>
        </w:rPr>
        <w:t>.</w:t>
      </w:r>
    </w:p>
    <w:p w14:paraId="03B8C4F3" w14:textId="77777777" w:rsidR="008639BE" w:rsidRPr="00AF67AC" w:rsidRDefault="008639BE" w:rsidP="00D00389">
      <w:pPr>
        <w:pStyle w:val="Ttulo1"/>
        <w:tabs>
          <w:tab w:val="left" w:pos="2700"/>
        </w:tabs>
        <w:spacing w:before="0" w:line="240" w:lineRule="auto"/>
        <w:jc w:val="both"/>
        <w:rPr>
          <w:rFonts w:ascii="ITC Avant Garde Std Bk" w:eastAsia="Calibri" w:hAnsi="ITC Avant Garde Std Bk" w:cs="Tahoma"/>
          <w:bCs/>
          <w:color w:val="000000"/>
          <w:sz w:val="20"/>
          <w:szCs w:val="20"/>
        </w:rPr>
      </w:pPr>
    </w:p>
    <w:p w14:paraId="62685FEA" w14:textId="77777777" w:rsidR="008639BE" w:rsidRPr="0062566F"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62566F">
        <w:rPr>
          <w:rFonts w:ascii="ITC Avant Garde Std Bk" w:eastAsia="Calibri" w:hAnsi="ITC Avant Garde Std Bk" w:cs="Tahoma"/>
          <w:b/>
          <w:bCs/>
          <w:color w:val="000000"/>
          <w:sz w:val="20"/>
          <w:szCs w:val="20"/>
        </w:rPr>
        <w:t xml:space="preserve">GLOSARIO </w:t>
      </w:r>
    </w:p>
    <w:p w14:paraId="59347257" w14:textId="77777777" w:rsidR="008639BE" w:rsidRPr="005F7866" w:rsidRDefault="008639BE" w:rsidP="00D00389">
      <w:pPr>
        <w:autoSpaceDE w:val="0"/>
        <w:autoSpaceDN w:val="0"/>
        <w:adjustRightInd w:val="0"/>
        <w:spacing w:after="0" w:line="240" w:lineRule="auto"/>
        <w:rPr>
          <w:rFonts w:ascii="ITC Avant Garde" w:hAnsi="ITC Avant Garde" w:cs="ITC Avant Garde"/>
          <w:color w:val="000000"/>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8113"/>
      </w:tblGrid>
      <w:tr w:rsidR="008639BE" w:rsidRPr="00AF67AC" w14:paraId="05C2B502" w14:textId="77777777" w:rsidTr="00616AA1">
        <w:trPr>
          <w:trHeight w:val="77"/>
        </w:trPr>
        <w:tc>
          <w:tcPr>
            <w:tcW w:w="1952" w:type="dxa"/>
            <w:shd w:val="clear" w:color="auto" w:fill="296624"/>
          </w:tcPr>
          <w:p w14:paraId="4C1367BE" w14:textId="77777777" w:rsidR="008639BE" w:rsidRPr="00856424" w:rsidRDefault="008639BE" w:rsidP="00D00389">
            <w:pPr>
              <w:autoSpaceDE w:val="0"/>
              <w:autoSpaceDN w:val="0"/>
              <w:adjustRightInd w:val="0"/>
              <w:spacing w:after="0" w:line="240" w:lineRule="auto"/>
              <w:jc w:val="center"/>
              <w:rPr>
                <w:rFonts w:ascii="ITC Avant Garde Std Bk" w:hAnsi="ITC Avant Garde Std Bk" w:cs="Tahoma"/>
                <w:bCs/>
                <w:color w:val="FFFFFF" w:themeColor="background1"/>
                <w:sz w:val="16"/>
                <w:szCs w:val="16"/>
              </w:rPr>
            </w:pPr>
            <w:r w:rsidRPr="00856424">
              <w:rPr>
                <w:rFonts w:ascii="ITC Avant Garde Std Bk" w:hAnsi="ITC Avant Garde Std Bk" w:cs="Tahoma"/>
                <w:bCs/>
                <w:color w:val="FFFFFF" w:themeColor="background1"/>
                <w:sz w:val="16"/>
                <w:szCs w:val="16"/>
              </w:rPr>
              <w:t>Concepto</w:t>
            </w:r>
          </w:p>
        </w:tc>
        <w:tc>
          <w:tcPr>
            <w:tcW w:w="8113" w:type="dxa"/>
            <w:shd w:val="clear" w:color="auto" w:fill="296624"/>
          </w:tcPr>
          <w:p w14:paraId="1F7FD2B2" w14:textId="77777777" w:rsidR="008639BE" w:rsidRPr="00856424" w:rsidRDefault="008639BE" w:rsidP="00D00389">
            <w:pPr>
              <w:autoSpaceDE w:val="0"/>
              <w:autoSpaceDN w:val="0"/>
              <w:adjustRightInd w:val="0"/>
              <w:spacing w:after="0" w:line="240" w:lineRule="auto"/>
              <w:jc w:val="center"/>
              <w:rPr>
                <w:rFonts w:ascii="ITC Avant Garde Std Bk" w:hAnsi="ITC Avant Garde Std Bk" w:cs="Tahoma"/>
                <w:bCs/>
                <w:color w:val="FFFFFF" w:themeColor="background1"/>
                <w:sz w:val="16"/>
                <w:szCs w:val="16"/>
              </w:rPr>
            </w:pPr>
            <w:r w:rsidRPr="00856424">
              <w:rPr>
                <w:rFonts w:ascii="ITC Avant Garde Std Bk" w:hAnsi="ITC Avant Garde Std Bk" w:cs="Tahoma"/>
                <w:bCs/>
                <w:color w:val="FFFFFF" w:themeColor="background1"/>
                <w:sz w:val="16"/>
                <w:szCs w:val="16"/>
              </w:rPr>
              <w:t>Significado</w:t>
            </w:r>
          </w:p>
        </w:tc>
      </w:tr>
      <w:tr w:rsidR="008639BE" w:rsidRPr="00AF67AC" w14:paraId="51CC1BB4" w14:textId="77777777" w:rsidTr="00616AA1">
        <w:trPr>
          <w:trHeight w:val="77"/>
        </w:trPr>
        <w:tc>
          <w:tcPr>
            <w:tcW w:w="1952" w:type="dxa"/>
            <w:shd w:val="clear" w:color="auto" w:fill="D6E3BC" w:themeFill="accent3" w:themeFillTint="66"/>
          </w:tcPr>
          <w:p w14:paraId="19A6C600"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ANIR</w:t>
            </w:r>
          </w:p>
        </w:tc>
        <w:tc>
          <w:tcPr>
            <w:tcW w:w="8113" w:type="dxa"/>
            <w:shd w:val="clear" w:color="auto" w:fill="D6E3BC" w:themeFill="accent3" w:themeFillTint="66"/>
          </w:tcPr>
          <w:p w14:paraId="2E06B149" w14:textId="77777777" w:rsidR="008639BE" w:rsidRPr="00AF67AC" w:rsidRDefault="008639BE" w:rsidP="00D00389">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Análisis de Nulo Impacto Regulatorio</w:t>
            </w:r>
            <w:r>
              <w:rPr>
                <w:rFonts w:ascii="ITC Avant Garde Std Bk" w:hAnsi="ITC Avant Garde Std Bk" w:cs="Tahoma"/>
                <w:bCs/>
                <w:color w:val="000000"/>
                <w:sz w:val="16"/>
                <w:szCs w:val="16"/>
              </w:rPr>
              <w:t>.</w:t>
            </w:r>
          </w:p>
        </w:tc>
      </w:tr>
      <w:tr w:rsidR="008639BE" w:rsidRPr="00AF67AC" w14:paraId="3187BC29" w14:textId="77777777" w:rsidTr="00616AA1">
        <w:trPr>
          <w:trHeight w:val="77"/>
        </w:trPr>
        <w:tc>
          <w:tcPr>
            <w:tcW w:w="1952" w:type="dxa"/>
            <w:shd w:val="clear" w:color="auto" w:fill="C2D69B" w:themeFill="accent3" w:themeFillTint="99"/>
          </w:tcPr>
          <w:p w14:paraId="1E4FAE98"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CGMR</w:t>
            </w:r>
          </w:p>
        </w:tc>
        <w:tc>
          <w:tcPr>
            <w:tcW w:w="8113" w:type="dxa"/>
            <w:shd w:val="clear" w:color="auto" w:fill="C2D69B" w:themeFill="accent3" w:themeFillTint="99"/>
          </w:tcPr>
          <w:p w14:paraId="71E9CDC4" w14:textId="77777777" w:rsidR="008639BE" w:rsidRPr="00AF67AC" w:rsidRDefault="008639BE" w:rsidP="00D00389">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Coordinación General de Mejora Regulatoria</w:t>
            </w:r>
            <w:r>
              <w:rPr>
                <w:rFonts w:ascii="ITC Avant Garde Std Bk" w:hAnsi="ITC Avant Garde Std Bk" w:cs="Tahoma"/>
                <w:bCs/>
                <w:color w:val="000000"/>
                <w:sz w:val="16"/>
                <w:szCs w:val="16"/>
              </w:rPr>
              <w:t>.</w:t>
            </w:r>
          </w:p>
        </w:tc>
      </w:tr>
      <w:tr w:rsidR="008639BE" w:rsidRPr="00AF67AC" w14:paraId="2DC86CF9" w14:textId="77777777" w:rsidTr="00616AA1">
        <w:trPr>
          <w:trHeight w:val="77"/>
        </w:trPr>
        <w:tc>
          <w:tcPr>
            <w:tcW w:w="1952" w:type="dxa"/>
            <w:shd w:val="clear" w:color="auto" w:fill="D6E3BC" w:themeFill="accent3" w:themeFillTint="66"/>
          </w:tcPr>
          <w:p w14:paraId="3F4A305C"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Constitución</w:t>
            </w:r>
          </w:p>
        </w:tc>
        <w:tc>
          <w:tcPr>
            <w:tcW w:w="8113" w:type="dxa"/>
            <w:shd w:val="clear" w:color="auto" w:fill="D6E3BC" w:themeFill="accent3" w:themeFillTint="66"/>
          </w:tcPr>
          <w:p w14:paraId="1C2E0D7E" w14:textId="77777777" w:rsidR="008639BE" w:rsidRPr="00AF67AC" w:rsidRDefault="008639BE" w:rsidP="00D00389">
            <w:pPr>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Constitución Política de los Estados Unidos Mexicanos.</w:t>
            </w:r>
          </w:p>
        </w:tc>
      </w:tr>
      <w:tr w:rsidR="008639BE" w:rsidRPr="00AF67AC" w14:paraId="7F31360E" w14:textId="77777777" w:rsidTr="00616AA1">
        <w:trPr>
          <w:trHeight w:val="77"/>
        </w:trPr>
        <w:tc>
          <w:tcPr>
            <w:tcW w:w="1952" w:type="dxa"/>
            <w:shd w:val="clear" w:color="auto" w:fill="C2D69B" w:themeFill="accent3" w:themeFillTint="99"/>
          </w:tcPr>
          <w:p w14:paraId="7D0949E5"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DOF</w:t>
            </w:r>
          </w:p>
        </w:tc>
        <w:tc>
          <w:tcPr>
            <w:tcW w:w="8113" w:type="dxa"/>
            <w:shd w:val="clear" w:color="auto" w:fill="C2D69B" w:themeFill="accent3" w:themeFillTint="99"/>
          </w:tcPr>
          <w:p w14:paraId="6864D44B" w14:textId="77777777" w:rsidR="008639BE" w:rsidRPr="00AF67AC" w:rsidRDefault="008639BE" w:rsidP="00D00389">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Diario Oficial de la Federación</w:t>
            </w:r>
            <w:r>
              <w:rPr>
                <w:rFonts w:ascii="ITC Avant Garde Std Bk" w:hAnsi="ITC Avant Garde Std Bk" w:cs="Tahoma"/>
                <w:bCs/>
                <w:color w:val="000000"/>
                <w:sz w:val="16"/>
                <w:szCs w:val="16"/>
              </w:rPr>
              <w:t>.</w:t>
            </w:r>
          </w:p>
        </w:tc>
      </w:tr>
      <w:tr w:rsidR="0040524F" w:rsidRPr="00AF67AC" w14:paraId="2DC47BC5" w14:textId="77777777" w:rsidTr="00616AA1">
        <w:trPr>
          <w:trHeight w:val="77"/>
        </w:trPr>
        <w:tc>
          <w:tcPr>
            <w:tcW w:w="1952" w:type="dxa"/>
            <w:shd w:val="clear" w:color="auto" w:fill="C2D69B" w:themeFill="accent3" w:themeFillTint="99"/>
          </w:tcPr>
          <w:p w14:paraId="1DF3BE1C" w14:textId="77777777" w:rsidR="0040524F" w:rsidRPr="00AF67AC" w:rsidRDefault="0040524F"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CC7D40">
              <w:rPr>
                <w:rFonts w:ascii="ITC Avant Garde Std Bk" w:hAnsi="ITC Avant Garde Std Bk" w:cs="Tahoma"/>
                <w:bCs/>
                <w:color w:val="000000"/>
                <w:sz w:val="16"/>
                <w:szCs w:val="16"/>
              </w:rPr>
              <w:t>DR</w:t>
            </w:r>
          </w:p>
        </w:tc>
        <w:tc>
          <w:tcPr>
            <w:tcW w:w="8113" w:type="dxa"/>
            <w:shd w:val="clear" w:color="auto" w:fill="C2D69B" w:themeFill="accent3" w:themeFillTint="99"/>
          </w:tcPr>
          <w:p w14:paraId="2AD0F7F0" w14:textId="77777777" w:rsidR="0040524F" w:rsidRPr="00AF67AC" w:rsidRDefault="0040524F" w:rsidP="00D00389">
            <w:pPr>
              <w:autoSpaceDE w:val="0"/>
              <w:autoSpaceDN w:val="0"/>
              <w:adjustRightInd w:val="0"/>
              <w:spacing w:after="0" w:line="240" w:lineRule="auto"/>
              <w:jc w:val="both"/>
              <w:rPr>
                <w:rFonts w:ascii="ITC Avant Garde Std Bk" w:hAnsi="ITC Avant Garde Std Bk" w:cs="Tahoma"/>
                <w:bCs/>
                <w:color w:val="000000"/>
                <w:sz w:val="16"/>
                <w:szCs w:val="16"/>
              </w:rPr>
            </w:pPr>
            <w:r w:rsidRPr="0040524F">
              <w:rPr>
                <w:rFonts w:ascii="ITC Avant Garde Std Bk" w:hAnsi="ITC Avant Garde Std Bk" w:cs="Tahoma"/>
                <w:bCs/>
                <w:color w:val="000000"/>
                <w:sz w:val="16"/>
                <w:szCs w:val="16"/>
              </w:rPr>
              <w:t>Disposiciones Regulatorias de la Ley Federal de Competencia Económica para los sectores de telecomunicaciones y radiodifusión</w:t>
            </w:r>
            <w:r>
              <w:rPr>
                <w:rFonts w:ascii="ITC Avant Garde Std Bk" w:hAnsi="ITC Avant Garde Std Bk" w:cs="Tahoma"/>
                <w:bCs/>
                <w:color w:val="000000"/>
                <w:sz w:val="16"/>
                <w:szCs w:val="16"/>
              </w:rPr>
              <w:t>.</w:t>
            </w:r>
          </w:p>
        </w:tc>
      </w:tr>
      <w:tr w:rsidR="008639BE" w:rsidRPr="00AF67AC" w14:paraId="3A7E73BD" w14:textId="77777777" w:rsidTr="00616AA1">
        <w:trPr>
          <w:trHeight w:val="77"/>
        </w:trPr>
        <w:tc>
          <w:tcPr>
            <w:tcW w:w="1952" w:type="dxa"/>
            <w:shd w:val="clear" w:color="auto" w:fill="D6E3BC" w:themeFill="accent3" w:themeFillTint="66"/>
          </w:tcPr>
          <w:p w14:paraId="65CCF647"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Estatuto Orgánico</w:t>
            </w:r>
          </w:p>
        </w:tc>
        <w:tc>
          <w:tcPr>
            <w:tcW w:w="8113" w:type="dxa"/>
            <w:shd w:val="clear" w:color="auto" w:fill="D6E3BC" w:themeFill="accent3" w:themeFillTint="66"/>
          </w:tcPr>
          <w:p w14:paraId="0310E71A" w14:textId="77777777" w:rsidR="008639BE" w:rsidRPr="00AF67AC" w:rsidRDefault="008639BE" w:rsidP="00D00389">
            <w:pPr>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Estatuto Orgánico del Instituto Federal de Telecomunicaciones.</w:t>
            </w:r>
          </w:p>
        </w:tc>
      </w:tr>
      <w:tr w:rsidR="008639BE" w:rsidRPr="00AF67AC" w14:paraId="5848FBB5" w14:textId="77777777" w:rsidTr="00616AA1">
        <w:trPr>
          <w:trHeight w:val="77"/>
        </w:trPr>
        <w:tc>
          <w:tcPr>
            <w:tcW w:w="1952" w:type="dxa"/>
            <w:shd w:val="clear" w:color="auto" w:fill="C2D69B" w:themeFill="accent3" w:themeFillTint="99"/>
          </w:tcPr>
          <w:p w14:paraId="202AE258"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Instituto</w:t>
            </w:r>
            <w:r w:rsidR="00CC7D40">
              <w:rPr>
                <w:rFonts w:ascii="ITC Avant Garde Std Bk" w:hAnsi="ITC Avant Garde Std Bk" w:cs="Tahoma"/>
                <w:bCs/>
                <w:color w:val="000000"/>
                <w:sz w:val="16"/>
                <w:szCs w:val="16"/>
              </w:rPr>
              <w:t xml:space="preserve"> o IFT</w:t>
            </w:r>
          </w:p>
        </w:tc>
        <w:tc>
          <w:tcPr>
            <w:tcW w:w="8113" w:type="dxa"/>
            <w:shd w:val="clear" w:color="auto" w:fill="C2D69B" w:themeFill="accent3" w:themeFillTint="99"/>
          </w:tcPr>
          <w:p w14:paraId="283A1BCB" w14:textId="77777777" w:rsidR="008639BE" w:rsidRPr="00AF67AC" w:rsidRDefault="008639BE" w:rsidP="00D00389">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Instituto Federal de Telecomunicaciones</w:t>
            </w:r>
            <w:r>
              <w:rPr>
                <w:rFonts w:ascii="ITC Avant Garde Std Bk" w:hAnsi="ITC Avant Garde Std Bk" w:cs="Tahoma"/>
                <w:bCs/>
                <w:color w:val="000000"/>
                <w:sz w:val="16"/>
                <w:szCs w:val="16"/>
              </w:rPr>
              <w:t>.</w:t>
            </w:r>
          </w:p>
        </w:tc>
      </w:tr>
      <w:tr w:rsidR="008639BE" w:rsidRPr="00AF67AC" w14:paraId="6059CF36" w14:textId="77777777" w:rsidTr="00616AA1">
        <w:trPr>
          <w:trHeight w:val="77"/>
        </w:trPr>
        <w:tc>
          <w:tcPr>
            <w:tcW w:w="1952" w:type="dxa"/>
            <w:shd w:val="clear" w:color="auto" w:fill="D6E3BC" w:themeFill="accent3" w:themeFillTint="66"/>
          </w:tcPr>
          <w:p w14:paraId="02ED3B1B"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L</w:t>
            </w:r>
            <w:r>
              <w:rPr>
                <w:rFonts w:ascii="ITC Avant Garde Std Bk" w:hAnsi="ITC Avant Garde Std Bk" w:cs="Tahoma"/>
                <w:bCs/>
                <w:color w:val="000000"/>
                <w:sz w:val="16"/>
                <w:szCs w:val="16"/>
              </w:rPr>
              <w:t>ey</w:t>
            </w:r>
          </w:p>
        </w:tc>
        <w:tc>
          <w:tcPr>
            <w:tcW w:w="8113" w:type="dxa"/>
            <w:shd w:val="clear" w:color="auto" w:fill="D6E3BC" w:themeFill="accent3" w:themeFillTint="66"/>
          </w:tcPr>
          <w:p w14:paraId="620120F2" w14:textId="77777777" w:rsidR="008639BE" w:rsidRPr="00AF67AC" w:rsidRDefault="008639BE" w:rsidP="00D00389">
            <w:pPr>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Ley Federal de Telecomunicaciones y Radiodifusión</w:t>
            </w:r>
            <w:r>
              <w:rPr>
                <w:rFonts w:ascii="ITC Avant Garde Std Bk" w:hAnsi="ITC Avant Garde Std Bk" w:cs="Tahoma"/>
                <w:bCs/>
                <w:color w:val="000000"/>
                <w:sz w:val="16"/>
                <w:szCs w:val="16"/>
              </w:rPr>
              <w:t>.</w:t>
            </w:r>
          </w:p>
        </w:tc>
      </w:tr>
      <w:tr w:rsidR="009A0430" w:rsidRPr="00AF67AC" w14:paraId="0525B420" w14:textId="77777777" w:rsidTr="00616AA1">
        <w:trPr>
          <w:trHeight w:val="77"/>
        </w:trPr>
        <w:tc>
          <w:tcPr>
            <w:tcW w:w="1952" w:type="dxa"/>
            <w:shd w:val="clear" w:color="auto" w:fill="D6E3BC" w:themeFill="accent3" w:themeFillTint="66"/>
          </w:tcPr>
          <w:p w14:paraId="706F3FA7" w14:textId="77777777" w:rsidR="009A0430" w:rsidRPr="00AF67AC" w:rsidRDefault="009A0430"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Lineamientos de Consulta Pública</w:t>
            </w:r>
          </w:p>
        </w:tc>
        <w:tc>
          <w:tcPr>
            <w:tcW w:w="8113" w:type="dxa"/>
            <w:shd w:val="clear" w:color="auto" w:fill="D6E3BC" w:themeFill="accent3" w:themeFillTint="66"/>
          </w:tcPr>
          <w:p w14:paraId="76E9DF3A" w14:textId="77777777" w:rsidR="009A0430" w:rsidRPr="00AF67AC" w:rsidRDefault="009A0430" w:rsidP="00D00389">
            <w:pPr>
              <w:autoSpaceDE w:val="0"/>
              <w:autoSpaceDN w:val="0"/>
              <w:adjustRightInd w:val="0"/>
              <w:spacing w:after="0" w:line="240" w:lineRule="auto"/>
              <w:rPr>
                <w:rFonts w:ascii="ITC Avant Garde Std Bk" w:hAnsi="ITC Avant Garde Std Bk" w:cs="Tahoma"/>
                <w:bCs/>
                <w:color w:val="000000"/>
                <w:sz w:val="16"/>
                <w:szCs w:val="16"/>
              </w:rPr>
            </w:pPr>
            <w:r w:rsidRPr="009A0430">
              <w:rPr>
                <w:rFonts w:ascii="ITC Avant Garde Std Bk" w:hAnsi="ITC Avant Garde Std Bk" w:cs="Tahoma"/>
                <w:bCs/>
                <w:color w:val="000000"/>
                <w:sz w:val="16"/>
                <w:szCs w:val="16"/>
              </w:rPr>
              <w:t>Lineamientos de Consulta Pública y Análisis de Impacto Regulatorio del Instituto Federal de Telecomunicaciones</w:t>
            </w:r>
            <w:r>
              <w:rPr>
                <w:rFonts w:ascii="ITC Avant Garde Std Bk" w:hAnsi="ITC Avant Garde Std Bk" w:cs="Tahoma"/>
                <w:bCs/>
                <w:color w:val="000000"/>
                <w:sz w:val="16"/>
                <w:szCs w:val="16"/>
              </w:rPr>
              <w:t>.</w:t>
            </w:r>
          </w:p>
        </w:tc>
      </w:tr>
      <w:tr w:rsidR="00A00E3F" w:rsidRPr="00AF67AC" w14:paraId="2A203A74" w14:textId="77777777" w:rsidTr="00616AA1">
        <w:trPr>
          <w:trHeight w:val="77"/>
        </w:trPr>
        <w:tc>
          <w:tcPr>
            <w:tcW w:w="1952" w:type="dxa"/>
            <w:shd w:val="clear" w:color="auto" w:fill="D6E3BC" w:themeFill="accent3" w:themeFillTint="66"/>
          </w:tcPr>
          <w:p w14:paraId="127BF370" w14:textId="77777777" w:rsidR="00A00E3F" w:rsidRPr="00AF67AC" w:rsidRDefault="00A00E3F"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LFCE</w:t>
            </w:r>
          </w:p>
        </w:tc>
        <w:tc>
          <w:tcPr>
            <w:tcW w:w="8113" w:type="dxa"/>
            <w:shd w:val="clear" w:color="auto" w:fill="D6E3BC" w:themeFill="accent3" w:themeFillTint="66"/>
          </w:tcPr>
          <w:p w14:paraId="3836D1ED" w14:textId="77777777" w:rsidR="00A00E3F" w:rsidRPr="00AF67AC" w:rsidRDefault="00A00E3F" w:rsidP="00D00389">
            <w:pPr>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Ley Federal de Competencia Económica</w:t>
            </w:r>
            <w:r w:rsidR="0040524F">
              <w:rPr>
                <w:rFonts w:ascii="ITC Avant Garde Std Bk" w:hAnsi="ITC Avant Garde Std Bk" w:cs="Tahoma"/>
                <w:bCs/>
                <w:color w:val="000000"/>
                <w:sz w:val="16"/>
                <w:szCs w:val="16"/>
              </w:rPr>
              <w:t>.</w:t>
            </w:r>
          </w:p>
        </w:tc>
      </w:tr>
      <w:tr w:rsidR="008639BE" w:rsidRPr="00AF67AC" w14:paraId="119545AF" w14:textId="77777777" w:rsidTr="00616AA1">
        <w:trPr>
          <w:trHeight w:val="77"/>
        </w:trPr>
        <w:tc>
          <w:tcPr>
            <w:tcW w:w="1952" w:type="dxa"/>
            <w:shd w:val="clear" w:color="auto" w:fill="C2D69B" w:themeFill="accent3" w:themeFillTint="99"/>
          </w:tcPr>
          <w:p w14:paraId="316F4750"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Pleno</w:t>
            </w:r>
          </w:p>
        </w:tc>
        <w:tc>
          <w:tcPr>
            <w:tcW w:w="8113" w:type="dxa"/>
            <w:shd w:val="clear" w:color="auto" w:fill="C2D69B" w:themeFill="accent3" w:themeFillTint="99"/>
          </w:tcPr>
          <w:p w14:paraId="150F935E" w14:textId="77777777" w:rsidR="008639BE" w:rsidRPr="00AF67AC" w:rsidRDefault="008639BE" w:rsidP="00D00389">
            <w:pPr>
              <w:autoSpaceDE w:val="0"/>
              <w:autoSpaceDN w:val="0"/>
              <w:adjustRightInd w:val="0"/>
              <w:spacing w:after="0" w:line="240" w:lineRule="auto"/>
              <w:jc w:val="both"/>
              <w:rPr>
                <w:rFonts w:ascii="ITC Avant Garde Std Bk" w:hAnsi="ITC Avant Garde Std Bk" w:cs="Tahoma"/>
                <w:bCs/>
                <w:color w:val="000000"/>
                <w:sz w:val="16"/>
                <w:szCs w:val="16"/>
              </w:rPr>
            </w:pPr>
            <w:r w:rsidRPr="00AF67AC">
              <w:rPr>
                <w:rFonts w:ascii="ITC Avant Garde Std Bk" w:hAnsi="ITC Avant Garde Std Bk" w:cs="Tahoma"/>
                <w:bCs/>
                <w:color w:val="000000"/>
                <w:sz w:val="16"/>
                <w:szCs w:val="16"/>
              </w:rPr>
              <w:t>Órgano máximo de gobierno y decisión del Instituto, integrado por siete comisionados con voz y voto, incluido su Presidente.</w:t>
            </w:r>
          </w:p>
        </w:tc>
      </w:tr>
      <w:tr w:rsidR="008639BE" w:rsidRPr="00AF67AC" w14:paraId="6EB837B3" w14:textId="77777777" w:rsidTr="00616AA1">
        <w:trPr>
          <w:trHeight w:val="77"/>
        </w:trPr>
        <w:tc>
          <w:tcPr>
            <w:tcW w:w="1952" w:type="dxa"/>
            <w:shd w:val="clear" w:color="auto" w:fill="D6E3BC" w:themeFill="accent3" w:themeFillTint="66"/>
          </w:tcPr>
          <w:p w14:paraId="269EF775" w14:textId="77777777" w:rsidR="008639BE" w:rsidRPr="00AF67AC" w:rsidRDefault="008639BE"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UC</w:t>
            </w:r>
            <w:r w:rsidR="00D37170">
              <w:rPr>
                <w:rFonts w:ascii="ITC Avant Garde Std Bk" w:hAnsi="ITC Avant Garde Std Bk" w:cs="Tahoma"/>
                <w:bCs/>
                <w:color w:val="000000"/>
                <w:sz w:val="16"/>
                <w:szCs w:val="16"/>
              </w:rPr>
              <w:t>E</w:t>
            </w:r>
          </w:p>
        </w:tc>
        <w:tc>
          <w:tcPr>
            <w:tcW w:w="8113" w:type="dxa"/>
            <w:shd w:val="clear" w:color="auto" w:fill="D6E3BC" w:themeFill="accent3" w:themeFillTint="66"/>
          </w:tcPr>
          <w:p w14:paraId="3B8815C7" w14:textId="77777777" w:rsidR="008639BE" w:rsidRPr="00AF67AC" w:rsidRDefault="00D37170" w:rsidP="00D00389">
            <w:pPr>
              <w:autoSpaceDE w:val="0"/>
              <w:autoSpaceDN w:val="0"/>
              <w:adjustRightInd w:val="0"/>
              <w:spacing w:after="0" w:line="240" w:lineRule="auto"/>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Unidad de Competencia Económica</w:t>
            </w:r>
            <w:r w:rsidR="009A0430">
              <w:rPr>
                <w:rFonts w:ascii="ITC Avant Garde Std Bk" w:hAnsi="ITC Avant Garde Std Bk" w:cs="Tahoma"/>
                <w:bCs/>
                <w:color w:val="000000"/>
                <w:sz w:val="16"/>
                <w:szCs w:val="16"/>
              </w:rPr>
              <w:t>.</w:t>
            </w:r>
          </w:p>
        </w:tc>
      </w:tr>
      <w:tr w:rsidR="00A755B3" w:rsidRPr="00AF67AC" w14:paraId="77CDB345" w14:textId="77777777" w:rsidTr="00616AA1">
        <w:trPr>
          <w:trHeight w:val="77"/>
        </w:trPr>
        <w:tc>
          <w:tcPr>
            <w:tcW w:w="1952" w:type="dxa"/>
            <w:shd w:val="clear" w:color="auto" w:fill="D6E3BC" w:themeFill="accent3" w:themeFillTint="66"/>
          </w:tcPr>
          <w:p w14:paraId="2C3DC803" w14:textId="77777777" w:rsidR="00A755B3" w:rsidRDefault="00A755B3" w:rsidP="00D00389">
            <w:pPr>
              <w:tabs>
                <w:tab w:val="center" w:pos="726"/>
              </w:tabs>
              <w:autoSpaceDE w:val="0"/>
              <w:autoSpaceDN w:val="0"/>
              <w:adjustRightInd w:val="0"/>
              <w:spacing w:after="0" w:line="240" w:lineRule="auto"/>
              <w:rPr>
                <w:rFonts w:ascii="ITC Avant Garde Std Bk" w:hAnsi="ITC Avant Garde Std Bk" w:cs="Tahoma"/>
                <w:bCs/>
                <w:color w:val="000000"/>
                <w:sz w:val="16"/>
                <w:szCs w:val="16"/>
              </w:rPr>
            </w:pPr>
            <w:r>
              <w:rPr>
                <w:rFonts w:ascii="ITC Avant Garde Std Bk" w:hAnsi="ITC Avant Garde Std Bk" w:cs="Tahoma"/>
                <w:bCs/>
                <w:color w:val="000000"/>
                <w:sz w:val="16"/>
                <w:szCs w:val="16"/>
              </w:rPr>
              <w:t>Unidades</w:t>
            </w:r>
          </w:p>
        </w:tc>
        <w:tc>
          <w:tcPr>
            <w:tcW w:w="8113" w:type="dxa"/>
            <w:shd w:val="clear" w:color="auto" w:fill="D6E3BC" w:themeFill="accent3" w:themeFillTint="66"/>
          </w:tcPr>
          <w:p w14:paraId="592EE9D7" w14:textId="77777777" w:rsidR="00A755B3" w:rsidRDefault="00A755B3" w:rsidP="00D00389">
            <w:pPr>
              <w:autoSpaceDE w:val="0"/>
              <w:autoSpaceDN w:val="0"/>
              <w:adjustRightInd w:val="0"/>
              <w:spacing w:after="0" w:line="240" w:lineRule="auto"/>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En conjunto la Coordinación General de Mejora Regulatoria y la Unidad de Competencia Económica</w:t>
            </w:r>
            <w:r w:rsidR="009A0430">
              <w:rPr>
                <w:rFonts w:ascii="ITC Avant Garde Std Bk" w:hAnsi="ITC Avant Garde Std Bk" w:cs="Tahoma"/>
                <w:bCs/>
                <w:color w:val="000000"/>
                <w:sz w:val="16"/>
                <w:szCs w:val="16"/>
              </w:rPr>
              <w:t>.</w:t>
            </w:r>
          </w:p>
        </w:tc>
      </w:tr>
    </w:tbl>
    <w:p w14:paraId="296359ED" w14:textId="77777777" w:rsidR="00D37170" w:rsidRDefault="00D37170" w:rsidP="00D00389">
      <w:pPr>
        <w:pStyle w:val="Ttulo1"/>
        <w:spacing w:before="0" w:line="240" w:lineRule="auto"/>
        <w:jc w:val="both"/>
        <w:rPr>
          <w:rFonts w:ascii="ITC Avant Garde Std Bk" w:eastAsia="Calibri" w:hAnsi="ITC Avant Garde Std Bk" w:cs="Tahoma"/>
          <w:b/>
          <w:bCs/>
          <w:color w:val="000000"/>
          <w:sz w:val="20"/>
          <w:szCs w:val="20"/>
        </w:rPr>
      </w:pPr>
    </w:p>
    <w:p w14:paraId="637D9650" w14:textId="77777777" w:rsidR="008639BE" w:rsidRPr="0062566F"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62566F">
        <w:rPr>
          <w:rFonts w:ascii="ITC Avant Garde Std Bk" w:eastAsia="Calibri" w:hAnsi="ITC Avant Garde Std Bk" w:cs="Tahoma"/>
          <w:b/>
          <w:bCs/>
          <w:color w:val="000000"/>
          <w:sz w:val="20"/>
          <w:szCs w:val="20"/>
        </w:rPr>
        <w:t>1. ANTECEDENTES</w:t>
      </w:r>
    </w:p>
    <w:p w14:paraId="63FC6443" w14:textId="77777777" w:rsidR="008639BE" w:rsidRDefault="008639BE" w:rsidP="00D00389">
      <w:pPr>
        <w:spacing w:after="0" w:line="240" w:lineRule="auto"/>
        <w:jc w:val="both"/>
        <w:rPr>
          <w:rFonts w:ascii="ITC Avant Garde Std Bk" w:hAnsi="ITC Avant Garde Std Bk" w:cs="Tahoma"/>
          <w:bCs/>
          <w:color w:val="000000"/>
          <w:sz w:val="20"/>
          <w:szCs w:val="20"/>
        </w:rPr>
      </w:pPr>
    </w:p>
    <w:p w14:paraId="649F3913" w14:textId="439BDE69" w:rsidR="008639BE"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El Inst</w:t>
      </w:r>
      <w:r>
        <w:rPr>
          <w:rFonts w:ascii="ITC Avant Garde Std Bk" w:hAnsi="ITC Avant Garde Std Bk" w:cs="Tahoma"/>
          <w:bCs/>
          <w:color w:val="000000"/>
          <w:sz w:val="20"/>
          <w:szCs w:val="20"/>
        </w:rPr>
        <w:t xml:space="preserve">ituto, </w:t>
      </w:r>
      <w:r w:rsidRPr="00AF67AC">
        <w:rPr>
          <w:rFonts w:ascii="ITC Avant Garde Std Bk" w:hAnsi="ITC Avant Garde Std Bk" w:cs="Tahoma"/>
          <w:bCs/>
          <w:color w:val="000000"/>
          <w:sz w:val="20"/>
          <w:szCs w:val="20"/>
        </w:rPr>
        <w:t xml:space="preserve">con fundamento en los artículos </w:t>
      </w:r>
      <w:r w:rsidRPr="000C7196">
        <w:rPr>
          <w:rFonts w:ascii="ITC Avant Garde Std Bk" w:hAnsi="ITC Avant Garde Std Bk" w:cs="Tahoma"/>
          <w:bCs/>
          <w:color w:val="000000"/>
          <w:sz w:val="20"/>
          <w:szCs w:val="20"/>
        </w:rPr>
        <w:t>28, párrafo</w:t>
      </w:r>
      <w:r>
        <w:rPr>
          <w:rFonts w:ascii="ITC Avant Garde Std Bk" w:hAnsi="ITC Avant Garde Std Bk" w:cs="Tahoma"/>
          <w:bCs/>
          <w:color w:val="000000"/>
          <w:sz w:val="20"/>
          <w:szCs w:val="20"/>
        </w:rPr>
        <w:t>s</w:t>
      </w:r>
      <w:r w:rsidR="0016124A">
        <w:rPr>
          <w:rFonts w:ascii="ITC Avant Garde Std Bk" w:hAnsi="ITC Avant Garde Std Bk" w:cs="Tahoma"/>
          <w:bCs/>
          <w:color w:val="000000"/>
          <w:sz w:val="20"/>
          <w:szCs w:val="20"/>
        </w:rPr>
        <w:t xml:space="preserve"> décimo </w:t>
      </w:r>
      <w:r w:rsidRPr="000C7196">
        <w:rPr>
          <w:rFonts w:ascii="ITC Avant Garde Std Bk" w:hAnsi="ITC Avant Garde Std Bk" w:cs="Tahoma"/>
          <w:bCs/>
          <w:color w:val="000000"/>
          <w:sz w:val="20"/>
          <w:szCs w:val="20"/>
        </w:rPr>
        <w:t xml:space="preserve">quinto, décimo sexto y vigésimo, fracción IV, </w:t>
      </w:r>
      <w:r w:rsidR="003A3867">
        <w:rPr>
          <w:rFonts w:ascii="ITC Avant Garde Std Bk" w:hAnsi="ITC Avant Garde Std Bk" w:cs="Tahoma"/>
          <w:bCs/>
          <w:color w:val="000000"/>
          <w:sz w:val="20"/>
          <w:szCs w:val="20"/>
        </w:rPr>
        <w:t>de la Constitución; 7,</w:t>
      </w:r>
      <w:r w:rsidRPr="008A37B9">
        <w:rPr>
          <w:rFonts w:ascii="ITC Avant Garde Std Bk" w:hAnsi="ITC Avant Garde Std Bk" w:cs="Tahoma"/>
          <w:bCs/>
          <w:color w:val="000000"/>
          <w:sz w:val="20"/>
          <w:szCs w:val="20"/>
        </w:rPr>
        <w:t xml:space="preserve"> 15, fracción I,</w:t>
      </w:r>
      <w:r w:rsidR="003A3867">
        <w:rPr>
          <w:rFonts w:ascii="ITC Avant Garde Std Bk" w:hAnsi="ITC Avant Garde Std Bk" w:cs="Tahoma"/>
          <w:bCs/>
          <w:color w:val="000000"/>
          <w:sz w:val="20"/>
          <w:szCs w:val="20"/>
        </w:rPr>
        <w:t xml:space="preserve"> y 17, fracción I,</w:t>
      </w:r>
      <w:r w:rsidRPr="008A37B9">
        <w:rPr>
          <w:rFonts w:ascii="ITC Avant Garde Std Bk" w:hAnsi="ITC Avant Garde Std Bk" w:cs="Tahoma"/>
          <w:bCs/>
          <w:color w:val="000000"/>
          <w:sz w:val="20"/>
          <w:szCs w:val="20"/>
        </w:rPr>
        <w:t xml:space="preserve"> de la Ley;</w:t>
      </w:r>
      <w:r w:rsidR="003A3867">
        <w:rPr>
          <w:rFonts w:ascii="ITC Avant Garde Std Bk" w:hAnsi="ITC Avant Garde Std Bk" w:cs="Tahoma"/>
          <w:bCs/>
          <w:color w:val="000000"/>
          <w:sz w:val="20"/>
          <w:szCs w:val="20"/>
        </w:rPr>
        <w:t xml:space="preserve"> 5 de la LFCE;</w:t>
      </w:r>
      <w:r w:rsidRPr="008A37B9">
        <w:rPr>
          <w:rFonts w:ascii="ITC Avant Garde Std Bk" w:hAnsi="ITC Avant Garde Std Bk" w:cs="Tahoma"/>
          <w:bCs/>
          <w:color w:val="000000"/>
          <w:sz w:val="20"/>
          <w:szCs w:val="20"/>
        </w:rPr>
        <w:t xml:space="preserve"> así como 1, </w:t>
      </w:r>
      <w:r w:rsidRPr="008A37B9">
        <w:rPr>
          <w:rFonts w:ascii="ITC Avant Garde Std Bk" w:hAnsi="ITC Avant Garde Std Bk" w:cs="Tahoma"/>
          <w:bCs/>
          <w:color w:val="000000"/>
          <w:sz w:val="20"/>
          <w:szCs w:val="20"/>
        </w:rPr>
        <w:lastRenderedPageBreak/>
        <w:t>párrafos primero y segundo,</w:t>
      </w:r>
      <w:r w:rsidRPr="006E632C">
        <w:rPr>
          <w:rFonts w:ascii="ITC Avant Garde Std Bk" w:hAnsi="ITC Avant Garde Std Bk" w:cs="Tahoma"/>
          <w:bCs/>
          <w:color w:val="000000"/>
          <w:sz w:val="20"/>
          <w:szCs w:val="20"/>
        </w:rPr>
        <w:t xml:space="preserve"> del Estatuto Orgánico</w:t>
      </w:r>
      <w:r w:rsidRPr="00AF67AC">
        <w:rPr>
          <w:rFonts w:ascii="ITC Avant Garde Std Bk" w:hAnsi="ITC Avant Garde Std Bk" w:cs="Tahoma"/>
          <w:bCs/>
          <w:color w:val="000000"/>
          <w:sz w:val="20"/>
          <w:szCs w:val="20"/>
        </w:rPr>
        <w:t xml:space="preserve">, es competente para emitir </w:t>
      </w:r>
      <w:r>
        <w:rPr>
          <w:rFonts w:ascii="ITC Avant Garde Std Bk" w:hAnsi="ITC Avant Garde Std Bk" w:cs="Tahoma"/>
          <w:bCs/>
          <w:color w:val="000000"/>
          <w:sz w:val="20"/>
          <w:szCs w:val="20"/>
        </w:rPr>
        <w:t xml:space="preserve">el </w:t>
      </w:r>
      <w:r w:rsidRPr="0016124A">
        <w:rPr>
          <w:rFonts w:ascii="ITC Avant Garde Std Bk" w:hAnsi="ITC Avant Garde Std Bk" w:cs="Tahoma"/>
          <w:bCs/>
          <w:i/>
          <w:color w:val="000000"/>
          <w:sz w:val="20"/>
          <w:szCs w:val="20"/>
        </w:rPr>
        <w:t xml:space="preserve">Acuerdo mediante el cual se dan a conocer los formatos que </w:t>
      </w:r>
      <w:r w:rsidR="00D37170" w:rsidRPr="0016124A">
        <w:rPr>
          <w:rFonts w:ascii="ITC Avant Garde Std Bk" w:hAnsi="ITC Avant Garde Std Bk" w:cs="Tahoma"/>
          <w:bCs/>
          <w:i/>
          <w:color w:val="000000"/>
          <w:sz w:val="20"/>
          <w:szCs w:val="20"/>
        </w:rPr>
        <w:t>podrán utilizarse para realizar diversos trámites y servicios en materia de competencia económica</w:t>
      </w:r>
      <w:r w:rsidR="0016124A">
        <w:rPr>
          <w:rFonts w:ascii="ITC Avant Garde Std Bk" w:hAnsi="ITC Avant Garde Std Bk" w:cs="Tahoma"/>
          <w:bCs/>
          <w:color w:val="000000"/>
          <w:sz w:val="20"/>
          <w:szCs w:val="20"/>
        </w:rPr>
        <w:t>.</w:t>
      </w:r>
    </w:p>
    <w:p w14:paraId="4B5D8CD5"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5EF095AD"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r w:rsidRPr="001033C8">
        <w:rPr>
          <w:rFonts w:ascii="ITC Avant Garde Std Bk" w:hAnsi="ITC Avant Garde Std Bk" w:cs="Tahoma"/>
          <w:bCs/>
          <w:color w:val="000000"/>
          <w:sz w:val="20"/>
          <w:szCs w:val="20"/>
        </w:rPr>
        <w:t xml:space="preserve">Para efectos de lo anterior, </w:t>
      </w:r>
      <w:r w:rsidR="0010488D">
        <w:rPr>
          <w:rFonts w:ascii="ITC Avant Garde Std Bk" w:hAnsi="ITC Avant Garde Std Bk" w:cs="Tahoma"/>
          <w:bCs/>
          <w:color w:val="000000"/>
          <w:sz w:val="20"/>
          <w:szCs w:val="20"/>
        </w:rPr>
        <w:t>los días</w:t>
      </w:r>
      <w:r w:rsidRPr="001033C8">
        <w:rPr>
          <w:rFonts w:ascii="ITC Avant Garde Std Bk" w:hAnsi="ITC Avant Garde Std Bk" w:cs="Tahoma"/>
          <w:bCs/>
          <w:color w:val="000000"/>
          <w:sz w:val="20"/>
          <w:szCs w:val="20"/>
        </w:rPr>
        <w:t xml:space="preserve"> </w:t>
      </w:r>
      <w:r w:rsidR="008F349C" w:rsidRPr="001033C8">
        <w:rPr>
          <w:rFonts w:ascii="ITC Avant Garde Std Bk" w:hAnsi="ITC Avant Garde Std Bk" w:cs="Tahoma"/>
          <w:bCs/>
          <w:color w:val="000000"/>
          <w:sz w:val="20"/>
          <w:szCs w:val="20"/>
        </w:rPr>
        <w:t>dieciséis y diecisiete de diciembre</w:t>
      </w:r>
      <w:r w:rsidRPr="001033C8">
        <w:rPr>
          <w:rFonts w:ascii="ITC Avant Garde Std Bk" w:hAnsi="ITC Avant Garde Std Bk" w:cs="Tahoma"/>
          <w:bCs/>
          <w:color w:val="000000"/>
          <w:sz w:val="20"/>
          <w:szCs w:val="20"/>
        </w:rPr>
        <w:t xml:space="preserve"> de dos mil </w:t>
      </w:r>
      <w:r w:rsidR="008F349C" w:rsidRPr="001033C8">
        <w:rPr>
          <w:rFonts w:ascii="ITC Avant Garde Std Bk" w:hAnsi="ITC Avant Garde Std Bk" w:cs="Tahoma"/>
          <w:bCs/>
          <w:color w:val="000000"/>
          <w:sz w:val="20"/>
          <w:szCs w:val="20"/>
        </w:rPr>
        <w:t>veinte</w:t>
      </w:r>
      <w:r w:rsidRPr="001033C8">
        <w:rPr>
          <w:rFonts w:ascii="ITC Avant Garde Std Bk" w:hAnsi="ITC Avant Garde Std Bk" w:cs="Tahoma"/>
          <w:bCs/>
          <w:color w:val="000000"/>
          <w:sz w:val="20"/>
          <w:szCs w:val="20"/>
        </w:rPr>
        <w:t>, mediante Acuerdo P/IFT/</w:t>
      </w:r>
      <w:r w:rsidR="008F349C" w:rsidRPr="001033C8">
        <w:rPr>
          <w:rFonts w:ascii="ITC Avant Garde Std Bk" w:hAnsi="ITC Avant Garde Std Bk" w:cs="Tahoma"/>
          <w:bCs/>
          <w:color w:val="000000"/>
          <w:sz w:val="20"/>
          <w:szCs w:val="20"/>
        </w:rPr>
        <w:t>161220</w:t>
      </w:r>
      <w:r w:rsidRPr="001033C8">
        <w:rPr>
          <w:rFonts w:ascii="ITC Avant Garde Std Bk" w:hAnsi="ITC Avant Garde Std Bk" w:cs="Tahoma"/>
          <w:bCs/>
          <w:color w:val="000000"/>
          <w:sz w:val="20"/>
          <w:szCs w:val="20"/>
        </w:rPr>
        <w:t>/</w:t>
      </w:r>
      <w:r w:rsidR="008F349C" w:rsidRPr="001033C8">
        <w:rPr>
          <w:rFonts w:ascii="ITC Avant Garde Std Bk" w:hAnsi="ITC Avant Garde Std Bk" w:cs="Tahoma"/>
          <w:bCs/>
          <w:color w:val="000000"/>
          <w:sz w:val="20"/>
          <w:szCs w:val="20"/>
        </w:rPr>
        <w:t>609</w:t>
      </w:r>
      <w:r w:rsidRPr="001033C8">
        <w:rPr>
          <w:rFonts w:ascii="ITC Avant Garde Std Bk" w:hAnsi="ITC Avant Garde Std Bk" w:cs="Tahoma"/>
          <w:bCs/>
          <w:color w:val="000000"/>
          <w:sz w:val="20"/>
          <w:szCs w:val="20"/>
        </w:rPr>
        <w:t>, en su XXV Sesión Ordinaria</w:t>
      </w:r>
      <w:r w:rsidR="0010488D">
        <w:rPr>
          <w:rFonts w:ascii="ITC Avant Garde Std Bk" w:hAnsi="ITC Avant Garde Std Bk" w:cs="Tahoma"/>
          <w:bCs/>
          <w:color w:val="000000"/>
          <w:sz w:val="20"/>
          <w:szCs w:val="20"/>
        </w:rPr>
        <w:t>,</w:t>
      </w:r>
      <w:r w:rsidRPr="001033C8">
        <w:rPr>
          <w:rFonts w:ascii="ITC Avant Garde Std Bk" w:hAnsi="ITC Avant Garde Std Bk" w:cs="Tahoma"/>
          <w:bCs/>
          <w:color w:val="000000"/>
          <w:sz w:val="20"/>
          <w:szCs w:val="20"/>
        </w:rPr>
        <w:t xml:space="preserve"> el Pleno acordó someter a consulta pública el Anteproyecto, el cual señala</w:t>
      </w:r>
      <w:r w:rsidRPr="00AF67AC">
        <w:rPr>
          <w:rFonts w:ascii="ITC Avant Garde Std Bk" w:hAnsi="ITC Avant Garde Std Bk" w:cs="Tahoma"/>
          <w:bCs/>
          <w:color w:val="000000"/>
          <w:sz w:val="20"/>
          <w:szCs w:val="20"/>
        </w:rPr>
        <w:t>:</w:t>
      </w:r>
    </w:p>
    <w:p w14:paraId="4EAB06EE"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1235C6AF" w14:textId="2E56C2E5" w:rsidR="008639BE" w:rsidRPr="00627EBC" w:rsidRDefault="008639BE" w:rsidP="00D00389">
      <w:pPr>
        <w:pStyle w:val="Default"/>
        <w:ind w:left="709" w:right="724"/>
        <w:jc w:val="both"/>
        <w:rPr>
          <w:rFonts w:ascii="ITC Avant Garde Std Bk" w:hAnsi="ITC Avant Garde Std Bk"/>
          <w:bCs/>
          <w:sz w:val="20"/>
          <w:szCs w:val="20"/>
          <w:lang w:eastAsia="en-US"/>
        </w:rPr>
      </w:pPr>
      <w:r w:rsidRPr="00627EBC">
        <w:rPr>
          <w:rFonts w:ascii="ITC Avant Garde Std Bk" w:hAnsi="ITC Avant Garde Std Bk"/>
          <w:bCs/>
          <w:sz w:val="20"/>
          <w:szCs w:val="20"/>
          <w:lang w:eastAsia="en-US"/>
        </w:rPr>
        <w:t>“</w:t>
      </w:r>
      <w:r w:rsidRPr="007E5241">
        <w:rPr>
          <w:rFonts w:ascii="ITC Avant Garde Std Bk" w:hAnsi="ITC Avant Garde Std Bk"/>
          <w:b/>
          <w:bCs/>
          <w:sz w:val="20"/>
          <w:szCs w:val="20"/>
          <w:lang w:eastAsia="en-US"/>
        </w:rPr>
        <w:t>P</w:t>
      </w:r>
      <w:r w:rsidR="00627EBC" w:rsidRPr="007E5241">
        <w:rPr>
          <w:rFonts w:ascii="ITC Avant Garde Std Bk" w:hAnsi="ITC Avant Garde Std Bk"/>
          <w:b/>
          <w:bCs/>
          <w:sz w:val="20"/>
          <w:szCs w:val="20"/>
          <w:lang w:eastAsia="en-US"/>
        </w:rPr>
        <w:t>rimero</w:t>
      </w:r>
      <w:r w:rsidRPr="007E5241">
        <w:rPr>
          <w:rFonts w:ascii="ITC Avant Garde Std Bk" w:hAnsi="ITC Avant Garde Std Bk"/>
          <w:b/>
          <w:bCs/>
          <w:sz w:val="20"/>
          <w:szCs w:val="20"/>
          <w:lang w:eastAsia="en-US"/>
        </w:rPr>
        <w:t>.</w:t>
      </w:r>
      <w:r w:rsidRPr="00627EBC">
        <w:rPr>
          <w:rFonts w:ascii="ITC Avant Garde Std Bk" w:hAnsi="ITC Avant Garde Std Bk"/>
          <w:bCs/>
          <w:sz w:val="20"/>
          <w:szCs w:val="20"/>
          <w:lang w:eastAsia="en-US"/>
        </w:rPr>
        <w:t xml:space="preserve"> </w:t>
      </w:r>
      <w:r w:rsidR="008F349C" w:rsidRPr="00627EBC">
        <w:rPr>
          <w:rFonts w:ascii="ITC Avant Garde Std Bk" w:hAnsi="ITC Avant Garde Std Bk"/>
          <w:bCs/>
          <w:sz w:val="20"/>
          <w:szCs w:val="20"/>
          <w:lang w:eastAsia="en-US"/>
        </w:rPr>
        <w:t xml:space="preserve">Se determina someter a consulta pública por un período de 30 (treinta) días hábiles, contados a partir del día hábil siguiente al de su publicación en el portal de Internet del Instituto, el </w:t>
      </w:r>
      <w:r w:rsidR="008F349C" w:rsidRPr="007E5241">
        <w:rPr>
          <w:rFonts w:ascii="ITC Avant Garde Std Bk" w:hAnsi="ITC Avant Garde Std Bk"/>
          <w:b/>
          <w:bCs/>
          <w:sz w:val="20"/>
          <w:szCs w:val="20"/>
          <w:lang w:eastAsia="en-US"/>
        </w:rPr>
        <w:t>“Anteproyecto de Acuerdo mediante el cual se emiten los formatos que podrán utilizarse para realizar diversos trámites y servicios en materia de competencia económica ante el Instituto Federal de Telecomunicaciones”</w:t>
      </w:r>
      <w:r w:rsidR="008F349C" w:rsidRPr="00627EBC">
        <w:rPr>
          <w:rFonts w:ascii="ITC Avant Garde Std Bk" w:hAnsi="ITC Avant Garde Std Bk"/>
          <w:bCs/>
          <w:sz w:val="20"/>
          <w:szCs w:val="20"/>
          <w:lang w:eastAsia="en-US"/>
        </w:rPr>
        <w:t xml:space="preserve">, mismo que se acompaña al presente como </w:t>
      </w:r>
      <w:r w:rsidR="008F349C" w:rsidRPr="007E5241">
        <w:rPr>
          <w:rFonts w:ascii="ITC Avant Garde Std Bk" w:hAnsi="ITC Avant Garde Std Bk"/>
          <w:b/>
          <w:bCs/>
          <w:sz w:val="20"/>
          <w:szCs w:val="20"/>
          <w:lang w:eastAsia="en-US"/>
        </w:rPr>
        <w:t>Anexo Único, junto con su respectivo ANIR</w:t>
      </w:r>
      <w:r w:rsidR="008F349C" w:rsidRPr="00627EBC">
        <w:rPr>
          <w:rFonts w:ascii="ITC Avant Garde Std Bk" w:hAnsi="ITC Avant Garde Std Bk"/>
          <w:bCs/>
          <w:sz w:val="20"/>
          <w:szCs w:val="20"/>
          <w:lang w:eastAsia="en-US"/>
        </w:rPr>
        <w:t>, con la finalidad de que cualquier interesado conozca las medidas regulatorias que el Instituto propone con la emisión de los formatos y esté en condiciones de emitir sus comentarios, opiniones y propuestas a este órgano constitucional autónomo, así como cualquier otro elemento de análisis que estime conveniente compartirle</w:t>
      </w:r>
      <w:r w:rsidRPr="00627EBC">
        <w:rPr>
          <w:rFonts w:ascii="ITC Avant Garde Std Bk" w:hAnsi="ITC Avant Garde Std Bk"/>
          <w:bCs/>
          <w:sz w:val="20"/>
          <w:szCs w:val="20"/>
          <w:lang w:eastAsia="en-US"/>
        </w:rPr>
        <w:t xml:space="preserve">. </w:t>
      </w:r>
    </w:p>
    <w:p w14:paraId="3413E278" w14:textId="77777777" w:rsidR="008639BE" w:rsidRPr="00627EBC" w:rsidRDefault="008639BE" w:rsidP="00D00389">
      <w:pPr>
        <w:pStyle w:val="Default"/>
        <w:ind w:left="709" w:right="724"/>
        <w:jc w:val="both"/>
        <w:rPr>
          <w:rFonts w:ascii="ITC Avant Garde Std Bk" w:hAnsi="ITC Avant Garde Std Bk"/>
          <w:bCs/>
          <w:sz w:val="20"/>
          <w:szCs w:val="20"/>
          <w:lang w:eastAsia="en-US"/>
        </w:rPr>
      </w:pPr>
    </w:p>
    <w:p w14:paraId="79E3E697" w14:textId="31F86B21" w:rsidR="008639BE" w:rsidRPr="00DE6B98" w:rsidRDefault="008639BE" w:rsidP="00D00389">
      <w:pPr>
        <w:spacing w:after="0" w:line="240" w:lineRule="auto"/>
        <w:ind w:left="709" w:right="724"/>
        <w:jc w:val="both"/>
        <w:rPr>
          <w:rFonts w:ascii="ITC Avant Garde Std Bk" w:eastAsia="Calibri" w:hAnsi="ITC Avant Garde Std Bk" w:cs="Tahoma"/>
          <w:bCs/>
          <w:color w:val="000000"/>
          <w:sz w:val="20"/>
          <w:szCs w:val="20"/>
        </w:rPr>
      </w:pPr>
      <w:r w:rsidRPr="007E5241">
        <w:rPr>
          <w:rFonts w:ascii="ITC Avant Garde Std Bk" w:hAnsi="ITC Avant Garde Std Bk" w:cs="Tahoma"/>
          <w:b/>
          <w:bCs/>
          <w:color w:val="000000"/>
          <w:sz w:val="20"/>
          <w:szCs w:val="20"/>
        </w:rPr>
        <w:t>S</w:t>
      </w:r>
      <w:r w:rsidR="00627EBC" w:rsidRPr="007E5241">
        <w:rPr>
          <w:rFonts w:ascii="ITC Avant Garde Std Bk" w:hAnsi="ITC Avant Garde Std Bk" w:cs="Tahoma"/>
          <w:b/>
          <w:bCs/>
          <w:color w:val="000000"/>
          <w:sz w:val="20"/>
          <w:szCs w:val="20"/>
        </w:rPr>
        <w:t>egundo</w:t>
      </w:r>
      <w:r w:rsidRPr="007E5241">
        <w:rPr>
          <w:rFonts w:ascii="ITC Avant Garde Std Bk" w:hAnsi="ITC Avant Garde Std Bk" w:cs="Tahoma"/>
          <w:b/>
          <w:bCs/>
          <w:color w:val="000000"/>
          <w:sz w:val="20"/>
          <w:szCs w:val="20"/>
        </w:rPr>
        <w:t>.</w:t>
      </w:r>
      <w:r w:rsidRPr="00627EBC">
        <w:rPr>
          <w:rFonts w:ascii="ITC Avant Garde Std Bk" w:hAnsi="ITC Avant Garde Std Bk" w:cs="Tahoma"/>
          <w:bCs/>
          <w:color w:val="000000"/>
          <w:sz w:val="20"/>
          <w:szCs w:val="20"/>
        </w:rPr>
        <w:t xml:space="preserve"> </w:t>
      </w:r>
      <w:r w:rsidRPr="00627EBC">
        <w:rPr>
          <w:rFonts w:ascii="ITC Avant Garde Std Bk" w:eastAsia="Calibri" w:hAnsi="ITC Avant Garde Std Bk" w:cs="Tahoma"/>
          <w:bCs/>
          <w:color w:val="000000"/>
          <w:sz w:val="20"/>
          <w:szCs w:val="20"/>
        </w:rPr>
        <w:t xml:space="preserve">Se instruye a la Coordinación General de Mejora Regulatoria atender el presente proceso consultivo, así como recibir y dar atención, en el ámbito de sus respectivas atribuciones, a los comentarios, opiniones y/o propuestas que sean vertidas por los interesados a razón de la consulta pública materia del presente Acuerdo, con el apoyo de </w:t>
      </w:r>
      <w:r w:rsidR="008F349C" w:rsidRPr="00627EBC">
        <w:rPr>
          <w:rFonts w:ascii="ITC Avant Garde Std Bk" w:eastAsia="Calibri" w:hAnsi="ITC Avant Garde Std Bk" w:cs="Tahoma"/>
          <w:bCs/>
          <w:color w:val="000000"/>
          <w:sz w:val="20"/>
          <w:szCs w:val="20"/>
        </w:rPr>
        <w:t>la Unidad de Competencia Económica</w:t>
      </w:r>
      <w:r w:rsidR="006E7F97">
        <w:rPr>
          <w:rFonts w:ascii="ITC Avant Garde Std Bk" w:eastAsia="Calibri" w:hAnsi="ITC Avant Garde Std Bk" w:cs="Tahoma"/>
          <w:bCs/>
          <w:color w:val="000000"/>
          <w:sz w:val="20"/>
          <w:szCs w:val="20"/>
        </w:rPr>
        <w:t>.</w:t>
      </w:r>
      <w:r w:rsidRPr="00627EBC">
        <w:rPr>
          <w:rFonts w:ascii="ITC Avant Garde Std Bk" w:eastAsia="Calibri" w:hAnsi="ITC Avant Garde Std Bk" w:cs="Tahoma"/>
          <w:bCs/>
          <w:color w:val="000000"/>
          <w:sz w:val="20"/>
          <w:szCs w:val="20"/>
        </w:rPr>
        <w:t>”</w:t>
      </w:r>
    </w:p>
    <w:p w14:paraId="37121642" w14:textId="77777777" w:rsidR="008639BE" w:rsidRPr="00AF67AC" w:rsidRDefault="008639BE" w:rsidP="00D00389">
      <w:pPr>
        <w:spacing w:after="0" w:line="240" w:lineRule="auto"/>
        <w:ind w:left="709" w:right="724"/>
        <w:jc w:val="both"/>
        <w:rPr>
          <w:rFonts w:ascii="ITC Avant Garde Std Bk" w:hAnsi="ITC Avant Garde Std Bk" w:cs="Tahoma"/>
          <w:bCs/>
          <w:color w:val="000000"/>
          <w:sz w:val="20"/>
          <w:szCs w:val="20"/>
        </w:rPr>
      </w:pPr>
    </w:p>
    <w:p w14:paraId="4BECAEED" w14:textId="77777777" w:rsidR="008639BE" w:rsidRPr="00DE6B98" w:rsidRDefault="008639BE" w:rsidP="00D00389">
      <w:pPr>
        <w:spacing w:after="0" w:line="240" w:lineRule="auto"/>
        <w:jc w:val="both"/>
        <w:rPr>
          <w:rFonts w:ascii="ITC Avant Garde Std Bk" w:hAnsi="ITC Avant Garde Std Bk" w:cs="Tahoma"/>
          <w:bCs/>
          <w:color w:val="000000"/>
          <w:sz w:val="20"/>
          <w:szCs w:val="20"/>
        </w:rPr>
      </w:pPr>
      <w:r w:rsidRPr="00A63466">
        <w:rPr>
          <w:rFonts w:ascii="ITC Avant Garde Std Bk" w:hAnsi="ITC Avant Garde Std Bk" w:cs="Tahoma"/>
          <w:bCs/>
          <w:color w:val="000000"/>
          <w:sz w:val="20"/>
          <w:szCs w:val="20"/>
        </w:rPr>
        <w:t>La consulta pública tuvo como objetivo</w:t>
      </w:r>
      <w:r>
        <w:rPr>
          <w:rFonts w:ascii="Helvetica" w:hAnsi="Helvetica" w:cs="Helvetica"/>
          <w:color w:val="000000"/>
          <w:sz w:val="21"/>
          <w:szCs w:val="21"/>
          <w:shd w:val="clear" w:color="auto" w:fill="FFFFFF"/>
        </w:rPr>
        <w:t> (</w:t>
      </w:r>
      <w:r w:rsidRPr="00DE6B98">
        <w:rPr>
          <w:rFonts w:ascii="ITC Avant Garde Std Bk" w:hAnsi="ITC Avant Garde Std Bk" w:cs="Tahoma"/>
          <w:bCs/>
          <w:color w:val="000000"/>
          <w:sz w:val="20"/>
          <w:szCs w:val="20"/>
        </w:rPr>
        <w:t xml:space="preserve">i) eficientar, agilizar y transparentar la gestión </w:t>
      </w:r>
      <w:r w:rsidR="00EF633A" w:rsidRPr="00EF633A">
        <w:rPr>
          <w:rFonts w:ascii="ITC Avant Garde Std Bk" w:hAnsi="ITC Avant Garde Std Bk" w:cs="Tahoma"/>
          <w:bCs/>
          <w:color w:val="000000"/>
          <w:sz w:val="20"/>
          <w:szCs w:val="20"/>
        </w:rPr>
        <w:t>del proceso relacionado con los trámites y servicios en materia</w:t>
      </w:r>
      <w:r w:rsidR="00EF633A">
        <w:rPr>
          <w:rFonts w:ascii="ITC Avant Garde Std Bk" w:hAnsi="ITC Avant Garde Std Bk" w:cs="Tahoma"/>
          <w:bCs/>
          <w:color w:val="000000"/>
          <w:sz w:val="20"/>
          <w:szCs w:val="20"/>
        </w:rPr>
        <w:t xml:space="preserve"> </w:t>
      </w:r>
      <w:r w:rsidR="00EF633A" w:rsidRPr="00EF633A">
        <w:rPr>
          <w:rFonts w:ascii="ITC Avant Garde Std Bk" w:hAnsi="ITC Avant Garde Std Bk" w:cs="Tahoma"/>
          <w:bCs/>
          <w:color w:val="000000"/>
          <w:sz w:val="20"/>
          <w:szCs w:val="20"/>
        </w:rPr>
        <w:t>de competencia económica en los sectores de telecomunicaciones y radiodifusión a cargo del</w:t>
      </w:r>
      <w:r w:rsidR="00EF633A">
        <w:rPr>
          <w:rFonts w:ascii="ITC Avant Garde Std Bk" w:hAnsi="ITC Avant Garde Std Bk" w:cs="Tahoma"/>
          <w:bCs/>
          <w:color w:val="000000"/>
          <w:sz w:val="20"/>
          <w:szCs w:val="20"/>
        </w:rPr>
        <w:t xml:space="preserve"> </w:t>
      </w:r>
      <w:r w:rsidR="00EF633A" w:rsidRPr="00EF633A">
        <w:rPr>
          <w:rFonts w:ascii="ITC Avant Garde Std Bk" w:hAnsi="ITC Avant Garde Std Bk" w:cs="Tahoma"/>
          <w:bCs/>
          <w:color w:val="000000"/>
          <w:sz w:val="20"/>
          <w:szCs w:val="20"/>
        </w:rPr>
        <w:t>Instituto</w:t>
      </w:r>
      <w:r w:rsidRPr="00DE6B98">
        <w:rPr>
          <w:rFonts w:ascii="ITC Avant Garde Std Bk" w:hAnsi="ITC Avant Garde Std Bk" w:cs="Tahoma"/>
          <w:bCs/>
          <w:color w:val="000000"/>
          <w:sz w:val="20"/>
          <w:szCs w:val="20"/>
        </w:rPr>
        <w:t>, a través del uso de formatos</w:t>
      </w:r>
      <w:r w:rsidR="005D3019">
        <w:rPr>
          <w:rFonts w:ascii="ITC Avant Garde Std Bk" w:hAnsi="ITC Avant Garde Std Bk" w:cs="Tahoma"/>
          <w:bCs/>
          <w:color w:val="000000"/>
          <w:sz w:val="20"/>
          <w:szCs w:val="20"/>
        </w:rPr>
        <w:t xml:space="preserve"> optativos</w:t>
      </w:r>
      <w:r w:rsidRPr="00DE6B98">
        <w:rPr>
          <w:rFonts w:ascii="ITC Avant Garde Std Bk" w:hAnsi="ITC Avant Garde Std Bk" w:cs="Tahoma"/>
          <w:bCs/>
          <w:color w:val="000000"/>
          <w:sz w:val="20"/>
          <w:szCs w:val="20"/>
        </w:rPr>
        <w:t>, y (ii) reducir la carga administrativa asociada a éstos mediante el empleo de la simplificación administrativa.</w:t>
      </w:r>
    </w:p>
    <w:p w14:paraId="51FFA8D7" w14:textId="77777777" w:rsidR="008639BE" w:rsidRDefault="008639BE" w:rsidP="00D00389">
      <w:pPr>
        <w:spacing w:after="0" w:line="240" w:lineRule="auto"/>
        <w:jc w:val="both"/>
        <w:rPr>
          <w:rFonts w:ascii="ITC Avant Garde Std Bk" w:hAnsi="ITC Avant Garde Std Bk" w:cs="Tahoma"/>
          <w:bCs/>
          <w:color w:val="000000"/>
          <w:sz w:val="20"/>
          <w:szCs w:val="20"/>
        </w:rPr>
      </w:pPr>
    </w:p>
    <w:p w14:paraId="57FD2BC7"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Dicha consulta pública se llevó a cabo por un periodo de </w:t>
      </w:r>
      <w:r w:rsidR="00EF633A">
        <w:rPr>
          <w:rFonts w:ascii="ITC Avant Garde Std Bk" w:hAnsi="ITC Avant Garde Std Bk" w:cs="Tahoma"/>
          <w:bCs/>
          <w:color w:val="000000"/>
          <w:sz w:val="20"/>
          <w:szCs w:val="20"/>
        </w:rPr>
        <w:t>30</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t</w:t>
      </w:r>
      <w:r w:rsidR="00EF633A">
        <w:rPr>
          <w:rFonts w:ascii="ITC Avant Garde Std Bk" w:hAnsi="ITC Avant Garde Std Bk" w:cs="Tahoma"/>
          <w:bCs/>
          <w:color w:val="000000"/>
          <w:sz w:val="20"/>
          <w:szCs w:val="20"/>
        </w:rPr>
        <w:t>r</w:t>
      </w:r>
      <w:r>
        <w:rPr>
          <w:rFonts w:ascii="ITC Avant Garde Std Bk" w:hAnsi="ITC Avant Garde Std Bk" w:cs="Tahoma"/>
          <w:bCs/>
          <w:color w:val="000000"/>
          <w:sz w:val="20"/>
          <w:szCs w:val="20"/>
        </w:rPr>
        <w:t>e</w:t>
      </w:r>
      <w:r w:rsidR="00EF633A">
        <w:rPr>
          <w:rFonts w:ascii="ITC Avant Garde Std Bk" w:hAnsi="ITC Avant Garde Std Bk" w:cs="Tahoma"/>
          <w:bCs/>
          <w:color w:val="000000"/>
          <w:sz w:val="20"/>
          <w:szCs w:val="20"/>
        </w:rPr>
        <w:t>inta</w:t>
      </w:r>
      <w:r w:rsidRPr="00AF67AC">
        <w:rPr>
          <w:rFonts w:ascii="ITC Avant Garde Std Bk" w:hAnsi="ITC Avant Garde Std Bk" w:cs="Tahoma"/>
          <w:bCs/>
          <w:color w:val="000000"/>
          <w:sz w:val="20"/>
          <w:szCs w:val="20"/>
        </w:rPr>
        <w:t>) días hábil</w:t>
      </w:r>
      <w:r>
        <w:rPr>
          <w:rFonts w:ascii="ITC Avant Garde Std Bk" w:hAnsi="ITC Avant Garde Std Bk" w:cs="Tahoma"/>
          <w:bCs/>
          <w:color w:val="000000"/>
          <w:sz w:val="20"/>
          <w:szCs w:val="20"/>
        </w:rPr>
        <w:t xml:space="preserve">es, mismo que transcurrió del </w:t>
      </w:r>
      <w:r w:rsidR="00EF633A">
        <w:rPr>
          <w:rFonts w:ascii="ITC Avant Garde Std Bk" w:hAnsi="ITC Avant Garde Std Bk" w:cs="Tahoma"/>
          <w:bCs/>
          <w:color w:val="000000"/>
          <w:sz w:val="20"/>
          <w:szCs w:val="20"/>
        </w:rPr>
        <w:t>8</w:t>
      </w:r>
      <w:r w:rsidRPr="00AF67AC">
        <w:rPr>
          <w:rFonts w:ascii="ITC Avant Garde Std Bk" w:hAnsi="ITC Avant Garde Std Bk" w:cs="Tahoma"/>
          <w:bCs/>
          <w:color w:val="000000"/>
          <w:sz w:val="20"/>
          <w:szCs w:val="20"/>
        </w:rPr>
        <w:t xml:space="preserve"> de </w:t>
      </w:r>
      <w:r>
        <w:rPr>
          <w:rFonts w:ascii="ITC Avant Garde Std Bk" w:hAnsi="ITC Avant Garde Std Bk" w:cs="Tahoma"/>
          <w:bCs/>
          <w:color w:val="000000"/>
          <w:sz w:val="20"/>
          <w:szCs w:val="20"/>
        </w:rPr>
        <w:t>e</w:t>
      </w:r>
      <w:r w:rsidR="00EF633A">
        <w:rPr>
          <w:rFonts w:ascii="ITC Avant Garde Std Bk" w:hAnsi="ITC Avant Garde Std Bk" w:cs="Tahoma"/>
          <w:bCs/>
          <w:color w:val="000000"/>
          <w:sz w:val="20"/>
          <w:szCs w:val="20"/>
        </w:rPr>
        <w:t>nero</w:t>
      </w:r>
      <w:r>
        <w:rPr>
          <w:rFonts w:ascii="ITC Avant Garde Std Bk" w:hAnsi="ITC Avant Garde Std Bk" w:cs="Tahoma"/>
          <w:bCs/>
          <w:color w:val="000000"/>
          <w:sz w:val="20"/>
          <w:szCs w:val="20"/>
        </w:rPr>
        <w:t xml:space="preserve"> de 20</w:t>
      </w:r>
      <w:r w:rsidR="00EF633A">
        <w:rPr>
          <w:rFonts w:ascii="ITC Avant Garde Std Bk" w:hAnsi="ITC Avant Garde Std Bk" w:cs="Tahoma"/>
          <w:bCs/>
          <w:color w:val="000000"/>
          <w:sz w:val="20"/>
          <w:szCs w:val="20"/>
        </w:rPr>
        <w:t>2</w:t>
      </w:r>
      <w:r>
        <w:rPr>
          <w:rFonts w:ascii="ITC Avant Garde Std Bk" w:hAnsi="ITC Avant Garde Std Bk" w:cs="Tahoma"/>
          <w:bCs/>
          <w:color w:val="000000"/>
          <w:sz w:val="20"/>
          <w:szCs w:val="20"/>
        </w:rPr>
        <w:t>1</w:t>
      </w:r>
      <w:r w:rsidRPr="00AF67AC">
        <w:rPr>
          <w:rFonts w:ascii="ITC Avant Garde Std Bk" w:hAnsi="ITC Avant Garde Std Bk" w:cs="Tahoma"/>
          <w:bCs/>
          <w:color w:val="000000"/>
          <w:sz w:val="20"/>
          <w:szCs w:val="20"/>
        </w:rPr>
        <w:t xml:space="preserve"> al </w:t>
      </w:r>
      <w:r w:rsidR="00EF633A">
        <w:rPr>
          <w:rFonts w:ascii="ITC Avant Garde Std Bk" w:hAnsi="ITC Avant Garde Std Bk" w:cs="Tahoma"/>
          <w:bCs/>
          <w:color w:val="000000"/>
          <w:sz w:val="20"/>
          <w:szCs w:val="20"/>
        </w:rPr>
        <w:t>19</w:t>
      </w:r>
      <w:r w:rsidRPr="00AF67AC">
        <w:rPr>
          <w:rFonts w:ascii="ITC Avant Garde Std Bk" w:hAnsi="ITC Avant Garde Std Bk" w:cs="Tahoma"/>
          <w:bCs/>
          <w:color w:val="000000"/>
          <w:sz w:val="20"/>
          <w:szCs w:val="20"/>
        </w:rPr>
        <w:t xml:space="preserve"> de </w:t>
      </w:r>
      <w:r w:rsidR="00EF633A">
        <w:rPr>
          <w:rFonts w:ascii="ITC Avant Garde Std Bk" w:hAnsi="ITC Avant Garde Std Bk" w:cs="Tahoma"/>
          <w:bCs/>
          <w:color w:val="000000"/>
          <w:sz w:val="20"/>
          <w:szCs w:val="20"/>
        </w:rPr>
        <w:t>feb</w:t>
      </w:r>
      <w:r>
        <w:rPr>
          <w:rFonts w:ascii="ITC Avant Garde Std Bk" w:hAnsi="ITC Avant Garde Std Bk" w:cs="Tahoma"/>
          <w:bCs/>
          <w:color w:val="000000"/>
          <w:sz w:val="20"/>
          <w:szCs w:val="20"/>
        </w:rPr>
        <w:t>re</w:t>
      </w:r>
      <w:r w:rsidR="00EF633A">
        <w:rPr>
          <w:rFonts w:ascii="ITC Avant Garde Std Bk" w:hAnsi="ITC Avant Garde Std Bk" w:cs="Tahoma"/>
          <w:bCs/>
          <w:color w:val="000000"/>
          <w:sz w:val="20"/>
          <w:szCs w:val="20"/>
        </w:rPr>
        <w:t>ro</w:t>
      </w:r>
      <w:r w:rsidRPr="00AF67AC">
        <w:rPr>
          <w:rFonts w:ascii="ITC Avant Garde Std Bk" w:hAnsi="ITC Avant Garde Std Bk" w:cs="Tahoma"/>
          <w:bCs/>
          <w:color w:val="000000"/>
          <w:sz w:val="20"/>
          <w:szCs w:val="20"/>
        </w:rPr>
        <w:t xml:space="preserve"> de 20</w:t>
      </w:r>
      <w:r w:rsidR="00EF633A">
        <w:rPr>
          <w:rFonts w:ascii="ITC Avant Garde Std Bk" w:hAnsi="ITC Avant Garde Std Bk" w:cs="Tahoma"/>
          <w:bCs/>
          <w:color w:val="000000"/>
          <w:sz w:val="20"/>
          <w:szCs w:val="20"/>
        </w:rPr>
        <w:t>2</w:t>
      </w:r>
      <w:r w:rsidRPr="00AF67AC">
        <w:rPr>
          <w:rFonts w:ascii="ITC Avant Garde Std Bk" w:hAnsi="ITC Avant Garde Std Bk" w:cs="Tahoma"/>
          <w:bCs/>
          <w:color w:val="000000"/>
          <w:sz w:val="20"/>
          <w:szCs w:val="20"/>
        </w:rPr>
        <w:t>1.</w:t>
      </w:r>
    </w:p>
    <w:p w14:paraId="26854BCF"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62BA07DC" w14:textId="4DA718CF"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La</w:t>
      </w:r>
      <w:r>
        <w:rPr>
          <w:rFonts w:ascii="ITC Avant Garde Std Bk" w:hAnsi="ITC Avant Garde Std Bk" w:cs="Tahoma"/>
          <w:bCs/>
          <w:color w:val="000000"/>
          <w:sz w:val="20"/>
          <w:szCs w:val="20"/>
        </w:rPr>
        <w:t>s</w:t>
      </w:r>
      <w:r w:rsidRPr="00AF67AC">
        <w:rPr>
          <w:rFonts w:ascii="ITC Avant Garde Std Bk" w:hAnsi="ITC Avant Garde Std Bk" w:cs="Tahoma"/>
          <w:bCs/>
          <w:color w:val="000000"/>
          <w:sz w:val="20"/>
          <w:szCs w:val="20"/>
        </w:rPr>
        <w:t xml:space="preserve"> </w:t>
      </w:r>
      <w:r w:rsidR="00256E53">
        <w:rPr>
          <w:rFonts w:ascii="ITC Avant Garde Std Bk" w:hAnsi="ITC Avant Garde Std Bk" w:cs="Tahoma"/>
          <w:bCs/>
          <w:color w:val="000000"/>
          <w:sz w:val="20"/>
          <w:szCs w:val="20"/>
        </w:rPr>
        <w:t>U</w:t>
      </w:r>
      <w:r>
        <w:rPr>
          <w:rFonts w:ascii="ITC Avant Garde Std Bk" w:hAnsi="ITC Avant Garde Std Bk" w:cs="Tahoma"/>
          <w:bCs/>
          <w:color w:val="000000"/>
          <w:sz w:val="20"/>
          <w:szCs w:val="20"/>
        </w:rPr>
        <w:t>nidades</w:t>
      </w:r>
      <w:r w:rsidRPr="00AF67AC">
        <w:rPr>
          <w:rFonts w:ascii="ITC Avant Garde Std Bk" w:hAnsi="ITC Avant Garde Std Bk" w:cs="Tahoma"/>
          <w:bCs/>
          <w:color w:val="000000"/>
          <w:sz w:val="20"/>
          <w:szCs w:val="20"/>
        </w:rPr>
        <w:t xml:space="preserve">, en cumplimiento </w:t>
      </w:r>
      <w:r w:rsidR="00256E53">
        <w:rPr>
          <w:rFonts w:ascii="ITC Avant Garde Std Bk" w:hAnsi="ITC Avant Garde Std Bk" w:cs="Tahoma"/>
          <w:bCs/>
          <w:color w:val="000000"/>
          <w:sz w:val="20"/>
          <w:szCs w:val="20"/>
        </w:rPr>
        <w:t>del</w:t>
      </w:r>
      <w:r w:rsidRPr="00AF67AC">
        <w:rPr>
          <w:rFonts w:ascii="ITC Avant Garde Std Bk" w:hAnsi="ITC Avant Garde Std Bk" w:cs="Tahoma"/>
          <w:bCs/>
          <w:color w:val="000000"/>
          <w:sz w:val="20"/>
          <w:szCs w:val="20"/>
        </w:rPr>
        <w:t xml:space="preserve"> acuerdo Segundo del Acuerdo </w:t>
      </w:r>
      <w:r w:rsidR="001033C8" w:rsidRPr="001033C8">
        <w:rPr>
          <w:rFonts w:ascii="ITC Avant Garde Std Bk" w:hAnsi="ITC Avant Garde Std Bk" w:cs="Tahoma"/>
          <w:bCs/>
          <w:color w:val="000000"/>
          <w:sz w:val="20"/>
          <w:szCs w:val="20"/>
        </w:rPr>
        <w:t>P/IFT/161220/609</w:t>
      </w:r>
      <w:r>
        <w:rPr>
          <w:rFonts w:ascii="ITC Avant Garde Std Bk" w:hAnsi="ITC Avant Garde Std Bk" w:cs="Tahoma"/>
          <w:bCs/>
          <w:color w:val="000000"/>
          <w:sz w:val="20"/>
          <w:szCs w:val="20"/>
        </w:rPr>
        <w:t>, se encargaron</w:t>
      </w:r>
      <w:r w:rsidRPr="00AF67AC">
        <w:rPr>
          <w:rFonts w:ascii="ITC Avant Garde Std Bk" w:hAnsi="ITC Avant Garde Std Bk" w:cs="Tahoma"/>
          <w:bCs/>
          <w:color w:val="000000"/>
          <w:sz w:val="20"/>
          <w:szCs w:val="20"/>
        </w:rPr>
        <w:t xml:space="preserve"> de llevar a cabo la recepción y atención de los comentarios y aportaciones realizados durante el periodo de consulta pública.</w:t>
      </w:r>
    </w:p>
    <w:p w14:paraId="15CC5D97"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5C2F1516" w14:textId="77777777" w:rsidR="008639BE" w:rsidRPr="00681731"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681731">
        <w:rPr>
          <w:rFonts w:ascii="ITC Avant Garde Std Bk" w:eastAsia="Calibri" w:hAnsi="ITC Avant Garde Std Bk" w:cs="Tahoma"/>
          <w:b/>
          <w:bCs/>
          <w:color w:val="000000"/>
          <w:sz w:val="20"/>
          <w:szCs w:val="20"/>
        </w:rPr>
        <w:t>2. PUBLICACIÓN DEL INFORME</w:t>
      </w:r>
    </w:p>
    <w:p w14:paraId="1548E5C8"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28A3D5A4" w14:textId="35FB8614"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La</w:t>
      </w:r>
      <w:r>
        <w:rPr>
          <w:rFonts w:ascii="ITC Avant Garde Std Bk" w:hAnsi="ITC Avant Garde Std Bk" w:cs="Tahoma"/>
          <w:bCs/>
          <w:color w:val="000000"/>
          <w:sz w:val="20"/>
          <w:szCs w:val="20"/>
        </w:rPr>
        <w:t>s</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Unidades</w:t>
      </w:r>
      <w:r w:rsidRPr="00AF67AC">
        <w:rPr>
          <w:rFonts w:ascii="ITC Avant Garde Std Bk" w:hAnsi="ITC Avant Garde Std Bk" w:cs="Tahoma"/>
          <w:bCs/>
          <w:color w:val="000000"/>
          <w:sz w:val="20"/>
          <w:szCs w:val="20"/>
        </w:rPr>
        <w:t>,</w:t>
      </w:r>
      <w:r w:rsidR="00E2750A">
        <w:rPr>
          <w:rFonts w:ascii="ITC Avant Garde Std Bk" w:hAnsi="ITC Avant Garde Std Bk" w:cs="Tahoma"/>
          <w:bCs/>
          <w:color w:val="000000"/>
          <w:sz w:val="20"/>
          <w:szCs w:val="20"/>
        </w:rPr>
        <w:t xml:space="preserve"> de conformidad con los</w:t>
      </w:r>
      <w:r w:rsidRPr="00AF67AC">
        <w:rPr>
          <w:rFonts w:ascii="ITC Avant Garde Std Bk" w:hAnsi="ITC Avant Garde Std Bk" w:cs="Tahoma"/>
          <w:bCs/>
          <w:color w:val="000000"/>
          <w:sz w:val="20"/>
          <w:szCs w:val="20"/>
        </w:rPr>
        <w:t xml:space="preserve"> </w:t>
      </w:r>
      <w:r w:rsidR="009A0430" w:rsidRPr="009A0430">
        <w:rPr>
          <w:rFonts w:ascii="ITC Avant Garde Std Bk" w:hAnsi="ITC Avant Garde Std Bk" w:cs="Tahoma"/>
          <w:bCs/>
          <w:color w:val="000000"/>
          <w:sz w:val="20"/>
          <w:szCs w:val="20"/>
        </w:rPr>
        <w:t>lineamientos Noveno y Décimo Primero de los Lineamientos de Consulta Pública</w:t>
      </w:r>
      <w:r w:rsidRPr="009A0430">
        <w:rPr>
          <w:rFonts w:ascii="ITC Avant Garde Std Bk" w:hAnsi="ITC Avant Garde Std Bk" w:cs="Tahoma"/>
          <w:bCs/>
          <w:color w:val="000000"/>
          <w:sz w:val="20"/>
          <w:szCs w:val="20"/>
        </w:rPr>
        <w:t>,</w:t>
      </w:r>
      <w:r w:rsidRPr="00AF67AC">
        <w:rPr>
          <w:rFonts w:ascii="ITC Avant Garde Std Bk" w:hAnsi="ITC Avant Garde Std Bk" w:cs="Tahoma"/>
          <w:bCs/>
          <w:color w:val="000000"/>
          <w:sz w:val="20"/>
          <w:szCs w:val="20"/>
        </w:rPr>
        <w:t xml:space="preserve"> emite</w:t>
      </w:r>
      <w:r>
        <w:rPr>
          <w:rFonts w:ascii="ITC Avant Garde Std Bk" w:hAnsi="ITC Avant Garde Std Bk" w:cs="Tahoma"/>
          <w:bCs/>
          <w:color w:val="000000"/>
          <w:sz w:val="20"/>
          <w:szCs w:val="20"/>
        </w:rPr>
        <w:t>n</w:t>
      </w:r>
      <w:r w:rsidRPr="00AF67AC">
        <w:rPr>
          <w:rFonts w:ascii="ITC Avant Garde Std Bk" w:hAnsi="ITC Avant Garde Std Bk" w:cs="Tahoma"/>
          <w:bCs/>
          <w:color w:val="000000"/>
          <w:sz w:val="20"/>
          <w:szCs w:val="20"/>
        </w:rPr>
        <w:t xml:space="preserve"> este informe para su difusión general el cual, una vez integrado, deberá publicarse en el sitio de Internet del Instituto.</w:t>
      </w:r>
    </w:p>
    <w:p w14:paraId="3047BFF5" w14:textId="4EC38713" w:rsidR="008639BE" w:rsidRDefault="008639BE" w:rsidP="00D00389">
      <w:pPr>
        <w:spacing w:after="0" w:line="240" w:lineRule="auto"/>
        <w:jc w:val="both"/>
        <w:rPr>
          <w:rFonts w:ascii="ITC Avant Garde Std Bk" w:hAnsi="ITC Avant Garde Std Bk" w:cs="Tahoma"/>
          <w:bCs/>
          <w:color w:val="000000"/>
          <w:sz w:val="20"/>
          <w:szCs w:val="20"/>
        </w:rPr>
      </w:pPr>
    </w:p>
    <w:p w14:paraId="4B9BE981" w14:textId="77777777" w:rsidR="008639BE" w:rsidRPr="00681731"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681731">
        <w:rPr>
          <w:rFonts w:ascii="ITC Avant Garde Std Bk" w:eastAsia="Calibri" w:hAnsi="ITC Avant Garde Std Bk" w:cs="Tahoma"/>
          <w:b/>
          <w:bCs/>
          <w:color w:val="000000"/>
          <w:sz w:val="20"/>
          <w:szCs w:val="20"/>
        </w:rPr>
        <w:t>3. ESTRUCTURA DEL INFORME</w:t>
      </w:r>
    </w:p>
    <w:p w14:paraId="3759C8FD"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0A80648F"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La revisión y la evaluación de los comentarios recibidos se realizaron bajo la siguiente estructura:</w:t>
      </w:r>
    </w:p>
    <w:p w14:paraId="7A9E82D5"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2E0E311F" w14:textId="77777777" w:rsidR="008639BE" w:rsidRPr="00AF67AC" w:rsidRDefault="008639BE" w:rsidP="00D00389">
      <w:pPr>
        <w:pStyle w:val="Prrafodelista"/>
        <w:numPr>
          <w:ilvl w:val="0"/>
          <w:numId w:val="5"/>
        </w:num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Identificación de las secciones y apartados del Anteproyecto</w:t>
      </w:r>
      <w:r>
        <w:rPr>
          <w:rFonts w:ascii="ITC Avant Garde Std Bk" w:hAnsi="ITC Avant Garde Std Bk" w:cs="Tahoma"/>
          <w:bCs/>
          <w:color w:val="000000"/>
          <w:sz w:val="20"/>
          <w:szCs w:val="20"/>
        </w:rPr>
        <w:t xml:space="preserve"> </w:t>
      </w:r>
      <w:r w:rsidRPr="00AF67AC">
        <w:rPr>
          <w:rFonts w:ascii="ITC Avant Garde Std Bk" w:hAnsi="ITC Avant Garde Std Bk" w:cs="Tahoma"/>
          <w:bCs/>
          <w:color w:val="000000"/>
          <w:sz w:val="20"/>
          <w:szCs w:val="20"/>
        </w:rPr>
        <w:t xml:space="preserve">sobre los que se recibieron comentarios en el periodo de consulta pública; </w:t>
      </w:r>
    </w:p>
    <w:p w14:paraId="717F42F5" w14:textId="0E1072E8" w:rsidR="008639BE" w:rsidRPr="00AF67AC" w:rsidRDefault="008639BE" w:rsidP="00D00389">
      <w:pPr>
        <w:pStyle w:val="Prrafodelista"/>
        <w:numPr>
          <w:ilvl w:val="0"/>
          <w:numId w:val="5"/>
        </w:num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Agrupación de los comentarios relacionados entre </w:t>
      </w:r>
      <w:r w:rsidR="00256E53" w:rsidRPr="00AF67AC">
        <w:rPr>
          <w:rFonts w:ascii="ITC Avant Garde Std Bk" w:hAnsi="ITC Avant Garde Std Bk" w:cs="Tahoma"/>
          <w:bCs/>
          <w:color w:val="000000"/>
          <w:sz w:val="20"/>
          <w:szCs w:val="20"/>
        </w:rPr>
        <w:t>s</w:t>
      </w:r>
      <w:r w:rsidR="00256E53">
        <w:rPr>
          <w:rFonts w:ascii="ITC Avant Garde Std Bk" w:hAnsi="ITC Avant Garde Std Bk" w:cs="Tahoma"/>
          <w:bCs/>
          <w:color w:val="000000"/>
          <w:sz w:val="20"/>
          <w:szCs w:val="20"/>
        </w:rPr>
        <w:t>í, y</w:t>
      </w:r>
    </w:p>
    <w:p w14:paraId="3A38A2E5" w14:textId="77777777" w:rsidR="008639BE" w:rsidRDefault="008639BE" w:rsidP="00D00389">
      <w:pPr>
        <w:pStyle w:val="Prrafodelista"/>
        <w:numPr>
          <w:ilvl w:val="0"/>
          <w:numId w:val="5"/>
        </w:numPr>
        <w:spacing w:after="0" w:line="240" w:lineRule="auto"/>
        <w:jc w:val="both"/>
        <w:rPr>
          <w:rFonts w:ascii="ITC Avant Garde Std Bk" w:hAnsi="ITC Avant Garde Std Bk" w:cs="Tahoma"/>
          <w:bCs/>
          <w:color w:val="000000"/>
          <w:sz w:val="20"/>
          <w:szCs w:val="20"/>
        </w:rPr>
      </w:pPr>
      <w:r>
        <w:rPr>
          <w:rFonts w:ascii="ITC Avant Garde Std Bk" w:hAnsi="ITC Avant Garde Std Bk" w:cs="Tahoma"/>
          <w:bCs/>
          <w:color w:val="000000"/>
          <w:sz w:val="20"/>
          <w:szCs w:val="20"/>
        </w:rPr>
        <w:t>Análisis de los comentarios</w:t>
      </w:r>
      <w:r w:rsidRPr="002B775B">
        <w:rPr>
          <w:rFonts w:ascii="ITC Avant Garde Std Bk" w:hAnsi="ITC Avant Garde Std Bk" w:cs="Tahoma"/>
          <w:bCs/>
          <w:color w:val="000000"/>
          <w:sz w:val="20"/>
          <w:szCs w:val="20"/>
        </w:rPr>
        <w:t xml:space="preserve"> y</w:t>
      </w:r>
      <w:r>
        <w:rPr>
          <w:rFonts w:ascii="ITC Avant Garde Std Bk" w:hAnsi="ITC Avant Garde Std Bk" w:cs="Tahoma"/>
          <w:bCs/>
          <w:color w:val="000000"/>
          <w:sz w:val="20"/>
          <w:szCs w:val="20"/>
        </w:rPr>
        <w:t xml:space="preserve"> e</w:t>
      </w:r>
      <w:r w:rsidRPr="002B775B">
        <w:rPr>
          <w:rFonts w:ascii="ITC Avant Garde Std Bk" w:hAnsi="ITC Avant Garde Std Bk" w:cs="Tahoma"/>
          <w:bCs/>
          <w:color w:val="000000"/>
          <w:sz w:val="20"/>
          <w:szCs w:val="20"/>
        </w:rPr>
        <w:t>laboración de las consideraciones sobre cada comentario o grupo de comentarios.</w:t>
      </w:r>
      <w:bookmarkStart w:id="0" w:name="_GoBack"/>
      <w:bookmarkEnd w:id="0"/>
    </w:p>
    <w:p w14:paraId="602DCF5E" w14:textId="77777777" w:rsidR="008639BE" w:rsidRPr="00164865" w:rsidRDefault="008639BE" w:rsidP="00D00389">
      <w:pPr>
        <w:spacing w:after="0" w:line="240" w:lineRule="auto"/>
        <w:jc w:val="both"/>
        <w:rPr>
          <w:rFonts w:ascii="ITC Avant Garde" w:hAnsi="ITC Avant Garde"/>
          <w:sz w:val="20"/>
          <w:szCs w:val="20"/>
        </w:rPr>
      </w:pPr>
    </w:p>
    <w:p w14:paraId="587942E8" w14:textId="77777777" w:rsidR="008639BE" w:rsidRPr="00681731"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681731">
        <w:rPr>
          <w:rFonts w:ascii="ITC Avant Garde Std Bk" w:eastAsia="Calibri" w:hAnsi="ITC Avant Garde Std Bk" w:cs="Tahoma"/>
          <w:b/>
          <w:bCs/>
          <w:color w:val="000000"/>
          <w:sz w:val="20"/>
          <w:szCs w:val="20"/>
        </w:rPr>
        <w:t xml:space="preserve">4. </w:t>
      </w:r>
      <w:r>
        <w:rPr>
          <w:rFonts w:ascii="ITC Avant Garde Std Bk" w:eastAsia="Calibri" w:hAnsi="ITC Avant Garde Std Bk" w:cs="Tahoma"/>
          <w:b/>
          <w:bCs/>
          <w:color w:val="000000"/>
          <w:sz w:val="20"/>
          <w:szCs w:val="20"/>
        </w:rPr>
        <w:t>PARTICIPACIONES RECIBIDA</w:t>
      </w:r>
      <w:r w:rsidRPr="00681731">
        <w:rPr>
          <w:rFonts w:ascii="ITC Avant Garde Std Bk" w:eastAsia="Calibri" w:hAnsi="ITC Avant Garde Std Bk" w:cs="Tahoma"/>
          <w:b/>
          <w:bCs/>
          <w:color w:val="000000"/>
          <w:sz w:val="20"/>
          <w:szCs w:val="20"/>
        </w:rPr>
        <w:t>S DURANTE LA CONSULTA PÚBLICA</w:t>
      </w:r>
    </w:p>
    <w:p w14:paraId="3F089E7D"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48B503F1"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En el sig</w:t>
      </w:r>
      <w:r>
        <w:rPr>
          <w:rFonts w:ascii="ITC Avant Garde Std Bk" w:hAnsi="ITC Avant Garde Std Bk" w:cs="Tahoma"/>
          <w:bCs/>
          <w:color w:val="000000"/>
          <w:sz w:val="20"/>
          <w:szCs w:val="20"/>
        </w:rPr>
        <w:t>uiente cuadro se esquematizan la</w:t>
      </w:r>
      <w:r w:rsidRPr="00AF67AC">
        <w:rPr>
          <w:rFonts w:ascii="ITC Avant Garde Std Bk" w:hAnsi="ITC Avant Garde Std Bk" w:cs="Tahoma"/>
          <w:bCs/>
          <w:color w:val="000000"/>
          <w:sz w:val="20"/>
          <w:szCs w:val="20"/>
        </w:rPr>
        <w:t xml:space="preserve">s </w:t>
      </w:r>
      <w:r>
        <w:rPr>
          <w:rFonts w:ascii="ITC Avant Garde Std Bk" w:hAnsi="ITC Avant Garde Std Bk" w:cs="Tahoma"/>
          <w:bCs/>
          <w:color w:val="000000"/>
          <w:sz w:val="20"/>
          <w:szCs w:val="20"/>
        </w:rPr>
        <w:t>participaciones recibida</w:t>
      </w:r>
      <w:r w:rsidRPr="00AF67AC">
        <w:rPr>
          <w:rFonts w:ascii="ITC Avant Garde Std Bk" w:hAnsi="ITC Avant Garde Std Bk" w:cs="Tahoma"/>
          <w:bCs/>
          <w:color w:val="000000"/>
          <w:sz w:val="20"/>
          <w:szCs w:val="20"/>
        </w:rPr>
        <w:t>s durante la consulta pública:</w:t>
      </w:r>
    </w:p>
    <w:p w14:paraId="636508EB" w14:textId="77777777" w:rsidR="008639BE" w:rsidRPr="005F7866" w:rsidRDefault="008639BE" w:rsidP="00D00389">
      <w:pPr>
        <w:spacing w:after="0" w:line="240" w:lineRule="auto"/>
        <w:jc w:val="both"/>
        <w:rPr>
          <w:rFonts w:ascii="ITC Avant Garde" w:hAnsi="ITC Avant Garde"/>
        </w:rPr>
      </w:pPr>
    </w:p>
    <w:tbl>
      <w:tblPr>
        <w:tblStyle w:val="Tablaconcuadrcula"/>
        <w:tblW w:w="0" w:type="auto"/>
        <w:jc w:val="center"/>
        <w:tblLook w:val="04A0" w:firstRow="1" w:lastRow="0" w:firstColumn="1" w:lastColumn="0" w:noHBand="0" w:noVBand="1"/>
      </w:tblPr>
      <w:tblGrid>
        <w:gridCol w:w="2830"/>
        <w:gridCol w:w="2406"/>
        <w:gridCol w:w="1539"/>
        <w:gridCol w:w="1547"/>
        <w:gridCol w:w="1640"/>
      </w:tblGrid>
      <w:tr w:rsidR="008639BE" w:rsidRPr="00AE5B90" w14:paraId="0D6BE4BD" w14:textId="77777777" w:rsidTr="001033C8">
        <w:trPr>
          <w:tblHeader/>
          <w:jc w:val="center"/>
        </w:trPr>
        <w:tc>
          <w:tcPr>
            <w:tcW w:w="2830" w:type="dxa"/>
            <w:shd w:val="clear" w:color="auto" w:fill="296624"/>
            <w:vAlign w:val="center"/>
          </w:tcPr>
          <w:p w14:paraId="36140D71" w14:textId="77777777" w:rsidR="008639BE" w:rsidRPr="00AE5B90" w:rsidRDefault="008639BE" w:rsidP="00D00389">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PARTICIPANTES</w:t>
            </w:r>
          </w:p>
        </w:tc>
        <w:tc>
          <w:tcPr>
            <w:tcW w:w="2406" w:type="dxa"/>
            <w:shd w:val="clear" w:color="auto" w:fill="296624"/>
            <w:vAlign w:val="center"/>
          </w:tcPr>
          <w:p w14:paraId="3A547B5F" w14:textId="77777777" w:rsidR="008639BE" w:rsidRPr="00AE5B90" w:rsidRDefault="008639BE" w:rsidP="00D00389">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EMPRESA(S) QUE REPRESENTA(N)</w:t>
            </w:r>
          </w:p>
        </w:tc>
        <w:tc>
          <w:tcPr>
            <w:tcW w:w="1539" w:type="dxa"/>
            <w:shd w:val="clear" w:color="auto" w:fill="296624"/>
            <w:vAlign w:val="center"/>
          </w:tcPr>
          <w:p w14:paraId="560DC4C0" w14:textId="77777777" w:rsidR="008639BE" w:rsidRPr="00AE5B90" w:rsidRDefault="008639BE" w:rsidP="00D00389">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TIPO DE ESCRITO</w:t>
            </w:r>
          </w:p>
        </w:tc>
        <w:tc>
          <w:tcPr>
            <w:tcW w:w="1547" w:type="dxa"/>
            <w:shd w:val="clear" w:color="auto" w:fill="296624"/>
            <w:vAlign w:val="center"/>
          </w:tcPr>
          <w:p w14:paraId="6941E066" w14:textId="77777777" w:rsidR="008639BE" w:rsidRPr="00AE5B90" w:rsidRDefault="008639BE" w:rsidP="00D00389">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FECHA DE PRESENTACIÓN</w:t>
            </w:r>
          </w:p>
        </w:tc>
        <w:tc>
          <w:tcPr>
            <w:tcW w:w="1640" w:type="dxa"/>
            <w:shd w:val="clear" w:color="auto" w:fill="296624"/>
            <w:vAlign w:val="center"/>
          </w:tcPr>
          <w:p w14:paraId="1F4AA36A" w14:textId="77777777" w:rsidR="008639BE" w:rsidRPr="00AE5B90" w:rsidRDefault="008639BE" w:rsidP="00D00389">
            <w:pPr>
              <w:jc w:val="center"/>
              <w:rPr>
                <w:rFonts w:ascii="ITC Avant Garde Std Bk" w:hAnsi="ITC Avant Garde Std Bk" w:cs="Tahoma"/>
                <w:bCs/>
                <w:color w:val="FFFFFF" w:themeColor="background1"/>
                <w:sz w:val="16"/>
                <w:szCs w:val="16"/>
              </w:rPr>
            </w:pPr>
            <w:r w:rsidRPr="00AE5B90">
              <w:rPr>
                <w:rFonts w:ascii="ITC Avant Garde Std Bk" w:hAnsi="ITC Avant Garde Std Bk" w:cs="Tahoma"/>
                <w:bCs/>
                <w:color w:val="FFFFFF" w:themeColor="background1"/>
                <w:sz w:val="16"/>
                <w:szCs w:val="16"/>
              </w:rPr>
              <w:t>FORMATO DE PRESENTACIÓN</w:t>
            </w:r>
          </w:p>
        </w:tc>
      </w:tr>
      <w:tr w:rsidR="008639BE" w:rsidRPr="00AE5B90" w14:paraId="573C62A2" w14:textId="77777777" w:rsidTr="001033C8">
        <w:trPr>
          <w:jc w:val="center"/>
        </w:trPr>
        <w:tc>
          <w:tcPr>
            <w:tcW w:w="2830" w:type="dxa"/>
            <w:shd w:val="clear" w:color="auto" w:fill="C2D69B" w:themeFill="accent3" w:themeFillTint="99"/>
            <w:vAlign w:val="center"/>
          </w:tcPr>
          <w:p w14:paraId="7F32E838" w14:textId="77777777" w:rsidR="008639BE" w:rsidRPr="001033C8" w:rsidRDefault="001033C8" w:rsidP="00D00389">
            <w:pPr>
              <w:pStyle w:val="Prrafodelista"/>
              <w:numPr>
                <w:ilvl w:val="0"/>
                <w:numId w:val="6"/>
              </w:numPr>
              <w:ind w:left="447"/>
              <w:jc w:val="both"/>
              <w:rPr>
                <w:rFonts w:ascii="ITC Avant Garde Std Bk" w:hAnsi="ITC Avant Garde Std Bk" w:cs="Tahoma"/>
                <w:bCs/>
                <w:color w:val="000000"/>
                <w:sz w:val="16"/>
                <w:szCs w:val="16"/>
              </w:rPr>
            </w:pPr>
            <w:r w:rsidRPr="001033C8">
              <w:rPr>
                <w:rFonts w:ascii="ITC Avant Garde Std Bk" w:hAnsi="ITC Avant Garde Std Bk" w:cs="Tahoma"/>
                <w:bCs/>
                <w:color w:val="000000"/>
                <w:sz w:val="16"/>
                <w:szCs w:val="16"/>
              </w:rPr>
              <w:t>Víctor Tomás López Baltierra</w:t>
            </w:r>
          </w:p>
        </w:tc>
        <w:tc>
          <w:tcPr>
            <w:tcW w:w="2406" w:type="dxa"/>
            <w:shd w:val="clear" w:color="auto" w:fill="C2D69B" w:themeFill="accent3" w:themeFillTint="99"/>
            <w:vAlign w:val="center"/>
          </w:tcPr>
          <w:p w14:paraId="5F03AA12" w14:textId="77777777" w:rsidR="008639BE" w:rsidRPr="00DE6B98" w:rsidRDefault="001033C8" w:rsidP="00D00389">
            <w:pPr>
              <w:jc w:val="center"/>
              <w:rPr>
                <w:rFonts w:ascii="ITC Avant Garde Std Bk" w:hAnsi="ITC Avant Garde Std Bk" w:cs="Tahoma"/>
                <w:bCs/>
                <w:color w:val="000000"/>
                <w:sz w:val="16"/>
                <w:szCs w:val="16"/>
              </w:rPr>
            </w:pPr>
            <w:r w:rsidRPr="001033C8">
              <w:rPr>
                <w:rFonts w:ascii="ITC Avant Garde Std Bk" w:hAnsi="ITC Avant Garde Std Bk" w:cs="Tahoma"/>
                <w:bCs/>
                <w:color w:val="000000"/>
                <w:sz w:val="16"/>
                <w:szCs w:val="16"/>
              </w:rPr>
              <w:t>Cablevisión, S.A. de C.V., Operbes, S.A. de C.V., Cablemás Telecomunicaciones, S.A. de C.V., México Red de Telecomunicaciones, S. de R.L. de C.V., Televisión Internacional, S.A. de C.V., Cablevisión Red, S.A. de C.V., y TV Cable de Oriente, S.A. de C.V.</w:t>
            </w:r>
          </w:p>
        </w:tc>
        <w:tc>
          <w:tcPr>
            <w:tcW w:w="1539" w:type="dxa"/>
            <w:shd w:val="clear" w:color="auto" w:fill="C2D69B" w:themeFill="accent3" w:themeFillTint="99"/>
            <w:vAlign w:val="center"/>
          </w:tcPr>
          <w:p w14:paraId="2AA06CF3" w14:textId="77777777" w:rsidR="008639BE" w:rsidRPr="00AE5B90" w:rsidRDefault="001033C8" w:rsidP="00D00389">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Formato de participación</w:t>
            </w:r>
          </w:p>
        </w:tc>
        <w:tc>
          <w:tcPr>
            <w:tcW w:w="1547" w:type="dxa"/>
            <w:shd w:val="clear" w:color="auto" w:fill="C2D69B" w:themeFill="accent3" w:themeFillTint="99"/>
            <w:vAlign w:val="center"/>
          </w:tcPr>
          <w:p w14:paraId="67807C25" w14:textId="77777777" w:rsidR="008639BE" w:rsidRDefault="008639BE" w:rsidP="00D00389">
            <w:pPr>
              <w:jc w:val="center"/>
              <w:rPr>
                <w:rFonts w:ascii="ITC Avant Garde Std Bk" w:hAnsi="ITC Avant Garde Std Bk" w:cs="Tahoma"/>
                <w:bCs/>
                <w:color w:val="000000"/>
                <w:sz w:val="16"/>
                <w:szCs w:val="16"/>
              </w:rPr>
            </w:pPr>
          </w:p>
          <w:p w14:paraId="4727776D" w14:textId="77777777" w:rsidR="008639BE" w:rsidRPr="00AE5B90" w:rsidRDefault="001033C8" w:rsidP="00D00389">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19</w:t>
            </w:r>
            <w:r w:rsidR="008639BE" w:rsidRPr="00AE5B90">
              <w:rPr>
                <w:rFonts w:ascii="ITC Avant Garde Std Bk" w:hAnsi="ITC Avant Garde Std Bk" w:cs="Tahoma"/>
                <w:bCs/>
                <w:color w:val="000000"/>
                <w:sz w:val="16"/>
                <w:szCs w:val="16"/>
              </w:rPr>
              <w:t>/</w:t>
            </w:r>
            <w:r>
              <w:rPr>
                <w:rFonts w:ascii="ITC Avant Garde Std Bk" w:hAnsi="ITC Avant Garde Std Bk" w:cs="Tahoma"/>
                <w:bCs/>
                <w:color w:val="000000"/>
                <w:sz w:val="16"/>
                <w:szCs w:val="16"/>
              </w:rPr>
              <w:t>02</w:t>
            </w:r>
            <w:r w:rsidR="008639BE" w:rsidRPr="00AE5B90">
              <w:rPr>
                <w:rFonts w:ascii="ITC Avant Garde Std Bk" w:hAnsi="ITC Avant Garde Std Bk" w:cs="Tahoma"/>
                <w:bCs/>
                <w:color w:val="000000"/>
                <w:sz w:val="16"/>
                <w:szCs w:val="16"/>
              </w:rPr>
              <w:t>/20</w:t>
            </w:r>
            <w:r>
              <w:rPr>
                <w:rFonts w:ascii="ITC Avant Garde Std Bk" w:hAnsi="ITC Avant Garde Std Bk" w:cs="Tahoma"/>
                <w:bCs/>
                <w:color w:val="000000"/>
                <w:sz w:val="16"/>
                <w:szCs w:val="16"/>
              </w:rPr>
              <w:t>2</w:t>
            </w:r>
            <w:r w:rsidR="008639BE" w:rsidRPr="00AE5B90">
              <w:rPr>
                <w:rFonts w:ascii="ITC Avant Garde Std Bk" w:hAnsi="ITC Avant Garde Std Bk" w:cs="Tahoma"/>
                <w:bCs/>
                <w:color w:val="000000"/>
                <w:sz w:val="16"/>
                <w:szCs w:val="16"/>
              </w:rPr>
              <w:t>1</w:t>
            </w:r>
          </w:p>
          <w:p w14:paraId="501D5E39" w14:textId="77777777" w:rsidR="008639BE" w:rsidRPr="00AE5B90" w:rsidRDefault="008639BE" w:rsidP="00D00389">
            <w:pPr>
              <w:jc w:val="center"/>
              <w:rPr>
                <w:rFonts w:ascii="ITC Avant Garde Std Bk" w:hAnsi="ITC Avant Garde Std Bk" w:cs="Tahoma"/>
                <w:bCs/>
                <w:color w:val="000000"/>
                <w:sz w:val="16"/>
                <w:szCs w:val="16"/>
              </w:rPr>
            </w:pPr>
          </w:p>
        </w:tc>
        <w:tc>
          <w:tcPr>
            <w:tcW w:w="1640" w:type="dxa"/>
            <w:shd w:val="clear" w:color="auto" w:fill="C2D69B" w:themeFill="accent3" w:themeFillTint="99"/>
            <w:vAlign w:val="center"/>
          </w:tcPr>
          <w:p w14:paraId="11B49171" w14:textId="77777777" w:rsidR="008639BE" w:rsidRPr="00DE6B98" w:rsidRDefault="008639BE" w:rsidP="00D00389">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Correo electrónico</w:t>
            </w:r>
          </w:p>
        </w:tc>
      </w:tr>
      <w:tr w:rsidR="008639BE" w:rsidRPr="00AE5B90" w14:paraId="3022E3D1" w14:textId="77777777" w:rsidTr="001033C8">
        <w:trPr>
          <w:jc w:val="center"/>
        </w:trPr>
        <w:tc>
          <w:tcPr>
            <w:tcW w:w="2830" w:type="dxa"/>
            <w:shd w:val="clear" w:color="auto" w:fill="D6E3BC" w:themeFill="accent3" w:themeFillTint="66"/>
            <w:vAlign w:val="center"/>
          </w:tcPr>
          <w:p w14:paraId="42A0BEBD" w14:textId="77777777" w:rsidR="008639BE" w:rsidRPr="00DE6B98" w:rsidRDefault="001033C8" w:rsidP="00D00389">
            <w:pPr>
              <w:ind w:left="164"/>
              <w:jc w:val="both"/>
              <w:rPr>
                <w:rFonts w:ascii="ITC Avant Garde Std Bk" w:hAnsi="ITC Avant Garde Std Bk" w:cs="Tahoma"/>
                <w:bCs/>
                <w:color w:val="000000"/>
                <w:sz w:val="16"/>
                <w:szCs w:val="16"/>
              </w:rPr>
            </w:pPr>
            <w:r>
              <w:rPr>
                <w:rFonts w:ascii="ITC Avant Garde Std Bk" w:hAnsi="ITC Avant Garde Std Bk" w:cs="Tahoma"/>
                <w:bCs/>
                <w:color w:val="000000"/>
                <w:sz w:val="16"/>
                <w:szCs w:val="16"/>
              </w:rPr>
              <w:t xml:space="preserve">2. </w:t>
            </w:r>
            <w:r w:rsidRPr="001033C8">
              <w:rPr>
                <w:rFonts w:ascii="ITC Avant Garde Std Bk" w:hAnsi="ITC Avant Garde Std Bk" w:cs="Tahoma"/>
                <w:bCs/>
                <w:color w:val="000000"/>
                <w:sz w:val="16"/>
                <w:szCs w:val="16"/>
              </w:rPr>
              <w:t>Carlos Mora Villalpando</w:t>
            </w:r>
          </w:p>
        </w:tc>
        <w:tc>
          <w:tcPr>
            <w:tcW w:w="2406" w:type="dxa"/>
            <w:shd w:val="clear" w:color="auto" w:fill="D6E3BC" w:themeFill="accent3" w:themeFillTint="66"/>
            <w:vAlign w:val="center"/>
          </w:tcPr>
          <w:p w14:paraId="2BC222FE" w14:textId="77777777" w:rsidR="008639BE" w:rsidRPr="00AE5B90" w:rsidRDefault="001033C8" w:rsidP="00D00389">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 xml:space="preserve">Por su propio derecho </w:t>
            </w:r>
          </w:p>
        </w:tc>
        <w:tc>
          <w:tcPr>
            <w:tcW w:w="1539" w:type="dxa"/>
            <w:shd w:val="clear" w:color="auto" w:fill="D6E3BC" w:themeFill="accent3" w:themeFillTint="66"/>
            <w:vAlign w:val="center"/>
          </w:tcPr>
          <w:p w14:paraId="51C524F1" w14:textId="77777777" w:rsidR="008639BE" w:rsidRPr="00AE5B90" w:rsidRDefault="008639BE" w:rsidP="00D00389">
            <w:pPr>
              <w:jc w:val="center"/>
              <w:rPr>
                <w:rFonts w:ascii="ITC Avant Garde Std Bk" w:hAnsi="ITC Avant Garde Std Bk" w:cs="Tahoma"/>
                <w:bCs/>
                <w:color w:val="000000"/>
                <w:sz w:val="16"/>
                <w:szCs w:val="16"/>
              </w:rPr>
            </w:pPr>
            <w:r w:rsidRPr="00AE5B90">
              <w:rPr>
                <w:rFonts w:ascii="ITC Avant Garde Std Bk" w:hAnsi="ITC Avant Garde Std Bk" w:cs="Tahoma"/>
                <w:bCs/>
                <w:color w:val="000000"/>
                <w:sz w:val="16"/>
                <w:szCs w:val="16"/>
              </w:rPr>
              <w:t>Formato de participación</w:t>
            </w:r>
          </w:p>
        </w:tc>
        <w:tc>
          <w:tcPr>
            <w:tcW w:w="1547" w:type="dxa"/>
            <w:shd w:val="clear" w:color="auto" w:fill="D6E3BC" w:themeFill="accent3" w:themeFillTint="66"/>
            <w:vAlign w:val="center"/>
          </w:tcPr>
          <w:p w14:paraId="13271402" w14:textId="77777777" w:rsidR="008639BE" w:rsidRPr="00AE5B90" w:rsidRDefault="001033C8" w:rsidP="00D00389">
            <w:pPr>
              <w:jc w:val="center"/>
              <w:rPr>
                <w:rFonts w:ascii="ITC Avant Garde Std Bk" w:hAnsi="ITC Avant Garde Std Bk" w:cs="Tahoma"/>
                <w:bCs/>
                <w:color w:val="000000"/>
                <w:sz w:val="16"/>
                <w:szCs w:val="16"/>
              </w:rPr>
            </w:pPr>
            <w:r>
              <w:rPr>
                <w:rFonts w:ascii="ITC Avant Garde Std Bk" w:hAnsi="ITC Avant Garde Std Bk" w:cs="Tahoma"/>
                <w:bCs/>
                <w:color w:val="000000"/>
                <w:sz w:val="16"/>
                <w:szCs w:val="16"/>
              </w:rPr>
              <w:t>19</w:t>
            </w:r>
            <w:r w:rsidRPr="00AE5B90">
              <w:rPr>
                <w:rFonts w:ascii="ITC Avant Garde Std Bk" w:hAnsi="ITC Avant Garde Std Bk" w:cs="Tahoma"/>
                <w:bCs/>
                <w:color w:val="000000"/>
                <w:sz w:val="16"/>
                <w:szCs w:val="16"/>
              </w:rPr>
              <w:t>/</w:t>
            </w:r>
            <w:r>
              <w:rPr>
                <w:rFonts w:ascii="ITC Avant Garde Std Bk" w:hAnsi="ITC Avant Garde Std Bk" w:cs="Tahoma"/>
                <w:bCs/>
                <w:color w:val="000000"/>
                <w:sz w:val="16"/>
                <w:szCs w:val="16"/>
              </w:rPr>
              <w:t>02</w:t>
            </w:r>
            <w:r w:rsidRPr="00AE5B90">
              <w:rPr>
                <w:rFonts w:ascii="ITC Avant Garde Std Bk" w:hAnsi="ITC Avant Garde Std Bk" w:cs="Tahoma"/>
                <w:bCs/>
                <w:color w:val="000000"/>
                <w:sz w:val="16"/>
                <w:szCs w:val="16"/>
              </w:rPr>
              <w:t>/20</w:t>
            </w:r>
            <w:r>
              <w:rPr>
                <w:rFonts w:ascii="ITC Avant Garde Std Bk" w:hAnsi="ITC Avant Garde Std Bk" w:cs="Tahoma"/>
                <w:bCs/>
                <w:color w:val="000000"/>
                <w:sz w:val="16"/>
                <w:szCs w:val="16"/>
              </w:rPr>
              <w:t>2</w:t>
            </w:r>
            <w:r w:rsidR="000A1D44">
              <w:rPr>
                <w:rFonts w:ascii="ITC Avant Garde Std Bk" w:hAnsi="ITC Avant Garde Std Bk" w:cs="Tahoma"/>
                <w:bCs/>
                <w:color w:val="000000"/>
                <w:sz w:val="16"/>
                <w:szCs w:val="16"/>
              </w:rPr>
              <w:t>1</w:t>
            </w:r>
          </w:p>
        </w:tc>
        <w:tc>
          <w:tcPr>
            <w:tcW w:w="1640" w:type="dxa"/>
            <w:shd w:val="clear" w:color="auto" w:fill="D6E3BC" w:themeFill="accent3" w:themeFillTint="66"/>
            <w:vAlign w:val="center"/>
          </w:tcPr>
          <w:p w14:paraId="5D375E20" w14:textId="77777777" w:rsidR="008639BE" w:rsidRPr="00DE6B98" w:rsidRDefault="008639BE" w:rsidP="00D00389">
            <w:pPr>
              <w:jc w:val="center"/>
              <w:rPr>
                <w:rFonts w:ascii="ITC Avant Garde Std Bk" w:hAnsi="ITC Avant Garde Std Bk" w:cs="Tahoma"/>
                <w:bCs/>
                <w:color w:val="000000"/>
                <w:sz w:val="16"/>
                <w:szCs w:val="16"/>
              </w:rPr>
            </w:pPr>
            <w:r w:rsidRPr="00DE6B98">
              <w:rPr>
                <w:rFonts w:ascii="ITC Avant Garde Std Bk" w:hAnsi="ITC Avant Garde Std Bk" w:cs="Tahoma"/>
                <w:bCs/>
                <w:color w:val="000000"/>
                <w:sz w:val="16"/>
                <w:szCs w:val="16"/>
              </w:rPr>
              <w:t>Correo electrónico</w:t>
            </w:r>
          </w:p>
        </w:tc>
      </w:tr>
    </w:tbl>
    <w:p w14:paraId="718A96C5"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292AB6DA" w14:textId="4A3FFF99" w:rsidR="004E57E5" w:rsidRPr="00AF67AC" w:rsidRDefault="00196160" w:rsidP="00D00389">
      <w:pPr>
        <w:spacing w:after="0" w:line="240" w:lineRule="auto"/>
        <w:jc w:val="both"/>
        <w:rPr>
          <w:rFonts w:ascii="ITC Avant Garde Std Bk" w:hAnsi="ITC Avant Garde Std Bk" w:cs="Tahoma"/>
          <w:bCs/>
          <w:color w:val="000000"/>
          <w:sz w:val="20"/>
          <w:szCs w:val="20"/>
        </w:rPr>
      </w:pPr>
      <w:r>
        <w:rPr>
          <w:rFonts w:ascii="ITC Avant Garde Std Bk" w:hAnsi="ITC Avant Garde Std Bk" w:cs="Tahoma"/>
          <w:bCs/>
          <w:color w:val="000000"/>
          <w:sz w:val="20"/>
          <w:szCs w:val="20"/>
        </w:rPr>
        <w:t>L</w:t>
      </w:r>
      <w:r w:rsidR="008639BE" w:rsidRPr="00AF67AC">
        <w:rPr>
          <w:rFonts w:ascii="ITC Avant Garde Std Bk" w:hAnsi="ITC Avant Garde Std Bk" w:cs="Tahoma"/>
          <w:bCs/>
          <w:color w:val="000000"/>
          <w:sz w:val="20"/>
          <w:szCs w:val="20"/>
        </w:rPr>
        <w:t xml:space="preserve">os </w:t>
      </w:r>
      <w:r w:rsidR="008639BE">
        <w:rPr>
          <w:rFonts w:ascii="ITC Avant Garde Std Bk" w:hAnsi="ITC Avant Garde Std Bk" w:cs="Tahoma"/>
          <w:bCs/>
          <w:color w:val="000000"/>
          <w:sz w:val="20"/>
          <w:szCs w:val="20"/>
        </w:rPr>
        <w:t>formatos de participación</w:t>
      </w:r>
      <w:r w:rsidR="008639BE" w:rsidRPr="00AF67AC">
        <w:rPr>
          <w:rFonts w:ascii="ITC Avant Garde Std Bk" w:hAnsi="ITC Avant Garde Std Bk" w:cs="Tahoma"/>
          <w:bCs/>
          <w:color w:val="000000"/>
          <w:sz w:val="20"/>
          <w:szCs w:val="20"/>
        </w:rPr>
        <w:t xml:space="preserve"> fueron presentados dentro del periodo habilitado </w:t>
      </w:r>
      <w:r w:rsidR="008639BE">
        <w:rPr>
          <w:rFonts w:ascii="ITC Avant Garde Std Bk" w:hAnsi="ITC Avant Garde Std Bk" w:cs="Tahoma"/>
          <w:bCs/>
          <w:color w:val="000000"/>
          <w:sz w:val="20"/>
          <w:szCs w:val="20"/>
        </w:rPr>
        <w:t>para</w:t>
      </w:r>
      <w:r w:rsidR="008639BE" w:rsidRPr="00AF67AC">
        <w:rPr>
          <w:rFonts w:ascii="ITC Avant Garde Std Bk" w:hAnsi="ITC Avant Garde Std Bk" w:cs="Tahoma"/>
          <w:bCs/>
          <w:color w:val="000000"/>
          <w:sz w:val="20"/>
          <w:szCs w:val="20"/>
        </w:rPr>
        <w:t xml:space="preserve"> la consulta pública correspondiente y su contenido</w:t>
      </w:r>
      <w:r w:rsidR="009A0430" w:rsidRPr="009A0430">
        <w:t xml:space="preserve"> </w:t>
      </w:r>
      <w:r w:rsidR="009A0430">
        <w:t>s</w:t>
      </w:r>
      <w:r w:rsidR="009A0430">
        <w:rPr>
          <w:rFonts w:ascii="ITC Avant Garde Std Bk" w:hAnsi="ITC Avant Garde Std Bk" w:cs="Tahoma"/>
          <w:bCs/>
          <w:color w:val="000000"/>
          <w:sz w:val="20"/>
          <w:szCs w:val="20"/>
        </w:rPr>
        <w:t>e encuentren relacionado</w:t>
      </w:r>
      <w:r w:rsidR="009A0430" w:rsidRPr="009A0430">
        <w:rPr>
          <w:rFonts w:ascii="ITC Avant Garde Std Bk" w:hAnsi="ITC Avant Garde Std Bk" w:cs="Tahoma"/>
          <w:bCs/>
          <w:color w:val="000000"/>
          <w:sz w:val="20"/>
          <w:szCs w:val="20"/>
        </w:rPr>
        <w:t xml:space="preserve"> con el objeto del proceso consultivo</w:t>
      </w:r>
      <w:r w:rsidR="00CC7D40">
        <w:rPr>
          <w:rFonts w:ascii="ITC Avant Garde Std Bk" w:hAnsi="ITC Avant Garde Std Bk" w:cs="Tahoma"/>
          <w:bCs/>
          <w:color w:val="000000"/>
          <w:sz w:val="20"/>
          <w:szCs w:val="20"/>
        </w:rPr>
        <w:t xml:space="preserve"> de mérito</w:t>
      </w:r>
      <w:r w:rsidR="008639BE">
        <w:rPr>
          <w:rFonts w:ascii="ITC Avant Garde Std Bk" w:hAnsi="ITC Avant Garde Std Bk" w:cs="Tahoma"/>
          <w:bCs/>
          <w:color w:val="000000"/>
          <w:sz w:val="20"/>
          <w:szCs w:val="20"/>
        </w:rPr>
        <w:t xml:space="preserve">, </w:t>
      </w:r>
      <w:r w:rsidR="008639BE" w:rsidRPr="00AF67AC">
        <w:rPr>
          <w:rFonts w:ascii="ITC Avant Garde Std Bk" w:hAnsi="ITC Avant Garde Std Bk" w:cs="Tahoma"/>
          <w:bCs/>
          <w:color w:val="000000"/>
          <w:sz w:val="20"/>
          <w:szCs w:val="20"/>
        </w:rPr>
        <w:t>por lo que es procedente considerarlos en el presente informe.</w:t>
      </w:r>
    </w:p>
    <w:p w14:paraId="66B586B6" w14:textId="77777777" w:rsidR="008639BE" w:rsidRDefault="008639BE" w:rsidP="00D00389">
      <w:pPr>
        <w:spacing w:after="0" w:line="240" w:lineRule="auto"/>
        <w:jc w:val="both"/>
        <w:rPr>
          <w:rFonts w:ascii="ITC Avant Garde" w:hAnsi="ITC Avant Garde"/>
          <w:sz w:val="20"/>
          <w:szCs w:val="20"/>
        </w:rPr>
      </w:pPr>
    </w:p>
    <w:p w14:paraId="5CFDD2D3" w14:textId="77777777" w:rsidR="008639BE" w:rsidRPr="005647B8"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5647B8">
        <w:rPr>
          <w:rFonts w:ascii="ITC Avant Garde Std Bk" w:eastAsia="Calibri" w:hAnsi="ITC Avant Garde Std Bk" w:cs="Tahoma"/>
          <w:b/>
          <w:bCs/>
          <w:color w:val="000000"/>
          <w:sz w:val="20"/>
          <w:szCs w:val="20"/>
        </w:rPr>
        <w:t>5. APARTADOS SOBRE LOS QUE SE RECIBIERON COMENTARIOS AL ANTEPROYECTO</w:t>
      </w:r>
    </w:p>
    <w:p w14:paraId="108DD946"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2CD50622"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r>
        <w:rPr>
          <w:rFonts w:ascii="ITC Avant Garde Std Bk" w:hAnsi="ITC Avant Garde Std Bk" w:cs="Tahoma"/>
          <w:bCs/>
          <w:color w:val="000000"/>
          <w:sz w:val="20"/>
          <w:szCs w:val="20"/>
        </w:rPr>
        <w:t xml:space="preserve">En total se recibieron </w:t>
      </w:r>
      <w:r w:rsidR="00196160">
        <w:rPr>
          <w:rFonts w:ascii="ITC Avant Garde Std Bk" w:hAnsi="ITC Avant Garde Std Bk" w:cs="Tahoma"/>
          <w:bCs/>
          <w:color w:val="000000"/>
          <w:sz w:val="20"/>
          <w:szCs w:val="20"/>
        </w:rPr>
        <w:t>2</w:t>
      </w:r>
      <w:r>
        <w:rPr>
          <w:rFonts w:ascii="ITC Avant Garde Std Bk" w:hAnsi="ITC Avant Garde Std Bk" w:cs="Tahoma"/>
          <w:bCs/>
          <w:color w:val="000000"/>
          <w:sz w:val="20"/>
          <w:szCs w:val="20"/>
        </w:rPr>
        <w:t xml:space="preserve"> (</w:t>
      </w:r>
      <w:r w:rsidR="00196160">
        <w:rPr>
          <w:rFonts w:ascii="ITC Avant Garde Std Bk" w:hAnsi="ITC Avant Garde Std Bk" w:cs="Tahoma"/>
          <w:bCs/>
          <w:color w:val="000000"/>
          <w:sz w:val="20"/>
          <w:szCs w:val="20"/>
        </w:rPr>
        <w:t>d</w:t>
      </w:r>
      <w:r>
        <w:rPr>
          <w:rFonts w:ascii="ITC Avant Garde Std Bk" w:hAnsi="ITC Avant Garde Std Bk" w:cs="Tahoma"/>
          <w:bCs/>
          <w:color w:val="000000"/>
          <w:sz w:val="20"/>
          <w:szCs w:val="20"/>
        </w:rPr>
        <w:t>o</w:t>
      </w:r>
      <w:r w:rsidR="00196160">
        <w:rPr>
          <w:rFonts w:ascii="ITC Avant Garde Std Bk" w:hAnsi="ITC Avant Garde Std Bk" w:cs="Tahoma"/>
          <w:bCs/>
          <w:color w:val="000000"/>
          <w:sz w:val="20"/>
          <w:szCs w:val="20"/>
        </w:rPr>
        <w:t>s</w:t>
      </w:r>
      <w:r>
        <w:rPr>
          <w:rFonts w:ascii="ITC Avant Garde Std Bk" w:hAnsi="ITC Avant Garde Std Bk" w:cs="Tahoma"/>
          <w:bCs/>
          <w:color w:val="000000"/>
          <w:sz w:val="20"/>
          <w:szCs w:val="20"/>
        </w:rPr>
        <w:t>) participaciones con 3</w:t>
      </w:r>
      <w:r w:rsidR="00196160">
        <w:rPr>
          <w:rFonts w:ascii="ITC Avant Garde Std Bk" w:hAnsi="ITC Avant Garde Std Bk" w:cs="Tahoma"/>
          <w:bCs/>
          <w:color w:val="000000"/>
          <w:sz w:val="20"/>
          <w:szCs w:val="20"/>
        </w:rPr>
        <w:t>1</w:t>
      </w:r>
      <w:r>
        <w:rPr>
          <w:rFonts w:ascii="ITC Avant Garde Std Bk" w:hAnsi="ITC Avant Garde Std Bk" w:cs="Tahoma"/>
          <w:bCs/>
          <w:color w:val="000000"/>
          <w:sz w:val="20"/>
          <w:szCs w:val="20"/>
        </w:rPr>
        <w:t xml:space="preserve"> (treinta</w:t>
      </w:r>
      <w:r w:rsidR="00196160">
        <w:rPr>
          <w:rFonts w:ascii="ITC Avant Garde Std Bk" w:hAnsi="ITC Avant Garde Std Bk" w:cs="Tahoma"/>
          <w:bCs/>
          <w:color w:val="000000"/>
          <w:sz w:val="20"/>
          <w:szCs w:val="20"/>
        </w:rPr>
        <w:t xml:space="preserve"> y un</w:t>
      </w:r>
      <w:r>
        <w:rPr>
          <w:rFonts w:ascii="ITC Avant Garde Std Bk" w:hAnsi="ITC Avant Garde Std Bk" w:cs="Tahoma"/>
          <w:bCs/>
          <w:color w:val="000000"/>
          <w:sz w:val="20"/>
          <w:szCs w:val="20"/>
        </w:rPr>
        <w:t>)</w:t>
      </w:r>
      <w:r w:rsidRPr="00AF67AC">
        <w:rPr>
          <w:rFonts w:ascii="ITC Avant Garde Std Bk" w:hAnsi="ITC Avant Garde Std Bk" w:cs="Tahoma"/>
          <w:bCs/>
          <w:color w:val="000000"/>
          <w:sz w:val="20"/>
          <w:szCs w:val="20"/>
        </w:rPr>
        <w:t xml:space="preserve"> comentarios</w:t>
      </w:r>
      <w:r>
        <w:rPr>
          <w:rFonts w:ascii="ITC Avant Garde Std Bk" w:hAnsi="ITC Avant Garde Std Bk" w:cs="Tahoma"/>
          <w:bCs/>
          <w:color w:val="000000"/>
          <w:sz w:val="20"/>
          <w:szCs w:val="20"/>
        </w:rPr>
        <w:t>, los cuales se refieren a continuación</w:t>
      </w:r>
      <w:r w:rsidRPr="00AF67AC">
        <w:rPr>
          <w:rFonts w:ascii="ITC Avant Garde Std Bk" w:hAnsi="ITC Avant Garde Std Bk" w:cs="Tahoma"/>
          <w:bCs/>
          <w:color w:val="000000"/>
          <w:sz w:val="20"/>
          <w:szCs w:val="20"/>
        </w:rPr>
        <w:t xml:space="preserve">: </w:t>
      </w:r>
    </w:p>
    <w:tbl>
      <w:tblPr>
        <w:tblStyle w:val="Tablaconcuadrcula"/>
        <w:tblW w:w="0" w:type="auto"/>
        <w:tblLook w:val="04A0" w:firstRow="1" w:lastRow="0" w:firstColumn="1" w:lastColumn="0" w:noHBand="0" w:noVBand="1"/>
      </w:tblPr>
      <w:tblGrid>
        <w:gridCol w:w="3926"/>
        <w:gridCol w:w="3157"/>
        <w:gridCol w:w="2879"/>
      </w:tblGrid>
      <w:tr w:rsidR="008639BE" w:rsidRPr="00EE4B7C" w14:paraId="7480FF35" w14:textId="77777777" w:rsidTr="00616AA1">
        <w:tc>
          <w:tcPr>
            <w:tcW w:w="3926" w:type="dxa"/>
            <w:shd w:val="clear" w:color="auto" w:fill="296624"/>
            <w:vAlign w:val="center"/>
          </w:tcPr>
          <w:p w14:paraId="03590692" w14:textId="77777777" w:rsidR="008639BE" w:rsidRPr="00AE5B90" w:rsidRDefault="008639BE" w:rsidP="00D00389">
            <w:pPr>
              <w:contextualSpacing/>
              <w:jc w:val="center"/>
              <w:rPr>
                <w:rFonts w:ascii="ITC Avant Garde" w:hAnsi="ITC Avant Garde"/>
                <w:b/>
                <w:color w:val="FFFFFF" w:themeColor="background1"/>
                <w:sz w:val="18"/>
                <w:szCs w:val="16"/>
              </w:rPr>
            </w:pPr>
            <w:r w:rsidRPr="00AE5B90">
              <w:rPr>
                <w:rFonts w:ascii="ITC Avant Garde" w:hAnsi="ITC Avant Garde"/>
                <w:b/>
                <w:color w:val="FFFFFF" w:themeColor="background1"/>
                <w:sz w:val="18"/>
                <w:szCs w:val="16"/>
              </w:rPr>
              <w:t>APARTADO DEL ANTEPROYECTO</w:t>
            </w:r>
          </w:p>
        </w:tc>
        <w:tc>
          <w:tcPr>
            <w:tcW w:w="3157" w:type="dxa"/>
            <w:shd w:val="clear" w:color="auto" w:fill="296624"/>
            <w:vAlign w:val="center"/>
          </w:tcPr>
          <w:p w14:paraId="095DB5B5" w14:textId="77777777" w:rsidR="008639BE" w:rsidRPr="00AE5B90" w:rsidRDefault="008639BE" w:rsidP="00D00389">
            <w:pPr>
              <w:contextualSpacing/>
              <w:jc w:val="center"/>
              <w:rPr>
                <w:rFonts w:ascii="ITC Avant Garde" w:hAnsi="ITC Avant Garde"/>
                <w:b/>
                <w:color w:val="FFFFFF" w:themeColor="background1"/>
                <w:sz w:val="18"/>
                <w:szCs w:val="16"/>
              </w:rPr>
            </w:pPr>
            <w:r w:rsidRPr="00AE5B90">
              <w:rPr>
                <w:rFonts w:ascii="ITC Avant Garde" w:hAnsi="ITC Avant Garde"/>
                <w:b/>
                <w:color w:val="FFFFFF" w:themeColor="background1"/>
                <w:sz w:val="18"/>
                <w:szCs w:val="16"/>
              </w:rPr>
              <w:t>NÚMERO DE COMENTARIOS RECIBIDOS</w:t>
            </w:r>
          </w:p>
        </w:tc>
        <w:tc>
          <w:tcPr>
            <w:tcW w:w="2879" w:type="dxa"/>
            <w:shd w:val="clear" w:color="auto" w:fill="296624"/>
            <w:vAlign w:val="center"/>
          </w:tcPr>
          <w:p w14:paraId="6B1089BD" w14:textId="77777777" w:rsidR="008639BE" w:rsidRPr="00AE5B90" w:rsidRDefault="008639BE" w:rsidP="00D00389">
            <w:pPr>
              <w:contextualSpacing/>
              <w:jc w:val="center"/>
              <w:rPr>
                <w:rFonts w:ascii="ITC Avant Garde" w:hAnsi="ITC Avant Garde"/>
                <w:b/>
                <w:color w:val="FFFFFF" w:themeColor="background1"/>
                <w:sz w:val="18"/>
                <w:szCs w:val="16"/>
              </w:rPr>
            </w:pPr>
            <w:r w:rsidRPr="00AE5B90">
              <w:rPr>
                <w:rFonts w:ascii="ITC Avant Garde" w:hAnsi="ITC Avant Garde"/>
                <w:b/>
                <w:color w:val="FFFFFF" w:themeColor="background1"/>
                <w:sz w:val="18"/>
                <w:szCs w:val="16"/>
              </w:rPr>
              <w:t>NÚMERO DE PARTICIPANTES INVOLUCRADOS</w:t>
            </w:r>
          </w:p>
        </w:tc>
      </w:tr>
      <w:tr w:rsidR="00DC14F2" w:rsidRPr="00EE4B7C" w14:paraId="409CF705" w14:textId="77777777" w:rsidTr="00616AA1">
        <w:tc>
          <w:tcPr>
            <w:tcW w:w="3926" w:type="dxa"/>
            <w:shd w:val="clear" w:color="auto" w:fill="C2D69B" w:themeFill="accent3" w:themeFillTint="99"/>
            <w:vAlign w:val="center"/>
          </w:tcPr>
          <w:p w14:paraId="13CB95A8" w14:textId="77777777" w:rsidR="00DC14F2" w:rsidDel="002510A4" w:rsidRDefault="00DC14F2" w:rsidP="00D00389">
            <w:pPr>
              <w:contextualSpacing/>
              <w:jc w:val="center"/>
              <w:rPr>
                <w:rFonts w:ascii="ITC Avant Garde" w:hAnsi="ITC Avant Garde"/>
                <w:sz w:val="18"/>
                <w:szCs w:val="18"/>
              </w:rPr>
            </w:pPr>
            <w:r>
              <w:rPr>
                <w:rFonts w:ascii="ITC Avant Garde" w:hAnsi="ITC Avant Garde"/>
                <w:sz w:val="18"/>
                <w:szCs w:val="18"/>
              </w:rPr>
              <w:t>Anexo A</w:t>
            </w:r>
          </w:p>
        </w:tc>
        <w:tc>
          <w:tcPr>
            <w:tcW w:w="3157" w:type="dxa"/>
            <w:shd w:val="clear" w:color="auto" w:fill="C2D69B"/>
            <w:vAlign w:val="center"/>
          </w:tcPr>
          <w:p w14:paraId="04391C2F" w14:textId="77777777" w:rsidR="00DC14F2" w:rsidDel="002510A4" w:rsidRDefault="004B481A" w:rsidP="00D00389">
            <w:pPr>
              <w:contextualSpacing/>
              <w:jc w:val="center"/>
              <w:rPr>
                <w:rFonts w:ascii="ITC Avant Garde" w:hAnsi="ITC Avant Garde"/>
                <w:sz w:val="18"/>
                <w:szCs w:val="18"/>
              </w:rPr>
            </w:pPr>
            <w:r>
              <w:rPr>
                <w:rFonts w:ascii="ITC Avant Garde" w:hAnsi="ITC Avant Garde"/>
                <w:sz w:val="18"/>
                <w:szCs w:val="18"/>
              </w:rPr>
              <w:t>3</w:t>
            </w:r>
          </w:p>
        </w:tc>
        <w:tc>
          <w:tcPr>
            <w:tcW w:w="2879" w:type="dxa"/>
            <w:shd w:val="clear" w:color="auto" w:fill="C2D69B" w:themeFill="accent3" w:themeFillTint="99"/>
            <w:vAlign w:val="center"/>
          </w:tcPr>
          <w:p w14:paraId="1DFAFBDC" w14:textId="77777777" w:rsidR="00DC14F2" w:rsidRPr="00EE4B7C" w:rsidRDefault="004B481A" w:rsidP="00D00389">
            <w:pPr>
              <w:contextualSpacing/>
              <w:jc w:val="center"/>
              <w:rPr>
                <w:rFonts w:ascii="ITC Avant Garde" w:hAnsi="ITC Avant Garde"/>
                <w:sz w:val="18"/>
                <w:szCs w:val="18"/>
              </w:rPr>
            </w:pPr>
            <w:r>
              <w:rPr>
                <w:rFonts w:ascii="ITC Avant Garde" w:hAnsi="ITC Avant Garde"/>
                <w:sz w:val="18"/>
                <w:szCs w:val="18"/>
              </w:rPr>
              <w:t>2</w:t>
            </w:r>
          </w:p>
        </w:tc>
      </w:tr>
      <w:tr w:rsidR="00DC14F2" w:rsidRPr="00EE4B7C" w14:paraId="700304ED" w14:textId="77777777" w:rsidTr="00616AA1">
        <w:tc>
          <w:tcPr>
            <w:tcW w:w="3926" w:type="dxa"/>
            <w:shd w:val="clear" w:color="auto" w:fill="D6E3BC" w:themeFill="accent3" w:themeFillTint="66"/>
            <w:vAlign w:val="center"/>
          </w:tcPr>
          <w:p w14:paraId="60BD5B53" w14:textId="77777777" w:rsidR="00DC14F2" w:rsidDel="002510A4" w:rsidRDefault="00DC14F2" w:rsidP="00D00389">
            <w:pPr>
              <w:contextualSpacing/>
              <w:jc w:val="center"/>
              <w:rPr>
                <w:rFonts w:ascii="ITC Avant Garde" w:hAnsi="ITC Avant Garde"/>
                <w:sz w:val="18"/>
                <w:szCs w:val="18"/>
              </w:rPr>
            </w:pPr>
            <w:r>
              <w:rPr>
                <w:rFonts w:ascii="ITC Avant Garde" w:hAnsi="ITC Avant Garde"/>
                <w:sz w:val="18"/>
                <w:szCs w:val="18"/>
              </w:rPr>
              <w:t>Anexo B</w:t>
            </w:r>
          </w:p>
        </w:tc>
        <w:tc>
          <w:tcPr>
            <w:tcW w:w="3157" w:type="dxa"/>
            <w:shd w:val="clear" w:color="auto" w:fill="D6E3BC" w:themeFill="accent3" w:themeFillTint="66"/>
            <w:vAlign w:val="center"/>
          </w:tcPr>
          <w:p w14:paraId="5B655731" w14:textId="77777777" w:rsidR="00DC14F2" w:rsidDel="002510A4" w:rsidRDefault="004B481A" w:rsidP="00D00389">
            <w:pPr>
              <w:contextualSpacing/>
              <w:jc w:val="center"/>
              <w:rPr>
                <w:rFonts w:ascii="ITC Avant Garde" w:hAnsi="ITC Avant Garde"/>
                <w:sz w:val="18"/>
                <w:szCs w:val="18"/>
              </w:rPr>
            </w:pPr>
            <w:r>
              <w:rPr>
                <w:rFonts w:ascii="ITC Avant Garde" w:hAnsi="ITC Avant Garde"/>
                <w:sz w:val="18"/>
                <w:szCs w:val="18"/>
              </w:rPr>
              <w:t>2</w:t>
            </w:r>
          </w:p>
        </w:tc>
        <w:tc>
          <w:tcPr>
            <w:tcW w:w="2879" w:type="dxa"/>
            <w:shd w:val="clear" w:color="auto" w:fill="D6E3BC" w:themeFill="accent3" w:themeFillTint="66"/>
            <w:vAlign w:val="center"/>
          </w:tcPr>
          <w:p w14:paraId="59CEDD0C" w14:textId="77777777" w:rsidR="00DC14F2" w:rsidRPr="007F5031" w:rsidRDefault="004B481A" w:rsidP="00D00389">
            <w:pPr>
              <w:contextualSpacing/>
              <w:jc w:val="center"/>
              <w:rPr>
                <w:rFonts w:ascii="ITC Avant Garde" w:hAnsi="ITC Avant Garde"/>
                <w:sz w:val="18"/>
                <w:szCs w:val="18"/>
              </w:rPr>
            </w:pPr>
            <w:r>
              <w:rPr>
                <w:rFonts w:ascii="ITC Avant Garde" w:hAnsi="ITC Avant Garde"/>
                <w:sz w:val="18"/>
                <w:szCs w:val="18"/>
              </w:rPr>
              <w:t>2</w:t>
            </w:r>
          </w:p>
        </w:tc>
      </w:tr>
      <w:tr w:rsidR="00DC14F2" w:rsidRPr="00EE4B7C" w14:paraId="0B0B1559" w14:textId="77777777" w:rsidTr="00616AA1">
        <w:tc>
          <w:tcPr>
            <w:tcW w:w="3926" w:type="dxa"/>
            <w:shd w:val="clear" w:color="auto" w:fill="C2D69B"/>
            <w:vAlign w:val="center"/>
          </w:tcPr>
          <w:p w14:paraId="3EE0E3B2" w14:textId="77777777" w:rsidR="00DC14F2" w:rsidDel="002510A4" w:rsidRDefault="00DC14F2" w:rsidP="00D00389">
            <w:pPr>
              <w:contextualSpacing/>
              <w:jc w:val="center"/>
              <w:rPr>
                <w:rFonts w:ascii="ITC Avant Garde" w:hAnsi="ITC Avant Garde"/>
                <w:sz w:val="18"/>
                <w:szCs w:val="18"/>
              </w:rPr>
            </w:pPr>
            <w:r>
              <w:rPr>
                <w:rFonts w:ascii="ITC Avant Garde" w:hAnsi="ITC Avant Garde"/>
                <w:sz w:val="18"/>
                <w:szCs w:val="18"/>
              </w:rPr>
              <w:t>Anexo C</w:t>
            </w:r>
          </w:p>
        </w:tc>
        <w:tc>
          <w:tcPr>
            <w:tcW w:w="3157" w:type="dxa"/>
            <w:shd w:val="clear" w:color="auto" w:fill="C2D69B"/>
            <w:vAlign w:val="center"/>
          </w:tcPr>
          <w:p w14:paraId="548BF735" w14:textId="77777777" w:rsidR="00DC14F2" w:rsidDel="002510A4" w:rsidRDefault="004B481A" w:rsidP="00D00389">
            <w:pPr>
              <w:contextualSpacing/>
              <w:jc w:val="center"/>
              <w:rPr>
                <w:rFonts w:ascii="ITC Avant Garde" w:hAnsi="ITC Avant Garde"/>
                <w:sz w:val="18"/>
                <w:szCs w:val="18"/>
              </w:rPr>
            </w:pPr>
            <w:r>
              <w:rPr>
                <w:rFonts w:ascii="ITC Avant Garde" w:hAnsi="ITC Avant Garde"/>
                <w:sz w:val="18"/>
                <w:szCs w:val="18"/>
              </w:rPr>
              <w:t>6</w:t>
            </w:r>
          </w:p>
        </w:tc>
        <w:tc>
          <w:tcPr>
            <w:tcW w:w="2879" w:type="dxa"/>
            <w:shd w:val="clear" w:color="auto" w:fill="C2D69B"/>
            <w:vAlign w:val="center"/>
          </w:tcPr>
          <w:p w14:paraId="18979A67" w14:textId="77777777" w:rsidR="00DC14F2" w:rsidRPr="007F5031" w:rsidRDefault="00DC14F2" w:rsidP="00D00389">
            <w:pPr>
              <w:contextualSpacing/>
              <w:jc w:val="center"/>
              <w:rPr>
                <w:rFonts w:ascii="ITC Avant Garde" w:hAnsi="ITC Avant Garde"/>
                <w:sz w:val="18"/>
                <w:szCs w:val="18"/>
              </w:rPr>
            </w:pPr>
            <w:r>
              <w:rPr>
                <w:rFonts w:ascii="ITC Avant Garde" w:hAnsi="ITC Avant Garde"/>
                <w:sz w:val="18"/>
                <w:szCs w:val="18"/>
              </w:rPr>
              <w:t>2</w:t>
            </w:r>
          </w:p>
        </w:tc>
      </w:tr>
      <w:tr w:rsidR="00DC14F2" w:rsidRPr="00EE4B7C" w14:paraId="48AD8CDE" w14:textId="77777777" w:rsidTr="00616AA1">
        <w:tc>
          <w:tcPr>
            <w:tcW w:w="3926" w:type="dxa"/>
            <w:shd w:val="clear" w:color="auto" w:fill="D6E3BC" w:themeFill="accent3" w:themeFillTint="66"/>
            <w:vAlign w:val="center"/>
          </w:tcPr>
          <w:p w14:paraId="433EA616" w14:textId="77777777" w:rsidR="00DC14F2" w:rsidDel="002510A4" w:rsidRDefault="00DC14F2" w:rsidP="00D00389">
            <w:pPr>
              <w:contextualSpacing/>
              <w:jc w:val="center"/>
              <w:rPr>
                <w:rFonts w:ascii="ITC Avant Garde" w:hAnsi="ITC Avant Garde"/>
                <w:sz w:val="18"/>
                <w:szCs w:val="18"/>
              </w:rPr>
            </w:pPr>
            <w:r>
              <w:rPr>
                <w:rFonts w:ascii="ITC Avant Garde" w:hAnsi="ITC Avant Garde"/>
                <w:sz w:val="18"/>
                <w:szCs w:val="18"/>
              </w:rPr>
              <w:t>Anexo D</w:t>
            </w:r>
          </w:p>
        </w:tc>
        <w:tc>
          <w:tcPr>
            <w:tcW w:w="3157" w:type="dxa"/>
            <w:shd w:val="clear" w:color="auto" w:fill="D6E3BC" w:themeFill="accent3" w:themeFillTint="66"/>
            <w:vAlign w:val="center"/>
          </w:tcPr>
          <w:p w14:paraId="55768105" w14:textId="77777777" w:rsidR="00DC14F2" w:rsidRPr="004B481A" w:rsidDel="002510A4" w:rsidRDefault="004B481A" w:rsidP="00D00389">
            <w:pPr>
              <w:contextualSpacing/>
              <w:jc w:val="center"/>
              <w:rPr>
                <w:rFonts w:ascii="ITC Avant Garde" w:hAnsi="ITC Avant Garde"/>
                <w:sz w:val="18"/>
                <w:szCs w:val="18"/>
              </w:rPr>
            </w:pPr>
            <w:r w:rsidRPr="004B481A">
              <w:rPr>
                <w:rFonts w:ascii="ITC Avant Garde" w:hAnsi="ITC Avant Garde"/>
                <w:sz w:val="18"/>
                <w:szCs w:val="18"/>
              </w:rPr>
              <w:t>6</w:t>
            </w:r>
          </w:p>
        </w:tc>
        <w:tc>
          <w:tcPr>
            <w:tcW w:w="2879" w:type="dxa"/>
            <w:shd w:val="clear" w:color="auto" w:fill="D6E3BC" w:themeFill="accent3" w:themeFillTint="66"/>
            <w:vAlign w:val="center"/>
          </w:tcPr>
          <w:p w14:paraId="3E406D4A" w14:textId="77777777" w:rsidR="00DC14F2" w:rsidRPr="004B481A" w:rsidRDefault="004B481A" w:rsidP="00D00389">
            <w:pPr>
              <w:contextualSpacing/>
              <w:jc w:val="center"/>
              <w:rPr>
                <w:rFonts w:ascii="ITC Avant Garde" w:hAnsi="ITC Avant Garde"/>
                <w:sz w:val="18"/>
                <w:szCs w:val="18"/>
              </w:rPr>
            </w:pPr>
            <w:r w:rsidRPr="004B481A">
              <w:rPr>
                <w:rFonts w:ascii="ITC Avant Garde" w:hAnsi="ITC Avant Garde"/>
                <w:sz w:val="18"/>
                <w:szCs w:val="18"/>
              </w:rPr>
              <w:t>2</w:t>
            </w:r>
          </w:p>
        </w:tc>
      </w:tr>
      <w:tr w:rsidR="00DC14F2" w:rsidRPr="00EE4B7C" w14:paraId="4A6E8361" w14:textId="77777777" w:rsidTr="00616AA1">
        <w:tc>
          <w:tcPr>
            <w:tcW w:w="3926" w:type="dxa"/>
            <w:shd w:val="clear" w:color="auto" w:fill="D6E3BC" w:themeFill="accent3" w:themeFillTint="66"/>
            <w:vAlign w:val="center"/>
          </w:tcPr>
          <w:p w14:paraId="45020A72" w14:textId="77777777" w:rsidR="00DC14F2" w:rsidRDefault="00DC14F2" w:rsidP="00D00389">
            <w:pPr>
              <w:contextualSpacing/>
              <w:jc w:val="center"/>
              <w:rPr>
                <w:rFonts w:ascii="ITC Avant Garde" w:hAnsi="ITC Avant Garde"/>
                <w:sz w:val="18"/>
                <w:szCs w:val="18"/>
              </w:rPr>
            </w:pPr>
            <w:r>
              <w:rPr>
                <w:rFonts w:ascii="ITC Avant Garde" w:hAnsi="ITC Avant Garde"/>
                <w:sz w:val="18"/>
                <w:szCs w:val="18"/>
              </w:rPr>
              <w:t>Anexo E</w:t>
            </w:r>
          </w:p>
        </w:tc>
        <w:tc>
          <w:tcPr>
            <w:tcW w:w="3157" w:type="dxa"/>
            <w:shd w:val="clear" w:color="auto" w:fill="D6E3BC" w:themeFill="accent3" w:themeFillTint="66"/>
            <w:vAlign w:val="center"/>
          </w:tcPr>
          <w:p w14:paraId="7A57A388" w14:textId="77777777" w:rsidR="00DC14F2" w:rsidRPr="004B481A" w:rsidRDefault="004B481A" w:rsidP="00D00389">
            <w:pPr>
              <w:contextualSpacing/>
              <w:jc w:val="center"/>
              <w:rPr>
                <w:rFonts w:ascii="ITC Avant Garde" w:hAnsi="ITC Avant Garde"/>
                <w:sz w:val="18"/>
                <w:szCs w:val="18"/>
              </w:rPr>
            </w:pPr>
            <w:r w:rsidRPr="004B481A">
              <w:rPr>
                <w:rFonts w:ascii="ITC Avant Garde" w:hAnsi="ITC Avant Garde"/>
                <w:sz w:val="18"/>
                <w:szCs w:val="18"/>
              </w:rPr>
              <w:t>3</w:t>
            </w:r>
          </w:p>
        </w:tc>
        <w:tc>
          <w:tcPr>
            <w:tcW w:w="2879" w:type="dxa"/>
            <w:shd w:val="clear" w:color="auto" w:fill="D6E3BC" w:themeFill="accent3" w:themeFillTint="66"/>
            <w:vAlign w:val="center"/>
          </w:tcPr>
          <w:p w14:paraId="0F299CBC" w14:textId="77777777" w:rsidR="00DC14F2" w:rsidRPr="004B481A" w:rsidRDefault="004B481A" w:rsidP="00D00389">
            <w:pPr>
              <w:contextualSpacing/>
              <w:jc w:val="center"/>
              <w:rPr>
                <w:rFonts w:ascii="ITC Avant Garde" w:hAnsi="ITC Avant Garde"/>
                <w:sz w:val="18"/>
                <w:szCs w:val="18"/>
              </w:rPr>
            </w:pPr>
            <w:r w:rsidRPr="004B481A">
              <w:rPr>
                <w:rFonts w:ascii="ITC Avant Garde" w:hAnsi="ITC Avant Garde"/>
                <w:sz w:val="18"/>
                <w:szCs w:val="18"/>
              </w:rPr>
              <w:t>1</w:t>
            </w:r>
          </w:p>
        </w:tc>
      </w:tr>
      <w:tr w:rsidR="00DC14F2" w:rsidRPr="00EE4B7C" w14:paraId="6432DC04" w14:textId="77777777" w:rsidTr="00616AA1">
        <w:tc>
          <w:tcPr>
            <w:tcW w:w="3926" w:type="dxa"/>
            <w:shd w:val="clear" w:color="auto" w:fill="D6E3BC" w:themeFill="accent3" w:themeFillTint="66"/>
            <w:vAlign w:val="center"/>
          </w:tcPr>
          <w:p w14:paraId="0CB30B17" w14:textId="77777777" w:rsidR="00DC14F2" w:rsidRDefault="00DC14F2" w:rsidP="00D00389">
            <w:pPr>
              <w:contextualSpacing/>
              <w:jc w:val="center"/>
              <w:rPr>
                <w:rFonts w:ascii="ITC Avant Garde" w:hAnsi="ITC Avant Garde"/>
                <w:sz w:val="18"/>
                <w:szCs w:val="18"/>
              </w:rPr>
            </w:pPr>
            <w:r>
              <w:rPr>
                <w:rFonts w:ascii="ITC Avant Garde" w:hAnsi="ITC Avant Garde"/>
                <w:sz w:val="18"/>
                <w:szCs w:val="18"/>
              </w:rPr>
              <w:lastRenderedPageBreak/>
              <w:t>Anexo F</w:t>
            </w:r>
          </w:p>
        </w:tc>
        <w:tc>
          <w:tcPr>
            <w:tcW w:w="3157" w:type="dxa"/>
            <w:shd w:val="clear" w:color="auto" w:fill="D6E3BC" w:themeFill="accent3" w:themeFillTint="66"/>
            <w:vAlign w:val="center"/>
          </w:tcPr>
          <w:p w14:paraId="4BBD2595" w14:textId="77777777" w:rsidR="00DC14F2" w:rsidRDefault="004B481A" w:rsidP="00D00389">
            <w:pPr>
              <w:contextualSpacing/>
              <w:jc w:val="center"/>
              <w:rPr>
                <w:rFonts w:ascii="ITC Avant Garde" w:hAnsi="ITC Avant Garde"/>
                <w:sz w:val="18"/>
                <w:szCs w:val="18"/>
              </w:rPr>
            </w:pPr>
            <w:r>
              <w:rPr>
                <w:rFonts w:ascii="ITC Avant Garde" w:hAnsi="ITC Avant Garde"/>
                <w:sz w:val="18"/>
                <w:szCs w:val="18"/>
              </w:rPr>
              <w:t>2</w:t>
            </w:r>
          </w:p>
        </w:tc>
        <w:tc>
          <w:tcPr>
            <w:tcW w:w="2879" w:type="dxa"/>
            <w:shd w:val="clear" w:color="auto" w:fill="D6E3BC" w:themeFill="accent3" w:themeFillTint="66"/>
            <w:vAlign w:val="center"/>
          </w:tcPr>
          <w:p w14:paraId="32578FC2" w14:textId="77777777" w:rsidR="00DC14F2" w:rsidRDefault="004B481A" w:rsidP="00D00389">
            <w:pPr>
              <w:contextualSpacing/>
              <w:jc w:val="center"/>
              <w:rPr>
                <w:rFonts w:ascii="ITC Avant Garde" w:hAnsi="ITC Avant Garde"/>
                <w:sz w:val="18"/>
                <w:szCs w:val="18"/>
              </w:rPr>
            </w:pPr>
            <w:r>
              <w:rPr>
                <w:rFonts w:ascii="ITC Avant Garde" w:hAnsi="ITC Avant Garde"/>
                <w:sz w:val="18"/>
                <w:szCs w:val="18"/>
              </w:rPr>
              <w:t>2</w:t>
            </w:r>
          </w:p>
        </w:tc>
      </w:tr>
      <w:tr w:rsidR="004B481A" w:rsidRPr="00EE4B7C" w14:paraId="6CB13297" w14:textId="77777777" w:rsidTr="00616AA1">
        <w:tc>
          <w:tcPr>
            <w:tcW w:w="3926" w:type="dxa"/>
            <w:shd w:val="clear" w:color="auto" w:fill="D6E3BC" w:themeFill="accent3" w:themeFillTint="66"/>
            <w:vAlign w:val="center"/>
          </w:tcPr>
          <w:p w14:paraId="0E2F7DCB" w14:textId="77777777" w:rsidR="004B481A" w:rsidRDefault="004B481A" w:rsidP="00D00389">
            <w:pPr>
              <w:contextualSpacing/>
              <w:jc w:val="center"/>
              <w:rPr>
                <w:rFonts w:ascii="ITC Avant Garde" w:hAnsi="ITC Avant Garde"/>
                <w:sz w:val="18"/>
                <w:szCs w:val="18"/>
              </w:rPr>
            </w:pPr>
            <w:r>
              <w:rPr>
                <w:rFonts w:ascii="ITC Avant Garde" w:hAnsi="ITC Avant Garde"/>
                <w:sz w:val="18"/>
                <w:szCs w:val="18"/>
              </w:rPr>
              <w:t>Anexo</w:t>
            </w:r>
            <w:r w:rsidR="00E445DF">
              <w:rPr>
                <w:rFonts w:ascii="ITC Avant Garde" w:hAnsi="ITC Avant Garde"/>
                <w:sz w:val="18"/>
                <w:szCs w:val="18"/>
              </w:rPr>
              <w:t xml:space="preserve"> G</w:t>
            </w:r>
          </w:p>
        </w:tc>
        <w:tc>
          <w:tcPr>
            <w:tcW w:w="3157" w:type="dxa"/>
            <w:shd w:val="clear" w:color="auto" w:fill="D6E3BC" w:themeFill="accent3" w:themeFillTint="66"/>
            <w:vAlign w:val="center"/>
          </w:tcPr>
          <w:p w14:paraId="4EF97D48" w14:textId="77777777" w:rsidR="004B481A" w:rsidRDefault="004B481A" w:rsidP="00D00389">
            <w:pPr>
              <w:contextualSpacing/>
              <w:jc w:val="center"/>
              <w:rPr>
                <w:rFonts w:ascii="ITC Avant Garde" w:hAnsi="ITC Avant Garde"/>
                <w:sz w:val="18"/>
                <w:szCs w:val="18"/>
              </w:rPr>
            </w:pPr>
            <w:r>
              <w:rPr>
                <w:rFonts w:ascii="ITC Avant Garde" w:hAnsi="ITC Avant Garde"/>
                <w:sz w:val="18"/>
                <w:szCs w:val="18"/>
              </w:rPr>
              <w:t>1</w:t>
            </w:r>
          </w:p>
        </w:tc>
        <w:tc>
          <w:tcPr>
            <w:tcW w:w="2879" w:type="dxa"/>
            <w:shd w:val="clear" w:color="auto" w:fill="D6E3BC" w:themeFill="accent3" w:themeFillTint="66"/>
            <w:vAlign w:val="center"/>
          </w:tcPr>
          <w:p w14:paraId="54481742" w14:textId="77777777" w:rsidR="004B481A" w:rsidRDefault="004B481A" w:rsidP="00D00389">
            <w:pPr>
              <w:contextualSpacing/>
              <w:jc w:val="center"/>
              <w:rPr>
                <w:rFonts w:ascii="ITC Avant Garde" w:hAnsi="ITC Avant Garde"/>
                <w:sz w:val="18"/>
                <w:szCs w:val="18"/>
              </w:rPr>
            </w:pPr>
            <w:r>
              <w:rPr>
                <w:rFonts w:ascii="ITC Avant Garde" w:hAnsi="ITC Avant Garde"/>
                <w:sz w:val="18"/>
                <w:szCs w:val="18"/>
              </w:rPr>
              <w:t>1</w:t>
            </w:r>
          </w:p>
        </w:tc>
      </w:tr>
      <w:tr w:rsidR="00DC14F2" w:rsidRPr="00EE4B7C" w14:paraId="7D33E30A" w14:textId="77777777" w:rsidTr="00616AA1">
        <w:tc>
          <w:tcPr>
            <w:tcW w:w="3926" w:type="dxa"/>
            <w:shd w:val="clear" w:color="auto" w:fill="D6E3BC" w:themeFill="accent3" w:themeFillTint="66"/>
            <w:vAlign w:val="center"/>
          </w:tcPr>
          <w:p w14:paraId="64EEAF1C" w14:textId="77777777" w:rsidR="00DC14F2" w:rsidRDefault="00DC14F2" w:rsidP="00D00389">
            <w:pPr>
              <w:contextualSpacing/>
              <w:jc w:val="center"/>
              <w:rPr>
                <w:rFonts w:ascii="ITC Avant Garde" w:hAnsi="ITC Avant Garde"/>
                <w:sz w:val="18"/>
                <w:szCs w:val="18"/>
              </w:rPr>
            </w:pPr>
            <w:r>
              <w:rPr>
                <w:rFonts w:ascii="ITC Avant Garde" w:hAnsi="ITC Avant Garde"/>
                <w:sz w:val="18"/>
                <w:szCs w:val="18"/>
              </w:rPr>
              <w:t>Anexos A y B</w:t>
            </w:r>
          </w:p>
        </w:tc>
        <w:tc>
          <w:tcPr>
            <w:tcW w:w="3157" w:type="dxa"/>
            <w:shd w:val="clear" w:color="auto" w:fill="D6E3BC" w:themeFill="accent3" w:themeFillTint="66"/>
            <w:vAlign w:val="center"/>
          </w:tcPr>
          <w:p w14:paraId="33C0A083" w14:textId="77777777" w:rsidR="00DC14F2" w:rsidRDefault="00DC14F2" w:rsidP="00D00389">
            <w:pPr>
              <w:contextualSpacing/>
              <w:jc w:val="center"/>
              <w:rPr>
                <w:rFonts w:ascii="ITC Avant Garde" w:hAnsi="ITC Avant Garde"/>
                <w:sz w:val="18"/>
                <w:szCs w:val="18"/>
              </w:rPr>
            </w:pPr>
            <w:r>
              <w:rPr>
                <w:rFonts w:ascii="ITC Avant Garde" w:hAnsi="ITC Avant Garde"/>
                <w:sz w:val="18"/>
                <w:szCs w:val="18"/>
              </w:rPr>
              <w:t>5</w:t>
            </w:r>
          </w:p>
        </w:tc>
        <w:tc>
          <w:tcPr>
            <w:tcW w:w="2879" w:type="dxa"/>
            <w:shd w:val="clear" w:color="auto" w:fill="D6E3BC" w:themeFill="accent3" w:themeFillTint="66"/>
            <w:vAlign w:val="center"/>
          </w:tcPr>
          <w:p w14:paraId="7FDA852C" w14:textId="77777777" w:rsidR="00DC14F2" w:rsidRDefault="00DC14F2" w:rsidP="00D00389">
            <w:pPr>
              <w:contextualSpacing/>
              <w:jc w:val="center"/>
              <w:rPr>
                <w:rFonts w:ascii="ITC Avant Garde" w:hAnsi="ITC Avant Garde"/>
                <w:sz w:val="18"/>
                <w:szCs w:val="18"/>
              </w:rPr>
            </w:pPr>
            <w:r>
              <w:rPr>
                <w:rFonts w:ascii="ITC Avant Garde" w:hAnsi="ITC Avant Garde"/>
                <w:sz w:val="18"/>
                <w:szCs w:val="18"/>
              </w:rPr>
              <w:t>1</w:t>
            </w:r>
          </w:p>
        </w:tc>
      </w:tr>
      <w:tr w:rsidR="00DC14F2" w:rsidRPr="00EE4B7C" w14:paraId="4A95BCB9" w14:textId="77777777" w:rsidTr="00616AA1">
        <w:tc>
          <w:tcPr>
            <w:tcW w:w="3926" w:type="dxa"/>
            <w:shd w:val="clear" w:color="auto" w:fill="D6E3BC" w:themeFill="accent3" w:themeFillTint="66"/>
            <w:vAlign w:val="center"/>
          </w:tcPr>
          <w:p w14:paraId="4A99F2CA" w14:textId="657E6AC0" w:rsidR="00DC14F2" w:rsidRDefault="00616AA1" w:rsidP="00D00389">
            <w:pPr>
              <w:contextualSpacing/>
              <w:jc w:val="center"/>
              <w:rPr>
                <w:rFonts w:ascii="ITC Avant Garde" w:hAnsi="ITC Avant Garde"/>
                <w:sz w:val="18"/>
                <w:szCs w:val="18"/>
              </w:rPr>
            </w:pPr>
            <w:r>
              <w:rPr>
                <w:rFonts w:ascii="ITC Avant Garde" w:hAnsi="ITC Avant Garde"/>
                <w:sz w:val="18"/>
                <w:szCs w:val="18"/>
              </w:rPr>
              <w:t>Anexos A,</w:t>
            </w:r>
            <w:r w:rsidR="007E5241">
              <w:rPr>
                <w:rFonts w:ascii="ITC Avant Garde" w:hAnsi="ITC Avant Garde"/>
                <w:sz w:val="18"/>
                <w:szCs w:val="18"/>
              </w:rPr>
              <w:t xml:space="preserve"> </w:t>
            </w:r>
            <w:r>
              <w:rPr>
                <w:rFonts w:ascii="ITC Avant Garde" w:hAnsi="ITC Avant Garde"/>
                <w:sz w:val="18"/>
                <w:szCs w:val="18"/>
              </w:rPr>
              <w:t>B,</w:t>
            </w:r>
            <w:r w:rsidR="007E5241">
              <w:rPr>
                <w:rFonts w:ascii="ITC Avant Garde" w:hAnsi="ITC Avant Garde"/>
                <w:sz w:val="18"/>
                <w:szCs w:val="18"/>
              </w:rPr>
              <w:t xml:space="preserve"> </w:t>
            </w:r>
            <w:r>
              <w:rPr>
                <w:rFonts w:ascii="ITC Avant Garde" w:hAnsi="ITC Avant Garde"/>
                <w:sz w:val="18"/>
                <w:szCs w:val="18"/>
              </w:rPr>
              <w:t>C, y E</w:t>
            </w:r>
          </w:p>
        </w:tc>
        <w:tc>
          <w:tcPr>
            <w:tcW w:w="3157" w:type="dxa"/>
            <w:shd w:val="clear" w:color="auto" w:fill="D6E3BC" w:themeFill="accent3" w:themeFillTint="66"/>
            <w:vAlign w:val="center"/>
          </w:tcPr>
          <w:p w14:paraId="0F04087A" w14:textId="77777777" w:rsidR="00DC14F2" w:rsidRDefault="00616AA1" w:rsidP="00D00389">
            <w:pPr>
              <w:contextualSpacing/>
              <w:jc w:val="center"/>
              <w:rPr>
                <w:rFonts w:ascii="ITC Avant Garde" w:hAnsi="ITC Avant Garde"/>
                <w:sz w:val="18"/>
                <w:szCs w:val="18"/>
              </w:rPr>
            </w:pPr>
            <w:r>
              <w:rPr>
                <w:rFonts w:ascii="ITC Avant Garde" w:hAnsi="ITC Avant Garde"/>
                <w:sz w:val="18"/>
                <w:szCs w:val="18"/>
              </w:rPr>
              <w:t>1</w:t>
            </w:r>
          </w:p>
        </w:tc>
        <w:tc>
          <w:tcPr>
            <w:tcW w:w="2879" w:type="dxa"/>
            <w:shd w:val="clear" w:color="auto" w:fill="D6E3BC" w:themeFill="accent3" w:themeFillTint="66"/>
            <w:vAlign w:val="center"/>
          </w:tcPr>
          <w:p w14:paraId="28C5E2AD" w14:textId="77777777" w:rsidR="00DC14F2" w:rsidRDefault="00616AA1" w:rsidP="00D00389">
            <w:pPr>
              <w:contextualSpacing/>
              <w:jc w:val="center"/>
              <w:rPr>
                <w:rFonts w:ascii="ITC Avant Garde" w:hAnsi="ITC Avant Garde"/>
                <w:sz w:val="18"/>
                <w:szCs w:val="18"/>
              </w:rPr>
            </w:pPr>
            <w:r>
              <w:rPr>
                <w:rFonts w:ascii="ITC Avant Garde" w:hAnsi="ITC Avant Garde"/>
                <w:sz w:val="18"/>
                <w:szCs w:val="18"/>
              </w:rPr>
              <w:t>1</w:t>
            </w:r>
          </w:p>
        </w:tc>
      </w:tr>
      <w:tr w:rsidR="00616AA1" w:rsidRPr="00EE4B7C" w14:paraId="52869D23" w14:textId="77777777" w:rsidTr="00616AA1">
        <w:tc>
          <w:tcPr>
            <w:tcW w:w="3926" w:type="dxa"/>
            <w:shd w:val="clear" w:color="auto" w:fill="D6E3BC" w:themeFill="accent3" w:themeFillTint="66"/>
            <w:vAlign w:val="center"/>
          </w:tcPr>
          <w:p w14:paraId="6D75CFAF" w14:textId="77777777" w:rsidR="00616AA1" w:rsidRDefault="00616AA1" w:rsidP="00D00389">
            <w:pPr>
              <w:contextualSpacing/>
              <w:jc w:val="center"/>
              <w:rPr>
                <w:rFonts w:ascii="ITC Avant Garde" w:hAnsi="ITC Avant Garde"/>
                <w:sz w:val="18"/>
                <w:szCs w:val="18"/>
              </w:rPr>
            </w:pPr>
            <w:r w:rsidRPr="00D2474A">
              <w:rPr>
                <w:rFonts w:ascii="ITC Avant Garde" w:hAnsi="ITC Avant Garde"/>
                <w:sz w:val="18"/>
                <w:szCs w:val="18"/>
              </w:rPr>
              <w:t>Anexos A,B,C,D y F</w:t>
            </w:r>
          </w:p>
        </w:tc>
        <w:tc>
          <w:tcPr>
            <w:tcW w:w="3157" w:type="dxa"/>
            <w:shd w:val="clear" w:color="auto" w:fill="D6E3BC" w:themeFill="accent3" w:themeFillTint="66"/>
            <w:vAlign w:val="center"/>
          </w:tcPr>
          <w:p w14:paraId="5BAD5B8B" w14:textId="77777777" w:rsidR="00616AA1" w:rsidRDefault="00616AA1" w:rsidP="00D00389">
            <w:pPr>
              <w:contextualSpacing/>
              <w:jc w:val="center"/>
              <w:rPr>
                <w:rFonts w:ascii="ITC Avant Garde" w:hAnsi="ITC Avant Garde"/>
                <w:sz w:val="18"/>
                <w:szCs w:val="18"/>
              </w:rPr>
            </w:pPr>
            <w:r>
              <w:rPr>
                <w:rFonts w:ascii="ITC Avant Garde" w:hAnsi="ITC Avant Garde"/>
                <w:sz w:val="18"/>
                <w:szCs w:val="18"/>
              </w:rPr>
              <w:t>1</w:t>
            </w:r>
          </w:p>
        </w:tc>
        <w:tc>
          <w:tcPr>
            <w:tcW w:w="2879" w:type="dxa"/>
            <w:shd w:val="clear" w:color="auto" w:fill="D6E3BC" w:themeFill="accent3" w:themeFillTint="66"/>
            <w:vAlign w:val="center"/>
          </w:tcPr>
          <w:p w14:paraId="249DBDC9" w14:textId="77777777" w:rsidR="00616AA1" w:rsidRDefault="00616AA1" w:rsidP="00D00389">
            <w:pPr>
              <w:contextualSpacing/>
              <w:jc w:val="center"/>
              <w:rPr>
                <w:rFonts w:ascii="ITC Avant Garde" w:hAnsi="ITC Avant Garde"/>
                <w:sz w:val="18"/>
                <w:szCs w:val="18"/>
              </w:rPr>
            </w:pPr>
            <w:r>
              <w:rPr>
                <w:rFonts w:ascii="ITC Avant Garde" w:hAnsi="ITC Avant Garde"/>
                <w:sz w:val="18"/>
                <w:szCs w:val="18"/>
              </w:rPr>
              <w:t>1</w:t>
            </w:r>
          </w:p>
        </w:tc>
      </w:tr>
      <w:tr w:rsidR="00616AA1" w:rsidRPr="00EE4B7C" w14:paraId="34B8EE0E" w14:textId="77777777" w:rsidTr="00616AA1">
        <w:tc>
          <w:tcPr>
            <w:tcW w:w="3926" w:type="dxa"/>
            <w:shd w:val="clear" w:color="auto" w:fill="D6E3BC" w:themeFill="accent3" w:themeFillTint="66"/>
            <w:vAlign w:val="center"/>
          </w:tcPr>
          <w:p w14:paraId="11472EBF" w14:textId="77777777" w:rsidR="00046C4F" w:rsidRPr="00046C4F" w:rsidRDefault="00046C4F" w:rsidP="00D00389">
            <w:pPr>
              <w:contextualSpacing/>
              <w:jc w:val="center"/>
              <w:rPr>
                <w:rFonts w:ascii="ITC Avant Garde" w:hAnsi="ITC Avant Garde"/>
                <w:sz w:val="18"/>
                <w:szCs w:val="18"/>
              </w:rPr>
            </w:pPr>
            <w:r w:rsidRPr="00046C4F">
              <w:rPr>
                <w:rFonts w:ascii="ITC Avant Garde" w:hAnsi="ITC Avant Garde"/>
                <w:sz w:val="18"/>
                <w:szCs w:val="18"/>
              </w:rPr>
              <w:t>Artículo primero del Anexo Único</w:t>
            </w:r>
          </w:p>
          <w:p w14:paraId="72D8FF7E" w14:textId="77777777" w:rsidR="00046C4F" w:rsidRPr="00046C4F" w:rsidRDefault="00046C4F" w:rsidP="00D00389">
            <w:pPr>
              <w:contextualSpacing/>
              <w:jc w:val="center"/>
              <w:rPr>
                <w:rFonts w:ascii="ITC Avant Garde" w:hAnsi="ITC Avant Garde"/>
                <w:sz w:val="18"/>
                <w:szCs w:val="18"/>
              </w:rPr>
            </w:pPr>
            <w:r w:rsidRPr="00046C4F">
              <w:rPr>
                <w:rFonts w:ascii="ITC Avant Garde" w:hAnsi="ITC Avant Garde"/>
                <w:sz w:val="18"/>
                <w:szCs w:val="18"/>
              </w:rPr>
              <w:t>del Anteproyecto de Acuerdo mediante el cual se emiten los</w:t>
            </w:r>
          </w:p>
          <w:p w14:paraId="09CE8820" w14:textId="77777777" w:rsidR="00046C4F" w:rsidRPr="00046C4F" w:rsidRDefault="00046C4F" w:rsidP="00D00389">
            <w:pPr>
              <w:contextualSpacing/>
              <w:jc w:val="center"/>
              <w:rPr>
                <w:rFonts w:ascii="ITC Avant Garde" w:hAnsi="ITC Avant Garde"/>
                <w:sz w:val="18"/>
                <w:szCs w:val="18"/>
              </w:rPr>
            </w:pPr>
            <w:r w:rsidRPr="00046C4F">
              <w:rPr>
                <w:rFonts w:ascii="ITC Avant Garde" w:hAnsi="ITC Avant Garde"/>
                <w:sz w:val="18"/>
                <w:szCs w:val="18"/>
              </w:rPr>
              <w:t>formatos que podrán utilizarse</w:t>
            </w:r>
          </w:p>
          <w:p w14:paraId="5348F722" w14:textId="77777777" w:rsidR="00046C4F" w:rsidRPr="00046C4F" w:rsidRDefault="00046C4F" w:rsidP="00D00389">
            <w:pPr>
              <w:contextualSpacing/>
              <w:jc w:val="center"/>
              <w:rPr>
                <w:rFonts w:ascii="ITC Avant Garde" w:hAnsi="ITC Avant Garde"/>
                <w:sz w:val="18"/>
                <w:szCs w:val="18"/>
              </w:rPr>
            </w:pPr>
            <w:r w:rsidRPr="00046C4F">
              <w:rPr>
                <w:rFonts w:ascii="ITC Avant Garde" w:hAnsi="ITC Avant Garde"/>
                <w:sz w:val="18"/>
                <w:szCs w:val="18"/>
              </w:rPr>
              <w:t>para realizar diversos trámites y</w:t>
            </w:r>
          </w:p>
          <w:p w14:paraId="313DC671" w14:textId="77777777" w:rsidR="00046C4F" w:rsidRPr="00046C4F" w:rsidRDefault="00046C4F" w:rsidP="00D00389">
            <w:pPr>
              <w:contextualSpacing/>
              <w:jc w:val="center"/>
              <w:rPr>
                <w:rFonts w:ascii="ITC Avant Garde" w:hAnsi="ITC Avant Garde"/>
                <w:sz w:val="18"/>
                <w:szCs w:val="18"/>
              </w:rPr>
            </w:pPr>
            <w:r w:rsidRPr="00046C4F">
              <w:rPr>
                <w:rFonts w:ascii="ITC Avant Garde" w:hAnsi="ITC Avant Garde"/>
                <w:sz w:val="18"/>
                <w:szCs w:val="18"/>
              </w:rPr>
              <w:t>servicios en materia de</w:t>
            </w:r>
          </w:p>
          <w:p w14:paraId="29F2B6E4" w14:textId="77777777" w:rsidR="00616AA1" w:rsidRDefault="00046C4F" w:rsidP="00D00389">
            <w:pPr>
              <w:contextualSpacing/>
              <w:jc w:val="center"/>
              <w:rPr>
                <w:rFonts w:ascii="ITC Avant Garde" w:hAnsi="ITC Avant Garde"/>
                <w:sz w:val="18"/>
                <w:szCs w:val="18"/>
              </w:rPr>
            </w:pPr>
            <w:r w:rsidRPr="00046C4F">
              <w:rPr>
                <w:rFonts w:ascii="ITC Avant Garde" w:hAnsi="ITC Avant Garde"/>
                <w:sz w:val="18"/>
                <w:szCs w:val="18"/>
              </w:rPr>
              <w:t>c</w:t>
            </w:r>
            <w:r>
              <w:rPr>
                <w:rFonts w:ascii="ITC Avant Garde" w:hAnsi="ITC Avant Garde"/>
                <w:sz w:val="18"/>
                <w:szCs w:val="18"/>
              </w:rPr>
              <w:t xml:space="preserve">ompetencia económica ante el </w:t>
            </w:r>
            <w:r w:rsidR="004B481A">
              <w:rPr>
                <w:rFonts w:ascii="ITC Avant Garde" w:hAnsi="ITC Avant Garde"/>
                <w:sz w:val="18"/>
                <w:szCs w:val="18"/>
              </w:rPr>
              <w:t>Instituto</w:t>
            </w:r>
          </w:p>
        </w:tc>
        <w:tc>
          <w:tcPr>
            <w:tcW w:w="3157" w:type="dxa"/>
            <w:shd w:val="clear" w:color="auto" w:fill="D6E3BC" w:themeFill="accent3" w:themeFillTint="66"/>
            <w:vAlign w:val="center"/>
          </w:tcPr>
          <w:p w14:paraId="5F5F1A80" w14:textId="77777777" w:rsidR="00616AA1" w:rsidRDefault="004B481A" w:rsidP="00D00389">
            <w:pPr>
              <w:contextualSpacing/>
              <w:jc w:val="center"/>
              <w:rPr>
                <w:rFonts w:ascii="ITC Avant Garde" w:hAnsi="ITC Avant Garde"/>
                <w:sz w:val="18"/>
                <w:szCs w:val="18"/>
              </w:rPr>
            </w:pPr>
            <w:r>
              <w:rPr>
                <w:rFonts w:ascii="ITC Avant Garde" w:hAnsi="ITC Avant Garde"/>
                <w:sz w:val="18"/>
                <w:szCs w:val="18"/>
              </w:rPr>
              <w:t>1</w:t>
            </w:r>
          </w:p>
        </w:tc>
        <w:tc>
          <w:tcPr>
            <w:tcW w:w="2879" w:type="dxa"/>
            <w:shd w:val="clear" w:color="auto" w:fill="D6E3BC" w:themeFill="accent3" w:themeFillTint="66"/>
            <w:vAlign w:val="center"/>
          </w:tcPr>
          <w:p w14:paraId="5E8879E3" w14:textId="77777777" w:rsidR="00616AA1" w:rsidRDefault="004B481A" w:rsidP="00D00389">
            <w:pPr>
              <w:contextualSpacing/>
              <w:jc w:val="center"/>
              <w:rPr>
                <w:rFonts w:ascii="ITC Avant Garde" w:hAnsi="ITC Avant Garde"/>
                <w:sz w:val="18"/>
                <w:szCs w:val="18"/>
              </w:rPr>
            </w:pPr>
            <w:r>
              <w:rPr>
                <w:rFonts w:ascii="ITC Avant Garde" w:hAnsi="ITC Avant Garde"/>
                <w:sz w:val="18"/>
                <w:szCs w:val="18"/>
              </w:rPr>
              <w:t>1</w:t>
            </w:r>
          </w:p>
        </w:tc>
      </w:tr>
    </w:tbl>
    <w:p w14:paraId="2456B616" w14:textId="77777777" w:rsidR="004E57E5" w:rsidRPr="00AF67AC" w:rsidRDefault="004E57E5" w:rsidP="00D00389">
      <w:pPr>
        <w:spacing w:after="0" w:line="240" w:lineRule="auto"/>
        <w:jc w:val="both"/>
        <w:rPr>
          <w:rFonts w:ascii="ITC Avant Garde Std Bk" w:hAnsi="ITC Avant Garde Std Bk" w:cs="Tahoma"/>
          <w:bCs/>
          <w:color w:val="000000"/>
          <w:sz w:val="20"/>
          <w:szCs w:val="20"/>
        </w:rPr>
      </w:pPr>
    </w:p>
    <w:p w14:paraId="2D942483" w14:textId="77777777" w:rsidR="008639BE" w:rsidRPr="00800A2E" w:rsidRDefault="008639BE" w:rsidP="00D00389">
      <w:pPr>
        <w:pStyle w:val="Ttulo1"/>
        <w:spacing w:before="0" w:line="240" w:lineRule="auto"/>
        <w:jc w:val="both"/>
        <w:rPr>
          <w:rFonts w:ascii="ITC Avant Garde Std Bk" w:eastAsia="Calibri" w:hAnsi="ITC Avant Garde Std Bk" w:cs="Tahoma"/>
          <w:b/>
          <w:bCs/>
          <w:color w:val="000000"/>
          <w:sz w:val="20"/>
          <w:szCs w:val="20"/>
        </w:rPr>
      </w:pPr>
      <w:r w:rsidRPr="00800A2E">
        <w:rPr>
          <w:rFonts w:ascii="ITC Avant Garde Std Bk" w:eastAsia="Calibri" w:hAnsi="ITC Avant Garde Std Bk" w:cs="Tahoma"/>
          <w:b/>
          <w:bCs/>
          <w:color w:val="000000"/>
          <w:sz w:val="20"/>
          <w:szCs w:val="20"/>
        </w:rPr>
        <w:t xml:space="preserve">6. CONSIDERACIONES </w:t>
      </w:r>
    </w:p>
    <w:p w14:paraId="27498A1C"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p>
    <w:p w14:paraId="4B4429D1"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F67AC">
        <w:rPr>
          <w:rFonts w:ascii="ITC Avant Garde Std Bk" w:hAnsi="ITC Avant Garde Std Bk" w:cs="Tahoma"/>
          <w:bCs/>
          <w:color w:val="000000"/>
          <w:sz w:val="20"/>
          <w:szCs w:val="20"/>
        </w:rPr>
        <w:t xml:space="preserve">Los comentarios recibidos se agrupan </w:t>
      </w:r>
      <w:r>
        <w:rPr>
          <w:rFonts w:ascii="ITC Avant Garde Std Bk" w:hAnsi="ITC Avant Garde Std Bk" w:cs="Tahoma"/>
          <w:bCs/>
          <w:color w:val="000000"/>
          <w:sz w:val="20"/>
          <w:szCs w:val="20"/>
        </w:rPr>
        <w:t>tomando en consideración la tabla del numeral inmediato anterior</w:t>
      </w:r>
      <w:r w:rsidRPr="00AF67AC">
        <w:rPr>
          <w:rFonts w:ascii="ITC Avant Garde Std Bk" w:hAnsi="ITC Avant Garde Std Bk" w:cs="Tahoma"/>
          <w:bCs/>
          <w:color w:val="000000"/>
          <w:sz w:val="20"/>
          <w:szCs w:val="20"/>
        </w:rPr>
        <w:t xml:space="preserve">, </w:t>
      </w:r>
      <w:r>
        <w:rPr>
          <w:rFonts w:ascii="ITC Avant Garde Std Bk" w:hAnsi="ITC Avant Garde Std Bk" w:cs="Tahoma"/>
          <w:bCs/>
          <w:color w:val="000000"/>
          <w:sz w:val="20"/>
          <w:szCs w:val="20"/>
        </w:rPr>
        <w:t xml:space="preserve">misma que </w:t>
      </w:r>
      <w:r w:rsidRPr="00AF67AC">
        <w:rPr>
          <w:rFonts w:ascii="ITC Avant Garde Std Bk" w:hAnsi="ITC Avant Garde Std Bk" w:cs="Tahoma"/>
          <w:bCs/>
          <w:color w:val="000000"/>
          <w:sz w:val="20"/>
          <w:szCs w:val="20"/>
        </w:rPr>
        <w:t>sigue el orden del Anteproyecto.</w:t>
      </w:r>
    </w:p>
    <w:p w14:paraId="11050202" w14:textId="77777777" w:rsidR="008639BE" w:rsidRPr="00164865" w:rsidRDefault="008639BE" w:rsidP="00D00389">
      <w:pPr>
        <w:spacing w:after="0" w:line="240" w:lineRule="auto"/>
        <w:jc w:val="both"/>
        <w:rPr>
          <w:rFonts w:ascii="ITC Avant Garde" w:hAnsi="ITC Avant Garde"/>
          <w:sz w:val="20"/>
          <w:szCs w:val="20"/>
        </w:rPr>
      </w:pPr>
    </w:p>
    <w:p w14:paraId="6A3BEE4D" w14:textId="5D6AAD5F" w:rsidR="008639BE" w:rsidRDefault="008639BE" w:rsidP="00D00389">
      <w:pPr>
        <w:pStyle w:val="Ttulo2"/>
        <w:spacing w:before="0" w:line="240" w:lineRule="auto"/>
        <w:rPr>
          <w:rFonts w:ascii="ITC Avant Garde Std Bk" w:eastAsia="Calibri" w:hAnsi="ITC Avant Garde Std Bk" w:cs="Tahoma"/>
          <w:b/>
          <w:bCs/>
          <w:color w:val="000000"/>
          <w:sz w:val="20"/>
          <w:szCs w:val="20"/>
          <w:u w:val="single"/>
        </w:rPr>
      </w:pPr>
      <w:r w:rsidRPr="00AF67AC">
        <w:rPr>
          <w:rFonts w:ascii="ITC Avant Garde Std Bk" w:eastAsia="Calibri" w:hAnsi="ITC Avant Garde Std Bk" w:cs="Tahoma"/>
          <w:bCs/>
          <w:color w:val="000000"/>
          <w:sz w:val="20"/>
          <w:szCs w:val="20"/>
        </w:rPr>
        <w:t>6.1</w:t>
      </w:r>
      <w:r>
        <w:rPr>
          <w:rFonts w:ascii="ITC Avant Garde Std Bk" w:eastAsia="Calibri" w:hAnsi="ITC Avant Garde Std Bk" w:cs="Tahoma"/>
          <w:bCs/>
          <w:color w:val="000000"/>
          <w:sz w:val="20"/>
          <w:szCs w:val="20"/>
        </w:rPr>
        <w:t>.</w:t>
      </w:r>
      <w:r w:rsidRPr="00AF67AC">
        <w:rPr>
          <w:rFonts w:ascii="ITC Avant Garde" w:hAnsi="ITC Avant Garde"/>
          <w:smallCaps/>
          <w:color w:val="000000" w:themeColor="text1"/>
          <w:sz w:val="20"/>
          <w:szCs w:val="20"/>
        </w:rPr>
        <w:tab/>
      </w:r>
      <w:r w:rsidR="00741B32">
        <w:rPr>
          <w:rFonts w:ascii="ITC Avant Garde Std Bk" w:eastAsia="Calibri" w:hAnsi="ITC Avant Garde Std Bk" w:cs="Tahoma"/>
          <w:b/>
          <w:bCs/>
          <w:color w:val="000000"/>
          <w:sz w:val="20"/>
          <w:szCs w:val="20"/>
          <w:u w:val="single"/>
        </w:rPr>
        <w:t>Anexo A</w:t>
      </w:r>
    </w:p>
    <w:p w14:paraId="6089F0C6" w14:textId="77777777" w:rsidR="00D00389" w:rsidRPr="00D00389" w:rsidRDefault="00D00389" w:rsidP="00D00389">
      <w:pPr>
        <w:spacing w:after="0" w:line="240" w:lineRule="auto"/>
      </w:pPr>
    </w:p>
    <w:tbl>
      <w:tblPr>
        <w:tblStyle w:val="Tablaconcuadrcula"/>
        <w:tblW w:w="0" w:type="auto"/>
        <w:tblLook w:val="04A0" w:firstRow="1" w:lastRow="0" w:firstColumn="1" w:lastColumn="0" w:noHBand="0" w:noVBand="1"/>
      </w:tblPr>
      <w:tblGrid>
        <w:gridCol w:w="1271"/>
        <w:gridCol w:w="4253"/>
        <w:gridCol w:w="4438"/>
      </w:tblGrid>
      <w:tr w:rsidR="008639BE" w14:paraId="0C7DB905" w14:textId="77777777" w:rsidTr="001719B0">
        <w:tc>
          <w:tcPr>
            <w:tcW w:w="1271" w:type="dxa"/>
            <w:tcBorders>
              <w:top w:val="single" w:sz="4" w:space="0" w:color="auto"/>
              <w:left w:val="single" w:sz="4" w:space="0" w:color="auto"/>
              <w:bottom w:val="single" w:sz="4" w:space="0" w:color="auto"/>
              <w:right w:val="single" w:sz="4" w:space="0" w:color="auto"/>
            </w:tcBorders>
            <w:shd w:val="clear" w:color="auto" w:fill="296624"/>
          </w:tcPr>
          <w:p w14:paraId="1831F77C" w14:textId="77777777" w:rsidR="008639BE" w:rsidRDefault="008639BE" w:rsidP="00D00389">
            <w:pPr>
              <w:pStyle w:val="Default"/>
              <w:jc w:val="center"/>
              <w:rPr>
                <w:rFonts w:ascii="ITC Avant Garde Std Bk" w:hAnsi="ITC Avant Garde Std Bk"/>
                <w:bCs/>
                <w:color w:val="FFFFFF" w:themeColor="background1"/>
                <w:sz w:val="16"/>
                <w:szCs w:val="16"/>
              </w:rPr>
            </w:pPr>
          </w:p>
          <w:p w14:paraId="4FF01F05" w14:textId="77777777" w:rsidR="008639BE" w:rsidRDefault="008639BE" w:rsidP="00D00389">
            <w:pPr>
              <w:pStyle w:val="Default"/>
              <w:jc w:val="center"/>
              <w:rPr>
                <w:rFonts w:ascii="ITC Avant Garde Std Bk" w:hAnsi="ITC Avant Garde Std Bk"/>
                <w:bCs/>
                <w:color w:val="FFFFFF" w:themeColor="background1"/>
                <w:sz w:val="16"/>
                <w:szCs w:val="16"/>
              </w:rPr>
            </w:pPr>
            <w:r w:rsidRPr="00DE6B98">
              <w:rPr>
                <w:rFonts w:ascii="ITC Avant Garde Std Bk" w:hAnsi="ITC Avant Garde Std Bk"/>
                <w:bCs/>
                <w:color w:val="FFFFFF" w:themeColor="background1"/>
                <w:sz w:val="16"/>
                <w:szCs w:val="16"/>
              </w:rPr>
              <w:t>PARTICIPANTE</w:t>
            </w:r>
          </w:p>
          <w:p w14:paraId="49E2EDE3" w14:textId="77777777" w:rsidR="008639BE" w:rsidRPr="00DE6B98" w:rsidRDefault="008639BE" w:rsidP="00D00389">
            <w:pPr>
              <w:pStyle w:val="Default"/>
              <w:jc w:val="center"/>
              <w:rPr>
                <w:color w:val="FFFFFF" w:themeColor="background1"/>
              </w:rPr>
            </w:pPr>
          </w:p>
        </w:tc>
        <w:tc>
          <w:tcPr>
            <w:tcW w:w="4253" w:type="dxa"/>
            <w:tcBorders>
              <w:top w:val="single" w:sz="4" w:space="0" w:color="auto"/>
              <w:left w:val="single" w:sz="4" w:space="0" w:color="auto"/>
              <w:bottom w:val="single" w:sz="4" w:space="0" w:color="auto"/>
              <w:right w:val="single" w:sz="4" w:space="0" w:color="auto"/>
            </w:tcBorders>
            <w:shd w:val="clear" w:color="auto" w:fill="296624"/>
          </w:tcPr>
          <w:p w14:paraId="21CD0CF6" w14:textId="77777777" w:rsidR="008639BE" w:rsidRDefault="008639BE" w:rsidP="00D00389">
            <w:pPr>
              <w:jc w:val="center"/>
              <w:rPr>
                <w:rFonts w:ascii="ITC Avant Garde Std Bk" w:hAnsi="ITC Avant Garde Std Bk"/>
                <w:bCs/>
                <w:color w:val="FFFFFF" w:themeColor="background1"/>
                <w:sz w:val="16"/>
                <w:szCs w:val="16"/>
              </w:rPr>
            </w:pPr>
          </w:p>
          <w:p w14:paraId="5276F7A2" w14:textId="77777777" w:rsidR="008639BE" w:rsidRPr="00DE6B98" w:rsidRDefault="008639BE"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tcBorders>
              <w:top w:val="single" w:sz="4" w:space="0" w:color="auto"/>
              <w:left w:val="single" w:sz="4" w:space="0" w:color="auto"/>
              <w:bottom w:val="single" w:sz="4" w:space="0" w:color="auto"/>
              <w:right w:val="single" w:sz="4" w:space="0" w:color="auto"/>
            </w:tcBorders>
            <w:shd w:val="clear" w:color="auto" w:fill="296624"/>
          </w:tcPr>
          <w:p w14:paraId="3906D985" w14:textId="77777777" w:rsidR="008639BE" w:rsidRDefault="008639BE" w:rsidP="00D00389">
            <w:pPr>
              <w:jc w:val="center"/>
              <w:rPr>
                <w:rFonts w:ascii="ITC Avant Garde Std Bk" w:hAnsi="ITC Avant Garde Std Bk"/>
                <w:bCs/>
                <w:color w:val="FFFFFF" w:themeColor="background1"/>
                <w:sz w:val="16"/>
                <w:szCs w:val="16"/>
              </w:rPr>
            </w:pPr>
          </w:p>
          <w:p w14:paraId="56D38AB9" w14:textId="77777777" w:rsidR="008639BE" w:rsidRPr="00DE6B98" w:rsidRDefault="008639BE"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91544C" w:rsidRPr="00DE6B98" w14:paraId="50198960" w14:textId="77777777" w:rsidTr="001719B0">
        <w:tc>
          <w:tcPr>
            <w:tcW w:w="1271" w:type="dxa"/>
            <w:vMerge w:val="restart"/>
            <w:tcBorders>
              <w:top w:val="single" w:sz="4" w:space="0" w:color="auto"/>
              <w:left w:val="single" w:sz="4" w:space="0" w:color="auto"/>
              <w:right w:val="single" w:sz="4" w:space="0" w:color="auto"/>
            </w:tcBorders>
            <w:shd w:val="clear" w:color="auto" w:fill="EAF1DD" w:themeFill="accent3" w:themeFillTint="33"/>
            <w:vAlign w:val="center"/>
          </w:tcPr>
          <w:p w14:paraId="4E2FB82D" w14:textId="77777777" w:rsidR="0091544C" w:rsidRPr="00B165DD" w:rsidRDefault="0091544C" w:rsidP="00D00389">
            <w:pPr>
              <w:jc w:val="center"/>
            </w:pPr>
            <w:r w:rsidRPr="007E69E2">
              <w:rPr>
                <w:rFonts w:ascii="ITC Avant Garde Std Bk" w:hAnsi="ITC Avant Garde Std Bk"/>
                <w:bCs/>
                <w:sz w:val="16"/>
                <w:szCs w:val="16"/>
              </w:rPr>
              <w:t>Carlos Mora Villalpando</w:t>
            </w:r>
          </w:p>
          <w:p w14:paraId="17B97B81" w14:textId="77777777" w:rsidR="0091544C" w:rsidRPr="00B165DD" w:rsidRDefault="0091544C" w:rsidP="00D00389">
            <w:pPr>
              <w:jc w:val="center"/>
              <w:rPr>
                <w:rFonts w:ascii="ITC Avant Garde Std Bk" w:hAnsi="ITC Avant Garde Std Bk"/>
                <w:bCs/>
                <w:sz w:val="16"/>
                <w:szCs w:val="16"/>
              </w:rPr>
            </w:pPr>
          </w:p>
          <w:p w14:paraId="41C3BF95" w14:textId="77777777" w:rsidR="0091544C" w:rsidRPr="00B165DD" w:rsidRDefault="0091544C" w:rsidP="00D00389">
            <w:pPr>
              <w:jc w:val="center"/>
              <w:rPr>
                <w:rFonts w:ascii="ITC Avant Garde Std Bk" w:hAnsi="ITC Avant Garde Std Bk"/>
                <w:bCs/>
                <w:sz w:val="16"/>
                <w:szCs w:val="16"/>
              </w:rPr>
            </w:pPr>
          </w:p>
          <w:p w14:paraId="0D99880E" w14:textId="77777777" w:rsidR="0091544C" w:rsidRPr="00B165DD" w:rsidRDefault="0091544C" w:rsidP="00D00389">
            <w:pPr>
              <w:jc w:val="center"/>
              <w:rPr>
                <w:rFonts w:ascii="ITC Avant Garde Std Bk" w:hAnsi="ITC Avant Garde Std Bk"/>
                <w:bCs/>
                <w:sz w:val="16"/>
                <w:szCs w:val="16"/>
              </w:rPr>
            </w:pPr>
          </w:p>
          <w:p w14:paraId="56053B28" w14:textId="77777777" w:rsidR="0091544C" w:rsidRPr="00B165DD" w:rsidRDefault="0091544C" w:rsidP="00D00389">
            <w:pPr>
              <w:jc w:val="center"/>
              <w:rPr>
                <w:rFonts w:ascii="ITC Avant Garde Std Bk" w:hAnsi="ITC Avant Garde Std Bk"/>
                <w:bCs/>
                <w:sz w:val="16"/>
                <w:szCs w:val="16"/>
              </w:rPr>
            </w:pPr>
          </w:p>
          <w:p w14:paraId="21BB3E9B" w14:textId="77777777" w:rsidR="0091544C" w:rsidRPr="00B165DD" w:rsidRDefault="0091544C" w:rsidP="00D00389">
            <w:pPr>
              <w:jc w:val="center"/>
            </w:pPr>
          </w:p>
        </w:tc>
        <w:tc>
          <w:tcPr>
            <w:tcW w:w="4253" w:type="dxa"/>
            <w:tcBorders>
              <w:top w:val="single" w:sz="4" w:space="0" w:color="auto"/>
              <w:left w:val="single" w:sz="4" w:space="0" w:color="auto"/>
              <w:bottom w:val="single" w:sz="4" w:space="0" w:color="auto"/>
              <w:right w:val="single" w:sz="4" w:space="0" w:color="auto"/>
            </w:tcBorders>
            <w:shd w:val="clear" w:color="auto" w:fill="C2D69B"/>
          </w:tcPr>
          <w:p w14:paraId="4A435441" w14:textId="77777777" w:rsidR="0091544C" w:rsidRPr="007E69E2"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En la sección 3 del Anexo A se impone un campo de información de llenado obligatorio en el que solicita “Fecha probable de realización de la concentración o, en su caso, fechas de los actos que dieron origen a la concentración”. No obstante, el establecimiento de una fecha probable de realización de la concentración no es un requisito previsto en el artículo 89 de la Ley Federal de Competencia Económica, como uno de los requisitos para la notificación de una concentración.</w:t>
            </w:r>
          </w:p>
          <w:p w14:paraId="140430BC" w14:textId="77777777" w:rsidR="0091544C" w:rsidRPr="007E69E2" w:rsidRDefault="0091544C" w:rsidP="00D00389">
            <w:pPr>
              <w:jc w:val="both"/>
              <w:rPr>
                <w:rFonts w:ascii="ITC Avant Garde Std Bk" w:hAnsi="ITC Avant Garde Std Bk"/>
                <w:bCs/>
                <w:sz w:val="16"/>
                <w:szCs w:val="16"/>
              </w:rPr>
            </w:pPr>
          </w:p>
          <w:p w14:paraId="7FCE5E15" w14:textId="77777777" w:rsidR="0091544C" w:rsidRPr="007E69E2"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Lo anterior, cobra relevancia, ya que de acuerdo con en el artículo 90 de la Ley Federal de Competencia Económica (LFCE), la resolución favorable del Instituto Federal de Telecomunicaciones (IFT) tendrá una vigencia de seis meses, la cual podrá ser prorrogada hasta en una ocasión y los Agentes deberán acreditar el cierre de la transacción en un plazo de 30 días contados a partir de la fecha en la que ésta se haya consumado con base en el artículo 23 de las Disposiciones Regulatorias de la LFCE para los Sectores de Telecomunicaciones y Radiodifusión (DR).</w:t>
            </w:r>
          </w:p>
          <w:p w14:paraId="2AFC37E7" w14:textId="77777777" w:rsidR="0091544C" w:rsidRPr="007E69E2" w:rsidRDefault="0091544C" w:rsidP="00D00389">
            <w:pPr>
              <w:jc w:val="both"/>
              <w:rPr>
                <w:rFonts w:ascii="ITC Avant Garde Std Bk" w:hAnsi="ITC Avant Garde Std Bk"/>
                <w:bCs/>
                <w:sz w:val="16"/>
                <w:szCs w:val="16"/>
              </w:rPr>
            </w:pPr>
          </w:p>
          <w:p w14:paraId="01AC3112" w14:textId="4E573502" w:rsidR="0091544C" w:rsidRPr="00D00389"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lastRenderedPageBreak/>
              <w:t xml:space="preserve">Al incluirse un requisito para un formato de trámite, referente a la fecha en la que se llevará a cabo la operación, no solo se va más allá de lo previsto por la LFCE, violando el principio de legalidad, sino que se limita la flexibilidad de hasta 1 año para que se lleve a cabo una operación (cierre de la operación), generando con ello presiones innecesarias a las partes y con ello se podrían generar costos de transacción adicionales. </w:t>
            </w:r>
          </w:p>
        </w:tc>
        <w:tc>
          <w:tcPr>
            <w:tcW w:w="4438" w:type="dxa"/>
            <w:tcBorders>
              <w:top w:val="single" w:sz="4" w:space="0" w:color="auto"/>
              <w:left w:val="single" w:sz="4" w:space="0" w:color="auto"/>
              <w:bottom w:val="single" w:sz="4" w:space="0" w:color="auto"/>
              <w:right w:val="single" w:sz="4" w:space="0" w:color="auto"/>
            </w:tcBorders>
            <w:shd w:val="clear" w:color="auto" w:fill="C2D69B"/>
          </w:tcPr>
          <w:p w14:paraId="45E332B7" w14:textId="77777777" w:rsidR="0091544C"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lastRenderedPageBreak/>
              <w:t xml:space="preserve">Se considera que el campo de </w:t>
            </w:r>
            <w:r>
              <w:rPr>
                <w:rFonts w:ascii="ITC Avant Garde Std Bk" w:hAnsi="ITC Avant Garde Std Bk"/>
                <w:bCs/>
                <w:sz w:val="16"/>
                <w:szCs w:val="16"/>
              </w:rPr>
              <w:t>“</w:t>
            </w:r>
            <w:r w:rsidRPr="007E69E2">
              <w:rPr>
                <w:rFonts w:ascii="ITC Avant Garde Std Bk" w:hAnsi="ITC Avant Garde Std Bk"/>
                <w:bCs/>
                <w:sz w:val="16"/>
                <w:szCs w:val="16"/>
              </w:rPr>
              <w:t>Fecha probable de realización de la concentración</w:t>
            </w:r>
            <w:r>
              <w:rPr>
                <w:rFonts w:ascii="ITC Avant Garde Std Bk" w:hAnsi="ITC Avant Garde Std Bk"/>
                <w:bCs/>
                <w:sz w:val="16"/>
                <w:szCs w:val="16"/>
              </w:rPr>
              <w:t>”</w:t>
            </w:r>
            <w:r w:rsidRPr="007E69E2">
              <w:rPr>
                <w:rFonts w:ascii="ITC Avant Garde Std Bk" w:hAnsi="ITC Avant Garde Std Bk"/>
                <w:bCs/>
                <w:sz w:val="16"/>
                <w:szCs w:val="16"/>
              </w:rPr>
              <w:t xml:space="preserve"> es parte de la descripción de la transacción pretendida, requerida por la fracción III del mencionado artículo 89 de la LFCE, ya que la fecha de celebración es una de las características fundamentales de todo acto jurídico de esta naturaleza.</w:t>
            </w:r>
          </w:p>
          <w:p w14:paraId="381D72A5" w14:textId="77777777" w:rsidR="0091544C" w:rsidRPr="007E69E2" w:rsidRDefault="0091544C" w:rsidP="00D00389">
            <w:pPr>
              <w:jc w:val="both"/>
              <w:rPr>
                <w:rFonts w:ascii="ITC Avant Garde Std Bk" w:hAnsi="ITC Avant Garde Std Bk"/>
                <w:bCs/>
                <w:sz w:val="16"/>
                <w:szCs w:val="16"/>
              </w:rPr>
            </w:pPr>
          </w:p>
          <w:p w14:paraId="5CC3FE74" w14:textId="77777777" w:rsidR="0091544C"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Ahora bien, al tratarse de una fecha probable no genera una obligación jurídica para los notificantes, pues esta característica de la transacción no es relevante en términos de competencia económica siempre y cuando se cumpla con los preceptos de obtener la autorización del Instituto antes de llevarla a cabo (artículo 86 de la LFCE) y los que menciona el mismo comentario acerca de la vigencia de dicha autorización y la oportunidad para la acreditación del cierre.</w:t>
            </w:r>
          </w:p>
          <w:p w14:paraId="6605922A" w14:textId="77777777" w:rsidR="0091544C" w:rsidRPr="007E69E2" w:rsidRDefault="0091544C" w:rsidP="00D00389">
            <w:pPr>
              <w:jc w:val="both"/>
              <w:rPr>
                <w:rFonts w:ascii="ITC Avant Garde Std Bk" w:hAnsi="ITC Avant Garde Std Bk"/>
                <w:bCs/>
                <w:sz w:val="16"/>
                <w:szCs w:val="16"/>
              </w:rPr>
            </w:pPr>
          </w:p>
          <w:p w14:paraId="7EC52FEB" w14:textId="77777777" w:rsidR="0091544C"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Finalmente, como se señala claramente en el proyecto de acuerdo, los formatos son una herramienta para hacer más efici</w:t>
            </w:r>
            <w:r>
              <w:rPr>
                <w:rFonts w:ascii="ITC Avant Garde Std Bk" w:hAnsi="ITC Avant Garde Std Bk"/>
                <w:bCs/>
                <w:sz w:val="16"/>
                <w:szCs w:val="16"/>
              </w:rPr>
              <w:t>entes los trámites a cargo del I</w:t>
            </w:r>
            <w:r w:rsidRPr="007E69E2">
              <w:rPr>
                <w:rFonts w:ascii="ITC Avant Garde Std Bk" w:hAnsi="ITC Avant Garde Std Bk"/>
                <w:bCs/>
                <w:sz w:val="16"/>
                <w:szCs w:val="16"/>
              </w:rPr>
              <w:t xml:space="preserve">nstituto, así como facilitar su presentación y disminuir las cargas administrativas de los regulados. Todos los formatos son de carácter optativo, por lo que los agentes económicos pueden </w:t>
            </w:r>
            <w:r w:rsidRPr="007E69E2">
              <w:rPr>
                <w:rFonts w:ascii="ITC Avant Garde Std Bk" w:hAnsi="ITC Avant Garde Std Bk"/>
                <w:bCs/>
                <w:sz w:val="16"/>
                <w:szCs w:val="16"/>
              </w:rPr>
              <w:lastRenderedPageBreak/>
              <w:t>utilizarlos en sus promociones o hacerlas a través de escritos libres o de medios electrónicos, en caso de que estos últimos estén habilitados, lo que lleva a concluir que de ninguna manera van más allá de la Ley o limitan la flexibilidad que ésta misma otorga.</w:t>
            </w:r>
          </w:p>
          <w:p w14:paraId="6DCC4254" w14:textId="77777777" w:rsidR="0091544C" w:rsidRPr="00B165DD" w:rsidRDefault="0091544C" w:rsidP="00D00389">
            <w:pPr>
              <w:jc w:val="both"/>
              <w:rPr>
                <w:rFonts w:ascii="ITC Avant Garde Std Bk" w:hAnsi="ITC Avant Garde Std Bk"/>
                <w:bCs/>
                <w:sz w:val="16"/>
                <w:szCs w:val="16"/>
              </w:rPr>
            </w:pPr>
          </w:p>
        </w:tc>
      </w:tr>
      <w:tr w:rsidR="0091544C" w:rsidRPr="00DE6B98" w14:paraId="3F6E1773" w14:textId="77777777" w:rsidTr="001719B0">
        <w:tc>
          <w:tcPr>
            <w:tcW w:w="1271" w:type="dxa"/>
            <w:vMerge/>
            <w:tcBorders>
              <w:left w:val="single" w:sz="4" w:space="0" w:color="auto"/>
              <w:right w:val="single" w:sz="4" w:space="0" w:color="auto"/>
            </w:tcBorders>
            <w:shd w:val="clear" w:color="auto" w:fill="EAF1DD" w:themeFill="accent3" w:themeFillTint="33"/>
          </w:tcPr>
          <w:p w14:paraId="7EB80143" w14:textId="77777777" w:rsidR="0091544C" w:rsidRPr="00B165DD" w:rsidRDefault="0091544C" w:rsidP="00D00389">
            <w:pPr>
              <w:jc w:val="center"/>
              <w:rPr>
                <w:rFonts w:ascii="ITC Avant Garde Std Bk" w:hAnsi="ITC Avant Garde Std Bk"/>
                <w:bCs/>
                <w:sz w:val="16"/>
                <w:szCs w:val="16"/>
              </w:rPr>
            </w:pPr>
          </w:p>
        </w:tc>
        <w:tc>
          <w:tcPr>
            <w:tcW w:w="425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4155BED" w14:textId="77777777" w:rsidR="0091544C" w:rsidRPr="007E69E2"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 xml:space="preserve">En la sección 3 del Anexo A se impone un campo de información de llenado obligatorio denominado “Relacionados por Parentesco” en el que solicita a cada una de las Personas Involucradas y de los Relacionados Accionistas que sean personas físicas identifique a las personas físicas con los que tengan parentesco por consanguinidad o por afinidad, que participen, directa o indirectamente, en sociedades, asociaciones o empresas…”. Asimismo, en la referida Sección 3, en el apartado de llenado obligatorio denominado “Relacionados por Participación” se obliga a los Agentes Económicos a identificar a los Relacionados por Parentesco con participaciones accionarias. </w:t>
            </w:r>
          </w:p>
          <w:p w14:paraId="72748536" w14:textId="77777777" w:rsidR="0091544C" w:rsidRPr="007E69E2" w:rsidRDefault="0091544C" w:rsidP="00D00389">
            <w:pPr>
              <w:jc w:val="both"/>
              <w:rPr>
                <w:rFonts w:ascii="ITC Avant Garde Std Bk" w:hAnsi="ITC Avant Garde Std Bk"/>
                <w:bCs/>
                <w:sz w:val="16"/>
                <w:szCs w:val="16"/>
              </w:rPr>
            </w:pPr>
          </w:p>
          <w:p w14:paraId="7B275B08" w14:textId="77777777" w:rsidR="0091544C" w:rsidRPr="007E69E2"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Es importante señalar que las relaciones de parentesco por consanguinidad o por afinidad de las personas físicas que participan en una concentración no se contemplan en el artículo 89 de la LFCE como uno de los requisitos indispensables para la notificación de una concentración ni en las DR correspondientes.</w:t>
            </w:r>
          </w:p>
          <w:p w14:paraId="2FDC29D5" w14:textId="77777777" w:rsidR="0091544C" w:rsidRPr="007E69E2" w:rsidRDefault="0091544C" w:rsidP="00D00389">
            <w:pPr>
              <w:jc w:val="both"/>
              <w:rPr>
                <w:rFonts w:ascii="ITC Avant Garde Std Bk" w:hAnsi="ITC Avant Garde Std Bk"/>
                <w:bCs/>
                <w:sz w:val="16"/>
                <w:szCs w:val="16"/>
              </w:rPr>
            </w:pPr>
          </w:p>
          <w:p w14:paraId="2C3DA7D2" w14:textId="77777777" w:rsidR="0091544C" w:rsidRPr="007E69E2"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Se considera que la naturaleza de la información y de datos sensibles requeridos en el Anexo A, en particular respecto a la identificación de las personas físicas que tengan vínculos por parentesco o por afinidad, no aportan utilidad al estudio o análisis en materia de competencia económica del trámite en cuestión, ya que no se aportan los elementos suficientes para justificar que una relación de parentesco en los términos solicitados en el Anexo A, representen un problema en materia de competencia económica.</w:t>
            </w:r>
          </w:p>
          <w:p w14:paraId="545BFC27" w14:textId="77777777" w:rsidR="0091544C" w:rsidRPr="007E69E2" w:rsidRDefault="0091544C" w:rsidP="00D00389">
            <w:pPr>
              <w:jc w:val="both"/>
              <w:rPr>
                <w:rFonts w:ascii="ITC Avant Garde Std Bk" w:hAnsi="ITC Avant Garde Std Bk"/>
                <w:bCs/>
                <w:sz w:val="16"/>
                <w:szCs w:val="16"/>
              </w:rPr>
            </w:pPr>
          </w:p>
          <w:p w14:paraId="67E54E57" w14:textId="77777777" w:rsidR="0091544C" w:rsidRPr="007E69E2"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 xml:space="preserve">Asimismo, se considera que el hecho de que el solicitante tenga la obligación de presentar información respecto de las personas físicas que tengan vínculos por parentesco o por afinidad genera una carga innecesaria y onerosa al gobernado, pues debe aportar información de terceros, con la que no cuenta necesariamente. Adicionalmente, la presentación de dicha información genera un grado de confusión ya que se desconoce el criterio o la ley aplicable con el </w:t>
            </w:r>
            <w:r w:rsidRPr="007E69E2">
              <w:rPr>
                <w:rFonts w:ascii="ITC Avant Garde Std Bk" w:hAnsi="ITC Avant Garde Std Bk"/>
                <w:bCs/>
                <w:sz w:val="16"/>
                <w:szCs w:val="16"/>
              </w:rPr>
              <w:lastRenderedPageBreak/>
              <w:t>cual el IFT interpretaría la información, así como la finalidad específica para la que IFT utilizaría dicha información.</w:t>
            </w:r>
          </w:p>
          <w:p w14:paraId="62FB4834" w14:textId="77777777" w:rsidR="0091544C" w:rsidRPr="007E69E2" w:rsidRDefault="0091544C" w:rsidP="00D00389">
            <w:pPr>
              <w:jc w:val="both"/>
              <w:rPr>
                <w:rFonts w:ascii="ITC Avant Garde Std Bk" w:hAnsi="ITC Avant Garde Std Bk"/>
                <w:bCs/>
                <w:sz w:val="16"/>
                <w:szCs w:val="16"/>
              </w:rPr>
            </w:pPr>
          </w:p>
          <w:p w14:paraId="5D0DE29B" w14:textId="77777777" w:rsidR="0091544C" w:rsidRPr="007E69E2"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Finalmente, de conformidad con el principio de certeza jurídica consagrado en el artículo 16 Constitucional, se considera que la fundamentación y motivación de la información que dicho anexo requiere por parte del solicitante no es suficiente para brindar claridad al solicitante respecto de la relación o utilidad que guarda la información y datos sensibles requeridos en el trámite o procedimiento en particular.</w:t>
            </w:r>
          </w:p>
          <w:p w14:paraId="78BB4DD7" w14:textId="77777777" w:rsidR="0091544C" w:rsidRPr="007E69E2" w:rsidRDefault="0091544C" w:rsidP="00D00389">
            <w:pPr>
              <w:jc w:val="both"/>
              <w:rPr>
                <w:rFonts w:ascii="ITC Avant Garde Std Bk" w:hAnsi="ITC Avant Garde Std Bk"/>
                <w:bCs/>
                <w:sz w:val="16"/>
                <w:szCs w:val="16"/>
              </w:rPr>
            </w:pPr>
          </w:p>
          <w:p w14:paraId="44A622C6" w14:textId="77777777" w:rsidR="0091544C" w:rsidRPr="00B165DD" w:rsidRDefault="0091544C" w:rsidP="00D00389">
            <w:pPr>
              <w:jc w:val="both"/>
              <w:rPr>
                <w:rFonts w:ascii="ITC Avant Garde Std Bk" w:hAnsi="ITC Avant Garde Std Bk"/>
                <w:bCs/>
                <w:sz w:val="16"/>
                <w:szCs w:val="16"/>
              </w:rPr>
            </w:pPr>
            <w:r w:rsidRPr="007E69E2">
              <w:rPr>
                <w:rFonts w:ascii="ITC Avant Garde Std Bk" w:hAnsi="ITC Avant Garde Std Bk"/>
                <w:bCs/>
                <w:sz w:val="16"/>
                <w:szCs w:val="16"/>
              </w:rPr>
              <w:t>En todo caso, en el formato, el IFT debería justificar la utilidad de la información solicitada. Esto porque si el  objetivo del formato de trámite es facilitar la autorización de una concentración, entonces, el gobernado debe tener</w:t>
            </w:r>
            <w:r>
              <w:rPr>
                <w:rFonts w:ascii="ITC Avant Garde Std Bk" w:hAnsi="ITC Avant Garde Std Bk"/>
                <w:bCs/>
                <w:sz w:val="16"/>
                <w:szCs w:val="16"/>
              </w:rPr>
              <w:t xml:space="preserve"> </w:t>
            </w:r>
            <w:r w:rsidRPr="007E69E2">
              <w:rPr>
                <w:rFonts w:ascii="ITC Avant Garde Std Bk" w:hAnsi="ITC Avant Garde Std Bk"/>
                <w:bCs/>
                <w:sz w:val="16"/>
                <w:szCs w:val="16"/>
              </w:rPr>
              <w:t>toda la información necesaria para entender, sin recurrir a otras fuentes, la necesidad de la información.</w:t>
            </w:r>
          </w:p>
        </w:tc>
        <w:tc>
          <w:tcPr>
            <w:tcW w:w="4438" w:type="dxa"/>
            <w:tcBorders>
              <w:top w:val="single" w:sz="4" w:space="0" w:color="auto"/>
              <w:left w:val="single" w:sz="4" w:space="0" w:color="auto"/>
              <w:bottom w:val="single" w:sz="4" w:space="0" w:color="auto"/>
              <w:right w:val="single" w:sz="4" w:space="0" w:color="auto"/>
            </w:tcBorders>
            <w:shd w:val="clear" w:color="auto" w:fill="D6E3BC"/>
          </w:tcPr>
          <w:p w14:paraId="3490CE89" w14:textId="77777777" w:rsidR="0091544C" w:rsidRDefault="0091544C" w:rsidP="00D00389">
            <w:pPr>
              <w:jc w:val="both"/>
              <w:rPr>
                <w:rFonts w:ascii="ITC Avant Garde Std Bk" w:hAnsi="ITC Avant Garde Std Bk"/>
                <w:sz w:val="16"/>
                <w:szCs w:val="16"/>
              </w:rPr>
            </w:pPr>
            <w:r w:rsidRPr="004F301E">
              <w:rPr>
                <w:rFonts w:ascii="ITC Avant Garde Std Bk" w:hAnsi="ITC Avant Garde Std Bk"/>
                <w:sz w:val="16"/>
                <w:szCs w:val="16"/>
              </w:rPr>
              <w:lastRenderedPageBreak/>
              <w:t>Debe entenderse que el artículo 89 de la LFCE se refiere a agentes económicos en su dimensión de Grupos de Interés Económico, concepto que abarca el tipo de relaciones de parentesco de que trata este apartado.</w:t>
            </w:r>
          </w:p>
          <w:p w14:paraId="325037FC" w14:textId="77777777" w:rsidR="00E369A2" w:rsidRPr="004F301E" w:rsidRDefault="00E369A2" w:rsidP="00D00389">
            <w:pPr>
              <w:jc w:val="both"/>
              <w:rPr>
                <w:rFonts w:ascii="ITC Avant Garde Std Bk" w:hAnsi="ITC Avant Garde Std Bk"/>
                <w:sz w:val="16"/>
                <w:szCs w:val="16"/>
              </w:rPr>
            </w:pPr>
          </w:p>
          <w:p w14:paraId="4A808CB2" w14:textId="77777777" w:rsidR="0091544C" w:rsidRDefault="0091544C" w:rsidP="00D00389">
            <w:pPr>
              <w:jc w:val="both"/>
              <w:rPr>
                <w:rFonts w:ascii="ITC Avant Garde Std Bk" w:hAnsi="ITC Avant Garde Std Bk"/>
                <w:sz w:val="16"/>
                <w:szCs w:val="16"/>
              </w:rPr>
            </w:pPr>
            <w:r w:rsidRPr="004F301E">
              <w:rPr>
                <w:rFonts w:ascii="ITC Avant Garde Std Bk" w:hAnsi="ITC Avant Garde Std Bk"/>
                <w:sz w:val="16"/>
                <w:szCs w:val="16"/>
              </w:rPr>
              <w:t>Al respecto, el artículo 63 de la misma Ley, en particular la fracción IV, establece también que el Instituto debe considerar la participación de los agentes económicos involucrados en otros agentes, por lo que son estos dos preceptos los que respaldan la solicitud de la información sobre "Relacionados por Parentesco".</w:t>
            </w:r>
          </w:p>
          <w:p w14:paraId="40A273D0" w14:textId="77777777" w:rsidR="00E369A2" w:rsidRPr="004F301E" w:rsidRDefault="00E369A2" w:rsidP="00D00389">
            <w:pPr>
              <w:jc w:val="both"/>
              <w:rPr>
                <w:rFonts w:ascii="ITC Avant Garde Std Bk" w:hAnsi="ITC Avant Garde Std Bk"/>
                <w:sz w:val="16"/>
                <w:szCs w:val="16"/>
              </w:rPr>
            </w:pPr>
          </w:p>
          <w:p w14:paraId="3341C2A9" w14:textId="77777777" w:rsidR="0091544C" w:rsidRDefault="0091544C" w:rsidP="00D00389">
            <w:pPr>
              <w:jc w:val="both"/>
              <w:rPr>
                <w:rFonts w:ascii="ITC Avant Garde Std Bk" w:hAnsi="ITC Avant Garde Std Bk"/>
                <w:sz w:val="16"/>
                <w:szCs w:val="16"/>
              </w:rPr>
            </w:pPr>
            <w:r w:rsidRPr="004F301E">
              <w:rPr>
                <w:rFonts w:ascii="ITC Avant Garde Std Bk" w:hAnsi="ITC Avant Garde Std Bk"/>
                <w:sz w:val="16"/>
                <w:szCs w:val="16"/>
              </w:rPr>
              <w:t>El objeto de contar con esta información es que el I</w:t>
            </w:r>
            <w:r w:rsidR="00E369A2">
              <w:rPr>
                <w:rFonts w:ascii="ITC Avant Garde Std Bk" w:hAnsi="ITC Avant Garde Std Bk"/>
                <w:sz w:val="16"/>
                <w:szCs w:val="16"/>
              </w:rPr>
              <w:t xml:space="preserve">nstituto </w:t>
            </w:r>
            <w:r w:rsidRPr="004F301E">
              <w:rPr>
                <w:rFonts w:ascii="ITC Avant Garde Std Bk" w:hAnsi="ITC Avant Garde Std Bk"/>
                <w:sz w:val="16"/>
                <w:szCs w:val="16"/>
              </w:rPr>
              <w:t>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7CD5ADE6" w14:textId="77777777" w:rsidR="00E369A2" w:rsidRPr="004F301E" w:rsidRDefault="00E369A2" w:rsidP="00D00389">
            <w:pPr>
              <w:jc w:val="both"/>
              <w:rPr>
                <w:rFonts w:ascii="ITC Avant Garde Std Bk" w:hAnsi="ITC Avant Garde Std Bk"/>
                <w:sz w:val="16"/>
                <w:szCs w:val="16"/>
              </w:rPr>
            </w:pPr>
          </w:p>
          <w:p w14:paraId="2C7D4EF6" w14:textId="77777777" w:rsidR="0091544C" w:rsidRDefault="0091544C" w:rsidP="00D00389">
            <w:pPr>
              <w:jc w:val="both"/>
              <w:rPr>
                <w:rFonts w:ascii="ITC Avant Garde Std Bk" w:hAnsi="ITC Avant Garde Std Bk"/>
                <w:sz w:val="16"/>
                <w:szCs w:val="16"/>
              </w:rPr>
            </w:pPr>
            <w:r w:rsidRPr="004F301E">
              <w:rPr>
                <w:rFonts w:ascii="ITC Avant Garde Std Bk" w:hAnsi="ITC Avant Garde Std Bk"/>
                <w:sz w:val="16"/>
                <w:szCs w:val="16"/>
              </w:rPr>
              <w:t>Respecto de este tema puede consultar la Guía para el Control de Concentraciones en los Sectores de las TyR, adoptada el 28 de junio de 2017 mediante acuerdo del Pleno del Instituto, en particular su apartado 5.7, sobre los requisitos que debe contener el escrito de notificación, así como sus apartados 2.3 y 2.4 sobre el análisis de Grupo de Interés Económico y de Control e Influencia.</w:t>
            </w:r>
          </w:p>
          <w:p w14:paraId="5E4AF753" w14:textId="77777777" w:rsidR="00E369A2" w:rsidRPr="004F301E" w:rsidRDefault="00E369A2" w:rsidP="00D00389">
            <w:pPr>
              <w:jc w:val="both"/>
              <w:rPr>
                <w:rFonts w:ascii="ITC Avant Garde Std Bk" w:hAnsi="ITC Avant Garde Std Bk"/>
                <w:sz w:val="16"/>
                <w:szCs w:val="16"/>
              </w:rPr>
            </w:pPr>
          </w:p>
          <w:p w14:paraId="7CFF21AF" w14:textId="77777777" w:rsidR="0091544C" w:rsidRDefault="0091544C" w:rsidP="00D00389">
            <w:pPr>
              <w:jc w:val="both"/>
              <w:rPr>
                <w:rFonts w:ascii="ITC Avant Garde Std Bk" w:hAnsi="ITC Avant Garde Std Bk"/>
                <w:sz w:val="16"/>
                <w:szCs w:val="16"/>
              </w:rPr>
            </w:pPr>
            <w:r w:rsidRPr="004F301E">
              <w:rPr>
                <w:rFonts w:ascii="ITC Avant Garde Std Bk" w:hAnsi="ITC Avant Garde Std Bk"/>
                <w:sz w:val="16"/>
                <w:szCs w:val="16"/>
              </w:rPr>
              <w:t>En cuanto a que la información sobre personas físicas vinculadas por parentesco o afinidad puede contener datos sensibles, el apartado 7 del Anexo ofrece al solicitante la posibilidad de indicar la información que se considere confidencial a fin de que el Instituto la clasifique como tal, siempre y cu</w:t>
            </w:r>
            <w:r>
              <w:rPr>
                <w:rFonts w:ascii="ITC Avant Garde Std Bk" w:hAnsi="ITC Avant Garde Std Bk"/>
                <w:sz w:val="16"/>
                <w:szCs w:val="16"/>
              </w:rPr>
              <w:t>ando se expliquen las razones</w:t>
            </w:r>
            <w:r w:rsidRPr="004F301E">
              <w:rPr>
                <w:rFonts w:ascii="ITC Avant Garde Std Bk" w:hAnsi="ITC Avant Garde Std Bk"/>
                <w:sz w:val="16"/>
                <w:szCs w:val="16"/>
              </w:rPr>
              <w:t xml:space="preserve"> y se acredite que tiene este carácter.</w:t>
            </w:r>
          </w:p>
          <w:p w14:paraId="62BC4469" w14:textId="77777777" w:rsidR="00E369A2" w:rsidRPr="004F301E" w:rsidRDefault="00E369A2" w:rsidP="00D00389">
            <w:pPr>
              <w:jc w:val="both"/>
              <w:rPr>
                <w:rFonts w:ascii="ITC Avant Garde Std Bk" w:hAnsi="ITC Avant Garde Std Bk"/>
                <w:sz w:val="16"/>
                <w:szCs w:val="16"/>
              </w:rPr>
            </w:pPr>
          </w:p>
          <w:p w14:paraId="6B996A80" w14:textId="77777777" w:rsidR="0091544C" w:rsidRDefault="0091544C" w:rsidP="00D00389">
            <w:pPr>
              <w:jc w:val="both"/>
              <w:rPr>
                <w:rFonts w:ascii="ITC Avant Garde Std Bk" w:hAnsi="ITC Avant Garde Std Bk"/>
                <w:sz w:val="16"/>
                <w:szCs w:val="16"/>
              </w:rPr>
            </w:pPr>
            <w:r w:rsidRPr="004F301E">
              <w:rPr>
                <w:rFonts w:ascii="ITC Avant Garde Std Bk" w:hAnsi="ITC Avant Garde Std Bk"/>
                <w:sz w:val="16"/>
                <w:szCs w:val="16"/>
              </w:rPr>
              <w:t xml:space="preserve">Respecto de que el solicitante no cuente necesariamente con la información que se solicita, esta información se entiende accesible al Interesado derivado de los vínculos que pudiera mantener con los agentes económicos relacionados. No obstante, </w:t>
            </w:r>
            <w:r w:rsidRPr="004F301E">
              <w:rPr>
                <w:rFonts w:ascii="ITC Avant Garde Std Bk" w:hAnsi="ITC Avant Garde Std Bk"/>
                <w:sz w:val="16"/>
                <w:szCs w:val="16"/>
              </w:rPr>
              <w:lastRenderedPageBreak/>
              <w:t>de contar con alguna imposibilidad para presentar la información en los términos que se solicita, puede exponer las razones y acreditar, a satisfacción del Instituto, dicha imposibilidad jurídica o, de hecho.</w:t>
            </w:r>
          </w:p>
          <w:p w14:paraId="7797A217" w14:textId="77777777" w:rsidR="00E369A2" w:rsidRPr="004F301E" w:rsidRDefault="00E369A2" w:rsidP="00D00389">
            <w:pPr>
              <w:jc w:val="both"/>
              <w:rPr>
                <w:rFonts w:ascii="ITC Avant Garde Std Bk" w:hAnsi="ITC Avant Garde Std Bk"/>
                <w:sz w:val="16"/>
                <w:szCs w:val="16"/>
              </w:rPr>
            </w:pPr>
          </w:p>
          <w:p w14:paraId="0F323449" w14:textId="77777777" w:rsidR="0091544C" w:rsidRDefault="0091544C" w:rsidP="00D00389">
            <w:pPr>
              <w:jc w:val="both"/>
              <w:rPr>
                <w:rFonts w:ascii="ITC Avant Garde Std Bk" w:hAnsi="ITC Avant Garde Std Bk"/>
                <w:sz w:val="16"/>
                <w:szCs w:val="16"/>
              </w:rPr>
            </w:pPr>
            <w:r w:rsidRPr="004F301E">
              <w:rPr>
                <w:rFonts w:ascii="ITC Avant Garde Std Bk" w:hAnsi="ITC Avant Garde Std Bk"/>
                <w:sz w:val="16"/>
                <w:szCs w:val="16"/>
              </w:rPr>
              <w:t>Finalmente, como se señala claramente en el proyecto de acuerdo, los formatos son una herramienta para hacer más efici</w:t>
            </w:r>
            <w:r>
              <w:rPr>
                <w:rFonts w:ascii="ITC Avant Garde Std Bk" w:hAnsi="ITC Avant Garde Std Bk"/>
                <w:sz w:val="16"/>
                <w:szCs w:val="16"/>
              </w:rPr>
              <w:t>entes los trámites a cargo del I</w:t>
            </w:r>
            <w:r w:rsidRPr="004F301E">
              <w:rPr>
                <w:rFonts w:ascii="ITC Avant Garde Std Bk" w:hAnsi="ITC Avant Garde Std Bk"/>
                <w:sz w:val="16"/>
                <w:szCs w:val="16"/>
              </w:rPr>
              <w:t>nstituto, así como facilitar su presentación y disminuir las cargas administrativas de los regulados. Todos los formatos son de carácter optativo, por lo que los agentes económicos pueden utilizarlos en sus promociones o hacerlas a través de escritos libres o de medios electrónicos, en caso de que estos últimos estén habilitados, lo que lleva a concluir que de ninguna manera generan una carga innecesaria u onerosa al gobernado.</w:t>
            </w:r>
          </w:p>
          <w:p w14:paraId="140C859A" w14:textId="77777777" w:rsidR="0091544C" w:rsidRPr="00B165DD" w:rsidRDefault="0091544C" w:rsidP="00D00389">
            <w:pPr>
              <w:jc w:val="both"/>
              <w:rPr>
                <w:rFonts w:ascii="ITC Avant Garde Std Bk" w:hAnsi="ITC Avant Garde Std Bk"/>
                <w:sz w:val="16"/>
                <w:szCs w:val="16"/>
              </w:rPr>
            </w:pPr>
          </w:p>
        </w:tc>
      </w:tr>
      <w:tr w:rsidR="0091544C" w:rsidRPr="00DE6B98" w14:paraId="54F63AE4" w14:textId="77777777" w:rsidTr="001719B0">
        <w:tc>
          <w:tcPr>
            <w:tcW w:w="1271" w:type="dxa"/>
            <w:vMerge/>
            <w:tcBorders>
              <w:left w:val="single" w:sz="4" w:space="0" w:color="auto"/>
              <w:right w:val="single" w:sz="4" w:space="0" w:color="auto"/>
            </w:tcBorders>
            <w:shd w:val="clear" w:color="auto" w:fill="EAF1DD" w:themeFill="accent3" w:themeFillTint="33"/>
          </w:tcPr>
          <w:p w14:paraId="7D865A96" w14:textId="77777777" w:rsidR="0091544C" w:rsidRDefault="0091544C" w:rsidP="00D00389">
            <w:pPr>
              <w:jc w:val="center"/>
              <w:rPr>
                <w:rFonts w:ascii="ITC Avant Garde Std Bk" w:hAnsi="ITC Avant Garde Std Bk"/>
                <w:bCs/>
                <w:sz w:val="16"/>
                <w:szCs w:val="16"/>
              </w:rPr>
            </w:pPr>
          </w:p>
        </w:tc>
        <w:tc>
          <w:tcPr>
            <w:tcW w:w="4253" w:type="dxa"/>
            <w:tcBorders>
              <w:top w:val="single" w:sz="4" w:space="0" w:color="auto"/>
              <w:left w:val="single" w:sz="4" w:space="0" w:color="auto"/>
            </w:tcBorders>
            <w:shd w:val="clear" w:color="auto" w:fill="C2D69B"/>
          </w:tcPr>
          <w:p w14:paraId="264E1518"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Se refiere a los comentarios generales III “A” y III “B”, a saber:</w:t>
            </w:r>
          </w:p>
          <w:p w14:paraId="1C8C0313" w14:textId="77777777" w:rsidR="0091544C" w:rsidRPr="00E62C27" w:rsidRDefault="0091544C" w:rsidP="00D00389">
            <w:pPr>
              <w:jc w:val="both"/>
              <w:rPr>
                <w:rFonts w:ascii="ITC Avant Garde Std Bk" w:hAnsi="ITC Avant Garde Std Bk"/>
                <w:bCs/>
                <w:sz w:val="16"/>
                <w:szCs w:val="16"/>
              </w:rPr>
            </w:pPr>
          </w:p>
          <w:p w14:paraId="425EC313"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w:t>
            </w:r>
            <w:r>
              <w:rPr>
                <w:rFonts w:ascii="ITC Avant Garde Std Bk" w:hAnsi="ITC Avant Garde Std Bk"/>
                <w:bCs/>
                <w:sz w:val="16"/>
                <w:szCs w:val="16"/>
              </w:rPr>
              <w:t>as solicitudes y procedimientos</w:t>
            </w:r>
            <w:r w:rsidRPr="00E62C27">
              <w:rPr>
                <w:rFonts w:ascii="ITC Avant Garde Std Bk" w:hAnsi="ITC Avant Garde Std Bk"/>
                <w:bCs/>
                <w:sz w:val="16"/>
                <w:szCs w:val="16"/>
              </w:rPr>
              <w:t xml:space="preserve"> que se pretenden simplificar. Con ello, los formatos, generan cargas innecesarias, onerosas, pero sobre todo ausentes de fundamento legal al gobernado.</w:t>
            </w:r>
          </w:p>
          <w:p w14:paraId="486E7B35" w14:textId="77777777" w:rsidR="0091544C" w:rsidRPr="00E62C27" w:rsidRDefault="0091544C" w:rsidP="00D00389">
            <w:pPr>
              <w:jc w:val="both"/>
              <w:rPr>
                <w:rFonts w:ascii="ITC Avant Garde Std Bk" w:hAnsi="ITC Avant Garde Std Bk"/>
                <w:bCs/>
                <w:sz w:val="16"/>
                <w:szCs w:val="16"/>
              </w:rPr>
            </w:pPr>
          </w:p>
          <w:p w14:paraId="517968C9" w14:textId="77777777" w:rsidR="0091544C"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 xml:space="preserve">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 </w:t>
            </w:r>
          </w:p>
          <w:p w14:paraId="39B5BA44" w14:textId="77777777" w:rsidR="0091544C" w:rsidRPr="00E62C27" w:rsidRDefault="0091544C" w:rsidP="00D00389">
            <w:pPr>
              <w:jc w:val="both"/>
              <w:rPr>
                <w:rFonts w:ascii="ITC Avant Garde Std Bk" w:hAnsi="ITC Avant Garde Std Bk"/>
                <w:bCs/>
                <w:sz w:val="16"/>
                <w:szCs w:val="16"/>
              </w:rPr>
            </w:pPr>
          </w:p>
          <w:p w14:paraId="0BB794FA"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simplifican los trámites existentes en la LFCE y la LFTyR. Esto de conformidad con lo expuesto en el presente documento.</w:t>
            </w:r>
          </w:p>
          <w:p w14:paraId="1CDAFF3B" w14:textId="77777777" w:rsidR="0091544C" w:rsidRPr="00E62C27" w:rsidRDefault="0091544C" w:rsidP="00D00389">
            <w:pPr>
              <w:jc w:val="both"/>
              <w:rPr>
                <w:rFonts w:ascii="ITC Avant Garde Std Bk" w:hAnsi="ITC Avant Garde Std Bk"/>
                <w:bCs/>
                <w:sz w:val="16"/>
                <w:szCs w:val="16"/>
              </w:rPr>
            </w:pPr>
          </w:p>
          <w:p w14:paraId="187E4E0E"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40853DD6" w14:textId="77777777" w:rsidR="0091544C" w:rsidRPr="00E62C27" w:rsidRDefault="0091544C" w:rsidP="00D00389">
            <w:pPr>
              <w:jc w:val="both"/>
              <w:rPr>
                <w:rFonts w:ascii="ITC Avant Garde Std Bk" w:hAnsi="ITC Avant Garde Std Bk"/>
                <w:bCs/>
                <w:sz w:val="16"/>
                <w:szCs w:val="16"/>
              </w:rPr>
            </w:pPr>
          </w:p>
          <w:p w14:paraId="52A210E9"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2E6F9024" w14:textId="77777777" w:rsidR="0091544C" w:rsidRPr="00E62C27" w:rsidRDefault="0091544C" w:rsidP="00D00389">
            <w:pPr>
              <w:jc w:val="both"/>
              <w:rPr>
                <w:rFonts w:ascii="ITC Avant Garde Std Bk" w:hAnsi="ITC Avant Garde Std Bk"/>
                <w:bCs/>
                <w:sz w:val="16"/>
                <w:szCs w:val="16"/>
              </w:rPr>
            </w:pPr>
          </w:p>
          <w:p w14:paraId="08F97239"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649FB093" w14:textId="77777777" w:rsidR="0091544C" w:rsidRPr="00E62C27" w:rsidRDefault="0091544C" w:rsidP="00D00389">
            <w:pPr>
              <w:jc w:val="both"/>
              <w:rPr>
                <w:rFonts w:ascii="ITC Avant Garde Std Bk" w:hAnsi="ITC Avant Garde Std Bk"/>
                <w:bCs/>
                <w:sz w:val="16"/>
                <w:szCs w:val="16"/>
              </w:rPr>
            </w:pPr>
          </w:p>
          <w:p w14:paraId="5D45D643"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5B39A087" w14:textId="77777777" w:rsidR="0091544C" w:rsidRPr="00E62C27" w:rsidRDefault="0091544C" w:rsidP="00D00389">
            <w:pPr>
              <w:jc w:val="both"/>
              <w:rPr>
                <w:rFonts w:ascii="ITC Avant Garde Std Bk" w:hAnsi="ITC Avant Garde Std Bk"/>
                <w:bCs/>
                <w:sz w:val="16"/>
                <w:szCs w:val="16"/>
              </w:rPr>
            </w:pPr>
          </w:p>
          <w:p w14:paraId="4CD0533A"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anexos2 emitidos y estrictamente sujetarlos a lo establecido en la LFTyR, </w:t>
            </w:r>
            <w:r w:rsidRPr="00E62C27">
              <w:rPr>
                <w:rFonts w:ascii="ITC Avant Garde Std Bk" w:hAnsi="ITC Avant Garde Std Bk"/>
                <w:bCs/>
                <w:sz w:val="16"/>
                <w:szCs w:val="16"/>
              </w:rPr>
              <w:lastRenderedPageBreak/>
              <w:t xml:space="preserve">la LFCE y las DR. Es decir, en el artículo 15, fracciones I, XLI y LVI de la LFTyR y el artículo 12 fracción XXII de la LFCE. Los mencionados artículos prevén los instrumentos regulatorios que el Instituto podrá expedir para reglamentar su actuar. </w:t>
            </w:r>
          </w:p>
          <w:p w14:paraId="6F15BF65" w14:textId="77777777" w:rsidR="0091544C" w:rsidRPr="00E62C27" w:rsidRDefault="0091544C" w:rsidP="00D00389">
            <w:pPr>
              <w:jc w:val="both"/>
              <w:rPr>
                <w:rFonts w:ascii="ITC Avant Garde Std Bk" w:hAnsi="ITC Avant Garde Std Bk"/>
                <w:bCs/>
                <w:sz w:val="16"/>
                <w:szCs w:val="16"/>
              </w:rPr>
            </w:pPr>
          </w:p>
          <w:p w14:paraId="305C720A"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lineamientos que el Instituto está obligado a emitir, tienen el objetivo de fortalecer el estado de derecho a través de criterios objetivos que</w:t>
            </w:r>
          </w:p>
          <w:p w14:paraId="658FB648"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permitan al gobernado conocer el proceder de la autoridad y evitara la actuación arbitraria de la misma.</w:t>
            </w:r>
          </w:p>
          <w:p w14:paraId="5550E164" w14:textId="77777777" w:rsidR="0091544C" w:rsidRPr="00E62C27" w:rsidRDefault="0091544C" w:rsidP="00D00389">
            <w:pPr>
              <w:jc w:val="both"/>
              <w:rPr>
                <w:rFonts w:ascii="ITC Avant Garde Std Bk" w:hAnsi="ITC Avant Garde Std Bk"/>
                <w:bCs/>
                <w:sz w:val="16"/>
                <w:szCs w:val="16"/>
              </w:rPr>
            </w:pPr>
          </w:p>
          <w:p w14:paraId="1AE38F20"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p>
          <w:p w14:paraId="26F67147"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Disposiciones y no simplemente mediante la emisión de formatos no previstos en ningún tipo de instrumento normativo.</w:t>
            </w:r>
          </w:p>
          <w:p w14:paraId="5764828A" w14:textId="77777777" w:rsidR="0091544C" w:rsidRPr="00E62C27" w:rsidRDefault="0091544C" w:rsidP="00D00389">
            <w:pPr>
              <w:jc w:val="both"/>
              <w:rPr>
                <w:rFonts w:ascii="ITC Avant Garde Std Bk" w:hAnsi="ITC Avant Garde Std Bk"/>
                <w:bCs/>
                <w:sz w:val="16"/>
                <w:szCs w:val="16"/>
              </w:rPr>
            </w:pPr>
          </w:p>
          <w:p w14:paraId="45F0C87E"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414853E1" w14:textId="77777777" w:rsidR="0091544C" w:rsidRPr="00E62C27" w:rsidRDefault="0091544C" w:rsidP="00D00389">
            <w:pPr>
              <w:jc w:val="both"/>
              <w:rPr>
                <w:rFonts w:ascii="ITC Avant Garde Std Bk" w:hAnsi="ITC Avant Garde Std Bk"/>
                <w:bCs/>
                <w:sz w:val="16"/>
                <w:szCs w:val="16"/>
              </w:rPr>
            </w:pPr>
          </w:p>
          <w:p w14:paraId="0EC6AADE"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 xml:space="preserve">Por tanto, el espíritu del legislador fue establecer la obligación del Órgano regulador correspondiente de construir la regulación pertinente para conseguir el mayor grado de previsibilidad posible al prever instrumentos que complementen el </w:t>
            </w:r>
            <w:r w:rsidRPr="00E62C27">
              <w:rPr>
                <w:rFonts w:ascii="ITC Avant Garde Std Bk" w:hAnsi="ITC Avant Garde Std Bk"/>
                <w:bCs/>
                <w:sz w:val="16"/>
                <w:szCs w:val="16"/>
              </w:rPr>
              <w:lastRenderedPageBreak/>
              <w:t>desarrollo normativo y la certeza jurídica en la aplicación de la ley.</w:t>
            </w:r>
          </w:p>
          <w:p w14:paraId="7695CF1A"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w:t>
            </w:r>
          </w:p>
          <w:p w14:paraId="6C370B15" w14:textId="77777777" w:rsidR="0091544C" w:rsidRPr="00E62C27" w:rsidRDefault="0091544C" w:rsidP="00D00389">
            <w:pPr>
              <w:jc w:val="both"/>
              <w:rPr>
                <w:rFonts w:ascii="ITC Avant Garde Std Bk" w:hAnsi="ITC Avant Garde Std Bk"/>
                <w:bCs/>
                <w:sz w:val="16"/>
                <w:szCs w:val="16"/>
              </w:rPr>
            </w:pPr>
          </w:p>
          <w:p w14:paraId="16B1218A"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B. Tomando en cuenta la motivación del IFT para la emisión de los formatos que se detallan en el Anteproyecto de Acuerdo, es decir, con el objeto de hacer más eficientes los trámites y servicios a cargo del Instituto, así como facilitar su presentación y disminuir cargas administrativas, se considera respetuosamente que el Instituto habrá de (i) reglamentar el uso de los formatos; y (ii) asegurar la resolución de las solicitudes presentadas en formatos tradicionales, por ejemplo “escrito libre”, sin ningún tipo de consecuencia negativa en la resolución, ya sea en cuanto a la decisión tomada por el IFT o en cuanto a tiempo de respuesta del mismo a la solicitud de los gobernados.</w:t>
            </w:r>
          </w:p>
          <w:p w14:paraId="246056D1" w14:textId="77777777" w:rsidR="0091544C" w:rsidRPr="00E62C27" w:rsidRDefault="0091544C" w:rsidP="00D00389">
            <w:pPr>
              <w:jc w:val="both"/>
              <w:rPr>
                <w:rFonts w:ascii="ITC Avant Garde Std Bk" w:hAnsi="ITC Avant Garde Std Bk"/>
                <w:bCs/>
                <w:sz w:val="16"/>
                <w:szCs w:val="16"/>
              </w:rPr>
            </w:pPr>
          </w:p>
          <w:p w14:paraId="1EEF65CC"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En ese sentido, la reglamentación oportuna y correcta de los formatos, será una herramienta para asegurar que el IFT actuará imparcialmente y procurará la simplificación administrativa y eficiencia en su gestión, sin tomar en cuenta el formato elegido por los gobernados para la presentación de solicitudes en materia de competencia económica.</w:t>
            </w:r>
          </w:p>
          <w:p w14:paraId="6120FCBA" w14:textId="77777777" w:rsidR="0091544C" w:rsidRPr="00E62C27"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Por consiguiente, se considera oportuno que el IFT asegure mediante la regulación correspondiente que el medio elegido por el gobernado, es decir el “escrito libre” o el “formato”, no será justificación o motivo de retraso de la resolución o beneficio que se esté solicitando en virtud de la falta de claridad en los requerimientos que se deben presentar al momento gestionar un trámite o servicio; pues los mencionados requerimientos de los formatos no se encuentran previstos en normas de observancia general al establecerse en la LFCE y la LFTyR.</w:t>
            </w:r>
          </w:p>
          <w:p w14:paraId="498C5F8F" w14:textId="77777777" w:rsidR="0091544C" w:rsidRPr="00E62C27" w:rsidRDefault="0091544C" w:rsidP="00D00389">
            <w:pPr>
              <w:jc w:val="both"/>
              <w:rPr>
                <w:rFonts w:ascii="ITC Avant Garde Std Bk" w:hAnsi="ITC Avant Garde Std Bk"/>
                <w:bCs/>
                <w:sz w:val="16"/>
                <w:szCs w:val="16"/>
              </w:rPr>
            </w:pPr>
          </w:p>
          <w:p w14:paraId="293AD1AF" w14:textId="77777777" w:rsidR="0091544C" w:rsidRDefault="0091544C" w:rsidP="00D00389">
            <w:pPr>
              <w:jc w:val="both"/>
              <w:rPr>
                <w:rFonts w:ascii="ITC Avant Garde Std Bk" w:hAnsi="ITC Avant Garde Std Bk"/>
                <w:bCs/>
                <w:sz w:val="16"/>
                <w:szCs w:val="16"/>
              </w:rPr>
            </w:pPr>
            <w:r w:rsidRPr="00E62C27">
              <w:rPr>
                <w:rFonts w:ascii="ITC Avant Garde Std Bk" w:hAnsi="ITC Avant Garde Std Bk"/>
                <w:bCs/>
                <w:sz w:val="16"/>
                <w:szCs w:val="16"/>
              </w:rPr>
              <w:t xml:space="preserve">Dicho lo anterior, si bien el IFT establece en el Anteproyecto de Acuerdo y en su respectivo Análisis de Nulo Impacto Regulatorio que los formatos emitidos permitirán la entrega de información precisa y harán más eficiente el análisis de la información recibida por cada trámite o servicio, se reitera que, al imponer mayores cargas </w:t>
            </w:r>
            <w:r w:rsidRPr="00E62C27">
              <w:rPr>
                <w:rFonts w:ascii="ITC Avant Garde Std Bk" w:hAnsi="ITC Avant Garde Std Bk"/>
                <w:bCs/>
                <w:sz w:val="16"/>
                <w:szCs w:val="16"/>
              </w:rPr>
              <w:lastRenderedPageBreak/>
              <w:t>a los gobernados, que son adicionales a la legislación, los formatos no cumplen con los propósitos que el IFT señala en el Acuerdo de Anteproyecto.</w:t>
            </w:r>
          </w:p>
        </w:tc>
        <w:tc>
          <w:tcPr>
            <w:tcW w:w="4438" w:type="dxa"/>
            <w:tcBorders>
              <w:top w:val="single" w:sz="4" w:space="0" w:color="auto"/>
            </w:tcBorders>
            <w:shd w:val="clear" w:color="auto" w:fill="C2D69B"/>
          </w:tcPr>
          <w:p w14:paraId="508AED28" w14:textId="77777777" w:rsidR="007E538D" w:rsidRPr="007E538D" w:rsidRDefault="007E538D" w:rsidP="00D00389">
            <w:pPr>
              <w:jc w:val="both"/>
              <w:rPr>
                <w:rFonts w:ascii="ITC Avant Garde Std Bk" w:hAnsi="ITC Avant Garde Std Bk"/>
                <w:sz w:val="16"/>
                <w:szCs w:val="16"/>
              </w:rPr>
            </w:pPr>
            <w:r w:rsidRPr="007E538D">
              <w:rPr>
                <w:rFonts w:ascii="ITC Avant Garde Std Bk" w:hAnsi="ITC Avant Garde Std Bk"/>
                <w:sz w:val="16"/>
                <w:szCs w:val="16"/>
              </w:rPr>
              <w:lastRenderedPageBreak/>
              <w:t>Respecto del punto A., se reitera que el uso de los formatos es de carácter optativo, por lo que los agentes económicos pueden utilizarlos en sus promociones o hacerlas a través de escritos libres o de medios electrónicos, en caso de que estos últimos estén habilitados. En caso de que el agente económico considere que el formato requiere información innecesaria, onerosa o sin fundamento, puede libremente emplear alguna otra de las opciones mencionadas, sin detrimento de la atención que el Instituto da en todos los casos a cada asunto con estricto apego a la legalidad.</w:t>
            </w:r>
          </w:p>
          <w:p w14:paraId="7CB8F56A" w14:textId="77777777" w:rsidR="007E538D" w:rsidRPr="007E538D" w:rsidRDefault="007E538D" w:rsidP="00D00389">
            <w:pPr>
              <w:jc w:val="both"/>
              <w:rPr>
                <w:rFonts w:ascii="ITC Avant Garde Std Bk" w:hAnsi="ITC Avant Garde Std Bk"/>
                <w:sz w:val="16"/>
                <w:szCs w:val="16"/>
              </w:rPr>
            </w:pPr>
          </w:p>
          <w:p w14:paraId="5EABD433" w14:textId="77777777" w:rsidR="007E538D" w:rsidRPr="007E538D" w:rsidRDefault="007E538D" w:rsidP="00D00389">
            <w:pPr>
              <w:jc w:val="both"/>
              <w:rPr>
                <w:rFonts w:ascii="ITC Avant Garde Std Bk" w:hAnsi="ITC Avant Garde Std Bk"/>
                <w:sz w:val="16"/>
                <w:szCs w:val="16"/>
              </w:rPr>
            </w:pPr>
            <w:r w:rsidRPr="0019045E">
              <w:rPr>
                <w:rFonts w:ascii="ITC Avant Garde Std Bk" w:hAnsi="ITC Avant Garde Std Bk"/>
                <w:sz w:val="16"/>
                <w:szCs w:val="16"/>
              </w:rPr>
              <w:t>En lo que respecta a la aplicación del análisis de impacto regulatorio, en el caso particular de los formatos les fue aplicado el análisis de nulo impacto regulatorio por cumplir los requisitos que los Lineamientos de Consulta Pública y Análisis de Impacto Regulatorio del Instituto, en particular el Lineamiento Vigésimo Primero, señalan, entre los que se encuentra el de que dichos formatos no creen nuevas obligaciones o hagan más estrictas las existentes, por lo que no puede darse validez a la lógica del comentario de que la aplicación de dicho análisis implica que sí se crean nuevas obligaciones o se hacen más estrictas las existentes</w:t>
            </w:r>
            <w:r w:rsidRPr="007E538D">
              <w:rPr>
                <w:rFonts w:ascii="ITC Avant Garde Std Bk" w:hAnsi="ITC Avant Garde Std Bk"/>
                <w:sz w:val="16"/>
                <w:szCs w:val="16"/>
              </w:rPr>
              <w:t>.</w:t>
            </w:r>
          </w:p>
          <w:p w14:paraId="00F88990" w14:textId="77777777" w:rsidR="007E538D" w:rsidRPr="007E538D" w:rsidRDefault="007E538D" w:rsidP="00D00389">
            <w:pPr>
              <w:jc w:val="both"/>
              <w:rPr>
                <w:rFonts w:ascii="ITC Avant Garde Std Bk" w:hAnsi="ITC Avant Garde Std Bk"/>
                <w:sz w:val="16"/>
                <w:szCs w:val="16"/>
              </w:rPr>
            </w:pPr>
          </w:p>
          <w:p w14:paraId="59C21567" w14:textId="77777777" w:rsidR="007E538D" w:rsidRPr="007E538D" w:rsidRDefault="007E538D" w:rsidP="00D00389">
            <w:pPr>
              <w:jc w:val="both"/>
              <w:rPr>
                <w:rFonts w:ascii="ITC Avant Garde Std Bk" w:hAnsi="ITC Avant Garde Std Bk"/>
                <w:sz w:val="16"/>
                <w:szCs w:val="16"/>
              </w:rPr>
            </w:pPr>
            <w:r w:rsidRPr="007E538D">
              <w:rPr>
                <w:rFonts w:ascii="ITC Avant Garde Std Bk" w:hAnsi="ITC Avant Garde Std Bk"/>
                <w:sz w:val="16"/>
                <w:szCs w:val="16"/>
              </w:rPr>
              <w:t xml:space="preserve">En lo que toca a la simplificación del trámite, esta simplificación o disminución de costos se deriva de la agilidad que el Instituto puede imprimir al desahogo del procedimiento si desde un inicio cuenta con la información que emplea en el análisis que realiza en cada tipo de procedimiento, siempre con apego a la </w:t>
            </w:r>
            <w:r w:rsidRPr="007E538D">
              <w:rPr>
                <w:rFonts w:ascii="ITC Avant Garde Std Bk" w:hAnsi="ITC Avant Garde Std Bk"/>
                <w:sz w:val="16"/>
                <w:szCs w:val="16"/>
              </w:rPr>
              <w:lastRenderedPageBreak/>
              <w:t>Ley y sus disposiciones sustantivas y adjetivas. Los agentes económicos conservan la libertad de emplear los formatos o recurrir a las otras modalidades, si consideran que esto conviene a sus intereses.</w:t>
            </w:r>
          </w:p>
          <w:p w14:paraId="05BC0430" w14:textId="77777777" w:rsidR="007E538D" w:rsidRPr="007E538D" w:rsidRDefault="007E538D" w:rsidP="00D00389">
            <w:pPr>
              <w:jc w:val="both"/>
              <w:rPr>
                <w:rFonts w:ascii="ITC Avant Garde Std Bk" w:hAnsi="ITC Avant Garde Std Bk"/>
                <w:sz w:val="16"/>
                <w:szCs w:val="16"/>
              </w:rPr>
            </w:pPr>
          </w:p>
          <w:p w14:paraId="18F9565E" w14:textId="77777777" w:rsidR="007E538D" w:rsidRPr="007E538D" w:rsidRDefault="007E538D" w:rsidP="00D00389">
            <w:pPr>
              <w:jc w:val="both"/>
              <w:rPr>
                <w:rFonts w:ascii="ITC Avant Garde Std Bk" w:hAnsi="ITC Avant Garde Std Bk"/>
                <w:sz w:val="16"/>
                <w:szCs w:val="16"/>
              </w:rPr>
            </w:pPr>
            <w:r w:rsidRPr="007E538D">
              <w:rPr>
                <w:rFonts w:ascii="ITC Avant Garde Std Bk" w:hAnsi="ITC Avant Garde Std Bk"/>
                <w:sz w:val="16"/>
                <w:szCs w:val="16"/>
              </w:rPr>
              <w:t>En lo que toca la utilidad o la relación de la información que se solicita con los respectivos análisis que la autoridad debe efectuar en cada tipo de procedimiento, se remite al participante a las respuestas que se dan a cada comentario particular que manifestó, en las que el Instituto se extiende en la exposición de en qué consiste dicha utilidad o de qué manera se relaciona la información con el análisis requerido por Ley.</w:t>
            </w:r>
          </w:p>
          <w:p w14:paraId="30731F14" w14:textId="77777777" w:rsidR="007E538D" w:rsidRPr="007E538D" w:rsidRDefault="007E538D" w:rsidP="00D00389">
            <w:pPr>
              <w:jc w:val="both"/>
              <w:rPr>
                <w:rFonts w:ascii="ITC Avant Garde Std Bk" w:hAnsi="ITC Avant Garde Std Bk"/>
                <w:sz w:val="16"/>
                <w:szCs w:val="16"/>
              </w:rPr>
            </w:pPr>
          </w:p>
          <w:p w14:paraId="4B7C0E51" w14:textId="77777777" w:rsidR="007E538D" w:rsidRPr="007E538D" w:rsidRDefault="007E538D" w:rsidP="00D00389">
            <w:pPr>
              <w:jc w:val="both"/>
              <w:rPr>
                <w:rFonts w:ascii="ITC Avant Garde Std Bk" w:hAnsi="ITC Avant Garde Std Bk"/>
                <w:sz w:val="16"/>
                <w:szCs w:val="16"/>
              </w:rPr>
            </w:pPr>
            <w:r w:rsidRPr="007E538D">
              <w:rPr>
                <w:rFonts w:ascii="ITC Avant Garde Std Bk" w:hAnsi="ITC Avant Garde Std Bk"/>
                <w:sz w:val="16"/>
                <w:szCs w:val="16"/>
              </w:rPr>
              <w:t>Respecto del punto B. y en cuanto a los argumentos que vierte el participante respecto de que la emisión de los formatos debe ser subsecuente a o fundarse en la emisión de disposiciones regulatorias de las que establece el artículo 12, fracción XXII, de la LFCE, el Instituto concede que esta sería la vía idónea si los formatos fueran de observancia obligatoria, debido a que esa es precisamente la naturaleza de las disposiciones regulatorias que refiere. No obstante, lo anterior, no es este el caso que nos ocupa, pues los formatos son de uso optativo y se emiten como un instrumento de mejora regulatoria, a fin de emplear la simplificación administrativa como herramienta para hacer eficiente, agilizar e incluso transparentar la gestión del proceso relacionado con los trámites y servicios en materia de competencia económica.</w:t>
            </w:r>
          </w:p>
          <w:p w14:paraId="713E2146" w14:textId="77777777" w:rsidR="007E538D" w:rsidRPr="007E538D" w:rsidRDefault="007E538D" w:rsidP="00D00389">
            <w:pPr>
              <w:jc w:val="both"/>
              <w:rPr>
                <w:rFonts w:ascii="ITC Avant Garde Std Bk" w:hAnsi="ITC Avant Garde Std Bk"/>
                <w:sz w:val="16"/>
                <w:szCs w:val="16"/>
              </w:rPr>
            </w:pPr>
          </w:p>
          <w:p w14:paraId="778F7130" w14:textId="77777777" w:rsidR="0091544C" w:rsidRPr="00E349F1" w:rsidRDefault="007E538D" w:rsidP="00D00389">
            <w:pPr>
              <w:jc w:val="both"/>
              <w:rPr>
                <w:rFonts w:ascii="ITC Avant Garde Std Bk" w:hAnsi="ITC Avant Garde Std Bk"/>
                <w:sz w:val="16"/>
                <w:szCs w:val="16"/>
              </w:rPr>
            </w:pPr>
            <w:r w:rsidRPr="007E538D">
              <w:rPr>
                <w:rFonts w:ascii="ITC Avant Garde Std Bk" w:hAnsi="ITC Avant Garde Std Bk"/>
                <w:sz w:val="16"/>
                <w:szCs w:val="16"/>
              </w:rPr>
              <w:t>Finalmente, se aborda el señalamiento de que el Instituto debiera regular los medios elegidos por el gobernado para la presentación de las respectivas promociones a fin de que el uso de uno u otro no sea justificación o motivo de retraso de la resolución o beneficio que se esté solicitando. Al respecto se aclara que este Instituto considera que la mayor agilidad en el desahogo de los procedimientos que se deriva del uso optativo del formato tiene un origen meramente lógico, puesto que la autoridad cuenta desde un principio con la información que normalmente requiere, con base en la Ley, en cada uno de los respectivos procedimientos, lo que puede ahorrar tiempo y recursos que ambas partes lleguen a utilizar en el intercambio de mayores prevenciones y requerimientos, dependiendo del caso en particular que se esté analizando.</w:t>
            </w:r>
          </w:p>
        </w:tc>
      </w:tr>
    </w:tbl>
    <w:p w14:paraId="053E31CC" w14:textId="77777777" w:rsidR="0091544C" w:rsidRDefault="0091544C" w:rsidP="00D00389">
      <w:pPr>
        <w:pStyle w:val="Default"/>
        <w:jc w:val="both"/>
        <w:rPr>
          <w:rFonts w:ascii="ITC Avant Garde Std Bk" w:hAnsi="ITC Avant Garde Std Bk"/>
          <w:bCs/>
          <w:sz w:val="20"/>
          <w:szCs w:val="20"/>
          <w:lang w:eastAsia="en-US"/>
        </w:rPr>
      </w:pPr>
    </w:p>
    <w:p w14:paraId="3E0900FA" w14:textId="77777777" w:rsidR="008639BE" w:rsidRPr="007F5031" w:rsidRDefault="008639BE" w:rsidP="00D00389">
      <w:pPr>
        <w:pStyle w:val="Default"/>
        <w:jc w:val="both"/>
        <w:rPr>
          <w:rFonts w:ascii="ITC Avant Garde Std Bk" w:hAnsi="ITC Avant Garde Std Bk"/>
          <w:b/>
          <w:bCs/>
          <w:sz w:val="20"/>
          <w:szCs w:val="20"/>
          <w:u w:val="single"/>
          <w:lang w:eastAsia="en-US"/>
        </w:rPr>
      </w:pPr>
      <w:r>
        <w:rPr>
          <w:rFonts w:ascii="ITC Avant Garde Std Bk" w:hAnsi="ITC Avant Garde Std Bk"/>
          <w:bCs/>
          <w:sz w:val="20"/>
          <w:szCs w:val="20"/>
          <w:lang w:eastAsia="en-US"/>
        </w:rPr>
        <w:t xml:space="preserve">6.2.  </w:t>
      </w:r>
      <w:r w:rsidRPr="007F5031">
        <w:rPr>
          <w:rFonts w:ascii="ITC Avant Garde Std Bk" w:hAnsi="ITC Avant Garde Std Bk"/>
          <w:b/>
          <w:bCs/>
          <w:sz w:val="20"/>
          <w:szCs w:val="20"/>
          <w:u w:val="single"/>
          <w:lang w:eastAsia="en-US"/>
        </w:rPr>
        <w:t>A</w:t>
      </w:r>
      <w:r>
        <w:rPr>
          <w:rFonts w:ascii="ITC Avant Garde Std Bk" w:hAnsi="ITC Avant Garde Std Bk"/>
          <w:b/>
          <w:bCs/>
          <w:sz w:val="20"/>
          <w:szCs w:val="20"/>
          <w:u w:val="single"/>
          <w:lang w:eastAsia="en-US"/>
        </w:rPr>
        <w:t>nexo</w:t>
      </w:r>
      <w:r w:rsidR="0091544C">
        <w:rPr>
          <w:rFonts w:ascii="ITC Avant Garde Std Bk" w:hAnsi="ITC Avant Garde Std Bk"/>
          <w:b/>
          <w:bCs/>
          <w:sz w:val="20"/>
          <w:szCs w:val="20"/>
          <w:u w:val="single"/>
          <w:lang w:eastAsia="en-US"/>
        </w:rPr>
        <w:t xml:space="preserve"> B</w:t>
      </w:r>
    </w:p>
    <w:p w14:paraId="7A77548D" w14:textId="77777777" w:rsidR="008639BE" w:rsidRDefault="008639BE" w:rsidP="00D00389">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1271"/>
        <w:gridCol w:w="4253"/>
        <w:gridCol w:w="4438"/>
      </w:tblGrid>
      <w:tr w:rsidR="008639BE" w:rsidRPr="00887E2E" w14:paraId="172DF33F" w14:textId="77777777" w:rsidTr="001719B0">
        <w:tc>
          <w:tcPr>
            <w:tcW w:w="1271" w:type="dxa"/>
            <w:shd w:val="clear" w:color="auto" w:fill="296624"/>
          </w:tcPr>
          <w:p w14:paraId="4EF3AE57" w14:textId="77777777" w:rsidR="008639BE" w:rsidRDefault="008639BE" w:rsidP="00D00389">
            <w:pPr>
              <w:pStyle w:val="Default"/>
              <w:jc w:val="center"/>
              <w:rPr>
                <w:rFonts w:ascii="ITC Avant Garde Std Bk" w:hAnsi="ITC Avant Garde Std Bk"/>
                <w:bCs/>
                <w:color w:val="FFFFFF" w:themeColor="background1"/>
                <w:sz w:val="16"/>
                <w:szCs w:val="16"/>
              </w:rPr>
            </w:pPr>
          </w:p>
          <w:p w14:paraId="75742907" w14:textId="77777777" w:rsidR="008639BE" w:rsidRDefault="008639BE"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0456E131" w14:textId="77777777" w:rsidR="008639BE" w:rsidRPr="00887E2E" w:rsidRDefault="008639BE" w:rsidP="00D00389">
            <w:pPr>
              <w:pStyle w:val="Default"/>
              <w:jc w:val="center"/>
              <w:rPr>
                <w:color w:val="FFFFFF" w:themeColor="background1"/>
              </w:rPr>
            </w:pPr>
          </w:p>
        </w:tc>
        <w:tc>
          <w:tcPr>
            <w:tcW w:w="4253" w:type="dxa"/>
            <w:shd w:val="clear" w:color="auto" w:fill="296624"/>
          </w:tcPr>
          <w:p w14:paraId="1409BACB" w14:textId="77777777" w:rsidR="008639BE" w:rsidRDefault="008639BE" w:rsidP="00D00389">
            <w:pPr>
              <w:jc w:val="center"/>
              <w:rPr>
                <w:rFonts w:ascii="ITC Avant Garde Std Bk" w:hAnsi="ITC Avant Garde Std Bk"/>
                <w:bCs/>
                <w:color w:val="FFFFFF" w:themeColor="background1"/>
                <w:sz w:val="16"/>
                <w:szCs w:val="16"/>
              </w:rPr>
            </w:pPr>
          </w:p>
          <w:p w14:paraId="544FB4BE" w14:textId="77777777" w:rsidR="008639BE" w:rsidRPr="00887E2E" w:rsidRDefault="008639BE"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10D5C34E" w14:textId="77777777" w:rsidR="008639BE" w:rsidRDefault="008639BE" w:rsidP="00D00389">
            <w:pPr>
              <w:jc w:val="center"/>
              <w:rPr>
                <w:rFonts w:ascii="ITC Avant Garde Std Bk" w:hAnsi="ITC Avant Garde Std Bk"/>
                <w:bCs/>
                <w:color w:val="FFFFFF" w:themeColor="background1"/>
                <w:sz w:val="16"/>
                <w:szCs w:val="16"/>
              </w:rPr>
            </w:pPr>
          </w:p>
          <w:p w14:paraId="73B2387C" w14:textId="77777777" w:rsidR="008639BE" w:rsidRPr="00887E2E" w:rsidRDefault="008639BE"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8639BE" w:rsidRPr="00887E2E" w14:paraId="18989EC1" w14:textId="77777777" w:rsidTr="001719B0">
        <w:tc>
          <w:tcPr>
            <w:tcW w:w="1271" w:type="dxa"/>
            <w:vMerge w:val="restart"/>
            <w:shd w:val="clear" w:color="auto" w:fill="EAF1DD" w:themeFill="accent3" w:themeFillTint="33"/>
            <w:vAlign w:val="center"/>
          </w:tcPr>
          <w:p w14:paraId="58D977A6" w14:textId="77777777" w:rsidR="00494E7D" w:rsidRPr="00B165DD" w:rsidRDefault="00494E7D" w:rsidP="00D00389">
            <w:pPr>
              <w:jc w:val="center"/>
            </w:pPr>
            <w:r w:rsidRPr="007E69E2">
              <w:rPr>
                <w:rFonts w:ascii="ITC Avant Garde Std Bk" w:hAnsi="ITC Avant Garde Std Bk"/>
                <w:bCs/>
                <w:sz w:val="16"/>
                <w:szCs w:val="16"/>
              </w:rPr>
              <w:t>Carlos Mora Villalpando</w:t>
            </w:r>
          </w:p>
          <w:p w14:paraId="29D00B40" w14:textId="77777777" w:rsidR="008639BE" w:rsidRDefault="008639BE" w:rsidP="00D00389">
            <w:pPr>
              <w:jc w:val="center"/>
              <w:rPr>
                <w:rFonts w:ascii="ITC Avant Garde Std Bk" w:hAnsi="ITC Avant Garde Std Bk"/>
                <w:bCs/>
                <w:sz w:val="16"/>
                <w:szCs w:val="16"/>
              </w:rPr>
            </w:pPr>
          </w:p>
          <w:p w14:paraId="2D4C57F7" w14:textId="77777777" w:rsidR="008639BE" w:rsidRDefault="008639BE" w:rsidP="00D00389">
            <w:pPr>
              <w:jc w:val="center"/>
              <w:rPr>
                <w:rFonts w:ascii="ITC Avant Garde Std Bk" w:hAnsi="ITC Avant Garde Std Bk"/>
                <w:bCs/>
                <w:sz w:val="16"/>
                <w:szCs w:val="16"/>
              </w:rPr>
            </w:pPr>
          </w:p>
          <w:p w14:paraId="64D75DAB" w14:textId="77777777" w:rsidR="008639BE" w:rsidRDefault="008639BE" w:rsidP="00D00389">
            <w:pPr>
              <w:jc w:val="center"/>
              <w:rPr>
                <w:rFonts w:ascii="ITC Avant Garde Std Bk" w:hAnsi="ITC Avant Garde Std Bk"/>
                <w:bCs/>
                <w:sz w:val="16"/>
                <w:szCs w:val="16"/>
              </w:rPr>
            </w:pPr>
          </w:p>
          <w:p w14:paraId="35315924" w14:textId="77777777" w:rsidR="008639BE" w:rsidRDefault="008639BE" w:rsidP="00D00389">
            <w:pPr>
              <w:jc w:val="center"/>
              <w:rPr>
                <w:rFonts w:ascii="ITC Avant Garde Std Bk" w:hAnsi="ITC Avant Garde Std Bk"/>
                <w:bCs/>
                <w:sz w:val="16"/>
                <w:szCs w:val="16"/>
              </w:rPr>
            </w:pPr>
          </w:p>
          <w:p w14:paraId="413582C2" w14:textId="77777777" w:rsidR="008639BE" w:rsidRPr="00887E2E" w:rsidRDefault="008639BE" w:rsidP="00D00389">
            <w:pPr>
              <w:jc w:val="center"/>
            </w:pPr>
          </w:p>
        </w:tc>
        <w:tc>
          <w:tcPr>
            <w:tcW w:w="4253" w:type="dxa"/>
            <w:shd w:val="clear" w:color="auto" w:fill="D6E3BC" w:themeFill="accent3" w:themeFillTint="66"/>
          </w:tcPr>
          <w:p w14:paraId="6572766C" w14:textId="77777777" w:rsidR="00C35E5E" w:rsidRP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En la sección 2 del Anexo B se impone un campo de información de llenado obligatorio denominado “Relacionados por Parentesco” en el que solicita a cada una de las Personas Involucradas y de los Relacionados Accionistas que sean personas físicas identifique a las personas físicas con los que tengan parentesco por consanguinidad o por afinidad, que participen, directa o indirectamente, en sociedades, asociaciones o empresas …”. Asimismo, en la referida Sección 2, en el apartado de llenado obligatorio denominado “Relacionados por Participación” se obliga a los Agentes Económicos a identificar a los Relacionados por Parentesco con participaciones accionarias.</w:t>
            </w:r>
          </w:p>
          <w:p w14:paraId="7335F8C1" w14:textId="77777777" w:rsidR="00C35E5E" w:rsidRPr="00C35E5E" w:rsidRDefault="00C35E5E" w:rsidP="00D00389">
            <w:pPr>
              <w:jc w:val="both"/>
              <w:rPr>
                <w:rFonts w:ascii="ITC Avant Garde Std Bk" w:hAnsi="ITC Avant Garde Std Bk"/>
                <w:bCs/>
                <w:sz w:val="16"/>
                <w:szCs w:val="16"/>
              </w:rPr>
            </w:pPr>
          </w:p>
          <w:p w14:paraId="7894F70D" w14:textId="77777777" w:rsidR="00C35E5E" w:rsidRP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 xml:space="preserve">Es importante señalar que las relaciones de parentesco por consanguinidad o por afinidad de las personas físicas que participan en una concentración no se contemplan en los artículos 86, 89 o 92 de la LFCE como uno de los requisitos para la notificación de una concentración; ni en las DR correspondientes. </w:t>
            </w:r>
          </w:p>
          <w:p w14:paraId="05D6A024" w14:textId="77777777" w:rsidR="00C35E5E" w:rsidRPr="00C35E5E" w:rsidRDefault="00C35E5E" w:rsidP="00D00389">
            <w:pPr>
              <w:jc w:val="both"/>
              <w:rPr>
                <w:rFonts w:ascii="ITC Avant Garde Std Bk" w:hAnsi="ITC Avant Garde Std Bk"/>
                <w:bCs/>
                <w:sz w:val="16"/>
                <w:szCs w:val="16"/>
              </w:rPr>
            </w:pPr>
          </w:p>
          <w:p w14:paraId="0C04D8F3" w14:textId="4B4B55F7" w:rsidR="00C35E5E" w:rsidRP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Se considera que la naturaleza de la información y de datos sensibles requeridos en el Anexo B, en particular respecto a la identificación de las personas físicas que tengan vínculos por parentesco o por afinidad, no aportan utilidad al estudio o análisis en materia de competencia económica del trámite en cuestión, ya que no se aportan los elementos suficientes para justificar que una relación de parentesco en los términos solicitados en el Anexo B, representen un problema en materia</w:t>
            </w:r>
            <w:r w:rsidR="00D00389">
              <w:rPr>
                <w:rFonts w:ascii="ITC Avant Garde Std Bk" w:hAnsi="ITC Avant Garde Std Bk"/>
                <w:bCs/>
                <w:sz w:val="16"/>
                <w:szCs w:val="16"/>
              </w:rPr>
              <w:t xml:space="preserve"> </w:t>
            </w:r>
            <w:r w:rsidRPr="00C35E5E">
              <w:rPr>
                <w:rFonts w:ascii="ITC Avant Garde Std Bk" w:hAnsi="ITC Avant Garde Std Bk"/>
                <w:bCs/>
                <w:sz w:val="16"/>
                <w:szCs w:val="16"/>
              </w:rPr>
              <w:t>de competencia económica.</w:t>
            </w:r>
          </w:p>
          <w:p w14:paraId="31038DD0" w14:textId="77777777" w:rsidR="00C35E5E" w:rsidRPr="00C35E5E" w:rsidRDefault="00C35E5E" w:rsidP="00D00389">
            <w:pPr>
              <w:jc w:val="both"/>
              <w:rPr>
                <w:rFonts w:ascii="ITC Avant Garde Std Bk" w:hAnsi="ITC Avant Garde Std Bk"/>
                <w:bCs/>
                <w:sz w:val="16"/>
                <w:szCs w:val="16"/>
              </w:rPr>
            </w:pPr>
          </w:p>
          <w:p w14:paraId="70642C7E" w14:textId="77777777" w:rsidR="00C35E5E" w:rsidRP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 xml:space="preserve">Asimismo, se considera que el hecho de que el solicitante tenga la obligación de presentar información respecto de las personas físicas que tengan vínculos por parentesco o por afinidad genera una carga innecesaria y onerosa al gobernado, pues debe aportar información de terceros, con la que no cuenta necesariamente. </w:t>
            </w:r>
            <w:r w:rsidRPr="00C35E5E">
              <w:rPr>
                <w:rFonts w:ascii="ITC Avant Garde Std Bk" w:hAnsi="ITC Avant Garde Std Bk"/>
                <w:bCs/>
                <w:sz w:val="16"/>
                <w:szCs w:val="16"/>
              </w:rPr>
              <w:lastRenderedPageBreak/>
              <w:t>Adicionalmente, la presentación de dicha información genera un grado de confusión ya que se desconoce el criterio o la ley aplicable con el cual el IFT interpretaría la información, así como la finalidad específica para la que IFT utilizaría dicha información.</w:t>
            </w:r>
          </w:p>
          <w:p w14:paraId="4E0BC600" w14:textId="77777777" w:rsidR="00C35E5E" w:rsidRPr="00C35E5E" w:rsidRDefault="00C35E5E" w:rsidP="00D00389">
            <w:pPr>
              <w:jc w:val="both"/>
              <w:rPr>
                <w:rFonts w:ascii="ITC Avant Garde Std Bk" w:hAnsi="ITC Avant Garde Std Bk"/>
                <w:bCs/>
                <w:sz w:val="16"/>
                <w:szCs w:val="16"/>
              </w:rPr>
            </w:pPr>
          </w:p>
          <w:p w14:paraId="078BEB06" w14:textId="4754557C" w:rsidR="00C35E5E" w:rsidRP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Finalmente, de conformidad con el principio de certeza jurídica consagrado en el artículo 16 Constitucional, se considera que la fundamentación y motivación de la información que dicho anexo</w:t>
            </w:r>
            <w:r w:rsidR="00D00389">
              <w:rPr>
                <w:rFonts w:ascii="ITC Avant Garde Std Bk" w:hAnsi="ITC Avant Garde Std Bk"/>
                <w:bCs/>
                <w:sz w:val="16"/>
                <w:szCs w:val="16"/>
              </w:rPr>
              <w:t xml:space="preserve"> </w:t>
            </w:r>
            <w:r w:rsidRPr="00C35E5E">
              <w:rPr>
                <w:rFonts w:ascii="ITC Avant Garde Std Bk" w:hAnsi="ITC Avant Garde Std Bk"/>
                <w:bCs/>
                <w:sz w:val="16"/>
                <w:szCs w:val="16"/>
              </w:rPr>
              <w:t>requiere por parte del solicitante no es suficiente para brindar claridad al solicitante respecto de la relación o utilidad que guarda la información y datos sensibles requeridos en el trámite o procedimiento en particular.</w:t>
            </w:r>
          </w:p>
          <w:p w14:paraId="1DC40A7E" w14:textId="77777777" w:rsidR="00C35E5E" w:rsidRPr="00C35E5E" w:rsidRDefault="00C35E5E" w:rsidP="00D00389">
            <w:pPr>
              <w:jc w:val="both"/>
              <w:rPr>
                <w:rFonts w:ascii="ITC Avant Garde Std Bk" w:hAnsi="ITC Avant Garde Std Bk"/>
                <w:bCs/>
                <w:sz w:val="16"/>
                <w:szCs w:val="16"/>
              </w:rPr>
            </w:pPr>
          </w:p>
          <w:p w14:paraId="361542C2" w14:textId="0AE62DDA" w:rsidR="008639BE" w:rsidRPr="00DE6B98"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En todo caso, en el formato, el IFT debería justificar la utilidad de la información solicitada. Esto porque si el objetivo del formato de trámite es facilitar la autorización de una concentración,</w:t>
            </w:r>
            <w:r w:rsidR="00D00389">
              <w:rPr>
                <w:rFonts w:ascii="ITC Avant Garde Std Bk" w:hAnsi="ITC Avant Garde Std Bk"/>
                <w:bCs/>
                <w:sz w:val="16"/>
                <w:szCs w:val="16"/>
              </w:rPr>
              <w:t xml:space="preserve"> </w:t>
            </w:r>
            <w:r w:rsidRPr="00C35E5E">
              <w:rPr>
                <w:rFonts w:ascii="ITC Avant Garde Std Bk" w:hAnsi="ITC Avant Garde Std Bk"/>
                <w:bCs/>
                <w:sz w:val="16"/>
                <w:szCs w:val="16"/>
              </w:rPr>
              <w:t>entonces, el gobernado debe tener toda la información necesaria para entender, sin recurrir a otras fuentes, la necesidad de la información.</w:t>
            </w:r>
          </w:p>
        </w:tc>
        <w:tc>
          <w:tcPr>
            <w:tcW w:w="4438" w:type="dxa"/>
            <w:shd w:val="clear" w:color="auto" w:fill="D6E3BC" w:themeFill="accent3" w:themeFillTint="66"/>
          </w:tcPr>
          <w:p w14:paraId="18E621AE" w14:textId="02997B5A" w:rsid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lastRenderedPageBreak/>
              <w:t>Debe entenderse que el artículo 89 de la LFCE se refiere a agentes económicos en su dimensión de Grupos de Interés Económico, concepto que abarca el tipo de relaciones de parentesco de que trata este apartado.</w:t>
            </w:r>
          </w:p>
          <w:p w14:paraId="551DD534" w14:textId="77777777" w:rsidR="00D00389" w:rsidRPr="00C35E5E" w:rsidRDefault="00D00389" w:rsidP="00D00389">
            <w:pPr>
              <w:jc w:val="both"/>
              <w:rPr>
                <w:rFonts w:ascii="ITC Avant Garde Std Bk" w:hAnsi="ITC Avant Garde Std Bk"/>
                <w:bCs/>
                <w:sz w:val="16"/>
                <w:szCs w:val="16"/>
              </w:rPr>
            </w:pPr>
          </w:p>
          <w:p w14:paraId="4FA6BC45" w14:textId="77777777" w:rsid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Al respecto, el artículo 63, en particular la fracción IV, establece también que el Instituto debe considerar la participación de los agentes económicos involucrados en otros agentes, por lo que son estos dos preceptos los que respaldan la solicitud de la información sobre "Relacionados por Parentesco".</w:t>
            </w:r>
          </w:p>
          <w:p w14:paraId="4A91756A" w14:textId="77777777" w:rsidR="00494E7D" w:rsidRPr="00C35E5E" w:rsidRDefault="00494E7D" w:rsidP="00D00389">
            <w:pPr>
              <w:jc w:val="both"/>
              <w:rPr>
                <w:rFonts w:ascii="ITC Avant Garde Std Bk" w:hAnsi="ITC Avant Garde Std Bk"/>
                <w:bCs/>
                <w:sz w:val="16"/>
                <w:szCs w:val="16"/>
              </w:rPr>
            </w:pPr>
          </w:p>
          <w:p w14:paraId="49522EE3" w14:textId="77777777" w:rsid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El objeto de contar co</w:t>
            </w:r>
            <w:r w:rsidR="00494E7D">
              <w:rPr>
                <w:rFonts w:ascii="ITC Avant Garde Std Bk" w:hAnsi="ITC Avant Garde Std Bk"/>
                <w:bCs/>
                <w:sz w:val="16"/>
                <w:szCs w:val="16"/>
              </w:rPr>
              <w:t>n esta información es que el Instituto</w:t>
            </w:r>
            <w:r w:rsidRPr="00C35E5E">
              <w:rPr>
                <w:rFonts w:ascii="ITC Avant Garde Std Bk" w:hAnsi="ITC Avant Garde Std Bk"/>
                <w:bCs/>
                <w:sz w:val="16"/>
                <w:szCs w:val="16"/>
              </w:rPr>
              <w:t xml:space="preserve">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70DD89F6" w14:textId="77777777" w:rsidR="00494E7D" w:rsidRPr="00C35E5E" w:rsidRDefault="00494E7D" w:rsidP="00D00389">
            <w:pPr>
              <w:jc w:val="both"/>
              <w:rPr>
                <w:rFonts w:ascii="ITC Avant Garde Std Bk" w:hAnsi="ITC Avant Garde Std Bk"/>
                <w:bCs/>
                <w:sz w:val="16"/>
                <w:szCs w:val="16"/>
              </w:rPr>
            </w:pPr>
          </w:p>
          <w:p w14:paraId="7E0297DA" w14:textId="77777777" w:rsid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Respecto de este tema se puede consultar la Guía para el Control de Concentraciones en los Sectores de las TyR, adoptada el 28 de junio de 2017 mediante acuerdo del Pleno del Instituto, en particular su apartado 5.7, sobre los requisitos que debe contener el escrito de notificación, así como sus apartados 2.3 y 2.4 sobre el análisis de Grupo de Interés Económico y de Control e Influencia.</w:t>
            </w:r>
            <w:r w:rsidR="00494E7D">
              <w:rPr>
                <w:rFonts w:ascii="ITC Avant Garde Std Bk" w:hAnsi="ITC Avant Garde Std Bk"/>
                <w:bCs/>
                <w:sz w:val="16"/>
                <w:szCs w:val="16"/>
              </w:rPr>
              <w:t xml:space="preserve"> </w:t>
            </w:r>
            <w:r w:rsidRPr="00C35E5E">
              <w:rPr>
                <w:rFonts w:ascii="ITC Avant Garde Std Bk" w:hAnsi="ITC Avant Garde Std Bk"/>
                <w:bCs/>
                <w:sz w:val="16"/>
                <w:szCs w:val="16"/>
              </w:rPr>
              <w:t>En cuanto a que la información sobre personas físicas vinculadas por parentesco o afinidad puede contener datos sensibles, el apartado 7 del Anexo ofrece al solicitante la posibilidad de indicar la información que se considere confidencial a fin de que el Instituto la clasifique como tal, siempre y cuando se expliquen las razones de y se acredite que tiene este carácter.</w:t>
            </w:r>
          </w:p>
          <w:p w14:paraId="44887F34" w14:textId="77777777" w:rsidR="00494E7D" w:rsidRPr="00C35E5E" w:rsidRDefault="00494E7D" w:rsidP="00D00389">
            <w:pPr>
              <w:jc w:val="both"/>
              <w:rPr>
                <w:rFonts w:ascii="ITC Avant Garde Std Bk" w:hAnsi="ITC Avant Garde Std Bk"/>
                <w:bCs/>
                <w:sz w:val="16"/>
                <w:szCs w:val="16"/>
              </w:rPr>
            </w:pPr>
          </w:p>
          <w:p w14:paraId="4384D538" w14:textId="77777777" w:rsidR="00C35E5E"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 xml:space="preserve">Respecto de que el solicitante no cuente necesariamente con la información que se solicita, esta información se entiende accesible al Interesado derivado de los vínculos que pudiera mantener con los agentes económicos relacionados. No obstante, </w:t>
            </w:r>
            <w:r w:rsidRPr="00C35E5E">
              <w:rPr>
                <w:rFonts w:ascii="ITC Avant Garde Std Bk" w:hAnsi="ITC Avant Garde Std Bk"/>
                <w:bCs/>
                <w:sz w:val="16"/>
                <w:szCs w:val="16"/>
              </w:rPr>
              <w:lastRenderedPageBreak/>
              <w:t xml:space="preserve">de contar con alguna imposibilidad para presentar la información en los términos que se solicita, puede exponer las razones y acreditar, a satisfacción del Instituto, dicha imposibilidad jurídica </w:t>
            </w:r>
            <w:r w:rsidR="00494E7D" w:rsidRPr="00C35E5E">
              <w:rPr>
                <w:rFonts w:ascii="ITC Avant Garde Std Bk" w:hAnsi="ITC Avant Garde Std Bk"/>
                <w:bCs/>
                <w:sz w:val="16"/>
                <w:szCs w:val="16"/>
              </w:rPr>
              <w:t>o,</w:t>
            </w:r>
            <w:r w:rsidRPr="00C35E5E">
              <w:rPr>
                <w:rFonts w:ascii="ITC Avant Garde Std Bk" w:hAnsi="ITC Avant Garde Std Bk"/>
                <w:bCs/>
                <w:sz w:val="16"/>
                <w:szCs w:val="16"/>
              </w:rPr>
              <w:t xml:space="preserve"> de hecho.</w:t>
            </w:r>
          </w:p>
          <w:p w14:paraId="59F48B53" w14:textId="77777777" w:rsidR="00494E7D" w:rsidRPr="00C35E5E" w:rsidRDefault="00494E7D" w:rsidP="00D00389">
            <w:pPr>
              <w:jc w:val="both"/>
              <w:rPr>
                <w:rFonts w:ascii="ITC Avant Garde Std Bk" w:hAnsi="ITC Avant Garde Std Bk"/>
                <w:bCs/>
                <w:sz w:val="16"/>
                <w:szCs w:val="16"/>
              </w:rPr>
            </w:pPr>
          </w:p>
          <w:p w14:paraId="1591E205" w14:textId="77777777" w:rsidR="008639BE" w:rsidRPr="008B3D71" w:rsidRDefault="00C35E5E" w:rsidP="00D00389">
            <w:pPr>
              <w:jc w:val="both"/>
              <w:rPr>
                <w:rFonts w:ascii="ITC Avant Garde Std Bk" w:hAnsi="ITC Avant Garde Std Bk"/>
                <w:bCs/>
                <w:sz w:val="16"/>
                <w:szCs w:val="16"/>
              </w:rPr>
            </w:pPr>
            <w:r w:rsidRPr="00C35E5E">
              <w:rPr>
                <w:rFonts w:ascii="ITC Avant Garde Std Bk" w:hAnsi="ITC Avant Garde Std Bk"/>
                <w:bCs/>
                <w:sz w:val="16"/>
                <w:szCs w:val="16"/>
              </w:rPr>
              <w:t>Finalmente, como se señala claramente en el proyecto de acuerdo, los formatos son una herramienta para hacer más eficientes los trámites a cargo del instituto, así como facilitar su presentación y disminuir las cargas administrativas de los regulados. Todos los formatos son de carácter optativo, por lo que los agentes económicos pueden utilizarlos en sus promociones o hacerlas a través de escritos libres o de medios electrónicos, en caso de que estos últimos estén habilitados, lo que lleva a concluir que de ninguna manera generan una carga innecesaria u onerosa al gobernado.</w:t>
            </w:r>
          </w:p>
        </w:tc>
      </w:tr>
      <w:tr w:rsidR="008639BE" w:rsidRPr="00887E2E" w14:paraId="58262256" w14:textId="77777777" w:rsidTr="00D00389">
        <w:trPr>
          <w:trHeight w:val="1264"/>
        </w:trPr>
        <w:tc>
          <w:tcPr>
            <w:tcW w:w="1271" w:type="dxa"/>
            <w:vMerge/>
            <w:shd w:val="clear" w:color="auto" w:fill="EAF1DD" w:themeFill="accent3" w:themeFillTint="33"/>
          </w:tcPr>
          <w:p w14:paraId="320F09C9" w14:textId="77777777" w:rsidR="008639BE" w:rsidRDefault="008639BE" w:rsidP="00D00389">
            <w:pPr>
              <w:jc w:val="center"/>
              <w:rPr>
                <w:rFonts w:ascii="ITC Avant Garde Std Bk" w:hAnsi="ITC Avant Garde Std Bk"/>
                <w:bCs/>
                <w:sz w:val="16"/>
                <w:szCs w:val="16"/>
              </w:rPr>
            </w:pPr>
          </w:p>
        </w:tc>
        <w:tc>
          <w:tcPr>
            <w:tcW w:w="4253" w:type="dxa"/>
            <w:shd w:val="clear" w:color="auto" w:fill="C2D69B" w:themeFill="accent3" w:themeFillTint="99"/>
          </w:tcPr>
          <w:p w14:paraId="78D0954E"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Se refiere a los comentarios generales III “A” y III “B”, a saber:</w:t>
            </w:r>
          </w:p>
          <w:p w14:paraId="74FCDAE7" w14:textId="77777777" w:rsidR="00494E7D" w:rsidRPr="00494E7D" w:rsidRDefault="00494E7D" w:rsidP="00D00389">
            <w:pPr>
              <w:jc w:val="both"/>
              <w:rPr>
                <w:rFonts w:ascii="ITC Avant Garde Std Bk" w:hAnsi="ITC Avant Garde Std Bk"/>
                <w:bCs/>
                <w:sz w:val="16"/>
                <w:szCs w:val="16"/>
              </w:rPr>
            </w:pPr>
          </w:p>
          <w:p w14:paraId="2366BCA4"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las solicitudes y procedimientos que se pretenden simplificar. Con ello, los formatos, generan cargas innecesarias, onerosas, pero sobre todo ausentes de fundamento legal al gobernado.</w:t>
            </w:r>
          </w:p>
          <w:p w14:paraId="375FA8A2" w14:textId="77777777" w:rsidR="00494E7D" w:rsidRPr="00494E7D" w:rsidRDefault="00494E7D" w:rsidP="00D00389">
            <w:pPr>
              <w:jc w:val="both"/>
              <w:rPr>
                <w:rFonts w:ascii="ITC Avant Garde Std Bk" w:hAnsi="ITC Avant Garde Std Bk"/>
                <w:bCs/>
                <w:sz w:val="16"/>
                <w:szCs w:val="16"/>
              </w:rPr>
            </w:pPr>
          </w:p>
          <w:p w14:paraId="6BD52C82" w14:textId="4E728E4F" w:rsid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w:t>
            </w:r>
          </w:p>
          <w:p w14:paraId="1BCA517B" w14:textId="77777777" w:rsidR="00D00389" w:rsidRPr="00494E7D" w:rsidRDefault="00D00389" w:rsidP="00D00389">
            <w:pPr>
              <w:jc w:val="both"/>
              <w:rPr>
                <w:rFonts w:ascii="ITC Avant Garde Std Bk" w:hAnsi="ITC Avant Garde Std Bk"/>
                <w:bCs/>
                <w:sz w:val="16"/>
                <w:szCs w:val="16"/>
              </w:rPr>
            </w:pPr>
          </w:p>
          <w:p w14:paraId="6C197960"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 xml:space="preserve">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w:t>
            </w:r>
            <w:r w:rsidRPr="00494E7D">
              <w:rPr>
                <w:rFonts w:ascii="ITC Avant Garde Std Bk" w:hAnsi="ITC Avant Garde Std Bk"/>
                <w:bCs/>
                <w:sz w:val="16"/>
                <w:szCs w:val="16"/>
              </w:rPr>
              <w:lastRenderedPageBreak/>
              <w:t>simplifican los trámites existentes en la LFCE y la LFTyR. Esto de conformidad con lo expuesto en el presente documento.</w:t>
            </w:r>
          </w:p>
          <w:p w14:paraId="28524559" w14:textId="77777777" w:rsidR="00494E7D" w:rsidRPr="00494E7D" w:rsidRDefault="00494E7D" w:rsidP="00D00389">
            <w:pPr>
              <w:jc w:val="both"/>
              <w:rPr>
                <w:rFonts w:ascii="ITC Avant Garde Std Bk" w:hAnsi="ITC Avant Garde Std Bk"/>
                <w:bCs/>
                <w:sz w:val="16"/>
                <w:szCs w:val="16"/>
              </w:rPr>
            </w:pPr>
          </w:p>
          <w:p w14:paraId="773B2957"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33ADEFC8" w14:textId="77777777" w:rsidR="00494E7D" w:rsidRPr="00494E7D" w:rsidRDefault="00494E7D" w:rsidP="00D00389">
            <w:pPr>
              <w:jc w:val="both"/>
              <w:rPr>
                <w:rFonts w:ascii="ITC Avant Garde Std Bk" w:hAnsi="ITC Avant Garde Std Bk"/>
                <w:bCs/>
                <w:sz w:val="16"/>
                <w:szCs w:val="16"/>
              </w:rPr>
            </w:pPr>
          </w:p>
          <w:p w14:paraId="32D4AB31"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23B840FB" w14:textId="77777777" w:rsidR="00494E7D" w:rsidRPr="00494E7D" w:rsidRDefault="00494E7D" w:rsidP="00D00389">
            <w:pPr>
              <w:jc w:val="both"/>
              <w:rPr>
                <w:rFonts w:ascii="ITC Avant Garde Std Bk" w:hAnsi="ITC Avant Garde Std Bk"/>
                <w:bCs/>
                <w:sz w:val="16"/>
                <w:szCs w:val="16"/>
              </w:rPr>
            </w:pPr>
          </w:p>
          <w:p w14:paraId="6EA1B047"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4BF47E7E" w14:textId="77777777" w:rsidR="00494E7D" w:rsidRPr="00494E7D" w:rsidRDefault="00494E7D" w:rsidP="00D00389">
            <w:pPr>
              <w:jc w:val="both"/>
              <w:rPr>
                <w:rFonts w:ascii="ITC Avant Garde Std Bk" w:hAnsi="ITC Avant Garde Std Bk"/>
                <w:bCs/>
                <w:sz w:val="16"/>
                <w:szCs w:val="16"/>
              </w:rPr>
            </w:pPr>
          </w:p>
          <w:p w14:paraId="7DA5746C"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4F704C78" w14:textId="77777777" w:rsidR="00494E7D" w:rsidRPr="00494E7D" w:rsidRDefault="00494E7D" w:rsidP="00D00389">
            <w:pPr>
              <w:jc w:val="both"/>
              <w:rPr>
                <w:rFonts w:ascii="ITC Avant Garde Std Bk" w:hAnsi="ITC Avant Garde Std Bk"/>
                <w:bCs/>
                <w:sz w:val="16"/>
                <w:szCs w:val="16"/>
              </w:rPr>
            </w:pPr>
          </w:p>
          <w:p w14:paraId="22326D8A"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w:t>
            </w:r>
            <w:r w:rsidRPr="00494E7D">
              <w:rPr>
                <w:rFonts w:ascii="ITC Avant Garde Std Bk" w:hAnsi="ITC Avant Garde Std Bk"/>
                <w:bCs/>
                <w:sz w:val="16"/>
                <w:szCs w:val="16"/>
              </w:rPr>
              <w:lastRenderedPageBreak/>
              <w:t xml:space="preserve">por lo que respetuosamente se sugiere a ese IFT dotar de legalidad a los anexos2 emitidos y estrictamente sujetarlos a lo establecido en la LFTyR, la LFCE y las DR. Es decir, en el artículo 15, fracciones I, XLI y LVI de la LFTyR y el artículo 12 fracción XXII de la LFCE. Los mencionados artículos prevén los instrumentos regulatorios que el Instituto podrá expedir para reglamentar su actuar. </w:t>
            </w:r>
          </w:p>
          <w:p w14:paraId="03A107BA" w14:textId="77777777" w:rsidR="00494E7D" w:rsidRPr="00494E7D" w:rsidRDefault="00494E7D" w:rsidP="00D00389">
            <w:pPr>
              <w:jc w:val="both"/>
              <w:rPr>
                <w:rFonts w:ascii="ITC Avant Garde Std Bk" w:hAnsi="ITC Avant Garde Std Bk"/>
                <w:bCs/>
                <w:sz w:val="16"/>
                <w:szCs w:val="16"/>
              </w:rPr>
            </w:pPr>
          </w:p>
          <w:p w14:paraId="70C4E039" w14:textId="34D83543"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lineamientos que el Instituto está obligado a emitir, tienen el objetivo de fortalecer el estado de derecho a través de criterios objetivos que</w:t>
            </w:r>
            <w:r w:rsidR="00D00389">
              <w:rPr>
                <w:rFonts w:ascii="ITC Avant Garde Std Bk" w:hAnsi="ITC Avant Garde Std Bk"/>
                <w:bCs/>
                <w:sz w:val="16"/>
                <w:szCs w:val="16"/>
              </w:rPr>
              <w:t xml:space="preserve"> </w:t>
            </w:r>
            <w:r w:rsidRPr="00494E7D">
              <w:rPr>
                <w:rFonts w:ascii="ITC Avant Garde Std Bk" w:hAnsi="ITC Avant Garde Std Bk"/>
                <w:bCs/>
                <w:sz w:val="16"/>
                <w:szCs w:val="16"/>
              </w:rPr>
              <w:t>permitan al gobernado conocer el proceder de la autoridad y evitara la actuación arbitraria de la misma.</w:t>
            </w:r>
          </w:p>
          <w:p w14:paraId="4BDAD421" w14:textId="77777777" w:rsidR="00494E7D" w:rsidRPr="00494E7D" w:rsidRDefault="00494E7D" w:rsidP="00D00389">
            <w:pPr>
              <w:jc w:val="both"/>
              <w:rPr>
                <w:rFonts w:ascii="ITC Avant Garde Std Bk" w:hAnsi="ITC Avant Garde Std Bk"/>
                <w:bCs/>
                <w:sz w:val="16"/>
                <w:szCs w:val="16"/>
              </w:rPr>
            </w:pPr>
          </w:p>
          <w:p w14:paraId="616123EC" w14:textId="00D43F3D"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r w:rsidR="00D00389">
              <w:rPr>
                <w:rFonts w:ascii="ITC Avant Garde Std Bk" w:hAnsi="ITC Avant Garde Std Bk"/>
                <w:bCs/>
                <w:sz w:val="16"/>
                <w:szCs w:val="16"/>
              </w:rPr>
              <w:t xml:space="preserve"> </w:t>
            </w:r>
            <w:r w:rsidRPr="00494E7D">
              <w:rPr>
                <w:rFonts w:ascii="ITC Avant Garde Std Bk" w:hAnsi="ITC Avant Garde Std Bk"/>
                <w:bCs/>
                <w:sz w:val="16"/>
                <w:szCs w:val="16"/>
              </w:rPr>
              <w:t>Disposiciones y no simplemente mediante la emisión de formatos no previstos en ningún tipo de instrumento normativo.</w:t>
            </w:r>
          </w:p>
          <w:p w14:paraId="66AC0666" w14:textId="77777777" w:rsidR="00494E7D" w:rsidRPr="00494E7D" w:rsidRDefault="00494E7D" w:rsidP="00D00389">
            <w:pPr>
              <w:jc w:val="both"/>
              <w:rPr>
                <w:rFonts w:ascii="ITC Avant Garde Std Bk" w:hAnsi="ITC Avant Garde Std Bk"/>
                <w:bCs/>
                <w:sz w:val="16"/>
                <w:szCs w:val="16"/>
              </w:rPr>
            </w:pPr>
          </w:p>
          <w:p w14:paraId="707E65F2"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3C19EE86" w14:textId="77777777" w:rsidR="00494E7D" w:rsidRPr="00494E7D" w:rsidRDefault="00494E7D" w:rsidP="00D00389">
            <w:pPr>
              <w:jc w:val="both"/>
              <w:rPr>
                <w:rFonts w:ascii="ITC Avant Garde Std Bk" w:hAnsi="ITC Avant Garde Std Bk"/>
                <w:bCs/>
                <w:sz w:val="16"/>
                <w:szCs w:val="16"/>
              </w:rPr>
            </w:pPr>
          </w:p>
          <w:p w14:paraId="49E05D07"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 xml:space="preserve">Por tanto, el espíritu del legislador fue establecer la obligación del Órgano regulador correspondiente de construir la regulación pertinente para conseguir el mayor grado de previsibilidad posible al prever instrumentos que complementen el </w:t>
            </w:r>
            <w:r w:rsidRPr="00494E7D">
              <w:rPr>
                <w:rFonts w:ascii="ITC Avant Garde Std Bk" w:hAnsi="ITC Avant Garde Std Bk"/>
                <w:bCs/>
                <w:sz w:val="16"/>
                <w:szCs w:val="16"/>
              </w:rPr>
              <w:lastRenderedPageBreak/>
              <w:t>desarrollo normativo y la certeza jurídica en la aplicación de la ley.</w:t>
            </w:r>
          </w:p>
          <w:p w14:paraId="0B6BA247" w14:textId="77777777" w:rsidR="00D00389" w:rsidRDefault="00D00389" w:rsidP="00D00389">
            <w:pPr>
              <w:jc w:val="both"/>
              <w:rPr>
                <w:rFonts w:ascii="ITC Avant Garde Std Bk" w:hAnsi="ITC Avant Garde Std Bk"/>
                <w:bCs/>
                <w:sz w:val="16"/>
                <w:szCs w:val="16"/>
              </w:rPr>
            </w:pPr>
          </w:p>
          <w:p w14:paraId="3F5DA0EC" w14:textId="698AC31A"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w:t>
            </w:r>
          </w:p>
          <w:p w14:paraId="05F34D3D" w14:textId="77777777" w:rsidR="00494E7D" w:rsidRPr="00494E7D" w:rsidRDefault="00494E7D" w:rsidP="00D00389">
            <w:pPr>
              <w:jc w:val="both"/>
              <w:rPr>
                <w:rFonts w:ascii="ITC Avant Garde Std Bk" w:hAnsi="ITC Avant Garde Std Bk"/>
                <w:bCs/>
                <w:sz w:val="16"/>
                <w:szCs w:val="16"/>
              </w:rPr>
            </w:pPr>
          </w:p>
          <w:p w14:paraId="61E6C5EB"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B. Tomando en cuenta la motivación del IFT para la emisión de los formatos que se detallan en el Anteproyecto de Acuerdo, es decir, con el objeto de hacer más eficientes los trámites y servicios a cargo del Instituto, así como facilitar su presentación y disminuir cargas administrativas, se considera respetuosamente que el Instituto habrá de (i) reglamentar el uso de los formatos; y (ii) asegurar la resolución de las solicitudes presentadas en formatos tradicionales, por ejemplo “escrito libre”, sin ningún tipo de consecuencia negativa en la resolución, ya sea en cuanto a la decisión tomada por el IFT o en cuanto a tiempo de respuesta del mismo a la solicitud de los gobernados.</w:t>
            </w:r>
          </w:p>
          <w:p w14:paraId="6D43C161" w14:textId="77777777" w:rsidR="00494E7D" w:rsidRPr="00494E7D" w:rsidRDefault="00494E7D" w:rsidP="00D00389">
            <w:pPr>
              <w:jc w:val="both"/>
              <w:rPr>
                <w:rFonts w:ascii="ITC Avant Garde Std Bk" w:hAnsi="ITC Avant Garde Std Bk"/>
                <w:bCs/>
                <w:sz w:val="16"/>
                <w:szCs w:val="16"/>
              </w:rPr>
            </w:pPr>
          </w:p>
          <w:p w14:paraId="5B5E8D7D" w14:textId="7777777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En ese sentido, la reglamentación oportuna y correcta de los formatos, será una herramienta para asegurar que el IFT actuará imparcialmente y procurará la simplificación administrativa y eficiencia en su gestión, sin tomar en cuenta el formato elegido por los gobernados para la presentación de solicitudes en materia de competencia económica.</w:t>
            </w:r>
          </w:p>
          <w:p w14:paraId="36726BE9" w14:textId="77777777" w:rsidR="00D00389" w:rsidRDefault="00D00389" w:rsidP="00D00389">
            <w:pPr>
              <w:jc w:val="both"/>
              <w:rPr>
                <w:rFonts w:ascii="ITC Avant Garde Std Bk" w:hAnsi="ITC Avant Garde Std Bk"/>
                <w:bCs/>
                <w:sz w:val="16"/>
                <w:szCs w:val="16"/>
              </w:rPr>
            </w:pPr>
          </w:p>
          <w:p w14:paraId="5566D9F0" w14:textId="3B3D36F7" w:rsidR="00494E7D" w:rsidRPr="00494E7D"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Por consiguiente, se considera oportuno que el IFT asegure mediante la regulación correspondiente que el medio elegido por el gobernado, es decir el “escrito libre” o el “formato”, no será justificación o motivo de retraso de la resolución o beneficio que se esté solicitando en virtud de la falta de claridad en los requerimientos que se deben presentar al momento gestionar un trámite o servicio; pues los mencionados requerimientos de los formatos no se encuentran previstos en normas de observancia general al establecerse en la LFCE y la LFTyR.</w:t>
            </w:r>
          </w:p>
          <w:p w14:paraId="65C3AABF" w14:textId="77777777" w:rsidR="00494E7D" w:rsidRPr="00494E7D" w:rsidRDefault="00494E7D" w:rsidP="00D00389">
            <w:pPr>
              <w:jc w:val="both"/>
              <w:rPr>
                <w:rFonts w:ascii="ITC Avant Garde Std Bk" w:hAnsi="ITC Avant Garde Std Bk"/>
                <w:bCs/>
                <w:sz w:val="16"/>
                <w:szCs w:val="16"/>
              </w:rPr>
            </w:pPr>
          </w:p>
          <w:p w14:paraId="1E7A4412" w14:textId="77777777" w:rsidR="008639BE" w:rsidRDefault="00494E7D" w:rsidP="00D00389">
            <w:pPr>
              <w:jc w:val="both"/>
              <w:rPr>
                <w:rFonts w:ascii="ITC Avant Garde Std Bk" w:hAnsi="ITC Avant Garde Std Bk"/>
                <w:bCs/>
                <w:sz w:val="16"/>
                <w:szCs w:val="16"/>
              </w:rPr>
            </w:pPr>
            <w:r w:rsidRPr="00494E7D">
              <w:rPr>
                <w:rFonts w:ascii="ITC Avant Garde Std Bk" w:hAnsi="ITC Avant Garde Std Bk"/>
                <w:bCs/>
                <w:sz w:val="16"/>
                <w:szCs w:val="16"/>
              </w:rPr>
              <w:t xml:space="preserve">Dicho lo anterior, si bien el IFT establece en el Anteproyecto de Acuerdo y en su respectivo Análisis de Nulo Impacto Regulatorio que los formatos emitidos permitirán la entrega de información precisa y harán más eficiente el análisis </w:t>
            </w:r>
            <w:r w:rsidRPr="00494E7D">
              <w:rPr>
                <w:rFonts w:ascii="ITC Avant Garde Std Bk" w:hAnsi="ITC Avant Garde Std Bk"/>
                <w:bCs/>
                <w:sz w:val="16"/>
                <w:szCs w:val="16"/>
              </w:rPr>
              <w:lastRenderedPageBreak/>
              <w:t>de la información recibida por cada trámite o servicio, se reitera que, al imponer mayores cargas a los gobernados, que son adicionales a la legislación, los formatos no cumplen con los propósitos que el IFT señala en el Acuerdo de Anteproyecto.</w:t>
            </w:r>
          </w:p>
        </w:tc>
        <w:tc>
          <w:tcPr>
            <w:tcW w:w="4438" w:type="dxa"/>
            <w:shd w:val="clear" w:color="auto" w:fill="C2D69B" w:themeFill="accent3" w:themeFillTint="99"/>
            <w:vAlign w:val="center"/>
          </w:tcPr>
          <w:p w14:paraId="2841AE83" w14:textId="77777777" w:rsidR="007E538D" w:rsidRPr="007E538D" w:rsidRDefault="007E538D" w:rsidP="00D00389">
            <w:pPr>
              <w:jc w:val="both"/>
              <w:rPr>
                <w:rFonts w:ascii="ITC Avant Garde Std Bk" w:hAnsi="ITC Avant Garde Std Bk"/>
                <w:bCs/>
                <w:sz w:val="16"/>
                <w:szCs w:val="16"/>
              </w:rPr>
            </w:pPr>
            <w:r w:rsidRPr="007E538D">
              <w:rPr>
                <w:rFonts w:ascii="ITC Avant Garde Std Bk" w:hAnsi="ITC Avant Garde Std Bk"/>
                <w:bCs/>
                <w:sz w:val="16"/>
                <w:szCs w:val="16"/>
              </w:rPr>
              <w:lastRenderedPageBreak/>
              <w:t xml:space="preserve">Respecto del punto A., se reitera que el uso de los formatos es de carácter optativo, por lo que los agentes económicos pueden utilizarlos en sus promociones o hacerlas a través de escritos libres o de medios electrónicos, en caso de que estos últimos </w:t>
            </w:r>
            <w:r w:rsidR="00E40AC0" w:rsidRPr="007E538D">
              <w:rPr>
                <w:rFonts w:ascii="ITC Avant Garde Std Bk" w:hAnsi="ITC Avant Garde Std Bk"/>
                <w:bCs/>
                <w:sz w:val="16"/>
                <w:szCs w:val="16"/>
              </w:rPr>
              <w:t>estén</w:t>
            </w:r>
            <w:r w:rsidRPr="007E538D">
              <w:rPr>
                <w:rFonts w:ascii="ITC Avant Garde Std Bk" w:hAnsi="ITC Avant Garde Std Bk"/>
                <w:bCs/>
                <w:sz w:val="16"/>
                <w:szCs w:val="16"/>
              </w:rPr>
              <w:t xml:space="preserve"> habilitados. En caso de que el agente económico considere que el formato requiere información innecesaria, onerosa o sin fundamento, puede libremente emplear alguna otra de las opciones mencionadas, sin detrimento de la atención que el Instituto da en todos los casos a cada asunto con estricto apego a la legalidad.</w:t>
            </w:r>
          </w:p>
          <w:p w14:paraId="7AD0ABA8" w14:textId="77777777" w:rsidR="007E538D" w:rsidRPr="007E538D" w:rsidRDefault="007E538D" w:rsidP="00D00389">
            <w:pPr>
              <w:jc w:val="both"/>
              <w:rPr>
                <w:rFonts w:ascii="ITC Avant Garde Std Bk" w:hAnsi="ITC Avant Garde Std Bk"/>
                <w:bCs/>
                <w:sz w:val="16"/>
                <w:szCs w:val="16"/>
              </w:rPr>
            </w:pPr>
          </w:p>
          <w:p w14:paraId="32564498" w14:textId="77777777" w:rsidR="007E538D" w:rsidRPr="007E538D" w:rsidRDefault="007E538D" w:rsidP="00D00389">
            <w:pPr>
              <w:jc w:val="both"/>
              <w:rPr>
                <w:rFonts w:ascii="ITC Avant Garde Std Bk" w:hAnsi="ITC Avant Garde Std Bk"/>
                <w:bCs/>
                <w:sz w:val="16"/>
                <w:szCs w:val="16"/>
              </w:rPr>
            </w:pPr>
            <w:r w:rsidRPr="007E538D">
              <w:rPr>
                <w:rFonts w:ascii="ITC Avant Garde Std Bk" w:hAnsi="ITC Avant Garde Std Bk"/>
                <w:bCs/>
                <w:sz w:val="16"/>
                <w:szCs w:val="16"/>
              </w:rPr>
              <w:t>En lo que respecta a la aplicación del análisis de impacto regulatorio, en el caso particular de los formatos les fue aplicado el análisis de nulo impacto regulatorio por cumplir los requisitos que los Lineamientos de Consulta Pública y Análisis de Impacto Regulatorio del Instituto, en particular el Lineamiento Vigésimo Primero, señalan, entre los que se encuentra el de que dichos formatos no creen nuevas obligaciones o hagan más estrictas las existentes, por lo que no puede darse validez a la lógica del comentario de que la aplicación de dicho análisis implica que sí se crean nuevas obligaciones o se hacen más estrictas las existentes.</w:t>
            </w:r>
          </w:p>
          <w:p w14:paraId="329238BC" w14:textId="77777777" w:rsidR="007E538D" w:rsidRPr="007E538D" w:rsidRDefault="007E538D" w:rsidP="00D00389">
            <w:pPr>
              <w:jc w:val="both"/>
              <w:rPr>
                <w:rFonts w:ascii="ITC Avant Garde Std Bk" w:hAnsi="ITC Avant Garde Std Bk"/>
                <w:bCs/>
                <w:sz w:val="16"/>
                <w:szCs w:val="16"/>
              </w:rPr>
            </w:pPr>
          </w:p>
          <w:p w14:paraId="2E976302" w14:textId="77777777" w:rsidR="007E538D" w:rsidRPr="007E538D" w:rsidRDefault="007E538D" w:rsidP="00D00389">
            <w:pPr>
              <w:jc w:val="both"/>
              <w:rPr>
                <w:rFonts w:ascii="ITC Avant Garde Std Bk" w:hAnsi="ITC Avant Garde Std Bk"/>
                <w:bCs/>
                <w:sz w:val="16"/>
                <w:szCs w:val="16"/>
              </w:rPr>
            </w:pPr>
            <w:r w:rsidRPr="007E538D">
              <w:rPr>
                <w:rFonts w:ascii="ITC Avant Garde Std Bk" w:hAnsi="ITC Avant Garde Std Bk"/>
                <w:bCs/>
                <w:sz w:val="16"/>
                <w:szCs w:val="16"/>
              </w:rPr>
              <w:t xml:space="preserve">En lo que toca a la simplificación del trámite, esta simplificación o disminución de costos se deriva de la agilidad que el Instituto puede imprimir al desahogo </w:t>
            </w:r>
            <w:r w:rsidRPr="007E538D">
              <w:rPr>
                <w:rFonts w:ascii="ITC Avant Garde Std Bk" w:hAnsi="ITC Avant Garde Std Bk"/>
                <w:bCs/>
                <w:sz w:val="16"/>
                <w:szCs w:val="16"/>
              </w:rPr>
              <w:lastRenderedPageBreak/>
              <w:t>del procedimiento si desde un inicio cuenta con la información que emplea en el análisis que realiza en cada tipo de procedimiento, siempre con apego a la Ley y sus disposiciones sustantivas y adjetivas. Los agentes económicos conservan la libertad de emplear los formatos o recurrir a las otras modalidades, si consideran que esto conviene a sus intereses.</w:t>
            </w:r>
          </w:p>
          <w:p w14:paraId="00BE0DFC" w14:textId="77777777" w:rsidR="007E538D" w:rsidRPr="007E538D" w:rsidRDefault="007E538D" w:rsidP="00D00389">
            <w:pPr>
              <w:jc w:val="both"/>
              <w:rPr>
                <w:rFonts w:ascii="ITC Avant Garde Std Bk" w:hAnsi="ITC Avant Garde Std Bk"/>
                <w:bCs/>
                <w:sz w:val="16"/>
                <w:szCs w:val="16"/>
              </w:rPr>
            </w:pPr>
          </w:p>
          <w:p w14:paraId="162B3040" w14:textId="77777777" w:rsidR="007E538D" w:rsidRPr="007E538D" w:rsidRDefault="007E538D" w:rsidP="00D00389">
            <w:pPr>
              <w:jc w:val="both"/>
              <w:rPr>
                <w:rFonts w:ascii="ITC Avant Garde Std Bk" w:hAnsi="ITC Avant Garde Std Bk"/>
                <w:bCs/>
                <w:sz w:val="16"/>
                <w:szCs w:val="16"/>
              </w:rPr>
            </w:pPr>
            <w:r w:rsidRPr="007E538D">
              <w:rPr>
                <w:rFonts w:ascii="ITC Avant Garde Std Bk" w:hAnsi="ITC Avant Garde Std Bk"/>
                <w:bCs/>
                <w:sz w:val="16"/>
                <w:szCs w:val="16"/>
              </w:rPr>
              <w:t>En lo que toca la utilidad o la relación de la información que se solicita con los respectivos análisis que la autoridad debe efectuar en cada tipo de procedimiento, se remite al participante a las respuestas que se dan a cada comentario particular que manifestó, en las que el Instituto se extiende en la exposición de en qué consiste dicha utilidad o de qué manera se relaciona la información con el análisis requerido por Ley.</w:t>
            </w:r>
          </w:p>
          <w:p w14:paraId="11E6C778" w14:textId="77777777" w:rsidR="007E538D" w:rsidRPr="007E538D" w:rsidRDefault="007E538D" w:rsidP="00D00389">
            <w:pPr>
              <w:jc w:val="both"/>
              <w:rPr>
                <w:rFonts w:ascii="ITC Avant Garde Std Bk" w:hAnsi="ITC Avant Garde Std Bk"/>
                <w:bCs/>
                <w:sz w:val="16"/>
                <w:szCs w:val="16"/>
              </w:rPr>
            </w:pPr>
          </w:p>
          <w:p w14:paraId="5D7EF8C2" w14:textId="77777777" w:rsidR="007E538D" w:rsidRPr="007E538D" w:rsidRDefault="007E538D" w:rsidP="00D00389">
            <w:pPr>
              <w:jc w:val="both"/>
              <w:rPr>
                <w:rFonts w:ascii="ITC Avant Garde Std Bk" w:hAnsi="ITC Avant Garde Std Bk"/>
                <w:bCs/>
                <w:sz w:val="16"/>
                <w:szCs w:val="16"/>
              </w:rPr>
            </w:pPr>
            <w:r w:rsidRPr="007E538D">
              <w:rPr>
                <w:rFonts w:ascii="ITC Avant Garde Std Bk" w:hAnsi="ITC Avant Garde Std Bk"/>
                <w:bCs/>
                <w:sz w:val="16"/>
                <w:szCs w:val="16"/>
              </w:rPr>
              <w:t>Respecto del punto B. y en cuanto a los argumentos que vierte el participante respecto de que la emisión de los formatos debe ser subsecuente a o fundarse en la emisión de disposiciones regulatorias de las que establece el artículo 12, fracción XXII, de la LFCE, el Instituto concede que esta sería la vía idónea si los formatos fueran de observancia obligatoria, debido a que esa es precisamente la naturaleza de las disposiciones regulatorias que refiere. No obstante, lo anterior, no es este el caso que nos ocupa, pues los formatos son de uso optativo y se emiten como un instrumento de mejora regulatoria, a fin de emplear la simplificación administrativa como herramienta para hacer eficiente, agilizar e incluso transparentar la gestión del proceso relacionado con los trámites y servicios en materia de competencia económica.</w:t>
            </w:r>
          </w:p>
          <w:p w14:paraId="6B1A0879" w14:textId="77777777" w:rsidR="007E538D" w:rsidRPr="007E538D" w:rsidRDefault="007E538D" w:rsidP="00D00389">
            <w:pPr>
              <w:jc w:val="both"/>
              <w:rPr>
                <w:rFonts w:ascii="ITC Avant Garde Std Bk" w:hAnsi="ITC Avant Garde Std Bk"/>
                <w:bCs/>
                <w:sz w:val="16"/>
                <w:szCs w:val="16"/>
              </w:rPr>
            </w:pPr>
          </w:p>
          <w:p w14:paraId="60C3F1F5" w14:textId="77777777" w:rsidR="008639BE" w:rsidRPr="00B43089" w:rsidRDefault="007E538D" w:rsidP="00D00389">
            <w:pPr>
              <w:jc w:val="both"/>
              <w:rPr>
                <w:rFonts w:ascii="ITC Avant Garde Std Bk" w:hAnsi="ITC Avant Garde Std Bk"/>
                <w:bCs/>
                <w:sz w:val="16"/>
                <w:szCs w:val="16"/>
                <w:highlight w:val="yellow"/>
              </w:rPr>
            </w:pPr>
            <w:r w:rsidRPr="007E538D">
              <w:rPr>
                <w:rFonts w:ascii="ITC Avant Garde Std Bk" w:hAnsi="ITC Avant Garde Std Bk"/>
                <w:bCs/>
                <w:sz w:val="16"/>
                <w:szCs w:val="16"/>
              </w:rPr>
              <w:t>Finalmente, se aborda el señalamiento de que el Instituto debiera regular los medios elegidos por el gobernado para la presentación de las respectivas promociones a fin de que el uso de uno u otro no sea justificación o motivo de retraso de la resolución o beneficio que se esté solicitando. Al respecto se aclara que este Instituto considera que la mayor agilidad en el desahogo de los procedimientos que se deriva del uso optativo del formato tiene un origen meramente lógico, puesto que la autoridad cuenta desde un principio con la información que normalmente requiere, con base en la Ley, en cada uno de los respectivos procedimientos, lo que puede ahorrar tiempo y recursos que ambas partes lleguen a utilizar en el intercambio de mayores prevenciones y requerimientos, dependiendo del caso en particular que se esté analizando.</w:t>
            </w:r>
          </w:p>
        </w:tc>
      </w:tr>
    </w:tbl>
    <w:p w14:paraId="4A003161" w14:textId="77777777" w:rsidR="008639BE" w:rsidRDefault="008639BE" w:rsidP="00D00389">
      <w:pPr>
        <w:pStyle w:val="Default"/>
        <w:jc w:val="both"/>
        <w:rPr>
          <w:rFonts w:ascii="ITC Avant Garde Std Bk" w:hAnsi="ITC Avant Garde Std Bk"/>
          <w:bCs/>
          <w:sz w:val="20"/>
          <w:szCs w:val="20"/>
          <w:lang w:eastAsia="en-US"/>
        </w:rPr>
      </w:pPr>
    </w:p>
    <w:p w14:paraId="047344E9" w14:textId="77777777" w:rsidR="008639BE" w:rsidRDefault="008639BE" w:rsidP="00D00389">
      <w:pPr>
        <w:pStyle w:val="Default"/>
        <w:jc w:val="both"/>
        <w:rPr>
          <w:rFonts w:ascii="ITC Avant Garde Std Bk" w:hAnsi="ITC Avant Garde Std Bk"/>
          <w:bCs/>
          <w:sz w:val="20"/>
          <w:szCs w:val="20"/>
          <w:lang w:eastAsia="en-US"/>
        </w:rPr>
      </w:pPr>
      <w:r w:rsidRPr="00164865">
        <w:rPr>
          <w:rFonts w:ascii="ITC Avant Garde Std Bk" w:hAnsi="ITC Avant Garde Std Bk"/>
          <w:bCs/>
          <w:sz w:val="20"/>
          <w:szCs w:val="20"/>
          <w:lang w:eastAsia="en-US"/>
        </w:rPr>
        <w:t>6.</w:t>
      </w:r>
      <w:r>
        <w:rPr>
          <w:rFonts w:ascii="ITC Avant Garde Std Bk" w:hAnsi="ITC Avant Garde Std Bk"/>
          <w:bCs/>
          <w:sz w:val="20"/>
          <w:szCs w:val="20"/>
          <w:lang w:eastAsia="en-US"/>
        </w:rPr>
        <w:t xml:space="preserve">3. </w:t>
      </w:r>
      <w:r w:rsidRPr="007F5031">
        <w:rPr>
          <w:rFonts w:ascii="ITC Avant Garde Std Bk" w:hAnsi="ITC Avant Garde Std Bk"/>
          <w:b/>
          <w:bCs/>
          <w:sz w:val="20"/>
          <w:szCs w:val="20"/>
          <w:u w:val="single"/>
          <w:lang w:eastAsia="en-US"/>
        </w:rPr>
        <w:t>A</w:t>
      </w:r>
      <w:r>
        <w:rPr>
          <w:rFonts w:ascii="ITC Avant Garde Std Bk" w:hAnsi="ITC Avant Garde Std Bk"/>
          <w:b/>
          <w:bCs/>
          <w:sz w:val="20"/>
          <w:szCs w:val="20"/>
          <w:u w:val="single"/>
          <w:lang w:eastAsia="en-US"/>
        </w:rPr>
        <w:t>nexo</w:t>
      </w:r>
      <w:r w:rsidRPr="007F5031">
        <w:rPr>
          <w:rFonts w:ascii="ITC Avant Garde Std Bk" w:hAnsi="ITC Avant Garde Std Bk"/>
          <w:b/>
          <w:bCs/>
          <w:sz w:val="20"/>
          <w:szCs w:val="20"/>
          <w:u w:val="single"/>
          <w:lang w:eastAsia="en-US"/>
        </w:rPr>
        <w:t xml:space="preserve"> </w:t>
      </w:r>
      <w:r w:rsidR="00E202C3">
        <w:rPr>
          <w:rFonts w:ascii="ITC Avant Garde Std Bk" w:hAnsi="ITC Avant Garde Std Bk"/>
          <w:b/>
          <w:bCs/>
          <w:sz w:val="20"/>
          <w:szCs w:val="20"/>
          <w:u w:val="single"/>
          <w:lang w:eastAsia="en-US"/>
        </w:rPr>
        <w:t>C</w:t>
      </w:r>
    </w:p>
    <w:p w14:paraId="55275CFC" w14:textId="77777777" w:rsidR="008639BE" w:rsidRDefault="008639BE" w:rsidP="00D00389">
      <w:pPr>
        <w:pStyle w:val="Default"/>
        <w:jc w:val="both"/>
        <w:rPr>
          <w:rFonts w:ascii="ITC Avant Garde Std Bk" w:hAnsi="ITC Avant Garde Std Bk"/>
          <w:bCs/>
          <w:sz w:val="20"/>
          <w:szCs w:val="20"/>
          <w:lang w:eastAsia="en-US"/>
        </w:rPr>
      </w:pPr>
    </w:p>
    <w:tbl>
      <w:tblPr>
        <w:tblStyle w:val="Tablaconcuadrcula"/>
        <w:tblW w:w="0" w:type="auto"/>
        <w:tblLayout w:type="fixed"/>
        <w:tblLook w:val="04A0" w:firstRow="1" w:lastRow="0" w:firstColumn="1" w:lastColumn="0" w:noHBand="0" w:noVBand="1"/>
      </w:tblPr>
      <w:tblGrid>
        <w:gridCol w:w="1271"/>
        <w:gridCol w:w="4253"/>
        <w:gridCol w:w="4438"/>
      </w:tblGrid>
      <w:tr w:rsidR="008639BE" w:rsidRPr="00887E2E" w14:paraId="31BB247F" w14:textId="77777777" w:rsidTr="001719B0">
        <w:tc>
          <w:tcPr>
            <w:tcW w:w="1271" w:type="dxa"/>
            <w:shd w:val="clear" w:color="auto" w:fill="296624"/>
          </w:tcPr>
          <w:p w14:paraId="62270E2E" w14:textId="77777777" w:rsidR="008639BE" w:rsidRDefault="008639BE" w:rsidP="00D00389">
            <w:pPr>
              <w:pStyle w:val="Default"/>
              <w:jc w:val="center"/>
              <w:rPr>
                <w:rFonts w:ascii="ITC Avant Garde Std Bk" w:hAnsi="ITC Avant Garde Std Bk"/>
                <w:bCs/>
                <w:color w:val="FFFFFF" w:themeColor="background1"/>
                <w:sz w:val="16"/>
                <w:szCs w:val="16"/>
              </w:rPr>
            </w:pPr>
          </w:p>
          <w:p w14:paraId="0F57E45D" w14:textId="77777777" w:rsidR="008639BE" w:rsidRDefault="008639BE"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39E07B9C" w14:textId="77777777" w:rsidR="008639BE" w:rsidRPr="00887E2E" w:rsidRDefault="008639BE" w:rsidP="00D00389">
            <w:pPr>
              <w:pStyle w:val="Default"/>
              <w:jc w:val="center"/>
              <w:rPr>
                <w:color w:val="FFFFFF" w:themeColor="background1"/>
              </w:rPr>
            </w:pPr>
          </w:p>
        </w:tc>
        <w:tc>
          <w:tcPr>
            <w:tcW w:w="4253" w:type="dxa"/>
            <w:shd w:val="clear" w:color="auto" w:fill="296624"/>
          </w:tcPr>
          <w:p w14:paraId="73F2CF82" w14:textId="77777777" w:rsidR="008639BE" w:rsidRDefault="008639BE" w:rsidP="00D00389">
            <w:pPr>
              <w:jc w:val="center"/>
              <w:rPr>
                <w:rFonts w:ascii="ITC Avant Garde Std Bk" w:hAnsi="ITC Avant Garde Std Bk"/>
                <w:bCs/>
                <w:color w:val="FFFFFF" w:themeColor="background1"/>
                <w:sz w:val="16"/>
                <w:szCs w:val="16"/>
              </w:rPr>
            </w:pPr>
          </w:p>
          <w:p w14:paraId="450FA523" w14:textId="77777777" w:rsidR="008639BE" w:rsidRPr="00887E2E" w:rsidRDefault="008639BE"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043F13C0" w14:textId="77777777" w:rsidR="008639BE" w:rsidRDefault="008639BE" w:rsidP="00D00389">
            <w:pPr>
              <w:jc w:val="center"/>
              <w:rPr>
                <w:rFonts w:ascii="ITC Avant Garde Std Bk" w:hAnsi="ITC Avant Garde Std Bk"/>
                <w:bCs/>
                <w:color w:val="FFFFFF" w:themeColor="background1"/>
                <w:sz w:val="16"/>
                <w:szCs w:val="16"/>
              </w:rPr>
            </w:pPr>
          </w:p>
          <w:p w14:paraId="02E54CAC" w14:textId="77777777" w:rsidR="008639BE" w:rsidRPr="00887E2E" w:rsidRDefault="008639BE"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8639BE" w:rsidRPr="00DE6B98" w14:paraId="1400B637" w14:textId="77777777" w:rsidTr="001719B0">
        <w:tc>
          <w:tcPr>
            <w:tcW w:w="1271" w:type="dxa"/>
            <w:vMerge w:val="restart"/>
            <w:shd w:val="clear" w:color="auto" w:fill="EAF1DD" w:themeFill="accent3" w:themeFillTint="33"/>
            <w:vAlign w:val="center"/>
          </w:tcPr>
          <w:p w14:paraId="7373F6F3" w14:textId="77777777" w:rsidR="00E202C3" w:rsidRDefault="00E202C3" w:rsidP="00D00389">
            <w:pPr>
              <w:jc w:val="center"/>
              <w:rPr>
                <w:rFonts w:ascii="ITC Avant Garde Std Bk" w:hAnsi="ITC Avant Garde Std Bk"/>
                <w:bCs/>
                <w:sz w:val="16"/>
                <w:szCs w:val="16"/>
              </w:rPr>
            </w:pPr>
          </w:p>
          <w:p w14:paraId="42D5BED0" w14:textId="77777777" w:rsidR="008639BE" w:rsidRDefault="00E202C3" w:rsidP="00D00389">
            <w:pPr>
              <w:jc w:val="center"/>
              <w:rPr>
                <w:rFonts w:ascii="ITC Avant Garde Std Bk" w:hAnsi="ITC Avant Garde Std Bk"/>
                <w:bCs/>
                <w:sz w:val="16"/>
                <w:szCs w:val="16"/>
              </w:rPr>
            </w:pPr>
            <w:r w:rsidRPr="00E202C3">
              <w:rPr>
                <w:rFonts w:ascii="ITC Avant Garde Std Bk" w:hAnsi="ITC Avant Garde Std Bk"/>
                <w:bCs/>
                <w:sz w:val="16"/>
                <w:szCs w:val="16"/>
              </w:rPr>
              <w:t>Cablevisión, S.A. de C.V., Operbes, S.A. de C.V., Cablemás Telecomunicaciones, S.A. de C.V., México Red de Telecomunicaciones, S. de R.L. de C.V., Televisión Internacional, S.A. de C.V., Cablevisión Red, S.A. de C.V., y TV Cable de Oriente, S.A. de C.V.</w:t>
            </w:r>
          </w:p>
        </w:tc>
        <w:tc>
          <w:tcPr>
            <w:tcW w:w="4253" w:type="dxa"/>
            <w:shd w:val="clear" w:color="auto" w:fill="D6E3BC" w:themeFill="accent3" w:themeFillTint="66"/>
          </w:tcPr>
          <w:p w14:paraId="1D061931" w14:textId="08AA3175" w:rsidR="008639BE" w:rsidRDefault="00E202C3" w:rsidP="00D00389">
            <w:pPr>
              <w:jc w:val="both"/>
              <w:rPr>
                <w:rFonts w:ascii="ITC Avant Garde Std Bk" w:hAnsi="ITC Avant Garde Std Bk"/>
                <w:bCs/>
                <w:sz w:val="16"/>
                <w:szCs w:val="16"/>
              </w:rPr>
            </w:pPr>
            <w:r w:rsidRPr="00E202C3">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E202C3">
              <w:rPr>
                <w:rFonts w:ascii="ITC Avant Garde Std Bk" w:hAnsi="ITC Avant Garde Std Bk"/>
                <w:bCs/>
                <w:sz w:val="16"/>
                <w:szCs w:val="16"/>
              </w:rPr>
              <w:t>“Parentesco”</w:t>
            </w:r>
          </w:p>
          <w:p w14:paraId="04380F81" w14:textId="77777777" w:rsidR="00D00389" w:rsidRDefault="00D00389" w:rsidP="00D00389">
            <w:pPr>
              <w:jc w:val="both"/>
              <w:rPr>
                <w:rFonts w:ascii="ITC Avant Garde Std Bk" w:hAnsi="ITC Avant Garde Std Bk"/>
                <w:bCs/>
                <w:sz w:val="16"/>
                <w:szCs w:val="16"/>
              </w:rPr>
            </w:pPr>
          </w:p>
          <w:p w14:paraId="0E01284C" w14:textId="77777777" w:rsidR="00E202C3" w:rsidRPr="005F5943" w:rsidRDefault="00E202C3" w:rsidP="00D00389">
            <w:pPr>
              <w:jc w:val="both"/>
              <w:rPr>
                <w:rFonts w:ascii="ITC Avant Garde Std Bk" w:hAnsi="ITC Avant Garde Std Bk"/>
                <w:bCs/>
                <w:sz w:val="16"/>
                <w:szCs w:val="16"/>
              </w:rPr>
            </w:pPr>
            <w:r w:rsidRPr="00E202C3">
              <w:rPr>
                <w:rFonts w:ascii="ITC Avant Garde Std Bk" w:hAnsi="ITC Avant Garde Std Bk"/>
                <w:bCs/>
                <w:sz w:val="16"/>
                <w:szCs w:val="16"/>
              </w:rPr>
              <w:t>El apartado solicita información del parentesco de consanguinidad o por afinidad que participen, directa o indirectamente, en sociedades, asociaciones o empresas que lleven a cabo actividades en los sectores de telecomunicaciones o radiodifusión y/o que cuenten con algún título de concesión, permiso o autorización. No obstante, se considera que dicho apartado excede los requisitos del artículo 98 de la LFCE y 123 de las Disposiciones Regulatorias,2 ya que el mismo no incluye que dicha información debe ser entregada. Asimismo, no se especifica el objeto de que la Autoridad cuente con la citada información.</w:t>
            </w:r>
          </w:p>
        </w:tc>
        <w:tc>
          <w:tcPr>
            <w:tcW w:w="4438" w:type="dxa"/>
            <w:shd w:val="clear" w:color="auto" w:fill="D6E3BC" w:themeFill="accent3" w:themeFillTint="66"/>
            <w:vAlign w:val="center"/>
          </w:tcPr>
          <w:p w14:paraId="5D73A7A0" w14:textId="77777777" w:rsidR="00E202C3" w:rsidRDefault="00E202C3" w:rsidP="00D00389">
            <w:pPr>
              <w:jc w:val="both"/>
              <w:rPr>
                <w:rFonts w:ascii="ITC Avant Garde Std Bk" w:hAnsi="ITC Avant Garde Std Bk"/>
                <w:bCs/>
                <w:sz w:val="16"/>
                <w:szCs w:val="16"/>
              </w:rPr>
            </w:pPr>
            <w:r w:rsidRPr="00E202C3">
              <w:rPr>
                <w:rFonts w:ascii="ITC Avant Garde Std Bk" w:hAnsi="ITC Avant Garde Std Bk"/>
                <w:bCs/>
                <w:sz w:val="16"/>
                <w:szCs w:val="16"/>
              </w:rPr>
              <w:t xml:space="preserve">El artículo 98, fracción III, de la LFCE establece que en la emisión de la opinión el Instituto debe aplicar en lo conducente los artículos 63 y 64 de la misma Ley. Dicho artículo 63, en particular </w:t>
            </w:r>
            <w:r>
              <w:rPr>
                <w:rFonts w:ascii="ITC Avant Garde Std Bk" w:hAnsi="ITC Avant Garde Std Bk"/>
                <w:bCs/>
                <w:sz w:val="16"/>
                <w:szCs w:val="16"/>
              </w:rPr>
              <w:t xml:space="preserve">en </w:t>
            </w:r>
            <w:r w:rsidRPr="00E202C3">
              <w:rPr>
                <w:rFonts w:ascii="ITC Avant Garde Std Bk" w:hAnsi="ITC Avant Garde Std Bk"/>
                <w:bCs/>
                <w:sz w:val="16"/>
                <w:szCs w:val="16"/>
              </w:rPr>
              <w:t xml:space="preserve">su fracción IV, dispone la elaboración de un análisis amplio de la participación de los agentes económicos involucrados en la concentración (en este caso de permisos, concesiones o análogos) en otros agentes y la participación de otros agentes en los involucrados. </w:t>
            </w:r>
          </w:p>
          <w:p w14:paraId="38F291EC" w14:textId="77777777" w:rsidR="00E202C3" w:rsidRDefault="00E202C3" w:rsidP="00D00389">
            <w:pPr>
              <w:jc w:val="both"/>
              <w:rPr>
                <w:rFonts w:ascii="ITC Avant Garde Std Bk" w:hAnsi="ITC Avant Garde Std Bk"/>
                <w:bCs/>
                <w:sz w:val="16"/>
                <w:szCs w:val="16"/>
              </w:rPr>
            </w:pPr>
          </w:p>
          <w:p w14:paraId="4CD4DAAF" w14:textId="77777777" w:rsidR="00E202C3" w:rsidRDefault="00E202C3" w:rsidP="00D00389">
            <w:pPr>
              <w:jc w:val="both"/>
              <w:rPr>
                <w:rFonts w:ascii="ITC Avant Garde Std Bk" w:hAnsi="ITC Avant Garde Std Bk"/>
                <w:bCs/>
                <w:sz w:val="16"/>
                <w:szCs w:val="16"/>
              </w:rPr>
            </w:pPr>
            <w:r w:rsidRPr="00E202C3">
              <w:rPr>
                <w:rFonts w:ascii="ITC Avant Garde Std Bk" w:hAnsi="ITC Avant Garde Std Bk"/>
                <w:bCs/>
                <w:sz w:val="16"/>
                <w:szCs w:val="16"/>
              </w:rPr>
              <w:t>En estos preceptos legales mencionados debe entenderse que los agentes económicos se evalúan en su dimensión de Grupo de Interés Económico, cuya determinación debe incluir el análisis de los vínculos de parentesco (para mayor referencia sobre el tema, favor de consultar los apartados 2.3 y 2.4 de la Guía para el Control de Concentraciones en los Sectores de las TyR, adoptada el 28 de junio de 2017).</w:t>
            </w:r>
          </w:p>
          <w:p w14:paraId="1CD63E26" w14:textId="77777777" w:rsidR="00E202C3" w:rsidRPr="00E202C3" w:rsidRDefault="00E202C3" w:rsidP="00D00389">
            <w:pPr>
              <w:jc w:val="both"/>
              <w:rPr>
                <w:rFonts w:ascii="ITC Avant Garde Std Bk" w:hAnsi="ITC Avant Garde Std Bk"/>
                <w:bCs/>
                <w:sz w:val="16"/>
                <w:szCs w:val="16"/>
              </w:rPr>
            </w:pPr>
          </w:p>
          <w:p w14:paraId="621AF1B9" w14:textId="77777777" w:rsidR="00E202C3" w:rsidRDefault="00E202C3" w:rsidP="00D00389">
            <w:pPr>
              <w:jc w:val="both"/>
              <w:rPr>
                <w:rFonts w:ascii="ITC Avant Garde Std Bk" w:hAnsi="ITC Avant Garde Std Bk"/>
                <w:bCs/>
                <w:sz w:val="16"/>
                <w:szCs w:val="16"/>
              </w:rPr>
            </w:pPr>
            <w:r w:rsidRPr="00E202C3">
              <w:rPr>
                <w:rFonts w:ascii="ITC Avant Garde Std Bk" w:hAnsi="ITC Avant Garde Std Bk"/>
                <w:bCs/>
                <w:sz w:val="16"/>
                <w:szCs w:val="16"/>
              </w:rPr>
              <w:t>El mismo entendimiento sobre el alcance del análisis de los agentes económicos involucrados y sus relaciones debe prevalecer en la lectura del artículo 123 de las Disposiciones Regulatorias.</w:t>
            </w:r>
            <w:r>
              <w:rPr>
                <w:rFonts w:ascii="ITC Avant Garde Std Bk" w:hAnsi="ITC Avant Garde Std Bk"/>
                <w:bCs/>
                <w:sz w:val="16"/>
                <w:szCs w:val="16"/>
              </w:rPr>
              <w:t xml:space="preserve"> </w:t>
            </w:r>
          </w:p>
          <w:p w14:paraId="3EB82FB5" w14:textId="77777777" w:rsidR="00E202C3" w:rsidRDefault="00E202C3" w:rsidP="00D00389">
            <w:pPr>
              <w:jc w:val="both"/>
              <w:rPr>
                <w:rFonts w:ascii="ITC Avant Garde Std Bk" w:hAnsi="ITC Avant Garde Std Bk"/>
                <w:bCs/>
                <w:sz w:val="16"/>
                <w:szCs w:val="16"/>
              </w:rPr>
            </w:pPr>
          </w:p>
          <w:p w14:paraId="307F0572" w14:textId="18CE2483" w:rsidR="00B456AF" w:rsidRDefault="00E202C3" w:rsidP="00D00389">
            <w:pPr>
              <w:jc w:val="both"/>
              <w:rPr>
                <w:rFonts w:ascii="ITC Avant Garde Std Bk" w:hAnsi="ITC Avant Garde Std Bk"/>
                <w:bCs/>
                <w:sz w:val="16"/>
                <w:szCs w:val="16"/>
              </w:rPr>
            </w:pPr>
            <w:r w:rsidRPr="00E202C3">
              <w:rPr>
                <w:rFonts w:ascii="ITC Avant Garde Std Bk" w:hAnsi="ITC Avant Garde Std Bk"/>
                <w:bCs/>
                <w:sz w:val="16"/>
                <w:szCs w:val="16"/>
              </w:rPr>
              <w:t>El objeto de contar con esta información es que el Instituto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r w:rsidR="00B456AF">
              <w:rPr>
                <w:rFonts w:ascii="ITC Avant Garde Std Bk" w:hAnsi="ITC Avant Garde Std Bk"/>
                <w:bCs/>
                <w:sz w:val="16"/>
                <w:szCs w:val="16"/>
              </w:rPr>
              <w:t>.</w:t>
            </w:r>
          </w:p>
        </w:tc>
      </w:tr>
      <w:tr w:rsidR="008639BE" w:rsidRPr="00DE6B98" w14:paraId="3C99E609" w14:textId="77777777" w:rsidTr="001719B0">
        <w:trPr>
          <w:trHeight w:val="60"/>
        </w:trPr>
        <w:tc>
          <w:tcPr>
            <w:tcW w:w="1271" w:type="dxa"/>
            <w:vMerge/>
            <w:shd w:val="clear" w:color="auto" w:fill="EAF1DD" w:themeFill="accent3" w:themeFillTint="33"/>
          </w:tcPr>
          <w:p w14:paraId="7A5B209D" w14:textId="77777777" w:rsidR="008639BE" w:rsidRDefault="008639BE" w:rsidP="00D00389">
            <w:pPr>
              <w:jc w:val="center"/>
              <w:rPr>
                <w:rFonts w:ascii="ITC Avant Garde Std Bk" w:hAnsi="ITC Avant Garde Std Bk"/>
                <w:bCs/>
                <w:sz w:val="16"/>
                <w:szCs w:val="16"/>
              </w:rPr>
            </w:pPr>
          </w:p>
        </w:tc>
        <w:tc>
          <w:tcPr>
            <w:tcW w:w="4253" w:type="dxa"/>
            <w:shd w:val="clear" w:color="auto" w:fill="C2D69B" w:themeFill="accent3" w:themeFillTint="99"/>
          </w:tcPr>
          <w:p w14:paraId="1804C9C7" w14:textId="1D59B323" w:rsidR="008639BE" w:rsidRDefault="00B456AF" w:rsidP="00D00389">
            <w:pPr>
              <w:jc w:val="both"/>
              <w:rPr>
                <w:rFonts w:ascii="ITC Avant Garde Std Bk" w:hAnsi="ITC Avant Garde Std Bk"/>
                <w:bCs/>
                <w:sz w:val="16"/>
                <w:szCs w:val="16"/>
              </w:rPr>
            </w:pPr>
            <w:r w:rsidRPr="00B456AF">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B456AF">
              <w:rPr>
                <w:rFonts w:ascii="ITC Avant Garde Std Bk" w:hAnsi="ITC Avant Garde Std Bk"/>
                <w:bCs/>
                <w:sz w:val="16"/>
                <w:szCs w:val="16"/>
              </w:rPr>
              <w:t>“Directivos”</w:t>
            </w:r>
          </w:p>
          <w:p w14:paraId="1539F9CB" w14:textId="77777777" w:rsidR="00FE2DF8" w:rsidRDefault="00FE2DF8" w:rsidP="00D00389">
            <w:pPr>
              <w:jc w:val="both"/>
              <w:rPr>
                <w:rFonts w:ascii="ITC Avant Garde Std Bk" w:hAnsi="ITC Avant Garde Std Bk"/>
                <w:bCs/>
                <w:sz w:val="16"/>
                <w:szCs w:val="16"/>
              </w:rPr>
            </w:pPr>
          </w:p>
          <w:p w14:paraId="0ABD8F31" w14:textId="77777777" w:rsidR="008639BE" w:rsidRDefault="00B456AF" w:rsidP="00D00389">
            <w:pPr>
              <w:jc w:val="both"/>
              <w:rPr>
                <w:rFonts w:ascii="ITC Avant Garde Std Bk" w:hAnsi="ITC Avant Garde Std Bk"/>
                <w:bCs/>
                <w:sz w:val="16"/>
                <w:szCs w:val="16"/>
              </w:rPr>
            </w:pPr>
            <w:r w:rsidRPr="00B456AF">
              <w:rPr>
                <w:rFonts w:ascii="ITC Avant Garde Std Bk" w:hAnsi="ITC Avant Garde Std Bk"/>
                <w:bCs/>
                <w:sz w:val="16"/>
                <w:szCs w:val="16"/>
              </w:rPr>
              <w:t xml:space="preserve">El apartado solicita información de i) las Personas Involucradas, ii) los Relacionados Accionistas y iii) los Relacionados por Participación, que sean personas morales, para que indiquen el nombre de los principales Directivos, Gerentes o Integrantes del Consejo, así como el empleo, cargo o comisión que </w:t>
            </w:r>
            <w:r w:rsidRPr="00B456AF">
              <w:rPr>
                <w:rFonts w:ascii="ITC Avant Garde Std Bk" w:hAnsi="ITC Avant Garde Std Bk"/>
                <w:bCs/>
                <w:sz w:val="16"/>
                <w:szCs w:val="16"/>
              </w:rPr>
              <w:lastRenderedPageBreak/>
              <w:t>desempeña el Directivo o Gerente o Consejero. No obstante, se considera que dicho apartado excede los requisitos del artículo 98 de la LFCE y 123 de las Disposiciones Regulatorias, ya que el mismo no incluye que dicha información debe ser entregada. Asimismo, no se especifica el objeto de que la Autoridad cuente con la citada información.</w:t>
            </w:r>
          </w:p>
          <w:p w14:paraId="252B119C" w14:textId="77777777" w:rsidR="008639BE" w:rsidRPr="00DE6B98" w:rsidRDefault="008639BE" w:rsidP="00D00389">
            <w:pPr>
              <w:jc w:val="both"/>
              <w:rPr>
                <w:rFonts w:ascii="ITC Avant Garde Std Bk" w:hAnsi="ITC Avant Garde Std Bk"/>
                <w:bCs/>
                <w:sz w:val="16"/>
                <w:szCs w:val="16"/>
              </w:rPr>
            </w:pPr>
          </w:p>
        </w:tc>
        <w:tc>
          <w:tcPr>
            <w:tcW w:w="4438" w:type="dxa"/>
            <w:shd w:val="clear" w:color="auto" w:fill="C2D69B" w:themeFill="accent3" w:themeFillTint="99"/>
            <w:vAlign w:val="center"/>
          </w:tcPr>
          <w:p w14:paraId="004F5A1A" w14:textId="77777777" w:rsidR="00B456AF" w:rsidRDefault="00B456AF" w:rsidP="00D00389">
            <w:pPr>
              <w:jc w:val="both"/>
              <w:rPr>
                <w:rFonts w:ascii="ITC Avant Garde Std Bk" w:hAnsi="ITC Avant Garde Std Bk"/>
                <w:bCs/>
                <w:sz w:val="16"/>
                <w:szCs w:val="16"/>
              </w:rPr>
            </w:pPr>
            <w:r w:rsidRPr="00B456AF">
              <w:rPr>
                <w:rFonts w:ascii="ITC Avant Garde Std Bk" w:hAnsi="ITC Avant Garde Std Bk"/>
                <w:bCs/>
                <w:sz w:val="16"/>
                <w:szCs w:val="16"/>
              </w:rPr>
              <w:lastRenderedPageBreak/>
              <w:t xml:space="preserve">El artículo 98, fracción III, de la LFCE establece que en la emisión de la opinión el Instituto debe aplicar en lo conducente los artículos 63 y 64 de la misma Ley. Dicho artículo 63, en particular su fracción IV, dispone la elaboración de un análisis amplio de la participación de los agentes económicos involucrados en la concentración (en este caso de permisos, concesiones o análogos) en otros agentes </w:t>
            </w:r>
            <w:r w:rsidRPr="00B456AF">
              <w:rPr>
                <w:rFonts w:ascii="ITC Avant Garde Std Bk" w:hAnsi="ITC Avant Garde Std Bk"/>
                <w:bCs/>
                <w:sz w:val="16"/>
                <w:szCs w:val="16"/>
              </w:rPr>
              <w:lastRenderedPageBreak/>
              <w:t xml:space="preserve">y la participación de otros agentes en los involucrados. </w:t>
            </w:r>
          </w:p>
          <w:p w14:paraId="7F405568" w14:textId="77777777" w:rsidR="00B456AF" w:rsidRDefault="00B456AF" w:rsidP="00D00389">
            <w:pPr>
              <w:jc w:val="both"/>
              <w:rPr>
                <w:rFonts w:ascii="ITC Avant Garde Std Bk" w:hAnsi="ITC Avant Garde Std Bk"/>
                <w:bCs/>
                <w:sz w:val="16"/>
                <w:szCs w:val="16"/>
              </w:rPr>
            </w:pPr>
          </w:p>
          <w:p w14:paraId="62197F4D" w14:textId="77777777" w:rsidR="00B456AF" w:rsidRDefault="00B456AF" w:rsidP="00D00389">
            <w:pPr>
              <w:jc w:val="both"/>
              <w:rPr>
                <w:rFonts w:ascii="ITC Avant Garde Std Bk" w:hAnsi="ITC Avant Garde Std Bk"/>
                <w:bCs/>
                <w:sz w:val="16"/>
                <w:szCs w:val="16"/>
              </w:rPr>
            </w:pPr>
            <w:r w:rsidRPr="00B456AF">
              <w:rPr>
                <w:rFonts w:ascii="ITC Avant Garde Std Bk" w:hAnsi="ITC Avant Garde Std Bk"/>
                <w:bCs/>
                <w:sz w:val="16"/>
                <w:szCs w:val="16"/>
              </w:rPr>
              <w:t>En estos preceptos legales mencionados debe entenderse que los agentes económicos se evalúan en su dimensión de Grupo de Interés Económico, cuya determinación debe incluir el análisis de los vínculos a través de directivos (para mayor referencia sobre el tema, favor de consultar los apartados 2.3 y 2.4 de la Guía para el Control de Concentraciones en los Sectores de las TyR, adoptada el 28 de junio de 2017).</w:t>
            </w:r>
          </w:p>
          <w:p w14:paraId="07359341" w14:textId="77777777" w:rsidR="00B456AF" w:rsidRPr="00B456AF" w:rsidRDefault="00B456AF" w:rsidP="00D00389">
            <w:pPr>
              <w:jc w:val="both"/>
              <w:rPr>
                <w:rFonts w:ascii="ITC Avant Garde Std Bk" w:hAnsi="ITC Avant Garde Std Bk"/>
                <w:bCs/>
                <w:sz w:val="16"/>
                <w:szCs w:val="16"/>
              </w:rPr>
            </w:pPr>
          </w:p>
          <w:p w14:paraId="2D5ED5C5" w14:textId="77777777" w:rsidR="00B456AF" w:rsidRDefault="00B456AF" w:rsidP="00D00389">
            <w:pPr>
              <w:jc w:val="both"/>
              <w:rPr>
                <w:rFonts w:ascii="ITC Avant Garde Std Bk" w:hAnsi="ITC Avant Garde Std Bk"/>
                <w:bCs/>
                <w:sz w:val="16"/>
                <w:szCs w:val="16"/>
              </w:rPr>
            </w:pPr>
            <w:r w:rsidRPr="00B456AF">
              <w:rPr>
                <w:rFonts w:ascii="ITC Avant Garde Std Bk" w:hAnsi="ITC Avant Garde Std Bk"/>
                <w:bCs/>
                <w:sz w:val="16"/>
                <w:szCs w:val="16"/>
              </w:rPr>
              <w:t>El mismo entendimiento sobre el alcance del análisis de los agentes económicos involucrados y sus relaciones debe prevalecer en la lectura del artículo 123 de las Disposiciones Regulatorias.</w:t>
            </w:r>
          </w:p>
          <w:p w14:paraId="2A3BA00A" w14:textId="77777777" w:rsidR="00B456AF" w:rsidRPr="00B456AF" w:rsidRDefault="00B456AF" w:rsidP="00D00389">
            <w:pPr>
              <w:jc w:val="both"/>
              <w:rPr>
                <w:rFonts w:ascii="ITC Avant Garde Std Bk" w:hAnsi="ITC Avant Garde Std Bk"/>
                <w:bCs/>
                <w:sz w:val="16"/>
                <w:szCs w:val="16"/>
              </w:rPr>
            </w:pPr>
          </w:p>
          <w:p w14:paraId="1A90B5C4" w14:textId="53951186" w:rsidR="005C1907" w:rsidRDefault="00B456AF" w:rsidP="00D00389">
            <w:pPr>
              <w:jc w:val="both"/>
              <w:rPr>
                <w:rFonts w:ascii="ITC Avant Garde Std Bk" w:hAnsi="ITC Avant Garde Std Bk"/>
                <w:bCs/>
                <w:sz w:val="16"/>
                <w:szCs w:val="16"/>
              </w:rPr>
            </w:pPr>
            <w:r w:rsidRPr="00B456AF">
              <w:rPr>
                <w:rFonts w:ascii="ITC Avant Garde Std Bk" w:hAnsi="ITC Avant Garde Std Bk"/>
                <w:bCs/>
                <w:sz w:val="16"/>
                <w:szCs w:val="16"/>
              </w:rPr>
              <w:t>El objeto de contar con esta información es que el Instituto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tc>
      </w:tr>
      <w:tr w:rsidR="008639BE" w:rsidRPr="00DE6B98" w14:paraId="5E91FEB7" w14:textId="77777777" w:rsidTr="001719B0">
        <w:trPr>
          <w:trHeight w:val="60"/>
        </w:trPr>
        <w:tc>
          <w:tcPr>
            <w:tcW w:w="1271" w:type="dxa"/>
            <w:vMerge/>
            <w:shd w:val="clear" w:color="auto" w:fill="EAF1DD" w:themeFill="accent3" w:themeFillTint="33"/>
          </w:tcPr>
          <w:p w14:paraId="771ACC32" w14:textId="77777777" w:rsidR="008639BE" w:rsidRDefault="008639BE" w:rsidP="00D00389">
            <w:pPr>
              <w:jc w:val="center"/>
              <w:rPr>
                <w:rFonts w:ascii="ITC Avant Garde Std Bk" w:hAnsi="ITC Avant Garde Std Bk"/>
                <w:bCs/>
                <w:sz w:val="16"/>
                <w:szCs w:val="16"/>
              </w:rPr>
            </w:pPr>
          </w:p>
        </w:tc>
        <w:tc>
          <w:tcPr>
            <w:tcW w:w="4253" w:type="dxa"/>
            <w:shd w:val="clear" w:color="auto" w:fill="D6E3BC" w:themeFill="accent3" w:themeFillTint="66"/>
          </w:tcPr>
          <w:p w14:paraId="7B010FD3" w14:textId="77777777" w:rsidR="005C1907" w:rsidRPr="005C1907" w:rsidRDefault="005C1907" w:rsidP="00D00389">
            <w:pPr>
              <w:jc w:val="both"/>
              <w:rPr>
                <w:rFonts w:ascii="ITC Avant Garde Std Bk" w:hAnsi="ITC Avant Garde Std Bk"/>
                <w:bCs/>
                <w:sz w:val="16"/>
                <w:szCs w:val="16"/>
              </w:rPr>
            </w:pPr>
            <w:r w:rsidRPr="005C1907">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5C1907">
              <w:rPr>
                <w:rFonts w:ascii="ITC Avant Garde Std Bk" w:hAnsi="ITC Avant Garde Std Bk"/>
                <w:bCs/>
                <w:sz w:val="16"/>
                <w:szCs w:val="16"/>
              </w:rPr>
              <w:t>“Vínculos con los</w:t>
            </w:r>
            <w:r>
              <w:rPr>
                <w:rFonts w:ascii="ITC Avant Garde Std Bk" w:hAnsi="ITC Avant Garde Std Bk"/>
                <w:bCs/>
                <w:sz w:val="16"/>
                <w:szCs w:val="16"/>
              </w:rPr>
              <w:t xml:space="preserve"> </w:t>
            </w:r>
            <w:r w:rsidRPr="005C1907">
              <w:rPr>
                <w:rFonts w:ascii="ITC Avant Garde Std Bk" w:hAnsi="ITC Avant Garde Std Bk"/>
                <w:bCs/>
                <w:sz w:val="16"/>
                <w:szCs w:val="16"/>
              </w:rPr>
              <w:t>sectores de</w:t>
            </w:r>
          </w:p>
          <w:p w14:paraId="72C8FEE5" w14:textId="454AFF7A" w:rsidR="008639BE" w:rsidRDefault="005C1907" w:rsidP="00D00389">
            <w:pPr>
              <w:jc w:val="both"/>
              <w:rPr>
                <w:rFonts w:ascii="ITC Avant Garde Std Bk" w:hAnsi="ITC Avant Garde Std Bk"/>
                <w:bCs/>
                <w:sz w:val="16"/>
                <w:szCs w:val="16"/>
              </w:rPr>
            </w:pPr>
            <w:r w:rsidRPr="005C1907">
              <w:rPr>
                <w:rFonts w:ascii="ITC Avant Garde Std Bk" w:hAnsi="ITC Avant Garde Std Bk"/>
                <w:bCs/>
                <w:sz w:val="16"/>
                <w:szCs w:val="16"/>
              </w:rPr>
              <w:t>telecomunicaciones y</w:t>
            </w:r>
            <w:r>
              <w:rPr>
                <w:rFonts w:ascii="ITC Avant Garde Std Bk" w:hAnsi="ITC Avant Garde Std Bk"/>
                <w:bCs/>
                <w:sz w:val="16"/>
                <w:szCs w:val="16"/>
              </w:rPr>
              <w:t xml:space="preserve"> </w:t>
            </w:r>
            <w:r w:rsidRPr="005C1907">
              <w:rPr>
                <w:rFonts w:ascii="ITC Avant Garde Std Bk" w:hAnsi="ITC Avant Garde Std Bk"/>
                <w:bCs/>
                <w:sz w:val="16"/>
                <w:szCs w:val="16"/>
              </w:rPr>
              <w:t>radiodifusión”</w:t>
            </w:r>
          </w:p>
          <w:p w14:paraId="6937D0FF" w14:textId="77777777" w:rsidR="00FE2DF8" w:rsidRDefault="00FE2DF8" w:rsidP="00D00389">
            <w:pPr>
              <w:jc w:val="both"/>
              <w:rPr>
                <w:rFonts w:ascii="ITC Avant Garde Std Bk" w:hAnsi="ITC Avant Garde Std Bk"/>
                <w:bCs/>
                <w:sz w:val="16"/>
                <w:szCs w:val="16"/>
              </w:rPr>
            </w:pPr>
          </w:p>
          <w:p w14:paraId="23E7911A" w14:textId="77777777" w:rsidR="005C1907" w:rsidRDefault="005C1907" w:rsidP="00D00389">
            <w:pPr>
              <w:jc w:val="both"/>
              <w:rPr>
                <w:rFonts w:ascii="ITC Avant Garde Std Bk" w:hAnsi="ITC Avant Garde Std Bk"/>
                <w:bCs/>
                <w:sz w:val="16"/>
                <w:szCs w:val="16"/>
              </w:rPr>
            </w:pPr>
            <w:r w:rsidRPr="005C1907">
              <w:rPr>
                <w:rFonts w:ascii="ITC Avant Garde Std Bk" w:hAnsi="ITC Avant Garde Std Bk"/>
                <w:bCs/>
                <w:sz w:val="16"/>
                <w:szCs w:val="16"/>
              </w:rPr>
              <w:t>Dicho apartado solicita diversa información sobre los vínculos con personas o sociedades que actualmente participen directa o indirectamente en la provisión de servicios en los sectores de telecomunicaciones y radiodifusión dentro del territorio nacional. No obstante, se considera que dicho apartado excede los requisitos del artículo 98 de la LFCE y 123 de las Disposiciones Regulatorias, ya que el mismo no incluye que dicha información debe ser entregada. Asimismo, no se especifica el objeto de que la Autoridad cuente con la citada información.</w:t>
            </w:r>
          </w:p>
          <w:p w14:paraId="05B65A4E" w14:textId="77777777" w:rsidR="008639BE" w:rsidRPr="00DE6B98" w:rsidRDefault="008639BE" w:rsidP="00D00389">
            <w:pPr>
              <w:jc w:val="both"/>
              <w:rPr>
                <w:rFonts w:ascii="ITC Avant Garde Std Bk" w:hAnsi="ITC Avant Garde Std Bk"/>
                <w:bCs/>
                <w:sz w:val="16"/>
                <w:szCs w:val="16"/>
              </w:rPr>
            </w:pPr>
          </w:p>
        </w:tc>
        <w:tc>
          <w:tcPr>
            <w:tcW w:w="4438" w:type="dxa"/>
            <w:shd w:val="clear" w:color="auto" w:fill="D6E3BC" w:themeFill="accent3" w:themeFillTint="66"/>
            <w:vAlign w:val="center"/>
          </w:tcPr>
          <w:p w14:paraId="3FB31D3B" w14:textId="77777777" w:rsidR="005C1907" w:rsidRDefault="005C1907" w:rsidP="00D00389">
            <w:pPr>
              <w:jc w:val="both"/>
              <w:rPr>
                <w:rFonts w:ascii="ITC Avant Garde Std Bk" w:hAnsi="ITC Avant Garde Std Bk"/>
                <w:sz w:val="16"/>
                <w:szCs w:val="16"/>
              </w:rPr>
            </w:pPr>
            <w:r w:rsidRPr="005C1907">
              <w:rPr>
                <w:rFonts w:ascii="ITC Avant Garde Std Bk" w:hAnsi="ITC Avant Garde Std Bk"/>
                <w:sz w:val="16"/>
                <w:szCs w:val="16"/>
              </w:rPr>
              <w:t xml:space="preserve">El artículo 98, fracción III, de la LFCE establece que en la emisión de la opinión el Instituto debe aplicar en lo conducente los artículos 63 y 64 de la misma Ley. Dicho artículo 63, en particular su fracción IV, dispone la elaboración de un análisis amplio de la participación de los agentes económicos involucrados en la concentración (en este caso de permisos, concesiones o análogos) en otros agentes y la participación de otros agentes en los involucrados. </w:t>
            </w:r>
          </w:p>
          <w:p w14:paraId="5575316E" w14:textId="77777777" w:rsidR="005C1907" w:rsidRDefault="005C1907" w:rsidP="00D00389">
            <w:pPr>
              <w:jc w:val="both"/>
              <w:rPr>
                <w:rFonts w:ascii="ITC Avant Garde Std Bk" w:hAnsi="ITC Avant Garde Std Bk"/>
                <w:sz w:val="16"/>
                <w:szCs w:val="16"/>
              </w:rPr>
            </w:pPr>
          </w:p>
          <w:p w14:paraId="0BF6305E" w14:textId="77777777" w:rsidR="005C1907" w:rsidRDefault="005C1907" w:rsidP="00D00389">
            <w:pPr>
              <w:jc w:val="both"/>
              <w:rPr>
                <w:rFonts w:ascii="ITC Avant Garde Std Bk" w:hAnsi="ITC Avant Garde Std Bk"/>
                <w:sz w:val="16"/>
                <w:szCs w:val="16"/>
              </w:rPr>
            </w:pPr>
            <w:r w:rsidRPr="005C1907">
              <w:rPr>
                <w:rFonts w:ascii="ITC Avant Garde Std Bk" w:hAnsi="ITC Avant Garde Std Bk"/>
                <w:sz w:val="16"/>
                <w:szCs w:val="16"/>
              </w:rPr>
              <w:t>En estos preceptos legales mencionados debe entenderse que los agentes económicos se evalúan en su dimensión de Grupo de Interés Económico, cuya determinación debe incluir el análisis de los vínculos entre distintos agentes económicos.</w:t>
            </w:r>
          </w:p>
          <w:p w14:paraId="7EAA2CBC" w14:textId="77777777" w:rsidR="005C1907" w:rsidRPr="005C1907" w:rsidRDefault="005C1907" w:rsidP="00D00389">
            <w:pPr>
              <w:jc w:val="both"/>
              <w:rPr>
                <w:rFonts w:ascii="ITC Avant Garde Std Bk" w:hAnsi="ITC Avant Garde Std Bk"/>
                <w:sz w:val="16"/>
                <w:szCs w:val="16"/>
              </w:rPr>
            </w:pPr>
          </w:p>
          <w:p w14:paraId="6183170A" w14:textId="77777777" w:rsidR="005C1907" w:rsidRDefault="005C1907" w:rsidP="00D00389">
            <w:pPr>
              <w:jc w:val="both"/>
              <w:rPr>
                <w:rFonts w:ascii="ITC Avant Garde Std Bk" w:hAnsi="ITC Avant Garde Std Bk"/>
                <w:sz w:val="16"/>
                <w:szCs w:val="16"/>
              </w:rPr>
            </w:pPr>
            <w:r w:rsidRPr="005C1907">
              <w:rPr>
                <w:rFonts w:ascii="ITC Avant Garde Std Bk" w:hAnsi="ITC Avant Garde Std Bk"/>
                <w:sz w:val="16"/>
                <w:szCs w:val="16"/>
              </w:rPr>
              <w:t>Para establecer la existencia y alcance de un Grupo de Interés Económico el Instituto debe contar con elementos para analizar la autonomía o independencia de los agentes económicos entre sí, o si alguno de alguno de ellos tiene la capacidad para ejercer control o influencia decisiva o significativa sobre los otros a través de la existencia de vínculos de tipo comercial, organizativo, económico o jurídico (para mayor referencia sobre el tema, favor de consultar los apartados 2.3 y 2.4 de la Guía para el Control de Concentraciones en los Sectores de las TyR, adoptada el 28 de junio de 2017).</w:t>
            </w:r>
          </w:p>
          <w:p w14:paraId="7D17C674" w14:textId="77777777" w:rsidR="005C1907" w:rsidRPr="005C1907" w:rsidRDefault="005C1907" w:rsidP="00D00389">
            <w:pPr>
              <w:jc w:val="both"/>
              <w:rPr>
                <w:rFonts w:ascii="ITC Avant Garde Std Bk" w:hAnsi="ITC Avant Garde Std Bk"/>
                <w:sz w:val="16"/>
                <w:szCs w:val="16"/>
              </w:rPr>
            </w:pPr>
          </w:p>
          <w:p w14:paraId="14253898" w14:textId="77777777" w:rsidR="005C1907" w:rsidRDefault="005C1907" w:rsidP="00D00389">
            <w:pPr>
              <w:jc w:val="both"/>
              <w:rPr>
                <w:rFonts w:ascii="ITC Avant Garde Std Bk" w:hAnsi="ITC Avant Garde Std Bk"/>
                <w:sz w:val="16"/>
                <w:szCs w:val="16"/>
              </w:rPr>
            </w:pPr>
            <w:r w:rsidRPr="005C1907">
              <w:rPr>
                <w:rFonts w:ascii="ITC Avant Garde Std Bk" w:hAnsi="ITC Avant Garde Std Bk"/>
                <w:sz w:val="16"/>
                <w:szCs w:val="16"/>
              </w:rPr>
              <w:t>El mismo entendimiento sobre el alcance del análisis de los agentes económicos involucrados y sus relaciones debe prevalecer en la lectura del artículo 123 de las Disposiciones Regulatorias.</w:t>
            </w:r>
          </w:p>
          <w:p w14:paraId="72F8DAC9" w14:textId="77777777" w:rsidR="005C1907" w:rsidRPr="005C1907" w:rsidRDefault="005C1907" w:rsidP="00D00389">
            <w:pPr>
              <w:jc w:val="both"/>
              <w:rPr>
                <w:rFonts w:ascii="ITC Avant Garde Std Bk" w:hAnsi="ITC Avant Garde Std Bk"/>
                <w:sz w:val="16"/>
                <w:szCs w:val="16"/>
              </w:rPr>
            </w:pPr>
          </w:p>
          <w:p w14:paraId="014210FA" w14:textId="54C2E341" w:rsidR="003B4A38" w:rsidRPr="00776167" w:rsidRDefault="005C1907" w:rsidP="00D00389">
            <w:pPr>
              <w:jc w:val="both"/>
              <w:rPr>
                <w:rFonts w:ascii="ITC Avant Garde Std Bk" w:hAnsi="ITC Avant Garde Std Bk"/>
                <w:sz w:val="16"/>
                <w:szCs w:val="16"/>
              </w:rPr>
            </w:pPr>
            <w:r w:rsidRPr="005C1907">
              <w:rPr>
                <w:rFonts w:ascii="ITC Avant Garde Std Bk" w:hAnsi="ITC Avant Garde Std Bk"/>
                <w:sz w:val="16"/>
                <w:szCs w:val="16"/>
              </w:rPr>
              <w:t>El objeto de contar con esta información es que el Instituto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w:t>
            </w:r>
          </w:p>
        </w:tc>
      </w:tr>
      <w:tr w:rsidR="008639BE" w:rsidRPr="00DE6B98" w14:paraId="49766D2F" w14:textId="77777777" w:rsidTr="001719B0">
        <w:trPr>
          <w:trHeight w:val="60"/>
        </w:trPr>
        <w:tc>
          <w:tcPr>
            <w:tcW w:w="1271" w:type="dxa"/>
            <w:vMerge/>
            <w:shd w:val="clear" w:color="auto" w:fill="EAF1DD" w:themeFill="accent3" w:themeFillTint="33"/>
          </w:tcPr>
          <w:p w14:paraId="21E59FA8" w14:textId="77777777" w:rsidR="008639BE" w:rsidRDefault="008639BE" w:rsidP="00D00389">
            <w:pPr>
              <w:jc w:val="center"/>
              <w:rPr>
                <w:rFonts w:ascii="ITC Avant Garde Std Bk" w:hAnsi="ITC Avant Garde Std Bk"/>
                <w:bCs/>
                <w:sz w:val="16"/>
                <w:szCs w:val="16"/>
              </w:rPr>
            </w:pPr>
          </w:p>
        </w:tc>
        <w:tc>
          <w:tcPr>
            <w:tcW w:w="4253" w:type="dxa"/>
            <w:shd w:val="clear" w:color="auto" w:fill="C2D69B" w:themeFill="accent3" w:themeFillTint="99"/>
          </w:tcPr>
          <w:p w14:paraId="012AA190" w14:textId="6C309D70" w:rsidR="008639BE" w:rsidRDefault="003B4A38" w:rsidP="00D00389">
            <w:pPr>
              <w:jc w:val="both"/>
              <w:rPr>
                <w:rFonts w:ascii="ITC Avant Garde Std Bk" w:hAnsi="ITC Avant Garde Std Bk"/>
                <w:bCs/>
                <w:sz w:val="16"/>
                <w:szCs w:val="16"/>
              </w:rPr>
            </w:pPr>
            <w:r w:rsidRPr="003B4A38">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3B4A38">
              <w:rPr>
                <w:rFonts w:ascii="ITC Avant Garde Std Bk" w:hAnsi="ITC Avant Garde Std Bk"/>
                <w:bCs/>
                <w:sz w:val="16"/>
                <w:szCs w:val="16"/>
              </w:rPr>
              <w:t>“Estructura de la deuda</w:t>
            </w:r>
            <w:r>
              <w:rPr>
                <w:rFonts w:ascii="ITC Avant Garde Std Bk" w:hAnsi="ITC Avant Garde Std Bk"/>
                <w:bCs/>
                <w:sz w:val="16"/>
                <w:szCs w:val="16"/>
              </w:rPr>
              <w:t xml:space="preserve"> </w:t>
            </w:r>
            <w:r w:rsidRPr="003B4A38">
              <w:rPr>
                <w:rFonts w:ascii="ITC Avant Garde Std Bk" w:hAnsi="ITC Avant Garde Std Bk"/>
                <w:bCs/>
                <w:sz w:val="16"/>
                <w:szCs w:val="16"/>
              </w:rPr>
              <w:t>actual”</w:t>
            </w:r>
          </w:p>
          <w:p w14:paraId="2014B079" w14:textId="77777777" w:rsidR="00FE2DF8" w:rsidRDefault="00FE2DF8" w:rsidP="00D00389">
            <w:pPr>
              <w:jc w:val="both"/>
              <w:rPr>
                <w:rFonts w:ascii="ITC Avant Garde Std Bk" w:hAnsi="ITC Avant Garde Std Bk"/>
                <w:bCs/>
                <w:sz w:val="16"/>
                <w:szCs w:val="16"/>
              </w:rPr>
            </w:pPr>
          </w:p>
          <w:p w14:paraId="5B84C742" w14:textId="77777777" w:rsidR="003B4A38" w:rsidRPr="00DE6B98" w:rsidRDefault="003B4A38" w:rsidP="00D00389">
            <w:pPr>
              <w:jc w:val="both"/>
              <w:rPr>
                <w:rFonts w:ascii="ITC Avant Garde Std Bk" w:hAnsi="ITC Avant Garde Std Bk"/>
                <w:bCs/>
                <w:sz w:val="16"/>
                <w:szCs w:val="16"/>
              </w:rPr>
            </w:pPr>
            <w:r w:rsidRPr="003B4A38">
              <w:rPr>
                <w:rFonts w:ascii="ITC Avant Garde Std Bk" w:hAnsi="ITC Avant Garde Std Bk"/>
                <w:bCs/>
                <w:sz w:val="16"/>
                <w:szCs w:val="16"/>
              </w:rPr>
              <w:t>Dicho apartado solicita la estructura de la deuda actual de las Personas Involucradas, identificando a sus principales acreedores y su participación en la deuda total. No obstante, se considera que dicho apartado excede los requisitos del artículo 98 de la LFCE y 123 de las Disposiciones Regulatorias, ya que el mismo no incluye que dicha información debe ser entregada. Asimismo, no se especifica el objeto de que la Autoridad cuente con la citada información.</w:t>
            </w:r>
          </w:p>
        </w:tc>
        <w:tc>
          <w:tcPr>
            <w:tcW w:w="4438" w:type="dxa"/>
            <w:shd w:val="clear" w:color="auto" w:fill="C2D69B" w:themeFill="accent3" w:themeFillTint="99"/>
            <w:vAlign w:val="center"/>
          </w:tcPr>
          <w:p w14:paraId="0FDD26CB" w14:textId="77777777" w:rsidR="003B4A38" w:rsidRDefault="003B4A38" w:rsidP="00D00389">
            <w:pPr>
              <w:jc w:val="both"/>
              <w:rPr>
                <w:rFonts w:ascii="ITC Avant Garde Std Bk" w:hAnsi="ITC Avant Garde Std Bk"/>
                <w:bCs/>
                <w:sz w:val="16"/>
                <w:szCs w:val="16"/>
              </w:rPr>
            </w:pPr>
            <w:r w:rsidRPr="003B4A38">
              <w:rPr>
                <w:rFonts w:ascii="ITC Avant Garde Std Bk" w:hAnsi="ITC Avant Garde Std Bk"/>
                <w:bCs/>
                <w:sz w:val="16"/>
                <w:szCs w:val="16"/>
              </w:rPr>
              <w:t xml:space="preserve">El artículo 98, fracción III, de la LFCE establece que en la emisión de la opinión el Instituto debe aplicar en lo conducente los artículos 63 y 64 de la misma Ley. Dicho artículo 63, en particular su fracción IV, dispone la elaboración de un análisis amplio de la participación de los agentes económicos involucrados en la concentración (en este caso de permisos, concesiones o análogos) en otros agentes y la participación de otros agentes en los involucrados. </w:t>
            </w:r>
          </w:p>
          <w:p w14:paraId="3225E355" w14:textId="77777777" w:rsidR="003B4A38" w:rsidRPr="003B4A38" w:rsidRDefault="003B4A38" w:rsidP="00D00389">
            <w:pPr>
              <w:jc w:val="both"/>
              <w:rPr>
                <w:rFonts w:ascii="ITC Avant Garde Std Bk" w:hAnsi="ITC Avant Garde Std Bk"/>
                <w:bCs/>
                <w:sz w:val="16"/>
                <w:szCs w:val="16"/>
              </w:rPr>
            </w:pPr>
          </w:p>
          <w:p w14:paraId="728F0672" w14:textId="77777777" w:rsidR="003B4A38" w:rsidRDefault="003B4A38" w:rsidP="00D00389">
            <w:pPr>
              <w:jc w:val="both"/>
              <w:rPr>
                <w:rFonts w:ascii="ITC Avant Garde Std Bk" w:hAnsi="ITC Avant Garde Std Bk"/>
                <w:bCs/>
                <w:sz w:val="16"/>
                <w:szCs w:val="16"/>
              </w:rPr>
            </w:pPr>
            <w:r w:rsidRPr="003B4A38">
              <w:rPr>
                <w:rFonts w:ascii="ITC Avant Garde Std Bk" w:hAnsi="ITC Avant Garde Std Bk"/>
                <w:bCs/>
                <w:sz w:val="16"/>
                <w:szCs w:val="16"/>
              </w:rPr>
              <w:t xml:space="preserve">En estos preceptos legales mencionados debe entenderse que los agentes económicos se evalúan en su dimensión de Grupo de Interés Económico, cuya determinación debe incluir el análisis de vínculos de tipo comercial, organizativo, económico o jurídico entre distintos agentes económicos, entre los que cabe considerar ciertos tipos y niveles relativos de deuda y los acreedores específicos. </w:t>
            </w:r>
          </w:p>
          <w:p w14:paraId="73F74A0F" w14:textId="77777777" w:rsidR="003B4A38" w:rsidRPr="003B4A38" w:rsidRDefault="003B4A38" w:rsidP="00D00389">
            <w:pPr>
              <w:jc w:val="both"/>
              <w:rPr>
                <w:rFonts w:ascii="ITC Avant Garde Std Bk" w:hAnsi="ITC Avant Garde Std Bk"/>
                <w:bCs/>
                <w:sz w:val="16"/>
                <w:szCs w:val="16"/>
              </w:rPr>
            </w:pPr>
          </w:p>
          <w:p w14:paraId="70E10B05" w14:textId="77777777" w:rsidR="003B4A38" w:rsidRDefault="003B4A38" w:rsidP="00D00389">
            <w:pPr>
              <w:jc w:val="both"/>
              <w:rPr>
                <w:rFonts w:ascii="ITC Avant Garde Std Bk" w:hAnsi="ITC Avant Garde Std Bk"/>
                <w:bCs/>
                <w:sz w:val="16"/>
                <w:szCs w:val="16"/>
              </w:rPr>
            </w:pPr>
            <w:r w:rsidRPr="003B4A38">
              <w:rPr>
                <w:rFonts w:ascii="ITC Avant Garde Std Bk" w:hAnsi="ITC Avant Garde Std Bk"/>
                <w:bCs/>
                <w:sz w:val="16"/>
                <w:szCs w:val="16"/>
              </w:rPr>
              <w:t>Dichos vínculos financieros deben considerarse al analizar la autonomía o independencia de los agentes económicos entre sí, o si alguno de alguno de ellos tiene la capacidad para ejercer control o influencia decisiva o significativa sobre los otros a través de ellos y deben considerarse parte de un mismo grupo (para mayor referencia sobre el tema, favor de consultar los apartados 2.3 y 2.4 de la Guía para el Control de Concentraciones en los Sectores de las TyR, adoptada el 28 de junio de 2017).</w:t>
            </w:r>
          </w:p>
          <w:p w14:paraId="0470BC7A" w14:textId="77777777" w:rsidR="003B4A38" w:rsidRPr="003B4A38" w:rsidRDefault="003B4A38" w:rsidP="00D00389">
            <w:pPr>
              <w:jc w:val="both"/>
              <w:rPr>
                <w:rFonts w:ascii="ITC Avant Garde Std Bk" w:hAnsi="ITC Avant Garde Std Bk"/>
                <w:bCs/>
                <w:sz w:val="16"/>
                <w:szCs w:val="16"/>
              </w:rPr>
            </w:pPr>
          </w:p>
          <w:p w14:paraId="73FB38F5" w14:textId="77777777" w:rsidR="003B4A38" w:rsidRDefault="003B4A38" w:rsidP="00D00389">
            <w:pPr>
              <w:jc w:val="both"/>
              <w:rPr>
                <w:rFonts w:ascii="ITC Avant Garde Std Bk" w:hAnsi="ITC Avant Garde Std Bk"/>
                <w:bCs/>
                <w:sz w:val="16"/>
                <w:szCs w:val="16"/>
              </w:rPr>
            </w:pPr>
            <w:r w:rsidRPr="003B4A38">
              <w:rPr>
                <w:rFonts w:ascii="ITC Avant Garde Std Bk" w:hAnsi="ITC Avant Garde Std Bk"/>
                <w:bCs/>
                <w:sz w:val="16"/>
                <w:szCs w:val="16"/>
              </w:rPr>
              <w:t>El mismo entendimiento sobre el alcance del análisis de los agentes económicos involucrados y sus relaciones debe prevalecer en la lectura del artículo 123 de las Disposiciones Regulatorias.</w:t>
            </w:r>
          </w:p>
          <w:p w14:paraId="07C50864" w14:textId="77777777" w:rsidR="003B4A38" w:rsidRPr="003B4A38" w:rsidRDefault="003B4A38" w:rsidP="00D00389">
            <w:pPr>
              <w:jc w:val="both"/>
              <w:rPr>
                <w:rFonts w:ascii="ITC Avant Garde Std Bk" w:hAnsi="ITC Avant Garde Std Bk"/>
                <w:bCs/>
                <w:sz w:val="16"/>
                <w:szCs w:val="16"/>
              </w:rPr>
            </w:pPr>
          </w:p>
          <w:p w14:paraId="1A4AFA70" w14:textId="375B7F78" w:rsidR="005163D0" w:rsidRPr="00FE2DF8" w:rsidRDefault="003B4A38" w:rsidP="00D00389">
            <w:pPr>
              <w:jc w:val="both"/>
              <w:rPr>
                <w:rFonts w:ascii="ITC Avant Garde Std Bk" w:hAnsi="ITC Avant Garde Std Bk"/>
                <w:bCs/>
                <w:sz w:val="16"/>
                <w:szCs w:val="16"/>
              </w:rPr>
            </w:pPr>
            <w:r w:rsidRPr="003B4A38">
              <w:rPr>
                <w:rFonts w:ascii="ITC Avant Garde Std Bk" w:hAnsi="ITC Avant Garde Std Bk"/>
                <w:bCs/>
                <w:sz w:val="16"/>
                <w:szCs w:val="16"/>
              </w:rPr>
              <w:t xml:space="preserve">El objeto de contar con esta información es que el Instituto pueda identificar a todos y cada uno de los integrantes de los agentes económicos involucrados en la concentración notificada, evaluados en su dimensión de Grupo de Interés Económico, y los </w:t>
            </w:r>
            <w:r w:rsidRPr="003B4A38">
              <w:rPr>
                <w:rFonts w:ascii="ITC Avant Garde Std Bk" w:hAnsi="ITC Avant Garde Std Bk"/>
                <w:bCs/>
                <w:sz w:val="16"/>
                <w:szCs w:val="16"/>
              </w:rPr>
              <w:lastRenderedPageBreak/>
              <w:t>vínculos existentes entre ellos, así como la existencia de vínculos con otros agentes.</w:t>
            </w:r>
          </w:p>
        </w:tc>
      </w:tr>
      <w:tr w:rsidR="005E7DD2" w:rsidRPr="00DE6B98" w14:paraId="5CF42323" w14:textId="77777777" w:rsidTr="001719B0">
        <w:trPr>
          <w:trHeight w:val="60"/>
        </w:trPr>
        <w:tc>
          <w:tcPr>
            <w:tcW w:w="1271" w:type="dxa"/>
            <w:vMerge w:val="restart"/>
            <w:shd w:val="clear" w:color="auto" w:fill="EAF1DD" w:themeFill="accent3" w:themeFillTint="33"/>
          </w:tcPr>
          <w:p w14:paraId="5F477D63" w14:textId="77777777" w:rsidR="005E7DD2" w:rsidRDefault="005E7DD2" w:rsidP="00D00389">
            <w:pPr>
              <w:jc w:val="center"/>
              <w:rPr>
                <w:rFonts w:ascii="ITC Avant Garde Std Bk" w:hAnsi="ITC Avant Garde Std Bk"/>
                <w:bCs/>
                <w:sz w:val="16"/>
                <w:szCs w:val="16"/>
              </w:rPr>
            </w:pPr>
            <w:r w:rsidRPr="005163D0">
              <w:rPr>
                <w:rFonts w:ascii="ITC Avant Garde Std Bk" w:hAnsi="ITC Avant Garde Std Bk"/>
                <w:bCs/>
                <w:sz w:val="16"/>
                <w:szCs w:val="16"/>
              </w:rPr>
              <w:lastRenderedPageBreak/>
              <w:t>Carlos Mora Villalpando</w:t>
            </w:r>
          </w:p>
        </w:tc>
        <w:tc>
          <w:tcPr>
            <w:tcW w:w="4253" w:type="dxa"/>
            <w:shd w:val="clear" w:color="auto" w:fill="D6E3BC" w:themeFill="accent3" w:themeFillTint="66"/>
          </w:tcPr>
          <w:p w14:paraId="54A22C96" w14:textId="77777777" w:rsidR="005E7DD2" w:rsidRPr="005163D0"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En la sección 3 del Anexo C se impone un campo de información de llenado obligatorio denominado “Parentesco” en el que solicita a cada una de las Personas Involucradas y de los Relacionados Accionistas que sean personas físicas identifique a las personas físicas con los que tengan parentesco por consanguinidad o por afinidad, que participen, directa o indirectamente, en sociedades, asociaciones o empresas…”. Asimismo, en la referida Sección 3, en el apartado de llenado obligatorio denominado “Relacionados por Participación” se obliga a los Agentes Económicos a identificar a los Relacionados por Parentesco con participaciones accionarias.</w:t>
            </w:r>
          </w:p>
          <w:p w14:paraId="6C95465D" w14:textId="77777777" w:rsidR="005E7DD2" w:rsidRPr="005163D0" w:rsidRDefault="005E7DD2" w:rsidP="00D00389">
            <w:pPr>
              <w:jc w:val="both"/>
              <w:rPr>
                <w:rFonts w:ascii="ITC Avant Garde Std Bk" w:hAnsi="ITC Avant Garde Std Bk"/>
                <w:bCs/>
                <w:sz w:val="16"/>
                <w:szCs w:val="16"/>
              </w:rPr>
            </w:pPr>
          </w:p>
          <w:p w14:paraId="35B94FC1" w14:textId="77777777" w:rsidR="005E7DD2" w:rsidRPr="005163D0"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Es importante señalar que las relaciones de parentesco por consanguinidad o por afinidad de las personas físicas que integren un grupo participante en las solicitudes de opinión o autorización en el otorgamiento de licencias, concesiones, permisos, cesiones, venta de acciones de empresas concesionarias o permisionarias u otras cuestiones análogas no se contemplan en el artículo 98 de la LFCE como uno de los requisitos indispensables para la notificación de una concentración; ni en las DR correspondientes.</w:t>
            </w:r>
          </w:p>
          <w:p w14:paraId="21355D3B" w14:textId="77777777" w:rsidR="005E7DD2" w:rsidRPr="005163D0" w:rsidRDefault="005E7DD2" w:rsidP="00D00389">
            <w:pPr>
              <w:jc w:val="both"/>
              <w:rPr>
                <w:rFonts w:ascii="ITC Avant Garde Std Bk" w:hAnsi="ITC Avant Garde Std Bk"/>
                <w:bCs/>
                <w:sz w:val="16"/>
                <w:szCs w:val="16"/>
              </w:rPr>
            </w:pPr>
          </w:p>
          <w:p w14:paraId="17466A2A" w14:textId="77777777" w:rsidR="005E7DD2" w:rsidRPr="005163D0"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Se considera que la naturaleza de la información y de datos sensibles requeridos en el Anexo C, en particular respecto a la identificación de las personas físicas que tengan vínculos por parentesco o por afinidad, no aportan utilidad al estudio o análisis en materia de competencia económica del trámite en cuestión, ya que no se aportan los elementos suficientes para justificar que una relación de parentesco en los términos solicitados en el Anexo C, representen un problema en materia de competencia económica.</w:t>
            </w:r>
          </w:p>
          <w:p w14:paraId="03639CE9" w14:textId="77777777" w:rsidR="005E7DD2" w:rsidRPr="005163D0"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 xml:space="preserve"> </w:t>
            </w:r>
          </w:p>
          <w:p w14:paraId="1F874D58" w14:textId="77777777" w:rsidR="005E7DD2" w:rsidRPr="005163D0"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 xml:space="preserve">Asimismo, se considera que el hecho de que el solicitante tenga la obligación de presentar información respecto de las personas físicas que tengan vínculos por parentesco o por afinidad genera una carga innecesaria y onerosa al gobernado, pues debe aportar información de terceros, con la que no cuenta necesariamente. Adicionalmente, la presentación de dicha información genera un grado de confusión ya que se desconoce el criterio o la ley aplicable con el cual el IFT interpretaría la información, así como la </w:t>
            </w:r>
            <w:r w:rsidRPr="005163D0">
              <w:rPr>
                <w:rFonts w:ascii="ITC Avant Garde Std Bk" w:hAnsi="ITC Avant Garde Std Bk"/>
                <w:bCs/>
                <w:sz w:val="16"/>
                <w:szCs w:val="16"/>
              </w:rPr>
              <w:lastRenderedPageBreak/>
              <w:t>finalidad específica para la que IFT utilizaría dicha información.</w:t>
            </w:r>
          </w:p>
          <w:p w14:paraId="24AEF360" w14:textId="77777777" w:rsidR="005E7DD2" w:rsidRPr="005163D0" w:rsidRDefault="005E7DD2" w:rsidP="00D00389">
            <w:pPr>
              <w:jc w:val="both"/>
              <w:rPr>
                <w:rFonts w:ascii="ITC Avant Garde Std Bk" w:hAnsi="ITC Avant Garde Std Bk"/>
                <w:bCs/>
                <w:sz w:val="16"/>
                <w:szCs w:val="16"/>
              </w:rPr>
            </w:pPr>
          </w:p>
          <w:p w14:paraId="66BB6B83" w14:textId="77777777" w:rsidR="005E7DD2" w:rsidRPr="005163D0"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Finalmente, de conformidad con el principio de certeza jurídica consagrado en el artículo 16 Constitucional, se considera que la fundamentación y motivación de la información que dicho anexo requiere por parte del solicitante no es suficiente para brindar claridad al solicitante respecto de la relación o utilidad que guarda la información y datos sensibles requeridos en el trámite o procedimiento en particular.</w:t>
            </w:r>
          </w:p>
          <w:p w14:paraId="3F185EED" w14:textId="77777777" w:rsidR="005E7DD2" w:rsidRPr="005163D0" w:rsidRDefault="005E7DD2" w:rsidP="00D00389">
            <w:pPr>
              <w:jc w:val="both"/>
              <w:rPr>
                <w:rFonts w:ascii="ITC Avant Garde Std Bk" w:hAnsi="ITC Avant Garde Std Bk"/>
                <w:bCs/>
                <w:sz w:val="16"/>
                <w:szCs w:val="16"/>
              </w:rPr>
            </w:pPr>
          </w:p>
          <w:p w14:paraId="514994AE" w14:textId="4C35FC2E" w:rsidR="005E7DD2" w:rsidRPr="003B4A38"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En todo caso, en el formato, el IFT debería justificar la utilidad de la información solicitada. Esto porque si el objetivo del formato de trámite es facilitar la autorización de una concentración, entonces, el gobernado debe tener toda la información necesaria para entender, sin recurrir a otras fuentes, la necesidad de la información.</w:t>
            </w:r>
          </w:p>
        </w:tc>
        <w:tc>
          <w:tcPr>
            <w:tcW w:w="4438" w:type="dxa"/>
            <w:shd w:val="clear" w:color="auto" w:fill="D6E3BC" w:themeFill="accent3" w:themeFillTint="66"/>
            <w:vAlign w:val="center"/>
          </w:tcPr>
          <w:p w14:paraId="0ED9BBEB" w14:textId="77777777" w:rsidR="005E7DD2"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lastRenderedPageBreak/>
              <w:t>El artículo 98, fracción III, de la LFCE establece que en la emisión de la opinión el Instituto debe aplicar en lo conducente los artículos 63 y 64 de la misma Ley. El artículo 63, en particular su fracción IV, dispone la elaboración de un análisis amplio de la participación de los agentes económicos involucrados en la concentración (en este caso de permisos, concesiones o análogos) en otros agentes y la participación de otros agentes en los involucrados.</w:t>
            </w:r>
          </w:p>
          <w:p w14:paraId="520ADEA4" w14:textId="77777777" w:rsidR="005E7DD2" w:rsidRDefault="005E7DD2" w:rsidP="00D00389">
            <w:pPr>
              <w:jc w:val="both"/>
              <w:rPr>
                <w:rFonts w:ascii="ITC Avant Garde Std Bk" w:hAnsi="ITC Avant Garde Std Bk"/>
                <w:bCs/>
                <w:sz w:val="16"/>
                <w:szCs w:val="16"/>
              </w:rPr>
            </w:pPr>
          </w:p>
          <w:p w14:paraId="060C233B" w14:textId="14116F70" w:rsidR="005E7DD2"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En estos preceptos legales mencionados debe entenderse que los agentes económicos se evalúan en su dimensión de Grupo de Interés Económico, cuya determinación debe incluir el análisis de los vínculos de parentesco (para mayor referencia sobre el tema, favor de consultar los apartados 2.3 y 2.4 de la Guía para el Control de Concentraciones en los Sectores de las TyR, adoptada el 28 de junio de 2017).</w:t>
            </w:r>
          </w:p>
          <w:p w14:paraId="1AB04642" w14:textId="77777777" w:rsidR="005E7DD2" w:rsidRPr="005163D0" w:rsidRDefault="005E7DD2" w:rsidP="00D00389">
            <w:pPr>
              <w:jc w:val="both"/>
              <w:rPr>
                <w:rFonts w:ascii="ITC Avant Garde Std Bk" w:hAnsi="ITC Avant Garde Std Bk"/>
                <w:bCs/>
                <w:sz w:val="16"/>
                <w:szCs w:val="16"/>
              </w:rPr>
            </w:pPr>
          </w:p>
          <w:p w14:paraId="778411D0" w14:textId="77777777" w:rsidR="005E7DD2"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El objeto de contar con esta información es que el Instituto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20AC4F7A" w14:textId="77777777" w:rsidR="005E7DD2" w:rsidRPr="005163D0" w:rsidRDefault="005E7DD2" w:rsidP="00D00389">
            <w:pPr>
              <w:jc w:val="both"/>
              <w:rPr>
                <w:rFonts w:ascii="ITC Avant Garde Std Bk" w:hAnsi="ITC Avant Garde Std Bk"/>
                <w:bCs/>
                <w:sz w:val="16"/>
                <w:szCs w:val="16"/>
              </w:rPr>
            </w:pPr>
          </w:p>
          <w:p w14:paraId="0D71B8FD" w14:textId="77777777" w:rsidR="005E7DD2"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En cuanto a que la información sobre personas físicas vinculadas por parentesco o afinidad puede contener datos sensibles, el apartado 7 del Anexo ofrece al solicitante la posibilidad de indicar la información que se considere confidencial a fin de que el Instituto la clasifique como tal, siempre y cuando se expliquen las razones de y se acredite que tiene este carácter.</w:t>
            </w:r>
          </w:p>
          <w:p w14:paraId="5ED28831" w14:textId="77777777" w:rsidR="005E7DD2" w:rsidRPr="005163D0" w:rsidRDefault="005E7DD2" w:rsidP="00D00389">
            <w:pPr>
              <w:jc w:val="both"/>
              <w:rPr>
                <w:rFonts w:ascii="ITC Avant Garde Std Bk" w:hAnsi="ITC Avant Garde Std Bk"/>
                <w:bCs/>
                <w:sz w:val="16"/>
                <w:szCs w:val="16"/>
              </w:rPr>
            </w:pPr>
          </w:p>
          <w:p w14:paraId="4DBFA82D" w14:textId="77777777" w:rsidR="005E7DD2"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Respecto de que el solicitante no cuente necesariamente con la información que se solicita, esta información se entiende accesible al Interesado derivado de los vínculos que pudiera mantener con los agentes económicos relacionados. No obstante, de contar con alguna imposibilidad para presentar la información en los términos que se solicita, puede exponer las razones y acreditar, a satisfacción del Instituto, dicha imposibilidad jurídica o, de hecho.</w:t>
            </w:r>
          </w:p>
          <w:p w14:paraId="4CA3A129" w14:textId="77777777" w:rsidR="005E7DD2" w:rsidRPr="005163D0" w:rsidRDefault="005E7DD2" w:rsidP="00D00389">
            <w:pPr>
              <w:jc w:val="both"/>
              <w:rPr>
                <w:rFonts w:ascii="ITC Avant Garde Std Bk" w:hAnsi="ITC Avant Garde Std Bk"/>
                <w:bCs/>
                <w:sz w:val="16"/>
                <w:szCs w:val="16"/>
              </w:rPr>
            </w:pPr>
          </w:p>
          <w:p w14:paraId="3C6A816E" w14:textId="77777777" w:rsidR="005E7DD2" w:rsidRPr="003B4A38" w:rsidRDefault="005E7DD2" w:rsidP="00D00389">
            <w:pPr>
              <w:jc w:val="both"/>
              <w:rPr>
                <w:rFonts w:ascii="ITC Avant Garde Std Bk" w:hAnsi="ITC Avant Garde Std Bk"/>
                <w:bCs/>
                <w:sz w:val="16"/>
                <w:szCs w:val="16"/>
              </w:rPr>
            </w:pPr>
            <w:r w:rsidRPr="005163D0">
              <w:rPr>
                <w:rFonts w:ascii="ITC Avant Garde Std Bk" w:hAnsi="ITC Avant Garde Std Bk"/>
                <w:bCs/>
                <w:sz w:val="16"/>
                <w:szCs w:val="16"/>
              </w:rPr>
              <w:t xml:space="preserve">Finalmente, como se señala claramente en el proyecto de acuerdo, los formatos son una herramienta para hacer más eficientes los trámites a cargo del instituto, así como facilitar su presentación y disminuir las cargas administrativas de los regulados. Todos los formatos son de carácter </w:t>
            </w:r>
            <w:r w:rsidRPr="005163D0">
              <w:rPr>
                <w:rFonts w:ascii="ITC Avant Garde Std Bk" w:hAnsi="ITC Avant Garde Std Bk"/>
                <w:bCs/>
                <w:sz w:val="16"/>
                <w:szCs w:val="16"/>
              </w:rPr>
              <w:lastRenderedPageBreak/>
              <w:t>optativo, por lo que los agentes económicos pueden utilizarlos en sus promociones o hacerlas a través de escritos libres o de medios electrónicos, en caso de que estos últimos estén habilitados, lo que lleva a concluir que de ninguna manera generan una carga innecesaria u onerosa al gobernado.</w:t>
            </w:r>
          </w:p>
        </w:tc>
      </w:tr>
      <w:tr w:rsidR="005E7DD2" w:rsidRPr="00DE6B98" w14:paraId="3264DF69" w14:textId="77777777" w:rsidTr="001719B0">
        <w:trPr>
          <w:trHeight w:val="60"/>
        </w:trPr>
        <w:tc>
          <w:tcPr>
            <w:tcW w:w="1271" w:type="dxa"/>
            <w:vMerge/>
            <w:shd w:val="clear" w:color="auto" w:fill="EAF1DD" w:themeFill="accent3" w:themeFillTint="33"/>
          </w:tcPr>
          <w:p w14:paraId="1CF4EF2D" w14:textId="77777777" w:rsidR="005E7DD2" w:rsidRPr="005163D0" w:rsidRDefault="005E7DD2" w:rsidP="00D00389">
            <w:pPr>
              <w:jc w:val="center"/>
              <w:rPr>
                <w:rFonts w:ascii="ITC Avant Garde Std Bk" w:hAnsi="ITC Avant Garde Std Bk"/>
                <w:bCs/>
                <w:sz w:val="16"/>
                <w:szCs w:val="16"/>
              </w:rPr>
            </w:pPr>
          </w:p>
        </w:tc>
        <w:tc>
          <w:tcPr>
            <w:tcW w:w="4253" w:type="dxa"/>
            <w:shd w:val="clear" w:color="auto" w:fill="C2D69B" w:themeFill="accent3" w:themeFillTint="99"/>
          </w:tcPr>
          <w:p w14:paraId="7B8855AE"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Se refiere a los comentarios generales III “A” y III “B”, a saber:</w:t>
            </w:r>
          </w:p>
          <w:p w14:paraId="384BE73A" w14:textId="77777777" w:rsidR="005E7DD2" w:rsidRPr="007E538D" w:rsidRDefault="005E7DD2" w:rsidP="00D00389">
            <w:pPr>
              <w:jc w:val="both"/>
              <w:rPr>
                <w:rFonts w:ascii="ITC Avant Garde Std Bk" w:hAnsi="ITC Avant Garde Std Bk"/>
                <w:bCs/>
                <w:sz w:val="16"/>
                <w:szCs w:val="16"/>
              </w:rPr>
            </w:pPr>
          </w:p>
          <w:p w14:paraId="52F26F04"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las solicitudes y procedimientos que se pretenden simplificar. Con ello, los formatos, generan cargas innecesarias, onerosas, pero sobre todo ausentes de fundamento legal al gobernado.</w:t>
            </w:r>
          </w:p>
          <w:p w14:paraId="3999C937" w14:textId="77777777" w:rsidR="005E7DD2" w:rsidRPr="007E538D" w:rsidRDefault="005E7DD2" w:rsidP="00D00389">
            <w:pPr>
              <w:jc w:val="both"/>
              <w:rPr>
                <w:rFonts w:ascii="ITC Avant Garde Std Bk" w:hAnsi="ITC Avant Garde Std Bk"/>
                <w:bCs/>
                <w:sz w:val="16"/>
                <w:szCs w:val="16"/>
              </w:rPr>
            </w:pPr>
          </w:p>
          <w:p w14:paraId="5BC917DF"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 xml:space="preserve">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 </w:t>
            </w:r>
          </w:p>
          <w:p w14:paraId="4CA5BE7F"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simplifican los trámites existentes en la LFCE y la LFTyR. Esto de conformidad con lo expuesto en el presente documento.</w:t>
            </w:r>
          </w:p>
          <w:p w14:paraId="0D89EAFA" w14:textId="77777777" w:rsidR="005E7DD2" w:rsidRPr="007E538D" w:rsidRDefault="005E7DD2" w:rsidP="00D00389">
            <w:pPr>
              <w:jc w:val="both"/>
              <w:rPr>
                <w:rFonts w:ascii="ITC Avant Garde Std Bk" w:hAnsi="ITC Avant Garde Std Bk"/>
                <w:bCs/>
                <w:sz w:val="16"/>
                <w:szCs w:val="16"/>
              </w:rPr>
            </w:pPr>
          </w:p>
          <w:p w14:paraId="7F082E51"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lastRenderedPageBreak/>
              <w:t>También, se resalta que la fundamentación para emitir los formatos, es decir de los anexos al Anteproyecto de Acuerdo, no es suficiente para brindar certeza jurídica al solicitante.</w:t>
            </w:r>
          </w:p>
          <w:p w14:paraId="77E5CDC9" w14:textId="77777777" w:rsidR="005E7DD2" w:rsidRPr="007E538D" w:rsidRDefault="005E7DD2" w:rsidP="00D00389">
            <w:pPr>
              <w:jc w:val="both"/>
              <w:rPr>
                <w:rFonts w:ascii="ITC Avant Garde Std Bk" w:hAnsi="ITC Avant Garde Std Bk"/>
                <w:bCs/>
                <w:sz w:val="16"/>
                <w:szCs w:val="16"/>
              </w:rPr>
            </w:pPr>
          </w:p>
          <w:p w14:paraId="46149BAB"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1FA4CE82" w14:textId="77777777" w:rsidR="005E7DD2" w:rsidRPr="007E538D" w:rsidRDefault="005E7DD2" w:rsidP="00D00389">
            <w:pPr>
              <w:jc w:val="both"/>
              <w:rPr>
                <w:rFonts w:ascii="ITC Avant Garde Std Bk" w:hAnsi="ITC Avant Garde Std Bk"/>
                <w:bCs/>
                <w:sz w:val="16"/>
                <w:szCs w:val="16"/>
              </w:rPr>
            </w:pPr>
          </w:p>
          <w:p w14:paraId="10930D79"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74788FEE" w14:textId="77777777" w:rsidR="005E7DD2" w:rsidRPr="007E538D" w:rsidRDefault="005E7DD2" w:rsidP="00D00389">
            <w:pPr>
              <w:jc w:val="both"/>
              <w:rPr>
                <w:rFonts w:ascii="ITC Avant Garde Std Bk" w:hAnsi="ITC Avant Garde Std Bk"/>
                <w:bCs/>
                <w:sz w:val="16"/>
                <w:szCs w:val="16"/>
              </w:rPr>
            </w:pPr>
          </w:p>
          <w:p w14:paraId="50368769"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56F59AFD" w14:textId="77777777" w:rsidR="005E7DD2" w:rsidRPr="007E538D" w:rsidRDefault="005E7DD2" w:rsidP="00D00389">
            <w:pPr>
              <w:jc w:val="both"/>
              <w:rPr>
                <w:rFonts w:ascii="ITC Avant Garde Std Bk" w:hAnsi="ITC Avant Garde Std Bk"/>
                <w:bCs/>
                <w:sz w:val="16"/>
                <w:szCs w:val="16"/>
              </w:rPr>
            </w:pPr>
          </w:p>
          <w:p w14:paraId="2747BF91"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anexos2 emitidos y estrictamente sujetarlos a lo establecido en la LFTyR, la LFCE y las DR. Es decir, en el artículo 15, fracciones </w:t>
            </w:r>
            <w:r w:rsidRPr="007E538D">
              <w:rPr>
                <w:rFonts w:ascii="ITC Avant Garde Std Bk" w:hAnsi="ITC Avant Garde Std Bk"/>
                <w:bCs/>
                <w:sz w:val="16"/>
                <w:szCs w:val="16"/>
              </w:rPr>
              <w:lastRenderedPageBreak/>
              <w:t xml:space="preserve">I, XLI y LVI de la LFTyR y el artículo 12 fracción XXII de la LFCE. Los mencionados artículos prevén los instrumentos regulatorios que el Instituto podrá expedir para reglamentar su actuar. </w:t>
            </w:r>
          </w:p>
          <w:p w14:paraId="068CE77C" w14:textId="77777777" w:rsidR="005E7DD2" w:rsidRPr="007E538D" w:rsidRDefault="005E7DD2" w:rsidP="00D00389">
            <w:pPr>
              <w:jc w:val="both"/>
              <w:rPr>
                <w:rFonts w:ascii="ITC Avant Garde Std Bk" w:hAnsi="ITC Avant Garde Std Bk"/>
                <w:bCs/>
                <w:sz w:val="16"/>
                <w:szCs w:val="16"/>
              </w:rPr>
            </w:pPr>
          </w:p>
          <w:p w14:paraId="6699304C"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lineamientos que el Instituto está obligado a emitir, tienen el objetivo de fortalecer el estado de derecho a través de criterios objetivos que</w:t>
            </w:r>
          </w:p>
          <w:p w14:paraId="1DDED2EA"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permitan al gobernado conocer el proceder de la autoridad y evitara la actuación arbitraria de la misma.</w:t>
            </w:r>
          </w:p>
          <w:p w14:paraId="084E25CA" w14:textId="77777777" w:rsidR="005E7DD2" w:rsidRPr="007E538D" w:rsidRDefault="005E7DD2" w:rsidP="00D00389">
            <w:pPr>
              <w:jc w:val="both"/>
              <w:rPr>
                <w:rFonts w:ascii="ITC Avant Garde Std Bk" w:hAnsi="ITC Avant Garde Std Bk"/>
                <w:bCs/>
                <w:sz w:val="16"/>
                <w:szCs w:val="16"/>
              </w:rPr>
            </w:pPr>
          </w:p>
          <w:p w14:paraId="390C7480"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p>
          <w:p w14:paraId="2DDE1C3B"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Disposiciones y no simplemente mediante la emisión de formatos no previstos en ningún tipo de instrumento normativo.</w:t>
            </w:r>
          </w:p>
          <w:p w14:paraId="3CEDD315" w14:textId="77777777" w:rsidR="005E7DD2" w:rsidRPr="007E538D" w:rsidRDefault="005E7DD2" w:rsidP="00D00389">
            <w:pPr>
              <w:jc w:val="both"/>
              <w:rPr>
                <w:rFonts w:ascii="ITC Avant Garde Std Bk" w:hAnsi="ITC Avant Garde Std Bk"/>
                <w:bCs/>
                <w:sz w:val="16"/>
                <w:szCs w:val="16"/>
              </w:rPr>
            </w:pPr>
          </w:p>
          <w:p w14:paraId="0AC7A9B2"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28C5B5B5" w14:textId="77777777" w:rsidR="005E7DD2" w:rsidRPr="007E538D" w:rsidRDefault="005E7DD2" w:rsidP="00D00389">
            <w:pPr>
              <w:jc w:val="both"/>
              <w:rPr>
                <w:rFonts w:ascii="ITC Avant Garde Std Bk" w:hAnsi="ITC Avant Garde Std Bk"/>
                <w:bCs/>
                <w:sz w:val="16"/>
                <w:szCs w:val="16"/>
              </w:rPr>
            </w:pPr>
          </w:p>
          <w:p w14:paraId="43D8A264"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Por tanto, el espíritu del legislador fue establecer la obligación del Órgano regulador correspondiente de construir la regulación pertinente para conseguir el mayor grado de previsibilidad posible al prever instrumentos que complementen el desarrollo normativo y la certeza jurídica en la aplicación de la ley.</w:t>
            </w:r>
          </w:p>
          <w:p w14:paraId="68DAB4A9"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lastRenderedPageBreak/>
              <w:t>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w:t>
            </w:r>
          </w:p>
          <w:p w14:paraId="2951AB89" w14:textId="77777777" w:rsidR="005E7DD2" w:rsidRPr="007E538D" w:rsidRDefault="005E7DD2" w:rsidP="00D00389">
            <w:pPr>
              <w:jc w:val="both"/>
              <w:rPr>
                <w:rFonts w:ascii="ITC Avant Garde Std Bk" w:hAnsi="ITC Avant Garde Std Bk"/>
                <w:bCs/>
                <w:sz w:val="16"/>
                <w:szCs w:val="16"/>
              </w:rPr>
            </w:pPr>
          </w:p>
          <w:p w14:paraId="3D2E6F13"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B. Tomando en cuenta la motivación del IFT para la emisión de los formatos que se detallan en el Anteproyecto de Acuerdo, es decir, con el objeto de hacer más eficientes los trámites y servicios a cargo del Instituto, así como facilitar su presentación y disminuir cargas administrativas, se considera respetuosamente que el Instituto habrá de (i) reglamentar el uso de los formatos; y (ii) asegurar la resolución de las solicitudes presentadas en formatos tradicionales, por ejemplo “escrito libre”, sin ningún tipo de consecuencia negativa en la resolución, ya sea en cuanto a la decisión tomada por el IFT o en cuanto a tiempo de respuesta del mismo a la solicitud de los gobernados.</w:t>
            </w:r>
          </w:p>
          <w:p w14:paraId="3968109B" w14:textId="77777777" w:rsidR="005E7DD2" w:rsidRPr="007E538D" w:rsidRDefault="005E7DD2" w:rsidP="00D00389">
            <w:pPr>
              <w:jc w:val="both"/>
              <w:rPr>
                <w:rFonts w:ascii="ITC Avant Garde Std Bk" w:hAnsi="ITC Avant Garde Std Bk"/>
                <w:bCs/>
                <w:sz w:val="16"/>
                <w:szCs w:val="16"/>
              </w:rPr>
            </w:pPr>
          </w:p>
          <w:p w14:paraId="6851E8F1"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En ese sentido, la reglamentación oportuna y correcta de los formatos, será una herramienta para asegurar que el IFT actuará imparcialmente y procurará la simplificación administrativa y eficiencia en su gestión, sin tomar en cuenta el formato elegido por los gobernados para la presentación de solicitudes en materia de competencia económica.</w:t>
            </w:r>
            <w:r>
              <w:rPr>
                <w:rFonts w:ascii="ITC Avant Garde Std Bk" w:hAnsi="ITC Avant Garde Std Bk"/>
                <w:bCs/>
                <w:sz w:val="16"/>
                <w:szCs w:val="16"/>
              </w:rPr>
              <w:t xml:space="preserve"> </w:t>
            </w:r>
            <w:r w:rsidRPr="007E538D">
              <w:rPr>
                <w:rFonts w:ascii="ITC Avant Garde Std Bk" w:hAnsi="ITC Avant Garde Std Bk"/>
                <w:bCs/>
                <w:sz w:val="16"/>
                <w:szCs w:val="16"/>
              </w:rPr>
              <w:t>Por consiguiente, se considera oportuno que el IFT asegure mediante la regulación correspondiente que el medio elegido por el gobernado, es decir el “escrito libre” o el “formato”, no será justificación o motivo de retraso de la resolución o beneficio que se esté solicitando en virtud de la falta de claridad en los requerimientos que se deben presentar al momento gestionar un trámite o servicio; pues los mencionados requerimientos de los formatos no se encuentran previstos en normas de observancia general al establecerse en la LFCE y la LFTyR.</w:t>
            </w:r>
          </w:p>
          <w:p w14:paraId="29624F34" w14:textId="77777777" w:rsidR="005E7DD2" w:rsidRPr="007E538D" w:rsidRDefault="005E7DD2" w:rsidP="00D00389">
            <w:pPr>
              <w:jc w:val="both"/>
              <w:rPr>
                <w:rFonts w:ascii="ITC Avant Garde Std Bk" w:hAnsi="ITC Avant Garde Std Bk"/>
                <w:bCs/>
                <w:sz w:val="16"/>
                <w:szCs w:val="16"/>
              </w:rPr>
            </w:pPr>
          </w:p>
          <w:p w14:paraId="3B8535B6" w14:textId="77777777" w:rsidR="005E7DD2" w:rsidRPr="005163D0"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 xml:space="preserve">Dicho lo anterior, si bien el IFT establece en el Anteproyecto de Acuerdo y en su respectivo Análisis de Nulo Impacto Regulatorio que los formatos emitidos permitirán la entrega de información precisa y harán más eficiente el análisis de la información recibida por cada trámite o servicio, se reitera que, al imponer mayores cargas a los gobernados, que son adicionales a la legislación, los formatos no cumplen con los </w:t>
            </w:r>
            <w:r w:rsidRPr="007E538D">
              <w:rPr>
                <w:rFonts w:ascii="ITC Avant Garde Std Bk" w:hAnsi="ITC Avant Garde Std Bk"/>
                <w:bCs/>
                <w:sz w:val="16"/>
                <w:szCs w:val="16"/>
              </w:rPr>
              <w:lastRenderedPageBreak/>
              <w:t>propósitos que el IFT señala en el Acuerdo de Anteproyecto.</w:t>
            </w:r>
          </w:p>
        </w:tc>
        <w:tc>
          <w:tcPr>
            <w:tcW w:w="4438" w:type="dxa"/>
            <w:shd w:val="clear" w:color="auto" w:fill="C2D69B" w:themeFill="accent3" w:themeFillTint="99"/>
            <w:vAlign w:val="center"/>
          </w:tcPr>
          <w:p w14:paraId="006A6D53"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lastRenderedPageBreak/>
              <w:t xml:space="preserve">Respecto del punto A., se reitera que el uso de los formatos es de carácter optativo, por lo que los agentes económicos pueden utilizarlos en sus promociones o hacerlas a través de escritos libres o de medios electrónicos, en caso de que estos últimos </w:t>
            </w:r>
            <w:r w:rsidR="00E40AC0" w:rsidRPr="007E538D">
              <w:rPr>
                <w:rFonts w:ascii="ITC Avant Garde Std Bk" w:hAnsi="ITC Avant Garde Std Bk"/>
                <w:bCs/>
                <w:sz w:val="16"/>
                <w:szCs w:val="16"/>
              </w:rPr>
              <w:t>estén</w:t>
            </w:r>
            <w:r w:rsidRPr="007E538D">
              <w:rPr>
                <w:rFonts w:ascii="ITC Avant Garde Std Bk" w:hAnsi="ITC Avant Garde Std Bk"/>
                <w:bCs/>
                <w:sz w:val="16"/>
                <w:szCs w:val="16"/>
              </w:rPr>
              <w:t xml:space="preserve"> habilitados. En caso de que el agente económico considere que el formato requiere información innecesaria, onerosa o sin fundamento, puede libremente emplear alguna otra de las opciones mencionadas, sin detrimento de la atención que el Instituto da en todos los casos a cada asunto con estricto apego a la legalidad.</w:t>
            </w:r>
          </w:p>
          <w:p w14:paraId="0DF0B357" w14:textId="77777777" w:rsidR="005E7DD2" w:rsidRPr="007E538D" w:rsidRDefault="005E7DD2" w:rsidP="00D00389">
            <w:pPr>
              <w:jc w:val="both"/>
              <w:rPr>
                <w:rFonts w:ascii="ITC Avant Garde Std Bk" w:hAnsi="ITC Avant Garde Std Bk"/>
                <w:bCs/>
                <w:sz w:val="16"/>
                <w:szCs w:val="16"/>
              </w:rPr>
            </w:pPr>
          </w:p>
          <w:p w14:paraId="661CCE32"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En lo que respecta a la aplicación del análisis de impacto regulatorio, en el caso particular de los formatos les fue aplicado el análisis de nulo impacto regulatorio por cumplir los requisitos que los Lineamientos de Consulta Pública y Análisis de Impacto Regulatorio del Instituto, en particular el Lineamiento Vigésimo Primero, señalan, entre los que se encuentra el de que dichos formatos no creen nuevas obligaciones o hagan más estrictas las existentes, por lo que no puede darse validez a la lógica del comentario de que la aplicación de dicho análisis implica que sí se crean nuevas obligaciones o se hacen más estrictas las existentes.</w:t>
            </w:r>
          </w:p>
          <w:p w14:paraId="7A1F4557" w14:textId="77777777" w:rsidR="005E7DD2" w:rsidRPr="007E538D" w:rsidRDefault="005E7DD2" w:rsidP="00D00389">
            <w:pPr>
              <w:jc w:val="both"/>
              <w:rPr>
                <w:rFonts w:ascii="ITC Avant Garde Std Bk" w:hAnsi="ITC Avant Garde Std Bk"/>
                <w:bCs/>
                <w:sz w:val="16"/>
                <w:szCs w:val="16"/>
              </w:rPr>
            </w:pPr>
          </w:p>
          <w:p w14:paraId="1CB415CA"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 xml:space="preserve">En lo que toca a la simplificación del trámite, esta simplificación o disminución de costos se deriva de la agilidad que el Instituto puede imprimir al desahogo del procedimiento si desde un inicio cuenta con la información que emplea en el análisis que realiza en cada tipo de procedimiento, siempre con apego a la Ley y sus disposiciones sustantivas y adjetivas. Los </w:t>
            </w:r>
            <w:r w:rsidRPr="007E538D">
              <w:rPr>
                <w:rFonts w:ascii="ITC Avant Garde Std Bk" w:hAnsi="ITC Avant Garde Std Bk"/>
                <w:bCs/>
                <w:sz w:val="16"/>
                <w:szCs w:val="16"/>
              </w:rPr>
              <w:lastRenderedPageBreak/>
              <w:t>agentes económicos conservan la libertad de emplear los formatos o recurrir a las otras modalidades, si consideran que esto conviene a sus intereses.</w:t>
            </w:r>
          </w:p>
          <w:p w14:paraId="43B4B189" w14:textId="77777777" w:rsidR="005E7DD2" w:rsidRPr="007E538D" w:rsidRDefault="005E7DD2" w:rsidP="00D00389">
            <w:pPr>
              <w:jc w:val="both"/>
              <w:rPr>
                <w:rFonts w:ascii="ITC Avant Garde Std Bk" w:hAnsi="ITC Avant Garde Std Bk"/>
                <w:bCs/>
                <w:sz w:val="16"/>
                <w:szCs w:val="16"/>
              </w:rPr>
            </w:pPr>
          </w:p>
          <w:p w14:paraId="060BB5BB"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En lo que toca la utilidad o la relación de la información que se solicita con los respectivos análisis que la autoridad debe efectuar en cada tipo de procedimiento, se remite al participante a las respuestas que se dan a cada comentario particular que manifestó, en las que el Instituto se extiende en la exposición de en qué consiste dicha utilidad o de qué manera se relaciona la información con el análisis requerido por Ley.</w:t>
            </w:r>
          </w:p>
          <w:p w14:paraId="0A477C10" w14:textId="77777777" w:rsidR="005E7DD2" w:rsidRPr="007E538D" w:rsidRDefault="005E7DD2" w:rsidP="00D00389">
            <w:pPr>
              <w:jc w:val="both"/>
              <w:rPr>
                <w:rFonts w:ascii="ITC Avant Garde Std Bk" w:hAnsi="ITC Avant Garde Std Bk"/>
                <w:bCs/>
                <w:sz w:val="16"/>
                <w:szCs w:val="16"/>
              </w:rPr>
            </w:pPr>
          </w:p>
          <w:p w14:paraId="736F1CF8" w14:textId="77777777" w:rsidR="005E7DD2" w:rsidRPr="007E538D"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Respecto del punto B. y en cuanto a los argumentos que vierte el participante respecto de que la emisión de los formatos debe ser subsecuente a o fundarse en la emisión de disposiciones regulatorias de las que establece el artículo 12, fracción XXII, de la LFCE, el Instituto concede que esta sería la vía idónea si los formatos fueran de observancia obligatoria, debido a que esa es precisamente la naturaleza de las disposiciones regulatorias que refiere. No obstante, lo anterior, no es este el caso que nos ocupa, pues los formatos son de uso optativo y se emiten como un instrumento de mejora regulatoria, a fin de emplear la simplificación administrativa como herramienta para hacer eficiente, agilizar e incluso transparentar la gestión del proceso relacionado con los trámites y servicios en materia de competencia económica.</w:t>
            </w:r>
          </w:p>
          <w:p w14:paraId="08B747EA" w14:textId="77777777" w:rsidR="005E7DD2" w:rsidRPr="007E538D" w:rsidRDefault="005E7DD2" w:rsidP="00D00389">
            <w:pPr>
              <w:jc w:val="both"/>
              <w:rPr>
                <w:rFonts w:ascii="ITC Avant Garde Std Bk" w:hAnsi="ITC Avant Garde Std Bk"/>
                <w:bCs/>
                <w:sz w:val="16"/>
                <w:szCs w:val="16"/>
              </w:rPr>
            </w:pPr>
          </w:p>
          <w:p w14:paraId="7A4E8C2F" w14:textId="77777777" w:rsidR="005E7DD2" w:rsidRPr="005163D0" w:rsidRDefault="005E7DD2" w:rsidP="00D00389">
            <w:pPr>
              <w:jc w:val="both"/>
              <w:rPr>
                <w:rFonts w:ascii="ITC Avant Garde Std Bk" w:hAnsi="ITC Avant Garde Std Bk"/>
                <w:bCs/>
                <w:sz w:val="16"/>
                <w:szCs w:val="16"/>
              </w:rPr>
            </w:pPr>
            <w:r w:rsidRPr="007E538D">
              <w:rPr>
                <w:rFonts w:ascii="ITC Avant Garde Std Bk" w:hAnsi="ITC Avant Garde Std Bk"/>
                <w:bCs/>
                <w:sz w:val="16"/>
                <w:szCs w:val="16"/>
              </w:rPr>
              <w:t>Finalmente, se aborda el señalamiento de que el Instituto debiera regular los medios elegidos por el gobernado para la presentación de las respectivas promociones a fin de que el uso de uno u otro no sea justificación o motivo de retraso de la resolución o beneficio que se esté solicitando. Al respecto se aclara que este Instituto considera que la mayor agilidad en el desahogo de los procedimientos que se deriva del uso optativo del formato tiene un origen meramente lógico, puesto que la autoridad cuenta desde un principio con la información que normalmente requiere, con base en la Ley, en cada uno de los respectivos procedimientos, lo que puede ahorrar tiempo y recursos que ambas partes lleguen a utilizar en el intercambio de mayores prevenciones y requerimientos, dependiendo del caso en particular que se esté analizando.</w:t>
            </w:r>
          </w:p>
        </w:tc>
      </w:tr>
    </w:tbl>
    <w:p w14:paraId="62DB8E31" w14:textId="77777777" w:rsidR="008639BE" w:rsidRDefault="008639BE" w:rsidP="00D00389">
      <w:pPr>
        <w:pStyle w:val="Default"/>
        <w:jc w:val="both"/>
        <w:rPr>
          <w:rFonts w:ascii="ITC Avant Garde Std Bk" w:hAnsi="ITC Avant Garde Std Bk"/>
          <w:bCs/>
          <w:sz w:val="20"/>
          <w:szCs w:val="20"/>
          <w:lang w:eastAsia="en-US"/>
        </w:rPr>
      </w:pPr>
    </w:p>
    <w:p w14:paraId="1BEADFD8" w14:textId="77777777" w:rsidR="00585984" w:rsidRPr="00164865" w:rsidRDefault="00585984" w:rsidP="00D00389">
      <w:pPr>
        <w:pStyle w:val="Default"/>
        <w:jc w:val="both"/>
        <w:rPr>
          <w:rFonts w:ascii="ITC Avant Garde Std Bk" w:hAnsi="ITC Avant Garde Std Bk"/>
          <w:bCs/>
          <w:sz w:val="20"/>
          <w:szCs w:val="20"/>
          <w:lang w:eastAsia="en-US"/>
        </w:rPr>
      </w:pPr>
      <w:r w:rsidRPr="00164865">
        <w:rPr>
          <w:rFonts w:ascii="ITC Avant Garde Std Bk" w:hAnsi="ITC Avant Garde Std Bk"/>
          <w:bCs/>
          <w:sz w:val="20"/>
          <w:szCs w:val="20"/>
          <w:lang w:eastAsia="en-US"/>
        </w:rPr>
        <w:t>6.</w:t>
      </w:r>
      <w:r w:rsidR="00E85F0A">
        <w:rPr>
          <w:rFonts w:ascii="ITC Avant Garde Std Bk" w:hAnsi="ITC Avant Garde Std Bk"/>
          <w:bCs/>
          <w:sz w:val="20"/>
          <w:szCs w:val="20"/>
          <w:lang w:eastAsia="en-US"/>
        </w:rPr>
        <w:t>4</w:t>
      </w:r>
      <w:r>
        <w:rPr>
          <w:rFonts w:ascii="ITC Avant Garde Std Bk" w:hAnsi="ITC Avant Garde Std Bk"/>
          <w:bCs/>
          <w:sz w:val="20"/>
          <w:szCs w:val="20"/>
          <w:lang w:eastAsia="en-US"/>
        </w:rPr>
        <w:t xml:space="preserve">. </w:t>
      </w:r>
      <w:r w:rsidRPr="007F5031">
        <w:rPr>
          <w:rFonts w:ascii="ITC Avant Garde Std Bk" w:hAnsi="ITC Avant Garde Std Bk"/>
          <w:b/>
          <w:bCs/>
          <w:sz w:val="20"/>
          <w:szCs w:val="20"/>
          <w:u w:val="single"/>
          <w:lang w:eastAsia="en-US"/>
        </w:rPr>
        <w:t>A</w:t>
      </w:r>
      <w:r>
        <w:rPr>
          <w:rFonts w:ascii="ITC Avant Garde Std Bk" w:hAnsi="ITC Avant Garde Std Bk"/>
          <w:b/>
          <w:bCs/>
          <w:sz w:val="20"/>
          <w:szCs w:val="20"/>
          <w:u w:val="single"/>
          <w:lang w:eastAsia="en-US"/>
        </w:rPr>
        <w:t>nexo E</w:t>
      </w:r>
    </w:p>
    <w:p w14:paraId="1C9A267B" w14:textId="77777777" w:rsidR="00585984" w:rsidRDefault="00585984" w:rsidP="00D00389">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1271"/>
        <w:gridCol w:w="4253"/>
        <w:gridCol w:w="4438"/>
      </w:tblGrid>
      <w:tr w:rsidR="00585984" w:rsidRPr="00887E2E" w14:paraId="47AA2D50" w14:textId="77777777" w:rsidTr="001719B0">
        <w:tc>
          <w:tcPr>
            <w:tcW w:w="1271" w:type="dxa"/>
            <w:shd w:val="clear" w:color="auto" w:fill="296624"/>
          </w:tcPr>
          <w:p w14:paraId="60C2FB52" w14:textId="77777777" w:rsidR="00585984" w:rsidRDefault="00585984" w:rsidP="00D00389">
            <w:pPr>
              <w:pStyle w:val="Default"/>
              <w:jc w:val="center"/>
              <w:rPr>
                <w:rFonts w:ascii="ITC Avant Garde Std Bk" w:hAnsi="ITC Avant Garde Std Bk"/>
                <w:bCs/>
                <w:color w:val="FFFFFF" w:themeColor="background1"/>
                <w:sz w:val="16"/>
                <w:szCs w:val="16"/>
              </w:rPr>
            </w:pPr>
          </w:p>
          <w:p w14:paraId="3330734C" w14:textId="77777777" w:rsidR="00585984" w:rsidRDefault="00585984"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64C403C6" w14:textId="77777777" w:rsidR="00585984" w:rsidRPr="00887E2E" w:rsidRDefault="00585984" w:rsidP="00D00389">
            <w:pPr>
              <w:pStyle w:val="Default"/>
              <w:jc w:val="center"/>
              <w:rPr>
                <w:color w:val="FFFFFF" w:themeColor="background1"/>
              </w:rPr>
            </w:pPr>
          </w:p>
        </w:tc>
        <w:tc>
          <w:tcPr>
            <w:tcW w:w="4253" w:type="dxa"/>
            <w:shd w:val="clear" w:color="auto" w:fill="296624"/>
          </w:tcPr>
          <w:p w14:paraId="4ED1A29D" w14:textId="77777777" w:rsidR="00585984" w:rsidRDefault="00585984" w:rsidP="00D00389">
            <w:pPr>
              <w:jc w:val="center"/>
              <w:rPr>
                <w:rFonts w:ascii="ITC Avant Garde Std Bk" w:hAnsi="ITC Avant Garde Std Bk"/>
                <w:bCs/>
                <w:color w:val="FFFFFF" w:themeColor="background1"/>
                <w:sz w:val="16"/>
                <w:szCs w:val="16"/>
              </w:rPr>
            </w:pPr>
          </w:p>
          <w:p w14:paraId="5B583926" w14:textId="77777777" w:rsidR="00585984" w:rsidRPr="00887E2E" w:rsidRDefault="00585984"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62955805" w14:textId="77777777" w:rsidR="00585984" w:rsidRDefault="00585984" w:rsidP="00D00389">
            <w:pPr>
              <w:jc w:val="center"/>
              <w:rPr>
                <w:rFonts w:ascii="ITC Avant Garde Std Bk" w:hAnsi="ITC Avant Garde Std Bk"/>
                <w:bCs/>
                <w:color w:val="FFFFFF" w:themeColor="background1"/>
                <w:sz w:val="16"/>
                <w:szCs w:val="16"/>
              </w:rPr>
            </w:pPr>
          </w:p>
          <w:p w14:paraId="165EA344" w14:textId="77777777" w:rsidR="00585984" w:rsidRPr="00887E2E" w:rsidRDefault="00585984"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585984" w:rsidRPr="008D1B7F" w14:paraId="37372CD0" w14:textId="77777777" w:rsidTr="001719B0">
        <w:tc>
          <w:tcPr>
            <w:tcW w:w="1271" w:type="dxa"/>
            <w:vMerge w:val="restart"/>
            <w:shd w:val="clear" w:color="auto" w:fill="EAF1DD" w:themeFill="accent3" w:themeFillTint="33"/>
            <w:vAlign w:val="center"/>
          </w:tcPr>
          <w:p w14:paraId="66992615" w14:textId="77777777" w:rsidR="00585984" w:rsidRPr="003A0F21" w:rsidRDefault="00116B10" w:rsidP="00D00389">
            <w:pPr>
              <w:jc w:val="center"/>
              <w:rPr>
                <w:rFonts w:ascii="ITC Avant Garde Std Bk" w:hAnsi="ITC Avant Garde Std Bk"/>
                <w:bCs/>
                <w:sz w:val="16"/>
                <w:szCs w:val="16"/>
              </w:rPr>
            </w:pPr>
            <w:r w:rsidRPr="00116B10">
              <w:rPr>
                <w:rFonts w:ascii="ITC Avant Garde Std Bk" w:hAnsi="ITC Avant Garde Std Bk"/>
                <w:bCs/>
                <w:sz w:val="16"/>
                <w:szCs w:val="16"/>
              </w:rPr>
              <w:t>Carlos Mora Villalpando</w:t>
            </w:r>
          </w:p>
        </w:tc>
        <w:tc>
          <w:tcPr>
            <w:tcW w:w="4253" w:type="dxa"/>
            <w:shd w:val="clear" w:color="auto" w:fill="D6E3BC" w:themeFill="accent3" w:themeFillTint="66"/>
          </w:tcPr>
          <w:p w14:paraId="1C56F389" w14:textId="77777777" w:rsidR="00116B10" w:rsidRP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En la sección 3 del Anexo E se impone un campo de información de llenado obligatorio denominado “Relacionados por Parentesco” en el que solicita a cada una de las Personas Involucradas y de los Relacionados Accionistas que sean personas físicas identifique a las personas físicas con los que tengan parentesco por consanguinidad o por afinidad, que participen</w:t>
            </w:r>
            <w:r>
              <w:rPr>
                <w:rFonts w:ascii="ITC Avant Garde Std Bk" w:hAnsi="ITC Avant Garde Std Bk"/>
                <w:bCs/>
                <w:sz w:val="16"/>
                <w:szCs w:val="16"/>
              </w:rPr>
              <w:t xml:space="preserve">, directa o indirectamente, en </w:t>
            </w:r>
            <w:r w:rsidRPr="00116B10">
              <w:rPr>
                <w:rFonts w:ascii="ITC Avant Garde Std Bk" w:hAnsi="ITC Avant Garde Std Bk"/>
                <w:bCs/>
                <w:sz w:val="16"/>
                <w:szCs w:val="16"/>
              </w:rPr>
              <w:t>sociedades, asociaciones o empresas…”. Asimismo, en la referida Sección 3, en el apartado de llenado obligatorio denominado “Relacionados por Participación” se obliga a los Agentes Económicos a identificar a los Relacionados por Parentesco con participaciones accionarias.</w:t>
            </w:r>
          </w:p>
          <w:p w14:paraId="4EC98491" w14:textId="77777777" w:rsidR="00116B10" w:rsidRPr="00116B10" w:rsidRDefault="00116B10" w:rsidP="00D00389">
            <w:pPr>
              <w:jc w:val="both"/>
              <w:rPr>
                <w:rFonts w:ascii="ITC Avant Garde Std Bk" w:hAnsi="ITC Avant Garde Std Bk"/>
                <w:bCs/>
                <w:sz w:val="16"/>
                <w:szCs w:val="16"/>
              </w:rPr>
            </w:pPr>
          </w:p>
          <w:p w14:paraId="23EF988D" w14:textId="77777777" w:rsidR="00116B10" w:rsidRP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Es importante señalar que las relaciones de parentesco por consanguinidad o por afinidad de las personas físicas que participan en una concentración no se contemplan en el artículo 89 de la LFCE como uno de los requisitos indispensables para la notificación de una concentración ni en las DR correspondientes.</w:t>
            </w:r>
          </w:p>
          <w:p w14:paraId="39BC25F3" w14:textId="77777777" w:rsidR="00116B10" w:rsidRPr="00116B10" w:rsidRDefault="00116B10" w:rsidP="00D00389">
            <w:pPr>
              <w:jc w:val="both"/>
              <w:rPr>
                <w:rFonts w:ascii="ITC Avant Garde Std Bk" w:hAnsi="ITC Avant Garde Std Bk"/>
                <w:bCs/>
                <w:sz w:val="16"/>
                <w:szCs w:val="16"/>
              </w:rPr>
            </w:pPr>
          </w:p>
          <w:p w14:paraId="0208B51F" w14:textId="77777777" w:rsidR="00116B10" w:rsidRP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Se considera que la naturaleza de la información y de datos sensibles requeridos en el Anexo E, en particular respecto a la identificación de las personas físicas que tengan vínculos por parentesco o por afinidad, no aportan utilidad al estudio o análisis en materia de competencia económica del trámite en cuestión, ya que no se aportan los elementos suficientes para justificar que una relación de parentesco en los términos solicitados en el Anexo E, representen un problema en materia de competencia económica.</w:t>
            </w:r>
          </w:p>
          <w:p w14:paraId="23191193" w14:textId="77777777" w:rsidR="00116B10" w:rsidRPr="00116B10" w:rsidRDefault="00116B10" w:rsidP="00D00389">
            <w:pPr>
              <w:jc w:val="both"/>
              <w:rPr>
                <w:rFonts w:ascii="ITC Avant Garde Std Bk" w:hAnsi="ITC Avant Garde Std Bk"/>
                <w:bCs/>
                <w:sz w:val="16"/>
                <w:szCs w:val="16"/>
              </w:rPr>
            </w:pPr>
          </w:p>
          <w:p w14:paraId="13C3E76F" w14:textId="77777777" w:rsidR="00116B10" w:rsidRP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 xml:space="preserve">Asimismo, se considera que el hecho de que el solicitante tenga la obligación de presentar información respecto de las personas físicas que tengan vínculos por parentesco o por afinidad genera una carga innecesaria y onerosa al gobernado, pues debe aportar información de terceros, y con la que no cuenta necesariamente. Adicionalmente, la presentación de dicha información genera un grado de confusión ya que </w:t>
            </w:r>
            <w:r w:rsidRPr="00116B10">
              <w:rPr>
                <w:rFonts w:ascii="ITC Avant Garde Std Bk" w:hAnsi="ITC Avant Garde Std Bk"/>
                <w:bCs/>
                <w:sz w:val="16"/>
                <w:szCs w:val="16"/>
              </w:rPr>
              <w:lastRenderedPageBreak/>
              <w:t>se desconoce el criterio o la ley aplicable con el cual el IFT interpretaría la información, así como la finalidad específica para la que IFT utilizaría dicha información.</w:t>
            </w:r>
          </w:p>
          <w:p w14:paraId="5D924C30" w14:textId="77777777" w:rsidR="00116B10" w:rsidRPr="00116B10" w:rsidRDefault="00116B10" w:rsidP="00D00389">
            <w:pPr>
              <w:jc w:val="both"/>
              <w:rPr>
                <w:rFonts w:ascii="ITC Avant Garde Std Bk" w:hAnsi="ITC Avant Garde Std Bk"/>
                <w:bCs/>
                <w:sz w:val="16"/>
                <w:szCs w:val="16"/>
              </w:rPr>
            </w:pPr>
          </w:p>
          <w:p w14:paraId="5081B67C" w14:textId="77777777" w:rsidR="00116B10" w:rsidRP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Finalmente, de conformidad con el principio de certeza jurídica consagrado en el artículo 16 Constitucional, se considera que la fundamentación y motivación de la información que dicho anexo requiere por parte del solicitante no es suficiente para brindar claridad al solicitante respecto de la relación o utilidad que guarda la información y datos sensibles requeridos en el trámite o procedimiento en particular.</w:t>
            </w:r>
          </w:p>
          <w:p w14:paraId="1B42A637" w14:textId="77777777" w:rsidR="00116B10" w:rsidRPr="00116B10" w:rsidRDefault="00116B10" w:rsidP="00D00389">
            <w:pPr>
              <w:jc w:val="both"/>
              <w:rPr>
                <w:rFonts w:ascii="ITC Avant Garde Std Bk" w:hAnsi="ITC Avant Garde Std Bk"/>
                <w:bCs/>
                <w:sz w:val="16"/>
                <w:szCs w:val="16"/>
              </w:rPr>
            </w:pPr>
          </w:p>
          <w:p w14:paraId="66EF466C" w14:textId="77777777" w:rsidR="00585984" w:rsidRPr="007D0768"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En todo caso, en el formato, el IFT debería justificar la utilidad de la información solicitada. Esto porque si el objetivo del formato de trámite es facilitar la autorización de una concentración, entonces, el gobernado debe tener toda la información necesaria para entender, sin recurrir a otras fuentes, la necesidad de la información.</w:t>
            </w:r>
          </w:p>
        </w:tc>
        <w:tc>
          <w:tcPr>
            <w:tcW w:w="4438" w:type="dxa"/>
            <w:shd w:val="clear" w:color="auto" w:fill="D6E3BC" w:themeFill="accent3" w:themeFillTint="66"/>
          </w:tcPr>
          <w:p w14:paraId="046D9127" w14:textId="77777777" w:rsid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lastRenderedPageBreak/>
              <w:t>Debe entenderse que el artículo 89 de la LFCE se refiere a agentes económicos en su dimensión de Grupos de Interés Económico, concepto que abarca el tipo de relaciones de parentesco de que trata este apartado.</w:t>
            </w:r>
          </w:p>
          <w:p w14:paraId="7A663891" w14:textId="77777777" w:rsidR="00FB580E" w:rsidRPr="00116B10" w:rsidRDefault="00FB580E" w:rsidP="00D00389">
            <w:pPr>
              <w:jc w:val="both"/>
              <w:rPr>
                <w:rFonts w:ascii="ITC Avant Garde Std Bk" w:hAnsi="ITC Avant Garde Std Bk"/>
                <w:bCs/>
                <w:sz w:val="16"/>
                <w:szCs w:val="16"/>
              </w:rPr>
            </w:pPr>
          </w:p>
          <w:p w14:paraId="3E9503BE" w14:textId="77777777" w:rsid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Al respecto, el artículo 63, en particular la fracción IV, establece también que el Instituto debe considerar la participación de los agentes económicos involucrados en otros agentes, por lo que son estos dos preceptos los que respaldan la solicitud de la información sobre "Relacionados por Parentesco".</w:t>
            </w:r>
          </w:p>
          <w:p w14:paraId="75BD6D9B" w14:textId="77777777" w:rsidR="00FB580E" w:rsidRPr="00116B10" w:rsidRDefault="00FB580E" w:rsidP="00D00389">
            <w:pPr>
              <w:jc w:val="both"/>
              <w:rPr>
                <w:rFonts w:ascii="ITC Avant Garde Std Bk" w:hAnsi="ITC Avant Garde Std Bk"/>
                <w:bCs/>
                <w:sz w:val="16"/>
                <w:szCs w:val="16"/>
              </w:rPr>
            </w:pPr>
          </w:p>
          <w:p w14:paraId="7F22CE7D" w14:textId="77777777" w:rsid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Cabe aclarar que la aplicación de este último artículo de la LFCE en los procedimientos de Aviso de Concentración se hace por analogía, debido a que uno de los propósitos de dicho procedimiento es la verificación de que la concentración sobre la que se avisa cumplió con el inciso d) del primer párrafo del Artículo Noveno Transitorio del decreto mediante que se expidió la actual Ley Federal de Telecomunicaciones y Radiodifusión, requisito análogo al que establece el artículo 62 de la LFCE para considerar las concentraciones como lícitas, pero en un ámbito sectorial.</w:t>
            </w:r>
          </w:p>
          <w:p w14:paraId="755882EC" w14:textId="77777777" w:rsidR="00FB580E" w:rsidRPr="00116B10" w:rsidRDefault="00FB580E" w:rsidP="00D00389">
            <w:pPr>
              <w:jc w:val="both"/>
              <w:rPr>
                <w:rFonts w:ascii="ITC Avant Garde Std Bk" w:hAnsi="ITC Avant Garde Std Bk"/>
                <w:bCs/>
                <w:sz w:val="16"/>
                <w:szCs w:val="16"/>
              </w:rPr>
            </w:pPr>
          </w:p>
          <w:p w14:paraId="5FA39F21" w14:textId="77777777" w:rsid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El objeto de contar con esta información es que el I</w:t>
            </w:r>
            <w:r w:rsidR="00FB580E">
              <w:rPr>
                <w:rFonts w:ascii="ITC Avant Garde Std Bk" w:hAnsi="ITC Avant Garde Std Bk"/>
                <w:bCs/>
                <w:sz w:val="16"/>
                <w:szCs w:val="16"/>
              </w:rPr>
              <w:t>nstituto</w:t>
            </w:r>
            <w:r w:rsidRPr="00116B10">
              <w:rPr>
                <w:rFonts w:ascii="ITC Avant Garde Std Bk" w:hAnsi="ITC Avant Garde Std Bk"/>
                <w:bCs/>
                <w:sz w:val="16"/>
                <w:szCs w:val="16"/>
              </w:rPr>
              <w:t xml:space="preserve">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 a fin de evaluar adecuadamente el efecto de la concentración en la libre concurrencia y competencia en el sector.</w:t>
            </w:r>
          </w:p>
          <w:p w14:paraId="231C9785" w14:textId="77777777" w:rsidR="00FB580E" w:rsidRPr="00116B10" w:rsidRDefault="00FB580E" w:rsidP="00D00389">
            <w:pPr>
              <w:jc w:val="both"/>
              <w:rPr>
                <w:rFonts w:ascii="ITC Avant Garde Std Bk" w:hAnsi="ITC Avant Garde Std Bk"/>
                <w:bCs/>
                <w:sz w:val="16"/>
                <w:szCs w:val="16"/>
              </w:rPr>
            </w:pPr>
          </w:p>
          <w:p w14:paraId="1AED9DB0" w14:textId="77777777" w:rsid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 xml:space="preserve">En cuanto a que la información sobre personas físicas vinculadas por parentesco o afinidad puede contener datos sensibles, el apartado 7 del Anexo ofrece al solicitante la posibilidad de indicar la información que se considere confidencial a fin de que el Instituto la clasifique como tal, siempre y </w:t>
            </w:r>
            <w:r w:rsidRPr="00116B10">
              <w:rPr>
                <w:rFonts w:ascii="ITC Avant Garde Std Bk" w:hAnsi="ITC Avant Garde Std Bk"/>
                <w:bCs/>
                <w:sz w:val="16"/>
                <w:szCs w:val="16"/>
              </w:rPr>
              <w:lastRenderedPageBreak/>
              <w:t>cuando se expliquen las razones de y se acredite que tiene este carácter.</w:t>
            </w:r>
          </w:p>
          <w:p w14:paraId="28C730A5" w14:textId="77777777" w:rsidR="00FB580E" w:rsidRPr="00116B10" w:rsidRDefault="00FB580E" w:rsidP="00D00389">
            <w:pPr>
              <w:jc w:val="both"/>
              <w:rPr>
                <w:rFonts w:ascii="ITC Avant Garde Std Bk" w:hAnsi="ITC Avant Garde Std Bk"/>
                <w:bCs/>
                <w:sz w:val="16"/>
                <w:szCs w:val="16"/>
              </w:rPr>
            </w:pPr>
          </w:p>
          <w:p w14:paraId="7CA1FD42" w14:textId="77777777" w:rsidR="00116B10"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 xml:space="preserve">Respecto de que el solicitante no cuente necesariamente con la información que se solicita, esta información se entiende accesible al Interesado derivado de los vínculos que pudiera mantener con los agentes económicos relacionados. No obstante, de contar con alguna imposibilidad para presentar la información en los términos que se solicita, puede exponer las razones y acreditar, a satisfacción del Instituto, dicha imposibilidad jurídica </w:t>
            </w:r>
            <w:r w:rsidR="00FB580E" w:rsidRPr="00116B10">
              <w:rPr>
                <w:rFonts w:ascii="ITC Avant Garde Std Bk" w:hAnsi="ITC Avant Garde Std Bk"/>
                <w:bCs/>
                <w:sz w:val="16"/>
                <w:szCs w:val="16"/>
              </w:rPr>
              <w:t>o,</w:t>
            </w:r>
            <w:r w:rsidRPr="00116B10">
              <w:rPr>
                <w:rFonts w:ascii="ITC Avant Garde Std Bk" w:hAnsi="ITC Avant Garde Std Bk"/>
                <w:bCs/>
                <w:sz w:val="16"/>
                <w:szCs w:val="16"/>
              </w:rPr>
              <w:t xml:space="preserve"> de hecho.</w:t>
            </w:r>
          </w:p>
          <w:p w14:paraId="6D7DCC94" w14:textId="77777777" w:rsidR="00FB580E" w:rsidRPr="00116B10" w:rsidRDefault="00FB580E" w:rsidP="00D00389">
            <w:pPr>
              <w:jc w:val="both"/>
              <w:rPr>
                <w:rFonts w:ascii="ITC Avant Garde Std Bk" w:hAnsi="ITC Avant Garde Std Bk"/>
                <w:bCs/>
                <w:sz w:val="16"/>
                <w:szCs w:val="16"/>
              </w:rPr>
            </w:pPr>
          </w:p>
          <w:p w14:paraId="0E1E307F" w14:textId="77777777" w:rsidR="00585984" w:rsidRPr="00776167" w:rsidRDefault="00116B10" w:rsidP="00D00389">
            <w:pPr>
              <w:jc w:val="both"/>
              <w:rPr>
                <w:rFonts w:ascii="ITC Avant Garde Std Bk" w:hAnsi="ITC Avant Garde Std Bk"/>
                <w:bCs/>
                <w:sz w:val="16"/>
                <w:szCs w:val="16"/>
              </w:rPr>
            </w:pPr>
            <w:r w:rsidRPr="00116B10">
              <w:rPr>
                <w:rFonts w:ascii="ITC Avant Garde Std Bk" w:hAnsi="ITC Avant Garde Std Bk"/>
                <w:bCs/>
                <w:sz w:val="16"/>
                <w:szCs w:val="16"/>
              </w:rPr>
              <w:t>Finalmente, como se señala claramente en el proyecto de acuerdo, los formatos son una herramienta para hacer más eficientes los trámites a cargo del instituto, así como facilitar su presentación y disminuir las cargas administrativas de los regulados. Todos los formatos son de carácter optativo, por lo que los agentes económicos pueden utilizarlos en sus promociones o hacerlas a través de escritos libres o de medios electrónicos, en caso de que estos últimos estén habilitados, lo que lleva a concluir que de ninguna manera generan una carga innecesaria u onerosa al gobernado.</w:t>
            </w:r>
          </w:p>
        </w:tc>
      </w:tr>
      <w:tr w:rsidR="00585984" w:rsidRPr="008D1B7F" w14:paraId="7417C554" w14:textId="77777777" w:rsidTr="001719B0">
        <w:tc>
          <w:tcPr>
            <w:tcW w:w="1271" w:type="dxa"/>
            <w:vMerge/>
            <w:shd w:val="clear" w:color="auto" w:fill="EAF1DD" w:themeFill="accent3" w:themeFillTint="33"/>
          </w:tcPr>
          <w:p w14:paraId="5ABEF5A3" w14:textId="77777777" w:rsidR="00585984" w:rsidRPr="003A0F21" w:rsidRDefault="00585984" w:rsidP="00D00389">
            <w:pPr>
              <w:rPr>
                <w:rFonts w:ascii="ITC Avant Garde Std Bk" w:hAnsi="ITC Avant Garde Std Bk"/>
                <w:bCs/>
                <w:sz w:val="16"/>
                <w:szCs w:val="16"/>
              </w:rPr>
            </w:pPr>
          </w:p>
        </w:tc>
        <w:tc>
          <w:tcPr>
            <w:tcW w:w="4253" w:type="dxa"/>
            <w:shd w:val="clear" w:color="auto" w:fill="C2D69B" w:themeFill="accent3" w:themeFillTint="99"/>
          </w:tcPr>
          <w:p w14:paraId="077FC0EA" w14:textId="4E184587" w:rsidR="00585984" w:rsidRDefault="006B234E" w:rsidP="00D00389">
            <w:pPr>
              <w:jc w:val="both"/>
              <w:rPr>
                <w:rFonts w:ascii="ITC Avant Garde Std Bk" w:hAnsi="ITC Avant Garde Std Bk"/>
                <w:bCs/>
                <w:sz w:val="16"/>
                <w:szCs w:val="16"/>
              </w:rPr>
            </w:pPr>
            <w:r w:rsidRPr="006B234E">
              <w:rPr>
                <w:rFonts w:ascii="ITC Avant Garde Std Bk" w:hAnsi="ITC Avant Garde Std Bk"/>
                <w:bCs/>
                <w:sz w:val="16"/>
                <w:szCs w:val="16"/>
              </w:rPr>
              <w:t>Sección 3. “Fecha probable de realización de la concentración o, en su caso, de las fechas de los actos que dieron origen a la concentración”</w:t>
            </w:r>
            <w:r>
              <w:rPr>
                <w:rFonts w:ascii="ITC Avant Garde Std Bk" w:hAnsi="ITC Avant Garde Std Bk"/>
                <w:bCs/>
                <w:sz w:val="16"/>
                <w:szCs w:val="16"/>
              </w:rPr>
              <w:t>.</w:t>
            </w:r>
          </w:p>
          <w:p w14:paraId="14303D90" w14:textId="77777777" w:rsidR="00FE2DF8" w:rsidRDefault="00FE2DF8" w:rsidP="00D00389">
            <w:pPr>
              <w:jc w:val="both"/>
              <w:rPr>
                <w:rFonts w:ascii="ITC Avant Garde Std Bk" w:hAnsi="ITC Avant Garde Std Bk"/>
                <w:bCs/>
                <w:sz w:val="16"/>
                <w:szCs w:val="16"/>
              </w:rPr>
            </w:pPr>
          </w:p>
          <w:p w14:paraId="4B188AC7" w14:textId="77777777" w:rsidR="006B234E" w:rsidRDefault="006B234E" w:rsidP="00D00389">
            <w:pPr>
              <w:jc w:val="both"/>
              <w:rPr>
                <w:rFonts w:ascii="ITC Avant Garde Std Bk" w:hAnsi="ITC Avant Garde Std Bk"/>
                <w:bCs/>
                <w:sz w:val="16"/>
                <w:szCs w:val="16"/>
              </w:rPr>
            </w:pPr>
            <w:r w:rsidRPr="006B234E">
              <w:rPr>
                <w:rFonts w:ascii="ITC Avant Garde Std Bk" w:hAnsi="ITC Avant Garde Std Bk"/>
                <w:bCs/>
                <w:sz w:val="16"/>
                <w:szCs w:val="16"/>
              </w:rPr>
              <w:t xml:space="preserve">Con fundamento en el artículo transitorio noveno del “Decreto por el que se expiden la Ley Federal de Telecomunicaciones y Radiodifusión (LFTyR), y la Ley del Sistema Público de Radiodifusión del Estado Mexicano (LSPREM); y se reforman, adicionan y derogan diversas disposiciones en materia de telecomunicaciones y radiodifusión” publicado en el Diario Oficial de la Federación el 14 de julio de 2014, los agentes económicos deberán presentar al IFT dentro de los 10 días siguientes a la concentración realizada en los términos de dicho artículo transitorio, un aviso por escrito que contendrá la información a que se refiere el artículo 89 de la LFCE referida al sector correspondiente así como los elementos de convicción que demuestren que la concentración cumple con los incisos anteriores. Por lo anterior, se considera que existe poca certeza o bien, personalización del Anexo E al trámite al </w:t>
            </w:r>
            <w:r w:rsidR="00DF7880" w:rsidRPr="006B234E">
              <w:rPr>
                <w:rFonts w:ascii="ITC Avant Garde Std Bk" w:hAnsi="ITC Avant Garde Std Bk"/>
                <w:bCs/>
                <w:sz w:val="16"/>
                <w:szCs w:val="16"/>
              </w:rPr>
              <w:t>cual</w:t>
            </w:r>
            <w:r w:rsidRPr="006B234E">
              <w:rPr>
                <w:rFonts w:ascii="ITC Avant Garde Std Bk" w:hAnsi="ITC Avant Garde Std Bk"/>
                <w:bCs/>
                <w:sz w:val="16"/>
                <w:szCs w:val="16"/>
              </w:rPr>
              <w:t xml:space="preserve"> corresponde ya que dicha fecha no puede ser probable, si no debe existir una fecha cierta con base en la cual se presenta el aviso de notificación de concentración dentro del plazo.</w:t>
            </w:r>
          </w:p>
          <w:p w14:paraId="0790CFDC" w14:textId="77777777" w:rsidR="00A52E3D" w:rsidRDefault="00A52E3D" w:rsidP="00D00389">
            <w:pPr>
              <w:jc w:val="both"/>
              <w:rPr>
                <w:rFonts w:ascii="ITC Avant Garde Std Bk" w:hAnsi="ITC Avant Garde Std Bk"/>
                <w:bCs/>
                <w:sz w:val="16"/>
                <w:szCs w:val="16"/>
              </w:rPr>
            </w:pPr>
          </w:p>
        </w:tc>
        <w:tc>
          <w:tcPr>
            <w:tcW w:w="4438" w:type="dxa"/>
            <w:shd w:val="clear" w:color="auto" w:fill="C2D69B" w:themeFill="accent3" w:themeFillTint="99"/>
          </w:tcPr>
          <w:p w14:paraId="0C67030F" w14:textId="77777777" w:rsidR="00DF7880" w:rsidRDefault="00DF7880" w:rsidP="00D00389">
            <w:pPr>
              <w:jc w:val="both"/>
              <w:rPr>
                <w:rFonts w:ascii="ITC Avant Garde Std Bk" w:hAnsi="ITC Avant Garde Std Bk"/>
                <w:bCs/>
                <w:sz w:val="16"/>
                <w:szCs w:val="16"/>
              </w:rPr>
            </w:pPr>
            <w:r w:rsidRPr="00DF7880">
              <w:rPr>
                <w:rFonts w:ascii="ITC Avant Garde Std Bk" w:hAnsi="ITC Avant Garde Std Bk"/>
                <w:bCs/>
                <w:sz w:val="16"/>
                <w:szCs w:val="16"/>
              </w:rPr>
              <w:t xml:space="preserve">Se modifica el </w:t>
            </w:r>
            <w:r w:rsidRPr="004508E6">
              <w:rPr>
                <w:rFonts w:ascii="ITC Avant Garde Std Bk" w:hAnsi="ITC Avant Garde Std Bk"/>
                <w:bCs/>
                <w:sz w:val="16"/>
                <w:szCs w:val="16"/>
              </w:rPr>
              <w:t>Anexo E.</w:t>
            </w:r>
            <w:r w:rsidRPr="00DF7880">
              <w:rPr>
                <w:rFonts w:ascii="ITC Avant Garde Std Bk" w:hAnsi="ITC Avant Garde Std Bk"/>
                <w:bCs/>
                <w:sz w:val="16"/>
                <w:szCs w:val="16"/>
              </w:rPr>
              <w:t xml:space="preserve"> </w:t>
            </w:r>
          </w:p>
          <w:p w14:paraId="66ED06ED" w14:textId="77777777" w:rsidR="00DF7880" w:rsidRDefault="00DF7880" w:rsidP="00D00389">
            <w:pPr>
              <w:jc w:val="both"/>
              <w:rPr>
                <w:rFonts w:ascii="ITC Avant Garde Std Bk" w:hAnsi="ITC Avant Garde Std Bk"/>
                <w:bCs/>
                <w:sz w:val="16"/>
                <w:szCs w:val="16"/>
              </w:rPr>
            </w:pPr>
          </w:p>
          <w:p w14:paraId="2E2F9FF2" w14:textId="77777777" w:rsidR="00DF7880" w:rsidRPr="00776167" w:rsidRDefault="00DF7880" w:rsidP="00D00389">
            <w:pPr>
              <w:jc w:val="both"/>
              <w:rPr>
                <w:rFonts w:ascii="ITC Avant Garde Std Bk" w:hAnsi="ITC Avant Garde Std Bk"/>
                <w:bCs/>
                <w:sz w:val="16"/>
                <w:szCs w:val="16"/>
              </w:rPr>
            </w:pPr>
            <w:r w:rsidRPr="00DF7880">
              <w:rPr>
                <w:rFonts w:ascii="ITC Avant Garde Std Bk" w:hAnsi="ITC Avant Garde Std Bk"/>
                <w:bCs/>
                <w:sz w:val="16"/>
                <w:szCs w:val="16"/>
              </w:rPr>
              <w:t>Se modifica la Sección 3 de dicho anexo para requerir la información sobre una concentración ya realizada cuyo aviso se presenta en una fecha posterior, de acuerdo con lo dispuesto por el citado Artículo Noveno Transitorio.</w:t>
            </w:r>
          </w:p>
        </w:tc>
      </w:tr>
      <w:tr w:rsidR="00585984" w:rsidRPr="008D1B7F" w14:paraId="1C9B249B" w14:textId="77777777" w:rsidTr="001719B0">
        <w:tc>
          <w:tcPr>
            <w:tcW w:w="1271" w:type="dxa"/>
            <w:vMerge/>
            <w:shd w:val="clear" w:color="auto" w:fill="EAF1DD" w:themeFill="accent3" w:themeFillTint="33"/>
          </w:tcPr>
          <w:p w14:paraId="4EFA0D1E" w14:textId="77777777" w:rsidR="00585984" w:rsidRPr="003A0F21" w:rsidRDefault="00585984" w:rsidP="00D00389">
            <w:pPr>
              <w:rPr>
                <w:rFonts w:ascii="ITC Avant Garde Std Bk" w:hAnsi="ITC Avant Garde Std Bk"/>
                <w:bCs/>
                <w:sz w:val="16"/>
                <w:szCs w:val="16"/>
              </w:rPr>
            </w:pPr>
          </w:p>
        </w:tc>
        <w:tc>
          <w:tcPr>
            <w:tcW w:w="4253" w:type="dxa"/>
            <w:shd w:val="clear" w:color="auto" w:fill="D6E3BC" w:themeFill="accent3" w:themeFillTint="66"/>
          </w:tcPr>
          <w:p w14:paraId="69D61D6D"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Se refiere a los comentarios generales III “A” y III “B”, a saber:</w:t>
            </w:r>
          </w:p>
          <w:p w14:paraId="5633BD28" w14:textId="77777777" w:rsidR="00A52E3D" w:rsidRPr="00A52E3D" w:rsidRDefault="00A52E3D" w:rsidP="00D00389">
            <w:pPr>
              <w:jc w:val="both"/>
              <w:rPr>
                <w:rFonts w:ascii="ITC Avant Garde Std Bk" w:hAnsi="ITC Avant Garde Std Bk"/>
                <w:bCs/>
                <w:sz w:val="16"/>
                <w:szCs w:val="16"/>
              </w:rPr>
            </w:pPr>
          </w:p>
          <w:p w14:paraId="19EC8A37"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la</w:t>
            </w:r>
            <w:r>
              <w:rPr>
                <w:rFonts w:ascii="ITC Avant Garde Std Bk" w:hAnsi="ITC Avant Garde Std Bk"/>
                <w:bCs/>
                <w:sz w:val="16"/>
                <w:szCs w:val="16"/>
              </w:rPr>
              <w:t xml:space="preserve">s solicitudes y procedimientos </w:t>
            </w:r>
            <w:r w:rsidRPr="00A52E3D">
              <w:rPr>
                <w:rFonts w:ascii="ITC Avant Garde Std Bk" w:hAnsi="ITC Avant Garde Std Bk"/>
                <w:bCs/>
                <w:sz w:val="16"/>
                <w:szCs w:val="16"/>
              </w:rPr>
              <w:t>que se pretenden simplificar. Con ello, los formatos, generan cargas innecesarias, onerosas, pero sobre todo ausentes de fundamento legal al gobernado.</w:t>
            </w:r>
          </w:p>
          <w:p w14:paraId="227F1BED" w14:textId="77777777" w:rsidR="00A52E3D" w:rsidRPr="00A52E3D" w:rsidRDefault="00A52E3D" w:rsidP="00D00389">
            <w:pPr>
              <w:jc w:val="both"/>
              <w:rPr>
                <w:rFonts w:ascii="ITC Avant Garde Std Bk" w:hAnsi="ITC Avant Garde Std Bk"/>
                <w:bCs/>
                <w:sz w:val="16"/>
                <w:szCs w:val="16"/>
              </w:rPr>
            </w:pPr>
          </w:p>
          <w:p w14:paraId="015F1291" w14:textId="19B677E9" w:rsid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 xml:space="preserve">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 </w:t>
            </w:r>
          </w:p>
          <w:p w14:paraId="0822DAC6" w14:textId="77777777" w:rsidR="00FE2DF8" w:rsidRPr="00A52E3D" w:rsidRDefault="00FE2DF8" w:rsidP="00D00389">
            <w:pPr>
              <w:jc w:val="both"/>
              <w:rPr>
                <w:rFonts w:ascii="ITC Avant Garde Std Bk" w:hAnsi="ITC Avant Garde Std Bk"/>
                <w:bCs/>
                <w:sz w:val="16"/>
                <w:szCs w:val="16"/>
              </w:rPr>
            </w:pPr>
          </w:p>
          <w:p w14:paraId="3757F262"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simplifican los trámites existentes en la LFCE y la LFTyR. Esto de conformidad con lo expuesto en el presente documento.</w:t>
            </w:r>
          </w:p>
          <w:p w14:paraId="43FA6BCD" w14:textId="77777777" w:rsidR="00A52E3D" w:rsidRPr="00A52E3D" w:rsidRDefault="00A52E3D" w:rsidP="00D00389">
            <w:pPr>
              <w:jc w:val="both"/>
              <w:rPr>
                <w:rFonts w:ascii="ITC Avant Garde Std Bk" w:hAnsi="ITC Avant Garde Std Bk"/>
                <w:bCs/>
                <w:sz w:val="16"/>
                <w:szCs w:val="16"/>
              </w:rPr>
            </w:pPr>
          </w:p>
          <w:p w14:paraId="79066060"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04AC38F7" w14:textId="77777777" w:rsidR="00A52E3D" w:rsidRPr="00A52E3D" w:rsidRDefault="00A52E3D" w:rsidP="00D00389">
            <w:pPr>
              <w:jc w:val="both"/>
              <w:rPr>
                <w:rFonts w:ascii="ITC Avant Garde Std Bk" w:hAnsi="ITC Avant Garde Std Bk"/>
                <w:bCs/>
                <w:sz w:val="16"/>
                <w:szCs w:val="16"/>
              </w:rPr>
            </w:pPr>
          </w:p>
          <w:p w14:paraId="5E121965"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77652456" w14:textId="77777777" w:rsidR="00A52E3D" w:rsidRPr="00A52E3D" w:rsidRDefault="00A52E3D" w:rsidP="00D00389">
            <w:pPr>
              <w:jc w:val="both"/>
              <w:rPr>
                <w:rFonts w:ascii="ITC Avant Garde Std Bk" w:hAnsi="ITC Avant Garde Std Bk"/>
                <w:bCs/>
                <w:sz w:val="16"/>
                <w:szCs w:val="16"/>
              </w:rPr>
            </w:pPr>
          </w:p>
          <w:p w14:paraId="7E2FDF9D"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 xml:space="preserve">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w:t>
            </w:r>
            <w:r w:rsidRPr="00A52E3D">
              <w:rPr>
                <w:rFonts w:ascii="ITC Avant Garde Std Bk" w:hAnsi="ITC Avant Garde Std Bk"/>
                <w:bCs/>
                <w:sz w:val="16"/>
                <w:szCs w:val="16"/>
              </w:rPr>
              <w:lastRenderedPageBreak/>
              <w:t>cuerpos normativos en la materia no facultan expresamente al IFT para solicitar del gobernado determinada información, dicha solicitud no solo implica una carga adicional para el gobernado, sino que resulta por demás ilegal.</w:t>
            </w:r>
          </w:p>
          <w:p w14:paraId="0DA28B4A" w14:textId="77777777" w:rsidR="00A52E3D" w:rsidRPr="00A52E3D" w:rsidRDefault="00A52E3D" w:rsidP="00D00389">
            <w:pPr>
              <w:jc w:val="both"/>
              <w:rPr>
                <w:rFonts w:ascii="ITC Avant Garde Std Bk" w:hAnsi="ITC Avant Garde Std Bk"/>
                <w:bCs/>
                <w:sz w:val="16"/>
                <w:szCs w:val="16"/>
              </w:rPr>
            </w:pPr>
          </w:p>
          <w:p w14:paraId="2FC65619"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66E1CA1B" w14:textId="77777777" w:rsidR="00A52E3D" w:rsidRPr="00A52E3D" w:rsidRDefault="00A52E3D" w:rsidP="00D00389">
            <w:pPr>
              <w:jc w:val="both"/>
              <w:rPr>
                <w:rFonts w:ascii="ITC Avant Garde Std Bk" w:hAnsi="ITC Avant Garde Std Bk"/>
                <w:bCs/>
                <w:sz w:val="16"/>
                <w:szCs w:val="16"/>
              </w:rPr>
            </w:pPr>
          </w:p>
          <w:p w14:paraId="7F136384"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anexos2 emitidos y estrictamente sujetarlos a lo establecido en la LFTyR, la LFCE y las DR. Es decir, en el artículo 15, fracciones I, XLI y LVI de la LFTyR y el artículo 12 fracción XXII de la LFCE. Los mencionados artículos prevén los instrumentos regulatorios que el Instituto podrá expedir para reglamentar su actuar. </w:t>
            </w:r>
          </w:p>
          <w:p w14:paraId="25DDCCDF" w14:textId="77777777" w:rsidR="00A52E3D" w:rsidRPr="00A52E3D" w:rsidRDefault="00A52E3D" w:rsidP="00D00389">
            <w:pPr>
              <w:jc w:val="both"/>
              <w:rPr>
                <w:rFonts w:ascii="ITC Avant Garde Std Bk" w:hAnsi="ITC Avant Garde Std Bk"/>
                <w:bCs/>
                <w:sz w:val="16"/>
                <w:szCs w:val="16"/>
              </w:rPr>
            </w:pPr>
          </w:p>
          <w:p w14:paraId="49093BB0"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lineamientos que el Instituto está obligado a emitir, tienen el objetivo de fortalecer el estado de derecho a través de criterios objetivos que</w:t>
            </w:r>
          </w:p>
          <w:p w14:paraId="02439D04"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permitan al gobernado conocer el proceder de la autoridad y evitara la actuación arbitraria de la misma.</w:t>
            </w:r>
          </w:p>
          <w:p w14:paraId="76EB6044" w14:textId="77777777" w:rsidR="00A52E3D" w:rsidRPr="00A52E3D" w:rsidRDefault="00A52E3D" w:rsidP="00D00389">
            <w:pPr>
              <w:jc w:val="both"/>
              <w:rPr>
                <w:rFonts w:ascii="ITC Avant Garde Std Bk" w:hAnsi="ITC Avant Garde Std Bk"/>
                <w:bCs/>
                <w:sz w:val="16"/>
                <w:szCs w:val="16"/>
              </w:rPr>
            </w:pPr>
          </w:p>
          <w:p w14:paraId="2792E6BB" w14:textId="06AB02D0"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 xml:space="preserve">Como se ha mencionado, los trámites y procedimientos cuya notificación o solicitud se </w:t>
            </w:r>
            <w:r w:rsidRPr="00A52E3D">
              <w:rPr>
                <w:rFonts w:ascii="ITC Avant Garde Std Bk" w:hAnsi="ITC Avant Garde Std Bk"/>
                <w:bCs/>
                <w:sz w:val="16"/>
                <w:szCs w:val="16"/>
              </w:rPr>
              <w:lastRenderedPageBreak/>
              <w:t>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r w:rsidR="00FE2DF8">
              <w:rPr>
                <w:rFonts w:ascii="ITC Avant Garde Std Bk" w:hAnsi="ITC Avant Garde Std Bk"/>
                <w:bCs/>
                <w:sz w:val="16"/>
                <w:szCs w:val="16"/>
              </w:rPr>
              <w:t xml:space="preserve"> </w:t>
            </w:r>
            <w:r w:rsidRPr="00A52E3D">
              <w:rPr>
                <w:rFonts w:ascii="ITC Avant Garde Std Bk" w:hAnsi="ITC Avant Garde Std Bk"/>
                <w:bCs/>
                <w:sz w:val="16"/>
                <w:szCs w:val="16"/>
              </w:rPr>
              <w:t>Disposiciones y no simplemente mediante la emisión de formatos no previstos en ningún tipo de instrumento normativo.</w:t>
            </w:r>
          </w:p>
          <w:p w14:paraId="49AA6D66" w14:textId="77777777" w:rsidR="00A52E3D" w:rsidRPr="00A52E3D" w:rsidRDefault="00A52E3D" w:rsidP="00D00389">
            <w:pPr>
              <w:jc w:val="both"/>
              <w:rPr>
                <w:rFonts w:ascii="ITC Avant Garde Std Bk" w:hAnsi="ITC Avant Garde Std Bk"/>
                <w:bCs/>
                <w:sz w:val="16"/>
                <w:szCs w:val="16"/>
              </w:rPr>
            </w:pPr>
          </w:p>
          <w:p w14:paraId="2A33B740"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1D09D9E2" w14:textId="77777777" w:rsidR="00A52E3D" w:rsidRPr="00A52E3D" w:rsidRDefault="00A52E3D" w:rsidP="00D00389">
            <w:pPr>
              <w:jc w:val="both"/>
              <w:rPr>
                <w:rFonts w:ascii="ITC Avant Garde Std Bk" w:hAnsi="ITC Avant Garde Std Bk"/>
                <w:bCs/>
                <w:sz w:val="16"/>
                <w:szCs w:val="16"/>
              </w:rPr>
            </w:pPr>
          </w:p>
          <w:p w14:paraId="1DF87F75" w14:textId="77777777" w:rsid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Por tanto, el espíritu del legislador fue establecer la obligación del Órgano regulador correspondiente de construir la regulación pertinente para conseguir el mayor grado de previsibilidad posible al prever instrumentos que complementen el desarrollo normativo y la certeza jurídica en la aplicación de la ley.</w:t>
            </w:r>
          </w:p>
          <w:p w14:paraId="613E6280" w14:textId="77777777" w:rsidR="00A52E3D" w:rsidRPr="00A52E3D" w:rsidRDefault="00A52E3D" w:rsidP="00D00389">
            <w:pPr>
              <w:jc w:val="both"/>
              <w:rPr>
                <w:rFonts w:ascii="ITC Avant Garde Std Bk" w:hAnsi="ITC Avant Garde Std Bk"/>
                <w:bCs/>
                <w:sz w:val="16"/>
                <w:szCs w:val="16"/>
              </w:rPr>
            </w:pPr>
          </w:p>
          <w:p w14:paraId="3155AEC7"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w:t>
            </w:r>
          </w:p>
          <w:p w14:paraId="3F1EDFCF" w14:textId="77777777" w:rsidR="00A52E3D" w:rsidRPr="00A52E3D" w:rsidRDefault="00A52E3D" w:rsidP="00D00389">
            <w:pPr>
              <w:jc w:val="both"/>
              <w:rPr>
                <w:rFonts w:ascii="ITC Avant Garde Std Bk" w:hAnsi="ITC Avant Garde Std Bk"/>
                <w:bCs/>
                <w:sz w:val="16"/>
                <w:szCs w:val="16"/>
              </w:rPr>
            </w:pPr>
          </w:p>
          <w:p w14:paraId="1E7CE809"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 xml:space="preserve">B. Tomando en cuenta la motivación del IFT para la emisión de los formatos que se detallan en el Anteproyecto de Acuerdo, es decir, con el objeto de hacer más eficientes los trámites y servicios a cargo del Instituto, así como facilitar su presentación y disminuir cargas administrativas, se considera respetuosamente que el Instituto habrá de (i) reglamentar el uso de los formatos; y (ii) asegurar la resolución de las solicitudes presentadas en formatos tradicionales, por ejemplo “escrito libre”, sin ningún tipo de consecuencia </w:t>
            </w:r>
            <w:r w:rsidRPr="00A52E3D">
              <w:rPr>
                <w:rFonts w:ascii="ITC Avant Garde Std Bk" w:hAnsi="ITC Avant Garde Std Bk"/>
                <w:bCs/>
                <w:sz w:val="16"/>
                <w:szCs w:val="16"/>
              </w:rPr>
              <w:lastRenderedPageBreak/>
              <w:t>negativa en la resolución, ya sea en cuanto a la decisión tomada por el IFT o en cuanto a tiempo de respuesta del mismo a la solicitud de los gobernados.</w:t>
            </w:r>
          </w:p>
          <w:p w14:paraId="38DE60F6" w14:textId="77777777" w:rsidR="00A52E3D" w:rsidRPr="00A52E3D" w:rsidRDefault="00A52E3D" w:rsidP="00D00389">
            <w:pPr>
              <w:jc w:val="both"/>
              <w:rPr>
                <w:rFonts w:ascii="ITC Avant Garde Std Bk" w:hAnsi="ITC Avant Garde Std Bk"/>
                <w:bCs/>
                <w:sz w:val="16"/>
                <w:szCs w:val="16"/>
              </w:rPr>
            </w:pPr>
          </w:p>
          <w:p w14:paraId="463A7FFA" w14:textId="699795AA" w:rsid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ese sentido, la reglamentación oportuna y correcta de los formatos, será una herramienta para asegurar que el IFT actuará imparcialmente y procurará la simplificación administrativa y eficiencia en su gestión, sin tomar en cuenta el formato elegido por los gobernados para la presentación de solicitudes en materia de competencia económica.</w:t>
            </w:r>
          </w:p>
          <w:p w14:paraId="77558C1F" w14:textId="77777777" w:rsidR="00FE2DF8" w:rsidRPr="00A52E3D" w:rsidRDefault="00FE2DF8" w:rsidP="00D00389">
            <w:pPr>
              <w:jc w:val="both"/>
              <w:rPr>
                <w:rFonts w:ascii="ITC Avant Garde Std Bk" w:hAnsi="ITC Avant Garde Std Bk"/>
                <w:bCs/>
                <w:sz w:val="16"/>
                <w:szCs w:val="16"/>
              </w:rPr>
            </w:pPr>
          </w:p>
          <w:p w14:paraId="4D4C8604"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Por consiguiente, se considera oportuno que el IFT asegure mediante la regulación correspondiente que el medio elegido por el gobernado, es decir el “escrito libre” o el “formato”, no será justificación o motivo de retraso de la resolución o beneficio que se esté solicitando en virtud de la falta de claridad en los requerimientos que se deben presentar al momento gestionar un trámite o servicio; pues los mencionados requerimientos de los formatos no se encuentran previstos en normas de observancia general al establecerse en la LFCE y la LFTyR.</w:t>
            </w:r>
          </w:p>
          <w:p w14:paraId="0BBE2C63" w14:textId="77777777" w:rsidR="00A52E3D" w:rsidRPr="00A52E3D" w:rsidRDefault="00A52E3D" w:rsidP="00D00389">
            <w:pPr>
              <w:jc w:val="both"/>
              <w:rPr>
                <w:rFonts w:ascii="ITC Avant Garde Std Bk" w:hAnsi="ITC Avant Garde Std Bk"/>
                <w:bCs/>
                <w:sz w:val="16"/>
                <w:szCs w:val="16"/>
              </w:rPr>
            </w:pPr>
          </w:p>
          <w:p w14:paraId="19B978C8" w14:textId="77777777" w:rsidR="00585984" w:rsidRPr="007D0768"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Dicho lo anterior, si bien el IFT establece en el Anteproyecto de Acuerdo y en su respectivo Análisis de Nulo Impacto Regulatorio que los formatos emitidos permitirán la entrega de información precisa y harán más eficiente el análisis de la información recibida por cada trámite o servicio, se reitera que, al imponer mayores cargas a los gobernados, que son adicionales a la legislación, los formatos no cumplen con los propósitos que el IFT señala en el Acuerdo de Anteproyecto.</w:t>
            </w:r>
          </w:p>
        </w:tc>
        <w:tc>
          <w:tcPr>
            <w:tcW w:w="4438" w:type="dxa"/>
            <w:shd w:val="clear" w:color="auto" w:fill="D6E3BC" w:themeFill="accent3" w:themeFillTint="66"/>
          </w:tcPr>
          <w:p w14:paraId="7B5B4793"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lastRenderedPageBreak/>
              <w:t>Respecto del punto A., se reitera que el uso de los formatos es de carácter optativo, por lo que los agentes económicos pueden utilizarlos en sus promociones o hacerlas a través de escritos libres o de medios electrónicos, en caso de que estos últimos estén habilitados. En caso de que el agente económico considere que el formato requiere información innecesaria, onerosa o sin fundamento, puede libremente emplear alguna otra de las opciones mencionadas, sin detrimento de la atención que el Instituto da en todos los casos a cada asunto con estricto apego a la legalidad.</w:t>
            </w:r>
          </w:p>
          <w:p w14:paraId="77D5D812" w14:textId="77777777" w:rsidR="00A52E3D" w:rsidRPr="00A52E3D" w:rsidRDefault="00A52E3D" w:rsidP="00D00389">
            <w:pPr>
              <w:jc w:val="both"/>
              <w:rPr>
                <w:rFonts w:ascii="ITC Avant Garde Std Bk" w:hAnsi="ITC Avant Garde Std Bk"/>
                <w:bCs/>
                <w:sz w:val="16"/>
                <w:szCs w:val="16"/>
              </w:rPr>
            </w:pPr>
          </w:p>
          <w:p w14:paraId="61CF2C8A"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lo que respecta a la aplicación del análisis de impacto regulatorio, en el caso particular de los formatos les fue aplicado el análisis de nulo impacto regulatorio por cumplir los requisitos que los Lineamientos de Consulta Pública y Análisis de Impacto Regulatorio del Instituto, en particular el Lineamiento Vigésimo Primero, señalan, entre los que se encuentra el de que dichos formatos no creen nuevas obligaciones o hagan más estrictas las existentes, por lo que no puede darse validez a la lógica del comentario de que la aplicación de dicho análisis implica que sí se crean nuevas obligaciones o se hacen más estrictas las existentes.</w:t>
            </w:r>
          </w:p>
          <w:p w14:paraId="63EC89AA" w14:textId="77777777" w:rsidR="00A52E3D" w:rsidRPr="00A52E3D" w:rsidRDefault="00A52E3D" w:rsidP="00D00389">
            <w:pPr>
              <w:jc w:val="both"/>
              <w:rPr>
                <w:rFonts w:ascii="ITC Avant Garde Std Bk" w:hAnsi="ITC Avant Garde Std Bk"/>
                <w:bCs/>
                <w:sz w:val="16"/>
                <w:szCs w:val="16"/>
              </w:rPr>
            </w:pPr>
          </w:p>
          <w:p w14:paraId="046A2F4E"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lo que toca a la simplificación del trámite, esta simplificación o disminución de costos se deriva de la agilidad que el Instituto puede imprimir al desahogo del procedimiento si desde un inicio cuenta con la información que emplea en el análisis que realiza en cada tipo de procedimiento, siempre con apego a la Ley y sus disposiciones sustantivas y adjetivas. Los agentes económicos conservan la libertad de emplear los formatos o recurrir a las otras modalidades, si consideran que esto conviene a sus intereses.</w:t>
            </w:r>
          </w:p>
          <w:p w14:paraId="78A57011" w14:textId="77777777" w:rsidR="00A52E3D" w:rsidRPr="00A52E3D" w:rsidRDefault="00A52E3D" w:rsidP="00D00389">
            <w:pPr>
              <w:jc w:val="both"/>
              <w:rPr>
                <w:rFonts w:ascii="ITC Avant Garde Std Bk" w:hAnsi="ITC Avant Garde Std Bk"/>
                <w:bCs/>
                <w:sz w:val="16"/>
                <w:szCs w:val="16"/>
              </w:rPr>
            </w:pPr>
          </w:p>
          <w:p w14:paraId="7DC926DF"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En lo que toca la utilidad o la relación de la información que se solicita con los respectivos análisis que la autoridad debe efectuar en cada tipo de procedimiento, se remite al participante a las respuestas que se dan a cada comentario particular que manifestó, en las que el Instituto se extiende en la exposición de en qué consiste dicha utilidad o de qué manera se relaciona la información con el análisis requerido por Ley.</w:t>
            </w:r>
          </w:p>
          <w:p w14:paraId="28E52C07" w14:textId="77777777" w:rsidR="00A52E3D" w:rsidRPr="00A52E3D" w:rsidRDefault="00A52E3D" w:rsidP="00D00389">
            <w:pPr>
              <w:jc w:val="both"/>
              <w:rPr>
                <w:rFonts w:ascii="ITC Avant Garde Std Bk" w:hAnsi="ITC Avant Garde Std Bk"/>
                <w:bCs/>
                <w:sz w:val="16"/>
                <w:szCs w:val="16"/>
              </w:rPr>
            </w:pPr>
          </w:p>
          <w:p w14:paraId="7AD6DB7C" w14:textId="77777777" w:rsidR="00A52E3D"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 xml:space="preserve">Respecto del punto B. y en cuanto a los argumentos que vierte el participante respecto de que la emisión de los formatos debe ser subsecuente a o fundarse en la emisión de disposiciones regulatorias de las que establece el artículo 12, fracción XXII, de la LFCE, el </w:t>
            </w:r>
            <w:r w:rsidRPr="00A52E3D">
              <w:rPr>
                <w:rFonts w:ascii="ITC Avant Garde Std Bk" w:hAnsi="ITC Avant Garde Std Bk"/>
                <w:bCs/>
                <w:sz w:val="16"/>
                <w:szCs w:val="16"/>
              </w:rPr>
              <w:lastRenderedPageBreak/>
              <w:t>Instituto concede que esta sería la vía idónea si los formatos fueran de observancia obligatoria, debido a que esa es precisamente la naturaleza de las disposiciones regulatorias que refiere. No obstante, lo anterior, no es este el caso que nos ocupa, pues los formatos son de uso optativo y se emiten como un instrumento de mejora regulatoria, a fin de emplear la simplificación administrativa como herramienta para hacer eficiente, agilizar e incluso transparentar la gestión del proceso relacionado con los trámites y servicios en materia de competencia económica.</w:t>
            </w:r>
          </w:p>
          <w:p w14:paraId="1FAF272C" w14:textId="77777777" w:rsidR="00A52E3D" w:rsidRPr="00A52E3D" w:rsidRDefault="00A52E3D" w:rsidP="00D00389">
            <w:pPr>
              <w:jc w:val="both"/>
              <w:rPr>
                <w:rFonts w:ascii="ITC Avant Garde Std Bk" w:hAnsi="ITC Avant Garde Std Bk"/>
                <w:bCs/>
                <w:sz w:val="16"/>
                <w:szCs w:val="16"/>
              </w:rPr>
            </w:pPr>
          </w:p>
          <w:p w14:paraId="1D7E9808" w14:textId="77777777" w:rsidR="00585984" w:rsidRPr="00A52E3D" w:rsidRDefault="00A52E3D" w:rsidP="00D00389">
            <w:pPr>
              <w:jc w:val="both"/>
              <w:rPr>
                <w:rFonts w:ascii="ITC Avant Garde Std Bk" w:hAnsi="ITC Avant Garde Std Bk"/>
                <w:bCs/>
                <w:sz w:val="16"/>
                <w:szCs w:val="16"/>
              </w:rPr>
            </w:pPr>
            <w:r w:rsidRPr="00A52E3D">
              <w:rPr>
                <w:rFonts w:ascii="ITC Avant Garde Std Bk" w:hAnsi="ITC Avant Garde Std Bk"/>
                <w:bCs/>
                <w:sz w:val="16"/>
                <w:szCs w:val="16"/>
              </w:rPr>
              <w:t>Finalmente, se aborda el señalamiento de que el Instituto debiera regular los medios elegidos por el gobernado para la presentación de las respectivas promociones a fin de que el uso de uno u otro no sea justificación o motivo de retraso de la resolución o beneficio que se esté solicitando. Al respecto se aclara que este Instituto considera que la mayor agilidad en el desahogo de los procedimientos que se deriva del uso optativo del formato tiene un origen meramente lógico, puesto que la autoridad cuenta desde un principio con la información que normalmente requiere, con base en la Ley, en cada uno de los respectivos procedimientos, lo que puede ahorrar tiempo y recursos que ambas partes lleguen a utilizar en el intercambio de mayores prevenciones y requerimientos, dependiendo del caso en particular que se esté analizando.</w:t>
            </w:r>
          </w:p>
        </w:tc>
      </w:tr>
    </w:tbl>
    <w:p w14:paraId="06D7FC8B" w14:textId="77777777" w:rsidR="00F12C96" w:rsidRDefault="00F12C96" w:rsidP="00D00389">
      <w:pPr>
        <w:pStyle w:val="Default"/>
        <w:jc w:val="both"/>
        <w:rPr>
          <w:rFonts w:ascii="ITC Avant Garde Std Bk" w:hAnsi="ITC Avant Garde Std Bk"/>
          <w:b/>
          <w:bCs/>
          <w:sz w:val="18"/>
          <w:szCs w:val="18"/>
          <w:lang w:eastAsia="en-US"/>
        </w:rPr>
      </w:pPr>
    </w:p>
    <w:p w14:paraId="270016BF" w14:textId="77777777" w:rsidR="00766836" w:rsidRPr="00164865" w:rsidRDefault="00766836" w:rsidP="00D00389">
      <w:pPr>
        <w:pStyle w:val="Default"/>
        <w:jc w:val="both"/>
        <w:rPr>
          <w:rFonts w:ascii="ITC Avant Garde Std Bk" w:hAnsi="ITC Avant Garde Std Bk"/>
          <w:bCs/>
          <w:sz w:val="20"/>
          <w:szCs w:val="20"/>
          <w:lang w:eastAsia="en-US"/>
        </w:rPr>
      </w:pPr>
      <w:r w:rsidRPr="00020A64">
        <w:rPr>
          <w:rFonts w:ascii="ITC Avant Garde Std Bk" w:hAnsi="ITC Avant Garde Std Bk"/>
          <w:bCs/>
          <w:sz w:val="20"/>
          <w:szCs w:val="20"/>
          <w:lang w:eastAsia="en-US"/>
        </w:rPr>
        <w:t>6.</w:t>
      </w:r>
      <w:r w:rsidR="00E85F0A">
        <w:rPr>
          <w:rFonts w:ascii="ITC Avant Garde Std Bk" w:hAnsi="ITC Avant Garde Std Bk"/>
          <w:bCs/>
          <w:sz w:val="20"/>
          <w:szCs w:val="20"/>
          <w:lang w:eastAsia="en-US"/>
        </w:rPr>
        <w:t>5</w:t>
      </w:r>
      <w:r w:rsidRPr="00020A64">
        <w:rPr>
          <w:rFonts w:ascii="ITC Avant Garde Std Bk" w:hAnsi="ITC Avant Garde Std Bk"/>
          <w:bCs/>
          <w:sz w:val="20"/>
          <w:szCs w:val="20"/>
          <w:lang w:eastAsia="en-US"/>
        </w:rPr>
        <w:t xml:space="preserve">. </w:t>
      </w:r>
      <w:r w:rsidRPr="00020A64">
        <w:rPr>
          <w:rFonts w:ascii="ITC Avant Garde Std Bk" w:hAnsi="ITC Avant Garde Std Bk"/>
          <w:b/>
          <w:bCs/>
          <w:sz w:val="20"/>
          <w:szCs w:val="20"/>
          <w:u w:val="single"/>
          <w:lang w:eastAsia="en-US"/>
        </w:rPr>
        <w:t>Anexo F</w:t>
      </w:r>
    </w:p>
    <w:p w14:paraId="49756458" w14:textId="77777777" w:rsidR="00766836" w:rsidRDefault="00766836" w:rsidP="00D00389">
      <w:pPr>
        <w:pStyle w:val="Default"/>
        <w:jc w:val="both"/>
        <w:rPr>
          <w:rFonts w:ascii="ITC Avant Garde Std Bk" w:hAnsi="ITC Avant Garde Std Bk"/>
          <w:bCs/>
          <w:sz w:val="20"/>
          <w:szCs w:val="20"/>
          <w:lang w:eastAsia="en-US"/>
        </w:rPr>
      </w:pPr>
    </w:p>
    <w:tbl>
      <w:tblPr>
        <w:tblStyle w:val="Tablaconcuadrcula"/>
        <w:tblW w:w="0" w:type="auto"/>
        <w:tblLayout w:type="fixed"/>
        <w:tblLook w:val="04A0" w:firstRow="1" w:lastRow="0" w:firstColumn="1" w:lastColumn="0" w:noHBand="0" w:noVBand="1"/>
      </w:tblPr>
      <w:tblGrid>
        <w:gridCol w:w="1271"/>
        <w:gridCol w:w="4253"/>
        <w:gridCol w:w="4438"/>
      </w:tblGrid>
      <w:tr w:rsidR="00766836" w:rsidRPr="00887E2E" w14:paraId="3B3B7AD9" w14:textId="77777777" w:rsidTr="001719B0">
        <w:tc>
          <w:tcPr>
            <w:tcW w:w="1271" w:type="dxa"/>
            <w:shd w:val="clear" w:color="auto" w:fill="296624"/>
          </w:tcPr>
          <w:p w14:paraId="37975E55" w14:textId="77777777" w:rsidR="00766836" w:rsidRDefault="00766836" w:rsidP="00D00389">
            <w:pPr>
              <w:pStyle w:val="Default"/>
              <w:jc w:val="center"/>
              <w:rPr>
                <w:rFonts w:ascii="ITC Avant Garde Std Bk" w:hAnsi="ITC Avant Garde Std Bk"/>
                <w:bCs/>
                <w:color w:val="FFFFFF" w:themeColor="background1"/>
                <w:sz w:val="16"/>
                <w:szCs w:val="16"/>
              </w:rPr>
            </w:pPr>
          </w:p>
          <w:p w14:paraId="450ABEF7" w14:textId="77777777" w:rsidR="00766836" w:rsidRDefault="00766836"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484CECA3" w14:textId="77777777" w:rsidR="00766836" w:rsidRPr="00887E2E" w:rsidRDefault="00766836" w:rsidP="00D00389">
            <w:pPr>
              <w:pStyle w:val="Default"/>
              <w:jc w:val="center"/>
              <w:rPr>
                <w:color w:val="FFFFFF" w:themeColor="background1"/>
              </w:rPr>
            </w:pPr>
          </w:p>
        </w:tc>
        <w:tc>
          <w:tcPr>
            <w:tcW w:w="4253" w:type="dxa"/>
            <w:shd w:val="clear" w:color="auto" w:fill="296624"/>
          </w:tcPr>
          <w:p w14:paraId="4A1EFA10" w14:textId="77777777" w:rsidR="00766836" w:rsidRDefault="00766836" w:rsidP="00D00389">
            <w:pPr>
              <w:jc w:val="center"/>
              <w:rPr>
                <w:rFonts w:ascii="ITC Avant Garde Std Bk" w:hAnsi="ITC Avant Garde Std Bk"/>
                <w:bCs/>
                <w:color w:val="FFFFFF" w:themeColor="background1"/>
                <w:sz w:val="16"/>
                <w:szCs w:val="16"/>
              </w:rPr>
            </w:pPr>
          </w:p>
          <w:p w14:paraId="216C1147" w14:textId="77777777" w:rsidR="00766836" w:rsidRPr="00887E2E" w:rsidRDefault="00766836"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49DFA5FC" w14:textId="77777777" w:rsidR="00766836" w:rsidRDefault="00766836" w:rsidP="00D00389">
            <w:pPr>
              <w:jc w:val="center"/>
              <w:rPr>
                <w:rFonts w:ascii="ITC Avant Garde Std Bk" w:hAnsi="ITC Avant Garde Std Bk"/>
                <w:bCs/>
                <w:color w:val="FFFFFF" w:themeColor="background1"/>
                <w:sz w:val="16"/>
                <w:szCs w:val="16"/>
              </w:rPr>
            </w:pPr>
          </w:p>
          <w:p w14:paraId="23EFA28B" w14:textId="77777777" w:rsidR="00766836" w:rsidRPr="00887E2E" w:rsidRDefault="00766836"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766836" w:rsidRPr="008D1B7F" w14:paraId="6084818C" w14:textId="77777777" w:rsidTr="001719B0">
        <w:tc>
          <w:tcPr>
            <w:tcW w:w="1271" w:type="dxa"/>
            <w:shd w:val="clear" w:color="auto" w:fill="EAF1DD" w:themeFill="accent3" w:themeFillTint="33"/>
            <w:vAlign w:val="center"/>
          </w:tcPr>
          <w:p w14:paraId="73E4B431" w14:textId="77777777" w:rsidR="00766836" w:rsidRPr="003A0F21" w:rsidRDefault="00DB6307" w:rsidP="00D00389">
            <w:pPr>
              <w:jc w:val="center"/>
              <w:rPr>
                <w:rFonts w:ascii="ITC Avant Garde Std Bk" w:hAnsi="ITC Avant Garde Std Bk"/>
                <w:bCs/>
                <w:sz w:val="16"/>
                <w:szCs w:val="16"/>
              </w:rPr>
            </w:pPr>
            <w:r w:rsidRPr="00DB6307">
              <w:rPr>
                <w:rFonts w:ascii="ITC Avant Garde Std Bk" w:hAnsi="ITC Avant Garde Std Bk"/>
                <w:bCs/>
                <w:sz w:val="16"/>
                <w:szCs w:val="16"/>
              </w:rPr>
              <w:t xml:space="preserve">Cablevisión, S.A. de C.V., Operbes, S.A. de C.V., Cablemás Telecomunicaciones, S.A. de C.V., México Red </w:t>
            </w:r>
            <w:r w:rsidRPr="00DB6307">
              <w:rPr>
                <w:rFonts w:ascii="ITC Avant Garde Std Bk" w:hAnsi="ITC Avant Garde Std Bk"/>
                <w:bCs/>
                <w:sz w:val="16"/>
                <w:szCs w:val="16"/>
              </w:rPr>
              <w:lastRenderedPageBreak/>
              <w:t>de Telecomunicaciones, S. de R.L. de C.V., Televisión Internacional, S.A. de C.V., Cablevisión Red, S.A. de C.V., y TV Cable de Oriente, S.A. de C.V.</w:t>
            </w:r>
          </w:p>
        </w:tc>
        <w:tc>
          <w:tcPr>
            <w:tcW w:w="4253" w:type="dxa"/>
            <w:shd w:val="clear" w:color="auto" w:fill="C2D69B" w:themeFill="accent3" w:themeFillTint="99"/>
          </w:tcPr>
          <w:p w14:paraId="27E1A214" w14:textId="27ED7AA6" w:rsidR="00766836" w:rsidRDefault="00DB6307" w:rsidP="00D00389">
            <w:pPr>
              <w:jc w:val="both"/>
              <w:rPr>
                <w:rFonts w:ascii="ITC Avant Garde Std Bk" w:hAnsi="ITC Avant Garde Std Bk"/>
                <w:bCs/>
                <w:sz w:val="16"/>
                <w:szCs w:val="16"/>
              </w:rPr>
            </w:pPr>
            <w:r w:rsidRPr="00DB6307">
              <w:rPr>
                <w:rFonts w:ascii="ITC Avant Garde Std Bk" w:hAnsi="ITC Avant Garde Std Bk"/>
                <w:bCs/>
                <w:sz w:val="16"/>
                <w:szCs w:val="16"/>
              </w:rPr>
              <w:lastRenderedPageBreak/>
              <w:t>Sección 4, “Desahogo</w:t>
            </w:r>
            <w:r>
              <w:rPr>
                <w:rFonts w:ascii="ITC Avant Garde Std Bk" w:hAnsi="ITC Avant Garde Std Bk"/>
                <w:bCs/>
                <w:sz w:val="16"/>
                <w:szCs w:val="16"/>
              </w:rPr>
              <w:t xml:space="preserve"> </w:t>
            </w:r>
            <w:r w:rsidRPr="00DB6307">
              <w:rPr>
                <w:rFonts w:ascii="ITC Avant Garde Std Bk" w:hAnsi="ITC Avant Garde Std Bk"/>
                <w:bCs/>
                <w:sz w:val="16"/>
                <w:szCs w:val="16"/>
              </w:rPr>
              <w:t>de Prevención”</w:t>
            </w:r>
          </w:p>
          <w:p w14:paraId="5C86EFAB" w14:textId="77777777" w:rsidR="00FE2DF8" w:rsidRDefault="00FE2DF8" w:rsidP="00D00389">
            <w:pPr>
              <w:jc w:val="both"/>
              <w:rPr>
                <w:rFonts w:ascii="ITC Avant Garde Std Bk" w:hAnsi="ITC Avant Garde Std Bk"/>
                <w:bCs/>
                <w:sz w:val="16"/>
                <w:szCs w:val="16"/>
              </w:rPr>
            </w:pPr>
          </w:p>
          <w:p w14:paraId="1613B0DC" w14:textId="77777777" w:rsidR="00DB6307" w:rsidRDefault="00DB6307"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Dicha sección indica que debe ser llenada en caso de desahogar una prevención, no obstante, ni la LFCE, ni las Disposiciones Regulatorias refieren al supuesto de prevención. El artículo 141 de las Disposiciones Regulatorias, indica que el Instituto podrá requerir información adicional o que aclare cuestiones sobre las que se presenta la solicitud de </w:t>
            </w:r>
            <w:r w:rsidRPr="00DB6307">
              <w:rPr>
                <w:rFonts w:ascii="ITC Avant Garde Std Bk" w:hAnsi="ITC Avant Garde Std Bk"/>
                <w:bCs/>
                <w:sz w:val="16"/>
                <w:szCs w:val="16"/>
              </w:rPr>
              <w:lastRenderedPageBreak/>
              <w:t>orientación general. El no hacer precisión entre “prevención” y “solicitud de información adicional” podría generar confusión.</w:t>
            </w:r>
          </w:p>
          <w:p w14:paraId="0C74A85D" w14:textId="77777777" w:rsidR="00DB6307" w:rsidRPr="007D0768" w:rsidRDefault="00DB6307" w:rsidP="00D00389">
            <w:pPr>
              <w:jc w:val="both"/>
              <w:rPr>
                <w:rFonts w:ascii="ITC Avant Garde Std Bk" w:hAnsi="ITC Avant Garde Std Bk"/>
                <w:bCs/>
                <w:sz w:val="16"/>
                <w:szCs w:val="16"/>
              </w:rPr>
            </w:pPr>
          </w:p>
        </w:tc>
        <w:tc>
          <w:tcPr>
            <w:tcW w:w="4438" w:type="dxa"/>
            <w:shd w:val="clear" w:color="auto" w:fill="C2D69B" w:themeFill="accent3" w:themeFillTint="99"/>
          </w:tcPr>
          <w:p w14:paraId="726BB35A" w14:textId="77777777" w:rsidR="00DB6307" w:rsidRDefault="00DB6307" w:rsidP="00D00389">
            <w:pPr>
              <w:jc w:val="both"/>
              <w:rPr>
                <w:rFonts w:ascii="ITC Avant Garde Std Bk" w:hAnsi="ITC Avant Garde Std Bk"/>
                <w:bCs/>
                <w:sz w:val="16"/>
                <w:szCs w:val="16"/>
              </w:rPr>
            </w:pPr>
            <w:r w:rsidRPr="00DB6307">
              <w:rPr>
                <w:rFonts w:ascii="ITC Avant Garde Std Bk" w:hAnsi="ITC Avant Garde Std Bk"/>
                <w:bCs/>
                <w:sz w:val="16"/>
                <w:szCs w:val="16"/>
              </w:rPr>
              <w:lastRenderedPageBreak/>
              <w:t xml:space="preserve">Se modifica el </w:t>
            </w:r>
            <w:r w:rsidRPr="006147D3">
              <w:rPr>
                <w:rFonts w:ascii="ITC Avant Garde Std Bk" w:hAnsi="ITC Avant Garde Std Bk"/>
                <w:bCs/>
                <w:sz w:val="16"/>
                <w:szCs w:val="16"/>
              </w:rPr>
              <w:t>Anexo F</w:t>
            </w:r>
            <w:r w:rsidRPr="00DB6307">
              <w:rPr>
                <w:rFonts w:ascii="ITC Avant Garde Std Bk" w:hAnsi="ITC Avant Garde Std Bk"/>
                <w:bCs/>
                <w:sz w:val="16"/>
                <w:szCs w:val="16"/>
              </w:rPr>
              <w:t xml:space="preserve">. </w:t>
            </w:r>
          </w:p>
          <w:p w14:paraId="28CC6D0C" w14:textId="77777777" w:rsidR="00DB6307" w:rsidRDefault="00DB6307" w:rsidP="00D00389">
            <w:pPr>
              <w:jc w:val="both"/>
              <w:rPr>
                <w:rFonts w:ascii="ITC Avant Garde Std Bk" w:hAnsi="ITC Avant Garde Std Bk"/>
                <w:bCs/>
                <w:sz w:val="16"/>
                <w:szCs w:val="16"/>
              </w:rPr>
            </w:pPr>
          </w:p>
          <w:p w14:paraId="458027D2" w14:textId="77777777" w:rsidR="00766836" w:rsidRPr="00776167" w:rsidRDefault="00DB6307" w:rsidP="00D00389">
            <w:pPr>
              <w:jc w:val="both"/>
              <w:rPr>
                <w:rFonts w:ascii="ITC Avant Garde Std Bk" w:hAnsi="ITC Avant Garde Std Bk"/>
                <w:bCs/>
                <w:sz w:val="16"/>
                <w:szCs w:val="16"/>
              </w:rPr>
            </w:pPr>
            <w:r w:rsidRPr="00DB6307">
              <w:rPr>
                <w:rFonts w:ascii="ITC Avant Garde Std Bk" w:hAnsi="ITC Avant Garde Std Bk"/>
                <w:bCs/>
                <w:sz w:val="16"/>
                <w:szCs w:val="16"/>
              </w:rPr>
              <w:t>Se sustituye el término "prevención" por "requerimiento de información" y se realizan los ajustes correspondientes en razón de la modificación.</w:t>
            </w:r>
          </w:p>
        </w:tc>
      </w:tr>
      <w:tr w:rsidR="001B290D" w:rsidRPr="008D1B7F" w14:paraId="6333D432" w14:textId="77777777" w:rsidTr="001719B0">
        <w:tc>
          <w:tcPr>
            <w:tcW w:w="1271" w:type="dxa"/>
            <w:shd w:val="clear" w:color="auto" w:fill="EAF1DD" w:themeFill="accent3" w:themeFillTint="33"/>
            <w:vAlign w:val="center"/>
          </w:tcPr>
          <w:p w14:paraId="566AC507" w14:textId="77777777" w:rsidR="001B290D" w:rsidRPr="003A0F21" w:rsidRDefault="001B290D" w:rsidP="00D00389">
            <w:pPr>
              <w:jc w:val="center"/>
              <w:rPr>
                <w:rFonts w:ascii="ITC Avant Garde Std Bk" w:hAnsi="ITC Avant Garde Std Bk"/>
                <w:bCs/>
                <w:sz w:val="16"/>
                <w:szCs w:val="16"/>
              </w:rPr>
            </w:pPr>
            <w:r w:rsidRPr="001B290D">
              <w:rPr>
                <w:rFonts w:ascii="ITC Avant Garde Std Bk" w:hAnsi="ITC Avant Garde Std Bk"/>
                <w:bCs/>
                <w:sz w:val="16"/>
                <w:szCs w:val="16"/>
              </w:rPr>
              <w:t>Carlos Mora Villalpando</w:t>
            </w:r>
          </w:p>
        </w:tc>
        <w:tc>
          <w:tcPr>
            <w:tcW w:w="4253" w:type="dxa"/>
            <w:shd w:val="clear" w:color="auto" w:fill="D6E3BC" w:themeFill="accent3" w:themeFillTint="66"/>
          </w:tcPr>
          <w:p w14:paraId="59159055"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Se refiere al comentario general III “A”, a saber:</w:t>
            </w:r>
          </w:p>
          <w:p w14:paraId="2B4EF136" w14:textId="77777777" w:rsidR="001B290D" w:rsidRPr="00DB6307" w:rsidRDefault="001B290D" w:rsidP="00D00389">
            <w:pPr>
              <w:jc w:val="both"/>
              <w:rPr>
                <w:rFonts w:ascii="ITC Avant Garde Std Bk" w:hAnsi="ITC Avant Garde Std Bk"/>
                <w:bCs/>
                <w:sz w:val="16"/>
                <w:szCs w:val="16"/>
              </w:rPr>
            </w:pPr>
          </w:p>
          <w:p w14:paraId="0E88606A"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las solicitudes y procedimient</w:t>
            </w:r>
            <w:r>
              <w:rPr>
                <w:rFonts w:ascii="ITC Avant Garde Std Bk" w:hAnsi="ITC Avant Garde Std Bk"/>
                <w:bCs/>
                <w:sz w:val="16"/>
                <w:szCs w:val="16"/>
              </w:rPr>
              <w:t xml:space="preserve">os </w:t>
            </w:r>
            <w:r w:rsidRPr="00DB6307">
              <w:rPr>
                <w:rFonts w:ascii="ITC Avant Garde Std Bk" w:hAnsi="ITC Avant Garde Std Bk"/>
                <w:bCs/>
                <w:sz w:val="16"/>
                <w:szCs w:val="16"/>
              </w:rPr>
              <w:t>que se pretenden simplificar. Con ello, los formatos, generan cargas innecesarias, onerosas, pero sobre todo ausentes de fundamento legal al gobernado.</w:t>
            </w:r>
          </w:p>
          <w:p w14:paraId="20E7740A" w14:textId="77777777" w:rsidR="001B290D" w:rsidRPr="00DB6307" w:rsidRDefault="001B290D" w:rsidP="00D00389">
            <w:pPr>
              <w:jc w:val="both"/>
              <w:rPr>
                <w:rFonts w:ascii="ITC Avant Garde Std Bk" w:hAnsi="ITC Avant Garde Std Bk"/>
                <w:bCs/>
                <w:sz w:val="16"/>
                <w:szCs w:val="16"/>
              </w:rPr>
            </w:pPr>
          </w:p>
          <w:p w14:paraId="6A5B5994" w14:textId="3FA56A42" w:rsidR="001B290D"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 </w:t>
            </w:r>
          </w:p>
          <w:p w14:paraId="47EA3879" w14:textId="77777777" w:rsidR="00FE2DF8" w:rsidRPr="00DB6307" w:rsidRDefault="00FE2DF8" w:rsidP="00D00389">
            <w:pPr>
              <w:jc w:val="both"/>
              <w:rPr>
                <w:rFonts w:ascii="ITC Avant Garde Std Bk" w:hAnsi="ITC Avant Garde Std Bk"/>
                <w:bCs/>
                <w:sz w:val="16"/>
                <w:szCs w:val="16"/>
              </w:rPr>
            </w:pPr>
          </w:p>
          <w:p w14:paraId="4D887A93"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simplifican los trámites existentes en la LFCE y la LFTyR. Esto de conformidad con lo expuesto en el presente documento.</w:t>
            </w:r>
          </w:p>
          <w:p w14:paraId="07D34441" w14:textId="77777777" w:rsidR="001B290D" w:rsidRPr="00DB6307" w:rsidRDefault="001B290D" w:rsidP="00D00389">
            <w:pPr>
              <w:jc w:val="both"/>
              <w:rPr>
                <w:rFonts w:ascii="ITC Avant Garde Std Bk" w:hAnsi="ITC Avant Garde Std Bk"/>
                <w:bCs/>
                <w:sz w:val="16"/>
                <w:szCs w:val="16"/>
              </w:rPr>
            </w:pPr>
          </w:p>
          <w:p w14:paraId="4EEE25D6"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212E73BC" w14:textId="77777777" w:rsidR="001B290D" w:rsidRPr="00DB6307" w:rsidRDefault="001B290D" w:rsidP="00D00389">
            <w:pPr>
              <w:jc w:val="both"/>
              <w:rPr>
                <w:rFonts w:ascii="ITC Avant Garde Std Bk" w:hAnsi="ITC Avant Garde Std Bk"/>
                <w:bCs/>
                <w:sz w:val="16"/>
                <w:szCs w:val="16"/>
              </w:rPr>
            </w:pPr>
          </w:p>
          <w:p w14:paraId="0E1AC9D8"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lastRenderedPageBreak/>
              <w:t>Asimismo, no brindan claridad respecto de la relación o utilidad que guarda la información requerida en el trámite o procedimiento en particular, esto porque se insiste, la información adicional solicitada en los formatos no tiene fundamento legal alguno.</w:t>
            </w:r>
          </w:p>
          <w:p w14:paraId="34BE0F14" w14:textId="77777777" w:rsidR="001B290D" w:rsidRPr="00DB6307" w:rsidRDefault="001B290D" w:rsidP="00D00389">
            <w:pPr>
              <w:jc w:val="both"/>
              <w:rPr>
                <w:rFonts w:ascii="ITC Avant Garde Std Bk" w:hAnsi="ITC Avant Garde Std Bk"/>
                <w:bCs/>
                <w:sz w:val="16"/>
                <w:szCs w:val="16"/>
              </w:rPr>
            </w:pPr>
          </w:p>
          <w:p w14:paraId="7A554129"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33B1CC5D" w14:textId="77777777" w:rsidR="001B290D" w:rsidRPr="00DB6307" w:rsidRDefault="001B290D" w:rsidP="00D00389">
            <w:pPr>
              <w:jc w:val="both"/>
              <w:rPr>
                <w:rFonts w:ascii="ITC Avant Garde Std Bk" w:hAnsi="ITC Avant Garde Std Bk"/>
                <w:bCs/>
                <w:sz w:val="16"/>
                <w:szCs w:val="16"/>
              </w:rPr>
            </w:pPr>
          </w:p>
          <w:p w14:paraId="46F9D909"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7A081285" w14:textId="77777777" w:rsidR="001B290D" w:rsidRPr="00DB6307" w:rsidRDefault="001B290D" w:rsidP="00D00389">
            <w:pPr>
              <w:jc w:val="both"/>
              <w:rPr>
                <w:rFonts w:ascii="ITC Avant Garde Std Bk" w:hAnsi="ITC Avant Garde Std Bk"/>
                <w:bCs/>
                <w:sz w:val="16"/>
                <w:szCs w:val="16"/>
              </w:rPr>
            </w:pPr>
          </w:p>
          <w:p w14:paraId="22BB79DF"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anexos2 emitidos y estrictamente sujetarlos a lo establecido en la LFTyR, la LFCE y las DR. Es decir, en el artículo 15, fracciones I, XLI y LVI de la LFTyR y el artículo 12 fracción XXII de la LFCE. Los mencionados artículos prevén los instrumentos regulatorios que el Instituto podrá expedir para reglamentar su actuar. </w:t>
            </w:r>
          </w:p>
          <w:p w14:paraId="0D3F15BD" w14:textId="77777777" w:rsidR="001B290D" w:rsidRPr="00DB6307" w:rsidRDefault="001B290D" w:rsidP="00D00389">
            <w:pPr>
              <w:jc w:val="both"/>
              <w:rPr>
                <w:rFonts w:ascii="ITC Avant Garde Std Bk" w:hAnsi="ITC Avant Garde Std Bk"/>
                <w:bCs/>
                <w:sz w:val="16"/>
                <w:szCs w:val="16"/>
              </w:rPr>
            </w:pPr>
          </w:p>
          <w:p w14:paraId="35418BBD" w14:textId="38D86BB0"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lastRenderedPageBreak/>
              <w:t>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lineamientos que el Instituto está obligado a emitir, tienen el objetivo de fortalecer el estado de derecho a través de criterios objetivos que</w:t>
            </w:r>
            <w:r w:rsidR="00FE2DF8">
              <w:rPr>
                <w:rFonts w:ascii="ITC Avant Garde Std Bk" w:hAnsi="ITC Avant Garde Std Bk"/>
                <w:bCs/>
                <w:sz w:val="16"/>
                <w:szCs w:val="16"/>
              </w:rPr>
              <w:t xml:space="preserve"> </w:t>
            </w:r>
            <w:r w:rsidRPr="00DB6307">
              <w:rPr>
                <w:rFonts w:ascii="ITC Avant Garde Std Bk" w:hAnsi="ITC Avant Garde Std Bk"/>
                <w:bCs/>
                <w:sz w:val="16"/>
                <w:szCs w:val="16"/>
              </w:rPr>
              <w:t>permitan al gobernado conocer el proceder de la autoridad y evitara la actuación arbitraria de la misma.</w:t>
            </w:r>
          </w:p>
          <w:p w14:paraId="2E9AAB20" w14:textId="77777777" w:rsidR="001B290D" w:rsidRPr="00DB6307" w:rsidRDefault="001B290D" w:rsidP="00D00389">
            <w:pPr>
              <w:jc w:val="both"/>
              <w:rPr>
                <w:rFonts w:ascii="ITC Avant Garde Std Bk" w:hAnsi="ITC Avant Garde Std Bk"/>
                <w:bCs/>
                <w:sz w:val="16"/>
                <w:szCs w:val="16"/>
              </w:rPr>
            </w:pPr>
          </w:p>
          <w:p w14:paraId="6B02A2EB" w14:textId="35F98D75"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r w:rsidR="00FE2DF8">
              <w:rPr>
                <w:rFonts w:ascii="ITC Avant Garde Std Bk" w:hAnsi="ITC Avant Garde Std Bk"/>
                <w:bCs/>
                <w:sz w:val="16"/>
                <w:szCs w:val="16"/>
              </w:rPr>
              <w:t xml:space="preserve"> </w:t>
            </w:r>
            <w:r w:rsidRPr="00DB6307">
              <w:rPr>
                <w:rFonts w:ascii="ITC Avant Garde Std Bk" w:hAnsi="ITC Avant Garde Std Bk"/>
                <w:bCs/>
                <w:sz w:val="16"/>
                <w:szCs w:val="16"/>
              </w:rPr>
              <w:t>Disposiciones y no simplemente mediante la emisión de formatos no previstos en ningún tipo de instrumento normativo.</w:t>
            </w:r>
          </w:p>
          <w:p w14:paraId="5F310416" w14:textId="77777777" w:rsidR="001B290D" w:rsidRPr="00DB6307" w:rsidRDefault="001B290D" w:rsidP="00D00389">
            <w:pPr>
              <w:jc w:val="both"/>
              <w:rPr>
                <w:rFonts w:ascii="ITC Avant Garde Std Bk" w:hAnsi="ITC Avant Garde Std Bk"/>
                <w:bCs/>
                <w:sz w:val="16"/>
                <w:szCs w:val="16"/>
              </w:rPr>
            </w:pPr>
          </w:p>
          <w:p w14:paraId="76769D6D" w14:textId="77777777" w:rsidR="001B290D" w:rsidRPr="00DB6307"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3F824BD8" w14:textId="77777777" w:rsidR="001B290D" w:rsidRPr="00DB6307" w:rsidRDefault="001B290D" w:rsidP="00D00389">
            <w:pPr>
              <w:jc w:val="both"/>
              <w:rPr>
                <w:rFonts w:ascii="ITC Avant Garde Std Bk" w:hAnsi="ITC Avant Garde Std Bk"/>
                <w:bCs/>
                <w:sz w:val="16"/>
                <w:szCs w:val="16"/>
              </w:rPr>
            </w:pPr>
          </w:p>
          <w:p w14:paraId="04A47105" w14:textId="77777777" w:rsidR="001B290D"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Por tanto, el espíritu del legislador fue establecer la obligación del Órgano regulador correspondiente de construir la regulación pertinente para conseguir el mayor grado de previsibilidad posible al prever instrumentos que complementen el desarrollo normativo y la certeza jurídica en la aplicación de la ley.</w:t>
            </w:r>
          </w:p>
          <w:p w14:paraId="33906E3C" w14:textId="77777777" w:rsidR="001B290D" w:rsidRPr="00DB6307" w:rsidRDefault="001B290D" w:rsidP="00D00389">
            <w:pPr>
              <w:jc w:val="both"/>
              <w:rPr>
                <w:rFonts w:ascii="ITC Avant Garde Std Bk" w:hAnsi="ITC Avant Garde Std Bk"/>
                <w:bCs/>
                <w:sz w:val="16"/>
                <w:szCs w:val="16"/>
              </w:rPr>
            </w:pPr>
          </w:p>
          <w:p w14:paraId="46E1CE16" w14:textId="77777777" w:rsidR="001B290D" w:rsidRPr="007D0768"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w:t>
            </w:r>
            <w:r w:rsidRPr="00DB6307">
              <w:rPr>
                <w:rFonts w:ascii="ITC Avant Garde Std Bk" w:hAnsi="ITC Avant Garde Std Bk"/>
                <w:bCs/>
                <w:sz w:val="16"/>
                <w:szCs w:val="16"/>
              </w:rPr>
              <w:lastRenderedPageBreak/>
              <w:t>previstas en la LFCE y LFTyR como solicitudes en forma de “escrito libre”.</w:t>
            </w:r>
          </w:p>
        </w:tc>
        <w:tc>
          <w:tcPr>
            <w:tcW w:w="4438" w:type="dxa"/>
            <w:shd w:val="clear" w:color="auto" w:fill="D6E3BC" w:themeFill="accent3" w:themeFillTint="66"/>
          </w:tcPr>
          <w:p w14:paraId="5FABF71C" w14:textId="4B7B15F7" w:rsidR="001B290D" w:rsidRPr="00A52E3D" w:rsidRDefault="001B290D" w:rsidP="00D00389">
            <w:pPr>
              <w:jc w:val="both"/>
              <w:rPr>
                <w:rFonts w:ascii="ITC Avant Garde Std Bk" w:hAnsi="ITC Avant Garde Std Bk"/>
                <w:bCs/>
                <w:sz w:val="16"/>
                <w:szCs w:val="16"/>
              </w:rPr>
            </w:pPr>
            <w:r w:rsidRPr="00DB6307">
              <w:rPr>
                <w:rFonts w:ascii="ITC Avant Garde Std Bk" w:hAnsi="ITC Avant Garde Std Bk"/>
                <w:bCs/>
                <w:sz w:val="16"/>
                <w:szCs w:val="16"/>
              </w:rPr>
              <w:lastRenderedPageBreak/>
              <w:t xml:space="preserve">El comentario se relaciona con el artículo séptimo del Anexo Único, mediante el cual se emite el formato del trámite de “Solicitud de orientación general en materia de libre concurrencia y competencia económica” (Anexo F), no obstante, se advierte que el contenido del comentario se refiere explícitamente a los Anexos A, </w:t>
            </w:r>
            <w:r w:rsidR="00E40AC0" w:rsidRPr="00DB6307">
              <w:rPr>
                <w:rFonts w:ascii="ITC Avant Garde Std Bk" w:hAnsi="ITC Avant Garde Std Bk"/>
                <w:bCs/>
                <w:sz w:val="16"/>
                <w:szCs w:val="16"/>
              </w:rPr>
              <w:t>B, C</w:t>
            </w:r>
            <w:r w:rsidRPr="00DB6307">
              <w:rPr>
                <w:rFonts w:ascii="ITC Avant Garde Std Bk" w:hAnsi="ITC Avant Garde Std Bk"/>
                <w:bCs/>
                <w:sz w:val="16"/>
                <w:szCs w:val="16"/>
              </w:rPr>
              <w:t xml:space="preserve"> y E, de los cuales, señala que incorporan información que excede los requisitos establecidos en la LFCE, la LFTR y las DR. Por lo tanto, el contenido del comentario no es aplicable al Anexo F ni al citado artículo séptimo del Anexo Único.</w:t>
            </w:r>
          </w:p>
        </w:tc>
      </w:tr>
    </w:tbl>
    <w:p w14:paraId="56607900" w14:textId="77777777" w:rsidR="00766836" w:rsidRDefault="00766836" w:rsidP="00D00389">
      <w:pPr>
        <w:pStyle w:val="Default"/>
        <w:jc w:val="both"/>
        <w:rPr>
          <w:rFonts w:ascii="ITC Avant Garde Std Bk" w:hAnsi="ITC Avant Garde Std Bk"/>
          <w:b/>
          <w:bCs/>
          <w:sz w:val="18"/>
          <w:szCs w:val="18"/>
          <w:lang w:eastAsia="en-US"/>
        </w:rPr>
      </w:pPr>
    </w:p>
    <w:p w14:paraId="4E0ED1FC" w14:textId="77777777" w:rsidR="00026C36" w:rsidRPr="00164865" w:rsidRDefault="00026C36" w:rsidP="00D00389">
      <w:pPr>
        <w:pStyle w:val="Default"/>
        <w:jc w:val="both"/>
        <w:rPr>
          <w:rFonts w:ascii="ITC Avant Garde Std Bk" w:hAnsi="ITC Avant Garde Std Bk"/>
          <w:bCs/>
          <w:sz w:val="20"/>
          <w:szCs w:val="20"/>
          <w:lang w:eastAsia="en-US"/>
        </w:rPr>
      </w:pPr>
      <w:r w:rsidRPr="00020A64">
        <w:rPr>
          <w:rFonts w:ascii="ITC Avant Garde Std Bk" w:hAnsi="ITC Avant Garde Std Bk"/>
          <w:bCs/>
          <w:sz w:val="20"/>
          <w:szCs w:val="20"/>
          <w:lang w:eastAsia="en-US"/>
        </w:rPr>
        <w:t>6.</w:t>
      </w:r>
      <w:r w:rsidR="00E85F0A">
        <w:rPr>
          <w:rFonts w:ascii="ITC Avant Garde Std Bk" w:hAnsi="ITC Avant Garde Std Bk"/>
          <w:bCs/>
          <w:sz w:val="20"/>
          <w:szCs w:val="20"/>
          <w:lang w:eastAsia="en-US"/>
        </w:rPr>
        <w:t>6</w:t>
      </w:r>
      <w:r w:rsidRPr="00020A64">
        <w:rPr>
          <w:rFonts w:ascii="ITC Avant Garde Std Bk" w:hAnsi="ITC Avant Garde Std Bk"/>
          <w:bCs/>
          <w:sz w:val="20"/>
          <w:szCs w:val="20"/>
          <w:lang w:eastAsia="en-US"/>
        </w:rPr>
        <w:t xml:space="preserve">. </w:t>
      </w:r>
      <w:r w:rsidRPr="00020A64">
        <w:rPr>
          <w:rFonts w:ascii="ITC Avant Garde Std Bk" w:hAnsi="ITC Avant Garde Std Bk"/>
          <w:b/>
          <w:bCs/>
          <w:sz w:val="20"/>
          <w:szCs w:val="20"/>
          <w:u w:val="single"/>
          <w:lang w:eastAsia="en-US"/>
        </w:rPr>
        <w:t xml:space="preserve">Anexo </w:t>
      </w:r>
      <w:r>
        <w:rPr>
          <w:rFonts w:ascii="ITC Avant Garde Std Bk" w:hAnsi="ITC Avant Garde Std Bk"/>
          <w:b/>
          <w:bCs/>
          <w:sz w:val="20"/>
          <w:szCs w:val="20"/>
          <w:u w:val="single"/>
          <w:lang w:eastAsia="en-US"/>
        </w:rPr>
        <w:t>G</w:t>
      </w:r>
    </w:p>
    <w:p w14:paraId="299A9A59" w14:textId="77777777" w:rsidR="00026C36" w:rsidRDefault="00026C36" w:rsidP="00D00389">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1271"/>
        <w:gridCol w:w="4253"/>
        <w:gridCol w:w="4438"/>
      </w:tblGrid>
      <w:tr w:rsidR="00026C36" w:rsidRPr="00887E2E" w14:paraId="5BB587B2" w14:textId="77777777" w:rsidTr="001719B0">
        <w:tc>
          <w:tcPr>
            <w:tcW w:w="1271" w:type="dxa"/>
            <w:shd w:val="clear" w:color="auto" w:fill="296624"/>
          </w:tcPr>
          <w:p w14:paraId="2B200E18" w14:textId="77777777" w:rsidR="00026C36" w:rsidRDefault="00026C36" w:rsidP="00D00389">
            <w:pPr>
              <w:pStyle w:val="Default"/>
              <w:jc w:val="center"/>
              <w:rPr>
                <w:rFonts w:ascii="ITC Avant Garde Std Bk" w:hAnsi="ITC Avant Garde Std Bk"/>
                <w:bCs/>
                <w:color w:val="FFFFFF" w:themeColor="background1"/>
                <w:sz w:val="16"/>
                <w:szCs w:val="16"/>
              </w:rPr>
            </w:pPr>
          </w:p>
          <w:p w14:paraId="07C96652" w14:textId="77777777" w:rsidR="00026C36" w:rsidRDefault="00026C36"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546702B9" w14:textId="77777777" w:rsidR="00026C36" w:rsidRPr="00887E2E" w:rsidRDefault="00026C36" w:rsidP="00D00389">
            <w:pPr>
              <w:pStyle w:val="Default"/>
              <w:jc w:val="center"/>
              <w:rPr>
                <w:color w:val="FFFFFF" w:themeColor="background1"/>
              </w:rPr>
            </w:pPr>
          </w:p>
        </w:tc>
        <w:tc>
          <w:tcPr>
            <w:tcW w:w="4253" w:type="dxa"/>
            <w:shd w:val="clear" w:color="auto" w:fill="296624"/>
          </w:tcPr>
          <w:p w14:paraId="0EE0501F" w14:textId="77777777" w:rsidR="00026C36" w:rsidRDefault="00026C36" w:rsidP="00D00389">
            <w:pPr>
              <w:jc w:val="center"/>
              <w:rPr>
                <w:rFonts w:ascii="ITC Avant Garde Std Bk" w:hAnsi="ITC Avant Garde Std Bk"/>
                <w:bCs/>
                <w:color w:val="FFFFFF" w:themeColor="background1"/>
                <w:sz w:val="16"/>
                <w:szCs w:val="16"/>
              </w:rPr>
            </w:pPr>
          </w:p>
          <w:p w14:paraId="4E6E71BA" w14:textId="77777777" w:rsidR="00026C36" w:rsidRPr="00887E2E" w:rsidRDefault="00026C36"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7E0DDCCF" w14:textId="77777777" w:rsidR="00026C36" w:rsidRDefault="00026C36" w:rsidP="00D00389">
            <w:pPr>
              <w:jc w:val="center"/>
              <w:rPr>
                <w:rFonts w:ascii="ITC Avant Garde Std Bk" w:hAnsi="ITC Avant Garde Std Bk"/>
                <w:bCs/>
                <w:color w:val="FFFFFF" w:themeColor="background1"/>
                <w:sz w:val="16"/>
                <w:szCs w:val="16"/>
              </w:rPr>
            </w:pPr>
          </w:p>
          <w:p w14:paraId="74DCF525" w14:textId="77777777" w:rsidR="00026C36" w:rsidRPr="00887E2E" w:rsidRDefault="00026C36"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026C36" w:rsidRPr="008D1B7F" w14:paraId="0A59E233" w14:textId="77777777" w:rsidTr="001719B0">
        <w:tc>
          <w:tcPr>
            <w:tcW w:w="1271" w:type="dxa"/>
            <w:shd w:val="clear" w:color="auto" w:fill="EAF1DD" w:themeFill="accent3" w:themeFillTint="33"/>
            <w:vAlign w:val="center"/>
          </w:tcPr>
          <w:p w14:paraId="5E23B039" w14:textId="77777777" w:rsidR="00026C36" w:rsidRPr="003A0F21" w:rsidRDefault="00026C36" w:rsidP="00D00389">
            <w:pPr>
              <w:jc w:val="center"/>
              <w:rPr>
                <w:rFonts w:ascii="ITC Avant Garde Std Bk" w:hAnsi="ITC Avant Garde Std Bk"/>
                <w:bCs/>
                <w:sz w:val="16"/>
                <w:szCs w:val="16"/>
              </w:rPr>
            </w:pPr>
            <w:r w:rsidRPr="001B290D">
              <w:rPr>
                <w:rFonts w:ascii="ITC Avant Garde Std Bk" w:hAnsi="ITC Avant Garde Std Bk"/>
                <w:bCs/>
                <w:sz w:val="16"/>
                <w:szCs w:val="16"/>
              </w:rPr>
              <w:t>Carlos Mora Villalpando</w:t>
            </w:r>
          </w:p>
        </w:tc>
        <w:tc>
          <w:tcPr>
            <w:tcW w:w="4253" w:type="dxa"/>
            <w:shd w:val="clear" w:color="auto" w:fill="C2D69B" w:themeFill="accent3" w:themeFillTint="99"/>
          </w:tcPr>
          <w:p w14:paraId="1A2C5E84"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Se refiere al comentario general III “A”, a saber:</w:t>
            </w:r>
          </w:p>
          <w:p w14:paraId="33329F55" w14:textId="77777777" w:rsidR="00026C36" w:rsidRPr="00DB6307" w:rsidRDefault="00026C36" w:rsidP="00D00389">
            <w:pPr>
              <w:jc w:val="both"/>
              <w:rPr>
                <w:rFonts w:ascii="ITC Avant Garde Std Bk" w:hAnsi="ITC Avant Garde Std Bk"/>
                <w:bCs/>
                <w:sz w:val="16"/>
                <w:szCs w:val="16"/>
              </w:rPr>
            </w:pPr>
          </w:p>
          <w:p w14:paraId="38174E41"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las solicitudes y procedimient</w:t>
            </w:r>
            <w:r>
              <w:rPr>
                <w:rFonts w:ascii="ITC Avant Garde Std Bk" w:hAnsi="ITC Avant Garde Std Bk"/>
                <w:bCs/>
                <w:sz w:val="16"/>
                <w:szCs w:val="16"/>
              </w:rPr>
              <w:t xml:space="preserve">os </w:t>
            </w:r>
            <w:r w:rsidRPr="00DB6307">
              <w:rPr>
                <w:rFonts w:ascii="ITC Avant Garde Std Bk" w:hAnsi="ITC Avant Garde Std Bk"/>
                <w:bCs/>
                <w:sz w:val="16"/>
                <w:szCs w:val="16"/>
              </w:rPr>
              <w:t>que se pretenden simplificar. Con ello, los formatos, generan cargas innecesarias, onerosas, pero sobre todo ausentes de fundamento legal al gobernado.</w:t>
            </w:r>
          </w:p>
          <w:p w14:paraId="7121ED4D" w14:textId="77777777" w:rsidR="00026C36" w:rsidRPr="00DB6307" w:rsidRDefault="00026C36" w:rsidP="00D00389">
            <w:pPr>
              <w:jc w:val="both"/>
              <w:rPr>
                <w:rFonts w:ascii="ITC Avant Garde Std Bk" w:hAnsi="ITC Avant Garde Std Bk"/>
                <w:bCs/>
                <w:sz w:val="16"/>
                <w:szCs w:val="16"/>
              </w:rPr>
            </w:pPr>
          </w:p>
          <w:p w14:paraId="3D998D12" w14:textId="460F0F4A" w:rsidR="00026C36"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w:t>
            </w:r>
          </w:p>
          <w:p w14:paraId="4ACA74E1" w14:textId="77777777" w:rsidR="00FE2DF8" w:rsidRPr="00DB6307" w:rsidRDefault="00FE2DF8" w:rsidP="00D00389">
            <w:pPr>
              <w:jc w:val="both"/>
              <w:rPr>
                <w:rFonts w:ascii="ITC Avant Garde Std Bk" w:hAnsi="ITC Avant Garde Std Bk"/>
                <w:bCs/>
                <w:sz w:val="16"/>
                <w:szCs w:val="16"/>
              </w:rPr>
            </w:pPr>
          </w:p>
          <w:p w14:paraId="46C5CD2C"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simplifican los trámites existentes en la LFCE y la LFTyR. Esto de conformidad con lo expuesto en el presente documento.</w:t>
            </w:r>
          </w:p>
          <w:p w14:paraId="2D5CDE76" w14:textId="77777777" w:rsidR="00026C36" w:rsidRPr="00DB6307" w:rsidRDefault="00026C36" w:rsidP="00D00389">
            <w:pPr>
              <w:jc w:val="both"/>
              <w:rPr>
                <w:rFonts w:ascii="ITC Avant Garde Std Bk" w:hAnsi="ITC Avant Garde Std Bk"/>
                <w:bCs/>
                <w:sz w:val="16"/>
                <w:szCs w:val="16"/>
              </w:rPr>
            </w:pPr>
          </w:p>
          <w:p w14:paraId="5ECF27A9"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4C317395" w14:textId="77777777" w:rsidR="00026C36" w:rsidRPr="00DB6307" w:rsidRDefault="00026C36" w:rsidP="00D00389">
            <w:pPr>
              <w:jc w:val="both"/>
              <w:rPr>
                <w:rFonts w:ascii="ITC Avant Garde Std Bk" w:hAnsi="ITC Avant Garde Std Bk"/>
                <w:bCs/>
                <w:sz w:val="16"/>
                <w:szCs w:val="16"/>
              </w:rPr>
            </w:pPr>
          </w:p>
          <w:p w14:paraId="202BF844"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51E01A13" w14:textId="77777777" w:rsidR="00026C36" w:rsidRPr="00DB6307" w:rsidRDefault="00026C36" w:rsidP="00D00389">
            <w:pPr>
              <w:jc w:val="both"/>
              <w:rPr>
                <w:rFonts w:ascii="ITC Avant Garde Std Bk" w:hAnsi="ITC Avant Garde Std Bk"/>
                <w:bCs/>
                <w:sz w:val="16"/>
                <w:szCs w:val="16"/>
              </w:rPr>
            </w:pPr>
          </w:p>
          <w:p w14:paraId="1D552EC9"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67F08D5D" w14:textId="77777777" w:rsidR="00026C36" w:rsidRPr="00DB6307" w:rsidRDefault="00026C36" w:rsidP="00D00389">
            <w:pPr>
              <w:jc w:val="both"/>
              <w:rPr>
                <w:rFonts w:ascii="ITC Avant Garde Std Bk" w:hAnsi="ITC Avant Garde Std Bk"/>
                <w:bCs/>
                <w:sz w:val="16"/>
                <w:szCs w:val="16"/>
              </w:rPr>
            </w:pPr>
          </w:p>
          <w:p w14:paraId="126C1968"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58175E7B" w14:textId="77777777" w:rsidR="00026C36" w:rsidRPr="00DB6307" w:rsidRDefault="00026C36" w:rsidP="00D00389">
            <w:pPr>
              <w:jc w:val="both"/>
              <w:rPr>
                <w:rFonts w:ascii="ITC Avant Garde Std Bk" w:hAnsi="ITC Avant Garde Std Bk"/>
                <w:bCs/>
                <w:sz w:val="16"/>
                <w:szCs w:val="16"/>
              </w:rPr>
            </w:pPr>
          </w:p>
          <w:p w14:paraId="13907B43" w14:textId="7BECD11C"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 emitidos y estrictamente sujetarlos a lo establecido en la LFTyR, la LFCE y las DR. Es decir, en el artículo 15, fracciones I, XLI y LVI de la LFTyR y el artículo 12 fracción XXII de la LFCE. Los mencionados artículos prevén los instrumentos regulatorios que el Instituto podrá expedir para reglamentar su actuar. </w:t>
            </w:r>
          </w:p>
          <w:p w14:paraId="28D5865E" w14:textId="77777777" w:rsidR="00026C36" w:rsidRPr="00DB6307" w:rsidRDefault="00026C36" w:rsidP="00D00389">
            <w:pPr>
              <w:jc w:val="both"/>
              <w:rPr>
                <w:rFonts w:ascii="ITC Avant Garde Std Bk" w:hAnsi="ITC Avant Garde Std Bk"/>
                <w:bCs/>
                <w:sz w:val="16"/>
                <w:szCs w:val="16"/>
              </w:rPr>
            </w:pPr>
          </w:p>
          <w:p w14:paraId="22909380"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w:t>
            </w:r>
            <w:r w:rsidRPr="00DB6307">
              <w:rPr>
                <w:rFonts w:ascii="ITC Avant Garde Std Bk" w:hAnsi="ITC Avant Garde Std Bk"/>
                <w:bCs/>
                <w:sz w:val="16"/>
                <w:szCs w:val="16"/>
              </w:rPr>
              <w:lastRenderedPageBreak/>
              <w:t>lineamientos que el Instituto está obligado a emitir, tienen el objetivo de fortalecer el estado de derecho a través de criterios objetivos que</w:t>
            </w:r>
          </w:p>
          <w:p w14:paraId="1F7756B1"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permitan al gobernado conocer el proceder de la autoridad y evitara la actuación arbitraria de la misma.</w:t>
            </w:r>
          </w:p>
          <w:p w14:paraId="404578D3" w14:textId="77777777" w:rsidR="00026C36" w:rsidRPr="00DB6307" w:rsidRDefault="00026C36" w:rsidP="00D00389">
            <w:pPr>
              <w:jc w:val="both"/>
              <w:rPr>
                <w:rFonts w:ascii="ITC Avant Garde Std Bk" w:hAnsi="ITC Avant Garde Std Bk"/>
                <w:bCs/>
                <w:sz w:val="16"/>
                <w:szCs w:val="16"/>
              </w:rPr>
            </w:pPr>
          </w:p>
          <w:p w14:paraId="5E204D96" w14:textId="43A8BAD6"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r w:rsidR="00E60FB1">
              <w:rPr>
                <w:rFonts w:ascii="ITC Avant Garde Std Bk" w:hAnsi="ITC Avant Garde Std Bk"/>
                <w:bCs/>
                <w:sz w:val="16"/>
                <w:szCs w:val="16"/>
              </w:rPr>
              <w:t xml:space="preserve"> </w:t>
            </w:r>
            <w:r w:rsidRPr="00DB6307">
              <w:rPr>
                <w:rFonts w:ascii="ITC Avant Garde Std Bk" w:hAnsi="ITC Avant Garde Std Bk"/>
                <w:bCs/>
                <w:sz w:val="16"/>
                <w:szCs w:val="16"/>
              </w:rPr>
              <w:t>Disposiciones y no simplemente mediante la emisión de formatos no previstos en ningún tipo de instrumento normativo.</w:t>
            </w:r>
          </w:p>
          <w:p w14:paraId="184D6D54" w14:textId="77777777" w:rsidR="00026C36" w:rsidRPr="00DB6307" w:rsidRDefault="00026C36" w:rsidP="00D00389">
            <w:pPr>
              <w:jc w:val="both"/>
              <w:rPr>
                <w:rFonts w:ascii="ITC Avant Garde Std Bk" w:hAnsi="ITC Avant Garde Std Bk"/>
                <w:bCs/>
                <w:sz w:val="16"/>
                <w:szCs w:val="16"/>
              </w:rPr>
            </w:pPr>
          </w:p>
          <w:p w14:paraId="6D67F053" w14:textId="77777777" w:rsidR="00026C36" w:rsidRPr="00DB6307"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477BA4ED" w14:textId="77777777" w:rsidR="00026C36" w:rsidRPr="00DB6307" w:rsidRDefault="00026C36" w:rsidP="00D00389">
            <w:pPr>
              <w:jc w:val="both"/>
              <w:rPr>
                <w:rFonts w:ascii="ITC Avant Garde Std Bk" w:hAnsi="ITC Avant Garde Std Bk"/>
                <w:bCs/>
                <w:sz w:val="16"/>
                <w:szCs w:val="16"/>
              </w:rPr>
            </w:pPr>
          </w:p>
          <w:p w14:paraId="6D72ECD7" w14:textId="77777777" w:rsidR="00026C36"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Por tanto, el espíritu del legislador fue establecer la obligación del Órgano regulador correspondiente de construir la regulación pertinente para conseguir el mayor grado de previsibilidad posible al prever instrumentos que complementen el desarrollo normativo y la certeza jurídica en la aplicación de la ley.</w:t>
            </w:r>
          </w:p>
          <w:p w14:paraId="6CF4DEA7" w14:textId="77777777" w:rsidR="00026C36" w:rsidRPr="00DB6307" w:rsidRDefault="00026C36" w:rsidP="00D00389">
            <w:pPr>
              <w:jc w:val="both"/>
              <w:rPr>
                <w:rFonts w:ascii="ITC Avant Garde Std Bk" w:hAnsi="ITC Avant Garde Std Bk"/>
                <w:bCs/>
                <w:sz w:val="16"/>
                <w:szCs w:val="16"/>
              </w:rPr>
            </w:pPr>
          </w:p>
          <w:p w14:paraId="090E91E6" w14:textId="77777777" w:rsidR="00026C36" w:rsidRPr="007D0768"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t>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w:t>
            </w:r>
          </w:p>
        </w:tc>
        <w:tc>
          <w:tcPr>
            <w:tcW w:w="4438" w:type="dxa"/>
            <w:shd w:val="clear" w:color="auto" w:fill="C2D69B" w:themeFill="accent3" w:themeFillTint="99"/>
          </w:tcPr>
          <w:p w14:paraId="0EFFE752" w14:textId="4732E75D" w:rsidR="00026C36" w:rsidRPr="00A52E3D" w:rsidRDefault="00026C36" w:rsidP="00D00389">
            <w:pPr>
              <w:jc w:val="both"/>
              <w:rPr>
                <w:rFonts w:ascii="ITC Avant Garde Std Bk" w:hAnsi="ITC Avant Garde Std Bk"/>
                <w:bCs/>
                <w:sz w:val="16"/>
                <w:szCs w:val="16"/>
              </w:rPr>
            </w:pPr>
            <w:r w:rsidRPr="00DB6307">
              <w:rPr>
                <w:rFonts w:ascii="ITC Avant Garde Std Bk" w:hAnsi="ITC Avant Garde Std Bk"/>
                <w:bCs/>
                <w:sz w:val="16"/>
                <w:szCs w:val="16"/>
              </w:rPr>
              <w:lastRenderedPageBreak/>
              <w:t xml:space="preserve">El comentario se relaciona con el artículo </w:t>
            </w:r>
            <w:r w:rsidR="00531551">
              <w:rPr>
                <w:rFonts w:ascii="ITC Avant Garde Std Bk" w:hAnsi="ITC Avant Garde Std Bk"/>
                <w:bCs/>
                <w:sz w:val="16"/>
                <w:szCs w:val="16"/>
              </w:rPr>
              <w:t>octavo</w:t>
            </w:r>
            <w:r w:rsidR="00531551" w:rsidRPr="00DB6307">
              <w:rPr>
                <w:rFonts w:ascii="ITC Avant Garde Std Bk" w:hAnsi="ITC Avant Garde Std Bk"/>
                <w:bCs/>
                <w:sz w:val="16"/>
                <w:szCs w:val="16"/>
              </w:rPr>
              <w:t xml:space="preserve"> </w:t>
            </w:r>
            <w:r w:rsidRPr="00DB6307">
              <w:rPr>
                <w:rFonts w:ascii="ITC Avant Garde Std Bk" w:hAnsi="ITC Avant Garde Std Bk"/>
                <w:bCs/>
                <w:sz w:val="16"/>
                <w:szCs w:val="16"/>
              </w:rPr>
              <w:t xml:space="preserve">del Anexo Único, mediante el cual se emite el formato del trámite de “Solicitud de </w:t>
            </w:r>
            <w:r w:rsidR="00531551">
              <w:rPr>
                <w:rFonts w:ascii="ITC Avant Garde Std Bk" w:hAnsi="ITC Avant Garde Std Bk"/>
                <w:bCs/>
                <w:sz w:val="16"/>
                <w:szCs w:val="16"/>
              </w:rPr>
              <w:t>opinión</w:t>
            </w:r>
            <w:r w:rsidR="00531551" w:rsidRPr="00DB6307">
              <w:rPr>
                <w:rFonts w:ascii="ITC Avant Garde Std Bk" w:hAnsi="ITC Avant Garde Std Bk"/>
                <w:bCs/>
                <w:sz w:val="16"/>
                <w:szCs w:val="16"/>
              </w:rPr>
              <w:t xml:space="preserve"> </w:t>
            </w:r>
            <w:r w:rsidR="00531551">
              <w:rPr>
                <w:rFonts w:ascii="ITC Avant Garde Std Bk" w:hAnsi="ITC Avant Garde Std Bk"/>
                <w:bCs/>
                <w:sz w:val="16"/>
                <w:szCs w:val="16"/>
              </w:rPr>
              <w:t xml:space="preserve">formal </w:t>
            </w:r>
            <w:r w:rsidRPr="00DB6307">
              <w:rPr>
                <w:rFonts w:ascii="ITC Avant Garde Std Bk" w:hAnsi="ITC Avant Garde Std Bk"/>
                <w:bCs/>
                <w:sz w:val="16"/>
                <w:szCs w:val="16"/>
              </w:rPr>
              <w:t xml:space="preserve">en materia de libre concurrencia y competencia económica” (Anexo </w:t>
            </w:r>
            <w:r w:rsidR="00531551">
              <w:rPr>
                <w:rFonts w:ascii="ITC Avant Garde Std Bk" w:hAnsi="ITC Avant Garde Std Bk"/>
                <w:bCs/>
                <w:sz w:val="16"/>
                <w:szCs w:val="16"/>
              </w:rPr>
              <w:t>G</w:t>
            </w:r>
            <w:r w:rsidRPr="00DB6307">
              <w:rPr>
                <w:rFonts w:ascii="ITC Avant Garde Std Bk" w:hAnsi="ITC Avant Garde Std Bk"/>
                <w:bCs/>
                <w:sz w:val="16"/>
                <w:szCs w:val="16"/>
              </w:rPr>
              <w:t xml:space="preserve">), no obstante, se advierte que el contenido del comentario se refiere explícitamente a los Anexos A, </w:t>
            </w:r>
            <w:r w:rsidR="00E40AC0" w:rsidRPr="00DB6307">
              <w:rPr>
                <w:rFonts w:ascii="ITC Avant Garde Std Bk" w:hAnsi="ITC Avant Garde Std Bk"/>
                <w:bCs/>
                <w:sz w:val="16"/>
                <w:szCs w:val="16"/>
              </w:rPr>
              <w:t>B, C</w:t>
            </w:r>
            <w:r w:rsidRPr="00DB6307">
              <w:rPr>
                <w:rFonts w:ascii="ITC Avant Garde Std Bk" w:hAnsi="ITC Avant Garde Std Bk"/>
                <w:bCs/>
                <w:sz w:val="16"/>
                <w:szCs w:val="16"/>
              </w:rPr>
              <w:t xml:space="preserve"> y E, de los cuales, señala que incorporan información que excede los requisitos establecidos en la LFCE, la LFTR y las DR. Por lo tanto, el contenido del comentario no es aplicable al Anexo </w:t>
            </w:r>
            <w:r w:rsidR="00531551">
              <w:rPr>
                <w:rFonts w:ascii="ITC Avant Garde Std Bk" w:hAnsi="ITC Avant Garde Std Bk"/>
                <w:bCs/>
                <w:sz w:val="16"/>
                <w:szCs w:val="16"/>
              </w:rPr>
              <w:t>G</w:t>
            </w:r>
            <w:r w:rsidR="00531551" w:rsidRPr="00DB6307">
              <w:rPr>
                <w:rFonts w:ascii="ITC Avant Garde Std Bk" w:hAnsi="ITC Avant Garde Std Bk"/>
                <w:bCs/>
                <w:sz w:val="16"/>
                <w:szCs w:val="16"/>
              </w:rPr>
              <w:t xml:space="preserve"> </w:t>
            </w:r>
            <w:r w:rsidRPr="00DB6307">
              <w:rPr>
                <w:rFonts w:ascii="ITC Avant Garde Std Bk" w:hAnsi="ITC Avant Garde Std Bk"/>
                <w:bCs/>
                <w:sz w:val="16"/>
                <w:szCs w:val="16"/>
              </w:rPr>
              <w:t xml:space="preserve">ni al citado artículo </w:t>
            </w:r>
            <w:r w:rsidR="00531551">
              <w:rPr>
                <w:rFonts w:ascii="ITC Avant Garde Std Bk" w:hAnsi="ITC Avant Garde Std Bk"/>
                <w:bCs/>
                <w:sz w:val="16"/>
                <w:szCs w:val="16"/>
              </w:rPr>
              <w:t>octavo</w:t>
            </w:r>
            <w:r w:rsidR="00531551" w:rsidRPr="00DB6307">
              <w:rPr>
                <w:rFonts w:ascii="ITC Avant Garde Std Bk" w:hAnsi="ITC Avant Garde Std Bk"/>
                <w:bCs/>
                <w:sz w:val="16"/>
                <w:szCs w:val="16"/>
              </w:rPr>
              <w:t xml:space="preserve"> </w:t>
            </w:r>
            <w:r w:rsidRPr="00DB6307">
              <w:rPr>
                <w:rFonts w:ascii="ITC Avant Garde Std Bk" w:hAnsi="ITC Avant Garde Std Bk"/>
                <w:bCs/>
                <w:sz w:val="16"/>
                <w:szCs w:val="16"/>
              </w:rPr>
              <w:t>del Anexo Único.</w:t>
            </w:r>
          </w:p>
        </w:tc>
      </w:tr>
    </w:tbl>
    <w:p w14:paraId="354774DA" w14:textId="53F2C443" w:rsidR="00026C36" w:rsidRDefault="00026C36" w:rsidP="00D00389">
      <w:pPr>
        <w:pStyle w:val="Default"/>
        <w:jc w:val="both"/>
        <w:rPr>
          <w:rFonts w:ascii="ITC Avant Garde Std Bk" w:hAnsi="ITC Avant Garde Std Bk"/>
          <w:b/>
          <w:bCs/>
          <w:sz w:val="18"/>
          <w:szCs w:val="18"/>
          <w:lang w:eastAsia="en-US"/>
        </w:rPr>
      </w:pPr>
    </w:p>
    <w:p w14:paraId="23602717" w14:textId="77777777" w:rsidR="00FE2DF8" w:rsidRDefault="00FE2DF8" w:rsidP="00D00389">
      <w:pPr>
        <w:pStyle w:val="Default"/>
        <w:jc w:val="both"/>
        <w:rPr>
          <w:rFonts w:ascii="ITC Avant Garde Std Bk" w:hAnsi="ITC Avant Garde Std Bk"/>
          <w:b/>
          <w:bCs/>
          <w:sz w:val="18"/>
          <w:szCs w:val="18"/>
          <w:lang w:eastAsia="en-US"/>
        </w:rPr>
      </w:pPr>
    </w:p>
    <w:p w14:paraId="115A9D20" w14:textId="77777777" w:rsidR="00372659" w:rsidRPr="00164865" w:rsidRDefault="00372659" w:rsidP="00D00389">
      <w:pPr>
        <w:pStyle w:val="Default"/>
        <w:jc w:val="both"/>
        <w:rPr>
          <w:rFonts w:ascii="ITC Avant Garde Std Bk" w:hAnsi="ITC Avant Garde Std Bk"/>
          <w:bCs/>
          <w:sz w:val="20"/>
          <w:szCs w:val="20"/>
          <w:lang w:eastAsia="en-US"/>
        </w:rPr>
      </w:pPr>
      <w:r w:rsidRPr="00020A64">
        <w:rPr>
          <w:rFonts w:ascii="ITC Avant Garde Std Bk" w:hAnsi="ITC Avant Garde Std Bk"/>
          <w:bCs/>
          <w:sz w:val="20"/>
          <w:szCs w:val="20"/>
          <w:lang w:eastAsia="en-US"/>
        </w:rPr>
        <w:lastRenderedPageBreak/>
        <w:t>6.</w:t>
      </w:r>
      <w:r w:rsidR="00E85F0A">
        <w:rPr>
          <w:rFonts w:ascii="ITC Avant Garde Std Bk" w:hAnsi="ITC Avant Garde Std Bk"/>
          <w:bCs/>
          <w:sz w:val="20"/>
          <w:szCs w:val="20"/>
          <w:lang w:eastAsia="en-US"/>
        </w:rPr>
        <w:t>7</w:t>
      </w:r>
      <w:r w:rsidRPr="00020A64">
        <w:rPr>
          <w:rFonts w:ascii="ITC Avant Garde Std Bk" w:hAnsi="ITC Avant Garde Std Bk"/>
          <w:bCs/>
          <w:sz w:val="20"/>
          <w:szCs w:val="20"/>
          <w:lang w:eastAsia="en-US"/>
        </w:rPr>
        <w:t xml:space="preserve">. </w:t>
      </w:r>
      <w:r w:rsidRPr="00020A64">
        <w:rPr>
          <w:rFonts w:ascii="ITC Avant Garde Std Bk" w:hAnsi="ITC Avant Garde Std Bk"/>
          <w:b/>
          <w:bCs/>
          <w:sz w:val="20"/>
          <w:szCs w:val="20"/>
          <w:u w:val="single"/>
          <w:lang w:eastAsia="en-US"/>
        </w:rPr>
        <w:t>Anexo</w:t>
      </w:r>
      <w:r>
        <w:rPr>
          <w:rFonts w:ascii="ITC Avant Garde Std Bk" w:hAnsi="ITC Avant Garde Std Bk"/>
          <w:b/>
          <w:bCs/>
          <w:sz w:val="20"/>
          <w:szCs w:val="20"/>
          <w:u w:val="single"/>
          <w:lang w:eastAsia="en-US"/>
        </w:rPr>
        <w:t>s A y B</w:t>
      </w:r>
    </w:p>
    <w:p w14:paraId="5C4A8481" w14:textId="77777777" w:rsidR="00372659" w:rsidRDefault="00372659" w:rsidP="00D00389">
      <w:pPr>
        <w:pStyle w:val="Default"/>
        <w:jc w:val="both"/>
        <w:rPr>
          <w:rFonts w:ascii="ITC Avant Garde Std Bk" w:hAnsi="ITC Avant Garde Std Bk"/>
          <w:bCs/>
          <w:sz w:val="20"/>
          <w:szCs w:val="20"/>
          <w:lang w:eastAsia="en-US"/>
        </w:rPr>
      </w:pPr>
    </w:p>
    <w:tbl>
      <w:tblPr>
        <w:tblStyle w:val="Tablaconcuadrcula"/>
        <w:tblW w:w="0" w:type="auto"/>
        <w:tblLayout w:type="fixed"/>
        <w:tblLook w:val="04A0" w:firstRow="1" w:lastRow="0" w:firstColumn="1" w:lastColumn="0" w:noHBand="0" w:noVBand="1"/>
      </w:tblPr>
      <w:tblGrid>
        <w:gridCol w:w="1271"/>
        <w:gridCol w:w="4253"/>
        <w:gridCol w:w="4438"/>
      </w:tblGrid>
      <w:tr w:rsidR="00372659" w:rsidRPr="00887E2E" w14:paraId="415F367B" w14:textId="77777777" w:rsidTr="001719B0">
        <w:tc>
          <w:tcPr>
            <w:tcW w:w="1271" w:type="dxa"/>
            <w:shd w:val="clear" w:color="auto" w:fill="296624"/>
          </w:tcPr>
          <w:p w14:paraId="31CA2553" w14:textId="77777777" w:rsidR="00372659" w:rsidRDefault="00372659" w:rsidP="00D00389">
            <w:pPr>
              <w:pStyle w:val="Default"/>
              <w:jc w:val="center"/>
              <w:rPr>
                <w:rFonts w:ascii="ITC Avant Garde Std Bk" w:hAnsi="ITC Avant Garde Std Bk"/>
                <w:bCs/>
                <w:color w:val="FFFFFF" w:themeColor="background1"/>
                <w:sz w:val="16"/>
                <w:szCs w:val="16"/>
              </w:rPr>
            </w:pPr>
          </w:p>
          <w:p w14:paraId="3306C08A" w14:textId="77777777" w:rsidR="00372659" w:rsidRDefault="00372659"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25152A61" w14:textId="77777777" w:rsidR="00372659" w:rsidRPr="00887E2E" w:rsidRDefault="00372659" w:rsidP="00D00389">
            <w:pPr>
              <w:pStyle w:val="Default"/>
              <w:jc w:val="center"/>
              <w:rPr>
                <w:color w:val="FFFFFF" w:themeColor="background1"/>
              </w:rPr>
            </w:pPr>
          </w:p>
        </w:tc>
        <w:tc>
          <w:tcPr>
            <w:tcW w:w="4253" w:type="dxa"/>
            <w:shd w:val="clear" w:color="auto" w:fill="296624"/>
          </w:tcPr>
          <w:p w14:paraId="38078037" w14:textId="77777777" w:rsidR="00372659" w:rsidRDefault="00372659" w:rsidP="00D00389">
            <w:pPr>
              <w:jc w:val="center"/>
              <w:rPr>
                <w:rFonts w:ascii="ITC Avant Garde Std Bk" w:hAnsi="ITC Avant Garde Std Bk"/>
                <w:bCs/>
                <w:color w:val="FFFFFF" w:themeColor="background1"/>
                <w:sz w:val="16"/>
                <w:szCs w:val="16"/>
              </w:rPr>
            </w:pPr>
          </w:p>
          <w:p w14:paraId="12CE8192" w14:textId="77777777" w:rsidR="00372659" w:rsidRPr="00887E2E" w:rsidRDefault="00372659"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174D6B60" w14:textId="77777777" w:rsidR="00372659" w:rsidRDefault="00372659" w:rsidP="00D00389">
            <w:pPr>
              <w:jc w:val="center"/>
              <w:rPr>
                <w:rFonts w:ascii="ITC Avant Garde Std Bk" w:hAnsi="ITC Avant Garde Std Bk"/>
                <w:bCs/>
                <w:color w:val="FFFFFF" w:themeColor="background1"/>
                <w:sz w:val="16"/>
                <w:szCs w:val="16"/>
              </w:rPr>
            </w:pPr>
          </w:p>
          <w:p w14:paraId="101CF13C" w14:textId="77777777" w:rsidR="00372659" w:rsidRPr="00887E2E" w:rsidRDefault="00372659"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E445DF" w:rsidRPr="008D1B7F" w14:paraId="17680FAE" w14:textId="77777777" w:rsidTr="001719B0">
        <w:tc>
          <w:tcPr>
            <w:tcW w:w="1271" w:type="dxa"/>
            <w:vMerge w:val="restart"/>
            <w:shd w:val="clear" w:color="auto" w:fill="EAF1DD" w:themeFill="accent3" w:themeFillTint="33"/>
            <w:vAlign w:val="center"/>
          </w:tcPr>
          <w:p w14:paraId="7CB9E28C" w14:textId="77777777" w:rsidR="00E445DF" w:rsidRPr="003A0F21" w:rsidRDefault="00E445DF" w:rsidP="00D00389">
            <w:pPr>
              <w:jc w:val="center"/>
              <w:rPr>
                <w:rFonts w:ascii="ITC Avant Garde Std Bk" w:hAnsi="ITC Avant Garde Std Bk"/>
                <w:bCs/>
                <w:sz w:val="16"/>
                <w:szCs w:val="16"/>
              </w:rPr>
            </w:pPr>
            <w:r w:rsidRPr="00372659">
              <w:rPr>
                <w:rFonts w:ascii="ITC Avant Garde Std Bk" w:hAnsi="ITC Avant Garde Std Bk"/>
                <w:bCs/>
                <w:sz w:val="16"/>
                <w:szCs w:val="16"/>
              </w:rPr>
              <w:t>Cablevisión, S.A. de C.V., Operbes, S.A. de C.V., Cablemás Telecomunicaciones, S.A. de C.V., México Red de Telecomunicaciones, S. de R.L. de C.V., Televisión Internacional, S.A. de C.V., Cablevisión Red, S.A. de C.V., y TV Cable de Oriente, S.A. de C.V.</w:t>
            </w:r>
          </w:p>
        </w:tc>
        <w:tc>
          <w:tcPr>
            <w:tcW w:w="4253" w:type="dxa"/>
            <w:shd w:val="clear" w:color="auto" w:fill="D6E3BC" w:themeFill="accent3" w:themeFillTint="66"/>
          </w:tcPr>
          <w:p w14:paraId="02351B36" w14:textId="3AC874A6"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372659">
              <w:rPr>
                <w:rFonts w:ascii="ITC Avant Garde Std Bk" w:hAnsi="ITC Avant Garde Std Bk"/>
                <w:bCs/>
                <w:sz w:val="16"/>
                <w:szCs w:val="16"/>
              </w:rPr>
              <w:t>“Relacionados por</w:t>
            </w:r>
            <w:r>
              <w:rPr>
                <w:rFonts w:ascii="ITC Avant Garde Std Bk" w:hAnsi="ITC Avant Garde Std Bk"/>
                <w:bCs/>
                <w:sz w:val="16"/>
                <w:szCs w:val="16"/>
              </w:rPr>
              <w:t xml:space="preserve"> </w:t>
            </w:r>
            <w:r w:rsidRPr="00372659">
              <w:rPr>
                <w:rFonts w:ascii="ITC Avant Garde Std Bk" w:hAnsi="ITC Avant Garde Std Bk"/>
                <w:bCs/>
                <w:sz w:val="16"/>
                <w:szCs w:val="16"/>
              </w:rPr>
              <w:t>Parentesco”</w:t>
            </w:r>
            <w:r>
              <w:rPr>
                <w:rFonts w:ascii="ITC Avant Garde Std Bk" w:hAnsi="ITC Avant Garde Std Bk"/>
                <w:bCs/>
                <w:sz w:val="16"/>
                <w:szCs w:val="16"/>
              </w:rPr>
              <w:t>.</w:t>
            </w:r>
          </w:p>
          <w:p w14:paraId="372FCF3C" w14:textId="77777777" w:rsidR="00FE2DF8" w:rsidRDefault="00FE2DF8" w:rsidP="00D00389">
            <w:pPr>
              <w:jc w:val="both"/>
              <w:rPr>
                <w:rFonts w:ascii="ITC Avant Garde Std Bk" w:hAnsi="ITC Avant Garde Std Bk"/>
                <w:bCs/>
                <w:sz w:val="16"/>
                <w:szCs w:val="16"/>
              </w:rPr>
            </w:pPr>
          </w:p>
          <w:p w14:paraId="4A618DF4" w14:textId="77777777" w:rsidR="00E445DF" w:rsidRPr="007D0768"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El apartado solicita información de las personas físicas con los que tengan parentesco por consanguinidad o por afinidad, que participen, directa o indirectamente, en sociedades, asociaciones o empresas que lleven a cabo actividades en los sectores de telecomunicaciones o radiodifusión y/o que cuenten con algún título de concesión, permiso o autorización. No obstante, mis Representadas consideran que dicho apartado excede los requisitos del artículo 89 de la Ley Federal de Competencia Económica (LFCE), ya que el mismo no incluye que dicha información debe ser entregada. Asimismo, no se especifica el objeto de que la Autoridad cuente con la citada información.</w:t>
            </w:r>
          </w:p>
        </w:tc>
        <w:tc>
          <w:tcPr>
            <w:tcW w:w="4438" w:type="dxa"/>
            <w:shd w:val="clear" w:color="auto" w:fill="D6E3BC" w:themeFill="accent3" w:themeFillTint="66"/>
          </w:tcPr>
          <w:p w14:paraId="1B8FB159"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Debe entenderse que el artículo 89 de la Ley Federal de Competencia Económica (LFCE) se refiere a agentes económicos en su dimensión de Grupos de Interés Económico, concepto que abarca el tipo de relaciones de que trata este apartado.</w:t>
            </w:r>
          </w:p>
          <w:p w14:paraId="7293566E" w14:textId="77777777" w:rsidR="006A5F52" w:rsidRPr="00372659" w:rsidRDefault="006A5F52" w:rsidP="00D00389">
            <w:pPr>
              <w:jc w:val="both"/>
              <w:rPr>
                <w:rFonts w:ascii="ITC Avant Garde Std Bk" w:hAnsi="ITC Avant Garde Std Bk"/>
                <w:bCs/>
                <w:sz w:val="16"/>
                <w:szCs w:val="16"/>
              </w:rPr>
            </w:pPr>
          </w:p>
          <w:p w14:paraId="1967B585"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Al respecto, el artículo 63 de la LFCE, en particular su fracción IV, establece también que el Instituto debe considerar la participación de los agentes económicos involucrados en otros agentes, por lo que son estos dos preceptos los que respaldan la solicitud de la información sobre Relacionados por Parentesco.</w:t>
            </w:r>
          </w:p>
          <w:p w14:paraId="3AAB7706" w14:textId="77777777" w:rsidR="00E445DF" w:rsidRPr="00372659" w:rsidRDefault="00E445DF" w:rsidP="00D00389">
            <w:pPr>
              <w:jc w:val="both"/>
              <w:rPr>
                <w:rFonts w:ascii="ITC Avant Garde Std Bk" w:hAnsi="ITC Avant Garde Std Bk"/>
                <w:bCs/>
                <w:sz w:val="16"/>
                <w:szCs w:val="16"/>
              </w:rPr>
            </w:pPr>
          </w:p>
          <w:p w14:paraId="5F01F480"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El objeto de contar co</w:t>
            </w:r>
            <w:r w:rsidR="006A5F52">
              <w:rPr>
                <w:rFonts w:ascii="ITC Avant Garde Std Bk" w:hAnsi="ITC Avant Garde Std Bk"/>
                <w:bCs/>
                <w:sz w:val="16"/>
                <w:szCs w:val="16"/>
              </w:rPr>
              <w:t>n esta información es que el Instituto</w:t>
            </w:r>
            <w:r w:rsidRPr="00372659">
              <w:rPr>
                <w:rFonts w:ascii="ITC Avant Garde Std Bk" w:hAnsi="ITC Avant Garde Std Bk"/>
                <w:bCs/>
                <w:sz w:val="16"/>
                <w:szCs w:val="16"/>
              </w:rPr>
              <w:t xml:space="preserve">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690DABBD" w14:textId="77777777" w:rsidR="00E445DF" w:rsidRPr="00372659" w:rsidRDefault="00E445DF" w:rsidP="00D00389">
            <w:pPr>
              <w:jc w:val="both"/>
              <w:rPr>
                <w:rFonts w:ascii="ITC Avant Garde Std Bk" w:hAnsi="ITC Avant Garde Std Bk"/>
                <w:bCs/>
                <w:sz w:val="16"/>
                <w:szCs w:val="16"/>
              </w:rPr>
            </w:pPr>
          </w:p>
          <w:p w14:paraId="3F82C90F" w14:textId="402DFCD9" w:rsidR="00E445DF" w:rsidRPr="00A52E3D"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Respecto de este tema puede consultar la Guía para el Control de Concentraciones en los Sectores de las TyR, adoptada el 28 de junio de 2017 mediante acuerdo del Pleno del Instituto, en particular su apartado 5.7, sobre los requisitos que debe contener el escrito de notificación.</w:t>
            </w:r>
          </w:p>
        </w:tc>
      </w:tr>
      <w:tr w:rsidR="00E445DF" w:rsidRPr="008D1B7F" w14:paraId="2F2777BC" w14:textId="77777777" w:rsidTr="001719B0">
        <w:tc>
          <w:tcPr>
            <w:tcW w:w="1271" w:type="dxa"/>
            <w:vMerge/>
            <w:shd w:val="clear" w:color="auto" w:fill="EAF1DD" w:themeFill="accent3" w:themeFillTint="33"/>
            <w:vAlign w:val="center"/>
          </w:tcPr>
          <w:p w14:paraId="0E2E47C7" w14:textId="77777777" w:rsidR="00E445DF" w:rsidRPr="00372659" w:rsidRDefault="00E445DF" w:rsidP="00D00389">
            <w:pPr>
              <w:jc w:val="center"/>
              <w:rPr>
                <w:rFonts w:ascii="ITC Avant Garde Std Bk" w:hAnsi="ITC Avant Garde Std Bk"/>
                <w:bCs/>
                <w:sz w:val="16"/>
                <w:szCs w:val="16"/>
              </w:rPr>
            </w:pPr>
          </w:p>
        </w:tc>
        <w:tc>
          <w:tcPr>
            <w:tcW w:w="4253" w:type="dxa"/>
            <w:shd w:val="clear" w:color="auto" w:fill="C2D69B" w:themeFill="accent3" w:themeFillTint="99"/>
          </w:tcPr>
          <w:p w14:paraId="20844E4C" w14:textId="3F49F8AF"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372659">
              <w:rPr>
                <w:rFonts w:ascii="ITC Avant Garde Std Bk" w:hAnsi="ITC Avant Garde Std Bk"/>
                <w:bCs/>
                <w:sz w:val="16"/>
                <w:szCs w:val="16"/>
              </w:rPr>
              <w:t>“Directivos”</w:t>
            </w:r>
          </w:p>
          <w:p w14:paraId="13D621FA" w14:textId="77777777" w:rsidR="00FE2DF8" w:rsidRDefault="00FE2DF8" w:rsidP="00D00389">
            <w:pPr>
              <w:jc w:val="both"/>
              <w:rPr>
                <w:rFonts w:ascii="ITC Avant Garde Std Bk" w:hAnsi="ITC Avant Garde Std Bk"/>
                <w:bCs/>
                <w:sz w:val="16"/>
                <w:szCs w:val="16"/>
              </w:rPr>
            </w:pPr>
          </w:p>
          <w:p w14:paraId="0EBC8B82"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El apartado solicita información de i) las Personas Involucradas, ii) los Relacionados Accionistas y iii) los Relacionados por Participación, que sean personas morales, para que indiquen el nombre de los principales Directivos, Gerentes o Integrantes del Consejo, así como el empleo, cargo o comisión que desempeña el Directivo o Gerente o Consejero. No obstante, mis Representadas consideran que dicho apartado excede los requisitos establecidos en el artículo 89 de la LFCE, ya que el mismo no incluye que dicha información debe ser entregada. Asimismo, no se especifica el objeto de que la Autoridad cuente con la citada información.</w:t>
            </w:r>
          </w:p>
          <w:p w14:paraId="7240C228" w14:textId="77777777" w:rsidR="00E445DF" w:rsidRPr="00372659" w:rsidRDefault="00E445DF" w:rsidP="00D00389">
            <w:pPr>
              <w:jc w:val="both"/>
              <w:rPr>
                <w:rFonts w:ascii="ITC Avant Garde Std Bk" w:hAnsi="ITC Avant Garde Std Bk"/>
                <w:bCs/>
                <w:sz w:val="16"/>
                <w:szCs w:val="16"/>
              </w:rPr>
            </w:pPr>
          </w:p>
        </w:tc>
        <w:tc>
          <w:tcPr>
            <w:tcW w:w="4438" w:type="dxa"/>
            <w:shd w:val="clear" w:color="auto" w:fill="C2D69B" w:themeFill="accent3" w:themeFillTint="99"/>
          </w:tcPr>
          <w:p w14:paraId="396560C2"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Debe entenderse que el artículo 89 de la LFCE se refiere a agentes económicos en su dimensión de Grupos de Interés Económico, concepto que abarca el tipo de relaciones de que trata este apartado.</w:t>
            </w:r>
          </w:p>
          <w:p w14:paraId="013DBF6F" w14:textId="77777777" w:rsidR="00E445DF" w:rsidRPr="00372659" w:rsidRDefault="00E445DF" w:rsidP="00D00389">
            <w:pPr>
              <w:jc w:val="both"/>
              <w:rPr>
                <w:rFonts w:ascii="ITC Avant Garde Std Bk" w:hAnsi="ITC Avant Garde Std Bk"/>
                <w:bCs/>
                <w:sz w:val="16"/>
                <w:szCs w:val="16"/>
              </w:rPr>
            </w:pPr>
          </w:p>
          <w:p w14:paraId="38E5A758"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Al respecto, el artículo 63 de la misma Ley, en particular la fracción IV, establece también que el Instituto debe considerar la participación de los agentes económicos involucrados en otros agentes, por lo que son estos dos preceptos los que respaldan la solicitud de la información sobre Directivos.</w:t>
            </w:r>
          </w:p>
          <w:p w14:paraId="5D51A047" w14:textId="77777777" w:rsidR="00E445DF" w:rsidRPr="00372659" w:rsidRDefault="00E445DF" w:rsidP="00D00389">
            <w:pPr>
              <w:jc w:val="both"/>
              <w:rPr>
                <w:rFonts w:ascii="ITC Avant Garde Std Bk" w:hAnsi="ITC Avant Garde Std Bk"/>
                <w:bCs/>
                <w:sz w:val="16"/>
                <w:szCs w:val="16"/>
              </w:rPr>
            </w:pPr>
          </w:p>
          <w:p w14:paraId="1F7EA9C6"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El objeto de contar co</w:t>
            </w:r>
            <w:r w:rsidR="00EA177B">
              <w:rPr>
                <w:rFonts w:ascii="ITC Avant Garde Std Bk" w:hAnsi="ITC Avant Garde Std Bk"/>
                <w:bCs/>
                <w:sz w:val="16"/>
                <w:szCs w:val="16"/>
              </w:rPr>
              <w:t>n esta información es que el Instituto</w:t>
            </w:r>
            <w:r w:rsidRPr="00372659">
              <w:rPr>
                <w:rFonts w:ascii="ITC Avant Garde Std Bk" w:hAnsi="ITC Avant Garde Std Bk"/>
                <w:bCs/>
                <w:sz w:val="16"/>
                <w:szCs w:val="16"/>
              </w:rPr>
              <w:t xml:space="preserve">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5943CC92" w14:textId="77777777" w:rsidR="00E445DF" w:rsidRPr="00372659" w:rsidRDefault="00E445DF" w:rsidP="00D00389">
            <w:pPr>
              <w:jc w:val="both"/>
              <w:rPr>
                <w:rFonts w:ascii="ITC Avant Garde Std Bk" w:hAnsi="ITC Avant Garde Std Bk"/>
                <w:bCs/>
                <w:sz w:val="16"/>
                <w:szCs w:val="16"/>
              </w:rPr>
            </w:pPr>
          </w:p>
          <w:p w14:paraId="799DA09C" w14:textId="18E2237A" w:rsidR="00E445DF" w:rsidRPr="00372659"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lastRenderedPageBreak/>
              <w:t>Respecto de este tema puede consultar la Guía para el Control de Concentraciones en los Sectores de las TyR, adoptada el 28 de junio de 2017 mediante acuerdo del Pleno del Instituto, en particular su apartado 5.7, sobre los requisitos que debe contener el escrito de notificación.</w:t>
            </w:r>
          </w:p>
        </w:tc>
      </w:tr>
      <w:tr w:rsidR="00E445DF" w:rsidRPr="008D1B7F" w14:paraId="5AEB8270" w14:textId="77777777" w:rsidTr="001719B0">
        <w:tc>
          <w:tcPr>
            <w:tcW w:w="1271" w:type="dxa"/>
            <w:vMerge/>
            <w:shd w:val="clear" w:color="auto" w:fill="EAF1DD" w:themeFill="accent3" w:themeFillTint="33"/>
            <w:vAlign w:val="center"/>
          </w:tcPr>
          <w:p w14:paraId="182932E7" w14:textId="77777777" w:rsidR="00E445DF" w:rsidRPr="00372659" w:rsidRDefault="00E445DF" w:rsidP="00D00389">
            <w:pPr>
              <w:jc w:val="center"/>
              <w:rPr>
                <w:rFonts w:ascii="ITC Avant Garde Std Bk" w:hAnsi="ITC Avant Garde Std Bk"/>
                <w:bCs/>
                <w:sz w:val="16"/>
                <w:szCs w:val="16"/>
              </w:rPr>
            </w:pPr>
          </w:p>
        </w:tc>
        <w:tc>
          <w:tcPr>
            <w:tcW w:w="4253" w:type="dxa"/>
            <w:shd w:val="clear" w:color="auto" w:fill="D6E3BC" w:themeFill="accent3" w:themeFillTint="66"/>
          </w:tcPr>
          <w:p w14:paraId="7F9285F4" w14:textId="3677C6E1"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372659">
              <w:rPr>
                <w:rFonts w:ascii="ITC Avant Garde Std Bk" w:hAnsi="ITC Avant Garde Std Bk"/>
                <w:bCs/>
                <w:sz w:val="16"/>
                <w:szCs w:val="16"/>
              </w:rPr>
              <w:t>“Relacionados por</w:t>
            </w:r>
            <w:r>
              <w:rPr>
                <w:rFonts w:ascii="ITC Avant Garde Std Bk" w:hAnsi="ITC Avant Garde Std Bk"/>
                <w:bCs/>
                <w:sz w:val="16"/>
                <w:szCs w:val="16"/>
              </w:rPr>
              <w:t xml:space="preserve"> </w:t>
            </w:r>
            <w:r w:rsidRPr="00372659">
              <w:rPr>
                <w:rFonts w:ascii="ITC Avant Garde Std Bk" w:hAnsi="ITC Avant Garde Std Bk"/>
                <w:bCs/>
                <w:sz w:val="16"/>
                <w:szCs w:val="16"/>
              </w:rPr>
              <w:t>participación directiva”</w:t>
            </w:r>
          </w:p>
          <w:p w14:paraId="2C156B20" w14:textId="77777777" w:rsidR="00FE2DF8" w:rsidRDefault="00FE2DF8" w:rsidP="00D00389">
            <w:pPr>
              <w:jc w:val="both"/>
              <w:rPr>
                <w:rFonts w:ascii="ITC Avant Garde Std Bk" w:hAnsi="ITC Avant Garde Std Bk"/>
                <w:bCs/>
                <w:sz w:val="16"/>
                <w:szCs w:val="16"/>
              </w:rPr>
            </w:pPr>
          </w:p>
          <w:p w14:paraId="3329F121" w14:textId="77777777" w:rsidR="00E445DF" w:rsidRPr="00372659"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El apartado solicita información de los Relacionados por Participación Directiva, como actividades económicas que realiza. Asimismo, para los Directivos/Administradores Cruzados, solicita la participación en el mercado relacionado por Participación Directiva y empleo, cargo o comisión que desempeña en el Relacionado por Participación Directiva. No obstante, mis Representadas consideran que dicho apartado excede los requisitos del artículo 89 de la LFCE, ya que el mismo no incluye que dicha información debe ser entregada. Asimismo, no se especifica el objeto de que la Autoridad cuente con la citada información</w:t>
            </w:r>
            <w:r>
              <w:rPr>
                <w:rFonts w:ascii="ITC Avant Garde Std Bk" w:hAnsi="ITC Avant Garde Std Bk"/>
                <w:bCs/>
                <w:sz w:val="16"/>
                <w:szCs w:val="16"/>
              </w:rPr>
              <w:t>.</w:t>
            </w:r>
          </w:p>
        </w:tc>
        <w:tc>
          <w:tcPr>
            <w:tcW w:w="4438" w:type="dxa"/>
            <w:shd w:val="clear" w:color="auto" w:fill="D6E3BC" w:themeFill="accent3" w:themeFillTint="66"/>
          </w:tcPr>
          <w:p w14:paraId="6B1452D5"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Debe entenderse que el artículo 89 de la LFCE se refiere a agentes económicos en su dimensión de Grupos de Interés Económico, concepto que abarca el tipo de relaciones de que trata este apartado.</w:t>
            </w:r>
          </w:p>
          <w:p w14:paraId="05BA990A" w14:textId="77777777" w:rsidR="00E445DF" w:rsidRPr="00372659" w:rsidRDefault="00E445DF" w:rsidP="00D00389">
            <w:pPr>
              <w:jc w:val="both"/>
              <w:rPr>
                <w:rFonts w:ascii="ITC Avant Garde Std Bk" w:hAnsi="ITC Avant Garde Std Bk"/>
                <w:bCs/>
                <w:sz w:val="16"/>
                <w:szCs w:val="16"/>
              </w:rPr>
            </w:pPr>
          </w:p>
          <w:p w14:paraId="628DB839"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Al respecto, el artículo 63 de la misma Ley, en particular su fracción IV, establece también que el Instituto debe considerar la participación de los agentes económicos involucrados en otros agentes, por lo que son estos dos preceptos los que respaldan la solicitud de la información sobre Relacionados por participación directiva.</w:t>
            </w:r>
          </w:p>
          <w:p w14:paraId="71E14742" w14:textId="77777777" w:rsidR="00E445DF" w:rsidRPr="00372659" w:rsidRDefault="00E445DF" w:rsidP="00D00389">
            <w:pPr>
              <w:jc w:val="both"/>
              <w:rPr>
                <w:rFonts w:ascii="ITC Avant Garde Std Bk" w:hAnsi="ITC Avant Garde Std Bk"/>
                <w:bCs/>
                <w:sz w:val="16"/>
                <w:szCs w:val="16"/>
              </w:rPr>
            </w:pPr>
          </w:p>
          <w:p w14:paraId="6A77A609" w14:textId="77777777" w:rsidR="00E445DF"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El objeto de contar co</w:t>
            </w:r>
            <w:r w:rsidR="001F50A1">
              <w:rPr>
                <w:rFonts w:ascii="ITC Avant Garde Std Bk" w:hAnsi="ITC Avant Garde Std Bk"/>
                <w:bCs/>
                <w:sz w:val="16"/>
                <w:szCs w:val="16"/>
              </w:rPr>
              <w:t>n esta información es que el Instituto</w:t>
            </w:r>
            <w:r w:rsidRPr="00372659">
              <w:rPr>
                <w:rFonts w:ascii="ITC Avant Garde Std Bk" w:hAnsi="ITC Avant Garde Std Bk"/>
                <w:bCs/>
                <w:sz w:val="16"/>
                <w:szCs w:val="16"/>
              </w:rPr>
              <w:t xml:space="preserve">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0B29993D" w14:textId="77777777" w:rsidR="00E445DF" w:rsidRPr="00372659" w:rsidRDefault="00E445DF" w:rsidP="00D00389">
            <w:pPr>
              <w:jc w:val="both"/>
              <w:rPr>
                <w:rFonts w:ascii="ITC Avant Garde Std Bk" w:hAnsi="ITC Avant Garde Std Bk"/>
                <w:bCs/>
                <w:sz w:val="16"/>
                <w:szCs w:val="16"/>
              </w:rPr>
            </w:pPr>
          </w:p>
          <w:p w14:paraId="5231C8A7" w14:textId="4CBB65BE" w:rsidR="00E445DF" w:rsidRPr="00372659" w:rsidRDefault="00E445DF" w:rsidP="00D00389">
            <w:pPr>
              <w:jc w:val="both"/>
              <w:rPr>
                <w:rFonts w:ascii="ITC Avant Garde Std Bk" w:hAnsi="ITC Avant Garde Std Bk"/>
                <w:bCs/>
                <w:sz w:val="16"/>
                <w:szCs w:val="16"/>
              </w:rPr>
            </w:pPr>
            <w:r w:rsidRPr="00372659">
              <w:rPr>
                <w:rFonts w:ascii="ITC Avant Garde Std Bk" w:hAnsi="ITC Avant Garde Std Bk"/>
                <w:bCs/>
                <w:sz w:val="16"/>
                <w:szCs w:val="16"/>
              </w:rPr>
              <w:t>Respecto de este tema puede consultar la Guía para el Control de Concentraciones en los Sectores de las TyR, adoptada el 28 de junio de 2017 mediante acuerdo del Pleno del Instituto, en particular su apartado 5.7, sobre los requisitos que debe contener el escrito de notificación.</w:t>
            </w:r>
          </w:p>
        </w:tc>
      </w:tr>
      <w:tr w:rsidR="00E445DF" w:rsidRPr="008D1B7F" w14:paraId="2CB4ECD7" w14:textId="77777777" w:rsidTr="001719B0">
        <w:tc>
          <w:tcPr>
            <w:tcW w:w="1271" w:type="dxa"/>
            <w:vMerge/>
            <w:shd w:val="clear" w:color="auto" w:fill="EAF1DD" w:themeFill="accent3" w:themeFillTint="33"/>
            <w:vAlign w:val="center"/>
          </w:tcPr>
          <w:p w14:paraId="17F7DF60" w14:textId="77777777" w:rsidR="00E445DF" w:rsidRPr="00372659" w:rsidRDefault="00E445DF" w:rsidP="00D00389">
            <w:pPr>
              <w:jc w:val="center"/>
              <w:rPr>
                <w:rFonts w:ascii="ITC Avant Garde Std Bk" w:hAnsi="ITC Avant Garde Std Bk"/>
                <w:bCs/>
                <w:sz w:val="16"/>
                <w:szCs w:val="16"/>
              </w:rPr>
            </w:pPr>
          </w:p>
        </w:tc>
        <w:tc>
          <w:tcPr>
            <w:tcW w:w="4253" w:type="dxa"/>
            <w:shd w:val="clear" w:color="auto" w:fill="C2D69B" w:themeFill="accent3" w:themeFillTint="99"/>
          </w:tcPr>
          <w:p w14:paraId="1B4133CE" w14:textId="4C3B0FED"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Sección 3, apartado “Vínculos”</w:t>
            </w:r>
          </w:p>
          <w:p w14:paraId="10DED224" w14:textId="77777777" w:rsidR="00FE2DF8" w:rsidRDefault="00FE2DF8" w:rsidP="00D00389">
            <w:pPr>
              <w:jc w:val="both"/>
              <w:rPr>
                <w:rFonts w:ascii="ITC Avant Garde Std Bk" w:hAnsi="ITC Avant Garde Std Bk"/>
                <w:bCs/>
                <w:sz w:val="16"/>
                <w:szCs w:val="16"/>
              </w:rPr>
            </w:pPr>
          </w:p>
          <w:p w14:paraId="2F6D15B7" w14:textId="77777777" w:rsidR="00E445DF" w:rsidRPr="00372659"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Dicho apartado solicita información de los vínculos que tengan las Personas Involucradas, los Relacionados Accionistas, los Relacionados por Parentesco, los Relacionados por Participación, los Relacionados por Participación Directiva y/o los Directivos/Administradores Cruzados con sociedades que actualmente participen directa o indirectamente en la provisión de servicios en los sectores de telecomunicaciones y radiodifusión dentro del territorio nacional. No obstante, mis Representadas consideran que dicho apartado excede los requisitos del artículo 89 de la LFCE, ya que el mismo no incluye que dicha información debe ser entregada. Asimismo, no se especifica el objeto de que la Autoridad cuente con la citada información.</w:t>
            </w:r>
          </w:p>
        </w:tc>
        <w:tc>
          <w:tcPr>
            <w:tcW w:w="4438" w:type="dxa"/>
            <w:shd w:val="clear" w:color="auto" w:fill="C2D69B" w:themeFill="accent3" w:themeFillTint="99"/>
          </w:tcPr>
          <w:p w14:paraId="06E6E9F2"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 xml:space="preserve">Debe entenderse que el artículo 89 de la LFCE se refiere a agentes económicos en su dimensión de Grupos de Interés Económico. </w:t>
            </w:r>
          </w:p>
          <w:p w14:paraId="63A9A1EF" w14:textId="77777777" w:rsidR="00E445DF" w:rsidRPr="009633E6" w:rsidRDefault="00E445DF" w:rsidP="00D00389">
            <w:pPr>
              <w:jc w:val="both"/>
              <w:rPr>
                <w:rFonts w:ascii="ITC Avant Garde Std Bk" w:hAnsi="ITC Avant Garde Std Bk"/>
                <w:bCs/>
                <w:sz w:val="16"/>
                <w:szCs w:val="16"/>
              </w:rPr>
            </w:pPr>
          </w:p>
          <w:p w14:paraId="7DB6306D"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Para establecer la existencia y alcance de un Grupo de Interés Económico el Instituto debe contar con elementos para analizar la autonomía o independencia de los agentes económicos entre sí, o si alguno de alguno de ellos tiene la capacidad para ejercer control o influencia decisiva o significativa sobre los otros a través de la existencia de vínculos de tipo comercial, organizativo, económico o jurídico.</w:t>
            </w:r>
          </w:p>
          <w:p w14:paraId="516CC74C" w14:textId="77777777" w:rsidR="00E445DF" w:rsidRPr="009633E6" w:rsidRDefault="00E445DF" w:rsidP="00D00389">
            <w:pPr>
              <w:jc w:val="both"/>
              <w:rPr>
                <w:rFonts w:ascii="ITC Avant Garde Std Bk" w:hAnsi="ITC Avant Garde Std Bk"/>
                <w:bCs/>
                <w:sz w:val="16"/>
                <w:szCs w:val="16"/>
              </w:rPr>
            </w:pPr>
          </w:p>
          <w:p w14:paraId="552698A2"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Al respecto, el artículo 63 de la misma Ley, en particular su fracción IV, establece también que el Instituto debe considerar la participación de los agentes económicos involucrados en otros agentes, por lo que son estos dos preceptos los que respaldan la solicitud de la información sobre este tipo de vínculos.</w:t>
            </w:r>
          </w:p>
          <w:p w14:paraId="44BA5984" w14:textId="77777777" w:rsidR="00E445DF" w:rsidRPr="009633E6" w:rsidRDefault="00E445DF" w:rsidP="00D00389">
            <w:pPr>
              <w:jc w:val="both"/>
              <w:rPr>
                <w:rFonts w:ascii="ITC Avant Garde Std Bk" w:hAnsi="ITC Avant Garde Std Bk"/>
                <w:bCs/>
                <w:sz w:val="16"/>
                <w:szCs w:val="16"/>
              </w:rPr>
            </w:pPr>
          </w:p>
          <w:p w14:paraId="3C08EE8D"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El objeto de contar co</w:t>
            </w:r>
            <w:r w:rsidR="001F50A1">
              <w:rPr>
                <w:rFonts w:ascii="ITC Avant Garde Std Bk" w:hAnsi="ITC Avant Garde Std Bk"/>
                <w:bCs/>
                <w:sz w:val="16"/>
                <w:szCs w:val="16"/>
              </w:rPr>
              <w:t>n esta información es que el Instituto</w:t>
            </w:r>
            <w:r w:rsidRPr="009633E6">
              <w:rPr>
                <w:rFonts w:ascii="ITC Avant Garde Std Bk" w:hAnsi="ITC Avant Garde Std Bk"/>
                <w:bCs/>
                <w:sz w:val="16"/>
                <w:szCs w:val="16"/>
              </w:rPr>
              <w:t xml:space="preserve">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3DB469A5" w14:textId="77777777" w:rsidR="00E445DF" w:rsidRPr="009633E6" w:rsidRDefault="00E445DF" w:rsidP="00D00389">
            <w:pPr>
              <w:jc w:val="both"/>
              <w:rPr>
                <w:rFonts w:ascii="ITC Avant Garde Std Bk" w:hAnsi="ITC Avant Garde Std Bk"/>
                <w:bCs/>
                <w:sz w:val="16"/>
                <w:szCs w:val="16"/>
              </w:rPr>
            </w:pPr>
          </w:p>
          <w:p w14:paraId="05AF2F44" w14:textId="4F3056CA" w:rsidR="00B15204" w:rsidRPr="00372659"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Respecto de este tema puede consultarse la Guía para el Control de Concentraciones en los Sectores de las TyR, adoptada el 28 de junio de 2017 mediante acuerdo del Pleno del Instituto, en particular sus apartados 2.3 y 2.4 sobre el análisis de Grupo de Interés Económico y de Control e Influencia.</w:t>
            </w:r>
          </w:p>
        </w:tc>
      </w:tr>
      <w:tr w:rsidR="00E445DF" w:rsidRPr="008D1B7F" w14:paraId="681698C0" w14:textId="77777777" w:rsidTr="001719B0">
        <w:tc>
          <w:tcPr>
            <w:tcW w:w="1271" w:type="dxa"/>
            <w:vMerge/>
            <w:shd w:val="clear" w:color="auto" w:fill="EAF1DD" w:themeFill="accent3" w:themeFillTint="33"/>
            <w:vAlign w:val="center"/>
          </w:tcPr>
          <w:p w14:paraId="33EEC33B" w14:textId="77777777" w:rsidR="00E445DF" w:rsidRPr="00372659" w:rsidRDefault="00E445DF" w:rsidP="00D00389">
            <w:pPr>
              <w:jc w:val="center"/>
              <w:rPr>
                <w:rFonts w:ascii="ITC Avant Garde Std Bk" w:hAnsi="ITC Avant Garde Std Bk"/>
                <w:bCs/>
                <w:sz w:val="16"/>
                <w:szCs w:val="16"/>
              </w:rPr>
            </w:pPr>
          </w:p>
        </w:tc>
        <w:tc>
          <w:tcPr>
            <w:tcW w:w="4253" w:type="dxa"/>
            <w:shd w:val="clear" w:color="auto" w:fill="D6E3BC" w:themeFill="accent3" w:themeFillTint="66"/>
          </w:tcPr>
          <w:p w14:paraId="69C48114" w14:textId="0C7E6791"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9633E6">
              <w:rPr>
                <w:rFonts w:ascii="ITC Avant Garde Std Bk" w:hAnsi="ITC Avant Garde Std Bk"/>
                <w:bCs/>
                <w:sz w:val="16"/>
                <w:szCs w:val="16"/>
              </w:rPr>
              <w:t>“Estructura de la deuda</w:t>
            </w:r>
            <w:r>
              <w:rPr>
                <w:rFonts w:ascii="ITC Avant Garde Std Bk" w:hAnsi="ITC Avant Garde Std Bk"/>
                <w:bCs/>
                <w:sz w:val="16"/>
                <w:szCs w:val="16"/>
              </w:rPr>
              <w:t xml:space="preserve"> </w:t>
            </w:r>
            <w:r w:rsidRPr="009633E6">
              <w:rPr>
                <w:rFonts w:ascii="ITC Avant Garde Std Bk" w:hAnsi="ITC Avant Garde Std Bk"/>
                <w:bCs/>
                <w:sz w:val="16"/>
                <w:szCs w:val="16"/>
              </w:rPr>
              <w:t>actual”</w:t>
            </w:r>
          </w:p>
          <w:p w14:paraId="6857D388" w14:textId="77777777" w:rsidR="00FE2DF8" w:rsidRDefault="00FE2DF8" w:rsidP="00D00389">
            <w:pPr>
              <w:jc w:val="both"/>
              <w:rPr>
                <w:rFonts w:ascii="ITC Avant Garde Std Bk" w:hAnsi="ITC Avant Garde Std Bk"/>
                <w:bCs/>
                <w:sz w:val="16"/>
                <w:szCs w:val="16"/>
              </w:rPr>
            </w:pPr>
          </w:p>
          <w:p w14:paraId="3298C385" w14:textId="77777777" w:rsidR="00E445DF" w:rsidRPr="009633E6"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El apartado solicita información acerca de la descripción de la deuda actual de las Personas Involucradas. No obstante, la descripción de la deuda no se encuentra contemplada en los requisitos del artículo 89 de la LFCE. Asimismo, no se especifica el objeto de que la Autoridad cuente con la citada información.</w:t>
            </w:r>
          </w:p>
        </w:tc>
        <w:tc>
          <w:tcPr>
            <w:tcW w:w="4438" w:type="dxa"/>
            <w:shd w:val="clear" w:color="auto" w:fill="D6E3BC" w:themeFill="accent3" w:themeFillTint="66"/>
          </w:tcPr>
          <w:p w14:paraId="29918455"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 xml:space="preserve">Debe entenderse que el artículo 89 de la LFCE se refiere a agentes económicos en su dimensión de Grupos de Interés Económico. </w:t>
            </w:r>
          </w:p>
          <w:p w14:paraId="4E8E8180" w14:textId="77777777" w:rsidR="00E445DF" w:rsidRPr="009633E6" w:rsidRDefault="00E445DF" w:rsidP="00D00389">
            <w:pPr>
              <w:jc w:val="both"/>
              <w:rPr>
                <w:rFonts w:ascii="ITC Avant Garde Std Bk" w:hAnsi="ITC Avant Garde Std Bk"/>
                <w:bCs/>
                <w:sz w:val="16"/>
                <w:szCs w:val="16"/>
              </w:rPr>
            </w:pPr>
          </w:p>
          <w:p w14:paraId="4C0AF66C"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Para establecer la existencia y alcance de un Grupo de Interés Económico el Instituto debe contar con elementos para analizar la autonomía o independencia de los agentes económicos entre sí, o si alguno de alguno de ellos tiene la capacidad para ejercer control o influencia decisiva o significativa sobre los otros a través de la existencia de vínculos de tipo comercial, organizativo, económico o jurídico.</w:t>
            </w:r>
          </w:p>
          <w:p w14:paraId="5B9C6ECA" w14:textId="77777777" w:rsidR="00E445DF" w:rsidRPr="009633E6" w:rsidRDefault="00E445DF" w:rsidP="00D00389">
            <w:pPr>
              <w:jc w:val="both"/>
              <w:rPr>
                <w:rFonts w:ascii="ITC Avant Garde Std Bk" w:hAnsi="ITC Avant Garde Std Bk"/>
                <w:bCs/>
                <w:sz w:val="16"/>
                <w:szCs w:val="16"/>
              </w:rPr>
            </w:pPr>
          </w:p>
          <w:p w14:paraId="1B532842"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Al respecto, el artículo 63 de la misma Ley, en particular su fracción IV, establece también que el Instituto debe considerar la participación de los agentes económicos involucrados en otros agentes, por lo que son estos dos preceptos los que respaldan la solicitud de la información sobre vínculos de esta naturaleza, a saber, ciertos tipos y niveles relativos de deuda y los acreedores específicos.</w:t>
            </w:r>
          </w:p>
          <w:p w14:paraId="603C1C87" w14:textId="77777777" w:rsidR="00E445DF" w:rsidRPr="009633E6" w:rsidRDefault="00E445DF" w:rsidP="00D00389">
            <w:pPr>
              <w:jc w:val="both"/>
              <w:rPr>
                <w:rFonts w:ascii="ITC Avant Garde Std Bk" w:hAnsi="ITC Avant Garde Std Bk"/>
                <w:bCs/>
                <w:sz w:val="16"/>
                <w:szCs w:val="16"/>
              </w:rPr>
            </w:pPr>
          </w:p>
          <w:p w14:paraId="7D1F5BDA" w14:textId="77777777" w:rsidR="00E445DF"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El objeto de contar con esta información es que el I</w:t>
            </w:r>
            <w:r w:rsidR="001F50A1">
              <w:rPr>
                <w:rFonts w:ascii="ITC Avant Garde Std Bk" w:hAnsi="ITC Avant Garde Std Bk"/>
                <w:bCs/>
                <w:sz w:val="16"/>
                <w:szCs w:val="16"/>
              </w:rPr>
              <w:t>nstituto</w:t>
            </w:r>
            <w:r w:rsidRPr="009633E6">
              <w:rPr>
                <w:rFonts w:ascii="ITC Avant Garde Std Bk" w:hAnsi="ITC Avant Garde Std Bk"/>
                <w:bCs/>
                <w:sz w:val="16"/>
                <w:szCs w:val="16"/>
              </w:rPr>
              <w:t xml:space="preserve"> pueda identificar a todos y cada uno de los integrantes de los agentes económicos involucrados en la concentración notificada, evaluados en su dimensión de Grupo de Interés Económico, y los vínculos existentes entre ellos, así como la existencia de vínculos con otros agentes económicos.</w:t>
            </w:r>
          </w:p>
          <w:p w14:paraId="3713C138" w14:textId="77777777" w:rsidR="00E445DF" w:rsidRPr="009633E6" w:rsidRDefault="00E445DF" w:rsidP="00D00389">
            <w:pPr>
              <w:jc w:val="both"/>
              <w:rPr>
                <w:rFonts w:ascii="ITC Avant Garde Std Bk" w:hAnsi="ITC Avant Garde Std Bk"/>
                <w:bCs/>
                <w:sz w:val="16"/>
                <w:szCs w:val="16"/>
              </w:rPr>
            </w:pPr>
          </w:p>
          <w:p w14:paraId="0BE8411C" w14:textId="77777777" w:rsidR="00E445DF" w:rsidRPr="009633E6" w:rsidRDefault="00E445DF" w:rsidP="00D00389">
            <w:pPr>
              <w:jc w:val="both"/>
              <w:rPr>
                <w:rFonts w:ascii="ITC Avant Garde Std Bk" w:hAnsi="ITC Avant Garde Std Bk"/>
                <w:bCs/>
                <w:sz w:val="16"/>
                <w:szCs w:val="16"/>
              </w:rPr>
            </w:pPr>
            <w:r w:rsidRPr="009633E6">
              <w:rPr>
                <w:rFonts w:ascii="ITC Avant Garde Std Bk" w:hAnsi="ITC Avant Garde Std Bk"/>
                <w:bCs/>
                <w:sz w:val="16"/>
                <w:szCs w:val="16"/>
              </w:rPr>
              <w:t>Respecto de este tema puede consultar la Guía para el Control de Concentraciones en los Sectores de las TyR, adoptada el 28 de junio de 2017 mediante acuerdo del Pleno del Instituto, en particular sus apartados 2.3 y 2.4 sobre el análisis de Grupo de Interés Económico y de Control e Influencia.</w:t>
            </w:r>
          </w:p>
        </w:tc>
      </w:tr>
    </w:tbl>
    <w:p w14:paraId="45EEE5D3" w14:textId="0C5AE88B" w:rsidR="00372659" w:rsidRDefault="00372659" w:rsidP="00D00389">
      <w:pPr>
        <w:pStyle w:val="Default"/>
        <w:jc w:val="both"/>
        <w:rPr>
          <w:rFonts w:ascii="ITC Avant Garde Std Bk" w:hAnsi="ITC Avant Garde Std Bk"/>
          <w:b/>
          <w:bCs/>
          <w:sz w:val="18"/>
          <w:szCs w:val="18"/>
          <w:lang w:eastAsia="en-US"/>
        </w:rPr>
      </w:pPr>
    </w:p>
    <w:p w14:paraId="1697D1B3" w14:textId="77777777" w:rsidR="00FE2DF8" w:rsidRDefault="00FE2DF8" w:rsidP="00D00389">
      <w:pPr>
        <w:pStyle w:val="Default"/>
        <w:jc w:val="both"/>
        <w:rPr>
          <w:rFonts w:ascii="ITC Avant Garde Std Bk" w:hAnsi="ITC Avant Garde Std Bk"/>
          <w:b/>
          <w:bCs/>
          <w:sz w:val="18"/>
          <w:szCs w:val="18"/>
          <w:lang w:eastAsia="en-US"/>
        </w:rPr>
      </w:pPr>
    </w:p>
    <w:p w14:paraId="78F3B4F4" w14:textId="77777777" w:rsidR="00E445DF" w:rsidRPr="00164865" w:rsidRDefault="00E445DF" w:rsidP="00D00389">
      <w:pPr>
        <w:pStyle w:val="Default"/>
        <w:jc w:val="both"/>
        <w:rPr>
          <w:rFonts w:ascii="ITC Avant Garde Std Bk" w:hAnsi="ITC Avant Garde Std Bk"/>
          <w:bCs/>
          <w:sz w:val="20"/>
          <w:szCs w:val="20"/>
          <w:lang w:eastAsia="en-US"/>
        </w:rPr>
      </w:pPr>
      <w:r w:rsidRPr="00B15204">
        <w:rPr>
          <w:rFonts w:ascii="ITC Avant Garde Std Bk" w:hAnsi="ITC Avant Garde Std Bk"/>
          <w:bCs/>
          <w:sz w:val="20"/>
          <w:szCs w:val="20"/>
          <w:lang w:eastAsia="en-US"/>
        </w:rPr>
        <w:lastRenderedPageBreak/>
        <w:t>6.</w:t>
      </w:r>
      <w:r w:rsidR="00E85F0A">
        <w:rPr>
          <w:rFonts w:ascii="ITC Avant Garde Std Bk" w:hAnsi="ITC Avant Garde Std Bk"/>
          <w:bCs/>
          <w:sz w:val="20"/>
          <w:szCs w:val="20"/>
          <w:lang w:eastAsia="en-US"/>
        </w:rPr>
        <w:t>8</w:t>
      </w:r>
      <w:r w:rsidRPr="00B15204">
        <w:rPr>
          <w:rFonts w:ascii="ITC Avant Garde Std Bk" w:hAnsi="ITC Avant Garde Std Bk"/>
          <w:bCs/>
          <w:sz w:val="20"/>
          <w:szCs w:val="20"/>
          <w:lang w:eastAsia="en-US"/>
        </w:rPr>
        <w:t xml:space="preserve">. </w:t>
      </w:r>
      <w:r w:rsidRPr="00B15204">
        <w:rPr>
          <w:rFonts w:ascii="ITC Avant Garde Std Bk" w:hAnsi="ITC Avant Garde Std Bk"/>
          <w:b/>
          <w:bCs/>
          <w:sz w:val="20"/>
          <w:szCs w:val="20"/>
          <w:u w:val="single"/>
          <w:lang w:eastAsia="en-US"/>
        </w:rPr>
        <w:t>Anexos A, B, C y E</w:t>
      </w:r>
    </w:p>
    <w:p w14:paraId="3871E4A9" w14:textId="77777777" w:rsidR="00E445DF" w:rsidRDefault="00E445DF" w:rsidP="00D00389">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1271"/>
        <w:gridCol w:w="4253"/>
        <w:gridCol w:w="4438"/>
      </w:tblGrid>
      <w:tr w:rsidR="00E445DF" w:rsidRPr="00887E2E" w14:paraId="1811DFDB" w14:textId="77777777" w:rsidTr="001719B0">
        <w:tc>
          <w:tcPr>
            <w:tcW w:w="1271" w:type="dxa"/>
            <w:shd w:val="clear" w:color="auto" w:fill="296624"/>
          </w:tcPr>
          <w:p w14:paraId="045DF027" w14:textId="77777777" w:rsidR="00E445DF" w:rsidRDefault="00E445DF" w:rsidP="00D00389">
            <w:pPr>
              <w:pStyle w:val="Default"/>
              <w:jc w:val="center"/>
              <w:rPr>
                <w:rFonts w:ascii="ITC Avant Garde Std Bk" w:hAnsi="ITC Avant Garde Std Bk"/>
                <w:bCs/>
                <w:color w:val="FFFFFF" w:themeColor="background1"/>
                <w:sz w:val="16"/>
                <w:szCs w:val="16"/>
              </w:rPr>
            </w:pPr>
          </w:p>
          <w:p w14:paraId="22D2C9F5" w14:textId="77777777" w:rsidR="00E445DF" w:rsidRDefault="00E445DF"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0B9A81EA" w14:textId="77777777" w:rsidR="00E445DF" w:rsidRPr="00887E2E" w:rsidRDefault="00E445DF" w:rsidP="00D00389">
            <w:pPr>
              <w:pStyle w:val="Default"/>
              <w:jc w:val="center"/>
              <w:rPr>
                <w:color w:val="FFFFFF" w:themeColor="background1"/>
              </w:rPr>
            </w:pPr>
          </w:p>
        </w:tc>
        <w:tc>
          <w:tcPr>
            <w:tcW w:w="4253" w:type="dxa"/>
            <w:shd w:val="clear" w:color="auto" w:fill="296624"/>
          </w:tcPr>
          <w:p w14:paraId="4176B38B" w14:textId="77777777" w:rsidR="00E445DF" w:rsidRDefault="00E445DF" w:rsidP="00D00389">
            <w:pPr>
              <w:jc w:val="center"/>
              <w:rPr>
                <w:rFonts w:ascii="ITC Avant Garde Std Bk" w:hAnsi="ITC Avant Garde Std Bk"/>
                <w:bCs/>
                <w:color w:val="FFFFFF" w:themeColor="background1"/>
                <w:sz w:val="16"/>
                <w:szCs w:val="16"/>
              </w:rPr>
            </w:pPr>
          </w:p>
          <w:p w14:paraId="01D2A48E" w14:textId="77777777" w:rsidR="00E445DF" w:rsidRPr="00887E2E" w:rsidRDefault="00E445DF"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08FF92E3" w14:textId="77777777" w:rsidR="00E445DF" w:rsidRDefault="00E445DF" w:rsidP="00D00389">
            <w:pPr>
              <w:jc w:val="center"/>
              <w:rPr>
                <w:rFonts w:ascii="ITC Avant Garde Std Bk" w:hAnsi="ITC Avant Garde Std Bk"/>
                <w:bCs/>
                <w:color w:val="FFFFFF" w:themeColor="background1"/>
                <w:sz w:val="16"/>
                <w:szCs w:val="16"/>
              </w:rPr>
            </w:pPr>
          </w:p>
          <w:p w14:paraId="4FB2C3E4" w14:textId="77777777" w:rsidR="00E445DF" w:rsidRPr="00887E2E" w:rsidRDefault="00E445DF"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E445DF" w:rsidRPr="008D1B7F" w14:paraId="307C7044" w14:textId="77777777" w:rsidTr="001719B0">
        <w:tc>
          <w:tcPr>
            <w:tcW w:w="1271" w:type="dxa"/>
            <w:shd w:val="clear" w:color="auto" w:fill="EAF1DD" w:themeFill="accent3" w:themeFillTint="33"/>
            <w:vAlign w:val="center"/>
          </w:tcPr>
          <w:p w14:paraId="00C59D8B" w14:textId="77777777" w:rsidR="00E445DF" w:rsidRPr="003A0F21" w:rsidRDefault="00E20486" w:rsidP="00D00389">
            <w:pPr>
              <w:jc w:val="center"/>
              <w:rPr>
                <w:rFonts w:ascii="ITC Avant Garde Std Bk" w:hAnsi="ITC Avant Garde Std Bk"/>
                <w:bCs/>
                <w:sz w:val="16"/>
                <w:szCs w:val="16"/>
              </w:rPr>
            </w:pPr>
            <w:r w:rsidRPr="00E20486">
              <w:rPr>
                <w:rFonts w:ascii="ITC Avant Garde Std Bk" w:hAnsi="ITC Avant Garde Std Bk"/>
                <w:bCs/>
                <w:sz w:val="16"/>
                <w:szCs w:val="16"/>
              </w:rPr>
              <w:t>Carlos Mora Villalpando</w:t>
            </w:r>
          </w:p>
        </w:tc>
        <w:tc>
          <w:tcPr>
            <w:tcW w:w="4253" w:type="dxa"/>
            <w:shd w:val="clear" w:color="auto" w:fill="C2D69B" w:themeFill="accent3" w:themeFillTint="99"/>
          </w:tcPr>
          <w:p w14:paraId="38398DD3"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Adicional a los comentarios previamente expuestos, se refiere a los comentarios generales III “A” y III “B”, a saber:</w:t>
            </w:r>
          </w:p>
          <w:p w14:paraId="1302B791" w14:textId="77777777" w:rsidR="00E20486" w:rsidRPr="00E20486" w:rsidRDefault="00E20486" w:rsidP="00D00389">
            <w:pPr>
              <w:jc w:val="both"/>
              <w:rPr>
                <w:rFonts w:ascii="ITC Avant Garde Std Bk" w:hAnsi="ITC Avant Garde Std Bk"/>
                <w:bCs/>
                <w:sz w:val="16"/>
                <w:szCs w:val="16"/>
              </w:rPr>
            </w:pPr>
          </w:p>
          <w:p w14:paraId="6A48E16F"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A. Respetuosamente, se señala a ese IFT, como se ha mencionado anteriormente, los anexos A, B, C y E, requieren a los gobernados proporcionar cierta información que excede a aquellos requisitos establecidos en la LFCE y la LFTyR, para cada una de las solicitudes y </w:t>
            </w:r>
            <w:r w:rsidR="00E40AC0" w:rsidRPr="00E20486">
              <w:rPr>
                <w:rFonts w:ascii="ITC Avant Garde Std Bk" w:hAnsi="ITC Avant Garde Std Bk"/>
                <w:bCs/>
                <w:sz w:val="16"/>
                <w:szCs w:val="16"/>
              </w:rPr>
              <w:t>procedimientos que</w:t>
            </w:r>
            <w:r w:rsidRPr="00E20486">
              <w:rPr>
                <w:rFonts w:ascii="ITC Avant Garde Std Bk" w:hAnsi="ITC Avant Garde Std Bk"/>
                <w:bCs/>
                <w:sz w:val="16"/>
                <w:szCs w:val="16"/>
              </w:rPr>
              <w:t xml:space="preserve"> se pretenden simplificar. Con ello, los formatos, generan cargas innecesarias, onerosas, pero sobre todo ausentes de fundamento legal al gobernado.</w:t>
            </w:r>
          </w:p>
          <w:p w14:paraId="08FD3C2A" w14:textId="77777777" w:rsidR="00E20486" w:rsidRPr="00E20486" w:rsidRDefault="00E20486" w:rsidP="00D00389">
            <w:pPr>
              <w:jc w:val="both"/>
              <w:rPr>
                <w:rFonts w:ascii="ITC Avant Garde Std Bk" w:hAnsi="ITC Avant Garde Std Bk"/>
                <w:bCs/>
                <w:sz w:val="16"/>
                <w:szCs w:val="16"/>
              </w:rPr>
            </w:pPr>
          </w:p>
          <w:p w14:paraId="75F9CCC1" w14:textId="59547227" w:rsid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 </w:t>
            </w:r>
          </w:p>
          <w:p w14:paraId="17AC2FDE" w14:textId="77777777" w:rsidR="00FE2DF8" w:rsidRPr="00E20486" w:rsidRDefault="00FE2DF8" w:rsidP="00D00389">
            <w:pPr>
              <w:jc w:val="both"/>
              <w:rPr>
                <w:rFonts w:ascii="ITC Avant Garde Std Bk" w:hAnsi="ITC Avant Garde Std Bk"/>
                <w:bCs/>
                <w:sz w:val="16"/>
                <w:szCs w:val="16"/>
              </w:rPr>
            </w:pPr>
          </w:p>
          <w:p w14:paraId="0B30FC7B"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simplifican los trámites existentes en la LFCE y la LFTyR. Esto de conformidad con lo expuesto en el presente documento.</w:t>
            </w:r>
          </w:p>
          <w:p w14:paraId="7152B19A" w14:textId="77777777" w:rsidR="00E20486" w:rsidRPr="00E20486" w:rsidRDefault="00E20486" w:rsidP="00D00389">
            <w:pPr>
              <w:jc w:val="both"/>
              <w:rPr>
                <w:rFonts w:ascii="ITC Avant Garde Std Bk" w:hAnsi="ITC Avant Garde Std Bk"/>
                <w:bCs/>
                <w:sz w:val="16"/>
                <w:szCs w:val="16"/>
              </w:rPr>
            </w:pPr>
          </w:p>
          <w:p w14:paraId="0C74669F"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68919709" w14:textId="77777777" w:rsidR="00E20486" w:rsidRPr="00E20486" w:rsidRDefault="00E20486" w:rsidP="00D00389">
            <w:pPr>
              <w:jc w:val="both"/>
              <w:rPr>
                <w:rFonts w:ascii="ITC Avant Garde Std Bk" w:hAnsi="ITC Avant Garde Std Bk"/>
                <w:bCs/>
                <w:sz w:val="16"/>
                <w:szCs w:val="16"/>
              </w:rPr>
            </w:pPr>
          </w:p>
          <w:p w14:paraId="345C13BB"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4B6DB025" w14:textId="77777777" w:rsidR="00E20486" w:rsidRPr="00E20486" w:rsidRDefault="00E20486" w:rsidP="00D00389">
            <w:pPr>
              <w:jc w:val="both"/>
              <w:rPr>
                <w:rFonts w:ascii="ITC Avant Garde Std Bk" w:hAnsi="ITC Avant Garde Std Bk"/>
                <w:bCs/>
                <w:sz w:val="16"/>
                <w:szCs w:val="16"/>
              </w:rPr>
            </w:pPr>
          </w:p>
          <w:p w14:paraId="4A0B52A8"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lastRenderedPageBreak/>
              <w:t>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2F6EE15B" w14:textId="77777777" w:rsidR="00E20486" w:rsidRPr="00E20486" w:rsidRDefault="00E20486" w:rsidP="00D00389">
            <w:pPr>
              <w:jc w:val="both"/>
              <w:rPr>
                <w:rFonts w:ascii="ITC Avant Garde Std Bk" w:hAnsi="ITC Avant Garde Std Bk"/>
                <w:bCs/>
                <w:sz w:val="16"/>
                <w:szCs w:val="16"/>
              </w:rPr>
            </w:pPr>
          </w:p>
          <w:p w14:paraId="4BC8303B"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59EF2EE9" w14:textId="77777777" w:rsidR="00E20486" w:rsidRPr="00E20486" w:rsidRDefault="00E20486" w:rsidP="00D00389">
            <w:pPr>
              <w:jc w:val="both"/>
              <w:rPr>
                <w:rFonts w:ascii="ITC Avant Garde Std Bk" w:hAnsi="ITC Avant Garde Std Bk"/>
                <w:bCs/>
                <w:sz w:val="16"/>
                <w:szCs w:val="16"/>
              </w:rPr>
            </w:pPr>
          </w:p>
          <w:p w14:paraId="47E77490"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anexos2 emitidos y estrictamente sujetarlos a lo establecido en la LFTyR, la LFCE y las DR. Es decir, en el artículo 15, fracciones I, XLI y LVI de la LFTyR y el artículo 12 fracción XXII de la LFCE. Los mencionados artículos prevén los instrumentos regulatorios que el Instituto podrá expedir para reglamentar su actuar. </w:t>
            </w:r>
          </w:p>
          <w:p w14:paraId="156FA2F0" w14:textId="77777777" w:rsidR="00E20486" w:rsidRPr="00E20486" w:rsidRDefault="00E20486" w:rsidP="00D00389">
            <w:pPr>
              <w:jc w:val="both"/>
              <w:rPr>
                <w:rFonts w:ascii="ITC Avant Garde Std Bk" w:hAnsi="ITC Avant Garde Std Bk"/>
                <w:bCs/>
                <w:sz w:val="16"/>
                <w:szCs w:val="16"/>
              </w:rPr>
            </w:pPr>
          </w:p>
          <w:p w14:paraId="76CA96DE"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lineamientos que el Instituto está obligado a emitir, </w:t>
            </w:r>
            <w:r w:rsidRPr="00E20486">
              <w:rPr>
                <w:rFonts w:ascii="ITC Avant Garde Std Bk" w:hAnsi="ITC Avant Garde Std Bk"/>
                <w:bCs/>
                <w:sz w:val="16"/>
                <w:szCs w:val="16"/>
              </w:rPr>
              <w:lastRenderedPageBreak/>
              <w:t>tienen el objetivo de fortalecer el estado de derecho a través de criterios objetivos que</w:t>
            </w:r>
          </w:p>
          <w:p w14:paraId="550AC001"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permitan al gobernado conocer el proceder de la autoridad y evitara la actuación arbitraria de la misma.</w:t>
            </w:r>
          </w:p>
          <w:p w14:paraId="1874BBDC" w14:textId="77777777" w:rsidR="00E20486" w:rsidRPr="00E20486" w:rsidRDefault="00E20486" w:rsidP="00D00389">
            <w:pPr>
              <w:jc w:val="both"/>
              <w:rPr>
                <w:rFonts w:ascii="ITC Avant Garde Std Bk" w:hAnsi="ITC Avant Garde Std Bk"/>
                <w:bCs/>
                <w:sz w:val="16"/>
                <w:szCs w:val="16"/>
              </w:rPr>
            </w:pPr>
          </w:p>
          <w:p w14:paraId="2A3DDC0C" w14:textId="1305A179"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r w:rsidR="00FE2DF8">
              <w:rPr>
                <w:rFonts w:ascii="ITC Avant Garde Std Bk" w:hAnsi="ITC Avant Garde Std Bk"/>
                <w:bCs/>
                <w:sz w:val="16"/>
                <w:szCs w:val="16"/>
              </w:rPr>
              <w:t xml:space="preserve"> </w:t>
            </w:r>
            <w:r w:rsidRPr="00E20486">
              <w:rPr>
                <w:rFonts w:ascii="ITC Avant Garde Std Bk" w:hAnsi="ITC Avant Garde Std Bk"/>
                <w:bCs/>
                <w:sz w:val="16"/>
                <w:szCs w:val="16"/>
              </w:rPr>
              <w:t>Disposiciones y no simplemente mediante la emisión de formatos no previstos en ningún tipo de instrumento normativo.</w:t>
            </w:r>
          </w:p>
          <w:p w14:paraId="222F70DC" w14:textId="77777777" w:rsidR="00E20486" w:rsidRPr="00E20486" w:rsidRDefault="00E20486" w:rsidP="00D00389">
            <w:pPr>
              <w:jc w:val="both"/>
              <w:rPr>
                <w:rFonts w:ascii="ITC Avant Garde Std Bk" w:hAnsi="ITC Avant Garde Std Bk"/>
                <w:bCs/>
                <w:sz w:val="16"/>
                <w:szCs w:val="16"/>
              </w:rPr>
            </w:pPr>
          </w:p>
          <w:p w14:paraId="110959C1"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2EC4EC93" w14:textId="77777777" w:rsidR="00E20486" w:rsidRPr="00E20486" w:rsidRDefault="00E20486" w:rsidP="00D00389">
            <w:pPr>
              <w:jc w:val="both"/>
              <w:rPr>
                <w:rFonts w:ascii="ITC Avant Garde Std Bk" w:hAnsi="ITC Avant Garde Std Bk"/>
                <w:bCs/>
                <w:sz w:val="16"/>
                <w:szCs w:val="16"/>
              </w:rPr>
            </w:pPr>
          </w:p>
          <w:p w14:paraId="53B4845D" w14:textId="5A105D5F" w:rsid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Por tanto, el espíritu del legislador fue establecer la obligación del Órgano regulador correspondiente de construir la regulación pertinente para conseguir el mayor grado de previsibilidad posible al prever instrumentos que complementen el desarrollo normativo y la certeza jurídica en la aplicación de la ley.</w:t>
            </w:r>
          </w:p>
          <w:p w14:paraId="40DAEB1D" w14:textId="77777777" w:rsidR="00FE2DF8" w:rsidRPr="00E20486" w:rsidRDefault="00FE2DF8" w:rsidP="00D00389">
            <w:pPr>
              <w:jc w:val="both"/>
              <w:rPr>
                <w:rFonts w:ascii="ITC Avant Garde Std Bk" w:hAnsi="ITC Avant Garde Std Bk"/>
                <w:bCs/>
                <w:sz w:val="16"/>
                <w:szCs w:val="16"/>
              </w:rPr>
            </w:pPr>
          </w:p>
          <w:p w14:paraId="4F46D021"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w:t>
            </w:r>
          </w:p>
          <w:p w14:paraId="6AAB74DA" w14:textId="77777777" w:rsidR="00E20486" w:rsidRPr="00E20486" w:rsidRDefault="00E20486" w:rsidP="00D00389">
            <w:pPr>
              <w:jc w:val="both"/>
              <w:rPr>
                <w:rFonts w:ascii="ITC Avant Garde Std Bk" w:hAnsi="ITC Avant Garde Std Bk"/>
                <w:bCs/>
                <w:sz w:val="16"/>
                <w:szCs w:val="16"/>
              </w:rPr>
            </w:pPr>
          </w:p>
          <w:p w14:paraId="4EAEBA7E"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B. Tomando en cuenta la motivación del IFT para la emisión de los formatos que se detallan en el Anteproyecto de Acuerdo, es decir, con el objeto </w:t>
            </w:r>
            <w:r w:rsidRPr="00E20486">
              <w:rPr>
                <w:rFonts w:ascii="ITC Avant Garde Std Bk" w:hAnsi="ITC Avant Garde Std Bk"/>
                <w:bCs/>
                <w:sz w:val="16"/>
                <w:szCs w:val="16"/>
              </w:rPr>
              <w:lastRenderedPageBreak/>
              <w:t>de hacer más eficientes los trámites y servicios a cargo del Instituto, así como facilitar su presentación y disminuir cargas administrativas, se considera respetuosamente que el Instituto habrá de (i) reglamentar el uso de los formatos; y (ii) asegurar la resolución de las solicitudes presentadas en formatos tradicionales, por ejemplo “escrito libre”, sin ningún tipo de consecuencia negativa en la resolución, ya sea en cuanto a la decisión tomada por el IFT o en cuanto a tiempo de respuesta del mismo a la solicitud de los gobernados.</w:t>
            </w:r>
          </w:p>
          <w:p w14:paraId="203551D0" w14:textId="77777777" w:rsidR="00E20486" w:rsidRPr="00E20486" w:rsidRDefault="00E20486" w:rsidP="00D00389">
            <w:pPr>
              <w:jc w:val="both"/>
              <w:rPr>
                <w:rFonts w:ascii="ITC Avant Garde Std Bk" w:hAnsi="ITC Avant Garde Std Bk"/>
                <w:bCs/>
                <w:sz w:val="16"/>
                <w:szCs w:val="16"/>
              </w:rPr>
            </w:pPr>
          </w:p>
          <w:p w14:paraId="38904A77" w14:textId="297A9D11" w:rsid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En ese sentido, la reglamentación oportuna y correcta de los formatos, será una herramienta para asegurar que el IFT actuará imparcialmente y procurará la simplificación administrativa y eficiencia en su gestión, sin tomar en cuenta el formato elegido por los gobernados para la presentación de solicitudes en materia de competencia económica.</w:t>
            </w:r>
          </w:p>
          <w:p w14:paraId="5FE84D5F" w14:textId="77777777" w:rsidR="00FE2DF8" w:rsidRPr="00E20486" w:rsidRDefault="00FE2DF8" w:rsidP="00D00389">
            <w:pPr>
              <w:jc w:val="both"/>
              <w:rPr>
                <w:rFonts w:ascii="ITC Avant Garde Std Bk" w:hAnsi="ITC Avant Garde Std Bk"/>
                <w:bCs/>
                <w:sz w:val="16"/>
                <w:szCs w:val="16"/>
              </w:rPr>
            </w:pPr>
          </w:p>
          <w:p w14:paraId="12859006"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Por consiguiente, se considera oportuno que el IFT asegure mediante la regulación correspondiente que el medio elegido por el gobernado, es decir el “escrito libre” o el “formato”, no será justificación o motivo de retraso de la resolución o beneficio que se esté solicitando en virtud de la falta de claridad en los requerimientos que se deben presentar al momento gestionar un trámite o servicio; pues los mencionados requerimientos de los formatos no se encuentran previstos en normas de observancia general al establecerse en la LFCE y la LFTyR.</w:t>
            </w:r>
          </w:p>
          <w:p w14:paraId="28F2F306" w14:textId="77777777" w:rsidR="00E20486" w:rsidRPr="00E20486" w:rsidRDefault="00E20486" w:rsidP="00D00389">
            <w:pPr>
              <w:jc w:val="both"/>
              <w:rPr>
                <w:rFonts w:ascii="ITC Avant Garde Std Bk" w:hAnsi="ITC Avant Garde Std Bk"/>
                <w:bCs/>
                <w:sz w:val="16"/>
                <w:szCs w:val="16"/>
              </w:rPr>
            </w:pPr>
          </w:p>
          <w:p w14:paraId="0B61F38A" w14:textId="77777777" w:rsidR="00E445DF" w:rsidRPr="007D0768"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Dicho lo anterior, si bien el IFT establece en el Anteproyecto de Acuerdo y en su respectivo Análisis de Nulo Impacto Regulatorio que los formatos emitidos permitirán la entrega de información precisa y harán más eficiente el análisis de la información recibida por cada trámite o servicio, se reitera que, al imponer mayores cargas a los gobernados, que son adicionales a la legislación, los formatos no cumplen con los propósitos que el IFT señala en el Acuerdo de Anteproyecto.</w:t>
            </w:r>
          </w:p>
        </w:tc>
        <w:tc>
          <w:tcPr>
            <w:tcW w:w="4438" w:type="dxa"/>
            <w:shd w:val="clear" w:color="auto" w:fill="C2D69B" w:themeFill="accent3" w:themeFillTint="99"/>
          </w:tcPr>
          <w:p w14:paraId="47C8BE1D"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lastRenderedPageBreak/>
              <w:t xml:space="preserve">Respecto del punto A., se reitera que el uso de los formatos es de carácter optativo, por lo que los agentes económicos pueden utilizarlos en sus promociones o hacerlas a través de escritos libres o de medios electrónicos, en caso de que estos últimos </w:t>
            </w:r>
            <w:r w:rsidR="00E40AC0" w:rsidRPr="00E20486">
              <w:rPr>
                <w:rFonts w:ascii="ITC Avant Garde Std Bk" w:hAnsi="ITC Avant Garde Std Bk"/>
                <w:bCs/>
                <w:sz w:val="16"/>
                <w:szCs w:val="16"/>
              </w:rPr>
              <w:t>estén</w:t>
            </w:r>
            <w:r w:rsidRPr="00E20486">
              <w:rPr>
                <w:rFonts w:ascii="ITC Avant Garde Std Bk" w:hAnsi="ITC Avant Garde Std Bk"/>
                <w:bCs/>
                <w:sz w:val="16"/>
                <w:szCs w:val="16"/>
              </w:rPr>
              <w:t xml:space="preserve"> habilitados. En caso de que el agente económico considere que el formato requiere información innecesaria, onerosa o sin fundamento, puede libremente emplear alguna otra de las opciones mencionadas, sin detrimento de la atención que el Instituto da en todos los casos a cada asunto con estricto apego a la legalidad.</w:t>
            </w:r>
          </w:p>
          <w:p w14:paraId="7B323539" w14:textId="77777777" w:rsidR="00E20486" w:rsidRPr="00E20486" w:rsidRDefault="00E20486" w:rsidP="00D00389">
            <w:pPr>
              <w:jc w:val="both"/>
              <w:rPr>
                <w:rFonts w:ascii="ITC Avant Garde Std Bk" w:hAnsi="ITC Avant Garde Std Bk"/>
                <w:bCs/>
                <w:sz w:val="16"/>
                <w:szCs w:val="16"/>
              </w:rPr>
            </w:pPr>
          </w:p>
          <w:p w14:paraId="5030D1FA"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En lo que respecta a la aplicación del análisis de impacto regulatorio, en el caso particular de los formatos les fue aplicado el análisis de nulo impacto regulatorio por cumplir los requisitos que los Lineamientos de Consulta Pública y Análisis de Impacto Regulatorio del Instituto, en particular el Lineamiento Vigésimo Primero, señalan, entre los que se encuentra el de que dichos formatos no creen nuevas obligaciones o hagan más estrictas las existentes, por lo que no puede darse validez a la lógica del comentario de que la aplicación de dicho análisis implica que sí se crean nuevas obligaciones o se hacen más estrictas las existentes.</w:t>
            </w:r>
          </w:p>
          <w:p w14:paraId="7BF450D6" w14:textId="77777777" w:rsidR="00E20486" w:rsidRPr="00E20486" w:rsidRDefault="00E20486" w:rsidP="00D00389">
            <w:pPr>
              <w:jc w:val="both"/>
              <w:rPr>
                <w:rFonts w:ascii="ITC Avant Garde Std Bk" w:hAnsi="ITC Avant Garde Std Bk"/>
                <w:bCs/>
                <w:sz w:val="16"/>
                <w:szCs w:val="16"/>
              </w:rPr>
            </w:pPr>
          </w:p>
          <w:p w14:paraId="66CE2CF5"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En lo que toca a la simplificación del trámite, esta simplificación o disminución de costos se deriva de la agilidad que el Instituto puede imprimir al desahogo del procedimiento si desde un inicio cuenta con la información que emplea en el análisis que realiza en cada tipo de procedimiento, siempre con apego a la Ley y sus disposiciones sustantivas y adjetivas. Los agentes económicos conservan la libertad de emplear los formatos o recurrir a las otras modalidades, si consideran que esto conviene a sus intereses.</w:t>
            </w:r>
          </w:p>
          <w:p w14:paraId="0E9F9FBA" w14:textId="77777777" w:rsidR="00E20486" w:rsidRPr="00E20486" w:rsidRDefault="00E20486" w:rsidP="00D00389">
            <w:pPr>
              <w:jc w:val="both"/>
              <w:rPr>
                <w:rFonts w:ascii="ITC Avant Garde Std Bk" w:hAnsi="ITC Avant Garde Std Bk"/>
                <w:bCs/>
                <w:sz w:val="16"/>
                <w:szCs w:val="16"/>
              </w:rPr>
            </w:pPr>
          </w:p>
          <w:p w14:paraId="1CBF6B8E"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En lo que toca la utilidad o la relación de la información que se solicita con los respectivos análisis que la autoridad debe efectuar en cada tipo de procedimiento, se remite al participante a las respuestas que se dan a cada comentario particular que manifestó, en las que el Instituto se extiende en la exposición de en qué consiste dicha utilidad o de qué manera se relaciona la información con el análisis requerido por Ley.</w:t>
            </w:r>
          </w:p>
          <w:p w14:paraId="768DD6E9" w14:textId="77777777" w:rsidR="00E20486" w:rsidRPr="00E20486" w:rsidRDefault="00E20486" w:rsidP="00D00389">
            <w:pPr>
              <w:jc w:val="both"/>
              <w:rPr>
                <w:rFonts w:ascii="ITC Avant Garde Std Bk" w:hAnsi="ITC Avant Garde Std Bk"/>
                <w:bCs/>
                <w:sz w:val="16"/>
                <w:szCs w:val="16"/>
              </w:rPr>
            </w:pPr>
          </w:p>
          <w:p w14:paraId="3A7AAEEB" w14:textId="77777777" w:rsidR="00E20486" w:rsidRPr="00E20486"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Respecto del punto B. y en cuanto a los argumentos que vierte el participante respecto de que la emisión de los formatos debe ser subsecuente a o fundarse en la emisión de disposiciones regulatorias de las que establece el artículo 12, fracción XXII, de la LFCE, el Instituto concede que esta sería la vía idónea si los formatos fueran de observancia obligatoria, debido a que esa es precisamente la naturaleza de las disposiciones regulatorias que refiere. No </w:t>
            </w:r>
            <w:r w:rsidR="00E40AC0" w:rsidRPr="00E20486">
              <w:rPr>
                <w:rFonts w:ascii="ITC Avant Garde Std Bk" w:hAnsi="ITC Avant Garde Std Bk"/>
                <w:bCs/>
                <w:sz w:val="16"/>
                <w:szCs w:val="16"/>
              </w:rPr>
              <w:t>obstante,</w:t>
            </w:r>
            <w:r w:rsidRPr="00E20486">
              <w:rPr>
                <w:rFonts w:ascii="ITC Avant Garde Std Bk" w:hAnsi="ITC Avant Garde Std Bk"/>
                <w:bCs/>
                <w:sz w:val="16"/>
                <w:szCs w:val="16"/>
              </w:rPr>
              <w:t xml:space="preserve"> lo anterior, no es este el caso que nos ocupa, pues los formatos son de uso optativo y se emiten como un instrumento de mejora regulatoria, a fin de emplear la simplificación administrativa como herramienta para hacer eficiente, agilizar e incluso transparentar la gestión del proceso relacionado con los trámites y servicios en materia de competencia económica.</w:t>
            </w:r>
          </w:p>
          <w:p w14:paraId="0F953408" w14:textId="77777777" w:rsidR="00E20486" w:rsidRPr="00E20486" w:rsidRDefault="00E20486" w:rsidP="00D00389">
            <w:pPr>
              <w:jc w:val="both"/>
              <w:rPr>
                <w:rFonts w:ascii="ITC Avant Garde Std Bk" w:hAnsi="ITC Avant Garde Std Bk"/>
                <w:bCs/>
                <w:sz w:val="16"/>
                <w:szCs w:val="16"/>
              </w:rPr>
            </w:pPr>
          </w:p>
          <w:p w14:paraId="69F9D565" w14:textId="77777777" w:rsidR="00E445DF" w:rsidRPr="00A52E3D" w:rsidRDefault="00E20486" w:rsidP="00D00389">
            <w:pPr>
              <w:jc w:val="both"/>
              <w:rPr>
                <w:rFonts w:ascii="ITC Avant Garde Std Bk" w:hAnsi="ITC Avant Garde Std Bk"/>
                <w:bCs/>
                <w:sz w:val="16"/>
                <w:szCs w:val="16"/>
              </w:rPr>
            </w:pPr>
            <w:r w:rsidRPr="00E20486">
              <w:rPr>
                <w:rFonts w:ascii="ITC Avant Garde Std Bk" w:hAnsi="ITC Avant Garde Std Bk"/>
                <w:bCs/>
                <w:sz w:val="16"/>
                <w:szCs w:val="16"/>
              </w:rPr>
              <w:t xml:space="preserve">Finalmente, se aborda el señalamiento de que el Instituto debiera regular los medios elegidos por el gobernado para la presentación de las respectivas promociones a fin de que el uso de uno u otro no sea justificación o motivo de retraso de la resolución o beneficio que se esté solicitando. Al respecto se aclara que este Instituto considera que la mayor agilidad en el desahogo de los procedimientos que se deriva del uso optativo del formato tiene un origen meramente lógico, puesto que la autoridad cuenta desde un principio con la información que normalmente requiere, con base en la Ley, en cada uno de los respectivos procedimientos, lo que puede ahorrar tiempo y recursos que ambas partes lleguen a utilizar en el intercambio de mayores prevenciones y requerimientos, dependiendo del caso en particular que se </w:t>
            </w:r>
            <w:r w:rsidR="00E40AC0" w:rsidRPr="00E20486">
              <w:rPr>
                <w:rFonts w:ascii="ITC Avant Garde Std Bk" w:hAnsi="ITC Avant Garde Std Bk"/>
                <w:bCs/>
                <w:sz w:val="16"/>
                <w:szCs w:val="16"/>
              </w:rPr>
              <w:t>esté</w:t>
            </w:r>
            <w:r w:rsidRPr="00E20486">
              <w:rPr>
                <w:rFonts w:ascii="ITC Avant Garde Std Bk" w:hAnsi="ITC Avant Garde Std Bk"/>
                <w:bCs/>
                <w:sz w:val="16"/>
                <w:szCs w:val="16"/>
              </w:rPr>
              <w:t xml:space="preserve"> analizando.</w:t>
            </w:r>
          </w:p>
        </w:tc>
      </w:tr>
    </w:tbl>
    <w:p w14:paraId="30EB9BBF" w14:textId="6DED1831" w:rsidR="00766836" w:rsidRDefault="00766836" w:rsidP="00D00389">
      <w:pPr>
        <w:pStyle w:val="Default"/>
        <w:jc w:val="both"/>
        <w:rPr>
          <w:rFonts w:ascii="ITC Avant Garde Std Bk" w:hAnsi="ITC Avant Garde Std Bk"/>
          <w:b/>
          <w:bCs/>
          <w:sz w:val="18"/>
          <w:szCs w:val="18"/>
          <w:lang w:eastAsia="en-US"/>
        </w:rPr>
      </w:pPr>
    </w:p>
    <w:p w14:paraId="3BC5F21B" w14:textId="33E5DBA3" w:rsidR="00FE2DF8" w:rsidRDefault="00FE2DF8" w:rsidP="00D00389">
      <w:pPr>
        <w:pStyle w:val="Default"/>
        <w:jc w:val="both"/>
        <w:rPr>
          <w:rFonts w:ascii="ITC Avant Garde Std Bk" w:hAnsi="ITC Avant Garde Std Bk"/>
          <w:b/>
          <w:bCs/>
          <w:sz w:val="18"/>
          <w:szCs w:val="18"/>
          <w:lang w:eastAsia="en-US"/>
        </w:rPr>
      </w:pPr>
    </w:p>
    <w:p w14:paraId="1427D04A" w14:textId="566E52B7" w:rsidR="00FE2DF8" w:rsidRDefault="00FE2DF8" w:rsidP="00D00389">
      <w:pPr>
        <w:pStyle w:val="Default"/>
        <w:jc w:val="both"/>
        <w:rPr>
          <w:rFonts w:ascii="ITC Avant Garde Std Bk" w:hAnsi="ITC Avant Garde Std Bk"/>
          <w:b/>
          <w:bCs/>
          <w:sz w:val="18"/>
          <w:szCs w:val="18"/>
          <w:lang w:eastAsia="en-US"/>
        </w:rPr>
      </w:pPr>
    </w:p>
    <w:p w14:paraId="61681A49" w14:textId="71C53A42" w:rsidR="00FE2DF8" w:rsidRDefault="00FE2DF8" w:rsidP="00D00389">
      <w:pPr>
        <w:pStyle w:val="Default"/>
        <w:jc w:val="both"/>
        <w:rPr>
          <w:rFonts w:ascii="ITC Avant Garde Std Bk" w:hAnsi="ITC Avant Garde Std Bk"/>
          <w:b/>
          <w:bCs/>
          <w:sz w:val="18"/>
          <w:szCs w:val="18"/>
          <w:lang w:eastAsia="en-US"/>
        </w:rPr>
      </w:pPr>
    </w:p>
    <w:p w14:paraId="3658EAB7" w14:textId="0C314853" w:rsidR="00FE2DF8" w:rsidRDefault="00FE2DF8" w:rsidP="00D00389">
      <w:pPr>
        <w:pStyle w:val="Default"/>
        <w:jc w:val="both"/>
        <w:rPr>
          <w:rFonts w:ascii="ITC Avant Garde Std Bk" w:hAnsi="ITC Avant Garde Std Bk"/>
          <w:b/>
          <w:bCs/>
          <w:sz w:val="18"/>
          <w:szCs w:val="18"/>
          <w:lang w:eastAsia="en-US"/>
        </w:rPr>
      </w:pPr>
    </w:p>
    <w:p w14:paraId="59B04376" w14:textId="5A18DF41" w:rsidR="00FE2DF8" w:rsidRDefault="00FE2DF8" w:rsidP="00D00389">
      <w:pPr>
        <w:pStyle w:val="Default"/>
        <w:jc w:val="both"/>
        <w:rPr>
          <w:rFonts w:ascii="ITC Avant Garde Std Bk" w:hAnsi="ITC Avant Garde Std Bk"/>
          <w:b/>
          <w:bCs/>
          <w:sz w:val="18"/>
          <w:szCs w:val="18"/>
          <w:lang w:eastAsia="en-US"/>
        </w:rPr>
      </w:pPr>
    </w:p>
    <w:p w14:paraId="0739B535" w14:textId="77777777" w:rsidR="00FE2DF8" w:rsidRDefault="00FE2DF8" w:rsidP="00D00389">
      <w:pPr>
        <w:pStyle w:val="Default"/>
        <w:jc w:val="both"/>
        <w:rPr>
          <w:rFonts w:ascii="ITC Avant Garde Std Bk" w:hAnsi="ITC Avant Garde Std Bk"/>
          <w:b/>
          <w:bCs/>
          <w:sz w:val="18"/>
          <w:szCs w:val="18"/>
          <w:lang w:eastAsia="en-US"/>
        </w:rPr>
      </w:pPr>
    </w:p>
    <w:p w14:paraId="59C2CD52" w14:textId="77777777" w:rsidR="00B15204" w:rsidRPr="00164865" w:rsidRDefault="00B15204" w:rsidP="00D00389">
      <w:pPr>
        <w:pStyle w:val="Default"/>
        <w:jc w:val="both"/>
        <w:rPr>
          <w:rFonts w:ascii="ITC Avant Garde Std Bk" w:hAnsi="ITC Avant Garde Std Bk"/>
          <w:bCs/>
          <w:sz w:val="20"/>
          <w:szCs w:val="20"/>
          <w:lang w:eastAsia="en-US"/>
        </w:rPr>
      </w:pPr>
      <w:r w:rsidRPr="00B15204">
        <w:rPr>
          <w:rFonts w:ascii="ITC Avant Garde Std Bk" w:hAnsi="ITC Avant Garde Std Bk"/>
          <w:bCs/>
          <w:sz w:val="20"/>
          <w:szCs w:val="20"/>
          <w:lang w:eastAsia="en-US"/>
        </w:rPr>
        <w:lastRenderedPageBreak/>
        <w:t>6.</w:t>
      </w:r>
      <w:r w:rsidR="00E85F0A">
        <w:rPr>
          <w:rFonts w:ascii="ITC Avant Garde Std Bk" w:hAnsi="ITC Avant Garde Std Bk"/>
          <w:bCs/>
          <w:sz w:val="20"/>
          <w:szCs w:val="20"/>
          <w:lang w:eastAsia="en-US"/>
        </w:rPr>
        <w:t>9</w:t>
      </w:r>
      <w:r w:rsidRPr="00B15204">
        <w:rPr>
          <w:rFonts w:ascii="ITC Avant Garde Std Bk" w:hAnsi="ITC Avant Garde Std Bk"/>
          <w:bCs/>
          <w:sz w:val="20"/>
          <w:szCs w:val="20"/>
          <w:lang w:eastAsia="en-US"/>
        </w:rPr>
        <w:t xml:space="preserve">. </w:t>
      </w:r>
      <w:r w:rsidRPr="00B15204">
        <w:rPr>
          <w:rFonts w:ascii="ITC Avant Garde Std Bk" w:hAnsi="ITC Avant Garde Std Bk"/>
          <w:b/>
          <w:bCs/>
          <w:sz w:val="20"/>
          <w:szCs w:val="20"/>
          <w:u w:val="single"/>
          <w:lang w:eastAsia="en-US"/>
        </w:rPr>
        <w:t>Anexos A, B, C</w:t>
      </w:r>
      <w:r>
        <w:rPr>
          <w:rFonts w:ascii="ITC Avant Garde Std Bk" w:hAnsi="ITC Avant Garde Std Bk"/>
          <w:b/>
          <w:bCs/>
          <w:sz w:val="20"/>
          <w:szCs w:val="20"/>
          <w:u w:val="single"/>
          <w:lang w:eastAsia="en-US"/>
        </w:rPr>
        <w:t>, D</w:t>
      </w:r>
      <w:r w:rsidRPr="00B15204">
        <w:rPr>
          <w:rFonts w:ascii="ITC Avant Garde Std Bk" w:hAnsi="ITC Avant Garde Std Bk"/>
          <w:b/>
          <w:bCs/>
          <w:sz w:val="20"/>
          <w:szCs w:val="20"/>
          <w:u w:val="single"/>
          <w:lang w:eastAsia="en-US"/>
        </w:rPr>
        <w:t xml:space="preserve"> y </w:t>
      </w:r>
      <w:r>
        <w:rPr>
          <w:rFonts w:ascii="ITC Avant Garde Std Bk" w:hAnsi="ITC Avant Garde Std Bk"/>
          <w:b/>
          <w:bCs/>
          <w:sz w:val="20"/>
          <w:szCs w:val="20"/>
          <w:u w:val="single"/>
          <w:lang w:eastAsia="en-US"/>
        </w:rPr>
        <w:t>F</w:t>
      </w:r>
    </w:p>
    <w:p w14:paraId="214BA1F3" w14:textId="77777777" w:rsidR="00B15204" w:rsidRDefault="00B15204" w:rsidP="00D00389">
      <w:pPr>
        <w:pStyle w:val="Default"/>
        <w:jc w:val="both"/>
        <w:rPr>
          <w:rFonts w:ascii="ITC Avant Garde Std Bk" w:hAnsi="ITC Avant Garde Std Bk"/>
          <w:bCs/>
          <w:sz w:val="20"/>
          <w:szCs w:val="20"/>
          <w:lang w:eastAsia="en-US"/>
        </w:rPr>
      </w:pPr>
    </w:p>
    <w:tbl>
      <w:tblPr>
        <w:tblStyle w:val="Tablaconcuadrcula"/>
        <w:tblW w:w="0" w:type="auto"/>
        <w:tblLook w:val="04A0" w:firstRow="1" w:lastRow="0" w:firstColumn="1" w:lastColumn="0" w:noHBand="0" w:noVBand="1"/>
      </w:tblPr>
      <w:tblGrid>
        <w:gridCol w:w="1893"/>
        <w:gridCol w:w="3945"/>
        <w:gridCol w:w="4124"/>
      </w:tblGrid>
      <w:tr w:rsidR="00B15204" w:rsidRPr="00887E2E" w14:paraId="5F7CD953" w14:textId="77777777" w:rsidTr="001719B0">
        <w:tc>
          <w:tcPr>
            <w:tcW w:w="1271" w:type="dxa"/>
            <w:shd w:val="clear" w:color="auto" w:fill="296624"/>
          </w:tcPr>
          <w:p w14:paraId="6D90B4FA" w14:textId="77777777" w:rsidR="00B15204" w:rsidRDefault="00B15204" w:rsidP="00D00389">
            <w:pPr>
              <w:pStyle w:val="Default"/>
              <w:jc w:val="center"/>
              <w:rPr>
                <w:rFonts w:ascii="ITC Avant Garde Std Bk" w:hAnsi="ITC Avant Garde Std Bk"/>
                <w:bCs/>
                <w:color w:val="FFFFFF" w:themeColor="background1"/>
                <w:sz w:val="16"/>
                <w:szCs w:val="16"/>
              </w:rPr>
            </w:pPr>
          </w:p>
          <w:p w14:paraId="637BC285" w14:textId="77777777" w:rsidR="00B15204" w:rsidRDefault="00B15204" w:rsidP="00D00389">
            <w:pPr>
              <w:pStyle w:val="Default"/>
              <w:jc w:val="center"/>
              <w:rPr>
                <w:rFonts w:ascii="ITC Avant Garde Std Bk" w:hAnsi="ITC Avant Garde Std Bk"/>
                <w:bCs/>
                <w:color w:val="FFFFFF" w:themeColor="background1"/>
                <w:sz w:val="16"/>
                <w:szCs w:val="16"/>
              </w:rPr>
            </w:pPr>
            <w:r w:rsidRPr="00887E2E">
              <w:rPr>
                <w:rFonts w:ascii="ITC Avant Garde Std Bk" w:hAnsi="ITC Avant Garde Std Bk"/>
                <w:bCs/>
                <w:color w:val="FFFFFF" w:themeColor="background1"/>
                <w:sz w:val="16"/>
                <w:szCs w:val="16"/>
              </w:rPr>
              <w:t>PARTICIPANTE</w:t>
            </w:r>
          </w:p>
          <w:p w14:paraId="1DE25125" w14:textId="77777777" w:rsidR="00B15204" w:rsidRPr="00887E2E" w:rsidRDefault="00B15204" w:rsidP="00D00389">
            <w:pPr>
              <w:pStyle w:val="Default"/>
              <w:jc w:val="center"/>
              <w:rPr>
                <w:color w:val="FFFFFF" w:themeColor="background1"/>
              </w:rPr>
            </w:pPr>
          </w:p>
        </w:tc>
        <w:tc>
          <w:tcPr>
            <w:tcW w:w="4253" w:type="dxa"/>
            <w:shd w:val="clear" w:color="auto" w:fill="296624"/>
          </w:tcPr>
          <w:p w14:paraId="0E4FB057" w14:textId="77777777" w:rsidR="00B15204" w:rsidRDefault="00B15204" w:rsidP="00D00389">
            <w:pPr>
              <w:jc w:val="center"/>
              <w:rPr>
                <w:rFonts w:ascii="ITC Avant Garde Std Bk" w:hAnsi="ITC Avant Garde Std Bk"/>
                <w:bCs/>
                <w:color w:val="FFFFFF" w:themeColor="background1"/>
                <w:sz w:val="16"/>
                <w:szCs w:val="16"/>
              </w:rPr>
            </w:pPr>
          </w:p>
          <w:p w14:paraId="222CC06A" w14:textId="77777777" w:rsidR="00B15204" w:rsidRPr="00887E2E" w:rsidRDefault="00B15204" w:rsidP="00D00389">
            <w:pPr>
              <w:jc w:val="center"/>
              <w:rPr>
                <w:color w:val="FFFFFF" w:themeColor="background1"/>
              </w:rPr>
            </w:pPr>
            <w:r w:rsidRPr="008B143E">
              <w:rPr>
                <w:rFonts w:ascii="ITC Avant Garde Std Bk" w:hAnsi="ITC Avant Garde Std Bk"/>
                <w:bCs/>
                <w:color w:val="FFFFFF" w:themeColor="background1"/>
                <w:sz w:val="16"/>
                <w:szCs w:val="16"/>
              </w:rPr>
              <w:t>COMENTARIO</w:t>
            </w:r>
          </w:p>
        </w:tc>
        <w:tc>
          <w:tcPr>
            <w:tcW w:w="4438" w:type="dxa"/>
            <w:shd w:val="clear" w:color="auto" w:fill="296624"/>
          </w:tcPr>
          <w:p w14:paraId="29DE6EF0" w14:textId="77777777" w:rsidR="00B15204" w:rsidRDefault="00B15204" w:rsidP="00D00389">
            <w:pPr>
              <w:jc w:val="center"/>
              <w:rPr>
                <w:rFonts w:ascii="ITC Avant Garde Std Bk" w:hAnsi="ITC Avant Garde Std Bk"/>
                <w:bCs/>
                <w:color w:val="FFFFFF" w:themeColor="background1"/>
                <w:sz w:val="16"/>
                <w:szCs w:val="16"/>
              </w:rPr>
            </w:pPr>
          </w:p>
          <w:p w14:paraId="5552AB27" w14:textId="77777777" w:rsidR="00B15204" w:rsidRPr="00887E2E" w:rsidRDefault="00B15204" w:rsidP="00D00389">
            <w:pPr>
              <w:jc w:val="center"/>
              <w:rPr>
                <w:color w:val="FFFFFF" w:themeColor="background1"/>
              </w:rPr>
            </w:pPr>
            <w:r w:rsidRPr="008B143E">
              <w:rPr>
                <w:rFonts w:ascii="ITC Avant Garde Std Bk" w:hAnsi="ITC Avant Garde Std Bk"/>
                <w:bCs/>
                <w:color w:val="FFFFFF" w:themeColor="background1"/>
                <w:sz w:val="16"/>
                <w:szCs w:val="16"/>
              </w:rPr>
              <w:t>CONSIDERACIÓN</w:t>
            </w:r>
          </w:p>
        </w:tc>
      </w:tr>
      <w:tr w:rsidR="00B15204" w:rsidRPr="008D1B7F" w14:paraId="679CBC50" w14:textId="77777777" w:rsidTr="001719B0">
        <w:tc>
          <w:tcPr>
            <w:tcW w:w="1271" w:type="dxa"/>
            <w:shd w:val="clear" w:color="auto" w:fill="EAF1DD" w:themeFill="accent3" w:themeFillTint="33"/>
            <w:vAlign w:val="center"/>
          </w:tcPr>
          <w:p w14:paraId="53AA1D0B" w14:textId="41CDD495" w:rsidR="00B15204" w:rsidRPr="003A0F21" w:rsidRDefault="00531551" w:rsidP="00D00389">
            <w:pPr>
              <w:jc w:val="center"/>
              <w:rPr>
                <w:rFonts w:ascii="ITC Avant Garde Std Bk" w:hAnsi="ITC Avant Garde Std Bk"/>
                <w:bCs/>
                <w:sz w:val="16"/>
                <w:szCs w:val="16"/>
              </w:rPr>
            </w:pPr>
            <w:r w:rsidRPr="00531551">
              <w:rPr>
                <w:rFonts w:ascii="ITC Avant Garde Std Bk" w:hAnsi="ITC Avant Garde Std Bk"/>
                <w:bCs/>
                <w:sz w:val="16"/>
                <w:szCs w:val="16"/>
              </w:rPr>
              <w:t>Cablevisión, S.A. de C.V., Operbes, S.A. de C.V., Cablemás Telecomunicaciones, S.A. de C.V., México Red de Telecomunicaciones, S. de R.L. de C.V., Televisión Internacional, S.A. de C.V., Cablevisión Red, S.A. de C.V., y TV Cable de Oriente, S.A. de C.V.</w:t>
            </w:r>
          </w:p>
        </w:tc>
        <w:tc>
          <w:tcPr>
            <w:tcW w:w="4253" w:type="dxa"/>
            <w:shd w:val="clear" w:color="auto" w:fill="D6E3BC" w:themeFill="accent3" w:themeFillTint="66"/>
          </w:tcPr>
          <w:p w14:paraId="40290B4F" w14:textId="77777777" w:rsidR="00B15204" w:rsidRPr="00B15204" w:rsidRDefault="00B15204" w:rsidP="00D00389">
            <w:pPr>
              <w:jc w:val="both"/>
              <w:rPr>
                <w:rFonts w:ascii="ITC Avant Garde Std Bk" w:hAnsi="ITC Avant Garde Std Bk"/>
                <w:bCs/>
                <w:sz w:val="16"/>
                <w:szCs w:val="16"/>
              </w:rPr>
            </w:pPr>
            <w:r w:rsidRPr="00B15204">
              <w:rPr>
                <w:rFonts w:ascii="ITC Avant Garde Std Bk" w:hAnsi="ITC Avant Garde Std Bk"/>
                <w:bCs/>
                <w:sz w:val="16"/>
                <w:szCs w:val="16"/>
              </w:rPr>
              <w:t>Los anexos A, B, C y D, en términos generales crean nuevas obligaciones que exceden los requisitos de los procedimientos que se encuentran ya descritos en la Ley y las Disposiciones Regulatorias, lo que podría derivar en mayores cargas administrativas o costos adicionales para los que deseen realizar alguno de los trámites. Asimismo, no se menciona la justificación y el objeto de requerir dicha información.</w:t>
            </w:r>
          </w:p>
          <w:p w14:paraId="01A3A727" w14:textId="77777777" w:rsidR="00B15204" w:rsidRPr="00B15204" w:rsidRDefault="00B15204" w:rsidP="00D00389">
            <w:pPr>
              <w:jc w:val="both"/>
              <w:rPr>
                <w:rFonts w:ascii="ITC Avant Garde Std Bk" w:hAnsi="ITC Avant Garde Std Bk"/>
                <w:bCs/>
                <w:sz w:val="16"/>
                <w:szCs w:val="16"/>
              </w:rPr>
            </w:pPr>
          </w:p>
          <w:p w14:paraId="7E502149" w14:textId="77777777" w:rsidR="00B15204" w:rsidRPr="007D0768" w:rsidRDefault="00B15204" w:rsidP="00D00389">
            <w:pPr>
              <w:jc w:val="both"/>
              <w:rPr>
                <w:rFonts w:ascii="ITC Avant Garde Std Bk" w:hAnsi="ITC Avant Garde Std Bk"/>
                <w:bCs/>
                <w:sz w:val="16"/>
                <w:szCs w:val="16"/>
              </w:rPr>
            </w:pPr>
            <w:r w:rsidRPr="00B15204">
              <w:rPr>
                <w:rFonts w:ascii="ITC Avant Garde Std Bk" w:hAnsi="ITC Avant Garde Std Bk"/>
                <w:bCs/>
                <w:sz w:val="16"/>
                <w:szCs w:val="16"/>
              </w:rPr>
              <w:t>En relación con el Anexo F, el mismo no es claro en la diferenciación de la “prevención” y el requerimiento de información adicional, ya que el procedimiento de solicitud de orientación general en materia de libre concurrencia y competencia económica previsto en la Ley y las Disposiciones Regulatorias no prevén dicha figura, únicamente la de “requerimiento de información adicional” lo que podría generar confusión al solicitante.</w:t>
            </w:r>
          </w:p>
        </w:tc>
        <w:tc>
          <w:tcPr>
            <w:tcW w:w="4438" w:type="dxa"/>
            <w:shd w:val="clear" w:color="auto" w:fill="D6E3BC" w:themeFill="accent3" w:themeFillTint="66"/>
          </w:tcPr>
          <w:p w14:paraId="6319EE78" w14:textId="77777777" w:rsidR="0083025F" w:rsidRDefault="0083025F" w:rsidP="00D00389">
            <w:pPr>
              <w:jc w:val="both"/>
              <w:rPr>
                <w:rFonts w:ascii="ITC Avant Garde Std Bk" w:hAnsi="ITC Avant Garde Std Bk"/>
                <w:bCs/>
                <w:sz w:val="16"/>
                <w:szCs w:val="16"/>
              </w:rPr>
            </w:pPr>
            <w:r w:rsidRPr="0083025F">
              <w:rPr>
                <w:rFonts w:ascii="ITC Avant Garde Std Bk" w:hAnsi="ITC Avant Garde Std Bk"/>
                <w:bCs/>
                <w:sz w:val="16"/>
                <w:szCs w:val="16"/>
              </w:rPr>
              <w:t>"En las respuestas a cada comentario específico respecto de cada uno de los formatos señalados se aclararon los fundamentos legales y se expuso el objeto de solicitar la información, con base en los cual se considera que estos formatos no crean nuevas obligaciones o se exceden los requisitos de la LFCE o las Disposiciones Regulatorias.</w:t>
            </w:r>
          </w:p>
          <w:p w14:paraId="74DE6E32" w14:textId="77777777" w:rsidR="0083025F" w:rsidRPr="0083025F" w:rsidRDefault="0083025F" w:rsidP="00D00389">
            <w:pPr>
              <w:jc w:val="both"/>
              <w:rPr>
                <w:rFonts w:ascii="ITC Avant Garde Std Bk" w:hAnsi="ITC Avant Garde Std Bk"/>
                <w:bCs/>
                <w:sz w:val="16"/>
                <w:szCs w:val="16"/>
              </w:rPr>
            </w:pPr>
          </w:p>
          <w:p w14:paraId="143676FE" w14:textId="77777777" w:rsidR="0083025F" w:rsidRDefault="0083025F" w:rsidP="00D00389">
            <w:pPr>
              <w:jc w:val="both"/>
              <w:rPr>
                <w:rFonts w:ascii="ITC Avant Garde Std Bk" w:hAnsi="ITC Avant Garde Std Bk"/>
                <w:bCs/>
                <w:sz w:val="16"/>
                <w:szCs w:val="16"/>
              </w:rPr>
            </w:pPr>
            <w:r w:rsidRPr="0083025F">
              <w:rPr>
                <w:rFonts w:ascii="ITC Avant Garde Std Bk" w:hAnsi="ITC Avant Garde Std Bk"/>
                <w:bCs/>
                <w:sz w:val="16"/>
                <w:szCs w:val="16"/>
              </w:rPr>
              <w:t>Por otro lado, como se señala claramente en el proyecto de acuerdo, los formatos son una herramienta para hacer más eficientes los trámites a cargo del instituto, así como facilitar su presentación y disminuir las cargas administrativas de los regulados. Todos los formatos son de carácter optativo, por lo que los agentes económicos pueden utilizarlos en sus promociones o hacerlas a través de escritos libres o de medios electrónicos, e</w:t>
            </w:r>
            <w:r>
              <w:rPr>
                <w:rFonts w:ascii="ITC Avant Garde Std Bk" w:hAnsi="ITC Avant Garde Std Bk"/>
                <w:bCs/>
                <w:sz w:val="16"/>
                <w:szCs w:val="16"/>
              </w:rPr>
              <w:t>n caso de que estos últimos esté</w:t>
            </w:r>
            <w:r w:rsidRPr="0083025F">
              <w:rPr>
                <w:rFonts w:ascii="ITC Avant Garde Std Bk" w:hAnsi="ITC Avant Garde Std Bk"/>
                <w:bCs/>
                <w:sz w:val="16"/>
                <w:szCs w:val="16"/>
              </w:rPr>
              <w:t>n habilitados, lo que lleva a reforzar la conclusión que de ninguna manera crean nuevas obligaciones.</w:t>
            </w:r>
          </w:p>
          <w:p w14:paraId="087FA773" w14:textId="77777777" w:rsidR="0083025F" w:rsidRPr="0083025F" w:rsidRDefault="0083025F" w:rsidP="00D00389">
            <w:pPr>
              <w:jc w:val="both"/>
              <w:rPr>
                <w:rFonts w:ascii="ITC Avant Garde Std Bk" w:hAnsi="ITC Avant Garde Std Bk"/>
                <w:bCs/>
                <w:sz w:val="16"/>
                <w:szCs w:val="16"/>
              </w:rPr>
            </w:pPr>
          </w:p>
          <w:p w14:paraId="24478A98" w14:textId="77777777" w:rsidR="00B15204" w:rsidRPr="00A52E3D" w:rsidRDefault="0083025F" w:rsidP="00D00389">
            <w:pPr>
              <w:jc w:val="both"/>
              <w:rPr>
                <w:rFonts w:ascii="ITC Avant Garde Std Bk" w:hAnsi="ITC Avant Garde Std Bk"/>
                <w:bCs/>
                <w:sz w:val="16"/>
                <w:szCs w:val="16"/>
              </w:rPr>
            </w:pPr>
            <w:r w:rsidRPr="0083025F">
              <w:rPr>
                <w:rFonts w:ascii="ITC Avant Garde Std Bk" w:hAnsi="ITC Avant Garde Std Bk"/>
                <w:bCs/>
                <w:sz w:val="16"/>
                <w:szCs w:val="16"/>
              </w:rPr>
              <w:t>En relación con lo señalado respecto del Anexo F, se modifica dicho anexo para sustituir el término ""prevención"" por ""requerimiento de información"" y se realizan los ajustes correspondientes en razón de la modificación."</w:t>
            </w:r>
          </w:p>
        </w:tc>
      </w:tr>
    </w:tbl>
    <w:p w14:paraId="02F133C4" w14:textId="77777777" w:rsidR="00B15204" w:rsidRDefault="00B15204" w:rsidP="00D00389">
      <w:pPr>
        <w:pStyle w:val="Default"/>
        <w:jc w:val="both"/>
        <w:rPr>
          <w:rFonts w:ascii="ITC Avant Garde Std Bk" w:hAnsi="ITC Avant Garde Std Bk"/>
          <w:b/>
          <w:bCs/>
          <w:sz w:val="18"/>
          <w:szCs w:val="18"/>
          <w:lang w:eastAsia="en-US"/>
        </w:rPr>
      </w:pPr>
    </w:p>
    <w:p w14:paraId="7A5B8C7D" w14:textId="77777777" w:rsidR="00B15204" w:rsidRDefault="00B15204" w:rsidP="00D00389">
      <w:pPr>
        <w:pStyle w:val="Default"/>
        <w:jc w:val="both"/>
        <w:rPr>
          <w:rFonts w:ascii="ITC Avant Garde Std Bk" w:hAnsi="ITC Avant Garde Std Bk"/>
          <w:b/>
          <w:bCs/>
          <w:sz w:val="18"/>
          <w:szCs w:val="18"/>
          <w:lang w:eastAsia="en-US"/>
        </w:rPr>
      </w:pPr>
    </w:p>
    <w:p w14:paraId="252990A6" w14:textId="77777777" w:rsidR="008639BE" w:rsidRPr="00A41291" w:rsidRDefault="008639BE" w:rsidP="00D00389">
      <w:pPr>
        <w:pStyle w:val="Default"/>
        <w:jc w:val="both"/>
        <w:rPr>
          <w:rFonts w:ascii="ITC Avant Garde Std Bk" w:hAnsi="ITC Avant Garde Std Bk"/>
          <w:b/>
          <w:bCs/>
          <w:sz w:val="18"/>
          <w:szCs w:val="18"/>
          <w:lang w:eastAsia="en-US"/>
        </w:rPr>
      </w:pPr>
      <w:r w:rsidRPr="00A41291">
        <w:rPr>
          <w:rFonts w:ascii="ITC Avant Garde Std Bk" w:hAnsi="ITC Avant Garde Std Bk"/>
          <w:b/>
          <w:bCs/>
          <w:sz w:val="18"/>
          <w:szCs w:val="18"/>
          <w:lang w:eastAsia="en-US"/>
        </w:rPr>
        <w:t>IMPROCEDENCIAS</w:t>
      </w:r>
    </w:p>
    <w:p w14:paraId="469EF6D0" w14:textId="77777777" w:rsidR="008639BE" w:rsidRPr="00A41291" w:rsidRDefault="008639BE" w:rsidP="00D00389">
      <w:pPr>
        <w:pStyle w:val="Default"/>
        <w:jc w:val="both"/>
        <w:rPr>
          <w:rFonts w:ascii="ITC Avant Garde Std Bk" w:hAnsi="ITC Avant Garde Std Bk"/>
          <w:bCs/>
          <w:sz w:val="18"/>
          <w:szCs w:val="18"/>
          <w:lang w:eastAsia="en-US"/>
        </w:rPr>
      </w:pPr>
    </w:p>
    <w:p w14:paraId="5B6F607A" w14:textId="77777777" w:rsidR="008639BE" w:rsidRPr="00AF67AC" w:rsidRDefault="008639BE" w:rsidP="00D00389">
      <w:pPr>
        <w:spacing w:after="0" w:line="240" w:lineRule="auto"/>
        <w:jc w:val="both"/>
        <w:rPr>
          <w:rFonts w:ascii="ITC Avant Garde Std Bk" w:hAnsi="ITC Avant Garde Std Bk" w:cs="Tahoma"/>
          <w:bCs/>
          <w:color w:val="000000"/>
          <w:sz w:val="20"/>
          <w:szCs w:val="20"/>
        </w:rPr>
      </w:pPr>
      <w:r w:rsidRPr="00A41291">
        <w:rPr>
          <w:rFonts w:ascii="ITC Avant Garde Std Bk" w:hAnsi="ITC Avant Garde Std Bk"/>
          <w:bCs/>
          <w:sz w:val="18"/>
          <w:szCs w:val="18"/>
        </w:rPr>
        <w:t xml:space="preserve">De los </w:t>
      </w:r>
      <w:r w:rsidRPr="00A41291">
        <w:rPr>
          <w:rFonts w:ascii="ITC Avant Garde Std Bk" w:hAnsi="ITC Avant Garde Std Bk" w:cs="Tahoma"/>
          <w:bCs/>
          <w:color w:val="000000"/>
          <w:sz w:val="20"/>
          <w:szCs w:val="20"/>
        </w:rPr>
        <w:t>3</w:t>
      </w:r>
      <w:r w:rsidR="00A41291" w:rsidRPr="00A41291">
        <w:rPr>
          <w:rFonts w:ascii="ITC Avant Garde Std Bk" w:hAnsi="ITC Avant Garde Std Bk" w:cs="Tahoma"/>
          <w:bCs/>
          <w:color w:val="000000"/>
          <w:sz w:val="20"/>
          <w:szCs w:val="20"/>
        </w:rPr>
        <w:t>1</w:t>
      </w:r>
      <w:r w:rsidRPr="00A41291">
        <w:rPr>
          <w:rFonts w:ascii="ITC Avant Garde Std Bk" w:hAnsi="ITC Avant Garde Std Bk" w:cs="Tahoma"/>
          <w:bCs/>
          <w:color w:val="000000"/>
          <w:sz w:val="20"/>
          <w:szCs w:val="20"/>
        </w:rPr>
        <w:t xml:space="preserve"> (treinta</w:t>
      </w:r>
      <w:r w:rsidR="00A41291" w:rsidRPr="00A41291">
        <w:rPr>
          <w:rFonts w:ascii="ITC Avant Garde Std Bk" w:hAnsi="ITC Avant Garde Std Bk" w:cs="Tahoma"/>
          <w:bCs/>
          <w:color w:val="000000"/>
          <w:sz w:val="20"/>
          <w:szCs w:val="20"/>
        </w:rPr>
        <w:t xml:space="preserve"> y un</w:t>
      </w:r>
      <w:r w:rsidRPr="00A41291">
        <w:rPr>
          <w:rFonts w:ascii="ITC Avant Garde Std Bk" w:hAnsi="ITC Avant Garde Std Bk" w:cs="Tahoma"/>
          <w:bCs/>
          <w:color w:val="000000"/>
          <w:sz w:val="20"/>
          <w:szCs w:val="20"/>
        </w:rPr>
        <w:t xml:space="preserve">) comentarios recibidos, sólo </w:t>
      </w:r>
      <w:r w:rsidR="00A41291" w:rsidRPr="00A41291">
        <w:rPr>
          <w:rFonts w:ascii="ITC Avant Garde Std Bk" w:hAnsi="ITC Avant Garde Std Bk" w:cs="Tahoma"/>
          <w:bCs/>
          <w:color w:val="000000"/>
          <w:sz w:val="20"/>
          <w:szCs w:val="20"/>
        </w:rPr>
        <w:t>7</w:t>
      </w:r>
      <w:r w:rsidRPr="00A41291">
        <w:rPr>
          <w:rFonts w:ascii="ITC Avant Garde Std Bk" w:hAnsi="ITC Avant Garde Std Bk" w:cs="Tahoma"/>
          <w:bCs/>
          <w:color w:val="000000"/>
          <w:sz w:val="20"/>
          <w:szCs w:val="20"/>
        </w:rPr>
        <w:t xml:space="preserve"> de ellos resultaron improcedentes, a saber:</w:t>
      </w:r>
      <w:r w:rsidRPr="00AF67AC">
        <w:rPr>
          <w:rFonts w:ascii="ITC Avant Garde Std Bk" w:hAnsi="ITC Avant Garde Std Bk" w:cs="Tahoma"/>
          <w:bCs/>
          <w:color w:val="000000"/>
          <w:sz w:val="20"/>
          <w:szCs w:val="20"/>
        </w:rPr>
        <w:t xml:space="preserve"> </w:t>
      </w:r>
    </w:p>
    <w:p w14:paraId="5AD51D22" w14:textId="77777777" w:rsidR="008639BE" w:rsidRDefault="008639BE" w:rsidP="00D00389">
      <w:pPr>
        <w:pStyle w:val="Default"/>
        <w:jc w:val="both"/>
        <w:rPr>
          <w:rFonts w:ascii="ITC Avant Garde Std Bk" w:hAnsi="ITC Avant Garde Std Bk"/>
          <w:bCs/>
          <w:sz w:val="18"/>
          <w:szCs w:val="18"/>
          <w:lang w:eastAsia="en-US"/>
        </w:rPr>
      </w:pPr>
    </w:p>
    <w:tbl>
      <w:tblPr>
        <w:tblStyle w:val="Tablaconcuadrcula"/>
        <w:tblW w:w="10081" w:type="dxa"/>
        <w:tblInd w:w="-5" w:type="dxa"/>
        <w:shd w:val="clear" w:color="auto" w:fill="FBD4B4" w:themeFill="accent6" w:themeFillTint="66"/>
        <w:tblLook w:val="0600" w:firstRow="0" w:lastRow="0" w:firstColumn="0" w:lastColumn="0" w:noHBand="1" w:noVBand="1"/>
      </w:tblPr>
      <w:tblGrid>
        <w:gridCol w:w="1893"/>
        <w:gridCol w:w="1847"/>
        <w:gridCol w:w="3376"/>
        <w:gridCol w:w="2965"/>
      </w:tblGrid>
      <w:tr w:rsidR="008639BE" w:rsidRPr="008C2256" w14:paraId="12D12749" w14:textId="77777777" w:rsidTr="00A41291">
        <w:trPr>
          <w:trHeight w:val="478"/>
        </w:trPr>
        <w:tc>
          <w:tcPr>
            <w:tcW w:w="1893" w:type="dxa"/>
            <w:shd w:val="clear" w:color="auto" w:fill="296624"/>
            <w:vAlign w:val="center"/>
          </w:tcPr>
          <w:p w14:paraId="3CCB8202" w14:textId="77777777" w:rsidR="008639BE" w:rsidRPr="00E66821" w:rsidRDefault="008639BE" w:rsidP="00D00389">
            <w:pPr>
              <w:pStyle w:val="Default"/>
              <w:jc w:val="center"/>
              <w:rPr>
                <w:rFonts w:ascii="ITC Avant Garde Std Bk" w:hAnsi="ITC Avant Garde Std Bk"/>
                <w:bCs/>
                <w:color w:val="FFFFFF" w:themeColor="background1"/>
                <w:sz w:val="16"/>
                <w:szCs w:val="16"/>
              </w:rPr>
            </w:pPr>
            <w:r w:rsidRPr="00E66821">
              <w:rPr>
                <w:rFonts w:ascii="ITC Avant Garde Std Bk" w:hAnsi="ITC Avant Garde Std Bk"/>
                <w:bCs/>
                <w:color w:val="FFFFFF" w:themeColor="background1"/>
                <w:sz w:val="16"/>
                <w:szCs w:val="16"/>
              </w:rPr>
              <w:t>PARTICIPANTE</w:t>
            </w:r>
          </w:p>
        </w:tc>
        <w:tc>
          <w:tcPr>
            <w:tcW w:w="1847" w:type="dxa"/>
            <w:shd w:val="clear" w:color="auto" w:fill="296624"/>
            <w:vAlign w:val="center"/>
          </w:tcPr>
          <w:p w14:paraId="66476CB4" w14:textId="77777777" w:rsidR="008639BE" w:rsidRPr="00E66821" w:rsidRDefault="008639BE" w:rsidP="00D00389">
            <w:pPr>
              <w:pStyle w:val="Default"/>
              <w:jc w:val="center"/>
              <w:rPr>
                <w:rFonts w:ascii="ITC Avant Garde Std Bk" w:hAnsi="ITC Avant Garde Std Bk"/>
                <w:bCs/>
                <w:color w:val="FFFFFF" w:themeColor="background1"/>
                <w:sz w:val="16"/>
                <w:szCs w:val="16"/>
              </w:rPr>
            </w:pPr>
            <w:r>
              <w:rPr>
                <w:rFonts w:ascii="ITC Avant Garde Std Bk" w:hAnsi="ITC Avant Garde Std Bk"/>
                <w:bCs/>
                <w:color w:val="FFFFFF" w:themeColor="background1"/>
                <w:sz w:val="16"/>
                <w:szCs w:val="16"/>
              </w:rPr>
              <w:t>APARTADO</w:t>
            </w:r>
          </w:p>
        </w:tc>
        <w:tc>
          <w:tcPr>
            <w:tcW w:w="3376" w:type="dxa"/>
            <w:shd w:val="clear" w:color="auto" w:fill="296624"/>
            <w:vAlign w:val="center"/>
          </w:tcPr>
          <w:p w14:paraId="5D221765" w14:textId="77777777" w:rsidR="008639BE" w:rsidRPr="00E66821" w:rsidRDefault="008639BE" w:rsidP="00D00389">
            <w:pPr>
              <w:pStyle w:val="Default"/>
              <w:jc w:val="center"/>
              <w:rPr>
                <w:rFonts w:ascii="ITC Avant Garde Std Bk" w:hAnsi="ITC Avant Garde Std Bk"/>
                <w:bCs/>
                <w:color w:val="FFFFFF" w:themeColor="background1"/>
                <w:sz w:val="16"/>
                <w:szCs w:val="16"/>
              </w:rPr>
            </w:pPr>
            <w:r w:rsidRPr="00E66821">
              <w:rPr>
                <w:rFonts w:ascii="ITC Avant Garde Std Bk" w:hAnsi="ITC Avant Garde Std Bk"/>
                <w:bCs/>
                <w:color w:val="FFFFFF" w:themeColor="background1"/>
                <w:sz w:val="16"/>
                <w:szCs w:val="16"/>
              </w:rPr>
              <w:t>COMENTARIO</w:t>
            </w:r>
          </w:p>
        </w:tc>
        <w:tc>
          <w:tcPr>
            <w:tcW w:w="2965" w:type="dxa"/>
            <w:shd w:val="clear" w:color="auto" w:fill="296624"/>
          </w:tcPr>
          <w:p w14:paraId="7FE86E01" w14:textId="77777777" w:rsidR="008639BE" w:rsidRPr="00E66821" w:rsidRDefault="008639BE" w:rsidP="00D00389">
            <w:pPr>
              <w:pStyle w:val="Default"/>
              <w:jc w:val="center"/>
              <w:rPr>
                <w:rFonts w:ascii="ITC Avant Garde Std Bk" w:hAnsi="ITC Avant Garde Std Bk"/>
                <w:bCs/>
                <w:color w:val="FFFFFF" w:themeColor="background1"/>
                <w:sz w:val="16"/>
                <w:szCs w:val="16"/>
              </w:rPr>
            </w:pPr>
            <w:r w:rsidRPr="00E66821">
              <w:rPr>
                <w:rFonts w:ascii="ITC Avant Garde Std Bk" w:hAnsi="ITC Avant Garde Std Bk"/>
                <w:bCs/>
                <w:color w:val="FFFFFF" w:themeColor="background1"/>
                <w:sz w:val="16"/>
                <w:szCs w:val="16"/>
              </w:rPr>
              <w:t>CONSIDERACIÓN</w:t>
            </w:r>
          </w:p>
        </w:tc>
      </w:tr>
      <w:tr w:rsidR="00856D19" w:rsidRPr="008C2256" w14:paraId="7323500E" w14:textId="77777777" w:rsidTr="00856D19">
        <w:trPr>
          <w:trHeight w:val="478"/>
        </w:trPr>
        <w:tc>
          <w:tcPr>
            <w:tcW w:w="1893" w:type="dxa"/>
            <w:vMerge w:val="restart"/>
            <w:shd w:val="clear" w:color="auto" w:fill="EAF1DD" w:themeFill="accent3" w:themeFillTint="33"/>
            <w:vAlign w:val="center"/>
          </w:tcPr>
          <w:p w14:paraId="7CDCC600" w14:textId="77777777" w:rsidR="00856D19" w:rsidRPr="003A0F21" w:rsidRDefault="00856D19" w:rsidP="00D00389">
            <w:pPr>
              <w:rPr>
                <w:rFonts w:ascii="ITC Avant Garde Std Bk" w:hAnsi="ITC Avant Garde Std Bk"/>
                <w:bCs/>
                <w:sz w:val="16"/>
                <w:szCs w:val="16"/>
              </w:rPr>
            </w:pPr>
            <w:r w:rsidRPr="00FE1248">
              <w:rPr>
                <w:rFonts w:ascii="ITC Avant Garde Std Bk" w:hAnsi="ITC Avant Garde Std Bk"/>
                <w:bCs/>
                <w:sz w:val="16"/>
                <w:szCs w:val="16"/>
              </w:rPr>
              <w:t xml:space="preserve">Cablevisión, S.A. de C.V., Operbes, S.A. de C.V., Cablemás Telecomunicaciones, S.A. de C.V., México Red de Telecomunicaciones, S. de R.L. de C.V., Televisión Internacional, S.A. de C.V., Cablevisión </w:t>
            </w:r>
            <w:r w:rsidRPr="00FE1248">
              <w:rPr>
                <w:rFonts w:ascii="ITC Avant Garde Std Bk" w:hAnsi="ITC Avant Garde Std Bk"/>
                <w:bCs/>
                <w:sz w:val="16"/>
                <w:szCs w:val="16"/>
              </w:rPr>
              <w:lastRenderedPageBreak/>
              <w:t>Red, S.A. de C.V., y TV Cable de Oriente, S.A. de C.V.</w:t>
            </w:r>
          </w:p>
        </w:tc>
        <w:tc>
          <w:tcPr>
            <w:tcW w:w="1847" w:type="dxa"/>
            <w:shd w:val="clear" w:color="auto" w:fill="C2D69B" w:themeFill="accent3" w:themeFillTint="99"/>
            <w:vAlign w:val="center"/>
          </w:tcPr>
          <w:p w14:paraId="3CA4EDD4" w14:textId="77777777" w:rsidR="00856D19" w:rsidRPr="007D0768" w:rsidRDefault="00856D19" w:rsidP="00D00389">
            <w:pPr>
              <w:jc w:val="center"/>
              <w:rPr>
                <w:rFonts w:ascii="ITC Avant Garde Std Bk" w:hAnsi="ITC Avant Garde Std Bk"/>
                <w:bCs/>
                <w:sz w:val="16"/>
                <w:szCs w:val="16"/>
              </w:rPr>
            </w:pPr>
            <w:r>
              <w:rPr>
                <w:rFonts w:ascii="ITC Avant Garde Std Bk" w:hAnsi="ITC Avant Garde Std Bk"/>
                <w:bCs/>
                <w:sz w:val="16"/>
                <w:szCs w:val="16"/>
              </w:rPr>
              <w:lastRenderedPageBreak/>
              <w:t>Anexo D</w:t>
            </w:r>
          </w:p>
        </w:tc>
        <w:tc>
          <w:tcPr>
            <w:tcW w:w="3376" w:type="dxa"/>
            <w:shd w:val="clear" w:color="auto" w:fill="C2D69B" w:themeFill="accent3" w:themeFillTint="99"/>
          </w:tcPr>
          <w:p w14:paraId="4CA1A5FD" w14:textId="77777777" w:rsidR="00856D19" w:rsidRDefault="00856D19" w:rsidP="00D00389">
            <w:pPr>
              <w:jc w:val="both"/>
              <w:rPr>
                <w:rFonts w:ascii="ITC Avant Garde Std Bk" w:hAnsi="ITC Avant Garde Std Bk"/>
                <w:bCs/>
                <w:sz w:val="16"/>
                <w:szCs w:val="16"/>
              </w:rPr>
            </w:pPr>
            <w:r w:rsidRPr="00FE1248">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FE1248">
              <w:rPr>
                <w:rFonts w:ascii="ITC Avant Garde Std Bk" w:hAnsi="ITC Avant Garde Std Bk"/>
                <w:bCs/>
                <w:sz w:val="16"/>
                <w:szCs w:val="16"/>
              </w:rPr>
              <w:t>“Relacionados por</w:t>
            </w:r>
            <w:r>
              <w:rPr>
                <w:rFonts w:ascii="ITC Avant Garde Std Bk" w:hAnsi="ITC Avant Garde Std Bk"/>
                <w:bCs/>
                <w:sz w:val="16"/>
                <w:szCs w:val="16"/>
              </w:rPr>
              <w:t xml:space="preserve"> </w:t>
            </w:r>
            <w:r w:rsidRPr="00FE1248">
              <w:rPr>
                <w:rFonts w:ascii="ITC Avant Garde Std Bk" w:hAnsi="ITC Avant Garde Std Bk"/>
                <w:bCs/>
                <w:sz w:val="16"/>
                <w:szCs w:val="16"/>
              </w:rPr>
              <w:t>Parentesco”</w:t>
            </w:r>
          </w:p>
          <w:p w14:paraId="7069C561" w14:textId="77777777" w:rsidR="00856D19" w:rsidRDefault="00856D19" w:rsidP="00D00389">
            <w:pPr>
              <w:jc w:val="both"/>
              <w:rPr>
                <w:rFonts w:ascii="ITC Avant Garde Std Bk" w:hAnsi="ITC Avant Garde Std Bk"/>
                <w:bCs/>
                <w:sz w:val="16"/>
                <w:szCs w:val="16"/>
              </w:rPr>
            </w:pPr>
          </w:p>
          <w:p w14:paraId="24C61EB7" w14:textId="77777777" w:rsidR="00856D19" w:rsidRPr="007D0768" w:rsidRDefault="00856D19" w:rsidP="00D00389">
            <w:pPr>
              <w:jc w:val="both"/>
              <w:rPr>
                <w:rFonts w:ascii="ITC Avant Garde Std Bk" w:hAnsi="ITC Avant Garde Std Bk"/>
                <w:bCs/>
                <w:sz w:val="16"/>
                <w:szCs w:val="16"/>
              </w:rPr>
            </w:pPr>
            <w:r w:rsidRPr="00FE1248">
              <w:rPr>
                <w:rFonts w:ascii="ITC Avant Garde Std Bk" w:hAnsi="ITC Avant Garde Std Bk"/>
                <w:bCs/>
                <w:sz w:val="16"/>
                <w:szCs w:val="16"/>
              </w:rPr>
              <w:t xml:space="preserve">El apartado solicita información relacionada con las personas físicas con los que tengan parentesco por consanguinidad o por afinidad, que participen, directa o indirectamente, en sociedades, asociaciones o empresas que lleven a cabo actividades en los sectores de telecomunicaciones o </w:t>
            </w:r>
            <w:r w:rsidRPr="00FE1248">
              <w:rPr>
                <w:rFonts w:ascii="ITC Avant Garde Std Bk" w:hAnsi="ITC Avant Garde Std Bk"/>
                <w:bCs/>
                <w:sz w:val="16"/>
                <w:szCs w:val="16"/>
              </w:rPr>
              <w:lastRenderedPageBreak/>
              <w:t>radiodifusión y/o que cuenten con algún título de concesión, permiso o autorización. No obstante, se considera que dicho apartado excede los requisitos del artículo 89 de la LFCE. Asimismo, no se especifica el objeto de que la Autoridad cuente con la citada información.</w:t>
            </w:r>
          </w:p>
        </w:tc>
        <w:tc>
          <w:tcPr>
            <w:tcW w:w="2965" w:type="dxa"/>
            <w:shd w:val="clear" w:color="auto" w:fill="C2D69B" w:themeFill="accent3" w:themeFillTint="99"/>
          </w:tcPr>
          <w:p w14:paraId="25D4E35E" w14:textId="4BE957A5" w:rsidR="00856D19" w:rsidRPr="00776167" w:rsidRDefault="00856D19" w:rsidP="00D00389">
            <w:pPr>
              <w:jc w:val="both"/>
              <w:rPr>
                <w:rFonts w:ascii="ITC Avant Garde Std Bk" w:hAnsi="ITC Avant Garde Std Bk"/>
                <w:bCs/>
                <w:sz w:val="16"/>
                <w:szCs w:val="16"/>
              </w:rPr>
            </w:pPr>
            <w:r>
              <w:rPr>
                <w:rFonts w:ascii="ITC Avant Garde Std Bk" w:hAnsi="ITC Avant Garde Std Bk"/>
                <w:bCs/>
                <w:sz w:val="16"/>
                <w:szCs w:val="16"/>
              </w:rPr>
              <w:lastRenderedPageBreak/>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que</w:t>
            </w:r>
            <w:r>
              <w:rPr>
                <w:rFonts w:ascii="ITC Avant Garde Std Bk" w:hAnsi="ITC Avant Garde Std Bk"/>
                <w:bCs/>
                <w:sz w:val="16"/>
                <w:szCs w:val="16"/>
              </w:rPr>
              <w:t>,</w:t>
            </w:r>
            <w:r w:rsidRPr="003A0F21">
              <w:rPr>
                <w:rFonts w:ascii="ITC Avant Garde Std Bk" w:hAnsi="ITC Avant Garde Std Bk"/>
                <w:bCs/>
                <w:sz w:val="16"/>
                <w:szCs w:val="16"/>
              </w:rPr>
              <w:t xml:space="preserve"> </w:t>
            </w:r>
            <w:r>
              <w:rPr>
                <w:rFonts w:ascii="ITC Avant Garde Std Bk" w:hAnsi="ITC Avant Garde Std Bk"/>
                <w:bCs/>
                <w:sz w:val="16"/>
                <w:szCs w:val="16"/>
              </w:rPr>
              <w:t>e</w:t>
            </w:r>
            <w:r w:rsidRPr="00FE1248">
              <w:rPr>
                <w:rFonts w:ascii="ITC Avant Garde Std Bk" w:hAnsi="ITC Avant Garde Std Bk"/>
                <w:bCs/>
                <w:sz w:val="16"/>
                <w:szCs w:val="16"/>
              </w:rPr>
              <w:t xml:space="preserve">l Anexo D contiene un formato a ser usado voluntariamente por los interesados en obtener del Instituto una opinión o resolución en materia de competencia económica respecto de proyectos de bases y otra documentación de licitaciones públicas para el otorgamiento de licencias, </w:t>
            </w:r>
            <w:r w:rsidRPr="00FE1248">
              <w:rPr>
                <w:rFonts w:ascii="ITC Avant Garde Std Bk" w:hAnsi="ITC Avant Garde Std Bk"/>
                <w:bCs/>
                <w:sz w:val="16"/>
                <w:szCs w:val="16"/>
              </w:rPr>
              <w:lastRenderedPageBreak/>
              <w:t>concesiones, venta de acciones de empresas concesionarias u otras cuestiones análogas, con base en los artículos 98 y 99 de la LFCE. Estos interesados serán normalmente autoridades públicas, por lo que no se les solicita información alguna sobre Relacionados por Parentesco.</w:t>
            </w:r>
          </w:p>
        </w:tc>
      </w:tr>
      <w:tr w:rsidR="00856D19" w:rsidRPr="008C2256" w14:paraId="0E726CBD" w14:textId="77777777" w:rsidTr="00856D19">
        <w:trPr>
          <w:trHeight w:val="478"/>
        </w:trPr>
        <w:tc>
          <w:tcPr>
            <w:tcW w:w="1893" w:type="dxa"/>
            <w:vMerge/>
            <w:shd w:val="clear" w:color="auto" w:fill="EAF1DD" w:themeFill="accent3" w:themeFillTint="33"/>
            <w:vAlign w:val="center"/>
          </w:tcPr>
          <w:p w14:paraId="2CC33128" w14:textId="77777777" w:rsidR="00856D19" w:rsidRDefault="00856D19" w:rsidP="00D00389">
            <w:pPr>
              <w:jc w:val="center"/>
              <w:rPr>
                <w:rFonts w:ascii="ITC Avant Garde Std Bk" w:hAnsi="ITC Avant Garde Std Bk"/>
                <w:bCs/>
                <w:sz w:val="16"/>
                <w:szCs w:val="16"/>
              </w:rPr>
            </w:pPr>
          </w:p>
        </w:tc>
        <w:tc>
          <w:tcPr>
            <w:tcW w:w="1847" w:type="dxa"/>
            <w:shd w:val="clear" w:color="auto" w:fill="D6E3BC"/>
            <w:vAlign w:val="center"/>
          </w:tcPr>
          <w:p w14:paraId="57419FF9" w14:textId="77777777" w:rsidR="00856D19" w:rsidRDefault="00856D19" w:rsidP="00D00389">
            <w:pPr>
              <w:jc w:val="center"/>
              <w:rPr>
                <w:rFonts w:ascii="ITC Avant Garde Std Bk" w:hAnsi="ITC Avant Garde Std Bk"/>
                <w:bCs/>
                <w:sz w:val="16"/>
                <w:szCs w:val="16"/>
              </w:rPr>
            </w:pPr>
            <w:r>
              <w:rPr>
                <w:rFonts w:ascii="ITC Avant Garde Std Bk" w:hAnsi="ITC Avant Garde Std Bk"/>
                <w:bCs/>
                <w:sz w:val="16"/>
                <w:szCs w:val="16"/>
              </w:rPr>
              <w:t>Anexo D</w:t>
            </w:r>
          </w:p>
        </w:tc>
        <w:tc>
          <w:tcPr>
            <w:tcW w:w="3376" w:type="dxa"/>
            <w:shd w:val="clear" w:color="auto" w:fill="D6E3BC" w:themeFill="accent3" w:themeFillTint="66"/>
          </w:tcPr>
          <w:p w14:paraId="0BA30880" w14:textId="77777777" w:rsidR="00856D19" w:rsidRDefault="00856D19" w:rsidP="00D00389">
            <w:pPr>
              <w:jc w:val="both"/>
              <w:rPr>
                <w:rFonts w:ascii="ITC Avant Garde Std Bk" w:hAnsi="ITC Avant Garde Std Bk"/>
                <w:bCs/>
                <w:sz w:val="16"/>
                <w:szCs w:val="16"/>
              </w:rPr>
            </w:pPr>
            <w:r w:rsidRPr="00FE1248">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FE1248">
              <w:rPr>
                <w:rFonts w:ascii="ITC Avant Garde Std Bk" w:hAnsi="ITC Avant Garde Std Bk"/>
                <w:bCs/>
                <w:sz w:val="16"/>
                <w:szCs w:val="16"/>
              </w:rPr>
              <w:t>“Directivos”</w:t>
            </w:r>
          </w:p>
          <w:p w14:paraId="0889BF57" w14:textId="77777777" w:rsidR="00856D19" w:rsidRDefault="00856D19" w:rsidP="00D00389">
            <w:pPr>
              <w:jc w:val="both"/>
              <w:rPr>
                <w:rFonts w:ascii="ITC Avant Garde Std Bk" w:hAnsi="ITC Avant Garde Std Bk"/>
                <w:bCs/>
                <w:sz w:val="16"/>
                <w:szCs w:val="16"/>
              </w:rPr>
            </w:pPr>
          </w:p>
          <w:p w14:paraId="277E1FDC" w14:textId="77777777" w:rsidR="00856D19" w:rsidRDefault="00856D19" w:rsidP="00D00389">
            <w:pPr>
              <w:jc w:val="both"/>
              <w:rPr>
                <w:rFonts w:ascii="ITC Avant Garde Std Bk" w:hAnsi="ITC Avant Garde Std Bk"/>
                <w:bCs/>
                <w:sz w:val="16"/>
                <w:szCs w:val="16"/>
              </w:rPr>
            </w:pPr>
            <w:r w:rsidRPr="00FE1248">
              <w:rPr>
                <w:rFonts w:ascii="ITC Avant Garde Std Bk" w:hAnsi="ITC Avant Garde Std Bk"/>
                <w:bCs/>
                <w:sz w:val="16"/>
                <w:szCs w:val="16"/>
              </w:rPr>
              <w:t>El apartado solicita información relacionada con el nombre, empleo, cargo o comisión que desempeñan los principales Directivos, Gerente o Integrantes del Consejo. No obstante, se considera que dicho apartado excede los requisitos del artículo 89 de la LFCE. Asimismo, no se especifica el objeto de que la Autoridad cuente con la citada información.</w:t>
            </w:r>
          </w:p>
          <w:p w14:paraId="2C98F7B1" w14:textId="77777777" w:rsidR="00856D19" w:rsidRDefault="00856D19" w:rsidP="00D00389">
            <w:pPr>
              <w:jc w:val="both"/>
              <w:rPr>
                <w:rFonts w:ascii="ITC Avant Garde Std Bk" w:hAnsi="ITC Avant Garde Std Bk"/>
                <w:bCs/>
                <w:sz w:val="16"/>
                <w:szCs w:val="16"/>
              </w:rPr>
            </w:pPr>
          </w:p>
        </w:tc>
        <w:tc>
          <w:tcPr>
            <w:tcW w:w="2965" w:type="dxa"/>
            <w:shd w:val="clear" w:color="auto" w:fill="D6E3BC" w:themeFill="accent3" w:themeFillTint="66"/>
          </w:tcPr>
          <w:p w14:paraId="081E5368" w14:textId="51D420EB" w:rsidR="00856D19" w:rsidRPr="00776167" w:rsidRDefault="00856D19" w:rsidP="00D00389">
            <w:pPr>
              <w:jc w:val="both"/>
              <w:rPr>
                <w:rFonts w:ascii="ITC Avant Garde Std Bk" w:hAnsi="ITC Avant Garde Std Bk"/>
                <w:bCs/>
                <w:sz w:val="16"/>
                <w:szCs w:val="16"/>
              </w:rPr>
            </w:pPr>
            <w:r>
              <w:rPr>
                <w:rFonts w:ascii="ITC Avant Garde Std Bk" w:hAnsi="ITC Avant Garde Std Bk"/>
                <w:bCs/>
                <w:sz w:val="16"/>
                <w:szCs w:val="16"/>
              </w:rPr>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que</w:t>
            </w:r>
            <w:r>
              <w:rPr>
                <w:rFonts w:ascii="ITC Avant Garde Std Bk" w:hAnsi="ITC Avant Garde Std Bk"/>
                <w:bCs/>
                <w:sz w:val="16"/>
                <w:szCs w:val="16"/>
              </w:rPr>
              <w:t>, e</w:t>
            </w:r>
            <w:r w:rsidRPr="00FE1248">
              <w:rPr>
                <w:rFonts w:ascii="ITC Avant Garde Std Bk" w:hAnsi="ITC Avant Garde Std Bk"/>
                <w:bCs/>
                <w:sz w:val="16"/>
                <w:szCs w:val="16"/>
              </w:rPr>
              <w:t>l Anexo D contiene un formato a ser usado voluntariamente por los interesados en obtener del Instituto una opinión o resolución en materia de competencia económica respecto de proyectos de bases y otra documentación de licitaciones públicas para el otorgamiento de licencias, concesiones, venta de acciones de empresas concesionarias u otras cuestiones análogas, con base en los artículos 98 y 99 de la LFCE. Estos interesados serán normalmente autoridades públicas, por lo que no se les solicita información alguna sobre Directivos.</w:t>
            </w:r>
          </w:p>
        </w:tc>
      </w:tr>
      <w:tr w:rsidR="00856D19" w:rsidRPr="008C2256" w14:paraId="253FB4CE" w14:textId="77777777" w:rsidTr="00856D19">
        <w:trPr>
          <w:trHeight w:val="478"/>
        </w:trPr>
        <w:tc>
          <w:tcPr>
            <w:tcW w:w="1893" w:type="dxa"/>
            <w:vMerge/>
            <w:shd w:val="clear" w:color="auto" w:fill="EAF1DD" w:themeFill="accent3" w:themeFillTint="33"/>
            <w:vAlign w:val="center"/>
          </w:tcPr>
          <w:p w14:paraId="56C24BBA" w14:textId="77777777" w:rsidR="00856D19" w:rsidRDefault="00856D19" w:rsidP="00D00389">
            <w:pPr>
              <w:jc w:val="center"/>
              <w:rPr>
                <w:rFonts w:ascii="ITC Avant Garde Std Bk" w:hAnsi="ITC Avant Garde Std Bk"/>
                <w:bCs/>
                <w:sz w:val="16"/>
                <w:szCs w:val="16"/>
              </w:rPr>
            </w:pPr>
          </w:p>
        </w:tc>
        <w:tc>
          <w:tcPr>
            <w:tcW w:w="1847" w:type="dxa"/>
            <w:shd w:val="clear" w:color="auto" w:fill="C2D69B" w:themeFill="accent3" w:themeFillTint="99"/>
            <w:vAlign w:val="center"/>
          </w:tcPr>
          <w:p w14:paraId="76DFF9D4" w14:textId="77777777" w:rsidR="00856D19" w:rsidRDefault="00856D19" w:rsidP="00D00389">
            <w:pPr>
              <w:jc w:val="center"/>
              <w:rPr>
                <w:rFonts w:ascii="ITC Avant Garde Std Bk" w:hAnsi="ITC Avant Garde Std Bk"/>
                <w:bCs/>
                <w:sz w:val="16"/>
                <w:szCs w:val="16"/>
              </w:rPr>
            </w:pPr>
            <w:r>
              <w:rPr>
                <w:rFonts w:ascii="ITC Avant Garde Std Bk" w:hAnsi="ITC Avant Garde Std Bk"/>
                <w:bCs/>
                <w:sz w:val="16"/>
                <w:szCs w:val="16"/>
              </w:rPr>
              <w:t>Anexo D</w:t>
            </w:r>
          </w:p>
        </w:tc>
        <w:tc>
          <w:tcPr>
            <w:tcW w:w="3376" w:type="dxa"/>
            <w:shd w:val="clear" w:color="auto" w:fill="C2D69B" w:themeFill="accent3" w:themeFillTint="99"/>
          </w:tcPr>
          <w:p w14:paraId="0980435D" w14:textId="77777777" w:rsidR="00856D19" w:rsidRDefault="00856D19" w:rsidP="00D00389">
            <w:pPr>
              <w:jc w:val="both"/>
              <w:rPr>
                <w:rFonts w:ascii="ITC Avant Garde Std Bk" w:hAnsi="ITC Avant Garde Std Bk"/>
                <w:bCs/>
                <w:sz w:val="16"/>
                <w:szCs w:val="16"/>
              </w:rPr>
            </w:pPr>
            <w:r w:rsidRPr="00ED642A">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ED642A">
              <w:rPr>
                <w:rFonts w:ascii="ITC Avant Garde Std Bk" w:hAnsi="ITC Avant Garde Std Bk"/>
                <w:bCs/>
                <w:sz w:val="16"/>
                <w:szCs w:val="16"/>
              </w:rPr>
              <w:t>“Relacionados por</w:t>
            </w:r>
            <w:r>
              <w:rPr>
                <w:rFonts w:ascii="ITC Avant Garde Std Bk" w:hAnsi="ITC Avant Garde Std Bk"/>
                <w:bCs/>
                <w:sz w:val="16"/>
                <w:szCs w:val="16"/>
              </w:rPr>
              <w:t xml:space="preserve"> </w:t>
            </w:r>
            <w:r w:rsidRPr="00ED642A">
              <w:rPr>
                <w:rFonts w:ascii="ITC Avant Garde Std Bk" w:hAnsi="ITC Avant Garde Std Bk"/>
                <w:bCs/>
                <w:sz w:val="16"/>
                <w:szCs w:val="16"/>
              </w:rPr>
              <w:t>participación directiva”</w:t>
            </w:r>
          </w:p>
          <w:p w14:paraId="18A4F851" w14:textId="77777777" w:rsidR="00856D19" w:rsidRDefault="00856D19" w:rsidP="00D00389">
            <w:pPr>
              <w:jc w:val="both"/>
              <w:rPr>
                <w:rFonts w:ascii="ITC Avant Garde Std Bk" w:hAnsi="ITC Avant Garde Std Bk"/>
                <w:bCs/>
                <w:sz w:val="16"/>
                <w:szCs w:val="16"/>
              </w:rPr>
            </w:pPr>
          </w:p>
          <w:p w14:paraId="0BD6F161" w14:textId="77777777" w:rsidR="00856D19" w:rsidRPr="007D0768" w:rsidRDefault="00856D19" w:rsidP="00D00389">
            <w:pPr>
              <w:jc w:val="both"/>
              <w:rPr>
                <w:rFonts w:ascii="ITC Avant Garde Std Bk" w:hAnsi="ITC Avant Garde Std Bk"/>
                <w:bCs/>
                <w:sz w:val="16"/>
                <w:szCs w:val="16"/>
              </w:rPr>
            </w:pPr>
            <w:r w:rsidRPr="00ED642A">
              <w:rPr>
                <w:rFonts w:ascii="ITC Avant Garde Std Bk" w:hAnsi="ITC Avant Garde Std Bk"/>
                <w:bCs/>
                <w:sz w:val="16"/>
                <w:szCs w:val="16"/>
              </w:rPr>
              <w:t>El apartado solicita información de los Relacionados por Participación Directiva, como actividades económicas que realiza. Asimismo, para los Directivos/Administradores Cruzados, solicita la participación en el mercado relacionado por Participación Directiva y empleo, cargo o comisión que desempeña en el Relacionado por Participación Directiva. No obstante, se considera que dicho apartado excede los requisitos del artículo 89 de la LFCE, ya que el mismo no incluye que dicha información debe ser entregada. Asimismo, no se especifica el objeto de que la Autoridad cuente con la citada información.</w:t>
            </w:r>
          </w:p>
        </w:tc>
        <w:tc>
          <w:tcPr>
            <w:tcW w:w="2965" w:type="dxa"/>
            <w:shd w:val="clear" w:color="auto" w:fill="C2D69B" w:themeFill="accent3" w:themeFillTint="99"/>
          </w:tcPr>
          <w:p w14:paraId="486351A3" w14:textId="51FFB841" w:rsidR="00856D19" w:rsidRPr="00FE2DF8" w:rsidRDefault="00856D19" w:rsidP="00D00389">
            <w:pPr>
              <w:jc w:val="both"/>
              <w:rPr>
                <w:rFonts w:ascii="ITC Avant Garde Std Bk" w:hAnsi="ITC Avant Garde Std Bk"/>
                <w:bCs/>
                <w:sz w:val="16"/>
                <w:szCs w:val="16"/>
              </w:rPr>
            </w:pPr>
            <w:r>
              <w:rPr>
                <w:rFonts w:ascii="ITC Avant Garde Std Bk" w:hAnsi="ITC Avant Garde Std Bk"/>
                <w:bCs/>
                <w:sz w:val="16"/>
                <w:szCs w:val="16"/>
              </w:rPr>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que</w:t>
            </w:r>
            <w:r>
              <w:rPr>
                <w:rFonts w:ascii="ITC Avant Garde Std Bk" w:hAnsi="ITC Avant Garde Std Bk"/>
                <w:bCs/>
                <w:sz w:val="16"/>
                <w:szCs w:val="16"/>
              </w:rPr>
              <w:t>, e</w:t>
            </w:r>
            <w:r w:rsidRPr="00FE1248">
              <w:rPr>
                <w:rFonts w:ascii="ITC Avant Garde Std Bk" w:hAnsi="ITC Avant Garde Std Bk"/>
                <w:bCs/>
                <w:sz w:val="16"/>
                <w:szCs w:val="16"/>
              </w:rPr>
              <w:t>l</w:t>
            </w:r>
            <w:r>
              <w:rPr>
                <w:rFonts w:ascii="ITC Avant Garde Std Bk" w:hAnsi="ITC Avant Garde Std Bk"/>
                <w:bCs/>
                <w:sz w:val="16"/>
                <w:szCs w:val="16"/>
              </w:rPr>
              <w:t xml:space="preserve"> </w:t>
            </w:r>
            <w:r w:rsidRPr="00ED642A">
              <w:rPr>
                <w:rFonts w:ascii="ITC Avant Garde Std Bk" w:hAnsi="ITC Avant Garde Std Bk"/>
                <w:bCs/>
                <w:sz w:val="16"/>
                <w:szCs w:val="16"/>
              </w:rPr>
              <w:t>Anexo D contiene un formato a ser usado voluntariamente por los interesados en obtener del Instituto una opinión o resolución en materia de competencia económica respecto de proyectos de bases y otra documentación de licitaciones públicas para el otorgamiento de licencias, concesiones, venta de acciones de empresas concesionarias u otras cuestiones análogas, con base en los artículos 98 y 99 de la LFCE. Estos interesados serán normalmente autoridades públicas, por lo que no se les solicita información alguna sobre Relacionados por participación directiva.</w:t>
            </w:r>
          </w:p>
        </w:tc>
      </w:tr>
      <w:tr w:rsidR="00856D19" w:rsidRPr="008C2256" w14:paraId="5985CB35" w14:textId="77777777" w:rsidTr="00856D19">
        <w:trPr>
          <w:trHeight w:val="478"/>
        </w:trPr>
        <w:tc>
          <w:tcPr>
            <w:tcW w:w="1893" w:type="dxa"/>
            <w:vMerge/>
            <w:shd w:val="clear" w:color="auto" w:fill="EAF1DD" w:themeFill="accent3" w:themeFillTint="33"/>
            <w:vAlign w:val="center"/>
          </w:tcPr>
          <w:p w14:paraId="18080D78" w14:textId="77777777" w:rsidR="00856D19" w:rsidRDefault="00856D19" w:rsidP="00D00389">
            <w:pPr>
              <w:jc w:val="center"/>
              <w:rPr>
                <w:rFonts w:ascii="ITC Avant Garde Std Bk" w:hAnsi="ITC Avant Garde Std Bk"/>
                <w:bCs/>
                <w:sz w:val="16"/>
                <w:szCs w:val="16"/>
              </w:rPr>
            </w:pPr>
          </w:p>
        </w:tc>
        <w:tc>
          <w:tcPr>
            <w:tcW w:w="1847" w:type="dxa"/>
            <w:shd w:val="clear" w:color="auto" w:fill="D6E3BC"/>
            <w:vAlign w:val="center"/>
          </w:tcPr>
          <w:p w14:paraId="07F964C7" w14:textId="77777777" w:rsidR="00856D19" w:rsidRDefault="00856D19" w:rsidP="00D00389">
            <w:pPr>
              <w:jc w:val="center"/>
              <w:rPr>
                <w:rFonts w:ascii="ITC Avant Garde Std Bk" w:hAnsi="ITC Avant Garde Std Bk"/>
                <w:bCs/>
                <w:sz w:val="16"/>
                <w:szCs w:val="16"/>
              </w:rPr>
            </w:pPr>
            <w:r>
              <w:rPr>
                <w:rFonts w:ascii="ITC Avant Garde Std Bk" w:hAnsi="ITC Avant Garde Std Bk"/>
                <w:bCs/>
                <w:sz w:val="16"/>
                <w:szCs w:val="16"/>
              </w:rPr>
              <w:t>Anexo D</w:t>
            </w:r>
          </w:p>
        </w:tc>
        <w:tc>
          <w:tcPr>
            <w:tcW w:w="3376" w:type="dxa"/>
            <w:shd w:val="clear" w:color="auto" w:fill="D6E3BC" w:themeFill="accent3" w:themeFillTint="66"/>
          </w:tcPr>
          <w:p w14:paraId="059BD1E8" w14:textId="77777777" w:rsidR="00856D19" w:rsidRDefault="00856D19" w:rsidP="00D00389">
            <w:pPr>
              <w:jc w:val="both"/>
              <w:rPr>
                <w:rFonts w:ascii="ITC Avant Garde Std Bk" w:hAnsi="ITC Avant Garde Std Bk"/>
                <w:bCs/>
                <w:sz w:val="16"/>
                <w:szCs w:val="16"/>
              </w:rPr>
            </w:pPr>
            <w:r w:rsidRPr="00ED642A">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ED642A">
              <w:rPr>
                <w:rFonts w:ascii="ITC Avant Garde Std Bk" w:hAnsi="ITC Avant Garde Std Bk"/>
                <w:bCs/>
                <w:sz w:val="16"/>
                <w:szCs w:val="16"/>
              </w:rPr>
              <w:t>“Vínculos”</w:t>
            </w:r>
          </w:p>
          <w:p w14:paraId="45D059D1" w14:textId="77777777" w:rsidR="00856D19" w:rsidRDefault="00856D19" w:rsidP="00D00389">
            <w:pPr>
              <w:jc w:val="both"/>
              <w:rPr>
                <w:rFonts w:ascii="ITC Avant Garde Std Bk" w:hAnsi="ITC Avant Garde Std Bk"/>
                <w:bCs/>
                <w:sz w:val="16"/>
                <w:szCs w:val="16"/>
              </w:rPr>
            </w:pPr>
          </w:p>
          <w:p w14:paraId="136C7F29" w14:textId="5A4C6A22" w:rsidR="00856D19" w:rsidRPr="007D0768" w:rsidRDefault="00856D19" w:rsidP="00D00389">
            <w:pPr>
              <w:jc w:val="both"/>
              <w:rPr>
                <w:rFonts w:ascii="ITC Avant Garde Std Bk" w:hAnsi="ITC Avant Garde Std Bk"/>
                <w:bCs/>
                <w:sz w:val="16"/>
                <w:szCs w:val="16"/>
              </w:rPr>
            </w:pPr>
            <w:r w:rsidRPr="00ED642A">
              <w:rPr>
                <w:rFonts w:ascii="ITC Avant Garde Std Bk" w:hAnsi="ITC Avant Garde Std Bk"/>
                <w:bCs/>
                <w:sz w:val="16"/>
                <w:szCs w:val="16"/>
              </w:rPr>
              <w:lastRenderedPageBreak/>
              <w:t>Dicho apartado solicita información de los vínculos que tengan las Personas Involucradas, los Relacionados Accionistas, los Relacionados por Parentesco, los Relacionados por Participación, los Relacionados por Participación Directiva y/o los Directivos/Administradores Cruzados con sociedades que actualmente participen directa o indirectamente en la provisión de servicios en los sectores de telecomunicaciones y radiodifusión dentro del territorio nacional. No obstante, se considera que dicho apartado excede los requisitos del artículo 89 de la LFCE, ya que el mismo no incluye que dicha información debe ser entregada. Asimismo, no se especifica el objeto de que la Autoridad cuente con la citada información.</w:t>
            </w:r>
          </w:p>
        </w:tc>
        <w:tc>
          <w:tcPr>
            <w:tcW w:w="2965" w:type="dxa"/>
            <w:shd w:val="clear" w:color="auto" w:fill="D6E3BC" w:themeFill="accent3" w:themeFillTint="66"/>
          </w:tcPr>
          <w:p w14:paraId="445705C9" w14:textId="77777777" w:rsidR="00856D19" w:rsidRPr="008D1B7F" w:rsidRDefault="00856D19" w:rsidP="00D00389">
            <w:pPr>
              <w:jc w:val="both"/>
            </w:pPr>
            <w:r>
              <w:rPr>
                <w:rFonts w:ascii="ITC Avant Garde Std Bk" w:hAnsi="ITC Avant Garde Std Bk"/>
                <w:bCs/>
                <w:sz w:val="16"/>
                <w:szCs w:val="16"/>
              </w:rPr>
              <w:lastRenderedPageBreak/>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que</w:t>
            </w:r>
            <w:r>
              <w:rPr>
                <w:rFonts w:ascii="ITC Avant Garde Std Bk" w:hAnsi="ITC Avant Garde Std Bk"/>
                <w:bCs/>
                <w:sz w:val="16"/>
                <w:szCs w:val="16"/>
              </w:rPr>
              <w:t>, e</w:t>
            </w:r>
            <w:r w:rsidRPr="00FE1248">
              <w:rPr>
                <w:rFonts w:ascii="ITC Avant Garde Std Bk" w:hAnsi="ITC Avant Garde Std Bk"/>
                <w:bCs/>
                <w:sz w:val="16"/>
                <w:szCs w:val="16"/>
              </w:rPr>
              <w:t>l</w:t>
            </w:r>
            <w:r>
              <w:rPr>
                <w:rFonts w:ascii="ITC Avant Garde Std Bk" w:hAnsi="ITC Avant Garde Std Bk"/>
                <w:bCs/>
                <w:sz w:val="16"/>
                <w:szCs w:val="16"/>
              </w:rPr>
              <w:t xml:space="preserve"> </w:t>
            </w:r>
            <w:r w:rsidRPr="00ED642A">
              <w:rPr>
                <w:rFonts w:ascii="ITC Avant Garde Std Bk" w:hAnsi="ITC Avant Garde Std Bk"/>
                <w:bCs/>
                <w:sz w:val="16"/>
                <w:szCs w:val="16"/>
              </w:rPr>
              <w:t xml:space="preserve">Anexo D contiene un formato a ser </w:t>
            </w:r>
            <w:r w:rsidRPr="00ED642A">
              <w:rPr>
                <w:rFonts w:ascii="ITC Avant Garde Std Bk" w:hAnsi="ITC Avant Garde Std Bk"/>
                <w:bCs/>
                <w:sz w:val="16"/>
                <w:szCs w:val="16"/>
              </w:rPr>
              <w:lastRenderedPageBreak/>
              <w:t>usado voluntariamente por los interesados en obtener del Instituto una opinión o resolución en materia de competencia económica respecto de proyectos de bases y otra documentación de licitaciones públicas para el otorgamiento de licencias, concesiones, venta de acciones de empresas concesionarias u otras cuestiones análogas, con base en los artículos 98 y 99 de la LFCE. Estos interesados serán normalmente autoridades públicas, por lo que no se les solicita información alguna sobre Vínculos.</w:t>
            </w:r>
          </w:p>
        </w:tc>
      </w:tr>
      <w:tr w:rsidR="00856D19" w:rsidRPr="008C2256" w14:paraId="624C85C1" w14:textId="77777777" w:rsidTr="00856D19">
        <w:trPr>
          <w:trHeight w:val="478"/>
        </w:trPr>
        <w:tc>
          <w:tcPr>
            <w:tcW w:w="1893" w:type="dxa"/>
            <w:vMerge/>
            <w:shd w:val="clear" w:color="auto" w:fill="EAF1DD" w:themeFill="accent3" w:themeFillTint="33"/>
            <w:vAlign w:val="center"/>
          </w:tcPr>
          <w:p w14:paraId="7CD18C43" w14:textId="77777777" w:rsidR="00856D19" w:rsidRDefault="00856D19" w:rsidP="00D00389">
            <w:pPr>
              <w:jc w:val="center"/>
              <w:rPr>
                <w:rFonts w:ascii="ITC Avant Garde Std Bk" w:hAnsi="ITC Avant Garde Std Bk"/>
                <w:bCs/>
                <w:sz w:val="16"/>
                <w:szCs w:val="16"/>
              </w:rPr>
            </w:pPr>
          </w:p>
        </w:tc>
        <w:tc>
          <w:tcPr>
            <w:tcW w:w="1847" w:type="dxa"/>
            <w:shd w:val="clear" w:color="auto" w:fill="C2D69B" w:themeFill="accent3" w:themeFillTint="99"/>
            <w:vAlign w:val="center"/>
          </w:tcPr>
          <w:p w14:paraId="0DFEE8A5" w14:textId="77777777" w:rsidR="00856D19" w:rsidRDefault="00856D19" w:rsidP="00D00389">
            <w:pPr>
              <w:jc w:val="center"/>
              <w:rPr>
                <w:rFonts w:ascii="ITC Avant Garde Std Bk" w:hAnsi="ITC Avant Garde Std Bk"/>
                <w:bCs/>
                <w:sz w:val="16"/>
                <w:szCs w:val="16"/>
              </w:rPr>
            </w:pPr>
            <w:r>
              <w:rPr>
                <w:rFonts w:ascii="ITC Avant Garde Std Bk" w:hAnsi="ITC Avant Garde Std Bk"/>
                <w:bCs/>
                <w:sz w:val="16"/>
                <w:szCs w:val="16"/>
              </w:rPr>
              <w:t>Anexo D</w:t>
            </w:r>
          </w:p>
        </w:tc>
        <w:tc>
          <w:tcPr>
            <w:tcW w:w="3376" w:type="dxa"/>
            <w:shd w:val="clear" w:color="auto" w:fill="C2D69B" w:themeFill="accent3" w:themeFillTint="99"/>
          </w:tcPr>
          <w:p w14:paraId="4B97A3D2" w14:textId="77777777" w:rsidR="00856D19" w:rsidRDefault="00856D19" w:rsidP="00D00389">
            <w:pPr>
              <w:jc w:val="both"/>
              <w:rPr>
                <w:rFonts w:ascii="ITC Avant Garde Std Bk" w:hAnsi="ITC Avant Garde Std Bk"/>
                <w:bCs/>
                <w:sz w:val="16"/>
                <w:szCs w:val="16"/>
              </w:rPr>
            </w:pPr>
            <w:r w:rsidRPr="00ED642A">
              <w:rPr>
                <w:rFonts w:ascii="ITC Avant Garde Std Bk" w:hAnsi="ITC Avant Garde Std Bk"/>
                <w:bCs/>
                <w:sz w:val="16"/>
                <w:szCs w:val="16"/>
              </w:rPr>
              <w:t>Sección 3, apartado</w:t>
            </w:r>
            <w:r>
              <w:rPr>
                <w:rFonts w:ascii="ITC Avant Garde Std Bk" w:hAnsi="ITC Avant Garde Std Bk"/>
                <w:bCs/>
                <w:sz w:val="16"/>
                <w:szCs w:val="16"/>
              </w:rPr>
              <w:t xml:space="preserve"> </w:t>
            </w:r>
            <w:r w:rsidRPr="00ED642A">
              <w:rPr>
                <w:rFonts w:ascii="ITC Avant Garde Std Bk" w:hAnsi="ITC Avant Garde Std Bk"/>
                <w:bCs/>
                <w:sz w:val="16"/>
                <w:szCs w:val="16"/>
              </w:rPr>
              <w:t>“Deuda”</w:t>
            </w:r>
          </w:p>
          <w:p w14:paraId="137483E3" w14:textId="77777777" w:rsidR="00856D19" w:rsidRDefault="00856D19" w:rsidP="00D00389">
            <w:pPr>
              <w:jc w:val="both"/>
              <w:rPr>
                <w:rFonts w:ascii="ITC Avant Garde Std Bk" w:hAnsi="ITC Avant Garde Std Bk"/>
                <w:bCs/>
                <w:sz w:val="16"/>
                <w:szCs w:val="16"/>
              </w:rPr>
            </w:pPr>
          </w:p>
          <w:p w14:paraId="77F451B6" w14:textId="77777777" w:rsidR="00856D19" w:rsidRPr="007D0768" w:rsidRDefault="00856D19" w:rsidP="00D00389">
            <w:pPr>
              <w:jc w:val="both"/>
              <w:rPr>
                <w:rFonts w:ascii="ITC Avant Garde Std Bk" w:hAnsi="ITC Avant Garde Std Bk"/>
                <w:bCs/>
                <w:sz w:val="16"/>
                <w:szCs w:val="16"/>
              </w:rPr>
            </w:pPr>
            <w:r w:rsidRPr="00ED642A">
              <w:rPr>
                <w:rFonts w:ascii="ITC Avant Garde Std Bk" w:hAnsi="ITC Avant Garde Std Bk"/>
                <w:bCs/>
                <w:sz w:val="16"/>
                <w:szCs w:val="16"/>
              </w:rPr>
              <w:t>El apartado solicita información acerca de la descripción de la deuda actual de las Personas Involucradas. No obstante, la descripción de la deuda no se encuentra contemplada en los requisitos del artículo 89 de la LFCE. Asimismo, no se especifica el objeto de que la Autoridad cuente con la citada información.</w:t>
            </w:r>
          </w:p>
        </w:tc>
        <w:tc>
          <w:tcPr>
            <w:tcW w:w="2965" w:type="dxa"/>
            <w:shd w:val="clear" w:color="auto" w:fill="C2D69B" w:themeFill="accent3" w:themeFillTint="99"/>
          </w:tcPr>
          <w:p w14:paraId="6DEAC320" w14:textId="77777777" w:rsidR="00856D19" w:rsidRPr="008D1B7F" w:rsidRDefault="00856D19" w:rsidP="00D00389">
            <w:pPr>
              <w:jc w:val="both"/>
            </w:pPr>
            <w:r>
              <w:rPr>
                <w:rFonts w:ascii="ITC Avant Garde Std Bk" w:hAnsi="ITC Avant Garde Std Bk"/>
                <w:bCs/>
                <w:sz w:val="16"/>
                <w:szCs w:val="16"/>
              </w:rPr>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que</w:t>
            </w:r>
            <w:r>
              <w:rPr>
                <w:rFonts w:ascii="ITC Avant Garde Std Bk" w:hAnsi="ITC Avant Garde Std Bk"/>
                <w:bCs/>
                <w:sz w:val="16"/>
                <w:szCs w:val="16"/>
              </w:rPr>
              <w:t>, e</w:t>
            </w:r>
            <w:r w:rsidRPr="00FE1248">
              <w:rPr>
                <w:rFonts w:ascii="ITC Avant Garde Std Bk" w:hAnsi="ITC Avant Garde Std Bk"/>
                <w:bCs/>
                <w:sz w:val="16"/>
                <w:szCs w:val="16"/>
              </w:rPr>
              <w:t>l</w:t>
            </w:r>
            <w:r>
              <w:rPr>
                <w:rFonts w:ascii="ITC Avant Garde Std Bk" w:hAnsi="ITC Avant Garde Std Bk"/>
                <w:bCs/>
                <w:sz w:val="16"/>
                <w:szCs w:val="16"/>
              </w:rPr>
              <w:t xml:space="preserve"> </w:t>
            </w:r>
            <w:r w:rsidRPr="00ED642A">
              <w:rPr>
                <w:rFonts w:ascii="ITC Avant Garde Std Bk" w:hAnsi="ITC Avant Garde Std Bk"/>
                <w:bCs/>
                <w:sz w:val="16"/>
                <w:szCs w:val="16"/>
              </w:rPr>
              <w:t>Anexo D contiene un formato a ser usado voluntariamente por los interesados en obtener del Instituto una opinión o resolución en materia de competencia económica respecto de proyectos de bases y otra documentación de licitaciones públicas para el otorgamiento de licencias, concesiones, venta de acciones de empresas concesionarias u otras cuestiones análogas, con base en los artículos 98 y 99 de la LFCE. Estos interesados serán normalmente autoridades públicas, por lo que no se les solicita información alguna sobre Deuda.</w:t>
            </w:r>
          </w:p>
        </w:tc>
      </w:tr>
      <w:tr w:rsidR="00856D19" w:rsidRPr="008C2256" w14:paraId="6A7820C4" w14:textId="77777777" w:rsidTr="00856D19">
        <w:trPr>
          <w:trHeight w:val="478"/>
        </w:trPr>
        <w:tc>
          <w:tcPr>
            <w:tcW w:w="1893" w:type="dxa"/>
            <w:vMerge w:val="restart"/>
            <w:shd w:val="clear" w:color="auto" w:fill="EAF1DD" w:themeFill="accent3" w:themeFillTint="33"/>
            <w:vAlign w:val="center"/>
          </w:tcPr>
          <w:p w14:paraId="2CB422F1" w14:textId="77777777" w:rsidR="00856D19" w:rsidRPr="003A0F21" w:rsidRDefault="00856D19" w:rsidP="00D00389">
            <w:pPr>
              <w:jc w:val="center"/>
              <w:rPr>
                <w:rFonts w:ascii="ITC Avant Garde Std Bk" w:hAnsi="ITC Avant Garde Std Bk"/>
                <w:bCs/>
                <w:sz w:val="16"/>
                <w:szCs w:val="16"/>
              </w:rPr>
            </w:pPr>
            <w:r w:rsidRPr="000B0EBB">
              <w:rPr>
                <w:rFonts w:ascii="ITC Avant Garde Std Bk" w:hAnsi="ITC Avant Garde Std Bk"/>
                <w:bCs/>
                <w:sz w:val="16"/>
                <w:szCs w:val="16"/>
              </w:rPr>
              <w:t>Carlos Mora Villalpando</w:t>
            </w:r>
          </w:p>
        </w:tc>
        <w:tc>
          <w:tcPr>
            <w:tcW w:w="1847" w:type="dxa"/>
            <w:shd w:val="clear" w:color="auto" w:fill="D6E3BC"/>
            <w:vAlign w:val="center"/>
          </w:tcPr>
          <w:p w14:paraId="15AD4BA0" w14:textId="77777777" w:rsidR="00856D19" w:rsidRPr="007D0768" w:rsidRDefault="00856D19" w:rsidP="00D00389">
            <w:pPr>
              <w:jc w:val="center"/>
              <w:rPr>
                <w:rFonts w:ascii="ITC Avant Garde Std Bk" w:hAnsi="ITC Avant Garde Std Bk"/>
                <w:bCs/>
                <w:sz w:val="16"/>
                <w:szCs w:val="16"/>
              </w:rPr>
            </w:pPr>
            <w:r>
              <w:rPr>
                <w:rFonts w:ascii="ITC Avant Garde Std Bk" w:hAnsi="ITC Avant Garde Std Bk"/>
                <w:bCs/>
                <w:sz w:val="16"/>
                <w:szCs w:val="16"/>
              </w:rPr>
              <w:t>Anexo D</w:t>
            </w:r>
          </w:p>
        </w:tc>
        <w:tc>
          <w:tcPr>
            <w:tcW w:w="3376" w:type="dxa"/>
            <w:shd w:val="clear" w:color="auto" w:fill="D6E3BC" w:themeFill="accent3" w:themeFillTint="66"/>
          </w:tcPr>
          <w:p w14:paraId="526E6ECF"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Se refiere a el comentario general III “A”, a saber:</w:t>
            </w:r>
          </w:p>
          <w:p w14:paraId="719DD2F0" w14:textId="77777777" w:rsidR="00856D19" w:rsidRPr="000B0EBB" w:rsidRDefault="00856D19" w:rsidP="00D00389">
            <w:pPr>
              <w:jc w:val="both"/>
              <w:rPr>
                <w:rFonts w:ascii="ITC Avant Garde Std Bk" w:hAnsi="ITC Avant Garde Std Bk"/>
                <w:bCs/>
                <w:sz w:val="16"/>
                <w:szCs w:val="16"/>
              </w:rPr>
            </w:pPr>
          </w:p>
          <w:p w14:paraId="4EB235ED"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la</w:t>
            </w:r>
            <w:r>
              <w:rPr>
                <w:rFonts w:ascii="ITC Avant Garde Std Bk" w:hAnsi="ITC Avant Garde Std Bk"/>
                <w:bCs/>
                <w:sz w:val="16"/>
                <w:szCs w:val="16"/>
              </w:rPr>
              <w:t xml:space="preserve">s solicitudes y procedimientos </w:t>
            </w:r>
            <w:r w:rsidRPr="000B0EBB">
              <w:rPr>
                <w:rFonts w:ascii="ITC Avant Garde Std Bk" w:hAnsi="ITC Avant Garde Std Bk"/>
                <w:bCs/>
                <w:sz w:val="16"/>
                <w:szCs w:val="16"/>
              </w:rPr>
              <w:t xml:space="preserve">que se pretenden simplificar. Con ello, los formatos, generan cargas innecesarias, onerosas, </w:t>
            </w:r>
            <w:r w:rsidRPr="000B0EBB">
              <w:rPr>
                <w:rFonts w:ascii="ITC Avant Garde Std Bk" w:hAnsi="ITC Avant Garde Std Bk"/>
                <w:bCs/>
                <w:sz w:val="16"/>
                <w:szCs w:val="16"/>
              </w:rPr>
              <w:lastRenderedPageBreak/>
              <w:t>pero sobre todo ausentes de fundamento legal al gobernado.</w:t>
            </w:r>
          </w:p>
          <w:p w14:paraId="25CB9EF0" w14:textId="77777777" w:rsidR="00856D19" w:rsidRPr="000B0EBB" w:rsidRDefault="00856D19" w:rsidP="00D00389">
            <w:pPr>
              <w:jc w:val="both"/>
              <w:rPr>
                <w:rFonts w:ascii="ITC Avant Garde Std Bk" w:hAnsi="ITC Avant Garde Std Bk"/>
                <w:bCs/>
                <w:sz w:val="16"/>
                <w:szCs w:val="16"/>
              </w:rPr>
            </w:pPr>
          </w:p>
          <w:p w14:paraId="0F9D2EDD" w14:textId="40906FFF" w:rsidR="00856D19"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 xml:space="preserve">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 </w:t>
            </w:r>
          </w:p>
          <w:p w14:paraId="002554B8" w14:textId="77777777" w:rsidR="00FE2DF8" w:rsidRPr="000B0EBB" w:rsidRDefault="00FE2DF8" w:rsidP="00D00389">
            <w:pPr>
              <w:jc w:val="both"/>
              <w:rPr>
                <w:rFonts w:ascii="ITC Avant Garde Std Bk" w:hAnsi="ITC Avant Garde Std Bk"/>
                <w:bCs/>
                <w:sz w:val="16"/>
                <w:szCs w:val="16"/>
              </w:rPr>
            </w:pPr>
          </w:p>
          <w:p w14:paraId="1C1B8750"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En adición, contrario a lo establecido en el Análisis de Nulo Impacto Regulatorio y en el Anteproyecto de Acuerdo, desde la perspectiva del gobernado, sí genera nuevos costos de cumplimiento, sí se crean nuevas obligaciones, sí se hacen más estrictas las obligaciones, sí modifican y no simplifican los trámites existentes en la LFCE y la LFTyR. Esto de conformidad con lo expuesto en el presente documento.</w:t>
            </w:r>
          </w:p>
          <w:p w14:paraId="6722D649" w14:textId="77777777" w:rsidR="00856D19" w:rsidRPr="000B0EBB" w:rsidRDefault="00856D19" w:rsidP="00D00389">
            <w:pPr>
              <w:jc w:val="both"/>
              <w:rPr>
                <w:rFonts w:ascii="ITC Avant Garde Std Bk" w:hAnsi="ITC Avant Garde Std Bk"/>
                <w:bCs/>
                <w:sz w:val="16"/>
                <w:szCs w:val="16"/>
              </w:rPr>
            </w:pPr>
          </w:p>
          <w:p w14:paraId="3E83A0A3"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5AB65931" w14:textId="77777777" w:rsidR="00856D19" w:rsidRPr="000B0EBB" w:rsidRDefault="00856D19" w:rsidP="00D00389">
            <w:pPr>
              <w:jc w:val="both"/>
              <w:rPr>
                <w:rFonts w:ascii="ITC Avant Garde Std Bk" w:hAnsi="ITC Avant Garde Std Bk"/>
                <w:bCs/>
                <w:sz w:val="16"/>
                <w:szCs w:val="16"/>
              </w:rPr>
            </w:pPr>
          </w:p>
          <w:p w14:paraId="20888DAF"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31B04718" w14:textId="77777777" w:rsidR="00856D19" w:rsidRPr="000B0EBB" w:rsidRDefault="00856D19" w:rsidP="00D00389">
            <w:pPr>
              <w:jc w:val="both"/>
              <w:rPr>
                <w:rFonts w:ascii="ITC Avant Garde Std Bk" w:hAnsi="ITC Avant Garde Std Bk"/>
                <w:bCs/>
                <w:sz w:val="16"/>
                <w:szCs w:val="16"/>
              </w:rPr>
            </w:pPr>
          </w:p>
          <w:p w14:paraId="52A4395C"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 xml:space="preserve">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w:t>
            </w:r>
            <w:r w:rsidRPr="000B0EBB">
              <w:rPr>
                <w:rFonts w:ascii="ITC Avant Garde Std Bk" w:hAnsi="ITC Avant Garde Std Bk"/>
                <w:bCs/>
                <w:sz w:val="16"/>
                <w:szCs w:val="16"/>
              </w:rPr>
              <w:lastRenderedPageBreak/>
              <w:t>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01396FDE" w14:textId="77777777" w:rsidR="00856D19" w:rsidRPr="000B0EBB" w:rsidRDefault="00856D19" w:rsidP="00D00389">
            <w:pPr>
              <w:jc w:val="both"/>
              <w:rPr>
                <w:rFonts w:ascii="ITC Avant Garde Std Bk" w:hAnsi="ITC Avant Garde Std Bk"/>
                <w:bCs/>
                <w:sz w:val="16"/>
                <w:szCs w:val="16"/>
              </w:rPr>
            </w:pPr>
          </w:p>
          <w:p w14:paraId="13854B47"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7BA59C09" w14:textId="77777777" w:rsidR="00856D19" w:rsidRPr="000B0EBB" w:rsidRDefault="00856D19" w:rsidP="00D00389">
            <w:pPr>
              <w:jc w:val="both"/>
              <w:rPr>
                <w:rFonts w:ascii="ITC Avant Garde Std Bk" w:hAnsi="ITC Avant Garde Std Bk"/>
                <w:bCs/>
                <w:sz w:val="16"/>
                <w:szCs w:val="16"/>
              </w:rPr>
            </w:pPr>
          </w:p>
          <w:p w14:paraId="1B600849"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anexos2 emitidos y estrictamente sujetarlos a lo establecido en la LFTyR, la LFCE y las DR. Es decir, en el artículo 15, fracciones I, XLI y LVI de la LFTyR y el artículo 12 fracción XXII de la LFCE. Los mencionados artículos prevén los instrumentos regulatorios que el Instituto podrá expedir para reglamentar su actuar. </w:t>
            </w:r>
          </w:p>
          <w:p w14:paraId="4E2A8FE4" w14:textId="77777777" w:rsidR="00856D19" w:rsidRPr="000B0EBB" w:rsidRDefault="00856D19" w:rsidP="00D00389">
            <w:pPr>
              <w:jc w:val="both"/>
              <w:rPr>
                <w:rFonts w:ascii="ITC Avant Garde Std Bk" w:hAnsi="ITC Avant Garde Std Bk"/>
                <w:bCs/>
                <w:sz w:val="16"/>
                <w:szCs w:val="16"/>
              </w:rPr>
            </w:pPr>
          </w:p>
          <w:p w14:paraId="73263D66" w14:textId="4B773D34"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 xml:space="preserve">En ese orden de ideas, la LFTyR y la LFCE señalan, respectivamente, </w:t>
            </w:r>
            <w:r w:rsidRPr="000B0EBB">
              <w:rPr>
                <w:rFonts w:ascii="ITC Avant Garde Std Bk" w:hAnsi="ITC Avant Garde Std Bk"/>
                <w:bCs/>
                <w:sz w:val="16"/>
                <w:szCs w:val="16"/>
              </w:rPr>
              <w:lastRenderedPageBreak/>
              <w:t>disposiciones administrativas de carácter general, disposiciones regulatorias, y criterios técnicos como cuerpos normativos que el Instituto podrá emitir en la materia de su competencia. Dichas disposiciones regulatorias y lineamientos que el Instituto está obligado a emitir, tienen el objetivo de fortalecer el estado de derecho a través de criterios objetivos que</w:t>
            </w:r>
            <w:r w:rsidR="00FE2DF8">
              <w:rPr>
                <w:rFonts w:ascii="ITC Avant Garde Std Bk" w:hAnsi="ITC Avant Garde Std Bk"/>
                <w:bCs/>
                <w:sz w:val="16"/>
                <w:szCs w:val="16"/>
              </w:rPr>
              <w:t xml:space="preserve"> </w:t>
            </w:r>
            <w:r w:rsidRPr="000B0EBB">
              <w:rPr>
                <w:rFonts w:ascii="ITC Avant Garde Std Bk" w:hAnsi="ITC Avant Garde Std Bk"/>
                <w:bCs/>
                <w:sz w:val="16"/>
                <w:szCs w:val="16"/>
              </w:rPr>
              <w:t>permitan al gobernado conocer el proceder de la autoridad y evitara la actuación arbitraria de la misma.</w:t>
            </w:r>
          </w:p>
          <w:p w14:paraId="1D0E7A20" w14:textId="77777777" w:rsidR="00856D19" w:rsidRPr="000B0EBB" w:rsidRDefault="00856D19" w:rsidP="00D00389">
            <w:pPr>
              <w:jc w:val="both"/>
              <w:rPr>
                <w:rFonts w:ascii="ITC Avant Garde Std Bk" w:hAnsi="ITC Avant Garde Std Bk"/>
                <w:bCs/>
                <w:sz w:val="16"/>
                <w:szCs w:val="16"/>
              </w:rPr>
            </w:pPr>
          </w:p>
          <w:p w14:paraId="14A66B37" w14:textId="4E82C6C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las DR que sean necesarias para el cumplimiento de sus atribuciones; dichos supuestos establecidos en ley deberían de ser reglamentados detallando sus hipótesis y supuestos normativos en las mencionadas</w:t>
            </w:r>
            <w:r w:rsidR="00FE2DF8">
              <w:rPr>
                <w:rFonts w:ascii="ITC Avant Garde Std Bk" w:hAnsi="ITC Avant Garde Std Bk"/>
                <w:bCs/>
                <w:sz w:val="16"/>
                <w:szCs w:val="16"/>
              </w:rPr>
              <w:t xml:space="preserve"> </w:t>
            </w:r>
            <w:r w:rsidRPr="000B0EBB">
              <w:rPr>
                <w:rFonts w:ascii="ITC Avant Garde Std Bk" w:hAnsi="ITC Avant Garde Std Bk"/>
                <w:bCs/>
                <w:sz w:val="16"/>
                <w:szCs w:val="16"/>
              </w:rPr>
              <w:t>Disposiciones y no simplemente mediante la emisión de formatos no previstos en ningún tipo de instrumento normativo.</w:t>
            </w:r>
          </w:p>
          <w:p w14:paraId="4F6BEC2E" w14:textId="77777777" w:rsidR="00856D19" w:rsidRPr="000B0EBB" w:rsidRDefault="00856D19" w:rsidP="00D00389">
            <w:pPr>
              <w:jc w:val="both"/>
              <w:rPr>
                <w:rFonts w:ascii="ITC Avant Garde Std Bk" w:hAnsi="ITC Avant Garde Std Bk"/>
                <w:bCs/>
                <w:sz w:val="16"/>
                <w:szCs w:val="16"/>
              </w:rPr>
            </w:pPr>
          </w:p>
          <w:p w14:paraId="7A507A52" w14:textId="77777777" w:rsidR="00856D19" w:rsidRPr="000B0EBB"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7C71A547" w14:textId="77777777" w:rsidR="00856D19" w:rsidRPr="000B0EBB" w:rsidRDefault="00856D19" w:rsidP="00D00389">
            <w:pPr>
              <w:jc w:val="both"/>
              <w:rPr>
                <w:rFonts w:ascii="ITC Avant Garde Std Bk" w:hAnsi="ITC Avant Garde Std Bk"/>
                <w:bCs/>
                <w:sz w:val="16"/>
                <w:szCs w:val="16"/>
              </w:rPr>
            </w:pPr>
          </w:p>
          <w:p w14:paraId="2EDEA0FC" w14:textId="0A109364" w:rsidR="00856D19"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 xml:space="preserve">Por tanto, el espíritu del legislador fue establecer la obligación del Órgano regulador correspondiente de construir </w:t>
            </w:r>
            <w:r w:rsidRPr="000B0EBB">
              <w:rPr>
                <w:rFonts w:ascii="ITC Avant Garde Std Bk" w:hAnsi="ITC Avant Garde Std Bk"/>
                <w:bCs/>
                <w:sz w:val="16"/>
                <w:szCs w:val="16"/>
              </w:rPr>
              <w:lastRenderedPageBreak/>
              <w:t>la regulación pertinente para conseguir el mayor grado de previsibilidad posible al prever instrumentos que complementen el desarrollo normativo y la certeza jurídica en la aplicación de la ley.</w:t>
            </w:r>
          </w:p>
          <w:p w14:paraId="38F327AA" w14:textId="77777777" w:rsidR="00FE2DF8" w:rsidRPr="000B0EBB" w:rsidRDefault="00FE2DF8" w:rsidP="00D00389">
            <w:pPr>
              <w:jc w:val="both"/>
              <w:rPr>
                <w:rFonts w:ascii="ITC Avant Garde Std Bk" w:hAnsi="ITC Avant Garde Std Bk"/>
                <w:bCs/>
                <w:sz w:val="16"/>
                <w:szCs w:val="16"/>
              </w:rPr>
            </w:pPr>
          </w:p>
          <w:p w14:paraId="2DD2B7B1" w14:textId="77777777" w:rsidR="00856D19" w:rsidRPr="007D0768" w:rsidRDefault="00856D19" w:rsidP="00D00389">
            <w:pPr>
              <w:jc w:val="both"/>
              <w:rPr>
                <w:rFonts w:ascii="ITC Avant Garde Std Bk" w:hAnsi="ITC Avant Garde Std Bk"/>
                <w:bCs/>
                <w:sz w:val="16"/>
                <w:szCs w:val="16"/>
              </w:rPr>
            </w:pPr>
            <w:r w:rsidRPr="000B0EBB">
              <w:rPr>
                <w:rFonts w:ascii="ITC Avant Garde Std Bk" w:hAnsi="ITC Avant Garde Std Bk"/>
                <w:bCs/>
                <w:sz w:val="16"/>
                <w:szCs w:val="16"/>
              </w:rPr>
              <w:t xml:space="preserve">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 </w:t>
            </w:r>
          </w:p>
        </w:tc>
        <w:tc>
          <w:tcPr>
            <w:tcW w:w="2965" w:type="dxa"/>
            <w:shd w:val="clear" w:color="auto" w:fill="D6E3BC" w:themeFill="accent3" w:themeFillTint="66"/>
          </w:tcPr>
          <w:p w14:paraId="6512E6E9" w14:textId="77777777" w:rsidR="00856D19" w:rsidRDefault="00856D19" w:rsidP="00D00389">
            <w:pPr>
              <w:jc w:val="both"/>
              <w:rPr>
                <w:rFonts w:ascii="ITC Avant Garde Std Bk" w:hAnsi="ITC Avant Garde Std Bk"/>
                <w:bCs/>
                <w:sz w:val="16"/>
                <w:szCs w:val="16"/>
              </w:rPr>
            </w:pPr>
            <w:r>
              <w:rPr>
                <w:rFonts w:ascii="ITC Avant Garde Std Bk" w:hAnsi="ITC Avant Garde Std Bk"/>
                <w:bCs/>
                <w:sz w:val="16"/>
                <w:szCs w:val="16"/>
              </w:rPr>
              <w:lastRenderedPageBreak/>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que</w:t>
            </w:r>
            <w:r>
              <w:rPr>
                <w:rFonts w:ascii="ITC Avant Garde Std Bk" w:hAnsi="ITC Avant Garde Std Bk"/>
                <w:bCs/>
                <w:sz w:val="16"/>
                <w:szCs w:val="16"/>
              </w:rPr>
              <w:t>,</w:t>
            </w:r>
            <w:r w:rsidRPr="005660C7">
              <w:rPr>
                <w:rFonts w:ascii="ITC Avant Garde Std Bk" w:hAnsi="ITC Avant Garde Std Bk"/>
                <w:bCs/>
                <w:sz w:val="16"/>
                <w:szCs w:val="16"/>
              </w:rPr>
              <w:t xml:space="preserve"> </w:t>
            </w:r>
            <w:r>
              <w:rPr>
                <w:rFonts w:ascii="ITC Avant Garde Std Bk" w:hAnsi="ITC Avant Garde Std Bk"/>
                <w:bCs/>
                <w:sz w:val="16"/>
                <w:szCs w:val="16"/>
              </w:rPr>
              <w:t>e</w:t>
            </w:r>
            <w:r w:rsidRPr="005660C7">
              <w:rPr>
                <w:rFonts w:ascii="ITC Avant Garde Std Bk" w:hAnsi="ITC Avant Garde Std Bk"/>
                <w:bCs/>
                <w:sz w:val="16"/>
                <w:szCs w:val="16"/>
              </w:rPr>
              <w:t xml:space="preserve">l comentario se relaciona con el artículo quinto del Anexo Único, mediante el cual se emite el formato del trámite de “Procedimiento para la emisión de opiniones o resoluciones a organismos convocantes de Licitaciones públicas para el otorgamiento de licencias, concesiones, venta de acciones de empresas concesionarias u </w:t>
            </w:r>
            <w:r w:rsidRPr="005660C7">
              <w:rPr>
                <w:rFonts w:ascii="ITC Avant Garde Std Bk" w:hAnsi="ITC Avant Garde Std Bk"/>
                <w:bCs/>
                <w:sz w:val="16"/>
                <w:szCs w:val="16"/>
              </w:rPr>
              <w:lastRenderedPageBreak/>
              <w:t>otras cuestiones análogas” (Anexo D), no obstante, se advierte que el contenido del comentario se refiere explícitamente a los Anexos A, B,C y E, de los cuales, señala que incorporan información que excede los requisitos establecidos en la LFCE, la LFTR y las DR.</w:t>
            </w:r>
          </w:p>
          <w:p w14:paraId="21317720" w14:textId="77777777" w:rsidR="00856D19" w:rsidRDefault="00856D19" w:rsidP="00D00389">
            <w:pPr>
              <w:jc w:val="both"/>
              <w:rPr>
                <w:rFonts w:ascii="ITC Avant Garde Std Bk" w:hAnsi="ITC Avant Garde Std Bk"/>
                <w:bCs/>
                <w:sz w:val="16"/>
                <w:szCs w:val="16"/>
              </w:rPr>
            </w:pPr>
          </w:p>
          <w:p w14:paraId="01B3D17C" w14:textId="77777777" w:rsidR="00856D19" w:rsidRPr="003A0F21" w:rsidRDefault="00856D19" w:rsidP="00D00389">
            <w:pPr>
              <w:jc w:val="both"/>
              <w:rPr>
                <w:rFonts w:ascii="ITC Avant Garde Std Bk" w:hAnsi="ITC Avant Garde Std Bk"/>
                <w:bCs/>
                <w:sz w:val="16"/>
                <w:szCs w:val="16"/>
              </w:rPr>
            </w:pPr>
            <w:r w:rsidRPr="005660C7">
              <w:rPr>
                <w:rFonts w:ascii="ITC Avant Garde Std Bk" w:hAnsi="ITC Avant Garde Std Bk"/>
                <w:bCs/>
                <w:sz w:val="16"/>
                <w:szCs w:val="16"/>
              </w:rPr>
              <w:t>Por lo tanto, el contenido del comentario no es aplicable al Anexo D ni al citado artículo quinto del Anexo Único.</w:t>
            </w:r>
          </w:p>
        </w:tc>
      </w:tr>
      <w:tr w:rsidR="00856D19" w:rsidRPr="008C2256" w14:paraId="63158CDD" w14:textId="77777777" w:rsidTr="00856D19">
        <w:trPr>
          <w:trHeight w:val="478"/>
        </w:trPr>
        <w:tc>
          <w:tcPr>
            <w:tcW w:w="1893" w:type="dxa"/>
            <w:vMerge/>
            <w:shd w:val="clear" w:color="auto" w:fill="EAF1DD" w:themeFill="accent3" w:themeFillTint="33"/>
            <w:vAlign w:val="center"/>
          </w:tcPr>
          <w:p w14:paraId="1D8DEB2E" w14:textId="77777777" w:rsidR="00856D19" w:rsidRPr="000B0EBB" w:rsidRDefault="00856D19" w:rsidP="00D00389">
            <w:pPr>
              <w:jc w:val="center"/>
              <w:rPr>
                <w:rFonts w:ascii="ITC Avant Garde Std Bk" w:hAnsi="ITC Avant Garde Std Bk"/>
                <w:bCs/>
                <w:sz w:val="16"/>
                <w:szCs w:val="16"/>
              </w:rPr>
            </w:pPr>
          </w:p>
        </w:tc>
        <w:tc>
          <w:tcPr>
            <w:tcW w:w="1847" w:type="dxa"/>
            <w:shd w:val="clear" w:color="auto" w:fill="C2D69B" w:themeFill="accent3" w:themeFillTint="99"/>
            <w:vAlign w:val="center"/>
          </w:tcPr>
          <w:p w14:paraId="6884045F" w14:textId="77777777" w:rsidR="00856D19" w:rsidRDefault="00856D19" w:rsidP="00D00389">
            <w:pPr>
              <w:jc w:val="center"/>
              <w:rPr>
                <w:rFonts w:ascii="ITC Avant Garde Std Bk" w:hAnsi="ITC Avant Garde Std Bk"/>
                <w:bCs/>
                <w:sz w:val="16"/>
                <w:szCs w:val="16"/>
              </w:rPr>
            </w:pPr>
            <w:r w:rsidRPr="00E85F0A">
              <w:rPr>
                <w:rFonts w:ascii="ITC Avant Garde Std Bk" w:hAnsi="ITC Avant Garde Std Bk"/>
                <w:bCs/>
                <w:sz w:val="16"/>
                <w:szCs w:val="16"/>
              </w:rPr>
              <w:t>Artículo primero del Anexo Único del Anteproyecto de Acuerdo mediante el cual se emiten los formatos que podrán utilizarse para realizar diversos trámites y servicios en materia de competencia económica ante el I</w:t>
            </w:r>
            <w:r w:rsidR="000A1D44">
              <w:rPr>
                <w:rFonts w:ascii="ITC Avant Garde Std Bk" w:hAnsi="ITC Avant Garde Std Bk"/>
                <w:bCs/>
                <w:sz w:val="16"/>
                <w:szCs w:val="16"/>
              </w:rPr>
              <w:t>nstituto</w:t>
            </w:r>
          </w:p>
        </w:tc>
        <w:tc>
          <w:tcPr>
            <w:tcW w:w="3376" w:type="dxa"/>
            <w:shd w:val="clear" w:color="auto" w:fill="C2D69B" w:themeFill="accent3" w:themeFillTint="99"/>
          </w:tcPr>
          <w:p w14:paraId="3AE5B33A"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Se refiere a los comentarios generales III “A” y III “B”, a saber:</w:t>
            </w:r>
          </w:p>
          <w:p w14:paraId="19197DD5" w14:textId="77777777" w:rsidR="00856D19" w:rsidRPr="00B15204" w:rsidRDefault="00856D19" w:rsidP="00D00389">
            <w:pPr>
              <w:jc w:val="both"/>
              <w:rPr>
                <w:rFonts w:ascii="ITC Avant Garde Std Bk" w:hAnsi="ITC Avant Garde Std Bk"/>
                <w:bCs/>
                <w:sz w:val="16"/>
                <w:szCs w:val="16"/>
              </w:rPr>
            </w:pPr>
          </w:p>
          <w:p w14:paraId="01FD1A5E"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A. Respetuosamente, se señala a ese IFT, como se ha mencionado anteriormente, los anexos A, B, C y E, requieren a los gobernados proporcionar cierta información que excede a aquellos requisitos establecidos en la LFCE y la LFTyR, para cada una de las solicitudes y procedimientos que se pretenden simplificar. Con ello, los formatos, generan cargas innecesarias, onerosas, pero sobre todo ausentes de fundamento legal al gobernado.</w:t>
            </w:r>
          </w:p>
          <w:p w14:paraId="65E92E49" w14:textId="77777777" w:rsidR="00856D19" w:rsidRPr="00B15204" w:rsidRDefault="00856D19" w:rsidP="00D00389">
            <w:pPr>
              <w:jc w:val="both"/>
              <w:rPr>
                <w:rFonts w:ascii="ITC Avant Garde Std Bk" w:hAnsi="ITC Avant Garde Std Bk"/>
                <w:bCs/>
                <w:sz w:val="16"/>
                <w:szCs w:val="16"/>
              </w:rPr>
            </w:pPr>
          </w:p>
          <w:p w14:paraId="3DA191D2" w14:textId="63457168" w:rsidR="00856D19"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Es importante señalar que, si los “formatos que podrán utilizarse para realizar diversos trámites y servicios en materia de competencia económica ante el IFT” son opcionales, se podría dudar de que el Análisis de Impacto Regulatorio y/o, Análisis de Nulo Impacto Regulatorio le resulten aplicables. Esto porque al ser optativos, los formatos no regulan las actividades que se pretende. Si los formatos no regulan, en consecuencia, difícilmente podrían ser considerados como parte de la regulación. </w:t>
            </w:r>
          </w:p>
          <w:p w14:paraId="7A1C9C03" w14:textId="77777777" w:rsidR="00FE2DF8" w:rsidRPr="00B15204" w:rsidRDefault="00FE2DF8" w:rsidP="00D00389">
            <w:pPr>
              <w:jc w:val="both"/>
              <w:rPr>
                <w:rFonts w:ascii="ITC Avant Garde Std Bk" w:hAnsi="ITC Avant Garde Std Bk"/>
                <w:bCs/>
                <w:sz w:val="16"/>
                <w:szCs w:val="16"/>
              </w:rPr>
            </w:pPr>
          </w:p>
          <w:p w14:paraId="7A63F3F6"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En adición, contrario a lo establecido en el Análisis de Nulo Impacto Regulatorio y en el Anteproyecto de Acuerdo, desde la perspectiva del gobernado, sí genera nuevos costos de cumplimiento, sí se </w:t>
            </w:r>
            <w:r w:rsidRPr="00B15204">
              <w:rPr>
                <w:rFonts w:ascii="ITC Avant Garde Std Bk" w:hAnsi="ITC Avant Garde Std Bk"/>
                <w:bCs/>
                <w:sz w:val="16"/>
                <w:szCs w:val="16"/>
              </w:rPr>
              <w:lastRenderedPageBreak/>
              <w:t>crean nuevas obligaciones, sí se hacen más estrictas las obligaciones, sí modifican y no simplifican los trámites existentes en la LFCE y la LFTyR. Esto de conformidad con lo expuesto en el presente documento.</w:t>
            </w:r>
          </w:p>
          <w:p w14:paraId="679319ED" w14:textId="77777777" w:rsidR="00856D19" w:rsidRPr="00B15204" w:rsidRDefault="00856D19" w:rsidP="00D00389">
            <w:pPr>
              <w:jc w:val="both"/>
              <w:rPr>
                <w:rFonts w:ascii="ITC Avant Garde Std Bk" w:hAnsi="ITC Avant Garde Std Bk"/>
                <w:bCs/>
                <w:sz w:val="16"/>
                <w:szCs w:val="16"/>
              </w:rPr>
            </w:pPr>
          </w:p>
          <w:p w14:paraId="11569927"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También, se resalta que la fundamentación para emitir los formatos, es decir de los anexos al Anteproyecto de Acuerdo, no es suficiente para brindar certeza jurídica al solicitante.</w:t>
            </w:r>
          </w:p>
          <w:p w14:paraId="423E30E7" w14:textId="77777777" w:rsidR="00856D19" w:rsidRPr="00B15204" w:rsidRDefault="00856D19" w:rsidP="00D00389">
            <w:pPr>
              <w:jc w:val="both"/>
              <w:rPr>
                <w:rFonts w:ascii="ITC Avant Garde Std Bk" w:hAnsi="ITC Avant Garde Std Bk"/>
                <w:bCs/>
                <w:sz w:val="16"/>
                <w:szCs w:val="16"/>
              </w:rPr>
            </w:pPr>
          </w:p>
          <w:p w14:paraId="66E6EF8C"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Asimismo, no brindan claridad respecto de la relación o utilidad que guarda la información requerida en el trámite o procedimiento en particular, esto porque se insiste, la información adicional solicitada en los formatos no tiene fundamento legal alguno.</w:t>
            </w:r>
          </w:p>
          <w:p w14:paraId="4480C1B3" w14:textId="77777777" w:rsidR="00856D19" w:rsidRPr="00B15204" w:rsidRDefault="00856D19" w:rsidP="00D00389">
            <w:pPr>
              <w:jc w:val="both"/>
              <w:rPr>
                <w:rFonts w:ascii="ITC Avant Garde Std Bk" w:hAnsi="ITC Avant Garde Std Bk"/>
                <w:bCs/>
                <w:sz w:val="16"/>
                <w:szCs w:val="16"/>
              </w:rPr>
            </w:pPr>
          </w:p>
          <w:p w14:paraId="1A93C2D3"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Por lo tanto, con base en los principios de legalidad y de certeza jurídica contenidos en el artículo 16 Constitucional, que establecen que toda autoridad, como lo es el IFT, deberá fundar y motivar la información solicitada en los mencionados anexos A, B, C y E, ya que si dicha información no guarda relación, o no es necesaria para el ejercicio de sus atribuciones, o bien, si los cuerpos normativos en la materia no facultan expresamente al IFT para solicitar del gobernado determinada información, dicha solicitud no solo implica una carga adicional para el gobernado, sino que resulta por demás ilegal.</w:t>
            </w:r>
          </w:p>
          <w:p w14:paraId="31A5E77A" w14:textId="77777777" w:rsidR="00856D19" w:rsidRPr="00B15204" w:rsidRDefault="00856D19" w:rsidP="00D00389">
            <w:pPr>
              <w:jc w:val="both"/>
              <w:rPr>
                <w:rFonts w:ascii="ITC Avant Garde Std Bk" w:hAnsi="ITC Avant Garde Std Bk"/>
                <w:bCs/>
                <w:sz w:val="16"/>
                <w:szCs w:val="16"/>
              </w:rPr>
            </w:pPr>
          </w:p>
          <w:p w14:paraId="44AE1075"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En ese sentido se resalta que, debido a que la autoridad administrativa, como lo es el IFT, no podrá exigir más formalidades que las expresamente previstas en la ley, el IFT deberá en todo momento fundar y motivar la causa legal del procedimiento. Por lo tanto, se reitera que los formatos mencionados exceden las facultad establecidas tanto en la LFCE, la LFTyR y las DR, por lo que se establece que con la finalidad de que los gobernados puedan conocer el proceder de la autoridad, el IFT deberá limitarse a solicitar a los gobernados la </w:t>
            </w:r>
            <w:r w:rsidRPr="00B15204">
              <w:rPr>
                <w:rFonts w:ascii="ITC Avant Garde Std Bk" w:hAnsi="ITC Avant Garde Std Bk"/>
                <w:bCs/>
                <w:sz w:val="16"/>
                <w:szCs w:val="16"/>
              </w:rPr>
              <w:lastRenderedPageBreak/>
              <w:t>información establecida en la regulación de la materia, o en su defecto, hacer uso de su facultad para emitir disposiciones administrativas de carácter general, disposiciones regulatorias, o criterios técnicos mediante los cuerpos normativos que regulen su actuar.</w:t>
            </w:r>
          </w:p>
          <w:p w14:paraId="64BA29E0" w14:textId="77777777" w:rsidR="00856D19" w:rsidRPr="00B15204" w:rsidRDefault="00856D19" w:rsidP="00D00389">
            <w:pPr>
              <w:jc w:val="both"/>
              <w:rPr>
                <w:rFonts w:ascii="ITC Avant Garde Std Bk" w:hAnsi="ITC Avant Garde Std Bk"/>
                <w:bCs/>
                <w:sz w:val="16"/>
                <w:szCs w:val="16"/>
              </w:rPr>
            </w:pPr>
          </w:p>
          <w:p w14:paraId="54E55A41"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En ese sentido, mientras la información adicional a la que se requiere en la legislación correspondiente para las solicitudes y procedimientos que se detallan en los anexos A, B, C y E, no se encuentre prevista en los cuerpos normativos y reglamentarios correspondientes, la solicitud de esta será ilegal, por lo que respetuosamente se sugiere a ese IFT dotar de legalidad a los anexos2 emitidos y estrictamente sujetarlos a lo establecido en la LFTyR, la LFCE y las DR. Es decir, en el artículo 15, fracciones I, XLI y LVI de la LFTyR y el artículo 12 fracción XXII de la LFCE. Los mencionados artículos prevén los instrumentos regulatorios que el Instituto podrá expedir para reglamentar su actuar. </w:t>
            </w:r>
          </w:p>
          <w:p w14:paraId="7DC44E52" w14:textId="77777777" w:rsidR="00856D19" w:rsidRPr="00B15204" w:rsidRDefault="00856D19" w:rsidP="00D00389">
            <w:pPr>
              <w:jc w:val="both"/>
              <w:rPr>
                <w:rFonts w:ascii="ITC Avant Garde Std Bk" w:hAnsi="ITC Avant Garde Std Bk"/>
                <w:bCs/>
                <w:sz w:val="16"/>
                <w:szCs w:val="16"/>
              </w:rPr>
            </w:pPr>
          </w:p>
          <w:p w14:paraId="1099BFEC" w14:textId="511418FA"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En ese orden de ideas, la LFTyR y la LFCE señalan, respectivamente, disposiciones administrativas de carácter general, disposiciones regulatorias, y criterios técnicos como cuerpos normativos que el Instituto podrá emitir en la materia de su competencia. Dichas disposiciones regulatorias y lineamientos que el Instituto está obligado a emitir, tienen el objetivo de fortalecer el estado de derecho a través de criterios objetivos que</w:t>
            </w:r>
            <w:r w:rsidR="00FE2DF8">
              <w:rPr>
                <w:rFonts w:ascii="ITC Avant Garde Std Bk" w:hAnsi="ITC Avant Garde Std Bk"/>
                <w:bCs/>
                <w:sz w:val="16"/>
                <w:szCs w:val="16"/>
              </w:rPr>
              <w:t xml:space="preserve"> </w:t>
            </w:r>
            <w:r w:rsidRPr="00B15204">
              <w:rPr>
                <w:rFonts w:ascii="ITC Avant Garde Std Bk" w:hAnsi="ITC Avant Garde Std Bk"/>
                <w:bCs/>
                <w:sz w:val="16"/>
                <w:szCs w:val="16"/>
              </w:rPr>
              <w:t>permitan al gobernado conocer el proceder de la autoridad y evitara la actuación arbitraria de la misma.</w:t>
            </w:r>
          </w:p>
          <w:p w14:paraId="756487FD" w14:textId="77777777" w:rsidR="00856D19" w:rsidRPr="00B15204" w:rsidRDefault="00856D19" w:rsidP="00D00389">
            <w:pPr>
              <w:jc w:val="both"/>
              <w:rPr>
                <w:rFonts w:ascii="ITC Avant Garde Std Bk" w:hAnsi="ITC Avant Garde Std Bk"/>
                <w:bCs/>
                <w:sz w:val="16"/>
                <w:szCs w:val="16"/>
              </w:rPr>
            </w:pPr>
          </w:p>
          <w:p w14:paraId="2666DC8F" w14:textId="5AA0EF01"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Como se ha mencionado, los trámites y procedimientos cuya notificación o solicitud se pretenden regular se encuentran previstos en la LFCE y en el Decreto de Ley, por lo que de conformidad con el artículo 12 fracción XXII que señala la atribución del Pleno de la autoridad de competencia, en este caso el Pleno del IFT, para publicar </w:t>
            </w:r>
            <w:r w:rsidRPr="00B15204">
              <w:rPr>
                <w:rFonts w:ascii="ITC Avant Garde Std Bk" w:hAnsi="ITC Avant Garde Std Bk"/>
                <w:bCs/>
                <w:sz w:val="16"/>
                <w:szCs w:val="16"/>
              </w:rPr>
              <w:lastRenderedPageBreak/>
              <w:t>las DR que sean necesarias para el cumplimiento de sus atribuciones; dichos supuestos establecidos en ley deberían de ser reglamentados detallando sus hipótesis y supuestos normativos en las mencionadas</w:t>
            </w:r>
            <w:r w:rsidR="00FE2DF8">
              <w:rPr>
                <w:rFonts w:ascii="ITC Avant Garde Std Bk" w:hAnsi="ITC Avant Garde Std Bk"/>
                <w:bCs/>
                <w:sz w:val="16"/>
                <w:szCs w:val="16"/>
              </w:rPr>
              <w:t xml:space="preserve"> </w:t>
            </w:r>
            <w:r w:rsidRPr="00B15204">
              <w:rPr>
                <w:rFonts w:ascii="ITC Avant Garde Std Bk" w:hAnsi="ITC Avant Garde Std Bk"/>
                <w:bCs/>
                <w:sz w:val="16"/>
                <w:szCs w:val="16"/>
              </w:rPr>
              <w:t>Disposiciones y no simplemente mediante la emisión de formatos no previstos en ningún tipo de instrumento normativo.</w:t>
            </w:r>
          </w:p>
          <w:p w14:paraId="532825ED" w14:textId="77777777" w:rsidR="00856D19" w:rsidRPr="00B15204" w:rsidRDefault="00856D19" w:rsidP="00D00389">
            <w:pPr>
              <w:jc w:val="both"/>
              <w:rPr>
                <w:rFonts w:ascii="ITC Avant Garde Std Bk" w:hAnsi="ITC Avant Garde Std Bk"/>
                <w:bCs/>
                <w:sz w:val="16"/>
                <w:szCs w:val="16"/>
              </w:rPr>
            </w:pPr>
          </w:p>
          <w:p w14:paraId="4643D5FB"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En ese sentido los mencionados artículos, que establecen las facultades de las autoridades en materia de competencia económica de emitir disposiciones necesarias para el  cumplimiento de sus atribuciones, tienen una doble función; por un lado el legislador dotó al IFT con la atribución para emitir disposiciones regulatorias y criterios técnicos, señalando así los medios reglamentarios idóneos para asegurar la correcta operatividad de los reguladores; y por otro lado, le impuso, en este caso al IFT, la obligación de emitir criterios técnicos para la debida aplicación de la LFCE. </w:t>
            </w:r>
          </w:p>
          <w:p w14:paraId="3374D2B4" w14:textId="77777777" w:rsidR="00856D19" w:rsidRPr="00B15204" w:rsidRDefault="00856D19" w:rsidP="00D00389">
            <w:pPr>
              <w:jc w:val="both"/>
              <w:rPr>
                <w:rFonts w:ascii="ITC Avant Garde Std Bk" w:hAnsi="ITC Avant Garde Std Bk"/>
                <w:bCs/>
                <w:sz w:val="16"/>
                <w:szCs w:val="16"/>
              </w:rPr>
            </w:pPr>
          </w:p>
          <w:p w14:paraId="23C41909" w14:textId="6AFDEA34" w:rsidR="00856D19"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Por tanto, el espíritu del legislador fue establecer la obligación del Órgano regulador correspondiente de construir la regulación pertinente para conseguir el mayor grado de previsibilidad posible al prever instrumentos que complementen el desarrollo normativo y la certeza jurídica en la aplicación de la ley.</w:t>
            </w:r>
          </w:p>
          <w:p w14:paraId="2A0EBBDC" w14:textId="77777777" w:rsidR="00FE2DF8" w:rsidRPr="00B15204" w:rsidRDefault="00FE2DF8" w:rsidP="00D00389">
            <w:pPr>
              <w:jc w:val="both"/>
              <w:rPr>
                <w:rFonts w:ascii="ITC Avant Garde Std Bk" w:hAnsi="ITC Avant Garde Std Bk"/>
                <w:bCs/>
                <w:sz w:val="16"/>
                <w:szCs w:val="16"/>
              </w:rPr>
            </w:pPr>
          </w:p>
          <w:p w14:paraId="35013959"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En ese sentido, la legalidad de la emisión y uso de los formatos dependerá de su previsión en las Disposiciones Reglamentarias o los demás cuerpos reglamentarios que prevén las Leyes en la materia toda vez que las solicitudes de los procedimientos que dieron origen a los formatos se encuentran previstas en la LFCE y LFTyR como solicitudes en forma de “escrito libre”.</w:t>
            </w:r>
          </w:p>
          <w:p w14:paraId="0B01E553" w14:textId="77777777" w:rsidR="00856D19" w:rsidRPr="00B15204" w:rsidRDefault="00856D19" w:rsidP="00D00389">
            <w:pPr>
              <w:jc w:val="both"/>
              <w:rPr>
                <w:rFonts w:ascii="ITC Avant Garde Std Bk" w:hAnsi="ITC Avant Garde Std Bk"/>
                <w:bCs/>
                <w:sz w:val="16"/>
                <w:szCs w:val="16"/>
              </w:rPr>
            </w:pPr>
          </w:p>
          <w:p w14:paraId="62C75A65"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B. Tomando en cuenta la motivación del IFT para la emisión de los formatos que se detallan en el Anteproyecto de Acuerdo, es decir, con el objeto de </w:t>
            </w:r>
            <w:r w:rsidRPr="00B15204">
              <w:rPr>
                <w:rFonts w:ascii="ITC Avant Garde Std Bk" w:hAnsi="ITC Avant Garde Std Bk"/>
                <w:bCs/>
                <w:sz w:val="16"/>
                <w:szCs w:val="16"/>
              </w:rPr>
              <w:lastRenderedPageBreak/>
              <w:t>hacer más eficientes los trámites y servicios a cargo del Instituto, así como facilitar su presentación y disminuir cargas administrativas, se considera respetuosamente que el Instituto habrá de (i) reglamentar el uso de los formatos; y (ii) asegurar la resolución de las solicitudes presentadas en formatos tradicionales, por ejemplo “escrito libre”, sin ningún tipo de consecuencia negativa en la resolución, ya sea en cuanto a la decisión tomada por el IFT o en cuanto a tiempo de respuesta del mismo a la solicitud de los gobernados.</w:t>
            </w:r>
          </w:p>
          <w:p w14:paraId="14E3CC34" w14:textId="77777777" w:rsidR="00856D19" w:rsidRPr="00B15204" w:rsidRDefault="00856D19" w:rsidP="00D00389">
            <w:pPr>
              <w:jc w:val="both"/>
              <w:rPr>
                <w:rFonts w:ascii="ITC Avant Garde Std Bk" w:hAnsi="ITC Avant Garde Std Bk"/>
                <w:bCs/>
                <w:sz w:val="16"/>
                <w:szCs w:val="16"/>
              </w:rPr>
            </w:pPr>
          </w:p>
          <w:p w14:paraId="021DB5DF" w14:textId="1249C137" w:rsidR="00856D19"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En ese sentido, la reglamentación oportuna y correcta de los formatos, será una herramienta para asegurar que el IFT actuará imparcialmente y procurará la simplificación administrativa y eficiencia en su gestión, sin tomar en cuenta el formato elegido por los gobernados para la presentación de solicitudes en materia de competencia económica.</w:t>
            </w:r>
          </w:p>
          <w:p w14:paraId="328609BD" w14:textId="77777777" w:rsidR="00FE2DF8" w:rsidRPr="00B15204" w:rsidRDefault="00FE2DF8" w:rsidP="00D00389">
            <w:pPr>
              <w:jc w:val="both"/>
              <w:rPr>
                <w:rFonts w:ascii="ITC Avant Garde Std Bk" w:hAnsi="ITC Avant Garde Std Bk"/>
                <w:bCs/>
                <w:sz w:val="16"/>
                <w:szCs w:val="16"/>
              </w:rPr>
            </w:pPr>
          </w:p>
          <w:p w14:paraId="48D6CA5C" w14:textId="77777777" w:rsidR="00856D19" w:rsidRPr="00B15204"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Por consiguiente, se considera oportuno que el IFT asegure mediante la regulación correspondiente que el medio elegido por el gobernado, es decir el “escrito libre” o el “formato”, no será justificación o motivo de retraso de la resolución o beneficio que se esté solicitando en virtud de la falta de claridad en los requerimientos que se deben presentar al momento gestionar un trámite o servicio; pues los mencionados requerimientos de los formatos no se encuentran previstos en normas de observancia general al establecerse en la LFCE y la LFTyR.</w:t>
            </w:r>
          </w:p>
          <w:p w14:paraId="731DF48D" w14:textId="77777777" w:rsidR="00856D19" w:rsidRPr="00B15204" w:rsidRDefault="00856D19" w:rsidP="00D00389">
            <w:pPr>
              <w:jc w:val="both"/>
              <w:rPr>
                <w:rFonts w:ascii="ITC Avant Garde Std Bk" w:hAnsi="ITC Avant Garde Std Bk"/>
                <w:bCs/>
                <w:sz w:val="16"/>
                <w:szCs w:val="16"/>
              </w:rPr>
            </w:pPr>
          </w:p>
          <w:p w14:paraId="5F3BC0DA" w14:textId="77777777" w:rsidR="00856D19" w:rsidRPr="007D0768" w:rsidRDefault="00856D19" w:rsidP="00D00389">
            <w:pPr>
              <w:jc w:val="both"/>
              <w:rPr>
                <w:rFonts w:ascii="ITC Avant Garde Std Bk" w:hAnsi="ITC Avant Garde Std Bk"/>
                <w:bCs/>
                <w:sz w:val="16"/>
                <w:szCs w:val="16"/>
              </w:rPr>
            </w:pPr>
            <w:r w:rsidRPr="00B15204">
              <w:rPr>
                <w:rFonts w:ascii="ITC Avant Garde Std Bk" w:hAnsi="ITC Avant Garde Std Bk"/>
                <w:bCs/>
                <w:sz w:val="16"/>
                <w:szCs w:val="16"/>
              </w:rPr>
              <w:t xml:space="preserve">Dicho lo anterior, si bien el IFT establece en el Anteproyecto de Acuerdo y en su respectivo Análisis de Nulo Impacto Regulatorio que los formatos emitidos permitirán la entrega de información precisa y harán más eficiente el análisis de la información recibida por cada trámite o servicio, se reitera que, al imponer mayores cargas a los gobernados, que son adicionales a la legislación, los formatos no cumplen </w:t>
            </w:r>
            <w:r w:rsidRPr="00B15204">
              <w:rPr>
                <w:rFonts w:ascii="ITC Avant Garde Std Bk" w:hAnsi="ITC Avant Garde Std Bk"/>
                <w:bCs/>
                <w:sz w:val="16"/>
                <w:szCs w:val="16"/>
              </w:rPr>
              <w:lastRenderedPageBreak/>
              <w:t>con los propósitos que el IFT señala en el Acuerdo de Anteproyecto.</w:t>
            </w:r>
          </w:p>
        </w:tc>
        <w:tc>
          <w:tcPr>
            <w:tcW w:w="2965" w:type="dxa"/>
            <w:shd w:val="clear" w:color="auto" w:fill="C2D69B" w:themeFill="accent3" w:themeFillTint="99"/>
          </w:tcPr>
          <w:p w14:paraId="12626050" w14:textId="77777777" w:rsidR="00856D19" w:rsidRPr="00A52E3D" w:rsidRDefault="00856D19" w:rsidP="00D00389">
            <w:pPr>
              <w:jc w:val="both"/>
              <w:rPr>
                <w:rFonts w:ascii="ITC Avant Garde Std Bk" w:hAnsi="ITC Avant Garde Std Bk"/>
                <w:bCs/>
                <w:sz w:val="16"/>
                <w:szCs w:val="16"/>
              </w:rPr>
            </w:pPr>
            <w:r>
              <w:rPr>
                <w:rFonts w:ascii="ITC Avant Garde Std Bk" w:hAnsi="ITC Avant Garde Std Bk"/>
                <w:bCs/>
                <w:sz w:val="16"/>
                <w:szCs w:val="16"/>
              </w:rPr>
              <w:lastRenderedPageBreak/>
              <w:t>No s</w:t>
            </w:r>
            <w:r w:rsidRPr="00F27B3C">
              <w:rPr>
                <w:rFonts w:ascii="ITC Avant Garde Std Bk" w:hAnsi="ITC Avant Garde Std Bk"/>
                <w:bCs/>
                <w:sz w:val="16"/>
                <w:szCs w:val="16"/>
              </w:rPr>
              <w:t>e considera procedente el comentario</w:t>
            </w:r>
            <w:r>
              <w:rPr>
                <w:rFonts w:ascii="ITC Avant Garde Std Bk" w:hAnsi="ITC Avant Garde Std Bk"/>
                <w:bCs/>
                <w:sz w:val="16"/>
                <w:szCs w:val="16"/>
              </w:rPr>
              <w:t>,</w:t>
            </w:r>
            <w:r w:rsidRPr="003A0F21">
              <w:rPr>
                <w:rFonts w:ascii="ITC Avant Garde Std Bk" w:hAnsi="ITC Avant Garde Std Bk"/>
                <w:bCs/>
                <w:sz w:val="16"/>
                <w:szCs w:val="16"/>
              </w:rPr>
              <w:t xml:space="preserve"> en virtud de que</w:t>
            </w:r>
            <w:r w:rsidRPr="005660C7">
              <w:rPr>
                <w:rFonts w:ascii="ITC Avant Garde Std Bk" w:hAnsi="ITC Avant Garde Std Bk"/>
                <w:bCs/>
                <w:sz w:val="16"/>
                <w:szCs w:val="16"/>
              </w:rPr>
              <w:t xml:space="preserve"> </w:t>
            </w:r>
            <w:r>
              <w:rPr>
                <w:rFonts w:ascii="ITC Avant Garde Std Bk" w:hAnsi="ITC Avant Garde Std Bk"/>
                <w:bCs/>
                <w:sz w:val="16"/>
                <w:szCs w:val="16"/>
              </w:rPr>
              <w:t xml:space="preserve">su contenido se refiere explícitamente a los Anexos A, B, C y E, </w:t>
            </w:r>
            <w:r w:rsidRPr="005660C7">
              <w:rPr>
                <w:rFonts w:ascii="ITC Avant Garde Std Bk" w:hAnsi="ITC Avant Garde Std Bk"/>
                <w:bCs/>
                <w:sz w:val="16"/>
                <w:szCs w:val="16"/>
              </w:rPr>
              <w:t>de los cuales, señala que incorporan información que excede los requisitos establecidos en la LFCE, la LFTR y las DR</w:t>
            </w:r>
            <w:r>
              <w:rPr>
                <w:rFonts w:ascii="ITC Avant Garde Std Bk" w:hAnsi="ITC Avant Garde Std Bk"/>
                <w:bCs/>
                <w:sz w:val="16"/>
                <w:szCs w:val="16"/>
              </w:rPr>
              <w:t xml:space="preserve">, mientras que el artículo primero del </w:t>
            </w:r>
            <w:r w:rsidRPr="00B15204">
              <w:rPr>
                <w:rFonts w:ascii="ITC Avant Garde Std Bk" w:hAnsi="ITC Avant Garde Std Bk"/>
                <w:bCs/>
                <w:sz w:val="16"/>
                <w:szCs w:val="16"/>
              </w:rPr>
              <w:t>Anteproyecto</w:t>
            </w:r>
            <w:r>
              <w:rPr>
                <w:rFonts w:ascii="ITC Avant Garde Std Bk" w:hAnsi="ITC Avant Garde Std Bk"/>
                <w:bCs/>
                <w:sz w:val="16"/>
                <w:szCs w:val="16"/>
              </w:rPr>
              <w:t xml:space="preserve"> de Acuerdo mediante el cual se </w:t>
            </w:r>
            <w:r w:rsidRPr="00B15204">
              <w:rPr>
                <w:rFonts w:ascii="ITC Avant Garde Std Bk" w:hAnsi="ITC Avant Garde Std Bk"/>
                <w:bCs/>
                <w:sz w:val="16"/>
                <w:szCs w:val="16"/>
              </w:rPr>
              <w:t>emiten los</w:t>
            </w:r>
            <w:r>
              <w:rPr>
                <w:rFonts w:ascii="ITC Avant Garde Std Bk" w:hAnsi="ITC Avant Garde Std Bk"/>
                <w:bCs/>
                <w:sz w:val="16"/>
                <w:szCs w:val="16"/>
              </w:rPr>
              <w:t xml:space="preserve"> </w:t>
            </w:r>
            <w:r w:rsidRPr="00B15204">
              <w:rPr>
                <w:rFonts w:ascii="ITC Avant Garde Std Bk" w:hAnsi="ITC Avant Garde Std Bk"/>
                <w:bCs/>
                <w:sz w:val="16"/>
                <w:szCs w:val="16"/>
              </w:rPr>
              <w:t>formatos que podrán utilizarse</w:t>
            </w:r>
            <w:r>
              <w:rPr>
                <w:rFonts w:ascii="ITC Avant Garde Std Bk" w:hAnsi="ITC Avant Garde Std Bk"/>
                <w:bCs/>
                <w:sz w:val="16"/>
                <w:szCs w:val="16"/>
              </w:rPr>
              <w:t xml:space="preserve"> </w:t>
            </w:r>
            <w:r w:rsidRPr="00B15204">
              <w:rPr>
                <w:rFonts w:ascii="ITC Avant Garde Std Bk" w:hAnsi="ITC Avant Garde Std Bk"/>
                <w:bCs/>
                <w:sz w:val="16"/>
                <w:szCs w:val="16"/>
              </w:rPr>
              <w:t>para realizar diversos trámites y</w:t>
            </w:r>
            <w:r>
              <w:rPr>
                <w:rFonts w:ascii="ITC Avant Garde Std Bk" w:hAnsi="ITC Avant Garde Std Bk"/>
                <w:bCs/>
                <w:sz w:val="16"/>
                <w:szCs w:val="16"/>
              </w:rPr>
              <w:t xml:space="preserve"> </w:t>
            </w:r>
            <w:r w:rsidRPr="00B15204">
              <w:rPr>
                <w:rFonts w:ascii="ITC Avant Garde Std Bk" w:hAnsi="ITC Avant Garde Std Bk"/>
                <w:bCs/>
                <w:sz w:val="16"/>
                <w:szCs w:val="16"/>
              </w:rPr>
              <w:t>servicios en materia de</w:t>
            </w:r>
            <w:r>
              <w:rPr>
                <w:rFonts w:ascii="ITC Avant Garde Std Bk" w:hAnsi="ITC Avant Garde Std Bk"/>
                <w:bCs/>
                <w:sz w:val="16"/>
                <w:szCs w:val="16"/>
              </w:rPr>
              <w:t xml:space="preserve"> </w:t>
            </w:r>
            <w:r w:rsidRPr="00B15204">
              <w:rPr>
                <w:rFonts w:ascii="ITC Avant Garde Std Bk" w:hAnsi="ITC Avant Garde Std Bk"/>
                <w:bCs/>
                <w:sz w:val="16"/>
                <w:szCs w:val="16"/>
              </w:rPr>
              <w:t>competencia económica ante el I</w:t>
            </w:r>
            <w:r>
              <w:rPr>
                <w:rFonts w:ascii="ITC Avant Garde Std Bk" w:hAnsi="ITC Avant Garde Std Bk"/>
                <w:bCs/>
                <w:sz w:val="16"/>
                <w:szCs w:val="16"/>
              </w:rPr>
              <w:t xml:space="preserve">nstituto </w:t>
            </w:r>
            <w:r w:rsidRPr="00B15204">
              <w:rPr>
                <w:rFonts w:ascii="ITC Avant Garde Std Bk" w:hAnsi="ITC Avant Garde Std Bk"/>
                <w:bCs/>
                <w:sz w:val="16"/>
                <w:szCs w:val="16"/>
              </w:rPr>
              <w:t>F</w:t>
            </w:r>
            <w:r>
              <w:rPr>
                <w:rFonts w:ascii="ITC Avant Garde Std Bk" w:hAnsi="ITC Avant Garde Std Bk"/>
                <w:bCs/>
                <w:sz w:val="16"/>
                <w:szCs w:val="16"/>
              </w:rPr>
              <w:t xml:space="preserve">ederal de </w:t>
            </w:r>
            <w:r w:rsidRPr="00B15204">
              <w:rPr>
                <w:rFonts w:ascii="ITC Avant Garde Std Bk" w:hAnsi="ITC Avant Garde Std Bk"/>
                <w:bCs/>
                <w:sz w:val="16"/>
                <w:szCs w:val="16"/>
              </w:rPr>
              <w:t>T</w:t>
            </w:r>
            <w:r>
              <w:rPr>
                <w:rFonts w:ascii="ITC Avant Garde Std Bk" w:hAnsi="ITC Avant Garde Std Bk"/>
                <w:bCs/>
                <w:sz w:val="16"/>
                <w:szCs w:val="16"/>
              </w:rPr>
              <w:t>elecomunicaciones, hace referencia al objeto del Anteproyecto y no así a los trámites en materia de competencia económica ni sus respectivas propuestas de formatos de uso optativo.</w:t>
            </w:r>
          </w:p>
        </w:tc>
      </w:tr>
    </w:tbl>
    <w:p w14:paraId="4CC9F624" w14:textId="77777777" w:rsidR="008639BE" w:rsidRDefault="008639BE" w:rsidP="00D00389">
      <w:pPr>
        <w:pStyle w:val="Default"/>
        <w:jc w:val="both"/>
        <w:rPr>
          <w:rFonts w:ascii="ITC Avant Garde Std Bk" w:hAnsi="ITC Avant Garde Std Bk"/>
          <w:bCs/>
          <w:sz w:val="18"/>
          <w:szCs w:val="18"/>
          <w:lang w:eastAsia="en-US"/>
        </w:rPr>
      </w:pPr>
    </w:p>
    <w:p w14:paraId="7AF4A694" w14:textId="77777777" w:rsidR="008639BE" w:rsidRDefault="008639BE" w:rsidP="00D00389">
      <w:pPr>
        <w:pStyle w:val="Default"/>
        <w:jc w:val="center"/>
        <w:rPr>
          <w:rFonts w:ascii="ITC Avant Garde Std Bk" w:hAnsi="ITC Avant Garde Std Bk"/>
          <w:bCs/>
          <w:sz w:val="18"/>
          <w:szCs w:val="18"/>
          <w:lang w:eastAsia="en-US"/>
        </w:rPr>
      </w:pPr>
    </w:p>
    <w:p w14:paraId="16A7845D" w14:textId="77777777" w:rsidR="008639BE" w:rsidRDefault="008639BE" w:rsidP="00D00389">
      <w:pPr>
        <w:pStyle w:val="Default"/>
        <w:jc w:val="center"/>
        <w:rPr>
          <w:rFonts w:ascii="ITC Avant Garde Std Bk" w:hAnsi="ITC Avant Garde Std Bk"/>
          <w:bCs/>
          <w:sz w:val="18"/>
          <w:szCs w:val="18"/>
          <w:lang w:eastAsia="en-US"/>
        </w:rPr>
      </w:pPr>
      <w:r>
        <w:rPr>
          <w:rFonts w:ascii="ITC Avant Garde Std Bk" w:hAnsi="ITC Avant Garde Std Bk"/>
          <w:bCs/>
          <w:sz w:val="18"/>
          <w:szCs w:val="18"/>
          <w:lang w:eastAsia="en-US"/>
        </w:rPr>
        <w:t>--------- 000 ---------</w:t>
      </w:r>
    </w:p>
    <w:p w14:paraId="338D9C5B" w14:textId="77777777" w:rsidR="008639BE" w:rsidRDefault="008639BE" w:rsidP="00D00389">
      <w:pPr>
        <w:spacing w:after="0" w:line="240" w:lineRule="auto"/>
      </w:pPr>
    </w:p>
    <w:p w14:paraId="5AB42E37" w14:textId="77777777" w:rsidR="00616AA1" w:rsidRPr="008639BE" w:rsidRDefault="00616AA1" w:rsidP="00D00389">
      <w:pPr>
        <w:spacing w:after="0" w:line="240" w:lineRule="auto"/>
      </w:pPr>
    </w:p>
    <w:sectPr w:rsidR="00616AA1" w:rsidRPr="008639BE" w:rsidSect="00DD6C21">
      <w:headerReference w:type="even" r:id="rId7"/>
      <w:headerReference w:type="default" r:id="rId8"/>
      <w:footerReference w:type="default" r:id="rId9"/>
      <w:headerReference w:type="first" r:id="rId10"/>
      <w:pgSz w:w="12240" w:h="15840"/>
      <w:pgMar w:top="3119"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6991F" w14:textId="77777777" w:rsidR="00951D5B" w:rsidRDefault="00951D5B" w:rsidP="00406DF7">
      <w:pPr>
        <w:spacing w:after="0" w:line="240" w:lineRule="auto"/>
      </w:pPr>
      <w:r>
        <w:separator/>
      </w:r>
    </w:p>
  </w:endnote>
  <w:endnote w:type="continuationSeparator" w:id="0">
    <w:p w14:paraId="38987EBD" w14:textId="77777777" w:rsidR="00951D5B" w:rsidRDefault="00951D5B" w:rsidP="0040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panose1 w:val="020B0402020203020304"/>
    <w:charset w:val="00"/>
    <w:family w:val="swiss"/>
    <w:pitch w:val="variable"/>
    <w:sig w:usb0="00000007" w:usb1="00000000" w:usb2="00000000" w:usb3="00000000" w:csb0="00000093" w:csb1="00000000"/>
  </w:font>
  <w:font w:name="ITC Avant Garde Std Bk">
    <w:panose1 w:val="020B0502020202020204"/>
    <w:charset w:val="00"/>
    <w:family w:val="swiss"/>
    <w:notTrueType/>
    <w:pitch w:val="variable"/>
    <w:sig w:usb0="800000AF" w:usb1="4000204A" w:usb2="00000000" w:usb3="00000000" w:csb0="00000001"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ITC Avant Garde" w:hAnsi="ITC Avant Garde"/>
        <w:sz w:val="16"/>
        <w:szCs w:val="16"/>
      </w:rPr>
      <w:id w:val="1698196575"/>
      <w:docPartObj>
        <w:docPartGallery w:val="Page Numbers (Bottom of Page)"/>
        <w:docPartUnique/>
      </w:docPartObj>
    </w:sdtPr>
    <w:sdtContent>
      <w:sdt>
        <w:sdtPr>
          <w:rPr>
            <w:rFonts w:ascii="ITC Avant Garde" w:hAnsi="ITC Avant Garde"/>
            <w:sz w:val="16"/>
            <w:szCs w:val="16"/>
          </w:rPr>
          <w:id w:val="-1769616900"/>
          <w:docPartObj>
            <w:docPartGallery w:val="Page Numbers (Top of Page)"/>
            <w:docPartUnique/>
          </w:docPartObj>
        </w:sdtPr>
        <w:sdtContent>
          <w:p w14:paraId="13D42A9C" w14:textId="3AE5D4FB" w:rsidR="00256E53" w:rsidRPr="00E84E63" w:rsidRDefault="00256E53">
            <w:pPr>
              <w:pStyle w:val="Piedepgina"/>
              <w:jc w:val="right"/>
              <w:rPr>
                <w:rFonts w:ascii="ITC Avant Garde" w:hAnsi="ITC Avant Garde"/>
                <w:sz w:val="16"/>
                <w:szCs w:val="16"/>
              </w:rPr>
            </w:pPr>
            <w:r w:rsidRPr="00E84E63">
              <w:rPr>
                <w:rFonts w:ascii="ITC Avant Garde" w:hAnsi="ITC Avant Garde"/>
                <w:sz w:val="16"/>
                <w:szCs w:val="16"/>
                <w:lang w:val="es-ES"/>
              </w:rPr>
              <w:t xml:space="preserve">Página </w:t>
            </w:r>
            <w:r w:rsidRPr="00E84E63">
              <w:rPr>
                <w:rFonts w:ascii="ITC Avant Garde" w:hAnsi="ITC Avant Garde"/>
                <w:b/>
                <w:bCs/>
                <w:sz w:val="16"/>
                <w:szCs w:val="16"/>
              </w:rPr>
              <w:fldChar w:fldCharType="begin"/>
            </w:r>
            <w:r w:rsidRPr="00E84E63">
              <w:rPr>
                <w:rFonts w:ascii="ITC Avant Garde" w:hAnsi="ITC Avant Garde"/>
                <w:b/>
                <w:bCs/>
                <w:sz w:val="16"/>
                <w:szCs w:val="16"/>
              </w:rPr>
              <w:instrText>PAGE</w:instrText>
            </w:r>
            <w:r w:rsidRPr="00E84E63">
              <w:rPr>
                <w:rFonts w:ascii="ITC Avant Garde" w:hAnsi="ITC Avant Garde"/>
                <w:b/>
                <w:bCs/>
                <w:sz w:val="16"/>
                <w:szCs w:val="16"/>
              </w:rPr>
              <w:fldChar w:fldCharType="separate"/>
            </w:r>
            <w:r>
              <w:rPr>
                <w:rFonts w:ascii="ITC Avant Garde" w:hAnsi="ITC Avant Garde"/>
                <w:b/>
                <w:bCs/>
                <w:noProof/>
                <w:sz w:val="16"/>
                <w:szCs w:val="16"/>
              </w:rPr>
              <w:t>3</w:t>
            </w:r>
            <w:r w:rsidRPr="00E84E63">
              <w:rPr>
                <w:rFonts w:ascii="ITC Avant Garde" w:hAnsi="ITC Avant Garde"/>
                <w:b/>
                <w:bCs/>
                <w:sz w:val="16"/>
                <w:szCs w:val="16"/>
              </w:rPr>
              <w:fldChar w:fldCharType="end"/>
            </w:r>
            <w:r w:rsidRPr="00E84E63">
              <w:rPr>
                <w:rFonts w:ascii="ITC Avant Garde" w:hAnsi="ITC Avant Garde"/>
                <w:sz w:val="16"/>
                <w:szCs w:val="16"/>
                <w:lang w:val="es-ES"/>
              </w:rPr>
              <w:t xml:space="preserve"> de </w:t>
            </w:r>
            <w:r w:rsidRPr="00E84E63">
              <w:rPr>
                <w:rFonts w:ascii="ITC Avant Garde" w:hAnsi="ITC Avant Garde"/>
                <w:b/>
                <w:bCs/>
                <w:sz w:val="16"/>
                <w:szCs w:val="16"/>
              </w:rPr>
              <w:fldChar w:fldCharType="begin"/>
            </w:r>
            <w:r w:rsidRPr="00E84E63">
              <w:rPr>
                <w:rFonts w:ascii="ITC Avant Garde" w:hAnsi="ITC Avant Garde"/>
                <w:b/>
                <w:bCs/>
                <w:sz w:val="16"/>
                <w:szCs w:val="16"/>
              </w:rPr>
              <w:instrText>NUMPAGES</w:instrText>
            </w:r>
            <w:r w:rsidRPr="00E84E63">
              <w:rPr>
                <w:rFonts w:ascii="ITC Avant Garde" w:hAnsi="ITC Avant Garde"/>
                <w:b/>
                <w:bCs/>
                <w:sz w:val="16"/>
                <w:szCs w:val="16"/>
              </w:rPr>
              <w:fldChar w:fldCharType="separate"/>
            </w:r>
            <w:r>
              <w:rPr>
                <w:rFonts w:ascii="ITC Avant Garde" w:hAnsi="ITC Avant Garde"/>
                <w:b/>
                <w:bCs/>
                <w:noProof/>
                <w:sz w:val="16"/>
                <w:szCs w:val="16"/>
              </w:rPr>
              <w:t>53</w:t>
            </w:r>
            <w:r w:rsidRPr="00E84E63">
              <w:rPr>
                <w:rFonts w:ascii="ITC Avant Garde" w:hAnsi="ITC Avant Garde"/>
                <w:b/>
                <w:bCs/>
                <w:sz w:val="16"/>
                <w:szCs w:val="16"/>
              </w:rPr>
              <w:fldChar w:fldCharType="end"/>
            </w:r>
          </w:p>
        </w:sdtContent>
      </w:sdt>
    </w:sdtContent>
  </w:sdt>
  <w:p w14:paraId="4D736356" w14:textId="77777777" w:rsidR="00256E53" w:rsidRDefault="00256E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40C73" w14:textId="77777777" w:rsidR="00951D5B" w:rsidRDefault="00951D5B" w:rsidP="00406DF7">
      <w:pPr>
        <w:spacing w:after="0" w:line="240" w:lineRule="auto"/>
      </w:pPr>
      <w:r>
        <w:separator/>
      </w:r>
    </w:p>
  </w:footnote>
  <w:footnote w:type="continuationSeparator" w:id="0">
    <w:p w14:paraId="4A063412" w14:textId="77777777" w:rsidR="00951D5B" w:rsidRDefault="00951D5B" w:rsidP="0040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C5628" w14:textId="77777777" w:rsidR="00256E53" w:rsidRDefault="00256E53">
    <w:pPr>
      <w:pStyle w:val="Encabezado"/>
    </w:pPr>
    <w:r>
      <w:rPr>
        <w:noProof/>
        <w:lang w:eastAsia="es-MX"/>
      </w:rPr>
      <w:pict w14:anchorId="3E889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6" o:spid="_x0000_s2095" type="#_x0000_t75" style="position:absolute;margin-left:0;margin-top:0;width:612.25pt;height:11in;z-index:-251657216;mso-position-horizontal:center;mso-position-horizontal-relative:margin;mso-position-vertical:center;mso-position-vertical-relative:margin" o:allowincell="f">
          <v:imagedata r:id="rId1" o:title="Hoja mem 2020_rou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FD943" w14:textId="77777777" w:rsidR="00256E53" w:rsidRDefault="00256E53">
    <w:pPr>
      <w:pStyle w:val="Encabezado"/>
    </w:pPr>
    <w:r>
      <w:rPr>
        <w:noProof/>
        <w:lang w:eastAsia="es-MX"/>
      </w:rPr>
      <w:drawing>
        <wp:anchor distT="0" distB="0" distL="114300" distR="114300" simplePos="0" relativeHeight="251661312" behindDoc="1" locked="0" layoutInCell="0" allowOverlap="1" wp14:anchorId="1A178426" wp14:editId="1335534A">
          <wp:simplePos x="0" y="0"/>
          <wp:positionH relativeFrom="margin">
            <wp:posOffset>-733425</wp:posOffset>
          </wp:positionH>
          <wp:positionV relativeFrom="page">
            <wp:align>top</wp:align>
          </wp:positionV>
          <wp:extent cx="7775575" cy="10058400"/>
          <wp:effectExtent l="0" t="0" r="0" b="0"/>
          <wp:wrapNone/>
          <wp:docPr id="1" name="Imagen 1" descr="Hoja mem 2021_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ja mem 2021_ro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00B78" w14:textId="77777777" w:rsidR="00256E53" w:rsidRDefault="00256E53">
    <w:pPr>
      <w:pStyle w:val="Encabezado"/>
    </w:pPr>
    <w:r>
      <w:rPr>
        <w:noProof/>
        <w:lang w:eastAsia="es-MX"/>
      </w:rPr>
      <w:pict w14:anchorId="7FC8F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5" o:spid="_x0000_s2094" type="#_x0000_t75" style="position:absolute;margin-left:0;margin-top:0;width:612.25pt;height:11in;z-index:-251658240;mso-position-horizontal:center;mso-position-horizontal-relative:margin;mso-position-vertical:center;mso-position-vertical-relative:margin" o:allowincell="f">
          <v:imagedata r:id="rId1" o:title="Hoja mem 2020_rou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D30A3"/>
    <w:multiLevelType w:val="hybridMultilevel"/>
    <w:tmpl w:val="2B1638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242E89"/>
    <w:multiLevelType w:val="hybridMultilevel"/>
    <w:tmpl w:val="0C8A8F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77D6422"/>
    <w:multiLevelType w:val="hybridMultilevel"/>
    <w:tmpl w:val="7270BA44"/>
    <w:lvl w:ilvl="0" w:tplc="080A000F">
      <w:start w:val="1"/>
      <w:numFmt w:val="decimal"/>
      <w:lvlText w:val="%1."/>
      <w:lvlJc w:val="left"/>
      <w:pPr>
        <w:ind w:left="1026" w:hanging="360"/>
      </w:pPr>
    </w:lvl>
    <w:lvl w:ilvl="1" w:tplc="080A0019" w:tentative="1">
      <w:start w:val="1"/>
      <w:numFmt w:val="lowerLetter"/>
      <w:lvlText w:val="%2."/>
      <w:lvlJc w:val="left"/>
      <w:pPr>
        <w:ind w:left="1746" w:hanging="360"/>
      </w:pPr>
    </w:lvl>
    <w:lvl w:ilvl="2" w:tplc="080A001B" w:tentative="1">
      <w:start w:val="1"/>
      <w:numFmt w:val="lowerRoman"/>
      <w:lvlText w:val="%3."/>
      <w:lvlJc w:val="right"/>
      <w:pPr>
        <w:ind w:left="2466" w:hanging="180"/>
      </w:pPr>
    </w:lvl>
    <w:lvl w:ilvl="3" w:tplc="080A000F" w:tentative="1">
      <w:start w:val="1"/>
      <w:numFmt w:val="decimal"/>
      <w:lvlText w:val="%4."/>
      <w:lvlJc w:val="left"/>
      <w:pPr>
        <w:ind w:left="3186" w:hanging="360"/>
      </w:pPr>
    </w:lvl>
    <w:lvl w:ilvl="4" w:tplc="080A0019" w:tentative="1">
      <w:start w:val="1"/>
      <w:numFmt w:val="lowerLetter"/>
      <w:lvlText w:val="%5."/>
      <w:lvlJc w:val="left"/>
      <w:pPr>
        <w:ind w:left="3906" w:hanging="360"/>
      </w:pPr>
    </w:lvl>
    <w:lvl w:ilvl="5" w:tplc="080A001B" w:tentative="1">
      <w:start w:val="1"/>
      <w:numFmt w:val="lowerRoman"/>
      <w:lvlText w:val="%6."/>
      <w:lvlJc w:val="right"/>
      <w:pPr>
        <w:ind w:left="4626" w:hanging="180"/>
      </w:pPr>
    </w:lvl>
    <w:lvl w:ilvl="6" w:tplc="080A000F" w:tentative="1">
      <w:start w:val="1"/>
      <w:numFmt w:val="decimal"/>
      <w:lvlText w:val="%7."/>
      <w:lvlJc w:val="left"/>
      <w:pPr>
        <w:ind w:left="5346" w:hanging="360"/>
      </w:pPr>
    </w:lvl>
    <w:lvl w:ilvl="7" w:tplc="080A0019" w:tentative="1">
      <w:start w:val="1"/>
      <w:numFmt w:val="lowerLetter"/>
      <w:lvlText w:val="%8."/>
      <w:lvlJc w:val="left"/>
      <w:pPr>
        <w:ind w:left="6066" w:hanging="360"/>
      </w:pPr>
    </w:lvl>
    <w:lvl w:ilvl="8" w:tplc="080A001B" w:tentative="1">
      <w:start w:val="1"/>
      <w:numFmt w:val="lowerRoman"/>
      <w:lvlText w:val="%9."/>
      <w:lvlJc w:val="right"/>
      <w:pPr>
        <w:ind w:left="6786" w:hanging="180"/>
      </w:pPr>
    </w:lvl>
  </w:abstractNum>
  <w:abstractNum w:abstractNumId="3" w15:restartNumberingAfterBreak="0">
    <w:nsid w:val="6C4C5FF9"/>
    <w:multiLevelType w:val="hybridMultilevel"/>
    <w:tmpl w:val="58D2CC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356CE0"/>
    <w:multiLevelType w:val="multilevel"/>
    <w:tmpl w:val="D1B6C92A"/>
    <w:lvl w:ilvl="0">
      <w:start w:val="1"/>
      <w:numFmt w:val="decimal"/>
      <w:lvlText w:val="%1."/>
      <w:lvlJc w:val="left"/>
      <w:pPr>
        <w:ind w:left="360" w:hanging="360"/>
      </w:pPr>
      <w:rPr>
        <w:rFonts w:hint="default"/>
        <w:b w:val="0"/>
        <w:i w:val="0"/>
        <w:color w:val="auto"/>
        <w:sz w:val="18"/>
        <w:szCs w:val="20"/>
      </w:rPr>
    </w:lvl>
    <w:lvl w:ilvl="1">
      <w:start w:val="1"/>
      <w:numFmt w:val="decimal"/>
      <w:isLgl/>
      <w:lvlText w:val="%1.%2."/>
      <w:lvlJc w:val="left"/>
      <w:pPr>
        <w:ind w:left="1074"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5" w15:restartNumberingAfterBreak="0">
    <w:nsid w:val="764B71A0"/>
    <w:multiLevelType w:val="hybridMultilevel"/>
    <w:tmpl w:val="B00AEA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DF7"/>
    <w:rsid w:val="00002D46"/>
    <w:rsid w:val="00020A64"/>
    <w:rsid w:val="00026C36"/>
    <w:rsid w:val="00027F8C"/>
    <w:rsid w:val="000426EF"/>
    <w:rsid w:val="00046C4F"/>
    <w:rsid w:val="00061CB9"/>
    <w:rsid w:val="00066300"/>
    <w:rsid w:val="000708A8"/>
    <w:rsid w:val="0008019C"/>
    <w:rsid w:val="000937A8"/>
    <w:rsid w:val="00094D28"/>
    <w:rsid w:val="000955A2"/>
    <w:rsid w:val="00095C19"/>
    <w:rsid w:val="000A1026"/>
    <w:rsid w:val="000A1D44"/>
    <w:rsid w:val="000B0EBB"/>
    <w:rsid w:val="000E60CF"/>
    <w:rsid w:val="000F74D3"/>
    <w:rsid w:val="001033C8"/>
    <w:rsid w:val="0010488D"/>
    <w:rsid w:val="00116B10"/>
    <w:rsid w:val="00125D86"/>
    <w:rsid w:val="00134BED"/>
    <w:rsid w:val="00136557"/>
    <w:rsid w:val="001372EC"/>
    <w:rsid w:val="00142631"/>
    <w:rsid w:val="0016124A"/>
    <w:rsid w:val="001707D5"/>
    <w:rsid w:val="00171757"/>
    <w:rsid w:val="001719B0"/>
    <w:rsid w:val="0017204F"/>
    <w:rsid w:val="0019045E"/>
    <w:rsid w:val="00191DD1"/>
    <w:rsid w:val="00196160"/>
    <w:rsid w:val="00197D24"/>
    <w:rsid w:val="001A4263"/>
    <w:rsid w:val="001B015D"/>
    <w:rsid w:val="001B1424"/>
    <w:rsid w:val="001B290D"/>
    <w:rsid w:val="001C1C34"/>
    <w:rsid w:val="001C2C9E"/>
    <w:rsid w:val="001C4BD2"/>
    <w:rsid w:val="001F50A1"/>
    <w:rsid w:val="001F7E70"/>
    <w:rsid w:val="00207DA7"/>
    <w:rsid w:val="00227066"/>
    <w:rsid w:val="0023291F"/>
    <w:rsid w:val="00245890"/>
    <w:rsid w:val="00253CFD"/>
    <w:rsid w:val="00256E53"/>
    <w:rsid w:val="002635F5"/>
    <w:rsid w:val="002635F8"/>
    <w:rsid w:val="00274B1F"/>
    <w:rsid w:val="002762DF"/>
    <w:rsid w:val="00294D14"/>
    <w:rsid w:val="002A08EF"/>
    <w:rsid w:val="002B1449"/>
    <w:rsid w:val="002D056A"/>
    <w:rsid w:val="002E6ED4"/>
    <w:rsid w:val="003209D9"/>
    <w:rsid w:val="00331C48"/>
    <w:rsid w:val="003458B8"/>
    <w:rsid w:val="00347570"/>
    <w:rsid w:val="00354C18"/>
    <w:rsid w:val="00356BEB"/>
    <w:rsid w:val="00372659"/>
    <w:rsid w:val="00380DA3"/>
    <w:rsid w:val="003839AB"/>
    <w:rsid w:val="00384C93"/>
    <w:rsid w:val="00386863"/>
    <w:rsid w:val="003A3867"/>
    <w:rsid w:val="003A4DA0"/>
    <w:rsid w:val="003B4A38"/>
    <w:rsid w:val="003B5FE3"/>
    <w:rsid w:val="003C4DF6"/>
    <w:rsid w:val="00404FA5"/>
    <w:rsid w:val="0040524F"/>
    <w:rsid w:val="00406DF7"/>
    <w:rsid w:val="00423B23"/>
    <w:rsid w:val="00423EF6"/>
    <w:rsid w:val="00434C2C"/>
    <w:rsid w:val="00436B67"/>
    <w:rsid w:val="004508E6"/>
    <w:rsid w:val="00455BC6"/>
    <w:rsid w:val="004563C3"/>
    <w:rsid w:val="00476E6A"/>
    <w:rsid w:val="00494E7D"/>
    <w:rsid w:val="0049684F"/>
    <w:rsid w:val="004A1ADB"/>
    <w:rsid w:val="004A703A"/>
    <w:rsid w:val="004A7800"/>
    <w:rsid w:val="004B036E"/>
    <w:rsid w:val="004B481A"/>
    <w:rsid w:val="004B7B9B"/>
    <w:rsid w:val="004D3CD8"/>
    <w:rsid w:val="004E57E5"/>
    <w:rsid w:val="004F301E"/>
    <w:rsid w:val="004F695D"/>
    <w:rsid w:val="004F72DE"/>
    <w:rsid w:val="00500879"/>
    <w:rsid w:val="0050196B"/>
    <w:rsid w:val="005163D0"/>
    <w:rsid w:val="00523A70"/>
    <w:rsid w:val="005306FA"/>
    <w:rsid w:val="00531551"/>
    <w:rsid w:val="00535D9A"/>
    <w:rsid w:val="00560A41"/>
    <w:rsid w:val="005660C7"/>
    <w:rsid w:val="00570300"/>
    <w:rsid w:val="005756B5"/>
    <w:rsid w:val="00585984"/>
    <w:rsid w:val="00585CA1"/>
    <w:rsid w:val="005B0741"/>
    <w:rsid w:val="005C1907"/>
    <w:rsid w:val="005D3019"/>
    <w:rsid w:val="005D4546"/>
    <w:rsid w:val="005E7DD2"/>
    <w:rsid w:val="0060085A"/>
    <w:rsid w:val="006147D3"/>
    <w:rsid w:val="0061541C"/>
    <w:rsid w:val="00616AA1"/>
    <w:rsid w:val="00627EBC"/>
    <w:rsid w:val="00644119"/>
    <w:rsid w:val="0067582E"/>
    <w:rsid w:val="00687175"/>
    <w:rsid w:val="00694FF2"/>
    <w:rsid w:val="006A1D92"/>
    <w:rsid w:val="006A4C48"/>
    <w:rsid w:val="006A5F52"/>
    <w:rsid w:val="006B0F19"/>
    <w:rsid w:val="006B234E"/>
    <w:rsid w:val="006B4CDC"/>
    <w:rsid w:val="006C3D9C"/>
    <w:rsid w:val="006C613C"/>
    <w:rsid w:val="006C61F4"/>
    <w:rsid w:val="006D6245"/>
    <w:rsid w:val="006E350F"/>
    <w:rsid w:val="006E6492"/>
    <w:rsid w:val="006E7F97"/>
    <w:rsid w:val="006F1596"/>
    <w:rsid w:val="00707B56"/>
    <w:rsid w:val="00736902"/>
    <w:rsid w:val="00741B32"/>
    <w:rsid w:val="00742451"/>
    <w:rsid w:val="00747069"/>
    <w:rsid w:val="00751D8E"/>
    <w:rsid w:val="00766836"/>
    <w:rsid w:val="00774F76"/>
    <w:rsid w:val="00790174"/>
    <w:rsid w:val="00791B49"/>
    <w:rsid w:val="00791CB2"/>
    <w:rsid w:val="007932CD"/>
    <w:rsid w:val="007963D2"/>
    <w:rsid w:val="00797CDE"/>
    <w:rsid w:val="007A1967"/>
    <w:rsid w:val="007C2A78"/>
    <w:rsid w:val="007C36D2"/>
    <w:rsid w:val="007C4B72"/>
    <w:rsid w:val="007C78A8"/>
    <w:rsid w:val="007E5241"/>
    <w:rsid w:val="007E538D"/>
    <w:rsid w:val="007E69E2"/>
    <w:rsid w:val="007F10ED"/>
    <w:rsid w:val="0081319D"/>
    <w:rsid w:val="00821214"/>
    <w:rsid w:val="0082220C"/>
    <w:rsid w:val="0082328A"/>
    <w:rsid w:val="0083025F"/>
    <w:rsid w:val="00842769"/>
    <w:rsid w:val="00844B34"/>
    <w:rsid w:val="00847A35"/>
    <w:rsid w:val="00847DB3"/>
    <w:rsid w:val="00853CDE"/>
    <w:rsid w:val="00856D19"/>
    <w:rsid w:val="008639BE"/>
    <w:rsid w:val="00863B2F"/>
    <w:rsid w:val="008660D8"/>
    <w:rsid w:val="00867965"/>
    <w:rsid w:val="008A5237"/>
    <w:rsid w:val="008B1EE4"/>
    <w:rsid w:val="008B7333"/>
    <w:rsid w:val="008C459B"/>
    <w:rsid w:val="008C652A"/>
    <w:rsid w:val="008C66F6"/>
    <w:rsid w:val="008D097E"/>
    <w:rsid w:val="008D1AE8"/>
    <w:rsid w:val="008D56BA"/>
    <w:rsid w:val="008E558F"/>
    <w:rsid w:val="008F30CF"/>
    <w:rsid w:val="008F349C"/>
    <w:rsid w:val="00913538"/>
    <w:rsid w:val="0091544C"/>
    <w:rsid w:val="00926C6C"/>
    <w:rsid w:val="00934B29"/>
    <w:rsid w:val="009428D6"/>
    <w:rsid w:val="00944613"/>
    <w:rsid w:val="00944B22"/>
    <w:rsid w:val="009519D2"/>
    <w:rsid w:val="00951D5B"/>
    <w:rsid w:val="009633E6"/>
    <w:rsid w:val="009A0430"/>
    <w:rsid w:val="009A06EB"/>
    <w:rsid w:val="009A4EB7"/>
    <w:rsid w:val="009A7EF8"/>
    <w:rsid w:val="009B174F"/>
    <w:rsid w:val="009C2760"/>
    <w:rsid w:val="009C4079"/>
    <w:rsid w:val="009D44BE"/>
    <w:rsid w:val="009E50AB"/>
    <w:rsid w:val="009E701E"/>
    <w:rsid w:val="009E7172"/>
    <w:rsid w:val="00A00E3F"/>
    <w:rsid w:val="00A02D10"/>
    <w:rsid w:val="00A15781"/>
    <w:rsid w:val="00A33B58"/>
    <w:rsid w:val="00A33C99"/>
    <w:rsid w:val="00A3515F"/>
    <w:rsid w:val="00A41291"/>
    <w:rsid w:val="00A52E3D"/>
    <w:rsid w:val="00A60208"/>
    <w:rsid w:val="00A6596E"/>
    <w:rsid w:val="00A7159C"/>
    <w:rsid w:val="00A72149"/>
    <w:rsid w:val="00A72717"/>
    <w:rsid w:val="00A755B3"/>
    <w:rsid w:val="00A84888"/>
    <w:rsid w:val="00A91DC4"/>
    <w:rsid w:val="00AA26EC"/>
    <w:rsid w:val="00AB1B4E"/>
    <w:rsid w:val="00AC1C2C"/>
    <w:rsid w:val="00AE1312"/>
    <w:rsid w:val="00AE1D3C"/>
    <w:rsid w:val="00AE2D8D"/>
    <w:rsid w:val="00AF0A21"/>
    <w:rsid w:val="00AF1244"/>
    <w:rsid w:val="00B15204"/>
    <w:rsid w:val="00B30F0A"/>
    <w:rsid w:val="00B43089"/>
    <w:rsid w:val="00B456AF"/>
    <w:rsid w:val="00B462B7"/>
    <w:rsid w:val="00B47AFC"/>
    <w:rsid w:val="00B73776"/>
    <w:rsid w:val="00B80CF1"/>
    <w:rsid w:val="00B8273A"/>
    <w:rsid w:val="00BA128F"/>
    <w:rsid w:val="00BB22C6"/>
    <w:rsid w:val="00BB3F9B"/>
    <w:rsid w:val="00BC5D35"/>
    <w:rsid w:val="00BC5E12"/>
    <w:rsid w:val="00BD21AF"/>
    <w:rsid w:val="00BE1687"/>
    <w:rsid w:val="00BE2A47"/>
    <w:rsid w:val="00BF617F"/>
    <w:rsid w:val="00BF63DD"/>
    <w:rsid w:val="00C0015F"/>
    <w:rsid w:val="00C15AD5"/>
    <w:rsid w:val="00C15BB1"/>
    <w:rsid w:val="00C201F1"/>
    <w:rsid w:val="00C35E5E"/>
    <w:rsid w:val="00C36154"/>
    <w:rsid w:val="00C37B58"/>
    <w:rsid w:val="00C53FBA"/>
    <w:rsid w:val="00C676D6"/>
    <w:rsid w:val="00C878BA"/>
    <w:rsid w:val="00CC18FC"/>
    <w:rsid w:val="00CC7D40"/>
    <w:rsid w:val="00CD713F"/>
    <w:rsid w:val="00CE2A2D"/>
    <w:rsid w:val="00CE397A"/>
    <w:rsid w:val="00D00389"/>
    <w:rsid w:val="00D034D2"/>
    <w:rsid w:val="00D2474A"/>
    <w:rsid w:val="00D278E7"/>
    <w:rsid w:val="00D34F32"/>
    <w:rsid w:val="00D37170"/>
    <w:rsid w:val="00D42C4D"/>
    <w:rsid w:val="00D57867"/>
    <w:rsid w:val="00D67926"/>
    <w:rsid w:val="00D702B5"/>
    <w:rsid w:val="00D94EEA"/>
    <w:rsid w:val="00D9759D"/>
    <w:rsid w:val="00DA2DAE"/>
    <w:rsid w:val="00DA60EB"/>
    <w:rsid w:val="00DB6307"/>
    <w:rsid w:val="00DC14F2"/>
    <w:rsid w:val="00DC7170"/>
    <w:rsid w:val="00DD6C21"/>
    <w:rsid w:val="00DE09C3"/>
    <w:rsid w:val="00DE0D7D"/>
    <w:rsid w:val="00DF0FD7"/>
    <w:rsid w:val="00DF7880"/>
    <w:rsid w:val="00E02CC7"/>
    <w:rsid w:val="00E03824"/>
    <w:rsid w:val="00E16803"/>
    <w:rsid w:val="00E202C3"/>
    <w:rsid w:val="00E20486"/>
    <w:rsid w:val="00E2750A"/>
    <w:rsid w:val="00E2766D"/>
    <w:rsid w:val="00E27D82"/>
    <w:rsid w:val="00E27F11"/>
    <w:rsid w:val="00E369A2"/>
    <w:rsid w:val="00E40AC0"/>
    <w:rsid w:val="00E445DF"/>
    <w:rsid w:val="00E60FB1"/>
    <w:rsid w:val="00E62C27"/>
    <w:rsid w:val="00E7434E"/>
    <w:rsid w:val="00E818C1"/>
    <w:rsid w:val="00E84E63"/>
    <w:rsid w:val="00E85F0A"/>
    <w:rsid w:val="00E92545"/>
    <w:rsid w:val="00E92FD4"/>
    <w:rsid w:val="00EA0844"/>
    <w:rsid w:val="00EA177B"/>
    <w:rsid w:val="00EA5F05"/>
    <w:rsid w:val="00EC57A8"/>
    <w:rsid w:val="00ED55D7"/>
    <w:rsid w:val="00ED642A"/>
    <w:rsid w:val="00EE612A"/>
    <w:rsid w:val="00EE7C64"/>
    <w:rsid w:val="00EF633A"/>
    <w:rsid w:val="00F02452"/>
    <w:rsid w:val="00F10026"/>
    <w:rsid w:val="00F12C96"/>
    <w:rsid w:val="00F37D47"/>
    <w:rsid w:val="00F636F4"/>
    <w:rsid w:val="00F90CCC"/>
    <w:rsid w:val="00F95FA7"/>
    <w:rsid w:val="00F96F65"/>
    <w:rsid w:val="00FA05BA"/>
    <w:rsid w:val="00FA563F"/>
    <w:rsid w:val="00FA5FD8"/>
    <w:rsid w:val="00FB1794"/>
    <w:rsid w:val="00FB580E"/>
    <w:rsid w:val="00FC075E"/>
    <w:rsid w:val="00FE1248"/>
    <w:rsid w:val="00FE2D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527729DC"/>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39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639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paragraph" w:customStyle="1" w:styleId="estilo30">
    <w:name w:val="estilo30"/>
    <w:basedOn w:val="Normal"/>
    <w:rsid w:val="00AC1C2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C1C2C"/>
    <w:rPr>
      <w:color w:val="0000FF" w:themeColor="hyperlink"/>
      <w:u w:val="single"/>
    </w:rPr>
  </w:style>
  <w:style w:type="paragraph" w:styleId="Sinespaciado">
    <w:name w:val="No Spacing"/>
    <w:uiPriority w:val="1"/>
    <w:qFormat/>
    <w:rsid w:val="00AC1C2C"/>
    <w:pPr>
      <w:spacing w:after="0" w:line="240" w:lineRule="auto"/>
    </w:pPr>
    <w:rPr>
      <w:rFonts w:ascii="Calibri" w:eastAsia="Calibri" w:hAnsi="Calibri" w:cs="Times New Roman"/>
    </w:rPr>
  </w:style>
  <w:style w:type="paragraph" w:styleId="Textoindependiente">
    <w:name w:val="Body Text"/>
    <w:basedOn w:val="Normal"/>
    <w:link w:val="TextoindependienteCar"/>
    <w:uiPriority w:val="99"/>
    <w:unhideWhenUsed/>
    <w:rsid w:val="00AC1C2C"/>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AC1C2C"/>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AC1C2C"/>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C1C2C"/>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AC1C2C"/>
    <w:rPr>
      <w:vertAlign w:val="superscript"/>
    </w:rPr>
  </w:style>
  <w:style w:type="table" w:styleId="Tablaconcuadrcula">
    <w:name w:val="Table Grid"/>
    <w:basedOn w:val="Tablanormal"/>
    <w:uiPriority w:val="39"/>
    <w:rsid w:val="00AC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99"/>
    <w:qFormat/>
    <w:rsid w:val="00C53FBA"/>
    <w:pPr>
      <w:ind w:left="720"/>
      <w:contextualSpacing/>
    </w:pPr>
    <w:rPr>
      <w:rFonts w:ascii="Calibri" w:hAnsi="Calibri" w:cs="Calibri"/>
    </w:rPr>
  </w:style>
  <w:style w:type="paragraph" w:styleId="Textodeglobo">
    <w:name w:val="Balloon Text"/>
    <w:basedOn w:val="Normal"/>
    <w:link w:val="TextodegloboCar"/>
    <w:uiPriority w:val="99"/>
    <w:semiHidden/>
    <w:unhideWhenUsed/>
    <w:rsid w:val="008C66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6F6"/>
    <w:rPr>
      <w:rFonts w:ascii="Segoe UI" w:hAnsi="Segoe UI" w:cs="Segoe UI"/>
      <w:sz w:val="18"/>
      <w:szCs w:val="18"/>
    </w:rPr>
  </w:style>
  <w:style w:type="character" w:customStyle="1" w:styleId="Ttulo1Car">
    <w:name w:val="Título 1 Car"/>
    <w:basedOn w:val="Fuentedeprrafopredeter"/>
    <w:link w:val="Ttulo1"/>
    <w:uiPriority w:val="9"/>
    <w:rsid w:val="008639BE"/>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8639BE"/>
    <w:rPr>
      <w:rFonts w:asciiTheme="majorHAnsi" w:eastAsiaTheme="majorEastAsia" w:hAnsiTheme="majorHAnsi" w:cstheme="majorBidi"/>
      <w:color w:val="365F91" w:themeColor="accent1" w:themeShade="BF"/>
      <w:sz w:val="26"/>
      <w:szCs w:val="26"/>
    </w:rPr>
  </w:style>
  <w:style w:type="paragraph" w:customStyle="1" w:styleId="Default">
    <w:name w:val="Default"/>
    <w:rsid w:val="008639BE"/>
    <w:pPr>
      <w:autoSpaceDE w:val="0"/>
      <w:autoSpaceDN w:val="0"/>
      <w:adjustRightInd w:val="0"/>
      <w:spacing w:after="0" w:line="240" w:lineRule="auto"/>
    </w:pPr>
    <w:rPr>
      <w:rFonts w:ascii="Tahoma" w:eastAsia="Calibri" w:hAnsi="Tahoma" w:cs="Tahoma"/>
      <w:color w:val="000000"/>
      <w:sz w:val="24"/>
      <w:szCs w:val="24"/>
      <w:lang w:eastAsia="es-MX"/>
    </w:rPr>
  </w:style>
  <w:style w:type="character" w:customStyle="1" w:styleId="PrrafodelistaCar">
    <w:name w:val="Párrafo de lista Car"/>
    <w:link w:val="Prrafodelista"/>
    <w:uiPriority w:val="99"/>
    <w:rsid w:val="008639BE"/>
    <w:rPr>
      <w:rFonts w:ascii="Calibri" w:hAnsi="Calibri" w:cs="Calibri"/>
    </w:rPr>
  </w:style>
  <w:style w:type="paragraph" w:customStyle="1" w:styleId="Seccin">
    <w:name w:val="Sección"/>
    <w:basedOn w:val="Normal"/>
    <w:qFormat/>
    <w:rsid w:val="008639BE"/>
    <w:pPr>
      <w:spacing w:before="360" w:after="0" w:line="259" w:lineRule="auto"/>
      <w:jc w:val="both"/>
    </w:pPr>
    <w:rPr>
      <w:rFonts w:ascii="ITC Avant Garde" w:eastAsiaTheme="minorEastAsia" w:hAnsi="ITC Avant Garde"/>
      <w:b/>
      <w:smallCaps/>
      <w:sz w:val="20"/>
      <w:szCs w:val="24"/>
      <w:lang w:eastAsia="ja-JP"/>
    </w:rPr>
  </w:style>
  <w:style w:type="character" w:styleId="Refdecomentario">
    <w:name w:val="annotation reference"/>
    <w:basedOn w:val="Fuentedeprrafopredeter"/>
    <w:uiPriority w:val="99"/>
    <w:semiHidden/>
    <w:unhideWhenUsed/>
    <w:rsid w:val="00BC5E12"/>
    <w:rPr>
      <w:sz w:val="16"/>
      <w:szCs w:val="16"/>
    </w:rPr>
  </w:style>
  <w:style w:type="paragraph" w:styleId="Textocomentario">
    <w:name w:val="annotation text"/>
    <w:basedOn w:val="Normal"/>
    <w:link w:val="TextocomentarioCar"/>
    <w:uiPriority w:val="99"/>
    <w:semiHidden/>
    <w:unhideWhenUsed/>
    <w:rsid w:val="00BC5E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5E12"/>
    <w:rPr>
      <w:sz w:val="20"/>
      <w:szCs w:val="20"/>
    </w:rPr>
  </w:style>
  <w:style w:type="paragraph" w:styleId="Asuntodelcomentario">
    <w:name w:val="annotation subject"/>
    <w:basedOn w:val="Textocomentario"/>
    <w:next w:val="Textocomentario"/>
    <w:link w:val="AsuntodelcomentarioCar"/>
    <w:uiPriority w:val="99"/>
    <w:semiHidden/>
    <w:unhideWhenUsed/>
    <w:rsid w:val="00BC5E12"/>
    <w:rPr>
      <w:b/>
      <w:bCs/>
    </w:rPr>
  </w:style>
  <w:style w:type="character" w:customStyle="1" w:styleId="AsuntodelcomentarioCar">
    <w:name w:val="Asunto del comentario Car"/>
    <w:basedOn w:val="TextocomentarioCar"/>
    <w:link w:val="Asuntodelcomentario"/>
    <w:uiPriority w:val="99"/>
    <w:semiHidden/>
    <w:rsid w:val="00BC5E12"/>
    <w:rPr>
      <w:b/>
      <w:bCs/>
      <w:sz w:val="20"/>
      <w:szCs w:val="20"/>
    </w:rPr>
  </w:style>
  <w:style w:type="character" w:styleId="Hipervnculovisitado">
    <w:name w:val="FollowedHyperlink"/>
    <w:basedOn w:val="Fuentedeprrafopredeter"/>
    <w:uiPriority w:val="99"/>
    <w:semiHidden/>
    <w:unhideWhenUsed/>
    <w:rsid w:val="006758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677046">
      <w:bodyDiv w:val="1"/>
      <w:marLeft w:val="0"/>
      <w:marRight w:val="0"/>
      <w:marTop w:val="0"/>
      <w:marBottom w:val="0"/>
      <w:divBdr>
        <w:top w:val="none" w:sz="0" w:space="0" w:color="auto"/>
        <w:left w:val="none" w:sz="0" w:space="0" w:color="auto"/>
        <w:bottom w:val="none" w:sz="0" w:space="0" w:color="auto"/>
        <w:right w:val="none" w:sz="0" w:space="0" w:color="auto"/>
      </w:divBdr>
    </w:div>
    <w:div w:id="644429982">
      <w:bodyDiv w:val="1"/>
      <w:marLeft w:val="0"/>
      <w:marRight w:val="0"/>
      <w:marTop w:val="0"/>
      <w:marBottom w:val="0"/>
      <w:divBdr>
        <w:top w:val="none" w:sz="0" w:space="0" w:color="auto"/>
        <w:left w:val="none" w:sz="0" w:space="0" w:color="auto"/>
        <w:bottom w:val="none" w:sz="0" w:space="0" w:color="auto"/>
        <w:right w:val="none" w:sz="0" w:space="0" w:color="auto"/>
      </w:divBdr>
    </w:div>
    <w:div w:id="1320770617">
      <w:bodyDiv w:val="1"/>
      <w:marLeft w:val="0"/>
      <w:marRight w:val="0"/>
      <w:marTop w:val="0"/>
      <w:marBottom w:val="0"/>
      <w:divBdr>
        <w:top w:val="none" w:sz="0" w:space="0" w:color="auto"/>
        <w:left w:val="none" w:sz="0" w:space="0" w:color="auto"/>
        <w:bottom w:val="none" w:sz="0" w:space="0" w:color="auto"/>
        <w:right w:val="none" w:sz="0" w:space="0" w:color="auto"/>
      </w:divBdr>
    </w:div>
    <w:div w:id="1717699246">
      <w:bodyDiv w:val="1"/>
      <w:marLeft w:val="0"/>
      <w:marRight w:val="0"/>
      <w:marTop w:val="0"/>
      <w:marBottom w:val="0"/>
      <w:divBdr>
        <w:top w:val="none" w:sz="0" w:space="0" w:color="auto"/>
        <w:left w:val="none" w:sz="0" w:space="0" w:color="auto"/>
        <w:bottom w:val="none" w:sz="0" w:space="0" w:color="auto"/>
        <w:right w:val="none" w:sz="0" w:space="0" w:color="auto"/>
      </w:divBdr>
    </w:div>
    <w:div w:id="1746488909">
      <w:bodyDiv w:val="1"/>
      <w:marLeft w:val="0"/>
      <w:marRight w:val="0"/>
      <w:marTop w:val="0"/>
      <w:marBottom w:val="0"/>
      <w:divBdr>
        <w:top w:val="none" w:sz="0" w:space="0" w:color="auto"/>
        <w:left w:val="none" w:sz="0" w:space="0" w:color="auto"/>
        <w:bottom w:val="none" w:sz="0" w:space="0" w:color="auto"/>
        <w:right w:val="none" w:sz="0" w:space="0" w:color="auto"/>
      </w:divBdr>
    </w:div>
    <w:div w:id="1910580003">
      <w:bodyDiv w:val="1"/>
      <w:marLeft w:val="0"/>
      <w:marRight w:val="0"/>
      <w:marTop w:val="0"/>
      <w:marBottom w:val="0"/>
      <w:divBdr>
        <w:top w:val="none" w:sz="0" w:space="0" w:color="auto"/>
        <w:left w:val="none" w:sz="0" w:space="0" w:color="auto"/>
        <w:bottom w:val="none" w:sz="0" w:space="0" w:color="auto"/>
        <w:right w:val="none" w:sz="0" w:space="0" w:color="auto"/>
      </w:divBdr>
    </w:div>
    <w:div w:id="204848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53</Pages>
  <Words>24038</Words>
  <Characters>132210</Characters>
  <Application>Microsoft Office Word</Application>
  <DocSecurity>0</DocSecurity>
  <Lines>1101</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Jane Fuentes Burbano</dc:creator>
  <cp:lastModifiedBy>Luis Fernando Rosas Yanez</cp:lastModifiedBy>
  <cp:revision>6</cp:revision>
  <cp:lastPrinted>2020-02-05T17:14:00Z</cp:lastPrinted>
  <dcterms:created xsi:type="dcterms:W3CDTF">2021-07-09T19:33:00Z</dcterms:created>
  <dcterms:modified xsi:type="dcterms:W3CDTF">2021-08-10T17:23:00Z</dcterms:modified>
</cp:coreProperties>
</file>